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285"/>
        <w:tblOverlap w:val="never"/>
        <w:bidiVisual/>
        <w:tblW w:w="9639" w:type="dxa"/>
        <w:tblBorders>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1274"/>
        <w:gridCol w:w="4537"/>
        <w:gridCol w:w="3828"/>
      </w:tblGrid>
      <w:tr w:rsidR="006B3E27" w:rsidRPr="00ED7442" w14:paraId="728EADC7" w14:textId="77777777" w:rsidTr="005B51C4">
        <w:trPr>
          <w:trHeight w:hRule="exact" w:val="851"/>
        </w:trPr>
        <w:tc>
          <w:tcPr>
            <w:tcW w:w="1274" w:type="dxa"/>
            <w:tcBorders>
              <w:bottom w:val="single" w:sz="4" w:space="0" w:color="auto"/>
            </w:tcBorders>
            <w:shd w:val="clear" w:color="auto" w:fill="auto"/>
          </w:tcPr>
          <w:p w14:paraId="5DFA770B" w14:textId="77777777" w:rsidR="006B3E27" w:rsidRPr="0069140F" w:rsidRDefault="006B3E27" w:rsidP="005B51C4">
            <w:pPr>
              <w:jc w:val="center"/>
              <w:rPr>
                <w:sz w:val="56"/>
                <w:szCs w:val="56"/>
              </w:rPr>
            </w:pPr>
            <w:bookmarkStart w:id="0" w:name="_GoBack"/>
            <w:bookmarkEnd w:id="0"/>
          </w:p>
        </w:tc>
        <w:tc>
          <w:tcPr>
            <w:tcW w:w="4537" w:type="dxa"/>
            <w:tcBorders>
              <w:bottom w:val="single" w:sz="4" w:space="0" w:color="auto"/>
            </w:tcBorders>
            <w:shd w:val="clear" w:color="auto" w:fill="auto"/>
            <w:vAlign w:val="bottom"/>
          </w:tcPr>
          <w:p w14:paraId="6CB5CED7" w14:textId="77777777" w:rsidR="006B3E27" w:rsidRPr="005B51C4" w:rsidRDefault="006B3E27" w:rsidP="005B51C4">
            <w:pPr>
              <w:spacing w:after="80" w:line="480" w:lineRule="exact"/>
              <w:jc w:val="left"/>
              <w:rPr>
                <w:sz w:val="40"/>
                <w:szCs w:val="40"/>
                <w:rtl/>
              </w:rPr>
            </w:pPr>
            <w:r w:rsidRPr="005B51C4">
              <w:rPr>
                <w:rFonts w:hint="cs"/>
                <w:sz w:val="40"/>
                <w:szCs w:val="40"/>
                <w:rtl/>
              </w:rPr>
              <w:t>الأمم المتحدة</w:t>
            </w:r>
          </w:p>
        </w:tc>
        <w:tc>
          <w:tcPr>
            <w:tcW w:w="3828" w:type="dxa"/>
            <w:tcBorders>
              <w:bottom w:val="single" w:sz="4" w:space="0" w:color="auto"/>
            </w:tcBorders>
            <w:shd w:val="clear" w:color="auto" w:fill="auto"/>
            <w:vAlign w:val="bottom"/>
          </w:tcPr>
          <w:p w14:paraId="15CCF2E3" w14:textId="77777777" w:rsidR="006B3E27" w:rsidRPr="005B51C4" w:rsidRDefault="0069140F" w:rsidP="00374D76">
            <w:pPr>
              <w:bidi w:val="0"/>
              <w:spacing w:after="20"/>
              <w:jc w:val="left"/>
              <w:rPr>
                <w:szCs w:val="20"/>
              </w:rPr>
            </w:pPr>
            <w:r w:rsidRPr="0069140F">
              <w:rPr>
                <w:sz w:val="40"/>
                <w:szCs w:val="20"/>
              </w:rPr>
              <w:t>CCPR</w:t>
            </w:r>
            <w:r>
              <w:rPr>
                <w:szCs w:val="20"/>
              </w:rPr>
              <w:t>/C/</w:t>
            </w:r>
            <w:r w:rsidRPr="00E26DBC">
              <w:rPr>
                <w:szCs w:val="20"/>
              </w:rPr>
              <w:t>128</w:t>
            </w:r>
            <w:r>
              <w:rPr>
                <w:szCs w:val="20"/>
              </w:rPr>
              <w:t>/</w:t>
            </w:r>
            <w:r w:rsidRPr="00E26DBC">
              <w:rPr>
                <w:szCs w:val="20"/>
              </w:rPr>
              <w:t>2</w:t>
            </w:r>
          </w:p>
        </w:tc>
      </w:tr>
      <w:tr w:rsidR="006B3E27" w:rsidRPr="00ED7442" w14:paraId="28C98F07" w14:textId="77777777" w:rsidTr="005B51C4">
        <w:trPr>
          <w:trHeight w:hRule="exact" w:val="2835"/>
        </w:trPr>
        <w:tc>
          <w:tcPr>
            <w:tcW w:w="1274" w:type="dxa"/>
            <w:tcBorders>
              <w:top w:val="single" w:sz="4" w:space="0" w:color="auto"/>
              <w:bottom w:val="single" w:sz="12" w:space="0" w:color="auto"/>
            </w:tcBorders>
            <w:shd w:val="clear" w:color="auto" w:fill="auto"/>
          </w:tcPr>
          <w:p w14:paraId="66AD97C9" w14:textId="2389BDBF" w:rsidR="006B3E27" w:rsidRPr="005B51C4" w:rsidRDefault="0033357F" w:rsidP="005B51C4">
            <w:pPr>
              <w:jc w:val="center"/>
              <w:rPr>
                <w:sz w:val="56"/>
                <w:szCs w:val="56"/>
                <w:rtl/>
              </w:rPr>
            </w:pPr>
            <w:r>
              <w:rPr>
                <w:noProof/>
                <w:sz w:val="56"/>
                <w:szCs w:val="56"/>
                <w:lang w:val="en-GB" w:eastAsia="en-GB"/>
              </w:rPr>
              <w:drawing>
                <wp:inline distT="0" distB="0" distL="0" distR="0" wp14:anchorId="02ADB278" wp14:editId="0F7F5919">
                  <wp:extent cx="629920" cy="6096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52" t="-1387" r="-52" b="-1387"/>
                          <a:stretch>
                            <a:fillRect/>
                          </a:stretch>
                        </pic:blipFill>
                        <pic:spPr bwMode="auto">
                          <a:xfrm>
                            <a:off x="0" y="0"/>
                            <a:ext cx="629920" cy="609600"/>
                          </a:xfrm>
                          <a:prstGeom prst="rect">
                            <a:avLst/>
                          </a:prstGeom>
                          <a:noFill/>
                          <a:ln>
                            <a:noFill/>
                          </a:ln>
                        </pic:spPr>
                      </pic:pic>
                    </a:graphicData>
                  </a:graphic>
                </wp:inline>
              </w:drawing>
            </w:r>
          </w:p>
        </w:tc>
        <w:tc>
          <w:tcPr>
            <w:tcW w:w="4537" w:type="dxa"/>
            <w:tcBorders>
              <w:top w:val="single" w:sz="4" w:space="0" w:color="auto"/>
              <w:bottom w:val="single" w:sz="12" w:space="0" w:color="auto"/>
            </w:tcBorders>
            <w:shd w:val="clear" w:color="auto" w:fill="auto"/>
          </w:tcPr>
          <w:p w14:paraId="2CA4FAD3" w14:textId="77777777" w:rsidR="006B3E27" w:rsidRPr="005B51C4" w:rsidRDefault="00ED7442" w:rsidP="005B51C4">
            <w:pPr>
              <w:spacing w:before="120" w:after="40" w:line="640" w:lineRule="exact"/>
              <w:jc w:val="left"/>
              <w:rPr>
                <w:b/>
                <w:bCs/>
                <w:sz w:val="56"/>
                <w:szCs w:val="56"/>
              </w:rPr>
            </w:pPr>
            <w:r w:rsidRPr="005B51C4">
              <w:rPr>
                <w:rFonts w:hint="cs"/>
                <w:b/>
                <w:bCs/>
                <w:sz w:val="56"/>
                <w:szCs w:val="56"/>
                <w:rtl/>
              </w:rPr>
              <w:t>العهد الدولي الخاص بالحقوق المدنية والسياسية</w:t>
            </w:r>
          </w:p>
        </w:tc>
        <w:tc>
          <w:tcPr>
            <w:tcW w:w="3828" w:type="dxa"/>
            <w:tcBorders>
              <w:top w:val="single" w:sz="4" w:space="0" w:color="auto"/>
              <w:bottom w:val="single" w:sz="12" w:space="0" w:color="auto"/>
            </w:tcBorders>
            <w:shd w:val="clear" w:color="auto" w:fill="auto"/>
          </w:tcPr>
          <w:p w14:paraId="50372D58" w14:textId="77777777" w:rsidR="006B3E27" w:rsidRDefault="00374D76" w:rsidP="00374D76">
            <w:pPr>
              <w:bidi w:val="0"/>
              <w:spacing w:before="240"/>
              <w:jc w:val="left"/>
              <w:rPr>
                <w:szCs w:val="20"/>
              </w:rPr>
            </w:pPr>
            <w:r>
              <w:rPr>
                <w:szCs w:val="20"/>
              </w:rPr>
              <w:t>Distr.: General</w:t>
            </w:r>
          </w:p>
          <w:p w14:paraId="6FD367C0" w14:textId="3F1D2300" w:rsidR="00374D76" w:rsidRDefault="00374D76" w:rsidP="00374D76">
            <w:pPr>
              <w:bidi w:val="0"/>
              <w:jc w:val="left"/>
              <w:rPr>
                <w:szCs w:val="20"/>
              </w:rPr>
            </w:pPr>
            <w:r w:rsidRPr="00E26DBC">
              <w:rPr>
                <w:szCs w:val="20"/>
              </w:rPr>
              <w:t>30</w:t>
            </w:r>
            <w:r>
              <w:t xml:space="preserve"> April </w:t>
            </w:r>
            <w:r w:rsidRPr="00E26DBC">
              <w:rPr>
                <w:szCs w:val="20"/>
              </w:rPr>
              <w:t>2020</w:t>
            </w:r>
          </w:p>
          <w:p w14:paraId="1C402857" w14:textId="77777777" w:rsidR="00374D76" w:rsidRDefault="00374D76" w:rsidP="00374D76">
            <w:pPr>
              <w:bidi w:val="0"/>
              <w:jc w:val="left"/>
              <w:rPr>
                <w:szCs w:val="20"/>
              </w:rPr>
            </w:pPr>
            <w:r>
              <w:rPr>
                <w:szCs w:val="20"/>
              </w:rPr>
              <w:t>Arabic</w:t>
            </w:r>
          </w:p>
          <w:p w14:paraId="6458412F" w14:textId="00C4FE74" w:rsidR="00374D76" w:rsidRPr="005B51C4" w:rsidRDefault="00374D76" w:rsidP="00374D76">
            <w:pPr>
              <w:bidi w:val="0"/>
              <w:jc w:val="left"/>
              <w:rPr>
                <w:szCs w:val="20"/>
              </w:rPr>
            </w:pPr>
            <w:r>
              <w:rPr>
                <w:szCs w:val="20"/>
              </w:rPr>
              <w:t>Original: English</w:t>
            </w:r>
          </w:p>
        </w:tc>
      </w:tr>
    </w:tbl>
    <w:p w14:paraId="7EDFF2BB" w14:textId="77777777" w:rsidR="00CE615B" w:rsidRPr="00E26DBC" w:rsidRDefault="00CE615B" w:rsidP="00E26DBC">
      <w:pPr>
        <w:spacing w:before="120" w:line="360" w:lineRule="exact"/>
        <w:textDirection w:val="tbRlV"/>
        <w:rPr>
          <w:b/>
          <w:bCs/>
          <w:sz w:val="30"/>
          <w:szCs w:val="26"/>
          <w:lang w:val="ar-SA" w:eastAsia="zh-TW" w:bidi="en-GB"/>
        </w:rPr>
      </w:pPr>
      <w:r w:rsidRPr="00E26DBC">
        <w:rPr>
          <w:b/>
          <w:bCs/>
          <w:sz w:val="26"/>
          <w:szCs w:val="36"/>
          <w:rtl/>
        </w:rPr>
        <w:t>اللجنة المعنية بحقوق الإنسان</w:t>
      </w:r>
    </w:p>
    <w:p w14:paraId="706FFE4B" w14:textId="4D71B61C" w:rsidR="00CE615B" w:rsidRPr="00692EBA" w:rsidRDefault="00CE615B" w:rsidP="00E26DBC">
      <w:pPr>
        <w:pStyle w:val="HChGA"/>
        <w:rPr>
          <w:rFonts w:eastAsiaTheme="minorEastAsia"/>
          <w:spacing w:val="-6"/>
          <w:szCs w:val="20"/>
          <w:lang w:eastAsia="zh-TW" w:bidi="en-GB"/>
        </w:rPr>
      </w:pPr>
      <w:r>
        <w:rPr>
          <w:rtl/>
        </w:rPr>
        <w:tab/>
      </w:r>
      <w:r w:rsidRPr="00692EBA">
        <w:rPr>
          <w:rFonts w:eastAsiaTheme="minorEastAsia"/>
          <w:spacing w:val="-6"/>
          <w:rtl/>
        </w:rPr>
        <w:tab/>
        <w:t>بيان بشأن حالات عدم التقيد بأحكام العهد فيما يتعلق بجائحة كوفيد-</w:t>
      </w:r>
      <w:r w:rsidRPr="00692EBA">
        <w:rPr>
          <w:rFonts w:eastAsiaTheme="minorEastAsia"/>
          <w:spacing w:val="-6"/>
          <w:sz w:val="36"/>
          <w:szCs w:val="28"/>
          <w:rtl/>
        </w:rPr>
        <w:t>19</w:t>
      </w:r>
      <w:r w:rsidR="00E26DBC" w:rsidRPr="00692EBA">
        <w:rPr>
          <w:rStyle w:val="FootnoteReference"/>
          <w:rFonts w:eastAsiaTheme="minorEastAsia"/>
          <w:spacing w:val="-6"/>
          <w:sz w:val="20"/>
          <w:vertAlign w:val="baseline"/>
          <w:rtl/>
          <w:lang w:eastAsia="zh-TW"/>
        </w:rPr>
        <w:footnoteReference w:customMarkFollows="1" w:id="1"/>
        <w:t>*</w:t>
      </w:r>
    </w:p>
    <w:p w14:paraId="137B87F2" w14:textId="272B6167" w:rsidR="00CE615B" w:rsidRPr="00692EBA" w:rsidRDefault="00CE615B" w:rsidP="00E26DBC">
      <w:pPr>
        <w:pStyle w:val="SingleTxtGA"/>
        <w:rPr>
          <w:rFonts w:eastAsiaTheme="minorEastAsia"/>
          <w:szCs w:val="20"/>
          <w:lang w:eastAsia="zh-TW" w:bidi="en-GB"/>
        </w:rPr>
      </w:pPr>
      <w:r w:rsidRPr="00692EBA">
        <w:rPr>
          <w:rFonts w:eastAsiaTheme="minorEastAsia"/>
          <w:szCs w:val="20"/>
          <w:rtl/>
        </w:rPr>
        <w:t>1-</w:t>
      </w:r>
      <w:r w:rsidRPr="00692EBA">
        <w:rPr>
          <w:rFonts w:eastAsiaTheme="minorEastAsia"/>
          <w:rtl/>
        </w:rPr>
        <w:tab/>
        <w:t xml:space="preserve">أخطر عدد من الدول الأطراف في العهد الدولي الخاص بالحقوق المدنية والسياسية الأمين العام للأمم المتحدة في الأسابيع الأخيرة عملاً بالمادة </w:t>
      </w:r>
      <w:r w:rsidRPr="00692EBA">
        <w:rPr>
          <w:rFonts w:eastAsiaTheme="minorEastAsia"/>
          <w:szCs w:val="20"/>
          <w:rtl/>
        </w:rPr>
        <w:t>4</w:t>
      </w:r>
      <w:r w:rsidRPr="00692EBA">
        <w:rPr>
          <w:rFonts w:eastAsiaTheme="minorEastAsia"/>
          <w:rtl/>
        </w:rPr>
        <w:t xml:space="preserve"> من العهد بالتدابير الطارئة التي اتخذتها أو تعتزم اتخاذها بهدف الحد من انتشار جائحة فيروس كورونا (كوفيد-</w:t>
      </w:r>
      <w:r w:rsidRPr="00692EBA">
        <w:rPr>
          <w:rFonts w:eastAsiaTheme="minorEastAsia"/>
          <w:szCs w:val="20"/>
          <w:rtl/>
        </w:rPr>
        <w:t>19</w:t>
      </w:r>
      <w:r w:rsidRPr="00692EBA">
        <w:rPr>
          <w:rFonts w:eastAsiaTheme="minorEastAsia"/>
          <w:sz w:val="30"/>
          <w:rtl/>
        </w:rPr>
        <w:t>)</w:t>
      </w:r>
      <w:r w:rsidRPr="00692EBA">
        <w:rPr>
          <w:rFonts w:eastAsiaTheme="minorEastAsia"/>
          <w:rtl/>
        </w:rPr>
        <w:t>، في إطار عدم التقيد بالتزاماتها بموجب العهد. غير أنه بلغ اللجنةَ أن عدة دول أطراف أخرى لجأت في تصديها لجائحة كوفيد-</w:t>
      </w:r>
      <w:r w:rsidRPr="00692EBA">
        <w:rPr>
          <w:rFonts w:eastAsiaTheme="minorEastAsia"/>
          <w:szCs w:val="20"/>
          <w:rtl/>
        </w:rPr>
        <w:t>19</w:t>
      </w:r>
      <w:r w:rsidRPr="00692EBA">
        <w:rPr>
          <w:rFonts w:eastAsiaTheme="minorEastAsia"/>
          <w:rtl/>
        </w:rPr>
        <w:t xml:space="preserve"> إلى تدابير طارئة تؤثر تأثيراً خطيراً على تنفيذ التزاماتها بموجب العهد، دون أن تقدم بصفة رسمية إخطاراً بعدم التقيد بالعهد. لذا تدعو اللجنة جميع الدول الأطراف التي اتخذت تدابير طارئة بشأن جائحة كوفيد-</w:t>
      </w:r>
      <w:r w:rsidRPr="00692EBA">
        <w:rPr>
          <w:rFonts w:eastAsiaTheme="minorEastAsia"/>
          <w:szCs w:val="20"/>
          <w:rtl/>
        </w:rPr>
        <w:t>19</w:t>
      </w:r>
      <w:r w:rsidRPr="00692EBA">
        <w:rPr>
          <w:rFonts w:eastAsiaTheme="minorEastAsia"/>
          <w:rtl/>
        </w:rPr>
        <w:t xml:space="preserve"> لا تتقيد بالتزاماتها بموجب العهد إلى الامتثال دون إبطاء لواجبها المتمثل في إخطار الأمين العام للأمم المتحدة فوراً، إن لم تكن قد فعلت ذلك بعد.</w:t>
      </w:r>
    </w:p>
    <w:p w14:paraId="051B1CC5" w14:textId="4B4481A7" w:rsidR="00CE615B" w:rsidRPr="00692EBA" w:rsidRDefault="00CE615B" w:rsidP="00E26DBC">
      <w:pPr>
        <w:pStyle w:val="SingleTxtGA"/>
        <w:rPr>
          <w:rFonts w:eastAsiaTheme="minorEastAsia"/>
          <w:szCs w:val="20"/>
          <w:lang w:val="ar-SA" w:eastAsia="zh-TW" w:bidi="en-GB"/>
        </w:rPr>
      </w:pPr>
      <w:r w:rsidRPr="00692EBA">
        <w:rPr>
          <w:rFonts w:eastAsiaTheme="minorEastAsia"/>
          <w:szCs w:val="20"/>
          <w:rtl/>
        </w:rPr>
        <w:t>2-</w:t>
      </w:r>
      <w:r w:rsidRPr="00692EBA">
        <w:rPr>
          <w:rFonts w:eastAsiaTheme="minorEastAsia"/>
          <w:rtl/>
        </w:rPr>
        <w:tab/>
        <w:t>وترى اللجنة أنه في مواجهة جائحة كوفيد-</w:t>
      </w:r>
      <w:r w:rsidRPr="00692EBA">
        <w:rPr>
          <w:rFonts w:eastAsiaTheme="minorEastAsia"/>
          <w:szCs w:val="20"/>
          <w:rtl/>
        </w:rPr>
        <w:t>19</w:t>
      </w:r>
      <w:r w:rsidRPr="00692EBA">
        <w:rPr>
          <w:rFonts w:eastAsiaTheme="minorEastAsia"/>
          <w:rtl/>
        </w:rPr>
        <w:t xml:space="preserve">، يجب على الدول الأطراف أن تتخذ تدابير فعالة لحماية الحق في الحياة والصحة لجميع الأفراد الموجودين في إقليمها ولجميع الخاضعين لولايتها القضائية، وتسلم بأن هذه التدابير قد تؤدي في ظروف معينة إلى فرض قيود على التمتع بالحقوق الفردية التي يكفلها العهد. وعلاوة على ذلك، تقر اللجنة بأن الدول الأطراف التي تواجه خطر انتشار العدوى على نطاق واسع قد تلجأ، بصفة مؤقتة، إلى ممارسة سلطات استثنائية في حالات الطوارئ وقد تحتج بحقها في عدم التقيد بالعهد بموجب المادة </w:t>
      </w:r>
      <w:r w:rsidRPr="00692EBA">
        <w:rPr>
          <w:rFonts w:eastAsiaTheme="minorEastAsia"/>
          <w:szCs w:val="20"/>
          <w:rtl/>
        </w:rPr>
        <w:t>4</w:t>
      </w:r>
      <w:r w:rsidRPr="00692EBA">
        <w:rPr>
          <w:rFonts w:eastAsiaTheme="minorEastAsia"/>
          <w:rtl/>
        </w:rPr>
        <w:t>، شريطة أن يكون ذلك ضرورياً لحماية حياة الأمة. ومع ذلك، تود اللجنة أن تذكِّر الدول الأطراف بالمتطلبات والشروط المنصوص عليها في المادة</w:t>
      </w:r>
      <w:r w:rsidR="00692EBA">
        <w:rPr>
          <w:rFonts w:eastAsiaTheme="minorEastAsia" w:hint="cs"/>
          <w:rtl/>
        </w:rPr>
        <w:t> </w:t>
      </w:r>
      <w:r w:rsidRPr="00692EBA">
        <w:rPr>
          <w:rFonts w:eastAsiaTheme="minorEastAsia"/>
          <w:szCs w:val="20"/>
          <w:rtl/>
        </w:rPr>
        <w:t>4</w:t>
      </w:r>
      <w:r w:rsidRPr="00692EBA">
        <w:rPr>
          <w:rFonts w:eastAsiaTheme="minorEastAsia"/>
          <w:rtl/>
        </w:rPr>
        <w:t xml:space="preserve"> من العهد والموضحة في التعليقات العامة للجنة، ولا سيما في التعليق العام </w:t>
      </w:r>
      <w:r w:rsidRPr="00692EBA">
        <w:rPr>
          <w:rFonts w:eastAsiaTheme="minorEastAsia"/>
          <w:szCs w:val="20"/>
          <w:rtl/>
        </w:rPr>
        <w:t>29</w:t>
      </w:r>
      <w:r w:rsidRPr="00692EBA">
        <w:rPr>
          <w:rFonts w:eastAsiaTheme="minorEastAsia"/>
          <w:rtl/>
        </w:rPr>
        <w:t xml:space="preserve"> بشأن حالات الطوارئ </w:t>
      </w:r>
      <w:r w:rsidRPr="00692EBA">
        <w:rPr>
          <w:rFonts w:eastAsiaTheme="minorEastAsia"/>
          <w:szCs w:val="20"/>
          <w:rtl/>
        </w:rPr>
        <w:t>(2001)</w:t>
      </w:r>
      <w:r w:rsidRPr="00692EBA">
        <w:rPr>
          <w:rFonts w:eastAsiaTheme="minorEastAsia"/>
          <w:rtl/>
        </w:rPr>
        <w:t>، الذي يقدم إرشادات بشأن الجوانب التالية من حالات عدم التقيد</w:t>
      </w:r>
      <w:r w:rsidRPr="00692EBA">
        <w:rPr>
          <w:rFonts w:eastAsiaTheme="minorEastAsia"/>
          <w:sz w:val="28"/>
          <w:rtl/>
        </w:rPr>
        <w:t xml:space="preserve">: </w:t>
      </w:r>
      <w:r w:rsidRPr="00692EBA">
        <w:rPr>
          <w:rFonts w:eastAsiaTheme="minorEastAsia"/>
          <w:szCs w:val="20"/>
          <w:rtl/>
        </w:rPr>
        <w:t>(1)</w:t>
      </w:r>
      <w:r w:rsidRPr="00692EBA">
        <w:rPr>
          <w:rFonts w:eastAsiaTheme="minorEastAsia"/>
          <w:rtl/>
        </w:rPr>
        <w:t xml:space="preserve"> الإعلان الرسمي عن حالة الطوارئ؛ </w:t>
      </w:r>
      <w:r w:rsidRPr="00692EBA">
        <w:rPr>
          <w:rFonts w:eastAsiaTheme="minorEastAsia"/>
          <w:szCs w:val="20"/>
          <w:rtl/>
        </w:rPr>
        <w:t>(2)</w:t>
      </w:r>
      <w:r w:rsidRPr="00692EBA">
        <w:rPr>
          <w:rFonts w:eastAsiaTheme="minorEastAsia"/>
          <w:rtl/>
        </w:rPr>
        <w:t xml:space="preserve"> توجيه إخطار رسمي إلى الأمين العام للأمم المتحدة؛ </w:t>
      </w:r>
      <w:r w:rsidRPr="00692EBA">
        <w:rPr>
          <w:rFonts w:eastAsiaTheme="minorEastAsia"/>
          <w:szCs w:val="20"/>
          <w:rtl/>
        </w:rPr>
        <w:t>(3)</w:t>
      </w:r>
      <w:r w:rsidRPr="00692EBA">
        <w:rPr>
          <w:rFonts w:eastAsiaTheme="minorEastAsia"/>
          <w:rtl/>
        </w:rPr>
        <w:t xml:space="preserve"> </w:t>
      </w:r>
      <w:r w:rsidRPr="00692EBA">
        <w:rPr>
          <w:rFonts w:eastAsiaTheme="minorEastAsia"/>
          <w:rtl/>
        </w:rPr>
        <w:lastRenderedPageBreak/>
        <w:t xml:space="preserve">الضرورة القصوى والتناسب في أي تدبير يُتخذ في إطار عدم التقيد؛ </w:t>
      </w:r>
      <w:r w:rsidRPr="00692EBA">
        <w:rPr>
          <w:rFonts w:eastAsiaTheme="minorEastAsia"/>
          <w:szCs w:val="20"/>
          <w:rtl/>
        </w:rPr>
        <w:t>(4)</w:t>
      </w:r>
      <w:r w:rsidRPr="00692EBA">
        <w:rPr>
          <w:rFonts w:eastAsiaTheme="minorEastAsia"/>
          <w:rtl/>
        </w:rPr>
        <w:t xml:space="preserve"> توافق التدابير المتخذة مع الالتزامات الدولية الأخرى؛ </w:t>
      </w:r>
      <w:r w:rsidRPr="00692EBA">
        <w:rPr>
          <w:rFonts w:eastAsiaTheme="minorEastAsia"/>
          <w:szCs w:val="20"/>
          <w:rtl/>
        </w:rPr>
        <w:t>(5)</w:t>
      </w:r>
      <w:r w:rsidRPr="00692EBA">
        <w:rPr>
          <w:rFonts w:eastAsiaTheme="minorEastAsia"/>
          <w:rtl/>
        </w:rPr>
        <w:t xml:space="preserve"> عدم التمييز؛ </w:t>
      </w:r>
      <w:r w:rsidRPr="00692EBA">
        <w:rPr>
          <w:rFonts w:eastAsiaTheme="minorEastAsia"/>
          <w:szCs w:val="20"/>
          <w:rtl/>
        </w:rPr>
        <w:t>(6)</w:t>
      </w:r>
      <w:r w:rsidRPr="00692EBA">
        <w:rPr>
          <w:rFonts w:eastAsiaTheme="minorEastAsia"/>
          <w:rtl/>
        </w:rPr>
        <w:t xml:space="preserve"> حظر عدم التقيد ببعض الحقوق غير القابلة للتقييد. وعلى وجه الخصوص، يجب على الدول الأطراف أن تراعي المتطلبات والظروف التالية عند ممارسة السلطات الاستثنائية فيما يتعلق بجائحة كوفيد-</w:t>
      </w:r>
      <w:r w:rsidRPr="00692EBA">
        <w:rPr>
          <w:rFonts w:eastAsiaTheme="minorEastAsia"/>
          <w:szCs w:val="20"/>
          <w:rtl/>
        </w:rPr>
        <w:t>19</w:t>
      </w:r>
      <w:r w:rsidRPr="00692EBA">
        <w:rPr>
          <w:rFonts w:eastAsiaTheme="minorEastAsia"/>
          <w:rtl/>
        </w:rPr>
        <w:t>:</w:t>
      </w:r>
    </w:p>
    <w:p w14:paraId="7C2B5A79" w14:textId="01A4BBDA" w:rsidR="00CE615B" w:rsidRPr="00692EBA" w:rsidRDefault="00E26DBC" w:rsidP="00D96C53">
      <w:pPr>
        <w:pStyle w:val="SingleTxtGA"/>
        <w:rPr>
          <w:rFonts w:eastAsiaTheme="minorEastAsia"/>
          <w:szCs w:val="20"/>
          <w:lang w:val="ar-SA" w:eastAsia="zh-TW" w:bidi="en-GB"/>
        </w:rPr>
      </w:pPr>
      <w:r w:rsidRPr="00692EBA">
        <w:rPr>
          <w:rFonts w:eastAsiaTheme="minorEastAsia"/>
          <w:rtl/>
        </w:rPr>
        <w:tab/>
      </w:r>
      <w:r w:rsidR="00CE615B" w:rsidRPr="00692EBA">
        <w:rPr>
          <w:rFonts w:eastAsiaTheme="minorEastAsia"/>
          <w:rtl/>
        </w:rPr>
        <w:t>(أ)</w:t>
      </w:r>
      <w:r w:rsidR="00CE615B" w:rsidRPr="00692EBA">
        <w:rPr>
          <w:rFonts w:eastAsiaTheme="minorEastAsia"/>
          <w:rtl/>
        </w:rPr>
        <w:tab/>
        <w:t xml:space="preserve">في الحالات التي تُتخذ فيها تدابير لا تتقيد بالتزامات الدول الأطراف بموجب العهد، يجب إبلاغ الدول الأطراف الأخرى فوراً، عن طريق الأمين العام للأمم المتحدة، بالأحكام غير المتقيَّد بها وبأسباب عدم التقيد. وينبغي أن تتضمن الإخطارات التي تقدمها الدول الأطراف معلومات كاملة عن التدابير المتخذة في إطار عدم التقيد وتفسيراً واضحاً لأسباب اتخاذها، مع تقديم كامل الوثائق المتعلقة بأية قوانين معتمَدة. ويلزم تقديم إخطارات إضافية إذا اتخذت الدولة الطرف فيما بعد تدابير أخرى بموجب المادة </w:t>
      </w:r>
      <w:r w:rsidR="00CE615B" w:rsidRPr="00692EBA">
        <w:rPr>
          <w:rFonts w:eastAsiaTheme="minorEastAsia"/>
          <w:szCs w:val="20"/>
          <w:rtl/>
        </w:rPr>
        <w:t>4</w:t>
      </w:r>
      <w:r w:rsidR="00CE615B" w:rsidRPr="00692EBA">
        <w:rPr>
          <w:rFonts w:eastAsiaTheme="minorEastAsia"/>
          <w:rtl/>
        </w:rPr>
        <w:t>، كأن تُمدد فترة حالة الطوارئ، على سبيل المثال. ويلزم الإخطار الفوري كذلك عند إنهاء حالة عدم التقيد. وترى اللجنة أن تنفيذ واجب الإخطار الفوري أمر أساسي للاضطلاع بمهامها، ولرصد الحالة من جانب الدول الأطراف الأخرى وغيرها من أصحاب المصلحة</w:t>
      </w:r>
      <w:r w:rsidR="00692EBA">
        <w:rPr>
          <w:rFonts w:eastAsiaTheme="minorEastAsia" w:hint="cs"/>
          <w:rtl/>
        </w:rPr>
        <w:t>؛</w:t>
      </w:r>
      <w:r w:rsidR="00CE615B" w:rsidRPr="00692EBA">
        <w:rPr>
          <w:rFonts w:eastAsiaTheme="minorEastAsia"/>
          <w:rtl/>
        </w:rPr>
        <w:t xml:space="preserve"> </w:t>
      </w:r>
    </w:p>
    <w:p w14:paraId="263ADAE8" w14:textId="0315AC5D" w:rsidR="00CE615B" w:rsidRPr="00692EBA" w:rsidRDefault="00E26DBC" w:rsidP="00D96C53">
      <w:pPr>
        <w:pStyle w:val="SingleTxtGA"/>
        <w:rPr>
          <w:rFonts w:eastAsiaTheme="minorEastAsia"/>
          <w:szCs w:val="20"/>
          <w:lang w:val="ar-SA" w:eastAsia="zh-TW" w:bidi="en-GB"/>
        </w:rPr>
      </w:pPr>
      <w:r w:rsidRPr="00692EBA">
        <w:rPr>
          <w:rFonts w:eastAsiaTheme="minorEastAsia"/>
          <w:rtl/>
        </w:rPr>
        <w:tab/>
      </w:r>
      <w:r w:rsidR="00CE615B" w:rsidRPr="00692EBA">
        <w:rPr>
          <w:rFonts w:eastAsiaTheme="minorEastAsia"/>
          <w:rtl/>
        </w:rPr>
        <w:t>(ب)</w:t>
      </w:r>
      <w:r w:rsidR="00CE615B" w:rsidRPr="00692EBA">
        <w:rPr>
          <w:rFonts w:eastAsiaTheme="minorEastAsia"/>
          <w:rtl/>
        </w:rPr>
        <w:tab/>
        <w:t>لا يمكن لتدابير عدم التقيد أن تحيد عن الالتزامات المنصوص عليها في العهد إلا بالقدر الذي تقتضيه متطلبات حالة الصحة العامة. ويجب أن يكون هدفها الرئيسي هو استعادة الحالة الطبيعية، حيث يتسنى مرة أخرى ضمان الاحترام الكامل للعهد. ويجب أن تكون حالات عدم التقيد محدودة، قدر الإمكان، في مدتها وتغطيتها الجغرافية ونطاقها المادي، ويجب أن تكون جميع التدابير المتخذة، بما في ذلك الجزاءات المفروضة بشأنها، متناسبة بطبيعتها. وحيثما أمكن، وبهدف حماية حياة الآخرين وصحتهم، ينبغي للدول الأطراف أن تستعيض عن التدابير المتخذة بشأن جائحة كوفيد-</w:t>
      </w:r>
      <w:r w:rsidR="00CE615B" w:rsidRPr="00692EBA">
        <w:rPr>
          <w:rFonts w:eastAsiaTheme="minorEastAsia"/>
          <w:szCs w:val="20"/>
          <w:rtl/>
        </w:rPr>
        <w:t>19</w:t>
      </w:r>
      <w:r w:rsidR="00CE615B" w:rsidRPr="00692EBA">
        <w:rPr>
          <w:rFonts w:eastAsiaTheme="minorEastAsia"/>
          <w:rtl/>
        </w:rPr>
        <w:t xml:space="preserve"> والتي تحظر الأنشطة ذات الصلة بالتمتع بالحقوق المنصوص عليها في العهد بتدابير أقل تقييداً تسمح بهذه الأنشطة، مع إخضاعها في الوقت ذاته لمتطلبات الصحة العامة اللازمة مثل التباعد البدني</w:t>
      </w:r>
      <w:r w:rsidR="00692EBA">
        <w:rPr>
          <w:rFonts w:eastAsiaTheme="minorEastAsia" w:hint="cs"/>
          <w:rtl/>
        </w:rPr>
        <w:t xml:space="preserve">؛ </w:t>
      </w:r>
    </w:p>
    <w:p w14:paraId="3AECAF01" w14:textId="71A9AF9E" w:rsidR="00CE615B" w:rsidRPr="00692EBA" w:rsidRDefault="00E26DBC" w:rsidP="00D96C53">
      <w:pPr>
        <w:pStyle w:val="SingleTxtGA"/>
        <w:rPr>
          <w:rFonts w:eastAsiaTheme="minorEastAsia"/>
          <w:szCs w:val="20"/>
          <w:lang w:val="ar-SA" w:eastAsia="zh-TW" w:bidi="en-GB"/>
        </w:rPr>
      </w:pPr>
      <w:r w:rsidRPr="00692EBA">
        <w:rPr>
          <w:rFonts w:eastAsiaTheme="minorEastAsia"/>
          <w:rtl/>
        </w:rPr>
        <w:tab/>
      </w:r>
      <w:r w:rsidR="00CE615B" w:rsidRPr="00692EBA">
        <w:rPr>
          <w:rFonts w:eastAsiaTheme="minorEastAsia"/>
          <w:rtl/>
        </w:rPr>
        <w:t>(ج)</w:t>
      </w:r>
      <w:r w:rsidR="00CE615B" w:rsidRPr="00692EBA">
        <w:rPr>
          <w:rFonts w:eastAsiaTheme="minorEastAsia"/>
          <w:rtl/>
        </w:rPr>
        <w:tab/>
        <w:t xml:space="preserve">لا ينبغي للدول الأطراف أن تحيد عن الحقوق المنصوص عليها في العهد أو أن تعتمد على تدبير بعدم التقيد عندما تستطيع تحقيق أهدافها المتعلقة بالصحة العامة أو غيرها من أهداف السياسة العامة من خلال الاحتجاج بإمكانية تقييد بعض الحقوق، مثل المادة </w:t>
      </w:r>
      <w:r w:rsidR="00CE615B" w:rsidRPr="00692EBA">
        <w:rPr>
          <w:rFonts w:eastAsiaTheme="minorEastAsia"/>
          <w:szCs w:val="20"/>
          <w:rtl/>
        </w:rPr>
        <w:t>12</w:t>
      </w:r>
      <w:r w:rsidR="00CE615B" w:rsidRPr="00692EBA">
        <w:rPr>
          <w:rFonts w:eastAsiaTheme="minorEastAsia"/>
          <w:sz w:val="28"/>
          <w:rtl/>
        </w:rPr>
        <w:t xml:space="preserve"> (</w:t>
      </w:r>
      <w:r w:rsidR="00CE615B" w:rsidRPr="00692EBA">
        <w:rPr>
          <w:rFonts w:eastAsiaTheme="minorEastAsia"/>
          <w:rtl/>
        </w:rPr>
        <w:t>حرية التنقل</w:t>
      </w:r>
      <w:r w:rsidR="00CE615B" w:rsidRPr="00692EBA">
        <w:rPr>
          <w:rFonts w:eastAsiaTheme="minorEastAsia"/>
          <w:sz w:val="28"/>
          <w:rtl/>
        </w:rPr>
        <w:t>)</w:t>
      </w:r>
      <w:r w:rsidR="00CE615B" w:rsidRPr="00692EBA">
        <w:rPr>
          <w:rFonts w:eastAsiaTheme="minorEastAsia"/>
          <w:rtl/>
        </w:rPr>
        <w:t xml:space="preserve">، أو المادة </w:t>
      </w:r>
      <w:r w:rsidR="00CE615B" w:rsidRPr="00692EBA">
        <w:rPr>
          <w:rFonts w:eastAsiaTheme="minorEastAsia"/>
          <w:szCs w:val="20"/>
          <w:rtl/>
        </w:rPr>
        <w:t>19</w:t>
      </w:r>
      <w:r w:rsidR="00CE615B" w:rsidRPr="00692EBA">
        <w:rPr>
          <w:rFonts w:eastAsiaTheme="minorEastAsia"/>
          <w:sz w:val="28"/>
          <w:rtl/>
        </w:rPr>
        <w:t xml:space="preserve"> </w:t>
      </w:r>
      <w:r w:rsidR="00CE615B" w:rsidRPr="00692EBA">
        <w:rPr>
          <w:rFonts w:eastAsiaTheme="minorEastAsia"/>
          <w:szCs w:val="20"/>
          <w:rtl/>
        </w:rPr>
        <w:t>(</w:t>
      </w:r>
      <w:r w:rsidR="00CE615B" w:rsidRPr="00692EBA">
        <w:rPr>
          <w:rFonts w:eastAsiaTheme="minorEastAsia"/>
          <w:rtl/>
        </w:rPr>
        <w:t>حرية التعبير</w:t>
      </w:r>
      <w:r w:rsidR="00CE615B" w:rsidRPr="00692EBA">
        <w:rPr>
          <w:rFonts w:eastAsiaTheme="minorEastAsia"/>
          <w:szCs w:val="20"/>
          <w:rtl/>
        </w:rPr>
        <w:t>)</w:t>
      </w:r>
      <w:r w:rsidR="00CE615B" w:rsidRPr="00692EBA">
        <w:rPr>
          <w:rFonts w:eastAsiaTheme="minorEastAsia"/>
          <w:rtl/>
        </w:rPr>
        <w:t xml:space="preserve">، أو المادة </w:t>
      </w:r>
      <w:r w:rsidR="00CE615B" w:rsidRPr="00692EBA">
        <w:rPr>
          <w:rFonts w:eastAsiaTheme="minorEastAsia"/>
          <w:szCs w:val="20"/>
          <w:rtl/>
        </w:rPr>
        <w:t>21</w:t>
      </w:r>
      <w:r w:rsidR="00CE615B" w:rsidRPr="00692EBA">
        <w:rPr>
          <w:rFonts w:eastAsiaTheme="minorEastAsia"/>
          <w:sz w:val="28"/>
          <w:rtl/>
        </w:rPr>
        <w:t xml:space="preserve"> (</w:t>
      </w:r>
      <w:r w:rsidR="00CE615B" w:rsidRPr="00692EBA">
        <w:rPr>
          <w:rFonts w:eastAsiaTheme="minorEastAsia"/>
          <w:rtl/>
        </w:rPr>
        <w:t>الحق في التجمع السلمي</w:t>
      </w:r>
      <w:r w:rsidR="00CE615B" w:rsidRPr="00692EBA">
        <w:rPr>
          <w:rFonts w:eastAsiaTheme="minorEastAsia"/>
          <w:sz w:val="28"/>
          <w:rtl/>
        </w:rPr>
        <w:t>)</w:t>
      </w:r>
      <w:r w:rsidR="00CE615B" w:rsidRPr="00692EBA">
        <w:rPr>
          <w:rFonts w:eastAsiaTheme="minorEastAsia"/>
          <w:rtl/>
        </w:rPr>
        <w:t xml:space="preserve">، وفقاً لأحكام هذه القيود المنصوص عليها في العهد، أو من خلال الاحتجاج بإمكانية فرض قيود معقولة على حقوق معينة، مثل المادة </w:t>
      </w:r>
      <w:r w:rsidR="00CE615B" w:rsidRPr="00692EBA">
        <w:rPr>
          <w:rFonts w:eastAsiaTheme="minorEastAsia"/>
          <w:szCs w:val="20"/>
          <w:rtl/>
        </w:rPr>
        <w:t>9</w:t>
      </w:r>
      <w:r w:rsidR="00CE615B" w:rsidRPr="00692EBA">
        <w:rPr>
          <w:rFonts w:eastAsiaTheme="minorEastAsia"/>
          <w:sz w:val="28"/>
          <w:rtl/>
        </w:rPr>
        <w:t xml:space="preserve"> (</w:t>
      </w:r>
      <w:r w:rsidR="00CE615B" w:rsidRPr="00692EBA">
        <w:rPr>
          <w:rFonts w:eastAsiaTheme="minorEastAsia"/>
          <w:rtl/>
        </w:rPr>
        <w:t>الحق في الحرية الشخصية</w:t>
      </w:r>
      <w:r w:rsidR="00CE615B" w:rsidRPr="00692EBA">
        <w:rPr>
          <w:rFonts w:eastAsiaTheme="minorEastAsia"/>
          <w:sz w:val="28"/>
          <w:rtl/>
        </w:rPr>
        <w:t>)</w:t>
      </w:r>
      <w:r w:rsidR="00CE615B" w:rsidRPr="00692EBA">
        <w:rPr>
          <w:rFonts w:eastAsiaTheme="minorEastAsia"/>
          <w:rtl/>
        </w:rPr>
        <w:t xml:space="preserve"> والمادة </w:t>
      </w:r>
      <w:r w:rsidR="00CE615B" w:rsidRPr="00692EBA">
        <w:rPr>
          <w:rFonts w:eastAsiaTheme="minorEastAsia"/>
          <w:szCs w:val="20"/>
          <w:rtl/>
        </w:rPr>
        <w:t>17</w:t>
      </w:r>
      <w:r w:rsidR="00CE615B" w:rsidRPr="00692EBA">
        <w:rPr>
          <w:rFonts w:eastAsiaTheme="minorEastAsia"/>
          <w:sz w:val="28"/>
          <w:rtl/>
        </w:rPr>
        <w:t xml:space="preserve"> (</w:t>
      </w:r>
      <w:r w:rsidR="00CE615B" w:rsidRPr="00692EBA">
        <w:rPr>
          <w:rFonts w:eastAsiaTheme="minorEastAsia"/>
          <w:rtl/>
        </w:rPr>
        <w:t>الحق في الخصوصية</w:t>
      </w:r>
      <w:r w:rsidR="00CE615B" w:rsidRPr="00692EBA">
        <w:rPr>
          <w:rFonts w:eastAsiaTheme="minorEastAsia"/>
          <w:sz w:val="28"/>
          <w:rtl/>
        </w:rPr>
        <w:t>)</w:t>
      </w:r>
      <w:r w:rsidR="00CE615B" w:rsidRPr="00692EBA">
        <w:rPr>
          <w:rFonts w:eastAsiaTheme="minorEastAsia"/>
          <w:rtl/>
        </w:rPr>
        <w:t>، وفقاً لأحكامهما</w:t>
      </w:r>
      <w:r w:rsidR="00704193">
        <w:rPr>
          <w:rFonts w:eastAsiaTheme="minorEastAsia" w:hint="cs"/>
          <w:rtl/>
        </w:rPr>
        <w:t>؛</w:t>
      </w:r>
      <w:r w:rsidR="00CE615B" w:rsidRPr="00692EBA">
        <w:rPr>
          <w:rFonts w:eastAsiaTheme="minorEastAsia"/>
          <w:rtl/>
        </w:rPr>
        <w:t xml:space="preserve"> </w:t>
      </w:r>
    </w:p>
    <w:p w14:paraId="25028019" w14:textId="419DAA3C" w:rsidR="00CE615B" w:rsidRPr="00704193" w:rsidRDefault="00E26DBC" w:rsidP="00D96C53">
      <w:pPr>
        <w:pStyle w:val="SingleTxtGA"/>
        <w:rPr>
          <w:rFonts w:eastAsiaTheme="minorEastAsia"/>
          <w:szCs w:val="20"/>
          <w:lang w:eastAsia="zh-TW" w:bidi="en-GB"/>
        </w:rPr>
      </w:pPr>
      <w:r w:rsidRPr="00692EBA">
        <w:rPr>
          <w:rFonts w:eastAsiaTheme="minorEastAsia"/>
          <w:spacing w:val="-2"/>
          <w:rtl/>
        </w:rPr>
        <w:tab/>
      </w:r>
      <w:r w:rsidR="00CE615B" w:rsidRPr="00692EBA">
        <w:rPr>
          <w:rFonts w:eastAsiaTheme="minorEastAsia"/>
          <w:spacing w:val="-2"/>
          <w:rtl/>
        </w:rPr>
        <w:t>(د)</w:t>
      </w:r>
      <w:r w:rsidR="00CE615B" w:rsidRPr="00692EBA">
        <w:rPr>
          <w:rFonts w:eastAsiaTheme="minorEastAsia"/>
          <w:spacing w:val="-2"/>
          <w:rtl/>
        </w:rPr>
        <w:tab/>
        <w:t xml:space="preserve">لا يمكن للدول الأطراف اللجوء إلى سلطات استثنائية أو تنفيذ تدابير تقييدية بطريقة تمييزية، أو منتهكة للالتزامات الأخرى التي تعهدت بها بموجب القانون الدولي، بما في ذلك المنصوص عليها في معاهدات دولية أخرى لحقوق الإنسان لا يُسمَح بأي خروج عليها. كما لا يمكن للدول الأطراف أن تحيد عن أحكام العهد التي لا يجوز تقييدها - أي المادة </w:t>
      </w:r>
      <w:r w:rsidR="00CE615B" w:rsidRPr="00692EBA">
        <w:rPr>
          <w:rFonts w:eastAsiaTheme="minorEastAsia"/>
          <w:spacing w:val="-2"/>
          <w:szCs w:val="20"/>
          <w:rtl/>
        </w:rPr>
        <w:t>6</w:t>
      </w:r>
      <w:r w:rsidR="00CE615B" w:rsidRPr="00704193">
        <w:rPr>
          <w:rFonts w:eastAsiaTheme="minorEastAsia"/>
          <w:spacing w:val="-2"/>
          <w:sz w:val="26"/>
          <w:szCs w:val="26"/>
          <w:rtl/>
        </w:rPr>
        <w:t xml:space="preserve"> </w:t>
      </w:r>
      <w:r w:rsidR="00CE615B" w:rsidRPr="00704193">
        <w:rPr>
          <w:rFonts w:eastAsiaTheme="minorEastAsia"/>
          <w:spacing w:val="-2"/>
          <w:sz w:val="28"/>
          <w:rtl/>
        </w:rPr>
        <w:t>(</w:t>
      </w:r>
      <w:r w:rsidR="00CE615B" w:rsidRPr="00692EBA">
        <w:rPr>
          <w:rFonts w:eastAsiaTheme="minorEastAsia"/>
          <w:spacing w:val="-2"/>
          <w:rtl/>
        </w:rPr>
        <w:t>الحق في الحياة</w:t>
      </w:r>
      <w:r w:rsidR="00CE615B" w:rsidRPr="00704193">
        <w:rPr>
          <w:rFonts w:eastAsiaTheme="minorEastAsia"/>
          <w:spacing w:val="-2"/>
          <w:sz w:val="28"/>
          <w:rtl/>
        </w:rPr>
        <w:t>)</w:t>
      </w:r>
      <w:r w:rsidR="00CE615B" w:rsidRPr="00692EBA">
        <w:rPr>
          <w:rFonts w:eastAsiaTheme="minorEastAsia"/>
          <w:spacing w:val="-2"/>
          <w:rtl/>
        </w:rPr>
        <w:t xml:space="preserve">، والمادة </w:t>
      </w:r>
      <w:r w:rsidR="00CE615B" w:rsidRPr="00692EBA">
        <w:rPr>
          <w:rFonts w:eastAsiaTheme="minorEastAsia"/>
          <w:spacing w:val="-2"/>
          <w:szCs w:val="20"/>
          <w:rtl/>
        </w:rPr>
        <w:t>7</w:t>
      </w:r>
      <w:r w:rsidR="00CE615B" w:rsidRPr="00692EBA">
        <w:rPr>
          <w:rFonts w:eastAsiaTheme="minorEastAsia"/>
          <w:spacing w:val="-2"/>
          <w:sz w:val="28"/>
          <w:rtl/>
        </w:rPr>
        <w:t xml:space="preserve"> (</w:t>
      </w:r>
      <w:r w:rsidR="00CE615B" w:rsidRPr="00692EBA">
        <w:rPr>
          <w:rFonts w:eastAsiaTheme="minorEastAsia"/>
          <w:rtl/>
        </w:rPr>
        <w:t xml:space="preserve">حظر التعذيب </w:t>
      </w:r>
      <w:r w:rsidR="00CE615B" w:rsidRPr="00692EBA">
        <w:rPr>
          <w:rFonts w:eastAsiaTheme="minorEastAsia"/>
          <w:rtl/>
        </w:rPr>
        <w:lastRenderedPageBreak/>
        <w:t>أو العقوبة القاسية أو اللاإنسانية أو المهينة، أو إجراء التجارب الطبية أو العلمية من دون موافقة</w:t>
      </w:r>
      <w:r w:rsidR="00CE615B" w:rsidRPr="00692EBA">
        <w:rPr>
          <w:rFonts w:eastAsiaTheme="minorEastAsia"/>
          <w:szCs w:val="20"/>
          <w:rtl/>
        </w:rPr>
        <w:t>)</w:t>
      </w:r>
      <w:r w:rsidR="00CE615B" w:rsidRPr="00692EBA">
        <w:rPr>
          <w:rFonts w:eastAsiaTheme="minorEastAsia"/>
          <w:rtl/>
        </w:rPr>
        <w:t xml:space="preserve">، والفقرتين </w:t>
      </w:r>
      <w:r w:rsidR="00CE615B" w:rsidRPr="00692EBA">
        <w:rPr>
          <w:rFonts w:eastAsiaTheme="minorEastAsia"/>
          <w:szCs w:val="20"/>
          <w:rtl/>
        </w:rPr>
        <w:t>1</w:t>
      </w:r>
      <w:r w:rsidR="00CE615B" w:rsidRPr="00692EBA">
        <w:rPr>
          <w:rFonts w:eastAsiaTheme="minorEastAsia"/>
          <w:rtl/>
        </w:rPr>
        <w:t xml:space="preserve"> و</w:t>
      </w:r>
      <w:r w:rsidR="00CE615B" w:rsidRPr="00692EBA">
        <w:rPr>
          <w:rFonts w:eastAsiaTheme="minorEastAsia"/>
          <w:szCs w:val="20"/>
          <w:rtl/>
        </w:rPr>
        <w:t>2</w:t>
      </w:r>
      <w:r w:rsidR="00CE615B" w:rsidRPr="00692EBA">
        <w:rPr>
          <w:rFonts w:eastAsiaTheme="minorEastAsia"/>
          <w:rtl/>
        </w:rPr>
        <w:t xml:space="preserve"> من المادة </w:t>
      </w:r>
      <w:r w:rsidR="00CE615B" w:rsidRPr="00692EBA">
        <w:rPr>
          <w:rFonts w:eastAsiaTheme="minorEastAsia"/>
          <w:szCs w:val="20"/>
          <w:rtl/>
        </w:rPr>
        <w:t>8</w:t>
      </w:r>
      <w:r w:rsidR="00CE615B" w:rsidRPr="00692EBA">
        <w:rPr>
          <w:rFonts w:eastAsiaTheme="minorEastAsia"/>
          <w:sz w:val="28"/>
          <w:rtl/>
        </w:rPr>
        <w:t xml:space="preserve"> (</w:t>
      </w:r>
      <w:r w:rsidR="00CE615B" w:rsidRPr="00692EBA">
        <w:rPr>
          <w:rFonts w:eastAsiaTheme="minorEastAsia"/>
          <w:rtl/>
        </w:rPr>
        <w:t>حظر الرق وتجارة الرقيق والعبودية</w:t>
      </w:r>
      <w:r w:rsidR="00CE615B" w:rsidRPr="00692EBA">
        <w:rPr>
          <w:rFonts w:eastAsiaTheme="minorEastAsia"/>
          <w:sz w:val="28"/>
          <w:rtl/>
        </w:rPr>
        <w:t>)</w:t>
      </w:r>
      <w:r w:rsidR="00CE615B" w:rsidRPr="00692EBA">
        <w:rPr>
          <w:rFonts w:eastAsiaTheme="minorEastAsia"/>
          <w:rtl/>
        </w:rPr>
        <w:t xml:space="preserve">، والمادة </w:t>
      </w:r>
      <w:r w:rsidR="00CE615B" w:rsidRPr="00692EBA">
        <w:rPr>
          <w:rFonts w:eastAsiaTheme="minorEastAsia"/>
          <w:szCs w:val="20"/>
          <w:rtl/>
        </w:rPr>
        <w:t>11</w:t>
      </w:r>
      <w:r w:rsidR="00CE615B" w:rsidRPr="00692EBA">
        <w:rPr>
          <w:rFonts w:eastAsiaTheme="minorEastAsia"/>
          <w:sz w:val="28"/>
          <w:rtl/>
        </w:rPr>
        <w:t xml:space="preserve"> (</w:t>
      </w:r>
      <w:r w:rsidR="00CE615B" w:rsidRPr="00692EBA">
        <w:rPr>
          <w:rFonts w:eastAsiaTheme="minorEastAsia"/>
          <w:rtl/>
        </w:rPr>
        <w:t>حظر السجن لعدم القدرة على الوفاء بالتزام تعاقدي</w:t>
      </w:r>
      <w:r w:rsidR="00CE615B" w:rsidRPr="00692EBA">
        <w:rPr>
          <w:rFonts w:eastAsiaTheme="minorEastAsia"/>
          <w:sz w:val="28"/>
          <w:rtl/>
        </w:rPr>
        <w:t>)</w:t>
      </w:r>
      <w:r w:rsidR="00CE615B" w:rsidRPr="00692EBA">
        <w:rPr>
          <w:rFonts w:eastAsiaTheme="minorEastAsia"/>
          <w:rtl/>
        </w:rPr>
        <w:t xml:space="preserve">، والمادة </w:t>
      </w:r>
      <w:r w:rsidR="00CE615B" w:rsidRPr="00692EBA">
        <w:rPr>
          <w:rFonts w:eastAsiaTheme="minorEastAsia"/>
          <w:szCs w:val="20"/>
          <w:rtl/>
        </w:rPr>
        <w:t>15</w:t>
      </w:r>
      <w:r w:rsidR="00CE615B" w:rsidRPr="00692EBA">
        <w:rPr>
          <w:rFonts w:eastAsiaTheme="minorEastAsia"/>
          <w:sz w:val="28"/>
          <w:rtl/>
        </w:rPr>
        <w:t xml:space="preserve"> (</w:t>
      </w:r>
      <w:r w:rsidR="00CE615B" w:rsidRPr="00692EBA">
        <w:rPr>
          <w:rFonts w:eastAsiaTheme="minorEastAsia"/>
          <w:rtl/>
        </w:rPr>
        <w:t>مبدأ الشرعية في مجال القانون الجنائي</w:t>
      </w:r>
      <w:r w:rsidR="00CE615B" w:rsidRPr="00692EBA">
        <w:rPr>
          <w:rFonts w:eastAsiaTheme="minorEastAsia"/>
          <w:sz w:val="28"/>
          <w:rtl/>
        </w:rPr>
        <w:t>)</w:t>
      </w:r>
      <w:r w:rsidR="00CE615B" w:rsidRPr="00692EBA">
        <w:rPr>
          <w:rFonts w:eastAsiaTheme="minorEastAsia"/>
          <w:rtl/>
        </w:rPr>
        <w:t xml:space="preserve">، والمادة </w:t>
      </w:r>
      <w:r w:rsidR="00CE615B" w:rsidRPr="00692EBA">
        <w:rPr>
          <w:rFonts w:eastAsiaTheme="minorEastAsia"/>
          <w:szCs w:val="20"/>
          <w:rtl/>
        </w:rPr>
        <w:t>16</w:t>
      </w:r>
      <w:r w:rsidR="00CE615B" w:rsidRPr="00692EBA">
        <w:rPr>
          <w:rFonts w:eastAsiaTheme="minorEastAsia"/>
          <w:sz w:val="28"/>
          <w:rtl/>
        </w:rPr>
        <w:t xml:space="preserve"> (</w:t>
      </w:r>
      <w:r w:rsidR="00CE615B" w:rsidRPr="00692EBA">
        <w:rPr>
          <w:rFonts w:eastAsiaTheme="minorEastAsia"/>
          <w:rtl/>
        </w:rPr>
        <w:t>الاعتراف لكل فرد بالشخصية القانونية</w:t>
      </w:r>
      <w:r w:rsidR="00CE615B" w:rsidRPr="00692EBA">
        <w:rPr>
          <w:rFonts w:eastAsiaTheme="minorEastAsia"/>
          <w:sz w:val="28"/>
          <w:rtl/>
        </w:rPr>
        <w:t>)</w:t>
      </w:r>
      <w:r w:rsidR="00CE615B" w:rsidRPr="00692EBA">
        <w:rPr>
          <w:rFonts w:eastAsiaTheme="minorEastAsia"/>
          <w:rtl/>
        </w:rPr>
        <w:t xml:space="preserve">، والمادة </w:t>
      </w:r>
      <w:r w:rsidR="00CE615B" w:rsidRPr="00692EBA">
        <w:rPr>
          <w:rFonts w:eastAsiaTheme="minorEastAsia"/>
          <w:szCs w:val="20"/>
          <w:rtl/>
        </w:rPr>
        <w:t>18</w:t>
      </w:r>
      <w:r w:rsidR="00CE615B" w:rsidRPr="00692EBA">
        <w:rPr>
          <w:rFonts w:eastAsiaTheme="minorEastAsia"/>
          <w:sz w:val="28"/>
          <w:rtl/>
        </w:rPr>
        <w:t xml:space="preserve"> (</w:t>
      </w:r>
      <w:r w:rsidR="00CE615B" w:rsidRPr="00692EBA">
        <w:rPr>
          <w:rFonts w:eastAsiaTheme="minorEastAsia"/>
          <w:rtl/>
        </w:rPr>
        <w:t>حرية الفكر والوجدان والدين</w:t>
      </w:r>
      <w:r w:rsidR="00CE615B" w:rsidRPr="00692EBA">
        <w:rPr>
          <w:rFonts w:eastAsiaTheme="minorEastAsia"/>
          <w:sz w:val="28"/>
          <w:rtl/>
        </w:rPr>
        <w:t>)</w:t>
      </w:r>
      <w:r w:rsidR="00CE615B" w:rsidRPr="00692EBA">
        <w:rPr>
          <w:rFonts w:eastAsiaTheme="minorEastAsia"/>
          <w:rtl/>
        </w:rPr>
        <w:t xml:space="preserve"> - أو</w:t>
      </w:r>
      <w:r w:rsidR="00692EBA">
        <w:rPr>
          <w:rFonts w:eastAsiaTheme="minorEastAsia" w:hint="cs"/>
          <w:rtl/>
        </w:rPr>
        <w:t> </w:t>
      </w:r>
      <w:r w:rsidR="00CE615B" w:rsidRPr="00692EBA">
        <w:rPr>
          <w:rFonts w:eastAsiaTheme="minorEastAsia"/>
          <w:rtl/>
        </w:rPr>
        <w:t>عن الحقوق الأخرى الضرورية لإعمال الحقوق غير القابلة للتقييد الواردة في الأحكام المذكورة أعلاه ولضمان احترام سيادة القانون ومبدأ الشرعية حتى في أوقات الطوارئ العامة، بما في ذلك الحق في اللجوء إلى المحكمة، وضمانات المحاكمة وفق الأصول القانونية، وحق الضحايا في الحصول على سبيل انتصاف فعال</w:t>
      </w:r>
      <w:r w:rsidR="00704193">
        <w:rPr>
          <w:rFonts w:eastAsiaTheme="minorEastAsia" w:hint="cs"/>
          <w:rtl/>
        </w:rPr>
        <w:t>؛</w:t>
      </w:r>
    </w:p>
    <w:p w14:paraId="6BF9048A" w14:textId="7D8D0DDB" w:rsidR="00CE615B" w:rsidRPr="00692EBA" w:rsidRDefault="00E26DBC" w:rsidP="00D96C53">
      <w:pPr>
        <w:pStyle w:val="SingleTxtGA"/>
        <w:rPr>
          <w:rFonts w:eastAsiaTheme="minorEastAsia"/>
          <w:color w:val="000000"/>
          <w:spacing w:val="-2"/>
          <w:szCs w:val="20"/>
          <w:shd w:val="clear" w:color="auto" w:fill="FFFFFF"/>
          <w:rtl/>
          <w:lang w:eastAsia="zh-TW" w:bidi="en-GB"/>
        </w:rPr>
      </w:pPr>
      <w:r w:rsidRPr="00692EBA">
        <w:rPr>
          <w:rFonts w:eastAsiaTheme="minorEastAsia"/>
          <w:rtl/>
        </w:rPr>
        <w:tab/>
      </w:r>
      <w:r w:rsidR="00CE615B" w:rsidRPr="00692EBA">
        <w:rPr>
          <w:rFonts w:eastAsiaTheme="minorEastAsia"/>
          <w:rtl/>
        </w:rPr>
        <w:t>(هـ)</w:t>
      </w:r>
      <w:r w:rsidR="00CE615B" w:rsidRPr="00692EBA">
        <w:rPr>
          <w:rFonts w:eastAsiaTheme="minorEastAsia"/>
          <w:rtl/>
        </w:rPr>
        <w:tab/>
      </w:r>
      <w:r w:rsidR="00CE615B" w:rsidRPr="00692EBA">
        <w:rPr>
          <w:rFonts w:eastAsiaTheme="minorEastAsia"/>
          <w:spacing w:val="-2"/>
          <w:rtl/>
        </w:rPr>
        <w:t>بالإضافة إلى ذلك، لا يمكن للدول الأطراف أن تحيد عن واجبها في معاملة جميع الأشخاص، بمن فيهم الأشخاص المحرومون من حريتهم، معاملة إنسانية واحترام كرامتهم الإنسانية، ويجب عليها أن تولي اهتماماً خاصاً لمدى ملاءمة الظروف الصحية والخدمات الصحية في أماكن السجن، وكذلك لحقوق الأفراد الموجودين في حالات حَجْر، ولتفاقم خطر العنف العائلي الناشئ في هذه الحالات. كما لا يمكن للدول الأطراف أن تتسامح، حتى في حالات الطوارئ، مع الدعوة إلى الكراهية القومية أو العنصرية أو الدينية التي من شأنها أن تشكل تحريضاً على التمييز أو العداوة أو</w:t>
      </w:r>
      <w:r w:rsidR="00692EBA" w:rsidRPr="00692EBA">
        <w:rPr>
          <w:rFonts w:eastAsiaTheme="minorEastAsia" w:hint="cs"/>
          <w:spacing w:val="-2"/>
          <w:rtl/>
        </w:rPr>
        <w:t> </w:t>
      </w:r>
      <w:r w:rsidR="00CE615B" w:rsidRPr="00692EBA">
        <w:rPr>
          <w:rFonts w:eastAsiaTheme="minorEastAsia"/>
          <w:spacing w:val="-2"/>
          <w:rtl/>
        </w:rPr>
        <w:t>العنف، ويجب عليها أن تتخذ خطوات تحرص على ألا يشكل الخطاب العام المرتبط بجائحة كوفيد-</w:t>
      </w:r>
      <w:r w:rsidR="00CE615B" w:rsidRPr="00692EBA">
        <w:rPr>
          <w:rFonts w:eastAsiaTheme="minorEastAsia"/>
          <w:spacing w:val="-2"/>
          <w:szCs w:val="20"/>
          <w:rtl/>
        </w:rPr>
        <w:t>19</w:t>
      </w:r>
      <w:r w:rsidR="00CE615B" w:rsidRPr="00692EBA">
        <w:rPr>
          <w:rFonts w:eastAsiaTheme="minorEastAsia"/>
          <w:spacing w:val="-2"/>
          <w:rtl/>
        </w:rPr>
        <w:t xml:space="preserve"> دعوةً وتحريضاً ضد فئات محددة مهمشة أو ضعيفة، بما في ذلك الأقليات والرعايا الأجانب</w:t>
      </w:r>
      <w:r w:rsidR="00692EBA">
        <w:rPr>
          <w:rFonts w:eastAsiaTheme="minorEastAsia" w:hint="cs"/>
          <w:spacing w:val="-2"/>
          <w:rtl/>
        </w:rPr>
        <w:t>؛</w:t>
      </w:r>
    </w:p>
    <w:p w14:paraId="4B300A95" w14:textId="3166B58A" w:rsidR="00CE615B" w:rsidRPr="00692EBA" w:rsidRDefault="00E26DBC" w:rsidP="00D96C53">
      <w:pPr>
        <w:pStyle w:val="SingleTxtGA"/>
        <w:rPr>
          <w:rFonts w:eastAsiaTheme="minorEastAsia"/>
          <w:szCs w:val="20"/>
          <w:lang w:val="ar-SA" w:eastAsia="zh-TW" w:bidi="en-GB"/>
        </w:rPr>
      </w:pPr>
      <w:r w:rsidRPr="00692EBA">
        <w:rPr>
          <w:rFonts w:eastAsiaTheme="minorEastAsia"/>
          <w:rtl/>
        </w:rPr>
        <w:tab/>
      </w:r>
      <w:r w:rsidR="00CE615B" w:rsidRPr="00692EBA">
        <w:rPr>
          <w:rFonts w:eastAsiaTheme="minorEastAsia"/>
          <w:rtl/>
        </w:rPr>
        <w:t>(و)</w:t>
      </w:r>
      <w:r w:rsidR="00CE615B" w:rsidRPr="00692EBA">
        <w:rPr>
          <w:rFonts w:eastAsiaTheme="minorEastAsia"/>
          <w:rtl/>
        </w:rPr>
        <w:tab/>
        <w:t>تشكل حرية التعبير، وإمكانية الوصول إلى المعلومات، وإمكانية وجود فضاء مدني يتسنى فيه إجراء مناقشة عامة ضمانات هامة تكفل امتثال الالتزامات المنصوص عليها في العهد من جانب الدول الأطراف التي تلجأ إلى ممارسة السلطات الاستثنائية فيما يتعلق بجائحة كوفيد-</w:t>
      </w:r>
      <w:r w:rsidR="00CE615B" w:rsidRPr="00692EBA">
        <w:rPr>
          <w:rFonts w:eastAsiaTheme="minorEastAsia"/>
          <w:szCs w:val="20"/>
          <w:rtl/>
        </w:rPr>
        <w:t>19</w:t>
      </w:r>
      <w:r w:rsidR="00692EBA" w:rsidRPr="00692EBA">
        <w:rPr>
          <w:rFonts w:eastAsiaTheme="minorEastAsia" w:hint="cs"/>
          <w:sz w:val="28"/>
          <w:rtl/>
        </w:rPr>
        <w:t>.</w:t>
      </w:r>
    </w:p>
    <w:p w14:paraId="0A680BDE" w14:textId="31BDFFBB" w:rsidR="00CE615B" w:rsidRPr="00E26DBC" w:rsidRDefault="00E26DBC" w:rsidP="00E26DBC">
      <w:pPr>
        <w:spacing w:before="120"/>
        <w:jc w:val="center"/>
        <w:rPr>
          <w:u w:val="single"/>
          <w:rtl/>
        </w:rPr>
      </w:pPr>
      <w:r>
        <w:rPr>
          <w:u w:val="single"/>
          <w:rtl/>
        </w:rPr>
        <w:tab/>
      </w:r>
      <w:r>
        <w:rPr>
          <w:u w:val="single"/>
          <w:rtl/>
        </w:rPr>
        <w:tab/>
      </w:r>
      <w:r>
        <w:rPr>
          <w:u w:val="single"/>
          <w:rtl/>
        </w:rPr>
        <w:tab/>
      </w:r>
    </w:p>
    <w:sectPr w:rsidR="00CE615B" w:rsidRPr="00E26DBC" w:rsidSect="0069140F">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8" w:right="1134" w:bottom="1134" w:left="1134" w:header="851" w:footer="567"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8ABB8" w14:textId="77777777" w:rsidR="007837A3" w:rsidRPr="002901D9" w:rsidRDefault="007837A3" w:rsidP="002901D9">
      <w:pPr>
        <w:spacing w:after="60" w:line="240" w:lineRule="auto"/>
        <w:rPr>
          <w:i/>
          <w:iCs/>
        </w:rPr>
      </w:pPr>
      <w:r>
        <w:rPr>
          <w:rFonts w:hint="cs"/>
          <w:i/>
          <w:iCs/>
          <w:rtl/>
        </w:rPr>
        <w:t>الحواشي</w:t>
      </w:r>
    </w:p>
  </w:endnote>
  <w:endnote w:type="continuationSeparator" w:id="0">
    <w:p w14:paraId="1FB12AC8" w14:textId="77777777" w:rsidR="007837A3" w:rsidRDefault="007837A3" w:rsidP="006563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charset w:val="00"/>
    <w:family w:val="roman"/>
    <w:pitch w:val="variable"/>
    <w:sig w:usb0="00000000"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B7315" w14:textId="396A7405" w:rsidR="0069140F" w:rsidRPr="00374D76" w:rsidRDefault="00374D76" w:rsidP="00374D76">
    <w:pPr>
      <w:pStyle w:val="Footer"/>
      <w:tabs>
        <w:tab w:val="right" w:pos="9598"/>
      </w:tabs>
      <w:rPr>
        <w:sz w:val="17"/>
      </w:rPr>
    </w:pPr>
    <w:r>
      <w:rPr>
        <w:sz w:val="17"/>
      </w:rPr>
      <w:t>GE.20-06220</w:t>
    </w:r>
    <w:r>
      <w:rPr>
        <w:sz w:val="17"/>
      </w:rPr>
      <w:tab/>
    </w:r>
    <w:r w:rsidRPr="00374D76">
      <w:rPr>
        <w:b/>
        <w:sz w:val="18"/>
      </w:rPr>
      <w:fldChar w:fldCharType="begin"/>
    </w:r>
    <w:r w:rsidRPr="00374D76">
      <w:rPr>
        <w:b/>
        <w:sz w:val="18"/>
      </w:rPr>
      <w:instrText xml:space="preserve"> PAGE  \* MERGEFORMAT </w:instrText>
    </w:r>
    <w:r w:rsidRPr="00374D76">
      <w:rPr>
        <w:b/>
        <w:sz w:val="18"/>
      </w:rPr>
      <w:fldChar w:fldCharType="separate"/>
    </w:r>
    <w:r w:rsidR="00E93DEA">
      <w:rPr>
        <w:b/>
        <w:noProof/>
        <w:sz w:val="18"/>
      </w:rPr>
      <w:t>2</w:t>
    </w:r>
    <w:r w:rsidRPr="00374D76">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A99FE" w14:textId="2C16E6EE" w:rsidR="006959B0" w:rsidRPr="00374D76" w:rsidRDefault="00374D76" w:rsidP="006959B0">
    <w:pPr>
      <w:pStyle w:val="Footer"/>
      <w:tabs>
        <w:tab w:val="right" w:pos="9599"/>
      </w:tabs>
      <w:jc w:val="left"/>
      <w:rPr>
        <w:b/>
        <w:sz w:val="18"/>
        <w:lang w:val="en-US"/>
      </w:rPr>
    </w:pPr>
    <w:r w:rsidRPr="00374D76">
      <w:rPr>
        <w:b/>
        <w:sz w:val="18"/>
        <w:lang w:val="en-US"/>
      </w:rPr>
      <w:fldChar w:fldCharType="begin"/>
    </w:r>
    <w:r w:rsidRPr="00374D76">
      <w:rPr>
        <w:b/>
        <w:sz w:val="18"/>
        <w:lang w:val="en-US"/>
      </w:rPr>
      <w:instrText xml:space="preserve"> PAGE  \* MERGEFORMAT </w:instrText>
    </w:r>
    <w:r w:rsidRPr="00374D76">
      <w:rPr>
        <w:b/>
        <w:sz w:val="18"/>
        <w:lang w:val="en-US"/>
      </w:rPr>
      <w:fldChar w:fldCharType="separate"/>
    </w:r>
    <w:r w:rsidR="00E93DEA">
      <w:rPr>
        <w:b/>
        <w:noProof/>
        <w:sz w:val="18"/>
        <w:lang w:val="en-US"/>
      </w:rPr>
      <w:t>3</w:t>
    </w:r>
    <w:r w:rsidRPr="00374D76">
      <w:rPr>
        <w:b/>
        <w:sz w:val="18"/>
        <w:lang w:val="en-US"/>
      </w:rPr>
      <w:fldChar w:fldCharType="end"/>
    </w:r>
    <w:r>
      <w:rPr>
        <w:b/>
        <w:sz w:val="18"/>
        <w:lang w:val="en-US"/>
      </w:rPr>
      <w:tab/>
    </w:r>
    <w:r>
      <w:rPr>
        <w:sz w:val="17"/>
        <w:lang w:val="en-US"/>
      </w:rPr>
      <w:t>GE.20-06220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4E99A" w14:textId="4CD14BE5" w:rsidR="00DE50B1" w:rsidRDefault="0069140F" w:rsidP="00982139">
    <w:pPr>
      <w:pStyle w:val="Footer"/>
      <w:spacing w:before="360"/>
      <w:jc w:val="right"/>
      <w:rPr>
        <w:sz w:val="20"/>
        <w:szCs w:val="20"/>
      </w:rPr>
    </w:pPr>
    <w:r>
      <w:rPr>
        <w:sz w:val="20"/>
        <w:szCs w:val="20"/>
      </w:rPr>
      <w:t>GE.20-06220</w:t>
    </w:r>
    <w:r w:rsidR="0033357F">
      <w:rPr>
        <w:noProof/>
        <w:lang w:eastAsia="en-GB"/>
      </w:rPr>
      <w:drawing>
        <wp:anchor distT="0" distB="0" distL="114300" distR="114300" simplePos="0" relativeHeight="251657728" behindDoc="1" locked="1" layoutInCell="0" allowOverlap="1" wp14:anchorId="776EE18B" wp14:editId="4FDC2DAE">
          <wp:simplePos x="0" y="0"/>
          <wp:positionH relativeFrom="margin">
            <wp:posOffset>706755</wp:posOffset>
          </wp:positionH>
          <wp:positionV relativeFrom="page">
            <wp:posOffset>9901555</wp:posOffset>
          </wp:positionV>
          <wp:extent cx="1162685" cy="323850"/>
          <wp:effectExtent l="0" t="0" r="0" b="0"/>
          <wp:wrapTight wrapText="bothSides">
            <wp:wrapPolygon edited="0">
              <wp:start x="0" y="0"/>
              <wp:lineTo x="0" y="20329"/>
              <wp:lineTo x="21234" y="20329"/>
              <wp:lineTo x="21234" y="0"/>
              <wp:lineTo x="0" y="0"/>
            </wp:wrapPolygon>
          </wp:wrapTight>
          <wp:docPr id="1" name="Picture 2" descr="PleaseRecycleArab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easeRecycleArabic"/>
                  <pic:cNvPicPr>
                    <a:picLocks noChangeAspect="1" noChangeArrowheads="1"/>
                  </pic:cNvPicPr>
                </pic:nvPicPr>
                <pic:blipFill>
                  <a:blip r:embed="rId1">
                    <a:extLst>
                      <a:ext uri="{28A0092B-C50C-407E-A947-70E740481C1C}">
                        <a14:useLocalDpi xmlns:a14="http://schemas.microsoft.com/office/drawing/2010/main" val="0"/>
                      </a:ext>
                    </a:extLst>
                  </a:blip>
                  <a:srcRect t="4565" b="4565"/>
                  <a:stretch>
                    <a:fillRect/>
                  </a:stretch>
                </pic:blipFill>
                <pic:spPr bwMode="auto">
                  <a:xfrm>
                    <a:off x="0" y="0"/>
                    <a:ext cx="1162685" cy="323850"/>
                  </a:xfrm>
                  <a:prstGeom prst="rect">
                    <a:avLst/>
                  </a:prstGeom>
                  <a:noFill/>
                </pic:spPr>
              </pic:pic>
            </a:graphicData>
          </a:graphic>
          <wp14:sizeRelH relativeFrom="page">
            <wp14:pctWidth>0</wp14:pctWidth>
          </wp14:sizeRelH>
          <wp14:sizeRelV relativeFrom="page">
            <wp14:pctHeight>0</wp14:pctHeight>
          </wp14:sizeRelV>
        </wp:anchor>
      </w:drawing>
    </w:r>
    <w:r w:rsidR="00DE50B1" w:rsidRPr="007A0286">
      <w:rPr>
        <w:sz w:val="20"/>
        <w:szCs w:val="20"/>
      </w:rPr>
      <w:t>(A)</w:t>
    </w:r>
  </w:p>
  <w:p w14:paraId="0A1298B5" w14:textId="26854D40" w:rsidR="0069140F" w:rsidRPr="0069140F" w:rsidRDefault="0069140F" w:rsidP="0069140F">
    <w:pPr>
      <w:pStyle w:val="Footer"/>
      <w:jc w:val="right"/>
      <w:rPr>
        <w:rFonts w:ascii="C39T30Lfz" w:hAnsi="C39T30Lfz"/>
        <w:sz w:val="56"/>
        <w:szCs w:val="20"/>
        <w:lang w:val="en-US"/>
      </w:rPr>
    </w:pPr>
    <w:r>
      <w:rPr>
        <w:rFonts w:ascii="C39T30Lfz" w:hAnsi="C39T30Lfz"/>
        <w:sz w:val="56"/>
        <w:szCs w:val="20"/>
      </w:rPr>
      <w:t></w:t>
    </w:r>
    <w:r>
      <w:rPr>
        <w:rFonts w:ascii="C39T30Lfz" w:hAnsi="C39T30Lfz"/>
        <w:sz w:val="56"/>
        <w:szCs w:val="20"/>
      </w:rPr>
      <w:t></w:t>
    </w:r>
    <w:r>
      <w:rPr>
        <w:rFonts w:ascii="C39T30Lfz" w:hAnsi="C39T30Lfz"/>
        <w:sz w:val="56"/>
        <w:szCs w:val="20"/>
      </w:rPr>
      <w:t></w:t>
    </w:r>
    <w:r>
      <w:rPr>
        <w:rFonts w:ascii="C39T30Lfz" w:hAnsi="C39T30Lfz"/>
        <w:sz w:val="56"/>
        <w:szCs w:val="20"/>
      </w:rPr>
      <w:t></w:t>
    </w:r>
    <w:r>
      <w:rPr>
        <w:rFonts w:ascii="C39T30Lfz" w:hAnsi="C39T30Lfz"/>
        <w:sz w:val="56"/>
        <w:szCs w:val="20"/>
      </w:rPr>
      <w:t></w:t>
    </w:r>
    <w:r>
      <w:rPr>
        <w:rFonts w:ascii="C39T30Lfz" w:hAnsi="C39T30Lfz"/>
        <w:sz w:val="56"/>
        <w:szCs w:val="20"/>
      </w:rPr>
      <w:t></w:t>
    </w:r>
    <w:r>
      <w:rPr>
        <w:rFonts w:ascii="C39T30Lfz" w:hAnsi="C39T30Lfz"/>
        <w:sz w:val="56"/>
        <w:szCs w:val="20"/>
      </w:rPr>
      <w:t></w:t>
    </w:r>
    <w:r>
      <w:rPr>
        <w:rFonts w:ascii="C39T30Lfz" w:hAnsi="C39T30Lfz"/>
        <w:sz w:val="56"/>
        <w:szCs w:val="20"/>
      </w:rPr>
      <w:t></w:t>
    </w:r>
    <w:r>
      <w:rPr>
        <w:rFonts w:ascii="C39T30Lfz" w:hAnsi="C39T30Lfz"/>
        <w:sz w:val="56"/>
        <w:szCs w:val="20"/>
      </w:rPr>
      <w:t></w:t>
    </w:r>
    <w:r w:rsidR="0033357F">
      <w:rPr>
        <w:noProof/>
        <w:lang w:eastAsia="en-GB"/>
      </w:rPr>
      <w:drawing>
        <wp:anchor distT="0" distB="0" distL="114300" distR="114300" simplePos="0" relativeHeight="251659776" behindDoc="0" locked="0" layoutInCell="1" allowOverlap="1" wp14:anchorId="73CF7A05" wp14:editId="39810ABA">
          <wp:simplePos x="0" y="0"/>
          <wp:positionH relativeFrom="page">
            <wp:posOffset>719455</wp:posOffset>
          </wp:positionH>
          <wp:positionV relativeFrom="page">
            <wp:posOffset>9611995</wp:posOffset>
          </wp:positionV>
          <wp:extent cx="560705" cy="560705"/>
          <wp:effectExtent l="0" t="0" r="0" b="0"/>
          <wp:wrapNone/>
          <wp:docPr id="2" name="Picture 2" descr="2&amp;Size=2&amp;Lan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amp;Size=2&amp;Lang=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0705" cy="5607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EE33E" w14:textId="77777777" w:rsidR="007837A3" w:rsidRDefault="007837A3" w:rsidP="000437B8">
      <w:pPr>
        <w:pStyle w:val="Footer"/>
        <w:bidi/>
        <w:spacing w:after="80" w:line="200" w:lineRule="exact"/>
        <w:ind w:left="680"/>
      </w:pPr>
      <w:r>
        <w:rPr>
          <w:rtl/>
        </w:rPr>
        <w:t>__________</w:t>
      </w:r>
    </w:p>
  </w:footnote>
  <w:footnote w:type="continuationSeparator" w:id="0">
    <w:p w14:paraId="3F9B9D37" w14:textId="77777777" w:rsidR="007837A3" w:rsidRDefault="007837A3" w:rsidP="00656392">
      <w:pPr>
        <w:spacing w:line="240" w:lineRule="auto"/>
      </w:pPr>
      <w:r>
        <w:continuationSeparator/>
      </w:r>
    </w:p>
  </w:footnote>
  <w:footnote w:id="1">
    <w:p w14:paraId="61C96DA2" w14:textId="3E89F466" w:rsidR="00E26DBC" w:rsidRPr="00692EBA" w:rsidRDefault="00E26DBC" w:rsidP="00E26DBC">
      <w:pPr>
        <w:pStyle w:val="FootnoteText1"/>
        <w:rPr>
          <w:rFonts w:eastAsiaTheme="minorEastAsia"/>
          <w:sz w:val="16"/>
          <w:szCs w:val="24"/>
        </w:rPr>
      </w:pPr>
      <w:r>
        <w:rPr>
          <w:rtl/>
        </w:rPr>
        <w:t>*</w:t>
      </w:r>
      <w:r>
        <w:rPr>
          <w:rtl/>
        </w:rPr>
        <w:tab/>
      </w:r>
      <w:r w:rsidRPr="00692EBA">
        <w:rPr>
          <w:rFonts w:eastAsiaTheme="minorEastAsia"/>
          <w:sz w:val="16"/>
          <w:szCs w:val="24"/>
          <w:rtl/>
        </w:rPr>
        <w:t xml:space="preserve">اعتمدته اللجنة في </w:t>
      </w:r>
      <w:r w:rsidRPr="00692EBA">
        <w:rPr>
          <w:rFonts w:eastAsiaTheme="minorEastAsia"/>
          <w:szCs w:val="18"/>
          <w:rtl/>
        </w:rPr>
        <w:t>24</w:t>
      </w:r>
      <w:r w:rsidRPr="00692EBA">
        <w:rPr>
          <w:rFonts w:eastAsiaTheme="minorEastAsia"/>
          <w:sz w:val="14"/>
          <w:szCs w:val="22"/>
          <w:rtl/>
        </w:rPr>
        <w:t xml:space="preserve"> </w:t>
      </w:r>
      <w:r w:rsidRPr="00692EBA">
        <w:rPr>
          <w:rFonts w:eastAsiaTheme="minorEastAsia"/>
          <w:sz w:val="16"/>
          <w:szCs w:val="24"/>
          <w:rtl/>
        </w:rPr>
        <w:t xml:space="preserve">نيسان/أبريل </w:t>
      </w:r>
      <w:r w:rsidRPr="00692EBA">
        <w:rPr>
          <w:rFonts w:eastAsiaTheme="minorEastAsia"/>
          <w:szCs w:val="18"/>
          <w:rtl/>
        </w:rPr>
        <w:t>2020</w:t>
      </w:r>
      <w:r w:rsidRPr="00692EBA">
        <w:rPr>
          <w:rFonts w:eastAsiaTheme="minorEastAsia"/>
          <w:sz w:val="16"/>
          <w:szCs w:val="24"/>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D58D6" w14:textId="77777777" w:rsidR="0069140F" w:rsidRPr="00374D76" w:rsidRDefault="00374D76" w:rsidP="00374D76">
    <w:pPr>
      <w:pStyle w:val="Header"/>
      <w:jc w:val="right"/>
    </w:pPr>
    <w:r w:rsidRPr="00374D76">
      <w:t>CCPR/C/128/2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F5FB3" w14:textId="77777777" w:rsidR="0069140F" w:rsidRPr="00374D76" w:rsidRDefault="00374D76" w:rsidP="00374D76">
    <w:pPr>
      <w:pStyle w:val="Header"/>
      <w:jc w:val="left"/>
    </w:pPr>
    <w:r w:rsidRPr="00374D76">
      <w:t>CCPR/C/128/2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51AF4"/>
    <w:multiLevelType w:val="hybridMultilevel"/>
    <w:tmpl w:val="7740538E"/>
    <w:lvl w:ilvl="0" w:tplc="E89AD7DE">
      <w:start w:val="1"/>
      <w:numFmt w:val="bullet"/>
      <w:pStyle w:val="Bullet1GA"/>
      <w:lvlText w:val=""/>
      <w:lvlJc w:val="left"/>
      <w:pPr>
        <w:tabs>
          <w:tab w:val="num" w:pos="2495"/>
        </w:tabs>
        <w:ind w:left="2495" w:hanging="54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F272F0"/>
    <w:multiLevelType w:val="hybridMultilevel"/>
    <w:tmpl w:val="842AD3E4"/>
    <w:lvl w:ilvl="0" w:tplc="E6B8D5B8">
      <w:start w:val="1"/>
      <w:numFmt w:val="decimal"/>
      <w:pStyle w:val="Roman1GA"/>
      <w:lvlText w:val="'%1'"/>
      <w:lvlJc w:val="right"/>
      <w:pPr>
        <w:tabs>
          <w:tab w:val="num" w:pos="2310"/>
        </w:tabs>
        <w:ind w:left="2310" w:hanging="360"/>
      </w:pPr>
      <w:rPr>
        <w:rFonts w:ascii="Times New Roman" w:hAnsi="Times New Roman" w:cs="Traditional Arabic" w:hint="default"/>
        <w:sz w:val="20"/>
        <w:szCs w:val="28"/>
      </w:r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2" w15:restartNumberingAfterBreak="0">
    <w:nsid w:val="32A75D52"/>
    <w:multiLevelType w:val="hybridMultilevel"/>
    <w:tmpl w:val="AF6C6348"/>
    <w:lvl w:ilvl="0" w:tplc="308CB36A">
      <w:start w:val="1"/>
      <w:numFmt w:val="decimal"/>
      <w:pStyle w:val="ParaNoGA"/>
      <w:lvlText w:val="%1-"/>
      <w:lvlJc w:val="left"/>
      <w:pPr>
        <w:tabs>
          <w:tab w:val="num" w:pos="1361"/>
        </w:tabs>
        <w:ind w:left="124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54B2370"/>
    <w:multiLevelType w:val="hybridMultilevel"/>
    <w:tmpl w:val="64AEC0BA"/>
    <w:lvl w:ilvl="0" w:tplc="DE1A3C16">
      <w:start w:val="1"/>
      <w:numFmt w:val="bullet"/>
      <w:pStyle w:val="Bullet2GA"/>
      <w:lvlText w:val=""/>
      <w:lvlJc w:val="left"/>
      <w:pPr>
        <w:tabs>
          <w:tab w:val="num" w:pos="3215"/>
        </w:tabs>
        <w:ind w:left="3215" w:hanging="360"/>
      </w:pPr>
      <w:rPr>
        <w:rFonts w:ascii="Symbol" w:hAnsi="Symbol" w:hint="default"/>
      </w:rPr>
    </w:lvl>
    <w:lvl w:ilvl="1" w:tplc="04090003" w:tentative="1">
      <w:start w:val="1"/>
      <w:numFmt w:val="bullet"/>
      <w:lvlText w:val="o"/>
      <w:lvlJc w:val="left"/>
      <w:pPr>
        <w:tabs>
          <w:tab w:val="num" w:pos="3935"/>
        </w:tabs>
        <w:ind w:left="3935" w:hanging="360"/>
      </w:pPr>
      <w:rPr>
        <w:rFonts w:ascii="Courier New" w:hAnsi="Courier New" w:cs="Courier New" w:hint="default"/>
      </w:rPr>
    </w:lvl>
    <w:lvl w:ilvl="2" w:tplc="04090005" w:tentative="1">
      <w:start w:val="1"/>
      <w:numFmt w:val="bullet"/>
      <w:lvlText w:val=""/>
      <w:lvlJc w:val="left"/>
      <w:pPr>
        <w:tabs>
          <w:tab w:val="num" w:pos="4655"/>
        </w:tabs>
        <w:ind w:left="4655" w:hanging="360"/>
      </w:pPr>
      <w:rPr>
        <w:rFonts w:ascii="Wingdings" w:hAnsi="Wingdings" w:hint="default"/>
      </w:rPr>
    </w:lvl>
    <w:lvl w:ilvl="3" w:tplc="04090001" w:tentative="1">
      <w:start w:val="1"/>
      <w:numFmt w:val="bullet"/>
      <w:lvlText w:val=""/>
      <w:lvlJc w:val="left"/>
      <w:pPr>
        <w:tabs>
          <w:tab w:val="num" w:pos="5375"/>
        </w:tabs>
        <w:ind w:left="5375" w:hanging="360"/>
      </w:pPr>
      <w:rPr>
        <w:rFonts w:ascii="Symbol" w:hAnsi="Symbol" w:hint="default"/>
      </w:rPr>
    </w:lvl>
    <w:lvl w:ilvl="4" w:tplc="04090003" w:tentative="1">
      <w:start w:val="1"/>
      <w:numFmt w:val="bullet"/>
      <w:lvlText w:val="o"/>
      <w:lvlJc w:val="left"/>
      <w:pPr>
        <w:tabs>
          <w:tab w:val="num" w:pos="6095"/>
        </w:tabs>
        <w:ind w:left="6095" w:hanging="360"/>
      </w:pPr>
      <w:rPr>
        <w:rFonts w:ascii="Courier New" w:hAnsi="Courier New" w:cs="Courier New" w:hint="default"/>
      </w:rPr>
    </w:lvl>
    <w:lvl w:ilvl="5" w:tplc="04090005" w:tentative="1">
      <w:start w:val="1"/>
      <w:numFmt w:val="bullet"/>
      <w:lvlText w:val=""/>
      <w:lvlJc w:val="left"/>
      <w:pPr>
        <w:tabs>
          <w:tab w:val="num" w:pos="6815"/>
        </w:tabs>
        <w:ind w:left="6815" w:hanging="360"/>
      </w:pPr>
      <w:rPr>
        <w:rFonts w:ascii="Wingdings" w:hAnsi="Wingdings" w:hint="default"/>
      </w:rPr>
    </w:lvl>
    <w:lvl w:ilvl="6" w:tplc="04090001" w:tentative="1">
      <w:start w:val="1"/>
      <w:numFmt w:val="bullet"/>
      <w:lvlText w:val=""/>
      <w:lvlJc w:val="left"/>
      <w:pPr>
        <w:tabs>
          <w:tab w:val="num" w:pos="7535"/>
        </w:tabs>
        <w:ind w:left="7535" w:hanging="360"/>
      </w:pPr>
      <w:rPr>
        <w:rFonts w:ascii="Symbol" w:hAnsi="Symbol" w:hint="default"/>
      </w:rPr>
    </w:lvl>
    <w:lvl w:ilvl="7" w:tplc="04090003" w:tentative="1">
      <w:start w:val="1"/>
      <w:numFmt w:val="bullet"/>
      <w:lvlText w:val="o"/>
      <w:lvlJc w:val="left"/>
      <w:pPr>
        <w:tabs>
          <w:tab w:val="num" w:pos="8255"/>
        </w:tabs>
        <w:ind w:left="8255" w:hanging="360"/>
      </w:pPr>
      <w:rPr>
        <w:rFonts w:ascii="Courier New" w:hAnsi="Courier New" w:cs="Courier New" w:hint="default"/>
      </w:rPr>
    </w:lvl>
    <w:lvl w:ilvl="8" w:tplc="04090005" w:tentative="1">
      <w:start w:val="1"/>
      <w:numFmt w:val="bullet"/>
      <w:lvlText w:val=""/>
      <w:lvlJc w:val="left"/>
      <w:pPr>
        <w:tabs>
          <w:tab w:val="num" w:pos="8975"/>
        </w:tabs>
        <w:ind w:left="8975" w:hanging="360"/>
      </w:pPr>
      <w:rPr>
        <w:rFonts w:ascii="Wingdings" w:hAnsi="Wingdings" w:hint="default"/>
      </w:rPr>
    </w:lvl>
  </w:abstractNum>
  <w:abstractNum w:abstractNumId="4" w15:restartNumberingAfterBreak="0">
    <w:nsid w:val="48F8044A"/>
    <w:multiLevelType w:val="hybridMultilevel"/>
    <w:tmpl w:val="973C8384"/>
    <w:lvl w:ilvl="0" w:tplc="F1944034">
      <w:start w:val="1"/>
      <w:numFmt w:val="decimal"/>
      <w:lvlText w:val="(%1)"/>
      <w:lvlJc w:val="right"/>
      <w:pPr>
        <w:ind w:left="720" w:hanging="360"/>
      </w:pPr>
      <w:rPr>
        <w:rFonts w:ascii="Traditional Arabic" w:hAnsi="Traditional Arabic" w:cs="Traditional Arabic"/>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CD5A59"/>
    <w:multiLevelType w:val="hybridMultilevel"/>
    <w:tmpl w:val="5D8E7F50"/>
    <w:lvl w:ilvl="0" w:tplc="F1944034">
      <w:start w:val="1"/>
      <w:numFmt w:val="decimal"/>
      <w:lvlRestart w:val="0"/>
      <w:lvlText w:val="(%1)"/>
      <w:lvlJc w:val="right"/>
      <w:pPr>
        <w:tabs>
          <w:tab w:val="num" w:pos="1292"/>
        </w:tabs>
        <w:ind w:left="1292" w:hanging="227"/>
      </w:pPr>
      <w:rPr>
        <w:rFonts w:ascii="Traditional Arabic" w:hAnsi="Traditional Arabic" w:cs="Traditional Arabic"/>
        <w:sz w:val="26"/>
        <w:szCs w:val="26"/>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15:restartNumberingAfterBreak="0">
    <w:nsid w:val="7AE32A09"/>
    <w:multiLevelType w:val="hybridMultilevel"/>
    <w:tmpl w:val="8F4C0150"/>
    <w:lvl w:ilvl="0" w:tplc="C9160F04">
      <w:start w:val="1"/>
      <w:numFmt w:val="decimal"/>
      <w:pStyle w:val="Roman2GA"/>
      <w:lvlText w:val="'%1'"/>
      <w:lvlJc w:val="right"/>
      <w:pPr>
        <w:tabs>
          <w:tab w:val="num" w:pos="2877"/>
        </w:tabs>
        <w:ind w:left="2877" w:hanging="360"/>
      </w:pPr>
      <w:rPr>
        <w:rFonts w:ascii="Times New Roman" w:hAnsi="Times New Roman" w:cs="Traditional Arabic" w:hint="default"/>
        <w:sz w:val="20"/>
        <w:szCs w:val="28"/>
      </w:rPr>
    </w:lvl>
    <w:lvl w:ilvl="1" w:tplc="04090003" w:tentative="1">
      <w:start w:val="1"/>
      <w:numFmt w:val="bullet"/>
      <w:lvlText w:val="o"/>
      <w:lvlJc w:val="left"/>
      <w:pPr>
        <w:tabs>
          <w:tab w:val="num" w:pos="3595"/>
        </w:tabs>
        <w:ind w:left="3595" w:hanging="360"/>
      </w:pPr>
      <w:rPr>
        <w:rFonts w:ascii="Courier New" w:hAnsi="Courier New" w:cs="Courier New" w:hint="default"/>
      </w:rPr>
    </w:lvl>
    <w:lvl w:ilvl="2" w:tplc="04090005" w:tentative="1">
      <w:start w:val="1"/>
      <w:numFmt w:val="bullet"/>
      <w:lvlText w:val=""/>
      <w:lvlJc w:val="left"/>
      <w:pPr>
        <w:tabs>
          <w:tab w:val="num" w:pos="4315"/>
        </w:tabs>
        <w:ind w:left="4315" w:hanging="360"/>
      </w:pPr>
      <w:rPr>
        <w:rFonts w:ascii="Wingdings" w:hAnsi="Wingdings" w:hint="default"/>
      </w:rPr>
    </w:lvl>
    <w:lvl w:ilvl="3" w:tplc="04090001" w:tentative="1">
      <w:start w:val="1"/>
      <w:numFmt w:val="bullet"/>
      <w:lvlText w:val=""/>
      <w:lvlJc w:val="left"/>
      <w:pPr>
        <w:tabs>
          <w:tab w:val="num" w:pos="5035"/>
        </w:tabs>
        <w:ind w:left="5035" w:hanging="360"/>
      </w:pPr>
      <w:rPr>
        <w:rFonts w:ascii="Symbol" w:hAnsi="Symbol" w:hint="default"/>
      </w:rPr>
    </w:lvl>
    <w:lvl w:ilvl="4" w:tplc="04090003" w:tentative="1">
      <w:start w:val="1"/>
      <w:numFmt w:val="bullet"/>
      <w:lvlText w:val="o"/>
      <w:lvlJc w:val="left"/>
      <w:pPr>
        <w:tabs>
          <w:tab w:val="num" w:pos="5755"/>
        </w:tabs>
        <w:ind w:left="5755" w:hanging="360"/>
      </w:pPr>
      <w:rPr>
        <w:rFonts w:ascii="Courier New" w:hAnsi="Courier New" w:cs="Courier New" w:hint="default"/>
      </w:rPr>
    </w:lvl>
    <w:lvl w:ilvl="5" w:tplc="04090005" w:tentative="1">
      <w:start w:val="1"/>
      <w:numFmt w:val="bullet"/>
      <w:lvlText w:val=""/>
      <w:lvlJc w:val="left"/>
      <w:pPr>
        <w:tabs>
          <w:tab w:val="num" w:pos="6475"/>
        </w:tabs>
        <w:ind w:left="6475" w:hanging="360"/>
      </w:pPr>
      <w:rPr>
        <w:rFonts w:ascii="Wingdings" w:hAnsi="Wingdings" w:hint="default"/>
      </w:rPr>
    </w:lvl>
    <w:lvl w:ilvl="6" w:tplc="04090001" w:tentative="1">
      <w:start w:val="1"/>
      <w:numFmt w:val="bullet"/>
      <w:lvlText w:val=""/>
      <w:lvlJc w:val="left"/>
      <w:pPr>
        <w:tabs>
          <w:tab w:val="num" w:pos="7195"/>
        </w:tabs>
        <w:ind w:left="7195" w:hanging="360"/>
      </w:pPr>
      <w:rPr>
        <w:rFonts w:ascii="Symbol" w:hAnsi="Symbol" w:hint="default"/>
      </w:rPr>
    </w:lvl>
    <w:lvl w:ilvl="7" w:tplc="04090003" w:tentative="1">
      <w:start w:val="1"/>
      <w:numFmt w:val="bullet"/>
      <w:lvlText w:val="o"/>
      <w:lvlJc w:val="left"/>
      <w:pPr>
        <w:tabs>
          <w:tab w:val="num" w:pos="7915"/>
        </w:tabs>
        <w:ind w:left="7915" w:hanging="360"/>
      </w:pPr>
      <w:rPr>
        <w:rFonts w:ascii="Courier New" w:hAnsi="Courier New" w:cs="Courier New" w:hint="default"/>
      </w:rPr>
    </w:lvl>
    <w:lvl w:ilvl="8" w:tplc="04090005" w:tentative="1">
      <w:start w:val="1"/>
      <w:numFmt w:val="bullet"/>
      <w:lvlText w:val=""/>
      <w:lvlJc w:val="left"/>
      <w:pPr>
        <w:tabs>
          <w:tab w:val="num" w:pos="8635"/>
        </w:tabs>
        <w:ind w:left="8635"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 w:numId="7">
    <w:abstractNumId w:val="6"/>
  </w:num>
  <w:num w:numId="8">
    <w:abstractNumId w:val="0"/>
  </w:num>
  <w:num w:numId="9">
    <w:abstractNumId w:val="3"/>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567"/>
  <w:evenAndOddHeaders/>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7A3"/>
    <w:rsid w:val="000076D5"/>
    <w:rsid w:val="00043663"/>
    <w:rsid w:val="000437B8"/>
    <w:rsid w:val="000505CF"/>
    <w:rsid w:val="000D701C"/>
    <w:rsid w:val="000E2A71"/>
    <w:rsid w:val="001535D9"/>
    <w:rsid w:val="00160263"/>
    <w:rsid w:val="00181F96"/>
    <w:rsid w:val="001A1371"/>
    <w:rsid w:val="001B346A"/>
    <w:rsid w:val="001E1CAD"/>
    <w:rsid w:val="001E290D"/>
    <w:rsid w:val="002144FA"/>
    <w:rsid w:val="0023469A"/>
    <w:rsid w:val="00243C8A"/>
    <w:rsid w:val="00267A0E"/>
    <w:rsid w:val="002901D9"/>
    <w:rsid w:val="002976C2"/>
    <w:rsid w:val="003134E0"/>
    <w:rsid w:val="003260FF"/>
    <w:rsid w:val="0033357F"/>
    <w:rsid w:val="00343D95"/>
    <w:rsid w:val="00356878"/>
    <w:rsid w:val="00363A18"/>
    <w:rsid w:val="00374341"/>
    <w:rsid w:val="00374D76"/>
    <w:rsid w:val="003D1062"/>
    <w:rsid w:val="00420D7B"/>
    <w:rsid w:val="00450B21"/>
    <w:rsid w:val="00453B63"/>
    <w:rsid w:val="00455780"/>
    <w:rsid w:val="004B0A1C"/>
    <w:rsid w:val="004D298E"/>
    <w:rsid w:val="00517BC9"/>
    <w:rsid w:val="0054472E"/>
    <w:rsid w:val="005662A9"/>
    <w:rsid w:val="005827D4"/>
    <w:rsid w:val="0059622A"/>
    <w:rsid w:val="005B51C4"/>
    <w:rsid w:val="005C5878"/>
    <w:rsid w:val="005C7CEA"/>
    <w:rsid w:val="005D3C0B"/>
    <w:rsid w:val="005E5217"/>
    <w:rsid w:val="005F0FA4"/>
    <w:rsid w:val="005F30EE"/>
    <w:rsid w:val="0060473A"/>
    <w:rsid w:val="00656392"/>
    <w:rsid w:val="0068781D"/>
    <w:rsid w:val="0069140F"/>
    <w:rsid w:val="00692EBA"/>
    <w:rsid w:val="006959B0"/>
    <w:rsid w:val="006B3E27"/>
    <w:rsid w:val="006B6507"/>
    <w:rsid w:val="006C104C"/>
    <w:rsid w:val="00704193"/>
    <w:rsid w:val="00733704"/>
    <w:rsid w:val="0078071A"/>
    <w:rsid w:val="007837A3"/>
    <w:rsid w:val="00787E1E"/>
    <w:rsid w:val="007C136A"/>
    <w:rsid w:val="00852A9A"/>
    <w:rsid w:val="008F49E1"/>
    <w:rsid w:val="0090370F"/>
    <w:rsid w:val="009269D2"/>
    <w:rsid w:val="00942135"/>
    <w:rsid w:val="009521B0"/>
    <w:rsid w:val="00982139"/>
    <w:rsid w:val="009867A8"/>
    <w:rsid w:val="009A7E9F"/>
    <w:rsid w:val="009E5018"/>
    <w:rsid w:val="00A03700"/>
    <w:rsid w:val="00A12B37"/>
    <w:rsid w:val="00AB6758"/>
    <w:rsid w:val="00B13763"/>
    <w:rsid w:val="00B477A4"/>
    <w:rsid w:val="00B54045"/>
    <w:rsid w:val="00C438D7"/>
    <w:rsid w:val="00C56876"/>
    <w:rsid w:val="00C81B50"/>
    <w:rsid w:val="00CB6622"/>
    <w:rsid w:val="00CD1801"/>
    <w:rsid w:val="00CE615B"/>
    <w:rsid w:val="00CF65C6"/>
    <w:rsid w:val="00D10EF1"/>
    <w:rsid w:val="00D42810"/>
    <w:rsid w:val="00D914A7"/>
    <w:rsid w:val="00D96C53"/>
    <w:rsid w:val="00DD13C3"/>
    <w:rsid w:val="00DD596E"/>
    <w:rsid w:val="00DD621E"/>
    <w:rsid w:val="00DE50B1"/>
    <w:rsid w:val="00DF0575"/>
    <w:rsid w:val="00E26DBC"/>
    <w:rsid w:val="00E70E04"/>
    <w:rsid w:val="00E93DEA"/>
    <w:rsid w:val="00EC05A7"/>
    <w:rsid w:val="00EC4B6B"/>
    <w:rsid w:val="00ED7442"/>
    <w:rsid w:val="00EF1EE5"/>
    <w:rsid w:val="00EF5C43"/>
    <w:rsid w:val="00F763B4"/>
    <w:rsid w:val="00F900C3"/>
    <w:rsid w:val="00FC6EDD"/>
    <w:rsid w:val="00FF2AB2"/>
    <w:rsid w:val="00FF6E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206FCFB"/>
  <w15:docId w15:val="{38969853-DEF7-4450-8457-5BAAE143A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E27"/>
    <w:pPr>
      <w:bidi/>
      <w:spacing w:line="240" w:lineRule="atLeast"/>
      <w:jc w:val="lowKashida"/>
    </w:pPr>
    <w:rPr>
      <w:rFonts w:ascii="Times New Roman" w:hAnsi="Times New Roman" w:cs="Traditional Arabic"/>
      <w:szCs w:val="30"/>
      <w:lang w:eastAsia="en-US"/>
    </w:rPr>
  </w:style>
  <w:style w:type="paragraph" w:styleId="Heading1">
    <w:name w:val="heading 1"/>
    <w:aliases w:val="Table_GA"/>
    <w:basedOn w:val="SingleTxtGA"/>
    <w:next w:val="Normal"/>
    <w:link w:val="Heading1Char"/>
    <w:qFormat/>
    <w:rsid w:val="00AB6758"/>
    <w:pPr>
      <w:suppressAutoHyphens/>
      <w:bidi w:val="0"/>
      <w:outlineLvl w:val="0"/>
    </w:pPr>
  </w:style>
  <w:style w:type="paragraph" w:styleId="Heading2">
    <w:name w:val="heading 2"/>
    <w:basedOn w:val="Normal"/>
    <w:next w:val="Normal"/>
    <w:link w:val="Heading2Char"/>
    <w:uiPriority w:val="9"/>
    <w:unhideWhenUsed/>
    <w:rsid w:val="00455780"/>
    <w:pPr>
      <w:keepNext/>
      <w:keepLines/>
      <w:spacing w:before="200"/>
      <w:outlineLvl w:val="1"/>
    </w:pPr>
    <w:rPr>
      <w:rFonts w:ascii="Cambria" w:eastAsia="SimSun" w:hAnsi="Cambria" w:cs="Times New Roman"/>
      <w:b/>
      <w:bCs/>
      <w:color w:val="4F81BD"/>
      <w:sz w:val="26"/>
      <w:szCs w:val="26"/>
    </w:rPr>
  </w:style>
  <w:style w:type="paragraph" w:styleId="Heading3">
    <w:name w:val="heading 3"/>
    <w:basedOn w:val="Normal"/>
    <w:next w:val="Normal"/>
    <w:link w:val="Heading3Char"/>
    <w:uiPriority w:val="9"/>
    <w:unhideWhenUsed/>
    <w:rsid w:val="00EC4B6B"/>
    <w:pPr>
      <w:keepNext/>
      <w:keepLines/>
      <w:spacing w:before="200"/>
      <w:outlineLvl w:val="2"/>
    </w:pPr>
    <w:rPr>
      <w:rFonts w:ascii="Cambria" w:eastAsia="SimSun" w:hAnsi="Cambria" w:cs="Times New Roman"/>
      <w:b/>
      <w:bCs/>
      <w:color w:val="4F81BD"/>
    </w:rPr>
  </w:style>
  <w:style w:type="paragraph" w:styleId="Heading4">
    <w:name w:val="heading 4"/>
    <w:basedOn w:val="Normal"/>
    <w:next w:val="Normal"/>
    <w:link w:val="Heading4Char"/>
    <w:uiPriority w:val="9"/>
    <w:unhideWhenUsed/>
    <w:rsid w:val="00EC4B6B"/>
    <w:pPr>
      <w:keepNext/>
      <w:keepLines/>
      <w:spacing w:before="200"/>
      <w:outlineLvl w:val="3"/>
    </w:pPr>
    <w:rPr>
      <w:rFonts w:ascii="Cambria" w:eastAsia="SimSun" w:hAnsi="Cambria" w:cs="Times New Roman"/>
      <w:b/>
      <w:bCs/>
      <w:i/>
      <w:iCs/>
      <w:color w:val="4F81BD"/>
    </w:rPr>
  </w:style>
  <w:style w:type="paragraph" w:styleId="Heading5">
    <w:name w:val="heading 5"/>
    <w:basedOn w:val="Normal"/>
    <w:next w:val="Normal"/>
    <w:link w:val="Heading5Char"/>
    <w:uiPriority w:val="9"/>
    <w:unhideWhenUsed/>
    <w:rsid w:val="00EC4B6B"/>
    <w:pPr>
      <w:keepNext/>
      <w:keepLines/>
      <w:spacing w:before="200"/>
      <w:outlineLvl w:val="4"/>
    </w:pPr>
    <w:rPr>
      <w:rFonts w:ascii="Cambria" w:eastAsia="SimSun" w:hAnsi="Cambria" w:cs="Times New Roman"/>
      <w:color w:val="243F60"/>
    </w:rPr>
  </w:style>
  <w:style w:type="paragraph" w:styleId="Heading6">
    <w:name w:val="heading 6"/>
    <w:basedOn w:val="Normal"/>
    <w:next w:val="Normal"/>
    <w:link w:val="Heading6Char"/>
    <w:uiPriority w:val="9"/>
    <w:unhideWhenUsed/>
    <w:rsid w:val="00EC4B6B"/>
    <w:pPr>
      <w:keepNext/>
      <w:keepLines/>
      <w:spacing w:before="200"/>
      <w:outlineLvl w:val="5"/>
    </w:pPr>
    <w:rPr>
      <w:rFonts w:ascii="Cambria" w:eastAsia="SimSun" w:hAnsi="Cambria" w:cs="Times New Roman"/>
      <w:i/>
      <w:iCs/>
      <w:color w:val="243F60"/>
    </w:rPr>
  </w:style>
  <w:style w:type="paragraph" w:styleId="Heading7">
    <w:name w:val="heading 7"/>
    <w:basedOn w:val="Normal"/>
    <w:next w:val="Normal"/>
    <w:link w:val="Heading7Char"/>
    <w:uiPriority w:val="9"/>
    <w:unhideWhenUsed/>
    <w:rsid w:val="00EC4B6B"/>
    <w:pPr>
      <w:keepNext/>
      <w:keepLines/>
      <w:spacing w:before="200"/>
      <w:outlineLvl w:val="6"/>
    </w:pPr>
    <w:rPr>
      <w:rFonts w:ascii="Cambria" w:eastAsia="SimSun" w:hAnsi="Cambria" w:cs="Times New Roman"/>
      <w:i/>
      <w:iCs/>
      <w:color w:val="404040"/>
    </w:rPr>
  </w:style>
  <w:style w:type="paragraph" w:styleId="Heading8">
    <w:name w:val="heading 8"/>
    <w:basedOn w:val="Normal"/>
    <w:next w:val="Normal"/>
    <w:link w:val="Heading8Char"/>
    <w:uiPriority w:val="9"/>
    <w:unhideWhenUsed/>
    <w:rsid w:val="00EC4B6B"/>
    <w:pPr>
      <w:keepNext/>
      <w:keepLines/>
      <w:spacing w:before="200"/>
      <w:outlineLvl w:val="7"/>
    </w:pPr>
    <w:rPr>
      <w:rFonts w:ascii="Cambria" w:eastAsia="SimSun" w:hAnsi="Cambria" w:cs="Times New Roman"/>
      <w:color w:val="404040"/>
      <w:szCs w:val="20"/>
    </w:rPr>
  </w:style>
  <w:style w:type="paragraph" w:styleId="Heading9">
    <w:name w:val="heading 9"/>
    <w:basedOn w:val="Normal"/>
    <w:next w:val="Normal"/>
    <w:link w:val="Heading9Char"/>
    <w:uiPriority w:val="9"/>
    <w:unhideWhenUsed/>
    <w:rsid w:val="00EC4B6B"/>
    <w:pPr>
      <w:keepNext/>
      <w:keepLines/>
      <w:spacing w:before="200"/>
      <w:outlineLvl w:val="8"/>
    </w:pPr>
    <w:rPr>
      <w:rFonts w:ascii="Cambria" w:eastAsia="SimSun" w:hAnsi="Cambria" w:cs="Times New Roman"/>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
    <w:basedOn w:val="Normal"/>
    <w:link w:val="FootnoteTextChar"/>
    <w:unhideWhenUsed/>
    <w:rsid w:val="001A1371"/>
    <w:pPr>
      <w:spacing w:line="240" w:lineRule="auto"/>
    </w:pPr>
    <w:rPr>
      <w:szCs w:val="20"/>
    </w:rPr>
  </w:style>
  <w:style w:type="character" w:customStyle="1" w:styleId="FootnoteTextChar">
    <w:name w:val="Footnote Text Char"/>
    <w:aliases w:val="5_G Char"/>
    <w:link w:val="FootnoteText"/>
    <w:rsid w:val="001A1371"/>
    <w:rPr>
      <w:sz w:val="20"/>
      <w:szCs w:val="20"/>
    </w:rPr>
  </w:style>
  <w:style w:type="character" w:styleId="FootnoteReference">
    <w:name w:val="footnote reference"/>
    <w:aliases w:val="4_GA,4_G"/>
    <w:qFormat/>
    <w:rsid w:val="00AB6758"/>
    <w:rPr>
      <w:rFonts w:ascii="Times New Roman" w:hAnsi="Times New Roman" w:cs="Traditional Arabic"/>
      <w:b/>
      <w:kern w:val="0"/>
      <w:sz w:val="18"/>
      <w:szCs w:val="28"/>
      <w:vertAlign w:val="superscript"/>
    </w:rPr>
  </w:style>
  <w:style w:type="paragraph" w:customStyle="1" w:styleId="HMGA">
    <w:name w:val="_ H __M_GA"/>
    <w:basedOn w:val="Normal"/>
    <w:next w:val="Normal"/>
    <w:qFormat/>
    <w:rsid w:val="00AB6758"/>
    <w:pPr>
      <w:keepNext/>
      <w:keepLines/>
      <w:tabs>
        <w:tab w:val="right" w:pos="1021"/>
      </w:tabs>
      <w:suppressAutoHyphens/>
      <w:spacing w:before="360" w:after="240" w:line="480" w:lineRule="exact"/>
      <w:ind w:left="1247" w:right="1247" w:hanging="1247"/>
    </w:pPr>
    <w:rPr>
      <w:b/>
      <w:bCs/>
      <w:sz w:val="34"/>
      <w:szCs w:val="44"/>
    </w:rPr>
  </w:style>
  <w:style w:type="paragraph" w:customStyle="1" w:styleId="HChGA">
    <w:name w:val="_ H _Ch_GA"/>
    <w:basedOn w:val="Normal"/>
    <w:next w:val="Normal"/>
    <w:qFormat/>
    <w:rsid w:val="00AB6758"/>
    <w:pPr>
      <w:keepNext/>
      <w:keepLines/>
      <w:tabs>
        <w:tab w:val="right" w:pos="1021"/>
      </w:tabs>
      <w:suppressAutoHyphens/>
      <w:spacing w:before="360" w:after="240" w:line="440" w:lineRule="exact"/>
      <w:ind w:left="1247" w:right="1247" w:hanging="1247"/>
    </w:pPr>
    <w:rPr>
      <w:b/>
      <w:bCs/>
      <w:sz w:val="28"/>
      <w:szCs w:val="38"/>
    </w:rPr>
  </w:style>
  <w:style w:type="paragraph" w:customStyle="1" w:styleId="H1GA">
    <w:name w:val="_ H_1_GA"/>
    <w:basedOn w:val="Normal"/>
    <w:next w:val="Normal"/>
    <w:qFormat/>
    <w:rsid w:val="00AB6758"/>
    <w:pPr>
      <w:keepNext/>
      <w:keepLines/>
      <w:tabs>
        <w:tab w:val="right" w:pos="1021"/>
      </w:tabs>
      <w:suppressAutoHyphens/>
      <w:spacing w:before="240" w:after="240" w:line="400" w:lineRule="exact"/>
      <w:ind w:left="1247" w:right="1247" w:hanging="1247"/>
    </w:pPr>
    <w:rPr>
      <w:b/>
      <w:bCs/>
      <w:sz w:val="24"/>
      <w:szCs w:val="34"/>
    </w:rPr>
  </w:style>
  <w:style w:type="paragraph" w:customStyle="1" w:styleId="H23GA">
    <w:name w:val="_ H_2/3_GA"/>
    <w:basedOn w:val="Normal"/>
    <w:next w:val="Normal"/>
    <w:qFormat/>
    <w:rsid w:val="00363A18"/>
    <w:pPr>
      <w:tabs>
        <w:tab w:val="right" w:pos="1021"/>
      </w:tabs>
      <w:spacing w:before="240" w:after="120" w:line="380" w:lineRule="exact"/>
      <w:ind w:left="1247" w:right="1247" w:hanging="1247"/>
    </w:pPr>
    <w:rPr>
      <w:b/>
      <w:bCs/>
      <w:lang w:eastAsia="ar-SA"/>
    </w:rPr>
  </w:style>
  <w:style w:type="paragraph" w:customStyle="1" w:styleId="H4GA">
    <w:name w:val="_ H_4_GA"/>
    <w:basedOn w:val="Normal"/>
    <w:next w:val="Normal"/>
    <w:qFormat/>
    <w:rsid w:val="00363A18"/>
    <w:pPr>
      <w:keepNext/>
      <w:keepLines/>
      <w:tabs>
        <w:tab w:val="right" w:pos="1021"/>
      </w:tabs>
      <w:suppressAutoHyphens/>
      <w:spacing w:before="240" w:after="120" w:line="380" w:lineRule="exact"/>
      <w:ind w:left="1247" w:right="1247" w:hanging="1247"/>
    </w:pPr>
    <w:rPr>
      <w:i/>
      <w:iCs/>
    </w:rPr>
  </w:style>
  <w:style w:type="paragraph" w:customStyle="1" w:styleId="H56GA">
    <w:name w:val="_ H_5/6_GA"/>
    <w:basedOn w:val="Normal"/>
    <w:next w:val="Normal"/>
    <w:qFormat/>
    <w:rsid w:val="00363A18"/>
    <w:pPr>
      <w:keepNext/>
      <w:keepLines/>
      <w:tabs>
        <w:tab w:val="right" w:pos="1021"/>
      </w:tabs>
      <w:suppressAutoHyphens/>
      <w:spacing w:before="240" w:after="120" w:line="380" w:lineRule="exact"/>
      <w:ind w:left="1247" w:right="1247" w:hanging="1247"/>
    </w:pPr>
  </w:style>
  <w:style w:type="paragraph" w:customStyle="1" w:styleId="SingleTxtGA">
    <w:name w:val="_ Single Txt_GA"/>
    <w:basedOn w:val="Normal"/>
    <w:qFormat/>
    <w:rsid w:val="00EF5C43"/>
    <w:pPr>
      <w:tabs>
        <w:tab w:val="left" w:pos="1928"/>
        <w:tab w:val="left" w:pos="2608"/>
        <w:tab w:val="left" w:pos="3289"/>
        <w:tab w:val="left" w:pos="3969"/>
        <w:tab w:val="left" w:pos="4649"/>
        <w:tab w:val="left" w:pos="5330"/>
      </w:tabs>
      <w:spacing w:after="120" w:line="360" w:lineRule="exact"/>
      <w:ind w:left="1247" w:right="1247"/>
    </w:pPr>
    <w:rPr>
      <w:szCs w:val="28"/>
    </w:rPr>
  </w:style>
  <w:style w:type="paragraph" w:customStyle="1" w:styleId="SLGA">
    <w:name w:val="__S_L_GA"/>
    <w:basedOn w:val="Normal"/>
    <w:next w:val="Normal"/>
    <w:qFormat/>
    <w:rsid w:val="00AB6758"/>
    <w:pPr>
      <w:keepNext/>
      <w:keepLines/>
      <w:suppressAutoHyphens/>
      <w:bidi w:val="0"/>
      <w:spacing w:before="240" w:after="240" w:line="800" w:lineRule="exact"/>
      <w:ind w:left="1247" w:right="1247"/>
    </w:pPr>
    <w:rPr>
      <w:b/>
      <w:bCs/>
      <w:sz w:val="56"/>
      <w:szCs w:val="84"/>
    </w:rPr>
  </w:style>
  <w:style w:type="paragraph" w:customStyle="1" w:styleId="SMGA">
    <w:name w:val="__S_M_GA"/>
    <w:basedOn w:val="Normal"/>
    <w:next w:val="Normal"/>
    <w:qFormat/>
    <w:rsid w:val="00AB6758"/>
    <w:pPr>
      <w:keepNext/>
      <w:keepLines/>
      <w:suppressAutoHyphens/>
      <w:bidi w:val="0"/>
      <w:spacing w:before="240" w:after="240" w:line="560" w:lineRule="exact"/>
      <w:ind w:left="1247" w:right="1247"/>
    </w:pPr>
    <w:rPr>
      <w:b/>
      <w:bCs/>
      <w:sz w:val="40"/>
      <w:szCs w:val="60"/>
    </w:rPr>
  </w:style>
  <w:style w:type="paragraph" w:customStyle="1" w:styleId="SSGA">
    <w:name w:val="__S_S_GA"/>
    <w:basedOn w:val="Normal"/>
    <w:next w:val="Normal"/>
    <w:qFormat/>
    <w:rsid w:val="00AB6758"/>
    <w:pPr>
      <w:keepNext/>
      <w:keepLines/>
      <w:suppressAutoHyphens/>
      <w:bidi w:val="0"/>
      <w:spacing w:before="240" w:after="240" w:line="440" w:lineRule="exact"/>
      <w:ind w:left="1134" w:right="1134"/>
    </w:pPr>
    <w:rPr>
      <w:b/>
      <w:bCs/>
      <w:sz w:val="28"/>
      <w:szCs w:val="38"/>
    </w:rPr>
  </w:style>
  <w:style w:type="paragraph" w:customStyle="1" w:styleId="XLargeGA">
    <w:name w:val="__XLarge_GA"/>
    <w:basedOn w:val="Normal"/>
    <w:qFormat/>
    <w:rsid w:val="00AB6758"/>
    <w:pPr>
      <w:keepNext/>
      <w:keepLines/>
      <w:tabs>
        <w:tab w:val="right" w:leader="dot" w:pos="360"/>
      </w:tabs>
      <w:suppressAutoHyphens/>
      <w:spacing w:before="240" w:after="240" w:line="580" w:lineRule="exact"/>
      <w:ind w:left="1247" w:right="1247"/>
    </w:pPr>
    <w:rPr>
      <w:b/>
      <w:bCs/>
      <w:sz w:val="40"/>
      <w:szCs w:val="60"/>
    </w:rPr>
  </w:style>
  <w:style w:type="paragraph" w:customStyle="1" w:styleId="Bullet1GA">
    <w:name w:val="_Bullet 1_GA"/>
    <w:basedOn w:val="Normal"/>
    <w:qFormat/>
    <w:rsid w:val="00F900C3"/>
    <w:pPr>
      <w:numPr>
        <w:numId w:val="8"/>
      </w:numPr>
      <w:suppressAutoHyphens/>
      <w:bidi w:val="0"/>
      <w:spacing w:after="120" w:line="380" w:lineRule="exact"/>
      <w:ind w:right="1247"/>
    </w:pPr>
  </w:style>
  <w:style w:type="paragraph" w:customStyle="1" w:styleId="Bullet2GA">
    <w:name w:val="_Bullet 2_GA"/>
    <w:basedOn w:val="Normal"/>
    <w:qFormat/>
    <w:rsid w:val="00F900C3"/>
    <w:pPr>
      <w:numPr>
        <w:numId w:val="9"/>
      </w:numPr>
      <w:tabs>
        <w:tab w:val="left" w:pos="3062"/>
      </w:tabs>
      <w:suppressAutoHyphens/>
      <w:bidi w:val="0"/>
      <w:spacing w:after="120" w:line="380" w:lineRule="exact"/>
      <w:ind w:right="1247"/>
    </w:pPr>
  </w:style>
  <w:style w:type="paragraph" w:customStyle="1" w:styleId="ParaNoGA">
    <w:name w:val="_ParaNo._GA"/>
    <w:basedOn w:val="SingleTxtGA"/>
    <w:qFormat/>
    <w:rsid w:val="00AB6758"/>
    <w:pPr>
      <w:numPr>
        <w:numId w:val="5"/>
      </w:numPr>
      <w:suppressAutoHyphens/>
      <w:bidi w:val="0"/>
    </w:pPr>
  </w:style>
  <w:style w:type="paragraph" w:customStyle="1" w:styleId="Roman1GA">
    <w:name w:val="_Roman 1_GA"/>
    <w:basedOn w:val="Bullet1GA"/>
    <w:qFormat/>
    <w:rsid w:val="00F900C3"/>
    <w:pPr>
      <w:numPr>
        <w:numId w:val="10"/>
      </w:numPr>
    </w:pPr>
  </w:style>
  <w:style w:type="paragraph" w:customStyle="1" w:styleId="Roman2GA">
    <w:name w:val="_Roman 2_GA"/>
    <w:basedOn w:val="Bullet2GA"/>
    <w:next w:val="Normal"/>
    <w:qFormat/>
    <w:rsid w:val="00F900C3"/>
    <w:pPr>
      <w:numPr>
        <w:numId w:val="11"/>
      </w:numPr>
    </w:pPr>
  </w:style>
  <w:style w:type="paragraph" w:styleId="EndnoteText">
    <w:name w:val="endnote text"/>
    <w:aliases w:val="2_ GA"/>
    <w:basedOn w:val="Normal"/>
    <w:link w:val="EndnoteTextChar"/>
    <w:qFormat/>
    <w:rsid w:val="00AB6758"/>
    <w:pPr>
      <w:tabs>
        <w:tab w:val="right" w:pos="1021"/>
      </w:tabs>
      <w:spacing w:after="120" w:line="300" w:lineRule="exact"/>
      <w:ind w:left="1247" w:right="1247" w:hanging="1247"/>
    </w:pPr>
    <w:rPr>
      <w:sz w:val="18"/>
      <w:szCs w:val="26"/>
    </w:rPr>
  </w:style>
  <w:style w:type="character" w:customStyle="1" w:styleId="EndnoteTextChar">
    <w:name w:val="Endnote Text Char"/>
    <w:aliases w:val="2_ GA Char"/>
    <w:link w:val="EndnoteText"/>
    <w:rsid w:val="00AB6758"/>
    <w:rPr>
      <w:rFonts w:ascii="Times New Roman" w:eastAsia="Times New Roman" w:hAnsi="Times New Roman" w:cs="Traditional Arabic"/>
      <w:sz w:val="18"/>
      <w:szCs w:val="26"/>
    </w:rPr>
  </w:style>
  <w:style w:type="character" w:customStyle="1" w:styleId="EndtnoteReference">
    <w:name w:val="Endtnote Reference"/>
    <w:aliases w:val="1_GA"/>
    <w:qFormat/>
    <w:rsid w:val="00F900C3"/>
    <w:rPr>
      <w:rFonts w:ascii="Times New Roman" w:hAnsi="Times New Roman" w:cs="Traditional Arabic"/>
      <w:b/>
      <w:kern w:val="0"/>
      <w:sz w:val="18"/>
      <w:szCs w:val="28"/>
      <w:vertAlign w:val="superscript"/>
    </w:rPr>
  </w:style>
  <w:style w:type="paragraph" w:styleId="Footer">
    <w:name w:val="footer"/>
    <w:aliases w:val="3_GA,3_G"/>
    <w:basedOn w:val="Normal"/>
    <w:link w:val="FooterChar"/>
    <w:qFormat/>
    <w:rsid w:val="00AB6758"/>
    <w:pPr>
      <w:suppressAutoHyphens/>
      <w:bidi w:val="0"/>
      <w:spacing w:line="240" w:lineRule="auto"/>
    </w:pPr>
    <w:rPr>
      <w:sz w:val="16"/>
      <w:szCs w:val="22"/>
      <w:lang w:val="en-GB"/>
    </w:rPr>
  </w:style>
  <w:style w:type="character" w:customStyle="1" w:styleId="FooterChar">
    <w:name w:val="Footer Char"/>
    <w:aliases w:val="3_GA Char,3_G Char"/>
    <w:link w:val="Footer"/>
    <w:rsid w:val="00AB6758"/>
    <w:rPr>
      <w:rFonts w:ascii="Times New Roman" w:eastAsia="Times New Roman" w:hAnsi="Times New Roman" w:cs="Traditional Arabic"/>
      <w:sz w:val="16"/>
      <w:lang w:val="en-GB"/>
    </w:rPr>
  </w:style>
  <w:style w:type="paragraph" w:customStyle="1" w:styleId="FootnoteText1">
    <w:name w:val="Footnote Text1"/>
    <w:aliases w:val="5_GA"/>
    <w:basedOn w:val="Normal"/>
    <w:qFormat/>
    <w:rsid w:val="00787E1E"/>
    <w:pPr>
      <w:spacing w:after="60" w:line="300" w:lineRule="exact"/>
      <w:ind w:left="1247" w:right="1247" w:hanging="567"/>
    </w:pPr>
    <w:rPr>
      <w:sz w:val="18"/>
      <w:szCs w:val="26"/>
    </w:rPr>
  </w:style>
  <w:style w:type="paragraph" w:styleId="Header">
    <w:name w:val="header"/>
    <w:aliases w:val="6_GA"/>
    <w:basedOn w:val="Normal"/>
    <w:link w:val="HeaderChar"/>
    <w:qFormat/>
    <w:rsid w:val="00AB6758"/>
    <w:pPr>
      <w:pBdr>
        <w:bottom w:val="single" w:sz="4" w:space="4" w:color="auto"/>
      </w:pBdr>
      <w:suppressAutoHyphens/>
      <w:bidi w:val="0"/>
    </w:pPr>
    <w:rPr>
      <w:b/>
      <w:bCs/>
      <w:sz w:val="18"/>
      <w:szCs w:val="26"/>
    </w:rPr>
  </w:style>
  <w:style w:type="character" w:customStyle="1" w:styleId="HeaderChar">
    <w:name w:val="Header Char"/>
    <w:aliases w:val="6_GA Char"/>
    <w:link w:val="Header"/>
    <w:rsid w:val="00AB6758"/>
    <w:rPr>
      <w:rFonts w:ascii="Times New Roman" w:eastAsia="Times New Roman" w:hAnsi="Times New Roman" w:cs="Traditional Arabic"/>
      <w:b/>
      <w:bCs/>
      <w:sz w:val="18"/>
      <w:szCs w:val="26"/>
    </w:rPr>
  </w:style>
  <w:style w:type="character" w:customStyle="1" w:styleId="Heading1Char">
    <w:name w:val="Heading 1 Char"/>
    <w:aliases w:val="Table_GA Char"/>
    <w:link w:val="Heading1"/>
    <w:rsid w:val="00AB6758"/>
    <w:rPr>
      <w:rFonts w:ascii="Times New Roman" w:eastAsia="Times New Roman" w:hAnsi="Times New Roman" w:cs="Traditional Arabic"/>
      <w:sz w:val="20"/>
      <w:szCs w:val="30"/>
    </w:rPr>
  </w:style>
  <w:style w:type="character" w:styleId="PageNumber">
    <w:name w:val="page number"/>
    <w:aliases w:val="7_GA"/>
    <w:qFormat/>
    <w:rsid w:val="00AB6758"/>
    <w:rPr>
      <w:rFonts w:ascii="Times New Roman" w:hAnsi="Times New Roman"/>
      <w:b/>
      <w:sz w:val="18"/>
    </w:rPr>
  </w:style>
  <w:style w:type="paragraph" w:customStyle="1" w:styleId="XXLargeGA">
    <w:name w:val="XXLarge_GA"/>
    <w:basedOn w:val="XLargeGA"/>
    <w:next w:val="Normal"/>
    <w:qFormat/>
    <w:rsid w:val="00AB6758"/>
    <w:pPr>
      <w:spacing w:line="820" w:lineRule="exact"/>
    </w:pPr>
    <w:rPr>
      <w:spacing w:val="-8"/>
      <w:w w:val="96"/>
      <w:sz w:val="57"/>
      <w:szCs w:val="86"/>
    </w:rPr>
  </w:style>
  <w:style w:type="character" w:customStyle="1" w:styleId="Heading2Char">
    <w:name w:val="Heading 2 Char"/>
    <w:link w:val="Heading2"/>
    <w:uiPriority w:val="9"/>
    <w:rsid w:val="00455780"/>
    <w:rPr>
      <w:rFonts w:ascii="Cambria" w:eastAsia="SimSun" w:hAnsi="Cambria" w:cs="Times New Roman"/>
      <w:b/>
      <w:bCs/>
      <w:color w:val="4F81BD"/>
      <w:sz w:val="26"/>
      <w:szCs w:val="26"/>
    </w:rPr>
  </w:style>
  <w:style w:type="character" w:styleId="BookTitle">
    <w:name w:val="Book Title"/>
    <w:uiPriority w:val="33"/>
    <w:rsid w:val="00455780"/>
    <w:rPr>
      <w:b/>
      <w:bCs/>
      <w:smallCaps/>
      <w:spacing w:val="5"/>
    </w:rPr>
  </w:style>
  <w:style w:type="character" w:customStyle="1" w:styleId="Heading3Char">
    <w:name w:val="Heading 3 Char"/>
    <w:link w:val="Heading3"/>
    <w:uiPriority w:val="9"/>
    <w:rsid w:val="00EC4B6B"/>
    <w:rPr>
      <w:rFonts w:ascii="Cambria" w:eastAsia="SimSun" w:hAnsi="Cambria" w:cs="Times New Roman"/>
      <w:b/>
      <w:bCs/>
      <w:color w:val="4F81BD"/>
      <w:sz w:val="20"/>
      <w:szCs w:val="30"/>
    </w:rPr>
  </w:style>
  <w:style w:type="character" w:customStyle="1" w:styleId="Heading4Char">
    <w:name w:val="Heading 4 Char"/>
    <w:link w:val="Heading4"/>
    <w:uiPriority w:val="9"/>
    <w:rsid w:val="00EC4B6B"/>
    <w:rPr>
      <w:rFonts w:ascii="Cambria" w:eastAsia="SimSun" w:hAnsi="Cambria" w:cs="Times New Roman"/>
      <w:b/>
      <w:bCs/>
      <w:i/>
      <w:iCs/>
      <w:color w:val="4F81BD"/>
      <w:sz w:val="20"/>
      <w:szCs w:val="30"/>
    </w:rPr>
  </w:style>
  <w:style w:type="character" w:customStyle="1" w:styleId="Heading5Char">
    <w:name w:val="Heading 5 Char"/>
    <w:link w:val="Heading5"/>
    <w:uiPriority w:val="9"/>
    <w:rsid w:val="00EC4B6B"/>
    <w:rPr>
      <w:rFonts w:ascii="Cambria" w:eastAsia="SimSun" w:hAnsi="Cambria" w:cs="Times New Roman"/>
      <w:color w:val="243F60"/>
      <w:sz w:val="20"/>
      <w:szCs w:val="30"/>
    </w:rPr>
  </w:style>
  <w:style w:type="character" w:customStyle="1" w:styleId="Heading6Char">
    <w:name w:val="Heading 6 Char"/>
    <w:link w:val="Heading6"/>
    <w:uiPriority w:val="9"/>
    <w:rsid w:val="00EC4B6B"/>
    <w:rPr>
      <w:rFonts w:ascii="Cambria" w:eastAsia="SimSun" w:hAnsi="Cambria" w:cs="Times New Roman"/>
      <w:i/>
      <w:iCs/>
      <w:color w:val="243F60"/>
      <w:sz w:val="20"/>
      <w:szCs w:val="30"/>
    </w:rPr>
  </w:style>
  <w:style w:type="character" w:customStyle="1" w:styleId="Heading7Char">
    <w:name w:val="Heading 7 Char"/>
    <w:link w:val="Heading7"/>
    <w:uiPriority w:val="9"/>
    <w:rsid w:val="00EC4B6B"/>
    <w:rPr>
      <w:rFonts w:ascii="Cambria" w:eastAsia="SimSun" w:hAnsi="Cambria" w:cs="Times New Roman"/>
      <w:i/>
      <w:iCs/>
      <w:color w:val="404040"/>
      <w:sz w:val="20"/>
      <w:szCs w:val="30"/>
    </w:rPr>
  </w:style>
  <w:style w:type="character" w:customStyle="1" w:styleId="Heading8Char">
    <w:name w:val="Heading 8 Char"/>
    <w:link w:val="Heading8"/>
    <w:uiPriority w:val="9"/>
    <w:rsid w:val="00EC4B6B"/>
    <w:rPr>
      <w:rFonts w:ascii="Cambria" w:eastAsia="SimSun" w:hAnsi="Cambria" w:cs="Times New Roman"/>
      <w:color w:val="404040"/>
      <w:sz w:val="20"/>
      <w:szCs w:val="20"/>
    </w:rPr>
  </w:style>
  <w:style w:type="character" w:customStyle="1" w:styleId="Heading9Char">
    <w:name w:val="Heading 9 Char"/>
    <w:link w:val="Heading9"/>
    <w:uiPriority w:val="9"/>
    <w:rsid w:val="00EC4B6B"/>
    <w:rPr>
      <w:rFonts w:ascii="Cambria" w:eastAsia="SimSun" w:hAnsi="Cambria" w:cs="Times New Roman"/>
      <w:i/>
      <w:iCs/>
      <w:color w:val="404040"/>
      <w:sz w:val="20"/>
      <w:szCs w:val="20"/>
    </w:rPr>
  </w:style>
  <w:style w:type="paragraph" w:styleId="Title">
    <w:name w:val="Title"/>
    <w:basedOn w:val="Normal"/>
    <w:next w:val="Normal"/>
    <w:link w:val="TitleChar"/>
    <w:uiPriority w:val="10"/>
    <w:rsid w:val="00EC4B6B"/>
    <w:pPr>
      <w:pBdr>
        <w:bottom w:val="single" w:sz="8" w:space="4" w:color="4F81BD"/>
      </w:pBdr>
      <w:spacing w:after="300" w:line="240" w:lineRule="auto"/>
      <w:contextualSpacing/>
    </w:pPr>
    <w:rPr>
      <w:rFonts w:ascii="Cambria" w:eastAsia="SimSun" w:hAnsi="Cambria" w:cs="Times New Roman"/>
      <w:color w:val="17365D"/>
      <w:spacing w:val="5"/>
      <w:kern w:val="28"/>
      <w:sz w:val="52"/>
      <w:szCs w:val="52"/>
    </w:rPr>
  </w:style>
  <w:style w:type="character" w:customStyle="1" w:styleId="TitleChar">
    <w:name w:val="Title Char"/>
    <w:link w:val="Title"/>
    <w:uiPriority w:val="10"/>
    <w:rsid w:val="00EC4B6B"/>
    <w:rPr>
      <w:rFonts w:ascii="Cambria" w:eastAsia="SimSun" w:hAnsi="Cambria" w:cs="Times New Roman"/>
      <w:color w:val="17365D"/>
      <w:spacing w:val="5"/>
      <w:kern w:val="28"/>
      <w:sz w:val="52"/>
      <w:szCs w:val="52"/>
    </w:rPr>
  </w:style>
  <w:style w:type="paragraph" w:styleId="Subtitle">
    <w:name w:val="Subtitle"/>
    <w:basedOn w:val="Normal"/>
    <w:next w:val="Normal"/>
    <w:link w:val="SubtitleChar"/>
    <w:uiPriority w:val="11"/>
    <w:rsid w:val="00EC4B6B"/>
    <w:pPr>
      <w:numPr>
        <w:ilvl w:val="1"/>
      </w:numPr>
    </w:pPr>
    <w:rPr>
      <w:rFonts w:ascii="Cambria" w:eastAsia="SimSun" w:hAnsi="Cambria" w:cs="Times New Roman"/>
      <w:i/>
      <w:iCs/>
      <w:color w:val="4F81BD"/>
      <w:spacing w:val="15"/>
      <w:sz w:val="24"/>
      <w:szCs w:val="24"/>
    </w:rPr>
  </w:style>
  <w:style w:type="character" w:customStyle="1" w:styleId="SubtitleChar">
    <w:name w:val="Subtitle Char"/>
    <w:link w:val="Subtitle"/>
    <w:uiPriority w:val="11"/>
    <w:rsid w:val="00EC4B6B"/>
    <w:rPr>
      <w:rFonts w:ascii="Cambria" w:eastAsia="SimSun" w:hAnsi="Cambria" w:cs="Times New Roman"/>
      <w:i/>
      <w:iCs/>
      <w:color w:val="4F81BD"/>
      <w:spacing w:val="15"/>
      <w:sz w:val="24"/>
      <w:szCs w:val="24"/>
    </w:rPr>
  </w:style>
  <w:style w:type="character" w:styleId="SubtleEmphasis">
    <w:name w:val="Subtle Emphasis"/>
    <w:uiPriority w:val="19"/>
    <w:rsid w:val="00EC4B6B"/>
    <w:rPr>
      <w:i/>
      <w:iCs/>
      <w:color w:val="808080"/>
    </w:rPr>
  </w:style>
  <w:style w:type="table" w:styleId="ColorfulGrid-Accent6">
    <w:name w:val="Colorful Grid Accent 6"/>
    <w:basedOn w:val="TableNormal"/>
    <w:uiPriority w:val="73"/>
    <w:rsid w:val="00EC4B6B"/>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styleId="Emphasis">
    <w:name w:val="Emphasis"/>
    <w:uiPriority w:val="20"/>
    <w:rsid w:val="003260FF"/>
    <w:rPr>
      <w:i/>
      <w:iCs/>
    </w:rPr>
  </w:style>
  <w:style w:type="character" w:styleId="IntenseEmphasis">
    <w:name w:val="Intense Emphasis"/>
    <w:uiPriority w:val="21"/>
    <w:rsid w:val="003260FF"/>
    <w:rPr>
      <w:b/>
      <w:bCs/>
      <w:i/>
      <w:iCs/>
      <w:color w:val="4F81BD"/>
    </w:rPr>
  </w:style>
  <w:style w:type="character" w:styleId="Strong">
    <w:name w:val="Strong"/>
    <w:uiPriority w:val="22"/>
    <w:rsid w:val="003260FF"/>
    <w:rPr>
      <w:b/>
      <w:bCs/>
    </w:rPr>
  </w:style>
  <w:style w:type="paragraph" w:styleId="Quote">
    <w:name w:val="Quote"/>
    <w:basedOn w:val="Normal"/>
    <w:next w:val="Normal"/>
    <w:link w:val="QuoteChar"/>
    <w:uiPriority w:val="29"/>
    <w:rsid w:val="003260FF"/>
    <w:rPr>
      <w:i/>
      <w:iCs/>
      <w:color w:val="000000"/>
    </w:rPr>
  </w:style>
  <w:style w:type="character" w:customStyle="1" w:styleId="QuoteChar">
    <w:name w:val="Quote Char"/>
    <w:link w:val="Quote"/>
    <w:uiPriority w:val="29"/>
    <w:rsid w:val="003260FF"/>
    <w:rPr>
      <w:rFonts w:ascii="Times New Roman" w:hAnsi="Times New Roman" w:cs="Traditional Arabic"/>
      <w:i/>
      <w:iCs/>
      <w:color w:val="000000"/>
      <w:sz w:val="20"/>
      <w:szCs w:val="30"/>
    </w:rPr>
  </w:style>
  <w:style w:type="paragraph" w:styleId="IntenseQuote">
    <w:name w:val="Intense Quote"/>
    <w:basedOn w:val="Normal"/>
    <w:next w:val="Normal"/>
    <w:link w:val="IntenseQuoteChar"/>
    <w:uiPriority w:val="30"/>
    <w:rsid w:val="003260F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260FF"/>
    <w:rPr>
      <w:rFonts w:ascii="Times New Roman" w:hAnsi="Times New Roman" w:cs="Traditional Arabic"/>
      <w:b/>
      <w:bCs/>
      <w:i/>
      <w:iCs/>
      <w:color w:val="4F81BD"/>
      <w:sz w:val="20"/>
      <w:szCs w:val="30"/>
    </w:rPr>
  </w:style>
  <w:style w:type="character" w:styleId="SubtleReference">
    <w:name w:val="Subtle Reference"/>
    <w:uiPriority w:val="31"/>
    <w:rsid w:val="003260FF"/>
    <w:rPr>
      <w:smallCaps/>
      <w:color w:val="C0504D"/>
      <w:u w:val="single"/>
    </w:rPr>
  </w:style>
  <w:style w:type="character" w:styleId="IntenseReference">
    <w:name w:val="Intense Reference"/>
    <w:uiPriority w:val="32"/>
    <w:rsid w:val="003260FF"/>
    <w:rPr>
      <w:b/>
      <w:bCs/>
      <w:smallCaps/>
      <w:color w:val="C0504D"/>
      <w:spacing w:val="5"/>
      <w:u w:val="single"/>
    </w:rPr>
  </w:style>
  <w:style w:type="paragraph" w:styleId="ListParagraph">
    <w:name w:val="List Paragraph"/>
    <w:basedOn w:val="Normal"/>
    <w:uiPriority w:val="34"/>
    <w:rsid w:val="003260FF"/>
    <w:pPr>
      <w:ind w:left="720"/>
      <w:contextualSpacing/>
    </w:pPr>
  </w:style>
  <w:style w:type="table" w:styleId="MediumShading1-Accent4">
    <w:name w:val="Medium Shading 1 Accent 4"/>
    <w:basedOn w:val="TableNormal"/>
    <w:uiPriority w:val="63"/>
    <w:rsid w:val="003260F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styleId="EndnoteReference">
    <w:name w:val="endnote reference"/>
    <w:uiPriority w:val="99"/>
    <w:semiHidden/>
    <w:unhideWhenUsed/>
    <w:rsid w:val="00F900C3"/>
    <w:rPr>
      <w:vertAlign w:val="superscript"/>
    </w:rPr>
  </w:style>
  <w:style w:type="table" w:styleId="TableGrid">
    <w:name w:val="Table Grid"/>
    <w:basedOn w:val="TableNormal"/>
    <w:rsid w:val="006B3E27"/>
    <w:pPr>
      <w:bidi/>
      <w:jc w:val="lowKashida"/>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3E27"/>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6B3E27"/>
    <w:rPr>
      <w:rFonts w:ascii="Tahoma" w:hAnsi="Tahoma" w:cs="Tahoma"/>
      <w:sz w:val="16"/>
      <w:szCs w:val="16"/>
    </w:rPr>
  </w:style>
  <w:style w:type="paragraph" w:customStyle="1" w:styleId="HChG">
    <w:name w:val="_ H _Ch_G"/>
    <w:basedOn w:val="Normal"/>
    <w:next w:val="Normal"/>
    <w:rsid w:val="00CE615B"/>
    <w:pPr>
      <w:keepNext/>
      <w:keepLines/>
      <w:tabs>
        <w:tab w:val="right" w:pos="851"/>
      </w:tabs>
      <w:suppressAutoHyphens/>
      <w:bidi w:val="0"/>
      <w:spacing w:before="360" w:after="240" w:line="300" w:lineRule="exact"/>
      <w:ind w:left="1134" w:right="1134" w:hanging="1134"/>
      <w:jc w:val="left"/>
    </w:pPr>
    <w:rPr>
      <w:rFonts w:eastAsia="SimSun" w:hAnsi="Calibri" w:hint="cs"/>
      <w:b/>
      <w:sz w:val="28"/>
      <w:lang w:val="en-GB"/>
    </w:rPr>
  </w:style>
  <w:style w:type="paragraph" w:customStyle="1" w:styleId="SingleTxtG">
    <w:name w:val="_ Single Txt_G"/>
    <w:basedOn w:val="Normal"/>
    <w:rsid w:val="00CE615B"/>
    <w:pPr>
      <w:suppressAutoHyphens/>
      <w:bidi w:val="0"/>
      <w:spacing w:after="120"/>
      <w:ind w:left="1134" w:right="1134"/>
      <w:jc w:val="both"/>
    </w:pPr>
    <w:rPr>
      <w:rFonts w:eastAsia="SimSun" w:hAnsi="Calibri" w:hint="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91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81F406A-6519-43CF-9EB0-7B772C1E010F}">
  <ds:schemaRefs>
    <ds:schemaRef ds:uri="http://schemas.openxmlformats.org/officeDocument/2006/bibliography"/>
  </ds:schemaRefs>
</ds:datastoreItem>
</file>

<file path=customXml/itemProps2.xml><?xml version="1.0" encoding="utf-8"?>
<ds:datastoreItem xmlns:ds="http://schemas.openxmlformats.org/officeDocument/2006/customXml" ds:itemID="{E890148F-BEAF-4D81-ADFF-8298E11A5E93}"/>
</file>

<file path=customXml/itemProps3.xml><?xml version="1.0" encoding="utf-8"?>
<ds:datastoreItem xmlns:ds="http://schemas.openxmlformats.org/officeDocument/2006/customXml" ds:itemID="{07FA8554-5A10-486A-8FF2-F58FD3A6D538}"/>
</file>

<file path=customXml/itemProps4.xml><?xml version="1.0" encoding="utf-8"?>
<ds:datastoreItem xmlns:ds="http://schemas.openxmlformats.org/officeDocument/2006/customXml" ds:itemID="{45552DC7-1523-4094-A2F0-B5003A17DED8}"/>
</file>

<file path=docProps/app.xml><?xml version="1.0" encoding="utf-8"?>
<Properties xmlns="http://schemas.openxmlformats.org/officeDocument/2006/extended-properties" xmlns:vt="http://schemas.openxmlformats.org/officeDocument/2006/docPropsVTypes">
  <Template>CCPR.dotm</Template>
  <TotalTime>0</TotalTime>
  <Pages>3</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CCPR/C/128/2</vt:lpstr>
    </vt:vector>
  </TitlesOfParts>
  <Company>DCM</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CCPR/C/128/2</dc:title>
  <dc:subject>GE.</dc:subject>
  <dc:creator>IBAL</dc:creator>
  <cp:keywords>ODS No.</cp:keywords>
  <dc:description>Distr.: General_x000d_
30 April 2020_x000d_
Original: English</dc:description>
  <cp:lastModifiedBy>RAMAMONJISOA Nosy</cp:lastModifiedBy>
  <cp:revision>2</cp:revision>
  <cp:lastPrinted>2020-05-01T07:00:00Z</cp:lastPrinted>
  <dcterms:created xsi:type="dcterms:W3CDTF">2020-05-21T09:36:00Z</dcterms:created>
  <dcterms:modified xsi:type="dcterms:W3CDTF">2020-05-21T09:36:00Z</dcterms:modified>
  <cp:category>Finale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