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DC" w:rsidRDefault="00905ADC" w:rsidP="007B6F62">
      <w:pPr>
        <w:spacing w:line="276" w:lineRule="auto"/>
        <w:jc w:val="center"/>
        <w:rPr>
          <w:rFonts w:ascii="Arial" w:hAnsi="Arial" w:cs="Arial"/>
          <w:noProof/>
        </w:rPr>
      </w:pPr>
    </w:p>
    <w:p w:rsidR="00CC0A0F" w:rsidRPr="00BE2697" w:rsidRDefault="002B21CE" w:rsidP="007B6F62">
      <w:pPr>
        <w:spacing w:line="276" w:lineRule="auto"/>
        <w:jc w:val="center"/>
        <w:rPr>
          <w:rFonts w:ascii="Arial" w:hAnsi="Arial" w:cs="Arial"/>
          <w:sz w:val="22"/>
        </w:rPr>
      </w:pPr>
      <w:r w:rsidRPr="00BE2697">
        <w:rPr>
          <w:rFonts w:ascii="Arial" w:hAnsi="Arial" w:cs="Arial"/>
          <w:noProof/>
        </w:rPr>
        <w:drawing>
          <wp:inline distT="0" distB="0" distL="0" distR="0">
            <wp:extent cx="2909639" cy="2156347"/>
            <wp:effectExtent l="19050" t="0" r="5011" b="0"/>
            <wp:docPr id="2" name="Picture 1" descr="C:\Users\pcoleman\AppData\Local\Microsoft\Windows\Temporary Internet Files\Content.Word\logoADF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oleman\AppData\Local\Microsoft\Windows\Temporary Internet Files\Content.Word\logoADFint.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14143" cy="2159685"/>
                    </a:xfrm>
                    <a:prstGeom prst="rect">
                      <a:avLst/>
                    </a:prstGeom>
                    <a:noFill/>
                    <a:ln>
                      <a:noFill/>
                    </a:ln>
                  </pic:spPr>
                </pic:pic>
              </a:graphicData>
            </a:graphic>
          </wp:inline>
        </w:drawing>
      </w:r>
    </w:p>
    <w:p w:rsidR="00CC0A0F" w:rsidRPr="00BE2697" w:rsidRDefault="00CC0A0F" w:rsidP="007B6F62">
      <w:pPr>
        <w:spacing w:line="276" w:lineRule="auto"/>
        <w:jc w:val="center"/>
        <w:rPr>
          <w:rFonts w:ascii="Arial" w:hAnsi="Arial" w:cs="Arial"/>
          <w:sz w:val="22"/>
        </w:rPr>
      </w:pPr>
    </w:p>
    <w:p w:rsidR="00CC0A0F" w:rsidRPr="00BE2697" w:rsidRDefault="00CC0A0F" w:rsidP="007B6F62">
      <w:pPr>
        <w:spacing w:line="276" w:lineRule="auto"/>
        <w:jc w:val="center"/>
        <w:rPr>
          <w:rFonts w:ascii="Arial" w:hAnsi="Arial" w:cs="Arial"/>
          <w:i/>
          <w:sz w:val="22"/>
        </w:rPr>
      </w:pPr>
      <w:r w:rsidRPr="00BE2697">
        <w:rPr>
          <w:rFonts w:ascii="Arial" w:hAnsi="Arial" w:cs="Arial"/>
          <w:i/>
          <w:sz w:val="22"/>
        </w:rPr>
        <w:t>ECOSOC Special Consultative Status (2010)</w:t>
      </w:r>
    </w:p>
    <w:p w:rsidR="00CC0A0F" w:rsidRPr="00BE2697" w:rsidRDefault="00CC0A0F" w:rsidP="007B6F62">
      <w:pPr>
        <w:spacing w:line="276" w:lineRule="auto"/>
        <w:jc w:val="center"/>
        <w:rPr>
          <w:rFonts w:ascii="Arial" w:hAnsi="Arial" w:cs="Arial"/>
          <w:i/>
          <w:sz w:val="22"/>
        </w:rPr>
      </w:pPr>
    </w:p>
    <w:p w:rsidR="00CC0A0F" w:rsidRPr="00BE2697" w:rsidRDefault="00CC0A0F" w:rsidP="007B6F62">
      <w:pPr>
        <w:spacing w:line="276" w:lineRule="auto"/>
        <w:jc w:val="center"/>
        <w:rPr>
          <w:rFonts w:ascii="Arial" w:hAnsi="Arial" w:cs="Arial"/>
          <w:i/>
          <w:sz w:val="22"/>
        </w:rPr>
      </w:pPr>
    </w:p>
    <w:p w:rsidR="00CC0A0F" w:rsidRPr="00BE2697" w:rsidRDefault="00CC0A0F" w:rsidP="007B6F62">
      <w:pPr>
        <w:spacing w:line="276" w:lineRule="auto"/>
        <w:jc w:val="center"/>
        <w:rPr>
          <w:rFonts w:ascii="Arial" w:hAnsi="Arial" w:cs="Arial"/>
          <w:i/>
          <w:sz w:val="22"/>
        </w:rPr>
      </w:pPr>
    </w:p>
    <w:p w:rsidR="00CC0A0F" w:rsidRPr="00BE2697" w:rsidRDefault="00CC0A0F" w:rsidP="007B6F62">
      <w:pPr>
        <w:spacing w:line="276" w:lineRule="auto"/>
        <w:jc w:val="center"/>
        <w:rPr>
          <w:rFonts w:ascii="Arial" w:hAnsi="Arial" w:cs="Arial"/>
          <w:i/>
          <w:sz w:val="22"/>
        </w:rPr>
      </w:pPr>
    </w:p>
    <w:p w:rsidR="00CC0A0F" w:rsidRDefault="00CC0A0F" w:rsidP="007B6F62">
      <w:pPr>
        <w:spacing w:line="276" w:lineRule="auto"/>
        <w:jc w:val="center"/>
        <w:rPr>
          <w:rFonts w:ascii="Arial" w:hAnsi="Arial" w:cs="Arial"/>
          <w:i/>
          <w:sz w:val="22"/>
        </w:rPr>
      </w:pPr>
    </w:p>
    <w:p w:rsidR="009E1577" w:rsidRPr="00BE2697" w:rsidRDefault="009E1577" w:rsidP="007B6F62">
      <w:pPr>
        <w:spacing w:line="276" w:lineRule="auto"/>
        <w:jc w:val="center"/>
        <w:rPr>
          <w:rFonts w:ascii="Arial" w:hAnsi="Arial" w:cs="Arial"/>
          <w:i/>
          <w:sz w:val="22"/>
        </w:rPr>
      </w:pPr>
    </w:p>
    <w:p w:rsidR="00CC0A0F" w:rsidRPr="00BE2697" w:rsidRDefault="00CC0A0F" w:rsidP="007B6F62">
      <w:pPr>
        <w:spacing w:line="276" w:lineRule="auto"/>
        <w:jc w:val="center"/>
        <w:rPr>
          <w:rFonts w:ascii="Arial" w:hAnsi="Arial" w:cs="Arial"/>
          <w:i/>
          <w:sz w:val="22"/>
        </w:rPr>
      </w:pPr>
    </w:p>
    <w:p w:rsidR="00CC0A0F" w:rsidRPr="00BE2697" w:rsidRDefault="006F5209" w:rsidP="007B6F62">
      <w:pPr>
        <w:spacing w:line="276" w:lineRule="auto"/>
        <w:jc w:val="center"/>
        <w:rPr>
          <w:rFonts w:ascii="Arial" w:hAnsi="Arial" w:cs="Arial"/>
          <w:sz w:val="22"/>
        </w:rPr>
      </w:pPr>
      <w:r w:rsidRPr="00BE2697">
        <w:rPr>
          <w:rFonts w:ascii="Arial" w:hAnsi="Arial" w:cs="Arial"/>
          <w:sz w:val="22"/>
        </w:rPr>
        <w:t>HUMAN RIGHTS COMMITTEE</w:t>
      </w:r>
    </w:p>
    <w:p w:rsidR="00CC0A0F" w:rsidRPr="00BE2697" w:rsidRDefault="00CC0A0F" w:rsidP="007B6F62">
      <w:pPr>
        <w:spacing w:line="276" w:lineRule="auto"/>
        <w:jc w:val="center"/>
        <w:rPr>
          <w:rFonts w:ascii="Arial" w:hAnsi="Arial" w:cs="Arial"/>
          <w:sz w:val="22"/>
        </w:rPr>
      </w:pPr>
    </w:p>
    <w:p w:rsidR="006F5209" w:rsidRPr="00BE2697" w:rsidRDefault="006F5209" w:rsidP="007B6F62">
      <w:pPr>
        <w:spacing w:line="276" w:lineRule="auto"/>
        <w:jc w:val="center"/>
        <w:rPr>
          <w:rFonts w:ascii="Arial" w:hAnsi="Arial" w:cs="Arial"/>
          <w:b/>
          <w:sz w:val="22"/>
          <w:lang w:val="en-GB"/>
        </w:rPr>
      </w:pPr>
      <w:r w:rsidRPr="00BE2697">
        <w:rPr>
          <w:rFonts w:ascii="Arial" w:hAnsi="Arial" w:cs="Arial"/>
          <w:b/>
          <w:sz w:val="22"/>
          <w:lang w:val="en-GB"/>
        </w:rPr>
        <w:t>Contribution to the General Discussion on the preparation for General Comment No.36 Article 6 of the ICCPR: Right to life</w:t>
      </w:r>
    </w:p>
    <w:p w:rsidR="00CC0A0F" w:rsidRPr="00BE2697" w:rsidRDefault="00CC0A0F" w:rsidP="007B6F62">
      <w:pPr>
        <w:spacing w:line="276" w:lineRule="auto"/>
        <w:jc w:val="center"/>
        <w:rPr>
          <w:rFonts w:ascii="Arial" w:hAnsi="Arial" w:cs="Arial"/>
          <w:b/>
          <w:sz w:val="22"/>
        </w:rPr>
      </w:pPr>
    </w:p>
    <w:p w:rsidR="00CC0A0F" w:rsidRPr="00BE2697" w:rsidRDefault="006F5209" w:rsidP="007B6F62">
      <w:pPr>
        <w:spacing w:line="276" w:lineRule="auto"/>
        <w:jc w:val="center"/>
        <w:rPr>
          <w:rFonts w:ascii="Arial" w:hAnsi="Arial" w:cs="Arial"/>
          <w:b/>
          <w:sz w:val="22"/>
        </w:rPr>
      </w:pPr>
      <w:r w:rsidRPr="00BE2697">
        <w:rPr>
          <w:rFonts w:ascii="Arial" w:hAnsi="Arial" w:cs="Arial"/>
          <w:b/>
          <w:sz w:val="22"/>
        </w:rPr>
        <w:t>12 June</w:t>
      </w:r>
      <w:r w:rsidR="00CC0A0F" w:rsidRPr="00BE2697">
        <w:rPr>
          <w:rFonts w:ascii="Arial" w:hAnsi="Arial" w:cs="Arial"/>
          <w:b/>
          <w:sz w:val="22"/>
        </w:rPr>
        <w:t xml:space="preserve"> 2015, Geneva, Switzerland</w:t>
      </w:r>
    </w:p>
    <w:p w:rsidR="00CC0A0F" w:rsidRPr="00BE2697" w:rsidRDefault="00CC0A0F" w:rsidP="007B6F62">
      <w:pPr>
        <w:spacing w:line="276" w:lineRule="auto"/>
        <w:jc w:val="center"/>
        <w:rPr>
          <w:rFonts w:ascii="Arial" w:hAnsi="Arial" w:cs="Arial"/>
          <w:b/>
          <w:sz w:val="22"/>
        </w:rPr>
      </w:pPr>
    </w:p>
    <w:p w:rsidR="00CC0A0F" w:rsidRPr="00BE2697" w:rsidRDefault="00CC0A0F" w:rsidP="007B6F62">
      <w:pPr>
        <w:spacing w:line="276" w:lineRule="auto"/>
        <w:jc w:val="center"/>
        <w:rPr>
          <w:rFonts w:ascii="Arial" w:hAnsi="Arial" w:cs="Arial"/>
          <w:b/>
          <w:sz w:val="22"/>
        </w:rPr>
      </w:pPr>
    </w:p>
    <w:p w:rsidR="00CC0A0F" w:rsidRPr="00BE2697" w:rsidRDefault="00CC0A0F" w:rsidP="007B6F62">
      <w:pPr>
        <w:spacing w:line="276" w:lineRule="auto"/>
        <w:jc w:val="center"/>
        <w:rPr>
          <w:rFonts w:ascii="Arial" w:hAnsi="Arial" w:cs="Arial"/>
          <w:b/>
          <w:sz w:val="22"/>
        </w:rPr>
      </w:pPr>
    </w:p>
    <w:p w:rsidR="00CC0A0F" w:rsidRDefault="00CC0A0F" w:rsidP="007B6F62">
      <w:pPr>
        <w:spacing w:line="276" w:lineRule="auto"/>
        <w:jc w:val="center"/>
        <w:rPr>
          <w:rFonts w:ascii="Arial" w:hAnsi="Arial" w:cs="Arial"/>
          <w:b/>
          <w:sz w:val="22"/>
        </w:rPr>
      </w:pPr>
    </w:p>
    <w:p w:rsidR="009E1577" w:rsidRDefault="009E1577" w:rsidP="007B6F62">
      <w:pPr>
        <w:spacing w:line="276" w:lineRule="auto"/>
        <w:jc w:val="center"/>
        <w:rPr>
          <w:rFonts w:ascii="Arial" w:hAnsi="Arial" w:cs="Arial"/>
          <w:b/>
          <w:sz w:val="22"/>
        </w:rPr>
      </w:pPr>
    </w:p>
    <w:p w:rsidR="009E1577" w:rsidRDefault="009E1577" w:rsidP="007B6F62">
      <w:pPr>
        <w:spacing w:line="276" w:lineRule="auto"/>
        <w:jc w:val="center"/>
        <w:rPr>
          <w:rFonts w:ascii="Arial" w:hAnsi="Arial" w:cs="Arial"/>
          <w:b/>
          <w:sz w:val="22"/>
        </w:rPr>
      </w:pPr>
    </w:p>
    <w:p w:rsidR="009E1577" w:rsidRDefault="009E1577" w:rsidP="007B6F62">
      <w:pPr>
        <w:spacing w:line="276" w:lineRule="auto"/>
        <w:jc w:val="center"/>
        <w:rPr>
          <w:rFonts w:ascii="Arial" w:hAnsi="Arial" w:cs="Arial"/>
          <w:b/>
          <w:sz w:val="22"/>
        </w:rPr>
      </w:pPr>
    </w:p>
    <w:p w:rsidR="009E1577" w:rsidRDefault="009E1577" w:rsidP="007B6F62">
      <w:pPr>
        <w:spacing w:line="276" w:lineRule="auto"/>
        <w:jc w:val="center"/>
        <w:rPr>
          <w:rFonts w:ascii="Arial" w:hAnsi="Arial" w:cs="Arial"/>
          <w:b/>
          <w:sz w:val="22"/>
        </w:rPr>
      </w:pPr>
    </w:p>
    <w:p w:rsidR="009E1577" w:rsidRPr="00BE2697" w:rsidRDefault="009E1577" w:rsidP="007B6F62">
      <w:pPr>
        <w:spacing w:line="276" w:lineRule="auto"/>
        <w:jc w:val="center"/>
        <w:rPr>
          <w:rFonts w:ascii="Arial" w:hAnsi="Arial" w:cs="Arial"/>
          <w:b/>
          <w:sz w:val="22"/>
        </w:rPr>
      </w:pPr>
    </w:p>
    <w:p w:rsidR="00CC0A0F" w:rsidRPr="00BE2697" w:rsidRDefault="00CC0A0F" w:rsidP="007B6F62">
      <w:pPr>
        <w:spacing w:line="276" w:lineRule="auto"/>
        <w:jc w:val="center"/>
        <w:rPr>
          <w:rFonts w:ascii="Arial" w:hAnsi="Arial" w:cs="Arial"/>
          <w:b/>
          <w:sz w:val="22"/>
        </w:rPr>
      </w:pPr>
    </w:p>
    <w:p w:rsidR="00002AF5" w:rsidRPr="00BE2697" w:rsidRDefault="00002AF5" w:rsidP="007B6F62">
      <w:pPr>
        <w:spacing w:line="276" w:lineRule="auto"/>
        <w:jc w:val="center"/>
        <w:rPr>
          <w:rFonts w:ascii="Arial" w:hAnsi="Arial" w:cs="Arial"/>
          <w:sz w:val="22"/>
        </w:rPr>
      </w:pPr>
      <w:r w:rsidRPr="00BE2697">
        <w:rPr>
          <w:rFonts w:ascii="Arial" w:hAnsi="Arial" w:cs="Arial"/>
          <w:sz w:val="22"/>
        </w:rPr>
        <w:t>Submission by:</w:t>
      </w:r>
    </w:p>
    <w:p w:rsidR="00002AF5" w:rsidRPr="00BE2697" w:rsidRDefault="00002AF5" w:rsidP="007B6F62">
      <w:pPr>
        <w:spacing w:line="276" w:lineRule="auto"/>
        <w:jc w:val="center"/>
        <w:rPr>
          <w:rFonts w:ascii="Arial" w:hAnsi="Arial" w:cs="Arial"/>
          <w:sz w:val="22"/>
        </w:rPr>
      </w:pPr>
    </w:p>
    <w:p w:rsidR="00002AF5" w:rsidRPr="00BE2697" w:rsidRDefault="00002AF5" w:rsidP="007B6F62">
      <w:pPr>
        <w:spacing w:line="276" w:lineRule="auto"/>
        <w:jc w:val="center"/>
        <w:rPr>
          <w:rFonts w:ascii="Arial" w:hAnsi="Arial" w:cs="Arial"/>
          <w:sz w:val="22"/>
        </w:rPr>
      </w:pPr>
      <w:r w:rsidRPr="00BE2697">
        <w:rPr>
          <w:rFonts w:ascii="Arial" w:hAnsi="Arial" w:cs="Arial"/>
          <w:sz w:val="22"/>
        </w:rPr>
        <w:t>ADF International</w:t>
      </w:r>
    </w:p>
    <w:p w:rsidR="00002AF5" w:rsidRPr="00BE2697" w:rsidRDefault="00002AF5" w:rsidP="007B6F62">
      <w:pPr>
        <w:spacing w:line="276" w:lineRule="auto"/>
        <w:jc w:val="center"/>
        <w:rPr>
          <w:rFonts w:ascii="Arial" w:hAnsi="Arial" w:cs="Arial"/>
          <w:sz w:val="22"/>
        </w:rPr>
      </w:pPr>
      <w:r w:rsidRPr="00BE2697">
        <w:rPr>
          <w:rFonts w:ascii="Arial" w:hAnsi="Arial" w:cs="Arial"/>
          <w:sz w:val="22"/>
        </w:rPr>
        <w:t xml:space="preserve">28, Ch. du Petit </w:t>
      </w:r>
      <w:proofErr w:type="spellStart"/>
      <w:r w:rsidRPr="00BE2697">
        <w:rPr>
          <w:rFonts w:ascii="Arial" w:hAnsi="Arial" w:cs="Arial"/>
          <w:sz w:val="22"/>
        </w:rPr>
        <w:t>Saconnex</w:t>
      </w:r>
      <w:proofErr w:type="spellEnd"/>
    </w:p>
    <w:p w:rsidR="00002AF5" w:rsidRPr="00BE2697" w:rsidRDefault="00002AF5" w:rsidP="007B6F62">
      <w:pPr>
        <w:spacing w:line="276" w:lineRule="auto"/>
        <w:jc w:val="center"/>
        <w:rPr>
          <w:rFonts w:ascii="Arial" w:hAnsi="Arial" w:cs="Arial"/>
          <w:sz w:val="22"/>
        </w:rPr>
      </w:pPr>
      <w:r w:rsidRPr="00BE2697">
        <w:rPr>
          <w:rFonts w:ascii="Arial" w:hAnsi="Arial" w:cs="Arial"/>
          <w:sz w:val="22"/>
        </w:rPr>
        <w:t>1209 Geneva, Switzerland</w:t>
      </w:r>
    </w:p>
    <w:p w:rsidR="00002AF5" w:rsidRPr="00BE2697" w:rsidRDefault="00002AF5" w:rsidP="007B6F62">
      <w:pPr>
        <w:spacing w:line="276" w:lineRule="auto"/>
        <w:jc w:val="center"/>
        <w:rPr>
          <w:rFonts w:ascii="Arial" w:hAnsi="Arial" w:cs="Arial"/>
          <w:sz w:val="22"/>
        </w:rPr>
      </w:pPr>
    </w:p>
    <w:p w:rsidR="00002AF5" w:rsidRPr="00BE2697" w:rsidRDefault="00002AF5" w:rsidP="007B6F62">
      <w:pPr>
        <w:spacing w:line="276" w:lineRule="auto"/>
        <w:jc w:val="center"/>
        <w:rPr>
          <w:rFonts w:ascii="Arial" w:hAnsi="Arial" w:cs="Arial"/>
          <w:sz w:val="22"/>
        </w:rPr>
      </w:pPr>
      <w:r w:rsidRPr="00BE2697">
        <w:rPr>
          <w:rFonts w:ascii="Arial" w:hAnsi="Arial" w:cs="Arial"/>
          <w:sz w:val="22"/>
        </w:rPr>
        <w:t>Web: www.adfinternational.org</w:t>
      </w:r>
    </w:p>
    <w:p w:rsidR="00002AF5" w:rsidRPr="00BE2697" w:rsidRDefault="00002AF5" w:rsidP="007B6F62">
      <w:pPr>
        <w:spacing w:line="276" w:lineRule="auto"/>
        <w:jc w:val="center"/>
        <w:rPr>
          <w:rFonts w:ascii="Arial" w:hAnsi="Arial" w:cs="Arial"/>
          <w:sz w:val="22"/>
        </w:rPr>
      </w:pPr>
      <w:r w:rsidRPr="00BE2697">
        <w:rPr>
          <w:rFonts w:ascii="Arial" w:hAnsi="Arial" w:cs="Arial"/>
          <w:sz w:val="22"/>
        </w:rPr>
        <w:t xml:space="preserve">Email: </w:t>
      </w:r>
      <w:r w:rsidR="005D3363" w:rsidRPr="00BE2697">
        <w:rPr>
          <w:rFonts w:ascii="Arial" w:hAnsi="Arial" w:cs="Arial"/>
          <w:sz w:val="22"/>
        </w:rPr>
        <w:t>pcoleman</w:t>
      </w:r>
      <w:r w:rsidRPr="00BE2697">
        <w:rPr>
          <w:rFonts w:ascii="Arial" w:hAnsi="Arial" w:cs="Arial"/>
          <w:sz w:val="22"/>
        </w:rPr>
        <w:t>@adfinternational.org</w:t>
      </w:r>
    </w:p>
    <w:p w:rsidR="00CC0A0F" w:rsidRPr="00BE2697" w:rsidRDefault="00CC0A0F" w:rsidP="007B6F62">
      <w:pPr>
        <w:spacing w:line="276" w:lineRule="auto"/>
        <w:jc w:val="both"/>
        <w:rPr>
          <w:rFonts w:ascii="Arial" w:hAnsi="Arial" w:cs="Arial"/>
          <w:sz w:val="22"/>
        </w:rPr>
        <w:sectPr w:rsidR="00CC0A0F" w:rsidRPr="00BE2697" w:rsidSect="008658EA">
          <w:footerReference w:type="even" r:id="rId9"/>
          <w:footerReference w:type="default" r:id="rId10"/>
          <w:pgSz w:w="11900" w:h="16840"/>
          <w:pgMar w:top="1440" w:right="1418" w:bottom="1440" w:left="1418" w:header="709" w:footer="1134" w:gutter="0"/>
          <w:cols w:space="708"/>
          <w:titlePg/>
          <w:docGrid w:linePitch="360"/>
        </w:sectPr>
      </w:pPr>
    </w:p>
    <w:p w:rsidR="00002AF5" w:rsidRPr="00BE2697" w:rsidRDefault="00002AF5" w:rsidP="007B6F62">
      <w:pPr>
        <w:pStyle w:val="CourtNumberedpara"/>
        <w:numPr>
          <w:ilvl w:val="0"/>
          <w:numId w:val="0"/>
        </w:numPr>
        <w:spacing w:line="276" w:lineRule="auto"/>
        <w:jc w:val="both"/>
        <w:rPr>
          <w:rFonts w:ascii="Arial" w:hAnsi="Arial" w:cs="Arial"/>
          <w:b/>
          <w:sz w:val="22"/>
        </w:rPr>
      </w:pPr>
      <w:r w:rsidRPr="00BE2697">
        <w:rPr>
          <w:rFonts w:ascii="Arial" w:hAnsi="Arial" w:cs="Arial"/>
          <w:b/>
          <w:sz w:val="22"/>
        </w:rPr>
        <w:lastRenderedPageBreak/>
        <w:t>Introduction</w:t>
      </w:r>
    </w:p>
    <w:p w:rsidR="008D3667" w:rsidRDefault="00083FA3" w:rsidP="007B6F62">
      <w:pPr>
        <w:pStyle w:val="CourtNumberedpara"/>
        <w:spacing w:line="276" w:lineRule="auto"/>
        <w:jc w:val="both"/>
        <w:rPr>
          <w:rFonts w:ascii="Arial" w:hAnsi="Arial" w:cs="Arial"/>
          <w:sz w:val="22"/>
        </w:rPr>
      </w:pPr>
      <w:r w:rsidRPr="00BE2697">
        <w:rPr>
          <w:rFonts w:ascii="Arial" w:hAnsi="Arial" w:cs="Arial"/>
          <w:sz w:val="22"/>
        </w:rPr>
        <w:t xml:space="preserve">ADF International is a global alliance-building legal organization that advocates for religious freedom, life, and marriage </w:t>
      </w:r>
      <w:r w:rsidR="00C64D4A" w:rsidRPr="00BE2697">
        <w:rPr>
          <w:rFonts w:ascii="Arial" w:hAnsi="Arial" w:cs="Arial"/>
          <w:sz w:val="22"/>
        </w:rPr>
        <w:t xml:space="preserve">and </w:t>
      </w:r>
      <w:r w:rsidRPr="00BE2697">
        <w:rPr>
          <w:rFonts w:ascii="Arial" w:hAnsi="Arial" w:cs="Arial"/>
          <w:sz w:val="22"/>
        </w:rPr>
        <w:t xml:space="preserve">family before national </w:t>
      </w:r>
      <w:r w:rsidR="00C64D4A" w:rsidRPr="00BE2697">
        <w:rPr>
          <w:rFonts w:ascii="Arial" w:hAnsi="Arial" w:cs="Arial"/>
          <w:sz w:val="22"/>
        </w:rPr>
        <w:t xml:space="preserve">and </w:t>
      </w:r>
      <w:r w:rsidRPr="00BE2697">
        <w:rPr>
          <w:rFonts w:ascii="Arial" w:hAnsi="Arial" w:cs="Arial"/>
          <w:sz w:val="22"/>
        </w:rPr>
        <w:t>international institutions.</w:t>
      </w:r>
      <w:r w:rsidR="00AA274F" w:rsidRPr="00BE2697">
        <w:rPr>
          <w:rFonts w:ascii="Arial" w:hAnsi="Arial" w:cs="Arial"/>
          <w:sz w:val="22"/>
        </w:rPr>
        <w:t xml:space="preserve"> As well as having ECOSOC consultative status with the United Nations (registered name “Alliance Defending Freedom”), ADF International has accreditation with the European Commission and Parliament, the Fundamental Rights Agency of the European Union, the Organization for Secu</w:t>
      </w:r>
      <w:r w:rsidR="00FA74F0" w:rsidRPr="00BE2697">
        <w:rPr>
          <w:rFonts w:ascii="Arial" w:hAnsi="Arial" w:cs="Arial"/>
          <w:sz w:val="22"/>
        </w:rPr>
        <w:t>rity and Co-operation in Europe, and Organization of American States.</w:t>
      </w:r>
    </w:p>
    <w:p w:rsidR="0067582D" w:rsidRPr="0067582D" w:rsidRDefault="0067582D" w:rsidP="0067582D">
      <w:pPr>
        <w:pStyle w:val="CourtNumberedpara"/>
        <w:spacing w:line="276" w:lineRule="auto"/>
        <w:jc w:val="both"/>
        <w:rPr>
          <w:rFonts w:ascii="Arial" w:hAnsi="Arial" w:cs="Arial"/>
          <w:sz w:val="22"/>
        </w:rPr>
      </w:pPr>
      <w:r w:rsidRPr="0067582D">
        <w:rPr>
          <w:rFonts w:ascii="Arial" w:hAnsi="Arial" w:cs="Arial"/>
          <w:sz w:val="22"/>
        </w:rPr>
        <w:t xml:space="preserve">This submission covers the applicability of Article 6 to the unborn and other forms of human existence. It first details the legal justifications for the right to life of the unborn, considering the International Covenant on Civil and Political Rights (ICCPR), other international human rights instruments, and national legal provisions. Secondly, it defines the unborn as all human life from fertilization, the earliest stage of human development, and explains how human embryos </w:t>
      </w:r>
      <w:r w:rsidRPr="0067582D">
        <w:rPr>
          <w:rFonts w:ascii="Arial" w:hAnsi="Arial" w:cs="Arial"/>
          <w:i/>
          <w:sz w:val="22"/>
        </w:rPr>
        <w:t>in vitro</w:t>
      </w:r>
      <w:r w:rsidRPr="0067582D">
        <w:rPr>
          <w:rFonts w:ascii="Arial" w:hAnsi="Arial" w:cs="Arial"/>
          <w:sz w:val="22"/>
        </w:rPr>
        <w:t xml:space="preserve"> are included in the definition of unborn and therefore deserve protection. Thirdly, it indicates how the recognition of the unborn in international law means that there cannot be an implicit right to abortion in the ICCPR. Lastly, this submission uses both UN treaties and decisions of the European Court of Human Rights to show that the right to life does not justify a right to die. </w:t>
      </w:r>
    </w:p>
    <w:p w:rsidR="0067582D" w:rsidRDefault="0067582D" w:rsidP="00000DA8">
      <w:pPr>
        <w:pStyle w:val="CourtNumberedpara"/>
        <w:spacing w:line="276" w:lineRule="auto"/>
        <w:jc w:val="both"/>
        <w:rPr>
          <w:rFonts w:ascii="Arial" w:hAnsi="Arial" w:cs="Arial"/>
          <w:sz w:val="22"/>
        </w:rPr>
      </w:pPr>
      <w:r>
        <w:rPr>
          <w:rFonts w:ascii="Arial" w:hAnsi="Arial" w:cs="Arial"/>
          <w:sz w:val="22"/>
        </w:rPr>
        <w:t xml:space="preserve">Accordingly, </w:t>
      </w:r>
      <w:r w:rsidR="00363677" w:rsidRPr="00000DA8">
        <w:rPr>
          <w:rFonts w:ascii="Arial" w:hAnsi="Arial" w:cs="Arial"/>
          <w:sz w:val="22"/>
        </w:rPr>
        <w:t xml:space="preserve">ADF </w:t>
      </w:r>
      <w:r w:rsidR="00AD3B70" w:rsidRPr="00000DA8">
        <w:rPr>
          <w:rFonts w:ascii="Arial" w:hAnsi="Arial" w:cs="Arial"/>
          <w:sz w:val="22"/>
        </w:rPr>
        <w:t>International</w:t>
      </w:r>
      <w:r w:rsidR="006F21B4" w:rsidRPr="00000DA8">
        <w:rPr>
          <w:rFonts w:ascii="Arial" w:hAnsi="Arial" w:cs="Arial"/>
          <w:sz w:val="22"/>
        </w:rPr>
        <w:t xml:space="preserve"> </w:t>
      </w:r>
      <w:r w:rsidR="00AD3B70" w:rsidRPr="00000DA8">
        <w:rPr>
          <w:rFonts w:ascii="Arial" w:hAnsi="Arial" w:cs="Arial"/>
          <w:sz w:val="22"/>
        </w:rPr>
        <w:t>makes the following recommendations to</w:t>
      </w:r>
      <w:r w:rsidR="006F21B4" w:rsidRPr="00000DA8">
        <w:rPr>
          <w:rFonts w:ascii="Arial" w:hAnsi="Arial" w:cs="Arial"/>
          <w:sz w:val="22"/>
        </w:rPr>
        <w:t xml:space="preserve"> the Human Rights Committee </w:t>
      </w:r>
      <w:r w:rsidR="00AD3B70" w:rsidRPr="00000DA8">
        <w:rPr>
          <w:rFonts w:ascii="Arial" w:hAnsi="Arial" w:cs="Arial"/>
          <w:sz w:val="22"/>
        </w:rPr>
        <w:t xml:space="preserve">in its </w:t>
      </w:r>
      <w:r w:rsidR="008C66DB" w:rsidRPr="00000DA8">
        <w:rPr>
          <w:rFonts w:ascii="Arial" w:hAnsi="Arial" w:cs="Arial"/>
          <w:sz w:val="22"/>
        </w:rPr>
        <w:t xml:space="preserve">discussion </w:t>
      </w:r>
      <w:r w:rsidR="00AD3B70" w:rsidRPr="00000DA8">
        <w:rPr>
          <w:rFonts w:ascii="Arial" w:hAnsi="Arial" w:cs="Arial"/>
          <w:sz w:val="22"/>
        </w:rPr>
        <w:t xml:space="preserve">of </w:t>
      </w:r>
      <w:r w:rsidR="00363677" w:rsidRPr="00000DA8">
        <w:rPr>
          <w:rFonts w:ascii="Arial" w:hAnsi="Arial" w:cs="Arial"/>
          <w:sz w:val="22"/>
        </w:rPr>
        <w:t xml:space="preserve">ICCPR </w:t>
      </w:r>
      <w:r w:rsidR="00AD3B70" w:rsidRPr="00000DA8">
        <w:rPr>
          <w:rFonts w:ascii="Arial" w:hAnsi="Arial" w:cs="Arial"/>
          <w:sz w:val="22"/>
        </w:rPr>
        <w:t xml:space="preserve">Article 6: </w:t>
      </w:r>
    </w:p>
    <w:p w:rsidR="0067582D" w:rsidRPr="0067582D" w:rsidRDefault="0067582D" w:rsidP="00E91F71">
      <w:pPr>
        <w:pStyle w:val="ListParagraph"/>
        <w:numPr>
          <w:ilvl w:val="0"/>
          <w:numId w:val="9"/>
        </w:numPr>
        <w:spacing w:line="276" w:lineRule="auto"/>
        <w:ind w:left="1710"/>
        <w:jc w:val="both"/>
        <w:rPr>
          <w:rFonts w:ascii="Arial" w:hAnsi="Arial" w:cs="Arial"/>
          <w:sz w:val="22"/>
        </w:rPr>
      </w:pPr>
      <w:r w:rsidRPr="0067582D">
        <w:rPr>
          <w:rFonts w:ascii="Arial" w:hAnsi="Arial" w:cs="Arial"/>
          <w:sz w:val="22"/>
        </w:rPr>
        <w:t>Affirm</w:t>
      </w:r>
      <w:r w:rsidR="004A7CE8" w:rsidRPr="0067582D">
        <w:rPr>
          <w:rFonts w:ascii="Arial" w:hAnsi="Arial" w:cs="Arial"/>
          <w:sz w:val="22"/>
        </w:rPr>
        <w:t xml:space="preserve"> that the right to l</w:t>
      </w:r>
      <w:r w:rsidR="00AD3B70" w:rsidRPr="0067582D">
        <w:rPr>
          <w:rFonts w:ascii="Arial" w:hAnsi="Arial" w:cs="Arial"/>
          <w:sz w:val="22"/>
        </w:rPr>
        <w:t xml:space="preserve">ife </w:t>
      </w:r>
      <w:r w:rsidR="00363677" w:rsidRPr="0067582D">
        <w:rPr>
          <w:rFonts w:ascii="Arial" w:hAnsi="Arial" w:cs="Arial"/>
          <w:sz w:val="22"/>
        </w:rPr>
        <w:t>applies</w:t>
      </w:r>
      <w:r w:rsidR="00AD3B70" w:rsidRPr="0067582D">
        <w:rPr>
          <w:rFonts w:ascii="Arial" w:hAnsi="Arial" w:cs="Arial"/>
          <w:sz w:val="22"/>
        </w:rPr>
        <w:t xml:space="preserve"> to the unborn, from </w:t>
      </w:r>
      <w:r w:rsidR="00BE3F1E" w:rsidRPr="0067582D">
        <w:rPr>
          <w:rFonts w:ascii="Arial" w:hAnsi="Arial" w:cs="Arial"/>
          <w:sz w:val="22"/>
        </w:rPr>
        <w:t xml:space="preserve">the moment of </w:t>
      </w:r>
      <w:r w:rsidR="00AD3B70" w:rsidRPr="0067582D">
        <w:rPr>
          <w:rFonts w:ascii="Arial" w:hAnsi="Arial" w:cs="Arial"/>
          <w:sz w:val="22"/>
        </w:rPr>
        <w:t xml:space="preserve">fertilization, including </w:t>
      </w:r>
      <w:r w:rsidR="00BE3F1E" w:rsidRPr="0067582D">
        <w:rPr>
          <w:rFonts w:ascii="Arial" w:hAnsi="Arial" w:cs="Arial"/>
          <w:sz w:val="22"/>
        </w:rPr>
        <w:t xml:space="preserve">to </w:t>
      </w:r>
      <w:r w:rsidR="00AD3B70" w:rsidRPr="0067582D">
        <w:rPr>
          <w:rFonts w:ascii="Arial" w:hAnsi="Arial" w:cs="Arial"/>
          <w:sz w:val="22"/>
        </w:rPr>
        <w:t>human embryos in vitro;</w:t>
      </w:r>
      <w:r w:rsidR="00000DA8" w:rsidRPr="0067582D">
        <w:rPr>
          <w:rFonts w:ascii="Arial" w:hAnsi="Arial" w:cs="Arial"/>
          <w:sz w:val="22"/>
        </w:rPr>
        <w:t xml:space="preserve"> </w:t>
      </w:r>
    </w:p>
    <w:p w:rsidR="0067582D" w:rsidRPr="0067582D" w:rsidRDefault="0067582D" w:rsidP="00E91F71">
      <w:pPr>
        <w:pStyle w:val="ListParagraph"/>
        <w:numPr>
          <w:ilvl w:val="0"/>
          <w:numId w:val="9"/>
        </w:numPr>
        <w:spacing w:line="276" w:lineRule="auto"/>
        <w:ind w:left="1710"/>
        <w:jc w:val="both"/>
        <w:rPr>
          <w:rFonts w:ascii="Arial" w:hAnsi="Arial" w:cs="Arial"/>
          <w:sz w:val="22"/>
        </w:rPr>
      </w:pPr>
      <w:r w:rsidRPr="0067582D">
        <w:rPr>
          <w:rFonts w:ascii="Arial" w:hAnsi="Arial" w:cs="Arial"/>
          <w:sz w:val="22"/>
        </w:rPr>
        <w:t>Affirm</w:t>
      </w:r>
      <w:r w:rsidR="00363677" w:rsidRPr="0067582D">
        <w:rPr>
          <w:rFonts w:ascii="Arial" w:hAnsi="Arial" w:cs="Arial"/>
          <w:sz w:val="22"/>
        </w:rPr>
        <w:t xml:space="preserve"> that given the </w:t>
      </w:r>
      <w:r w:rsidR="005277B5" w:rsidRPr="0067582D">
        <w:rPr>
          <w:rFonts w:ascii="Arial" w:hAnsi="Arial" w:cs="Arial"/>
          <w:sz w:val="22"/>
        </w:rPr>
        <w:t xml:space="preserve">recognition </w:t>
      </w:r>
      <w:r w:rsidR="00363677" w:rsidRPr="0067582D">
        <w:rPr>
          <w:rFonts w:ascii="Arial" w:hAnsi="Arial" w:cs="Arial"/>
          <w:sz w:val="22"/>
        </w:rPr>
        <w:t xml:space="preserve">of the unborn in the ICCPR and other international treaties and national laws, no human </w:t>
      </w:r>
      <w:r w:rsidR="00D12C05">
        <w:rPr>
          <w:rFonts w:ascii="Arial" w:hAnsi="Arial" w:cs="Arial"/>
          <w:sz w:val="22"/>
        </w:rPr>
        <w:t>“</w:t>
      </w:r>
      <w:r w:rsidR="00363677" w:rsidRPr="0067582D">
        <w:rPr>
          <w:rFonts w:ascii="Arial" w:hAnsi="Arial" w:cs="Arial"/>
          <w:sz w:val="22"/>
        </w:rPr>
        <w:t>right to abortion</w:t>
      </w:r>
      <w:r w:rsidR="00D12C05">
        <w:rPr>
          <w:rFonts w:ascii="Arial" w:hAnsi="Arial" w:cs="Arial"/>
          <w:sz w:val="22"/>
        </w:rPr>
        <w:t>”</w:t>
      </w:r>
      <w:r w:rsidR="00363677" w:rsidRPr="0067582D">
        <w:rPr>
          <w:rFonts w:ascii="Arial" w:hAnsi="Arial" w:cs="Arial"/>
          <w:sz w:val="22"/>
        </w:rPr>
        <w:t xml:space="preserve"> exists;</w:t>
      </w:r>
      <w:r w:rsidR="00000DA8" w:rsidRPr="0067582D">
        <w:rPr>
          <w:rFonts w:ascii="Arial" w:hAnsi="Arial" w:cs="Arial"/>
          <w:sz w:val="22"/>
        </w:rPr>
        <w:t xml:space="preserve"> and </w:t>
      </w:r>
    </w:p>
    <w:p w:rsidR="00AD3B70" w:rsidRPr="0067582D" w:rsidRDefault="0067582D" w:rsidP="00E91F71">
      <w:pPr>
        <w:pStyle w:val="ListParagraph"/>
        <w:numPr>
          <w:ilvl w:val="0"/>
          <w:numId w:val="9"/>
        </w:numPr>
        <w:spacing w:line="276" w:lineRule="auto"/>
        <w:ind w:left="1710"/>
        <w:jc w:val="both"/>
        <w:rPr>
          <w:rFonts w:ascii="Arial" w:hAnsi="Arial" w:cs="Arial"/>
          <w:sz w:val="22"/>
        </w:rPr>
      </w:pPr>
      <w:r w:rsidRPr="0067582D">
        <w:rPr>
          <w:rFonts w:ascii="Arial" w:hAnsi="Arial" w:cs="Arial"/>
          <w:sz w:val="22"/>
        </w:rPr>
        <w:t>Affirm</w:t>
      </w:r>
      <w:r w:rsidR="00AD3B70" w:rsidRPr="0067582D">
        <w:rPr>
          <w:rFonts w:ascii="Arial" w:hAnsi="Arial" w:cs="Arial"/>
          <w:sz w:val="22"/>
        </w:rPr>
        <w:t xml:space="preserve"> that the right to life </w:t>
      </w:r>
      <w:r w:rsidR="00363677" w:rsidRPr="0067582D">
        <w:rPr>
          <w:rFonts w:ascii="Arial" w:hAnsi="Arial" w:cs="Arial"/>
          <w:sz w:val="22"/>
        </w:rPr>
        <w:t xml:space="preserve">does not justify and is fundamentally incompatible with a </w:t>
      </w:r>
      <w:r w:rsidR="00D12C05">
        <w:rPr>
          <w:rFonts w:ascii="Arial" w:hAnsi="Arial" w:cs="Arial"/>
          <w:sz w:val="22"/>
        </w:rPr>
        <w:t>“</w:t>
      </w:r>
      <w:r w:rsidR="00363677" w:rsidRPr="0067582D">
        <w:rPr>
          <w:rFonts w:ascii="Arial" w:hAnsi="Arial" w:cs="Arial"/>
          <w:sz w:val="22"/>
        </w:rPr>
        <w:t>right to die</w:t>
      </w:r>
      <w:r w:rsidR="00D12C05">
        <w:rPr>
          <w:rFonts w:ascii="Arial" w:hAnsi="Arial" w:cs="Arial"/>
          <w:sz w:val="22"/>
        </w:rPr>
        <w:t>”</w:t>
      </w:r>
      <w:r w:rsidR="00363677" w:rsidRPr="0067582D">
        <w:rPr>
          <w:rFonts w:ascii="Arial" w:hAnsi="Arial" w:cs="Arial"/>
          <w:sz w:val="22"/>
        </w:rPr>
        <w:t>.</w:t>
      </w:r>
    </w:p>
    <w:p w:rsidR="006F5209" w:rsidRPr="00BE2697" w:rsidRDefault="003B53C5" w:rsidP="00D12C05">
      <w:pPr>
        <w:pStyle w:val="CourtNumberedpara"/>
        <w:numPr>
          <w:ilvl w:val="0"/>
          <w:numId w:val="0"/>
        </w:numPr>
        <w:spacing w:before="0" w:after="0"/>
        <w:ind w:left="270" w:right="1107" w:hanging="270"/>
        <w:jc w:val="both"/>
        <w:rPr>
          <w:rFonts w:ascii="Arial" w:hAnsi="Arial" w:cs="Arial"/>
          <w:b/>
          <w:sz w:val="22"/>
        </w:rPr>
      </w:pPr>
      <w:r w:rsidRPr="00BE2697">
        <w:rPr>
          <w:rFonts w:ascii="Arial" w:hAnsi="Arial" w:cs="Arial"/>
          <w:b/>
          <w:sz w:val="22"/>
        </w:rPr>
        <w:t xml:space="preserve">I. </w:t>
      </w:r>
      <w:r w:rsidR="00FA74F0" w:rsidRPr="00BE2697">
        <w:rPr>
          <w:rFonts w:ascii="Arial" w:hAnsi="Arial" w:cs="Arial"/>
          <w:b/>
          <w:sz w:val="22"/>
        </w:rPr>
        <w:t>“</w:t>
      </w:r>
      <w:r w:rsidRPr="00BE2697">
        <w:rPr>
          <w:rFonts w:ascii="Arial" w:hAnsi="Arial" w:cs="Arial"/>
          <w:b/>
          <w:sz w:val="22"/>
        </w:rPr>
        <w:t>Applicability of Article 6 to the Unborn and</w:t>
      </w:r>
      <w:r w:rsidR="007000B3" w:rsidRPr="00BE2697">
        <w:rPr>
          <w:rFonts w:ascii="Arial" w:hAnsi="Arial" w:cs="Arial"/>
          <w:b/>
          <w:sz w:val="22"/>
        </w:rPr>
        <w:t xml:space="preserve"> </w:t>
      </w:r>
      <w:r w:rsidR="00D12C05">
        <w:rPr>
          <w:rFonts w:ascii="Arial" w:hAnsi="Arial" w:cs="Arial"/>
          <w:b/>
          <w:sz w:val="22"/>
        </w:rPr>
        <w:t>o</w:t>
      </w:r>
      <w:r w:rsidR="007000B3" w:rsidRPr="00BE2697">
        <w:rPr>
          <w:rFonts w:ascii="Arial" w:hAnsi="Arial" w:cs="Arial"/>
          <w:b/>
          <w:sz w:val="22"/>
        </w:rPr>
        <w:t>ther Forms of Human Existence</w:t>
      </w:r>
      <w:r w:rsidR="00FA74F0" w:rsidRPr="00BE2697">
        <w:rPr>
          <w:rFonts w:ascii="Arial" w:hAnsi="Arial" w:cs="Arial"/>
          <w:b/>
          <w:sz w:val="22"/>
        </w:rPr>
        <w:t>”</w:t>
      </w:r>
      <w:r w:rsidR="00FA74F0" w:rsidRPr="00764C32">
        <w:rPr>
          <w:rStyle w:val="FootnoteReference"/>
          <w:rFonts w:ascii="Arial" w:hAnsi="Arial" w:cs="Arial"/>
          <w:sz w:val="22"/>
        </w:rPr>
        <w:footnoteReference w:id="1"/>
      </w:r>
    </w:p>
    <w:p w:rsidR="006F5209" w:rsidRPr="00BE2697" w:rsidRDefault="006F5209" w:rsidP="00D12C05">
      <w:pPr>
        <w:pStyle w:val="CourtNumberedpara"/>
        <w:numPr>
          <w:ilvl w:val="0"/>
          <w:numId w:val="0"/>
        </w:numPr>
        <w:spacing w:before="0" w:after="0"/>
        <w:ind w:right="1107"/>
        <w:jc w:val="both"/>
        <w:rPr>
          <w:rFonts w:ascii="Arial" w:hAnsi="Arial" w:cs="Arial"/>
          <w:b/>
          <w:sz w:val="22"/>
        </w:rPr>
      </w:pPr>
    </w:p>
    <w:p w:rsidR="00DF7511" w:rsidRPr="00BE2697" w:rsidRDefault="006F5209" w:rsidP="00E91F71">
      <w:pPr>
        <w:pStyle w:val="CourtNumberedpara"/>
        <w:numPr>
          <w:ilvl w:val="0"/>
          <w:numId w:val="6"/>
        </w:numPr>
        <w:spacing w:before="0" w:after="0"/>
        <w:ind w:right="1107"/>
        <w:jc w:val="both"/>
        <w:rPr>
          <w:rFonts w:ascii="Arial" w:hAnsi="Arial" w:cs="Arial"/>
          <w:b/>
          <w:sz w:val="22"/>
        </w:rPr>
      </w:pPr>
      <w:r w:rsidRPr="00BE2697">
        <w:rPr>
          <w:rFonts w:ascii="Arial" w:hAnsi="Arial" w:cs="Arial"/>
          <w:b/>
          <w:sz w:val="22"/>
        </w:rPr>
        <w:t xml:space="preserve">Legal Justifications for </w:t>
      </w:r>
      <w:r w:rsidR="00895ACA" w:rsidRPr="00BE2697">
        <w:rPr>
          <w:rFonts w:ascii="Arial" w:hAnsi="Arial" w:cs="Arial"/>
          <w:b/>
          <w:sz w:val="22"/>
        </w:rPr>
        <w:t xml:space="preserve">the </w:t>
      </w:r>
      <w:r w:rsidRPr="00BE2697">
        <w:rPr>
          <w:rFonts w:ascii="Arial" w:hAnsi="Arial" w:cs="Arial"/>
          <w:b/>
          <w:sz w:val="22"/>
        </w:rPr>
        <w:t xml:space="preserve">Right to Life of the Unborn </w:t>
      </w:r>
    </w:p>
    <w:p w:rsidR="000D004C" w:rsidRPr="00BE2697" w:rsidRDefault="000D004C" w:rsidP="00D12C05">
      <w:pPr>
        <w:pStyle w:val="CourtNumberedpara"/>
        <w:numPr>
          <w:ilvl w:val="0"/>
          <w:numId w:val="0"/>
        </w:numPr>
        <w:spacing w:before="0" w:after="0"/>
        <w:ind w:left="720" w:right="1107"/>
        <w:jc w:val="both"/>
        <w:rPr>
          <w:rFonts w:ascii="Arial" w:hAnsi="Arial" w:cs="Arial"/>
          <w:b/>
          <w:sz w:val="22"/>
        </w:rPr>
      </w:pPr>
    </w:p>
    <w:p w:rsidR="006F5209" w:rsidRPr="00BE2697" w:rsidRDefault="00834295" w:rsidP="00E91F71">
      <w:pPr>
        <w:pStyle w:val="CourtNumberedpara"/>
        <w:numPr>
          <w:ilvl w:val="1"/>
          <w:numId w:val="6"/>
        </w:numPr>
        <w:spacing w:before="0" w:after="0"/>
        <w:ind w:right="1107"/>
        <w:jc w:val="both"/>
        <w:rPr>
          <w:rFonts w:ascii="Arial" w:hAnsi="Arial" w:cs="Arial"/>
          <w:b/>
          <w:sz w:val="22"/>
        </w:rPr>
      </w:pPr>
      <w:r w:rsidRPr="00BE2697">
        <w:rPr>
          <w:rFonts w:ascii="Arial" w:hAnsi="Arial" w:cs="Arial"/>
          <w:b/>
          <w:sz w:val="22"/>
        </w:rPr>
        <w:t xml:space="preserve">Right to Life </w:t>
      </w:r>
      <w:r w:rsidR="005E5CB0" w:rsidRPr="00BE2697">
        <w:rPr>
          <w:rFonts w:ascii="Arial" w:hAnsi="Arial" w:cs="Arial"/>
          <w:b/>
          <w:sz w:val="22"/>
        </w:rPr>
        <w:t xml:space="preserve">of the Unborn </w:t>
      </w:r>
      <w:r w:rsidRPr="00BE2697">
        <w:rPr>
          <w:rFonts w:ascii="Arial" w:hAnsi="Arial" w:cs="Arial"/>
          <w:b/>
          <w:sz w:val="22"/>
        </w:rPr>
        <w:t xml:space="preserve">in </w:t>
      </w:r>
      <w:r w:rsidR="00016AF8" w:rsidRPr="00BE2697">
        <w:rPr>
          <w:rFonts w:ascii="Arial" w:hAnsi="Arial" w:cs="Arial"/>
          <w:b/>
          <w:sz w:val="22"/>
        </w:rPr>
        <w:t xml:space="preserve">ICCPR </w:t>
      </w:r>
      <w:r w:rsidR="00EC436B" w:rsidRPr="00BE2697">
        <w:rPr>
          <w:rFonts w:ascii="Arial" w:hAnsi="Arial" w:cs="Arial"/>
          <w:b/>
          <w:sz w:val="22"/>
        </w:rPr>
        <w:t>Article 6</w:t>
      </w:r>
    </w:p>
    <w:p w:rsidR="007C1993" w:rsidRPr="00BE2697" w:rsidRDefault="00EC436B" w:rsidP="007B6F62">
      <w:pPr>
        <w:pStyle w:val="CourtNumberedpara"/>
        <w:spacing w:line="276" w:lineRule="auto"/>
        <w:jc w:val="both"/>
        <w:rPr>
          <w:rFonts w:ascii="Arial" w:hAnsi="Arial" w:cs="Arial"/>
          <w:sz w:val="22"/>
        </w:rPr>
      </w:pPr>
      <w:r w:rsidRPr="00BE2697">
        <w:rPr>
          <w:rFonts w:ascii="Arial" w:hAnsi="Arial" w:cs="Arial"/>
          <w:sz w:val="22"/>
        </w:rPr>
        <w:t xml:space="preserve">Article 6 (1) of the ICCPR states, “Every human being has the inherent right to life.” </w:t>
      </w:r>
      <w:r w:rsidR="00457004" w:rsidRPr="00BE2697">
        <w:rPr>
          <w:rFonts w:ascii="Arial" w:hAnsi="Arial" w:cs="Arial"/>
          <w:sz w:val="22"/>
        </w:rPr>
        <w:t xml:space="preserve">In prior general comments on </w:t>
      </w:r>
      <w:r w:rsidR="007000B3" w:rsidRPr="00BE2697">
        <w:rPr>
          <w:rFonts w:ascii="Arial" w:hAnsi="Arial" w:cs="Arial"/>
          <w:sz w:val="22"/>
        </w:rPr>
        <w:t xml:space="preserve">Article </w:t>
      </w:r>
      <w:r w:rsidR="00457004" w:rsidRPr="00BE2697">
        <w:rPr>
          <w:rFonts w:ascii="Arial" w:hAnsi="Arial" w:cs="Arial"/>
          <w:sz w:val="22"/>
        </w:rPr>
        <w:t xml:space="preserve">6, the Committee has stated clearly that the right to life should be interpreted broadly. Specifically, the Committee has noted, </w:t>
      </w:r>
      <w:r w:rsidR="000D004C" w:rsidRPr="00BE2697">
        <w:rPr>
          <w:rFonts w:ascii="Arial" w:eastAsia="Calibri" w:hAnsi="Arial" w:cs="Arial"/>
          <w:sz w:val="22"/>
        </w:rPr>
        <w:t xml:space="preserve">“[T]he right to life has been too often narrowly interpreted. The expression ‘inherent </w:t>
      </w:r>
      <w:r w:rsidR="000D004C" w:rsidRPr="00BE2697">
        <w:rPr>
          <w:rFonts w:ascii="Arial" w:eastAsia="Calibri" w:hAnsi="Arial" w:cs="Arial"/>
          <w:sz w:val="22"/>
        </w:rPr>
        <w:lastRenderedPageBreak/>
        <w:t>right to life’ cannot properly be un</w:t>
      </w:r>
      <w:r w:rsidR="00457004" w:rsidRPr="00BE2697">
        <w:rPr>
          <w:rFonts w:ascii="Arial" w:eastAsia="Calibri" w:hAnsi="Arial" w:cs="Arial"/>
          <w:sz w:val="22"/>
        </w:rPr>
        <w:t xml:space="preserve">derstood in a restrictive </w:t>
      </w:r>
      <w:proofErr w:type="gramStart"/>
      <w:r w:rsidR="00457004" w:rsidRPr="00BE2697">
        <w:rPr>
          <w:rFonts w:ascii="Arial" w:eastAsia="Calibri" w:hAnsi="Arial" w:cs="Arial"/>
          <w:sz w:val="22"/>
        </w:rPr>
        <w:t>manner</w:t>
      </w:r>
      <w:r w:rsidR="00E059E5" w:rsidRPr="00BE2697">
        <w:rPr>
          <w:rFonts w:ascii="Arial" w:eastAsia="Calibri" w:hAnsi="Arial" w:cs="Arial"/>
          <w:sz w:val="22"/>
        </w:rPr>
        <w:t>[</w:t>
      </w:r>
      <w:proofErr w:type="gramEnd"/>
      <w:r w:rsidR="00E059E5" w:rsidRPr="00BE2697">
        <w:rPr>
          <w:rFonts w:ascii="Arial" w:eastAsia="Calibri" w:hAnsi="Arial" w:cs="Arial"/>
          <w:sz w:val="22"/>
        </w:rPr>
        <w:t>.]</w:t>
      </w:r>
      <w:r w:rsidR="007352A1" w:rsidRPr="00BE2697">
        <w:rPr>
          <w:rFonts w:ascii="Arial" w:eastAsia="Calibri" w:hAnsi="Arial" w:cs="Arial"/>
          <w:sz w:val="22"/>
        </w:rPr>
        <w:t>”</w:t>
      </w:r>
      <w:r w:rsidR="007352A1" w:rsidRPr="00BE2697">
        <w:rPr>
          <w:rFonts w:ascii="Arial" w:hAnsi="Arial" w:cs="Arial"/>
          <w:sz w:val="22"/>
          <w:vertAlign w:val="superscript"/>
        </w:rPr>
        <w:footnoteReference w:id="2"/>
      </w:r>
      <w:r w:rsidR="007352A1" w:rsidRPr="00BE2697">
        <w:rPr>
          <w:rFonts w:ascii="Arial" w:eastAsia="Calibri" w:hAnsi="Arial" w:cs="Arial"/>
          <w:sz w:val="22"/>
        </w:rPr>
        <w:t xml:space="preserve"> </w:t>
      </w:r>
      <w:r w:rsidR="007C1993" w:rsidRPr="00BE2697">
        <w:rPr>
          <w:rFonts w:ascii="Arial" w:eastAsia="Calibri" w:hAnsi="Arial" w:cs="Arial"/>
          <w:sz w:val="22"/>
        </w:rPr>
        <w:t xml:space="preserve">Therefore, </w:t>
      </w:r>
      <w:r w:rsidR="00764C32">
        <w:rPr>
          <w:rFonts w:ascii="Arial" w:eastAsia="Calibri" w:hAnsi="Arial" w:cs="Arial"/>
          <w:sz w:val="22"/>
        </w:rPr>
        <w:t xml:space="preserve">consistent with its foundational importance to all other rights, </w:t>
      </w:r>
      <w:r w:rsidR="007C1993" w:rsidRPr="00BE2697">
        <w:rPr>
          <w:rFonts w:ascii="Arial" w:eastAsia="Calibri" w:hAnsi="Arial" w:cs="Arial"/>
          <w:sz w:val="22"/>
        </w:rPr>
        <w:t xml:space="preserve">the meaning of Article 6 must be construed broadly, erring on the side of protecting more groups </w:t>
      </w:r>
      <w:r w:rsidRPr="00BE2697">
        <w:rPr>
          <w:rFonts w:ascii="Arial" w:eastAsia="Calibri" w:hAnsi="Arial" w:cs="Arial"/>
          <w:sz w:val="22"/>
        </w:rPr>
        <w:t xml:space="preserve">and more instances, </w:t>
      </w:r>
      <w:r w:rsidR="007C1993" w:rsidRPr="00BE2697">
        <w:rPr>
          <w:rFonts w:ascii="Arial" w:eastAsia="Calibri" w:hAnsi="Arial" w:cs="Arial"/>
          <w:sz w:val="22"/>
        </w:rPr>
        <w:t xml:space="preserve">rather than </w:t>
      </w:r>
      <w:r w:rsidR="007000B3" w:rsidRPr="00BE2697">
        <w:rPr>
          <w:rFonts w:ascii="Arial" w:eastAsia="Calibri" w:hAnsi="Arial" w:cs="Arial"/>
          <w:sz w:val="22"/>
        </w:rPr>
        <w:t>fewer</w:t>
      </w:r>
      <w:r w:rsidR="007C1993" w:rsidRPr="00BE2697">
        <w:rPr>
          <w:rFonts w:ascii="Arial" w:eastAsia="Calibri" w:hAnsi="Arial" w:cs="Arial"/>
          <w:sz w:val="22"/>
        </w:rPr>
        <w:t xml:space="preserve">. </w:t>
      </w:r>
    </w:p>
    <w:p w:rsidR="000D004C" w:rsidRPr="00BE2697" w:rsidRDefault="007A0A95" w:rsidP="007B6F62">
      <w:pPr>
        <w:pStyle w:val="CourtNumberedpara"/>
        <w:spacing w:line="276" w:lineRule="auto"/>
        <w:jc w:val="both"/>
        <w:rPr>
          <w:rFonts w:ascii="Arial" w:hAnsi="Arial" w:cs="Arial"/>
          <w:sz w:val="22"/>
        </w:rPr>
      </w:pPr>
      <w:r>
        <w:rPr>
          <w:rFonts w:ascii="Arial" w:hAnsi="Arial" w:cs="Arial"/>
          <w:sz w:val="22"/>
        </w:rPr>
        <w:t>Moreover,</w:t>
      </w:r>
      <w:r w:rsidR="00EC436B" w:rsidRPr="00BE2697">
        <w:rPr>
          <w:rFonts w:ascii="Arial" w:hAnsi="Arial" w:cs="Arial"/>
          <w:sz w:val="22"/>
        </w:rPr>
        <w:t xml:space="preserve"> t</w:t>
      </w:r>
      <w:r w:rsidR="007C1993" w:rsidRPr="00BE2697">
        <w:rPr>
          <w:rFonts w:ascii="Arial" w:hAnsi="Arial" w:cs="Arial"/>
          <w:sz w:val="22"/>
        </w:rPr>
        <w:t xml:space="preserve">he ICCPR’s prohibition of the death penalty for pregnant women </w:t>
      </w:r>
      <w:r w:rsidR="00E5058E" w:rsidRPr="00BE2697">
        <w:rPr>
          <w:rFonts w:ascii="Arial" w:hAnsi="Arial" w:cs="Arial"/>
          <w:sz w:val="22"/>
        </w:rPr>
        <w:t>implicitly</w:t>
      </w:r>
      <w:r w:rsidR="007C1993" w:rsidRPr="00BE2697">
        <w:rPr>
          <w:rFonts w:ascii="Arial" w:hAnsi="Arial" w:cs="Arial"/>
          <w:sz w:val="22"/>
        </w:rPr>
        <w:t xml:space="preserve"> recognizes the right to life of the unborn. Although t</w:t>
      </w:r>
      <w:r w:rsidR="000D004C" w:rsidRPr="00BE2697">
        <w:rPr>
          <w:rFonts w:ascii="Arial" w:hAnsi="Arial" w:cs="Arial"/>
          <w:sz w:val="22"/>
        </w:rPr>
        <w:t xml:space="preserve">he ICCPR allows for the death penalty to be imposed on </w:t>
      </w:r>
      <w:r w:rsidR="007C1993" w:rsidRPr="00BE2697">
        <w:rPr>
          <w:rFonts w:ascii="Arial" w:hAnsi="Arial" w:cs="Arial"/>
          <w:sz w:val="22"/>
        </w:rPr>
        <w:t xml:space="preserve">both </w:t>
      </w:r>
      <w:r w:rsidR="000D004C" w:rsidRPr="00BE2697">
        <w:rPr>
          <w:rFonts w:ascii="Arial" w:hAnsi="Arial" w:cs="Arial"/>
          <w:sz w:val="22"/>
        </w:rPr>
        <w:t xml:space="preserve">adult men and women, </w:t>
      </w:r>
      <w:r w:rsidR="007C1993" w:rsidRPr="00BE2697">
        <w:rPr>
          <w:rFonts w:ascii="Arial" w:hAnsi="Arial" w:cs="Arial"/>
          <w:sz w:val="22"/>
        </w:rPr>
        <w:t>it</w:t>
      </w:r>
      <w:r w:rsidR="000D004C" w:rsidRPr="00BE2697">
        <w:rPr>
          <w:rFonts w:ascii="Arial" w:hAnsi="Arial" w:cs="Arial"/>
          <w:sz w:val="22"/>
        </w:rPr>
        <w:t xml:space="preserve"> explicitly prohibits applying </w:t>
      </w:r>
      <w:r w:rsidR="007352A1" w:rsidRPr="00BE2697">
        <w:rPr>
          <w:rFonts w:ascii="Arial" w:hAnsi="Arial" w:cs="Arial"/>
          <w:sz w:val="22"/>
        </w:rPr>
        <w:t>the death penalty</w:t>
      </w:r>
      <w:r w:rsidR="000D004C" w:rsidRPr="00BE2697">
        <w:rPr>
          <w:rFonts w:ascii="Arial" w:hAnsi="Arial" w:cs="Arial"/>
          <w:sz w:val="22"/>
        </w:rPr>
        <w:t xml:space="preserve"> to pregnant women. Article 6(5) states, “Sentence of death shall not be imposed for crimes committed by persons below eighteen years of age and </w:t>
      </w:r>
      <w:r w:rsidR="000D004C" w:rsidRPr="00BE2697">
        <w:rPr>
          <w:rFonts w:ascii="Arial" w:hAnsi="Arial" w:cs="Arial"/>
          <w:i/>
          <w:sz w:val="22"/>
        </w:rPr>
        <w:t>shall not be carried out on pregnant women</w:t>
      </w:r>
      <w:r w:rsidR="000D004C" w:rsidRPr="00BE2697">
        <w:rPr>
          <w:rFonts w:ascii="Arial" w:hAnsi="Arial" w:cs="Arial"/>
          <w:sz w:val="22"/>
        </w:rPr>
        <w:t xml:space="preserve">.” </w:t>
      </w:r>
      <w:r w:rsidR="007352A1" w:rsidRPr="00BE2697">
        <w:rPr>
          <w:rFonts w:ascii="Arial" w:hAnsi="Arial" w:cs="Arial"/>
          <w:sz w:val="22"/>
        </w:rPr>
        <w:t>Under the ICCPR, a</w:t>
      </w:r>
      <w:r w:rsidR="000D004C" w:rsidRPr="00BE2697">
        <w:rPr>
          <w:rFonts w:ascii="Arial" w:hAnsi="Arial" w:cs="Arial"/>
          <w:sz w:val="22"/>
        </w:rPr>
        <w:t xml:space="preserve">ll other adult women may be subject to the death penalty, </w:t>
      </w:r>
      <w:r w:rsidR="007352A1" w:rsidRPr="00BE2697">
        <w:rPr>
          <w:rFonts w:ascii="Arial" w:hAnsi="Arial" w:cs="Arial"/>
          <w:sz w:val="22"/>
        </w:rPr>
        <w:t xml:space="preserve">therefore </w:t>
      </w:r>
      <w:r w:rsidR="000D004C" w:rsidRPr="00BE2697">
        <w:rPr>
          <w:rFonts w:ascii="Arial" w:hAnsi="Arial" w:cs="Arial"/>
          <w:sz w:val="22"/>
        </w:rPr>
        <w:t xml:space="preserve">this clause </w:t>
      </w:r>
      <w:r w:rsidR="007352A1" w:rsidRPr="00BE2697">
        <w:rPr>
          <w:rFonts w:ascii="Arial" w:hAnsi="Arial" w:cs="Arial"/>
          <w:sz w:val="22"/>
        </w:rPr>
        <w:t xml:space="preserve">must be understood as recognizing the </w:t>
      </w:r>
      <w:proofErr w:type="spellStart"/>
      <w:r w:rsidR="007352A1" w:rsidRPr="00BE2697">
        <w:rPr>
          <w:rFonts w:ascii="Arial" w:hAnsi="Arial" w:cs="Arial"/>
          <w:sz w:val="22"/>
        </w:rPr>
        <w:t>unborn</w:t>
      </w:r>
      <w:r w:rsidR="00A02031" w:rsidRPr="00BE2697">
        <w:rPr>
          <w:rFonts w:ascii="Arial" w:hAnsi="Arial" w:cs="Arial"/>
          <w:sz w:val="22"/>
        </w:rPr>
        <w:t>’s</w:t>
      </w:r>
      <w:proofErr w:type="spellEnd"/>
      <w:r w:rsidR="00A02031" w:rsidRPr="00BE2697">
        <w:rPr>
          <w:rFonts w:ascii="Arial" w:hAnsi="Arial" w:cs="Arial"/>
          <w:sz w:val="22"/>
        </w:rPr>
        <w:t xml:space="preserve"> distinct identity</w:t>
      </w:r>
      <w:r w:rsidR="007352A1" w:rsidRPr="00BE2697">
        <w:rPr>
          <w:rFonts w:ascii="Arial" w:hAnsi="Arial" w:cs="Arial"/>
          <w:sz w:val="22"/>
        </w:rPr>
        <w:t xml:space="preserve"> from the mother and </w:t>
      </w:r>
      <w:r w:rsidR="00A02031" w:rsidRPr="00BE2697">
        <w:rPr>
          <w:rFonts w:ascii="Arial" w:hAnsi="Arial" w:cs="Arial"/>
          <w:sz w:val="22"/>
        </w:rPr>
        <w:t>protecting</w:t>
      </w:r>
      <w:r w:rsidR="007352A1" w:rsidRPr="00BE2697">
        <w:rPr>
          <w:rFonts w:ascii="Arial" w:hAnsi="Arial" w:cs="Arial"/>
          <w:sz w:val="22"/>
        </w:rPr>
        <w:t xml:space="preserve"> the </w:t>
      </w:r>
      <w:proofErr w:type="spellStart"/>
      <w:r w:rsidR="007352A1" w:rsidRPr="00BE2697">
        <w:rPr>
          <w:rFonts w:ascii="Arial" w:hAnsi="Arial" w:cs="Arial"/>
          <w:sz w:val="22"/>
        </w:rPr>
        <w:t>unborn’s</w:t>
      </w:r>
      <w:proofErr w:type="spellEnd"/>
      <w:r w:rsidR="007352A1" w:rsidRPr="00BE2697">
        <w:rPr>
          <w:rFonts w:ascii="Arial" w:hAnsi="Arial" w:cs="Arial"/>
          <w:sz w:val="22"/>
        </w:rPr>
        <w:t xml:space="preserve"> right to life.</w:t>
      </w:r>
      <w:r w:rsidR="005D02A5" w:rsidRPr="00BE2697">
        <w:rPr>
          <w:rFonts w:ascii="Arial" w:hAnsi="Arial" w:cs="Arial"/>
          <w:sz w:val="22"/>
        </w:rPr>
        <w:t xml:space="preserve"> </w:t>
      </w:r>
    </w:p>
    <w:p w:rsidR="00FA74F0" w:rsidRPr="00BE2697" w:rsidRDefault="000D004C" w:rsidP="007B6F62">
      <w:pPr>
        <w:pStyle w:val="CourtNumberedpara"/>
        <w:spacing w:line="276" w:lineRule="auto"/>
        <w:jc w:val="both"/>
        <w:rPr>
          <w:rFonts w:ascii="Arial" w:hAnsi="Arial" w:cs="Arial"/>
          <w:sz w:val="22"/>
        </w:rPr>
      </w:pPr>
      <w:r w:rsidRPr="00BE2697">
        <w:rPr>
          <w:rFonts w:ascii="Arial" w:eastAsia="Calibri" w:hAnsi="Arial" w:cs="Arial"/>
          <w:sz w:val="22"/>
        </w:rPr>
        <w:t xml:space="preserve">As the </w:t>
      </w:r>
      <w:proofErr w:type="spellStart"/>
      <w:r w:rsidRPr="00BE2697">
        <w:rPr>
          <w:rFonts w:ascii="Arial" w:eastAsia="Calibri" w:hAnsi="Arial" w:cs="Arial"/>
          <w:i/>
          <w:sz w:val="22"/>
        </w:rPr>
        <w:t>travaux</w:t>
      </w:r>
      <w:proofErr w:type="spellEnd"/>
      <w:r w:rsidRPr="00BE2697">
        <w:rPr>
          <w:rFonts w:ascii="Arial" w:eastAsia="Calibri" w:hAnsi="Arial" w:cs="Arial"/>
          <w:i/>
          <w:sz w:val="22"/>
        </w:rPr>
        <w:t xml:space="preserve"> </w:t>
      </w:r>
      <w:proofErr w:type="spellStart"/>
      <w:r w:rsidRPr="00BE2697">
        <w:rPr>
          <w:rFonts w:ascii="Arial" w:eastAsia="Calibri" w:hAnsi="Arial" w:cs="Arial"/>
          <w:i/>
          <w:sz w:val="22"/>
        </w:rPr>
        <w:t>préparatoires</w:t>
      </w:r>
      <w:proofErr w:type="spellEnd"/>
      <w:r w:rsidRPr="00BE2697">
        <w:rPr>
          <w:rFonts w:ascii="Arial" w:eastAsia="Calibri" w:hAnsi="Arial" w:cs="Arial"/>
          <w:sz w:val="22"/>
          <w:vertAlign w:val="superscript"/>
        </w:rPr>
        <w:footnoteReference w:id="3"/>
      </w:r>
      <w:r w:rsidRPr="00BE2697">
        <w:rPr>
          <w:rFonts w:ascii="Arial" w:eastAsia="Calibri" w:hAnsi="Arial" w:cs="Arial"/>
          <w:sz w:val="22"/>
        </w:rPr>
        <w:t xml:space="preserve"> of the ICCPR</w:t>
      </w:r>
      <w:r w:rsidRPr="00BE2697">
        <w:rPr>
          <w:rFonts w:ascii="Arial" w:eastAsia="Calibri" w:hAnsi="Arial" w:cs="Arial"/>
          <w:sz w:val="22"/>
          <w:vertAlign w:val="superscript"/>
        </w:rPr>
        <w:t xml:space="preserve"> </w:t>
      </w:r>
      <w:r w:rsidRPr="00BE2697">
        <w:rPr>
          <w:rFonts w:ascii="Arial" w:eastAsia="Calibri" w:hAnsi="Arial" w:cs="Arial"/>
          <w:sz w:val="22"/>
        </w:rPr>
        <w:t xml:space="preserve">state, “The principal reason for providing in paragraph 4 [now Article 6(5)] of the original text that the death sentence should not be carried out on pregnant women was to </w:t>
      </w:r>
      <w:r w:rsidRPr="00BE2697">
        <w:rPr>
          <w:rFonts w:ascii="Arial" w:eastAsia="Calibri" w:hAnsi="Arial" w:cs="Arial"/>
          <w:i/>
          <w:sz w:val="22"/>
        </w:rPr>
        <w:t>save the life of an innocent unborn child</w:t>
      </w:r>
      <w:r w:rsidRPr="00BE2697">
        <w:rPr>
          <w:rFonts w:ascii="Arial" w:eastAsia="Calibri" w:hAnsi="Arial" w:cs="Arial"/>
          <w:sz w:val="22"/>
        </w:rPr>
        <w:t>.”</w:t>
      </w:r>
      <w:r w:rsidRPr="00BE2697">
        <w:rPr>
          <w:rFonts w:ascii="Arial" w:eastAsia="Calibri" w:hAnsi="Arial" w:cs="Arial"/>
          <w:sz w:val="22"/>
          <w:vertAlign w:val="superscript"/>
        </w:rPr>
        <w:footnoteReference w:id="4"/>
      </w:r>
      <w:r w:rsidRPr="00BE2697">
        <w:rPr>
          <w:rFonts w:ascii="Arial" w:eastAsia="Calibri" w:hAnsi="Arial" w:cs="Arial"/>
          <w:sz w:val="22"/>
          <w:vertAlign w:val="superscript"/>
        </w:rPr>
        <w:t xml:space="preserve"> </w:t>
      </w:r>
      <w:r w:rsidRPr="00BE2697">
        <w:rPr>
          <w:rFonts w:ascii="Arial" w:eastAsia="Calibri" w:hAnsi="Arial" w:cs="Arial"/>
          <w:sz w:val="22"/>
        </w:rPr>
        <w:t>Similarly, the Secretary</w:t>
      </w:r>
      <w:r w:rsidR="00C441CC" w:rsidRPr="00BE2697">
        <w:rPr>
          <w:rFonts w:ascii="Arial" w:eastAsia="Calibri" w:hAnsi="Arial" w:cs="Arial"/>
          <w:sz w:val="22"/>
        </w:rPr>
        <w:t xml:space="preserve"> </w:t>
      </w:r>
      <w:r w:rsidRPr="00BE2697">
        <w:rPr>
          <w:rFonts w:ascii="Arial" w:eastAsia="Calibri" w:hAnsi="Arial" w:cs="Arial"/>
          <w:sz w:val="22"/>
        </w:rPr>
        <w:t xml:space="preserve">General report of 1955 notes that the intention of the paragraph “was inspired by humanitarian considerations and by </w:t>
      </w:r>
      <w:r w:rsidRPr="00BE2697">
        <w:rPr>
          <w:rFonts w:ascii="Arial" w:eastAsia="Calibri" w:hAnsi="Arial" w:cs="Arial"/>
          <w:i/>
          <w:sz w:val="22"/>
        </w:rPr>
        <w:t xml:space="preserve">consideration for the interests of the unborn </w:t>
      </w:r>
      <w:proofErr w:type="gramStart"/>
      <w:r w:rsidRPr="00BE2697">
        <w:rPr>
          <w:rFonts w:ascii="Arial" w:eastAsia="Calibri" w:hAnsi="Arial" w:cs="Arial"/>
          <w:i/>
          <w:sz w:val="22"/>
        </w:rPr>
        <w:t>child</w:t>
      </w:r>
      <w:r w:rsidR="00706258" w:rsidRPr="00BE2697">
        <w:rPr>
          <w:rFonts w:ascii="Arial" w:eastAsia="Calibri" w:hAnsi="Arial" w:cs="Arial"/>
          <w:sz w:val="22"/>
        </w:rPr>
        <w:t>[</w:t>
      </w:r>
      <w:proofErr w:type="gramEnd"/>
      <w:r w:rsidR="00706258" w:rsidRPr="00BE2697">
        <w:rPr>
          <w:rFonts w:ascii="Arial" w:eastAsia="Calibri" w:hAnsi="Arial" w:cs="Arial"/>
          <w:sz w:val="22"/>
        </w:rPr>
        <w:t>.]”</w:t>
      </w:r>
      <w:r w:rsidR="00706258" w:rsidRPr="00BE2697">
        <w:rPr>
          <w:rFonts w:ascii="Arial" w:eastAsia="Calibri" w:hAnsi="Arial" w:cs="Arial"/>
          <w:sz w:val="22"/>
          <w:vertAlign w:val="superscript"/>
        </w:rPr>
        <w:footnoteReference w:id="5"/>
      </w:r>
    </w:p>
    <w:p w:rsidR="000358CB" w:rsidRPr="00BE2697" w:rsidRDefault="005E5CB0" w:rsidP="00E91F71">
      <w:pPr>
        <w:pStyle w:val="CourtNumberedpara"/>
        <w:numPr>
          <w:ilvl w:val="1"/>
          <w:numId w:val="6"/>
        </w:numPr>
        <w:ind w:right="1107"/>
        <w:jc w:val="both"/>
        <w:rPr>
          <w:rFonts w:ascii="Arial" w:hAnsi="Arial" w:cs="Arial"/>
          <w:b/>
          <w:sz w:val="22"/>
        </w:rPr>
      </w:pPr>
      <w:r w:rsidRPr="00BE2697">
        <w:rPr>
          <w:rFonts w:ascii="Arial" w:hAnsi="Arial" w:cs="Arial"/>
          <w:b/>
          <w:sz w:val="22"/>
        </w:rPr>
        <w:t xml:space="preserve">Recognition of the Unborn in </w:t>
      </w:r>
      <w:r w:rsidR="000358CB" w:rsidRPr="00BE2697">
        <w:rPr>
          <w:rFonts w:ascii="Arial" w:hAnsi="Arial" w:cs="Arial"/>
          <w:b/>
          <w:sz w:val="22"/>
        </w:rPr>
        <w:t xml:space="preserve">International Instruments </w:t>
      </w:r>
    </w:p>
    <w:p w:rsidR="007630E7" w:rsidRPr="00BE2697" w:rsidRDefault="001A2AAD" w:rsidP="00D12C05">
      <w:pPr>
        <w:pStyle w:val="Subheading"/>
        <w:spacing w:line="276" w:lineRule="auto"/>
        <w:ind w:firstLine="432"/>
        <w:jc w:val="both"/>
        <w:rPr>
          <w:rStyle w:val="A7"/>
          <w:rFonts w:ascii="Arial" w:hAnsi="Arial" w:cs="Arial"/>
          <w:color w:val="auto"/>
        </w:rPr>
      </w:pPr>
      <w:r w:rsidRPr="00BE2697">
        <w:rPr>
          <w:rStyle w:val="A7"/>
          <w:rFonts w:ascii="Arial" w:hAnsi="Arial" w:cs="Arial"/>
          <w:color w:val="auto"/>
        </w:rPr>
        <w:t>I</w:t>
      </w:r>
      <w:r w:rsidR="007630E7" w:rsidRPr="00BE2697">
        <w:rPr>
          <w:rStyle w:val="A7"/>
          <w:rFonts w:ascii="Arial" w:hAnsi="Arial" w:cs="Arial"/>
          <w:color w:val="auto"/>
        </w:rPr>
        <w:t>nternational human rights instruments</w:t>
      </w:r>
    </w:p>
    <w:p w:rsidR="007630E7" w:rsidRPr="00BE2697" w:rsidRDefault="007630E7" w:rsidP="007B6F62">
      <w:pPr>
        <w:pStyle w:val="CourtNumberedpara"/>
        <w:spacing w:line="276" w:lineRule="auto"/>
        <w:jc w:val="both"/>
        <w:rPr>
          <w:rFonts w:ascii="Arial" w:hAnsi="Arial" w:cs="Arial"/>
          <w:sz w:val="22"/>
        </w:rPr>
      </w:pPr>
      <w:r w:rsidRPr="00BE2697">
        <w:rPr>
          <w:rStyle w:val="A7"/>
          <w:rFonts w:ascii="Arial" w:hAnsi="Arial" w:cs="Arial"/>
          <w:color w:val="auto"/>
        </w:rPr>
        <w:t xml:space="preserve">The clear reference to the unborn child in the ICCPR is buttressed by several other references to the unborn in international documents. For example, the Geneva Convention relative to the Protection of Civilian Persons in Time of War states that “the wounded and sick, as well as the infirm, and </w:t>
      </w:r>
      <w:r w:rsidRPr="00BE2697">
        <w:rPr>
          <w:rStyle w:val="A7"/>
          <w:rFonts w:ascii="Arial" w:hAnsi="Arial" w:cs="Arial"/>
          <w:i/>
          <w:color w:val="auto"/>
        </w:rPr>
        <w:t>expectant mothers</w:t>
      </w:r>
      <w:r w:rsidRPr="00BE2697">
        <w:rPr>
          <w:rStyle w:val="A7"/>
          <w:rFonts w:ascii="Arial" w:hAnsi="Arial" w:cs="Arial"/>
          <w:color w:val="auto"/>
        </w:rPr>
        <w:t>, shall be the object of particular protection and respect.”</w:t>
      </w:r>
      <w:r w:rsidRPr="00BE2697">
        <w:rPr>
          <w:rStyle w:val="FootnoteReference"/>
          <w:rFonts w:ascii="Arial" w:hAnsi="Arial" w:cs="Arial"/>
          <w:sz w:val="22"/>
        </w:rPr>
        <w:footnoteReference w:id="6"/>
      </w:r>
      <w:r w:rsidRPr="00BE2697">
        <w:rPr>
          <w:rStyle w:val="A7"/>
          <w:rFonts w:ascii="Arial" w:hAnsi="Arial" w:cs="Arial"/>
          <w:color w:val="auto"/>
        </w:rPr>
        <w:t xml:space="preserve"> </w:t>
      </w:r>
      <w:r w:rsidRPr="00BE2697">
        <w:rPr>
          <w:rFonts w:ascii="Arial" w:hAnsi="Arial" w:cs="Arial"/>
          <w:sz w:val="22"/>
        </w:rPr>
        <w:t xml:space="preserve">Similarly, the Convention on the Prevention and Punishment of the Crime of Genocide defines genocide to include “imposing measures intended to </w:t>
      </w:r>
      <w:r w:rsidRPr="00BE2697">
        <w:rPr>
          <w:rFonts w:ascii="Arial" w:hAnsi="Arial" w:cs="Arial"/>
          <w:i/>
          <w:sz w:val="22"/>
        </w:rPr>
        <w:t>prevent births</w:t>
      </w:r>
      <w:r w:rsidRPr="00BE2697">
        <w:rPr>
          <w:rFonts w:ascii="Arial" w:hAnsi="Arial" w:cs="Arial"/>
          <w:sz w:val="22"/>
        </w:rPr>
        <w:t xml:space="preserve"> within the group.”</w:t>
      </w:r>
      <w:r w:rsidRPr="00BE2697">
        <w:rPr>
          <w:rStyle w:val="FootnoteReference"/>
          <w:rFonts w:ascii="Arial" w:hAnsi="Arial" w:cs="Arial"/>
          <w:sz w:val="22"/>
        </w:rPr>
        <w:footnoteReference w:id="7"/>
      </w:r>
    </w:p>
    <w:p w:rsidR="007630E7" w:rsidRPr="00BE2697" w:rsidRDefault="007630E7" w:rsidP="007B6F62">
      <w:pPr>
        <w:pStyle w:val="CourtNumberedpara"/>
        <w:spacing w:line="276" w:lineRule="auto"/>
        <w:jc w:val="both"/>
        <w:rPr>
          <w:rStyle w:val="A7"/>
          <w:rFonts w:ascii="Arial" w:hAnsi="Arial" w:cs="Arial"/>
          <w:color w:val="auto"/>
        </w:rPr>
      </w:pPr>
      <w:r w:rsidRPr="00BE2697">
        <w:rPr>
          <w:rStyle w:val="A7"/>
          <w:rFonts w:ascii="Arial" w:hAnsi="Arial" w:cs="Arial"/>
          <w:color w:val="auto"/>
        </w:rPr>
        <w:t xml:space="preserve">The protection of unborn life is also found through an ordinary reading of the language in the preamble of the </w:t>
      </w:r>
      <w:r w:rsidRPr="00BE2697">
        <w:rPr>
          <w:rFonts w:ascii="Arial" w:hAnsi="Arial" w:cs="Arial"/>
          <w:sz w:val="22"/>
        </w:rPr>
        <w:t>Convention on the Rights of the Child</w:t>
      </w:r>
      <w:r w:rsidRPr="00BE2697">
        <w:rPr>
          <w:rStyle w:val="A7"/>
          <w:rFonts w:ascii="Arial" w:hAnsi="Arial" w:cs="Arial"/>
          <w:color w:val="auto"/>
        </w:rPr>
        <w:t xml:space="preserve"> (CRC). According to the Vienna Convention, the preamble of a treaty provides necessary interpretive context.</w:t>
      </w:r>
      <w:r w:rsidRPr="00BE2697">
        <w:rPr>
          <w:rStyle w:val="FootnoteReference"/>
          <w:rFonts w:ascii="Arial" w:hAnsi="Arial" w:cs="Arial"/>
          <w:sz w:val="22"/>
        </w:rPr>
        <w:footnoteReference w:id="8"/>
      </w:r>
      <w:r w:rsidRPr="00BE2697">
        <w:rPr>
          <w:rStyle w:val="A7"/>
          <w:rFonts w:ascii="Arial" w:hAnsi="Arial" w:cs="Arial"/>
          <w:color w:val="auto"/>
        </w:rPr>
        <w:t xml:space="preserve"> It is therefore striking that the </w:t>
      </w:r>
      <w:r w:rsidRPr="00BE2697">
        <w:rPr>
          <w:rFonts w:ascii="Arial" w:hAnsi="Arial" w:cs="Arial"/>
          <w:sz w:val="22"/>
        </w:rPr>
        <w:t>CRC</w:t>
      </w:r>
      <w:r w:rsidRPr="00BE2697">
        <w:rPr>
          <w:rStyle w:val="A7"/>
          <w:rFonts w:ascii="Arial" w:hAnsi="Arial" w:cs="Arial"/>
          <w:color w:val="auto"/>
        </w:rPr>
        <w:t xml:space="preserve"> explicitly recognizes the </w:t>
      </w:r>
      <w:r w:rsidRPr="00BE2697">
        <w:rPr>
          <w:rStyle w:val="A7"/>
          <w:rFonts w:ascii="Arial" w:hAnsi="Arial" w:cs="Arial"/>
          <w:color w:val="auto"/>
        </w:rPr>
        <w:lastRenderedPageBreak/>
        <w:t xml:space="preserve">child </w:t>
      </w:r>
      <w:r w:rsidRPr="00BE2697">
        <w:rPr>
          <w:rStyle w:val="A7"/>
          <w:rFonts w:ascii="Arial" w:hAnsi="Arial" w:cs="Arial"/>
          <w:i/>
          <w:color w:val="auto"/>
        </w:rPr>
        <w:t>before birth</w:t>
      </w:r>
      <w:r w:rsidRPr="00BE2697">
        <w:rPr>
          <w:rStyle w:val="A7"/>
          <w:rFonts w:ascii="Arial" w:hAnsi="Arial" w:cs="Arial"/>
          <w:color w:val="auto"/>
        </w:rPr>
        <w:t xml:space="preserve"> as a rights-bearing person entitled to special need and protection. The preamble states, “</w:t>
      </w:r>
      <w:r w:rsidRPr="00BE2697">
        <w:rPr>
          <w:rFonts w:ascii="Arial" w:hAnsi="Arial" w:cs="Arial"/>
          <w:sz w:val="22"/>
        </w:rPr>
        <w:t>[T]</w:t>
      </w:r>
      <w:r w:rsidRPr="00BE2697">
        <w:rPr>
          <w:rStyle w:val="A7"/>
          <w:rFonts w:ascii="Arial" w:hAnsi="Arial" w:cs="Arial"/>
          <w:color w:val="auto"/>
        </w:rPr>
        <w:t xml:space="preserve">he child, by reason of his physical and mental immaturity, needs special safeguards and care, including appropriate legal protection, </w:t>
      </w:r>
      <w:r w:rsidRPr="00BE2697">
        <w:rPr>
          <w:rStyle w:val="A7"/>
          <w:rFonts w:ascii="Arial" w:hAnsi="Arial" w:cs="Arial"/>
          <w:i/>
          <w:color w:val="auto"/>
        </w:rPr>
        <w:t>before as well as after birth</w:t>
      </w:r>
      <w:r w:rsidRPr="00BE2697">
        <w:rPr>
          <w:rFonts w:ascii="Arial" w:hAnsi="Arial" w:cs="Arial"/>
          <w:sz w:val="22"/>
        </w:rPr>
        <w:t>.”</w:t>
      </w:r>
      <w:r w:rsidRPr="00BE2697">
        <w:rPr>
          <w:rStyle w:val="FootnoteReference"/>
          <w:rFonts w:ascii="Arial" w:hAnsi="Arial" w:cs="Arial"/>
          <w:sz w:val="22"/>
        </w:rPr>
        <w:footnoteReference w:id="9"/>
      </w:r>
      <w:r w:rsidRPr="00BE2697">
        <w:rPr>
          <w:rStyle w:val="A7"/>
          <w:rFonts w:ascii="Arial" w:hAnsi="Arial" w:cs="Arial"/>
          <w:color w:val="auto"/>
          <w:vertAlign w:val="superscript"/>
        </w:rPr>
        <w:t xml:space="preserve"> </w:t>
      </w:r>
      <w:r w:rsidRPr="00BE2697">
        <w:rPr>
          <w:rStyle w:val="A7"/>
          <w:rFonts w:ascii="Arial" w:hAnsi="Arial" w:cs="Arial"/>
          <w:color w:val="auto"/>
        </w:rPr>
        <w:t>This clear reference to the unborn child was includ</w:t>
      </w:r>
      <w:r w:rsidR="00EC436B" w:rsidRPr="00BE2697">
        <w:rPr>
          <w:rStyle w:val="A7"/>
          <w:rFonts w:ascii="Arial" w:hAnsi="Arial" w:cs="Arial"/>
          <w:color w:val="auto"/>
        </w:rPr>
        <w:t>ed</w:t>
      </w:r>
      <w:r w:rsidRPr="00BE2697">
        <w:rPr>
          <w:rStyle w:val="A7"/>
          <w:rFonts w:ascii="Arial" w:hAnsi="Arial" w:cs="Arial"/>
          <w:color w:val="auto"/>
        </w:rPr>
        <w:t xml:space="preserve"> directly from the Declaration of the Rights of the Child</w:t>
      </w:r>
      <w:r w:rsidR="00D20658" w:rsidRPr="00BE2697">
        <w:rPr>
          <w:rStyle w:val="A7"/>
          <w:rFonts w:ascii="Arial" w:hAnsi="Arial" w:cs="Arial"/>
          <w:color w:val="auto"/>
        </w:rPr>
        <w:t xml:space="preserve">. </w:t>
      </w:r>
      <w:r w:rsidRPr="00BE2697">
        <w:rPr>
          <w:rStyle w:val="A7"/>
          <w:rFonts w:ascii="Arial" w:hAnsi="Arial" w:cs="Arial"/>
          <w:color w:val="auto"/>
        </w:rPr>
        <w:t>The Declaration was adopted unanimously by the then-78 Member States of the UN General Assembly in Resolution 1386 (XIV), 20 November 1959.</w:t>
      </w:r>
    </w:p>
    <w:p w:rsidR="007630E7" w:rsidRPr="00BE2697" w:rsidRDefault="007630E7" w:rsidP="007B6F62">
      <w:pPr>
        <w:pStyle w:val="CourtNumberedpara"/>
        <w:spacing w:line="276" w:lineRule="auto"/>
        <w:jc w:val="both"/>
        <w:rPr>
          <w:rFonts w:ascii="Arial" w:hAnsi="Arial" w:cs="Arial"/>
          <w:sz w:val="22"/>
        </w:rPr>
      </w:pPr>
      <w:r w:rsidRPr="00BE2697">
        <w:rPr>
          <w:rStyle w:val="A7"/>
          <w:rFonts w:ascii="Arial" w:hAnsi="Arial" w:cs="Arial"/>
          <w:color w:val="auto"/>
        </w:rPr>
        <w:t>Article 1 of the CRC defines a child as “every human being below the age of eighteen years.” This provides a</w:t>
      </w:r>
      <w:r w:rsidR="00EC436B" w:rsidRPr="00BE2697">
        <w:rPr>
          <w:rStyle w:val="A7"/>
          <w:rFonts w:ascii="Arial" w:hAnsi="Arial" w:cs="Arial"/>
          <w:color w:val="auto"/>
        </w:rPr>
        <w:t>n</w:t>
      </w:r>
      <w:r w:rsidRPr="00BE2697">
        <w:rPr>
          <w:rStyle w:val="A7"/>
          <w:rFonts w:ascii="Arial" w:hAnsi="Arial" w:cs="Arial"/>
          <w:color w:val="auto"/>
        </w:rPr>
        <w:t xml:space="preserve"> upper limit as to who is a child, but does not provide a lower limit on wh</w:t>
      </w:r>
      <w:r w:rsidR="00D20658" w:rsidRPr="00BE2697">
        <w:rPr>
          <w:rStyle w:val="A7"/>
          <w:rFonts w:ascii="Arial" w:hAnsi="Arial" w:cs="Arial"/>
          <w:color w:val="auto"/>
        </w:rPr>
        <w:t>en</w:t>
      </w:r>
      <w:r w:rsidRPr="00BE2697">
        <w:rPr>
          <w:rStyle w:val="A7"/>
          <w:rFonts w:ascii="Arial" w:hAnsi="Arial" w:cs="Arial"/>
          <w:color w:val="auto"/>
        </w:rPr>
        <w:t xml:space="preserve"> the status of “child” attaches. Moreover, </w:t>
      </w:r>
      <w:r w:rsidRPr="00BE2697">
        <w:rPr>
          <w:rFonts w:ascii="Arial" w:hAnsi="Arial" w:cs="Arial"/>
          <w:sz w:val="22"/>
        </w:rPr>
        <w:t>Article 6</w:t>
      </w:r>
      <w:r w:rsidR="00262D8A" w:rsidRPr="00BE2697">
        <w:rPr>
          <w:rFonts w:ascii="Arial" w:hAnsi="Arial" w:cs="Arial"/>
          <w:sz w:val="22"/>
        </w:rPr>
        <w:t xml:space="preserve"> of the CRC</w:t>
      </w:r>
      <w:r w:rsidRPr="00BE2697">
        <w:rPr>
          <w:rFonts w:ascii="Arial" w:hAnsi="Arial" w:cs="Arial"/>
          <w:sz w:val="22"/>
        </w:rPr>
        <w:t xml:space="preserve"> </w:t>
      </w:r>
      <w:r w:rsidRPr="00BE2697">
        <w:rPr>
          <w:rStyle w:val="A7"/>
          <w:rFonts w:ascii="Arial" w:hAnsi="Arial" w:cs="Arial"/>
          <w:color w:val="auto"/>
        </w:rPr>
        <w:t xml:space="preserve">holds, </w:t>
      </w:r>
      <w:r w:rsidRPr="00BE2697">
        <w:rPr>
          <w:rFonts w:ascii="Arial" w:hAnsi="Arial" w:cs="Arial"/>
          <w:sz w:val="22"/>
        </w:rPr>
        <w:t xml:space="preserve">“States Parties recognize that every child has the inherent right to life. States Parties shall ensure to the maximum extent possible the survival and development of the child.” Viewed in the context of the preamble, both Articles 1 and 6 of the CRC indicate recognition of, and protection for, unborn life. </w:t>
      </w:r>
    </w:p>
    <w:p w:rsidR="007630E7" w:rsidRPr="00BE2697" w:rsidRDefault="007630E7" w:rsidP="00D12C05">
      <w:pPr>
        <w:pStyle w:val="Subheading"/>
        <w:spacing w:line="276" w:lineRule="auto"/>
        <w:ind w:firstLine="432"/>
        <w:jc w:val="both"/>
        <w:rPr>
          <w:rFonts w:ascii="Arial" w:hAnsi="Arial" w:cs="Arial"/>
          <w:sz w:val="22"/>
          <w:lang w:val="en-GB"/>
        </w:rPr>
      </w:pPr>
      <w:r w:rsidRPr="00BE2697">
        <w:rPr>
          <w:rFonts w:ascii="Arial" w:hAnsi="Arial" w:cs="Arial"/>
          <w:sz w:val="22"/>
          <w:lang w:val="en-GB"/>
        </w:rPr>
        <w:t>European Convention on Human Rights</w:t>
      </w:r>
    </w:p>
    <w:p w:rsidR="007630E7" w:rsidRPr="00BE2697" w:rsidRDefault="007630E7" w:rsidP="007B6F62">
      <w:pPr>
        <w:pStyle w:val="CourtNumberedpara"/>
        <w:spacing w:line="276" w:lineRule="auto"/>
        <w:jc w:val="both"/>
        <w:rPr>
          <w:rFonts w:ascii="Arial" w:hAnsi="Arial" w:cs="Arial"/>
          <w:sz w:val="22"/>
        </w:rPr>
      </w:pPr>
      <w:r w:rsidRPr="00BE2697">
        <w:rPr>
          <w:rFonts w:ascii="Arial" w:hAnsi="Arial" w:cs="Arial"/>
          <w:sz w:val="22"/>
        </w:rPr>
        <w:t>Article 2</w:t>
      </w:r>
      <w:r w:rsidR="000C2AD1" w:rsidRPr="00BE2697">
        <w:rPr>
          <w:rFonts w:ascii="Arial" w:hAnsi="Arial" w:cs="Arial"/>
          <w:sz w:val="22"/>
        </w:rPr>
        <w:t>(</w:t>
      </w:r>
      <w:r w:rsidRPr="00BE2697">
        <w:rPr>
          <w:rFonts w:ascii="Arial" w:hAnsi="Arial" w:cs="Arial"/>
          <w:sz w:val="22"/>
        </w:rPr>
        <w:t>1</w:t>
      </w:r>
      <w:r w:rsidR="000C2AD1" w:rsidRPr="00BE2697">
        <w:rPr>
          <w:rFonts w:ascii="Arial" w:hAnsi="Arial" w:cs="Arial"/>
          <w:sz w:val="22"/>
        </w:rPr>
        <w:t>)</w:t>
      </w:r>
      <w:r w:rsidRPr="00BE2697">
        <w:rPr>
          <w:rFonts w:ascii="Arial" w:hAnsi="Arial" w:cs="Arial"/>
          <w:sz w:val="22"/>
        </w:rPr>
        <w:t xml:space="preserve"> of the European Convention on Human Rights (ECHR) states, “Everyone’s right to life shall be protected by law.”</w:t>
      </w:r>
    </w:p>
    <w:p w:rsidR="007630E7" w:rsidRPr="00BE2697" w:rsidRDefault="007630E7" w:rsidP="007B6F62">
      <w:pPr>
        <w:pStyle w:val="CourtNumberedpara"/>
        <w:spacing w:line="276" w:lineRule="auto"/>
        <w:jc w:val="both"/>
        <w:rPr>
          <w:rFonts w:ascii="Arial" w:hAnsi="Arial" w:cs="Arial"/>
          <w:sz w:val="22"/>
        </w:rPr>
      </w:pPr>
      <w:r w:rsidRPr="00BE2697">
        <w:rPr>
          <w:rFonts w:ascii="Arial" w:hAnsi="Arial" w:cs="Arial"/>
          <w:sz w:val="22"/>
        </w:rPr>
        <w:t xml:space="preserve">The </w:t>
      </w:r>
      <w:r w:rsidR="005B295C" w:rsidRPr="00BE2697">
        <w:rPr>
          <w:rFonts w:ascii="Arial" w:hAnsi="Arial" w:cs="Arial"/>
          <w:sz w:val="22"/>
        </w:rPr>
        <w:t>European Court of Human Rights’ (</w:t>
      </w:r>
      <w:proofErr w:type="spellStart"/>
      <w:r w:rsidR="005B295C" w:rsidRPr="00BE2697">
        <w:rPr>
          <w:rFonts w:ascii="Arial" w:hAnsi="Arial" w:cs="Arial"/>
          <w:sz w:val="22"/>
        </w:rPr>
        <w:t>ECtHR</w:t>
      </w:r>
      <w:proofErr w:type="spellEnd"/>
      <w:r w:rsidR="005B295C" w:rsidRPr="00BE2697">
        <w:rPr>
          <w:rFonts w:ascii="Arial" w:hAnsi="Arial" w:cs="Arial"/>
          <w:sz w:val="22"/>
        </w:rPr>
        <w:t xml:space="preserve">) </w:t>
      </w:r>
      <w:r w:rsidRPr="00BE2697">
        <w:rPr>
          <w:rFonts w:ascii="Arial" w:hAnsi="Arial" w:cs="Arial"/>
          <w:sz w:val="22"/>
        </w:rPr>
        <w:t xml:space="preserve">most stringent treatment of what protections should be afforded to the unborn child </w:t>
      </w:r>
      <w:r w:rsidR="005B295C" w:rsidRPr="00BE2697">
        <w:rPr>
          <w:rFonts w:ascii="Arial" w:hAnsi="Arial" w:cs="Arial"/>
          <w:sz w:val="22"/>
        </w:rPr>
        <w:t xml:space="preserve">under the ECHR </w:t>
      </w:r>
      <w:r w:rsidRPr="00BE2697">
        <w:rPr>
          <w:rFonts w:ascii="Arial" w:hAnsi="Arial" w:cs="Arial"/>
          <w:sz w:val="22"/>
        </w:rPr>
        <w:t xml:space="preserve">can be found in the </w:t>
      </w:r>
      <w:r w:rsidR="009C1700">
        <w:rPr>
          <w:rFonts w:ascii="Arial" w:hAnsi="Arial" w:cs="Arial"/>
          <w:sz w:val="22"/>
        </w:rPr>
        <w:t>c</w:t>
      </w:r>
      <w:r w:rsidRPr="009C1700">
        <w:rPr>
          <w:rFonts w:ascii="Arial" w:hAnsi="Arial" w:cs="Arial"/>
          <w:sz w:val="22"/>
        </w:rPr>
        <w:t>ase of</w:t>
      </w:r>
      <w:r w:rsidRPr="00BE2697">
        <w:rPr>
          <w:rFonts w:ascii="Arial" w:hAnsi="Arial" w:cs="Arial"/>
          <w:i/>
          <w:sz w:val="22"/>
        </w:rPr>
        <w:t xml:space="preserve"> Vo v. France</w:t>
      </w:r>
      <w:r w:rsidR="00006E2E" w:rsidRPr="00BE2697">
        <w:rPr>
          <w:rFonts w:ascii="Arial" w:hAnsi="Arial" w:cs="Arial"/>
          <w:sz w:val="22"/>
        </w:rPr>
        <w:t>,</w:t>
      </w:r>
      <w:r w:rsidRPr="00BE2697">
        <w:rPr>
          <w:rStyle w:val="FootnoteReference"/>
          <w:rFonts w:ascii="Arial" w:hAnsi="Arial" w:cs="Arial"/>
          <w:sz w:val="22"/>
        </w:rPr>
        <w:footnoteReference w:id="10"/>
      </w:r>
      <w:r w:rsidRPr="00BE2697">
        <w:rPr>
          <w:rFonts w:ascii="Arial" w:hAnsi="Arial" w:cs="Arial"/>
          <w:sz w:val="22"/>
        </w:rPr>
        <w:t xml:space="preserve"> </w:t>
      </w:r>
      <w:r w:rsidR="00006E2E" w:rsidRPr="00BE2697">
        <w:rPr>
          <w:rFonts w:ascii="Arial" w:hAnsi="Arial" w:cs="Arial"/>
          <w:sz w:val="22"/>
        </w:rPr>
        <w:t>in which it acknowledged that with scientific progress a growing consensus is emerging among Member States that the unborn child is part of the human race and is worthy of some level of protection.</w:t>
      </w:r>
      <w:r w:rsidR="00006E2E" w:rsidRPr="00BE2697">
        <w:rPr>
          <w:rStyle w:val="FootnoteReference"/>
          <w:rFonts w:ascii="Arial" w:hAnsi="Arial" w:cs="Arial"/>
          <w:sz w:val="22"/>
        </w:rPr>
        <w:footnoteReference w:id="11"/>
      </w:r>
    </w:p>
    <w:p w:rsidR="007630E7" w:rsidRPr="00BE2697" w:rsidRDefault="007630E7" w:rsidP="007B6F62">
      <w:pPr>
        <w:pStyle w:val="CourtNumberedpara"/>
        <w:spacing w:line="276" w:lineRule="auto"/>
        <w:jc w:val="both"/>
        <w:rPr>
          <w:rFonts w:ascii="Arial" w:hAnsi="Arial" w:cs="Arial"/>
          <w:sz w:val="22"/>
        </w:rPr>
      </w:pPr>
      <w:r w:rsidRPr="00BE2697">
        <w:rPr>
          <w:rFonts w:ascii="Arial" w:hAnsi="Arial" w:cs="Arial"/>
          <w:sz w:val="22"/>
        </w:rPr>
        <w:t xml:space="preserve">The </w:t>
      </w:r>
      <w:proofErr w:type="spellStart"/>
      <w:r w:rsidRPr="00BE2697">
        <w:rPr>
          <w:rFonts w:ascii="Arial" w:hAnsi="Arial" w:cs="Arial"/>
          <w:sz w:val="22"/>
        </w:rPr>
        <w:t>ECtHR</w:t>
      </w:r>
      <w:proofErr w:type="spellEnd"/>
      <w:r w:rsidRPr="00BE2697">
        <w:rPr>
          <w:rFonts w:ascii="Arial" w:hAnsi="Arial" w:cs="Arial"/>
          <w:sz w:val="22"/>
        </w:rPr>
        <w:t xml:space="preserve"> has never defined Article 2 so as to exclude the protection of </w:t>
      </w:r>
      <w:proofErr w:type="spellStart"/>
      <w:r w:rsidRPr="00BE2697">
        <w:rPr>
          <w:rFonts w:ascii="Arial" w:hAnsi="Arial" w:cs="Arial"/>
          <w:sz w:val="22"/>
        </w:rPr>
        <w:t>foetal</w:t>
      </w:r>
      <w:proofErr w:type="spellEnd"/>
      <w:r w:rsidRPr="00BE2697">
        <w:rPr>
          <w:rFonts w:ascii="Arial" w:hAnsi="Arial" w:cs="Arial"/>
          <w:sz w:val="22"/>
        </w:rPr>
        <w:t xml:space="preserve"> life from its scope.</w:t>
      </w:r>
      <w:r w:rsidRPr="00BE2697">
        <w:rPr>
          <w:rStyle w:val="FootnoteReference"/>
          <w:rFonts w:ascii="Arial" w:hAnsi="Arial" w:cs="Arial"/>
          <w:sz w:val="22"/>
        </w:rPr>
        <w:footnoteReference w:id="12"/>
      </w:r>
      <w:r w:rsidRPr="00BE2697">
        <w:rPr>
          <w:rFonts w:ascii="Arial" w:hAnsi="Arial" w:cs="Arial"/>
          <w:sz w:val="22"/>
        </w:rPr>
        <w:t xml:space="preserve"> Furthermore, the permissible exceptions to Article 2, set out in paragraph 2, provide an exhaustive list in which deprivation of life can be justified where the use of force used will be no more than absolutely necessary: (a) in </w:t>
      </w:r>
      <w:proofErr w:type="spellStart"/>
      <w:r w:rsidRPr="00BE2697">
        <w:rPr>
          <w:rFonts w:ascii="Arial" w:hAnsi="Arial" w:cs="Arial"/>
          <w:sz w:val="22"/>
        </w:rPr>
        <w:t>defence</w:t>
      </w:r>
      <w:proofErr w:type="spellEnd"/>
      <w:r w:rsidRPr="00BE2697">
        <w:rPr>
          <w:rFonts w:ascii="Arial" w:hAnsi="Arial" w:cs="Arial"/>
          <w:sz w:val="22"/>
        </w:rPr>
        <w:t xml:space="preserve"> of any person from unlawful violence; (b) in order to effect a lawful arrest or to prevent the escape of a person lawfully detained; (c) in action lawfully taken for the purpose of quelling a riot or insurrection. The </w:t>
      </w:r>
      <w:proofErr w:type="spellStart"/>
      <w:r w:rsidRPr="00BE2697">
        <w:rPr>
          <w:rFonts w:ascii="Arial" w:hAnsi="Arial" w:cs="Arial"/>
          <w:sz w:val="22"/>
        </w:rPr>
        <w:t>ECtHR</w:t>
      </w:r>
      <w:proofErr w:type="spellEnd"/>
      <w:r w:rsidRPr="00BE2697">
        <w:rPr>
          <w:rFonts w:ascii="Arial" w:hAnsi="Arial" w:cs="Arial"/>
          <w:sz w:val="22"/>
        </w:rPr>
        <w:t xml:space="preserve"> itself has never departed from this view except with regard to the margin of appreciation afforded to Member States where abortion is viewed as </w:t>
      </w:r>
      <w:proofErr w:type="gramStart"/>
      <w:r w:rsidRPr="00BE2697">
        <w:rPr>
          <w:rFonts w:ascii="Arial" w:hAnsi="Arial" w:cs="Arial"/>
          <w:sz w:val="22"/>
        </w:rPr>
        <w:t>a derogation</w:t>
      </w:r>
      <w:proofErr w:type="gramEnd"/>
      <w:r w:rsidRPr="00BE2697">
        <w:rPr>
          <w:rFonts w:ascii="Arial" w:hAnsi="Arial" w:cs="Arial"/>
          <w:sz w:val="22"/>
        </w:rPr>
        <w:t xml:space="preserve"> from the right to life within the meaning of their national legislation. The </w:t>
      </w:r>
      <w:proofErr w:type="spellStart"/>
      <w:r w:rsidRPr="00BE2697">
        <w:rPr>
          <w:rFonts w:ascii="Arial" w:hAnsi="Arial" w:cs="Arial"/>
          <w:sz w:val="22"/>
        </w:rPr>
        <w:t>ECtHR</w:t>
      </w:r>
      <w:proofErr w:type="spellEnd"/>
      <w:r w:rsidRPr="00BE2697">
        <w:rPr>
          <w:rFonts w:ascii="Arial" w:hAnsi="Arial" w:cs="Arial"/>
          <w:sz w:val="22"/>
        </w:rPr>
        <w:t xml:space="preserve"> has also called for restraint with a view to unborn life within the context of bioethics,</w:t>
      </w:r>
      <w:r w:rsidRPr="00BE2697">
        <w:rPr>
          <w:rStyle w:val="FootnoteReference"/>
          <w:rFonts w:ascii="Arial" w:hAnsi="Arial" w:cs="Arial"/>
          <w:sz w:val="22"/>
        </w:rPr>
        <w:footnoteReference w:id="13"/>
      </w:r>
      <w:r w:rsidRPr="00BE2697">
        <w:rPr>
          <w:rFonts w:ascii="Arial" w:hAnsi="Arial" w:cs="Arial"/>
          <w:sz w:val="22"/>
        </w:rPr>
        <w:t xml:space="preserve"> which is also reflected in the Council of Europe’s 1997 Convention on Human Rights and Biomedicine</w:t>
      </w:r>
      <w:r w:rsidR="006B66EA" w:rsidRPr="00BE2697">
        <w:rPr>
          <w:rFonts w:ascii="Arial" w:hAnsi="Arial" w:cs="Arial"/>
          <w:sz w:val="22"/>
        </w:rPr>
        <w:t xml:space="preserve"> (the Oviedo Convention)</w:t>
      </w:r>
      <w:r w:rsidRPr="00BE2697">
        <w:rPr>
          <w:rStyle w:val="FootnoteReference"/>
          <w:rFonts w:ascii="Arial" w:hAnsi="Arial" w:cs="Arial"/>
          <w:sz w:val="22"/>
        </w:rPr>
        <w:footnoteReference w:id="14"/>
      </w:r>
      <w:r w:rsidRPr="00BE2697">
        <w:rPr>
          <w:rFonts w:ascii="Arial" w:hAnsi="Arial" w:cs="Arial"/>
          <w:sz w:val="22"/>
        </w:rPr>
        <w:t xml:space="preserve"> and the conservative jurisprudence of the Court of Justice of the European Union in this area.</w:t>
      </w:r>
      <w:r w:rsidRPr="00BE2697">
        <w:rPr>
          <w:rStyle w:val="FootnoteReference"/>
          <w:rFonts w:ascii="Arial" w:hAnsi="Arial" w:cs="Arial"/>
          <w:sz w:val="22"/>
        </w:rPr>
        <w:footnoteReference w:id="15"/>
      </w:r>
    </w:p>
    <w:p w:rsidR="007630E7" w:rsidRPr="00BE2697" w:rsidRDefault="007630E7" w:rsidP="007B6F62">
      <w:pPr>
        <w:pStyle w:val="CourtNumberedpara"/>
        <w:spacing w:line="276" w:lineRule="auto"/>
        <w:jc w:val="both"/>
        <w:rPr>
          <w:rFonts w:ascii="Arial" w:hAnsi="Arial" w:cs="Arial"/>
          <w:sz w:val="22"/>
        </w:rPr>
      </w:pPr>
      <w:r w:rsidRPr="00BE2697">
        <w:rPr>
          <w:rFonts w:ascii="Arial" w:hAnsi="Arial" w:cs="Arial"/>
          <w:sz w:val="22"/>
        </w:rPr>
        <w:lastRenderedPageBreak/>
        <w:t xml:space="preserve">Furthermore, the </w:t>
      </w:r>
      <w:proofErr w:type="spellStart"/>
      <w:r w:rsidRPr="00BE2697">
        <w:rPr>
          <w:rFonts w:ascii="Arial" w:hAnsi="Arial" w:cs="Arial"/>
          <w:sz w:val="22"/>
        </w:rPr>
        <w:t>ECtHR</w:t>
      </w:r>
      <w:proofErr w:type="spellEnd"/>
      <w:r w:rsidRPr="00BE2697">
        <w:rPr>
          <w:rFonts w:ascii="Arial" w:hAnsi="Arial" w:cs="Arial"/>
          <w:sz w:val="22"/>
        </w:rPr>
        <w:t xml:space="preserve"> has respected and recognized the profound moral values associated with the right to life of the unborn child in relation to Article 2 of the ECHR.</w:t>
      </w:r>
      <w:r w:rsidRPr="00BE2697">
        <w:rPr>
          <w:rStyle w:val="FootnoteReference"/>
          <w:rFonts w:ascii="Arial" w:hAnsi="Arial" w:cs="Arial"/>
          <w:sz w:val="22"/>
        </w:rPr>
        <w:footnoteReference w:id="16"/>
      </w:r>
      <w:r w:rsidRPr="00BE2697">
        <w:rPr>
          <w:rFonts w:ascii="Arial" w:hAnsi="Arial" w:cs="Arial"/>
          <w:sz w:val="22"/>
        </w:rPr>
        <w:t xml:space="preserve"> It has therefore ruled, for example, that Article 8 </w:t>
      </w:r>
      <w:r w:rsidR="00006E2E" w:rsidRPr="00BE2697">
        <w:rPr>
          <w:rFonts w:ascii="Arial" w:hAnsi="Arial" w:cs="Arial"/>
          <w:sz w:val="22"/>
        </w:rPr>
        <w:t xml:space="preserve">on the right to respect </w:t>
      </w:r>
      <w:r w:rsidR="003D636B" w:rsidRPr="00BE2697">
        <w:rPr>
          <w:rFonts w:ascii="Arial" w:hAnsi="Arial" w:cs="Arial"/>
          <w:sz w:val="22"/>
        </w:rPr>
        <w:t xml:space="preserve">for private and family life </w:t>
      </w:r>
      <w:r w:rsidRPr="00BE2697">
        <w:rPr>
          <w:rFonts w:ascii="Arial" w:hAnsi="Arial" w:cs="Arial"/>
          <w:sz w:val="22"/>
        </w:rPr>
        <w:t>cannot be interpreted as conferring a right to abortion.</w:t>
      </w:r>
      <w:r w:rsidRPr="00BE2697">
        <w:rPr>
          <w:rStyle w:val="FootnoteReference"/>
          <w:rFonts w:ascii="Arial" w:hAnsi="Arial" w:cs="Arial"/>
          <w:sz w:val="22"/>
        </w:rPr>
        <w:footnoteReference w:id="17"/>
      </w:r>
      <w:r w:rsidRPr="00BE2697">
        <w:rPr>
          <w:rFonts w:ascii="Arial" w:hAnsi="Arial" w:cs="Arial"/>
          <w:sz w:val="22"/>
        </w:rPr>
        <w:t xml:space="preserve"> It has also recognized, because of the application of Article 2, that States are required to make regulations compelling hospitals to take measures to protect the life (born or unborn) of their patients.</w:t>
      </w:r>
      <w:r w:rsidRPr="00BE2697">
        <w:rPr>
          <w:rStyle w:val="FootnoteReference"/>
          <w:rFonts w:ascii="Arial" w:hAnsi="Arial" w:cs="Arial"/>
          <w:sz w:val="22"/>
        </w:rPr>
        <w:footnoteReference w:id="18"/>
      </w:r>
    </w:p>
    <w:p w:rsidR="007630E7" w:rsidRPr="00BE2697" w:rsidRDefault="007630E7" w:rsidP="007B6F62">
      <w:pPr>
        <w:pStyle w:val="CourtNumberedpara"/>
        <w:spacing w:line="276" w:lineRule="auto"/>
        <w:jc w:val="both"/>
        <w:rPr>
          <w:rFonts w:ascii="Arial" w:hAnsi="Arial" w:cs="Arial"/>
          <w:sz w:val="22"/>
        </w:rPr>
      </w:pPr>
      <w:r w:rsidRPr="00BE2697">
        <w:rPr>
          <w:rFonts w:ascii="Arial" w:hAnsi="Arial" w:cs="Arial"/>
          <w:sz w:val="22"/>
        </w:rPr>
        <w:t xml:space="preserve">In summary, while the jurisprudence of the </w:t>
      </w:r>
      <w:proofErr w:type="spellStart"/>
      <w:r w:rsidRPr="00BE2697">
        <w:rPr>
          <w:rFonts w:ascii="Arial" w:hAnsi="Arial" w:cs="Arial"/>
          <w:sz w:val="22"/>
        </w:rPr>
        <w:t>ECtHR</w:t>
      </w:r>
      <w:proofErr w:type="spellEnd"/>
      <w:r w:rsidRPr="00BE2697">
        <w:rPr>
          <w:rFonts w:ascii="Arial" w:hAnsi="Arial" w:cs="Arial"/>
          <w:sz w:val="22"/>
        </w:rPr>
        <w:t xml:space="preserve"> has been purposeful in not answering the question of when life begins, it has been equally clear in recognizing that the unborn child is worthy of protection under the ECHR.</w:t>
      </w:r>
    </w:p>
    <w:p w:rsidR="007630E7" w:rsidRPr="00BE2697" w:rsidRDefault="007630E7" w:rsidP="00D12C05">
      <w:pPr>
        <w:pStyle w:val="Subheading"/>
        <w:spacing w:line="276" w:lineRule="auto"/>
        <w:ind w:firstLine="432"/>
        <w:jc w:val="both"/>
        <w:rPr>
          <w:rFonts w:ascii="Arial" w:hAnsi="Arial" w:cs="Arial"/>
          <w:sz w:val="22"/>
        </w:rPr>
      </w:pPr>
      <w:r w:rsidRPr="00BE2697">
        <w:rPr>
          <w:rFonts w:ascii="Arial" w:hAnsi="Arial" w:cs="Arial"/>
          <w:sz w:val="22"/>
        </w:rPr>
        <w:t>American Convention on Human Rights</w:t>
      </w:r>
    </w:p>
    <w:p w:rsidR="007630E7" w:rsidRPr="00BE2697" w:rsidRDefault="007630E7" w:rsidP="007B6F62">
      <w:pPr>
        <w:pStyle w:val="CourtNumberedpara"/>
        <w:spacing w:line="276" w:lineRule="auto"/>
        <w:jc w:val="both"/>
        <w:rPr>
          <w:rStyle w:val="A7"/>
          <w:rFonts w:ascii="Arial" w:hAnsi="Arial" w:cs="Arial"/>
          <w:color w:val="auto"/>
        </w:rPr>
      </w:pPr>
      <w:r w:rsidRPr="00BE2697">
        <w:rPr>
          <w:rFonts w:ascii="Arial" w:hAnsi="Arial" w:cs="Arial"/>
          <w:sz w:val="22"/>
        </w:rPr>
        <w:t>The most explicit reference to the unborn</w:t>
      </w:r>
      <w:r w:rsidR="007F437D" w:rsidRPr="00BE2697">
        <w:rPr>
          <w:rFonts w:ascii="Arial" w:hAnsi="Arial" w:cs="Arial"/>
          <w:sz w:val="22"/>
        </w:rPr>
        <w:t xml:space="preserve"> within international human rights instruments</w:t>
      </w:r>
      <w:r w:rsidRPr="00BE2697">
        <w:rPr>
          <w:rFonts w:ascii="Arial" w:hAnsi="Arial" w:cs="Arial"/>
          <w:sz w:val="22"/>
        </w:rPr>
        <w:t xml:space="preserve"> is contained in Article 4(1) of the American Convention on Human Rights </w:t>
      </w:r>
      <w:r w:rsidR="0005719F" w:rsidRPr="00BE2697">
        <w:rPr>
          <w:rFonts w:ascii="Arial" w:hAnsi="Arial" w:cs="Arial"/>
          <w:sz w:val="22"/>
        </w:rPr>
        <w:t>(ACHR)</w:t>
      </w:r>
      <w:r w:rsidRPr="00BE2697">
        <w:rPr>
          <w:rFonts w:ascii="Arial" w:hAnsi="Arial" w:cs="Arial"/>
          <w:sz w:val="22"/>
        </w:rPr>
        <w:t xml:space="preserve">, which states, “Every person has the right to have his life respected. This right shall be protected by law and, in general, </w:t>
      </w:r>
      <w:r w:rsidRPr="00BE2697">
        <w:rPr>
          <w:rFonts w:ascii="Arial" w:hAnsi="Arial" w:cs="Arial"/>
          <w:i/>
          <w:sz w:val="22"/>
        </w:rPr>
        <w:t>from the moment of conception</w:t>
      </w:r>
      <w:r w:rsidRPr="00BE2697">
        <w:rPr>
          <w:rFonts w:ascii="Arial" w:hAnsi="Arial" w:cs="Arial"/>
          <w:sz w:val="22"/>
        </w:rPr>
        <w:t>. No one shall be arbitrarily deprived of his life.”</w:t>
      </w:r>
      <w:r w:rsidRPr="00BE2697">
        <w:rPr>
          <w:rStyle w:val="FootnoteReference"/>
          <w:rFonts w:ascii="Arial" w:hAnsi="Arial" w:cs="Arial"/>
          <w:sz w:val="22"/>
        </w:rPr>
        <w:footnoteReference w:id="19"/>
      </w:r>
      <w:r w:rsidRPr="00BE2697">
        <w:rPr>
          <w:rFonts w:ascii="Arial" w:hAnsi="Arial" w:cs="Arial"/>
          <w:sz w:val="22"/>
        </w:rPr>
        <w:t xml:space="preserve"> </w:t>
      </w:r>
      <w:r w:rsidRPr="00BE2697">
        <w:rPr>
          <w:rStyle w:val="A7"/>
          <w:rFonts w:ascii="Arial" w:hAnsi="Arial" w:cs="Arial"/>
          <w:color w:val="auto"/>
        </w:rPr>
        <w:t>While the wording of Article 4(1) appears to allow exceptions to the legal protection of the right to life of the unborn, it does not explicitly describe them. Thus, the correct interpretation of Article 4(1) has been the source of much debate.</w:t>
      </w:r>
      <w:r w:rsidRPr="00BE2697">
        <w:rPr>
          <w:rStyle w:val="FootnoteReference"/>
          <w:rFonts w:ascii="Arial" w:hAnsi="Arial" w:cs="Arial"/>
          <w:sz w:val="22"/>
        </w:rPr>
        <w:footnoteReference w:id="20"/>
      </w:r>
      <w:r w:rsidRPr="00BE2697">
        <w:rPr>
          <w:rStyle w:val="A7"/>
          <w:rFonts w:ascii="Arial" w:hAnsi="Arial" w:cs="Arial"/>
          <w:color w:val="auto"/>
        </w:rPr>
        <w:t xml:space="preserve"> Clearly, however, protecting the right to life from the moment of conception is the purpose and intention of the article read as a whole.</w:t>
      </w:r>
    </w:p>
    <w:p w:rsidR="007630E7" w:rsidRPr="00BE2697" w:rsidRDefault="007630E7" w:rsidP="007B6F62">
      <w:pPr>
        <w:pStyle w:val="CourtNumberedpara"/>
        <w:spacing w:line="276" w:lineRule="auto"/>
        <w:jc w:val="both"/>
        <w:rPr>
          <w:rFonts w:ascii="Arial" w:hAnsi="Arial" w:cs="Arial"/>
          <w:sz w:val="22"/>
        </w:rPr>
      </w:pPr>
      <w:r w:rsidRPr="00BE2697">
        <w:rPr>
          <w:rStyle w:val="A7"/>
          <w:rFonts w:ascii="Arial" w:hAnsi="Arial" w:cs="Arial"/>
          <w:color w:val="auto"/>
        </w:rPr>
        <w:t xml:space="preserve">Therefore, given the above references within international and regional human rights treaties, there is </w:t>
      </w:r>
      <w:r w:rsidR="00764C32">
        <w:rPr>
          <w:rStyle w:val="A7"/>
          <w:rFonts w:ascii="Arial" w:hAnsi="Arial" w:cs="Arial"/>
          <w:color w:val="auto"/>
        </w:rPr>
        <w:t xml:space="preserve">strong support for </w:t>
      </w:r>
      <w:r w:rsidRPr="00BE2697">
        <w:rPr>
          <w:rStyle w:val="A7"/>
          <w:rFonts w:ascii="Arial" w:hAnsi="Arial" w:cs="Arial"/>
          <w:color w:val="auto"/>
        </w:rPr>
        <w:t>the</w:t>
      </w:r>
      <w:r w:rsidR="009C1700">
        <w:rPr>
          <w:rStyle w:val="A7"/>
          <w:rFonts w:ascii="Arial" w:hAnsi="Arial" w:cs="Arial"/>
          <w:color w:val="auto"/>
        </w:rPr>
        <w:t xml:space="preserve"> proposition that the</w:t>
      </w:r>
      <w:r w:rsidRPr="00BE2697">
        <w:rPr>
          <w:rStyle w:val="A7"/>
          <w:rFonts w:ascii="Arial" w:hAnsi="Arial" w:cs="Arial"/>
          <w:color w:val="auto"/>
        </w:rPr>
        <w:t xml:space="preserve"> international legal framework </w:t>
      </w:r>
      <w:r w:rsidR="009C1700">
        <w:rPr>
          <w:rStyle w:val="A7"/>
          <w:rFonts w:ascii="Arial" w:hAnsi="Arial" w:cs="Arial"/>
          <w:color w:val="auto"/>
        </w:rPr>
        <w:t>can be</w:t>
      </w:r>
      <w:r w:rsidRPr="00BE2697">
        <w:rPr>
          <w:rStyle w:val="A7"/>
          <w:rFonts w:ascii="Arial" w:hAnsi="Arial" w:cs="Arial"/>
          <w:color w:val="auto"/>
        </w:rPr>
        <w:t xml:space="preserve"> understood as </w:t>
      </w:r>
      <w:r w:rsidR="007F437D" w:rsidRPr="00BE2697">
        <w:rPr>
          <w:rStyle w:val="A7"/>
          <w:rFonts w:ascii="Arial" w:hAnsi="Arial" w:cs="Arial"/>
          <w:color w:val="auto"/>
        </w:rPr>
        <w:t xml:space="preserve">recognizing </w:t>
      </w:r>
      <w:r w:rsidRPr="00BE2697">
        <w:rPr>
          <w:rStyle w:val="A7"/>
          <w:rFonts w:ascii="Arial" w:hAnsi="Arial" w:cs="Arial"/>
          <w:color w:val="auto"/>
        </w:rPr>
        <w:t xml:space="preserve">unborn life. </w:t>
      </w:r>
    </w:p>
    <w:p w:rsidR="00623B4E" w:rsidRPr="00BE2697" w:rsidRDefault="005E5CB0" w:rsidP="00E91F71">
      <w:pPr>
        <w:pStyle w:val="CourtNumberedpara"/>
        <w:numPr>
          <w:ilvl w:val="1"/>
          <w:numId w:val="6"/>
        </w:numPr>
        <w:ind w:right="1107"/>
        <w:jc w:val="both"/>
        <w:rPr>
          <w:rFonts w:ascii="Arial" w:hAnsi="Arial" w:cs="Arial"/>
          <w:b/>
          <w:sz w:val="22"/>
        </w:rPr>
      </w:pPr>
      <w:r w:rsidRPr="00BE2697">
        <w:rPr>
          <w:rFonts w:ascii="Arial" w:hAnsi="Arial" w:cs="Arial"/>
          <w:b/>
          <w:sz w:val="22"/>
        </w:rPr>
        <w:t xml:space="preserve">Recognition of the Right to Life of the Unborn in </w:t>
      </w:r>
      <w:r w:rsidR="00541884" w:rsidRPr="00BE2697">
        <w:rPr>
          <w:rFonts w:ascii="Arial" w:hAnsi="Arial" w:cs="Arial"/>
          <w:b/>
          <w:sz w:val="22"/>
        </w:rPr>
        <w:t xml:space="preserve">National Legal Provisions of Numerous </w:t>
      </w:r>
      <w:r w:rsidRPr="00BE2697">
        <w:rPr>
          <w:rFonts w:ascii="Arial" w:hAnsi="Arial" w:cs="Arial"/>
          <w:b/>
          <w:sz w:val="22"/>
        </w:rPr>
        <w:t xml:space="preserve">ICCPR </w:t>
      </w:r>
      <w:r w:rsidR="00541884" w:rsidRPr="00BE2697">
        <w:rPr>
          <w:rFonts w:ascii="Arial" w:hAnsi="Arial" w:cs="Arial"/>
          <w:b/>
          <w:sz w:val="22"/>
        </w:rPr>
        <w:t>Signatories</w:t>
      </w:r>
    </w:p>
    <w:p w:rsidR="000E6040" w:rsidRPr="00BE2697" w:rsidRDefault="000E6040" w:rsidP="007B6F62">
      <w:pPr>
        <w:pStyle w:val="CourtNumberedpara"/>
        <w:spacing w:line="276" w:lineRule="auto"/>
        <w:jc w:val="both"/>
        <w:rPr>
          <w:rFonts w:ascii="Arial" w:hAnsi="Arial" w:cs="Arial"/>
          <w:sz w:val="22"/>
        </w:rPr>
      </w:pPr>
      <w:r w:rsidRPr="00BE2697">
        <w:rPr>
          <w:rFonts w:ascii="Arial" w:hAnsi="Arial" w:cs="Arial"/>
          <w:sz w:val="22"/>
        </w:rPr>
        <w:t xml:space="preserve">In addition to the ICCPR and other international instruments, numerous signatories to the ICCPR recognize the right to life of the unborn in their constitutions and legal provisions. </w:t>
      </w:r>
      <w:r w:rsidR="00623B4E" w:rsidRPr="00BE2697">
        <w:rPr>
          <w:rFonts w:ascii="Arial" w:hAnsi="Arial" w:cs="Arial"/>
          <w:sz w:val="22"/>
        </w:rPr>
        <w:t xml:space="preserve">Article 6 </w:t>
      </w:r>
      <w:r w:rsidR="007F437D" w:rsidRPr="00BE2697">
        <w:rPr>
          <w:rFonts w:ascii="Arial" w:hAnsi="Arial" w:cs="Arial"/>
          <w:sz w:val="22"/>
        </w:rPr>
        <w:t xml:space="preserve">may </w:t>
      </w:r>
      <w:r w:rsidRPr="00BE2697">
        <w:rPr>
          <w:rFonts w:ascii="Arial" w:hAnsi="Arial" w:cs="Arial"/>
          <w:sz w:val="22"/>
        </w:rPr>
        <w:t xml:space="preserve">be interpreted to include the right to life of the unborn in accordance with these provisions. </w:t>
      </w:r>
    </w:p>
    <w:p w:rsidR="00623B4E" w:rsidRPr="00BE2697" w:rsidRDefault="000E6040" w:rsidP="007B6F62">
      <w:pPr>
        <w:pStyle w:val="CourtNumberedpara"/>
        <w:spacing w:line="276" w:lineRule="auto"/>
        <w:jc w:val="both"/>
        <w:rPr>
          <w:rFonts w:ascii="Arial" w:eastAsia="Calibri" w:hAnsi="Arial" w:cs="Arial"/>
          <w:sz w:val="22"/>
        </w:rPr>
      </w:pPr>
      <w:r w:rsidRPr="00BE2697">
        <w:rPr>
          <w:rFonts w:ascii="Arial" w:hAnsi="Arial" w:cs="Arial"/>
          <w:sz w:val="22"/>
        </w:rPr>
        <w:t xml:space="preserve">Numerous constitutions include explicit protections for unborn life. The constitutions of the following signatories to the ICCPR provide examples: </w:t>
      </w:r>
      <w:r w:rsidR="00623B4E" w:rsidRPr="00BE2697">
        <w:rPr>
          <w:rFonts w:ascii="Arial" w:eastAsia="Calibri" w:hAnsi="Arial" w:cs="Arial"/>
          <w:sz w:val="22"/>
        </w:rPr>
        <w:t xml:space="preserve">Ireland (Article 40.3.3°); Hungary (Article 2); </w:t>
      </w:r>
      <w:r w:rsidR="0081517E" w:rsidRPr="00BE2697">
        <w:rPr>
          <w:rFonts w:ascii="Arial" w:eastAsia="Calibri" w:hAnsi="Arial" w:cs="Arial"/>
          <w:sz w:val="22"/>
        </w:rPr>
        <w:t xml:space="preserve">Guatemala (Article 3); </w:t>
      </w:r>
      <w:r w:rsidR="00623B4E" w:rsidRPr="00BE2697">
        <w:rPr>
          <w:rFonts w:ascii="Arial" w:eastAsia="Calibri" w:hAnsi="Arial" w:cs="Arial"/>
          <w:sz w:val="22"/>
        </w:rPr>
        <w:t>Slovakia (Article 15(1)); Dominican Republic (Article 37); Ecuador (Article 45); El Salvador (Title 1, Article 1); Chile (Article 19(1)); Honduras (Article 67); Peru (Article 2</w:t>
      </w:r>
      <w:r w:rsidR="000C2AD1" w:rsidRPr="00BE2697">
        <w:rPr>
          <w:rFonts w:ascii="Arial" w:eastAsia="Calibri" w:hAnsi="Arial" w:cs="Arial"/>
          <w:sz w:val="22"/>
        </w:rPr>
        <w:t>(</w:t>
      </w:r>
      <w:r w:rsidR="00623B4E" w:rsidRPr="00BE2697">
        <w:rPr>
          <w:rFonts w:ascii="Arial" w:eastAsia="Calibri" w:hAnsi="Arial" w:cs="Arial"/>
          <w:sz w:val="22"/>
        </w:rPr>
        <w:t>1</w:t>
      </w:r>
      <w:r w:rsidR="000C2AD1" w:rsidRPr="00BE2697">
        <w:rPr>
          <w:rFonts w:ascii="Arial" w:eastAsia="Calibri" w:hAnsi="Arial" w:cs="Arial"/>
          <w:sz w:val="22"/>
        </w:rPr>
        <w:t>)</w:t>
      </w:r>
      <w:r w:rsidR="00623B4E" w:rsidRPr="00BE2697">
        <w:rPr>
          <w:rFonts w:ascii="Arial" w:eastAsia="Calibri" w:hAnsi="Arial" w:cs="Arial"/>
          <w:sz w:val="22"/>
        </w:rPr>
        <w:t xml:space="preserve">); Madagascar (Title 1, Article 19); and the Philippines (Article 1, section 12). </w:t>
      </w:r>
      <w:r w:rsidR="00CA010B" w:rsidRPr="00BE2697">
        <w:rPr>
          <w:rFonts w:ascii="Arial" w:eastAsia="Calibri" w:hAnsi="Arial" w:cs="Arial"/>
          <w:sz w:val="22"/>
        </w:rPr>
        <w:t xml:space="preserve">Additionally, the constitutions of </w:t>
      </w:r>
      <w:r w:rsidR="00305466" w:rsidRPr="00BE2697">
        <w:rPr>
          <w:rFonts w:ascii="Arial" w:eastAsia="Calibri" w:hAnsi="Arial" w:cs="Arial"/>
          <w:sz w:val="22"/>
        </w:rPr>
        <w:lastRenderedPageBreak/>
        <w:t>Colom</w:t>
      </w:r>
      <w:r w:rsidR="00CA010B" w:rsidRPr="00BE2697">
        <w:rPr>
          <w:rFonts w:ascii="Arial" w:eastAsia="Calibri" w:hAnsi="Arial" w:cs="Arial"/>
          <w:sz w:val="22"/>
        </w:rPr>
        <w:t xml:space="preserve">bia, Costa Rica, and Nicaragua </w:t>
      </w:r>
      <w:r w:rsidR="00305466" w:rsidRPr="00BE2697">
        <w:rPr>
          <w:rFonts w:ascii="Arial" w:eastAsia="Calibri" w:hAnsi="Arial" w:cs="Arial"/>
          <w:sz w:val="22"/>
        </w:rPr>
        <w:t>all state that “th</w:t>
      </w:r>
      <w:r w:rsidR="00ED6D78" w:rsidRPr="00BE2697">
        <w:rPr>
          <w:rFonts w:ascii="Arial" w:eastAsia="Calibri" w:hAnsi="Arial" w:cs="Arial"/>
          <w:sz w:val="22"/>
        </w:rPr>
        <w:t>e right to life is inviolable,”</w:t>
      </w:r>
      <w:r w:rsidR="00305466" w:rsidRPr="00BE2697">
        <w:rPr>
          <w:rFonts w:ascii="Arial" w:eastAsia="Calibri" w:hAnsi="Arial" w:cs="Arial"/>
          <w:sz w:val="22"/>
        </w:rPr>
        <w:t xml:space="preserve"> and this is interpreted as being extended to the unborn.</w:t>
      </w:r>
      <w:r w:rsidR="00F06295" w:rsidRPr="00BE2697">
        <w:rPr>
          <w:rStyle w:val="FootnoteReference"/>
          <w:rFonts w:ascii="Arial" w:eastAsia="Calibri" w:hAnsi="Arial" w:cs="Arial"/>
          <w:sz w:val="22"/>
        </w:rPr>
        <w:footnoteReference w:id="21"/>
      </w:r>
    </w:p>
    <w:p w:rsidR="00305466" w:rsidRPr="00BE2697" w:rsidRDefault="00ED6D78" w:rsidP="007B6F62">
      <w:pPr>
        <w:pStyle w:val="CourtNumberedpara"/>
        <w:spacing w:line="276" w:lineRule="auto"/>
        <w:jc w:val="both"/>
        <w:rPr>
          <w:rFonts w:ascii="Arial" w:eastAsia="Calibri" w:hAnsi="Arial" w:cs="Arial"/>
          <w:sz w:val="22"/>
        </w:rPr>
      </w:pPr>
      <w:r w:rsidRPr="00BE2697">
        <w:rPr>
          <w:rFonts w:ascii="Arial" w:hAnsi="Arial" w:cs="Arial"/>
          <w:sz w:val="22"/>
        </w:rPr>
        <w:t>Furthermore,</w:t>
      </w:r>
      <w:r w:rsidR="00305466" w:rsidRPr="00BE2697">
        <w:rPr>
          <w:rFonts w:ascii="Arial" w:hAnsi="Arial" w:cs="Arial"/>
          <w:sz w:val="22"/>
        </w:rPr>
        <w:t xml:space="preserve"> </w:t>
      </w:r>
      <w:r w:rsidRPr="00BE2697">
        <w:rPr>
          <w:rFonts w:ascii="Arial" w:hAnsi="Arial" w:cs="Arial"/>
          <w:sz w:val="22"/>
        </w:rPr>
        <w:t xml:space="preserve">legislative </w:t>
      </w:r>
      <w:r w:rsidR="00305466" w:rsidRPr="00BE2697">
        <w:rPr>
          <w:rFonts w:ascii="Arial" w:hAnsi="Arial" w:cs="Arial"/>
          <w:sz w:val="22"/>
        </w:rPr>
        <w:t xml:space="preserve">provisions of signatories around the world </w:t>
      </w:r>
      <w:r w:rsidR="00DF7511" w:rsidRPr="00BE2697">
        <w:rPr>
          <w:rFonts w:ascii="Arial" w:hAnsi="Arial" w:cs="Arial"/>
          <w:sz w:val="22"/>
        </w:rPr>
        <w:t xml:space="preserve">recognize </w:t>
      </w:r>
      <w:r w:rsidR="00305466" w:rsidRPr="00BE2697">
        <w:rPr>
          <w:rFonts w:ascii="Arial" w:hAnsi="Arial" w:cs="Arial"/>
          <w:sz w:val="22"/>
        </w:rPr>
        <w:t xml:space="preserve">the right to life of the unborn. Examples </w:t>
      </w:r>
      <w:r w:rsidR="00CA010B" w:rsidRPr="00BE2697">
        <w:rPr>
          <w:rFonts w:ascii="Arial" w:hAnsi="Arial" w:cs="Arial"/>
          <w:sz w:val="22"/>
        </w:rPr>
        <w:t xml:space="preserve">in Latin America </w:t>
      </w:r>
      <w:r w:rsidR="00305466" w:rsidRPr="00BE2697">
        <w:rPr>
          <w:rFonts w:ascii="Arial" w:hAnsi="Arial" w:cs="Arial"/>
          <w:sz w:val="22"/>
        </w:rPr>
        <w:t>include Mexico, where a</w:t>
      </w:r>
      <w:r w:rsidR="00623B4E" w:rsidRPr="00BE2697">
        <w:rPr>
          <w:rFonts w:ascii="Arial" w:eastAsia="Calibri" w:hAnsi="Arial" w:cs="Arial"/>
          <w:sz w:val="22"/>
        </w:rPr>
        <w:t xml:space="preserve"> large number of </w:t>
      </w:r>
      <w:r w:rsidR="00D20658" w:rsidRPr="00BE2697">
        <w:rPr>
          <w:rFonts w:ascii="Arial" w:eastAsia="Calibri" w:hAnsi="Arial" w:cs="Arial"/>
          <w:sz w:val="22"/>
        </w:rPr>
        <w:t>s</w:t>
      </w:r>
      <w:r w:rsidR="00623B4E" w:rsidRPr="00BE2697">
        <w:rPr>
          <w:rFonts w:ascii="Arial" w:eastAsia="Calibri" w:hAnsi="Arial" w:cs="Arial"/>
          <w:sz w:val="22"/>
        </w:rPr>
        <w:t xml:space="preserve">tate constitutions explicitly protect unborn life, from </w:t>
      </w:r>
      <w:r w:rsidR="00D20658" w:rsidRPr="00BE2697">
        <w:rPr>
          <w:rFonts w:ascii="Arial" w:eastAsia="Calibri" w:hAnsi="Arial" w:cs="Arial"/>
          <w:sz w:val="22"/>
        </w:rPr>
        <w:t xml:space="preserve">either </w:t>
      </w:r>
      <w:r w:rsidR="00623B4E" w:rsidRPr="00BE2697">
        <w:rPr>
          <w:rFonts w:ascii="Arial" w:eastAsia="Calibri" w:hAnsi="Arial" w:cs="Arial"/>
          <w:sz w:val="22"/>
        </w:rPr>
        <w:t xml:space="preserve">the moment of conception or the moment of </w:t>
      </w:r>
      <w:r w:rsidR="007000B3" w:rsidRPr="00BE2697">
        <w:rPr>
          <w:rFonts w:ascii="Arial" w:eastAsia="Calibri" w:hAnsi="Arial" w:cs="Arial"/>
          <w:sz w:val="22"/>
        </w:rPr>
        <w:t>fertilization</w:t>
      </w:r>
      <w:r w:rsidR="00623B4E" w:rsidRPr="00BE2697">
        <w:rPr>
          <w:rFonts w:ascii="Arial" w:eastAsia="Calibri" w:hAnsi="Arial" w:cs="Arial"/>
          <w:sz w:val="22"/>
        </w:rPr>
        <w:t xml:space="preserve">. Article 5 of the </w:t>
      </w:r>
      <w:r w:rsidR="00305466" w:rsidRPr="00BE2697">
        <w:rPr>
          <w:rFonts w:ascii="Arial" w:eastAsia="Calibri" w:hAnsi="Arial" w:cs="Arial"/>
          <w:sz w:val="22"/>
        </w:rPr>
        <w:t xml:space="preserve">Constitution of the Mexican State of </w:t>
      </w:r>
      <w:r w:rsidR="00623B4E" w:rsidRPr="00BE2697">
        <w:rPr>
          <w:rFonts w:ascii="Arial" w:eastAsia="Calibri" w:hAnsi="Arial" w:cs="Arial"/>
          <w:sz w:val="22"/>
        </w:rPr>
        <w:t>Chihuahua, for instance, holds</w:t>
      </w:r>
      <w:r w:rsidR="005B295C" w:rsidRPr="00BE2697">
        <w:rPr>
          <w:rFonts w:ascii="Arial" w:eastAsia="Calibri" w:hAnsi="Arial" w:cs="Arial"/>
          <w:sz w:val="22"/>
        </w:rPr>
        <w:t>,</w:t>
      </w:r>
      <w:r w:rsidR="00623B4E" w:rsidRPr="00BE2697">
        <w:rPr>
          <w:rFonts w:ascii="Arial" w:eastAsia="Calibri" w:hAnsi="Arial" w:cs="Arial"/>
          <w:sz w:val="22"/>
        </w:rPr>
        <w:t xml:space="preserve"> “All human beings have the right to legal protection of their life, from the moment of conception.”</w:t>
      </w:r>
      <w:r w:rsidR="00623B4E" w:rsidRPr="00BE2697">
        <w:rPr>
          <w:rFonts w:ascii="Arial" w:eastAsia="Calibri" w:hAnsi="Arial" w:cs="Arial"/>
          <w:sz w:val="22"/>
          <w:vertAlign w:val="superscript"/>
        </w:rPr>
        <w:footnoteReference w:id="22"/>
      </w:r>
      <w:r w:rsidR="00623B4E" w:rsidRPr="00BE2697">
        <w:rPr>
          <w:rFonts w:ascii="Arial" w:eastAsia="Calibri" w:hAnsi="Arial" w:cs="Arial"/>
          <w:sz w:val="22"/>
        </w:rPr>
        <w:t xml:space="preserve"> </w:t>
      </w:r>
      <w:r w:rsidR="00305466" w:rsidRPr="00BE2697">
        <w:rPr>
          <w:rFonts w:ascii="Arial" w:eastAsia="Calibri" w:hAnsi="Arial" w:cs="Arial"/>
          <w:sz w:val="22"/>
        </w:rPr>
        <w:t xml:space="preserve">Similarly, in Argentina, the </w:t>
      </w:r>
      <w:r w:rsidR="00623B4E" w:rsidRPr="00BE2697">
        <w:rPr>
          <w:rFonts w:ascii="Arial" w:eastAsia="Calibri" w:hAnsi="Arial" w:cs="Arial"/>
          <w:sz w:val="22"/>
        </w:rPr>
        <w:t>majority of</w:t>
      </w:r>
      <w:r w:rsidR="00305466" w:rsidRPr="00BE2697">
        <w:rPr>
          <w:rFonts w:ascii="Arial" w:eastAsia="Calibri" w:hAnsi="Arial" w:cs="Arial"/>
          <w:sz w:val="22"/>
        </w:rPr>
        <w:t xml:space="preserve"> the </w:t>
      </w:r>
      <w:r w:rsidR="00623B4E" w:rsidRPr="00BE2697">
        <w:rPr>
          <w:rFonts w:ascii="Arial" w:eastAsia="Calibri" w:hAnsi="Arial" w:cs="Arial"/>
          <w:sz w:val="22"/>
        </w:rPr>
        <w:t xml:space="preserve">Provincial Constitutions protect unborn life. For example, Article 12(1) of the Buenos Aires Provincial Constitution states </w:t>
      </w:r>
      <w:r w:rsidR="00D20658" w:rsidRPr="00BE2697">
        <w:rPr>
          <w:rFonts w:ascii="Arial" w:eastAsia="Calibri" w:hAnsi="Arial" w:cs="Arial"/>
          <w:sz w:val="22"/>
        </w:rPr>
        <w:t xml:space="preserve">that </w:t>
      </w:r>
      <w:r w:rsidR="00623B4E" w:rsidRPr="00BE2697">
        <w:rPr>
          <w:rFonts w:ascii="Arial" w:eastAsia="Calibri" w:hAnsi="Arial" w:cs="Arial"/>
          <w:sz w:val="22"/>
        </w:rPr>
        <w:t>every person in the Province enjoys the right to life, “from the time of conception until natural death.”</w:t>
      </w:r>
      <w:r w:rsidR="00623B4E" w:rsidRPr="00BE2697">
        <w:rPr>
          <w:rFonts w:ascii="Arial" w:eastAsia="Calibri" w:hAnsi="Arial" w:cs="Arial"/>
          <w:sz w:val="22"/>
          <w:vertAlign w:val="superscript"/>
        </w:rPr>
        <w:footnoteReference w:id="23"/>
      </w:r>
      <w:r w:rsidR="00305466" w:rsidRPr="00BE2697">
        <w:rPr>
          <w:rFonts w:ascii="Arial" w:eastAsia="Calibri" w:hAnsi="Arial" w:cs="Arial"/>
          <w:sz w:val="22"/>
        </w:rPr>
        <w:t xml:space="preserve"> </w:t>
      </w:r>
    </w:p>
    <w:p w:rsidR="00623B4E" w:rsidRPr="00BE2697" w:rsidRDefault="00CA010B" w:rsidP="007B6F62">
      <w:pPr>
        <w:pStyle w:val="CourtNumberedpara"/>
        <w:autoSpaceDE w:val="0"/>
        <w:autoSpaceDN w:val="0"/>
        <w:adjustRightInd w:val="0"/>
        <w:spacing w:line="276" w:lineRule="auto"/>
        <w:jc w:val="both"/>
        <w:rPr>
          <w:rFonts w:ascii="Arial" w:eastAsia="Calibri" w:hAnsi="Arial" w:cs="Arial"/>
          <w:sz w:val="22"/>
        </w:rPr>
      </w:pPr>
      <w:r w:rsidRPr="00BE2697">
        <w:rPr>
          <w:rFonts w:ascii="Arial" w:eastAsia="Calibri" w:hAnsi="Arial" w:cs="Arial"/>
          <w:sz w:val="22"/>
        </w:rPr>
        <w:t xml:space="preserve">In Europe, the </w:t>
      </w:r>
      <w:r w:rsidR="00623B4E" w:rsidRPr="00BE2697">
        <w:rPr>
          <w:rFonts w:ascii="Arial" w:eastAsia="Calibri" w:hAnsi="Arial" w:cs="Arial"/>
          <w:sz w:val="22"/>
        </w:rPr>
        <w:t>Basic Law</w:t>
      </w:r>
      <w:r w:rsidRPr="00BE2697">
        <w:rPr>
          <w:rFonts w:ascii="Arial" w:eastAsia="Calibri" w:hAnsi="Arial" w:cs="Arial"/>
          <w:sz w:val="22"/>
        </w:rPr>
        <w:t xml:space="preserve"> of Germany</w:t>
      </w:r>
      <w:r w:rsidR="00623B4E" w:rsidRPr="00BE2697">
        <w:rPr>
          <w:rFonts w:ascii="Arial" w:eastAsia="Calibri" w:hAnsi="Arial" w:cs="Arial"/>
          <w:sz w:val="22"/>
        </w:rPr>
        <w:t xml:space="preserve"> obliges the </w:t>
      </w:r>
      <w:r w:rsidR="0022056B" w:rsidRPr="00BE2697">
        <w:rPr>
          <w:rFonts w:ascii="Arial" w:eastAsia="Calibri" w:hAnsi="Arial" w:cs="Arial"/>
          <w:sz w:val="22"/>
        </w:rPr>
        <w:t xml:space="preserve">State </w:t>
      </w:r>
      <w:r w:rsidR="00623B4E" w:rsidRPr="00BE2697">
        <w:rPr>
          <w:rFonts w:ascii="Arial" w:eastAsia="Calibri" w:hAnsi="Arial" w:cs="Arial"/>
          <w:sz w:val="22"/>
        </w:rPr>
        <w:t>to protect human life, including that of the unborn. This duty is grounded in Article 1(1)</w:t>
      </w:r>
      <w:r w:rsidR="00262D8A" w:rsidRPr="00BE2697">
        <w:rPr>
          <w:rFonts w:ascii="Arial" w:eastAsia="Calibri" w:hAnsi="Arial" w:cs="Arial"/>
          <w:sz w:val="22"/>
        </w:rPr>
        <w:t>,</w:t>
      </w:r>
      <w:r w:rsidR="00623B4E" w:rsidRPr="00BE2697">
        <w:rPr>
          <w:rFonts w:ascii="Arial" w:eastAsia="Calibri" w:hAnsi="Arial" w:cs="Arial"/>
          <w:sz w:val="22"/>
        </w:rPr>
        <w:t xml:space="preserve"> concerning </w:t>
      </w:r>
      <w:r w:rsidR="00262D8A" w:rsidRPr="00BE2697">
        <w:rPr>
          <w:rFonts w:ascii="Arial" w:eastAsia="Calibri" w:hAnsi="Arial" w:cs="Arial"/>
          <w:sz w:val="22"/>
        </w:rPr>
        <w:t xml:space="preserve">“inviolable” </w:t>
      </w:r>
      <w:r w:rsidR="00623B4E" w:rsidRPr="00BE2697">
        <w:rPr>
          <w:rFonts w:ascii="Arial" w:eastAsia="Calibri" w:hAnsi="Arial" w:cs="Arial"/>
          <w:sz w:val="22"/>
        </w:rPr>
        <w:t>human dignity</w:t>
      </w:r>
      <w:r w:rsidR="00262D8A" w:rsidRPr="00BE2697">
        <w:rPr>
          <w:rFonts w:ascii="Arial" w:eastAsia="Calibri" w:hAnsi="Arial" w:cs="Arial"/>
          <w:sz w:val="22"/>
        </w:rPr>
        <w:t>,</w:t>
      </w:r>
      <w:r w:rsidR="00623B4E" w:rsidRPr="00BE2697">
        <w:rPr>
          <w:rFonts w:ascii="Arial" w:eastAsia="Calibri" w:hAnsi="Arial" w:cs="Arial"/>
          <w:sz w:val="22"/>
        </w:rPr>
        <w:t xml:space="preserve"> and Article 2(2), which attributes the “right to life and physical integrity” to “every person.”</w:t>
      </w:r>
      <w:r w:rsidR="00623B4E" w:rsidRPr="00BE2697">
        <w:rPr>
          <w:rFonts w:ascii="Arial" w:eastAsia="Calibri" w:hAnsi="Arial" w:cs="Arial"/>
          <w:sz w:val="22"/>
          <w:vertAlign w:val="superscript"/>
        </w:rPr>
        <w:footnoteReference w:id="24"/>
      </w:r>
      <w:r w:rsidR="00623B4E" w:rsidRPr="00BE2697">
        <w:rPr>
          <w:rFonts w:ascii="Arial" w:eastAsia="Calibri" w:hAnsi="Arial" w:cs="Arial"/>
          <w:sz w:val="22"/>
        </w:rPr>
        <w:t xml:space="preserve"> The German Constitutional Court has confirmed that the word “everyone” extends to (living) unborn human beings.</w:t>
      </w:r>
      <w:r w:rsidR="00623B4E" w:rsidRPr="00BE2697">
        <w:rPr>
          <w:rFonts w:ascii="Arial" w:eastAsia="Calibri" w:hAnsi="Arial" w:cs="Arial"/>
          <w:sz w:val="22"/>
          <w:vertAlign w:val="superscript"/>
        </w:rPr>
        <w:footnoteReference w:id="25"/>
      </w:r>
      <w:r w:rsidR="00623B4E" w:rsidRPr="00BE2697">
        <w:rPr>
          <w:rFonts w:ascii="Arial" w:eastAsia="Calibri" w:hAnsi="Arial" w:cs="Arial"/>
          <w:sz w:val="22"/>
        </w:rPr>
        <w:t xml:space="preserve"> </w:t>
      </w:r>
      <w:r w:rsidRPr="00BE2697">
        <w:rPr>
          <w:rFonts w:ascii="Arial" w:eastAsia="Calibri" w:hAnsi="Arial" w:cs="Arial"/>
          <w:sz w:val="22"/>
        </w:rPr>
        <w:t xml:space="preserve">In Latvia, the </w:t>
      </w:r>
      <w:r w:rsidR="00623B4E" w:rsidRPr="00BE2697">
        <w:rPr>
          <w:rFonts w:ascii="Arial" w:eastAsia="Calibri" w:hAnsi="Arial" w:cs="Arial"/>
          <w:sz w:val="22"/>
        </w:rPr>
        <w:t>Medical Treatment Law provides</w:t>
      </w:r>
      <w:r w:rsidR="00D20658" w:rsidRPr="00BE2697">
        <w:rPr>
          <w:rFonts w:ascii="Arial" w:eastAsia="Calibri" w:hAnsi="Arial" w:cs="Arial"/>
          <w:sz w:val="22"/>
        </w:rPr>
        <w:t>,</w:t>
      </w:r>
      <w:r w:rsidR="00623B4E" w:rsidRPr="00BE2697">
        <w:rPr>
          <w:rFonts w:ascii="Arial" w:eastAsia="Calibri" w:hAnsi="Arial" w:cs="Arial"/>
          <w:sz w:val="22"/>
        </w:rPr>
        <w:t xml:space="preserve"> “A doctor has a duty to protect unborn </w:t>
      </w:r>
      <w:proofErr w:type="gramStart"/>
      <w:r w:rsidR="00623B4E" w:rsidRPr="00BE2697">
        <w:rPr>
          <w:rFonts w:ascii="Arial" w:eastAsia="Calibri" w:hAnsi="Arial" w:cs="Arial"/>
          <w:sz w:val="22"/>
        </w:rPr>
        <w:t>life</w:t>
      </w:r>
      <w:r w:rsidR="00706258" w:rsidRPr="00BE2697">
        <w:rPr>
          <w:rFonts w:ascii="Arial" w:eastAsia="Calibri" w:hAnsi="Arial" w:cs="Arial"/>
          <w:sz w:val="22"/>
        </w:rPr>
        <w:t>[</w:t>
      </w:r>
      <w:proofErr w:type="gramEnd"/>
      <w:r w:rsidR="00706258" w:rsidRPr="00BE2697">
        <w:rPr>
          <w:rFonts w:ascii="Arial" w:eastAsia="Calibri" w:hAnsi="Arial" w:cs="Arial"/>
          <w:sz w:val="22"/>
        </w:rPr>
        <w:t xml:space="preserve">.]” </w:t>
      </w:r>
      <w:r w:rsidRPr="00BE2697">
        <w:rPr>
          <w:rFonts w:ascii="Arial" w:eastAsia="Calibri" w:hAnsi="Arial" w:cs="Arial"/>
          <w:sz w:val="22"/>
        </w:rPr>
        <w:t xml:space="preserve">Legislation in Poland states that </w:t>
      </w:r>
      <w:r w:rsidR="00623B4E" w:rsidRPr="00BE2697">
        <w:rPr>
          <w:rFonts w:ascii="Arial" w:eastAsia="Calibri" w:hAnsi="Arial" w:cs="Arial"/>
          <w:sz w:val="22"/>
        </w:rPr>
        <w:t>“every human being shall have an inherent right to life from the moment of conception”</w:t>
      </w:r>
      <w:r w:rsidR="00623B4E" w:rsidRPr="00BE2697">
        <w:rPr>
          <w:rFonts w:ascii="Arial" w:eastAsia="Calibri" w:hAnsi="Arial" w:cs="Arial"/>
          <w:sz w:val="22"/>
          <w:vertAlign w:val="superscript"/>
        </w:rPr>
        <w:footnoteReference w:id="26"/>
      </w:r>
      <w:r w:rsidR="00623B4E" w:rsidRPr="00BE2697">
        <w:rPr>
          <w:rFonts w:ascii="Arial" w:eastAsia="Calibri" w:hAnsi="Arial" w:cs="Arial"/>
          <w:sz w:val="22"/>
        </w:rPr>
        <w:t xml:space="preserve"> and that life shall be protected “including in the prenatal phase.” </w:t>
      </w:r>
    </w:p>
    <w:p w:rsidR="00623B4E" w:rsidRPr="00BE2697" w:rsidRDefault="00CA010B" w:rsidP="007B6F62">
      <w:pPr>
        <w:pStyle w:val="CourtNumberedpara"/>
        <w:spacing w:line="276" w:lineRule="auto"/>
        <w:jc w:val="both"/>
        <w:rPr>
          <w:rFonts w:ascii="Arial" w:hAnsi="Arial" w:cs="Arial"/>
          <w:sz w:val="22"/>
        </w:rPr>
      </w:pPr>
      <w:r w:rsidRPr="00BE2697">
        <w:rPr>
          <w:rFonts w:ascii="Arial" w:hAnsi="Arial" w:cs="Arial"/>
          <w:sz w:val="22"/>
        </w:rPr>
        <w:t xml:space="preserve">The laws of the United States also </w:t>
      </w:r>
      <w:r w:rsidR="00724AAC" w:rsidRPr="00BE2697">
        <w:rPr>
          <w:rFonts w:ascii="Arial" w:hAnsi="Arial" w:cs="Arial"/>
          <w:sz w:val="22"/>
        </w:rPr>
        <w:t>recognize</w:t>
      </w:r>
      <w:r w:rsidR="00FD0AEB">
        <w:rPr>
          <w:rFonts w:ascii="Arial" w:hAnsi="Arial" w:cs="Arial"/>
          <w:sz w:val="22"/>
        </w:rPr>
        <w:t xml:space="preserve"> that</w:t>
      </w:r>
      <w:r w:rsidR="00724AAC" w:rsidRPr="00BE2697">
        <w:rPr>
          <w:rFonts w:ascii="Arial" w:hAnsi="Arial" w:cs="Arial"/>
          <w:sz w:val="22"/>
        </w:rPr>
        <w:t xml:space="preserve"> the unborn deserve protection and have their own legal rights</w:t>
      </w:r>
      <w:r w:rsidRPr="00BE2697">
        <w:rPr>
          <w:rFonts w:ascii="Arial" w:hAnsi="Arial" w:cs="Arial"/>
          <w:sz w:val="22"/>
        </w:rPr>
        <w:t>. For example, t</w:t>
      </w:r>
      <w:r w:rsidR="00623B4E" w:rsidRPr="00BE2697">
        <w:rPr>
          <w:rFonts w:ascii="Arial" w:hAnsi="Arial" w:cs="Arial"/>
          <w:sz w:val="22"/>
        </w:rPr>
        <w:t xml:space="preserve">he </w:t>
      </w:r>
      <w:r w:rsidR="00E177A6" w:rsidRPr="00BE2697">
        <w:rPr>
          <w:rFonts w:ascii="Arial" w:hAnsi="Arial" w:cs="Arial"/>
          <w:sz w:val="22"/>
        </w:rPr>
        <w:t xml:space="preserve">federal </w:t>
      </w:r>
      <w:r w:rsidR="00623B4E" w:rsidRPr="00BE2697">
        <w:rPr>
          <w:rFonts w:ascii="Arial" w:hAnsi="Arial" w:cs="Arial"/>
          <w:sz w:val="22"/>
        </w:rPr>
        <w:t xml:space="preserve">Unborn Victims of Violence Act recognizes </w:t>
      </w:r>
      <w:r w:rsidR="00A3577C" w:rsidRPr="00BE2697">
        <w:rPr>
          <w:rFonts w:ascii="Arial" w:hAnsi="Arial" w:cs="Arial"/>
          <w:sz w:val="22"/>
        </w:rPr>
        <w:t xml:space="preserve">an unborn child </w:t>
      </w:r>
      <w:r w:rsidR="007000B3" w:rsidRPr="00BE2697">
        <w:rPr>
          <w:rFonts w:ascii="Arial" w:hAnsi="Arial" w:cs="Arial"/>
          <w:sz w:val="22"/>
        </w:rPr>
        <w:t xml:space="preserve">as a legal victim when </w:t>
      </w:r>
      <w:r w:rsidR="00F44444" w:rsidRPr="00BE2697">
        <w:rPr>
          <w:rFonts w:ascii="Arial" w:hAnsi="Arial" w:cs="Arial"/>
          <w:sz w:val="22"/>
        </w:rPr>
        <w:t>it</w:t>
      </w:r>
      <w:r w:rsidR="007000B3" w:rsidRPr="00BE2697">
        <w:rPr>
          <w:rFonts w:ascii="Arial" w:hAnsi="Arial" w:cs="Arial"/>
          <w:sz w:val="22"/>
        </w:rPr>
        <w:t xml:space="preserve"> is killed or injured during a federal crime of violence</w:t>
      </w:r>
      <w:r w:rsidR="00A3577C" w:rsidRPr="00BE2697">
        <w:rPr>
          <w:rFonts w:ascii="Arial" w:hAnsi="Arial" w:cs="Arial"/>
          <w:sz w:val="22"/>
        </w:rPr>
        <w:t>, with rights distinct from those of the mother</w:t>
      </w:r>
      <w:r w:rsidR="00623B4E" w:rsidRPr="00BE2697">
        <w:rPr>
          <w:rFonts w:ascii="Arial" w:hAnsi="Arial" w:cs="Arial"/>
          <w:sz w:val="22"/>
        </w:rPr>
        <w:t xml:space="preserve">. The law defines </w:t>
      </w:r>
      <w:r w:rsidR="00A3577C" w:rsidRPr="00BE2697">
        <w:rPr>
          <w:rFonts w:ascii="Arial" w:hAnsi="Arial" w:cs="Arial"/>
          <w:sz w:val="22"/>
        </w:rPr>
        <w:t xml:space="preserve">“unborn child” as a </w:t>
      </w:r>
      <w:r w:rsidR="00623B4E" w:rsidRPr="00BE2697">
        <w:rPr>
          <w:rFonts w:ascii="Arial" w:hAnsi="Arial" w:cs="Arial"/>
          <w:sz w:val="22"/>
        </w:rPr>
        <w:t>“child in utero</w:t>
      </w:r>
      <w:r w:rsidR="00A3577C" w:rsidRPr="00BE2697">
        <w:rPr>
          <w:rFonts w:ascii="Arial" w:hAnsi="Arial" w:cs="Arial"/>
          <w:sz w:val="22"/>
        </w:rPr>
        <w:t>,</w:t>
      </w:r>
      <w:r w:rsidR="00623B4E" w:rsidRPr="00BE2697">
        <w:rPr>
          <w:rFonts w:ascii="Arial" w:hAnsi="Arial" w:cs="Arial"/>
          <w:sz w:val="22"/>
        </w:rPr>
        <w:t>”</w:t>
      </w:r>
      <w:r w:rsidR="00A3577C" w:rsidRPr="00BE2697">
        <w:rPr>
          <w:rFonts w:ascii="Arial" w:hAnsi="Arial" w:cs="Arial"/>
          <w:sz w:val="22"/>
        </w:rPr>
        <w:t xml:space="preserve"> which in turn is</w:t>
      </w:r>
      <w:r w:rsidR="00623B4E" w:rsidRPr="00BE2697">
        <w:rPr>
          <w:rFonts w:ascii="Arial" w:hAnsi="Arial" w:cs="Arial"/>
          <w:sz w:val="22"/>
        </w:rPr>
        <w:t xml:space="preserve"> “a member of the species Homo sapiens, at any stage of development, who is carried in the womb.”</w:t>
      </w:r>
      <w:r w:rsidR="00623B4E" w:rsidRPr="00BE2697">
        <w:rPr>
          <w:rFonts w:ascii="Arial" w:hAnsi="Arial" w:cs="Arial"/>
          <w:sz w:val="22"/>
          <w:vertAlign w:val="superscript"/>
        </w:rPr>
        <w:footnoteReference w:id="27"/>
      </w:r>
      <w:r w:rsidR="00253C19" w:rsidRPr="00BE2697">
        <w:rPr>
          <w:rFonts w:ascii="Arial" w:hAnsi="Arial" w:cs="Arial"/>
          <w:sz w:val="22"/>
        </w:rPr>
        <w:t xml:space="preserve"> Further, at least 38 of the 50 U.S. states have </w:t>
      </w:r>
      <w:proofErr w:type="spellStart"/>
      <w:r w:rsidR="00253C19" w:rsidRPr="00BE2697">
        <w:rPr>
          <w:rFonts w:ascii="Arial" w:hAnsi="Arial" w:cs="Arial"/>
          <w:sz w:val="22"/>
        </w:rPr>
        <w:t>foetal</w:t>
      </w:r>
      <w:proofErr w:type="spellEnd"/>
      <w:r w:rsidR="00253C19" w:rsidRPr="00BE2697">
        <w:rPr>
          <w:rFonts w:ascii="Arial" w:hAnsi="Arial" w:cs="Arial"/>
          <w:sz w:val="22"/>
        </w:rPr>
        <w:t xml:space="preserve"> homicide laws.</w:t>
      </w:r>
      <w:r w:rsidR="00253C19" w:rsidRPr="00BE2697">
        <w:rPr>
          <w:rFonts w:ascii="Arial" w:hAnsi="Arial" w:cs="Arial"/>
          <w:sz w:val="22"/>
          <w:vertAlign w:val="superscript"/>
        </w:rPr>
        <w:footnoteReference w:id="28"/>
      </w:r>
    </w:p>
    <w:p w:rsidR="00834295" w:rsidRPr="00BE2697" w:rsidRDefault="00253C19" w:rsidP="007B6F62">
      <w:pPr>
        <w:pStyle w:val="CourtNumberedpara"/>
        <w:spacing w:line="276" w:lineRule="auto"/>
        <w:jc w:val="both"/>
        <w:rPr>
          <w:rFonts w:ascii="Arial" w:hAnsi="Arial" w:cs="Arial"/>
          <w:sz w:val="22"/>
        </w:rPr>
      </w:pPr>
      <w:r w:rsidRPr="00BE2697">
        <w:rPr>
          <w:rFonts w:ascii="Arial" w:hAnsi="Arial" w:cs="Arial"/>
          <w:sz w:val="22"/>
        </w:rPr>
        <w:t xml:space="preserve">These national legal provisions, in addition to the </w:t>
      </w:r>
      <w:r w:rsidR="00E11468">
        <w:rPr>
          <w:rFonts w:ascii="Arial" w:hAnsi="Arial" w:cs="Arial"/>
          <w:sz w:val="22"/>
        </w:rPr>
        <w:t xml:space="preserve">international instruments listed above, </w:t>
      </w:r>
      <w:r w:rsidRPr="00BE2697">
        <w:rPr>
          <w:rFonts w:ascii="Arial" w:hAnsi="Arial" w:cs="Arial"/>
          <w:sz w:val="22"/>
        </w:rPr>
        <w:t xml:space="preserve">are compatible with the growing international consensus in </w:t>
      </w:r>
      <w:proofErr w:type="spellStart"/>
      <w:r w:rsidRPr="00BE2697">
        <w:rPr>
          <w:rFonts w:ascii="Arial" w:hAnsi="Arial" w:cs="Arial"/>
          <w:sz w:val="22"/>
        </w:rPr>
        <w:t>favour</w:t>
      </w:r>
      <w:proofErr w:type="spellEnd"/>
      <w:r w:rsidRPr="00BE2697">
        <w:rPr>
          <w:rFonts w:ascii="Arial" w:hAnsi="Arial" w:cs="Arial"/>
          <w:sz w:val="22"/>
        </w:rPr>
        <w:t xml:space="preserve"> of broad protection for human life </w:t>
      </w:r>
      <w:r w:rsidR="00834295" w:rsidRPr="00BE2697">
        <w:rPr>
          <w:rFonts w:ascii="Arial" w:hAnsi="Arial" w:cs="Arial"/>
          <w:sz w:val="22"/>
        </w:rPr>
        <w:t>throughout its</w:t>
      </w:r>
      <w:r w:rsidRPr="00BE2697">
        <w:rPr>
          <w:rFonts w:ascii="Arial" w:hAnsi="Arial" w:cs="Arial"/>
          <w:sz w:val="22"/>
        </w:rPr>
        <w:t xml:space="preserve"> stages of development. </w:t>
      </w:r>
    </w:p>
    <w:p w:rsidR="006F5209" w:rsidRPr="00BE2697" w:rsidRDefault="00A070FA" w:rsidP="00E91F71">
      <w:pPr>
        <w:pStyle w:val="CourtNumberedpara"/>
        <w:numPr>
          <w:ilvl w:val="0"/>
          <w:numId w:val="6"/>
        </w:numPr>
        <w:spacing w:before="0" w:after="0"/>
        <w:ind w:right="1107"/>
        <w:jc w:val="both"/>
        <w:rPr>
          <w:rFonts w:ascii="Arial" w:hAnsi="Arial" w:cs="Arial"/>
          <w:b/>
          <w:sz w:val="22"/>
        </w:rPr>
      </w:pPr>
      <w:r w:rsidRPr="00BE2697">
        <w:rPr>
          <w:rFonts w:ascii="Arial" w:hAnsi="Arial" w:cs="Arial"/>
          <w:b/>
          <w:sz w:val="22"/>
        </w:rPr>
        <w:lastRenderedPageBreak/>
        <w:t>Definition</w:t>
      </w:r>
      <w:r w:rsidR="00895ACA" w:rsidRPr="00BE2697">
        <w:rPr>
          <w:rFonts w:ascii="Arial" w:hAnsi="Arial" w:cs="Arial"/>
          <w:b/>
          <w:sz w:val="22"/>
        </w:rPr>
        <w:t xml:space="preserve"> of the Unborn and </w:t>
      </w:r>
      <w:r w:rsidRPr="00BE2697">
        <w:rPr>
          <w:rFonts w:ascii="Arial" w:hAnsi="Arial" w:cs="Arial"/>
          <w:b/>
          <w:sz w:val="22"/>
        </w:rPr>
        <w:t xml:space="preserve">Applicability of the Right to Life to </w:t>
      </w:r>
      <w:r w:rsidR="00895ACA" w:rsidRPr="00BE2697">
        <w:rPr>
          <w:rFonts w:ascii="Arial" w:hAnsi="Arial" w:cs="Arial"/>
          <w:b/>
          <w:sz w:val="22"/>
        </w:rPr>
        <w:t>Human Embryos</w:t>
      </w:r>
    </w:p>
    <w:p w:rsidR="00D91148" w:rsidRPr="00BE2697" w:rsidRDefault="00083FA3" w:rsidP="00D12C05">
      <w:pPr>
        <w:pStyle w:val="Subheading"/>
        <w:spacing w:line="276" w:lineRule="auto"/>
        <w:ind w:firstLine="360"/>
        <w:jc w:val="both"/>
        <w:rPr>
          <w:rFonts w:ascii="Arial" w:hAnsi="Arial" w:cs="Arial"/>
          <w:sz w:val="22"/>
        </w:rPr>
      </w:pPr>
      <w:r w:rsidRPr="00BE2697">
        <w:rPr>
          <w:rFonts w:ascii="Arial" w:hAnsi="Arial" w:cs="Arial"/>
          <w:sz w:val="22"/>
        </w:rPr>
        <w:t>Definition of Unborn</w:t>
      </w:r>
    </w:p>
    <w:p w:rsidR="00D565DA" w:rsidRPr="00BE2697" w:rsidRDefault="00634954" w:rsidP="007B6F62">
      <w:pPr>
        <w:pStyle w:val="CourtNumberedpara"/>
        <w:spacing w:line="276" w:lineRule="auto"/>
        <w:jc w:val="both"/>
        <w:rPr>
          <w:rFonts w:ascii="Arial" w:hAnsi="Arial" w:cs="Arial"/>
          <w:sz w:val="22"/>
        </w:rPr>
      </w:pPr>
      <w:r w:rsidRPr="00BE2697">
        <w:rPr>
          <w:rFonts w:ascii="Arial" w:hAnsi="Arial" w:cs="Arial"/>
          <w:sz w:val="22"/>
        </w:rPr>
        <w:t xml:space="preserve">Given the references to the pregnant woman in the ICCPR and the unborn in the CRC, the right to life, including that guaranteed in Article 6 of the ICCPR, </w:t>
      </w:r>
      <w:r w:rsidR="00E11468">
        <w:rPr>
          <w:rFonts w:ascii="Arial" w:hAnsi="Arial" w:cs="Arial"/>
          <w:sz w:val="22"/>
        </w:rPr>
        <w:t xml:space="preserve">can and should be </w:t>
      </w:r>
      <w:r w:rsidRPr="00BE2697">
        <w:rPr>
          <w:rFonts w:ascii="Arial" w:hAnsi="Arial" w:cs="Arial"/>
          <w:sz w:val="22"/>
        </w:rPr>
        <w:t>applie</w:t>
      </w:r>
      <w:r w:rsidR="00E11468">
        <w:rPr>
          <w:rFonts w:ascii="Arial" w:hAnsi="Arial" w:cs="Arial"/>
          <w:sz w:val="22"/>
        </w:rPr>
        <w:t>d</w:t>
      </w:r>
      <w:r w:rsidRPr="00BE2697">
        <w:rPr>
          <w:rFonts w:ascii="Arial" w:hAnsi="Arial" w:cs="Arial"/>
          <w:sz w:val="22"/>
        </w:rPr>
        <w:t xml:space="preserve"> to the human life being carried by the pregnant woman. The right to life </w:t>
      </w:r>
      <w:r w:rsidR="00E11468">
        <w:rPr>
          <w:rFonts w:ascii="Arial" w:hAnsi="Arial" w:cs="Arial"/>
          <w:sz w:val="22"/>
        </w:rPr>
        <w:t xml:space="preserve">should </w:t>
      </w:r>
      <w:r w:rsidRPr="00BE2697">
        <w:rPr>
          <w:rFonts w:ascii="Arial" w:hAnsi="Arial" w:cs="Arial"/>
          <w:sz w:val="22"/>
        </w:rPr>
        <w:t>attach as soon as the life is created, that is, at the moment of fertilization.</w:t>
      </w:r>
    </w:p>
    <w:p w:rsidR="002A3D66" w:rsidRPr="00BE2697" w:rsidRDefault="002A3D66" w:rsidP="007B6F62">
      <w:pPr>
        <w:pStyle w:val="CourtNumberedpara"/>
        <w:spacing w:line="276" w:lineRule="auto"/>
        <w:jc w:val="both"/>
        <w:rPr>
          <w:rFonts w:ascii="Arial" w:hAnsi="Arial" w:cs="Arial"/>
          <w:sz w:val="22"/>
        </w:rPr>
      </w:pPr>
      <w:r w:rsidRPr="00BE2697">
        <w:rPr>
          <w:rFonts w:ascii="Arial" w:hAnsi="Arial" w:cs="Arial"/>
          <w:sz w:val="22"/>
        </w:rPr>
        <w:t>Th</w:t>
      </w:r>
      <w:r w:rsidR="007C31DE" w:rsidRPr="00BE2697">
        <w:rPr>
          <w:rFonts w:ascii="Arial" w:hAnsi="Arial" w:cs="Arial"/>
          <w:sz w:val="22"/>
        </w:rPr>
        <w:t>is is supported by th</w:t>
      </w:r>
      <w:r w:rsidRPr="00BE2697">
        <w:rPr>
          <w:rFonts w:ascii="Arial" w:hAnsi="Arial" w:cs="Arial"/>
          <w:sz w:val="22"/>
        </w:rPr>
        <w:t>e language of the CRC preamble</w:t>
      </w:r>
      <w:r w:rsidR="00D565DA" w:rsidRPr="00BE2697">
        <w:rPr>
          <w:rFonts w:ascii="Arial" w:hAnsi="Arial" w:cs="Arial"/>
          <w:sz w:val="22"/>
        </w:rPr>
        <w:t xml:space="preserve">, </w:t>
      </w:r>
      <w:r w:rsidR="007C31DE" w:rsidRPr="00BE2697">
        <w:rPr>
          <w:rFonts w:ascii="Arial" w:hAnsi="Arial" w:cs="Arial"/>
          <w:sz w:val="22"/>
        </w:rPr>
        <w:t xml:space="preserve">which </w:t>
      </w:r>
      <w:r w:rsidR="00764C32">
        <w:rPr>
          <w:rFonts w:ascii="Arial" w:hAnsi="Arial" w:cs="Arial"/>
          <w:sz w:val="22"/>
        </w:rPr>
        <w:t xml:space="preserve">purposefully </w:t>
      </w:r>
      <w:r w:rsidR="00895ACA" w:rsidRPr="00BE2697">
        <w:rPr>
          <w:rFonts w:ascii="Arial" w:hAnsi="Arial" w:cs="Arial"/>
          <w:sz w:val="22"/>
        </w:rPr>
        <w:t>does</w:t>
      </w:r>
      <w:r w:rsidR="00D565DA" w:rsidRPr="00BE2697">
        <w:rPr>
          <w:rFonts w:ascii="Arial" w:hAnsi="Arial" w:cs="Arial"/>
          <w:sz w:val="22"/>
        </w:rPr>
        <w:t xml:space="preserve"> not establish a beginning point at</w:t>
      </w:r>
      <w:r w:rsidR="007C31DE" w:rsidRPr="00BE2697">
        <w:rPr>
          <w:rFonts w:ascii="Arial" w:hAnsi="Arial" w:cs="Arial"/>
          <w:sz w:val="22"/>
        </w:rPr>
        <w:t xml:space="preserve"> which a child needs protection</w:t>
      </w:r>
      <w:r w:rsidR="00895ACA" w:rsidRPr="00BE2697">
        <w:rPr>
          <w:rFonts w:ascii="Arial" w:hAnsi="Arial" w:cs="Arial"/>
          <w:sz w:val="22"/>
        </w:rPr>
        <w:t>,</w:t>
      </w:r>
      <w:r w:rsidRPr="00BE2697">
        <w:rPr>
          <w:rFonts w:ascii="Arial" w:hAnsi="Arial" w:cs="Arial"/>
          <w:sz w:val="22"/>
        </w:rPr>
        <w:t xml:space="preserve"> suggest</w:t>
      </w:r>
      <w:r w:rsidR="00895ACA" w:rsidRPr="00BE2697">
        <w:rPr>
          <w:rFonts w:ascii="Arial" w:hAnsi="Arial" w:cs="Arial"/>
          <w:sz w:val="22"/>
        </w:rPr>
        <w:t>ing</w:t>
      </w:r>
      <w:r w:rsidR="00D565DA" w:rsidRPr="00BE2697">
        <w:rPr>
          <w:rFonts w:ascii="Arial" w:hAnsi="Arial" w:cs="Arial"/>
          <w:sz w:val="22"/>
        </w:rPr>
        <w:t xml:space="preserve"> that the unborn child is human life at</w:t>
      </w:r>
      <w:r w:rsidRPr="00BE2697">
        <w:rPr>
          <w:rFonts w:ascii="Arial" w:hAnsi="Arial" w:cs="Arial"/>
          <w:sz w:val="22"/>
        </w:rPr>
        <w:t xml:space="preserve"> any </w:t>
      </w:r>
      <w:r w:rsidR="00D565DA" w:rsidRPr="00BE2697">
        <w:rPr>
          <w:rFonts w:ascii="Arial" w:hAnsi="Arial" w:cs="Arial"/>
          <w:sz w:val="22"/>
        </w:rPr>
        <w:t>point</w:t>
      </w:r>
      <w:r w:rsidRPr="00BE2697">
        <w:rPr>
          <w:rFonts w:ascii="Arial" w:hAnsi="Arial" w:cs="Arial"/>
          <w:sz w:val="22"/>
        </w:rPr>
        <w:t xml:space="preserve"> before birth.</w:t>
      </w:r>
      <w:r w:rsidR="00E7153B" w:rsidRPr="00BE2697">
        <w:rPr>
          <w:rFonts w:ascii="Arial" w:hAnsi="Arial" w:cs="Arial"/>
          <w:sz w:val="22"/>
        </w:rPr>
        <w:t xml:space="preserve"> </w:t>
      </w:r>
    </w:p>
    <w:p w:rsidR="002A3D66" w:rsidRPr="00BE2697" w:rsidRDefault="007C31DE" w:rsidP="007B6F62">
      <w:pPr>
        <w:pStyle w:val="CourtNumberedpara"/>
        <w:spacing w:line="276" w:lineRule="auto"/>
        <w:jc w:val="both"/>
        <w:rPr>
          <w:rFonts w:ascii="Arial" w:hAnsi="Arial" w:cs="Arial"/>
          <w:sz w:val="22"/>
        </w:rPr>
      </w:pPr>
      <w:r w:rsidRPr="00BE2697">
        <w:rPr>
          <w:rFonts w:ascii="Arial" w:hAnsi="Arial" w:cs="Arial"/>
          <w:sz w:val="22"/>
        </w:rPr>
        <w:t>T</w:t>
      </w:r>
      <w:r w:rsidR="00D565DA" w:rsidRPr="00BE2697">
        <w:rPr>
          <w:rFonts w:ascii="Arial" w:hAnsi="Arial" w:cs="Arial"/>
          <w:sz w:val="22"/>
        </w:rPr>
        <w:t xml:space="preserve">he U.S. Unborn Victims of Violence Act </w:t>
      </w:r>
      <w:r w:rsidRPr="00BE2697">
        <w:rPr>
          <w:rFonts w:ascii="Arial" w:hAnsi="Arial" w:cs="Arial"/>
          <w:sz w:val="22"/>
        </w:rPr>
        <w:t>is instructive. It gives legal rights to the</w:t>
      </w:r>
      <w:r w:rsidR="00D565DA" w:rsidRPr="00BE2697">
        <w:rPr>
          <w:rFonts w:ascii="Arial" w:hAnsi="Arial" w:cs="Arial"/>
          <w:sz w:val="22"/>
        </w:rPr>
        <w:t xml:space="preserve"> “unborn child</w:t>
      </w:r>
      <w:r w:rsidRPr="00BE2697">
        <w:rPr>
          <w:rFonts w:ascii="Arial" w:hAnsi="Arial" w:cs="Arial"/>
          <w:sz w:val="22"/>
        </w:rPr>
        <w:t>,</w:t>
      </w:r>
      <w:r w:rsidR="00D565DA" w:rsidRPr="00BE2697">
        <w:rPr>
          <w:rFonts w:ascii="Arial" w:hAnsi="Arial" w:cs="Arial"/>
          <w:sz w:val="22"/>
        </w:rPr>
        <w:t xml:space="preserve">” </w:t>
      </w:r>
      <w:r w:rsidRPr="00BE2697">
        <w:rPr>
          <w:rFonts w:ascii="Arial" w:hAnsi="Arial" w:cs="Arial"/>
          <w:sz w:val="22"/>
        </w:rPr>
        <w:t xml:space="preserve">defined </w:t>
      </w:r>
      <w:r w:rsidR="00D565DA" w:rsidRPr="00BE2697">
        <w:rPr>
          <w:rFonts w:ascii="Arial" w:hAnsi="Arial" w:cs="Arial"/>
          <w:sz w:val="22"/>
        </w:rPr>
        <w:t>as “a member of the species Homo sapiens, at any stage of development, who is carried in the womb.” This includes</w:t>
      </w:r>
      <w:r w:rsidR="001A7828" w:rsidRPr="00BE2697">
        <w:rPr>
          <w:rFonts w:ascii="Arial" w:hAnsi="Arial" w:cs="Arial"/>
          <w:sz w:val="22"/>
        </w:rPr>
        <w:t xml:space="preserve"> the</w:t>
      </w:r>
      <w:r w:rsidR="00D565DA" w:rsidRPr="00BE2697">
        <w:rPr>
          <w:rFonts w:ascii="Arial" w:hAnsi="Arial" w:cs="Arial"/>
          <w:sz w:val="22"/>
        </w:rPr>
        <w:t xml:space="preserve"> </w:t>
      </w:r>
      <w:r w:rsidR="001A7828" w:rsidRPr="00BE2697">
        <w:rPr>
          <w:rFonts w:ascii="Arial" w:hAnsi="Arial" w:cs="Arial"/>
          <w:sz w:val="22"/>
        </w:rPr>
        <w:t xml:space="preserve">zygote, </w:t>
      </w:r>
      <w:proofErr w:type="spellStart"/>
      <w:r w:rsidR="001A7828" w:rsidRPr="00BE2697">
        <w:rPr>
          <w:rFonts w:ascii="Arial" w:hAnsi="Arial" w:cs="Arial"/>
          <w:sz w:val="22"/>
        </w:rPr>
        <w:t>blastocyst</w:t>
      </w:r>
      <w:proofErr w:type="spellEnd"/>
      <w:r w:rsidR="001A7828" w:rsidRPr="00BE2697">
        <w:rPr>
          <w:rFonts w:ascii="Arial" w:hAnsi="Arial" w:cs="Arial"/>
          <w:sz w:val="22"/>
        </w:rPr>
        <w:t xml:space="preserve">, embryo, and </w:t>
      </w:r>
      <w:proofErr w:type="spellStart"/>
      <w:r w:rsidR="001A7828" w:rsidRPr="00BE2697">
        <w:rPr>
          <w:rFonts w:ascii="Arial" w:hAnsi="Arial" w:cs="Arial"/>
          <w:sz w:val="22"/>
        </w:rPr>
        <w:t>f</w:t>
      </w:r>
      <w:r w:rsidR="00764C32">
        <w:rPr>
          <w:rFonts w:ascii="Arial" w:hAnsi="Arial" w:cs="Arial"/>
          <w:sz w:val="22"/>
        </w:rPr>
        <w:t>oe</w:t>
      </w:r>
      <w:r w:rsidR="001A7828" w:rsidRPr="00BE2697">
        <w:rPr>
          <w:rFonts w:ascii="Arial" w:hAnsi="Arial" w:cs="Arial"/>
          <w:sz w:val="22"/>
        </w:rPr>
        <w:t>tus</w:t>
      </w:r>
      <w:proofErr w:type="spellEnd"/>
      <w:r w:rsidR="001A7828" w:rsidRPr="00BE2697">
        <w:rPr>
          <w:rFonts w:ascii="Arial" w:hAnsi="Arial" w:cs="Arial"/>
          <w:sz w:val="22"/>
        </w:rPr>
        <w:t>.</w:t>
      </w:r>
    </w:p>
    <w:p w:rsidR="004A68DA" w:rsidRPr="00BE2697" w:rsidRDefault="00D565DA" w:rsidP="00D12C05">
      <w:pPr>
        <w:pStyle w:val="Subheading"/>
        <w:spacing w:line="276" w:lineRule="auto"/>
        <w:ind w:firstLine="432"/>
        <w:jc w:val="both"/>
        <w:rPr>
          <w:rFonts w:ascii="Arial" w:hAnsi="Arial" w:cs="Arial"/>
          <w:sz w:val="22"/>
        </w:rPr>
      </w:pPr>
      <w:r w:rsidRPr="00BE2697" w:rsidDel="00D565DA">
        <w:t xml:space="preserve"> </w:t>
      </w:r>
      <w:r w:rsidR="00D91148" w:rsidRPr="00BE2697">
        <w:rPr>
          <w:rFonts w:ascii="Arial" w:hAnsi="Arial" w:cs="Arial"/>
          <w:sz w:val="22"/>
        </w:rPr>
        <w:t xml:space="preserve">Applicability to </w:t>
      </w:r>
      <w:r w:rsidR="00634954" w:rsidRPr="00BE2697">
        <w:rPr>
          <w:rFonts w:ascii="Arial" w:hAnsi="Arial" w:cs="Arial"/>
          <w:sz w:val="22"/>
        </w:rPr>
        <w:t xml:space="preserve">human </w:t>
      </w:r>
      <w:r w:rsidR="00D91148" w:rsidRPr="00BE2697">
        <w:rPr>
          <w:rFonts w:ascii="Arial" w:hAnsi="Arial" w:cs="Arial"/>
          <w:sz w:val="22"/>
        </w:rPr>
        <w:t>embryos</w:t>
      </w:r>
    </w:p>
    <w:p w:rsidR="00D91148" w:rsidRPr="00BE2697" w:rsidRDefault="00634954" w:rsidP="007B6F62">
      <w:pPr>
        <w:pStyle w:val="CourtNumberedpara"/>
        <w:spacing w:line="276" w:lineRule="auto"/>
        <w:jc w:val="both"/>
        <w:rPr>
          <w:rFonts w:ascii="Arial" w:hAnsi="Arial" w:cs="Arial"/>
          <w:sz w:val="22"/>
        </w:rPr>
      </w:pPr>
      <w:r w:rsidRPr="00BE2697">
        <w:rPr>
          <w:rFonts w:ascii="Arial" w:hAnsi="Arial" w:cs="Arial"/>
          <w:sz w:val="22"/>
        </w:rPr>
        <w:t>H</w:t>
      </w:r>
      <w:r w:rsidR="00D91148" w:rsidRPr="00BE2697">
        <w:rPr>
          <w:rFonts w:ascii="Arial" w:hAnsi="Arial" w:cs="Arial"/>
          <w:sz w:val="22"/>
        </w:rPr>
        <w:t xml:space="preserve">uman embryos </w:t>
      </w:r>
      <w:r w:rsidR="00D91148" w:rsidRPr="00BE2697">
        <w:rPr>
          <w:rFonts w:ascii="Arial" w:hAnsi="Arial" w:cs="Arial"/>
          <w:i/>
          <w:sz w:val="22"/>
        </w:rPr>
        <w:t>in vitro</w:t>
      </w:r>
      <w:r w:rsidRPr="00BE2697">
        <w:rPr>
          <w:rFonts w:ascii="Arial" w:hAnsi="Arial" w:cs="Arial"/>
          <w:sz w:val="22"/>
        </w:rPr>
        <w:t xml:space="preserve">, </w:t>
      </w:r>
      <w:r w:rsidR="004A68DA" w:rsidRPr="00BE2697">
        <w:rPr>
          <w:rFonts w:ascii="Arial" w:hAnsi="Arial" w:cs="Arial"/>
          <w:sz w:val="22"/>
        </w:rPr>
        <w:t xml:space="preserve">despite their location outside the womb, </w:t>
      </w:r>
      <w:r w:rsidRPr="00BE2697">
        <w:rPr>
          <w:rFonts w:ascii="Arial" w:hAnsi="Arial" w:cs="Arial"/>
          <w:sz w:val="22"/>
        </w:rPr>
        <w:t>also</w:t>
      </w:r>
      <w:r w:rsidR="00D91148" w:rsidRPr="00BE2697">
        <w:rPr>
          <w:rFonts w:ascii="Arial" w:hAnsi="Arial" w:cs="Arial"/>
          <w:sz w:val="22"/>
        </w:rPr>
        <w:t xml:space="preserve"> deserve protection.</w:t>
      </w:r>
      <w:r w:rsidR="0057369C" w:rsidRPr="00BE2697">
        <w:rPr>
          <w:rFonts w:ascii="Arial" w:hAnsi="Arial" w:cs="Arial"/>
          <w:sz w:val="22"/>
        </w:rPr>
        <w:t xml:space="preserve"> The ruling of the only international court ever to define directly when life begins, in a case involving the destruction of human embryos, is persuasive.</w:t>
      </w:r>
    </w:p>
    <w:p w:rsidR="00D91148" w:rsidRPr="00BE2697" w:rsidRDefault="00D91148" w:rsidP="007B6F62">
      <w:pPr>
        <w:pStyle w:val="CourtNumberedpara"/>
        <w:spacing w:line="276" w:lineRule="auto"/>
        <w:jc w:val="both"/>
        <w:rPr>
          <w:rFonts w:ascii="Arial" w:hAnsi="Arial" w:cs="Arial"/>
          <w:sz w:val="22"/>
        </w:rPr>
      </w:pPr>
      <w:r w:rsidRPr="00BE2697">
        <w:rPr>
          <w:rFonts w:ascii="Arial" w:hAnsi="Arial" w:cs="Arial"/>
          <w:sz w:val="22"/>
        </w:rPr>
        <w:t xml:space="preserve">In 2011, the Court of Justice of the European Union (CJEU), in </w:t>
      </w:r>
      <w:r w:rsidRPr="00BE2697">
        <w:rPr>
          <w:rFonts w:ascii="Arial" w:hAnsi="Arial" w:cs="Arial"/>
          <w:i/>
          <w:sz w:val="22"/>
        </w:rPr>
        <w:t xml:space="preserve">Oliver </w:t>
      </w:r>
      <w:proofErr w:type="spellStart"/>
      <w:r w:rsidRPr="00BE2697">
        <w:rPr>
          <w:rFonts w:ascii="Arial" w:hAnsi="Arial" w:cs="Arial"/>
          <w:i/>
          <w:sz w:val="22"/>
        </w:rPr>
        <w:t>Brüstle</w:t>
      </w:r>
      <w:proofErr w:type="spellEnd"/>
      <w:r w:rsidRPr="00BE2697">
        <w:rPr>
          <w:rFonts w:ascii="Arial" w:hAnsi="Arial" w:cs="Arial"/>
          <w:i/>
          <w:sz w:val="22"/>
        </w:rPr>
        <w:t xml:space="preserve"> v. Greenpeace </w:t>
      </w:r>
      <w:proofErr w:type="spellStart"/>
      <w:r w:rsidRPr="00BE2697">
        <w:rPr>
          <w:rFonts w:ascii="Arial" w:hAnsi="Arial" w:cs="Arial"/>
          <w:i/>
          <w:sz w:val="22"/>
        </w:rPr>
        <w:t>e.V</w:t>
      </w:r>
      <w:proofErr w:type="spellEnd"/>
      <w:r w:rsidRPr="00BE2697">
        <w:rPr>
          <w:rFonts w:ascii="Arial" w:hAnsi="Arial" w:cs="Arial"/>
          <w:i/>
          <w:sz w:val="22"/>
        </w:rPr>
        <w:t>.</w:t>
      </w:r>
      <w:r w:rsidRPr="00BE2697">
        <w:rPr>
          <w:rFonts w:ascii="Arial" w:hAnsi="Arial" w:cs="Arial"/>
          <w:sz w:val="22"/>
        </w:rPr>
        <w:t xml:space="preserve">, a case on the patentability of a process that involved the destruction of human embryos, </w:t>
      </w:r>
      <w:r w:rsidR="004A68DA" w:rsidRPr="00BE2697">
        <w:rPr>
          <w:rFonts w:ascii="Arial" w:hAnsi="Arial" w:cs="Arial"/>
          <w:sz w:val="22"/>
        </w:rPr>
        <w:t xml:space="preserve">answered the question </w:t>
      </w:r>
      <w:proofErr w:type="gramStart"/>
      <w:r w:rsidR="004A68DA" w:rsidRPr="00BE2697">
        <w:rPr>
          <w:rFonts w:ascii="Arial" w:hAnsi="Arial" w:cs="Arial"/>
          <w:sz w:val="22"/>
        </w:rPr>
        <w:t xml:space="preserve">of </w:t>
      </w:r>
      <w:r w:rsidRPr="00BE2697">
        <w:rPr>
          <w:rFonts w:ascii="Arial" w:hAnsi="Arial" w:cs="Arial"/>
          <w:sz w:val="22"/>
        </w:rPr>
        <w:t xml:space="preserve"> </w:t>
      </w:r>
      <w:r w:rsidR="004A68DA" w:rsidRPr="00BE2697">
        <w:rPr>
          <w:rFonts w:ascii="Arial" w:hAnsi="Arial" w:cs="Arial"/>
          <w:sz w:val="22"/>
        </w:rPr>
        <w:t>w</w:t>
      </w:r>
      <w:r w:rsidRPr="00BE2697">
        <w:rPr>
          <w:rFonts w:ascii="Arial" w:hAnsi="Arial" w:cs="Arial"/>
          <w:sz w:val="22"/>
        </w:rPr>
        <w:t>hat</w:t>
      </w:r>
      <w:proofErr w:type="gramEnd"/>
      <w:r w:rsidRPr="00BE2697">
        <w:rPr>
          <w:rFonts w:ascii="Arial" w:hAnsi="Arial" w:cs="Arial"/>
          <w:sz w:val="22"/>
        </w:rPr>
        <w:t xml:space="preserve"> is meant by the term “human embryo</w:t>
      </w:r>
      <w:r w:rsidR="004A68DA" w:rsidRPr="00BE2697">
        <w:rPr>
          <w:rFonts w:ascii="Arial" w:hAnsi="Arial" w:cs="Arial"/>
          <w:sz w:val="22"/>
        </w:rPr>
        <w:t>.”</w:t>
      </w:r>
      <w:r w:rsidR="00C8712D" w:rsidRPr="00BE2697">
        <w:rPr>
          <w:rStyle w:val="FootnoteReference"/>
          <w:rFonts w:ascii="Arial" w:hAnsi="Arial" w:cs="Arial"/>
          <w:sz w:val="22"/>
        </w:rPr>
        <w:footnoteReference w:id="29"/>
      </w:r>
    </w:p>
    <w:p w:rsidR="004A68DA" w:rsidRPr="00BE2697" w:rsidRDefault="00D91148" w:rsidP="007B6F62">
      <w:pPr>
        <w:pStyle w:val="CourtNumberedpara"/>
        <w:spacing w:line="276" w:lineRule="auto"/>
        <w:jc w:val="both"/>
        <w:rPr>
          <w:rFonts w:ascii="Arial" w:hAnsi="Arial" w:cs="Arial"/>
          <w:sz w:val="22"/>
        </w:rPr>
      </w:pPr>
      <w:r w:rsidRPr="00BE2697">
        <w:rPr>
          <w:rFonts w:ascii="Arial" w:hAnsi="Arial" w:cs="Arial"/>
          <w:sz w:val="22"/>
        </w:rPr>
        <w:t xml:space="preserve">The </w:t>
      </w:r>
      <w:r w:rsidR="006B66EA" w:rsidRPr="00BE2697">
        <w:rPr>
          <w:rFonts w:ascii="Arial" w:hAnsi="Arial" w:cs="Arial"/>
          <w:sz w:val="22"/>
        </w:rPr>
        <w:t xml:space="preserve">CJEU </w:t>
      </w:r>
      <w:r w:rsidRPr="00BE2697">
        <w:rPr>
          <w:rFonts w:ascii="Arial" w:hAnsi="Arial" w:cs="Arial"/>
          <w:sz w:val="22"/>
        </w:rPr>
        <w:t>noted that the European Union legislature had intended to exclude any possibility of patentability where respect for “human dignity” could be affected. Thus, the concept of the human embryo must be understood in a wide sense.</w:t>
      </w:r>
      <w:r w:rsidR="00C8712D" w:rsidRPr="00BE2697">
        <w:rPr>
          <w:rStyle w:val="FootnoteReference"/>
          <w:rFonts w:ascii="Arial" w:hAnsi="Arial" w:cs="Arial"/>
          <w:sz w:val="22"/>
        </w:rPr>
        <w:footnoteReference w:id="30"/>
      </w:r>
      <w:r w:rsidRPr="00BE2697">
        <w:rPr>
          <w:rFonts w:ascii="Arial" w:hAnsi="Arial" w:cs="Arial"/>
          <w:sz w:val="22"/>
        </w:rPr>
        <w:t xml:space="preserve"> Accordingly, the </w:t>
      </w:r>
      <w:r w:rsidR="006B66EA" w:rsidRPr="00BE2697">
        <w:rPr>
          <w:rFonts w:ascii="Arial" w:hAnsi="Arial" w:cs="Arial"/>
          <w:sz w:val="22"/>
        </w:rPr>
        <w:t xml:space="preserve">CJEU </w:t>
      </w:r>
      <w:r w:rsidRPr="00BE2697">
        <w:rPr>
          <w:rFonts w:ascii="Arial" w:hAnsi="Arial" w:cs="Arial"/>
          <w:sz w:val="22"/>
        </w:rPr>
        <w:t>held that any human ovum must, as soon as fertilized, be regarded as a human embryo, since fertilization commence</w:t>
      </w:r>
      <w:r w:rsidR="006B66EA" w:rsidRPr="00BE2697">
        <w:rPr>
          <w:rFonts w:ascii="Arial" w:hAnsi="Arial" w:cs="Arial"/>
          <w:sz w:val="22"/>
        </w:rPr>
        <w:t>s</w:t>
      </w:r>
      <w:r w:rsidRPr="00BE2697">
        <w:rPr>
          <w:rFonts w:ascii="Arial" w:hAnsi="Arial" w:cs="Arial"/>
          <w:sz w:val="22"/>
        </w:rPr>
        <w:t xml:space="preserve"> the process of development of a human being. Moreover, the </w:t>
      </w:r>
      <w:r w:rsidR="006B66EA" w:rsidRPr="00BE2697">
        <w:rPr>
          <w:rFonts w:ascii="Arial" w:hAnsi="Arial" w:cs="Arial"/>
          <w:sz w:val="22"/>
        </w:rPr>
        <w:t xml:space="preserve">CJEU </w:t>
      </w:r>
      <w:r w:rsidRPr="00BE2697">
        <w:rPr>
          <w:rFonts w:ascii="Arial" w:hAnsi="Arial" w:cs="Arial"/>
          <w:sz w:val="22"/>
        </w:rPr>
        <w:t xml:space="preserve">held that the same classification must apply to a non-fertilized human ovum into which the cell nucleus from a mature human </w:t>
      </w:r>
      <w:proofErr w:type="gramStart"/>
      <w:r w:rsidRPr="00BE2697">
        <w:rPr>
          <w:rFonts w:ascii="Arial" w:hAnsi="Arial" w:cs="Arial"/>
          <w:sz w:val="22"/>
        </w:rPr>
        <w:t>cell</w:t>
      </w:r>
      <w:r w:rsidR="00BC0CFF" w:rsidRPr="00BE2697">
        <w:rPr>
          <w:rFonts w:ascii="Arial" w:hAnsi="Arial" w:cs="Arial"/>
          <w:sz w:val="22"/>
        </w:rPr>
        <w:t>,</w:t>
      </w:r>
      <w:proofErr w:type="gramEnd"/>
      <w:r w:rsidRPr="00BE2697">
        <w:rPr>
          <w:rFonts w:ascii="Arial" w:hAnsi="Arial" w:cs="Arial"/>
          <w:sz w:val="22"/>
        </w:rPr>
        <w:t xml:space="preserve"> has been transplanted, and a non-fertilized human ovum whose division and further development have been stimulated by parthenogenesis.</w:t>
      </w:r>
      <w:r w:rsidR="00C8712D" w:rsidRPr="00BE2697">
        <w:rPr>
          <w:rStyle w:val="FootnoteReference"/>
          <w:rFonts w:ascii="Arial" w:hAnsi="Arial" w:cs="Arial"/>
          <w:sz w:val="22"/>
        </w:rPr>
        <w:footnoteReference w:id="31"/>
      </w:r>
      <w:r w:rsidRPr="00BE2697">
        <w:rPr>
          <w:rFonts w:ascii="Arial" w:hAnsi="Arial" w:cs="Arial"/>
          <w:sz w:val="22"/>
        </w:rPr>
        <w:t xml:space="preserve"> Regarding stem cells obtained from a human embryo at the blastocyst stage, the C</w:t>
      </w:r>
      <w:r w:rsidR="006B66EA" w:rsidRPr="00BE2697">
        <w:rPr>
          <w:rFonts w:ascii="Arial" w:hAnsi="Arial" w:cs="Arial"/>
          <w:sz w:val="22"/>
        </w:rPr>
        <w:t>JEU</w:t>
      </w:r>
      <w:r w:rsidRPr="00BE2697">
        <w:rPr>
          <w:rFonts w:ascii="Arial" w:hAnsi="Arial" w:cs="Arial"/>
          <w:sz w:val="22"/>
        </w:rPr>
        <w:t xml:space="preserve"> held that it is for the referring court to ascertain, in the light of scientific developments, whether they are capable of “commencing the process of </w:t>
      </w:r>
      <w:r w:rsidRPr="00BE2697">
        <w:rPr>
          <w:rFonts w:ascii="Arial" w:hAnsi="Arial" w:cs="Arial"/>
          <w:sz w:val="22"/>
        </w:rPr>
        <w:lastRenderedPageBreak/>
        <w:t>development of a human being” and therefore are included within the concept of the human embryo.</w:t>
      </w:r>
      <w:r w:rsidR="00C8712D" w:rsidRPr="00BE2697">
        <w:rPr>
          <w:rStyle w:val="FootnoteReference"/>
          <w:rFonts w:ascii="Arial" w:hAnsi="Arial" w:cs="Arial"/>
          <w:sz w:val="22"/>
        </w:rPr>
        <w:footnoteReference w:id="32"/>
      </w:r>
      <w:r w:rsidRPr="00BE2697">
        <w:rPr>
          <w:rFonts w:ascii="Arial" w:hAnsi="Arial" w:cs="Arial"/>
          <w:sz w:val="22"/>
        </w:rPr>
        <w:t xml:space="preserve"> Thus, the C</w:t>
      </w:r>
      <w:r w:rsidR="006B66EA" w:rsidRPr="00BE2697">
        <w:rPr>
          <w:rFonts w:ascii="Arial" w:hAnsi="Arial" w:cs="Arial"/>
          <w:sz w:val="22"/>
        </w:rPr>
        <w:t>JEU</w:t>
      </w:r>
      <w:r w:rsidRPr="00BE2697">
        <w:rPr>
          <w:rFonts w:ascii="Arial" w:hAnsi="Arial" w:cs="Arial"/>
          <w:sz w:val="22"/>
        </w:rPr>
        <w:t>—perhaps mindful of the fact that at present, stem cells obtained from a blastocyst are pluripotent and are incapable of developing into a human being—avoided stating that pluripotent cells are not regarded as human embryos. Instead</w:t>
      </w:r>
      <w:r w:rsidR="00BC0CFF" w:rsidRPr="00BE2697">
        <w:rPr>
          <w:rFonts w:ascii="Arial" w:hAnsi="Arial" w:cs="Arial"/>
          <w:sz w:val="22"/>
        </w:rPr>
        <w:t>,</w:t>
      </w:r>
      <w:r w:rsidRPr="00BE2697">
        <w:rPr>
          <w:rFonts w:ascii="Arial" w:hAnsi="Arial" w:cs="Arial"/>
          <w:sz w:val="22"/>
        </w:rPr>
        <w:t xml:space="preserve"> the </w:t>
      </w:r>
      <w:r w:rsidR="006B66EA" w:rsidRPr="00BE2697">
        <w:rPr>
          <w:rFonts w:ascii="Arial" w:hAnsi="Arial" w:cs="Arial"/>
          <w:sz w:val="22"/>
        </w:rPr>
        <w:t xml:space="preserve">CJEU </w:t>
      </w:r>
      <w:r w:rsidRPr="00BE2697">
        <w:rPr>
          <w:rFonts w:ascii="Arial" w:hAnsi="Arial" w:cs="Arial"/>
          <w:sz w:val="22"/>
        </w:rPr>
        <w:t xml:space="preserve">stated that if cells can commence the process of development into a human being, they must be protected within the concept of the human embryo. </w:t>
      </w:r>
    </w:p>
    <w:p w:rsidR="00D91148" w:rsidRPr="00BE2697" w:rsidRDefault="00D91148" w:rsidP="007B6F62">
      <w:pPr>
        <w:pStyle w:val="CourtNumberedpara"/>
        <w:spacing w:line="276" w:lineRule="auto"/>
        <w:jc w:val="both"/>
        <w:rPr>
          <w:rFonts w:ascii="Arial" w:hAnsi="Arial" w:cs="Arial"/>
          <w:sz w:val="22"/>
        </w:rPr>
      </w:pPr>
      <w:r w:rsidRPr="00BE2697">
        <w:rPr>
          <w:rFonts w:ascii="Arial" w:hAnsi="Arial" w:cs="Arial"/>
          <w:sz w:val="22"/>
        </w:rPr>
        <w:t xml:space="preserve">Precisely stated, the Grand Chamber of the </w:t>
      </w:r>
      <w:r w:rsidR="00764C32">
        <w:rPr>
          <w:rFonts w:ascii="Arial" w:hAnsi="Arial" w:cs="Arial"/>
          <w:sz w:val="22"/>
        </w:rPr>
        <w:t>CJEU</w:t>
      </w:r>
      <w:r w:rsidRPr="00BE2697">
        <w:rPr>
          <w:rFonts w:ascii="Arial" w:hAnsi="Arial" w:cs="Arial"/>
          <w:sz w:val="22"/>
        </w:rPr>
        <w:t xml:space="preserve"> ruled that in the context of European patent law, life begins from the moment of </w:t>
      </w:r>
      <w:r w:rsidR="004A68DA" w:rsidRPr="00BE2697">
        <w:rPr>
          <w:rFonts w:ascii="Arial" w:hAnsi="Arial" w:cs="Arial"/>
          <w:sz w:val="22"/>
        </w:rPr>
        <w:t>fertilization</w:t>
      </w:r>
      <w:r w:rsidRPr="00BE2697">
        <w:rPr>
          <w:rFonts w:ascii="Arial" w:hAnsi="Arial" w:cs="Arial"/>
          <w:sz w:val="22"/>
        </w:rPr>
        <w:t xml:space="preserve">. It further held that </w:t>
      </w:r>
      <w:r w:rsidR="004A68DA" w:rsidRPr="00BE2697">
        <w:rPr>
          <w:rFonts w:ascii="Arial" w:hAnsi="Arial" w:cs="Arial"/>
          <w:sz w:val="22"/>
        </w:rPr>
        <w:t xml:space="preserve">fertilization </w:t>
      </w:r>
      <w:r w:rsidRPr="00BE2697">
        <w:rPr>
          <w:rFonts w:ascii="Arial" w:hAnsi="Arial" w:cs="Arial"/>
          <w:sz w:val="22"/>
        </w:rPr>
        <w:t>marks the commencement of the process of development of the human being.</w:t>
      </w:r>
    </w:p>
    <w:p w:rsidR="00D91148" w:rsidRPr="00BE2697" w:rsidRDefault="00D91148" w:rsidP="007B6F62">
      <w:pPr>
        <w:pStyle w:val="CourtNumberedpara"/>
        <w:spacing w:line="276" w:lineRule="auto"/>
        <w:jc w:val="both"/>
        <w:rPr>
          <w:rFonts w:ascii="Arial" w:hAnsi="Arial" w:cs="Arial"/>
          <w:sz w:val="22"/>
        </w:rPr>
      </w:pPr>
      <w:r w:rsidRPr="00BE2697">
        <w:rPr>
          <w:rFonts w:ascii="Arial" w:hAnsi="Arial" w:cs="Arial"/>
          <w:sz w:val="22"/>
        </w:rPr>
        <w:t>The CJEU held that the definition of the human embryo must be understood in a wide sense, and went on to provide legal protection for that embryo. The ruling lends support to the propositions that: (</w:t>
      </w:r>
      <w:proofErr w:type="spellStart"/>
      <w:r w:rsidRPr="00BE2697">
        <w:rPr>
          <w:rFonts w:ascii="Arial" w:hAnsi="Arial" w:cs="Arial"/>
          <w:sz w:val="22"/>
        </w:rPr>
        <w:t>i</w:t>
      </w:r>
      <w:proofErr w:type="spellEnd"/>
      <w:r w:rsidRPr="00BE2697">
        <w:rPr>
          <w:rFonts w:ascii="Arial" w:hAnsi="Arial" w:cs="Arial"/>
          <w:sz w:val="22"/>
        </w:rPr>
        <w:t xml:space="preserve">) human life begins at </w:t>
      </w:r>
      <w:r w:rsidR="004A68DA" w:rsidRPr="00BE2697">
        <w:rPr>
          <w:rFonts w:ascii="Arial" w:hAnsi="Arial" w:cs="Arial"/>
          <w:sz w:val="22"/>
        </w:rPr>
        <w:t>fertilization</w:t>
      </w:r>
      <w:r w:rsidRPr="00BE2697">
        <w:rPr>
          <w:rFonts w:ascii="Arial" w:hAnsi="Arial" w:cs="Arial"/>
          <w:sz w:val="22"/>
        </w:rPr>
        <w:t xml:space="preserve">; (ii) the human embryo is worthy of protection; </w:t>
      </w:r>
      <w:r w:rsidR="00C760FD" w:rsidRPr="00BE2697">
        <w:rPr>
          <w:rFonts w:ascii="Arial" w:hAnsi="Arial" w:cs="Arial"/>
          <w:sz w:val="22"/>
        </w:rPr>
        <w:t xml:space="preserve">and </w:t>
      </w:r>
      <w:r w:rsidRPr="00BE2697">
        <w:rPr>
          <w:rFonts w:ascii="Arial" w:hAnsi="Arial" w:cs="Arial"/>
          <w:sz w:val="22"/>
        </w:rPr>
        <w:t>(iii) the argument that the embryo is “not yet human” in certain stages of development is no longer valid.</w:t>
      </w:r>
    </w:p>
    <w:p w:rsidR="00D91148" w:rsidRPr="00BE2697" w:rsidRDefault="00D91148" w:rsidP="007B6F62">
      <w:pPr>
        <w:pStyle w:val="CourtNumberedpara"/>
        <w:spacing w:line="276" w:lineRule="auto"/>
        <w:jc w:val="both"/>
        <w:rPr>
          <w:rFonts w:ascii="Arial" w:hAnsi="Arial" w:cs="Arial"/>
          <w:sz w:val="22"/>
        </w:rPr>
      </w:pPr>
      <w:r w:rsidRPr="00BE2697">
        <w:rPr>
          <w:rFonts w:ascii="Arial" w:hAnsi="Arial" w:cs="Arial"/>
          <w:sz w:val="22"/>
        </w:rPr>
        <w:t>The</w:t>
      </w:r>
      <w:r w:rsidR="000349C1" w:rsidRPr="00BE2697">
        <w:rPr>
          <w:rFonts w:ascii="Arial" w:hAnsi="Arial" w:cs="Arial"/>
          <w:sz w:val="22"/>
        </w:rPr>
        <w:t xml:space="preserve"> Oviedo</w:t>
      </w:r>
      <w:r w:rsidRPr="00BE2697">
        <w:rPr>
          <w:rFonts w:ascii="Arial" w:hAnsi="Arial" w:cs="Arial"/>
          <w:sz w:val="22"/>
        </w:rPr>
        <w:t xml:space="preserve"> Convention on Human Rights and Biomedicin</w:t>
      </w:r>
      <w:r w:rsidR="000349C1" w:rsidRPr="00BE2697">
        <w:rPr>
          <w:rFonts w:ascii="Arial" w:hAnsi="Arial" w:cs="Arial"/>
          <w:sz w:val="22"/>
        </w:rPr>
        <w:t>e</w:t>
      </w:r>
      <w:r w:rsidRPr="00BE2697">
        <w:rPr>
          <w:rFonts w:ascii="Arial" w:hAnsi="Arial" w:cs="Arial"/>
          <w:sz w:val="22"/>
        </w:rPr>
        <w:t xml:space="preserve"> also recognizes the inherent value of the human embryo. Article 18 prohibits the creation of human embryos for research purposes and calls for the “adequate protection” of human embryos </w:t>
      </w:r>
      <w:r w:rsidRPr="00BE2697">
        <w:rPr>
          <w:rFonts w:ascii="Arial" w:hAnsi="Arial" w:cs="Arial"/>
          <w:i/>
          <w:sz w:val="22"/>
        </w:rPr>
        <w:t>in vitro</w:t>
      </w:r>
      <w:r w:rsidRPr="00BE2697">
        <w:rPr>
          <w:rFonts w:ascii="Arial" w:hAnsi="Arial" w:cs="Arial"/>
          <w:sz w:val="22"/>
        </w:rPr>
        <w:t xml:space="preserve"> used for research. This is in recognition that the human embryo is a “human being [whose interests and welfare] shall prevail over the sole interest of society or science.”</w:t>
      </w:r>
    </w:p>
    <w:p w:rsidR="00D12C05" w:rsidRPr="00D12C05" w:rsidRDefault="00D91148" w:rsidP="00D12C05">
      <w:pPr>
        <w:pStyle w:val="CourtNumberedpara"/>
        <w:spacing w:before="0" w:line="276" w:lineRule="auto"/>
        <w:jc w:val="both"/>
        <w:rPr>
          <w:rFonts w:ascii="Arial" w:hAnsi="Arial" w:cs="Arial"/>
          <w:sz w:val="22"/>
        </w:rPr>
      </w:pPr>
      <w:r w:rsidRPr="00BE2697">
        <w:rPr>
          <w:rFonts w:ascii="Arial" w:hAnsi="Arial" w:cs="Arial"/>
          <w:sz w:val="22"/>
        </w:rPr>
        <w:t xml:space="preserve">Therefore, in the development of law for the scientific community there is an ever-increasing and robust protection of the unborn child from </w:t>
      </w:r>
      <w:r w:rsidR="0078043B" w:rsidRPr="00BE2697">
        <w:rPr>
          <w:rFonts w:ascii="Arial" w:hAnsi="Arial" w:cs="Arial"/>
          <w:sz w:val="22"/>
        </w:rPr>
        <w:t>fertilization</w:t>
      </w:r>
      <w:r w:rsidRPr="00BE2697">
        <w:rPr>
          <w:rFonts w:ascii="Arial" w:hAnsi="Arial" w:cs="Arial"/>
          <w:sz w:val="22"/>
        </w:rPr>
        <w:t>.</w:t>
      </w:r>
    </w:p>
    <w:p w:rsidR="00724AAC" w:rsidRPr="00BE2697" w:rsidRDefault="00CD6C5F" w:rsidP="00E91F71">
      <w:pPr>
        <w:numPr>
          <w:ilvl w:val="0"/>
          <w:numId w:val="6"/>
        </w:numPr>
        <w:spacing w:line="276" w:lineRule="auto"/>
        <w:contextualSpacing/>
        <w:jc w:val="both"/>
        <w:rPr>
          <w:rFonts w:ascii="Arial" w:hAnsi="Arial" w:cs="Arial"/>
          <w:sz w:val="22"/>
        </w:rPr>
      </w:pPr>
      <w:r w:rsidRPr="00BE2697">
        <w:rPr>
          <w:rFonts w:ascii="Arial" w:eastAsia="Calibri" w:hAnsi="Arial" w:cs="Arial"/>
          <w:b/>
          <w:sz w:val="22"/>
        </w:rPr>
        <w:t>No Implicit</w:t>
      </w:r>
      <w:r w:rsidR="0073697F" w:rsidRPr="00BE2697">
        <w:rPr>
          <w:rFonts w:ascii="Arial" w:eastAsia="Calibri" w:hAnsi="Arial" w:cs="Arial"/>
          <w:b/>
          <w:sz w:val="22"/>
        </w:rPr>
        <w:t xml:space="preserve"> </w:t>
      </w:r>
      <w:r w:rsidR="00FA74F0" w:rsidRPr="00BE2697">
        <w:rPr>
          <w:rFonts w:ascii="Arial" w:eastAsia="Calibri" w:hAnsi="Arial" w:cs="Arial"/>
          <w:b/>
          <w:sz w:val="22"/>
        </w:rPr>
        <w:t>“</w:t>
      </w:r>
      <w:r w:rsidR="0073697F" w:rsidRPr="00BE2697">
        <w:rPr>
          <w:rFonts w:ascii="Arial" w:eastAsia="Calibri" w:hAnsi="Arial" w:cs="Arial"/>
          <w:b/>
          <w:sz w:val="22"/>
        </w:rPr>
        <w:t>Right to Abortion</w:t>
      </w:r>
      <w:r w:rsidR="00FA74F0" w:rsidRPr="00BE2697">
        <w:rPr>
          <w:rFonts w:ascii="Arial" w:eastAsia="Calibri" w:hAnsi="Arial" w:cs="Arial"/>
          <w:b/>
          <w:sz w:val="22"/>
        </w:rPr>
        <w:t xml:space="preserve">” </w:t>
      </w:r>
      <w:r w:rsidRPr="00BE2697">
        <w:rPr>
          <w:rFonts w:ascii="Arial" w:eastAsia="Calibri" w:hAnsi="Arial" w:cs="Arial"/>
          <w:b/>
          <w:sz w:val="22"/>
        </w:rPr>
        <w:t>in</w:t>
      </w:r>
      <w:r w:rsidR="00FA74F0" w:rsidRPr="00BE2697">
        <w:rPr>
          <w:rFonts w:ascii="Arial" w:eastAsia="Calibri" w:hAnsi="Arial" w:cs="Arial"/>
          <w:b/>
          <w:sz w:val="22"/>
        </w:rPr>
        <w:t xml:space="preserve"> </w:t>
      </w:r>
      <w:r w:rsidR="00B37CFE" w:rsidRPr="00BE2697">
        <w:rPr>
          <w:rFonts w:ascii="Arial" w:eastAsia="Calibri" w:hAnsi="Arial" w:cs="Arial"/>
          <w:b/>
          <w:sz w:val="22"/>
        </w:rPr>
        <w:t>I</w:t>
      </w:r>
      <w:r w:rsidR="00CB6AB4" w:rsidRPr="00BE2697">
        <w:rPr>
          <w:rFonts w:ascii="Arial" w:eastAsia="Calibri" w:hAnsi="Arial" w:cs="Arial"/>
          <w:b/>
          <w:sz w:val="22"/>
        </w:rPr>
        <w:t>CCPR Article 6</w:t>
      </w:r>
    </w:p>
    <w:p w:rsidR="007E22EE" w:rsidRPr="00BE2697" w:rsidRDefault="00C976EA" w:rsidP="007B6F62">
      <w:pPr>
        <w:pStyle w:val="CourtNumberedpara"/>
        <w:spacing w:after="0" w:line="276" w:lineRule="auto"/>
        <w:jc w:val="both"/>
        <w:rPr>
          <w:rFonts w:ascii="Arial" w:hAnsi="Arial" w:cs="Arial"/>
          <w:sz w:val="22"/>
        </w:rPr>
      </w:pPr>
      <w:r w:rsidRPr="00BE2697">
        <w:rPr>
          <w:rFonts w:ascii="Arial" w:hAnsi="Arial" w:cs="Arial"/>
          <w:sz w:val="22"/>
        </w:rPr>
        <w:t>I</w:t>
      </w:r>
      <w:r w:rsidR="00ED6D78" w:rsidRPr="00BE2697">
        <w:rPr>
          <w:rFonts w:ascii="Arial" w:hAnsi="Arial" w:cs="Arial"/>
          <w:sz w:val="22"/>
        </w:rPr>
        <w:t xml:space="preserve">nternational law </w:t>
      </w:r>
      <w:r w:rsidR="00FA74F0" w:rsidRPr="00BE2697">
        <w:rPr>
          <w:rFonts w:ascii="Arial" w:hAnsi="Arial" w:cs="Arial"/>
          <w:sz w:val="22"/>
        </w:rPr>
        <w:t xml:space="preserve">recognizes the right to life of </w:t>
      </w:r>
      <w:r w:rsidR="007E22EE" w:rsidRPr="00BE2697">
        <w:rPr>
          <w:rFonts w:ascii="Arial" w:hAnsi="Arial" w:cs="Arial"/>
          <w:sz w:val="22"/>
        </w:rPr>
        <w:t>the unborn</w:t>
      </w:r>
      <w:r w:rsidR="00A070FA" w:rsidRPr="00BE2697">
        <w:rPr>
          <w:rFonts w:ascii="Arial" w:hAnsi="Arial" w:cs="Arial"/>
          <w:sz w:val="22"/>
        </w:rPr>
        <w:t xml:space="preserve">. </w:t>
      </w:r>
      <w:r w:rsidR="00764C32">
        <w:rPr>
          <w:rFonts w:ascii="Arial" w:hAnsi="Arial" w:cs="Arial"/>
          <w:sz w:val="22"/>
        </w:rPr>
        <w:t>By contrast</w:t>
      </w:r>
      <w:r w:rsidR="00FB716A" w:rsidRPr="00BE2697">
        <w:rPr>
          <w:rFonts w:ascii="Arial" w:hAnsi="Arial" w:cs="Arial"/>
          <w:sz w:val="22"/>
        </w:rPr>
        <w:t>,</w:t>
      </w:r>
      <w:r w:rsidR="00F514A1" w:rsidRPr="00BE2697">
        <w:rPr>
          <w:rFonts w:ascii="Arial" w:hAnsi="Arial" w:cs="Arial"/>
          <w:sz w:val="22"/>
        </w:rPr>
        <w:t xml:space="preserve"> neither </w:t>
      </w:r>
      <w:r w:rsidR="00704135" w:rsidRPr="00BE2697">
        <w:rPr>
          <w:rFonts w:ascii="Arial" w:hAnsi="Arial" w:cs="Arial"/>
          <w:sz w:val="22"/>
        </w:rPr>
        <w:t xml:space="preserve">the </w:t>
      </w:r>
      <w:r w:rsidR="00F514A1" w:rsidRPr="00BE2697">
        <w:rPr>
          <w:rFonts w:ascii="Arial" w:hAnsi="Arial" w:cs="Arial"/>
          <w:sz w:val="22"/>
        </w:rPr>
        <w:t xml:space="preserve">ICCPR nor any </w:t>
      </w:r>
      <w:r w:rsidR="00A070FA" w:rsidRPr="00BE2697">
        <w:rPr>
          <w:rFonts w:ascii="Arial" w:hAnsi="Arial" w:cs="Arial"/>
          <w:sz w:val="22"/>
        </w:rPr>
        <w:t xml:space="preserve">other </w:t>
      </w:r>
      <w:r w:rsidR="00F514A1" w:rsidRPr="00BE2697">
        <w:rPr>
          <w:rFonts w:ascii="Arial" w:hAnsi="Arial" w:cs="Arial"/>
          <w:sz w:val="22"/>
        </w:rPr>
        <w:t>international human rights treaty recognizes a right to abortion</w:t>
      </w:r>
      <w:r w:rsidRPr="00BE2697">
        <w:rPr>
          <w:rFonts w:ascii="Arial" w:hAnsi="Arial" w:cs="Arial"/>
          <w:sz w:val="22"/>
        </w:rPr>
        <w:t>.</w:t>
      </w:r>
      <w:r w:rsidR="00F514A1" w:rsidRPr="00BE2697">
        <w:rPr>
          <w:rFonts w:ascii="Arial" w:hAnsi="Arial" w:cs="Arial"/>
          <w:sz w:val="22"/>
        </w:rPr>
        <w:t xml:space="preserve"> </w:t>
      </w:r>
      <w:r w:rsidRPr="00BE2697">
        <w:rPr>
          <w:rFonts w:ascii="Arial" w:hAnsi="Arial" w:cs="Arial"/>
          <w:sz w:val="22"/>
        </w:rPr>
        <w:t xml:space="preserve">Yet </w:t>
      </w:r>
      <w:r w:rsidR="00F514A1" w:rsidRPr="00BE2697">
        <w:rPr>
          <w:rFonts w:ascii="Arial" w:hAnsi="Arial" w:cs="Arial"/>
          <w:sz w:val="22"/>
        </w:rPr>
        <w:t xml:space="preserve">abortion advocates claim that the </w:t>
      </w:r>
      <w:r w:rsidR="002107CB" w:rsidRPr="00BE2697">
        <w:rPr>
          <w:rFonts w:ascii="Arial" w:hAnsi="Arial" w:cs="Arial"/>
          <w:sz w:val="22"/>
        </w:rPr>
        <w:t xml:space="preserve">right to abortion is implicit in international law because certain rights of the mother </w:t>
      </w:r>
      <w:r w:rsidR="008B188B" w:rsidRPr="00BE2697">
        <w:rPr>
          <w:rFonts w:ascii="Arial" w:hAnsi="Arial" w:cs="Arial"/>
          <w:sz w:val="22"/>
        </w:rPr>
        <w:t xml:space="preserve">require </w:t>
      </w:r>
      <w:r w:rsidR="007E22EE" w:rsidRPr="00BE2697">
        <w:rPr>
          <w:rFonts w:ascii="Arial" w:hAnsi="Arial" w:cs="Arial"/>
          <w:sz w:val="22"/>
        </w:rPr>
        <w:t>abortion</w:t>
      </w:r>
      <w:r w:rsidR="008B188B" w:rsidRPr="00BE2697">
        <w:rPr>
          <w:rFonts w:ascii="Arial" w:hAnsi="Arial" w:cs="Arial"/>
          <w:sz w:val="22"/>
        </w:rPr>
        <w:t xml:space="preserve"> legalization</w:t>
      </w:r>
      <w:r w:rsidR="007C31DE" w:rsidRPr="00BE2697">
        <w:rPr>
          <w:rFonts w:ascii="Arial" w:hAnsi="Arial" w:cs="Arial"/>
          <w:sz w:val="22"/>
        </w:rPr>
        <w:t>, including the woman’s own right to life</w:t>
      </w:r>
      <w:r w:rsidR="007E22EE" w:rsidRPr="00BE2697">
        <w:rPr>
          <w:rFonts w:ascii="Arial" w:hAnsi="Arial" w:cs="Arial"/>
          <w:sz w:val="22"/>
        </w:rPr>
        <w:t xml:space="preserve">. </w:t>
      </w:r>
      <w:r w:rsidR="002107CB" w:rsidRPr="00BE2697">
        <w:rPr>
          <w:rFonts w:ascii="Arial" w:hAnsi="Arial" w:cs="Arial"/>
          <w:sz w:val="22"/>
        </w:rPr>
        <w:t>However</w:t>
      </w:r>
      <w:r w:rsidR="00062829" w:rsidRPr="00BE2697">
        <w:rPr>
          <w:rFonts w:ascii="Arial" w:hAnsi="Arial" w:cs="Arial"/>
          <w:sz w:val="22"/>
        </w:rPr>
        <w:t xml:space="preserve">, </w:t>
      </w:r>
      <w:r w:rsidR="00157D69" w:rsidRPr="00BE2697">
        <w:rPr>
          <w:rFonts w:ascii="Arial" w:hAnsi="Arial" w:cs="Arial"/>
          <w:sz w:val="22"/>
        </w:rPr>
        <w:t xml:space="preserve">as detailed below, </w:t>
      </w:r>
      <w:r w:rsidR="00811E91" w:rsidRPr="00BE2697">
        <w:rPr>
          <w:rFonts w:ascii="Arial" w:hAnsi="Arial" w:cs="Arial"/>
          <w:sz w:val="22"/>
        </w:rPr>
        <w:t>the</w:t>
      </w:r>
      <w:r w:rsidR="00157D69" w:rsidRPr="00BE2697">
        <w:rPr>
          <w:rFonts w:ascii="Arial" w:hAnsi="Arial" w:cs="Arial"/>
          <w:sz w:val="22"/>
        </w:rPr>
        <w:t xml:space="preserve"> right</w:t>
      </w:r>
      <w:r w:rsidR="00075036" w:rsidRPr="00BE2697">
        <w:rPr>
          <w:rFonts w:ascii="Arial" w:hAnsi="Arial" w:cs="Arial"/>
          <w:sz w:val="22"/>
        </w:rPr>
        <w:t xml:space="preserve"> to life in Article 6 does</w:t>
      </w:r>
      <w:r w:rsidR="00811E91" w:rsidRPr="00BE2697">
        <w:rPr>
          <w:rFonts w:ascii="Arial" w:hAnsi="Arial" w:cs="Arial"/>
          <w:sz w:val="22"/>
        </w:rPr>
        <w:t xml:space="preserve"> not create or justify </w:t>
      </w:r>
      <w:r w:rsidR="008B188B" w:rsidRPr="00BE2697">
        <w:rPr>
          <w:rFonts w:ascii="Arial" w:hAnsi="Arial" w:cs="Arial"/>
          <w:sz w:val="22"/>
        </w:rPr>
        <w:t>a</w:t>
      </w:r>
      <w:r w:rsidR="00811E91" w:rsidRPr="00BE2697">
        <w:rPr>
          <w:rFonts w:ascii="Arial" w:hAnsi="Arial" w:cs="Arial"/>
          <w:sz w:val="22"/>
        </w:rPr>
        <w:t xml:space="preserve"> so-called</w:t>
      </w:r>
      <w:r w:rsidR="008B188B" w:rsidRPr="00BE2697">
        <w:rPr>
          <w:rFonts w:ascii="Arial" w:hAnsi="Arial" w:cs="Arial"/>
          <w:sz w:val="22"/>
        </w:rPr>
        <w:t xml:space="preserve"> </w:t>
      </w:r>
      <w:r w:rsidR="00811E91" w:rsidRPr="00BE2697">
        <w:rPr>
          <w:rFonts w:ascii="Arial" w:hAnsi="Arial" w:cs="Arial"/>
          <w:sz w:val="22"/>
        </w:rPr>
        <w:t>“</w:t>
      </w:r>
      <w:r w:rsidR="008B188B" w:rsidRPr="00BE2697">
        <w:rPr>
          <w:rFonts w:ascii="Arial" w:hAnsi="Arial" w:cs="Arial"/>
          <w:sz w:val="22"/>
        </w:rPr>
        <w:t>right to abortion</w:t>
      </w:r>
      <w:r w:rsidR="00811E91" w:rsidRPr="00BE2697">
        <w:rPr>
          <w:rFonts w:ascii="Arial" w:hAnsi="Arial" w:cs="Arial"/>
          <w:sz w:val="22"/>
        </w:rPr>
        <w:t>” in international law</w:t>
      </w:r>
      <w:r w:rsidR="00075036" w:rsidRPr="00BE2697">
        <w:rPr>
          <w:rFonts w:ascii="Arial" w:hAnsi="Arial" w:cs="Arial"/>
          <w:sz w:val="22"/>
        </w:rPr>
        <w:t>, and in fact such a right to abortion would put more women at risk</w:t>
      </w:r>
      <w:r w:rsidR="008B188B" w:rsidRPr="00BE2697">
        <w:rPr>
          <w:rFonts w:ascii="Arial" w:hAnsi="Arial" w:cs="Arial"/>
          <w:sz w:val="22"/>
        </w:rPr>
        <w:t>.</w:t>
      </w:r>
    </w:p>
    <w:p w:rsidR="00584891" w:rsidRPr="00BE2697" w:rsidRDefault="00584891" w:rsidP="007B6F62">
      <w:pPr>
        <w:pStyle w:val="CourtNumberedpara"/>
        <w:spacing w:after="0" w:line="276" w:lineRule="auto"/>
        <w:jc w:val="both"/>
        <w:rPr>
          <w:rFonts w:ascii="Arial" w:hAnsi="Arial" w:cs="Arial"/>
          <w:sz w:val="22"/>
        </w:rPr>
      </w:pPr>
      <w:r w:rsidRPr="00BE2697">
        <w:rPr>
          <w:rFonts w:ascii="Arial" w:hAnsi="Arial" w:cs="Arial"/>
          <w:sz w:val="22"/>
        </w:rPr>
        <w:t xml:space="preserve">First, </w:t>
      </w:r>
      <w:r w:rsidR="003D2F90" w:rsidRPr="00BE2697">
        <w:rPr>
          <w:rFonts w:ascii="Arial" w:hAnsi="Arial" w:cs="Arial"/>
          <w:sz w:val="22"/>
        </w:rPr>
        <w:t xml:space="preserve">an ordinary reading of the text of the ICCPR does not find a right to abortion. There is no mention of abortion. Further, </w:t>
      </w:r>
      <w:r w:rsidRPr="00BE2697">
        <w:rPr>
          <w:rFonts w:ascii="Arial" w:hAnsi="Arial" w:cs="Arial"/>
          <w:sz w:val="22"/>
        </w:rPr>
        <w:t xml:space="preserve">the recognition of the unborn in the </w:t>
      </w:r>
      <w:r w:rsidR="00C738B1" w:rsidRPr="00BE2697">
        <w:rPr>
          <w:rFonts w:ascii="Arial" w:hAnsi="Arial" w:cs="Arial"/>
          <w:sz w:val="22"/>
        </w:rPr>
        <w:t xml:space="preserve">ICCPR and other international human rights instruments </w:t>
      </w:r>
      <w:r w:rsidRPr="00BE2697">
        <w:rPr>
          <w:rFonts w:ascii="Arial" w:hAnsi="Arial" w:cs="Arial"/>
          <w:sz w:val="22"/>
        </w:rPr>
        <w:t>is incompatible with a right to abortion.</w:t>
      </w:r>
      <w:r w:rsidR="00C738B1" w:rsidRPr="00BE2697">
        <w:rPr>
          <w:rFonts w:ascii="Arial" w:hAnsi="Arial" w:cs="Arial"/>
          <w:sz w:val="22"/>
        </w:rPr>
        <w:t xml:space="preserve"> The right to life of the unborn, </w:t>
      </w:r>
      <w:r w:rsidR="00622C12" w:rsidRPr="00BE2697">
        <w:rPr>
          <w:rFonts w:ascii="Arial" w:hAnsi="Arial" w:cs="Arial"/>
          <w:sz w:val="22"/>
        </w:rPr>
        <w:t>implicitly recognized in</w:t>
      </w:r>
      <w:r w:rsidR="00C738B1" w:rsidRPr="00BE2697">
        <w:rPr>
          <w:rFonts w:ascii="Arial" w:hAnsi="Arial" w:cs="Arial"/>
          <w:sz w:val="22"/>
        </w:rPr>
        <w:t xml:space="preserve"> Article 6, means that Article 6 or any other provision of the ICCPR cannot be understood as providing a categorical right to take the life of the unborn.</w:t>
      </w:r>
    </w:p>
    <w:p w:rsidR="00622C12" w:rsidRPr="00BE2697" w:rsidRDefault="00C738B1" w:rsidP="007B6F62">
      <w:pPr>
        <w:pStyle w:val="CourtNumberedpara"/>
        <w:spacing w:line="276" w:lineRule="auto"/>
        <w:jc w:val="both"/>
        <w:rPr>
          <w:rFonts w:ascii="Arial" w:hAnsi="Arial" w:cs="Arial"/>
          <w:sz w:val="22"/>
        </w:rPr>
      </w:pPr>
      <w:r w:rsidRPr="00BE2697">
        <w:rPr>
          <w:rFonts w:ascii="Arial" w:hAnsi="Arial" w:cs="Arial"/>
          <w:sz w:val="22"/>
        </w:rPr>
        <w:t xml:space="preserve">Nevertheless, abortion proponents argue that Article 6 itself provides justification for a so-called right to abortion within </w:t>
      </w:r>
      <w:r w:rsidR="00A1246E" w:rsidRPr="00BE2697">
        <w:rPr>
          <w:rFonts w:ascii="Arial" w:hAnsi="Arial" w:cs="Arial"/>
          <w:sz w:val="22"/>
        </w:rPr>
        <w:t xml:space="preserve">the ICCPR. The argument is that abortion must be </w:t>
      </w:r>
      <w:r w:rsidR="00A1246E" w:rsidRPr="00BE2697">
        <w:rPr>
          <w:rFonts w:ascii="Arial" w:hAnsi="Arial" w:cs="Arial"/>
          <w:sz w:val="22"/>
        </w:rPr>
        <w:lastRenderedPageBreak/>
        <w:t xml:space="preserve">available in the case </w:t>
      </w:r>
      <w:r w:rsidR="006F009F" w:rsidRPr="00BE2697">
        <w:rPr>
          <w:rFonts w:ascii="Arial" w:hAnsi="Arial" w:cs="Arial"/>
          <w:sz w:val="22"/>
        </w:rPr>
        <w:t>of a life-threatening pregnancy, or the woman’s right to life is violated.</w:t>
      </w:r>
    </w:p>
    <w:p w:rsidR="00A1246E" w:rsidRPr="00BE2697" w:rsidRDefault="006F009F" w:rsidP="007B6F62">
      <w:pPr>
        <w:pStyle w:val="CourtNumberedpara"/>
        <w:spacing w:line="276" w:lineRule="auto"/>
        <w:jc w:val="both"/>
        <w:rPr>
          <w:rFonts w:ascii="Arial" w:hAnsi="Arial" w:cs="Arial"/>
          <w:sz w:val="22"/>
        </w:rPr>
      </w:pPr>
      <w:r w:rsidRPr="00BE2697">
        <w:rPr>
          <w:rFonts w:ascii="Arial" w:hAnsi="Arial" w:cs="Arial"/>
          <w:sz w:val="22"/>
        </w:rPr>
        <w:t>In most cases i</w:t>
      </w:r>
      <w:r w:rsidR="00A1246E" w:rsidRPr="00BE2697">
        <w:rPr>
          <w:rFonts w:ascii="Arial" w:hAnsi="Arial" w:cs="Arial"/>
          <w:sz w:val="22"/>
        </w:rPr>
        <w:t>t is impossible to say with certainty that a pregnancy will result in the death of a woman</w:t>
      </w:r>
      <w:r w:rsidR="00622C12" w:rsidRPr="00BE2697">
        <w:rPr>
          <w:rFonts w:ascii="Arial" w:hAnsi="Arial" w:cs="Arial"/>
          <w:sz w:val="22"/>
        </w:rPr>
        <w:t xml:space="preserve">. It is also impossible to say with certainty </w:t>
      </w:r>
      <w:r w:rsidR="00A1246E" w:rsidRPr="00BE2697">
        <w:rPr>
          <w:rFonts w:ascii="Arial" w:hAnsi="Arial" w:cs="Arial"/>
          <w:sz w:val="22"/>
        </w:rPr>
        <w:t>that an abortion would save the woman’s life.</w:t>
      </w:r>
      <w:r w:rsidR="00622C12" w:rsidRPr="00BE2697">
        <w:rPr>
          <w:rFonts w:ascii="Arial" w:hAnsi="Arial" w:cs="Arial"/>
          <w:sz w:val="22"/>
        </w:rPr>
        <w:t xml:space="preserve"> </w:t>
      </w:r>
      <w:r w:rsidR="000B2BF5" w:rsidRPr="00BE2697">
        <w:rPr>
          <w:rFonts w:ascii="Arial" w:hAnsi="Arial" w:cs="Arial"/>
          <w:sz w:val="22"/>
        </w:rPr>
        <w:t xml:space="preserve">Creating a right based on uncertainty is imprudent, especially when it is certain that abortion will take the life of the unborn. </w:t>
      </w:r>
      <w:bookmarkStart w:id="0" w:name="_GoBack"/>
      <w:bookmarkEnd w:id="0"/>
      <w:r w:rsidR="00322AEC" w:rsidRPr="00BE2697">
        <w:rPr>
          <w:rFonts w:ascii="Arial" w:hAnsi="Arial" w:cs="Arial"/>
          <w:sz w:val="22"/>
        </w:rPr>
        <w:t>Instead</w:t>
      </w:r>
      <w:r w:rsidR="00622C12" w:rsidRPr="00BE2697">
        <w:rPr>
          <w:rFonts w:ascii="Arial" w:hAnsi="Arial" w:cs="Arial"/>
          <w:sz w:val="22"/>
        </w:rPr>
        <w:t>, a doctor c</w:t>
      </w:r>
      <w:r w:rsidR="00075036" w:rsidRPr="00BE2697">
        <w:rPr>
          <w:rFonts w:ascii="Arial" w:hAnsi="Arial" w:cs="Arial"/>
          <w:sz w:val="22"/>
        </w:rPr>
        <w:t>an</w:t>
      </w:r>
      <w:r w:rsidR="00622C12" w:rsidRPr="00BE2697">
        <w:rPr>
          <w:rFonts w:ascii="Arial" w:hAnsi="Arial" w:cs="Arial"/>
          <w:sz w:val="22"/>
        </w:rPr>
        <w:t xml:space="preserve"> </w:t>
      </w:r>
      <w:r w:rsidRPr="00BE2697">
        <w:rPr>
          <w:rFonts w:ascii="Arial" w:hAnsi="Arial" w:cs="Arial"/>
          <w:sz w:val="22"/>
        </w:rPr>
        <w:t xml:space="preserve">treat the pregnant woman while also taking care to </w:t>
      </w:r>
      <w:r w:rsidR="00322AEC" w:rsidRPr="00BE2697">
        <w:rPr>
          <w:rFonts w:ascii="Arial" w:hAnsi="Arial" w:cs="Arial"/>
          <w:sz w:val="22"/>
        </w:rPr>
        <w:t>preserve the life of the unborn, with the understanding that the life of the unborn may perish in the course of treatment</w:t>
      </w:r>
      <w:r w:rsidRPr="00BE2697">
        <w:rPr>
          <w:rFonts w:ascii="Arial" w:hAnsi="Arial" w:cs="Arial"/>
          <w:sz w:val="22"/>
        </w:rPr>
        <w:t>.</w:t>
      </w:r>
      <w:r w:rsidR="00322AEC" w:rsidRPr="00BE2697">
        <w:rPr>
          <w:rFonts w:ascii="Arial" w:hAnsi="Arial" w:cs="Arial"/>
          <w:sz w:val="22"/>
        </w:rPr>
        <w:t xml:space="preserve"> In this case, the goal </w:t>
      </w:r>
      <w:r w:rsidR="00075036" w:rsidRPr="00BE2697">
        <w:rPr>
          <w:rFonts w:ascii="Arial" w:hAnsi="Arial" w:cs="Arial"/>
          <w:sz w:val="22"/>
        </w:rPr>
        <w:t>i</w:t>
      </w:r>
      <w:r w:rsidR="00322AEC" w:rsidRPr="00BE2697">
        <w:rPr>
          <w:rFonts w:ascii="Arial" w:hAnsi="Arial" w:cs="Arial"/>
          <w:sz w:val="22"/>
        </w:rPr>
        <w:t>s never to take the life of the unborn, unlike with abortion.</w:t>
      </w:r>
    </w:p>
    <w:p w:rsidR="00322AEC" w:rsidRPr="00BE2697" w:rsidRDefault="006F009F" w:rsidP="007B6F62">
      <w:pPr>
        <w:pStyle w:val="CourtNumberedpara"/>
        <w:spacing w:line="276" w:lineRule="auto"/>
        <w:jc w:val="both"/>
      </w:pPr>
      <w:r w:rsidRPr="00BE2697">
        <w:rPr>
          <w:rFonts w:ascii="Arial" w:hAnsi="Arial" w:cs="Arial"/>
          <w:sz w:val="22"/>
        </w:rPr>
        <w:t xml:space="preserve">What </w:t>
      </w:r>
      <w:r w:rsidR="00322AEC" w:rsidRPr="00BE2697">
        <w:rPr>
          <w:rFonts w:ascii="Arial" w:hAnsi="Arial" w:cs="Arial"/>
          <w:sz w:val="22"/>
        </w:rPr>
        <w:t>“</w:t>
      </w:r>
      <w:r w:rsidRPr="00BE2697">
        <w:rPr>
          <w:rFonts w:ascii="Arial" w:hAnsi="Arial" w:cs="Arial"/>
          <w:sz w:val="22"/>
        </w:rPr>
        <w:t>life-threatening</w:t>
      </w:r>
      <w:r w:rsidR="00322AEC" w:rsidRPr="00BE2697">
        <w:rPr>
          <w:rFonts w:ascii="Arial" w:hAnsi="Arial" w:cs="Arial"/>
          <w:sz w:val="22"/>
        </w:rPr>
        <w:t>”</w:t>
      </w:r>
      <w:r w:rsidRPr="00BE2697">
        <w:rPr>
          <w:rFonts w:ascii="Arial" w:hAnsi="Arial" w:cs="Arial"/>
          <w:sz w:val="22"/>
        </w:rPr>
        <w:t xml:space="preserve"> means </w:t>
      </w:r>
      <w:r w:rsidR="00322AEC" w:rsidRPr="00BE2697">
        <w:rPr>
          <w:rFonts w:ascii="Arial" w:hAnsi="Arial" w:cs="Arial"/>
          <w:sz w:val="22"/>
        </w:rPr>
        <w:t xml:space="preserve">or may evolve to mean is also concerning. Given that “health” exceptions to abortion prohibitions are </w:t>
      </w:r>
      <w:r w:rsidR="001C581E" w:rsidRPr="00BE2697">
        <w:rPr>
          <w:rFonts w:ascii="Arial" w:hAnsi="Arial" w:cs="Arial"/>
          <w:sz w:val="22"/>
        </w:rPr>
        <w:t xml:space="preserve">broadly construed, often including </w:t>
      </w:r>
      <w:r w:rsidR="00075036" w:rsidRPr="00BE2697">
        <w:rPr>
          <w:rFonts w:ascii="Arial" w:hAnsi="Arial" w:cs="Arial"/>
          <w:sz w:val="22"/>
        </w:rPr>
        <w:t xml:space="preserve">nebulous concepts such as </w:t>
      </w:r>
      <w:r w:rsidR="001C581E" w:rsidRPr="00BE2697">
        <w:rPr>
          <w:rFonts w:ascii="Arial" w:hAnsi="Arial" w:cs="Arial"/>
          <w:sz w:val="22"/>
        </w:rPr>
        <w:t xml:space="preserve">emotional health, </w:t>
      </w:r>
      <w:r w:rsidRPr="00BE2697">
        <w:rPr>
          <w:rFonts w:ascii="Arial" w:hAnsi="Arial" w:cs="Arial"/>
          <w:sz w:val="22"/>
        </w:rPr>
        <w:t>i</w:t>
      </w:r>
      <w:r w:rsidR="001C581E" w:rsidRPr="00BE2697">
        <w:rPr>
          <w:rFonts w:ascii="Arial" w:hAnsi="Arial" w:cs="Arial"/>
          <w:sz w:val="22"/>
        </w:rPr>
        <w:t>t is possible that a “life” exception would eventually be so broad a</w:t>
      </w:r>
      <w:r w:rsidRPr="00BE2697">
        <w:rPr>
          <w:rFonts w:ascii="Arial" w:hAnsi="Arial" w:cs="Arial"/>
          <w:sz w:val="22"/>
        </w:rPr>
        <w:t xml:space="preserve">s </w:t>
      </w:r>
      <w:r w:rsidR="001C581E" w:rsidRPr="00BE2697">
        <w:rPr>
          <w:rFonts w:ascii="Arial" w:hAnsi="Arial" w:cs="Arial"/>
          <w:sz w:val="22"/>
        </w:rPr>
        <w:t>to cover almost any situation. In this case, the right to life of the unborn is completely eroded</w:t>
      </w:r>
      <w:r w:rsidR="000A09E6">
        <w:rPr>
          <w:rFonts w:ascii="Arial" w:hAnsi="Arial" w:cs="Arial"/>
          <w:sz w:val="22"/>
        </w:rPr>
        <w:t>.</w:t>
      </w:r>
    </w:p>
    <w:p w:rsidR="00074DCA" w:rsidRDefault="00322AEC" w:rsidP="007B6F62">
      <w:pPr>
        <w:pStyle w:val="CourtNumberedpara"/>
        <w:spacing w:line="276" w:lineRule="auto"/>
        <w:jc w:val="both"/>
        <w:rPr>
          <w:rFonts w:ascii="Arial" w:hAnsi="Arial" w:cs="Arial"/>
          <w:sz w:val="22"/>
        </w:rPr>
      </w:pPr>
      <w:r w:rsidRPr="00BE2697">
        <w:rPr>
          <w:rFonts w:ascii="Arial" w:hAnsi="Arial" w:cs="Arial"/>
          <w:sz w:val="22"/>
        </w:rPr>
        <w:t xml:space="preserve">On a broader </w:t>
      </w:r>
      <w:r w:rsidR="003B2A9C" w:rsidRPr="00BE2697">
        <w:rPr>
          <w:rFonts w:ascii="Arial" w:hAnsi="Arial" w:cs="Arial"/>
          <w:sz w:val="22"/>
        </w:rPr>
        <w:t xml:space="preserve">community-wide </w:t>
      </w:r>
      <w:r w:rsidRPr="00BE2697">
        <w:rPr>
          <w:rFonts w:ascii="Arial" w:hAnsi="Arial" w:cs="Arial"/>
          <w:sz w:val="22"/>
        </w:rPr>
        <w:t>level, recognizing abortion as a human right and requiring abortion l</w:t>
      </w:r>
      <w:r w:rsidR="006F009F" w:rsidRPr="00BE2697">
        <w:rPr>
          <w:rFonts w:ascii="Arial" w:hAnsi="Arial" w:cs="Arial"/>
          <w:sz w:val="22"/>
        </w:rPr>
        <w:t>egal</w:t>
      </w:r>
      <w:r w:rsidRPr="00BE2697">
        <w:rPr>
          <w:rFonts w:ascii="Arial" w:hAnsi="Arial" w:cs="Arial"/>
          <w:sz w:val="22"/>
        </w:rPr>
        <w:t>ization</w:t>
      </w:r>
      <w:r w:rsidR="006F009F" w:rsidRPr="00BE2697">
        <w:rPr>
          <w:rFonts w:ascii="Arial" w:hAnsi="Arial" w:cs="Arial"/>
          <w:sz w:val="22"/>
        </w:rPr>
        <w:t xml:space="preserve"> </w:t>
      </w:r>
      <w:r w:rsidRPr="00BE2697">
        <w:rPr>
          <w:rFonts w:ascii="Arial" w:hAnsi="Arial" w:cs="Arial"/>
          <w:sz w:val="22"/>
        </w:rPr>
        <w:t xml:space="preserve">are not </w:t>
      </w:r>
      <w:r w:rsidR="006F009F" w:rsidRPr="00BE2697">
        <w:rPr>
          <w:rFonts w:ascii="Arial" w:hAnsi="Arial" w:cs="Arial"/>
          <w:sz w:val="22"/>
        </w:rPr>
        <w:t>solution</w:t>
      </w:r>
      <w:r w:rsidRPr="00BE2697">
        <w:rPr>
          <w:rFonts w:ascii="Arial" w:hAnsi="Arial" w:cs="Arial"/>
          <w:sz w:val="22"/>
        </w:rPr>
        <w:t>s</w:t>
      </w:r>
      <w:r w:rsidR="006F009F" w:rsidRPr="00BE2697">
        <w:rPr>
          <w:rFonts w:ascii="Arial" w:hAnsi="Arial" w:cs="Arial"/>
          <w:sz w:val="22"/>
        </w:rPr>
        <w:t xml:space="preserve"> to maternal mortality</w:t>
      </w:r>
      <w:r w:rsidR="00E05533" w:rsidRPr="00BE2697">
        <w:rPr>
          <w:rFonts w:ascii="Arial" w:hAnsi="Arial" w:cs="Arial"/>
          <w:sz w:val="22"/>
        </w:rPr>
        <w:t xml:space="preserve"> an</w:t>
      </w:r>
      <w:r w:rsidR="000A09E6">
        <w:rPr>
          <w:rFonts w:ascii="Arial" w:hAnsi="Arial" w:cs="Arial"/>
          <w:sz w:val="22"/>
        </w:rPr>
        <w:t>d do nothing to guarantee a woma</w:t>
      </w:r>
      <w:r w:rsidR="00E05533" w:rsidRPr="00BE2697">
        <w:rPr>
          <w:rFonts w:ascii="Arial" w:hAnsi="Arial" w:cs="Arial"/>
          <w:sz w:val="22"/>
        </w:rPr>
        <w:t>n’s right to life</w:t>
      </w:r>
      <w:r w:rsidR="006F009F" w:rsidRPr="00BE2697">
        <w:rPr>
          <w:rFonts w:ascii="Arial" w:hAnsi="Arial" w:cs="Arial"/>
          <w:sz w:val="22"/>
        </w:rPr>
        <w:t xml:space="preserve">. </w:t>
      </w:r>
    </w:p>
    <w:p w:rsidR="00322AEC" w:rsidRPr="00BE2697" w:rsidRDefault="00E05533" w:rsidP="007B6F62">
      <w:pPr>
        <w:pStyle w:val="CourtNumberedpara"/>
        <w:spacing w:line="276" w:lineRule="auto"/>
        <w:jc w:val="both"/>
        <w:rPr>
          <w:rFonts w:ascii="Arial" w:hAnsi="Arial" w:cs="Arial"/>
          <w:sz w:val="22"/>
        </w:rPr>
      </w:pPr>
      <w:r w:rsidRPr="00BE2697">
        <w:rPr>
          <w:rFonts w:ascii="Arial" w:hAnsi="Arial" w:cs="Arial"/>
          <w:sz w:val="22"/>
        </w:rPr>
        <w:t xml:space="preserve">First, </w:t>
      </w:r>
      <w:r w:rsidRPr="00BE2697">
        <w:rPr>
          <w:rFonts w:ascii="Arial" w:eastAsia="Calibri" w:hAnsi="Arial" w:cs="Arial"/>
          <w:sz w:val="22"/>
        </w:rPr>
        <w:t>l</w:t>
      </w:r>
      <w:r w:rsidR="00322AEC" w:rsidRPr="00BE2697">
        <w:rPr>
          <w:rFonts w:ascii="Arial" w:hAnsi="Arial" w:cs="Arial"/>
          <w:sz w:val="22"/>
        </w:rPr>
        <w:t xml:space="preserve">egalizing abortion does not guarantee that it becomes safe. A report by the </w:t>
      </w:r>
      <w:proofErr w:type="spellStart"/>
      <w:r w:rsidR="00322AEC" w:rsidRPr="00BE2697">
        <w:rPr>
          <w:rFonts w:ascii="Arial" w:hAnsi="Arial" w:cs="Arial"/>
          <w:sz w:val="22"/>
        </w:rPr>
        <w:t>Guttmacher</w:t>
      </w:r>
      <w:proofErr w:type="spellEnd"/>
      <w:r w:rsidR="00322AEC" w:rsidRPr="00BE2697">
        <w:rPr>
          <w:rFonts w:ascii="Arial" w:hAnsi="Arial" w:cs="Arial"/>
          <w:sz w:val="22"/>
        </w:rPr>
        <w:t xml:space="preserve"> Institute states, “</w:t>
      </w:r>
      <w:r w:rsidR="00322AEC" w:rsidRPr="00BE2697">
        <w:rPr>
          <w:rFonts w:ascii="Arial" w:eastAsia="Times New Roman" w:hAnsi="Arial" w:cs="Arial"/>
          <w:sz w:val="22"/>
        </w:rPr>
        <w:t xml:space="preserve">Changing the law </w:t>
      </w:r>
      <w:proofErr w:type="gramStart"/>
      <w:r w:rsidR="00322AEC" w:rsidRPr="00BE2697">
        <w:rPr>
          <w:rFonts w:ascii="Arial" w:eastAsia="Times New Roman" w:hAnsi="Arial" w:cs="Arial"/>
          <w:sz w:val="22"/>
        </w:rPr>
        <w:t>[ .</w:t>
      </w:r>
      <w:proofErr w:type="gramEnd"/>
      <w:r w:rsidR="00322AEC" w:rsidRPr="00BE2697">
        <w:rPr>
          <w:rFonts w:ascii="Arial" w:eastAsia="Times New Roman" w:hAnsi="Arial" w:cs="Arial"/>
          <w:sz w:val="22"/>
        </w:rPr>
        <w:t xml:space="preserve"> . . ] is no guarantee that unsafe abortion will cease to exist.”</w:t>
      </w:r>
      <w:r w:rsidR="00322AEC" w:rsidRPr="00BE2697">
        <w:rPr>
          <w:rStyle w:val="FootnoteReference"/>
          <w:rFonts w:ascii="Arial" w:hAnsi="Arial" w:cs="Arial"/>
          <w:sz w:val="22"/>
        </w:rPr>
        <w:footnoteReference w:id="33"/>
      </w:r>
      <w:r w:rsidR="00322AEC" w:rsidRPr="00BE2697">
        <w:rPr>
          <w:rFonts w:ascii="Arial" w:eastAsia="Times New Roman" w:hAnsi="Arial" w:cs="Arial"/>
          <w:sz w:val="22"/>
        </w:rPr>
        <w:t xml:space="preserve"> </w:t>
      </w:r>
      <w:r w:rsidR="00322AEC" w:rsidRPr="00BE2697">
        <w:rPr>
          <w:rFonts w:ascii="Arial" w:eastAsia="Calibri" w:hAnsi="Arial" w:cs="Arial"/>
          <w:sz w:val="22"/>
        </w:rPr>
        <w:t xml:space="preserve">Legalizing abortion normalizes it, making abortions more </w:t>
      </w:r>
      <w:r w:rsidRPr="00BE2697">
        <w:rPr>
          <w:rFonts w:ascii="Arial" w:eastAsia="Calibri" w:hAnsi="Arial" w:cs="Arial"/>
          <w:sz w:val="22"/>
        </w:rPr>
        <w:t xml:space="preserve">common. </w:t>
      </w:r>
      <w:r w:rsidR="003B2A9C" w:rsidRPr="00BE2697">
        <w:rPr>
          <w:rFonts w:ascii="Arial" w:eastAsia="Calibri" w:hAnsi="Arial" w:cs="Arial"/>
          <w:sz w:val="22"/>
        </w:rPr>
        <w:t xml:space="preserve">Recognizing a right to abortion </w:t>
      </w:r>
      <w:r w:rsidRPr="00BE2697">
        <w:rPr>
          <w:rFonts w:ascii="Arial" w:hAnsi="Arial" w:cs="Arial"/>
          <w:sz w:val="22"/>
        </w:rPr>
        <w:t>will not meet the needs of pregnant women in countries where the maternal mortality ratio is high, because women die during pregnancy and childbirth most commonly from sepsis and hemorrhage, which are</w:t>
      </w:r>
      <w:r w:rsidR="003B2A9C" w:rsidRPr="00BE2697">
        <w:rPr>
          <w:rFonts w:ascii="Arial" w:hAnsi="Arial" w:cs="Arial"/>
          <w:sz w:val="22"/>
        </w:rPr>
        <w:t xml:space="preserve"> also</w:t>
      </w:r>
      <w:r w:rsidRPr="00BE2697">
        <w:rPr>
          <w:rFonts w:ascii="Arial" w:hAnsi="Arial" w:cs="Arial"/>
          <w:sz w:val="22"/>
        </w:rPr>
        <w:t xml:space="preserve"> two of the main causes of abortion-related deaths.</w:t>
      </w:r>
      <w:r w:rsidRPr="00BE2697">
        <w:rPr>
          <w:rFonts w:ascii="Arial" w:eastAsia="Calibri" w:hAnsi="Arial" w:cs="Arial"/>
          <w:sz w:val="22"/>
        </w:rPr>
        <w:t xml:space="preserve"> </w:t>
      </w:r>
      <w:r w:rsidR="003B2A9C" w:rsidRPr="00BE2697">
        <w:rPr>
          <w:rFonts w:ascii="Arial" w:eastAsia="Calibri" w:hAnsi="Arial" w:cs="Arial"/>
          <w:sz w:val="22"/>
        </w:rPr>
        <w:t>The health care system infrastructure is already poor</w:t>
      </w:r>
      <w:r w:rsidR="002F133A" w:rsidRPr="00BE2697">
        <w:rPr>
          <w:rFonts w:ascii="Arial" w:eastAsia="Calibri" w:hAnsi="Arial" w:cs="Arial"/>
          <w:sz w:val="22"/>
        </w:rPr>
        <w:t xml:space="preserve"> in these countries</w:t>
      </w:r>
      <w:r w:rsidR="003B2A9C" w:rsidRPr="00BE2697">
        <w:rPr>
          <w:rFonts w:ascii="Arial" w:eastAsia="Calibri" w:hAnsi="Arial" w:cs="Arial"/>
          <w:sz w:val="22"/>
        </w:rPr>
        <w:t xml:space="preserve">, and more abortions </w:t>
      </w:r>
      <w:r w:rsidR="000A09E6">
        <w:rPr>
          <w:rFonts w:ascii="Arial" w:eastAsia="Calibri" w:hAnsi="Arial" w:cs="Arial"/>
          <w:sz w:val="22"/>
        </w:rPr>
        <w:t>may well</w:t>
      </w:r>
      <w:r w:rsidR="003B2A9C" w:rsidRPr="00BE2697">
        <w:rPr>
          <w:rFonts w:ascii="Arial" w:eastAsia="Calibri" w:hAnsi="Arial" w:cs="Arial"/>
          <w:sz w:val="22"/>
        </w:rPr>
        <w:t xml:space="preserve"> mean more </w:t>
      </w:r>
      <w:r w:rsidR="00075036" w:rsidRPr="00BE2697">
        <w:rPr>
          <w:rFonts w:ascii="Arial" w:eastAsia="Calibri" w:hAnsi="Arial" w:cs="Arial"/>
          <w:sz w:val="22"/>
        </w:rPr>
        <w:t xml:space="preserve">maternal </w:t>
      </w:r>
      <w:r w:rsidR="003B2A9C" w:rsidRPr="00BE2697">
        <w:rPr>
          <w:rFonts w:ascii="Arial" w:eastAsia="Calibri" w:hAnsi="Arial" w:cs="Arial"/>
          <w:sz w:val="22"/>
        </w:rPr>
        <w:t>deaths.</w:t>
      </w:r>
    </w:p>
    <w:p w:rsidR="00322AEC" w:rsidRPr="00BE2697" w:rsidRDefault="00322AEC" w:rsidP="007B6F62">
      <w:pPr>
        <w:pStyle w:val="CourtNumberedpara"/>
        <w:spacing w:line="276" w:lineRule="auto"/>
        <w:jc w:val="both"/>
        <w:rPr>
          <w:rFonts w:ascii="Arial" w:hAnsi="Arial" w:cs="Arial"/>
          <w:sz w:val="22"/>
        </w:rPr>
      </w:pPr>
      <w:r w:rsidRPr="00BE2697">
        <w:rPr>
          <w:rFonts w:ascii="Arial" w:hAnsi="Arial" w:cs="Arial"/>
          <w:sz w:val="22"/>
        </w:rPr>
        <w:t>Further, t</w:t>
      </w:r>
      <w:r w:rsidRPr="00BE2697">
        <w:rPr>
          <w:rFonts w:ascii="Arial" w:eastAsia="Calibri" w:hAnsi="Arial" w:cs="Arial"/>
          <w:sz w:val="22"/>
        </w:rPr>
        <w:t xml:space="preserve">he most recent evidence controverts the idea that </w:t>
      </w:r>
      <w:r w:rsidR="001C581E" w:rsidRPr="00BE2697">
        <w:rPr>
          <w:rFonts w:ascii="Arial" w:eastAsia="Calibri" w:hAnsi="Arial" w:cs="Arial"/>
          <w:sz w:val="22"/>
        </w:rPr>
        <w:t>a total prohibition on</w:t>
      </w:r>
      <w:r w:rsidRPr="00BE2697">
        <w:rPr>
          <w:rFonts w:ascii="Arial" w:eastAsia="Calibri" w:hAnsi="Arial" w:cs="Arial"/>
          <w:sz w:val="22"/>
        </w:rPr>
        <w:t xml:space="preserve"> abortion undermines maternal health. A major study published in the </w:t>
      </w:r>
      <w:r w:rsidRPr="00BE2697">
        <w:rPr>
          <w:rFonts w:ascii="Arial" w:eastAsia="Calibri" w:hAnsi="Arial" w:cs="Arial"/>
          <w:i/>
          <w:sz w:val="22"/>
        </w:rPr>
        <w:t xml:space="preserve">British Medical Journal </w:t>
      </w:r>
      <w:r w:rsidRPr="00BE2697">
        <w:rPr>
          <w:rFonts w:ascii="Arial" w:eastAsia="Calibri" w:hAnsi="Arial" w:cs="Arial"/>
          <w:sz w:val="22"/>
        </w:rPr>
        <w:t>this year concludes that States with “less permissive” abortion laws “exhibited consistently lower maternal mortality rates.”</w:t>
      </w:r>
      <w:r w:rsidRPr="00BE2697">
        <w:rPr>
          <w:rFonts w:ascii="Arial" w:eastAsia="Calibri" w:hAnsi="Arial" w:cs="Arial"/>
          <w:sz w:val="22"/>
          <w:vertAlign w:val="superscript"/>
        </w:rPr>
        <w:footnoteReference w:id="34"/>
      </w:r>
      <w:r w:rsidRPr="00BE2697">
        <w:rPr>
          <w:rFonts w:ascii="Arial" w:eastAsia="Calibri" w:hAnsi="Arial" w:cs="Arial"/>
          <w:sz w:val="22"/>
        </w:rPr>
        <w:t xml:space="preserve"> Although the study explains these differences in terms of other independent factors rather than in terms of abortion legislation itself, it nevertheless concludes, “No statistically independent effect was observed for abortion legislation, constitutional amendment or other covariates.”</w:t>
      </w:r>
      <w:r w:rsidRPr="00BE2697">
        <w:rPr>
          <w:rFonts w:ascii="Arial" w:eastAsia="Calibri" w:hAnsi="Arial" w:cs="Arial"/>
          <w:sz w:val="22"/>
          <w:vertAlign w:val="superscript"/>
        </w:rPr>
        <w:footnoteReference w:id="35"/>
      </w:r>
      <w:r w:rsidRPr="00BE2697">
        <w:rPr>
          <w:rFonts w:ascii="Arial" w:eastAsia="Calibri" w:hAnsi="Arial" w:cs="Arial"/>
          <w:sz w:val="22"/>
        </w:rPr>
        <w:t xml:space="preserve"> Because abortion legislation has no effect on maternal mortality, abortion need not be legalized to protect women’s health.</w:t>
      </w:r>
      <w:r w:rsidRPr="00BE2697">
        <w:rPr>
          <w:rFonts w:ascii="Arial" w:hAnsi="Arial" w:cs="Arial"/>
          <w:sz w:val="22"/>
        </w:rPr>
        <w:t xml:space="preserve"> </w:t>
      </w:r>
    </w:p>
    <w:p w:rsidR="00322AEC" w:rsidRPr="00BE2697" w:rsidRDefault="00322AEC"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lastRenderedPageBreak/>
        <w:t>Case studies of three nations—Ireland, Malta, and Chile—are particularly relevant on the point</w:t>
      </w:r>
      <w:r w:rsidR="001C581E" w:rsidRPr="00BE2697">
        <w:rPr>
          <w:rFonts w:ascii="Arial" w:eastAsia="Calibri" w:hAnsi="Arial" w:cs="Arial"/>
          <w:sz w:val="22"/>
        </w:rPr>
        <w:t>.</w:t>
      </w:r>
    </w:p>
    <w:p w:rsidR="00322AEC" w:rsidRPr="00BE2697" w:rsidRDefault="00322AEC"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According to the World Health Organization, Ireland is </w:t>
      </w:r>
      <w:r w:rsidR="00160600" w:rsidRPr="00BE2697">
        <w:rPr>
          <w:rFonts w:ascii="Arial" w:eastAsia="Calibri" w:hAnsi="Arial" w:cs="Arial"/>
          <w:sz w:val="22"/>
        </w:rPr>
        <w:t xml:space="preserve">one of </w:t>
      </w:r>
      <w:r w:rsidRPr="00BE2697">
        <w:rPr>
          <w:rFonts w:ascii="Arial" w:eastAsia="Calibri" w:hAnsi="Arial" w:cs="Arial"/>
          <w:sz w:val="22"/>
        </w:rPr>
        <w:t>the safest place</w:t>
      </w:r>
      <w:r w:rsidR="00160600" w:rsidRPr="00BE2697">
        <w:rPr>
          <w:rFonts w:ascii="Arial" w:eastAsia="Calibri" w:hAnsi="Arial" w:cs="Arial"/>
          <w:sz w:val="22"/>
        </w:rPr>
        <w:t>s</w:t>
      </w:r>
      <w:r w:rsidRPr="00BE2697">
        <w:rPr>
          <w:rFonts w:ascii="Arial" w:eastAsia="Calibri" w:hAnsi="Arial" w:cs="Arial"/>
          <w:sz w:val="22"/>
        </w:rPr>
        <w:t xml:space="preserve"> in the world for an expectant mother to give birth. After banning almost all abortions in 1983, the country strengthened its focus on providing high</w:t>
      </w:r>
      <w:r w:rsidR="00160600" w:rsidRPr="00BE2697">
        <w:rPr>
          <w:rFonts w:ascii="Arial" w:eastAsia="Calibri" w:hAnsi="Arial" w:cs="Arial"/>
          <w:sz w:val="22"/>
        </w:rPr>
        <w:t>-</w:t>
      </w:r>
      <w:r w:rsidRPr="00BE2697">
        <w:rPr>
          <w:rFonts w:ascii="Arial" w:eastAsia="Calibri" w:hAnsi="Arial" w:cs="Arial"/>
          <w:sz w:val="22"/>
        </w:rPr>
        <w:t>quality prenatal care and rose to become an international model in women’s health. UNICEF ranked the country number 1 in 2005 and number 3 in 2008 for the lowest global maternal mortality rate. Richly documented evidence reveals that, in an emergency, Irish doctors will go to virtually any length to save the lives of both mother and baby, and have succeeding in doing so—thus demonstrating that it is possible to protect them both.</w:t>
      </w:r>
    </w:p>
    <w:p w:rsidR="00074DCA" w:rsidRDefault="00322AEC"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Similarly, following the total prohibition of abortion in 1989, Chile experienced a steep decline in the number of maternal deaths (69.2 percent).</w:t>
      </w:r>
      <w:r w:rsidRPr="00BE2697">
        <w:rPr>
          <w:rStyle w:val="FootnoteReference"/>
          <w:rFonts w:ascii="Arial" w:eastAsia="Calibri" w:hAnsi="Arial" w:cs="Arial"/>
          <w:sz w:val="22"/>
        </w:rPr>
        <w:footnoteReference w:id="36"/>
      </w:r>
      <w:r w:rsidRPr="00BE2697">
        <w:rPr>
          <w:rFonts w:ascii="Arial" w:eastAsia="Calibri" w:hAnsi="Arial" w:cs="Arial"/>
          <w:sz w:val="22"/>
        </w:rPr>
        <w:t xml:space="preserve"> Chile came to have the second-lowest maternal mortality ratio in the Western Hemisphere (after Canada).</w:t>
      </w:r>
    </w:p>
    <w:p w:rsidR="00322AEC" w:rsidRPr="00BE2697" w:rsidRDefault="00322AEC"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An unprecedented fifty-year analysis of maternity data from Chile reveals two essential facts. First, restricting access to abortion services does not negatively impact maternal mortality. In fact, prohibiting abortion in Chile resulted in significantly improved maternal health for the country by freeing up resources to care for mothers and babies. Second, the data make clear that women’s educational levels are the single most important factor in reducing mortality rates among mothers. The more educated a woman is, the greater her ability to access the health care resources available to her and thus </w:t>
      </w:r>
      <w:proofErr w:type="gramStart"/>
      <w:r w:rsidRPr="00BE2697">
        <w:rPr>
          <w:rFonts w:ascii="Arial" w:eastAsia="Calibri" w:hAnsi="Arial" w:cs="Arial"/>
          <w:sz w:val="22"/>
        </w:rPr>
        <w:t>go</w:t>
      </w:r>
      <w:proofErr w:type="gramEnd"/>
      <w:r w:rsidRPr="00BE2697">
        <w:rPr>
          <w:rFonts w:ascii="Arial" w:eastAsia="Calibri" w:hAnsi="Arial" w:cs="Arial"/>
          <w:sz w:val="22"/>
        </w:rPr>
        <w:t xml:space="preserve"> safely through pregnancy and childbirth.</w:t>
      </w:r>
    </w:p>
    <w:p w:rsidR="00322AEC" w:rsidRPr="00BE2697" w:rsidRDefault="00322AEC" w:rsidP="007B6F62">
      <w:pPr>
        <w:pStyle w:val="CourtNumberedpara"/>
        <w:spacing w:line="276" w:lineRule="auto"/>
        <w:jc w:val="both"/>
      </w:pPr>
      <w:r w:rsidRPr="00BE2697">
        <w:rPr>
          <w:rFonts w:ascii="Arial" w:eastAsia="Calibri" w:hAnsi="Arial" w:cs="Arial"/>
          <w:sz w:val="22"/>
        </w:rPr>
        <w:t>Malta, with one of the lowest maternal mortality rates in the world, is another one of the safest places to be pregnant. Abortion is illegal in Malta. Yet Malta boasts a maternal mortality ratio of 8, which is equal to or lower than that of 18 countries that allow abortion on demand and is exactly the same as Belgium, France and Switzerland.</w:t>
      </w:r>
    </w:p>
    <w:p w:rsidR="001C581E" w:rsidRPr="00074DCA" w:rsidRDefault="00E05533" w:rsidP="007B6F62">
      <w:pPr>
        <w:pStyle w:val="CourtNumberedpara"/>
        <w:spacing w:line="276" w:lineRule="auto"/>
        <w:jc w:val="both"/>
      </w:pPr>
      <w:r w:rsidRPr="00BE2697">
        <w:rPr>
          <w:rFonts w:ascii="Arial" w:eastAsia="Calibri" w:hAnsi="Arial" w:cs="Arial"/>
          <w:sz w:val="22"/>
        </w:rPr>
        <w:t>To improve maternal health and decrease the risks women have of dying during pregnancy or childbirth, the focus must be on providing the key interventions</w:t>
      </w:r>
      <w:r w:rsidR="003B2A9C" w:rsidRPr="00BE2697">
        <w:rPr>
          <w:rFonts w:ascii="Arial" w:eastAsia="Calibri" w:hAnsi="Arial" w:cs="Arial"/>
          <w:sz w:val="22"/>
        </w:rPr>
        <w:t xml:space="preserve"> necessary to get mother and baby safely through pregnancy and childbirth</w:t>
      </w:r>
      <w:r w:rsidR="002F133A" w:rsidRPr="00BE2697">
        <w:rPr>
          <w:rFonts w:ascii="Arial" w:eastAsia="Calibri" w:hAnsi="Arial" w:cs="Arial"/>
          <w:sz w:val="22"/>
        </w:rPr>
        <w:t>, not providing abortion</w:t>
      </w:r>
      <w:r w:rsidRPr="00BE2697">
        <w:rPr>
          <w:rFonts w:ascii="Arial" w:eastAsia="Calibri" w:hAnsi="Arial" w:cs="Arial"/>
          <w:sz w:val="22"/>
        </w:rPr>
        <w:t xml:space="preserve">. </w:t>
      </w:r>
      <w:r w:rsidR="001C581E" w:rsidRPr="00BE2697">
        <w:rPr>
          <w:rFonts w:ascii="Arial" w:hAnsi="Arial" w:cs="Arial"/>
          <w:sz w:val="22"/>
        </w:rPr>
        <w:t>Almost all maternal deaths are preventable,</w:t>
      </w:r>
      <w:r w:rsidR="001C581E" w:rsidRPr="00BE2697">
        <w:rPr>
          <w:rStyle w:val="FootnoteReference"/>
          <w:rFonts w:ascii="Arial" w:hAnsi="Arial" w:cs="Arial"/>
          <w:sz w:val="22"/>
        </w:rPr>
        <w:footnoteReference w:id="37"/>
      </w:r>
      <w:r w:rsidR="001C581E" w:rsidRPr="00BE2697">
        <w:rPr>
          <w:rFonts w:ascii="Arial" w:hAnsi="Arial" w:cs="Arial"/>
          <w:sz w:val="22"/>
        </w:rPr>
        <w:t xml:space="preserve"> particularly when skilled birth attendants are present to manage complications and the necessary drugs are available, such as oxytocin (to prevent hemorrhage) and magnesium sulfate (to treat pre-</w:t>
      </w:r>
      <w:proofErr w:type="spellStart"/>
      <w:r w:rsidR="001C581E" w:rsidRPr="00BE2697">
        <w:rPr>
          <w:rFonts w:ascii="Arial" w:hAnsi="Arial" w:cs="Arial"/>
          <w:sz w:val="22"/>
        </w:rPr>
        <w:t>eclampsia</w:t>
      </w:r>
      <w:proofErr w:type="spellEnd"/>
      <w:r w:rsidRPr="00BE2697">
        <w:rPr>
          <w:rFonts w:ascii="Arial" w:hAnsi="Arial" w:cs="Arial"/>
          <w:sz w:val="22"/>
        </w:rPr>
        <w:t>)</w:t>
      </w:r>
      <w:r w:rsidR="001C581E" w:rsidRPr="00BE2697">
        <w:rPr>
          <w:rFonts w:ascii="Arial" w:hAnsi="Arial" w:cs="Arial"/>
          <w:sz w:val="22"/>
        </w:rPr>
        <w:t>.</w:t>
      </w:r>
      <w:r w:rsidR="003B2A9C" w:rsidRPr="00BE2697">
        <w:rPr>
          <w:rFonts w:ascii="Arial" w:hAnsi="Arial" w:cs="Arial"/>
          <w:sz w:val="22"/>
        </w:rPr>
        <w:t xml:space="preserve"> Focusing on abortion legalization and liberalization of abortion laws takes money</w:t>
      </w:r>
      <w:r w:rsidR="002F133A" w:rsidRPr="00BE2697">
        <w:rPr>
          <w:rFonts w:ascii="Arial" w:hAnsi="Arial" w:cs="Arial"/>
          <w:sz w:val="22"/>
        </w:rPr>
        <w:t>, manpower, and other resources</w:t>
      </w:r>
      <w:r w:rsidR="003B2A9C" w:rsidRPr="00BE2697">
        <w:rPr>
          <w:rFonts w:ascii="Arial" w:hAnsi="Arial" w:cs="Arial"/>
          <w:sz w:val="22"/>
        </w:rPr>
        <w:t xml:space="preserve"> away from these life-saving maternal health </w:t>
      </w:r>
      <w:r w:rsidR="002F133A" w:rsidRPr="00BE2697">
        <w:rPr>
          <w:rFonts w:ascii="Arial" w:hAnsi="Arial" w:cs="Arial"/>
          <w:sz w:val="22"/>
        </w:rPr>
        <w:t>interventions</w:t>
      </w:r>
      <w:r w:rsidR="003B2A9C" w:rsidRPr="00BE2697">
        <w:rPr>
          <w:rFonts w:ascii="Arial" w:hAnsi="Arial" w:cs="Arial"/>
          <w:sz w:val="22"/>
        </w:rPr>
        <w:t>.</w:t>
      </w:r>
    </w:p>
    <w:p w:rsidR="00074DCA" w:rsidRPr="00BE2697" w:rsidRDefault="00074DCA" w:rsidP="00074DCA">
      <w:pPr>
        <w:pStyle w:val="CourtNumberedpara"/>
        <w:numPr>
          <w:ilvl w:val="0"/>
          <w:numId w:val="0"/>
        </w:numPr>
        <w:spacing w:line="276" w:lineRule="auto"/>
        <w:ind w:left="792"/>
        <w:jc w:val="both"/>
      </w:pPr>
    </w:p>
    <w:p w:rsidR="00CC661A" w:rsidRPr="00BE2697" w:rsidRDefault="00CC661A" w:rsidP="00E91F71">
      <w:pPr>
        <w:pStyle w:val="ListParagraph"/>
        <w:numPr>
          <w:ilvl w:val="0"/>
          <w:numId w:val="6"/>
        </w:numPr>
        <w:spacing w:line="276" w:lineRule="auto"/>
        <w:jc w:val="both"/>
        <w:rPr>
          <w:rFonts w:ascii="Arial" w:hAnsi="Arial" w:cs="Arial"/>
          <w:b/>
          <w:sz w:val="22"/>
        </w:rPr>
      </w:pPr>
      <w:r w:rsidRPr="00BE2697">
        <w:rPr>
          <w:rFonts w:ascii="Arial" w:hAnsi="Arial" w:cs="Arial"/>
          <w:b/>
          <w:sz w:val="22"/>
        </w:rPr>
        <w:lastRenderedPageBreak/>
        <w:t>Conclusion</w:t>
      </w:r>
    </w:p>
    <w:p w:rsidR="00E76487" w:rsidRPr="00BE2697" w:rsidRDefault="002C2B1A" w:rsidP="007B6F62">
      <w:pPr>
        <w:pStyle w:val="CourtNumberedpara"/>
        <w:spacing w:line="276" w:lineRule="auto"/>
        <w:jc w:val="both"/>
        <w:rPr>
          <w:rFonts w:ascii="Arial" w:eastAsia="Calibri" w:hAnsi="Arial" w:cs="Arial"/>
          <w:sz w:val="22"/>
        </w:rPr>
      </w:pPr>
      <w:r w:rsidRPr="00BE2697">
        <w:rPr>
          <w:rFonts w:ascii="Arial" w:hAnsi="Arial" w:cs="Arial"/>
          <w:sz w:val="22"/>
        </w:rPr>
        <w:t xml:space="preserve">The ICCPR implicitly recognizes the right to life of the unborn, which is reinforced by the recognition of the unborn in other international human rights treaties and national legal provisions. </w:t>
      </w:r>
      <w:r w:rsidR="00EF3FFD" w:rsidRPr="00BE2697">
        <w:rPr>
          <w:rFonts w:ascii="Arial" w:hAnsi="Arial" w:cs="Arial"/>
          <w:sz w:val="22"/>
        </w:rPr>
        <w:t>While a</w:t>
      </w:r>
      <w:r w:rsidR="0078217C" w:rsidRPr="00BE2697">
        <w:rPr>
          <w:rFonts w:ascii="Arial" w:hAnsi="Arial" w:cs="Arial"/>
          <w:sz w:val="22"/>
        </w:rPr>
        <w:t xml:space="preserve">bortion proponents claim that international human rights treaties, </w:t>
      </w:r>
      <w:r w:rsidR="000A09E6">
        <w:rPr>
          <w:rFonts w:ascii="Arial" w:hAnsi="Arial" w:cs="Arial"/>
          <w:sz w:val="22"/>
        </w:rPr>
        <w:t xml:space="preserve">including the ICCPR, contain a </w:t>
      </w:r>
      <w:r w:rsidR="0078217C" w:rsidRPr="00BE2697">
        <w:rPr>
          <w:rFonts w:ascii="Arial" w:hAnsi="Arial" w:cs="Arial"/>
          <w:sz w:val="22"/>
        </w:rPr>
        <w:t>right to abortion</w:t>
      </w:r>
      <w:r w:rsidR="00EF3FFD" w:rsidRPr="00BE2697">
        <w:rPr>
          <w:rFonts w:ascii="Arial" w:hAnsi="Arial" w:cs="Arial"/>
          <w:sz w:val="22"/>
        </w:rPr>
        <w:t>, there is no justification for this position within t</w:t>
      </w:r>
      <w:r w:rsidR="00C55A9A" w:rsidRPr="00BE2697">
        <w:rPr>
          <w:rFonts w:ascii="Arial" w:hAnsi="Arial" w:cs="Arial"/>
          <w:sz w:val="22"/>
        </w:rPr>
        <w:t>he ordinary meaning of the text</w:t>
      </w:r>
      <w:r w:rsidR="00AA10F6" w:rsidRPr="00BE2697">
        <w:rPr>
          <w:rFonts w:ascii="Arial" w:hAnsi="Arial" w:cs="Arial"/>
          <w:sz w:val="22"/>
        </w:rPr>
        <w:t xml:space="preserve">, and the idea that </w:t>
      </w:r>
      <w:r w:rsidR="0008482A">
        <w:rPr>
          <w:rFonts w:ascii="Arial" w:hAnsi="Arial" w:cs="Arial"/>
          <w:sz w:val="22"/>
        </w:rPr>
        <w:t xml:space="preserve">a </w:t>
      </w:r>
      <w:r w:rsidR="00AA10F6" w:rsidRPr="00BE2697">
        <w:rPr>
          <w:rFonts w:ascii="Arial" w:hAnsi="Arial" w:cs="Arial"/>
          <w:sz w:val="22"/>
        </w:rPr>
        <w:t>w</w:t>
      </w:r>
      <w:r w:rsidR="0008482A">
        <w:rPr>
          <w:rFonts w:ascii="Arial" w:hAnsi="Arial" w:cs="Arial"/>
          <w:sz w:val="22"/>
        </w:rPr>
        <w:t>o</w:t>
      </w:r>
      <w:r w:rsidR="00AA10F6" w:rsidRPr="00BE2697">
        <w:rPr>
          <w:rFonts w:ascii="Arial" w:hAnsi="Arial" w:cs="Arial"/>
          <w:sz w:val="22"/>
        </w:rPr>
        <w:t>m</w:t>
      </w:r>
      <w:r w:rsidR="0008482A">
        <w:rPr>
          <w:rFonts w:ascii="Arial" w:hAnsi="Arial" w:cs="Arial"/>
          <w:sz w:val="22"/>
        </w:rPr>
        <w:t>a</w:t>
      </w:r>
      <w:r w:rsidR="00AA10F6" w:rsidRPr="00BE2697">
        <w:rPr>
          <w:rFonts w:ascii="Arial" w:hAnsi="Arial" w:cs="Arial"/>
          <w:sz w:val="22"/>
        </w:rPr>
        <w:t xml:space="preserve">n’s right to life would be protected by abortion </w:t>
      </w:r>
      <w:r w:rsidR="0008482A">
        <w:rPr>
          <w:rFonts w:ascii="Arial" w:hAnsi="Arial" w:cs="Arial"/>
          <w:sz w:val="22"/>
        </w:rPr>
        <w:t xml:space="preserve">on demand </w:t>
      </w:r>
      <w:r w:rsidR="00AA10F6" w:rsidRPr="00BE2697">
        <w:rPr>
          <w:rFonts w:ascii="Arial" w:hAnsi="Arial" w:cs="Arial"/>
          <w:sz w:val="22"/>
        </w:rPr>
        <w:t>is tenuous</w:t>
      </w:r>
      <w:r w:rsidR="00140E3D" w:rsidRPr="00BE2697">
        <w:rPr>
          <w:rFonts w:ascii="Arial" w:hAnsi="Arial" w:cs="Arial"/>
          <w:sz w:val="22"/>
        </w:rPr>
        <w:t>.</w:t>
      </w:r>
      <w:r w:rsidR="00E76487" w:rsidRPr="00BE2697">
        <w:rPr>
          <w:rFonts w:ascii="Arial" w:hAnsi="Arial" w:cs="Arial"/>
          <w:sz w:val="22"/>
        </w:rPr>
        <w:t xml:space="preserve"> </w:t>
      </w:r>
    </w:p>
    <w:p w:rsidR="007E22EE" w:rsidRPr="00BE2697" w:rsidRDefault="007E22EE" w:rsidP="007B6F62">
      <w:pPr>
        <w:spacing w:line="276" w:lineRule="auto"/>
        <w:jc w:val="both"/>
        <w:rPr>
          <w:rFonts w:ascii="Arial" w:eastAsia="Calibri" w:hAnsi="Arial" w:cs="Arial"/>
          <w:b/>
          <w:sz w:val="22"/>
        </w:rPr>
      </w:pPr>
      <w:r w:rsidRPr="00BE2697">
        <w:rPr>
          <w:rFonts w:ascii="Arial" w:eastAsia="Calibri" w:hAnsi="Arial" w:cs="Arial"/>
          <w:b/>
          <w:sz w:val="22"/>
        </w:rPr>
        <w:t xml:space="preserve">II. The </w:t>
      </w:r>
      <w:r w:rsidR="00107570" w:rsidRPr="00BE2697">
        <w:rPr>
          <w:rFonts w:ascii="Arial" w:eastAsia="Calibri" w:hAnsi="Arial" w:cs="Arial"/>
          <w:b/>
          <w:sz w:val="22"/>
        </w:rPr>
        <w:t xml:space="preserve">Relationship </w:t>
      </w:r>
      <w:r w:rsidR="007B6F62">
        <w:rPr>
          <w:rFonts w:ascii="Arial" w:eastAsia="Calibri" w:hAnsi="Arial" w:cs="Arial"/>
          <w:b/>
          <w:sz w:val="22"/>
        </w:rPr>
        <w:t>b</w:t>
      </w:r>
      <w:r w:rsidR="00107570" w:rsidRPr="00BE2697">
        <w:rPr>
          <w:rFonts w:ascii="Arial" w:eastAsia="Calibri" w:hAnsi="Arial" w:cs="Arial"/>
          <w:b/>
          <w:sz w:val="22"/>
        </w:rPr>
        <w:t xml:space="preserve">etween </w:t>
      </w:r>
      <w:r w:rsidRPr="00BE2697">
        <w:rPr>
          <w:rFonts w:ascii="Arial" w:eastAsia="Calibri" w:hAnsi="Arial" w:cs="Arial"/>
          <w:b/>
          <w:sz w:val="22"/>
        </w:rPr>
        <w:t xml:space="preserve">the </w:t>
      </w:r>
      <w:r w:rsidR="00107570" w:rsidRPr="00BE2697">
        <w:rPr>
          <w:rFonts w:ascii="Arial" w:eastAsia="Calibri" w:hAnsi="Arial" w:cs="Arial"/>
          <w:b/>
          <w:sz w:val="22"/>
        </w:rPr>
        <w:t xml:space="preserve">Right </w:t>
      </w:r>
      <w:r w:rsidRPr="00BE2697">
        <w:rPr>
          <w:rFonts w:ascii="Arial" w:eastAsia="Calibri" w:hAnsi="Arial" w:cs="Arial"/>
          <w:b/>
          <w:sz w:val="22"/>
        </w:rPr>
        <w:t xml:space="preserve">to </w:t>
      </w:r>
      <w:r w:rsidR="00107570" w:rsidRPr="00BE2697">
        <w:rPr>
          <w:rFonts w:ascii="Arial" w:eastAsia="Calibri" w:hAnsi="Arial" w:cs="Arial"/>
          <w:b/>
          <w:sz w:val="22"/>
        </w:rPr>
        <w:t xml:space="preserve">Life </w:t>
      </w:r>
      <w:r w:rsidRPr="00BE2697">
        <w:rPr>
          <w:rFonts w:ascii="Arial" w:eastAsia="Calibri" w:hAnsi="Arial" w:cs="Arial"/>
          <w:b/>
          <w:sz w:val="22"/>
        </w:rPr>
        <w:t>and the “</w:t>
      </w:r>
      <w:r w:rsidR="00107570" w:rsidRPr="00BE2697">
        <w:rPr>
          <w:rFonts w:ascii="Arial" w:eastAsia="Calibri" w:hAnsi="Arial" w:cs="Arial"/>
          <w:b/>
          <w:sz w:val="22"/>
        </w:rPr>
        <w:t xml:space="preserve">Right </w:t>
      </w:r>
      <w:r w:rsidRPr="00BE2697">
        <w:rPr>
          <w:rFonts w:ascii="Arial" w:eastAsia="Calibri" w:hAnsi="Arial" w:cs="Arial"/>
          <w:b/>
          <w:sz w:val="22"/>
        </w:rPr>
        <w:t xml:space="preserve">to </w:t>
      </w:r>
      <w:r w:rsidR="00107570" w:rsidRPr="00BE2697">
        <w:rPr>
          <w:rFonts w:ascii="Arial" w:eastAsia="Calibri" w:hAnsi="Arial" w:cs="Arial"/>
          <w:b/>
          <w:sz w:val="22"/>
        </w:rPr>
        <w:t>Die</w:t>
      </w:r>
      <w:r w:rsidRPr="00BE2697">
        <w:rPr>
          <w:rFonts w:ascii="Arial" w:eastAsia="Calibri" w:hAnsi="Arial" w:cs="Arial"/>
          <w:b/>
          <w:sz w:val="22"/>
        </w:rPr>
        <w:t>”</w:t>
      </w:r>
    </w:p>
    <w:p w:rsidR="007E22EE" w:rsidRPr="00BE2697" w:rsidRDefault="007E22EE" w:rsidP="007B6F62">
      <w:pPr>
        <w:pStyle w:val="CourtNumberedpara"/>
        <w:spacing w:line="276" w:lineRule="auto"/>
        <w:jc w:val="both"/>
        <w:rPr>
          <w:rFonts w:ascii="Arial" w:hAnsi="Arial" w:cs="Arial"/>
          <w:sz w:val="22"/>
        </w:rPr>
      </w:pPr>
      <w:r w:rsidRPr="00BE2697">
        <w:rPr>
          <w:rFonts w:ascii="Arial" w:hAnsi="Arial" w:cs="Arial"/>
          <w:sz w:val="22"/>
        </w:rPr>
        <w:t>As the following section makes clear, the right to life, as recognized by Article 6</w:t>
      </w:r>
      <w:r w:rsidR="00F51B44" w:rsidRPr="00BE2697">
        <w:rPr>
          <w:rFonts w:ascii="Arial" w:hAnsi="Arial" w:cs="Arial"/>
          <w:sz w:val="22"/>
        </w:rPr>
        <w:t xml:space="preserve"> of the</w:t>
      </w:r>
      <w:r w:rsidRPr="00BE2697">
        <w:rPr>
          <w:rFonts w:ascii="Arial" w:hAnsi="Arial" w:cs="Arial"/>
          <w:sz w:val="22"/>
        </w:rPr>
        <w:t xml:space="preserve"> ICCPR and other regional human rights treaties, cannot be interpreted as including a diametrically opposed claim, namely a so-called “right to die</w:t>
      </w:r>
      <w:r w:rsidR="000C2AD1" w:rsidRPr="00BE2697">
        <w:rPr>
          <w:rFonts w:ascii="Arial" w:hAnsi="Arial" w:cs="Arial"/>
          <w:sz w:val="22"/>
        </w:rPr>
        <w:t>.</w:t>
      </w:r>
      <w:r w:rsidRPr="00BE2697">
        <w:rPr>
          <w:rFonts w:ascii="Arial" w:hAnsi="Arial" w:cs="Arial"/>
          <w:sz w:val="22"/>
        </w:rPr>
        <w:t>”</w:t>
      </w:r>
    </w:p>
    <w:p w:rsidR="007E22EE" w:rsidRPr="00BE2697" w:rsidRDefault="007E22EE" w:rsidP="00E91F71">
      <w:pPr>
        <w:numPr>
          <w:ilvl w:val="0"/>
          <w:numId w:val="8"/>
        </w:numPr>
        <w:spacing w:line="276" w:lineRule="auto"/>
        <w:contextualSpacing/>
        <w:jc w:val="both"/>
        <w:rPr>
          <w:rFonts w:ascii="Arial" w:eastAsia="Calibri" w:hAnsi="Arial" w:cs="Arial"/>
          <w:b/>
          <w:sz w:val="22"/>
        </w:rPr>
      </w:pPr>
      <w:r w:rsidRPr="00BE2697">
        <w:rPr>
          <w:rFonts w:ascii="Arial" w:eastAsia="Calibri" w:hAnsi="Arial" w:cs="Arial"/>
          <w:b/>
          <w:sz w:val="22"/>
        </w:rPr>
        <w:t>No Recognition of “Right to Die” within UN Treaties</w:t>
      </w:r>
    </w:p>
    <w:p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No international or regional human rights treaty provides any mention of a “right to die</w:t>
      </w:r>
      <w:r w:rsidR="000C2AD1" w:rsidRPr="00BE2697">
        <w:rPr>
          <w:rFonts w:ascii="Arial" w:eastAsia="Calibri" w:hAnsi="Arial" w:cs="Arial"/>
          <w:sz w:val="22"/>
        </w:rPr>
        <w:t>,</w:t>
      </w:r>
      <w:r w:rsidRPr="00BE2697">
        <w:rPr>
          <w:rFonts w:ascii="Arial" w:eastAsia="Calibri" w:hAnsi="Arial" w:cs="Arial"/>
          <w:sz w:val="22"/>
        </w:rPr>
        <w:t xml:space="preserve">” nor can such a “right” ever be inferred from the ordinary meaning of </w:t>
      </w:r>
      <w:r w:rsidR="006F3D78">
        <w:rPr>
          <w:rFonts w:ascii="Arial" w:eastAsia="Calibri" w:hAnsi="Arial" w:cs="Arial"/>
          <w:sz w:val="22"/>
        </w:rPr>
        <w:t>the</w:t>
      </w:r>
      <w:r w:rsidRPr="00BE2697">
        <w:rPr>
          <w:rFonts w:ascii="Arial" w:eastAsia="Calibri" w:hAnsi="Arial" w:cs="Arial"/>
          <w:sz w:val="22"/>
        </w:rPr>
        <w:t xml:space="preserve"> right to life</w:t>
      </w:r>
      <w:r w:rsidR="000C2AD1" w:rsidRPr="00BE2697">
        <w:rPr>
          <w:rFonts w:ascii="Arial" w:eastAsia="Calibri" w:hAnsi="Arial" w:cs="Arial"/>
          <w:sz w:val="22"/>
        </w:rPr>
        <w:t>.</w:t>
      </w:r>
    </w:p>
    <w:p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Article 6</w:t>
      </w:r>
      <w:r w:rsidR="000C2AD1" w:rsidRPr="00BE2697">
        <w:rPr>
          <w:rFonts w:ascii="Arial" w:eastAsia="Calibri" w:hAnsi="Arial" w:cs="Arial"/>
          <w:sz w:val="22"/>
        </w:rPr>
        <w:t>(</w:t>
      </w:r>
      <w:r w:rsidRPr="00BE2697">
        <w:rPr>
          <w:rFonts w:ascii="Arial" w:eastAsia="Calibri" w:hAnsi="Arial" w:cs="Arial"/>
          <w:sz w:val="22"/>
        </w:rPr>
        <w:t>1</w:t>
      </w:r>
      <w:r w:rsidR="000C2AD1" w:rsidRPr="00BE2697">
        <w:rPr>
          <w:rFonts w:ascii="Arial" w:eastAsia="Calibri" w:hAnsi="Arial" w:cs="Arial"/>
          <w:sz w:val="22"/>
        </w:rPr>
        <w:t>)</w:t>
      </w:r>
      <w:r w:rsidRPr="00BE2697">
        <w:rPr>
          <w:rFonts w:ascii="Arial" w:eastAsia="Calibri" w:hAnsi="Arial" w:cs="Arial"/>
          <w:sz w:val="22"/>
        </w:rPr>
        <w:t xml:space="preserve"> of the ICCPR states, “Every human being has the inherent right to life. This right shall be protected by law. No one shall be arbitrarily deprived of his life.” Article 6</w:t>
      </w:r>
      <w:r w:rsidR="000C2AD1" w:rsidRPr="00BE2697">
        <w:rPr>
          <w:rFonts w:ascii="Arial" w:eastAsia="Calibri" w:hAnsi="Arial" w:cs="Arial"/>
          <w:sz w:val="22"/>
        </w:rPr>
        <w:t>(</w:t>
      </w:r>
      <w:r w:rsidRPr="00BE2697">
        <w:rPr>
          <w:rFonts w:ascii="Arial" w:eastAsia="Calibri" w:hAnsi="Arial" w:cs="Arial"/>
          <w:sz w:val="22"/>
        </w:rPr>
        <w:t>1</w:t>
      </w:r>
      <w:r w:rsidR="000C2AD1" w:rsidRPr="00BE2697">
        <w:rPr>
          <w:rFonts w:ascii="Arial" w:eastAsia="Calibri" w:hAnsi="Arial" w:cs="Arial"/>
          <w:sz w:val="22"/>
        </w:rPr>
        <w:t>)</w:t>
      </w:r>
      <w:r w:rsidRPr="00BE2697">
        <w:rPr>
          <w:rFonts w:ascii="Arial" w:eastAsia="Calibri" w:hAnsi="Arial" w:cs="Arial"/>
          <w:sz w:val="22"/>
        </w:rPr>
        <w:t xml:space="preserve"> of the </w:t>
      </w:r>
      <w:r w:rsidR="007A21FC" w:rsidRPr="00BE2697">
        <w:rPr>
          <w:rFonts w:ascii="Arial" w:eastAsia="Calibri" w:hAnsi="Arial" w:cs="Arial"/>
          <w:sz w:val="22"/>
        </w:rPr>
        <w:t>CRC</w:t>
      </w:r>
      <w:r w:rsidRPr="00BE2697">
        <w:rPr>
          <w:rFonts w:ascii="Arial" w:eastAsia="Calibri" w:hAnsi="Arial" w:cs="Arial"/>
          <w:sz w:val="22"/>
        </w:rPr>
        <w:t xml:space="preserve"> states that “every child has the inherent right to life,” and makes no mention of a right to death. Article 10 of the Convention on the Rights of Persons with Disabilities </w:t>
      </w:r>
      <w:r w:rsidR="007A21FC" w:rsidRPr="00BE2697">
        <w:rPr>
          <w:rFonts w:ascii="Arial" w:eastAsia="Calibri" w:hAnsi="Arial" w:cs="Arial"/>
          <w:sz w:val="22"/>
        </w:rPr>
        <w:t xml:space="preserve">(CRPD) </w:t>
      </w:r>
      <w:r w:rsidRPr="00BE2697">
        <w:rPr>
          <w:rFonts w:ascii="Arial" w:eastAsia="Calibri" w:hAnsi="Arial" w:cs="Arial"/>
          <w:sz w:val="22"/>
        </w:rPr>
        <w:t xml:space="preserve">safeguards against, rather than recognizes, a right to death by stating, “States Parties reaffirm that every human being has the inherent right to life and shall take all necessary measures to ensure its effective enjoyment by persons with disabilities on an equal basis with others.” </w:t>
      </w:r>
    </w:p>
    <w:p w:rsidR="007E22EE" w:rsidRPr="00BE2697" w:rsidRDefault="006F3D78" w:rsidP="007B6F62">
      <w:pPr>
        <w:pStyle w:val="CourtNumberedpara"/>
        <w:spacing w:line="276" w:lineRule="auto"/>
        <w:jc w:val="both"/>
        <w:rPr>
          <w:rFonts w:ascii="Arial" w:eastAsia="Calibri" w:hAnsi="Arial" w:cs="Arial"/>
          <w:sz w:val="22"/>
        </w:rPr>
      </w:pPr>
      <w:r>
        <w:rPr>
          <w:rFonts w:ascii="Arial" w:eastAsia="Calibri" w:hAnsi="Arial" w:cs="Arial"/>
          <w:sz w:val="22"/>
        </w:rPr>
        <w:t xml:space="preserve">Rather than recognizing a “right to die”, </w:t>
      </w:r>
      <w:r w:rsidR="007E22EE" w:rsidRPr="00BE2697">
        <w:rPr>
          <w:rFonts w:ascii="Arial" w:eastAsia="Calibri" w:hAnsi="Arial" w:cs="Arial"/>
          <w:sz w:val="22"/>
        </w:rPr>
        <w:t xml:space="preserve">UN treaties implicitly reject </w:t>
      </w:r>
      <w:r>
        <w:rPr>
          <w:rFonts w:ascii="Arial" w:eastAsia="Calibri" w:hAnsi="Arial" w:cs="Arial"/>
          <w:sz w:val="22"/>
        </w:rPr>
        <w:t>this notion</w:t>
      </w:r>
      <w:r w:rsidR="007E22EE" w:rsidRPr="00BE2697">
        <w:rPr>
          <w:rFonts w:ascii="Arial" w:eastAsia="Calibri" w:hAnsi="Arial" w:cs="Arial"/>
          <w:sz w:val="22"/>
        </w:rPr>
        <w:t xml:space="preserve"> by including strong protections for the sick, disabled, and elderly – the people most often affected by the legalization of euthanasia and assisted suicide. For example, Article 11</w:t>
      </w:r>
      <w:r w:rsidR="000C02F5" w:rsidRPr="00BE2697">
        <w:rPr>
          <w:rFonts w:ascii="Arial" w:eastAsia="Calibri" w:hAnsi="Arial" w:cs="Arial"/>
          <w:sz w:val="22"/>
        </w:rPr>
        <w:t>(</w:t>
      </w:r>
      <w:r w:rsidR="007E22EE" w:rsidRPr="00BE2697">
        <w:rPr>
          <w:rFonts w:ascii="Arial" w:eastAsia="Calibri" w:hAnsi="Arial" w:cs="Arial"/>
          <w:sz w:val="22"/>
        </w:rPr>
        <w:t>1</w:t>
      </w:r>
      <w:proofErr w:type="gramStart"/>
      <w:r w:rsidR="000C02F5" w:rsidRPr="00BE2697">
        <w:rPr>
          <w:rFonts w:ascii="Arial" w:eastAsia="Calibri" w:hAnsi="Arial" w:cs="Arial"/>
          <w:sz w:val="22"/>
        </w:rPr>
        <w:t>)</w:t>
      </w:r>
      <w:r w:rsidR="007E22EE" w:rsidRPr="00BE2697">
        <w:rPr>
          <w:rFonts w:ascii="Arial" w:eastAsia="Calibri" w:hAnsi="Arial" w:cs="Arial"/>
          <w:sz w:val="22"/>
        </w:rPr>
        <w:t>(</w:t>
      </w:r>
      <w:proofErr w:type="gramEnd"/>
      <w:r w:rsidR="007E22EE" w:rsidRPr="00BE2697">
        <w:rPr>
          <w:rFonts w:ascii="Arial" w:eastAsia="Calibri" w:hAnsi="Arial" w:cs="Arial"/>
          <w:sz w:val="22"/>
        </w:rPr>
        <w:t xml:space="preserve">e) of the Convention on the Elimination of All Forms of Discrimination </w:t>
      </w:r>
      <w:r w:rsidR="000C02F5" w:rsidRPr="00BE2697">
        <w:rPr>
          <w:rFonts w:ascii="Arial" w:eastAsia="Calibri" w:hAnsi="Arial" w:cs="Arial"/>
          <w:sz w:val="22"/>
        </w:rPr>
        <w:t xml:space="preserve">against </w:t>
      </w:r>
      <w:r w:rsidR="007E22EE" w:rsidRPr="00BE2697">
        <w:rPr>
          <w:rFonts w:ascii="Arial" w:eastAsia="Calibri" w:hAnsi="Arial" w:cs="Arial"/>
          <w:sz w:val="22"/>
        </w:rPr>
        <w:t>Women</w:t>
      </w:r>
      <w:r w:rsidR="000C02F5" w:rsidRPr="00BE2697">
        <w:rPr>
          <w:rFonts w:ascii="Arial" w:eastAsia="Calibri" w:hAnsi="Arial" w:cs="Arial"/>
          <w:sz w:val="22"/>
        </w:rPr>
        <w:t xml:space="preserve"> (CEDAW)</w:t>
      </w:r>
      <w:r w:rsidR="007E22EE" w:rsidRPr="00BE2697">
        <w:rPr>
          <w:rFonts w:ascii="Arial" w:eastAsia="Calibri" w:hAnsi="Arial" w:cs="Arial"/>
          <w:sz w:val="22"/>
        </w:rPr>
        <w:t xml:space="preserve"> provides for the equal right of women to social security in old age and in sickness. Articles 25(b) and 28</w:t>
      </w:r>
      <w:r w:rsidR="000C02F5" w:rsidRPr="00BE2697">
        <w:rPr>
          <w:rFonts w:ascii="Arial" w:eastAsia="Calibri" w:hAnsi="Arial" w:cs="Arial"/>
          <w:sz w:val="22"/>
        </w:rPr>
        <w:t>(</w:t>
      </w:r>
      <w:r w:rsidR="007E22EE" w:rsidRPr="00BE2697">
        <w:rPr>
          <w:rFonts w:ascii="Arial" w:eastAsia="Calibri" w:hAnsi="Arial" w:cs="Arial"/>
          <w:sz w:val="22"/>
        </w:rPr>
        <w:t>2</w:t>
      </w:r>
      <w:r w:rsidR="000C02F5" w:rsidRPr="00BE2697">
        <w:rPr>
          <w:rFonts w:ascii="Arial" w:eastAsia="Calibri" w:hAnsi="Arial" w:cs="Arial"/>
          <w:sz w:val="22"/>
        </w:rPr>
        <w:t>)</w:t>
      </w:r>
      <w:r w:rsidR="007E22EE" w:rsidRPr="00BE2697">
        <w:rPr>
          <w:rFonts w:ascii="Arial" w:eastAsia="Calibri" w:hAnsi="Arial" w:cs="Arial"/>
          <w:sz w:val="22"/>
        </w:rPr>
        <w:t>(b) of the C</w:t>
      </w:r>
      <w:r w:rsidR="007A21FC" w:rsidRPr="00BE2697">
        <w:rPr>
          <w:rFonts w:ascii="Arial" w:eastAsia="Calibri" w:hAnsi="Arial" w:cs="Arial"/>
          <w:sz w:val="22"/>
        </w:rPr>
        <w:t>RPD</w:t>
      </w:r>
      <w:r w:rsidR="007E22EE" w:rsidRPr="00BE2697">
        <w:rPr>
          <w:rFonts w:ascii="Arial" w:eastAsia="Calibri" w:hAnsi="Arial" w:cs="Arial"/>
          <w:sz w:val="22"/>
        </w:rPr>
        <w:t xml:space="preserve"> call on States Parties to “provide those health services needed by persons with disabilities…” and “to ensure access by persons with disabilities, in particular women and girls with disabilities and older persons with disabilities, to social protection </w:t>
      </w:r>
      <w:proofErr w:type="spellStart"/>
      <w:r w:rsidR="007E22EE" w:rsidRPr="00BE2697">
        <w:rPr>
          <w:rFonts w:ascii="Arial" w:eastAsia="Calibri" w:hAnsi="Arial" w:cs="Arial"/>
          <w:sz w:val="22"/>
        </w:rPr>
        <w:t>programmes</w:t>
      </w:r>
      <w:proofErr w:type="spellEnd"/>
      <w:r w:rsidR="007E22EE" w:rsidRPr="00BE2697">
        <w:rPr>
          <w:rFonts w:ascii="Arial" w:eastAsia="Calibri" w:hAnsi="Arial" w:cs="Arial"/>
          <w:sz w:val="22"/>
        </w:rPr>
        <w:t xml:space="preserve"> and poverty reduction </w:t>
      </w:r>
      <w:proofErr w:type="spellStart"/>
      <w:r w:rsidR="007E22EE" w:rsidRPr="00BE2697">
        <w:rPr>
          <w:rFonts w:ascii="Arial" w:eastAsia="Calibri" w:hAnsi="Arial" w:cs="Arial"/>
          <w:sz w:val="22"/>
        </w:rPr>
        <w:t>programmes</w:t>
      </w:r>
      <w:proofErr w:type="spellEnd"/>
      <w:r w:rsidR="007E22EE" w:rsidRPr="00BE2697">
        <w:rPr>
          <w:rFonts w:ascii="Arial" w:eastAsia="Calibri" w:hAnsi="Arial" w:cs="Arial"/>
          <w:sz w:val="22"/>
        </w:rPr>
        <w:t xml:space="preserve">.” Article 23 of the </w:t>
      </w:r>
      <w:r w:rsidR="007A21FC" w:rsidRPr="00BE2697">
        <w:rPr>
          <w:rFonts w:ascii="Arial" w:eastAsia="Calibri" w:hAnsi="Arial" w:cs="Arial"/>
          <w:sz w:val="22"/>
        </w:rPr>
        <w:t>CRC</w:t>
      </w:r>
      <w:r w:rsidR="007E22EE" w:rsidRPr="00BE2697">
        <w:rPr>
          <w:rFonts w:ascii="Arial" w:eastAsia="Calibri" w:hAnsi="Arial" w:cs="Arial"/>
          <w:sz w:val="22"/>
        </w:rPr>
        <w:t xml:space="preserve"> recognizes that “a mentally or physically disabled child should enjoy a full and decent life, in conditions which ensure dignity, promote self-reliance and facilitate the child's active participation in the community.” </w:t>
      </w:r>
    </w:p>
    <w:p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Not only is there no mention of a “right to die” within UN treaties, the interpretation of these treaties over the course of several decades has not resulted in a single piece of support for euthanasia or assisted suicide. On the contrary, the UN treaty</w:t>
      </w:r>
      <w:r w:rsidR="001B00D0" w:rsidRPr="00BE2697">
        <w:rPr>
          <w:rFonts w:ascii="Arial" w:eastAsia="Calibri" w:hAnsi="Arial" w:cs="Arial"/>
          <w:sz w:val="22"/>
        </w:rPr>
        <w:t>-</w:t>
      </w:r>
      <w:r w:rsidRPr="00BE2697">
        <w:rPr>
          <w:rFonts w:ascii="Arial" w:eastAsia="Calibri" w:hAnsi="Arial" w:cs="Arial"/>
          <w:sz w:val="22"/>
        </w:rPr>
        <w:t xml:space="preserve">monitoring bodies have consistently expressed concern regarding the practice of euthanasia and assisted suicide in the small minority of countries where it is legal. For example, the </w:t>
      </w:r>
      <w:r w:rsidR="001B00D0" w:rsidRPr="00BE2697">
        <w:rPr>
          <w:rFonts w:ascii="Arial" w:eastAsia="Calibri" w:hAnsi="Arial" w:cs="Arial"/>
          <w:sz w:val="22"/>
        </w:rPr>
        <w:t xml:space="preserve">recent </w:t>
      </w:r>
      <w:r w:rsidRPr="00BE2697">
        <w:rPr>
          <w:rFonts w:ascii="Arial" w:eastAsia="Calibri" w:hAnsi="Arial" w:cs="Arial"/>
          <w:sz w:val="22"/>
        </w:rPr>
        <w:t xml:space="preserve">Concluding Observations of the Human Rights Committee </w:t>
      </w:r>
      <w:r w:rsidRPr="00BE2697">
        <w:rPr>
          <w:rFonts w:ascii="Arial" w:eastAsia="Calibri" w:hAnsi="Arial" w:cs="Arial"/>
          <w:sz w:val="22"/>
        </w:rPr>
        <w:lastRenderedPageBreak/>
        <w:t>on the Netherlands state</w:t>
      </w:r>
      <w:r w:rsidR="00D40FB6" w:rsidRPr="00BE2697">
        <w:rPr>
          <w:rFonts w:ascii="Arial" w:eastAsia="Calibri" w:hAnsi="Arial" w:cs="Arial"/>
          <w:sz w:val="22"/>
        </w:rPr>
        <w:t xml:space="preserve">, </w:t>
      </w:r>
      <w:r w:rsidRPr="00BE2697">
        <w:rPr>
          <w:rFonts w:ascii="Arial" w:eastAsia="Calibri" w:hAnsi="Arial" w:cs="Arial"/>
          <w:sz w:val="22"/>
        </w:rPr>
        <w:t xml:space="preserve">“The Committee remains concerned at the extent of euthanasia and assisted suicides in the State </w:t>
      </w:r>
      <w:proofErr w:type="gramStart"/>
      <w:r w:rsidRPr="00BE2697">
        <w:rPr>
          <w:rFonts w:ascii="Arial" w:eastAsia="Calibri" w:hAnsi="Arial" w:cs="Arial"/>
          <w:sz w:val="22"/>
        </w:rPr>
        <w:t>party</w:t>
      </w:r>
      <w:r w:rsidR="00FB716A" w:rsidRPr="00BE2697">
        <w:rPr>
          <w:rFonts w:ascii="Arial" w:eastAsia="Calibri" w:hAnsi="Arial" w:cs="Arial"/>
          <w:sz w:val="22"/>
        </w:rPr>
        <w:t>[</w:t>
      </w:r>
      <w:proofErr w:type="gramEnd"/>
      <w:r w:rsidR="00FB716A" w:rsidRPr="00BE2697">
        <w:rPr>
          <w:rFonts w:ascii="Arial" w:eastAsia="Calibri" w:hAnsi="Arial" w:cs="Arial"/>
          <w:sz w:val="22"/>
        </w:rPr>
        <w:t>.]</w:t>
      </w:r>
      <w:r w:rsidRPr="00BE2697">
        <w:rPr>
          <w:rFonts w:ascii="Arial" w:eastAsia="Calibri" w:hAnsi="Arial" w:cs="Arial"/>
          <w:sz w:val="22"/>
        </w:rPr>
        <w:t xml:space="preserve"> The Committee reiterates its previous recommendations in this regard and urges that this legislation be reviewed in light of the Covenant’s recognition of the right to life.”</w:t>
      </w:r>
      <w:r w:rsidRPr="00BE2697">
        <w:rPr>
          <w:rFonts w:ascii="Arial" w:eastAsia="Calibri" w:hAnsi="Arial" w:cs="Arial"/>
          <w:sz w:val="22"/>
          <w:vertAlign w:val="superscript"/>
        </w:rPr>
        <w:footnoteReference w:id="38"/>
      </w:r>
      <w:r w:rsidRPr="00BE2697">
        <w:rPr>
          <w:rFonts w:ascii="Arial" w:eastAsia="Calibri" w:hAnsi="Arial" w:cs="Arial"/>
          <w:sz w:val="22"/>
        </w:rPr>
        <w:t xml:space="preserve"> Many </w:t>
      </w:r>
      <w:r w:rsidR="00C45BD7" w:rsidRPr="00BE2697">
        <w:rPr>
          <w:rFonts w:ascii="Arial" w:eastAsia="Calibri" w:hAnsi="Arial" w:cs="Arial"/>
          <w:sz w:val="22"/>
        </w:rPr>
        <w:t>other UN treaty-</w:t>
      </w:r>
      <w:r w:rsidR="00D40FB6" w:rsidRPr="00BE2697">
        <w:rPr>
          <w:rFonts w:ascii="Arial" w:eastAsia="Calibri" w:hAnsi="Arial" w:cs="Arial"/>
          <w:sz w:val="22"/>
        </w:rPr>
        <w:t xml:space="preserve">monitoring bodies have made </w:t>
      </w:r>
      <w:r w:rsidRPr="00BE2697">
        <w:rPr>
          <w:rFonts w:ascii="Arial" w:eastAsia="Calibri" w:hAnsi="Arial" w:cs="Arial"/>
          <w:sz w:val="22"/>
        </w:rPr>
        <w:t>similar statements of concern</w:t>
      </w:r>
      <w:r w:rsidR="00D40FB6" w:rsidRPr="00BE2697">
        <w:rPr>
          <w:rFonts w:ascii="Arial" w:eastAsia="Calibri" w:hAnsi="Arial" w:cs="Arial"/>
          <w:sz w:val="22"/>
        </w:rPr>
        <w:t>.</w:t>
      </w:r>
      <w:r w:rsidRPr="00BE2697">
        <w:rPr>
          <w:rFonts w:ascii="Arial" w:eastAsia="Calibri" w:hAnsi="Arial" w:cs="Arial"/>
          <w:sz w:val="22"/>
          <w:vertAlign w:val="superscript"/>
        </w:rPr>
        <w:footnoteReference w:id="39"/>
      </w:r>
    </w:p>
    <w:p w:rsidR="007E22EE" w:rsidRPr="00BE2697" w:rsidRDefault="005E5CB0" w:rsidP="00E91F71">
      <w:pPr>
        <w:numPr>
          <w:ilvl w:val="0"/>
          <w:numId w:val="8"/>
        </w:numPr>
        <w:spacing w:line="276" w:lineRule="auto"/>
        <w:contextualSpacing/>
        <w:jc w:val="both"/>
        <w:rPr>
          <w:rFonts w:ascii="Arial" w:eastAsia="Calibri" w:hAnsi="Arial" w:cs="Arial"/>
          <w:b/>
          <w:sz w:val="22"/>
        </w:rPr>
      </w:pPr>
      <w:r w:rsidRPr="00BE2697">
        <w:rPr>
          <w:rFonts w:ascii="Arial" w:eastAsia="Calibri" w:hAnsi="Arial" w:cs="Arial"/>
          <w:b/>
          <w:sz w:val="22"/>
        </w:rPr>
        <w:t xml:space="preserve">Exclusion of </w:t>
      </w:r>
      <w:r w:rsidR="007E22EE" w:rsidRPr="00BE2697">
        <w:rPr>
          <w:rFonts w:ascii="Arial" w:eastAsia="Calibri" w:hAnsi="Arial" w:cs="Arial"/>
          <w:b/>
          <w:sz w:val="22"/>
        </w:rPr>
        <w:t>“Right to Die” from Meaning of Right to Life</w:t>
      </w:r>
    </w:p>
    <w:p w:rsidR="007E22EE" w:rsidRPr="00BE2697" w:rsidRDefault="00D40FB6"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Numerous regional human rights treaties recognize the </w:t>
      </w:r>
      <w:r w:rsidR="007E22EE" w:rsidRPr="00BE2697">
        <w:rPr>
          <w:rFonts w:ascii="Arial" w:eastAsia="Calibri" w:hAnsi="Arial" w:cs="Arial"/>
          <w:sz w:val="22"/>
        </w:rPr>
        <w:t>right to life, including Article 2 of the European Convention on Human Rights, Article 2 of the European Charter of Fundamental Rights, Article 4 of the American Convention on Human Rights, and Article 4 of the African Charter of Human and Peoples’ Rights – none of which mention or even hint at a “right to die</w:t>
      </w:r>
      <w:r w:rsidR="000C2AD1" w:rsidRPr="00BE2697">
        <w:rPr>
          <w:rFonts w:ascii="Arial" w:eastAsia="Calibri" w:hAnsi="Arial" w:cs="Arial"/>
          <w:sz w:val="22"/>
        </w:rPr>
        <w:t>.</w:t>
      </w:r>
      <w:r w:rsidR="007E22EE" w:rsidRPr="00BE2697">
        <w:rPr>
          <w:rFonts w:ascii="Arial" w:eastAsia="Calibri" w:hAnsi="Arial" w:cs="Arial"/>
          <w:sz w:val="22"/>
        </w:rPr>
        <w:t xml:space="preserve">” </w:t>
      </w:r>
    </w:p>
    <w:p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Of these provisions, Article 2 of the </w:t>
      </w:r>
      <w:r w:rsidR="007F771B">
        <w:rPr>
          <w:rFonts w:ascii="Arial" w:eastAsia="Calibri" w:hAnsi="Arial" w:cs="Arial"/>
          <w:sz w:val="22"/>
        </w:rPr>
        <w:t>ECHR</w:t>
      </w:r>
      <w:r w:rsidRPr="00BE2697">
        <w:rPr>
          <w:rFonts w:ascii="Arial" w:eastAsia="Calibri" w:hAnsi="Arial" w:cs="Arial"/>
          <w:sz w:val="22"/>
        </w:rPr>
        <w:t xml:space="preserve"> is the only provision in which a “right to die” has </w:t>
      </w:r>
      <w:r w:rsidR="006F3D78">
        <w:rPr>
          <w:rFonts w:ascii="Arial" w:eastAsia="Calibri" w:hAnsi="Arial" w:cs="Arial"/>
          <w:sz w:val="22"/>
        </w:rPr>
        <w:t xml:space="preserve">even </w:t>
      </w:r>
      <w:r w:rsidRPr="00BE2697">
        <w:rPr>
          <w:rFonts w:ascii="Arial" w:eastAsia="Calibri" w:hAnsi="Arial" w:cs="Arial"/>
          <w:sz w:val="22"/>
        </w:rPr>
        <w:t>been considered by a</w:t>
      </w:r>
      <w:r w:rsidR="006F3D78">
        <w:rPr>
          <w:rFonts w:ascii="Arial" w:eastAsia="Calibri" w:hAnsi="Arial" w:cs="Arial"/>
          <w:sz w:val="22"/>
        </w:rPr>
        <w:t>n international</w:t>
      </w:r>
      <w:r w:rsidRPr="00BE2697">
        <w:rPr>
          <w:rFonts w:ascii="Arial" w:eastAsia="Calibri" w:hAnsi="Arial" w:cs="Arial"/>
          <w:sz w:val="22"/>
        </w:rPr>
        <w:t xml:space="preserve"> court. </w:t>
      </w:r>
    </w:p>
    <w:p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According to the case law of the </w:t>
      </w:r>
      <w:proofErr w:type="spellStart"/>
      <w:r w:rsidR="007F771B">
        <w:rPr>
          <w:rFonts w:ascii="Arial" w:eastAsia="Calibri" w:hAnsi="Arial" w:cs="Arial"/>
          <w:sz w:val="22"/>
        </w:rPr>
        <w:t>ECtHR</w:t>
      </w:r>
      <w:proofErr w:type="spellEnd"/>
      <w:r w:rsidRPr="00BE2697">
        <w:rPr>
          <w:rFonts w:ascii="Arial" w:eastAsia="Calibri" w:hAnsi="Arial" w:cs="Arial"/>
          <w:sz w:val="22"/>
        </w:rPr>
        <w:t>, “Article 2 ranks as one of the most fundamental provisions in the Convention,” enshrining one of the basic values of the democratic societies that make up the Council of Europe.</w:t>
      </w:r>
      <w:r w:rsidRPr="00BE2697">
        <w:rPr>
          <w:rFonts w:ascii="Arial" w:eastAsia="Calibri" w:hAnsi="Arial" w:cs="Arial"/>
          <w:sz w:val="22"/>
          <w:vertAlign w:val="superscript"/>
        </w:rPr>
        <w:footnoteReference w:id="40"/>
      </w:r>
      <w:r w:rsidRPr="00BE2697">
        <w:rPr>
          <w:rFonts w:ascii="Arial" w:eastAsia="Calibri" w:hAnsi="Arial" w:cs="Arial"/>
          <w:sz w:val="22"/>
        </w:rPr>
        <w:t xml:space="preserve"> In addition to safeguarding the right to life, without which enjoyment of any of the other rights and freedoms in the </w:t>
      </w:r>
      <w:r w:rsidR="00D40FB6" w:rsidRPr="00BE2697">
        <w:rPr>
          <w:rFonts w:ascii="Arial" w:eastAsia="Calibri" w:hAnsi="Arial" w:cs="Arial"/>
          <w:sz w:val="22"/>
        </w:rPr>
        <w:t xml:space="preserve">ECHR </w:t>
      </w:r>
      <w:r w:rsidRPr="00BE2697">
        <w:rPr>
          <w:rFonts w:ascii="Arial" w:eastAsia="Calibri" w:hAnsi="Arial" w:cs="Arial"/>
          <w:sz w:val="22"/>
        </w:rPr>
        <w:t>are rendered nugatory,</w:t>
      </w:r>
      <w:r w:rsidRPr="00BE2697">
        <w:rPr>
          <w:rFonts w:ascii="Arial" w:eastAsia="Calibri" w:hAnsi="Arial" w:cs="Arial"/>
          <w:sz w:val="22"/>
          <w:vertAlign w:val="superscript"/>
        </w:rPr>
        <w:footnoteReference w:id="41"/>
      </w:r>
      <w:r w:rsidRPr="00BE2697">
        <w:rPr>
          <w:rFonts w:ascii="Arial" w:eastAsia="Calibri" w:hAnsi="Arial" w:cs="Arial"/>
          <w:sz w:val="22"/>
        </w:rPr>
        <w:t xml:space="preserve"> Article 2 sets out only very limited circumstances when deprivation of life may be justified, and the </w:t>
      </w:r>
      <w:proofErr w:type="spellStart"/>
      <w:r w:rsidR="005A15DC" w:rsidRPr="00BE2697">
        <w:rPr>
          <w:rFonts w:ascii="Arial" w:eastAsia="Calibri" w:hAnsi="Arial" w:cs="Arial"/>
          <w:sz w:val="22"/>
        </w:rPr>
        <w:t>ECtHR</w:t>
      </w:r>
      <w:proofErr w:type="spellEnd"/>
      <w:r w:rsidR="005A15DC" w:rsidRPr="00BE2697">
        <w:rPr>
          <w:rFonts w:ascii="Arial" w:eastAsia="Calibri" w:hAnsi="Arial" w:cs="Arial"/>
          <w:sz w:val="22"/>
        </w:rPr>
        <w:t xml:space="preserve"> </w:t>
      </w:r>
      <w:r w:rsidRPr="00BE2697">
        <w:rPr>
          <w:rFonts w:ascii="Arial" w:eastAsia="Calibri" w:hAnsi="Arial" w:cs="Arial"/>
          <w:sz w:val="22"/>
        </w:rPr>
        <w:t>has applied a strict scrutiny test when those exceptions have been invoked by respondent Governments.</w:t>
      </w:r>
      <w:r w:rsidRPr="00BE2697">
        <w:rPr>
          <w:rFonts w:ascii="Arial" w:eastAsia="Calibri" w:hAnsi="Arial" w:cs="Arial"/>
          <w:sz w:val="22"/>
          <w:vertAlign w:val="superscript"/>
        </w:rPr>
        <w:footnoteReference w:id="42"/>
      </w:r>
    </w:p>
    <w:p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However, the </w:t>
      </w:r>
      <w:proofErr w:type="spellStart"/>
      <w:r w:rsidR="00D40FB6" w:rsidRPr="00BE2697">
        <w:rPr>
          <w:rFonts w:ascii="Arial" w:eastAsia="Calibri" w:hAnsi="Arial" w:cs="Arial"/>
          <w:sz w:val="22"/>
        </w:rPr>
        <w:t>ECtHR</w:t>
      </w:r>
      <w:proofErr w:type="spellEnd"/>
      <w:r w:rsidR="00D40FB6" w:rsidRPr="00BE2697">
        <w:rPr>
          <w:rFonts w:ascii="Arial" w:eastAsia="Calibri" w:hAnsi="Arial" w:cs="Arial"/>
          <w:sz w:val="22"/>
        </w:rPr>
        <w:t xml:space="preserve"> </w:t>
      </w:r>
      <w:r w:rsidRPr="00BE2697">
        <w:rPr>
          <w:rFonts w:ascii="Arial" w:eastAsia="Calibri" w:hAnsi="Arial" w:cs="Arial"/>
          <w:sz w:val="22"/>
        </w:rPr>
        <w:t xml:space="preserve">has </w:t>
      </w:r>
      <w:r w:rsidR="006F3D78" w:rsidRPr="00BE2697">
        <w:rPr>
          <w:rFonts w:ascii="Arial" w:eastAsia="Calibri" w:hAnsi="Arial" w:cs="Arial"/>
          <w:sz w:val="22"/>
        </w:rPr>
        <w:t xml:space="preserve">further </w:t>
      </w:r>
      <w:r w:rsidRPr="00BE2697">
        <w:rPr>
          <w:rFonts w:ascii="Arial" w:eastAsia="Calibri" w:hAnsi="Arial" w:cs="Arial"/>
          <w:sz w:val="22"/>
        </w:rPr>
        <w:t xml:space="preserve">held that the first sentence of Article 2 </w:t>
      </w:r>
      <w:r w:rsidR="006F3D78">
        <w:rPr>
          <w:rFonts w:ascii="Arial" w:eastAsia="Calibri" w:hAnsi="Arial" w:cs="Arial"/>
          <w:sz w:val="22"/>
        </w:rPr>
        <w:t>(</w:t>
      </w:r>
      <w:r w:rsidRPr="00BE2697">
        <w:rPr>
          <w:rFonts w:ascii="Arial" w:eastAsia="Calibri" w:hAnsi="Arial" w:cs="Arial"/>
          <w:sz w:val="22"/>
        </w:rPr>
        <w:t>1</w:t>
      </w:r>
      <w:r w:rsidR="006F3D78">
        <w:rPr>
          <w:rFonts w:ascii="Arial" w:eastAsia="Calibri" w:hAnsi="Arial" w:cs="Arial"/>
          <w:sz w:val="22"/>
        </w:rPr>
        <w:t>)</w:t>
      </w:r>
      <w:r w:rsidRPr="00BE2697">
        <w:rPr>
          <w:rFonts w:ascii="Arial" w:eastAsia="Calibri" w:hAnsi="Arial" w:cs="Arial"/>
          <w:sz w:val="22"/>
        </w:rPr>
        <w:t xml:space="preserve"> enjoins the State not only to refrain from the intentional and unlawful taking of life, but also to take appropriate steps to safeguard the lives of those within its jurisdiction.</w:t>
      </w:r>
      <w:r w:rsidRPr="00BE2697">
        <w:rPr>
          <w:rFonts w:ascii="Arial" w:eastAsia="Calibri" w:hAnsi="Arial" w:cs="Arial"/>
          <w:sz w:val="22"/>
          <w:vertAlign w:val="superscript"/>
        </w:rPr>
        <w:footnoteReference w:id="43"/>
      </w:r>
      <w:r w:rsidRPr="00BE2697">
        <w:rPr>
          <w:rFonts w:ascii="Arial" w:eastAsia="Calibri" w:hAnsi="Arial" w:cs="Arial"/>
          <w:sz w:val="22"/>
        </w:rPr>
        <w:t xml:space="preserve"> Therefore, if there are positive obligations on the State, it is not to facilitate suicide, but to protect life. </w:t>
      </w:r>
    </w:p>
    <w:p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The </w:t>
      </w:r>
      <w:proofErr w:type="spellStart"/>
      <w:r w:rsidR="00D40FB6" w:rsidRPr="00BE2697">
        <w:rPr>
          <w:rFonts w:ascii="Arial" w:eastAsia="Calibri" w:hAnsi="Arial" w:cs="Arial"/>
          <w:sz w:val="22"/>
        </w:rPr>
        <w:t>ECtHR</w:t>
      </w:r>
      <w:proofErr w:type="spellEnd"/>
      <w:r w:rsidR="00D40FB6" w:rsidRPr="00BE2697">
        <w:rPr>
          <w:rFonts w:ascii="Arial" w:eastAsia="Calibri" w:hAnsi="Arial" w:cs="Arial"/>
          <w:sz w:val="22"/>
        </w:rPr>
        <w:t xml:space="preserve"> </w:t>
      </w:r>
      <w:r w:rsidRPr="00BE2697">
        <w:rPr>
          <w:rFonts w:ascii="Arial" w:eastAsia="Calibri" w:hAnsi="Arial" w:cs="Arial"/>
          <w:sz w:val="22"/>
        </w:rPr>
        <w:t xml:space="preserve">has only considered the so-called “right to die” under Article 2 of the </w:t>
      </w:r>
      <w:r w:rsidR="005A15DC" w:rsidRPr="00BE2697">
        <w:rPr>
          <w:rFonts w:ascii="Arial" w:eastAsia="Calibri" w:hAnsi="Arial" w:cs="Arial"/>
          <w:sz w:val="22"/>
        </w:rPr>
        <w:t xml:space="preserve">ECHR </w:t>
      </w:r>
      <w:r w:rsidRPr="00BE2697">
        <w:rPr>
          <w:rFonts w:ascii="Arial" w:eastAsia="Calibri" w:hAnsi="Arial" w:cs="Arial"/>
          <w:sz w:val="22"/>
        </w:rPr>
        <w:t xml:space="preserve">on two occasions. In the first case of </w:t>
      </w:r>
      <w:proofErr w:type="spellStart"/>
      <w:r w:rsidRPr="00BE2697">
        <w:rPr>
          <w:rFonts w:ascii="Arial" w:eastAsia="Calibri" w:hAnsi="Arial" w:cs="Arial"/>
          <w:i/>
          <w:sz w:val="22"/>
        </w:rPr>
        <w:t>Sanles</w:t>
      </w:r>
      <w:proofErr w:type="spellEnd"/>
      <w:r w:rsidRPr="00BE2697">
        <w:rPr>
          <w:rFonts w:ascii="Arial" w:eastAsia="Calibri" w:hAnsi="Arial" w:cs="Arial"/>
          <w:i/>
          <w:sz w:val="22"/>
        </w:rPr>
        <w:t xml:space="preserve"> </w:t>
      </w:r>
      <w:proofErr w:type="spellStart"/>
      <w:r w:rsidRPr="00BE2697">
        <w:rPr>
          <w:rFonts w:ascii="Arial" w:eastAsia="Calibri" w:hAnsi="Arial" w:cs="Arial"/>
          <w:i/>
          <w:sz w:val="22"/>
        </w:rPr>
        <w:t>Sanles</w:t>
      </w:r>
      <w:proofErr w:type="spellEnd"/>
      <w:r w:rsidRPr="00BE2697">
        <w:rPr>
          <w:rFonts w:ascii="Arial" w:eastAsia="Calibri" w:hAnsi="Arial" w:cs="Arial"/>
          <w:i/>
          <w:sz w:val="22"/>
        </w:rPr>
        <w:t xml:space="preserve"> v. Spain</w:t>
      </w:r>
      <w:r w:rsidRPr="00BE2697">
        <w:rPr>
          <w:rFonts w:ascii="Arial" w:eastAsia="Calibri" w:hAnsi="Arial" w:cs="Arial"/>
          <w:sz w:val="22"/>
        </w:rPr>
        <w:t>,</w:t>
      </w:r>
      <w:r w:rsidRPr="00BE2697">
        <w:rPr>
          <w:rFonts w:ascii="Arial" w:eastAsia="Calibri" w:hAnsi="Arial" w:cs="Arial"/>
          <w:sz w:val="22"/>
          <w:vertAlign w:val="superscript"/>
        </w:rPr>
        <w:footnoteReference w:id="44"/>
      </w:r>
      <w:r w:rsidRPr="00BE2697">
        <w:rPr>
          <w:rFonts w:ascii="Arial" w:eastAsia="Calibri" w:hAnsi="Arial" w:cs="Arial"/>
          <w:sz w:val="22"/>
        </w:rPr>
        <w:t xml:space="preserve"> the </w:t>
      </w:r>
      <w:proofErr w:type="spellStart"/>
      <w:r w:rsidR="00D40FB6" w:rsidRPr="00BE2697">
        <w:rPr>
          <w:rFonts w:ascii="Arial" w:eastAsia="Calibri" w:hAnsi="Arial" w:cs="Arial"/>
          <w:sz w:val="22"/>
        </w:rPr>
        <w:t>ECtHR</w:t>
      </w:r>
      <w:proofErr w:type="spellEnd"/>
      <w:r w:rsidR="00D40FB6" w:rsidRPr="00BE2697">
        <w:rPr>
          <w:rFonts w:ascii="Arial" w:eastAsia="Calibri" w:hAnsi="Arial" w:cs="Arial"/>
          <w:sz w:val="22"/>
        </w:rPr>
        <w:t xml:space="preserve"> </w:t>
      </w:r>
      <w:r w:rsidRPr="00BE2697">
        <w:rPr>
          <w:rFonts w:ascii="Arial" w:eastAsia="Calibri" w:hAnsi="Arial" w:cs="Arial"/>
          <w:sz w:val="22"/>
        </w:rPr>
        <w:t>dismissed the application as inadmissible. The case was later brought to the Human Rights Committee under the Optional First Protocol, where it was again dismissed as inadmissible.</w:t>
      </w:r>
      <w:r w:rsidRPr="00BE2697">
        <w:rPr>
          <w:rFonts w:ascii="Arial" w:eastAsia="Calibri" w:hAnsi="Arial" w:cs="Arial"/>
          <w:sz w:val="22"/>
          <w:vertAlign w:val="superscript"/>
        </w:rPr>
        <w:footnoteReference w:id="45"/>
      </w:r>
      <w:r w:rsidRPr="00BE2697">
        <w:rPr>
          <w:rFonts w:ascii="Arial" w:eastAsia="Calibri" w:hAnsi="Arial" w:cs="Arial"/>
          <w:sz w:val="22"/>
        </w:rPr>
        <w:t xml:space="preserve"> </w:t>
      </w:r>
    </w:p>
    <w:p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lastRenderedPageBreak/>
        <w:t xml:space="preserve">In 2002, the </w:t>
      </w:r>
      <w:proofErr w:type="spellStart"/>
      <w:r w:rsidR="00D40FB6" w:rsidRPr="00BE2697">
        <w:rPr>
          <w:rFonts w:ascii="Arial" w:eastAsia="Calibri" w:hAnsi="Arial" w:cs="Arial"/>
          <w:sz w:val="22"/>
        </w:rPr>
        <w:t>ECtHR</w:t>
      </w:r>
      <w:proofErr w:type="spellEnd"/>
      <w:r w:rsidR="00D40FB6" w:rsidRPr="00BE2697">
        <w:rPr>
          <w:rFonts w:ascii="Arial" w:eastAsia="Calibri" w:hAnsi="Arial" w:cs="Arial"/>
          <w:sz w:val="22"/>
        </w:rPr>
        <w:t xml:space="preserve"> </w:t>
      </w:r>
      <w:r w:rsidRPr="00BE2697">
        <w:rPr>
          <w:rFonts w:ascii="Arial" w:eastAsia="Calibri" w:hAnsi="Arial" w:cs="Arial"/>
          <w:sz w:val="22"/>
        </w:rPr>
        <w:t xml:space="preserve">ruled on the seminal case of </w:t>
      </w:r>
      <w:r w:rsidRPr="00BE2697">
        <w:rPr>
          <w:rFonts w:ascii="Arial" w:eastAsia="Calibri" w:hAnsi="Arial" w:cs="Arial"/>
          <w:i/>
          <w:sz w:val="22"/>
        </w:rPr>
        <w:t>Pretty v. United Kingdom</w:t>
      </w:r>
      <w:r w:rsidRPr="00BE2697">
        <w:rPr>
          <w:rFonts w:ascii="Arial" w:eastAsia="Calibri" w:hAnsi="Arial" w:cs="Arial"/>
          <w:sz w:val="22"/>
        </w:rPr>
        <w:t>.</w:t>
      </w:r>
      <w:r w:rsidRPr="00BE2697">
        <w:rPr>
          <w:rFonts w:ascii="Arial" w:eastAsia="Calibri" w:hAnsi="Arial" w:cs="Arial"/>
          <w:sz w:val="22"/>
          <w:vertAlign w:val="superscript"/>
        </w:rPr>
        <w:footnoteReference w:id="46"/>
      </w:r>
      <w:r w:rsidRPr="00BE2697">
        <w:rPr>
          <w:rFonts w:ascii="Arial" w:eastAsia="Calibri" w:hAnsi="Arial" w:cs="Arial"/>
          <w:sz w:val="22"/>
        </w:rPr>
        <w:t xml:space="preserve"> The applicant in </w:t>
      </w:r>
      <w:r w:rsidRPr="00BE2697">
        <w:rPr>
          <w:rFonts w:ascii="Arial" w:eastAsia="Calibri" w:hAnsi="Arial" w:cs="Arial"/>
          <w:i/>
          <w:sz w:val="22"/>
        </w:rPr>
        <w:t>Pretty</w:t>
      </w:r>
      <w:r w:rsidRPr="00BE2697">
        <w:rPr>
          <w:rFonts w:ascii="Arial" w:eastAsia="Calibri" w:hAnsi="Arial" w:cs="Arial"/>
          <w:sz w:val="22"/>
        </w:rPr>
        <w:t xml:space="preserve"> had sought recognition in the United Kingdom of a “right to die</w:t>
      </w:r>
      <w:r w:rsidR="000C2AD1" w:rsidRPr="00BE2697">
        <w:rPr>
          <w:rFonts w:ascii="Arial" w:eastAsia="Calibri" w:hAnsi="Arial" w:cs="Arial"/>
          <w:sz w:val="22"/>
        </w:rPr>
        <w:t>.</w:t>
      </w:r>
      <w:r w:rsidRPr="00BE2697">
        <w:rPr>
          <w:rFonts w:ascii="Arial" w:eastAsia="Calibri" w:hAnsi="Arial" w:cs="Arial"/>
          <w:sz w:val="22"/>
        </w:rPr>
        <w:t xml:space="preserve">” However, the </w:t>
      </w:r>
      <w:proofErr w:type="spellStart"/>
      <w:r w:rsidR="00D40FB6" w:rsidRPr="00BE2697">
        <w:rPr>
          <w:rFonts w:ascii="Arial" w:eastAsia="Calibri" w:hAnsi="Arial" w:cs="Arial"/>
          <w:sz w:val="22"/>
        </w:rPr>
        <w:t>ECtHR</w:t>
      </w:r>
      <w:proofErr w:type="spellEnd"/>
      <w:r w:rsidR="00D40FB6" w:rsidRPr="00BE2697">
        <w:rPr>
          <w:rFonts w:ascii="Arial" w:eastAsia="Calibri" w:hAnsi="Arial" w:cs="Arial"/>
          <w:sz w:val="22"/>
        </w:rPr>
        <w:t xml:space="preserve"> </w:t>
      </w:r>
      <w:r w:rsidRPr="00BE2697">
        <w:rPr>
          <w:rFonts w:ascii="Arial" w:eastAsia="Calibri" w:hAnsi="Arial" w:cs="Arial"/>
          <w:sz w:val="22"/>
        </w:rPr>
        <w:t xml:space="preserve">unanimously held that there is no right to assisted suicide under the </w:t>
      </w:r>
      <w:r w:rsidR="00D40FB6" w:rsidRPr="00BE2697">
        <w:rPr>
          <w:rFonts w:ascii="Arial" w:eastAsia="Calibri" w:hAnsi="Arial" w:cs="Arial"/>
          <w:sz w:val="22"/>
        </w:rPr>
        <w:t xml:space="preserve">ECHR </w:t>
      </w:r>
      <w:r w:rsidRPr="00BE2697">
        <w:rPr>
          <w:rFonts w:ascii="Arial" w:eastAsia="Calibri" w:hAnsi="Arial" w:cs="Arial"/>
          <w:sz w:val="22"/>
        </w:rPr>
        <w:t>and furthermore, in certain situations the State may even have a positive obligation to ensure the protection of an individual whose life is at risk.</w:t>
      </w:r>
      <w:r w:rsidRPr="00BE2697">
        <w:rPr>
          <w:rFonts w:ascii="Arial" w:eastAsia="Calibri" w:hAnsi="Arial" w:cs="Arial"/>
          <w:sz w:val="22"/>
          <w:vertAlign w:val="superscript"/>
        </w:rPr>
        <w:footnoteReference w:id="47"/>
      </w:r>
      <w:r w:rsidRPr="00BE2697">
        <w:rPr>
          <w:rFonts w:ascii="Arial" w:eastAsia="Calibri" w:hAnsi="Arial" w:cs="Arial"/>
          <w:sz w:val="22"/>
        </w:rPr>
        <w:t xml:space="preserve"> </w:t>
      </w:r>
    </w:p>
    <w:p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Accordingly, the </w:t>
      </w:r>
      <w:proofErr w:type="spellStart"/>
      <w:r w:rsidR="00D40FB6" w:rsidRPr="00BE2697">
        <w:rPr>
          <w:rFonts w:ascii="Arial" w:eastAsia="Calibri" w:hAnsi="Arial" w:cs="Arial"/>
          <w:sz w:val="22"/>
        </w:rPr>
        <w:t>ECtHR</w:t>
      </w:r>
      <w:proofErr w:type="spellEnd"/>
      <w:r w:rsidR="00D40FB6" w:rsidRPr="00BE2697">
        <w:rPr>
          <w:rFonts w:ascii="Arial" w:eastAsia="Calibri" w:hAnsi="Arial" w:cs="Arial"/>
          <w:sz w:val="22"/>
        </w:rPr>
        <w:t xml:space="preserve"> </w:t>
      </w:r>
      <w:r w:rsidRPr="00BE2697">
        <w:rPr>
          <w:rFonts w:ascii="Arial" w:eastAsia="Calibri" w:hAnsi="Arial" w:cs="Arial"/>
          <w:sz w:val="22"/>
        </w:rPr>
        <w:t xml:space="preserve">held in </w:t>
      </w:r>
      <w:r w:rsidRPr="00BE2697">
        <w:rPr>
          <w:rFonts w:ascii="Arial" w:eastAsia="Calibri" w:hAnsi="Arial" w:cs="Arial"/>
          <w:i/>
          <w:sz w:val="22"/>
        </w:rPr>
        <w:t>Pretty v. United Kingdom</w:t>
      </w:r>
      <w:r w:rsidRPr="00BE2697">
        <w:rPr>
          <w:rFonts w:ascii="Arial" w:eastAsia="Calibri" w:hAnsi="Arial" w:cs="Arial"/>
          <w:sz w:val="22"/>
        </w:rPr>
        <w:t>:</w:t>
      </w:r>
    </w:p>
    <w:p w:rsidR="007E22EE" w:rsidRPr="00BE2697" w:rsidRDefault="007E22EE" w:rsidP="007B6F62">
      <w:pPr>
        <w:widowControl w:val="0"/>
        <w:autoSpaceDE w:val="0"/>
        <w:autoSpaceDN w:val="0"/>
        <w:adjustRightInd w:val="0"/>
        <w:ind w:left="1440" w:right="521"/>
        <w:jc w:val="both"/>
        <w:rPr>
          <w:rFonts w:ascii="Arial" w:eastAsia="Times New Roman" w:hAnsi="Arial" w:cs="Arial"/>
          <w:sz w:val="20"/>
          <w:u w:val="single"/>
        </w:rPr>
      </w:pPr>
      <w:r w:rsidRPr="00BE2697">
        <w:rPr>
          <w:rFonts w:ascii="Arial" w:eastAsia="Times New Roman" w:hAnsi="Arial" w:cs="Arial"/>
          <w:sz w:val="20"/>
          <w:u w:val="single"/>
        </w:rPr>
        <w:t>The consistent emphasis in all the cases before the Court has been the obligation of the State to protect life.</w:t>
      </w:r>
      <w:r w:rsidRPr="00BE2697">
        <w:rPr>
          <w:rFonts w:ascii="Arial" w:eastAsia="Times New Roman" w:hAnsi="Arial" w:cs="Arial"/>
          <w:sz w:val="20"/>
        </w:rPr>
        <w:t xml:space="preserve"> The Court is not persuaded that “the right </w:t>
      </w:r>
      <w:proofErr w:type="gramStart"/>
      <w:r w:rsidRPr="00BE2697">
        <w:rPr>
          <w:rFonts w:ascii="Arial" w:eastAsia="Times New Roman" w:hAnsi="Arial" w:cs="Arial"/>
          <w:sz w:val="20"/>
        </w:rPr>
        <w:t>to</w:t>
      </w:r>
      <w:proofErr w:type="gramEnd"/>
      <w:r w:rsidRPr="00BE2697">
        <w:rPr>
          <w:rFonts w:ascii="Arial" w:eastAsia="Times New Roman" w:hAnsi="Arial" w:cs="Arial"/>
          <w:sz w:val="20"/>
        </w:rPr>
        <w:t xml:space="preserve"> life” guaranteed in Article 2 can be interpreted as involving a negative aspect. While, for example, in the context of Article 11 of the Convention, the freedom of association was found to involve not only a right to join an association but a corresponding right not to be forced to join an association, the Court observes that the notion of a freedom implies some measure of choice as to its exercise. </w:t>
      </w:r>
      <w:bookmarkStart w:id="1" w:name="Document1zz14.top"/>
      <w:bookmarkEnd w:id="1"/>
      <w:r w:rsidRPr="00BE2697">
        <w:rPr>
          <w:rFonts w:ascii="Arial" w:eastAsia="Times New Roman" w:hAnsi="Arial" w:cs="Arial"/>
          <w:sz w:val="20"/>
        </w:rPr>
        <w:t xml:space="preserve">Article 2 of the Convention is phrased in different terms. It is unconcerned with issues to do with the quality of living or what a person chooses to do with his or her life. To the extent that these aspects are </w:t>
      </w:r>
      <w:proofErr w:type="spellStart"/>
      <w:r w:rsidRPr="00BE2697">
        <w:rPr>
          <w:rFonts w:ascii="Arial" w:eastAsia="Times New Roman" w:hAnsi="Arial" w:cs="Arial"/>
          <w:sz w:val="20"/>
        </w:rPr>
        <w:t>recognised</w:t>
      </w:r>
      <w:proofErr w:type="spellEnd"/>
      <w:r w:rsidRPr="00BE2697">
        <w:rPr>
          <w:rFonts w:ascii="Arial" w:eastAsia="Times New Roman" w:hAnsi="Arial" w:cs="Arial"/>
          <w:sz w:val="20"/>
        </w:rPr>
        <w:t xml:space="preserve"> as so fundamental to the human condition that they require protection from State interference, they may be reflected in the rights guaranteed by other Articles of the Convention, or in other international human rights instruments. </w:t>
      </w:r>
      <w:r w:rsidRPr="00BE2697">
        <w:rPr>
          <w:rFonts w:ascii="Arial" w:eastAsia="Times New Roman" w:hAnsi="Arial" w:cs="Arial"/>
          <w:sz w:val="20"/>
          <w:u w:val="single"/>
        </w:rPr>
        <w:t xml:space="preserve">Article 2 cannot, without a distortion of language, be interpreted as conferring the diametrically opposite right, namely a right to die; nor can it create a right to self-determination in the sense of conferring on an individual the entitlement to choose death rather than life. </w:t>
      </w:r>
    </w:p>
    <w:p w:rsidR="007E22EE" w:rsidRPr="00BE2697" w:rsidRDefault="007E22EE" w:rsidP="007B6F62">
      <w:pPr>
        <w:widowControl w:val="0"/>
        <w:autoSpaceDE w:val="0"/>
        <w:autoSpaceDN w:val="0"/>
        <w:adjustRightInd w:val="0"/>
        <w:ind w:right="521"/>
        <w:jc w:val="both"/>
        <w:rPr>
          <w:rFonts w:ascii="Arial" w:eastAsia="Times New Roman" w:hAnsi="Arial" w:cs="Arial"/>
          <w:sz w:val="20"/>
          <w:u w:val="single"/>
        </w:rPr>
      </w:pPr>
    </w:p>
    <w:p w:rsidR="007E22EE" w:rsidRPr="00BE2697" w:rsidRDefault="007E22EE" w:rsidP="007B6F62">
      <w:pPr>
        <w:widowControl w:val="0"/>
        <w:autoSpaceDE w:val="0"/>
        <w:autoSpaceDN w:val="0"/>
        <w:adjustRightInd w:val="0"/>
        <w:ind w:left="1440" w:right="521"/>
        <w:jc w:val="both"/>
        <w:rPr>
          <w:rFonts w:ascii="Arial" w:eastAsia="Times New Roman" w:hAnsi="Arial" w:cs="Arial"/>
          <w:sz w:val="22"/>
        </w:rPr>
      </w:pPr>
      <w:r w:rsidRPr="00BE2697">
        <w:rPr>
          <w:rFonts w:ascii="Arial" w:eastAsia="Times New Roman" w:hAnsi="Arial" w:cs="Arial"/>
          <w:sz w:val="20"/>
          <w:u w:val="single"/>
        </w:rPr>
        <w:t>The Court accordingly finds that no right to die, whether at the hands of a third person or with the assistance of a public authority, can be derived from Article 2 of the Convention.</w:t>
      </w:r>
      <w:bookmarkStart w:id="2" w:name="Document1zz15.top"/>
      <w:bookmarkEnd w:id="2"/>
      <w:r w:rsidRPr="00BE2697">
        <w:rPr>
          <w:rFonts w:ascii="Arial" w:eastAsia="Times New Roman" w:hAnsi="Arial" w:cs="Arial"/>
          <w:sz w:val="20"/>
          <w:vertAlign w:val="superscript"/>
        </w:rPr>
        <w:footnoteReference w:id="48"/>
      </w:r>
      <w:r w:rsidRPr="00BE2697">
        <w:rPr>
          <w:rFonts w:ascii="Arial" w:eastAsia="Times New Roman" w:hAnsi="Arial" w:cs="Arial"/>
          <w:sz w:val="20"/>
        </w:rPr>
        <w:t xml:space="preserve"> </w:t>
      </w:r>
    </w:p>
    <w:p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The applicant in </w:t>
      </w:r>
      <w:r w:rsidRPr="00BE2697">
        <w:rPr>
          <w:rFonts w:ascii="Arial" w:eastAsia="Calibri" w:hAnsi="Arial" w:cs="Arial"/>
          <w:i/>
          <w:sz w:val="22"/>
        </w:rPr>
        <w:t xml:space="preserve">Pretty </w:t>
      </w:r>
      <w:r w:rsidRPr="00BE2697">
        <w:rPr>
          <w:rFonts w:ascii="Arial" w:eastAsia="Calibri" w:hAnsi="Arial" w:cs="Arial"/>
          <w:sz w:val="22"/>
        </w:rPr>
        <w:t xml:space="preserve">further submitted that a right to assisted suicide could be found under Article 3 of the </w:t>
      </w:r>
      <w:r w:rsidR="00D40FB6" w:rsidRPr="00BE2697">
        <w:rPr>
          <w:rFonts w:ascii="Arial" w:eastAsia="Calibri" w:hAnsi="Arial" w:cs="Arial"/>
          <w:sz w:val="22"/>
        </w:rPr>
        <w:t>ECHR</w:t>
      </w:r>
      <w:r w:rsidRPr="00BE2697">
        <w:rPr>
          <w:rFonts w:ascii="Arial" w:eastAsia="Calibri" w:hAnsi="Arial" w:cs="Arial"/>
          <w:sz w:val="22"/>
        </w:rPr>
        <w:t xml:space="preserve"> (prohibition of torture). The applicant argued that the suffering her illness was causing amounted to “inhuman or degrading treatment” and the State therefore had a positive obligation to take steps to prevent this suffering, by allowing her to be assisted in her suicide.</w:t>
      </w:r>
      <w:r w:rsidRPr="00BE2697">
        <w:rPr>
          <w:rFonts w:ascii="Arial" w:eastAsia="Calibri" w:hAnsi="Arial" w:cs="Arial"/>
          <w:sz w:val="22"/>
          <w:vertAlign w:val="superscript"/>
        </w:rPr>
        <w:footnoteReference w:id="49"/>
      </w:r>
      <w:r w:rsidRPr="00BE2697">
        <w:rPr>
          <w:rFonts w:ascii="Arial" w:eastAsia="Calibri" w:hAnsi="Arial" w:cs="Arial"/>
          <w:sz w:val="22"/>
        </w:rPr>
        <w:t xml:space="preserve"> The </w:t>
      </w:r>
      <w:proofErr w:type="spellStart"/>
      <w:r w:rsidR="00D40FB6" w:rsidRPr="00BE2697">
        <w:rPr>
          <w:rFonts w:ascii="Arial" w:eastAsia="Calibri" w:hAnsi="Arial" w:cs="Arial"/>
          <w:sz w:val="22"/>
        </w:rPr>
        <w:t>ECtHR</w:t>
      </w:r>
      <w:proofErr w:type="spellEnd"/>
      <w:r w:rsidR="00D40FB6" w:rsidRPr="00BE2697">
        <w:rPr>
          <w:rFonts w:ascii="Arial" w:eastAsia="Calibri" w:hAnsi="Arial" w:cs="Arial"/>
          <w:sz w:val="22"/>
        </w:rPr>
        <w:t xml:space="preserve"> </w:t>
      </w:r>
      <w:r w:rsidRPr="00BE2697">
        <w:rPr>
          <w:rFonts w:ascii="Arial" w:eastAsia="Calibri" w:hAnsi="Arial" w:cs="Arial"/>
          <w:sz w:val="22"/>
        </w:rPr>
        <w:t>acknowledged that in certain circumstances Article 3 can create positive obligations on the Contracting States.</w:t>
      </w:r>
      <w:r w:rsidRPr="00BE2697">
        <w:rPr>
          <w:rFonts w:ascii="Arial" w:eastAsia="Calibri" w:hAnsi="Arial" w:cs="Arial"/>
          <w:sz w:val="22"/>
          <w:vertAlign w:val="superscript"/>
        </w:rPr>
        <w:footnoteReference w:id="50"/>
      </w:r>
      <w:r w:rsidRPr="00BE2697">
        <w:rPr>
          <w:rFonts w:ascii="Arial" w:eastAsia="Calibri" w:hAnsi="Arial" w:cs="Arial"/>
          <w:sz w:val="22"/>
        </w:rPr>
        <w:t xml:space="preserve"> However, the </w:t>
      </w:r>
      <w:proofErr w:type="spellStart"/>
      <w:r w:rsidR="00D40FB6" w:rsidRPr="00BE2697">
        <w:rPr>
          <w:rFonts w:ascii="Arial" w:eastAsia="Calibri" w:hAnsi="Arial" w:cs="Arial"/>
          <w:sz w:val="22"/>
        </w:rPr>
        <w:t>ECtHR</w:t>
      </w:r>
      <w:proofErr w:type="spellEnd"/>
      <w:r w:rsidR="00D40FB6" w:rsidRPr="00BE2697">
        <w:rPr>
          <w:rFonts w:ascii="Arial" w:eastAsia="Calibri" w:hAnsi="Arial" w:cs="Arial"/>
          <w:sz w:val="22"/>
        </w:rPr>
        <w:t xml:space="preserve"> </w:t>
      </w:r>
      <w:r w:rsidRPr="00BE2697">
        <w:rPr>
          <w:rFonts w:ascii="Arial" w:eastAsia="Calibri" w:hAnsi="Arial" w:cs="Arial"/>
          <w:sz w:val="22"/>
        </w:rPr>
        <w:t>held that “Article 3 must be construed in harmony with Article 2</w:t>
      </w:r>
      <w:r w:rsidR="000C2AD1" w:rsidRPr="00BE2697">
        <w:rPr>
          <w:rFonts w:ascii="Arial" w:eastAsia="Calibri" w:hAnsi="Arial" w:cs="Arial"/>
          <w:sz w:val="22"/>
        </w:rPr>
        <w:t>,</w:t>
      </w:r>
      <w:r w:rsidRPr="00BE2697">
        <w:rPr>
          <w:rFonts w:ascii="Arial" w:eastAsia="Calibri" w:hAnsi="Arial" w:cs="Arial"/>
          <w:sz w:val="22"/>
        </w:rPr>
        <w:t>” which, as it had previously found, “does not confer any claim on an individual to require a State to permit or facilitate his or her death.”</w:t>
      </w:r>
      <w:r w:rsidRPr="00BE2697">
        <w:rPr>
          <w:rFonts w:ascii="Arial" w:eastAsia="Calibri" w:hAnsi="Arial" w:cs="Arial"/>
          <w:sz w:val="22"/>
          <w:vertAlign w:val="superscript"/>
        </w:rPr>
        <w:footnoteReference w:id="51"/>
      </w:r>
      <w:r w:rsidRPr="00BE2697">
        <w:rPr>
          <w:rFonts w:ascii="Arial" w:eastAsia="Calibri" w:hAnsi="Arial" w:cs="Arial"/>
          <w:sz w:val="22"/>
        </w:rPr>
        <w:t xml:space="preserve"> Therefore, despite expressing sympathy with the position </w:t>
      </w:r>
      <w:r w:rsidR="00D40FB6" w:rsidRPr="00BE2697">
        <w:rPr>
          <w:rFonts w:ascii="Arial" w:eastAsia="Calibri" w:hAnsi="Arial" w:cs="Arial"/>
          <w:sz w:val="22"/>
        </w:rPr>
        <w:t xml:space="preserve">in which </w:t>
      </w:r>
      <w:r w:rsidRPr="00BE2697">
        <w:rPr>
          <w:rFonts w:ascii="Arial" w:eastAsia="Calibri" w:hAnsi="Arial" w:cs="Arial"/>
          <w:sz w:val="22"/>
        </w:rPr>
        <w:t xml:space="preserve">the applicant found herself, the </w:t>
      </w:r>
      <w:proofErr w:type="spellStart"/>
      <w:r w:rsidR="00D40FB6" w:rsidRPr="00BE2697">
        <w:rPr>
          <w:rFonts w:ascii="Arial" w:eastAsia="Calibri" w:hAnsi="Arial" w:cs="Arial"/>
          <w:sz w:val="22"/>
        </w:rPr>
        <w:t>ECtHR</w:t>
      </w:r>
      <w:proofErr w:type="spellEnd"/>
      <w:r w:rsidR="00D40FB6" w:rsidRPr="00BE2697">
        <w:rPr>
          <w:rFonts w:ascii="Arial" w:eastAsia="Calibri" w:hAnsi="Arial" w:cs="Arial"/>
          <w:sz w:val="22"/>
        </w:rPr>
        <w:t xml:space="preserve"> </w:t>
      </w:r>
      <w:r w:rsidRPr="00BE2697">
        <w:rPr>
          <w:rFonts w:ascii="Arial" w:eastAsia="Calibri" w:hAnsi="Arial" w:cs="Arial"/>
          <w:sz w:val="22"/>
        </w:rPr>
        <w:t>nevertheless rejected the proposition that the State had a positive obligation to assist in her suicide.</w:t>
      </w:r>
      <w:r w:rsidRPr="00BE2697">
        <w:rPr>
          <w:rFonts w:ascii="Arial" w:eastAsia="Calibri" w:hAnsi="Arial" w:cs="Arial"/>
          <w:sz w:val="22"/>
          <w:vertAlign w:val="superscript"/>
        </w:rPr>
        <w:footnoteReference w:id="52"/>
      </w:r>
    </w:p>
    <w:p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Thus, </w:t>
      </w:r>
      <w:r w:rsidR="006F21B4" w:rsidRPr="00BE2697">
        <w:rPr>
          <w:rFonts w:ascii="Arial" w:eastAsia="Calibri" w:hAnsi="Arial" w:cs="Arial"/>
          <w:sz w:val="22"/>
        </w:rPr>
        <w:t xml:space="preserve">in </w:t>
      </w:r>
      <w:r w:rsidRPr="00BE2697">
        <w:rPr>
          <w:rFonts w:ascii="Arial" w:eastAsia="Calibri" w:hAnsi="Arial" w:cs="Arial"/>
          <w:sz w:val="22"/>
        </w:rPr>
        <w:t>the case</w:t>
      </w:r>
      <w:r w:rsidR="00D40FB6" w:rsidRPr="00BE2697">
        <w:rPr>
          <w:rFonts w:ascii="Arial" w:eastAsia="Calibri" w:hAnsi="Arial" w:cs="Arial"/>
          <w:sz w:val="22"/>
        </w:rPr>
        <w:t xml:space="preserve"> </w:t>
      </w:r>
      <w:r w:rsidRPr="00BE2697">
        <w:rPr>
          <w:rFonts w:ascii="Arial" w:eastAsia="Calibri" w:hAnsi="Arial" w:cs="Arial"/>
          <w:sz w:val="22"/>
        </w:rPr>
        <w:t xml:space="preserve">law of the ECHR </w:t>
      </w:r>
      <w:r w:rsidR="00D40FB6" w:rsidRPr="00BE2697">
        <w:rPr>
          <w:rFonts w:ascii="Arial" w:eastAsia="Calibri" w:hAnsi="Arial" w:cs="Arial"/>
          <w:sz w:val="22"/>
        </w:rPr>
        <w:t xml:space="preserve">there is no </w:t>
      </w:r>
      <w:r w:rsidRPr="00BE2697">
        <w:rPr>
          <w:rFonts w:ascii="Arial" w:eastAsia="Calibri" w:hAnsi="Arial" w:cs="Arial"/>
          <w:sz w:val="22"/>
        </w:rPr>
        <w:t>so-called “right to die” within protections for the “right to life</w:t>
      </w:r>
      <w:r w:rsidR="000C2AD1" w:rsidRPr="00BE2697">
        <w:rPr>
          <w:rFonts w:ascii="Arial" w:eastAsia="Calibri" w:hAnsi="Arial" w:cs="Arial"/>
          <w:sz w:val="22"/>
        </w:rPr>
        <w:t>.</w:t>
      </w:r>
      <w:r w:rsidRPr="00BE2697">
        <w:rPr>
          <w:rFonts w:ascii="Arial" w:eastAsia="Calibri" w:hAnsi="Arial" w:cs="Arial"/>
          <w:sz w:val="22"/>
        </w:rPr>
        <w:t xml:space="preserve">” Moreover, in some circumstances there is a positive </w:t>
      </w:r>
      <w:r w:rsidRPr="00BE2697">
        <w:rPr>
          <w:rFonts w:ascii="Arial" w:eastAsia="Calibri" w:hAnsi="Arial" w:cs="Arial"/>
          <w:sz w:val="22"/>
        </w:rPr>
        <w:lastRenderedPageBreak/>
        <w:t>obligation on the State to protect an individual whose life is at risk.</w:t>
      </w:r>
      <w:r w:rsidRPr="00BE2697">
        <w:rPr>
          <w:rFonts w:ascii="Arial" w:eastAsia="Calibri" w:hAnsi="Arial" w:cs="Arial"/>
          <w:sz w:val="22"/>
          <w:vertAlign w:val="superscript"/>
        </w:rPr>
        <w:footnoteReference w:id="53"/>
      </w:r>
      <w:r w:rsidRPr="00BE2697">
        <w:rPr>
          <w:rFonts w:ascii="Arial" w:eastAsia="Calibri" w:hAnsi="Arial" w:cs="Arial"/>
          <w:sz w:val="22"/>
        </w:rPr>
        <w:t xml:space="preserve"> Although the </w:t>
      </w:r>
      <w:proofErr w:type="spellStart"/>
      <w:r w:rsidR="00D40FB6" w:rsidRPr="00BE2697">
        <w:rPr>
          <w:rFonts w:ascii="Arial" w:eastAsia="Calibri" w:hAnsi="Arial" w:cs="Arial"/>
          <w:sz w:val="22"/>
        </w:rPr>
        <w:t>ECtHR</w:t>
      </w:r>
      <w:proofErr w:type="spellEnd"/>
      <w:r w:rsidR="00D40FB6" w:rsidRPr="00BE2697">
        <w:rPr>
          <w:rFonts w:ascii="Arial" w:eastAsia="Calibri" w:hAnsi="Arial" w:cs="Arial"/>
          <w:sz w:val="22"/>
        </w:rPr>
        <w:t xml:space="preserve"> </w:t>
      </w:r>
      <w:r w:rsidRPr="00BE2697">
        <w:rPr>
          <w:rFonts w:ascii="Arial" w:eastAsia="Calibri" w:hAnsi="Arial" w:cs="Arial"/>
          <w:sz w:val="22"/>
        </w:rPr>
        <w:t xml:space="preserve">has reconsidered the issue of euthanasia and assisted suicide on three further occasions since </w:t>
      </w:r>
      <w:r w:rsidRPr="00BE2697">
        <w:rPr>
          <w:rFonts w:ascii="Arial" w:eastAsia="Calibri" w:hAnsi="Arial" w:cs="Arial"/>
          <w:i/>
          <w:sz w:val="22"/>
        </w:rPr>
        <w:t xml:space="preserve">Pretty, </w:t>
      </w:r>
      <w:r w:rsidRPr="00BE2697">
        <w:rPr>
          <w:rFonts w:ascii="Arial" w:eastAsia="Calibri" w:hAnsi="Arial" w:cs="Arial"/>
          <w:sz w:val="22"/>
        </w:rPr>
        <w:t xml:space="preserve">the </w:t>
      </w:r>
      <w:proofErr w:type="spellStart"/>
      <w:r w:rsidR="00D40FB6" w:rsidRPr="00BE2697">
        <w:rPr>
          <w:rFonts w:ascii="Arial" w:eastAsia="Calibri" w:hAnsi="Arial" w:cs="Arial"/>
          <w:sz w:val="22"/>
        </w:rPr>
        <w:t>ECtHR</w:t>
      </w:r>
      <w:proofErr w:type="spellEnd"/>
      <w:r w:rsidR="00D40FB6" w:rsidRPr="00BE2697">
        <w:rPr>
          <w:rFonts w:ascii="Arial" w:eastAsia="Calibri" w:hAnsi="Arial" w:cs="Arial"/>
          <w:sz w:val="22"/>
        </w:rPr>
        <w:t xml:space="preserve"> </w:t>
      </w:r>
      <w:r w:rsidRPr="00BE2697">
        <w:rPr>
          <w:rFonts w:ascii="Arial" w:eastAsia="Calibri" w:hAnsi="Arial" w:cs="Arial"/>
          <w:sz w:val="22"/>
        </w:rPr>
        <w:t xml:space="preserve">has not reconsidered the applicability of Article 2 to those cases. Indeed, the right to life has never again been invoked by applicants seeking a “right” to assisted suicide or euthanasia under the </w:t>
      </w:r>
      <w:r w:rsidR="00D40FB6" w:rsidRPr="00BE2697">
        <w:rPr>
          <w:rFonts w:ascii="Arial" w:eastAsia="Calibri" w:hAnsi="Arial" w:cs="Arial"/>
          <w:sz w:val="22"/>
        </w:rPr>
        <w:t>ECHR</w:t>
      </w:r>
      <w:r w:rsidRPr="00BE2697">
        <w:rPr>
          <w:rFonts w:ascii="Arial" w:eastAsia="Calibri" w:hAnsi="Arial" w:cs="Arial"/>
          <w:sz w:val="22"/>
        </w:rPr>
        <w:t>.</w:t>
      </w:r>
    </w:p>
    <w:p w:rsidR="00A92107" w:rsidRPr="00BE2697" w:rsidRDefault="006F21B4" w:rsidP="00E91F71">
      <w:pPr>
        <w:pStyle w:val="ListParagraph"/>
        <w:numPr>
          <w:ilvl w:val="0"/>
          <w:numId w:val="8"/>
        </w:numPr>
        <w:spacing w:line="276" w:lineRule="auto"/>
        <w:jc w:val="both"/>
        <w:rPr>
          <w:rFonts w:ascii="Arial" w:hAnsi="Arial" w:cs="Arial"/>
          <w:b/>
          <w:sz w:val="22"/>
        </w:rPr>
      </w:pPr>
      <w:r w:rsidRPr="00BE2697">
        <w:rPr>
          <w:rFonts w:ascii="Arial" w:hAnsi="Arial" w:cs="Arial"/>
          <w:b/>
          <w:sz w:val="22"/>
        </w:rPr>
        <w:t>Further Opposition to</w:t>
      </w:r>
      <w:r w:rsidR="000C1A85" w:rsidRPr="00BE2697">
        <w:rPr>
          <w:rFonts w:ascii="Arial" w:hAnsi="Arial" w:cs="Arial"/>
          <w:b/>
          <w:sz w:val="22"/>
        </w:rPr>
        <w:t xml:space="preserve"> Assisted Suicide and Euthanasia </w:t>
      </w:r>
    </w:p>
    <w:p w:rsidR="007E22EE" w:rsidRPr="00BE2697" w:rsidRDefault="007E22EE" w:rsidP="007B6F62">
      <w:pPr>
        <w:pStyle w:val="CourtNumberedpara"/>
        <w:spacing w:line="276" w:lineRule="auto"/>
        <w:jc w:val="both"/>
        <w:rPr>
          <w:rFonts w:ascii="Arial" w:eastAsia="Calibri" w:hAnsi="Arial" w:cs="Arial"/>
          <w:sz w:val="22"/>
          <w:u w:val="single"/>
        </w:rPr>
      </w:pPr>
      <w:r w:rsidRPr="00BE2697">
        <w:rPr>
          <w:rFonts w:ascii="Arial" w:eastAsia="Calibri" w:hAnsi="Arial" w:cs="Arial"/>
          <w:sz w:val="22"/>
        </w:rPr>
        <w:t xml:space="preserve">The </w:t>
      </w:r>
      <w:proofErr w:type="spellStart"/>
      <w:r w:rsidR="00D40FB6" w:rsidRPr="00BE2697">
        <w:rPr>
          <w:rFonts w:ascii="Arial" w:eastAsia="Calibri" w:hAnsi="Arial" w:cs="Arial"/>
          <w:sz w:val="22"/>
        </w:rPr>
        <w:t>ECtHR’s</w:t>
      </w:r>
      <w:proofErr w:type="spellEnd"/>
      <w:r w:rsidR="00D40FB6" w:rsidRPr="00BE2697">
        <w:rPr>
          <w:rFonts w:ascii="Arial" w:eastAsia="Calibri" w:hAnsi="Arial" w:cs="Arial"/>
          <w:sz w:val="22"/>
        </w:rPr>
        <w:t xml:space="preserve"> </w:t>
      </w:r>
      <w:r w:rsidRPr="00BE2697">
        <w:rPr>
          <w:rFonts w:ascii="Arial" w:eastAsia="Calibri" w:hAnsi="Arial" w:cs="Arial"/>
          <w:sz w:val="22"/>
        </w:rPr>
        <w:t>understanding of Article 2 is buttressed by the position</w:t>
      </w:r>
      <w:r w:rsidR="00A92107" w:rsidRPr="00BE2697">
        <w:rPr>
          <w:rFonts w:ascii="Arial" w:eastAsia="Calibri" w:hAnsi="Arial" w:cs="Arial"/>
          <w:sz w:val="22"/>
        </w:rPr>
        <w:t>s</w:t>
      </w:r>
      <w:r w:rsidRPr="00BE2697">
        <w:rPr>
          <w:rFonts w:ascii="Arial" w:eastAsia="Calibri" w:hAnsi="Arial" w:cs="Arial"/>
          <w:sz w:val="22"/>
        </w:rPr>
        <w:t xml:space="preserve"> of the Parliamentary Assembly of the Council of Europe and </w:t>
      </w:r>
      <w:r w:rsidR="00A92107" w:rsidRPr="00BE2697">
        <w:rPr>
          <w:rFonts w:ascii="Arial" w:eastAsia="Calibri" w:hAnsi="Arial" w:cs="Arial"/>
          <w:sz w:val="22"/>
        </w:rPr>
        <w:t xml:space="preserve">the </w:t>
      </w:r>
      <w:r w:rsidRPr="00BE2697">
        <w:rPr>
          <w:rFonts w:ascii="Arial" w:eastAsia="Calibri" w:hAnsi="Arial" w:cs="Arial"/>
          <w:sz w:val="22"/>
        </w:rPr>
        <w:t xml:space="preserve">World Medical Association. </w:t>
      </w:r>
    </w:p>
    <w:p w:rsidR="007E22EE" w:rsidRPr="00BE2697" w:rsidRDefault="007E22EE" w:rsidP="007B6F62">
      <w:pPr>
        <w:pStyle w:val="CourtNumberedpara"/>
        <w:spacing w:line="276" w:lineRule="auto"/>
        <w:jc w:val="both"/>
        <w:rPr>
          <w:rFonts w:ascii="Arial" w:eastAsia="Calibri" w:hAnsi="Arial" w:cs="Arial"/>
          <w:sz w:val="22"/>
          <w:u w:val="single"/>
        </w:rPr>
      </w:pPr>
      <w:r w:rsidRPr="00BE2697">
        <w:rPr>
          <w:rFonts w:ascii="Arial" w:eastAsia="Calibri" w:hAnsi="Arial" w:cs="Arial"/>
          <w:sz w:val="22"/>
        </w:rPr>
        <w:t>In Recommendation 1418 (1999) on the “Protection of the human rights and dignity of the terminally ill and the dying,” the Parliamentary Assembly recommended that:</w:t>
      </w:r>
    </w:p>
    <w:p w:rsidR="007E22EE" w:rsidRPr="00BE2697" w:rsidRDefault="007E22EE" w:rsidP="007B6F62">
      <w:pPr>
        <w:widowControl w:val="0"/>
        <w:autoSpaceDE w:val="0"/>
        <w:autoSpaceDN w:val="0"/>
        <w:adjustRightInd w:val="0"/>
        <w:ind w:left="1440" w:right="720"/>
        <w:jc w:val="both"/>
        <w:rPr>
          <w:rFonts w:ascii="Arial" w:eastAsia="Times New Roman" w:hAnsi="Arial" w:cs="Arial"/>
          <w:sz w:val="20"/>
        </w:rPr>
      </w:pPr>
      <w:r w:rsidRPr="00BE2697">
        <w:rPr>
          <w:rFonts w:ascii="Arial" w:eastAsia="Times New Roman" w:hAnsi="Arial" w:cs="Arial"/>
          <w:sz w:val="20"/>
        </w:rPr>
        <w:t>9. The Committee of Ministers encourage the member states of the Council of Europe to respect and protect the dignity of terminally ill or dying persons in all respects […] by upholding the prohibition against intentionally taking the life of terminally ill or dying persons, while:</w:t>
      </w:r>
    </w:p>
    <w:p w:rsidR="007E22EE" w:rsidRPr="00BE2697" w:rsidRDefault="007E22EE" w:rsidP="007B6F62">
      <w:pPr>
        <w:widowControl w:val="0"/>
        <w:autoSpaceDE w:val="0"/>
        <w:autoSpaceDN w:val="0"/>
        <w:adjustRightInd w:val="0"/>
        <w:ind w:right="720"/>
        <w:jc w:val="both"/>
        <w:rPr>
          <w:rFonts w:ascii="Arial" w:eastAsia="Times New Roman" w:hAnsi="Arial" w:cs="Arial"/>
          <w:sz w:val="20"/>
        </w:rPr>
      </w:pPr>
    </w:p>
    <w:p w:rsidR="007E22EE" w:rsidRPr="00BE2697" w:rsidRDefault="007E22EE" w:rsidP="00E91F71">
      <w:pPr>
        <w:widowControl w:val="0"/>
        <w:numPr>
          <w:ilvl w:val="0"/>
          <w:numId w:val="7"/>
        </w:numPr>
        <w:autoSpaceDE w:val="0"/>
        <w:autoSpaceDN w:val="0"/>
        <w:adjustRightInd w:val="0"/>
        <w:ind w:right="720"/>
        <w:jc w:val="both"/>
        <w:rPr>
          <w:rFonts w:ascii="Arial" w:eastAsia="Times New Roman" w:hAnsi="Arial" w:cs="Arial"/>
          <w:sz w:val="20"/>
        </w:rPr>
      </w:pPr>
      <w:proofErr w:type="spellStart"/>
      <w:r w:rsidRPr="00BE2697">
        <w:rPr>
          <w:rFonts w:ascii="Arial" w:eastAsia="Times New Roman" w:hAnsi="Arial" w:cs="Arial"/>
          <w:sz w:val="20"/>
        </w:rPr>
        <w:t>recognising</w:t>
      </w:r>
      <w:proofErr w:type="spellEnd"/>
      <w:r w:rsidRPr="00BE2697">
        <w:rPr>
          <w:rFonts w:ascii="Arial" w:eastAsia="Times New Roman" w:hAnsi="Arial" w:cs="Arial"/>
          <w:sz w:val="20"/>
        </w:rPr>
        <w:t xml:space="preserve"> that the right to life, especially with regard to a terminally ill or dying person, is guaranteed by the member states, in accordance with Article 2 of the European Convention on Human Rights which states that “no one shall be deprived of his life intentionally”;</w:t>
      </w:r>
    </w:p>
    <w:p w:rsidR="007E22EE" w:rsidRPr="00BE2697" w:rsidRDefault="007E22EE" w:rsidP="007B6F62">
      <w:pPr>
        <w:widowControl w:val="0"/>
        <w:autoSpaceDE w:val="0"/>
        <w:autoSpaceDN w:val="0"/>
        <w:adjustRightInd w:val="0"/>
        <w:ind w:right="720"/>
        <w:jc w:val="both"/>
        <w:rPr>
          <w:rFonts w:ascii="Arial" w:eastAsia="Times New Roman" w:hAnsi="Arial" w:cs="Arial"/>
          <w:sz w:val="20"/>
        </w:rPr>
      </w:pPr>
    </w:p>
    <w:p w:rsidR="007E22EE" w:rsidRPr="00BE2697" w:rsidRDefault="007E22EE" w:rsidP="00E91F71">
      <w:pPr>
        <w:widowControl w:val="0"/>
        <w:numPr>
          <w:ilvl w:val="0"/>
          <w:numId w:val="7"/>
        </w:numPr>
        <w:autoSpaceDE w:val="0"/>
        <w:autoSpaceDN w:val="0"/>
        <w:adjustRightInd w:val="0"/>
        <w:ind w:right="720"/>
        <w:jc w:val="both"/>
        <w:rPr>
          <w:rFonts w:ascii="Arial" w:eastAsia="Times New Roman" w:hAnsi="Arial" w:cs="Arial"/>
          <w:sz w:val="20"/>
        </w:rPr>
      </w:pPr>
      <w:proofErr w:type="spellStart"/>
      <w:r w:rsidRPr="00BE2697">
        <w:rPr>
          <w:rFonts w:ascii="Arial" w:eastAsia="Times New Roman" w:hAnsi="Arial" w:cs="Arial"/>
          <w:sz w:val="20"/>
        </w:rPr>
        <w:t>recognising</w:t>
      </w:r>
      <w:proofErr w:type="spellEnd"/>
      <w:r w:rsidRPr="00BE2697">
        <w:rPr>
          <w:rFonts w:ascii="Arial" w:eastAsia="Times New Roman" w:hAnsi="Arial" w:cs="Arial"/>
          <w:sz w:val="20"/>
        </w:rPr>
        <w:t xml:space="preserve"> that a terminally ill or dying person’s wish to die never constitutes any legal claim to die at the hand of another person;</w:t>
      </w:r>
    </w:p>
    <w:p w:rsidR="007E22EE" w:rsidRPr="00BE2697" w:rsidRDefault="007E22EE" w:rsidP="007B6F62">
      <w:pPr>
        <w:jc w:val="both"/>
        <w:rPr>
          <w:rFonts w:ascii="Arial" w:eastAsia="Calibri" w:hAnsi="Arial" w:cs="Arial"/>
          <w:sz w:val="20"/>
        </w:rPr>
      </w:pPr>
    </w:p>
    <w:p w:rsidR="007E22EE" w:rsidRPr="00BE2697" w:rsidRDefault="007E22EE" w:rsidP="00E91F71">
      <w:pPr>
        <w:widowControl w:val="0"/>
        <w:numPr>
          <w:ilvl w:val="0"/>
          <w:numId w:val="7"/>
        </w:numPr>
        <w:autoSpaceDE w:val="0"/>
        <w:autoSpaceDN w:val="0"/>
        <w:adjustRightInd w:val="0"/>
        <w:ind w:right="720"/>
        <w:jc w:val="both"/>
        <w:rPr>
          <w:rFonts w:ascii="Arial" w:eastAsia="Times New Roman" w:hAnsi="Arial" w:cs="Arial"/>
          <w:sz w:val="20"/>
        </w:rPr>
      </w:pPr>
      <w:proofErr w:type="spellStart"/>
      <w:proofErr w:type="gramStart"/>
      <w:r w:rsidRPr="00BE2697">
        <w:rPr>
          <w:rFonts w:ascii="Arial" w:eastAsia="Times New Roman" w:hAnsi="Arial" w:cs="Arial"/>
          <w:sz w:val="20"/>
        </w:rPr>
        <w:t>recognising</w:t>
      </w:r>
      <w:proofErr w:type="spellEnd"/>
      <w:proofErr w:type="gramEnd"/>
      <w:r w:rsidRPr="00BE2697">
        <w:rPr>
          <w:rFonts w:ascii="Arial" w:eastAsia="Times New Roman" w:hAnsi="Arial" w:cs="Arial"/>
          <w:sz w:val="20"/>
        </w:rPr>
        <w:t xml:space="preserve"> that a terminally ill or dying person’s wish to die cannot of itself constitute a legal justification to carry out actions intended to bring about death.</w:t>
      </w:r>
      <w:r w:rsidRPr="00BE2697">
        <w:rPr>
          <w:rFonts w:ascii="Arial" w:eastAsia="Times New Roman" w:hAnsi="Arial" w:cs="Arial"/>
          <w:sz w:val="20"/>
          <w:vertAlign w:val="superscript"/>
        </w:rPr>
        <w:footnoteReference w:id="54"/>
      </w:r>
    </w:p>
    <w:p w:rsidR="007E22EE" w:rsidRPr="00BE2697" w:rsidRDefault="007E22EE" w:rsidP="007B6F62">
      <w:pPr>
        <w:pStyle w:val="CourtNumberedpara"/>
        <w:spacing w:line="276" w:lineRule="auto"/>
        <w:jc w:val="both"/>
        <w:rPr>
          <w:rFonts w:ascii="Arial" w:eastAsia="Times New Roman" w:hAnsi="Arial" w:cs="Arial"/>
          <w:sz w:val="22"/>
        </w:rPr>
      </w:pPr>
      <w:r w:rsidRPr="00BE2697">
        <w:rPr>
          <w:rFonts w:ascii="Arial" w:eastAsia="Times New Roman" w:hAnsi="Arial" w:cs="Arial"/>
          <w:sz w:val="22"/>
        </w:rPr>
        <w:t>On 25 January 2012, the Parliamentary Assembly went even further. In Resolution 1859 (2012), the Assembly stated unequivocally</w:t>
      </w:r>
      <w:r w:rsidR="000C1A85" w:rsidRPr="00BE2697">
        <w:rPr>
          <w:rFonts w:ascii="Arial" w:eastAsia="Times New Roman" w:hAnsi="Arial" w:cs="Arial"/>
          <w:sz w:val="22"/>
        </w:rPr>
        <w:t>,</w:t>
      </w:r>
      <w:r w:rsidRPr="00BE2697">
        <w:rPr>
          <w:rFonts w:ascii="Arial" w:eastAsia="Times New Roman" w:hAnsi="Arial" w:cs="Arial"/>
          <w:sz w:val="22"/>
        </w:rPr>
        <w:t xml:space="preserve"> “Euthanasia, in the sense of the intentional killing by act or omission of a dependent human being for his or her alleged benefit, must always be prohibited.”</w:t>
      </w:r>
      <w:r w:rsidRPr="00BE2697">
        <w:rPr>
          <w:rFonts w:ascii="Arial" w:eastAsia="Times New Roman" w:hAnsi="Arial" w:cs="Arial"/>
          <w:sz w:val="22"/>
          <w:vertAlign w:val="superscript"/>
        </w:rPr>
        <w:footnoteReference w:id="55"/>
      </w:r>
      <w:r w:rsidRPr="00BE2697">
        <w:rPr>
          <w:rFonts w:ascii="Arial" w:eastAsia="Times New Roman" w:hAnsi="Arial" w:cs="Arial"/>
          <w:sz w:val="22"/>
        </w:rPr>
        <w:t xml:space="preserve"> </w:t>
      </w:r>
    </w:p>
    <w:p w:rsidR="007E22EE" w:rsidRPr="00BE2697" w:rsidRDefault="007E22EE" w:rsidP="007B6F62">
      <w:pPr>
        <w:pStyle w:val="CourtNumberedpara"/>
        <w:spacing w:line="276" w:lineRule="auto"/>
        <w:jc w:val="both"/>
        <w:rPr>
          <w:rFonts w:ascii="Arial" w:eastAsia="Times New Roman" w:hAnsi="Arial" w:cs="Arial"/>
          <w:sz w:val="22"/>
        </w:rPr>
      </w:pPr>
      <w:r w:rsidRPr="00BE2697">
        <w:rPr>
          <w:rFonts w:ascii="Arial" w:eastAsia="Times New Roman" w:hAnsi="Arial" w:cs="Arial"/>
          <w:sz w:val="22"/>
        </w:rPr>
        <w:t xml:space="preserve">Equally pertinent, the World Medical Association (WMA) has consistently and categorically rejected the practice of euthanasia and assisted suicide as being unethical. Most recently, the WMA reaffirmed an earlier resolution against euthanasia in Bali, Indonesia, </w:t>
      </w:r>
      <w:r w:rsidR="00A92107" w:rsidRPr="00BE2697">
        <w:rPr>
          <w:rFonts w:ascii="Arial" w:eastAsia="Times New Roman" w:hAnsi="Arial" w:cs="Arial"/>
          <w:sz w:val="22"/>
        </w:rPr>
        <w:t xml:space="preserve">in </w:t>
      </w:r>
      <w:r w:rsidRPr="00BE2697">
        <w:rPr>
          <w:rFonts w:ascii="Arial" w:eastAsia="Times New Roman" w:hAnsi="Arial" w:cs="Arial"/>
          <w:sz w:val="22"/>
        </w:rPr>
        <w:t>April 2013. The resolution includes the following statements:</w:t>
      </w:r>
    </w:p>
    <w:p w:rsidR="007E22EE" w:rsidRPr="00BE2697" w:rsidRDefault="007E22EE" w:rsidP="007B6F62">
      <w:pPr>
        <w:ind w:left="1440" w:right="720"/>
        <w:jc w:val="both"/>
        <w:rPr>
          <w:rFonts w:ascii="Arial" w:eastAsia="Calibri" w:hAnsi="Arial" w:cs="Arial"/>
          <w:sz w:val="20"/>
        </w:rPr>
      </w:pPr>
      <w:r w:rsidRPr="00BE2697">
        <w:rPr>
          <w:rFonts w:ascii="Arial" w:eastAsia="Calibri" w:hAnsi="Arial" w:cs="Arial"/>
          <w:sz w:val="20"/>
        </w:rPr>
        <w:t xml:space="preserve">Euthanasia, that is the act of deliberately ending the life of a patient, even at the patient's own request or at the request of close relatives, is unethical. This does not prevent the physician from respecting the desire of a patient to </w:t>
      </w:r>
      <w:r w:rsidRPr="00BE2697">
        <w:rPr>
          <w:rFonts w:ascii="Arial" w:eastAsia="Calibri" w:hAnsi="Arial" w:cs="Arial"/>
          <w:sz w:val="20"/>
        </w:rPr>
        <w:lastRenderedPageBreak/>
        <w:t>allow the natural process of death to follow its course in the terminal phase of sickness.</w:t>
      </w:r>
      <w:r w:rsidRPr="00BE2697">
        <w:rPr>
          <w:rFonts w:ascii="Arial" w:eastAsia="Calibri" w:hAnsi="Arial" w:cs="Arial"/>
          <w:sz w:val="20"/>
          <w:vertAlign w:val="superscript"/>
        </w:rPr>
        <w:footnoteReference w:id="56"/>
      </w:r>
    </w:p>
    <w:p w:rsidR="007E22EE" w:rsidRPr="00BE2697" w:rsidRDefault="007E22EE" w:rsidP="007B6F62">
      <w:pPr>
        <w:ind w:left="1440" w:right="720"/>
        <w:jc w:val="both"/>
        <w:rPr>
          <w:rFonts w:ascii="Arial" w:eastAsia="Calibri" w:hAnsi="Arial" w:cs="Arial"/>
          <w:sz w:val="20"/>
        </w:rPr>
      </w:pPr>
    </w:p>
    <w:p w:rsidR="007E22EE" w:rsidRPr="00BE2697" w:rsidRDefault="007E22EE" w:rsidP="007B6F62">
      <w:pPr>
        <w:ind w:left="1440" w:right="720"/>
        <w:jc w:val="both"/>
        <w:rPr>
          <w:rFonts w:ascii="Arial" w:eastAsia="Calibri" w:hAnsi="Arial" w:cs="Arial"/>
          <w:sz w:val="20"/>
        </w:rPr>
      </w:pPr>
      <w:r w:rsidRPr="00BE2697">
        <w:rPr>
          <w:rFonts w:ascii="Arial" w:eastAsia="Calibri" w:hAnsi="Arial" w:cs="Arial"/>
          <w:sz w:val="20"/>
        </w:rPr>
        <w:t xml:space="preserve">Physicians-assisted suicide, like euthanasia, is unethical and must be condemned by the medical profession. </w:t>
      </w:r>
      <w:proofErr w:type="gramStart"/>
      <w:r w:rsidRPr="00BE2697">
        <w:rPr>
          <w:rFonts w:ascii="Arial" w:eastAsia="Calibri" w:hAnsi="Arial" w:cs="Arial"/>
          <w:sz w:val="20"/>
        </w:rPr>
        <w:t>Where the assistance of the physician is intentionally and deliberately directed at enabling an individual to end his or her own life, the physician acts unethically.</w:t>
      </w:r>
      <w:proofErr w:type="gramEnd"/>
      <w:r w:rsidRPr="00BE2697">
        <w:rPr>
          <w:rFonts w:ascii="Arial" w:eastAsia="Calibri" w:hAnsi="Arial" w:cs="Arial"/>
          <w:sz w:val="20"/>
        </w:rPr>
        <w:t xml:space="preserve"> However the right to decline medical treatment is a basic right of the patient and the physician does not act unethically even if respecting such a wish results in the death of the patient.</w:t>
      </w:r>
      <w:r w:rsidRPr="00BE2697">
        <w:rPr>
          <w:rFonts w:ascii="Arial" w:eastAsia="Calibri" w:hAnsi="Arial" w:cs="Arial"/>
          <w:sz w:val="20"/>
          <w:vertAlign w:val="superscript"/>
        </w:rPr>
        <w:footnoteReference w:id="57"/>
      </w:r>
    </w:p>
    <w:p w:rsidR="007E22EE" w:rsidRPr="00BE2697" w:rsidRDefault="007E22EE" w:rsidP="007B6F62">
      <w:pPr>
        <w:ind w:left="1440" w:right="720"/>
        <w:jc w:val="both"/>
        <w:rPr>
          <w:rFonts w:ascii="Arial" w:eastAsia="Calibri" w:hAnsi="Arial" w:cs="Arial"/>
          <w:sz w:val="20"/>
        </w:rPr>
      </w:pPr>
    </w:p>
    <w:p w:rsidR="007E22EE" w:rsidRPr="00BE2697" w:rsidRDefault="007E22EE" w:rsidP="007B6F62">
      <w:pPr>
        <w:ind w:left="1440" w:right="720"/>
        <w:jc w:val="both"/>
        <w:rPr>
          <w:rFonts w:ascii="Arial" w:eastAsia="Calibri" w:hAnsi="Arial" w:cs="Arial"/>
          <w:sz w:val="20"/>
        </w:rPr>
      </w:pPr>
      <w:r w:rsidRPr="00BE2697">
        <w:rPr>
          <w:rFonts w:ascii="Arial" w:eastAsia="Calibri" w:hAnsi="Arial" w:cs="Arial"/>
          <w:sz w:val="20"/>
        </w:rPr>
        <w:t>BE IT RESOLVED that:</w:t>
      </w:r>
    </w:p>
    <w:p w:rsidR="007E22EE" w:rsidRPr="00BE2697" w:rsidRDefault="007E22EE" w:rsidP="007B6F62">
      <w:pPr>
        <w:ind w:left="1440" w:right="720"/>
        <w:jc w:val="both"/>
        <w:rPr>
          <w:rFonts w:ascii="Arial" w:eastAsia="Calibri" w:hAnsi="Arial" w:cs="Arial"/>
          <w:sz w:val="20"/>
        </w:rPr>
      </w:pPr>
    </w:p>
    <w:p w:rsidR="007E22EE" w:rsidRPr="00BE2697" w:rsidRDefault="007E22EE" w:rsidP="007B6F62">
      <w:pPr>
        <w:ind w:left="1440" w:right="720"/>
        <w:jc w:val="both"/>
        <w:rPr>
          <w:rFonts w:ascii="Arial" w:eastAsia="Calibri" w:hAnsi="Arial" w:cs="Arial"/>
          <w:sz w:val="20"/>
        </w:rPr>
      </w:pPr>
      <w:r w:rsidRPr="00BE2697">
        <w:rPr>
          <w:rFonts w:ascii="Arial" w:eastAsia="Calibri" w:hAnsi="Arial" w:cs="Arial"/>
          <w:sz w:val="20"/>
        </w:rPr>
        <w:t>The World Medical Association reaffirms its strong belief that euthanasia is in conflict with basic ethical principles of medical practice, and</w:t>
      </w:r>
    </w:p>
    <w:p w:rsidR="007E22EE" w:rsidRPr="00BE2697" w:rsidRDefault="007E22EE" w:rsidP="007B6F62">
      <w:pPr>
        <w:ind w:left="1440" w:right="720"/>
        <w:jc w:val="both"/>
        <w:rPr>
          <w:rFonts w:ascii="Arial" w:eastAsia="Calibri" w:hAnsi="Arial" w:cs="Arial"/>
          <w:sz w:val="20"/>
        </w:rPr>
      </w:pPr>
    </w:p>
    <w:p w:rsidR="007E22EE" w:rsidRPr="00BE2697" w:rsidRDefault="007E22EE" w:rsidP="007B6F62">
      <w:pPr>
        <w:ind w:left="1440" w:right="720"/>
        <w:jc w:val="both"/>
        <w:rPr>
          <w:rFonts w:ascii="Arial" w:eastAsia="Calibri" w:hAnsi="Arial" w:cs="Arial"/>
          <w:sz w:val="22"/>
        </w:rPr>
      </w:pPr>
      <w:r w:rsidRPr="00BE2697">
        <w:rPr>
          <w:rFonts w:ascii="Arial" w:eastAsia="Calibri" w:hAnsi="Arial" w:cs="Arial"/>
          <w:sz w:val="20"/>
        </w:rPr>
        <w:t>The World Medical Association strongly encourages all National Medical Associations and physicians to refrain from participating in euthanasia, even if national law allows it or decriminalizes it under certain conditions.</w:t>
      </w:r>
      <w:r w:rsidRPr="00BE2697">
        <w:rPr>
          <w:rFonts w:ascii="Arial" w:eastAsia="Calibri" w:hAnsi="Arial" w:cs="Arial"/>
          <w:sz w:val="20"/>
          <w:vertAlign w:val="superscript"/>
        </w:rPr>
        <w:footnoteReference w:id="58"/>
      </w:r>
    </w:p>
    <w:p w:rsidR="007E22EE" w:rsidRPr="00BE2697" w:rsidRDefault="007E22EE" w:rsidP="00E91F71">
      <w:pPr>
        <w:pStyle w:val="ListParagraph"/>
        <w:numPr>
          <w:ilvl w:val="0"/>
          <w:numId w:val="8"/>
        </w:numPr>
        <w:spacing w:line="276" w:lineRule="auto"/>
        <w:jc w:val="both"/>
        <w:rPr>
          <w:rFonts w:ascii="Arial" w:hAnsi="Arial" w:cs="Arial"/>
          <w:b/>
          <w:sz w:val="22"/>
        </w:rPr>
      </w:pPr>
      <w:r w:rsidRPr="00BE2697">
        <w:rPr>
          <w:rFonts w:ascii="Arial" w:hAnsi="Arial" w:cs="Arial"/>
          <w:b/>
          <w:sz w:val="22"/>
        </w:rPr>
        <w:t>Conclusion</w:t>
      </w:r>
    </w:p>
    <w:p w:rsidR="007E22EE"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Thus, given the unambiguous language of UN treaties and regional human rights treaties, the clear reasoning of the </w:t>
      </w:r>
      <w:proofErr w:type="spellStart"/>
      <w:r w:rsidRPr="00BE2697">
        <w:rPr>
          <w:rFonts w:ascii="Arial" w:eastAsia="Calibri" w:hAnsi="Arial" w:cs="Arial"/>
          <w:sz w:val="22"/>
        </w:rPr>
        <w:t>ECH</w:t>
      </w:r>
      <w:r w:rsidR="006F3D78">
        <w:rPr>
          <w:rFonts w:ascii="Arial" w:eastAsia="Calibri" w:hAnsi="Arial" w:cs="Arial"/>
          <w:sz w:val="22"/>
        </w:rPr>
        <w:t>t</w:t>
      </w:r>
      <w:r w:rsidRPr="00BE2697">
        <w:rPr>
          <w:rFonts w:ascii="Arial" w:eastAsia="Calibri" w:hAnsi="Arial" w:cs="Arial"/>
          <w:sz w:val="22"/>
        </w:rPr>
        <w:t>R</w:t>
      </w:r>
      <w:proofErr w:type="spellEnd"/>
      <w:r w:rsidRPr="00BE2697">
        <w:rPr>
          <w:rFonts w:ascii="Arial" w:eastAsia="Calibri" w:hAnsi="Arial" w:cs="Arial"/>
          <w:sz w:val="22"/>
        </w:rPr>
        <w:t xml:space="preserve"> and other human rights bodies, and the resolutions and recommendations of both medical and international human rights bodies, a so-called “right to die,” either at the hands of a third person or with the assistance of a public authority, does not exist within the Article 6 ICCPR protections </w:t>
      </w:r>
      <w:r w:rsidR="006F3D78">
        <w:rPr>
          <w:rFonts w:ascii="Arial" w:eastAsia="Calibri" w:hAnsi="Arial" w:cs="Arial"/>
          <w:sz w:val="22"/>
        </w:rPr>
        <w:t xml:space="preserve">for the right to life. As the </w:t>
      </w:r>
      <w:proofErr w:type="spellStart"/>
      <w:r w:rsidR="006F3D78">
        <w:rPr>
          <w:rFonts w:ascii="Arial" w:eastAsia="Calibri" w:hAnsi="Arial" w:cs="Arial"/>
          <w:sz w:val="22"/>
        </w:rPr>
        <w:t>ECtHR</w:t>
      </w:r>
      <w:proofErr w:type="spellEnd"/>
      <w:r w:rsidR="006F3D78">
        <w:rPr>
          <w:rFonts w:ascii="Arial" w:eastAsia="Calibri" w:hAnsi="Arial" w:cs="Arial"/>
          <w:sz w:val="22"/>
        </w:rPr>
        <w:t xml:space="preserve"> </w:t>
      </w:r>
      <w:r w:rsidRPr="00BE2697">
        <w:rPr>
          <w:rFonts w:ascii="Arial" w:eastAsia="Calibri" w:hAnsi="Arial" w:cs="Arial"/>
          <w:sz w:val="22"/>
        </w:rPr>
        <w:t>has stated, it would take a “distortion of language” for the right to life to be interpreted as “conferring the diametrically opposite right.”</w:t>
      </w:r>
      <w:r w:rsidRPr="00BE2697">
        <w:rPr>
          <w:rFonts w:ascii="Arial" w:eastAsia="Calibri" w:hAnsi="Arial" w:cs="Arial"/>
          <w:sz w:val="22"/>
          <w:vertAlign w:val="superscript"/>
        </w:rPr>
        <w:footnoteReference w:id="59"/>
      </w:r>
    </w:p>
    <w:p w:rsidR="006F3D78" w:rsidRDefault="006F3D78" w:rsidP="00F7605F">
      <w:pPr>
        <w:pStyle w:val="CourtNumberedpara"/>
        <w:numPr>
          <w:ilvl w:val="0"/>
          <w:numId w:val="0"/>
        </w:numPr>
        <w:spacing w:before="0" w:after="0"/>
        <w:ind w:left="792" w:hanging="360"/>
        <w:rPr>
          <w:rFonts w:ascii="Arial" w:eastAsia="Calibri" w:hAnsi="Arial" w:cs="Arial"/>
          <w:b/>
          <w:sz w:val="22"/>
        </w:rPr>
      </w:pPr>
    </w:p>
    <w:p w:rsidR="00F7605F" w:rsidRPr="00F7605F" w:rsidRDefault="00F7605F" w:rsidP="00F7605F">
      <w:pPr>
        <w:pStyle w:val="CourtNumberedpara"/>
        <w:numPr>
          <w:ilvl w:val="0"/>
          <w:numId w:val="0"/>
        </w:numPr>
        <w:spacing w:before="0" w:after="0"/>
        <w:ind w:left="792" w:hanging="360"/>
        <w:rPr>
          <w:rFonts w:ascii="Arial" w:eastAsia="Calibri" w:hAnsi="Arial" w:cs="Arial"/>
          <w:b/>
          <w:sz w:val="22"/>
        </w:rPr>
      </w:pPr>
    </w:p>
    <w:p w:rsidR="00F7605F" w:rsidRPr="00F7605F" w:rsidRDefault="00F7605F" w:rsidP="00F7605F">
      <w:pPr>
        <w:pStyle w:val="CourtNumberedpara"/>
        <w:numPr>
          <w:ilvl w:val="0"/>
          <w:numId w:val="0"/>
        </w:numPr>
        <w:spacing w:before="0" w:after="0"/>
        <w:ind w:left="792" w:hanging="360"/>
        <w:rPr>
          <w:rFonts w:ascii="Arial" w:eastAsia="Calibri" w:hAnsi="Arial" w:cs="Arial"/>
          <w:b/>
          <w:sz w:val="22"/>
        </w:rPr>
      </w:pPr>
      <w:r w:rsidRPr="00F7605F">
        <w:rPr>
          <w:rFonts w:ascii="Arial" w:eastAsia="Calibri" w:hAnsi="Arial" w:cs="Arial"/>
          <w:b/>
          <w:sz w:val="22"/>
        </w:rPr>
        <w:t>Submitted By:</w:t>
      </w:r>
    </w:p>
    <w:p w:rsidR="007F771B" w:rsidRDefault="007F771B" w:rsidP="0067582D">
      <w:pPr>
        <w:pStyle w:val="CourtNumberedpara"/>
        <w:numPr>
          <w:ilvl w:val="0"/>
          <w:numId w:val="0"/>
        </w:numPr>
        <w:spacing w:before="0" w:after="0"/>
        <w:ind w:left="792" w:hanging="360"/>
        <w:jc w:val="center"/>
        <w:rPr>
          <w:rFonts w:ascii="Arial" w:eastAsia="Calibri" w:hAnsi="Arial" w:cs="Arial"/>
          <w:sz w:val="22"/>
        </w:rPr>
      </w:pPr>
    </w:p>
    <w:p w:rsidR="00F7605F" w:rsidRDefault="00F7605F" w:rsidP="00F7605F">
      <w:pPr>
        <w:pStyle w:val="CourtNumberedpara"/>
        <w:numPr>
          <w:ilvl w:val="0"/>
          <w:numId w:val="0"/>
        </w:numPr>
        <w:spacing w:before="0" w:after="0"/>
        <w:ind w:left="792" w:hanging="360"/>
        <w:rPr>
          <w:rFonts w:ascii="Arial" w:eastAsia="Calibri" w:hAnsi="Arial" w:cs="Arial"/>
          <w:b/>
          <w:sz w:val="22"/>
        </w:rPr>
      </w:pPr>
      <w:r w:rsidRPr="00F7605F">
        <w:rPr>
          <w:rFonts w:ascii="Arial" w:eastAsia="Calibri" w:hAnsi="Arial" w:cs="Arial"/>
          <w:b/>
          <w:sz w:val="22"/>
        </w:rPr>
        <w:t>Paul Coleman</w:t>
      </w:r>
      <w:r w:rsidRPr="00F7605F">
        <w:rPr>
          <w:rFonts w:ascii="Arial" w:eastAsia="Calibri" w:hAnsi="Arial" w:cs="Arial"/>
          <w:b/>
          <w:sz w:val="22"/>
        </w:rPr>
        <w:tab/>
      </w:r>
      <w:r w:rsidRPr="00F7605F">
        <w:rPr>
          <w:rFonts w:ascii="Arial" w:eastAsia="Calibri" w:hAnsi="Arial" w:cs="Arial"/>
          <w:b/>
          <w:sz w:val="22"/>
        </w:rPr>
        <w:tab/>
      </w:r>
      <w:r>
        <w:rPr>
          <w:rFonts w:ascii="Arial" w:eastAsia="Calibri" w:hAnsi="Arial" w:cs="Arial"/>
          <w:b/>
          <w:sz w:val="22"/>
        </w:rPr>
        <w:t xml:space="preserve">      </w:t>
      </w:r>
    </w:p>
    <w:p w:rsidR="00F7605F" w:rsidRDefault="00F7605F" w:rsidP="00F7605F">
      <w:pPr>
        <w:pStyle w:val="CourtNumberedpara"/>
        <w:numPr>
          <w:ilvl w:val="0"/>
          <w:numId w:val="0"/>
        </w:numPr>
        <w:spacing w:before="0" w:after="0"/>
        <w:ind w:left="792" w:hanging="360"/>
        <w:rPr>
          <w:rFonts w:ascii="Arial" w:eastAsia="Calibri" w:hAnsi="Arial" w:cs="Arial"/>
          <w:sz w:val="22"/>
        </w:rPr>
      </w:pPr>
      <w:r>
        <w:rPr>
          <w:rFonts w:ascii="Arial" w:eastAsia="Calibri" w:hAnsi="Arial" w:cs="Arial"/>
          <w:sz w:val="22"/>
        </w:rPr>
        <w:t>Dir</w:t>
      </w:r>
      <w:r w:rsidRPr="00F7605F">
        <w:rPr>
          <w:rFonts w:ascii="Arial" w:eastAsia="Calibri" w:hAnsi="Arial" w:cs="Arial"/>
          <w:sz w:val="22"/>
        </w:rPr>
        <w:t xml:space="preserve">ector of UN Advocacy </w:t>
      </w:r>
    </w:p>
    <w:p w:rsidR="00F7605F" w:rsidRDefault="00F7605F" w:rsidP="00F7605F">
      <w:pPr>
        <w:pStyle w:val="CourtNumberedpara"/>
        <w:numPr>
          <w:ilvl w:val="0"/>
          <w:numId w:val="0"/>
        </w:numPr>
        <w:spacing w:before="0" w:after="0"/>
        <w:ind w:left="792" w:hanging="360"/>
        <w:rPr>
          <w:rFonts w:ascii="Arial" w:eastAsia="Calibri" w:hAnsi="Arial" w:cs="Arial"/>
          <w:b/>
          <w:sz w:val="22"/>
        </w:rPr>
      </w:pPr>
      <w:r w:rsidRPr="00F7605F">
        <w:rPr>
          <w:rFonts w:ascii="Arial" w:eastAsia="Calibri" w:hAnsi="Arial" w:cs="Arial"/>
          <w:sz w:val="22"/>
        </w:rPr>
        <w:tab/>
      </w:r>
    </w:p>
    <w:p w:rsidR="00F7605F" w:rsidRDefault="00F7605F" w:rsidP="00F7605F">
      <w:pPr>
        <w:pStyle w:val="CourtNumberedpara"/>
        <w:numPr>
          <w:ilvl w:val="0"/>
          <w:numId w:val="0"/>
        </w:numPr>
        <w:spacing w:before="0" w:after="0"/>
        <w:ind w:left="792" w:hanging="360"/>
        <w:rPr>
          <w:rFonts w:ascii="Arial" w:eastAsia="Calibri" w:hAnsi="Arial" w:cs="Arial"/>
          <w:b/>
          <w:sz w:val="22"/>
        </w:rPr>
      </w:pPr>
      <w:r w:rsidRPr="00F7605F">
        <w:rPr>
          <w:rFonts w:ascii="Arial" w:eastAsia="Calibri" w:hAnsi="Arial" w:cs="Arial"/>
          <w:b/>
          <w:sz w:val="22"/>
        </w:rPr>
        <w:t>Kelsey Zorzi</w:t>
      </w:r>
      <w:r>
        <w:rPr>
          <w:rFonts w:ascii="Arial" w:eastAsia="Calibri" w:hAnsi="Arial" w:cs="Arial"/>
          <w:b/>
          <w:sz w:val="22"/>
        </w:rPr>
        <w:tab/>
      </w:r>
      <w:r>
        <w:rPr>
          <w:rFonts w:ascii="Arial" w:eastAsia="Calibri" w:hAnsi="Arial" w:cs="Arial"/>
          <w:b/>
          <w:sz w:val="22"/>
        </w:rPr>
        <w:tab/>
      </w:r>
    </w:p>
    <w:p w:rsidR="00F7605F" w:rsidRPr="00F7605F" w:rsidRDefault="00F7605F" w:rsidP="00F7605F">
      <w:pPr>
        <w:pStyle w:val="CourtNumberedpara"/>
        <w:numPr>
          <w:ilvl w:val="0"/>
          <w:numId w:val="0"/>
        </w:numPr>
        <w:spacing w:before="0" w:after="0"/>
        <w:ind w:firstLine="432"/>
        <w:rPr>
          <w:rFonts w:ascii="Arial" w:eastAsia="Calibri" w:hAnsi="Arial" w:cs="Arial"/>
          <w:b/>
          <w:sz w:val="22"/>
        </w:rPr>
      </w:pPr>
      <w:r w:rsidRPr="00F7605F">
        <w:rPr>
          <w:rFonts w:ascii="Arial" w:eastAsia="Calibri" w:hAnsi="Arial" w:cs="Arial"/>
          <w:sz w:val="22"/>
        </w:rPr>
        <w:t xml:space="preserve">UN Counsel </w:t>
      </w:r>
      <w:r>
        <w:rPr>
          <w:rFonts w:ascii="Arial" w:eastAsia="Calibri" w:hAnsi="Arial" w:cs="Arial"/>
          <w:sz w:val="22"/>
        </w:rPr>
        <w:tab/>
      </w:r>
      <w:r>
        <w:rPr>
          <w:rFonts w:ascii="Arial" w:eastAsia="Calibri" w:hAnsi="Arial" w:cs="Arial"/>
          <w:sz w:val="22"/>
        </w:rPr>
        <w:tab/>
      </w:r>
    </w:p>
    <w:p w:rsidR="00F7605F" w:rsidRDefault="00F7605F" w:rsidP="00F7605F">
      <w:pPr>
        <w:pStyle w:val="CourtNumberedpara"/>
        <w:numPr>
          <w:ilvl w:val="0"/>
          <w:numId w:val="0"/>
        </w:numPr>
        <w:spacing w:before="0" w:after="0"/>
        <w:ind w:left="720"/>
        <w:rPr>
          <w:rFonts w:ascii="Arial" w:eastAsia="Calibri" w:hAnsi="Arial" w:cs="Arial"/>
          <w:b/>
          <w:sz w:val="22"/>
        </w:rPr>
      </w:pPr>
    </w:p>
    <w:p w:rsidR="00F7605F" w:rsidRDefault="00F7605F" w:rsidP="00F7605F">
      <w:pPr>
        <w:pStyle w:val="CourtNumberedpara"/>
        <w:numPr>
          <w:ilvl w:val="0"/>
          <w:numId w:val="0"/>
        </w:numPr>
        <w:spacing w:before="0" w:after="0"/>
        <w:ind w:left="792" w:hanging="360"/>
        <w:rPr>
          <w:rFonts w:ascii="Arial" w:eastAsia="Calibri" w:hAnsi="Arial" w:cs="Arial"/>
          <w:b/>
          <w:sz w:val="22"/>
        </w:rPr>
      </w:pPr>
      <w:r w:rsidRPr="00F7605F">
        <w:rPr>
          <w:rFonts w:ascii="Arial" w:eastAsia="Calibri" w:hAnsi="Arial" w:cs="Arial"/>
          <w:b/>
          <w:sz w:val="22"/>
        </w:rPr>
        <w:t>Meghan Grizzle Fischer</w:t>
      </w:r>
    </w:p>
    <w:p w:rsidR="007F771B" w:rsidRDefault="00F7605F" w:rsidP="00F7605F">
      <w:pPr>
        <w:pStyle w:val="CourtNumberedpara"/>
        <w:numPr>
          <w:ilvl w:val="0"/>
          <w:numId w:val="0"/>
        </w:numPr>
        <w:spacing w:before="0" w:after="0"/>
        <w:ind w:left="792" w:hanging="360"/>
        <w:rPr>
          <w:rFonts w:ascii="Arial" w:eastAsia="Calibri" w:hAnsi="Arial" w:cs="Arial"/>
          <w:sz w:val="22"/>
        </w:rPr>
      </w:pPr>
      <w:r w:rsidRPr="00F7605F">
        <w:rPr>
          <w:rFonts w:ascii="Arial" w:eastAsia="Calibri" w:hAnsi="Arial" w:cs="Arial"/>
          <w:sz w:val="22"/>
        </w:rPr>
        <w:t>UN Counsel</w:t>
      </w:r>
    </w:p>
    <w:p w:rsidR="007F771B" w:rsidRPr="00BE2697" w:rsidRDefault="007F771B" w:rsidP="007F771B">
      <w:pPr>
        <w:pStyle w:val="CourtNumberedpara"/>
        <w:numPr>
          <w:ilvl w:val="0"/>
          <w:numId w:val="0"/>
        </w:numPr>
        <w:spacing w:before="0" w:after="0"/>
        <w:ind w:left="792" w:hanging="360"/>
        <w:jc w:val="both"/>
        <w:rPr>
          <w:rFonts w:ascii="Arial" w:eastAsia="Calibri" w:hAnsi="Arial" w:cs="Arial"/>
          <w:sz w:val="22"/>
        </w:rPr>
      </w:pPr>
    </w:p>
    <w:p w:rsidR="007E22EE" w:rsidRPr="005F683F" w:rsidRDefault="007E22EE" w:rsidP="007F771B">
      <w:pPr>
        <w:pStyle w:val="CourtNumberedpara"/>
        <w:numPr>
          <w:ilvl w:val="0"/>
          <w:numId w:val="0"/>
        </w:numPr>
        <w:spacing w:before="0" w:after="0"/>
        <w:ind w:left="792" w:right="1107" w:hanging="360"/>
        <w:jc w:val="both"/>
        <w:rPr>
          <w:rFonts w:ascii="Arial" w:hAnsi="Arial" w:cs="Arial"/>
          <w:b/>
          <w:sz w:val="14"/>
        </w:rPr>
      </w:pPr>
    </w:p>
    <w:sectPr w:rsidR="007E22EE" w:rsidRPr="005F683F" w:rsidSect="007F771B">
      <w:headerReference w:type="default" r:id="rId11"/>
      <w:footerReference w:type="default" r:id="rId12"/>
      <w:headerReference w:type="first" r:id="rId13"/>
      <w:footerReference w:type="first" r:id="rId14"/>
      <w:type w:val="continuous"/>
      <w:pgSz w:w="11907" w:h="16839" w:code="9"/>
      <w:pgMar w:top="1728"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F71" w:rsidRDefault="00E91F71" w:rsidP="008D2BAE">
      <w:r>
        <w:separator/>
      </w:r>
    </w:p>
  </w:endnote>
  <w:endnote w:type="continuationSeparator" w:id="0">
    <w:p w:rsidR="00E91F71" w:rsidRDefault="00E91F71" w:rsidP="008D2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inion">
    <w:altName w:val="Minio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7D6" w:rsidRDefault="00EB47D6" w:rsidP="0086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47D6" w:rsidRDefault="00EB47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7D6" w:rsidRPr="0093262F" w:rsidRDefault="00EB47D6" w:rsidP="008658EA">
    <w:pPr>
      <w:pStyle w:val="Footer"/>
      <w:framePr w:wrap="around" w:vAnchor="text" w:hAnchor="margin" w:xAlign="center" w:y="1"/>
      <w:rPr>
        <w:rStyle w:val="PageNumber"/>
        <w:rFonts w:ascii="Times" w:hAnsi="Times"/>
      </w:rPr>
    </w:pPr>
    <w:r w:rsidRPr="00CC0FAF">
      <w:rPr>
        <w:rStyle w:val="PageNumber"/>
        <w:rFonts w:ascii="Times" w:hAnsi="Times"/>
      </w:rPr>
      <w:fldChar w:fldCharType="begin"/>
    </w:r>
    <w:r w:rsidRPr="00CC0FAF">
      <w:rPr>
        <w:rStyle w:val="PageNumber"/>
        <w:rFonts w:ascii="Times" w:hAnsi="Times"/>
      </w:rPr>
      <w:instrText xml:space="preserve">PAGE  </w:instrText>
    </w:r>
    <w:r w:rsidRPr="00CC0FAF">
      <w:rPr>
        <w:rStyle w:val="PageNumber"/>
        <w:rFonts w:ascii="Times" w:hAnsi="Times"/>
      </w:rPr>
      <w:fldChar w:fldCharType="separate"/>
    </w:r>
    <w:r>
      <w:rPr>
        <w:rStyle w:val="PageNumber"/>
        <w:rFonts w:ascii="Times" w:hAnsi="Times"/>
        <w:noProof/>
      </w:rPr>
      <w:t>2</w:t>
    </w:r>
    <w:r w:rsidRPr="00CC0FAF">
      <w:rPr>
        <w:rStyle w:val="PageNumber"/>
        <w:rFonts w:ascii="Times" w:hAnsi="Times"/>
      </w:rPr>
      <w:fldChar w:fldCharType="end"/>
    </w:r>
  </w:p>
  <w:p w:rsidR="00EB47D6" w:rsidRDefault="00EB47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2"/>
      </w:rPr>
      <w:id w:val="261157794"/>
      <w:docPartObj>
        <w:docPartGallery w:val="Page Numbers (Bottom of Page)"/>
        <w:docPartUnique/>
      </w:docPartObj>
    </w:sdtPr>
    <w:sdtContent>
      <w:p w:rsidR="00EB47D6" w:rsidRPr="00326818" w:rsidRDefault="00EB47D6" w:rsidP="00BE2697">
        <w:pPr>
          <w:pStyle w:val="Footer"/>
          <w:jc w:val="center"/>
          <w:rPr>
            <w:rFonts w:ascii="Arial" w:hAnsi="Arial" w:cs="Arial"/>
            <w:sz w:val="22"/>
          </w:rPr>
        </w:pPr>
        <w:r w:rsidRPr="00326818">
          <w:rPr>
            <w:rFonts w:ascii="Arial" w:hAnsi="Arial" w:cs="Arial"/>
            <w:sz w:val="22"/>
          </w:rPr>
          <w:fldChar w:fldCharType="begin"/>
        </w:r>
        <w:r w:rsidRPr="00326818">
          <w:rPr>
            <w:rFonts w:ascii="Arial" w:hAnsi="Arial" w:cs="Arial"/>
            <w:sz w:val="22"/>
          </w:rPr>
          <w:instrText xml:space="preserve"> PAGE   \* MERGEFORMAT </w:instrText>
        </w:r>
        <w:r w:rsidRPr="00326818">
          <w:rPr>
            <w:rFonts w:ascii="Arial" w:hAnsi="Arial" w:cs="Arial"/>
            <w:sz w:val="22"/>
          </w:rPr>
          <w:fldChar w:fldCharType="separate"/>
        </w:r>
        <w:r w:rsidR="009E1577">
          <w:rPr>
            <w:rFonts w:ascii="Arial" w:hAnsi="Arial" w:cs="Arial"/>
            <w:noProof/>
            <w:sz w:val="22"/>
          </w:rPr>
          <w:t>2</w:t>
        </w:r>
        <w:r w:rsidRPr="00326818">
          <w:rPr>
            <w:rFonts w:ascii="Arial" w:hAnsi="Arial" w:cs="Arial"/>
            <w:sz w:val="22"/>
          </w:rPr>
          <w:fldChar w:fldCharType="end"/>
        </w:r>
      </w:p>
    </w:sdtContent>
  </w:sdt>
  <w:p w:rsidR="00EB47D6" w:rsidRPr="00326818" w:rsidRDefault="00EB47D6" w:rsidP="008D2BAE">
    <w:pPr>
      <w:pStyle w:val="Footer"/>
      <w:rPr>
        <w:rFonts w:ascii="Arial" w:hAnsi="Arial" w:cs="Arial"/>
        <w:sz w:val="2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7D6" w:rsidRPr="00326818" w:rsidRDefault="009E1577">
    <w:pPr>
      <w:pStyle w:val="Footer"/>
      <w:jc w:val="center"/>
      <w:rPr>
        <w:rFonts w:ascii="Arial" w:hAnsi="Arial" w:cs="Arial"/>
        <w:sz w:val="22"/>
      </w:rPr>
    </w:pPr>
    <w:r>
      <w:rPr>
        <w:rFonts w:ascii="Arial" w:hAnsi="Arial" w:cs="Arial"/>
        <w:sz w:val="22"/>
      </w:rPr>
      <w:t>1</w:t>
    </w:r>
  </w:p>
  <w:p w:rsidR="00EB47D6" w:rsidRPr="00326818" w:rsidRDefault="00EB47D6" w:rsidP="008D2BAE">
    <w:pPr>
      <w:ind w:left="792" w:hanging="360"/>
      <w:rPr>
        <w:rFonts w:ascii="Arial" w:hAnsi="Arial" w:cs="Arial"/>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F71" w:rsidRDefault="00E91F71" w:rsidP="008D2BAE">
      <w:r>
        <w:separator/>
      </w:r>
    </w:p>
  </w:footnote>
  <w:footnote w:type="continuationSeparator" w:id="0">
    <w:p w:rsidR="00E91F71" w:rsidRDefault="00E91F71" w:rsidP="008D2BAE">
      <w:r>
        <w:continuationSeparator/>
      </w:r>
    </w:p>
  </w:footnote>
  <w:footnote w:id="1">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proofErr w:type="gramStart"/>
      <w:r w:rsidRPr="00764C32">
        <w:rPr>
          <w:rFonts w:ascii="Arial" w:hAnsi="Arial" w:cs="Arial"/>
        </w:rPr>
        <w:t xml:space="preserve">Wording taken from the draft note prepared by Yuval </w:t>
      </w:r>
      <w:proofErr w:type="spellStart"/>
      <w:r w:rsidRPr="00764C32">
        <w:rPr>
          <w:rFonts w:ascii="Arial" w:hAnsi="Arial" w:cs="Arial"/>
        </w:rPr>
        <w:t>Shany</w:t>
      </w:r>
      <w:proofErr w:type="spellEnd"/>
      <w:r w:rsidRPr="00764C32">
        <w:rPr>
          <w:rFonts w:ascii="Arial" w:hAnsi="Arial" w:cs="Arial"/>
        </w:rPr>
        <w:t xml:space="preserve"> and Nigel </w:t>
      </w:r>
      <w:proofErr w:type="spellStart"/>
      <w:r w:rsidRPr="00764C32">
        <w:rPr>
          <w:rFonts w:ascii="Arial" w:hAnsi="Arial" w:cs="Arial"/>
        </w:rPr>
        <w:t>Rodley</w:t>
      </w:r>
      <w:proofErr w:type="spellEnd"/>
      <w:r w:rsidRPr="00764C32">
        <w:rPr>
          <w:rFonts w:ascii="Arial" w:hAnsi="Arial" w:cs="Arial"/>
        </w:rPr>
        <w:t xml:space="preserve">, </w:t>
      </w:r>
      <w:proofErr w:type="spellStart"/>
      <w:r w:rsidRPr="00764C32">
        <w:rPr>
          <w:rFonts w:ascii="Arial" w:hAnsi="Arial" w:cs="Arial"/>
        </w:rPr>
        <w:t>Rapporteurs</w:t>
      </w:r>
      <w:proofErr w:type="spellEnd"/>
      <w:r w:rsidRPr="00764C32">
        <w:rPr>
          <w:rFonts w:ascii="Arial" w:hAnsi="Arial" w:cs="Arial"/>
        </w:rPr>
        <w:t>, p.2 (CCPR/C/GC/R.36).</w:t>
      </w:r>
      <w:proofErr w:type="gramEnd"/>
      <w:r w:rsidRPr="00764C32">
        <w:rPr>
          <w:rFonts w:ascii="Arial" w:hAnsi="Arial" w:cs="Arial"/>
        </w:rPr>
        <w:t xml:space="preserve"> Available at </w:t>
      </w:r>
    </w:p>
    <w:p w:rsidR="00EB47D6" w:rsidRPr="00764C32" w:rsidRDefault="00EB47D6" w:rsidP="00BE2697">
      <w:pPr>
        <w:pStyle w:val="FootnoteText"/>
        <w:jc w:val="both"/>
        <w:rPr>
          <w:rFonts w:ascii="Arial" w:hAnsi="Arial" w:cs="Arial"/>
        </w:rPr>
      </w:pPr>
      <w:r w:rsidRPr="00764C32">
        <w:rPr>
          <w:rFonts w:ascii="Arial" w:hAnsi="Arial" w:cs="Arial"/>
        </w:rPr>
        <w:t>http://www.ohchr.org/EN/HRBodies/CCPR/Pages/GC36-Article6Righttolife.aspx.</w:t>
      </w:r>
    </w:p>
  </w:footnote>
  <w:footnote w:id="2">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r w:rsidRPr="00764C32">
        <w:rPr>
          <w:rStyle w:val="A7"/>
          <w:rFonts w:ascii="Arial" w:hAnsi="Arial" w:cs="Arial"/>
          <w:color w:val="auto"/>
          <w:sz w:val="20"/>
          <w:szCs w:val="20"/>
        </w:rPr>
        <w:t>Adopted 30 April 1982, HRI/GEN/1/Rev.9 (Vol. I).</w:t>
      </w:r>
    </w:p>
  </w:footnote>
  <w:footnote w:id="3">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In accordance with the Article 32 of the Vienna Convention, the </w:t>
      </w:r>
      <w:proofErr w:type="spellStart"/>
      <w:r w:rsidRPr="00764C32">
        <w:rPr>
          <w:rFonts w:ascii="Arial" w:hAnsi="Arial" w:cs="Arial"/>
          <w:i/>
        </w:rPr>
        <w:t>travaux</w:t>
      </w:r>
      <w:proofErr w:type="spellEnd"/>
      <w:r w:rsidRPr="00764C32">
        <w:rPr>
          <w:rFonts w:ascii="Arial" w:hAnsi="Arial" w:cs="Arial"/>
          <w:i/>
        </w:rPr>
        <w:t xml:space="preserve"> </w:t>
      </w:r>
      <w:proofErr w:type="spellStart"/>
      <w:r w:rsidRPr="00764C32">
        <w:rPr>
          <w:rFonts w:ascii="Arial" w:hAnsi="Arial" w:cs="Arial"/>
          <w:i/>
        </w:rPr>
        <w:t>préparatoires</w:t>
      </w:r>
      <w:proofErr w:type="spellEnd"/>
      <w:r w:rsidRPr="00764C32">
        <w:rPr>
          <w:rFonts w:ascii="Arial" w:hAnsi="Arial" w:cs="Arial"/>
        </w:rPr>
        <w:t xml:space="preserve"> are considered to be a “supplementary means of interpretation.”</w:t>
      </w:r>
    </w:p>
  </w:footnote>
  <w:footnote w:id="4">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proofErr w:type="gramStart"/>
      <w:r w:rsidRPr="00764C32">
        <w:rPr>
          <w:rFonts w:ascii="Arial" w:hAnsi="Arial" w:cs="Arial"/>
        </w:rPr>
        <w:t>A/3764 § 18.</w:t>
      </w:r>
      <w:proofErr w:type="gramEnd"/>
      <w:r w:rsidRPr="00764C32">
        <w:rPr>
          <w:rFonts w:ascii="Arial" w:hAnsi="Arial" w:cs="Arial"/>
        </w:rPr>
        <w:t xml:space="preserve"> Report of the Third Committee to the 12th Session of the General Assembly, 5 December 1957. </w:t>
      </w:r>
    </w:p>
  </w:footnote>
  <w:footnote w:id="5">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proofErr w:type="gramStart"/>
      <w:r w:rsidRPr="00764C32">
        <w:rPr>
          <w:rFonts w:ascii="Arial" w:hAnsi="Arial" w:cs="Arial"/>
        </w:rPr>
        <w:t>A/2929, Chapter VI, §10.</w:t>
      </w:r>
      <w:proofErr w:type="gramEnd"/>
      <w:r w:rsidRPr="00764C32">
        <w:rPr>
          <w:rFonts w:ascii="Arial" w:hAnsi="Arial" w:cs="Arial"/>
        </w:rPr>
        <w:t xml:space="preserve"> Report of the Secretary-General to the 10</w:t>
      </w:r>
      <w:r w:rsidRPr="00764C32">
        <w:rPr>
          <w:rFonts w:ascii="Arial" w:hAnsi="Arial" w:cs="Arial"/>
          <w:vertAlign w:val="superscript"/>
        </w:rPr>
        <w:t>th</w:t>
      </w:r>
      <w:r w:rsidRPr="00764C32">
        <w:rPr>
          <w:rFonts w:ascii="Arial" w:hAnsi="Arial" w:cs="Arial"/>
        </w:rPr>
        <w:t xml:space="preserve"> Session of the General Assembly, 1 July 1955. </w:t>
      </w:r>
    </w:p>
  </w:footnote>
  <w:footnote w:id="6">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proofErr w:type="gramStart"/>
      <w:r w:rsidRPr="00764C32">
        <w:rPr>
          <w:rFonts w:ascii="Arial" w:hAnsi="Arial" w:cs="Arial"/>
        </w:rPr>
        <w:t>Article 16.</w:t>
      </w:r>
      <w:proofErr w:type="gramEnd"/>
      <w:r w:rsidRPr="00764C32">
        <w:rPr>
          <w:rFonts w:ascii="Arial" w:hAnsi="Arial" w:cs="Arial"/>
        </w:rPr>
        <w:t xml:space="preserve"> Emphasis added.</w:t>
      </w:r>
    </w:p>
  </w:footnote>
  <w:footnote w:id="7">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Article 2(d). Emphasis added. In 1948 during the Nuremberg Trials, the practice of encouraging abortions among Eastern Europeans was considered a crime against humanity. See </w:t>
      </w:r>
      <w:r w:rsidRPr="00764C32">
        <w:rPr>
          <w:rFonts w:ascii="Arial" w:hAnsi="Arial" w:cs="Arial"/>
          <w:i/>
        </w:rPr>
        <w:t xml:space="preserve">United States v. </w:t>
      </w:r>
      <w:proofErr w:type="spellStart"/>
      <w:r w:rsidRPr="00764C32">
        <w:rPr>
          <w:rFonts w:ascii="Arial" w:hAnsi="Arial" w:cs="Arial"/>
          <w:i/>
        </w:rPr>
        <w:t>Greifelt</w:t>
      </w:r>
      <w:proofErr w:type="spellEnd"/>
      <w:r w:rsidRPr="00764C32">
        <w:rPr>
          <w:rFonts w:ascii="Arial" w:hAnsi="Arial" w:cs="Arial"/>
        </w:rPr>
        <w:t xml:space="preserve">, US Military Tribunal Nuremberg, Judgment of 10 March 1948, §§ 102–108. </w:t>
      </w:r>
    </w:p>
  </w:footnote>
  <w:footnote w:id="8">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vertAlign w:val="superscript"/>
        </w:rPr>
        <w:t xml:space="preserve"> </w:t>
      </w:r>
      <w:r w:rsidRPr="00764C32">
        <w:rPr>
          <w:rFonts w:ascii="Arial" w:hAnsi="Arial" w:cs="Arial"/>
        </w:rPr>
        <w:t xml:space="preserve">Article 31(2) states, “The context </w:t>
      </w:r>
      <w:proofErr w:type="gramStart"/>
      <w:r w:rsidRPr="00764C32">
        <w:rPr>
          <w:rFonts w:ascii="Arial" w:hAnsi="Arial" w:cs="Arial"/>
        </w:rPr>
        <w:t>[ .</w:t>
      </w:r>
      <w:proofErr w:type="gramEnd"/>
      <w:r w:rsidRPr="00764C32">
        <w:rPr>
          <w:rFonts w:ascii="Arial" w:hAnsi="Arial" w:cs="Arial"/>
        </w:rPr>
        <w:t xml:space="preserve"> . . ]</w:t>
      </w:r>
      <w:r w:rsidRPr="00764C32" w:rsidDel="00E059E5">
        <w:rPr>
          <w:rFonts w:ascii="Arial" w:hAnsi="Arial" w:cs="Arial"/>
        </w:rPr>
        <w:t xml:space="preserve"> </w:t>
      </w:r>
      <w:r w:rsidRPr="00764C32">
        <w:rPr>
          <w:rFonts w:ascii="Arial" w:hAnsi="Arial" w:cs="Arial"/>
        </w:rPr>
        <w:t xml:space="preserve">shall comprise [ . . . ] the text, including its preamble and annexes.” </w:t>
      </w:r>
    </w:p>
  </w:footnote>
  <w:footnote w:id="9">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vertAlign w:val="superscript"/>
        </w:rPr>
        <w:t xml:space="preserve"> </w:t>
      </w:r>
      <w:r w:rsidRPr="00764C32">
        <w:rPr>
          <w:rFonts w:ascii="Arial" w:hAnsi="Arial" w:cs="Arial"/>
        </w:rPr>
        <w:t>Emphasis added.</w:t>
      </w:r>
    </w:p>
  </w:footnote>
  <w:footnote w:id="10">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Application No. 53924/00, 8 July 2004.</w:t>
      </w:r>
    </w:p>
  </w:footnote>
  <w:footnote w:id="11">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r w:rsidRPr="00764C32">
        <w:rPr>
          <w:rFonts w:ascii="Arial" w:hAnsi="Arial" w:cs="Arial"/>
          <w:i/>
        </w:rPr>
        <w:t xml:space="preserve">Case of </w:t>
      </w:r>
      <w:proofErr w:type="gramStart"/>
      <w:r w:rsidRPr="00764C32">
        <w:rPr>
          <w:rFonts w:ascii="Arial" w:hAnsi="Arial" w:cs="Arial"/>
          <w:i/>
        </w:rPr>
        <w:t>Vo</w:t>
      </w:r>
      <w:proofErr w:type="gramEnd"/>
      <w:r w:rsidRPr="00764C32">
        <w:rPr>
          <w:rFonts w:ascii="Arial" w:hAnsi="Arial" w:cs="Arial"/>
          <w:i/>
        </w:rPr>
        <w:t xml:space="preserve"> v. France</w:t>
      </w:r>
      <w:r w:rsidRPr="00764C32">
        <w:rPr>
          <w:rFonts w:ascii="Arial" w:hAnsi="Arial" w:cs="Arial"/>
        </w:rPr>
        <w:t xml:space="preserve">, </w:t>
      </w:r>
      <w:r w:rsidRPr="00764C32">
        <w:rPr>
          <w:rFonts w:ascii="Arial" w:hAnsi="Arial" w:cs="Arial"/>
          <w:i/>
        </w:rPr>
        <w:t>op cit.</w:t>
      </w:r>
      <w:r w:rsidRPr="00764C32">
        <w:rPr>
          <w:rFonts w:ascii="Arial" w:hAnsi="Arial" w:cs="Arial"/>
        </w:rPr>
        <w:t xml:space="preserve">, at </w:t>
      </w:r>
      <w:proofErr w:type="spellStart"/>
      <w:r w:rsidRPr="00764C32">
        <w:rPr>
          <w:rFonts w:ascii="Arial" w:hAnsi="Arial" w:cs="Arial"/>
        </w:rPr>
        <w:t>para</w:t>
      </w:r>
      <w:proofErr w:type="spellEnd"/>
      <w:r w:rsidRPr="00764C32">
        <w:rPr>
          <w:rFonts w:ascii="Arial" w:hAnsi="Arial" w:cs="Arial"/>
        </w:rPr>
        <w:t>. 84.</w:t>
      </w:r>
    </w:p>
  </w:footnote>
  <w:footnote w:id="12">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r w:rsidRPr="00764C32">
        <w:rPr>
          <w:rFonts w:ascii="Arial" w:hAnsi="Arial" w:cs="Arial"/>
          <w:i/>
        </w:rPr>
        <w:t>Cf.</w:t>
      </w:r>
      <w:r w:rsidRPr="00764C32">
        <w:rPr>
          <w:rFonts w:ascii="Arial" w:hAnsi="Arial" w:cs="Arial"/>
        </w:rPr>
        <w:t xml:space="preserve"> </w:t>
      </w:r>
      <w:proofErr w:type="gramStart"/>
      <w:r w:rsidRPr="00764C32">
        <w:rPr>
          <w:rFonts w:ascii="Arial" w:hAnsi="Arial" w:cs="Arial"/>
          <w:i/>
        </w:rPr>
        <w:t>Vo</w:t>
      </w:r>
      <w:proofErr w:type="gramEnd"/>
      <w:r w:rsidRPr="00764C32">
        <w:rPr>
          <w:rFonts w:ascii="Arial" w:hAnsi="Arial" w:cs="Arial"/>
          <w:i/>
        </w:rPr>
        <w:t xml:space="preserve"> v. France</w:t>
      </w:r>
      <w:r w:rsidRPr="00764C32">
        <w:rPr>
          <w:rFonts w:ascii="Arial" w:hAnsi="Arial" w:cs="Arial"/>
        </w:rPr>
        <w:t xml:space="preserve">, </w:t>
      </w:r>
      <w:r w:rsidRPr="00764C32">
        <w:rPr>
          <w:rFonts w:ascii="Arial" w:hAnsi="Arial" w:cs="Arial"/>
          <w:i/>
        </w:rPr>
        <w:t xml:space="preserve">op. cit., </w:t>
      </w:r>
      <w:r w:rsidRPr="00764C32">
        <w:rPr>
          <w:rFonts w:ascii="Arial" w:hAnsi="Arial" w:cs="Arial"/>
        </w:rPr>
        <w:t xml:space="preserve">separate opinion of Judge Costa at </w:t>
      </w:r>
      <w:proofErr w:type="spellStart"/>
      <w:r w:rsidRPr="00764C32">
        <w:rPr>
          <w:rFonts w:ascii="Arial" w:hAnsi="Arial" w:cs="Arial"/>
        </w:rPr>
        <w:t>para</w:t>
      </w:r>
      <w:proofErr w:type="spellEnd"/>
      <w:r w:rsidRPr="00764C32">
        <w:rPr>
          <w:rFonts w:ascii="Arial" w:hAnsi="Arial" w:cs="Arial"/>
        </w:rPr>
        <w:t>. 11.</w:t>
      </w:r>
    </w:p>
  </w:footnote>
  <w:footnote w:id="13">
    <w:p w:rsidR="00EB47D6" w:rsidRPr="00764C32" w:rsidRDefault="00EB47D6" w:rsidP="00BE2697">
      <w:pPr>
        <w:jc w:val="both"/>
        <w:rPr>
          <w:rFonts w:ascii="Arial" w:eastAsia="Times New Roman"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w:t>
      </w:r>
      <w:r w:rsidRPr="00764C32">
        <w:rPr>
          <w:rFonts w:ascii="Arial" w:hAnsi="Arial" w:cs="Arial"/>
          <w:i/>
          <w:sz w:val="20"/>
          <w:szCs w:val="20"/>
        </w:rPr>
        <w:t>See e.g.</w:t>
      </w:r>
      <w:r w:rsidRPr="00764C32">
        <w:rPr>
          <w:rFonts w:ascii="Arial" w:hAnsi="Arial" w:cs="Arial"/>
          <w:sz w:val="20"/>
          <w:szCs w:val="20"/>
        </w:rPr>
        <w:t xml:space="preserve">: </w:t>
      </w:r>
      <w:r w:rsidRPr="00764C32">
        <w:rPr>
          <w:rFonts w:ascii="Arial" w:eastAsia="Times New Roman" w:hAnsi="Arial" w:cs="Arial"/>
          <w:i/>
          <w:iCs/>
          <w:sz w:val="20"/>
          <w:szCs w:val="20"/>
        </w:rPr>
        <w:t>S. H. and others v. Austria,</w:t>
      </w:r>
      <w:r w:rsidRPr="00764C32">
        <w:rPr>
          <w:rFonts w:ascii="Arial" w:eastAsia="Times New Roman" w:hAnsi="Arial" w:cs="Arial"/>
          <w:sz w:val="20"/>
          <w:szCs w:val="20"/>
        </w:rPr>
        <w:t xml:space="preserve"> [GC], no. 57813/02, 3 November 2011.</w:t>
      </w:r>
    </w:p>
  </w:footnote>
  <w:footnote w:id="14">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S</w:t>
      </w:r>
      <w:r w:rsidRPr="00764C32">
        <w:rPr>
          <w:rFonts w:ascii="Arial" w:hAnsi="Arial" w:cs="Arial"/>
          <w:i/>
        </w:rPr>
        <w:t xml:space="preserve">ee </w:t>
      </w:r>
      <w:r w:rsidRPr="00764C32">
        <w:rPr>
          <w:rFonts w:ascii="Arial" w:hAnsi="Arial" w:cs="Arial"/>
        </w:rPr>
        <w:t>Article 1 protecting human “dignity” and Article 3 on bioethics.</w:t>
      </w:r>
    </w:p>
  </w:footnote>
  <w:footnote w:id="15">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proofErr w:type="gramStart"/>
      <w:r w:rsidRPr="00764C32">
        <w:rPr>
          <w:rFonts w:ascii="Arial" w:hAnsi="Arial" w:cs="Arial"/>
          <w:i/>
        </w:rPr>
        <w:t>Oliver</w:t>
      </w:r>
      <w:r w:rsidRPr="00764C32">
        <w:rPr>
          <w:rFonts w:ascii="Arial" w:hAnsi="Arial" w:cs="Arial"/>
        </w:rPr>
        <w:t xml:space="preserve"> </w:t>
      </w:r>
      <w:proofErr w:type="spellStart"/>
      <w:r w:rsidRPr="00764C32">
        <w:rPr>
          <w:rFonts w:ascii="Arial" w:hAnsi="Arial" w:cs="Arial"/>
          <w:i/>
        </w:rPr>
        <w:t>Brüstle</w:t>
      </w:r>
      <w:proofErr w:type="spellEnd"/>
      <w:r w:rsidRPr="00764C32">
        <w:rPr>
          <w:rFonts w:ascii="Arial" w:hAnsi="Arial" w:cs="Arial"/>
          <w:i/>
        </w:rPr>
        <w:t xml:space="preserve"> v. Greenpeace </w:t>
      </w:r>
      <w:proofErr w:type="spellStart"/>
      <w:r w:rsidRPr="00764C32">
        <w:rPr>
          <w:rFonts w:ascii="Arial" w:hAnsi="Arial" w:cs="Arial"/>
          <w:i/>
        </w:rPr>
        <w:t>eV</w:t>
      </w:r>
      <w:proofErr w:type="spellEnd"/>
      <w:r w:rsidRPr="00764C32">
        <w:rPr>
          <w:rFonts w:ascii="Arial" w:hAnsi="Arial" w:cs="Arial"/>
          <w:i/>
        </w:rPr>
        <w:t>.</w:t>
      </w:r>
      <w:proofErr w:type="gramEnd"/>
      <w:r w:rsidRPr="00764C32">
        <w:rPr>
          <w:rFonts w:ascii="Arial" w:hAnsi="Arial" w:cs="Arial"/>
          <w:i/>
        </w:rPr>
        <w:t xml:space="preserve"> </w:t>
      </w:r>
      <w:r w:rsidRPr="00764C32">
        <w:rPr>
          <w:rFonts w:ascii="Arial" w:hAnsi="Arial" w:cs="Arial"/>
        </w:rPr>
        <w:t>C-34/10 (18 October 2011).</w:t>
      </w:r>
    </w:p>
  </w:footnote>
  <w:footnote w:id="16">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proofErr w:type="gramStart"/>
      <w:r w:rsidRPr="00764C32">
        <w:rPr>
          <w:rFonts w:ascii="Arial" w:hAnsi="Arial" w:cs="Arial"/>
          <w:i/>
        </w:rPr>
        <w:t>A., B. and C. v. Ireland</w:t>
      </w:r>
      <w:r w:rsidRPr="00764C32">
        <w:rPr>
          <w:rFonts w:ascii="Arial" w:hAnsi="Arial" w:cs="Arial"/>
        </w:rPr>
        <w:t xml:space="preserve">, [GC], no. 25579/05, 16 December 2010, at </w:t>
      </w:r>
      <w:proofErr w:type="spellStart"/>
      <w:r w:rsidRPr="00764C32">
        <w:rPr>
          <w:rFonts w:ascii="Arial" w:hAnsi="Arial" w:cs="Arial"/>
        </w:rPr>
        <w:t>paras</w:t>
      </w:r>
      <w:proofErr w:type="spellEnd"/>
      <w:r w:rsidRPr="00764C32">
        <w:rPr>
          <w:rFonts w:ascii="Arial" w:hAnsi="Arial" w:cs="Arial"/>
        </w:rPr>
        <w:t>.</w:t>
      </w:r>
      <w:proofErr w:type="gramEnd"/>
      <w:r w:rsidRPr="00764C32">
        <w:rPr>
          <w:rFonts w:ascii="Arial" w:hAnsi="Arial" w:cs="Arial"/>
        </w:rPr>
        <w:t xml:space="preserve"> 222-223. </w:t>
      </w:r>
    </w:p>
  </w:footnote>
  <w:footnote w:id="17">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proofErr w:type="gramStart"/>
      <w:r w:rsidRPr="00764C32">
        <w:rPr>
          <w:rFonts w:ascii="Arial" w:hAnsi="Arial" w:cs="Arial"/>
          <w:i/>
        </w:rPr>
        <w:t>Id</w:t>
      </w:r>
      <w:r w:rsidRPr="00764C32">
        <w:rPr>
          <w:rFonts w:ascii="Arial" w:hAnsi="Arial" w:cs="Arial"/>
        </w:rPr>
        <w:t xml:space="preserve">., at </w:t>
      </w:r>
      <w:proofErr w:type="spellStart"/>
      <w:r w:rsidRPr="00764C32">
        <w:rPr>
          <w:rFonts w:ascii="Arial" w:hAnsi="Arial" w:cs="Arial"/>
        </w:rPr>
        <w:t>para</w:t>
      </w:r>
      <w:proofErr w:type="spellEnd"/>
      <w:r w:rsidRPr="00764C32">
        <w:rPr>
          <w:rFonts w:ascii="Arial" w:hAnsi="Arial" w:cs="Arial"/>
        </w:rPr>
        <w:t>.</w:t>
      </w:r>
      <w:proofErr w:type="gramEnd"/>
      <w:r w:rsidRPr="00764C32">
        <w:rPr>
          <w:rFonts w:ascii="Arial" w:hAnsi="Arial" w:cs="Arial"/>
        </w:rPr>
        <w:t xml:space="preserve"> 214.</w:t>
      </w:r>
    </w:p>
  </w:footnote>
  <w:footnote w:id="18">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r w:rsidRPr="00764C32">
        <w:rPr>
          <w:rFonts w:ascii="Arial" w:hAnsi="Arial" w:cs="Arial"/>
          <w:i/>
        </w:rPr>
        <w:t>See e.g.</w:t>
      </w:r>
      <w:r w:rsidRPr="00764C32">
        <w:rPr>
          <w:rFonts w:ascii="Arial" w:hAnsi="Arial" w:cs="Arial"/>
        </w:rPr>
        <w:t xml:space="preserve">: </w:t>
      </w:r>
      <w:r w:rsidRPr="00764C32">
        <w:rPr>
          <w:rFonts w:ascii="Arial" w:hAnsi="Arial" w:cs="Arial"/>
          <w:i/>
        </w:rPr>
        <w:t>Powell v. the United Kingdom</w:t>
      </w:r>
      <w:r w:rsidRPr="00764C32">
        <w:rPr>
          <w:rFonts w:ascii="Arial" w:hAnsi="Arial" w:cs="Arial"/>
        </w:rPr>
        <w:t xml:space="preserve"> (</w:t>
      </w:r>
      <w:proofErr w:type="spellStart"/>
      <w:r w:rsidRPr="00764C32">
        <w:rPr>
          <w:rFonts w:ascii="Arial" w:hAnsi="Arial" w:cs="Arial"/>
        </w:rPr>
        <w:t>dec</w:t>
      </w:r>
      <w:proofErr w:type="spellEnd"/>
      <w:r w:rsidRPr="00764C32">
        <w:rPr>
          <w:rFonts w:ascii="Arial" w:hAnsi="Arial" w:cs="Arial"/>
        </w:rPr>
        <w:t>.), no. 45305/99, ECHR 2000-V.</w:t>
      </w:r>
    </w:p>
  </w:footnote>
  <w:footnote w:id="19">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Emphasis added.</w:t>
      </w:r>
    </w:p>
  </w:footnote>
  <w:footnote w:id="20">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For a discussion of the various interpretations of Article 4(1), see the </w:t>
      </w:r>
      <w:r w:rsidRPr="00764C32">
        <w:rPr>
          <w:rFonts w:ascii="Arial" w:hAnsi="Arial" w:cs="Arial"/>
          <w:i/>
        </w:rPr>
        <w:t>amici curiae</w:t>
      </w:r>
      <w:r w:rsidRPr="00764C32">
        <w:rPr>
          <w:rFonts w:ascii="Arial" w:hAnsi="Arial" w:cs="Arial"/>
        </w:rPr>
        <w:t xml:space="preserve"> brief of ADF, C-FAM, and AUL in the case of </w:t>
      </w:r>
      <w:r w:rsidRPr="00764C32">
        <w:rPr>
          <w:rFonts w:ascii="Arial" w:hAnsi="Arial" w:cs="Arial"/>
          <w:i/>
        </w:rPr>
        <w:t xml:space="preserve">Gretel </w:t>
      </w:r>
      <w:proofErr w:type="spellStart"/>
      <w:r w:rsidRPr="00764C32">
        <w:rPr>
          <w:rFonts w:ascii="Arial" w:hAnsi="Arial" w:cs="Arial"/>
          <w:i/>
        </w:rPr>
        <w:t>Artavia</w:t>
      </w:r>
      <w:proofErr w:type="spellEnd"/>
      <w:r w:rsidRPr="00764C32">
        <w:rPr>
          <w:rFonts w:ascii="Arial" w:hAnsi="Arial" w:cs="Arial"/>
          <w:i/>
        </w:rPr>
        <w:t xml:space="preserve"> Murillo et al v. Costa Rica</w:t>
      </w:r>
      <w:r w:rsidRPr="00764C32">
        <w:rPr>
          <w:rFonts w:ascii="Arial" w:hAnsi="Arial" w:cs="Arial"/>
        </w:rPr>
        <w:t>, Case No. 12,361 (2012), available at http://adfinternational.org/2012/11/28/murillo-v-costa-rica/.</w:t>
      </w:r>
    </w:p>
  </w:footnote>
  <w:footnote w:id="21">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See, for example, paragraph 34 of the response of the government of Costa Rica in the Inter-American Court of Human Rights case </w:t>
      </w:r>
      <w:proofErr w:type="spellStart"/>
      <w:r w:rsidRPr="00764C32">
        <w:rPr>
          <w:rFonts w:ascii="Arial" w:hAnsi="Arial" w:cs="Arial"/>
          <w:i/>
        </w:rPr>
        <w:t>Artavia</w:t>
      </w:r>
      <w:proofErr w:type="spellEnd"/>
      <w:r w:rsidRPr="00764C32">
        <w:rPr>
          <w:rFonts w:ascii="Arial" w:hAnsi="Arial" w:cs="Arial"/>
          <w:i/>
        </w:rPr>
        <w:t xml:space="preserve"> Murillo v. Costa Rica</w:t>
      </w:r>
      <w:r w:rsidRPr="00764C32">
        <w:rPr>
          <w:rFonts w:ascii="Arial" w:hAnsi="Arial" w:cs="Arial"/>
        </w:rPr>
        <w:t xml:space="preserve">, in which the government explains that the destruction of embryos is in violation of its constitution. </w:t>
      </w:r>
      <w:proofErr w:type="gramStart"/>
      <w:r w:rsidRPr="00764C32">
        <w:rPr>
          <w:rFonts w:ascii="Arial" w:hAnsi="Arial" w:cs="Arial"/>
        </w:rPr>
        <w:t>Available at https://www.cidh.oas.org/demandas/12.361Esp.pdf.</w:t>
      </w:r>
      <w:proofErr w:type="gramEnd"/>
      <w:r w:rsidRPr="00764C32">
        <w:rPr>
          <w:rFonts w:ascii="Arial" w:hAnsi="Arial" w:cs="Arial"/>
        </w:rPr>
        <w:t xml:space="preserve"> </w:t>
      </w:r>
    </w:p>
  </w:footnote>
  <w:footnote w:id="22">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The Mexican State Constitutions that contain protections for unborn life are: Baja California, Chihuahua, Coahuila, Colima, Durango, Guanajuato, Jalisco, Morelos, Nayarit, Oaxaca, Puebla, Queretaro, Quintana </w:t>
      </w:r>
      <w:proofErr w:type="spellStart"/>
      <w:r w:rsidRPr="00764C32">
        <w:rPr>
          <w:rFonts w:ascii="Arial" w:hAnsi="Arial" w:cs="Arial"/>
        </w:rPr>
        <w:t>Roo</w:t>
      </w:r>
      <w:proofErr w:type="spellEnd"/>
      <w:r w:rsidRPr="00764C32">
        <w:rPr>
          <w:rFonts w:ascii="Arial" w:hAnsi="Arial" w:cs="Arial"/>
        </w:rPr>
        <w:t xml:space="preserve">, San Luis Potosi, Sonora, and Yucatan. </w:t>
      </w:r>
    </w:p>
  </w:footnote>
  <w:footnote w:id="23">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The Argentinean Provincial Constitutions that contain protections for unborn life are: Buenos Aires, Catamarca, Chaco, Chubut, Cordoba, Corrientes Formosa, Rio Negro, Salta, San Juan, San Luis, Santiago de Estero, Tierra del Fuego, and Tucumán.</w:t>
      </w:r>
    </w:p>
  </w:footnote>
  <w:footnote w:id="24">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proofErr w:type="gramStart"/>
      <w:r w:rsidRPr="00764C32">
        <w:rPr>
          <w:rFonts w:ascii="Arial" w:hAnsi="Arial" w:cs="Arial"/>
        </w:rPr>
        <w:t>Basic law, article 2(2).</w:t>
      </w:r>
      <w:proofErr w:type="gramEnd"/>
    </w:p>
  </w:footnote>
  <w:footnote w:id="25">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proofErr w:type="gramStart"/>
      <w:r w:rsidRPr="00764C32">
        <w:rPr>
          <w:rFonts w:ascii="Arial" w:hAnsi="Arial" w:cs="Arial"/>
        </w:rPr>
        <w:t xml:space="preserve">39 </w:t>
      </w:r>
      <w:proofErr w:type="spellStart"/>
      <w:r w:rsidRPr="00764C32">
        <w:rPr>
          <w:rFonts w:ascii="Arial" w:hAnsi="Arial" w:cs="Arial"/>
        </w:rPr>
        <w:t>BVerfGE</w:t>
      </w:r>
      <w:proofErr w:type="spellEnd"/>
      <w:r w:rsidRPr="00764C32">
        <w:rPr>
          <w:rFonts w:ascii="Arial" w:hAnsi="Arial" w:cs="Arial"/>
        </w:rPr>
        <w:t xml:space="preserve"> 1 (1975).</w:t>
      </w:r>
      <w:proofErr w:type="gramEnd"/>
    </w:p>
  </w:footnote>
  <w:footnote w:id="26">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proofErr w:type="gramStart"/>
      <w:r w:rsidRPr="00764C32">
        <w:rPr>
          <w:rFonts w:ascii="Arial" w:hAnsi="Arial" w:cs="Arial"/>
        </w:rPr>
        <w:t xml:space="preserve">Law on Family Planning (Protection of the Human </w:t>
      </w:r>
      <w:proofErr w:type="spellStart"/>
      <w:r w:rsidRPr="00764C32">
        <w:rPr>
          <w:rFonts w:ascii="Arial" w:hAnsi="Arial" w:cs="Arial"/>
        </w:rPr>
        <w:t>Foetus</w:t>
      </w:r>
      <w:proofErr w:type="spellEnd"/>
      <w:r w:rsidRPr="00764C32">
        <w:rPr>
          <w:rFonts w:ascii="Arial" w:hAnsi="Arial" w:cs="Arial"/>
        </w:rPr>
        <w:t xml:space="preserve"> and Conditions permitting Pregnancy Termination) 1993, s.1.</w:t>
      </w:r>
      <w:proofErr w:type="gramEnd"/>
    </w:p>
  </w:footnote>
  <w:footnote w:id="27">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proofErr w:type="gramStart"/>
      <w:r w:rsidRPr="00764C32">
        <w:rPr>
          <w:rFonts w:ascii="Arial" w:hAnsi="Arial" w:cs="Arial"/>
        </w:rPr>
        <w:t>18 U.S.C. § 1841.</w:t>
      </w:r>
      <w:proofErr w:type="gramEnd"/>
    </w:p>
  </w:footnote>
  <w:footnote w:id="28">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proofErr w:type="gramStart"/>
      <w:r w:rsidRPr="00764C32">
        <w:rPr>
          <w:rFonts w:ascii="Arial" w:hAnsi="Arial" w:cs="Arial"/>
        </w:rPr>
        <w:t>National Conference of State Legislatures, Fetal Homicide Laws, available at http://www.ncsl.org/research/health/fetal-homicide-state-laws.aspx.</w:t>
      </w:r>
      <w:proofErr w:type="gramEnd"/>
    </w:p>
  </w:footnote>
  <w:footnote w:id="29">
    <w:p w:rsidR="00EB47D6" w:rsidRPr="00764C32" w:rsidRDefault="00EB47D6" w:rsidP="00BE2697">
      <w:pPr>
        <w:widowControl w:val="0"/>
        <w:autoSpaceDE w:val="0"/>
        <w:autoSpaceDN w:val="0"/>
        <w:adjustRightInd w:val="0"/>
        <w:jc w:val="both"/>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Case C-34/10, 18 October 2011. Available at http://curia.europa.eu/jurisp/cgibin/form.pl?lang=EN</w:t>
      </w:r>
    </w:p>
    <w:p w:rsidR="00EB47D6" w:rsidRPr="00764C32" w:rsidRDefault="00EB47D6" w:rsidP="00BE2697">
      <w:pPr>
        <w:widowControl w:val="0"/>
        <w:autoSpaceDE w:val="0"/>
        <w:autoSpaceDN w:val="0"/>
        <w:adjustRightInd w:val="0"/>
        <w:jc w:val="both"/>
        <w:rPr>
          <w:rFonts w:ascii="Arial" w:hAnsi="Arial" w:cs="Arial"/>
          <w:sz w:val="20"/>
          <w:szCs w:val="20"/>
        </w:rPr>
      </w:pPr>
      <w:r w:rsidRPr="00764C32">
        <w:rPr>
          <w:rFonts w:ascii="Arial" w:hAnsi="Arial" w:cs="Arial"/>
          <w:sz w:val="20"/>
          <w:szCs w:val="20"/>
        </w:rPr>
        <w:t>&amp;</w:t>
      </w:r>
      <w:proofErr w:type="gramStart"/>
      <w:r w:rsidRPr="00764C32">
        <w:rPr>
          <w:rFonts w:ascii="Arial" w:hAnsi="Arial" w:cs="Arial"/>
          <w:sz w:val="20"/>
          <w:szCs w:val="20"/>
        </w:rPr>
        <w:t>Submit=</w:t>
      </w:r>
      <w:proofErr w:type="spellStart"/>
      <w:proofErr w:type="gramEnd"/>
      <w:r w:rsidRPr="00764C32">
        <w:rPr>
          <w:rFonts w:ascii="Arial" w:hAnsi="Arial" w:cs="Arial"/>
          <w:sz w:val="20"/>
          <w:szCs w:val="20"/>
        </w:rPr>
        <w:t>rechercher&amp;numaff</w:t>
      </w:r>
      <w:proofErr w:type="spellEnd"/>
      <w:r w:rsidRPr="00764C32">
        <w:rPr>
          <w:rFonts w:ascii="Arial" w:hAnsi="Arial" w:cs="Arial"/>
          <w:sz w:val="20"/>
          <w:szCs w:val="20"/>
        </w:rPr>
        <w:t>=C-34/10.</w:t>
      </w:r>
    </w:p>
  </w:footnote>
  <w:footnote w:id="30">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 34.</w:t>
      </w:r>
    </w:p>
  </w:footnote>
  <w:footnote w:id="31">
    <w:p w:rsidR="00EB47D6" w:rsidRPr="00764C32" w:rsidRDefault="00EB47D6" w:rsidP="00BE2697">
      <w:pPr>
        <w:widowControl w:val="0"/>
        <w:autoSpaceDE w:val="0"/>
        <w:autoSpaceDN w:val="0"/>
        <w:adjustRightInd w:val="0"/>
        <w:jc w:val="both"/>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The Court noted that “although those organisms have not, strictly speaking, been the object of </w:t>
      </w:r>
      <w:proofErr w:type="spellStart"/>
      <w:r w:rsidRPr="00764C32">
        <w:rPr>
          <w:rFonts w:ascii="Arial" w:hAnsi="Arial" w:cs="Arial"/>
          <w:sz w:val="20"/>
          <w:szCs w:val="20"/>
        </w:rPr>
        <w:t>fertilisation</w:t>
      </w:r>
      <w:proofErr w:type="spellEnd"/>
      <w:r w:rsidRPr="00764C32">
        <w:rPr>
          <w:rFonts w:ascii="Arial" w:hAnsi="Arial" w:cs="Arial"/>
          <w:sz w:val="20"/>
          <w:szCs w:val="20"/>
        </w:rPr>
        <w:t xml:space="preserve">, due to the effect of the technique used to obtain them they are, as is apparent from the written observations presented to the Court, capable of commencing the process of development of a human being just as an embryo created by </w:t>
      </w:r>
      <w:proofErr w:type="spellStart"/>
      <w:r w:rsidRPr="00764C32">
        <w:rPr>
          <w:rFonts w:ascii="Arial" w:hAnsi="Arial" w:cs="Arial"/>
          <w:sz w:val="20"/>
          <w:szCs w:val="20"/>
        </w:rPr>
        <w:t>fertilisation</w:t>
      </w:r>
      <w:proofErr w:type="spellEnd"/>
      <w:r w:rsidRPr="00764C32">
        <w:rPr>
          <w:rFonts w:ascii="Arial" w:hAnsi="Arial" w:cs="Arial"/>
          <w:sz w:val="20"/>
          <w:szCs w:val="20"/>
        </w:rPr>
        <w:t xml:space="preserve"> of an ovum can do so.” § 36.</w:t>
      </w:r>
    </w:p>
  </w:footnote>
  <w:footnote w:id="32">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 37.</w:t>
      </w:r>
    </w:p>
  </w:footnote>
  <w:footnote w:id="33">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See Susan A. Cohen, </w:t>
      </w:r>
      <w:r w:rsidRPr="00764C32">
        <w:rPr>
          <w:rFonts w:ascii="Arial" w:hAnsi="Arial" w:cs="Arial"/>
          <w:i/>
        </w:rPr>
        <w:t>Facts and Consequences: Legality, Incidence and Safety of Abortion Worldwide</w:t>
      </w:r>
      <w:r w:rsidRPr="00764C32">
        <w:rPr>
          <w:rFonts w:ascii="Arial" w:hAnsi="Arial" w:cs="Arial"/>
        </w:rPr>
        <w:t xml:space="preserve">, </w:t>
      </w:r>
      <w:proofErr w:type="spellStart"/>
      <w:r w:rsidRPr="00764C32">
        <w:rPr>
          <w:rFonts w:ascii="Arial" w:hAnsi="Arial" w:cs="Arial"/>
          <w:smallCaps/>
        </w:rPr>
        <w:t>Guttmacher</w:t>
      </w:r>
      <w:proofErr w:type="spellEnd"/>
      <w:r w:rsidRPr="00764C32">
        <w:rPr>
          <w:rFonts w:ascii="Arial" w:hAnsi="Arial" w:cs="Arial"/>
          <w:smallCaps/>
        </w:rPr>
        <w:t xml:space="preserve"> </w:t>
      </w:r>
      <w:proofErr w:type="spellStart"/>
      <w:r w:rsidRPr="00764C32">
        <w:rPr>
          <w:rFonts w:ascii="Arial" w:hAnsi="Arial" w:cs="Arial"/>
          <w:smallCaps/>
        </w:rPr>
        <w:t>Pol’Y</w:t>
      </w:r>
      <w:proofErr w:type="spellEnd"/>
      <w:r w:rsidRPr="00764C32">
        <w:rPr>
          <w:rFonts w:ascii="Arial" w:hAnsi="Arial" w:cs="Arial"/>
          <w:smallCaps/>
        </w:rPr>
        <w:t xml:space="preserve"> Rev.</w:t>
      </w:r>
      <w:r w:rsidRPr="00764C32">
        <w:rPr>
          <w:rFonts w:ascii="Arial" w:hAnsi="Arial" w:cs="Arial"/>
        </w:rPr>
        <w:t xml:space="preserve"> (2009), available at http://www.guttmacher.org/pubs/gpr/12/4/</w:t>
      </w:r>
    </w:p>
    <w:p w:rsidR="00EB47D6" w:rsidRPr="00764C32" w:rsidRDefault="00EB47D6" w:rsidP="00BE2697">
      <w:pPr>
        <w:pStyle w:val="FootnoteText"/>
        <w:jc w:val="both"/>
        <w:rPr>
          <w:rFonts w:ascii="Arial" w:hAnsi="Arial" w:cs="Arial"/>
        </w:rPr>
      </w:pPr>
      <w:proofErr w:type="gramStart"/>
      <w:r w:rsidRPr="00764C32">
        <w:rPr>
          <w:rFonts w:ascii="Arial" w:hAnsi="Arial" w:cs="Arial"/>
        </w:rPr>
        <w:t>gpr120402.html.</w:t>
      </w:r>
      <w:proofErr w:type="gramEnd"/>
    </w:p>
  </w:footnote>
  <w:footnote w:id="34">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proofErr w:type="spellStart"/>
      <w:r w:rsidRPr="00764C32">
        <w:rPr>
          <w:rFonts w:ascii="Arial" w:hAnsi="Arial" w:cs="Arial"/>
        </w:rPr>
        <w:t>Elard</w:t>
      </w:r>
      <w:proofErr w:type="spellEnd"/>
      <w:r w:rsidRPr="00764C32">
        <w:rPr>
          <w:rFonts w:ascii="Arial" w:hAnsi="Arial" w:cs="Arial"/>
        </w:rPr>
        <w:t xml:space="preserve"> Koch, Monique </w:t>
      </w:r>
      <w:proofErr w:type="spellStart"/>
      <w:r w:rsidRPr="00764C32">
        <w:rPr>
          <w:rFonts w:ascii="Arial" w:hAnsi="Arial" w:cs="Arial"/>
        </w:rPr>
        <w:t>Chireau</w:t>
      </w:r>
      <w:proofErr w:type="spellEnd"/>
      <w:r w:rsidRPr="00764C32">
        <w:rPr>
          <w:rFonts w:ascii="Arial" w:hAnsi="Arial" w:cs="Arial"/>
        </w:rPr>
        <w:t xml:space="preserve">, and Fernando </w:t>
      </w:r>
      <w:proofErr w:type="spellStart"/>
      <w:r w:rsidRPr="00764C32">
        <w:rPr>
          <w:rFonts w:ascii="Arial" w:hAnsi="Arial" w:cs="Arial"/>
        </w:rPr>
        <w:t>Pliego</w:t>
      </w:r>
      <w:proofErr w:type="spellEnd"/>
      <w:r w:rsidRPr="00764C32">
        <w:rPr>
          <w:rFonts w:ascii="Arial" w:hAnsi="Arial" w:cs="Arial"/>
        </w:rPr>
        <w:t xml:space="preserve"> </w:t>
      </w:r>
      <w:proofErr w:type="gramStart"/>
      <w:r w:rsidRPr="00764C32">
        <w:rPr>
          <w:rFonts w:ascii="Arial" w:hAnsi="Arial" w:cs="Arial"/>
        </w:rPr>
        <w:t>et</w:t>
      </w:r>
      <w:proofErr w:type="gramEnd"/>
      <w:r w:rsidRPr="00764C32">
        <w:rPr>
          <w:rFonts w:ascii="Arial" w:hAnsi="Arial" w:cs="Arial"/>
        </w:rPr>
        <w:t xml:space="preserve">. al., </w:t>
      </w:r>
      <w:r w:rsidRPr="00764C32">
        <w:rPr>
          <w:rFonts w:ascii="Arial" w:hAnsi="Arial" w:cs="Arial"/>
          <w:i/>
        </w:rPr>
        <w:t>Abortion Legislation, Maternal Healthcare, Fertility, Female Literacy, Sanitation, Violence Against Women and Maternal Deaths: A Natural Experiment in 32 Mexican States</w:t>
      </w:r>
      <w:r w:rsidRPr="00764C32">
        <w:rPr>
          <w:rFonts w:ascii="Arial" w:hAnsi="Arial" w:cs="Arial"/>
        </w:rPr>
        <w:t xml:space="preserve">, </w:t>
      </w:r>
      <w:r w:rsidRPr="00764C32">
        <w:rPr>
          <w:rFonts w:ascii="Arial" w:hAnsi="Arial" w:cs="Arial"/>
          <w:smallCaps/>
        </w:rPr>
        <w:t xml:space="preserve">BMJ Open </w:t>
      </w:r>
      <w:r w:rsidRPr="00764C32">
        <w:rPr>
          <w:rFonts w:ascii="Arial" w:hAnsi="Arial" w:cs="Arial"/>
        </w:rPr>
        <w:t>2015:5 e006013, doi</w:t>
      </w:r>
      <w:proofErr w:type="gramStart"/>
      <w:r w:rsidRPr="00764C32">
        <w:rPr>
          <w:rFonts w:ascii="Arial" w:hAnsi="Arial" w:cs="Arial"/>
        </w:rPr>
        <w:t>:10.1136</w:t>
      </w:r>
      <w:proofErr w:type="gramEnd"/>
      <w:r w:rsidRPr="00764C32">
        <w:rPr>
          <w:rFonts w:ascii="Arial" w:hAnsi="Arial" w:cs="Arial"/>
        </w:rPr>
        <w:t>/bmjopen-2014-006013</w:t>
      </w:r>
      <w:r w:rsidRPr="00764C32">
        <w:rPr>
          <w:rFonts w:ascii="Arial" w:hAnsi="Arial" w:cs="Arial"/>
          <w:smallCaps/>
        </w:rPr>
        <w:t xml:space="preserve">, </w:t>
      </w:r>
      <w:r w:rsidRPr="00764C32">
        <w:rPr>
          <w:rFonts w:ascii="Arial" w:hAnsi="Arial" w:cs="Arial"/>
        </w:rPr>
        <w:t>p. 1.</w:t>
      </w:r>
    </w:p>
  </w:footnote>
  <w:footnote w:id="35">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r w:rsidRPr="00764C32">
        <w:rPr>
          <w:rFonts w:ascii="Arial" w:hAnsi="Arial" w:cs="Arial"/>
          <w:i/>
        </w:rPr>
        <w:t>Id.</w:t>
      </w:r>
    </w:p>
  </w:footnote>
  <w:footnote w:id="36">
    <w:p w:rsidR="00EB47D6" w:rsidRPr="00764C32" w:rsidRDefault="00EB47D6" w:rsidP="00BE2697">
      <w:pPr>
        <w:jc w:val="both"/>
        <w:rPr>
          <w:rFonts w:ascii="Arial" w:eastAsia="Times New Roman" w:hAnsi="Arial" w:cs="Arial"/>
          <w:bCs/>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Koch et al., </w:t>
      </w:r>
      <w:r w:rsidRPr="00764C32">
        <w:rPr>
          <w:rFonts w:ascii="Arial" w:eastAsia="Times New Roman" w:hAnsi="Arial" w:cs="Arial"/>
          <w:bCs/>
          <w:i/>
          <w:sz w:val="20"/>
          <w:szCs w:val="20"/>
        </w:rPr>
        <w:t>Women’s Education Level, Maternal Health Facilities, Abortion Legislation and Maternal Deaths: A Natural Experiment in Chile from 1957 to 2007</w:t>
      </w:r>
      <w:r w:rsidRPr="00764C32">
        <w:rPr>
          <w:rFonts w:ascii="Arial" w:eastAsia="Times New Roman" w:hAnsi="Arial" w:cs="Arial"/>
          <w:bCs/>
          <w:sz w:val="20"/>
          <w:szCs w:val="20"/>
        </w:rPr>
        <w:t xml:space="preserve">, </w:t>
      </w:r>
      <w:proofErr w:type="spellStart"/>
      <w:r w:rsidRPr="00764C32">
        <w:rPr>
          <w:rFonts w:ascii="Arial" w:eastAsia="Times New Roman" w:hAnsi="Arial" w:cs="Arial"/>
          <w:bCs/>
          <w:smallCaps/>
          <w:sz w:val="20"/>
          <w:szCs w:val="20"/>
        </w:rPr>
        <w:t>Plos</w:t>
      </w:r>
      <w:proofErr w:type="spellEnd"/>
      <w:r w:rsidRPr="00764C32">
        <w:rPr>
          <w:rFonts w:ascii="Arial" w:eastAsia="Times New Roman" w:hAnsi="Arial" w:cs="Arial"/>
          <w:bCs/>
          <w:smallCaps/>
          <w:sz w:val="20"/>
          <w:szCs w:val="20"/>
        </w:rPr>
        <w:t xml:space="preserve"> One</w:t>
      </w:r>
      <w:r w:rsidRPr="00764C32">
        <w:rPr>
          <w:rFonts w:ascii="Arial" w:eastAsia="Times New Roman" w:hAnsi="Arial" w:cs="Arial"/>
          <w:bCs/>
          <w:sz w:val="20"/>
          <w:szCs w:val="20"/>
        </w:rPr>
        <w:t xml:space="preserve"> (2012), available at http://journals.plos.org/plosone/article?id=10.1371/journal.pone.0036613. </w:t>
      </w:r>
    </w:p>
  </w:footnote>
  <w:footnote w:id="37">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World Health Organization, Fact Sheet, Maternal mortality, available at </w:t>
      </w:r>
    </w:p>
    <w:p w:rsidR="00EB47D6" w:rsidRPr="00764C32" w:rsidRDefault="00EB47D6" w:rsidP="00BE2697">
      <w:pPr>
        <w:pStyle w:val="FootnoteText"/>
        <w:jc w:val="both"/>
        <w:rPr>
          <w:rFonts w:ascii="Arial" w:hAnsi="Arial" w:cs="Arial"/>
        </w:rPr>
      </w:pPr>
      <w:r w:rsidRPr="00764C32">
        <w:rPr>
          <w:rFonts w:ascii="Arial" w:hAnsi="Arial" w:cs="Arial"/>
        </w:rPr>
        <w:t>http://www.who.int/mediacentre/factsheets/fs348/en/.</w:t>
      </w:r>
    </w:p>
  </w:footnote>
  <w:footnote w:id="38">
    <w:p w:rsidR="00EB47D6" w:rsidRPr="00764C32" w:rsidRDefault="00EB47D6" w:rsidP="00BE2697">
      <w:pPr>
        <w:pStyle w:val="Longqoute"/>
        <w:ind w:left="0"/>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w:t>
      </w:r>
      <w:proofErr w:type="gramStart"/>
      <w:r w:rsidRPr="00764C32">
        <w:rPr>
          <w:rFonts w:ascii="Arial" w:hAnsi="Arial" w:cs="Arial"/>
          <w:sz w:val="20"/>
          <w:szCs w:val="20"/>
        </w:rPr>
        <w:t>Ninety-sixth session, (CCPR/C/NLD/CO/42), 5 August 2009, at § 7.</w:t>
      </w:r>
      <w:proofErr w:type="gramEnd"/>
      <w:r w:rsidRPr="00764C32">
        <w:rPr>
          <w:rFonts w:ascii="Arial" w:hAnsi="Arial" w:cs="Arial"/>
          <w:sz w:val="20"/>
          <w:szCs w:val="20"/>
        </w:rPr>
        <w:t xml:space="preserve"> </w:t>
      </w:r>
    </w:p>
  </w:footnote>
  <w:footnote w:id="39">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For example, </w:t>
      </w:r>
      <w:r w:rsidRPr="00764C32">
        <w:rPr>
          <w:rFonts w:ascii="Arial" w:hAnsi="Arial" w:cs="Arial"/>
          <w:i/>
        </w:rPr>
        <w:t xml:space="preserve">see </w:t>
      </w:r>
      <w:r w:rsidRPr="00764C32">
        <w:rPr>
          <w:rFonts w:ascii="Arial" w:hAnsi="Arial" w:cs="Arial"/>
        </w:rPr>
        <w:t>Committee on the Rights of the Child, Fiftieth session, (CRC/C/NLD/CO/3), 27 March 2009; Concluding Observations: Netherlands, at §§ 30-31 and Human Rights Committee, Ninety-seventh session, (CCPR/C/CHE/CO/3), 3 November 2009, Concluding Observations: Switzerland, at § 13.</w:t>
      </w:r>
    </w:p>
  </w:footnote>
  <w:footnote w:id="40">
    <w:p w:rsidR="00EB47D6" w:rsidRPr="00764C32" w:rsidRDefault="00EB47D6" w:rsidP="00BE2697">
      <w:pPr>
        <w:jc w:val="both"/>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w:t>
      </w:r>
      <w:proofErr w:type="gramStart"/>
      <w:r w:rsidRPr="00764C32">
        <w:rPr>
          <w:rFonts w:ascii="Arial" w:hAnsi="Arial" w:cs="Arial"/>
          <w:i/>
          <w:sz w:val="20"/>
          <w:szCs w:val="20"/>
        </w:rPr>
        <w:t>McCann and Others v.</w:t>
      </w:r>
      <w:proofErr w:type="gramEnd"/>
      <w:r w:rsidRPr="00764C32">
        <w:rPr>
          <w:rFonts w:ascii="Arial" w:hAnsi="Arial" w:cs="Arial"/>
          <w:i/>
          <w:sz w:val="20"/>
          <w:szCs w:val="20"/>
        </w:rPr>
        <w:t xml:space="preserve"> </w:t>
      </w:r>
      <w:proofErr w:type="gramStart"/>
      <w:r w:rsidRPr="00764C32">
        <w:rPr>
          <w:rFonts w:ascii="Arial" w:hAnsi="Arial" w:cs="Arial"/>
          <w:i/>
          <w:sz w:val="20"/>
          <w:szCs w:val="20"/>
        </w:rPr>
        <w:t>The United Kingdom</w:t>
      </w:r>
      <w:r w:rsidRPr="00764C32">
        <w:rPr>
          <w:rFonts w:ascii="Arial" w:hAnsi="Arial" w:cs="Arial"/>
          <w:sz w:val="20"/>
          <w:szCs w:val="20"/>
        </w:rPr>
        <w:t>, (1996) 21 E.H.R.R. 97 at § 147.</w:t>
      </w:r>
      <w:proofErr w:type="gramEnd"/>
    </w:p>
  </w:footnote>
  <w:footnote w:id="41">
    <w:p w:rsidR="00EB47D6" w:rsidRPr="00764C32" w:rsidRDefault="00EB47D6" w:rsidP="00BE2697">
      <w:pPr>
        <w:jc w:val="both"/>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w:t>
      </w:r>
      <w:r w:rsidRPr="00764C32">
        <w:rPr>
          <w:rFonts w:ascii="Arial" w:hAnsi="Arial" w:cs="Arial"/>
          <w:i/>
          <w:sz w:val="20"/>
          <w:szCs w:val="20"/>
        </w:rPr>
        <w:t xml:space="preserve">Pretty v. United </w:t>
      </w:r>
      <w:proofErr w:type="gramStart"/>
      <w:r w:rsidRPr="00764C32">
        <w:rPr>
          <w:rFonts w:ascii="Arial" w:hAnsi="Arial" w:cs="Arial"/>
          <w:i/>
          <w:sz w:val="20"/>
          <w:szCs w:val="20"/>
        </w:rPr>
        <w:t>Kingdom</w:t>
      </w:r>
      <w:r w:rsidRPr="00764C32">
        <w:rPr>
          <w:rFonts w:ascii="Arial" w:hAnsi="Arial" w:cs="Arial"/>
          <w:sz w:val="20"/>
          <w:szCs w:val="20"/>
        </w:rPr>
        <w:t xml:space="preserve"> (2002) 35 E.H.R.R. 1</w:t>
      </w:r>
      <w:proofErr w:type="gramEnd"/>
      <w:r w:rsidRPr="00764C32">
        <w:rPr>
          <w:rFonts w:ascii="Arial" w:hAnsi="Arial" w:cs="Arial"/>
          <w:sz w:val="20"/>
          <w:szCs w:val="20"/>
        </w:rPr>
        <w:t xml:space="preserve">. </w:t>
      </w:r>
      <w:proofErr w:type="gramStart"/>
      <w:r w:rsidRPr="00764C32">
        <w:rPr>
          <w:rFonts w:ascii="Arial" w:hAnsi="Arial" w:cs="Arial"/>
          <w:sz w:val="20"/>
          <w:szCs w:val="20"/>
        </w:rPr>
        <w:t>at</w:t>
      </w:r>
      <w:proofErr w:type="gramEnd"/>
      <w:r w:rsidRPr="00764C32">
        <w:rPr>
          <w:rFonts w:ascii="Arial" w:hAnsi="Arial" w:cs="Arial"/>
          <w:sz w:val="20"/>
          <w:szCs w:val="20"/>
        </w:rPr>
        <w:t xml:space="preserve"> § 37.</w:t>
      </w:r>
    </w:p>
  </w:footnote>
  <w:footnote w:id="42">
    <w:p w:rsidR="00EB47D6" w:rsidRPr="00764C32" w:rsidRDefault="00EB47D6" w:rsidP="00BE2697">
      <w:pPr>
        <w:jc w:val="both"/>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w:t>
      </w:r>
      <w:r w:rsidRPr="00764C32">
        <w:rPr>
          <w:rFonts w:ascii="Arial" w:hAnsi="Arial" w:cs="Arial"/>
          <w:i/>
          <w:sz w:val="20"/>
          <w:szCs w:val="20"/>
        </w:rPr>
        <w:t xml:space="preserve">McCann </w:t>
      </w:r>
      <w:r w:rsidRPr="00764C32">
        <w:rPr>
          <w:rFonts w:ascii="Arial" w:hAnsi="Arial" w:cs="Arial"/>
          <w:sz w:val="20"/>
          <w:szCs w:val="20"/>
        </w:rPr>
        <w:t>at §§ 149-150.</w:t>
      </w:r>
    </w:p>
  </w:footnote>
  <w:footnote w:id="43">
    <w:p w:rsidR="00EB47D6" w:rsidRPr="00764C32" w:rsidRDefault="00EB47D6" w:rsidP="00BE2697">
      <w:pPr>
        <w:jc w:val="both"/>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w:t>
      </w:r>
      <w:proofErr w:type="gramStart"/>
      <w:r w:rsidRPr="00764C32">
        <w:rPr>
          <w:rFonts w:ascii="Arial" w:hAnsi="Arial" w:cs="Arial"/>
          <w:i/>
          <w:sz w:val="20"/>
          <w:szCs w:val="20"/>
        </w:rPr>
        <w:t>Pretty</w:t>
      </w:r>
      <w:r w:rsidRPr="00764C32">
        <w:rPr>
          <w:rFonts w:ascii="Arial" w:hAnsi="Arial" w:cs="Arial"/>
          <w:sz w:val="20"/>
          <w:szCs w:val="20"/>
        </w:rPr>
        <w:t xml:space="preserve"> at § 38.</w:t>
      </w:r>
      <w:proofErr w:type="gramEnd"/>
    </w:p>
  </w:footnote>
  <w:footnote w:id="44">
    <w:p w:rsidR="00EB47D6" w:rsidRPr="00764C32" w:rsidRDefault="00EB47D6" w:rsidP="00BE2697">
      <w:pPr>
        <w:jc w:val="both"/>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w:t>
      </w:r>
      <w:proofErr w:type="gramStart"/>
      <w:r w:rsidRPr="00764C32">
        <w:rPr>
          <w:rFonts w:ascii="Arial" w:hAnsi="Arial" w:cs="Arial"/>
          <w:sz w:val="20"/>
          <w:szCs w:val="20"/>
        </w:rPr>
        <w:t>Application no. 48335/99, ECHR 2000-XI, [4th Section], decision of 26 October 2000.</w:t>
      </w:r>
      <w:proofErr w:type="gramEnd"/>
    </w:p>
  </w:footnote>
  <w:footnote w:id="45">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proofErr w:type="gramStart"/>
      <w:r w:rsidRPr="00764C32">
        <w:rPr>
          <w:rFonts w:ascii="Arial" w:hAnsi="Arial" w:cs="Arial"/>
        </w:rPr>
        <w:t xml:space="preserve">Manuela </w:t>
      </w:r>
      <w:proofErr w:type="spellStart"/>
      <w:r w:rsidRPr="00764C32">
        <w:rPr>
          <w:rFonts w:ascii="Arial" w:hAnsi="Arial" w:cs="Arial"/>
        </w:rPr>
        <w:t>Sanlés</w:t>
      </w:r>
      <w:proofErr w:type="spellEnd"/>
      <w:r w:rsidRPr="00764C32">
        <w:rPr>
          <w:rFonts w:ascii="Arial" w:hAnsi="Arial" w:cs="Arial"/>
        </w:rPr>
        <w:t xml:space="preserve"> </w:t>
      </w:r>
      <w:proofErr w:type="spellStart"/>
      <w:r w:rsidRPr="00764C32">
        <w:rPr>
          <w:rFonts w:ascii="Arial" w:hAnsi="Arial" w:cs="Arial"/>
        </w:rPr>
        <w:t>Sanlés</w:t>
      </w:r>
      <w:proofErr w:type="spellEnd"/>
      <w:r w:rsidRPr="00764C32">
        <w:rPr>
          <w:rFonts w:ascii="Arial" w:hAnsi="Arial" w:cs="Arial"/>
        </w:rPr>
        <w:t xml:space="preserve"> v. Spain, Communication No. 1024/2001, U.N. Doc. CCPR/C/80/D/1024/2001 (2004).</w:t>
      </w:r>
      <w:proofErr w:type="gramEnd"/>
      <w:r w:rsidRPr="00764C32">
        <w:rPr>
          <w:rFonts w:ascii="Arial" w:hAnsi="Arial" w:cs="Arial"/>
        </w:rPr>
        <w:t xml:space="preserve"> This is the only individual communication that has come before the Committee on this issue.</w:t>
      </w:r>
    </w:p>
  </w:footnote>
  <w:footnote w:id="46">
    <w:p w:rsidR="00EB47D6" w:rsidRPr="00764C32" w:rsidRDefault="00EB47D6" w:rsidP="00BE2697">
      <w:pPr>
        <w:jc w:val="both"/>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w:t>
      </w:r>
      <w:r w:rsidRPr="00764C32">
        <w:rPr>
          <w:rFonts w:ascii="Arial" w:hAnsi="Arial" w:cs="Arial"/>
          <w:i/>
          <w:sz w:val="20"/>
          <w:szCs w:val="20"/>
        </w:rPr>
        <w:t xml:space="preserve">Pretty v. United </w:t>
      </w:r>
      <w:proofErr w:type="gramStart"/>
      <w:r w:rsidRPr="00764C32">
        <w:rPr>
          <w:rFonts w:ascii="Arial" w:hAnsi="Arial" w:cs="Arial"/>
          <w:i/>
          <w:sz w:val="20"/>
          <w:szCs w:val="20"/>
        </w:rPr>
        <w:t>Kingdom</w:t>
      </w:r>
      <w:r w:rsidRPr="00764C32">
        <w:rPr>
          <w:rFonts w:ascii="Arial" w:hAnsi="Arial" w:cs="Arial"/>
          <w:sz w:val="20"/>
          <w:szCs w:val="20"/>
        </w:rPr>
        <w:t xml:space="preserve"> (2002) 35 E.H.R.R. 1</w:t>
      </w:r>
      <w:proofErr w:type="gramEnd"/>
      <w:r w:rsidRPr="00764C32">
        <w:rPr>
          <w:rFonts w:ascii="Arial" w:hAnsi="Arial" w:cs="Arial"/>
          <w:sz w:val="20"/>
          <w:szCs w:val="20"/>
        </w:rPr>
        <w:t>.</w:t>
      </w:r>
    </w:p>
  </w:footnote>
  <w:footnote w:id="47">
    <w:p w:rsidR="00EB47D6" w:rsidRPr="00764C32" w:rsidRDefault="00EB47D6" w:rsidP="00BE2697">
      <w:pPr>
        <w:jc w:val="both"/>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w:t>
      </w:r>
      <w:proofErr w:type="gramStart"/>
      <w:r w:rsidRPr="00764C32">
        <w:rPr>
          <w:rFonts w:ascii="Arial" w:hAnsi="Arial" w:cs="Arial"/>
          <w:i/>
          <w:sz w:val="20"/>
          <w:szCs w:val="20"/>
        </w:rPr>
        <w:t xml:space="preserve">Id. </w:t>
      </w:r>
      <w:r w:rsidRPr="00764C32">
        <w:rPr>
          <w:rFonts w:ascii="Arial" w:hAnsi="Arial" w:cs="Arial"/>
          <w:sz w:val="20"/>
          <w:szCs w:val="20"/>
        </w:rPr>
        <w:t>at § 38.</w:t>
      </w:r>
      <w:proofErr w:type="gramEnd"/>
    </w:p>
  </w:footnote>
  <w:footnote w:id="48">
    <w:p w:rsidR="00EB47D6" w:rsidRPr="00764C32" w:rsidRDefault="00EB47D6" w:rsidP="00BE2697">
      <w:pPr>
        <w:jc w:val="both"/>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w:t>
      </w:r>
      <w:r w:rsidRPr="00764C32">
        <w:rPr>
          <w:rFonts w:ascii="Arial" w:hAnsi="Arial" w:cs="Arial"/>
          <w:i/>
          <w:sz w:val="20"/>
          <w:szCs w:val="20"/>
        </w:rPr>
        <w:t>Id.</w:t>
      </w:r>
      <w:r w:rsidRPr="00764C32">
        <w:rPr>
          <w:rFonts w:ascii="Arial" w:hAnsi="Arial" w:cs="Arial"/>
          <w:sz w:val="20"/>
          <w:szCs w:val="20"/>
        </w:rPr>
        <w:t xml:space="preserve"> at §§ 39-40. Emphasis added.</w:t>
      </w:r>
    </w:p>
  </w:footnote>
  <w:footnote w:id="49">
    <w:p w:rsidR="00EB47D6" w:rsidRPr="00764C32" w:rsidRDefault="00EB47D6" w:rsidP="00BE2697">
      <w:pPr>
        <w:jc w:val="both"/>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w:t>
      </w:r>
      <w:r w:rsidRPr="00764C32">
        <w:rPr>
          <w:rFonts w:ascii="Arial" w:hAnsi="Arial" w:cs="Arial"/>
          <w:i/>
          <w:sz w:val="20"/>
          <w:szCs w:val="20"/>
        </w:rPr>
        <w:t>Id.</w:t>
      </w:r>
      <w:r w:rsidRPr="00764C32">
        <w:rPr>
          <w:rFonts w:ascii="Arial" w:hAnsi="Arial" w:cs="Arial"/>
          <w:sz w:val="20"/>
          <w:szCs w:val="20"/>
        </w:rPr>
        <w:t xml:space="preserve"> at §§ 44-45.</w:t>
      </w:r>
    </w:p>
  </w:footnote>
  <w:footnote w:id="50">
    <w:p w:rsidR="00EB47D6" w:rsidRPr="00764C32" w:rsidRDefault="00EB47D6" w:rsidP="00BE2697">
      <w:pPr>
        <w:jc w:val="both"/>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For example, </w:t>
      </w:r>
      <w:r w:rsidRPr="00764C32">
        <w:rPr>
          <w:rFonts w:ascii="Arial" w:hAnsi="Arial" w:cs="Arial"/>
          <w:i/>
          <w:sz w:val="20"/>
          <w:szCs w:val="20"/>
        </w:rPr>
        <w:t>see Z and Others v. United Kingdom</w:t>
      </w:r>
      <w:r w:rsidRPr="00764C32">
        <w:rPr>
          <w:rFonts w:ascii="Arial" w:hAnsi="Arial" w:cs="Arial"/>
          <w:sz w:val="20"/>
          <w:szCs w:val="20"/>
        </w:rPr>
        <w:t xml:space="preserve"> (2001) 34 E.H.R.R. 3.</w:t>
      </w:r>
    </w:p>
  </w:footnote>
  <w:footnote w:id="51">
    <w:p w:rsidR="00EB47D6" w:rsidRPr="00764C32" w:rsidRDefault="00EB47D6" w:rsidP="00BE2697">
      <w:pPr>
        <w:jc w:val="both"/>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w:t>
      </w:r>
      <w:proofErr w:type="gramStart"/>
      <w:r w:rsidRPr="00764C32">
        <w:rPr>
          <w:rFonts w:ascii="Arial" w:hAnsi="Arial" w:cs="Arial"/>
          <w:i/>
          <w:sz w:val="20"/>
          <w:szCs w:val="20"/>
        </w:rPr>
        <w:t>Pretty</w:t>
      </w:r>
      <w:r w:rsidRPr="00764C32">
        <w:rPr>
          <w:rFonts w:ascii="Arial" w:hAnsi="Arial" w:cs="Arial"/>
          <w:sz w:val="20"/>
          <w:szCs w:val="20"/>
        </w:rPr>
        <w:t xml:space="preserve"> at § 54.</w:t>
      </w:r>
      <w:proofErr w:type="gramEnd"/>
    </w:p>
  </w:footnote>
  <w:footnote w:id="52">
    <w:p w:rsidR="00EB47D6" w:rsidRPr="00764C32" w:rsidRDefault="00EB47D6" w:rsidP="00BE2697">
      <w:pPr>
        <w:jc w:val="both"/>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w:t>
      </w:r>
      <w:r w:rsidRPr="00764C32">
        <w:rPr>
          <w:rFonts w:ascii="Arial" w:hAnsi="Arial" w:cs="Arial"/>
          <w:i/>
          <w:sz w:val="20"/>
          <w:szCs w:val="20"/>
        </w:rPr>
        <w:t>Id.</w:t>
      </w:r>
      <w:r w:rsidRPr="00764C32">
        <w:rPr>
          <w:rFonts w:ascii="Arial" w:hAnsi="Arial" w:cs="Arial"/>
          <w:sz w:val="20"/>
          <w:szCs w:val="20"/>
        </w:rPr>
        <w:t xml:space="preserve"> at §§ 55-56. Emphasis added.</w:t>
      </w:r>
    </w:p>
  </w:footnote>
  <w:footnote w:id="53">
    <w:p w:rsidR="00EB47D6" w:rsidRPr="00764C32" w:rsidRDefault="00EB47D6" w:rsidP="00BE2697">
      <w:pPr>
        <w:jc w:val="both"/>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For example, </w:t>
      </w:r>
      <w:r w:rsidRPr="00764C32">
        <w:rPr>
          <w:rFonts w:ascii="Arial" w:hAnsi="Arial" w:cs="Arial"/>
          <w:i/>
          <w:sz w:val="20"/>
          <w:szCs w:val="20"/>
        </w:rPr>
        <w:t>see</w:t>
      </w:r>
      <w:r w:rsidRPr="00764C32">
        <w:rPr>
          <w:rFonts w:ascii="Arial" w:hAnsi="Arial" w:cs="Arial"/>
          <w:sz w:val="20"/>
          <w:szCs w:val="20"/>
        </w:rPr>
        <w:t xml:space="preserve"> </w:t>
      </w:r>
      <w:r w:rsidRPr="00764C32">
        <w:rPr>
          <w:rFonts w:ascii="Arial" w:hAnsi="Arial" w:cs="Arial"/>
          <w:i/>
          <w:sz w:val="20"/>
          <w:szCs w:val="20"/>
        </w:rPr>
        <w:t>Keenan v. United Kingdom</w:t>
      </w:r>
      <w:r w:rsidRPr="00764C32">
        <w:rPr>
          <w:rFonts w:ascii="Arial" w:hAnsi="Arial" w:cs="Arial"/>
          <w:sz w:val="20"/>
          <w:szCs w:val="20"/>
        </w:rPr>
        <w:t xml:space="preserve"> (2001) 33 E.H.R.R. 38.</w:t>
      </w:r>
    </w:p>
  </w:footnote>
  <w:footnote w:id="54">
    <w:p w:rsidR="00EB47D6" w:rsidRPr="00764C32" w:rsidRDefault="00EB47D6" w:rsidP="00BE2697">
      <w:pPr>
        <w:jc w:val="both"/>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Paragraph 9(c). </w:t>
      </w:r>
      <w:proofErr w:type="gramStart"/>
      <w:r w:rsidRPr="00764C32">
        <w:rPr>
          <w:rFonts w:ascii="Arial" w:hAnsi="Arial" w:cs="Arial"/>
          <w:sz w:val="20"/>
          <w:szCs w:val="20"/>
        </w:rPr>
        <w:t>Assembly debate on 25 June 1999.</w:t>
      </w:r>
      <w:proofErr w:type="gramEnd"/>
      <w:r w:rsidRPr="00764C32">
        <w:rPr>
          <w:rFonts w:ascii="Arial" w:hAnsi="Arial" w:cs="Arial"/>
          <w:sz w:val="20"/>
          <w:szCs w:val="20"/>
        </w:rPr>
        <w:t xml:space="preserve"> Text adopted by the Assembly on 25 June 1999 (24</w:t>
      </w:r>
      <w:r w:rsidRPr="00764C32">
        <w:rPr>
          <w:rFonts w:ascii="Arial" w:hAnsi="Arial" w:cs="Arial"/>
          <w:sz w:val="20"/>
          <w:szCs w:val="20"/>
          <w:vertAlign w:val="superscript"/>
        </w:rPr>
        <w:t>th</w:t>
      </w:r>
      <w:r w:rsidRPr="00764C32">
        <w:rPr>
          <w:rFonts w:ascii="Arial" w:hAnsi="Arial" w:cs="Arial"/>
          <w:sz w:val="20"/>
          <w:szCs w:val="20"/>
        </w:rPr>
        <w:t xml:space="preserve"> Sitting). Emphasis added.</w:t>
      </w:r>
    </w:p>
  </w:footnote>
  <w:footnote w:id="55">
    <w:p w:rsidR="00EB47D6" w:rsidRPr="00764C32" w:rsidRDefault="00EB47D6" w:rsidP="00BE2697">
      <w:pPr>
        <w:jc w:val="both"/>
        <w:rPr>
          <w:rFonts w:ascii="Arial" w:hAnsi="Arial" w:cs="Arial"/>
          <w:sz w:val="20"/>
          <w:szCs w:val="20"/>
        </w:rPr>
      </w:pPr>
      <w:r w:rsidRPr="00764C32">
        <w:rPr>
          <w:rStyle w:val="FootnoteReference"/>
          <w:rFonts w:ascii="Arial" w:hAnsi="Arial" w:cs="Arial"/>
          <w:sz w:val="20"/>
          <w:szCs w:val="20"/>
        </w:rPr>
        <w:footnoteRef/>
      </w:r>
      <w:r w:rsidRPr="00764C32">
        <w:rPr>
          <w:rFonts w:ascii="Arial" w:hAnsi="Arial" w:cs="Arial"/>
          <w:sz w:val="20"/>
          <w:szCs w:val="20"/>
        </w:rPr>
        <w:t xml:space="preserve"> </w:t>
      </w:r>
      <w:proofErr w:type="gramStart"/>
      <w:r w:rsidRPr="00764C32">
        <w:rPr>
          <w:rFonts w:ascii="Arial" w:hAnsi="Arial" w:cs="Arial"/>
          <w:sz w:val="20"/>
          <w:szCs w:val="20"/>
        </w:rPr>
        <w:t>Paragraph 5.</w:t>
      </w:r>
      <w:proofErr w:type="gramEnd"/>
      <w:r w:rsidRPr="00764C32">
        <w:rPr>
          <w:rFonts w:ascii="Arial" w:hAnsi="Arial" w:cs="Arial"/>
          <w:sz w:val="20"/>
          <w:szCs w:val="20"/>
        </w:rPr>
        <w:t xml:space="preserve"> Text adopted by the Assembly on 25 January 2012 (6</w:t>
      </w:r>
      <w:r w:rsidRPr="00764C32">
        <w:rPr>
          <w:rFonts w:ascii="Arial" w:hAnsi="Arial" w:cs="Arial"/>
          <w:sz w:val="20"/>
          <w:szCs w:val="20"/>
          <w:vertAlign w:val="superscript"/>
        </w:rPr>
        <w:t>th</w:t>
      </w:r>
      <w:r w:rsidRPr="00764C32">
        <w:rPr>
          <w:rFonts w:ascii="Arial" w:hAnsi="Arial" w:cs="Arial"/>
          <w:sz w:val="20"/>
          <w:szCs w:val="20"/>
        </w:rPr>
        <w:t xml:space="preserve"> Sitting). </w:t>
      </w:r>
    </w:p>
  </w:footnote>
  <w:footnote w:id="56">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WMA Declaration on </w:t>
      </w:r>
      <w:proofErr w:type="gramStart"/>
      <w:r w:rsidRPr="00764C32">
        <w:rPr>
          <w:rFonts w:ascii="Arial" w:hAnsi="Arial" w:cs="Arial"/>
        </w:rPr>
        <w:t>Euthanasia,</w:t>
      </w:r>
      <w:proofErr w:type="gramEnd"/>
      <w:r w:rsidRPr="00764C32">
        <w:rPr>
          <w:rFonts w:ascii="Arial" w:hAnsi="Arial" w:cs="Arial"/>
        </w:rPr>
        <w:t xml:space="preserve"> adopted by the 38th World Medical Assembly, Madrid, Spain, October 1987 and reaffirmed by the 170th WMA Council Session, </w:t>
      </w:r>
      <w:proofErr w:type="spellStart"/>
      <w:r w:rsidRPr="00764C32">
        <w:rPr>
          <w:rFonts w:ascii="Arial" w:hAnsi="Arial" w:cs="Arial"/>
        </w:rPr>
        <w:t>Divonne</w:t>
      </w:r>
      <w:proofErr w:type="spellEnd"/>
      <w:r w:rsidRPr="00764C32">
        <w:rPr>
          <w:rFonts w:ascii="Arial" w:hAnsi="Arial" w:cs="Arial"/>
        </w:rPr>
        <w:t>-les-</w:t>
      </w:r>
      <w:proofErr w:type="spellStart"/>
      <w:r w:rsidRPr="00764C32">
        <w:rPr>
          <w:rFonts w:ascii="Arial" w:hAnsi="Arial" w:cs="Arial"/>
        </w:rPr>
        <w:t>Bains</w:t>
      </w:r>
      <w:proofErr w:type="spellEnd"/>
      <w:r w:rsidRPr="00764C32">
        <w:rPr>
          <w:rFonts w:ascii="Arial" w:hAnsi="Arial" w:cs="Arial"/>
        </w:rPr>
        <w:t>, France, May 2005.</w:t>
      </w:r>
    </w:p>
  </w:footnote>
  <w:footnote w:id="57">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WMA Statement on Physician-Assisted </w:t>
      </w:r>
      <w:proofErr w:type="gramStart"/>
      <w:r w:rsidRPr="00764C32">
        <w:rPr>
          <w:rFonts w:ascii="Arial" w:hAnsi="Arial" w:cs="Arial"/>
        </w:rPr>
        <w:t>Suicide,</w:t>
      </w:r>
      <w:proofErr w:type="gramEnd"/>
      <w:r w:rsidRPr="00764C32">
        <w:rPr>
          <w:rFonts w:ascii="Arial" w:hAnsi="Arial" w:cs="Arial"/>
        </w:rPr>
        <w:t xml:space="preserve"> adopted by the 44th World Medical Assembly, Marbella, Spain, September 1992 and editorially revised by the 170th WMA Council Session, </w:t>
      </w:r>
      <w:proofErr w:type="spellStart"/>
      <w:r w:rsidRPr="00764C32">
        <w:rPr>
          <w:rFonts w:ascii="Arial" w:hAnsi="Arial" w:cs="Arial"/>
        </w:rPr>
        <w:t>Divonne</w:t>
      </w:r>
      <w:proofErr w:type="spellEnd"/>
      <w:r w:rsidRPr="00764C32">
        <w:rPr>
          <w:rFonts w:ascii="Arial" w:hAnsi="Arial" w:cs="Arial"/>
        </w:rPr>
        <w:t>-les-</w:t>
      </w:r>
      <w:proofErr w:type="spellStart"/>
      <w:r w:rsidRPr="00764C32">
        <w:rPr>
          <w:rFonts w:ascii="Arial" w:hAnsi="Arial" w:cs="Arial"/>
        </w:rPr>
        <w:t>Bains</w:t>
      </w:r>
      <w:proofErr w:type="spellEnd"/>
      <w:r w:rsidRPr="00764C32">
        <w:rPr>
          <w:rFonts w:ascii="Arial" w:hAnsi="Arial" w:cs="Arial"/>
        </w:rPr>
        <w:t>, France, May 2005.</w:t>
      </w:r>
    </w:p>
  </w:footnote>
  <w:footnote w:id="58">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r w:rsidRPr="00764C32">
        <w:rPr>
          <w:rFonts w:ascii="Arial" w:hAnsi="Arial" w:cs="Arial"/>
          <w:i/>
        </w:rPr>
        <w:t>See</w:t>
      </w:r>
      <w:r w:rsidRPr="00764C32">
        <w:rPr>
          <w:rFonts w:ascii="Arial" w:hAnsi="Arial" w:cs="Arial"/>
        </w:rPr>
        <w:t xml:space="preserve"> WMA Resolution on Euthanasia, available at http://www.wma.net/en/30publications/10policies/</w:t>
      </w:r>
    </w:p>
    <w:p w:rsidR="00EB47D6" w:rsidRPr="00764C32" w:rsidRDefault="00EB47D6" w:rsidP="00BE2697">
      <w:pPr>
        <w:pStyle w:val="FootnoteText"/>
        <w:jc w:val="both"/>
        <w:rPr>
          <w:rFonts w:ascii="Arial" w:hAnsi="Arial" w:cs="Arial"/>
        </w:rPr>
      </w:pPr>
      <w:r w:rsidRPr="00764C32">
        <w:rPr>
          <w:rFonts w:ascii="Arial" w:hAnsi="Arial" w:cs="Arial"/>
        </w:rPr>
        <w:t>e13b/.</w:t>
      </w:r>
    </w:p>
  </w:footnote>
  <w:footnote w:id="59">
    <w:p w:rsidR="00EB47D6" w:rsidRPr="00764C32" w:rsidRDefault="00EB47D6" w:rsidP="00BE2697">
      <w:pPr>
        <w:pStyle w:val="FootnoteText"/>
        <w:jc w:val="both"/>
        <w:rPr>
          <w:rFonts w:ascii="Arial" w:hAnsi="Arial" w:cs="Arial"/>
        </w:rPr>
      </w:pPr>
      <w:r w:rsidRPr="00764C32">
        <w:rPr>
          <w:rStyle w:val="FootnoteReference"/>
          <w:rFonts w:ascii="Arial" w:hAnsi="Arial" w:cs="Arial"/>
        </w:rPr>
        <w:footnoteRef/>
      </w:r>
      <w:r w:rsidRPr="00764C32">
        <w:rPr>
          <w:rFonts w:ascii="Arial" w:hAnsi="Arial" w:cs="Arial"/>
        </w:rPr>
        <w:t xml:space="preserve"> </w:t>
      </w:r>
      <w:proofErr w:type="gramStart"/>
      <w:r w:rsidRPr="00764C32">
        <w:rPr>
          <w:rFonts w:ascii="Arial" w:hAnsi="Arial" w:cs="Arial"/>
          <w:i/>
        </w:rPr>
        <w:t>Pretty</w:t>
      </w:r>
      <w:r w:rsidRPr="00764C32">
        <w:rPr>
          <w:rFonts w:ascii="Arial" w:hAnsi="Arial" w:cs="Arial"/>
        </w:rPr>
        <w:t xml:space="preserve"> at § 39.</w:t>
      </w:r>
      <w:proofErr w:type="gramEnd"/>
      <w:r w:rsidRPr="00764C32">
        <w:rPr>
          <w:rFonts w:ascii="Arial" w:hAnsi="Arial" w:cs="Arial"/>
        </w:rPr>
        <w:t xml:space="preserve"> </w:t>
      </w:r>
      <w:proofErr w:type="gramStart"/>
      <w:r w:rsidRPr="00764C32">
        <w:rPr>
          <w:rFonts w:ascii="Arial" w:hAnsi="Arial" w:cs="Arial"/>
        </w:rPr>
        <w:t>Quoted above.</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7D6" w:rsidRDefault="00EB47D6" w:rsidP="008D2BA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7D6" w:rsidRPr="008D2BAE" w:rsidRDefault="00EB47D6" w:rsidP="008D2BAE">
    <w:pPr>
      <w:pStyle w:val="Header"/>
      <w:ind w:left="792" w:hanging="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70BAFC36"/>
    <w:lvl w:ilvl="0">
      <w:start w:val="1"/>
      <w:numFmt w:val="decimal"/>
      <w:pStyle w:val="LawNormal"/>
      <w:isLgl/>
      <w:lvlText w:val="%1."/>
      <w:lvlJc w:val="left"/>
      <w:pPr>
        <w:tabs>
          <w:tab w:val="num" w:pos="360"/>
        </w:tabs>
        <w:ind w:left="360" w:firstLine="0"/>
      </w:pPr>
      <w:rPr>
        <w:rFonts w:hint="default"/>
        <w:position w:val="0"/>
      </w:rPr>
    </w:lvl>
    <w:lvl w:ilvl="1">
      <w:start w:val="1"/>
      <w:numFmt w:val="decimal"/>
      <w:isLgl/>
      <w:lvlText w:val="%1.%2."/>
      <w:lvlJc w:val="left"/>
      <w:pPr>
        <w:tabs>
          <w:tab w:val="num" w:pos="648"/>
        </w:tabs>
        <w:ind w:left="648" w:firstLine="36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1">
    <w:nsid w:val="07E767CB"/>
    <w:multiLevelType w:val="hybridMultilevel"/>
    <w:tmpl w:val="408EF942"/>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E3F3CF4"/>
    <w:multiLevelType w:val="singleLevel"/>
    <w:tmpl w:val="04090015"/>
    <w:lvl w:ilvl="0">
      <w:start w:val="1"/>
      <w:numFmt w:val="upperLetter"/>
      <w:pStyle w:val="ListParagraph"/>
      <w:lvlText w:val="%1."/>
      <w:lvlJc w:val="left"/>
      <w:pPr>
        <w:ind w:left="1512" w:hanging="360"/>
      </w:pPr>
      <w:rPr>
        <w:rFonts w:hint="default"/>
        <w:sz w:val="22"/>
      </w:rPr>
    </w:lvl>
  </w:abstractNum>
  <w:abstractNum w:abstractNumId="3">
    <w:nsid w:val="0E5D4489"/>
    <w:multiLevelType w:val="hybridMultilevel"/>
    <w:tmpl w:val="835CCF9E"/>
    <w:lvl w:ilvl="0">
      <w:start w:val="1"/>
      <w:numFmt w:val="upperLetter"/>
      <w:lvlText w:val="%1."/>
      <w:lvlJc w:val="left"/>
      <w:pPr>
        <w:ind w:left="720" w:hanging="360"/>
      </w:pPr>
      <w:rPr>
        <w:rFonts w:hint="default"/>
        <w:b/>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500CA7"/>
    <w:multiLevelType w:val="multilevel"/>
    <w:tmpl w:val="07F23A0A"/>
    <w:styleLink w:val="ArialADFList"/>
    <w:lvl w:ilvl="0">
      <w:start w:val="1"/>
      <w:numFmt w:val="lowerLetter"/>
      <w:lvlText w:val="(%1)"/>
      <w:lvlJc w:val="left"/>
      <w:pPr>
        <w:tabs>
          <w:tab w:val="num" w:pos="1800"/>
        </w:tabs>
        <w:ind w:left="1800" w:hanging="648"/>
      </w:pPr>
      <w:rPr>
        <w:rFonts w:ascii="Arial" w:hAnsi="Arial" w:hint="default"/>
        <w:sz w:val="22"/>
      </w:rPr>
    </w:lvl>
    <w:lvl w:ilvl="1">
      <w:start w:val="1"/>
      <w:numFmt w:val="lowerRoman"/>
      <w:lvlText w:val="(%2)"/>
      <w:lvlJc w:val="left"/>
      <w:pPr>
        <w:tabs>
          <w:tab w:val="num" w:pos="2592"/>
        </w:tabs>
        <w:ind w:left="2592" w:hanging="432"/>
      </w:pPr>
      <w:rPr>
        <w:rFonts w:ascii="Arial" w:hAnsi="Arial" w:hint="default"/>
        <w:sz w:val="22"/>
      </w:rPr>
    </w:lvl>
    <w:lvl w:ilvl="2">
      <w:start w:val="1"/>
      <w:numFmt w:val="lowerRoman"/>
      <w:lvlText w:val="%3."/>
      <w:lvlJc w:val="right"/>
      <w:pPr>
        <w:ind w:left="8856" w:hanging="180"/>
      </w:pPr>
      <w:rPr>
        <w:rFonts w:hint="default"/>
      </w:rPr>
    </w:lvl>
    <w:lvl w:ilvl="3">
      <w:start w:val="1"/>
      <w:numFmt w:val="decimal"/>
      <w:lvlText w:val="%4."/>
      <w:lvlJc w:val="left"/>
      <w:pPr>
        <w:ind w:left="9576" w:hanging="360"/>
      </w:pPr>
      <w:rPr>
        <w:rFonts w:hint="default"/>
      </w:rPr>
    </w:lvl>
    <w:lvl w:ilvl="4">
      <w:start w:val="1"/>
      <w:numFmt w:val="lowerLetter"/>
      <w:lvlText w:val="%5."/>
      <w:lvlJc w:val="left"/>
      <w:pPr>
        <w:ind w:left="10296" w:hanging="360"/>
      </w:pPr>
      <w:rPr>
        <w:rFonts w:hint="default"/>
      </w:rPr>
    </w:lvl>
    <w:lvl w:ilvl="5">
      <w:start w:val="1"/>
      <w:numFmt w:val="lowerRoman"/>
      <w:lvlText w:val="%6."/>
      <w:lvlJc w:val="right"/>
      <w:pPr>
        <w:ind w:left="11016" w:hanging="180"/>
      </w:pPr>
      <w:rPr>
        <w:rFonts w:hint="default"/>
      </w:rPr>
    </w:lvl>
    <w:lvl w:ilvl="6">
      <w:start w:val="1"/>
      <w:numFmt w:val="decimal"/>
      <w:lvlText w:val="%7."/>
      <w:lvlJc w:val="left"/>
      <w:pPr>
        <w:ind w:left="11736" w:hanging="360"/>
      </w:pPr>
      <w:rPr>
        <w:rFonts w:hint="default"/>
      </w:rPr>
    </w:lvl>
    <w:lvl w:ilvl="7">
      <w:start w:val="1"/>
      <w:numFmt w:val="lowerLetter"/>
      <w:lvlText w:val="%8."/>
      <w:lvlJc w:val="left"/>
      <w:pPr>
        <w:ind w:left="12456" w:hanging="360"/>
      </w:pPr>
      <w:rPr>
        <w:rFonts w:hint="default"/>
      </w:rPr>
    </w:lvl>
    <w:lvl w:ilvl="8">
      <w:start w:val="1"/>
      <w:numFmt w:val="lowerRoman"/>
      <w:lvlText w:val="%9."/>
      <w:lvlJc w:val="right"/>
      <w:pPr>
        <w:ind w:left="13176" w:hanging="180"/>
      </w:pPr>
      <w:rPr>
        <w:rFonts w:hint="default"/>
      </w:rPr>
    </w:lvl>
  </w:abstractNum>
  <w:abstractNum w:abstractNumId="5">
    <w:nsid w:val="36366CB3"/>
    <w:multiLevelType w:val="hybridMultilevel"/>
    <w:tmpl w:val="F672173C"/>
    <w:lvl w:ilvl="0" w:tplc="04090015">
      <w:start w:val="1"/>
      <w:numFmt w:val="lowerLetter"/>
      <w:pStyle w:val="Sectionheading"/>
      <w:lvlText w:val="(%1)"/>
      <w:lvlJc w:val="left"/>
      <w:pPr>
        <w:ind w:left="216" w:hanging="360"/>
      </w:pPr>
      <w:rPr>
        <w:rFonts w:ascii="Arial" w:hAnsi="Arial" w:hint="default"/>
        <w:sz w:val="22"/>
      </w:rPr>
    </w:lvl>
    <w:lvl w:ilvl="1" w:tplc="0409001B"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EA3C39"/>
    <w:multiLevelType w:val="hybridMultilevel"/>
    <w:tmpl w:val="ABB25620"/>
    <w:lvl w:ilvl="0" w:tplc="6D9A28BC">
      <w:start w:val="1"/>
      <w:numFmt w:val="lowerLetter"/>
      <w:lvlText w:val="(%1)"/>
      <w:lvlJc w:val="left"/>
      <w:pPr>
        <w:ind w:left="2232" w:hanging="360"/>
      </w:pPr>
      <w:rPr>
        <w:rFonts w:ascii="Arial" w:hAnsi="Arial" w:cs="Arial" w:hint="default"/>
        <w:sz w:val="22"/>
        <w:szCs w:val="22"/>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7">
    <w:nsid w:val="68C47F75"/>
    <w:multiLevelType w:val="hybridMultilevel"/>
    <w:tmpl w:val="09EC2128"/>
    <w:lvl w:ilvl="0" w:tplc="B2BC8E56">
      <w:start w:val="1"/>
      <w:numFmt w:val="upperLetter"/>
      <w:lvlText w:val="%1."/>
      <w:lvlJc w:val="left"/>
      <w:pPr>
        <w:ind w:left="720" w:hanging="360"/>
      </w:pPr>
      <w:rPr>
        <w:rFonts w:hint="default"/>
      </w:rPr>
    </w:lvl>
    <w:lvl w:ilvl="1" w:tplc="100E4A02">
      <w:start w:val="1"/>
      <w:numFmt w:val="lowerRoman"/>
      <w:lvlText w:val="%2."/>
      <w:lvlJc w:val="right"/>
      <w:pPr>
        <w:ind w:left="1440" w:hanging="360"/>
      </w:pPr>
    </w:lvl>
    <w:lvl w:ilvl="2" w:tplc="8F4A948C" w:tentative="1">
      <w:start w:val="1"/>
      <w:numFmt w:val="lowerRoman"/>
      <w:lvlText w:val="%3."/>
      <w:lvlJc w:val="right"/>
      <w:pPr>
        <w:ind w:left="2160" w:hanging="180"/>
      </w:pPr>
    </w:lvl>
    <w:lvl w:ilvl="3" w:tplc="28D26818" w:tentative="1">
      <w:start w:val="1"/>
      <w:numFmt w:val="decimal"/>
      <w:lvlText w:val="%4."/>
      <w:lvlJc w:val="left"/>
      <w:pPr>
        <w:ind w:left="2880" w:hanging="360"/>
      </w:pPr>
    </w:lvl>
    <w:lvl w:ilvl="4" w:tplc="D71610EE" w:tentative="1">
      <w:start w:val="1"/>
      <w:numFmt w:val="lowerLetter"/>
      <w:lvlText w:val="%5."/>
      <w:lvlJc w:val="left"/>
      <w:pPr>
        <w:ind w:left="3600" w:hanging="360"/>
      </w:pPr>
    </w:lvl>
    <w:lvl w:ilvl="5" w:tplc="C1682470" w:tentative="1">
      <w:start w:val="1"/>
      <w:numFmt w:val="lowerRoman"/>
      <w:lvlText w:val="%6."/>
      <w:lvlJc w:val="right"/>
      <w:pPr>
        <w:ind w:left="4320" w:hanging="180"/>
      </w:pPr>
    </w:lvl>
    <w:lvl w:ilvl="6" w:tplc="619649E0" w:tentative="1">
      <w:start w:val="1"/>
      <w:numFmt w:val="decimal"/>
      <w:lvlText w:val="%7."/>
      <w:lvlJc w:val="left"/>
      <w:pPr>
        <w:ind w:left="5040" w:hanging="360"/>
      </w:pPr>
    </w:lvl>
    <w:lvl w:ilvl="7" w:tplc="91609140" w:tentative="1">
      <w:start w:val="1"/>
      <w:numFmt w:val="lowerLetter"/>
      <w:lvlText w:val="%8."/>
      <w:lvlJc w:val="left"/>
      <w:pPr>
        <w:ind w:left="5760" w:hanging="360"/>
      </w:pPr>
    </w:lvl>
    <w:lvl w:ilvl="8" w:tplc="BCD8428C" w:tentative="1">
      <w:start w:val="1"/>
      <w:numFmt w:val="lowerRoman"/>
      <w:lvlText w:val="%9."/>
      <w:lvlJc w:val="right"/>
      <w:pPr>
        <w:ind w:left="6480" w:hanging="180"/>
      </w:pPr>
    </w:lvl>
  </w:abstractNum>
  <w:abstractNum w:abstractNumId="8">
    <w:nsid w:val="6D6620CF"/>
    <w:multiLevelType w:val="hybridMultilevel"/>
    <w:tmpl w:val="0FCC740C"/>
    <w:lvl w:ilvl="0" w:tplc="04090015">
      <w:start w:val="1"/>
      <w:numFmt w:val="decimal"/>
      <w:pStyle w:val="CourtNumberedpara"/>
      <w:lvlText w:val="%1."/>
      <w:lvlJc w:val="left"/>
      <w:pPr>
        <w:ind w:left="792" w:hanging="360"/>
      </w:pPr>
      <w:rPr>
        <w:rFonts w:ascii="Arial" w:hAnsi="Arial" w:cs="Arial" w:hint="default"/>
        <w:sz w:val="22"/>
        <w:szCs w:val="22"/>
      </w:rPr>
    </w:lvl>
    <w:lvl w:ilvl="1" w:tplc="0409001B">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8"/>
  </w:num>
  <w:num w:numId="3">
    <w:abstractNumId w:val="4"/>
  </w:num>
  <w:num w:numId="4">
    <w:abstractNumId w:val="5"/>
  </w:num>
  <w:num w:numId="5">
    <w:abstractNumId w:val="2"/>
  </w:num>
  <w:num w:numId="6">
    <w:abstractNumId w:val="3"/>
  </w:num>
  <w:num w:numId="7">
    <w:abstractNumId w:val="1"/>
  </w:num>
  <w:num w:numId="8">
    <w:abstractNumId w:val="7"/>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attachedTemplate r:id="rId1"/>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41B10"/>
    <w:rsid w:val="00000DA8"/>
    <w:rsid w:val="00002AF5"/>
    <w:rsid w:val="00006E2E"/>
    <w:rsid w:val="00016AF8"/>
    <w:rsid w:val="00023701"/>
    <w:rsid w:val="000349C1"/>
    <w:rsid w:val="000358CB"/>
    <w:rsid w:val="000447CA"/>
    <w:rsid w:val="000447CC"/>
    <w:rsid w:val="00056A2A"/>
    <w:rsid w:val="0005719F"/>
    <w:rsid w:val="00062829"/>
    <w:rsid w:val="000674F9"/>
    <w:rsid w:val="00074DCA"/>
    <w:rsid w:val="00075036"/>
    <w:rsid w:val="000764C6"/>
    <w:rsid w:val="00083FA3"/>
    <w:rsid w:val="0008482A"/>
    <w:rsid w:val="000864EC"/>
    <w:rsid w:val="000A09E6"/>
    <w:rsid w:val="000A55C6"/>
    <w:rsid w:val="000B2BF5"/>
    <w:rsid w:val="000C02F5"/>
    <w:rsid w:val="000C1A85"/>
    <w:rsid w:val="000C2AD1"/>
    <w:rsid w:val="000D004C"/>
    <w:rsid w:val="000E2395"/>
    <w:rsid w:val="000E5023"/>
    <w:rsid w:val="000E6040"/>
    <w:rsid w:val="000E7591"/>
    <w:rsid w:val="000F1CCB"/>
    <w:rsid w:val="000F1D1C"/>
    <w:rsid w:val="000F3708"/>
    <w:rsid w:val="000F50BB"/>
    <w:rsid w:val="000F5D27"/>
    <w:rsid w:val="00102C85"/>
    <w:rsid w:val="0010690E"/>
    <w:rsid w:val="00107570"/>
    <w:rsid w:val="0011339B"/>
    <w:rsid w:val="00140E3D"/>
    <w:rsid w:val="00141399"/>
    <w:rsid w:val="001418BC"/>
    <w:rsid w:val="001446A6"/>
    <w:rsid w:val="001458E1"/>
    <w:rsid w:val="00154FF9"/>
    <w:rsid w:val="0015665D"/>
    <w:rsid w:val="00157C12"/>
    <w:rsid w:val="00157D69"/>
    <w:rsid w:val="00160600"/>
    <w:rsid w:val="001610CC"/>
    <w:rsid w:val="00175BB1"/>
    <w:rsid w:val="00183D64"/>
    <w:rsid w:val="00187518"/>
    <w:rsid w:val="00192373"/>
    <w:rsid w:val="001A2AAD"/>
    <w:rsid w:val="001A7828"/>
    <w:rsid w:val="001B00D0"/>
    <w:rsid w:val="001B6B3A"/>
    <w:rsid w:val="001C581E"/>
    <w:rsid w:val="001D781E"/>
    <w:rsid w:val="001F087E"/>
    <w:rsid w:val="001F1BAE"/>
    <w:rsid w:val="001F2F82"/>
    <w:rsid w:val="001F3788"/>
    <w:rsid w:val="00201C05"/>
    <w:rsid w:val="002107CB"/>
    <w:rsid w:val="002174D8"/>
    <w:rsid w:val="0022056B"/>
    <w:rsid w:val="00234CD9"/>
    <w:rsid w:val="00241C00"/>
    <w:rsid w:val="00247A41"/>
    <w:rsid w:val="00253C19"/>
    <w:rsid w:val="00262D8A"/>
    <w:rsid w:val="00265E86"/>
    <w:rsid w:val="00265EEF"/>
    <w:rsid w:val="0027110A"/>
    <w:rsid w:val="002755BC"/>
    <w:rsid w:val="00276D1E"/>
    <w:rsid w:val="002A3D66"/>
    <w:rsid w:val="002B21CE"/>
    <w:rsid w:val="002C130D"/>
    <w:rsid w:val="002C2B1A"/>
    <w:rsid w:val="002C35BE"/>
    <w:rsid w:val="002C36BC"/>
    <w:rsid w:val="002C48EB"/>
    <w:rsid w:val="002C7547"/>
    <w:rsid w:val="002D4282"/>
    <w:rsid w:val="002E501D"/>
    <w:rsid w:val="002F133A"/>
    <w:rsid w:val="002F2AF7"/>
    <w:rsid w:val="00300056"/>
    <w:rsid w:val="003015A8"/>
    <w:rsid w:val="00305466"/>
    <w:rsid w:val="00316A3E"/>
    <w:rsid w:val="00322AEC"/>
    <w:rsid w:val="00323776"/>
    <w:rsid w:val="00326818"/>
    <w:rsid w:val="00330396"/>
    <w:rsid w:val="0033601F"/>
    <w:rsid w:val="00337993"/>
    <w:rsid w:val="00356705"/>
    <w:rsid w:val="0035673F"/>
    <w:rsid w:val="00361A80"/>
    <w:rsid w:val="00363677"/>
    <w:rsid w:val="003658F6"/>
    <w:rsid w:val="00365A64"/>
    <w:rsid w:val="00365D59"/>
    <w:rsid w:val="0037377E"/>
    <w:rsid w:val="00386319"/>
    <w:rsid w:val="00391819"/>
    <w:rsid w:val="003A4763"/>
    <w:rsid w:val="003B0B7F"/>
    <w:rsid w:val="003B2A9C"/>
    <w:rsid w:val="003B387C"/>
    <w:rsid w:val="003B5071"/>
    <w:rsid w:val="003B53C5"/>
    <w:rsid w:val="003C17BC"/>
    <w:rsid w:val="003C4693"/>
    <w:rsid w:val="003D2F90"/>
    <w:rsid w:val="003D636B"/>
    <w:rsid w:val="003D77BC"/>
    <w:rsid w:val="003F26C7"/>
    <w:rsid w:val="003F34F6"/>
    <w:rsid w:val="00420420"/>
    <w:rsid w:val="00422B88"/>
    <w:rsid w:val="00430118"/>
    <w:rsid w:val="00433592"/>
    <w:rsid w:val="00434F2C"/>
    <w:rsid w:val="00440845"/>
    <w:rsid w:val="004414A0"/>
    <w:rsid w:val="00444B45"/>
    <w:rsid w:val="00450F7D"/>
    <w:rsid w:val="004515BD"/>
    <w:rsid w:val="00457004"/>
    <w:rsid w:val="00472627"/>
    <w:rsid w:val="00474448"/>
    <w:rsid w:val="00487C2A"/>
    <w:rsid w:val="0049429C"/>
    <w:rsid w:val="004A68DA"/>
    <w:rsid w:val="004A7CE8"/>
    <w:rsid w:val="004B21B2"/>
    <w:rsid w:val="004B3A7C"/>
    <w:rsid w:val="004C79F9"/>
    <w:rsid w:val="004D7DCE"/>
    <w:rsid w:val="004E3293"/>
    <w:rsid w:val="004E63EC"/>
    <w:rsid w:val="004E7D36"/>
    <w:rsid w:val="004F1769"/>
    <w:rsid w:val="00512EE3"/>
    <w:rsid w:val="00515827"/>
    <w:rsid w:val="005277B5"/>
    <w:rsid w:val="00535ECE"/>
    <w:rsid w:val="00541884"/>
    <w:rsid w:val="00546A31"/>
    <w:rsid w:val="00553AC3"/>
    <w:rsid w:val="00564A5C"/>
    <w:rsid w:val="00571874"/>
    <w:rsid w:val="0057369C"/>
    <w:rsid w:val="00576119"/>
    <w:rsid w:val="00584828"/>
    <w:rsid w:val="00584891"/>
    <w:rsid w:val="00584B01"/>
    <w:rsid w:val="005862B1"/>
    <w:rsid w:val="00586EC7"/>
    <w:rsid w:val="005924C2"/>
    <w:rsid w:val="005A15DC"/>
    <w:rsid w:val="005B295C"/>
    <w:rsid w:val="005B41EC"/>
    <w:rsid w:val="005D02A5"/>
    <w:rsid w:val="005D30D0"/>
    <w:rsid w:val="005D3363"/>
    <w:rsid w:val="005D4CB0"/>
    <w:rsid w:val="005D7BAD"/>
    <w:rsid w:val="005E5CB0"/>
    <w:rsid w:val="005F1886"/>
    <w:rsid w:val="005F683F"/>
    <w:rsid w:val="006050B9"/>
    <w:rsid w:val="006075EE"/>
    <w:rsid w:val="00612A07"/>
    <w:rsid w:val="00617863"/>
    <w:rsid w:val="00622C12"/>
    <w:rsid w:val="00623946"/>
    <w:rsid w:val="00623B4E"/>
    <w:rsid w:val="006257DC"/>
    <w:rsid w:val="00633811"/>
    <w:rsid w:val="00634954"/>
    <w:rsid w:val="006406AB"/>
    <w:rsid w:val="00640C7D"/>
    <w:rsid w:val="00641B10"/>
    <w:rsid w:val="0064675E"/>
    <w:rsid w:val="00647603"/>
    <w:rsid w:val="00654A21"/>
    <w:rsid w:val="00655BC6"/>
    <w:rsid w:val="00664770"/>
    <w:rsid w:val="00664935"/>
    <w:rsid w:val="00664DE0"/>
    <w:rsid w:val="0067582D"/>
    <w:rsid w:val="00681DD8"/>
    <w:rsid w:val="006965A4"/>
    <w:rsid w:val="006A689F"/>
    <w:rsid w:val="006A7588"/>
    <w:rsid w:val="006A7651"/>
    <w:rsid w:val="006B4184"/>
    <w:rsid w:val="006B4258"/>
    <w:rsid w:val="006B562C"/>
    <w:rsid w:val="006B66EA"/>
    <w:rsid w:val="006C3484"/>
    <w:rsid w:val="006C66F6"/>
    <w:rsid w:val="006D1F8C"/>
    <w:rsid w:val="006D3495"/>
    <w:rsid w:val="006F009F"/>
    <w:rsid w:val="006F21B4"/>
    <w:rsid w:val="006F3D78"/>
    <w:rsid w:val="006F5209"/>
    <w:rsid w:val="007000B3"/>
    <w:rsid w:val="00704135"/>
    <w:rsid w:val="00705532"/>
    <w:rsid w:val="00706258"/>
    <w:rsid w:val="00707D7F"/>
    <w:rsid w:val="00714965"/>
    <w:rsid w:val="00720392"/>
    <w:rsid w:val="00720F7D"/>
    <w:rsid w:val="00722665"/>
    <w:rsid w:val="00724AAC"/>
    <w:rsid w:val="00725065"/>
    <w:rsid w:val="00731A39"/>
    <w:rsid w:val="00734297"/>
    <w:rsid w:val="007352A1"/>
    <w:rsid w:val="0073697F"/>
    <w:rsid w:val="00741217"/>
    <w:rsid w:val="007432B9"/>
    <w:rsid w:val="007630E7"/>
    <w:rsid w:val="00763614"/>
    <w:rsid w:val="00764C32"/>
    <w:rsid w:val="00765C8D"/>
    <w:rsid w:val="00767368"/>
    <w:rsid w:val="00774D4F"/>
    <w:rsid w:val="00774D74"/>
    <w:rsid w:val="0078043B"/>
    <w:rsid w:val="00780C7D"/>
    <w:rsid w:val="0078217C"/>
    <w:rsid w:val="007824FF"/>
    <w:rsid w:val="007873BA"/>
    <w:rsid w:val="00791D07"/>
    <w:rsid w:val="00792071"/>
    <w:rsid w:val="007A0A95"/>
    <w:rsid w:val="007A21FC"/>
    <w:rsid w:val="007B4750"/>
    <w:rsid w:val="007B6F62"/>
    <w:rsid w:val="007C1993"/>
    <w:rsid w:val="007C31DE"/>
    <w:rsid w:val="007C5010"/>
    <w:rsid w:val="007D274E"/>
    <w:rsid w:val="007D68C9"/>
    <w:rsid w:val="007E22EE"/>
    <w:rsid w:val="007E4B61"/>
    <w:rsid w:val="007F2220"/>
    <w:rsid w:val="007F437D"/>
    <w:rsid w:val="007F771B"/>
    <w:rsid w:val="00811E91"/>
    <w:rsid w:val="0081517E"/>
    <w:rsid w:val="00823F89"/>
    <w:rsid w:val="008258FD"/>
    <w:rsid w:val="008330FC"/>
    <w:rsid w:val="00834295"/>
    <w:rsid w:val="00844B19"/>
    <w:rsid w:val="00851017"/>
    <w:rsid w:val="008632BA"/>
    <w:rsid w:val="008635E0"/>
    <w:rsid w:val="008658EA"/>
    <w:rsid w:val="008668FD"/>
    <w:rsid w:val="00867408"/>
    <w:rsid w:val="00871BF6"/>
    <w:rsid w:val="008728B6"/>
    <w:rsid w:val="00874CD4"/>
    <w:rsid w:val="00887970"/>
    <w:rsid w:val="008955CE"/>
    <w:rsid w:val="00895ACA"/>
    <w:rsid w:val="008962F2"/>
    <w:rsid w:val="008A3E8D"/>
    <w:rsid w:val="008A3FA9"/>
    <w:rsid w:val="008A4B54"/>
    <w:rsid w:val="008B16D3"/>
    <w:rsid w:val="008B188B"/>
    <w:rsid w:val="008C66DB"/>
    <w:rsid w:val="008D2BAE"/>
    <w:rsid w:val="008D3667"/>
    <w:rsid w:val="008D7C7F"/>
    <w:rsid w:val="008E036E"/>
    <w:rsid w:val="00901260"/>
    <w:rsid w:val="00905ADC"/>
    <w:rsid w:val="00917D72"/>
    <w:rsid w:val="0092418A"/>
    <w:rsid w:val="00925496"/>
    <w:rsid w:val="00926AD5"/>
    <w:rsid w:val="009368CF"/>
    <w:rsid w:val="00936EB0"/>
    <w:rsid w:val="00952F37"/>
    <w:rsid w:val="009548BE"/>
    <w:rsid w:val="00961869"/>
    <w:rsid w:val="00974827"/>
    <w:rsid w:val="00981A89"/>
    <w:rsid w:val="009908AF"/>
    <w:rsid w:val="00995F52"/>
    <w:rsid w:val="00997596"/>
    <w:rsid w:val="009A61FF"/>
    <w:rsid w:val="009B0BFB"/>
    <w:rsid w:val="009B3DBE"/>
    <w:rsid w:val="009C1700"/>
    <w:rsid w:val="009C6380"/>
    <w:rsid w:val="009C7C44"/>
    <w:rsid w:val="009E04AB"/>
    <w:rsid w:val="009E1577"/>
    <w:rsid w:val="00A02031"/>
    <w:rsid w:val="00A04295"/>
    <w:rsid w:val="00A070FA"/>
    <w:rsid w:val="00A1246E"/>
    <w:rsid w:val="00A15F4E"/>
    <w:rsid w:val="00A1766E"/>
    <w:rsid w:val="00A24BCD"/>
    <w:rsid w:val="00A26651"/>
    <w:rsid w:val="00A31171"/>
    <w:rsid w:val="00A31572"/>
    <w:rsid w:val="00A32557"/>
    <w:rsid w:val="00A34E61"/>
    <w:rsid w:val="00A3577C"/>
    <w:rsid w:val="00A64ADB"/>
    <w:rsid w:val="00A6527C"/>
    <w:rsid w:val="00A67CA0"/>
    <w:rsid w:val="00A74006"/>
    <w:rsid w:val="00A74F1E"/>
    <w:rsid w:val="00A80543"/>
    <w:rsid w:val="00A8716A"/>
    <w:rsid w:val="00A92107"/>
    <w:rsid w:val="00A92238"/>
    <w:rsid w:val="00A970D0"/>
    <w:rsid w:val="00AA10F6"/>
    <w:rsid w:val="00AA15C9"/>
    <w:rsid w:val="00AA274F"/>
    <w:rsid w:val="00AA3E83"/>
    <w:rsid w:val="00AA6EDD"/>
    <w:rsid w:val="00AB3EA5"/>
    <w:rsid w:val="00AB67DE"/>
    <w:rsid w:val="00AC21A2"/>
    <w:rsid w:val="00AC41F3"/>
    <w:rsid w:val="00AC518C"/>
    <w:rsid w:val="00AD066A"/>
    <w:rsid w:val="00AD3B70"/>
    <w:rsid w:val="00AD7EB8"/>
    <w:rsid w:val="00AE17A7"/>
    <w:rsid w:val="00AE4EDF"/>
    <w:rsid w:val="00AE6967"/>
    <w:rsid w:val="00AF0DC8"/>
    <w:rsid w:val="00AF1B03"/>
    <w:rsid w:val="00AF4000"/>
    <w:rsid w:val="00AF43AF"/>
    <w:rsid w:val="00AF5C0F"/>
    <w:rsid w:val="00B02135"/>
    <w:rsid w:val="00B075EF"/>
    <w:rsid w:val="00B13018"/>
    <w:rsid w:val="00B3143C"/>
    <w:rsid w:val="00B31A1C"/>
    <w:rsid w:val="00B32192"/>
    <w:rsid w:val="00B33F16"/>
    <w:rsid w:val="00B3688D"/>
    <w:rsid w:val="00B37CFE"/>
    <w:rsid w:val="00B400F5"/>
    <w:rsid w:val="00B51F36"/>
    <w:rsid w:val="00B54420"/>
    <w:rsid w:val="00B55D99"/>
    <w:rsid w:val="00B57FB8"/>
    <w:rsid w:val="00B7248C"/>
    <w:rsid w:val="00B76804"/>
    <w:rsid w:val="00B831F9"/>
    <w:rsid w:val="00B90CB3"/>
    <w:rsid w:val="00B9677A"/>
    <w:rsid w:val="00BA0A19"/>
    <w:rsid w:val="00BB5039"/>
    <w:rsid w:val="00BC0CFF"/>
    <w:rsid w:val="00BC5101"/>
    <w:rsid w:val="00BC6467"/>
    <w:rsid w:val="00BD2A70"/>
    <w:rsid w:val="00BD40A4"/>
    <w:rsid w:val="00BD7896"/>
    <w:rsid w:val="00BE2697"/>
    <w:rsid w:val="00BE362C"/>
    <w:rsid w:val="00BE3F1E"/>
    <w:rsid w:val="00BE4F0D"/>
    <w:rsid w:val="00BE77CF"/>
    <w:rsid w:val="00C028E7"/>
    <w:rsid w:val="00C03549"/>
    <w:rsid w:val="00C21F37"/>
    <w:rsid w:val="00C226FB"/>
    <w:rsid w:val="00C25D9D"/>
    <w:rsid w:val="00C31976"/>
    <w:rsid w:val="00C362BC"/>
    <w:rsid w:val="00C3752C"/>
    <w:rsid w:val="00C41112"/>
    <w:rsid w:val="00C41284"/>
    <w:rsid w:val="00C441CC"/>
    <w:rsid w:val="00C45059"/>
    <w:rsid w:val="00C45BD7"/>
    <w:rsid w:val="00C55A9A"/>
    <w:rsid w:val="00C64D4A"/>
    <w:rsid w:val="00C659B5"/>
    <w:rsid w:val="00C66AB1"/>
    <w:rsid w:val="00C738B1"/>
    <w:rsid w:val="00C755C3"/>
    <w:rsid w:val="00C760FD"/>
    <w:rsid w:val="00C81F6B"/>
    <w:rsid w:val="00C843CE"/>
    <w:rsid w:val="00C8712D"/>
    <w:rsid w:val="00C879BF"/>
    <w:rsid w:val="00C9147C"/>
    <w:rsid w:val="00C96666"/>
    <w:rsid w:val="00C976EA"/>
    <w:rsid w:val="00CA010B"/>
    <w:rsid w:val="00CB293A"/>
    <w:rsid w:val="00CB66AB"/>
    <w:rsid w:val="00CB6AB4"/>
    <w:rsid w:val="00CC0A0F"/>
    <w:rsid w:val="00CC2A1D"/>
    <w:rsid w:val="00CC2F61"/>
    <w:rsid w:val="00CC389E"/>
    <w:rsid w:val="00CC620E"/>
    <w:rsid w:val="00CC661A"/>
    <w:rsid w:val="00CC7BB5"/>
    <w:rsid w:val="00CD3624"/>
    <w:rsid w:val="00CD46EB"/>
    <w:rsid w:val="00CD6C5F"/>
    <w:rsid w:val="00CD73A4"/>
    <w:rsid w:val="00CD7E47"/>
    <w:rsid w:val="00CE06F5"/>
    <w:rsid w:val="00CE28FF"/>
    <w:rsid w:val="00CE34AB"/>
    <w:rsid w:val="00CE3C65"/>
    <w:rsid w:val="00CF0922"/>
    <w:rsid w:val="00CF1155"/>
    <w:rsid w:val="00D04677"/>
    <w:rsid w:val="00D10121"/>
    <w:rsid w:val="00D12C05"/>
    <w:rsid w:val="00D20650"/>
    <w:rsid w:val="00D20658"/>
    <w:rsid w:val="00D24C0D"/>
    <w:rsid w:val="00D325DD"/>
    <w:rsid w:val="00D339F2"/>
    <w:rsid w:val="00D36150"/>
    <w:rsid w:val="00D40FB6"/>
    <w:rsid w:val="00D5433D"/>
    <w:rsid w:val="00D565DA"/>
    <w:rsid w:val="00D576BE"/>
    <w:rsid w:val="00D7483D"/>
    <w:rsid w:val="00D91148"/>
    <w:rsid w:val="00DA5FD3"/>
    <w:rsid w:val="00DB409F"/>
    <w:rsid w:val="00DB7082"/>
    <w:rsid w:val="00DD0FE5"/>
    <w:rsid w:val="00DD2132"/>
    <w:rsid w:val="00DD400E"/>
    <w:rsid w:val="00DD57E5"/>
    <w:rsid w:val="00DE13A9"/>
    <w:rsid w:val="00DF7511"/>
    <w:rsid w:val="00E00743"/>
    <w:rsid w:val="00E01657"/>
    <w:rsid w:val="00E05533"/>
    <w:rsid w:val="00E059E5"/>
    <w:rsid w:val="00E11468"/>
    <w:rsid w:val="00E12C5F"/>
    <w:rsid w:val="00E177A6"/>
    <w:rsid w:val="00E339C9"/>
    <w:rsid w:val="00E5058E"/>
    <w:rsid w:val="00E50730"/>
    <w:rsid w:val="00E51546"/>
    <w:rsid w:val="00E62699"/>
    <w:rsid w:val="00E63368"/>
    <w:rsid w:val="00E64B8B"/>
    <w:rsid w:val="00E7153B"/>
    <w:rsid w:val="00E737C6"/>
    <w:rsid w:val="00E745C7"/>
    <w:rsid w:val="00E76487"/>
    <w:rsid w:val="00E83778"/>
    <w:rsid w:val="00E91F71"/>
    <w:rsid w:val="00E92E13"/>
    <w:rsid w:val="00E9351E"/>
    <w:rsid w:val="00E95C32"/>
    <w:rsid w:val="00EA1464"/>
    <w:rsid w:val="00EB356C"/>
    <w:rsid w:val="00EB47D6"/>
    <w:rsid w:val="00EB6855"/>
    <w:rsid w:val="00EC1DEC"/>
    <w:rsid w:val="00EC436B"/>
    <w:rsid w:val="00EC67F8"/>
    <w:rsid w:val="00ED1D0D"/>
    <w:rsid w:val="00ED6D78"/>
    <w:rsid w:val="00EE2450"/>
    <w:rsid w:val="00EF273C"/>
    <w:rsid w:val="00EF30FD"/>
    <w:rsid w:val="00EF3FFD"/>
    <w:rsid w:val="00F06295"/>
    <w:rsid w:val="00F0705E"/>
    <w:rsid w:val="00F15F23"/>
    <w:rsid w:val="00F200C6"/>
    <w:rsid w:val="00F22EF2"/>
    <w:rsid w:val="00F349AD"/>
    <w:rsid w:val="00F40AD6"/>
    <w:rsid w:val="00F440DF"/>
    <w:rsid w:val="00F44444"/>
    <w:rsid w:val="00F514A1"/>
    <w:rsid w:val="00F51B44"/>
    <w:rsid w:val="00F527F7"/>
    <w:rsid w:val="00F52E9D"/>
    <w:rsid w:val="00F53727"/>
    <w:rsid w:val="00F55FBD"/>
    <w:rsid w:val="00F75ECF"/>
    <w:rsid w:val="00F7605F"/>
    <w:rsid w:val="00F76862"/>
    <w:rsid w:val="00F81DDB"/>
    <w:rsid w:val="00F83EEE"/>
    <w:rsid w:val="00F90158"/>
    <w:rsid w:val="00F927B2"/>
    <w:rsid w:val="00F946D7"/>
    <w:rsid w:val="00FA3490"/>
    <w:rsid w:val="00FA398F"/>
    <w:rsid w:val="00FA6505"/>
    <w:rsid w:val="00FA74F0"/>
    <w:rsid w:val="00FB70F1"/>
    <w:rsid w:val="00FB716A"/>
    <w:rsid w:val="00FD0AEB"/>
    <w:rsid w:val="00FD2890"/>
    <w:rsid w:val="00FD3481"/>
    <w:rsid w:val="00FE4A9C"/>
    <w:rsid w:val="00FE7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lsdException w:name="heading 2" w:locked="1"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lsdException w:name="footer" w:locked="1"/>
    <w:lsdException w:name="caption" w:uiPriority="35" w:qFormat="1"/>
    <w:lsdException w:name="Title" w:locked="1" w:semiHidden="0" w:uiPriority="10" w:unhideWhenUsed="0"/>
    <w:lsdException w:name="Default Paragraph Font" w:uiPriority="1"/>
    <w:lsdException w:name="Subtitle" w:locked="1" w:semiHidden="0" w:uiPriority="11" w:unhideWhenUsed="0"/>
    <w:lsdException w:name="Strong" w:locked="1" w:semiHidden="0" w:uiPriority="22" w:unhideWhenUsed="0"/>
    <w:lsdException w:name="Emphasis" w:locked="1" w:semiHidden="0" w:uiPriority="20" w:unhideWhenUsed="0"/>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lsdException w:name="Intense Quote" w:locked="1"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8D3667"/>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locked/>
    <w:rsid w:val="00655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BC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C7547"/>
    <w:rPr>
      <w:rFonts w:ascii="Tahoma" w:hAnsi="Tahoma" w:cs="Tahoma"/>
      <w:sz w:val="16"/>
      <w:szCs w:val="16"/>
    </w:rPr>
  </w:style>
  <w:style w:type="character" w:customStyle="1" w:styleId="BalloonTextChar">
    <w:name w:val="Balloon Text Char"/>
    <w:basedOn w:val="DefaultParagraphFont"/>
    <w:link w:val="BalloonText"/>
    <w:uiPriority w:val="99"/>
    <w:semiHidden/>
    <w:rsid w:val="002C7547"/>
    <w:rPr>
      <w:rFonts w:ascii="Tahoma" w:hAnsi="Tahoma" w:cs="Tahoma"/>
      <w:sz w:val="16"/>
      <w:szCs w:val="16"/>
    </w:rPr>
  </w:style>
  <w:style w:type="paragraph" w:customStyle="1" w:styleId="Extendedquoteletter">
    <w:name w:val="Extended quote (letter)"/>
    <w:basedOn w:val="Normal"/>
    <w:link w:val="ExtendedquoteletterChar"/>
    <w:qFormat/>
    <w:rsid w:val="00D10121"/>
    <w:pPr>
      <w:ind w:left="1872" w:right="1296"/>
    </w:pPr>
    <w:rPr>
      <w:sz w:val="20"/>
    </w:rPr>
  </w:style>
  <w:style w:type="character" w:customStyle="1" w:styleId="ExtendedquoteletterChar">
    <w:name w:val="Extended quote (letter) Char"/>
    <w:basedOn w:val="DefaultParagraphFont"/>
    <w:link w:val="Extendedquoteletter"/>
    <w:rsid w:val="00D10121"/>
    <w:rPr>
      <w:rFonts w:ascii="Arial" w:eastAsia="Times New Roman" w:hAnsi="Arial" w:cs="Arial"/>
      <w:sz w:val="20"/>
    </w:rPr>
  </w:style>
  <w:style w:type="paragraph" w:styleId="Header">
    <w:name w:val="header"/>
    <w:basedOn w:val="Normal"/>
    <w:link w:val="HeaderChar"/>
    <w:uiPriority w:val="99"/>
    <w:unhideWhenUsed/>
    <w:locked/>
    <w:rsid w:val="00E95C32"/>
    <w:pPr>
      <w:tabs>
        <w:tab w:val="center" w:pos="4680"/>
        <w:tab w:val="right" w:pos="9360"/>
      </w:tabs>
    </w:pPr>
  </w:style>
  <w:style w:type="character" w:customStyle="1" w:styleId="HeaderChar">
    <w:name w:val="Header Char"/>
    <w:basedOn w:val="DefaultParagraphFont"/>
    <w:link w:val="Header"/>
    <w:uiPriority w:val="99"/>
    <w:rsid w:val="00E95C32"/>
    <w:rPr>
      <w:rFonts w:ascii="Garamond" w:eastAsia="Times New Roman" w:hAnsi="Garamond" w:cs="Arial"/>
      <w:sz w:val="24"/>
      <w:szCs w:val="24"/>
    </w:rPr>
  </w:style>
  <w:style w:type="paragraph" w:styleId="ListParagraph">
    <w:name w:val="List Paragraph"/>
    <w:basedOn w:val="CourtNumberedpara"/>
    <w:link w:val="ListParagraphChar"/>
    <w:uiPriority w:val="34"/>
    <w:qFormat/>
    <w:locked/>
    <w:rsid w:val="00B55D99"/>
    <w:pPr>
      <w:numPr>
        <w:numId w:val="5"/>
      </w:numPr>
      <w:ind w:right="1152"/>
    </w:pPr>
  </w:style>
  <w:style w:type="character" w:customStyle="1" w:styleId="ListParagraphChar">
    <w:name w:val="List Paragraph Char"/>
    <w:basedOn w:val="DefaultParagraphFont"/>
    <w:link w:val="ListParagraph"/>
    <w:uiPriority w:val="34"/>
    <w:rsid w:val="00B55D99"/>
    <w:rPr>
      <w:rFonts w:ascii="Times New Roman" w:hAnsi="Times New Roman" w:cs="Times New Roman"/>
      <w:sz w:val="24"/>
    </w:rPr>
  </w:style>
  <w:style w:type="paragraph" w:customStyle="1" w:styleId="Footnotes">
    <w:name w:val="Footnotes"/>
    <w:basedOn w:val="FootnoteText"/>
    <w:rsid w:val="001418BC"/>
  </w:style>
  <w:style w:type="paragraph" w:customStyle="1" w:styleId="LawNormal">
    <w:name w:val="Law Normal"/>
    <w:basedOn w:val="Normal"/>
    <w:autoRedefine/>
    <w:locked/>
    <w:rsid w:val="00E95C32"/>
    <w:pPr>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line="360" w:lineRule="auto"/>
    </w:pPr>
    <w:rPr>
      <w:rFonts w:ascii="Times" w:eastAsia="ヒラギノ角ゴ Pro W3" w:hAnsi="Times"/>
      <w:color w:val="000000"/>
      <w:szCs w:val="20"/>
    </w:rPr>
  </w:style>
  <w:style w:type="paragraph" w:styleId="FootnoteText">
    <w:name w:val="footnote text"/>
    <w:basedOn w:val="Normal"/>
    <w:link w:val="FootnoteTextChar"/>
    <w:uiPriority w:val="99"/>
    <w:qFormat/>
    <w:rsid w:val="00AF5C0F"/>
    <w:rPr>
      <w:rFonts w:eastAsiaTheme="minorEastAsia" w:cstheme="minorBidi"/>
      <w:sz w:val="20"/>
      <w:szCs w:val="20"/>
    </w:rPr>
  </w:style>
  <w:style w:type="character" w:customStyle="1" w:styleId="FootnoteTextChar">
    <w:name w:val="Footnote Text Char"/>
    <w:basedOn w:val="DefaultParagraphFont"/>
    <w:link w:val="FootnoteText"/>
    <w:uiPriority w:val="99"/>
    <w:rsid w:val="00AF5C0F"/>
    <w:rPr>
      <w:rFonts w:ascii="Arial" w:eastAsiaTheme="minorEastAsia" w:hAnsi="Arial"/>
      <w:sz w:val="20"/>
      <w:szCs w:val="20"/>
    </w:rPr>
  </w:style>
  <w:style w:type="table" w:customStyle="1" w:styleId="LightShading-Accent11">
    <w:name w:val="Light Shading - Accent 11"/>
    <w:basedOn w:val="TableNormal"/>
    <w:uiPriority w:val="60"/>
    <w:locked/>
    <w:rsid w:val="00187518"/>
    <w:pPr>
      <w:spacing w:after="0" w:line="240" w:lineRule="auto"/>
    </w:pPr>
    <w:rPr>
      <w:rFonts w:eastAsiaTheme="minorEastAsia"/>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otnoteReference">
    <w:name w:val="footnote reference"/>
    <w:basedOn w:val="DefaultParagraphFont"/>
    <w:uiPriority w:val="99"/>
    <w:unhideWhenUsed/>
    <w:rsid w:val="00A1766E"/>
    <w:rPr>
      <w:vertAlign w:val="superscript"/>
    </w:rPr>
  </w:style>
  <w:style w:type="character" w:styleId="PlaceholderText">
    <w:name w:val="Placeholder Text"/>
    <w:basedOn w:val="DefaultParagraphFont"/>
    <w:uiPriority w:val="99"/>
    <w:semiHidden/>
    <w:rsid w:val="00546A31"/>
    <w:rPr>
      <w:color w:val="808080"/>
    </w:rPr>
  </w:style>
  <w:style w:type="paragraph" w:styleId="Footer">
    <w:name w:val="footer"/>
    <w:basedOn w:val="Normal"/>
    <w:link w:val="FooterChar"/>
    <w:uiPriority w:val="99"/>
    <w:unhideWhenUsed/>
    <w:locked/>
    <w:rsid w:val="00576119"/>
    <w:pPr>
      <w:tabs>
        <w:tab w:val="center" w:pos="4680"/>
        <w:tab w:val="right" w:pos="9360"/>
      </w:tabs>
    </w:pPr>
  </w:style>
  <w:style w:type="character" w:customStyle="1" w:styleId="FooterChar">
    <w:name w:val="Footer Char"/>
    <w:basedOn w:val="DefaultParagraphFont"/>
    <w:link w:val="Footer"/>
    <w:uiPriority w:val="99"/>
    <w:rsid w:val="00576119"/>
    <w:rPr>
      <w:rFonts w:ascii="Garamond" w:eastAsia="Times New Roman" w:hAnsi="Garamond" w:cs="Arial"/>
      <w:sz w:val="24"/>
      <w:szCs w:val="24"/>
    </w:rPr>
  </w:style>
  <w:style w:type="paragraph" w:customStyle="1" w:styleId="CourtNumberedpara">
    <w:name w:val="Court Numbered para"/>
    <w:basedOn w:val="Normal"/>
    <w:link w:val="CourtNumberedparaChar"/>
    <w:qFormat/>
    <w:rsid w:val="003F26C7"/>
    <w:pPr>
      <w:numPr>
        <w:numId w:val="2"/>
      </w:numPr>
      <w:spacing w:before="180" w:after="180"/>
    </w:pPr>
  </w:style>
  <w:style w:type="numbering" w:customStyle="1" w:styleId="ArialADFList">
    <w:name w:val="Arial ADF List"/>
    <w:uiPriority w:val="99"/>
    <w:rsid w:val="00AD066A"/>
    <w:pPr>
      <w:numPr>
        <w:numId w:val="3"/>
      </w:numPr>
    </w:pPr>
  </w:style>
  <w:style w:type="character" w:customStyle="1" w:styleId="CourtNumberedparaChar">
    <w:name w:val="Court Numbered para Char"/>
    <w:basedOn w:val="ListParagraphChar"/>
    <w:link w:val="CourtNumberedpara"/>
    <w:rsid w:val="003F26C7"/>
  </w:style>
  <w:style w:type="paragraph" w:customStyle="1" w:styleId="Sectionheading">
    <w:name w:val="Section heading"/>
    <w:basedOn w:val="CourtNumberedpara"/>
    <w:next w:val="CourtNumberedpara"/>
    <w:link w:val="SectionheadingChar"/>
    <w:qFormat/>
    <w:rsid w:val="00E51546"/>
    <w:pPr>
      <w:numPr>
        <w:numId w:val="4"/>
      </w:numPr>
      <w:spacing w:after="0"/>
    </w:pPr>
    <w:rPr>
      <w:b/>
    </w:rPr>
  </w:style>
  <w:style w:type="paragraph" w:customStyle="1" w:styleId="Subheading">
    <w:name w:val="Subheading"/>
    <w:basedOn w:val="CourtNumberedpara"/>
    <w:next w:val="CourtNumberedpara"/>
    <w:link w:val="SubheadingChar"/>
    <w:qFormat/>
    <w:rsid w:val="008D2BAE"/>
    <w:pPr>
      <w:numPr>
        <w:numId w:val="0"/>
      </w:numPr>
      <w:spacing w:after="0"/>
    </w:pPr>
    <w:rPr>
      <w:i/>
    </w:rPr>
  </w:style>
  <w:style w:type="character" w:customStyle="1" w:styleId="SectionheadingChar">
    <w:name w:val="Section heading Char"/>
    <w:basedOn w:val="CourtNumberedparaChar"/>
    <w:link w:val="Sectionheading"/>
    <w:rsid w:val="00E51546"/>
    <w:rPr>
      <w:b/>
    </w:rPr>
  </w:style>
  <w:style w:type="character" w:customStyle="1" w:styleId="SubheadingChar">
    <w:name w:val="Subheading Char"/>
    <w:basedOn w:val="CourtNumberedparaChar"/>
    <w:link w:val="Subheading"/>
    <w:rsid w:val="008D2BAE"/>
    <w:rPr>
      <w:rFonts w:ascii="Arial" w:eastAsia="Times New Roman" w:hAnsi="Arial" w:cs="Arial"/>
      <w:i/>
      <w:sz w:val="24"/>
      <w:szCs w:val="24"/>
    </w:rPr>
  </w:style>
  <w:style w:type="character" w:styleId="PageNumber">
    <w:name w:val="page number"/>
    <w:basedOn w:val="DefaultParagraphFont"/>
    <w:uiPriority w:val="99"/>
    <w:semiHidden/>
    <w:unhideWhenUsed/>
    <w:rsid w:val="00CC0A0F"/>
  </w:style>
  <w:style w:type="character" w:styleId="Hyperlink">
    <w:name w:val="Hyperlink"/>
    <w:basedOn w:val="DefaultParagraphFont"/>
    <w:uiPriority w:val="99"/>
    <w:unhideWhenUsed/>
    <w:rsid w:val="00CC0A0F"/>
    <w:rPr>
      <w:color w:val="0000FF" w:themeColor="hyperlink"/>
      <w:u w:val="single"/>
    </w:rPr>
  </w:style>
  <w:style w:type="paragraph" w:customStyle="1" w:styleId="Default">
    <w:name w:val="Default"/>
    <w:rsid w:val="001566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0D004C"/>
    <w:rPr>
      <w:rFonts w:cs="Minion"/>
      <w:color w:val="000000"/>
      <w:sz w:val="22"/>
      <w:szCs w:val="22"/>
    </w:rPr>
  </w:style>
  <w:style w:type="paragraph" w:customStyle="1" w:styleId="Longqoute">
    <w:name w:val="Long qoute"/>
    <w:basedOn w:val="Normal"/>
    <w:qFormat/>
    <w:rsid w:val="007E22EE"/>
    <w:pPr>
      <w:widowControl w:val="0"/>
      <w:autoSpaceDE w:val="0"/>
      <w:autoSpaceDN w:val="0"/>
      <w:adjustRightInd w:val="0"/>
      <w:ind w:left="1440" w:right="521"/>
      <w:jc w:val="both"/>
    </w:pPr>
    <w:rPr>
      <w:rFonts w:eastAsia="Times New Roman"/>
      <w:sz w:val="22"/>
      <w:szCs w:val="23"/>
    </w:rPr>
  </w:style>
  <w:style w:type="character" w:customStyle="1" w:styleId="s6b621b36">
    <w:name w:val="s6b621b36"/>
    <w:basedOn w:val="DefaultParagraphFont"/>
    <w:rsid w:val="007630E7"/>
  </w:style>
  <w:style w:type="character" w:styleId="CommentReference">
    <w:name w:val="annotation reference"/>
    <w:basedOn w:val="DefaultParagraphFont"/>
    <w:uiPriority w:val="99"/>
    <w:semiHidden/>
    <w:unhideWhenUsed/>
    <w:rsid w:val="0022056B"/>
    <w:rPr>
      <w:sz w:val="18"/>
      <w:szCs w:val="18"/>
    </w:rPr>
  </w:style>
  <w:style w:type="paragraph" w:styleId="CommentText">
    <w:name w:val="annotation text"/>
    <w:basedOn w:val="Normal"/>
    <w:link w:val="CommentTextChar"/>
    <w:uiPriority w:val="99"/>
    <w:semiHidden/>
    <w:unhideWhenUsed/>
    <w:rsid w:val="0022056B"/>
    <w:rPr>
      <w:szCs w:val="24"/>
    </w:rPr>
  </w:style>
  <w:style w:type="character" w:customStyle="1" w:styleId="CommentTextChar">
    <w:name w:val="Comment Text Char"/>
    <w:basedOn w:val="DefaultParagraphFont"/>
    <w:link w:val="CommentText"/>
    <w:uiPriority w:val="99"/>
    <w:semiHidden/>
    <w:rsid w:val="0022056B"/>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2056B"/>
    <w:rPr>
      <w:b/>
      <w:bCs/>
      <w:sz w:val="20"/>
      <w:szCs w:val="20"/>
    </w:rPr>
  </w:style>
  <w:style w:type="character" w:customStyle="1" w:styleId="CommentSubjectChar">
    <w:name w:val="Comment Subject Char"/>
    <w:basedOn w:val="CommentTextChar"/>
    <w:link w:val="CommentSubject"/>
    <w:uiPriority w:val="99"/>
    <w:semiHidden/>
    <w:rsid w:val="0022056B"/>
    <w:rPr>
      <w:rFonts w:ascii="Times New Roman" w:hAnsi="Times New Roman" w:cs="Times New Roman"/>
      <w:b/>
      <w:bCs/>
      <w:sz w:val="20"/>
      <w:szCs w:val="20"/>
    </w:rPr>
  </w:style>
  <w:style w:type="paragraph" w:styleId="Revision">
    <w:name w:val="Revision"/>
    <w:hidden/>
    <w:uiPriority w:val="99"/>
    <w:semiHidden/>
    <w:rsid w:val="00F44444"/>
    <w:pPr>
      <w:spacing w:after="0" w:line="240" w:lineRule="auto"/>
    </w:pPr>
    <w:rPr>
      <w:rFonts w:ascii="Times New Roman" w:hAnsi="Times New Roman" w:cs="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locked="1" w:semiHidden="0" w:uiPriority="9" w:unhideWhenUsed="0"/>
    <w:lsdException w:name="heading 2" w:locked="1"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lsdException w:name="footer" w:locked="1"/>
    <w:lsdException w:name="caption" w:uiPriority="35" w:qFormat="1"/>
    <w:lsdException w:name="Title" w:locked="1" w:semiHidden="0" w:uiPriority="10" w:unhideWhenUsed="0"/>
    <w:lsdException w:name="Default Paragraph Font" w:uiPriority="1"/>
    <w:lsdException w:name="Subtitle" w:locked="1" w:semiHidden="0" w:uiPriority="11" w:unhideWhenUsed="0"/>
    <w:lsdException w:name="Strong" w:locked="1" w:semiHidden="0" w:uiPriority="22" w:unhideWhenUsed="0"/>
    <w:lsdException w:name="Emphasis" w:locked="1" w:semiHidden="0" w:uiPriority="20" w:unhideWhenUsed="0"/>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lsdException w:name="Intense Quote" w:locked="1"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8D3667"/>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locked/>
    <w:rsid w:val="00655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BC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C7547"/>
    <w:rPr>
      <w:rFonts w:ascii="Tahoma" w:hAnsi="Tahoma" w:cs="Tahoma"/>
      <w:sz w:val="16"/>
      <w:szCs w:val="16"/>
    </w:rPr>
  </w:style>
  <w:style w:type="character" w:customStyle="1" w:styleId="BalloonTextChar">
    <w:name w:val="Balloon Text Char"/>
    <w:basedOn w:val="DefaultParagraphFont"/>
    <w:link w:val="BalloonText"/>
    <w:uiPriority w:val="99"/>
    <w:semiHidden/>
    <w:rsid w:val="002C7547"/>
    <w:rPr>
      <w:rFonts w:ascii="Tahoma" w:hAnsi="Tahoma" w:cs="Tahoma"/>
      <w:sz w:val="16"/>
      <w:szCs w:val="16"/>
    </w:rPr>
  </w:style>
  <w:style w:type="paragraph" w:customStyle="1" w:styleId="Extendedquoteletter">
    <w:name w:val="Extended quote (letter)"/>
    <w:basedOn w:val="Normal"/>
    <w:link w:val="ExtendedquoteletterChar"/>
    <w:qFormat/>
    <w:rsid w:val="00D10121"/>
    <w:pPr>
      <w:ind w:left="1872" w:right="1296"/>
    </w:pPr>
    <w:rPr>
      <w:sz w:val="20"/>
    </w:rPr>
  </w:style>
  <w:style w:type="character" w:customStyle="1" w:styleId="ExtendedquoteletterChar">
    <w:name w:val="Extended quote (letter) Char"/>
    <w:basedOn w:val="DefaultParagraphFont"/>
    <w:link w:val="Extendedquoteletter"/>
    <w:rsid w:val="00D10121"/>
    <w:rPr>
      <w:rFonts w:ascii="Arial" w:eastAsia="Times New Roman" w:hAnsi="Arial" w:cs="Arial"/>
      <w:sz w:val="20"/>
    </w:rPr>
  </w:style>
  <w:style w:type="paragraph" w:styleId="Header">
    <w:name w:val="header"/>
    <w:basedOn w:val="Normal"/>
    <w:link w:val="HeaderChar"/>
    <w:uiPriority w:val="99"/>
    <w:unhideWhenUsed/>
    <w:locked/>
    <w:rsid w:val="00E95C32"/>
    <w:pPr>
      <w:tabs>
        <w:tab w:val="center" w:pos="4680"/>
        <w:tab w:val="right" w:pos="9360"/>
      </w:tabs>
    </w:pPr>
  </w:style>
  <w:style w:type="character" w:customStyle="1" w:styleId="HeaderChar">
    <w:name w:val="Header Char"/>
    <w:basedOn w:val="DefaultParagraphFont"/>
    <w:link w:val="Header"/>
    <w:uiPriority w:val="99"/>
    <w:rsid w:val="00E95C32"/>
    <w:rPr>
      <w:rFonts w:ascii="Garamond" w:eastAsia="Times New Roman" w:hAnsi="Garamond" w:cs="Arial"/>
      <w:sz w:val="24"/>
      <w:szCs w:val="24"/>
    </w:rPr>
  </w:style>
  <w:style w:type="paragraph" w:styleId="ListParagraph">
    <w:name w:val="List Paragraph"/>
    <w:basedOn w:val="CourtNumberedpara"/>
    <w:link w:val="ListParagraphChar"/>
    <w:uiPriority w:val="34"/>
    <w:qFormat/>
    <w:locked/>
    <w:rsid w:val="00B55D99"/>
    <w:pPr>
      <w:numPr>
        <w:numId w:val="28"/>
      </w:numPr>
      <w:ind w:right="1152"/>
    </w:pPr>
  </w:style>
  <w:style w:type="character" w:customStyle="1" w:styleId="ListParagraphChar">
    <w:name w:val="List Paragraph Char"/>
    <w:basedOn w:val="DefaultParagraphFont"/>
    <w:link w:val="ListParagraph"/>
    <w:uiPriority w:val="34"/>
    <w:rsid w:val="00B55D99"/>
    <w:rPr>
      <w:rFonts w:ascii="Times New Roman" w:hAnsi="Times New Roman" w:cs="Times New Roman"/>
      <w:sz w:val="24"/>
    </w:rPr>
  </w:style>
  <w:style w:type="paragraph" w:customStyle="1" w:styleId="Footnotes">
    <w:name w:val="Footnotes"/>
    <w:basedOn w:val="FootnoteText"/>
    <w:rsid w:val="001418BC"/>
  </w:style>
  <w:style w:type="paragraph" w:customStyle="1" w:styleId="LawNormal">
    <w:name w:val="Law Normal"/>
    <w:basedOn w:val="Normal"/>
    <w:autoRedefine/>
    <w:locked/>
    <w:rsid w:val="00E95C32"/>
    <w:pPr>
      <w:numPr>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line="360" w:lineRule="auto"/>
    </w:pPr>
    <w:rPr>
      <w:rFonts w:ascii="Times" w:eastAsia="ヒラギノ角ゴ Pro W3" w:hAnsi="Times"/>
      <w:color w:val="000000"/>
      <w:szCs w:val="20"/>
    </w:rPr>
  </w:style>
  <w:style w:type="paragraph" w:styleId="FootnoteText">
    <w:name w:val="footnote text"/>
    <w:basedOn w:val="Normal"/>
    <w:link w:val="FootnoteTextChar"/>
    <w:uiPriority w:val="99"/>
    <w:qFormat/>
    <w:rsid w:val="00AF5C0F"/>
    <w:rPr>
      <w:rFonts w:eastAsiaTheme="minorEastAsia" w:cstheme="minorBidi"/>
      <w:sz w:val="20"/>
      <w:szCs w:val="20"/>
    </w:rPr>
  </w:style>
  <w:style w:type="character" w:customStyle="1" w:styleId="FootnoteTextChar">
    <w:name w:val="Footnote Text Char"/>
    <w:basedOn w:val="DefaultParagraphFont"/>
    <w:link w:val="FootnoteText"/>
    <w:uiPriority w:val="99"/>
    <w:rsid w:val="00AF5C0F"/>
    <w:rPr>
      <w:rFonts w:ascii="Arial" w:eastAsiaTheme="minorEastAsia" w:hAnsi="Arial"/>
      <w:sz w:val="20"/>
      <w:szCs w:val="20"/>
    </w:rPr>
  </w:style>
  <w:style w:type="table" w:customStyle="1" w:styleId="LightShading-Accent11">
    <w:name w:val="Light Shading - Accent 11"/>
    <w:basedOn w:val="TableNormal"/>
    <w:uiPriority w:val="60"/>
    <w:locked/>
    <w:rsid w:val="00187518"/>
    <w:pPr>
      <w:spacing w:after="0" w:line="240" w:lineRule="auto"/>
    </w:pPr>
    <w:rPr>
      <w:rFonts w:eastAsiaTheme="minorEastAsia"/>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otnoteReference">
    <w:name w:val="footnote reference"/>
    <w:basedOn w:val="DefaultParagraphFont"/>
    <w:uiPriority w:val="99"/>
    <w:unhideWhenUsed/>
    <w:rsid w:val="00A1766E"/>
    <w:rPr>
      <w:vertAlign w:val="superscript"/>
    </w:rPr>
  </w:style>
  <w:style w:type="character" w:styleId="PlaceholderText">
    <w:name w:val="Placeholder Text"/>
    <w:basedOn w:val="DefaultParagraphFont"/>
    <w:uiPriority w:val="99"/>
    <w:semiHidden/>
    <w:rsid w:val="00546A31"/>
    <w:rPr>
      <w:color w:val="808080"/>
    </w:rPr>
  </w:style>
  <w:style w:type="paragraph" w:styleId="Footer">
    <w:name w:val="footer"/>
    <w:basedOn w:val="Normal"/>
    <w:link w:val="FooterChar"/>
    <w:uiPriority w:val="99"/>
    <w:unhideWhenUsed/>
    <w:locked/>
    <w:rsid w:val="00576119"/>
    <w:pPr>
      <w:tabs>
        <w:tab w:val="center" w:pos="4680"/>
        <w:tab w:val="right" w:pos="9360"/>
      </w:tabs>
    </w:pPr>
  </w:style>
  <w:style w:type="character" w:customStyle="1" w:styleId="FooterChar">
    <w:name w:val="Footer Char"/>
    <w:basedOn w:val="DefaultParagraphFont"/>
    <w:link w:val="Footer"/>
    <w:uiPriority w:val="99"/>
    <w:rsid w:val="00576119"/>
    <w:rPr>
      <w:rFonts w:ascii="Garamond" w:eastAsia="Times New Roman" w:hAnsi="Garamond" w:cs="Arial"/>
      <w:sz w:val="24"/>
      <w:szCs w:val="24"/>
    </w:rPr>
  </w:style>
  <w:style w:type="paragraph" w:customStyle="1" w:styleId="CourtNumberedpara">
    <w:name w:val="Court Numbered para"/>
    <w:basedOn w:val="Normal"/>
    <w:link w:val="CourtNumberedparaChar"/>
    <w:qFormat/>
    <w:rsid w:val="003F26C7"/>
    <w:pPr>
      <w:numPr>
        <w:numId w:val="16"/>
      </w:numPr>
      <w:spacing w:before="180" w:after="180"/>
    </w:pPr>
  </w:style>
  <w:style w:type="numbering" w:customStyle="1" w:styleId="ArialADFList">
    <w:name w:val="Arial ADF List"/>
    <w:uiPriority w:val="99"/>
    <w:rsid w:val="00AD066A"/>
    <w:pPr>
      <w:numPr>
        <w:numId w:val="17"/>
      </w:numPr>
    </w:pPr>
  </w:style>
  <w:style w:type="character" w:customStyle="1" w:styleId="CourtNumberedparaChar">
    <w:name w:val="Court Numbered para Char"/>
    <w:basedOn w:val="ListParagraphChar"/>
    <w:link w:val="CourtNumberedpara"/>
    <w:rsid w:val="003F26C7"/>
    <w:rPr>
      <w:rFonts w:ascii="Times New Roman" w:eastAsia="Times New Roman" w:hAnsi="Times New Roman" w:cs="Times New Roman"/>
      <w:sz w:val="24"/>
      <w:szCs w:val="24"/>
    </w:rPr>
  </w:style>
  <w:style w:type="paragraph" w:customStyle="1" w:styleId="Sectionheading">
    <w:name w:val="Section heading"/>
    <w:basedOn w:val="CourtNumberedpara"/>
    <w:next w:val="CourtNumberedpara"/>
    <w:link w:val="SectionheadingChar"/>
    <w:qFormat/>
    <w:rsid w:val="00E51546"/>
    <w:pPr>
      <w:numPr>
        <w:numId w:val="23"/>
      </w:numPr>
      <w:spacing w:after="0"/>
    </w:pPr>
    <w:rPr>
      <w:b/>
    </w:rPr>
  </w:style>
  <w:style w:type="paragraph" w:customStyle="1" w:styleId="Subheading">
    <w:name w:val="Subheading"/>
    <w:basedOn w:val="CourtNumberedpara"/>
    <w:next w:val="CourtNumberedpara"/>
    <w:link w:val="SubheadingChar"/>
    <w:qFormat/>
    <w:rsid w:val="008D2BAE"/>
    <w:pPr>
      <w:numPr>
        <w:numId w:val="0"/>
      </w:numPr>
      <w:spacing w:after="0"/>
    </w:pPr>
    <w:rPr>
      <w:i/>
    </w:rPr>
  </w:style>
  <w:style w:type="character" w:customStyle="1" w:styleId="SectionheadingChar">
    <w:name w:val="Section heading Char"/>
    <w:basedOn w:val="CourtNumberedparaChar"/>
    <w:link w:val="Sectionheading"/>
    <w:rsid w:val="00E51546"/>
    <w:rPr>
      <w:rFonts w:ascii="Arial" w:eastAsia="Times New Roman" w:hAnsi="Arial" w:cs="Arial"/>
      <w:b/>
      <w:sz w:val="24"/>
      <w:szCs w:val="24"/>
    </w:rPr>
  </w:style>
  <w:style w:type="character" w:customStyle="1" w:styleId="SubheadingChar">
    <w:name w:val="Subheading Char"/>
    <w:basedOn w:val="CourtNumberedparaChar"/>
    <w:link w:val="Subheading"/>
    <w:rsid w:val="008D2BAE"/>
    <w:rPr>
      <w:rFonts w:ascii="Arial" w:eastAsia="Times New Roman" w:hAnsi="Arial" w:cs="Arial"/>
      <w:i/>
      <w:sz w:val="24"/>
      <w:szCs w:val="24"/>
    </w:rPr>
  </w:style>
  <w:style w:type="character" w:styleId="PageNumber">
    <w:name w:val="page number"/>
    <w:basedOn w:val="DefaultParagraphFont"/>
    <w:uiPriority w:val="99"/>
    <w:semiHidden/>
    <w:unhideWhenUsed/>
    <w:rsid w:val="00CC0A0F"/>
  </w:style>
  <w:style w:type="character" w:styleId="Hyperlink">
    <w:name w:val="Hyperlink"/>
    <w:basedOn w:val="DefaultParagraphFont"/>
    <w:uiPriority w:val="99"/>
    <w:unhideWhenUsed/>
    <w:rsid w:val="00CC0A0F"/>
    <w:rPr>
      <w:color w:val="0000FF" w:themeColor="hyperlink"/>
      <w:u w:val="single"/>
    </w:rPr>
  </w:style>
  <w:style w:type="paragraph" w:customStyle="1" w:styleId="Default">
    <w:name w:val="Default"/>
    <w:rsid w:val="001566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0D004C"/>
    <w:rPr>
      <w:rFonts w:cs="Minion"/>
      <w:color w:val="000000"/>
      <w:sz w:val="22"/>
      <w:szCs w:val="22"/>
    </w:rPr>
  </w:style>
  <w:style w:type="paragraph" w:customStyle="1" w:styleId="Longqoute">
    <w:name w:val="Long qoute"/>
    <w:basedOn w:val="Normal"/>
    <w:qFormat/>
    <w:rsid w:val="007E22EE"/>
    <w:pPr>
      <w:widowControl w:val="0"/>
      <w:autoSpaceDE w:val="0"/>
      <w:autoSpaceDN w:val="0"/>
      <w:adjustRightInd w:val="0"/>
      <w:ind w:left="1440" w:right="521"/>
      <w:jc w:val="both"/>
    </w:pPr>
    <w:rPr>
      <w:rFonts w:eastAsia="Times New Roman"/>
      <w:sz w:val="22"/>
      <w:szCs w:val="23"/>
    </w:rPr>
  </w:style>
  <w:style w:type="character" w:customStyle="1" w:styleId="s6b621b36">
    <w:name w:val="s6b621b36"/>
    <w:basedOn w:val="DefaultParagraphFont"/>
    <w:rsid w:val="007630E7"/>
  </w:style>
  <w:style w:type="character" w:styleId="CommentReference">
    <w:name w:val="annotation reference"/>
    <w:basedOn w:val="DefaultParagraphFont"/>
    <w:uiPriority w:val="99"/>
    <w:semiHidden/>
    <w:unhideWhenUsed/>
    <w:rsid w:val="0022056B"/>
    <w:rPr>
      <w:sz w:val="18"/>
      <w:szCs w:val="18"/>
    </w:rPr>
  </w:style>
  <w:style w:type="paragraph" w:styleId="CommentText">
    <w:name w:val="annotation text"/>
    <w:basedOn w:val="Normal"/>
    <w:link w:val="CommentTextChar"/>
    <w:uiPriority w:val="99"/>
    <w:semiHidden/>
    <w:unhideWhenUsed/>
    <w:rsid w:val="0022056B"/>
    <w:rPr>
      <w:szCs w:val="24"/>
    </w:rPr>
  </w:style>
  <w:style w:type="character" w:customStyle="1" w:styleId="CommentTextChar">
    <w:name w:val="Comment Text Char"/>
    <w:basedOn w:val="DefaultParagraphFont"/>
    <w:link w:val="CommentText"/>
    <w:uiPriority w:val="99"/>
    <w:semiHidden/>
    <w:rsid w:val="0022056B"/>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2056B"/>
    <w:rPr>
      <w:b/>
      <w:bCs/>
      <w:sz w:val="20"/>
      <w:szCs w:val="20"/>
    </w:rPr>
  </w:style>
  <w:style w:type="character" w:customStyle="1" w:styleId="CommentSubjectChar">
    <w:name w:val="Comment Subject Char"/>
    <w:basedOn w:val="CommentTextChar"/>
    <w:link w:val="CommentSubject"/>
    <w:uiPriority w:val="99"/>
    <w:semiHidden/>
    <w:rsid w:val="0022056B"/>
    <w:rPr>
      <w:rFonts w:ascii="Times New Roman" w:hAnsi="Times New Roman" w:cs="Times New Roman"/>
      <w:b/>
      <w:bCs/>
      <w:sz w:val="20"/>
      <w:szCs w:val="20"/>
    </w:rPr>
  </w:style>
  <w:style w:type="paragraph" w:styleId="Revision">
    <w:name w:val="Revision"/>
    <w:hidden/>
    <w:uiPriority w:val="99"/>
    <w:semiHidden/>
    <w:rsid w:val="00F44444"/>
    <w:pPr>
      <w:spacing w:after="0" w:line="240" w:lineRule="auto"/>
    </w:pPr>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379282248">
      <w:bodyDiv w:val="1"/>
      <w:marLeft w:val="0"/>
      <w:marRight w:val="0"/>
      <w:marTop w:val="0"/>
      <w:marBottom w:val="0"/>
      <w:divBdr>
        <w:top w:val="none" w:sz="0" w:space="0" w:color="auto"/>
        <w:left w:val="none" w:sz="0" w:space="0" w:color="auto"/>
        <w:bottom w:val="none" w:sz="0" w:space="0" w:color="auto"/>
        <w:right w:val="none" w:sz="0" w:space="0" w:color="auto"/>
      </w:divBdr>
    </w:div>
    <w:div w:id="379597341">
      <w:bodyDiv w:val="1"/>
      <w:marLeft w:val="0"/>
      <w:marRight w:val="0"/>
      <w:marTop w:val="0"/>
      <w:marBottom w:val="0"/>
      <w:divBdr>
        <w:top w:val="none" w:sz="0" w:space="0" w:color="auto"/>
        <w:left w:val="none" w:sz="0" w:space="0" w:color="auto"/>
        <w:bottom w:val="none" w:sz="0" w:space="0" w:color="auto"/>
        <w:right w:val="none" w:sz="0" w:space="0" w:color="auto"/>
      </w:divBdr>
    </w:div>
    <w:div w:id="1117062632">
      <w:bodyDiv w:val="1"/>
      <w:marLeft w:val="0"/>
      <w:marRight w:val="0"/>
      <w:marTop w:val="0"/>
      <w:marBottom w:val="0"/>
      <w:divBdr>
        <w:top w:val="none" w:sz="0" w:space="0" w:color="auto"/>
        <w:left w:val="none" w:sz="0" w:space="0" w:color="auto"/>
        <w:bottom w:val="none" w:sz="0" w:space="0" w:color="auto"/>
        <w:right w:val="none" w:sz="0" w:space="0" w:color="auto"/>
      </w:divBdr>
    </w:div>
    <w:div w:id="1369600720">
      <w:bodyDiv w:val="1"/>
      <w:marLeft w:val="0"/>
      <w:marRight w:val="0"/>
      <w:marTop w:val="0"/>
      <w:marBottom w:val="0"/>
      <w:divBdr>
        <w:top w:val="none" w:sz="0" w:space="0" w:color="auto"/>
        <w:left w:val="none" w:sz="0" w:space="0" w:color="auto"/>
        <w:bottom w:val="none" w:sz="0" w:space="0" w:color="auto"/>
        <w:right w:val="none" w:sz="0" w:space="0" w:color="auto"/>
      </w:divBdr>
    </w:div>
    <w:div w:id="1754626978">
      <w:bodyDiv w:val="1"/>
      <w:marLeft w:val="0"/>
      <w:marRight w:val="0"/>
      <w:marTop w:val="0"/>
      <w:marBottom w:val="0"/>
      <w:divBdr>
        <w:top w:val="none" w:sz="0" w:space="0" w:color="auto"/>
        <w:left w:val="none" w:sz="0" w:space="0" w:color="auto"/>
        <w:bottom w:val="none" w:sz="0" w:space="0" w:color="auto"/>
        <w:right w:val="none" w:sz="0" w:space="0" w:color="auto"/>
      </w:divBdr>
    </w:div>
    <w:div w:id="1857115486">
      <w:bodyDiv w:val="1"/>
      <w:marLeft w:val="0"/>
      <w:marRight w:val="0"/>
      <w:marTop w:val="0"/>
      <w:marBottom w:val="0"/>
      <w:divBdr>
        <w:top w:val="none" w:sz="0" w:space="0" w:color="auto"/>
        <w:left w:val="none" w:sz="0" w:space="0" w:color="auto"/>
        <w:bottom w:val="none" w:sz="0" w:space="0" w:color="auto"/>
        <w:right w:val="none" w:sz="0" w:space="0" w:color="auto"/>
      </w:divBdr>
    </w:div>
    <w:div w:id="1991712183">
      <w:bodyDiv w:val="1"/>
      <w:marLeft w:val="0"/>
      <w:marRight w:val="0"/>
      <w:marTop w:val="0"/>
      <w:marBottom w:val="0"/>
      <w:divBdr>
        <w:top w:val="none" w:sz="0" w:space="0" w:color="auto"/>
        <w:left w:val="none" w:sz="0" w:space="0" w:color="auto"/>
        <w:bottom w:val="none" w:sz="0" w:space="0" w:color="auto"/>
        <w:right w:val="none" w:sz="0" w:space="0" w:color="auto"/>
      </w:divBdr>
    </w:div>
    <w:div w:id="20521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han\Downloads\A4%20Court%20submiss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AA607-9F2C-4BFD-A07E-2E333D130712}"/>
</file>

<file path=customXml/itemProps2.xml><?xml version="1.0" encoding="utf-8"?>
<ds:datastoreItem xmlns:ds="http://schemas.openxmlformats.org/officeDocument/2006/customXml" ds:itemID="{D95E09A2-87CC-4F65-B0B9-3A7108CE8114}"/>
</file>

<file path=customXml/itemProps3.xml><?xml version="1.0" encoding="utf-8"?>
<ds:datastoreItem xmlns:ds="http://schemas.openxmlformats.org/officeDocument/2006/customXml" ds:itemID="{54F26AB5-91FF-474B-9215-D93B6F38F278}"/>
</file>

<file path=customXml/itemProps4.xml><?xml version="1.0" encoding="utf-8"?>
<ds:datastoreItem xmlns:ds="http://schemas.openxmlformats.org/officeDocument/2006/customXml" ds:itemID="{7540CDEE-E204-42F8-9DF1-5DEF74FE5B3B}"/>
</file>

<file path=docProps/app.xml><?xml version="1.0" encoding="utf-8"?>
<Properties xmlns="http://schemas.openxmlformats.org/officeDocument/2006/extended-properties" xmlns:vt="http://schemas.openxmlformats.org/officeDocument/2006/docPropsVTypes">
  <Template>A4 Court submission (1).dotx</Template>
  <TotalTime>6</TotalTime>
  <Pages>15</Pages>
  <Words>5469</Words>
  <Characters>31175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ADF</Company>
  <LinksUpToDate>false</LinksUpToDate>
  <CharactersWithSpaces>36571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ADF International</dc:title>
  <dc:creator>Meghan</dc:creator>
  <cp:lastModifiedBy>pcoleman</cp:lastModifiedBy>
  <cp:revision>3</cp:revision>
  <cp:lastPrinted>2015-06-11T12:43:00Z</cp:lastPrinted>
  <dcterms:created xsi:type="dcterms:W3CDTF">2015-06-11T12:42:00Z</dcterms:created>
  <dcterms:modified xsi:type="dcterms:W3CDTF">2015-06-11T12:50:00Z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2879100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