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8B7AF" w14:textId="6E942856" w:rsidR="002A3985" w:rsidRDefault="001A5B89" w:rsidP="00835C7A">
      <w:pPr>
        <w:pStyle w:val="NormalWeb"/>
        <w:jc w:val="center"/>
        <w:rPr>
          <w:rFonts w:ascii="Georgia" w:hAnsi="Georgia"/>
          <w:b/>
          <w:bCs/>
          <w:sz w:val="24"/>
          <w:szCs w:val="24"/>
        </w:rPr>
      </w:pPr>
      <w:r>
        <w:rPr>
          <w:noProof/>
          <w:lang w:val="fr-FR"/>
        </w:rPr>
        <w:drawing>
          <wp:anchor distT="0" distB="0" distL="114300" distR="114300" simplePos="0" relativeHeight="251659264" behindDoc="0" locked="0" layoutInCell="1" allowOverlap="1" wp14:anchorId="44DC6C58" wp14:editId="1F7D5A4F">
            <wp:simplePos x="0" y="0"/>
            <wp:positionH relativeFrom="margin">
              <wp:posOffset>2682875</wp:posOffset>
            </wp:positionH>
            <wp:positionV relativeFrom="margin">
              <wp:posOffset>-434340</wp:posOffset>
            </wp:positionV>
            <wp:extent cx="3195320" cy="866775"/>
            <wp:effectExtent l="0" t="0" r="5080" b="9525"/>
            <wp:wrapSquare wrapText="bothSides"/>
            <wp:docPr id="1" name="Picture 1" descr="logofinaltry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finaltry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532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5E9F1" w14:textId="77777777" w:rsidR="001A5B89" w:rsidRPr="00BD0BCF" w:rsidRDefault="001A5B89" w:rsidP="00835C7A">
      <w:pPr>
        <w:pStyle w:val="NormalWeb"/>
        <w:jc w:val="center"/>
        <w:rPr>
          <w:rFonts w:asciiTheme="majorHAnsi" w:hAnsiTheme="majorHAnsi"/>
          <w:b/>
          <w:bCs/>
          <w:sz w:val="24"/>
          <w:szCs w:val="24"/>
        </w:rPr>
      </w:pPr>
    </w:p>
    <w:p w14:paraId="5F9AD31F" w14:textId="0B1EEE49" w:rsidR="00872E53" w:rsidRPr="00DD745A" w:rsidRDefault="00835C7A" w:rsidP="001A5B89">
      <w:pPr>
        <w:pStyle w:val="NormalWeb"/>
        <w:jc w:val="center"/>
        <w:rPr>
          <w:rFonts w:asciiTheme="majorHAnsi" w:hAnsiTheme="majorHAnsi"/>
          <w:b/>
          <w:bCs/>
          <w:sz w:val="28"/>
          <w:szCs w:val="24"/>
        </w:rPr>
      </w:pPr>
      <w:r w:rsidRPr="00DD745A">
        <w:rPr>
          <w:rFonts w:asciiTheme="majorHAnsi" w:hAnsiTheme="majorHAnsi"/>
          <w:b/>
          <w:bCs/>
          <w:sz w:val="28"/>
          <w:szCs w:val="24"/>
        </w:rPr>
        <w:t xml:space="preserve">Initial </w:t>
      </w:r>
      <w:r w:rsidR="00E50FA6" w:rsidRPr="00DD745A">
        <w:rPr>
          <w:rFonts w:asciiTheme="majorHAnsi" w:hAnsiTheme="majorHAnsi"/>
          <w:b/>
          <w:bCs/>
          <w:sz w:val="28"/>
          <w:szCs w:val="24"/>
        </w:rPr>
        <w:t>C</w:t>
      </w:r>
      <w:r w:rsidRPr="00DD745A">
        <w:rPr>
          <w:rFonts w:asciiTheme="majorHAnsi" w:hAnsiTheme="majorHAnsi"/>
          <w:b/>
          <w:bCs/>
          <w:sz w:val="28"/>
          <w:szCs w:val="24"/>
        </w:rPr>
        <w:t xml:space="preserve">ontribution to the Human Rights Committee’s </w:t>
      </w:r>
      <w:r w:rsidR="00E50FA6" w:rsidRPr="00DD745A">
        <w:rPr>
          <w:rFonts w:asciiTheme="majorHAnsi" w:hAnsiTheme="majorHAnsi"/>
          <w:b/>
          <w:bCs/>
          <w:sz w:val="28"/>
          <w:szCs w:val="24"/>
        </w:rPr>
        <w:t>General Day of Discussion</w:t>
      </w:r>
      <w:r w:rsidRPr="00DD745A">
        <w:rPr>
          <w:rFonts w:asciiTheme="majorHAnsi" w:hAnsiTheme="majorHAnsi"/>
          <w:b/>
          <w:bCs/>
          <w:sz w:val="28"/>
          <w:szCs w:val="24"/>
        </w:rPr>
        <w:t xml:space="preserve"> on Article 6 of the ICCPR on the Right to Life</w:t>
      </w:r>
    </w:p>
    <w:p w14:paraId="7134594E" w14:textId="70C42062" w:rsidR="001216CD" w:rsidRPr="00BD0BCF" w:rsidRDefault="00872E53" w:rsidP="00DD745A">
      <w:pPr>
        <w:pStyle w:val="NormalWeb"/>
        <w:jc w:val="right"/>
        <w:rPr>
          <w:rFonts w:asciiTheme="majorHAnsi" w:hAnsiTheme="majorHAnsi"/>
          <w:sz w:val="24"/>
          <w:szCs w:val="24"/>
        </w:rPr>
      </w:pPr>
      <w:r w:rsidRPr="00BD0BCF">
        <w:rPr>
          <w:rFonts w:asciiTheme="majorHAnsi" w:hAnsiTheme="majorHAnsi"/>
          <w:sz w:val="24"/>
          <w:szCs w:val="24"/>
        </w:rPr>
        <w:t xml:space="preserve">Submitted on 26 June 2015 </w:t>
      </w:r>
    </w:p>
    <w:p w14:paraId="3C88AEED" w14:textId="67B6B12F" w:rsidR="00DB057F" w:rsidRPr="00BD0BCF" w:rsidRDefault="00BB283E" w:rsidP="00DB057F">
      <w:pPr>
        <w:pStyle w:val="Paragraphedeliste"/>
        <w:numPr>
          <w:ilvl w:val="0"/>
          <w:numId w:val="2"/>
        </w:numPr>
        <w:shd w:val="clear" w:color="auto" w:fill="FFFFFF"/>
        <w:spacing w:before="100" w:beforeAutospacing="1" w:after="284"/>
        <w:ind w:left="714" w:hanging="357"/>
        <w:contextualSpacing w:val="0"/>
        <w:jc w:val="both"/>
        <w:rPr>
          <w:rFonts w:asciiTheme="majorHAnsi" w:hAnsiTheme="majorHAnsi" w:cs="Times New Roman"/>
        </w:rPr>
      </w:pPr>
      <w:r w:rsidRPr="00BD0BCF">
        <w:rPr>
          <w:rFonts w:asciiTheme="majorHAnsi" w:hAnsiTheme="majorHAnsi" w:cs="Times New Roman"/>
        </w:rPr>
        <w:t xml:space="preserve">The </w:t>
      </w:r>
      <w:r w:rsidR="00D519A7" w:rsidRPr="00BD0BCF">
        <w:rPr>
          <w:rFonts w:asciiTheme="majorHAnsi" w:hAnsiTheme="majorHAnsi" w:cs="Times New Roman"/>
        </w:rPr>
        <w:t xml:space="preserve">Project on </w:t>
      </w:r>
      <w:r w:rsidRPr="00BD0BCF">
        <w:rPr>
          <w:rFonts w:asciiTheme="majorHAnsi" w:hAnsiTheme="majorHAnsi" w:cs="Times New Roman"/>
        </w:rPr>
        <w:t>Econom</w:t>
      </w:r>
      <w:r w:rsidR="00D519A7" w:rsidRPr="00BD0BCF">
        <w:rPr>
          <w:rFonts w:asciiTheme="majorHAnsi" w:hAnsiTheme="majorHAnsi" w:cs="Times New Roman"/>
        </w:rPr>
        <w:t xml:space="preserve">ic, Social and Cultural Rights </w:t>
      </w:r>
      <w:r w:rsidRPr="00BD0BCF">
        <w:rPr>
          <w:rFonts w:asciiTheme="majorHAnsi" w:hAnsiTheme="majorHAnsi" w:cs="Times New Roman"/>
        </w:rPr>
        <w:t>at the Geneva Academy of International Humanitarian Law and Human Rights welcomes the o</w:t>
      </w:r>
      <w:r w:rsidR="00375603" w:rsidRPr="00BD0BCF">
        <w:rPr>
          <w:rFonts w:asciiTheme="majorHAnsi" w:hAnsiTheme="majorHAnsi" w:cs="Times New Roman"/>
        </w:rPr>
        <w:t>ccasion</w:t>
      </w:r>
      <w:r w:rsidRPr="00BD0BCF">
        <w:rPr>
          <w:rFonts w:asciiTheme="majorHAnsi" w:hAnsiTheme="majorHAnsi" w:cs="Times New Roman"/>
        </w:rPr>
        <w:t xml:space="preserve"> to provide the following preliminary observations on the right to life and its relationship to the right to food. </w:t>
      </w:r>
      <w:r w:rsidR="00B175AC" w:rsidRPr="00BD0BCF">
        <w:rPr>
          <w:rFonts w:asciiTheme="majorHAnsi" w:hAnsiTheme="majorHAnsi" w:cs="Times New Roman"/>
        </w:rPr>
        <w:t>The Academy would appreciate</w:t>
      </w:r>
      <w:r w:rsidR="00835C7A" w:rsidRPr="00BD0BCF">
        <w:rPr>
          <w:rFonts w:asciiTheme="majorHAnsi" w:hAnsiTheme="majorHAnsi" w:cs="Times New Roman"/>
        </w:rPr>
        <w:t xml:space="preserve"> </w:t>
      </w:r>
      <w:r w:rsidR="001216CD" w:rsidRPr="00BD0BCF">
        <w:rPr>
          <w:rFonts w:asciiTheme="majorHAnsi" w:hAnsiTheme="majorHAnsi" w:cs="Times New Roman"/>
        </w:rPr>
        <w:t xml:space="preserve">being given the </w:t>
      </w:r>
      <w:r w:rsidR="00375603" w:rsidRPr="00BD0BCF">
        <w:rPr>
          <w:rFonts w:asciiTheme="majorHAnsi" w:hAnsiTheme="majorHAnsi" w:cs="Times New Roman"/>
        </w:rPr>
        <w:t>opportunity</w:t>
      </w:r>
      <w:r w:rsidR="001216CD" w:rsidRPr="00BD0BCF">
        <w:rPr>
          <w:rFonts w:asciiTheme="majorHAnsi" w:hAnsiTheme="majorHAnsi" w:cs="Times New Roman"/>
        </w:rPr>
        <w:t xml:space="preserve"> to submit </w:t>
      </w:r>
      <w:r w:rsidR="00B175AC" w:rsidRPr="00BD0BCF">
        <w:rPr>
          <w:rFonts w:asciiTheme="majorHAnsi" w:hAnsiTheme="majorHAnsi" w:cs="Times New Roman"/>
        </w:rPr>
        <w:t>additional</w:t>
      </w:r>
      <w:r w:rsidR="00835C7A" w:rsidRPr="00BD0BCF">
        <w:rPr>
          <w:rFonts w:asciiTheme="majorHAnsi" w:hAnsiTheme="majorHAnsi" w:cs="Times New Roman"/>
        </w:rPr>
        <w:t xml:space="preserve"> observations</w:t>
      </w:r>
      <w:r w:rsidR="00B175AC" w:rsidRPr="00BD0BCF">
        <w:rPr>
          <w:rFonts w:asciiTheme="majorHAnsi" w:hAnsiTheme="majorHAnsi" w:cs="Times New Roman"/>
        </w:rPr>
        <w:t xml:space="preserve"> on </w:t>
      </w:r>
      <w:r w:rsidRPr="00BD0BCF">
        <w:rPr>
          <w:rFonts w:asciiTheme="majorHAnsi" w:hAnsiTheme="majorHAnsi" w:cs="Times New Roman"/>
        </w:rPr>
        <w:t xml:space="preserve">different dimensions of the right to life </w:t>
      </w:r>
      <w:r w:rsidR="001216CD" w:rsidRPr="00BD0BCF">
        <w:rPr>
          <w:rFonts w:asciiTheme="majorHAnsi" w:hAnsiTheme="majorHAnsi" w:cs="Times New Roman"/>
        </w:rPr>
        <w:t xml:space="preserve">during the next phases of the drafting process for the </w:t>
      </w:r>
      <w:r w:rsidR="00DB057F" w:rsidRPr="00BD0BCF">
        <w:rPr>
          <w:rFonts w:asciiTheme="majorHAnsi" w:hAnsiTheme="majorHAnsi" w:cs="Times New Roman"/>
        </w:rPr>
        <w:t xml:space="preserve">Human Rights </w:t>
      </w:r>
      <w:r w:rsidR="001216CD" w:rsidRPr="00BD0BCF">
        <w:rPr>
          <w:rFonts w:asciiTheme="majorHAnsi" w:hAnsiTheme="majorHAnsi" w:cs="Times New Roman"/>
        </w:rPr>
        <w:t xml:space="preserve">Committee’s </w:t>
      </w:r>
      <w:r w:rsidR="00DB6A89" w:rsidRPr="00BD0BCF">
        <w:rPr>
          <w:rFonts w:asciiTheme="majorHAnsi" w:hAnsiTheme="majorHAnsi" w:cs="Times New Roman"/>
        </w:rPr>
        <w:t xml:space="preserve">forthcoming </w:t>
      </w:r>
      <w:r w:rsidR="001216CD" w:rsidRPr="00BD0BCF">
        <w:rPr>
          <w:rFonts w:asciiTheme="majorHAnsi" w:hAnsiTheme="majorHAnsi" w:cs="Times New Roman"/>
        </w:rPr>
        <w:t>General Comment</w:t>
      </w:r>
      <w:r w:rsidR="00375603" w:rsidRPr="00BD0BCF">
        <w:rPr>
          <w:rFonts w:asciiTheme="majorHAnsi" w:hAnsiTheme="majorHAnsi" w:cs="Times New Roman"/>
        </w:rPr>
        <w:t xml:space="preserve"> no. 36</w:t>
      </w:r>
      <w:r w:rsidR="00835C7A" w:rsidRPr="00BD0BCF">
        <w:rPr>
          <w:rFonts w:asciiTheme="majorHAnsi" w:hAnsiTheme="majorHAnsi" w:cs="Times New Roman"/>
        </w:rPr>
        <w:t>.</w:t>
      </w:r>
    </w:p>
    <w:p w14:paraId="21C0161E" w14:textId="7E07DDC5" w:rsidR="00835C7A" w:rsidRPr="00BD0BCF" w:rsidRDefault="00DB057F" w:rsidP="00872E53">
      <w:pPr>
        <w:pStyle w:val="Paragraphedeliste"/>
        <w:numPr>
          <w:ilvl w:val="0"/>
          <w:numId w:val="2"/>
        </w:numPr>
        <w:shd w:val="clear" w:color="auto" w:fill="FFFFFF"/>
        <w:spacing w:before="100" w:beforeAutospacing="1" w:after="284"/>
        <w:ind w:left="714" w:hanging="357"/>
        <w:contextualSpacing w:val="0"/>
        <w:jc w:val="both"/>
        <w:rPr>
          <w:rFonts w:asciiTheme="majorHAnsi" w:hAnsiTheme="majorHAnsi"/>
        </w:rPr>
      </w:pPr>
      <w:r w:rsidRPr="00BD0BCF">
        <w:rPr>
          <w:rFonts w:asciiTheme="majorHAnsi" w:hAnsiTheme="majorHAnsi" w:cs="Times New Roman"/>
        </w:rPr>
        <w:t>The decision by the Human Rights Committee to updat</w:t>
      </w:r>
      <w:r w:rsidR="00E6673C" w:rsidRPr="00BD0BCF">
        <w:rPr>
          <w:rFonts w:asciiTheme="majorHAnsi" w:hAnsiTheme="majorHAnsi" w:cs="Times New Roman"/>
        </w:rPr>
        <w:t>e its existing General Comment</w:t>
      </w:r>
      <w:r w:rsidR="00AF3097" w:rsidRPr="00BD0BCF">
        <w:rPr>
          <w:rFonts w:asciiTheme="majorHAnsi" w:hAnsiTheme="majorHAnsi" w:cs="Times New Roman"/>
        </w:rPr>
        <w:t xml:space="preserve"> </w:t>
      </w:r>
      <w:r w:rsidRPr="00BD0BCF">
        <w:rPr>
          <w:rFonts w:asciiTheme="majorHAnsi" w:hAnsiTheme="majorHAnsi" w:cs="Times New Roman"/>
        </w:rPr>
        <w:t xml:space="preserve">on the </w:t>
      </w:r>
      <w:r w:rsidR="00ED5030" w:rsidRPr="00BD0BCF">
        <w:rPr>
          <w:rFonts w:asciiTheme="majorHAnsi" w:hAnsiTheme="majorHAnsi" w:cs="Times New Roman"/>
        </w:rPr>
        <w:t>r</w:t>
      </w:r>
      <w:r w:rsidRPr="00BD0BCF">
        <w:rPr>
          <w:rFonts w:asciiTheme="majorHAnsi" w:hAnsiTheme="majorHAnsi" w:cs="Times New Roman"/>
        </w:rPr>
        <w:t xml:space="preserve">ight to </w:t>
      </w:r>
      <w:r w:rsidR="00ED5030" w:rsidRPr="00BD0BCF">
        <w:rPr>
          <w:rFonts w:asciiTheme="majorHAnsi" w:hAnsiTheme="majorHAnsi" w:cs="Times New Roman"/>
        </w:rPr>
        <w:t>l</w:t>
      </w:r>
      <w:r w:rsidRPr="00BD0BCF">
        <w:rPr>
          <w:rFonts w:asciiTheme="majorHAnsi" w:hAnsiTheme="majorHAnsi" w:cs="Times New Roman"/>
        </w:rPr>
        <w:t xml:space="preserve">ife </w:t>
      </w:r>
      <w:r w:rsidR="00AF3097" w:rsidRPr="00BD0BCF">
        <w:rPr>
          <w:rFonts w:asciiTheme="majorHAnsi" w:hAnsiTheme="majorHAnsi" w:cs="Times New Roman"/>
        </w:rPr>
        <w:t xml:space="preserve">provides a timely </w:t>
      </w:r>
      <w:r w:rsidR="00056D2B" w:rsidRPr="00BD0BCF">
        <w:rPr>
          <w:rFonts w:asciiTheme="majorHAnsi" w:hAnsiTheme="majorHAnsi" w:cs="Times New Roman"/>
        </w:rPr>
        <w:t>occasion</w:t>
      </w:r>
      <w:r w:rsidR="00E6673C" w:rsidRPr="00BD0BCF">
        <w:rPr>
          <w:rFonts w:asciiTheme="majorHAnsi" w:hAnsiTheme="majorHAnsi" w:cs="Times New Roman"/>
        </w:rPr>
        <w:t xml:space="preserve"> </w:t>
      </w:r>
      <w:r w:rsidR="00074F40" w:rsidRPr="00BD0BCF">
        <w:rPr>
          <w:rFonts w:asciiTheme="majorHAnsi" w:hAnsiTheme="majorHAnsi" w:cs="Times New Roman"/>
        </w:rPr>
        <w:t xml:space="preserve">for the international human rights system </w:t>
      </w:r>
      <w:r w:rsidR="00E6673C" w:rsidRPr="00BD0BCF">
        <w:rPr>
          <w:rFonts w:asciiTheme="majorHAnsi" w:hAnsiTheme="majorHAnsi" w:cs="Times New Roman"/>
        </w:rPr>
        <w:t xml:space="preserve">to underline the </w:t>
      </w:r>
      <w:r w:rsidR="00074F40" w:rsidRPr="00BD0BCF">
        <w:rPr>
          <w:rFonts w:asciiTheme="majorHAnsi" w:hAnsiTheme="majorHAnsi" w:cs="Times New Roman"/>
        </w:rPr>
        <w:t xml:space="preserve">indivisibility, </w:t>
      </w:r>
      <w:r w:rsidR="00E6673C" w:rsidRPr="00BD0BCF">
        <w:rPr>
          <w:rFonts w:asciiTheme="majorHAnsi" w:hAnsiTheme="majorHAnsi" w:cs="Times New Roman"/>
        </w:rPr>
        <w:t xml:space="preserve">interdependence and inter-relationship </w:t>
      </w:r>
      <w:r w:rsidR="00074F40" w:rsidRPr="00BD0BCF">
        <w:rPr>
          <w:rFonts w:asciiTheme="majorHAnsi" w:hAnsiTheme="majorHAnsi" w:cs="Times New Roman"/>
        </w:rPr>
        <w:t>of</w:t>
      </w:r>
      <w:r w:rsidR="00E6673C" w:rsidRPr="00BD0BCF">
        <w:rPr>
          <w:rFonts w:asciiTheme="majorHAnsi" w:hAnsiTheme="majorHAnsi" w:cs="Times New Roman"/>
        </w:rPr>
        <w:t xml:space="preserve"> all human rights</w:t>
      </w:r>
      <w:r w:rsidR="00056D2B" w:rsidRPr="00BD0BCF">
        <w:rPr>
          <w:rFonts w:asciiTheme="majorHAnsi" w:hAnsiTheme="majorHAnsi" w:cs="Times New Roman"/>
        </w:rPr>
        <w:t xml:space="preserve"> in line with the </w:t>
      </w:r>
      <w:r w:rsidR="0048256B" w:rsidRPr="00BD0BCF">
        <w:rPr>
          <w:rFonts w:asciiTheme="majorHAnsi" w:hAnsiTheme="majorHAnsi" w:cs="Times New Roman"/>
        </w:rPr>
        <w:t xml:space="preserve">principles expressed in the </w:t>
      </w:r>
      <w:r w:rsidR="00056D2B" w:rsidRPr="00BD0BCF">
        <w:rPr>
          <w:rFonts w:asciiTheme="majorHAnsi" w:hAnsiTheme="majorHAnsi" w:cs="Times New Roman"/>
        </w:rPr>
        <w:t>Vienna Declaration</w:t>
      </w:r>
      <w:r w:rsidR="00D8363B" w:rsidRPr="00BD0BCF">
        <w:rPr>
          <w:rFonts w:asciiTheme="majorHAnsi" w:hAnsiTheme="majorHAnsi" w:cs="Times New Roman"/>
        </w:rPr>
        <w:t xml:space="preserve"> of 1993.</w:t>
      </w:r>
      <w:r w:rsidR="00074F40" w:rsidRPr="00BD0BCF">
        <w:rPr>
          <w:rStyle w:val="Marquenotebasdepage"/>
          <w:rFonts w:asciiTheme="majorHAnsi" w:hAnsiTheme="majorHAnsi" w:cs="Times New Roman"/>
        </w:rPr>
        <w:footnoteReference w:id="1"/>
      </w:r>
      <w:r w:rsidR="00D8363B" w:rsidRPr="00BD0BCF">
        <w:rPr>
          <w:rFonts w:asciiTheme="majorHAnsi" w:hAnsiTheme="majorHAnsi" w:cs="Times New Roman"/>
        </w:rPr>
        <w:t xml:space="preserve"> </w:t>
      </w:r>
    </w:p>
    <w:p w14:paraId="63A5EC09" w14:textId="0159017A" w:rsidR="00AD274D" w:rsidRPr="00BD0BCF" w:rsidRDefault="00AD274D" w:rsidP="00872E53">
      <w:pPr>
        <w:pStyle w:val="Paragraphedeliste"/>
        <w:numPr>
          <w:ilvl w:val="0"/>
          <w:numId w:val="2"/>
        </w:numPr>
        <w:shd w:val="clear" w:color="auto" w:fill="FFFFFF"/>
        <w:spacing w:before="100" w:beforeAutospacing="1" w:after="284"/>
        <w:ind w:left="714" w:hanging="357"/>
        <w:contextualSpacing w:val="0"/>
        <w:jc w:val="both"/>
        <w:rPr>
          <w:rFonts w:asciiTheme="majorHAnsi" w:hAnsiTheme="majorHAnsi"/>
        </w:rPr>
      </w:pPr>
      <w:r w:rsidRPr="00BD0BCF">
        <w:rPr>
          <w:rFonts w:asciiTheme="majorHAnsi" w:hAnsiTheme="majorHAnsi" w:cs="Times New Roman"/>
        </w:rPr>
        <w:t xml:space="preserve">The right to food is the focus of the current submission, however, analogous reasoning </w:t>
      </w:r>
      <w:r w:rsidR="00DB6A89" w:rsidRPr="00BD0BCF">
        <w:rPr>
          <w:rFonts w:asciiTheme="majorHAnsi" w:hAnsiTheme="majorHAnsi" w:cs="Times New Roman"/>
        </w:rPr>
        <w:t>may</w:t>
      </w:r>
      <w:r w:rsidRPr="00BD0BCF">
        <w:rPr>
          <w:rFonts w:asciiTheme="majorHAnsi" w:hAnsiTheme="majorHAnsi" w:cs="Times New Roman"/>
        </w:rPr>
        <w:t xml:space="preserve"> be applied in relation to the connection between the </w:t>
      </w:r>
      <w:r w:rsidR="0048256B" w:rsidRPr="00BD0BCF">
        <w:rPr>
          <w:rFonts w:asciiTheme="majorHAnsi" w:hAnsiTheme="majorHAnsi" w:cs="Times New Roman"/>
        </w:rPr>
        <w:t>right to life and the promotion and protection</w:t>
      </w:r>
      <w:r w:rsidRPr="00BD0BCF">
        <w:rPr>
          <w:rFonts w:asciiTheme="majorHAnsi" w:hAnsiTheme="majorHAnsi" w:cs="Times New Roman"/>
        </w:rPr>
        <w:t xml:space="preserve"> of </w:t>
      </w:r>
      <w:r w:rsidR="00DB6A89" w:rsidRPr="00BD0BCF">
        <w:rPr>
          <w:rFonts w:asciiTheme="majorHAnsi" w:hAnsiTheme="majorHAnsi" w:cs="Times New Roman"/>
        </w:rPr>
        <w:t xml:space="preserve">a number of </w:t>
      </w:r>
      <w:r w:rsidRPr="00BD0BCF">
        <w:rPr>
          <w:rFonts w:asciiTheme="majorHAnsi" w:hAnsiTheme="majorHAnsi" w:cs="Times New Roman"/>
        </w:rPr>
        <w:t xml:space="preserve">other economic, social and cultural rights including the rights to health, water and sanitation, </w:t>
      </w:r>
      <w:r w:rsidR="00D519A7" w:rsidRPr="00BD0BCF">
        <w:rPr>
          <w:rFonts w:asciiTheme="majorHAnsi" w:hAnsiTheme="majorHAnsi" w:cs="Times New Roman"/>
        </w:rPr>
        <w:t xml:space="preserve">housing, </w:t>
      </w:r>
      <w:r w:rsidRPr="00BD0BCF">
        <w:rPr>
          <w:rFonts w:asciiTheme="majorHAnsi" w:hAnsiTheme="majorHAnsi" w:cs="Times New Roman"/>
        </w:rPr>
        <w:t xml:space="preserve">work and social security. </w:t>
      </w:r>
    </w:p>
    <w:p w14:paraId="6A376761" w14:textId="77777777" w:rsidR="00ED47B6" w:rsidRPr="00BD0BCF" w:rsidRDefault="006B28B8" w:rsidP="00872E53">
      <w:pPr>
        <w:pStyle w:val="Paragraphedeliste"/>
        <w:numPr>
          <w:ilvl w:val="0"/>
          <w:numId w:val="2"/>
        </w:numPr>
        <w:shd w:val="clear" w:color="auto" w:fill="FFFFFF"/>
        <w:spacing w:before="100" w:beforeAutospacing="1" w:after="284"/>
        <w:ind w:left="714" w:hanging="357"/>
        <w:contextualSpacing w:val="0"/>
        <w:jc w:val="both"/>
        <w:rPr>
          <w:rFonts w:asciiTheme="majorHAnsi" w:hAnsiTheme="majorHAnsi"/>
        </w:rPr>
      </w:pPr>
      <w:r w:rsidRPr="00BD0BCF">
        <w:rPr>
          <w:rFonts w:asciiTheme="majorHAnsi" w:hAnsiTheme="majorHAnsi" w:cs="Times New Roman"/>
        </w:rPr>
        <w:t>In paragraph 5 of its earlier General Comment no. 6 on the right to life, the Committee un</w:t>
      </w:r>
      <w:r w:rsidR="0048256B" w:rsidRPr="00BD0BCF">
        <w:rPr>
          <w:rFonts w:asciiTheme="majorHAnsi" w:hAnsiTheme="majorHAnsi" w:cs="Times New Roman"/>
        </w:rPr>
        <w:t>derlined</w:t>
      </w:r>
      <w:r w:rsidRPr="00BD0BCF">
        <w:rPr>
          <w:rFonts w:asciiTheme="majorHAnsi" w:hAnsiTheme="majorHAnsi" w:cs="Times New Roman"/>
        </w:rPr>
        <w:t xml:space="preserve"> the need to ensure that the right is not interpreted in a ‘restrictive manner’. In the same paragraph, it is recalled that the right to life requires that States adopt ‘positive measures’ including those targeted at reducing infant mortality and at increasing life expectancy through</w:t>
      </w:r>
      <w:r w:rsidR="0048256B" w:rsidRPr="00BD0BCF">
        <w:rPr>
          <w:rFonts w:asciiTheme="majorHAnsi" w:hAnsiTheme="majorHAnsi" w:cs="Times New Roman"/>
        </w:rPr>
        <w:t xml:space="preserve"> </w:t>
      </w:r>
      <w:r w:rsidR="0048256B" w:rsidRPr="00BD0BCF">
        <w:rPr>
          <w:rFonts w:asciiTheme="majorHAnsi" w:hAnsiTheme="majorHAnsi" w:cs="Times New Roman"/>
          <w:i/>
        </w:rPr>
        <w:t>inter alia</w:t>
      </w:r>
      <w:r w:rsidRPr="00BD0BCF">
        <w:rPr>
          <w:rFonts w:asciiTheme="majorHAnsi" w:hAnsiTheme="majorHAnsi" w:cs="Times New Roman"/>
        </w:rPr>
        <w:t xml:space="preserve"> the elimination of malnutrition. </w:t>
      </w:r>
    </w:p>
    <w:p w14:paraId="2D9B2045" w14:textId="1A1E4799" w:rsidR="00ED47B6" w:rsidRPr="00BD0BCF" w:rsidRDefault="00651734" w:rsidP="00872E53">
      <w:pPr>
        <w:pStyle w:val="Paragraphedeliste"/>
        <w:numPr>
          <w:ilvl w:val="0"/>
          <w:numId w:val="2"/>
        </w:numPr>
        <w:shd w:val="clear" w:color="auto" w:fill="FFFFFF"/>
        <w:spacing w:before="100" w:beforeAutospacing="1" w:after="284"/>
        <w:ind w:left="714" w:hanging="357"/>
        <w:contextualSpacing w:val="0"/>
        <w:jc w:val="both"/>
        <w:rPr>
          <w:rFonts w:asciiTheme="majorHAnsi" w:hAnsiTheme="majorHAnsi"/>
        </w:rPr>
      </w:pPr>
      <w:r w:rsidRPr="00BD0BCF">
        <w:rPr>
          <w:rFonts w:asciiTheme="majorHAnsi" w:hAnsiTheme="majorHAnsi" w:cs="Times New Roman"/>
        </w:rPr>
        <w:t>More recent</w:t>
      </w:r>
      <w:r w:rsidR="00ED47B6" w:rsidRPr="00BD0BCF">
        <w:rPr>
          <w:rFonts w:asciiTheme="majorHAnsi" w:hAnsiTheme="majorHAnsi" w:cs="Times New Roman"/>
        </w:rPr>
        <w:t xml:space="preserve"> jurisprudence </w:t>
      </w:r>
      <w:r w:rsidRPr="00BD0BCF">
        <w:rPr>
          <w:rFonts w:asciiTheme="majorHAnsi" w:hAnsiTheme="majorHAnsi" w:cs="Times New Roman"/>
        </w:rPr>
        <w:t>from</w:t>
      </w:r>
      <w:r w:rsidR="00ED47B6" w:rsidRPr="00BD0BCF">
        <w:rPr>
          <w:rFonts w:asciiTheme="majorHAnsi" w:hAnsiTheme="majorHAnsi" w:cs="Times New Roman"/>
        </w:rPr>
        <w:t xml:space="preserve"> the Human Rights Committee </w:t>
      </w:r>
      <w:r w:rsidRPr="00BD0BCF">
        <w:rPr>
          <w:rFonts w:asciiTheme="majorHAnsi" w:hAnsiTheme="majorHAnsi" w:cs="Times New Roman"/>
        </w:rPr>
        <w:t>provides further support for</w:t>
      </w:r>
      <w:r w:rsidR="00ED47B6" w:rsidRPr="00BD0BCF">
        <w:rPr>
          <w:rFonts w:asciiTheme="majorHAnsi" w:hAnsiTheme="majorHAnsi" w:cs="Times New Roman"/>
        </w:rPr>
        <w:t xml:space="preserve"> the view that the right to life includes obligations to ensure </w:t>
      </w:r>
      <w:r w:rsidR="00635178" w:rsidRPr="00BD0BCF">
        <w:rPr>
          <w:rFonts w:asciiTheme="majorHAnsi" w:hAnsiTheme="majorHAnsi" w:cs="Times New Roman"/>
        </w:rPr>
        <w:t xml:space="preserve">non-discriminatory </w:t>
      </w:r>
      <w:r w:rsidR="00ED47B6" w:rsidRPr="00BD0BCF">
        <w:rPr>
          <w:rFonts w:asciiTheme="majorHAnsi" w:hAnsiTheme="majorHAnsi" w:cs="Times New Roman"/>
        </w:rPr>
        <w:t xml:space="preserve">access to </w:t>
      </w:r>
      <w:r w:rsidRPr="00BD0BCF">
        <w:rPr>
          <w:rFonts w:asciiTheme="majorHAnsi" w:hAnsiTheme="majorHAnsi" w:cs="Times New Roman"/>
        </w:rPr>
        <w:t xml:space="preserve">adequate </w:t>
      </w:r>
      <w:r w:rsidR="00ED47B6" w:rsidRPr="00BD0BCF">
        <w:rPr>
          <w:rFonts w:asciiTheme="majorHAnsi" w:hAnsiTheme="majorHAnsi" w:cs="Times New Roman"/>
        </w:rPr>
        <w:t>food</w:t>
      </w:r>
      <w:r w:rsidR="00ED47B6" w:rsidRPr="00BD0BCF">
        <w:rPr>
          <w:rFonts w:asciiTheme="majorHAnsi" w:hAnsiTheme="majorHAnsi"/>
        </w:rPr>
        <w:t>. The Committee has emphasised that measures which restrict “access to all basic and life-saving services such as food, health, electricity, water and sanitation” are contrary to article 6.</w:t>
      </w:r>
      <w:r w:rsidR="00ED47B6" w:rsidRPr="00BD0BCF">
        <w:rPr>
          <w:rStyle w:val="Marquenotebasdepage"/>
          <w:rFonts w:asciiTheme="majorHAnsi" w:hAnsiTheme="majorHAnsi"/>
        </w:rPr>
        <w:footnoteReference w:id="2"/>
      </w:r>
      <w:r w:rsidR="00ED47B6" w:rsidRPr="00BD0BCF">
        <w:rPr>
          <w:rFonts w:asciiTheme="majorHAnsi" w:hAnsiTheme="majorHAnsi"/>
        </w:rPr>
        <w:t xml:space="preserve">  It has expressed concern that article 6 may be violated by a “lack of measures to deal with </w:t>
      </w:r>
      <w:r w:rsidR="00635178" w:rsidRPr="00BD0BCF">
        <w:rPr>
          <w:rFonts w:asciiTheme="majorHAnsi" w:hAnsiTheme="majorHAnsi"/>
        </w:rPr>
        <w:t xml:space="preserve">the </w:t>
      </w:r>
      <w:r w:rsidR="00ED47B6" w:rsidRPr="00BD0BCF">
        <w:rPr>
          <w:rFonts w:asciiTheme="majorHAnsi" w:hAnsiTheme="majorHAnsi"/>
        </w:rPr>
        <w:t xml:space="preserve">food and nutrition situation </w:t>
      </w:r>
      <w:r w:rsidR="00601063" w:rsidRPr="00BD0BCF">
        <w:rPr>
          <w:rFonts w:asciiTheme="majorHAnsi" w:hAnsiTheme="majorHAnsi"/>
        </w:rPr>
        <w:t xml:space="preserve">(…) </w:t>
      </w:r>
      <w:r w:rsidR="00ED47B6" w:rsidRPr="00BD0BCF">
        <w:rPr>
          <w:rFonts w:asciiTheme="majorHAnsi" w:hAnsiTheme="majorHAnsi"/>
        </w:rPr>
        <w:t xml:space="preserve">and </w:t>
      </w:r>
      <w:r w:rsidR="00635178" w:rsidRPr="00BD0BCF">
        <w:rPr>
          <w:rFonts w:asciiTheme="majorHAnsi" w:hAnsiTheme="majorHAnsi"/>
        </w:rPr>
        <w:t xml:space="preserve">a </w:t>
      </w:r>
      <w:r w:rsidR="00ED47B6" w:rsidRPr="00BD0BCF">
        <w:rPr>
          <w:rFonts w:asciiTheme="majorHAnsi" w:hAnsiTheme="majorHAnsi"/>
        </w:rPr>
        <w:t xml:space="preserve">lack of measures to address, in cooperation with the international community, causes and consequences of drought and other </w:t>
      </w:r>
      <w:r w:rsidR="00ED47B6" w:rsidRPr="00BD0BCF">
        <w:rPr>
          <w:rFonts w:asciiTheme="majorHAnsi" w:hAnsiTheme="majorHAnsi"/>
        </w:rPr>
        <w:lastRenderedPageBreak/>
        <w:t>natural disasters</w:t>
      </w:r>
      <w:r w:rsidR="00601063" w:rsidRPr="00BD0BCF">
        <w:rPr>
          <w:rFonts w:asciiTheme="majorHAnsi" w:hAnsiTheme="majorHAnsi"/>
        </w:rPr>
        <w:t xml:space="preserve"> (…)</w:t>
      </w:r>
      <w:r w:rsidRPr="00BD0BCF">
        <w:rPr>
          <w:rFonts w:asciiTheme="majorHAnsi" w:hAnsiTheme="majorHAnsi"/>
        </w:rPr>
        <w:t>.</w:t>
      </w:r>
      <w:r w:rsidR="00ED47B6" w:rsidRPr="00BD0BCF">
        <w:rPr>
          <w:rFonts w:asciiTheme="majorHAnsi" w:hAnsiTheme="majorHAnsi"/>
        </w:rPr>
        <w:t>”</w:t>
      </w:r>
      <w:r w:rsidR="00ED47B6" w:rsidRPr="00BD0BCF">
        <w:rPr>
          <w:rStyle w:val="Marquenotebasdepage"/>
          <w:rFonts w:asciiTheme="majorHAnsi" w:hAnsiTheme="majorHAnsi"/>
        </w:rPr>
        <w:footnoteReference w:id="3"/>
      </w:r>
      <w:r w:rsidR="00635178" w:rsidRPr="00BD0BCF">
        <w:rPr>
          <w:rFonts w:asciiTheme="majorHAnsi" w:hAnsiTheme="majorHAnsi"/>
        </w:rPr>
        <w:t xml:space="preserve"> </w:t>
      </w:r>
      <w:r w:rsidRPr="00BD0BCF">
        <w:rPr>
          <w:rFonts w:asciiTheme="majorHAnsi" w:hAnsiTheme="majorHAnsi"/>
        </w:rPr>
        <w:t>In addition, the Committee has held that the destruction of water and sanitary</w:t>
      </w:r>
      <w:r w:rsidR="00ED47B6" w:rsidRPr="00BD0BCF">
        <w:rPr>
          <w:rFonts w:asciiTheme="majorHAnsi" w:hAnsiTheme="majorHAnsi"/>
        </w:rPr>
        <w:t xml:space="preserve"> infrastructure</w:t>
      </w:r>
      <w:r w:rsidRPr="00BD0BCF">
        <w:rPr>
          <w:rFonts w:asciiTheme="majorHAnsi" w:hAnsiTheme="majorHAnsi"/>
        </w:rPr>
        <w:t>s</w:t>
      </w:r>
      <w:r w:rsidR="00ED47B6" w:rsidRPr="00BD0BCF">
        <w:rPr>
          <w:rFonts w:asciiTheme="majorHAnsi" w:hAnsiTheme="majorHAnsi"/>
        </w:rPr>
        <w:t xml:space="preserve"> </w:t>
      </w:r>
      <w:r w:rsidRPr="00BD0BCF">
        <w:rPr>
          <w:rFonts w:asciiTheme="majorHAnsi" w:hAnsiTheme="majorHAnsi"/>
        </w:rPr>
        <w:t>may amount</w:t>
      </w:r>
      <w:r w:rsidR="00ED47B6" w:rsidRPr="00BD0BCF">
        <w:rPr>
          <w:rFonts w:asciiTheme="majorHAnsi" w:hAnsiTheme="majorHAnsi"/>
        </w:rPr>
        <w:t xml:space="preserve"> to a violation of the right to life</w:t>
      </w:r>
      <w:r w:rsidR="00ED47B6" w:rsidRPr="00BD0BCF">
        <w:rPr>
          <w:rStyle w:val="Marquenotebasdepage"/>
          <w:rFonts w:asciiTheme="majorHAnsi" w:hAnsiTheme="majorHAnsi"/>
        </w:rPr>
        <w:footnoteReference w:id="4"/>
      </w:r>
      <w:r w:rsidR="00ED47B6" w:rsidRPr="00BD0BCF">
        <w:rPr>
          <w:rFonts w:asciiTheme="majorHAnsi" w:hAnsiTheme="majorHAnsi"/>
        </w:rPr>
        <w:t xml:space="preserve"> and has used interim measures to </w:t>
      </w:r>
      <w:r w:rsidRPr="00BD0BCF">
        <w:rPr>
          <w:rFonts w:asciiTheme="majorHAnsi" w:hAnsiTheme="majorHAnsi"/>
        </w:rPr>
        <w:t>demand the</w:t>
      </w:r>
      <w:r w:rsidR="00ED47B6" w:rsidRPr="00BD0BCF">
        <w:rPr>
          <w:rFonts w:asciiTheme="majorHAnsi" w:hAnsiTheme="majorHAnsi"/>
        </w:rPr>
        <w:t xml:space="preserve"> </w:t>
      </w:r>
      <w:r w:rsidRPr="00BD0BCF">
        <w:rPr>
          <w:rFonts w:asciiTheme="majorHAnsi" w:hAnsiTheme="majorHAnsi"/>
        </w:rPr>
        <w:t>restoration of access to</w:t>
      </w:r>
      <w:r w:rsidR="00ED47B6" w:rsidRPr="00BD0BCF">
        <w:rPr>
          <w:rFonts w:asciiTheme="majorHAnsi" w:hAnsiTheme="majorHAnsi"/>
        </w:rPr>
        <w:t xml:space="preserve"> water supplies</w:t>
      </w:r>
      <w:r w:rsidR="00037B3B" w:rsidRPr="00BD0BCF">
        <w:rPr>
          <w:rStyle w:val="Marquenotebasdepage"/>
          <w:rFonts w:asciiTheme="majorHAnsi" w:hAnsiTheme="majorHAnsi"/>
        </w:rPr>
        <w:footnoteReference w:id="5"/>
      </w:r>
      <w:r w:rsidR="00635178" w:rsidRPr="00BD0BCF">
        <w:rPr>
          <w:rFonts w:asciiTheme="majorHAnsi" w:hAnsiTheme="majorHAnsi"/>
        </w:rPr>
        <w:t xml:space="preserve"> which are also essential components of the right to food</w:t>
      </w:r>
      <w:r w:rsidR="009F1530" w:rsidRPr="00BD0BCF">
        <w:rPr>
          <w:rFonts w:asciiTheme="majorHAnsi" w:hAnsiTheme="majorHAnsi"/>
        </w:rPr>
        <w:t>.</w:t>
      </w:r>
      <w:r w:rsidR="00B70D87" w:rsidRPr="00BD0BCF">
        <w:rPr>
          <w:rStyle w:val="Marquenotebasdepage"/>
          <w:rFonts w:asciiTheme="majorHAnsi" w:hAnsiTheme="majorHAnsi"/>
        </w:rPr>
        <w:footnoteReference w:id="6"/>
      </w:r>
    </w:p>
    <w:p w14:paraId="7C5FF062" w14:textId="3957CC00" w:rsidR="00F203C6" w:rsidRPr="00BD0BCF" w:rsidRDefault="00F203C6" w:rsidP="00872E53">
      <w:pPr>
        <w:pStyle w:val="Paragraphedeliste"/>
        <w:numPr>
          <w:ilvl w:val="0"/>
          <w:numId w:val="2"/>
        </w:numPr>
        <w:shd w:val="clear" w:color="auto" w:fill="FFFFFF"/>
        <w:spacing w:before="100" w:beforeAutospacing="1" w:after="284"/>
        <w:ind w:left="714" w:hanging="357"/>
        <w:contextualSpacing w:val="0"/>
        <w:jc w:val="both"/>
        <w:rPr>
          <w:rFonts w:asciiTheme="majorHAnsi" w:hAnsiTheme="majorHAnsi"/>
        </w:rPr>
      </w:pPr>
      <w:r w:rsidRPr="00BD0BCF">
        <w:rPr>
          <w:rFonts w:asciiTheme="majorHAnsi" w:hAnsiTheme="majorHAnsi"/>
        </w:rPr>
        <w:t>The expanded understanding of the right to life that is evident within the international human rights system is also supported through the evolving jurisprudence in many national jurisdictions. The Supreme Court of India has played a pioneering role in using Constitutional protections for the right to life in order to protect the right to food</w:t>
      </w:r>
      <w:r w:rsidR="00594574" w:rsidRPr="00BD0BCF">
        <w:rPr>
          <w:rFonts w:asciiTheme="majorHAnsi" w:hAnsiTheme="majorHAnsi"/>
        </w:rPr>
        <w:t>, including access to land and natural resources,</w:t>
      </w:r>
      <w:r w:rsidRPr="00BD0BCF">
        <w:rPr>
          <w:rFonts w:asciiTheme="majorHAnsi" w:hAnsiTheme="majorHAnsi"/>
        </w:rPr>
        <w:t xml:space="preserve"> and the right to </w:t>
      </w:r>
      <w:r w:rsidR="00685707" w:rsidRPr="00BD0BCF">
        <w:rPr>
          <w:rFonts w:asciiTheme="majorHAnsi" w:hAnsiTheme="majorHAnsi"/>
        </w:rPr>
        <w:t xml:space="preserve">food </w:t>
      </w:r>
      <w:r w:rsidR="0052672E" w:rsidRPr="00BD0BCF">
        <w:rPr>
          <w:rFonts w:asciiTheme="majorHAnsi" w:hAnsiTheme="majorHAnsi"/>
        </w:rPr>
        <w:t xml:space="preserve">for marginalized groups, </w:t>
      </w:r>
      <w:r w:rsidR="00594574" w:rsidRPr="00BD0BCF">
        <w:rPr>
          <w:rFonts w:asciiTheme="majorHAnsi" w:hAnsiTheme="majorHAnsi"/>
        </w:rPr>
        <w:t>such as</w:t>
      </w:r>
      <w:r w:rsidR="0052672E" w:rsidRPr="00BD0BCF">
        <w:rPr>
          <w:rFonts w:asciiTheme="majorHAnsi" w:hAnsiTheme="majorHAnsi"/>
        </w:rPr>
        <w:t xml:space="preserve"> people living in extreme poverty, those belonging to dalit castes and indigenous peoples.</w:t>
      </w:r>
      <w:r w:rsidR="0052672E" w:rsidRPr="00BD0BCF">
        <w:rPr>
          <w:rStyle w:val="Marquenotebasdepage"/>
          <w:rFonts w:asciiTheme="majorHAnsi" w:hAnsiTheme="majorHAnsi"/>
        </w:rPr>
        <w:footnoteReference w:id="7"/>
      </w:r>
      <w:r w:rsidR="00594574" w:rsidRPr="00BD0BCF">
        <w:rPr>
          <w:rFonts w:asciiTheme="majorHAnsi" w:hAnsiTheme="majorHAnsi"/>
        </w:rPr>
        <w:t xml:space="preserve"> Many other national </w:t>
      </w:r>
      <w:r w:rsidR="008E19CF">
        <w:rPr>
          <w:rFonts w:asciiTheme="majorHAnsi" w:hAnsiTheme="majorHAnsi"/>
        </w:rPr>
        <w:t>legal systems</w:t>
      </w:r>
      <w:bookmarkStart w:id="0" w:name="_GoBack"/>
      <w:bookmarkEnd w:id="0"/>
      <w:r w:rsidR="00594574" w:rsidRPr="00BD0BCF">
        <w:rPr>
          <w:rFonts w:asciiTheme="majorHAnsi" w:hAnsiTheme="majorHAnsi"/>
        </w:rPr>
        <w:t xml:space="preserve"> have also recognized the linkages between the right to food, access to land and the right to life.</w:t>
      </w:r>
      <w:r w:rsidR="00497A06">
        <w:rPr>
          <w:rStyle w:val="Marquenotebasdepage"/>
          <w:rFonts w:asciiTheme="majorHAnsi" w:hAnsiTheme="majorHAnsi"/>
        </w:rPr>
        <w:footnoteReference w:id="8"/>
      </w:r>
      <w:r w:rsidR="00594574" w:rsidRPr="00BD0BCF">
        <w:rPr>
          <w:rFonts w:asciiTheme="majorHAnsi" w:hAnsiTheme="majorHAnsi"/>
        </w:rPr>
        <w:t xml:space="preserve"> </w:t>
      </w:r>
    </w:p>
    <w:p w14:paraId="03B8FFF3" w14:textId="47637353" w:rsidR="00412F69" w:rsidRPr="00BD0BCF" w:rsidRDefault="00ED47B6" w:rsidP="00412F69">
      <w:pPr>
        <w:pStyle w:val="Paragraphedeliste"/>
        <w:numPr>
          <w:ilvl w:val="0"/>
          <w:numId w:val="2"/>
        </w:numPr>
        <w:shd w:val="clear" w:color="auto" w:fill="FFFFFF"/>
        <w:spacing w:before="100" w:beforeAutospacing="1" w:after="284"/>
        <w:ind w:left="714" w:hanging="357"/>
        <w:contextualSpacing w:val="0"/>
        <w:jc w:val="both"/>
        <w:rPr>
          <w:rFonts w:asciiTheme="majorHAnsi" w:hAnsiTheme="majorHAnsi"/>
        </w:rPr>
      </w:pPr>
      <w:r w:rsidRPr="00BD0BCF">
        <w:rPr>
          <w:rFonts w:asciiTheme="majorHAnsi" w:hAnsiTheme="majorHAnsi" w:cs="Times New Roman"/>
        </w:rPr>
        <w:t xml:space="preserve">The </w:t>
      </w:r>
      <w:r w:rsidR="002604DD" w:rsidRPr="00BD0BCF">
        <w:rPr>
          <w:rFonts w:asciiTheme="majorHAnsi" w:hAnsiTheme="majorHAnsi" w:cs="Times New Roman"/>
        </w:rPr>
        <w:t xml:space="preserve">Project on </w:t>
      </w:r>
      <w:r w:rsidR="0048256B" w:rsidRPr="00BD0BCF">
        <w:rPr>
          <w:rFonts w:asciiTheme="majorHAnsi" w:hAnsiTheme="majorHAnsi" w:cs="Times New Roman"/>
        </w:rPr>
        <w:t xml:space="preserve">Economic, Social and Cultural Rights at the Geneva Academy would like to ask the Human Rights Committee to make this wider interpretation of the right to life more explicit within its next General Comment and to provide additional guidance to States concerning the scope and content of their obligations to respect, protect and fulfill (facilitate and provide) the right to food </w:t>
      </w:r>
      <w:r w:rsidR="006576BC" w:rsidRPr="00BD0BCF">
        <w:rPr>
          <w:rFonts w:asciiTheme="majorHAnsi" w:hAnsiTheme="majorHAnsi" w:cs="Times New Roman"/>
        </w:rPr>
        <w:t>and other, related rights as</w:t>
      </w:r>
      <w:r w:rsidR="0048256B" w:rsidRPr="00BD0BCF">
        <w:rPr>
          <w:rFonts w:asciiTheme="majorHAnsi" w:hAnsiTheme="majorHAnsi" w:cs="Times New Roman"/>
        </w:rPr>
        <w:t xml:space="preserve"> core component</w:t>
      </w:r>
      <w:r w:rsidR="006576BC" w:rsidRPr="00BD0BCF">
        <w:rPr>
          <w:rFonts w:asciiTheme="majorHAnsi" w:hAnsiTheme="majorHAnsi" w:cs="Times New Roman"/>
        </w:rPr>
        <w:t>s</w:t>
      </w:r>
      <w:r w:rsidR="00412F69" w:rsidRPr="00BD0BCF">
        <w:rPr>
          <w:rFonts w:asciiTheme="majorHAnsi" w:hAnsiTheme="majorHAnsi" w:cs="Times New Roman"/>
        </w:rPr>
        <w:t xml:space="preserve"> of the right to life.</w:t>
      </w:r>
    </w:p>
    <w:p w14:paraId="42DD85D1" w14:textId="77777777" w:rsidR="00412F69" w:rsidRPr="00BD0BCF" w:rsidRDefault="00412F69" w:rsidP="00412F69">
      <w:pPr>
        <w:shd w:val="clear" w:color="auto" w:fill="FFFFFF"/>
        <w:spacing w:before="100" w:beforeAutospacing="1" w:after="284"/>
        <w:jc w:val="both"/>
        <w:rPr>
          <w:rFonts w:asciiTheme="majorHAnsi" w:hAnsiTheme="majorHAnsi"/>
        </w:rPr>
      </w:pPr>
    </w:p>
    <w:p w14:paraId="3448B267" w14:textId="12BCF946" w:rsidR="00412F69" w:rsidRPr="00BD0BCF" w:rsidRDefault="007433C5" w:rsidP="00412F69">
      <w:pPr>
        <w:shd w:val="clear" w:color="auto" w:fill="FFFFFF"/>
        <w:spacing w:before="100" w:beforeAutospacing="1" w:after="284"/>
        <w:ind w:left="708"/>
        <w:jc w:val="both"/>
        <w:rPr>
          <w:rFonts w:asciiTheme="majorHAnsi" w:hAnsiTheme="majorHAnsi"/>
          <w:lang w:val="fr-CH"/>
        </w:rPr>
      </w:pPr>
      <w:r>
        <w:rPr>
          <w:rFonts w:asciiTheme="majorHAnsi" w:hAnsiTheme="majorHAnsi"/>
          <w:lang w:val="fr-CH"/>
        </w:rPr>
        <w:t>Dr. Joanna Bourke Martign</w:t>
      </w:r>
      <w:r w:rsidR="00412F69" w:rsidRPr="00BD0BCF">
        <w:rPr>
          <w:rFonts w:asciiTheme="majorHAnsi" w:hAnsiTheme="majorHAnsi"/>
          <w:lang w:val="fr-CH"/>
        </w:rPr>
        <w:t xml:space="preserve">oni </w:t>
      </w:r>
      <w:r w:rsidR="005E3C6A">
        <w:rPr>
          <w:rFonts w:asciiTheme="majorHAnsi" w:hAnsiTheme="majorHAnsi"/>
          <w:lang w:val="fr-CH"/>
        </w:rPr>
        <w:t>and</w:t>
      </w:r>
      <w:r w:rsidR="00412F69" w:rsidRPr="00BD0BCF">
        <w:rPr>
          <w:rFonts w:asciiTheme="majorHAnsi" w:hAnsiTheme="majorHAnsi"/>
          <w:lang w:val="fr-CH"/>
        </w:rPr>
        <w:t xml:space="preserve"> Dr. Christophe Golay</w:t>
      </w:r>
    </w:p>
    <w:sectPr w:rsidR="00412F69" w:rsidRPr="00BD0BCF" w:rsidSect="00A92552">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18BE3" w14:textId="77777777" w:rsidR="006B28B8" w:rsidRDefault="006B28B8" w:rsidP="006B28B8">
      <w:r>
        <w:separator/>
      </w:r>
    </w:p>
  </w:endnote>
  <w:endnote w:type="continuationSeparator" w:id="0">
    <w:p w14:paraId="217B10B0" w14:textId="77777777" w:rsidR="006B28B8" w:rsidRDefault="006B28B8" w:rsidP="006B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8B4F" w14:textId="77777777" w:rsidR="006B28B8" w:rsidRDefault="006B28B8" w:rsidP="007621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187FF5" w14:textId="77777777" w:rsidR="006B28B8" w:rsidRDefault="006B28B8" w:rsidP="006B28B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9011F" w14:textId="77777777" w:rsidR="006B28B8" w:rsidRDefault="006B28B8" w:rsidP="007621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E19CF">
      <w:rPr>
        <w:rStyle w:val="Numrodepage"/>
        <w:noProof/>
      </w:rPr>
      <w:t>2</w:t>
    </w:r>
    <w:r>
      <w:rPr>
        <w:rStyle w:val="Numrodepage"/>
      </w:rPr>
      <w:fldChar w:fldCharType="end"/>
    </w:r>
  </w:p>
  <w:p w14:paraId="6CBB729E" w14:textId="77777777" w:rsidR="006B28B8" w:rsidRDefault="006B28B8" w:rsidP="006B28B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46418" w14:textId="77777777" w:rsidR="006B28B8" w:rsidRDefault="006B28B8" w:rsidP="006B28B8">
      <w:r>
        <w:separator/>
      </w:r>
    </w:p>
  </w:footnote>
  <w:footnote w:type="continuationSeparator" w:id="0">
    <w:p w14:paraId="577B0197" w14:textId="77777777" w:rsidR="006B28B8" w:rsidRDefault="006B28B8" w:rsidP="006B28B8">
      <w:r>
        <w:continuationSeparator/>
      </w:r>
    </w:p>
  </w:footnote>
  <w:footnote w:id="1">
    <w:p w14:paraId="6E94112F" w14:textId="10FD81A6" w:rsidR="00074F40" w:rsidRPr="00497A06" w:rsidRDefault="00074F40" w:rsidP="00497A06">
      <w:pPr>
        <w:pStyle w:val="Notedebasdepage"/>
        <w:jc w:val="both"/>
        <w:rPr>
          <w:sz w:val="20"/>
          <w:szCs w:val="20"/>
        </w:rPr>
      </w:pPr>
      <w:r w:rsidRPr="00497A06">
        <w:rPr>
          <w:rStyle w:val="Marquenotebasdepage"/>
          <w:sz w:val="20"/>
          <w:szCs w:val="20"/>
        </w:rPr>
        <w:footnoteRef/>
      </w:r>
      <w:r w:rsidRPr="00497A06">
        <w:rPr>
          <w:sz w:val="20"/>
          <w:szCs w:val="20"/>
        </w:rPr>
        <w:t xml:space="preserve"> </w:t>
      </w:r>
      <w:r w:rsidRPr="00497A06">
        <w:rPr>
          <w:i/>
          <w:sz w:val="20"/>
          <w:szCs w:val="20"/>
          <w:lang w:val="en-GB"/>
        </w:rPr>
        <w:t>Vienna Declaration and Programme of Action</w:t>
      </w:r>
      <w:r w:rsidRPr="00497A06">
        <w:rPr>
          <w:sz w:val="20"/>
          <w:szCs w:val="20"/>
          <w:lang w:val="en-GB"/>
        </w:rPr>
        <w:t xml:space="preserve">, A/CONF.157/23, at para 75. </w:t>
      </w:r>
    </w:p>
  </w:footnote>
  <w:footnote w:id="2">
    <w:p w14:paraId="57D7245B" w14:textId="5C33DFA5" w:rsidR="00ED47B6" w:rsidRPr="00497A06" w:rsidRDefault="00ED47B6" w:rsidP="00497A06">
      <w:pPr>
        <w:pStyle w:val="Notedebasdepage"/>
        <w:jc w:val="both"/>
        <w:rPr>
          <w:sz w:val="20"/>
          <w:szCs w:val="20"/>
        </w:rPr>
      </w:pPr>
      <w:r w:rsidRPr="00497A06">
        <w:rPr>
          <w:rStyle w:val="Marquenotebasdepage"/>
          <w:sz w:val="20"/>
          <w:szCs w:val="20"/>
        </w:rPr>
        <w:footnoteRef/>
      </w:r>
      <w:r w:rsidR="000405BE" w:rsidRPr="00497A06">
        <w:rPr>
          <w:sz w:val="20"/>
          <w:szCs w:val="20"/>
        </w:rPr>
        <w:t xml:space="preserve"> CCPR/C/ISR/CO/4 (2014), </w:t>
      </w:r>
      <w:r w:rsidR="00601063" w:rsidRPr="00497A06">
        <w:rPr>
          <w:sz w:val="20"/>
          <w:szCs w:val="20"/>
        </w:rPr>
        <w:t xml:space="preserve">at </w:t>
      </w:r>
      <w:r w:rsidR="000405BE" w:rsidRPr="00497A06">
        <w:rPr>
          <w:sz w:val="20"/>
          <w:szCs w:val="20"/>
        </w:rPr>
        <w:t>par</w:t>
      </w:r>
      <w:r w:rsidR="00601063" w:rsidRPr="00497A06">
        <w:rPr>
          <w:sz w:val="20"/>
          <w:szCs w:val="20"/>
        </w:rPr>
        <w:t>a</w:t>
      </w:r>
      <w:r w:rsidR="000405BE" w:rsidRPr="00497A06">
        <w:rPr>
          <w:sz w:val="20"/>
          <w:szCs w:val="20"/>
        </w:rPr>
        <w:t xml:space="preserve"> 12.</w:t>
      </w:r>
    </w:p>
  </w:footnote>
  <w:footnote w:id="3">
    <w:p w14:paraId="739A928B" w14:textId="4758DC05" w:rsidR="00ED47B6" w:rsidRPr="00497A06" w:rsidRDefault="00ED47B6" w:rsidP="00497A06">
      <w:pPr>
        <w:pStyle w:val="Notedebasdepage"/>
        <w:jc w:val="both"/>
        <w:rPr>
          <w:sz w:val="20"/>
          <w:szCs w:val="20"/>
        </w:rPr>
      </w:pPr>
      <w:r w:rsidRPr="00497A06">
        <w:rPr>
          <w:rStyle w:val="Marquenotebasdepage"/>
          <w:sz w:val="20"/>
          <w:szCs w:val="20"/>
        </w:rPr>
        <w:footnoteRef/>
      </w:r>
      <w:r w:rsidR="008E739B" w:rsidRPr="00497A06">
        <w:rPr>
          <w:sz w:val="20"/>
          <w:szCs w:val="20"/>
        </w:rPr>
        <w:t xml:space="preserve"> CCPR/CO/72/PRK (2001), at para 12.</w:t>
      </w:r>
    </w:p>
  </w:footnote>
  <w:footnote w:id="4">
    <w:p w14:paraId="0BF4D663" w14:textId="7E8653E8" w:rsidR="00ED47B6" w:rsidRPr="00497A06" w:rsidRDefault="00ED47B6" w:rsidP="00497A06">
      <w:pPr>
        <w:pStyle w:val="Notedebasdepage"/>
        <w:jc w:val="both"/>
        <w:rPr>
          <w:sz w:val="20"/>
          <w:szCs w:val="20"/>
        </w:rPr>
      </w:pPr>
      <w:r w:rsidRPr="00497A06">
        <w:rPr>
          <w:rStyle w:val="Marquenotebasdepage"/>
          <w:sz w:val="20"/>
          <w:szCs w:val="20"/>
        </w:rPr>
        <w:footnoteRef/>
      </w:r>
      <w:r w:rsidRPr="00497A06">
        <w:rPr>
          <w:sz w:val="20"/>
          <w:szCs w:val="20"/>
        </w:rPr>
        <w:t xml:space="preserve"> </w:t>
      </w:r>
      <w:r w:rsidRPr="00497A06">
        <w:rPr>
          <w:sz w:val="20"/>
          <w:szCs w:val="20"/>
          <w:lang w:val="en-GB"/>
        </w:rPr>
        <w:t>CCPR/C/ISR/CO/3 (2010)</w:t>
      </w:r>
      <w:r w:rsidR="00C03130" w:rsidRPr="00497A06">
        <w:rPr>
          <w:sz w:val="20"/>
          <w:szCs w:val="20"/>
          <w:lang w:val="en-GB"/>
        </w:rPr>
        <w:t>, at par 18</w:t>
      </w:r>
      <w:r w:rsidRPr="00497A06">
        <w:rPr>
          <w:sz w:val="20"/>
          <w:szCs w:val="20"/>
          <w:lang w:val="en-GB"/>
        </w:rPr>
        <w:t xml:space="preserve">; </w:t>
      </w:r>
      <w:r w:rsidRPr="00497A06">
        <w:rPr>
          <w:bCs/>
          <w:sz w:val="20"/>
          <w:szCs w:val="20"/>
        </w:rPr>
        <w:t>CCPR/C/ISR/CO/4 (2014)</w:t>
      </w:r>
      <w:r w:rsidR="009F1530" w:rsidRPr="00497A06">
        <w:rPr>
          <w:bCs/>
          <w:sz w:val="20"/>
          <w:szCs w:val="20"/>
        </w:rPr>
        <w:t>, at para 12</w:t>
      </w:r>
      <w:r w:rsidRPr="00497A06">
        <w:rPr>
          <w:bCs/>
          <w:sz w:val="20"/>
          <w:szCs w:val="20"/>
        </w:rPr>
        <w:t>.</w:t>
      </w:r>
    </w:p>
  </w:footnote>
  <w:footnote w:id="5">
    <w:p w14:paraId="2BF37C3E" w14:textId="6851715A" w:rsidR="00037B3B" w:rsidRPr="00497A06" w:rsidRDefault="00037B3B" w:rsidP="00497A06">
      <w:pPr>
        <w:pStyle w:val="Notedebasdepage"/>
        <w:jc w:val="both"/>
        <w:rPr>
          <w:sz w:val="20"/>
          <w:szCs w:val="20"/>
        </w:rPr>
      </w:pPr>
      <w:r w:rsidRPr="00497A06">
        <w:rPr>
          <w:rStyle w:val="Marquenotebasdepage"/>
          <w:sz w:val="20"/>
          <w:szCs w:val="20"/>
        </w:rPr>
        <w:footnoteRef/>
      </w:r>
      <w:r w:rsidRPr="00497A06">
        <w:rPr>
          <w:sz w:val="20"/>
          <w:szCs w:val="20"/>
        </w:rPr>
        <w:t xml:space="preserve"> </w:t>
      </w:r>
      <w:r w:rsidRPr="00497A06">
        <w:rPr>
          <w:sz w:val="20"/>
          <w:szCs w:val="20"/>
          <w:lang w:val="en-GB"/>
        </w:rPr>
        <w:t>See,</w:t>
      </w:r>
      <w:r w:rsidRPr="00497A06">
        <w:rPr>
          <w:i/>
          <w:sz w:val="20"/>
          <w:szCs w:val="20"/>
          <w:lang w:val="en-GB"/>
        </w:rPr>
        <w:t xml:space="preserve"> </w:t>
      </w:r>
      <w:r w:rsidRPr="00497A06">
        <w:rPr>
          <w:i/>
          <w:sz w:val="20"/>
          <w:szCs w:val="20"/>
        </w:rPr>
        <w:t>Liliana Assenova Naidenova et al. v. Bulgaria</w:t>
      </w:r>
      <w:r w:rsidRPr="00497A06">
        <w:rPr>
          <w:sz w:val="20"/>
          <w:szCs w:val="20"/>
        </w:rPr>
        <w:t>, C</w:t>
      </w:r>
      <w:r w:rsidRPr="00497A06">
        <w:rPr>
          <w:bCs/>
          <w:sz w:val="20"/>
          <w:szCs w:val="20"/>
        </w:rPr>
        <w:t>omm No. 2073/2011 (2011)</w:t>
      </w:r>
      <w:r w:rsidR="00A2011E" w:rsidRPr="00497A06">
        <w:rPr>
          <w:bCs/>
          <w:sz w:val="20"/>
          <w:szCs w:val="20"/>
        </w:rPr>
        <w:t>, at paras 10-11</w:t>
      </w:r>
      <w:r w:rsidRPr="00497A06">
        <w:rPr>
          <w:rStyle w:val="lev"/>
          <w:sz w:val="20"/>
          <w:szCs w:val="20"/>
        </w:rPr>
        <w:t>.</w:t>
      </w:r>
    </w:p>
  </w:footnote>
  <w:footnote w:id="6">
    <w:p w14:paraId="16AD7F18" w14:textId="5D134BAB" w:rsidR="00B70D87" w:rsidRPr="00497A06" w:rsidRDefault="00B70D87" w:rsidP="00497A06">
      <w:pPr>
        <w:pStyle w:val="Notedebasdepage"/>
        <w:jc w:val="both"/>
        <w:rPr>
          <w:sz w:val="20"/>
          <w:szCs w:val="20"/>
        </w:rPr>
      </w:pPr>
      <w:r w:rsidRPr="00497A06">
        <w:rPr>
          <w:rStyle w:val="Marquenotebasdepage"/>
          <w:sz w:val="20"/>
          <w:szCs w:val="20"/>
        </w:rPr>
        <w:footnoteRef/>
      </w:r>
      <w:r w:rsidRPr="00497A06">
        <w:rPr>
          <w:sz w:val="20"/>
          <w:szCs w:val="20"/>
        </w:rPr>
        <w:t xml:space="preserve"> Report of the first UN Special Rapporteur on the right to food, </w:t>
      </w:r>
      <w:r w:rsidR="003F435F" w:rsidRPr="00497A06">
        <w:rPr>
          <w:sz w:val="20"/>
          <w:szCs w:val="20"/>
        </w:rPr>
        <w:t>E/CN.4/2001/53</w:t>
      </w:r>
      <w:r w:rsidR="009E726A" w:rsidRPr="00497A06">
        <w:rPr>
          <w:sz w:val="20"/>
          <w:szCs w:val="20"/>
        </w:rPr>
        <w:t xml:space="preserve"> (2001</w:t>
      </w:r>
      <w:r w:rsidR="00DE1CCC" w:rsidRPr="00497A06">
        <w:rPr>
          <w:sz w:val="20"/>
          <w:szCs w:val="20"/>
        </w:rPr>
        <w:t>)</w:t>
      </w:r>
      <w:r w:rsidR="003F435F" w:rsidRPr="00497A06">
        <w:rPr>
          <w:sz w:val="20"/>
          <w:szCs w:val="20"/>
        </w:rPr>
        <w:t>, at paras 32-34.</w:t>
      </w:r>
    </w:p>
  </w:footnote>
  <w:footnote w:id="7">
    <w:p w14:paraId="68093F60" w14:textId="55F2DC98" w:rsidR="0052672E" w:rsidRPr="00497A06" w:rsidRDefault="0052672E" w:rsidP="00497A06">
      <w:pPr>
        <w:pStyle w:val="Notedebasdepage"/>
        <w:jc w:val="both"/>
        <w:rPr>
          <w:sz w:val="20"/>
          <w:szCs w:val="20"/>
        </w:rPr>
      </w:pPr>
      <w:r w:rsidRPr="00497A06">
        <w:rPr>
          <w:rStyle w:val="Marquenotebasdepage"/>
          <w:sz w:val="20"/>
          <w:szCs w:val="20"/>
        </w:rPr>
        <w:footnoteRef/>
      </w:r>
      <w:r w:rsidRPr="00497A06">
        <w:rPr>
          <w:sz w:val="20"/>
          <w:szCs w:val="20"/>
        </w:rPr>
        <w:t xml:space="preserve"> See, Supreme Court of India, </w:t>
      </w:r>
      <w:r w:rsidRPr="00497A06">
        <w:rPr>
          <w:i/>
          <w:sz w:val="20"/>
          <w:szCs w:val="20"/>
        </w:rPr>
        <w:t>Olga Tellis v Bombay Municipal Corporation</w:t>
      </w:r>
      <w:r w:rsidR="0013730C" w:rsidRPr="00497A06">
        <w:rPr>
          <w:sz w:val="20"/>
          <w:szCs w:val="20"/>
        </w:rPr>
        <w:t xml:space="preserve"> (</w:t>
      </w:r>
      <w:r w:rsidRPr="00497A06">
        <w:rPr>
          <w:sz w:val="20"/>
          <w:szCs w:val="20"/>
        </w:rPr>
        <w:t>1986</w:t>
      </w:r>
      <w:r w:rsidR="0013730C" w:rsidRPr="00497A06">
        <w:rPr>
          <w:sz w:val="20"/>
          <w:szCs w:val="20"/>
        </w:rPr>
        <w:t>)</w:t>
      </w:r>
      <w:r w:rsidRPr="00497A06">
        <w:rPr>
          <w:sz w:val="20"/>
          <w:szCs w:val="20"/>
        </w:rPr>
        <w:t xml:space="preserve">; </w:t>
      </w:r>
      <w:r w:rsidRPr="00497A06">
        <w:rPr>
          <w:i/>
          <w:sz w:val="20"/>
          <w:szCs w:val="20"/>
        </w:rPr>
        <w:t>State of Karnataka v Appa Balu Ingale</w:t>
      </w:r>
      <w:r w:rsidR="0013730C" w:rsidRPr="00497A06">
        <w:rPr>
          <w:sz w:val="20"/>
          <w:szCs w:val="20"/>
        </w:rPr>
        <w:t>, (1993)</w:t>
      </w:r>
      <w:r w:rsidRPr="00497A06">
        <w:rPr>
          <w:sz w:val="20"/>
          <w:szCs w:val="20"/>
        </w:rPr>
        <w:t xml:space="preserve">; </w:t>
      </w:r>
      <w:r w:rsidRPr="00497A06">
        <w:rPr>
          <w:i/>
          <w:sz w:val="20"/>
          <w:szCs w:val="20"/>
        </w:rPr>
        <w:t>S. Jagannath v Union of India</w:t>
      </w:r>
      <w:r w:rsidR="0013730C" w:rsidRPr="00497A06">
        <w:rPr>
          <w:sz w:val="20"/>
          <w:szCs w:val="20"/>
        </w:rPr>
        <w:t>, (1996)</w:t>
      </w:r>
      <w:r w:rsidRPr="00497A06">
        <w:rPr>
          <w:sz w:val="20"/>
          <w:szCs w:val="20"/>
        </w:rPr>
        <w:t xml:space="preserve">; </w:t>
      </w:r>
      <w:r w:rsidRPr="00497A06">
        <w:rPr>
          <w:i/>
          <w:sz w:val="20"/>
          <w:szCs w:val="20"/>
        </w:rPr>
        <w:t>Samantha v State of Andhra Pradesh</w:t>
      </w:r>
      <w:r w:rsidR="0013730C" w:rsidRPr="00497A06">
        <w:rPr>
          <w:sz w:val="20"/>
          <w:szCs w:val="20"/>
        </w:rPr>
        <w:t xml:space="preserve"> (</w:t>
      </w:r>
      <w:r w:rsidRPr="00497A06">
        <w:rPr>
          <w:sz w:val="20"/>
          <w:szCs w:val="20"/>
        </w:rPr>
        <w:t>1997</w:t>
      </w:r>
      <w:r w:rsidR="0013730C" w:rsidRPr="00497A06">
        <w:rPr>
          <w:sz w:val="20"/>
          <w:szCs w:val="20"/>
        </w:rPr>
        <w:t>)</w:t>
      </w:r>
      <w:r w:rsidRPr="00497A06">
        <w:rPr>
          <w:sz w:val="20"/>
          <w:szCs w:val="20"/>
        </w:rPr>
        <w:t xml:space="preserve">; </w:t>
      </w:r>
      <w:r w:rsidRPr="00497A06">
        <w:rPr>
          <w:i/>
          <w:sz w:val="20"/>
          <w:szCs w:val="20"/>
        </w:rPr>
        <w:t>People’s Union for Civil Liberties</w:t>
      </w:r>
      <w:r w:rsidR="002604DD" w:rsidRPr="00497A06">
        <w:rPr>
          <w:i/>
          <w:sz w:val="20"/>
          <w:szCs w:val="20"/>
        </w:rPr>
        <w:t xml:space="preserve"> v Union of India and Ors</w:t>
      </w:r>
      <w:r w:rsidR="002604DD" w:rsidRPr="00497A06">
        <w:rPr>
          <w:sz w:val="20"/>
          <w:szCs w:val="20"/>
        </w:rPr>
        <w:t xml:space="preserve"> </w:t>
      </w:r>
      <w:r w:rsidR="0013730C" w:rsidRPr="00497A06">
        <w:rPr>
          <w:sz w:val="20"/>
          <w:szCs w:val="20"/>
        </w:rPr>
        <w:t>(</w:t>
      </w:r>
      <w:r w:rsidR="002604DD" w:rsidRPr="00497A06">
        <w:rPr>
          <w:sz w:val="20"/>
          <w:szCs w:val="20"/>
        </w:rPr>
        <w:t>2001</w:t>
      </w:r>
      <w:r w:rsidR="0013730C" w:rsidRPr="00497A06">
        <w:rPr>
          <w:sz w:val="20"/>
          <w:szCs w:val="20"/>
        </w:rPr>
        <w:t>)</w:t>
      </w:r>
      <w:r w:rsidRPr="00497A06">
        <w:rPr>
          <w:sz w:val="20"/>
          <w:szCs w:val="20"/>
        </w:rPr>
        <w:t xml:space="preserve">. </w:t>
      </w:r>
    </w:p>
  </w:footnote>
  <w:footnote w:id="8">
    <w:p w14:paraId="70A8E449" w14:textId="41DB5162" w:rsidR="00497A06" w:rsidRPr="00497A06" w:rsidRDefault="00497A06" w:rsidP="00497A06">
      <w:pPr>
        <w:pStyle w:val="Notedebasdepage"/>
        <w:jc w:val="both"/>
        <w:rPr>
          <w:sz w:val="20"/>
          <w:szCs w:val="20"/>
          <w:lang w:val="fr-FR"/>
        </w:rPr>
      </w:pPr>
      <w:r w:rsidRPr="00497A06">
        <w:rPr>
          <w:rStyle w:val="Marquenotebasdepage"/>
          <w:sz w:val="20"/>
          <w:szCs w:val="20"/>
        </w:rPr>
        <w:footnoteRef/>
      </w:r>
      <w:r w:rsidRPr="00497A06">
        <w:rPr>
          <w:sz w:val="20"/>
          <w:szCs w:val="20"/>
        </w:rPr>
        <w:t xml:space="preserve"> </w:t>
      </w:r>
      <w:r w:rsidRPr="00497A06">
        <w:rPr>
          <w:sz w:val="20"/>
          <w:szCs w:val="20"/>
          <w:lang w:val="fr-FR"/>
        </w:rPr>
        <w:t xml:space="preserve">See, </w:t>
      </w:r>
      <w:r>
        <w:rPr>
          <w:sz w:val="20"/>
          <w:szCs w:val="20"/>
          <w:lang w:val="fr-FR"/>
        </w:rPr>
        <w:t>Lidija Knuth and Margret Vidar</w:t>
      </w:r>
      <w:r w:rsidRPr="00497A06">
        <w:rPr>
          <w:sz w:val="20"/>
          <w:szCs w:val="20"/>
          <w:lang w:val="fr-FR"/>
        </w:rPr>
        <w:t xml:space="preserve">, </w:t>
      </w:r>
      <w:r w:rsidRPr="00497A06">
        <w:rPr>
          <w:i/>
          <w:sz w:val="20"/>
          <w:szCs w:val="20"/>
          <w:lang w:val="fr-FR"/>
        </w:rPr>
        <w:t>Constitutional and Legal Protection of the Right to Food Around the World</w:t>
      </w:r>
      <w:r>
        <w:rPr>
          <w:sz w:val="20"/>
          <w:szCs w:val="20"/>
          <w:lang w:val="fr-FR"/>
        </w:rPr>
        <w:t>, Rome, FAO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F7B"/>
    <w:multiLevelType w:val="hybridMultilevel"/>
    <w:tmpl w:val="F33612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21044A5"/>
    <w:multiLevelType w:val="multilevel"/>
    <w:tmpl w:val="86E68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53"/>
    <w:rsid w:val="00037B3B"/>
    <w:rsid w:val="000405BE"/>
    <w:rsid w:val="00056D2B"/>
    <w:rsid w:val="00074F40"/>
    <w:rsid w:val="001216CD"/>
    <w:rsid w:val="001357AD"/>
    <w:rsid w:val="0013730C"/>
    <w:rsid w:val="001A5B89"/>
    <w:rsid w:val="002604DD"/>
    <w:rsid w:val="002A3985"/>
    <w:rsid w:val="002F2027"/>
    <w:rsid w:val="00310241"/>
    <w:rsid w:val="00375603"/>
    <w:rsid w:val="003F435F"/>
    <w:rsid w:val="00412F69"/>
    <w:rsid w:val="00413F09"/>
    <w:rsid w:val="0048256B"/>
    <w:rsid w:val="00497A06"/>
    <w:rsid w:val="004C2343"/>
    <w:rsid w:val="004E4524"/>
    <w:rsid w:val="0052672E"/>
    <w:rsid w:val="00585E48"/>
    <w:rsid w:val="00594574"/>
    <w:rsid w:val="005E3C6A"/>
    <w:rsid w:val="00601063"/>
    <w:rsid w:val="00635178"/>
    <w:rsid w:val="00651734"/>
    <w:rsid w:val="006576BC"/>
    <w:rsid w:val="00683A15"/>
    <w:rsid w:val="00685707"/>
    <w:rsid w:val="006B28B8"/>
    <w:rsid w:val="007433C5"/>
    <w:rsid w:val="00835C7A"/>
    <w:rsid w:val="0086399D"/>
    <w:rsid w:val="00872E53"/>
    <w:rsid w:val="008C726F"/>
    <w:rsid w:val="008D0C6A"/>
    <w:rsid w:val="008E19CF"/>
    <w:rsid w:val="008E440F"/>
    <w:rsid w:val="008E739B"/>
    <w:rsid w:val="00970EF2"/>
    <w:rsid w:val="00981FE1"/>
    <w:rsid w:val="009E726A"/>
    <w:rsid w:val="009F1530"/>
    <w:rsid w:val="00A2011E"/>
    <w:rsid w:val="00A45C3C"/>
    <w:rsid w:val="00A92552"/>
    <w:rsid w:val="00AD274D"/>
    <w:rsid w:val="00AF3097"/>
    <w:rsid w:val="00B175AC"/>
    <w:rsid w:val="00B70D87"/>
    <w:rsid w:val="00B812CE"/>
    <w:rsid w:val="00BA0480"/>
    <w:rsid w:val="00BB283E"/>
    <w:rsid w:val="00BB7FF9"/>
    <w:rsid w:val="00BD0BCF"/>
    <w:rsid w:val="00BF4AC2"/>
    <w:rsid w:val="00C03130"/>
    <w:rsid w:val="00CE2786"/>
    <w:rsid w:val="00D06D1E"/>
    <w:rsid w:val="00D519A7"/>
    <w:rsid w:val="00D8363B"/>
    <w:rsid w:val="00DB057F"/>
    <w:rsid w:val="00DB6A89"/>
    <w:rsid w:val="00DD745A"/>
    <w:rsid w:val="00DE1CCC"/>
    <w:rsid w:val="00E17F70"/>
    <w:rsid w:val="00E50FA6"/>
    <w:rsid w:val="00E6673C"/>
    <w:rsid w:val="00ED47B6"/>
    <w:rsid w:val="00ED5030"/>
    <w:rsid w:val="00F203C6"/>
    <w:rsid w:val="00FD207B"/>
    <w:rsid w:val="00FD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E5C9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autoRedefine/>
    <w:uiPriority w:val="9"/>
    <w:unhideWhenUsed/>
    <w:qFormat/>
    <w:rsid w:val="00FD207B"/>
    <w:pPr>
      <w:keepNext/>
      <w:keepLines/>
      <w:spacing w:before="200"/>
      <w:outlineLvl w:val="4"/>
    </w:pPr>
    <w:rPr>
      <w:rFonts w:asciiTheme="majorHAnsi" w:eastAsiaTheme="majorEastAsia" w:hAnsiTheme="majorHAnsi" w:cstheme="majorBidi"/>
      <w:b/>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FD207B"/>
    <w:rPr>
      <w:rFonts w:asciiTheme="majorHAnsi" w:eastAsiaTheme="majorEastAsia" w:hAnsiTheme="majorHAnsi" w:cstheme="majorBidi"/>
      <w:b/>
      <w:color w:val="243F60" w:themeColor="accent1" w:themeShade="7F"/>
    </w:rPr>
  </w:style>
  <w:style w:type="paragraph" w:styleId="NormalWeb">
    <w:name w:val="Normal (Web)"/>
    <w:basedOn w:val="Normal"/>
    <w:uiPriority w:val="99"/>
    <w:unhideWhenUsed/>
    <w:rsid w:val="00872E53"/>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835C7A"/>
    <w:pPr>
      <w:ind w:left="720"/>
      <w:contextualSpacing/>
    </w:pPr>
  </w:style>
  <w:style w:type="paragraph" w:styleId="Pieddepage">
    <w:name w:val="footer"/>
    <w:basedOn w:val="Normal"/>
    <w:link w:val="PieddepageCar"/>
    <w:uiPriority w:val="99"/>
    <w:unhideWhenUsed/>
    <w:rsid w:val="006B28B8"/>
    <w:pPr>
      <w:tabs>
        <w:tab w:val="center" w:pos="4703"/>
        <w:tab w:val="right" w:pos="9406"/>
      </w:tabs>
    </w:pPr>
  </w:style>
  <w:style w:type="character" w:customStyle="1" w:styleId="PieddepageCar">
    <w:name w:val="Pied de page Car"/>
    <w:basedOn w:val="Policepardfaut"/>
    <w:link w:val="Pieddepage"/>
    <w:uiPriority w:val="99"/>
    <w:rsid w:val="006B28B8"/>
  </w:style>
  <w:style w:type="character" w:styleId="Numrodepage">
    <w:name w:val="page number"/>
    <w:basedOn w:val="Policepardfaut"/>
    <w:uiPriority w:val="99"/>
    <w:semiHidden/>
    <w:unhideWhenUsed/>
    <w:rsid w:val="006B28B8"/>
  </w:style>
  <w:style w:type="paragraph" w:styleId="Notedebasdepage">
    <w:name w:val="footnote text"/>
    <w:aliases w:val="Footnote Text Char Char Char,Footnote Text Char Char Char Char Char Char Char Char,Footnote Text Char Char Ch Char,Footnote Text Char Char Ch Char Char Char Char,Footnote Text Char Char Char Ch,Footnote Text Char1,FA Fu"/>
    <w:basedOn w:val="Normal"/>
    <w:link w:val="NotedebasdepageCar"/>
    <w:uiPriority w:val="99"/>
    <w:unhideWhenUsed/>
    <w:rsid w:val="00074F40"/>
  </w:style>
  <w:style w:type="character" w:customStyle="1" w:styleId="NotedebasdepageCar">
    <w:name w:val="Note de bas de page Car"/>
    <w:aliases w:val="Footnote Text Char Char Char Car,Footnote Text Char Char Char Char Char Char Char Char Car,Footnote Text Char Char Ch Char Car,Footnote Text Char Char Ch Char Char Char Char Car,Footnote Text Char Char Char Ch Car,FA Fu Car"/>
    <w:basedOn w:val="Policepardfaut"/>
    <w:link w:val="Notedebasdepage"/>
    <w:uiPriority w:val="99"/>
    <w:rsid w:val="00074F40"/>
  </w:style>
  <w:style w:type="character" w:styleId="Marquenotebasdepage">
    <w:name w:val="footnote reference"/>
    <w:aliases w:val="Footnotes refss,ftref,Fago Fußnotenzeichen,Ref,de nota al pie,fr,oc-footreference,oc-footnoteref,oc-footreference1,oc-footnoteref1,(Diplomarbeit FZ),-E Fußnotenzeichen,(Diplomarbeit FZ)1,(Dipl...,(Diplomarbeit FZ)2"/>
    <w:basedOn w:val="Policepardfaut"/>
    <w:link w:val="BVIfnr"/>
    <w:uiPriority w:val="99"/>
    <w:unhideWhenUsed/>
    <w:rsid w:val="00074F40"/>
    <w:rPr>
      <w:vertAlign w:val="superscript"/>
    </w:rPr>
  </w:style>
  <w:style w:type="character" w:styleId="lev">
    <w:name w:val="Strong"/>
    <w:basedOn w:val="Policepardfaut"/>
    <w:uiPriority w:val="99"/>
    <w:qFormat/>
    <w:rsid w:val="00ED47B6"/>
    <w:rPr>
      <w:rFonts w:cs="Times New Roman"/>
      <w:b/>
      <w:bC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callout,BVI fnr"/>
    <w:basedOn w:val="Normal"/>
    <w:link w:val="Marquenotebasdepage"/>
    <w:uiPriority w:val="99"/>
    <w:rsid w:val="00ED47B6"/>
    <w:pPr>
      <w:spacing w:after="160" w:line="240" w:lineRule="exact"/>
    </w:pPr>
    <w:rPr>
      <w:vertAlign w:val="superscript"/>
    </w:rPr>
  </w:style>
  <w:style w:type="paragraph" w:styleId="Textedebulles">
    <w:name w:val="Balloon Text"/>
    <w:basedOn w:val="Normal"/>
    <w:link w:val="TextedebullesCar"/>
    <w:uiPriority w:val="99"/>
    <w:semiHidden/>
    <w:unhideWhenUsed/>
    <w:rsid w:val="001A5B89"/>
    <w:rPr>
      <w:rFonts w:ascii="Tahoma" w:hAnsi="Tahoma" w:cs="Tahoma"/>
      <w:sz w:val="16"/>
      <w:szCs w:val="16"/>
    </w:rPr>
  </w:style>
  <w:style w:type="character" w:customStyle="1" w:styleId="TextedebullesCar">
    <w:name w:val="Texte de bulles Car"/>
    <w:basedOn w:val="Policepardfaut"/>
    <w:link w:val="Textedebulles"/>
    <w:uiPriority w:val="99"/>
    <w:semiHidden/>
    <w:rsid w:val="001A5B8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autoRedefine/>
    <w:uiPriority w:val="9"/>
    <w:unhideWhenUsed/>
    <w:qFormat/>
    <w:rsid w:val="00FD207B"/>
    <w:pPr>
      <w:keepNext/>
      <w:keepLines/>
      <w:spacing w:before="200"/>
      <w:outlineLvl w:val="4"/>
    </w:pPr>
    <w:rPr>
      <w:rFonts w:asciiTheme="majorHAnsi" w:eastAsiaTheme="majorEastAsia" w:hAnsiTheme="majorHAnsi" w:cstheme="majorBidi"/>
      <w:b/>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FD207B"/>
    <w:rPr>
      <w:rFonts w:asciiTheme="majorHAnsi" w:eastAsiaTheme="majorEastAsia" w:hAnsiTheme="majorHAnsi" w:cstheme="majorBidi"/>
      <w:b/>
      <w:color w:val="243F60" w:themeColor="accent1" w:themeShade="7F"/>
    </w:rPr>
  </w:style>
  <w:style w:type="paragraph" w:styleId="NormalWeb">
    <w:name w:val="Normal (Web)"/>
    <w:basedOn w:val="Normal"/>
    <w:uiPriority w:val="99"/>
    <w:unhideWhenUsed/>
    <w:rsid w:val="00872E53"/>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835C7A"/>
    <w:pPr>
      <w:ind w:left="720"/>
      <w:contextualSpacing/>
    </w:pPr>
  </w:style>
  <w:style w:type="paragraph" w:styleId="Pieddepage">
    <w:name w:val="footer"/>
    <w:basedOn w:val="Normal"/>
    <w:link w:val="PieddepageCar"/>
    <w:uiPriority w:val="99"/>
    <w:unhideWhenUsed/>
    <w:rsid w:val="006B28B8"/>
    <w:pPr>
      <w:tabs>
        <w:tab w:val="center" w:pos="4703"/>
        <w:tab w:val="right" w:pos="9406"/>
      </w:tabs>
    </w:pPr>
  </w:style>
  <w:style w:type="character" w:customStyle="1" w:styleId="PieddepageCar">
    <w:name w:val="Pied de page Car"/>
    <w:basedOn w:val="Policepardfaut"/>
    <w:link w:val="Pieddepage"/>
    <w:uiPriority w:val="99"/>
    <w:rsid w:val="006B28B8"/>
  </w:style>
  <w:style w:type="character" w:styleId="Numrodepage">
    <w:name w:val="page number"/>
    <w:basedOn w:val="Policepardfaut"/>
    <w:uiPriority w:val="99"/>
    <w:semiHidden/>
    <w:unhideWhenUsed/>
    <w:rsid w:val="006B28B8"/>
  </w:style>
  <w:style w:type="paragraph" w:styleId="Notedebasdepage">
    <w:name w:val="footnote text"/>
    <w:aliases w:val="Footnote Text Char Char Char,Footnote Text Char Char Char Char Char Char Char Char,Footnote Text Char Char Ch Char,Footnote Text Char Char Ch Char Char Char Char,Footnote Text Char Char Char Ch,Footnote Text Char1,FA Fu"/>
    <w:basedOn w:val="Normal"/>
    <w:link w:val="NotedebasdepageCar"/>
    <w:uiPriority w:val="99"/>
    <w:unhideWhenUsed/>
    <w:rsid w:val="00074F40"/>
  </w:style>
  <w:style w:type="character" w:customStyle="1" w:styleId="NotedebasdepageCar">
    <w:name w:val="Note de bas de page Car"/>
    <w:aliases w:val="Footnote Text Char Char Char Car,Footnote Text Char Char Char Char Char Char Char Char Car,Footnote Text Char Char Ch Char Car,Footnote Text Char Char Ch Char Char Char Char Car,Footnote Text Char Char Char Ch Car,FA Fu Car"/>
    <w:basedOn w:val="Policepardfaut"/>
    <w:link w:val="Notedebasdepage"/>
    <w:uiPriority w:val="99"/>
    <w:rsid w:val="00074F40"/>
  </w:style>
  <w:style w:type="character" w:styleId="Marquenotebasdepage">
    <w:name w:val="footnote reference"/>
    <w:aliases w:val="Footnotes refss,ftref,Fago Fußnotenzeichen,Ref,de nota al pie,fr,oc-footreference,oc-footnoteref,oc-footreference1,oc-footnoteref1,(Diplomarbeit FZ),-E Fußnotenzeichen,(Diplomarbeit FZ)1,(Dipl...,(Diplomarbeit FZ)2"/>
    <w:basedOn w:val="Policepardfaut"/>
    <w:link w:val="BVIfnr"/>
    <w:uiPriority w:val="99"/>
    <w:unhideWhenUsed/>
    <w:rsid w:val="00074F40"/>
    <w:rPr>
      <w:vertAlign w:val="superscript"/>
    </w:rPr>
  </w:style>
  <w:style w:type="character" w:styleId="lev">
    <w:name w:val="Strong"/>
    <w:basedOn w:val="Policepardfaut"/>
    <w:uiPriority w:val="99"/>
    <w:qFormat/>
    <w:rsid w:val="00ED47B6"/>
    <w:rPr>
      <w:rFonts w:cs="Times New Roman"/>
      <w:b/>
      <w:bC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callout,BVI fnr"/>
    <w:basedOn w:val="Normal"/>
    <w:link w:val="Marquenotebasdepage"/>
    <w:uiPriority w:val="99"/>
    <w:rsid w:val="00ED47B6"/>
    <w:pPr>
      <w:spacing w:after="160" w:line="240" w:lineRule="exact"/>
    </w:pPr>
    <w:rPr>
      <w:vertAlign w:val="superscript"/>
    </w:rPr>
  </w:style>
  <w:style w:type="paragraph" w:styleId="Textedebulles">
    <w:name w:val="Balloon Text"/>
    <w:basedOn w:val="Normal"/>
    <w:link w:val="TextedebullesCar"/>
    <w:uiPriority w:val="99"/>
    <w:semiHidden/>
    <w:unhideWhenUsed/>
    <w:rsid w:val="001A5B89"/>
    <w:rPr>
      <w:rFonts w:ascii="Tahoma" w:hAnsi="Tahoma" w:cs="Tahoma"/>
      <w:sz w:val="16"/>
      <w:szCs w:val="16"/>
    </w:rPr>
  </w:style>
  <w:style w:type="character" w:customStyle="1" w:styleId="TextedebullesCar">
    <w:name w:val="Texte de bulles Car"/>
    <w:basedOn w:val="Policepardfaut"/>
    <w:link w:val="Textedebulles"/>
    <w:uiPriority w:val="99"/>
    <w:semiHidden/>
    <w:rsid w:val="001A5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9347">
      <w:bodyDiv w:val="1"/>
      <w:marLeft w:val="0"/>
      <w:marRight w:val="0"/>
      <w:marTop w:val="0"/>
      <w:marBottom w:val="0"/>
      <w:divBdr>
        <w:top w:val="none" w:sz="0" w:space="0" w:color="auto"/>
        <w:left w:val="none" w:sz="0" w:space="0" w:color="auto"/>
        <w:bottom w:val="none" w:sz="0" w:space="0" w:color="auto"/>
        <w:right w:val="none" w:sz="0" w:space="0" w:color="auto"/>
      </w:divBdr>
      <w:divsChild>
        <w:div w:id="1825388872">
          <w:marLeft w:val="0"/>
          <w:marRight w:val="0"/>
          <w:marTop w:val="0"/>
          <w:marBottom w:val="0"/>
          <w:divBdr>
            <w:top w:val="none" w:sz="0" w:space="0" w:color="auto"/>
            <w:left w:val="none" w:sz="0" w:space="0" w:color="auto"/>
            <w:bottom w:val="none" w:sz="0" w:space="0" w:color="auto"/>
            <w:right w:val="none" w:sz="0" w:space="0" w:color="auto"/>
          </w:divBdr>
          <w:divsChild>
            <w:div w:id="711272157">
              <w:marLeft w:val="0"/>
              <w:marRight w:val="0"/>
              <w:marTop w:val="0"/>
              <w:marBottom w:val="0"/>
              <w:divBdr>
                <w:top w:val="none" w:sz="0" w:space="0" w:color="auto"/>
                <w:left w:val="none" w:sz="0" w:space="0" w:color="auto"/>
                <w:bottom w:val="none" w:sz="0" w:space="0" w:color="auto"/>
                <w:right w:val="none" w:sz="0" w:space="0" w:color="auto"/>
              </w:divBdr>
              <w:divsChild>
                <w:div w:id="3935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7040">
      <w:bodyDiv w:val="1"/>
      <w:marLeft w:val="0"/>
      <w:marRight w:val="0"/>
      <w:marTop w:val="0"/>
      <w:marBottom w:val="0"/>
      <w:divBdr>
        <w:top w:val="none" w:sz="0" w:space="0" w:color="auto"/>
        <w:left w:val="none" w:sz="0" w:space="0" w:color="auto"/>
        <w:bottom w:val="none" w:sz="0" w:space="0" w:color="auto"/>
        <w:right w:val="none" w:sz="0" w:space="0" w:color="auto"/>
      </w:divBdr>
      <w:divsChild>
        <w:div w:id="1607690942">
          <w:marLeft w:val="0"/>
          <w:marRight w:val="0"/>
          <w:marTop w:val="0"/>
          <w:marBottom w:val="0"/>
          <w:divBdr>
            <w:top w:val="none" w:sz="0" w:space="0" w:color="auto"/>
            <w:left w:val="none" w:sz="0" w:space="0" w:color="auto"/>
            <w:bottom w:val="none" w:sz="0" w:space="0" w:color="auto"/>
            <w:right w:val="none" w:sz="0" w:space="0" w:color="auto"/>
          </w:divBdr>
          <w:divsChild>
            <w:div w:id="1347293037">
              <w:marLeft w:val="0"/>
              <w:marRight w:val="0"/>
              <w:marTop w:val="0"/>
              <w:marBottom w:val="0"/>
              <w:divBdr>
                <w:top w:val="none" w:sz="0" w:space="0" w:color="auto"/>
                <w:left w:val="none" w:sz="0" w:space="0" w:color="auto"/>
                <w:bottom w:val="none" w:sz="0" w:space="0" w:color="auto"/>
                <w:right w:val="none" w:sz="0" w:space="0" w:color="auto"/>
              </w:divBdr>
              <w:divsChild>
                <w:div w:id="803891319">
                  <w:marLeft w:val="0"/>
                  <w:marRight w:val="0"/>
                  <w:marTop w:val="0"/>
                  <w:marBottom w:val="0"/>
                  <w:divBdr>
                    <w:top w:val="none" w:sz="0" w:space="0" w:color="auto"/>
                    <w:left w:val="none" w:sz="0" w:space="0" w:color="auto"/>
                    <w:bottom w:val="none" w:sz="0" w:space="0" w:color="auto"/>
                    <w:right w:val="none" w:sz="0" w:space="0" w:color="auto"/>
                  </w:divBdr>
                  <w:divsChild>
                    <w:div w:id="4654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1219">
      <w:bodyDiv w:val="1"/>
      <w:marLeft w:val="0"/>
      <w:marRight w:val="0"/>
      <w:marTop w:val="0"/>
      <w:marBottom w:val="0"/>
      <w:divBdr>
        <w:top w:val="none" w:sz="0" w:space="0" w:color="auto"/>
        <w:left w:val="none" w:sz="0" w:space="0" w:color="auto"/>
        <w:bottom w:val="none" w:sz="0" w:space="0" w:color="auto"/>
        <w:right w:val="none" w:sz="0" w:space="0" w:color="auto"/>
      </w:divBdr>
      <w:divsChild>
        <w:div w:id="1494029211">
          <w:marLeft w:val="0"/>
          <w:marRight w:val="0"/>
          <w:marTop w:val="0"/>
          <w:marBottom w:val="0"/>
          <w:divBdr>
            <w:top w:val="none" w:sz="0" w:space="0" w:color="auto"/>
            <w:left w:val="none" w:sz="0" w:space="0" w:color="auto"/>
            <w:bottom w:val="none" w:sz="0" w:space="0" w:color="auto"/>
            <w:right w:val="none" w:sz="0" w:space="0" w:color="auto"/>
          </w:divBdr>
          <w:divsChild>
            <w:div w:id="624697485">
              <w:marLeft w:val="0"/>
              <w:marRight w:val="0"/>
              <w:marTop w:val="0"/>
              <w:marBottom w:val="0"/>
              <w:divBdr>
                <w:top w:val="none" w:sz="0" w:space="0" w:color="auto"/>
                <w:left w:val="none" w:sz="0" w:space="0" w:color="auto"/>
                <w:bottom w:val="none" w:sz="0" w:space="0" w:color="auto"/>
                <w:right w:val="none" w:sz="0" w:space="0" w:color="auto"/>
              </w:divBdr>
              <w:divsChild>
                <w:div w:id="9301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875242-7761-004A-A25E-6063992C21CE}"/>
</file>

<file path=customXml/itemProps2.xml><?xml version="1.0" encoding="utf-8"?>
<ds:datastoreItem xmlns:ds="http://schemas.openxmlformats.org/officeDocument/2006/customXml" ds:itemID="{03FACE03-F2D0-4A9A-889D-B5A0B0E9E128}"/>
</file>

<file path=customXml/itemProps3.xml><?xml version="1.0" encoding="utf-8"?>
<ds:datastoreItem xmlns:ds="http://schemas.openxmlformats.org/officeDocument/2006/customXml" ds:itemID="{B14E5AE6-0E3B-4DFD-AA71-13AA0C53461C}"/>
</file>

<file path=customXml/itemProps4.xml><?xml version="1.0" encoding="utf-8"?>
<ds:datastoreItem xmlns:ds="http://schemas.openxmlformats.org/officeDocument/2006/customXml" ds:itemID="{5D7349BC-53FB-4CA9-8786-2E3FC80881BB}"/>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3318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Jo</cp:lastModifiedBy>
  <cp:revision>3</cp:revision>
  <dcterms:created xsi:type="dcterms:W3CDTF">2015-06-26T06:45:00Z</dcterms:created>
  <dcterms:modified xsi:type="dcterms:W3CDTF">2015-06-26T06:46:00Z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