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D7729" w14:textId="77777777" w:rsidR="007B3CFF" w:rsidRPr="004F14D4" w:rsidRDefault="007B3CFF" w:rsidP="00E0761F">
      <w:pPr>
        <w:spacing w:line="360" w:lineRule="auto"/>
        <w:jc w:val="both"/>
      </w:pPr>
      <w:r w:rsidRPr="004F14D4">
        <w:rPr>
          <w:noProof/>
        </w:rPr>
        <w:drawing>
          <wp:anchor distT="0" distB="0" distL="114300" distR="114300" simplePos="0" relativeHeight="251659264" behindDoc="0" locked="0" layoutInCell="1" allowOverlap="1" wp14:anchorId="778BE6D9" wp14:editId="5D94CA40">
            <wp:simplePos x="0" y="0"/>
            <wp:positionH relativeFrom="column">
              <wp:posOffset>1600200</wp:posOffset>
            </wp:positionH>
            <wp:positionV relativeFrom="paragraph">
              <wp:posOffset>-457200</wp:posOffset>
            </wp:positionV>
            <wp:extent cx="2400300" cy="899795"/>
            <wp:effectExtent l="0" t="0" r="12700" b="0"/>
            <wp:wrapSquare wrapText="bothSides"/>
            <wp:docPr id="3" name="Picture 3" descr="http://content.delivra.com/etapcontent/InstituteforJusticeandDem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ntent.delivra.com/etapcontent/InstituteforJusticeandDemo/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14D4">
        <w:br w:type="textWrapping" w:clear="all"/>
      </w:r>
    </w:p>
    <w:p w14:paraId="3E49540A" w14:textId="77777777" w:rsidR="007B3CFF" w:rsidRPr="004F14D4" w:rsidRDefault="007B3CFF" w:rsidP="005A1E54">
      <w:pPr>
        <w:spacing w:after="200"/>
        <w:rPr>
          <w:rFonts w:eastAsia="Calibri" w:cs="Times New Roman"/>
        </w:rPr>
      </w:pPr>
      <w:r w:rsidRPr="004F14D4">
        <w:rPr>
          <w:rFonts w:eastAsia="Calibri" w:cs="Times New Roman"/>
        </w:rPr>
        <w:t>United Nations Human Rights Committee</w:t>
      </w:r>
      <w:r w:rsidRPr="004F14D4">
        <w:rPr>
          <w:rFonts w:eastAsia="Calibri" w:cs="Times New Roman"/>
        </w:rPr>
        <w:br/>
        <w:t xml:space="preserve">Office of the United Nations High Commissioner for Human Rights (OHCHR) </w:t>
      </w:r>
      <w:r w:rsidRPr="004F14D4">
        <w:rPr>
          <w:rFonts w:eastAsia="Calibri" w:cs="Times New Roman"/>
        </w:rPr>
        <w:br/>
      </w:r>
      <w:proofErr w:type="spellStart"/>
      <w:r w:rsidRPr="004F14D4">
        <w:rPr>
          <w:rFonts w:eastAsia="Calibri" w:cs="Times New Roman"/>
        </w:rPr>
        <w:t>Palais</w:t>
      </w:r>
      <w:proofErr w:type="spellEnd"/>
      <w:r w:rsidRPr="004F14D4">
        <w:rPr>
          <w:rFonts w:eastAsia="Calibri" w:cs="Times New Roman"/>
        </w:rPr>
        <w:t xml:space="preserve"> des Nations </w:t>
      </w:r>
      <w:r w:rsidRPr="004F14D4">
        <w:rPr>
          <w:rFonts w:eastAsia="Calibri" w:cs="Times New Roman"/>
        </w:rPr>
        <w:br/>
        <w:t>CH-1211 Geneva 10, Switzerland</w:t>
      </w:r>
    </w:p>
    <w:p w14:paraId="1E29CD24" w14:textId="77777777" w:rsidR="007B3CFF" w:rsidRPr="004F14D4" w:rsidRDefault="007B3CFF" w:rsidP="00E0761F">
      <w:pPr>
        <w:spacing w:line="360" w:lineRule="auto"/>
        <w:jc w:val="both"/>
        <w:rPr>
          <w:rFonts w:eastAsia="Times New Roman" w:cs="Arial"/>
          <w:color w:val="222222"/>
          <w:shd w:val="clear" w:color="auto" w:fill="FFFFFF"/>
          <w:lang w:val="en-AU"/>
        </w:rPr>
      </w:pPr>
    </w:p>
    <w:p w14:paraId="44AF98D2" w14:textId="77777777" w:rsidR="007B3CFF" w:rsidRPr="004F14D4" w:rsidRDefault="007B3CFF" w:rsidP="00E0761F">
      <w:pPr>
        <w:spacing w:line="360" w:lineRule="auto"/>
        <w:jc w:val="center"/>
        <w:rPr>
          <w:rFonts w:eastAsia="Times New Roman" w:cs="Times New Roman"/>
          <w:b/>
          <w:lang w:val="en-AU"/>
        </w:rPr>
      </w:pPr>
      <w:r w:rsidRPr="004F14D4">
        <w:rPr>
          <w:rFonts w:eastAsia="Times New Roman" w:cs="Times New Roman"/>
          <w:b/>
          <w:lang w:val="en-AU"/>
        </w:rPr>
        <w:t>Contribution to the General Discussion on the preparation for General Comment No.36 Article 6 of the ICCPR: Right to life</w:t>
      </w:r>
    </w:p>
    <w:p w14:paraId="1F8699B7" w14:textId="77777777" w:rsidR="007B3CFF" w:rsidRPr="004F14D4" w:rsidRDefault="007B3CFF" w:rsidP="00E0761F">
      <w:pPr>
        <w:pStyle w:val="Normal1"/>
        <w:spacing w:line="360" w:lineRule="auto"/>
        <w:jc w:val="both"/>
        <w:rPr>
          <w:rFonts w:ascii="Times" w:eastAsia="Times New Roman" w:hAnsi="Times" w:cs="Times New Roman"/>
          <w:b/>
          <w:sz w:val="22"/>
          <w:szCs w:val="22"/>
        </w:rPr>
      </w:pPr>
    </w:p>
    <w:p w14:paraId="2C0B6985" w14:textId="31A93952" w:rsidR="00E410AF" w:rsidRDefault="004F14D4" w:rsidP="00E0761F">
      <w:pPr>
        <w:pStyle w:val="Normal1"/>
        <w:spacing w:line="360" w:lineRule="auto"/>
        <w:jc w:val="both"/>
        <w:rPr>
          <w:rFonts w:ascii="Times" w:eastAsia="Times New Roman" w:hAnsi="Times" w:cs="Arial"/>
          <w:color w:val="222222"/>
          <w:sz w:val="22"/>
          <w:szCs w:val="22"/>
          <w:shd w:val="clear" w:color="auto" w:fill="FFFFFF"/>
          <w:lang w:val="en-AU"/>
        </w:rPr>
      </w:pPr>
      <w:r w:rsidRPr="004F14D4">
        <w:rPr>
          <w:rFonts w:ascii="Times" w:eastAsia="Times New Roman" w:hAnsi="Times" w:cs="Times New Roman"/>
          <w:b/>
          <w:sz w:val="22"/>
          <w:szCs w:val="22"/>
        </w:rPr>
        <w:t xml:space="preserve">Introduction: </w:t>
      </w:r>
      <w:r w:rsidR="007B3CFF" w:rsidRPr="004F14D4">
        <w:rPr>
          <w:rFonts w:ascii="Times" w:hAnsi="Times"/>
          <w:sz w:val="22"/>
          <w:szCs w:val="22"/>
        </w:rPr>
        <w:t>The ongoing cholera epidemic in Haiti has killed more than 8,900 Haitians and infected more than 720,000 since it began in October 2010</w:t>
      </w:r>
      <w:r w:rsidR="00AB683D">
        <w:rPr>
          <w:rFonts w:ascii="Times" w:hAnsi="Times"/>
          <w:sz w:val="22"/>
          <w:szCs w:val="22"/>
        </w:rPr>
        <w:t>,</w:t>
      </w:r>
      <w:r w:rsidR="007B3CFF" w:rsidRPr="004F14D4">
        <w:rPr>
          <w:rStyle w:val="EndnoteReference"/>
          <w:rFonts w:ascii="Times" w:hAnsi="Times"/>
          <w:sz w:val="22"/>
          <w:szCs w:val="22"/>
        </w:rPr>
        <w:endnoteReference w:id="1"/>
      </w:r>
      <w:r w:rsidR="00AB683D">
        <w:rPr>
          <w:rFonts w:ascii="Times" w:hAnsi="Times"/>
          <w:sz w:val="22"/>
          <w:szCs w:val="22"/>
        </w:rPr>
        <w:t xml:space="preserve"> and is still killing at alarming rate.</w:t>
      </w:r>
      <w:r w:rsidR="007B3CFF" w:rsidRPr="004F14D4">
        <w:rPr>
          <w:rFonts w:ascii="Times" w:hAnsi="Times"/>
          <w:sz w:val="22"/>
          <w:szCs w:val="22"/>
        </w:rPr>
        <w:t xml:space="preserve">  </w:t>
      </w:r>
      <w:r w:rsidR="007B3CFF" w:rsidRPr="004F14D4">
        <w:rPr>
          <w:rFonts w:ascii="Times" w:eastAsia="Times New Roman" w:hAnsi="Times" w:cs="Arial"/>
          <w:color w:val="222222"/>
          <w:sz w:val="22"/>
          <w:szCs w:val="22"/>
          <w:shd w:val="clear" w:color="auto" w:fill="FFFFFF"/>
          <w:lang w:val="en-AU"/>
        </w:rPr>
        <w:t>This epidemic represents a grave</w:t>
      </w:r>
      <w:r w:rsidRPr="004F14D4">
        <w:rPr>
          <w:rFonts w:ascii="Times" w:eastAsia="Times New Roman" w:hAnsi="Times" w:cs="Arial"/>
          <w:color w:val="222222"/>
          <w:sz w:val="22"/>
          <w:szCs w:val="22"/>
          <w:shd w:val="clear" w:color="auto" w:fill="FFFFFF"/>
          <w:lang w:val="en-AU"/>
        </w:rPr>
        <w:t xml:space="preserve"> and continuing</w:t>
      </w:r>
      <w:r w:rsidR="007B3CFF" w:rsidRPr="004F14D4">
        <w:rPr>
          <w:rFonts w:ascii="Times" w:eastAsia="Times New Roman" w:hAnsi="Times" w:cs="Arial"/>
          <w:color w:val="222222"/>
          <w:sz w:val="22"/>
          <w:szCs w:val="22"/>
          <w:shd w:val="clear" w:color="auto" w:fill="FFFFFF"/>
          <w:lang w:val="en-AU"/>
        </w:rPr>
        <w:t xml:space="preserve"> threat to the right to life in Haiti, and continues to be inadequately addressed by the United Nations</w:t>
      </w:r>
      <w:r w:rsidR="00535F3E">
        <w:rPr>
          <w:rFonts w:ascii="Times" w:eastAsia="Times New Roman" w:hAnsi="Times" w:cs="Arial"/>
          <w:color w:val="222222"/>
          <w:sz w:val="22"/>
          <w:szCs w:val="22"/>
          <w:shd w:val="clear" w:color="auto" w:fill="FFFFFF"/>
          <w:lang w:val="en-AU"/>
        </w:rPr>
        <w:t xml:space="preserve"> (UN)</w:t>
      </w:r>
      <w:r w:rsidR="007B3CFF" w:rsidRPr="004F14D4">
        <w:rPr>
          <w:rFonts w:ascii="Times" w:eastAsia="Times New Roman" w:hAnsi="Times" w:cs="Arial"/>
          <w:color w:val="222222"/>
          <w:sz w:val="22"/>
          <w:szCs w:val="22"/>
          <w:shd w:val="clear" w:color="auto" w:fill="FFFFFF"/>
          <w:lang w:val="en-AU"/>
        </w:rPr>
        <w:t>, the entity responsible for causing the outbrea</w:t>
      </w:r>
      <w:r w:rsidR="00E0761F">
        <w:rPr>
          <w:rFonts w:ascii="Times" w:eastAsia="Times New Roman" w:hAnsi="Times" w:cs="Arial"/>
          <w:color w:val="222222"/>
          <w:sz w:val="22"/>
          <w:szCs w:val="22"/>
          <w:shd w:val="clear" w:color="auto" w:fill="FFFFFF"/>
          <w:lang w:val="en-AU"/>
        </w:rPr>
        <w:t>k. This large-scale infringement</w:t>
      </w:r>
      <w:r w:rsidR="007B3CFF" w:rsidRPr="004F14D4">
        <w:rPr>
          <w:rFonts w:ascii="Times" w:eastAsia="Times New Roman" w:hAnsi="Times" w:cs="Arial"/>
          <w:color w:val="222222"/>
          <w:sz w:val="22"/>
          <w:szCs w:val="22"/>
          <w:shd w:val="clear" w:color="auto" w:fill="FFFFFF"/>
          <w:lang w:val="en-AU"/>
        </w:rPr>
        <w:t xml:space="preserve"> of the right to life highlight</w:t>
      </w:r>
      <w:r w:rsidR="00E0761F">
        <w:rPr>
          <w:rFonts w:ascii="Times" w:eastAsia="Times New Roman" w:hAnsi="Times" w:cs="Arial"/>
          <w:color w:val="222222"/>
          <w:sz w:val="22"/>
          <w:szCs w:val="22"/>
          <w:shd w:val="clear" w:color="auto" w:fill="FFFFFF"/>
          <w:lang w:val="en-AU"/>
        </w:rPr>
        <w:t>s</w:t>
      </w:r>
      <w:r w:rsidR="007B3CFF" w:rsidRPr="004F14D4">
        <w:rPr>
          <w:rFonts w:ascii="Times" w:eastAsia="Times New Roman" w:hAnsi="Times" w:cs="Arial"/>
          <w:color w:val="222222"/>
          <w:sz w:val="22"/>
          <w:szCs w:val="22"/>
          <w:shd w:val="clear" w:color="auto" w:fill="FFFFFF"/>
          <w:lang w:val="en-AU"/>
        </w:rPr>
        <w:t xml:space="preserve"> the indivisibility of the right to life with the infringement of economic, social and cultural</w:t>
      </w:r>
      <w:r w:rsidR="00675326">
        <w:rPr>
          <w:rFonts w:ascii="Times" w:eastAsia="Times New Roman" w:hAnsi="Times" w:cs="Arial"/>
          <w:color w:val="222222"/>
          <w:sz w:val="22"/>
          <w:szCs w:val="22"/>
          <w:shd w:val="clear" w:color="auto" w:fill="FFFFFF"/>
          <w:lang w:val="en-AU"/>
        </w:rPr>
        <w:t xml:space="preserve"> (ESC)</w:t>
      </w:r>
      <w:r w:rsidR="007B3CFF" w:rsidRPr="004F14D4">
        <w:rPr>
          <w:rFonts w:ascii="Times" w:eastAsia="Times New Roman" w:hAnsi="Times" w:cs="Arial"/>
          <w:color w:val="222222"/>
          <w:sz w:val="22"/>
          <w:szCs w:val="22"/>
          <w:shd w:val="clear" w:color="auto" w:fill="FFFFFF"/>
          <w:lang w:val="en-AU"/>
        </w:rPr>
        <w:t xml:space="preserve"> rights. </w:t>
      </w:r>
    </w:p>
    <w:p w14:paraId="76CF437A" w14:textId="77777777" w:rsidR="00E410AF" w:rsidRDefault="00E410AF" w:rsidP="00E0761F">
      <w:pPr>
        <w:pStyle w:val="Normal1"/>
        <w:spacing w:line="360" w:lineRule="auto"/>
        <w:jc w:val="both"/>
        <w:rPr>
          <w:rFonts w:ascii="Times" w:eastAsia="Times New Roman" w:hAnsi="Times" w:cs="Arial"/>
          <w:color w:val="222222"/>
          <w:sz w:val="22"/>
          <w:szCs w:val="22"/>
          <w:shd w:val="clear" w:color="auto" w:fill="FFFFFF"/>
          <w:lang w:val="en-AU"/>
        </w:rPr>
      </w:pPr>
    </w:p>
    <w:p w14:paraId="431E1650" w14:textId="35049A07" w:rsidR="00F707DE" w:rsidRPr="004F14D4" w:rsidRDefault="00F707DE" w:rsidP="00E0761F">
      <w:pPr>
        <w:pStyle w:val="Normal1"/>
        <w:spacing w:line="360" w:lineRule="auto"/>
        <w:jc w:val="both"/>
        <w:rPr>
          <w:rFonts w:ascii="Times" w:eastAsia="Times New Roman" w:hAnsi="Times" w:cs="Arial"/>
          <w:color w:val="222222"/>
          <w:sz w:val="22"/>
          <w:szCs w:val="22"/>
          <w:shd w:val="clear" w:color="auto" w:fill="FFFFFF"/>
          <w:lang w:val="en-AU"/>
        </w:rPr>
      </w:pPr>
      <w:r>
        <w:rPr>
          <w:rFonts w:ascii="Times" w:eastAsia="Times New Roman" w:hAnsi="Times" w:cs="Arial"/>
          <w:color w:val="222222"/>
          <w:sz w:val="22"/>
          <w:szCs w:val="22"/>
          <w:shd w:val="clear" w:color="auto" w:fill="FFFFFF"/>
          <w:lang w:val="en-AU"/>
        </w:rPr>
        <w:t xml:space="preserve">The Haitian cholera outbreak also highlights the demand for accountability structures in place which better protect victims whose right to life is violated by international organizations. The General Comment should therefore recognise </w:t>
      </w:r>
      <w:r w:rsidR="00E56C8F">
        <w:rPr>
          <w:rFonts w:ascii="Times" w:eastAsia="Times New Roman" w:hAnsi="Times" w:cs="Arial"/>
          <w:color w:val="222222"/>
          <w:sz w:val="22"/>
          <w:szCs w:val="22"/>
          <w:shd w:val="clear" w:color="auto" w:fill="FFFFFF"/>
          <w:lang w:val="en-AU"/>
        </w:rPr>
        <w:t xml:space="preserve">that </w:t>
      </w:r>
      <w:r w:rsidRPr="004F14D4">
        <w:rPr>
          <w:rFonts w:ascii="Times" w:eastAsia="Times New Roman" w:hAnsi="Times" w:cs="Arial"/>
          <w:color w:val="222222"/>
          <w:sz w:val="22"/>
          <w:szCs w:val="22"/>
          <w:shd w:val="clear" w:color="auto" w:fill="FFFFFF"/>
          <w:lang w:val="en-AU"/>
        </w:rPr>
        <w:t>international organizations are capable, through their acts, of violating the right to life – and</w:t>
      </w:r>
      <w:r>
        <w:rPr>
          <w:rFonts w:ascii="Times" w:eastAsia="Times New Roman" w:hAnsi="Times" w:cs="Arial"/>
          <w:color w:val="222222"/>
          <w:sz w:val="22"/>
          <w:szCs w:val="22"/>
          <w:shd w:val="clear" w:color="auto" w:fill="FFFFFF"/>
          <w:lang w:val="en-AU"/>
        </w:rPr>
        <w:t xml:space="preserve"> provide</w:t>
      </w:r>
      <w:r w:rsidRPr="004F14D4">
        <w:rPr>
          <w:rFonts w:ascii="Times" w:eastAsia="Times New Roman" w:hAnsi="Times" w:cs="Arial"/>
          <w:color w:val="222222"/>
          <w:sz w:val="22"/>
          <w:szCs w:val="22"/>
          <w:shd w:val="clear" w:color="auto" w:fill="FFFFFF"/>
          <w:lang w:val="en-AU"/>
        </w:rPr>
        <w:t xml:space="preserve"> recognition that such violation requires access to justice and reparation in accordance with international human rights law. </w:t>
      </w:r>
    </w:p>
    <w:p w14:paraId="3746670B" w14:textId="77777777" w:rsidR="004F14D4" w:rsidRPr="004F14D4" w:rsidRDefault="004F14D4" w:rsidP="00E0761F">
      <w:pPr>
        <w:spacing w:line="360" w:lineRule="auto"/>
        <w:jc w:val="both"/>
      </w:pPr>
    </w:p>
    <w:p w14:paraId="22EBE06C" w14:textId="01DB69E8" w:rsidR="004F14D4" w:rsidRPr="004F14D4" w:rsidRDefault="004F14D4" w:rsidP="00E0761F">
      <w:pPr>
        <w:spacing w:line="360" w:lineRule="auto"/>
        <w:jc w:val="both"/>
      </w:pPr>
      <w:r w:rsidRPr="004F14D4">
        <w:rPr>
          <w:b/>
        </w:rPr>
        <w:t xml:space="preserve">UN Responsibility for Introduction of Cholera to Haiti: </w:t>
      </w:r>
      <w:r w:rsidRPr="004F14D4">
        <w:t>Cholera appeared in Haiti for the first time in the nation’s recorded history in October 2010, and has since developed into what one of the largest cholera epidemics in modern history.</w:t>
      </w:r>
      <w:r w:rsidR="00C12DE5">
        <w:t xml:space="preserve"> </w:t>
      </w:r>
      <w:r w:rsidRPr="004F14D4">
        <w:t>Extensive scientific evidence, including a report from a panel of independent experts commissioned by the UN,</w:t>
      </w:r>
      <w:r w:rsidR="00C12DE5">
        <w:rPr>
          <w:rStyle w:val="EndnoteReference"/>
        </w:rPr>
        <w:endnoteReference w:id="2"/>
      </w:r>
      <w:r w:rsidRPr="004F14D4">
        <w:t xml:space="preserve"> demonstrates that the UN introduced the disease through reckless management of the sanitation systems on a peacekeeping base, discharging raw sewage into Haiti’s principal river system, upon which tens of thousands of Haitians rely as their primary source of water.</w:t>
      </w:r>
      <w:r w:rsidR="00C12DE5">
        <w:rPr>
          <w:rStyle w:val="EndnoteReference"/>
        </w:rPr>
        <w:endnoteReference w:id="3"/>
      </w:r>
    </w:p>
    <w:p w14:paraId="4E0D5764" w14:textId="77777777" w:rsidR="00735AD2" w:rsidRPr="004F14D4" w:rsidRDefault="00735AD2" w:rsidP="00E0761F">
      <w:pPr>
        <w:spacing w:line="360" w:lineRule="auto"/>
        <w:jc w:val="both"/>
      </w:pPr>
    </w:p>
    <w:p w14:paraId="48771C0D" w14:textId="49FF537A" w:rsidR="007E1608" w:rsidRDefault="004F14D4" w:rsidP="00E0761F">
      <w:pPr>
        <w:spacing w:line="360" w:lineRule="auto"/>
        <w:jc w:val="both"/>
        <w:rPr>
          <w:rFonts w:eastAsia="Times New Roman" w:cs="Arial"/>
          <w:color w:val="222222"/>
          <w:shd w:val="clear" w:color="auto" w:fill="FFFFFF"/>
          <w:lang w:val="en-AU"/>
        </w:rPr>
      </w:pPr>
      <w:r w:rsidRPr="004F14D4">
        <w:rPr>
          <w:b/>
        </w:rPr>
        <w:t>Violation of the Right to Life</w:t>
      </w:r>
      <w:r w:rsidR="00E0761F">
        <w:rPr>
          <w:b/>
        </w:rPr>
        <w:t xml:space="preserve"> and its Link to Economic Social and Cultural Rights</w:t>
      </w:r>
      <w:r w:rsidRPr="004F14D4">
        <w:rPr>
          <w:b/>
        </w:rPr>
        <w:t xml:space="preserve">: </w:t>
      </w:r>
      <w:r w:rsidR="00E0761F">
        <w:rPr>
          <w:rFonts w:eastAsia="Times New Roman" w:cs="Arial"/>
          <w:color w:val="222222"/>
          <w:shd w:val="clear" w:color="auto" w:fill="FFFFFF"/>
          <w:lang w:val="en-AU"/>
        </w:rPr>
        <w:t>In the case of those who have died from cholera, the human right to health</w:t>
      </w:r>
      <w:r w:rsidR="008641FB">
        <w:rPr>
          <w:rFonts w:eastAsia="Times New Roman" w:cs="Arial"/>
          <w:color w:val="222222"/>
          <w:shd w:val="clear" w:color="auto" w:fill="FFFFFF"/>
          <w:lang w:val="en-AU"/>
        </w:rPr>
        <w:t xml:space="preserve"> and </w:t>
      </w:r>
      <w:r w:rsidR="00E0761F">
        <w:rPr>
          <w:rFonts w:eastAsia="Times New Roman" w:cs="Arial"/>
          <w:color w:val="222222"/>
          <w:shd w:val="clear" w:color="auto" w:fill="FFFFFF"/>
          <w:lang w:val="en-AU"/>
        </w:rPr>
        <w:t>clean water</w:t>
      </w:r>
      <w:r w:rsidR="008641FB">
        <w:rPr>
          <w:rFonts w:eastAsia="Times New Roman" w:cs="Arial"/>
          <w:color w:val="222222"/>
          <w:shd w:val="clear" w:color="auto" w:fill="FFFFFF"/>
          <w:lang w:val="en-AU"/>
        </w:rPr>
        <w:t xml:space="preserve"> </w:t>
      </w:r>
      <w:r w:rsidR="00E0761F">
        <w:rPr>
          <w:rFonts w:eastAsia="Times New Roman" w:cs="Arial"/>
          <w:color w:val="222222"/>
          <w:shd w:val="clear" w:color="auto" w:fill="FFFFFF"/>
          <w:lang w:val="en-AU"/>
        </w:rPr>
        <w:t>was inextricably bound to their right to life.</w:t>
      </w:r>
      <w:r w:rsidR="0097580E">
        <w:rPr>
          <w:rFonts w:eastAsia="Times New Roman" w:cs="Arial"/>
          <w:color w:val="222222"/>
          <w:shd w:val="clear" w:color="auto" w:fill="FFFFFF"/>
          <w:lang w:val="en-AU"/>
        </w:rPr>
        <w:t xml:space="preserve"> </w:t>
      </w:r>
      <w:r w:rsidR="00535F3E" w:rsidRPr="004F14D4">
        <w:t xml:space="preserve">The UN has a responsibility to </w:t>
      </w:r>
      <w:r w:rsidR="008641FB">
        <w:t>respect the right to life, and its</w:t>
      </w:r>
      <w:r w:rsidR="00535F3E" w:rsidRPr="004F14D4">
        <w:t xml:space="preserve"> negligent acts and omissions in causing the cholera epidemic, which has claimed the </w:t>
      </w:r>
      <w:r w:rsidR="00535F3E" w:rsidRPr="004F14D4">
        <w:lastRenderedPageBreak/>
        <w:t>lives of thousands, comprise a violation of th</w:t>
      </w:r>
      <w:r w:rsidR="00535F3E">
        <w:t>e</w:t>
      </w:r>
      <w:r w:rsidR="00535F3E" w:rsidRPr="004F14D4">
        <w:t xml:space="preserve"> right</w:t>
      </w:r>
      <w:r w:rsidR="00535F3E">
        <w:t xml:space="preserve"> to life and the related</w:t>
      </w:r>
      <w:r w:rsidR="00675326">
        <w:t xml:space="preserve"> ESC rights</w:t>
      </w:r>
      <w:r w:rsidR="00535F3E" w:rsidRPr="004F14D4">
        <w:t xml:space="preserve">. </w:t>
      </w:r>
      <w:r w:rsidR="0097580E">
        <w:rPr>
          <w:rFonts w:eastAsia="Times New Roman" w:cs="Arial"/>
          <w:color w:val="222222"/>
          <w:shd w:val="clear" w:color="auto" w:fill="FFFFFF"/>
          <w:lang w:val="en-AU"/>
        </w:rPr>
        <w:t xml:space="preserve">The reckless introduction of </w:t>
      </w:r>
      <w:r w:rsidR="00535F3E">
        <w:rPr>
          <w:rFonts w:eastAsia="Times New Roman" w:cs="Arial"/>
          <w:color w:val="222222"/>
          <w:shd w:val="clear" w:color="auto" w:fill="FFFFFF"/>
          <w:lang w:val="en-AU"/>
        </w:rPr>
        <w:t>cholera into Haiti’s waterways, while first constituting a violation of the right to water, has ultimately lead to thousands of violations of the right to life in the case of those killed by</w:t>
      </w:r>
      <w:r w:rsidR="00675326">
        <w:rPr>
          <w:rFonts w:eastAsia="Times New Roman" w:cs="Arial"/>
          <w:color w:val="222222"/>
          <w:shd w:val="clear" w:color="auto" w:fill="FFFFFF"/>
          <w:lang w:val="en-AU"/>
        </w:rPr>
        <w:t xml:space="preserve"> the virulent disease.</w:t>
      </w:r>
      <w:r w:rsidR="0041561A">
        <w:rPr>
          <w:rFonts w:eastAsia="Times New Roman" w:cs="Arial"/>
          <w:color w:val="222222"/>
          <w:shd w:val="clear" w:color="auto" w:fill="FFFFFF"/>
          <w:lang w:val="en-AU"/>
        </w:rPr>
        <w:t xml:space="preserve"> </w:t>
      </w:r>
      <w:r w:rsidR="0041561A" w:rsidRPr="00455E72">
        <w:rPr>
          <w:rFonts w:ascii="Times New Roman" w:eastAsia="Times New Roman" w:hAnsi="Times New Roman" w:cs="Times New Roman"/>
        </w:rPr>
        <w:t xml:space="preserve">Like other violations of </w:t>
      </w:r>
      <w:r w:rsidR="00675326">
        <w:rPr>
          <w:rFonts w:ascii="Times New Roman" w:eastAsia="Times New Roman" w:hAnsi="Times New Roman" w:cs="Times New Roman"/>
        </w:rPr>
        <w:t>ESC</w:t>
      </w:r>
      <w:r w:rsidR="0041561A">
        <w:rPr>
          <w:rFonts w:ascii="Times New Roman" w:eastAsia="Times New Roman" w:hAnsi="Times New Roman" w:cs="Times New Roman"/>
        </w:rPr>
        <w:t xml:space="preserve"> rights</w:t>
      </w:r>
      <w:r w:rsidR="0041561A" w:rsidRPr="00455E72">
        <w:rPr>
          <w:rFonts w:ascii="Times New Roman" w:eastAsia="Times New Roman" w:hAnsi="Times New Roman" w:cs="Times New Roman"/>
        </w:rPr>
        <w:t>, cholera disproportionately impacts the most vulnerable segments of society, including Haiti’s poor majority, women, children, rural communities that lack access to water infrastructure, and communities displaced following the earthquake</w:t>
      </w:r>
      <w:r w:rsidR="0097580E">
        <w:rPr>
          <w:rFonts w:ascii="Times New Roman" w:eastAsia="Times New Roman" w:hAnsi="Times New Roman" w:cs="Times New Roman"/>
        </w:rPr>
        <w:t xml:space="preserve">. </w:t>
      </w:r>
      <w:r w:rsidR="00535F3E">
        <w:t>The UN’s</w:t>
      </w:r>
      <w:r w:rsidRPr="004F14D4">
        <w:t xml:space="preserve"> subsequent failure to invest adequately in clean water and sanitation infrastructure has allowed the epidemic to persist and continue to kill, and therefore constitutes a further violation of the right to life.</w:t>
      </w:r>
      <w:r w:rsidR="00675326">
        <w:rPr>
          <w:rFonts w:ascii="Times New Roman" w:eastAsia="Times New Roman" w:hAnsi="Times New Roman" w:cs="Times New Roman"/>
        </w:rPr>
        <w:t xml:space="preserve"> </w:t>
      </w:r>
      <w:r w:rsidR="0046729E">
        <w:rPr>
          <w:rFonts w:ascii="Times New Roman" w:eastAsia="Times New Roman" w:hAnsi="Times New Roman" w:cs="Times New Roman"/>
        </w:rPr>
        <w:t>The death of loved ones has left families without means to meet their basic needs,</w:t>
      </w:r>
      <w:r w:rsidR="0046729E">
        <w:rPr>
          <w:rStyle w:val="EndnoteReference"/>
          <w:rFonts w:ascii="Times New Roman" w:eastAsia="Times New Roman" w:hAnsi="Times New Roman" w:cs="Times New Roman"/>
        </w:rPr>
        <w:endnoteReference w:id="4"/>
      </w:r>
      <w:r w:rsidR="0046729E">
        <w:rPr>
          <w:rFonts w:ascii="Times New Roman" w:eastAsia="Times New Roman" w:hAnsi="Times New Roman" w:cs="Times New Roman"/>
        </w:rPr>
        <w:t xml:space="preserve"> which in turn creates the potential for further rights violations.  </w:t>
      </w:r>
    </w:p>
    <w:p w14:paraId="633245C9" w14:textId="77777777" w:rsidR="00634CCE" w:rsidRPr="00634CCE" w:rsidRDefault="00634CCE" w:rsidP="00E0761F">
      <w:pPr>
        <w:spacing w:line="360" w:lineRule="auto"/>
        <w:jc w:val="both"/>
        <w:rPr>
          <w:rFonts w:eastAsia="Times New Roman" w:cs="Arial"/>
          <w:color w:val="222222"/>
          <w:shd w:val="clear" w:color="auto" w:fill="FFFFFF"/>
          <w:lang w:val="en-AU"/>
        </w:rPr>
      </w:pPr>
    </w:p>
    <w:p w14:paraId="3F76E38E" w14:textId="0B05D32A" w:rsidR="008275C1" w:rsidRPr="008641FB" w:rsidRDefault="00B65EB8" w:rsidP="008275C1">
      <w:pPr>
        <w:spacing w:line="360" w:lineRule="auto"/>
        <w:jc w:val="both"/>
        <w:rPr>
          <w:rFonts w:ascii="Times New Roman" w:eastAsia="Times New Roman" w:hAnsi="Times New Roman" w:cs="Times New Roman"/>
        </w:rPr>
      </w:pPr>
      <w:r>
        <w:t>It is well-settled that t</w:t>
      </w:r>
      <w:r w:rsidR="00BA5252">
        <w:t>he right to life is a norm of customary international law,</w:t>
      </w:r>
      <w:r w:rsidR="00BA5252">
        <w:rPr>
          <w:rStyle w:val="EndnoteReference"/>
        </w:rPr>
        <w:endnoteReference w:id="5"/>
      </w:r>
      <w:r w:rsidR="00BA5252">
        <w:t xml:space="preserve"> to which the U</w:t>
      </w:r>
      <w:r w:rsidR="00535F3E">
        <w:t>N</w:t>
      </w:r>
      <w:r w:rsidR="00BA5252">
        <w:t xml:space="preserve"> is bound.</w:t>
      </w:r>
      <w:r w:rsidR="00830D65">
        <w:rPr>
          <w:rStyle w:val="EndnoteReference"/>
        </w:rPr>
        <w:endnoteReference w:id="6"/>
      </w:r>
      <w:r w:rsidR="00BA5252">
        <w:t xml:space="preserve"> </w:t>
      </w:r>
      <w:r w:rsidR="00604B64">
        <w:rPr>
          <w:rFonts w:ascii="Times New Roman" w:eastAsia="Times New Roman" w:hAnsi="Times New Roman" w:cs="Times New Roman"/>
        </w:rPr>
        <w:t>The UN therefore</w:t>
      </w:r>
      <w:r w:rsidR="00830D65">
        <w:rPr>
          <w:rFonts w:ascii="Times New Roman" w:eastAsia="Times New Roman" w:hAnsi="Times New Roman" w:cs="Times New Roman"/>
        </w:rPr>
        <w:t xml:space="preserve"> has a duty not to arbitrarily deprive individuals o</w:t>
      </w:r>
      <w:r w:rsidR="008275C1">
        <w:rPr>
          <w:rFonts w:ascii="Times New Roman" w:eastAsia="Times New Roman" w:hAnsi="Times New Roman" w:cs="Times New Roman"/>
        </w:rPr>
        <w:t>f that right, and to provide remedies for</w:t>
      </w:r>
      <w:r w:rsidR="00830D65">
        <w:rPr>
          <w:rFonts w:ascii="Times New Roman" w:eastAsia="Times New Roman" w:hAnsi="Times New Roman" w:cs="Times New Roman"/>
        </w:rPr>
        <w:t xml:space="preserve"> any violations of the right to life occasioned by the organization’s </w:t>
      </w:r>
      <w:r w:rsidR="00604B64">
        <w:rPr>
          <w:rFonts w:ascii="Times New Roman" w:eastAsia="Times New Roman" w:hAnsi="Times New Roman" w:cs="Times New Roman"/>
        </w:rPr>
        <w:t xml:space="preserve">own </w:t>
      </w:r>
      <w:r w:rsidR="00830D65">
        <w:rPr>
          <w:rFonts w:ascii="Times New Roman" w:eastAsia="Times New Roman" w:hAnsi="Times New Roman" w:cs="Times New Roman"/>
        </w:rPr>
        <w:t xml:space="preserve">conduct. As the cholera outbreak in Haiti illustrates, this duty to respect the right to life cannot be separated from the </w:t>
      </w:r>
      <w:r w:rsidR="00604B64">
        <w:rPr>
          <w:rFonts w:ascii="Times New Roman" w:eastAsia="Times New Roman" w:hAnsi="Times New Roman" w:cs="Times New Roman"/>
        </w:rPr>
        <w:t>UN</w:t>
      </w:r>
      <w:r w:rsidR="00604B64">
        <w:rPr>
          <w:rFonts w:ascii="Times New Roman" w:eastAsia="Times New Roman" w:hAnsi="Times New Roman" w:cs="Times New Roman"/>
        </w:rPr>
        <w:t xml:space="preserve">’s </w:t>
      </w:r>
      <w:r w:rsidR="00830D65">
        <w:rPr>
          <w:rFonts w:ascii="Times New Roman" w:eastAsia="Times New Roman" w:hAnsi="Times New Roman" w:cs="Times New Roman"/>
        </w:rPr>
        <w:t xml:space="preserve">obligation to respect </w:t>
      </w:r>
      <w:r w:rsidR="00675326">
        <w:rPr>
          <w:rFonts w:ascii="Times New Roman" w:eastAsia="Times New Roman" w:hAnsi="Times New Roman" w:cs="Times New Roman"/>
        </w:rPr>
        <w:t>ESC</w:t>
      </w:r>
      <w:r w:rsidR="00830D65">
        <w:rPr>
          <w:rFonts w:ascii="Times New Roman" w:eastAsia="Times New Roman" w:hAnsi="Times New Roman" w:cs="Times New Roman"/>
        </w:rPr>
        <w:t xml:space="preserve"> rights</w:t>
      </w:r>
      <w:r w:rsidR="008275C1">
        <w:rPr>
          <w:rFonts w:ascii="Times New Roman" w:eastAsia="Times New Roman" w:hAnsi="Times New Roman" w:cs="Times New Roman"/>
        </w:rPr>
        <w:t xml:space="preserve"> – such as the right to water –</w:t>
      </w:r>
      <w:r w:rsidR="00830D65">
        <w:rPr>
          <w:rFonts w:ascii="Times New Roman" w:eastAsia="Times New Roman" w:hAnsi="Times New Roman" w:cs="Times New Roman"/>
        </w:rPr>
        <w:t xml:space="preserve"> where the violations</w:t>
      </w:r>
      <w:r w:rsidR="00DF2547">
        <w:rPr>
          <w:rFonts w:ascii="Times New Roman" w:eastAsia="Times New Roman" w:hAnsi="Times New Roman" w:cs="Times New Roman"/>
        </w:rPr>
        <w:t xml:space="preserve"> of ESC rights</w:t>
      </w:r>
      <w:r w:rsidR="00830D65">
        <w:rPr>
          <w:rFonts w:ascii="Times New Roman" w:eastAsia="Times New Roman" w:hAnsi="Times New Roman" w:cs="Times New Roman"/>
        </w:rPr>
        <w:t xml:space="preserve"> are so grave that they lead to the death of individuals. </w:t>
      </w:r>
      <w:r w:rsidR="00514FFB">
        <w:rPr>
          <w:rFonts w:ascii="Times New Roman" w:eastAsia="Times New Roman" w:hAnsi="Times New Roman" w:cs="Times New Roman"/>
        </w:rPr>
        <w:t>Thus, w</w:t>
      </w:r>
      <w:r w:rsidR="008641FB">
        <w:rPr>
          <w:rFonts w:ascii="Times New Roman" w:eastAsia="Times New Roman" w:hAnsi="Times New Roman" w:cs="Times New Roman"/>
        </w:rPr>
        <w:t>hile the pr</w:t>
      </w:r>
      <w:r w:rsidR="00861FE9">
        <w:rPr>
          <w:rFonts w:ascii="Times New Roman" w:eastAsia="Times New Roman" w:hAnsi="Times New Roman" w:cs="Times New Roman"/>
        </w:rPr>
        <w:t>imary duty to realize the right</w:t>
      </w:r>
      <w:r w:rsidR="008641FB">
        <w:rPr>
          <w:rFonts w:ascii="Times New Roman" w:eastAsia="Times New Roman" w:hAnsi="Times New Roman" w:cs="Times New Roman"/>
        </w:rPr>
        <w:t xml:space="preserve"> to water and sanitation rests with the Haitian state, the UN must respect the right to water and sanitation in furtherance</w:t>
      </w:r>
      <w:bookmarkStart w:id="0" w:name="_GoBack"/>
      <w:bookmarkEnd w:id="0"/>
      <w:r w:rsidR="008641FB">
        <w:rPr>
          <w:rFonts w:ascii="Times New Roman" w:eastAsia="Times New Roman" w:hAnsi="Times New Roman" w:cs="Times New Roman"/>
        </w:rPr>
        <w:t xml:space="preserve"> of its </w:t>
      </w:r>
      <w:r w:rsidR="00DF2547">
        <w:rPr>
          <w:rFonts w:ascii="Times New Roman" w:eastAsia="Times New Roman" w:hAnsi="Times New Roman" w:cs="Times New Roman"/>
        </w:rPr>
        <w:t xml:space="preserve">strict </w:t>
      </w:r>
      <w:r w:rsidR="008641FB">
        <w:rPr>
          <w:rFonts w:ascii="Times New Roman" w:eastAsia="Times New Roman" w:hAnsi="Times New Roman" w:cs="Times New Roman"/>
        </w:rPr>
        <w:t xml:space="preserve">legal obligation to respect the right to life. </w:t>
      </w:r>
    </w:p>
    <w:p w14:paraId="059CFD49" w14:textId="77777777" w:rsidR="00BA5252" w:rsidRDefault="00BA5252" w:rsidP="00E0761F">
      <w:pPr>
        <w:spacing w:line="360" w:lineRule="auto"/>
        <w:jc w:val="both"/>
      </w:pPr>
    </w:p>
    <w:p w14:paraId="08D62B66" w14:textId="00364294" w:rsidR="00E07B47" w:rsidRPr="004F14D4" w:rsidRDefault="00990436" w:rsidP="00E0761F">
      <w:pPr>
        <w:spacing w:line="360" w:lineRule="auto"/>
        <w:jc w:val="both"/>
      </w:pPr>
      <w:r>
        <w:rPr>
          <w:b/>
        </w:rPr>
        <w:t>Lack of R</w:t>
      </w:r>
      <w:r w:rsidR="00171337">
        <w:rPr>
          <w:b/>
        </w:rPr>
        <w:t>emedies</w:t>
      </w:r>
      <w:r>
        <w:rPr>
          <w:b/>
        </w:rPr>
        <w:t xml:space="preserve"> for the Violation of the Right to Life</w:t>
      </w:r>
      <w:r w:rsidR="007E1608">
        <w:rPr>
          <w:b/>
        </w:rPr>
        <w:t xml:space="preserve">: </w:t>
      </w:r>
      <w:r w:rsidR="00C619F6">
        <w:t xml:space="preserve">Despite the widespread violations of the right to life occasioned by the UN’s conduct, the </w:t>
      </w:r>
      <w:r w:rsidR="0000156C">
        <w:t>o</w:t>
      </w:r>
      <w:r w:rsidR="005651BC">
        <w:t>rganization</w:t>
      </w:r>
      <w:r w:rsidR="007E1608">
        <w:t xml:space="preserve"> has refused to provide access to remedy to the cholera victims. In November 2011, more than 5,000 victims filed claims at the UN, seeking access to the standing claims commission guaranteed by the</w:t>
      </w:r>
      <w:r w:rsidR="002D2B36">
        <w:t xml:space="preserve"> mission’s Status of Forces Agreement</w:t>
      </w:r>
      <w:r w:rsidR="007E1608">
        <w:t xml:space="preserve"> </w:t>
      </w:r>
      <w:r w:rsidR="002D2B36">
        <w:t>with Haiti,</w:t>
      </w:r>
      <w:r w:rsidR="007E1608">
        <w:t xml:space="preserve"> as well as remedies in the form of water and sanitation infrastructure, just compensation and a public acceptance of responsibility. In contravention of its legal obligations, the UN responded by stating that the claims were “not receivable” because “consideration of these claims would necessarily include a review of political and policy matters,” and has subsequently refused to discuss out-of-court resolution of the claims.</w:t>
      </w:r>
      <w:r w:rsidR="00CB09DB">
        <w:t xml:space="preserve"> The UN has</w:t>
      </w:r>
      <w:r w:rsidR="00171337">
        <w:t xml:space="preserve"> chosen to assert </w:t>
      </w:r>
      <w:r w:rsidR="00CB09DB">
        <w:t>immunity rather than having the claims heard in an open and impartial national court.</w:t>
      </w:r>
      <w:r w:rsidR="007E1608">
        <w:rPr>
          <w:b/>
        </w:rPr>
        <w:t xml:space="preserve"> </w:t>
      </w:r>
      <w:r w:rsidR="00DF17A0">
        <w:t>In respect of these</w:t>
      </w:r>
      <w:r w:rsidR="00CB09DB">
        <w:t xml:space="preserve"> human rights violations, the cholera victims now have nowhere to turn to seek reparations for their harm and loss of </w:t>
      </w:r>
      <w:r>
        <w:t>family members.</w:t>
      </w:r>
      <w:r w:rsidR="007B1DD7">
        <w:t xml:space="preserve"> It is particularly troubling that the </w:t>
      </w:r>
      <w:r w:rsidR="00535F3E">
        <w:t>UN</w:t>
      </w:r>
      <w:r w:rsidR="007B1DD7">
        <w:t xml:space="preserve"> is not itself subject to any human rights enforcement mechanism.</w:t>
      </w:r>
      <w:r w:rsidR="007746B4">
        <w:t xml:space="preserve"> IJDH therefore urges that the Committee consider the accountability </w:t>
      </w:r>
      <w:r w:rsidR="007746B4">
        <w:lastRenderedPageBreak/>
        <w:t>deficit currently facing the victims of cholera in Haiti – whose right</w:t>
      </w:r>
      <w:r w:rsidR="0087267D">
        <w:t>s</w:t>
      </w:r>
      <w:r w:rsidR="007746B4">
        <w:t xml:space="preserve"> to life, health and water continue to be violated with impunity.  </w:t>
      </w:r>
    </w:p>
    <w:sectPr w:rsidR="00E07B47" w:rsidRPr="004F14D4" w:rsidSect="00E07B47">
      <w:footerReference w:type="default" r:id="rId8"/>
      <w:endnotePr>
        <w:numFmt w:val="decimal"/>
      </w:endnotePr>
      <w:pgSz w:w="11900" w:h="16840"/>
      <w:pgMar w:top="1440" w:right="1800" w:bottom="1701"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10F5C3" w15:done="0"/>
  <w15:commentEx w15:paraId="78AC516B" w15:done="0"/>
  <w15:commentEx w15:paraId="7A306B7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8E6D2" w14:textId="77777777" w:rsidR="00861FE9" w:rsidRDefault="00861FE9" w:rsidP="007B3CFF">
      <w:r>
        <w:separator/>
      </w:r>
    </w:p>
  </w:endnote>
  <w:endnote w:type="continuationSeparator" w:id="0">
    <w:p w14:paraId="7725EBBB" w14:textId="77777777" w:rsidR="00861FE9" w:rsidRDefault="00861FE9" w:rsidP="007B3CFF">
      <w:r>
        <w:continuationSeparator/>
      </w:r>
    </w:p>
  </w:endnote>
  <w:endnote w:id="1">
    <w:p w14:paraId="71A0D6F4" w14:textId="77777777" w:rsidR="00861FE9" w:rsidRPr="00E0761F" w:rsidRDefault="00861FE9" w:rsidP="00177BA6">
      <w:pPr>
        <w:pStyle w:val="EndnoteText"/>
        <w:rPr>
          <w:sz w:val="20"/>
          <w:szCs w:val="20"/>
        </w:rPr>
      </w:pPr>
      <w:r w:rsidRPr="00E0761F">
        <w:rPr>
          <w:rStyle w:val="EndnoteReference"/>
          <w:sz w:val="20"/>
          <w:szCs w:val="20"/>
        </w:rPr>
        <w:endnoteRef/>
      </w:r>
      <w:r w:rsidRPr="00E0761F">
        <w:rPr>
          <w:sz w:val="20"/>
          <w:szCs w:val="20"/>
        </w:rPr>
        <w:t xml:space="preserve"> </w:t>
      </w:r>
      <w:proofErr w:type="spellStart"/>
      <w:r w:rsidRPr="00E0761F">
        <w:rPr>
          <w:rFonts w:eastAsia="Times New Roman" w:cs="Times New Roman"/>
          <w:sz w:val="20"/>
          <w:szCs w:val="20"/>
        </w:rPr>
        <w:t>Ministère</w:t>
      </w:r>
      <w:proofErr w:type="spellEnd"/>
      <w:r w:rsidRPr="00E0761F">
        <w:rPr>
          <w:rFonts w:eastAsia="Times New Roman" w:cs="Times New Roman"/>
          <w:sz w:val="20"/>
          <w:szCs w:val="20"/>
        </w:rPr>
        <w:t xml:space="preserve"> de la Santé </w:t>
      </w:r>
      <w:proofErr w:type="spellStart"/>
      <w:r w:rsidRPr="00E0761F">
        <w:rPr>
          <w:rFonts w:eastAsia="Times New Roman" w:cs="Times New Roman"/>
          <w:sz w:val="20"/>
          <w:szCs w:val="20"/>
        </w:rPr>
        <w:t>Publique</w:t>
      </w:r>
      <w:proofErr w:type="spellEnd"/>
      <w:r w:rsidRPr="00E0761F">
        <w:rPr>
          <w:rFonts w:eastAsia="Times New Roman" w:cs="Times New Roman"/>
          <w:sz w:val="20"/>
          <w:szCs w:val="20"/>
        </w:rPr>
        <w:t xml:space="preserve"> et de la Population (MSPP), Rapport de </w:t>
      </w:r>
      <w:proofErr w:type="spellStart"/>
      <w:r w:rsidRPr="00E0761F">
        <w:rPr>
          <w:rFonts w:eastAsia="Times New Roman" w:cs="Times New Roman"/>
          <w:sz w:val="20"/>
          <w:szCs w:val="20"/>
        </w:rPr>
        <w:t>Cas</w:t>
      </w:r>
      <w:proofErr w:type="spellEnd"/>
      <w:r w:rsidRPr="00E0761F">
        <w:rPr>
          <w:rFonts w:eastAsia="Times New Roman" w:cs="Times New Roman"/>
          <w:sz w:val="20"/>
          <w:szCs w:val="20"/>
        </w:rPr>
        <w:t xml:space="preserve"> (2015), available at http://mspp.gouv.ht/site/downloads/Rapport%20Web%2005.04_Avec_Courbes_departementales.pdf; see also Charles Cholera in Haiti: One Year Later, CTRS. FOR DISEASE CONTROL &amp; PREVENTION (Oct. 25, 2011), http://www.cdc.gov/haiticholera/haiti_cholera.htm (“this marks the worst cholera outbreak in recent history...”); World Health Org., Cholera 2013, 89 WEEKLY EPIDEMIOLOGICAL RECORD 345, 345-356 (Aug. 1, 2014), available at http://www.who.int/wer/2014/wer8931.pdf?ua=1.</w:t>
      </w:r>
    </w:p>
  </w:endnote>
  <w:endnote w:id="2">
    <w:p w14:paraId="42634135" w14:textId="77777777" w:rsidR="00861FE9" w:rsidRPr="00E0761F" w:rsidRDefault="00861FE9" w:rsidP="00177BA6">
      <w:pPr>
        <w:pStyle w:val="EndnoteText"/>
        <w:rPr>
          <w:sz w:val="20"/>
          <w:szCs w:val="20"/>
        </w:rPr>
      </w:pPr>
      <w:r w:rsidRPr="00E0761F">
        <w:rPr>
          <w:rStyle w:val="EndnoteReference"/>
          <w:sz w:val="20"/>
          <w:szCs w:val="20"/>
        </w:rPr>
        <w:endnoteRef/>
      </w:r>
      <w:r w:rsidRPr="00E0761F">
        <w:rPr>
          <w:sz w:val="20"/>
          <w:szCs w:val="20"/>
        </w:rPr>
        <w:t xml:space="preserve"> Alejandro </w:t>
      </w:r>
      <w:proofErr w:type="spellStart"/>
      <w:r w:rsidRPr="00E0761F">
        <w:rPr>
          <w:sz w:val="20"/>
          <w:szCs w:val="20"/>
        </w:rPr>
        <w:t>Cravioto</w:t>
      </w:r>
      <w:proofErr w:type="spellEnd"/>
      <w:r w:rsidRPr="00E0761F">
        <w:rPr>
          <w:sz w:val="20"/>
          <w:szCs w:val="20"/>
        </w:rPr>
        <w:t xml:space="preserve"> et al., Final Report of the Independent Panel of Experts on the Cholera Outbreak in Haiti (2011).</w:t>
      </w:r>
    </w:p>
  </w:endnote>
  <w:endnote w:id="3">
    <w:p w14:paraId="74C95DC0" w14:textId="6E28A568" w:rsidR="00861FE9" w:rsidRPr="002A1053" w:rsidRDefault="00861FE9" w:rsidP="00177BA6">
      <w:pPr>
        <w:pStyle w:val="EndnoteText"/>
        <w:rPr>
          <w:sz w:val="20"/>
          <w:szCs w:val="20"/>
        </w:rPr>
      </w:pPr>
      <w:r w:rsidRPr="00E0761F">
        <w:rPr>
          <w:rStyle w:val="EndnoteReference"/>
          <w:sz w:val="20"/>
          <w:szCs w:val="20"/>
        </w:rPr>
        <w:endnoteRef/>
      </w:r>
      <w:r w:rsidRPr="00E0761F">
        <w:rPr>
          <w:sz w:val="20"/>
          <w:szCs w:val="20"/>
        </w:rPr>
        <w:t xml:space="preserve"> </w:t>
      </w:r>
      <w:r w:rsidRPr="00E0761F">
        <w:rPr>
          <w:rFonts w:eastAsia="Times New Roman" w:cs="Times New Roman"/>
          <w:sz w:val="20"/>
          <w:szCs w:val="20"/>
        </w:rPr>
        <w:t xml:space="preserve">Daniele </w:t>
      </w:r>
      <w:proofErr w:type="spellStart"/>
      <w:r w:rsidRPr="002A1053">
        <w:rPr>
          <w:rFonts w:eastAsia="Times New Roman" w:cs="Times New Roman"/>
          <w:sz w:val="20"/>
          <w:szCs w:val="20"/>
        </w:rPr>
        <w:t>Lantagne</w:t>
      </w:r>
      <w:proofErr w:type="spellEnd"/>
      <w:r w:rsidRPr="002A1053">
        <w:rPr>
          <w:rFonts w:eastAsia="Times New Roman" w:cs="Times New Roman"/>
          <w:sz w:val="20"/>
          <w:szCs w:val="20"/>
        </w:rPr>
        <w:t xml:space="preserve">, G. </w:t>
      </w:r>
      <w:proofErr w:type="spellStart"/>
      <w:r w:rsidRPr="002A1053">
        <w:rPr>
          <w:rFonts w:eastAsia="Times New Roman" w:cs="Times New Roman"/>
          <w:sz w:val="20"/>
          <w:szCs w:val="20"/>
        </w:rPr>
        <w:t>Balakrish</w:t>
      </w:r>
      <w:proofErr w:type="spellEnd"/>
      <w:r w:rsidRPr="002A1053">
        <w:rPr>
          <w:rFonts w:eastAsia="Times New Roman" w:cs="Times New Roman"/>
          <w:sz w:val="20"/>
          <w:szCs w:val="20"/>
        </w:rPr>
        <w:t xml:space="preserve"> Nair, Claudio F. </w:t>
      </w:r>
      <w:proofErr w:type="spellStart"/>
      <w:r w:rsidRPr="002A1053">
        <w:rPr>
          <w:rFonts w:eastAsia="Times New Roman" w:cs="Times New Roman"/>
          <w:sz w:val="20"/>
          <w:szCs w:val="20"/>
        </w:rPr>
        <w:t>Lanata</w:t>
      </w:r>
      <w:proofErr w:type="spellEnd"/>
      <w:r w:rsidRPr="002A1053">
        <w:rPr>
          <w:rFonts w:eastAsia="Times New Roman" w:cs="Times New Roman"/>
          <w:sz w:val="20"/>
          <w:szCs w:val="20"/>
        </w:rPr>
        <w:t xml:space="preserve"> &amp; Alejandro </w:t>
      </w:r>
      <w:proofErr w:type="spellStart"/>
      <w:r w:rsidRPr="002A1053">
        <w:rPr>
          <w:rFonts w:eastAsia="Times New Roman" w:cs="Times New Roman"/>
          <w:sz w:val="20"/>
          <w:szCs w:val="20"/>
        </w:rPr>
        <w:t>Cravioto</w:t>
      </w:r>
      <w:proofErr w:type="spellEnd"/>
      <w:r w:rsidRPr="002A1053">
        <w:rPr>
          <w:rFonts w:eastAsia="Times New Roman" w:cs="Times New Roman"/>
          <w:sz w:val="20"/>
          <w:szCs w:val="20"/>
        </w:rPr>
        <w:t xml:space="preserve">, </w:t>
      </w:r>
      <w:r w:rsidRPr="002A1053">
        <w:rPr>
          <w:rFonts w:eastAsia="Times New Roman" w:cs="Times New Roman"/>
          <w:i/>
          <w:sz w:val="20"/>
          <w:szCs w:val="20"/>
        </w:rPr>
        <w:t>The Cholera Epidemic in Haiti: Where and How Did It Begin?</w:t>
      </w:r>
      <w:r w:rsidRPr="002A1053">
        <w:rPr>
          <w:rFonts w:eastAsia="Times New Roman" w:cs="Times New Roman"/>
          <w:sz w:val="20"/>
          <w:szCs w:val="20"/>
        </w:rPr>
        <w:t xml:space="preserve"> Current Topics in Microbiology and Immunology (2013)</w:t>
      </w:r>
      <w:r>
        <w:rPr>
          <w:rFonts w:eastAsia="Times New Roman" w:cs="Times New Roman"/>
          <w:sz w:val="20"/>
          <w:szCs w:val="20"/>
        </w:rPr>
        <w:t>.</w:t>
      </w:r>
    </w:p>
  </w:endnote>
  <w:endnote w:id="4">
    <w:p w14:paraId="251F6FEB" w14:textId="2FA035F6" w:rsidR="00861FE9" w:rsidRPr="00830D65" w:rsidRDefault="00861FE9" w:rsidP="0046729E">
      <w:pPr>
        <w:pStyle w:val="EndnoteText"/>
        <w:rPr>
          <w:sz w:val="20"/>
          <w:szCs w:val="20"/>
        </w:rPr>
      </w:pPr>
      <w:r w:rsidRPr="005A1E54">
        <w:rPr>
          <w:rStyle w:val="EndnoteReference"/>
          <w:sz w:val="20"/>
          <w:szCs w:val="20"/>
        </w:rPr>
        <w:endnoteRef/>
      </w:r>
      <w:r w:rsidRPr="005A1E54">
        <w:rPr>
          <w:sz w:val="20"/>
          <w:szCs w:val="20"/>
        </w:rPr>
        <w:t xml:space="preserve"> </w:t>
      </w:r>
      <w:r w:rsidRPr="00830D65">
        <w:rPr>
          <w:sz w:val="20"/>
          <w:szCs w:val="20"/>
        </w:rPr>
        <w:t xml:space="preserve">This concern was recently echoed by a number of UN Special Rapporteurs in an allegation letter to the Secretary-General concerning cholera in Haiti. </w:t>
      </w:r>
      <w:r w:rsidRPr="00F74568">
        <w:rPr>
          <w:i/>
          <w:sz w:val="20"/>
          <w:szCs w:val="20"/>
        </w:rPr>
        <w:t xml:space="preserve">See </w:t>
      </w:r>
      <w:r w:rsidRPr="00F74568">
        <w:rPr>
          <w:sz w:val="20"/>
          <w:szCs w:val="20"/>
        </w:rPr>
        <w:t>Allegation letter to the UN Secretary-General concerning the cholera outbreak in Haiti, co-signed by the Special</w:t>
      </w:r>
      <w:r w:rsidRPr="00C36AD7">
        <w:rPr>
          <w:sz w:val="20"/>
          <w:szCs w:val="20"/>
        </w:rPr>
        <w:t xml:space="preserve"> Rapporteur on adequate housing as a component of the right to an adequate standard of living, and on the right to non-discrimination in this context; the Independent Expert on the situation of human</w:t>
      </w:r>
      <w:r w:rsidRPr="007D1CFA">
        <w:rPr>
          <w:sz w:val="20"/>
          <w:szCs w:val="20"/>
        </w:rPr>
        <w:t xml:space="preserve"> rights in Haiti; the Special Rapporteur on the right of everyone to the enjoyment of the highest attainable standard of physical and mental health; and the Special Rapporteur on the h</w:t>
      </w:r>
      <w:r w:rsidRPr="00830D65">
        <w:rPr>
          <w:sz w:val="20"/>
          <w:szCs w:val="20"/>
        </w:rPr>
        <w:t xml:space="preserve">uman right to safe-drinking water and sanitation, 25 September 2014. </w:t>
      </w:r>
    </w:p>
  </w:endnote>
  <w:endnote w:id="5">
    <w:p w14:paraId="0F357F7D" w14:textId="3B01C65C" w:rsidR="00861FE9" w:rsidRPr="00830D65" w:rsidRDefault="00861FE9">
      <w:pPr>
        <w:pStyle w:val="EndnoteText"/>
        <w:rPr>
          <w:sz w:val="20"/>
          <w:szCs w:val="20"/>
        </w:rPr>
      </w:pPr>
      <w:r w:rsidRPr="00830D65">
        <w:rPr>
          <w:rStyle w:val="EndnoteReference"/>
          <w:sz w:val="20"/>
          <w:szCs w:val="20"/>
        </w:rPr>
        <w:endnoteRef/>
      </w:r>
      <w:r w:rsidRPr="00830D65">
        <w:rPr>
          <w:sz w:val="20"/>
          <w:szCs w:val="20"/>
        </w:rPr>
        <w:t xml:space="preserve"> Bertrand G </w:t>
      </w:r>
      <w:proofErr w:type="spellStart"/>
      <w:r w:rsidRPr="00830D65">
        <w:rPr>
          <w:sz w:val="20"/>
          <w:szCs w:val="20"/>
        </w:rPr>
        <w:t>Ramcharan</w:t>
      </w:r>
      <w:proofErr w:type="spellEnd"/>
      <w:r w:rsidRPr="00830D65">
        <w:rPr>
          <w:sz w:val="20"/>
          <w:szCs w:val="20"/>
        </w:rPr>
        <w:t xml:space="preserve">,  ‘The Concept and Dimensions of the Right to Life’ in Bertrand G </w:t>
      </w:r>
      <w:proofErr w:type="spellStart"/>
      <w:r w:rsidRPr="00830D65">
        <w:rPr>
          <w:sz w:val="20"/>
          <w:szCs w:val="20"/>
        </w:rPr>
        <w:t>Ramcharan</w:t>
      </w:r>
      <w:proofErr w:type="spellEnd"/>
      <w:r w:rsidRPr="00830D65">
        <w:rPr>
          <w:sz w:val="20"/>
          <w:szCs w:val="20"/>
        </w:rPr>
        <w:t xml:space="preserve"> (</w:t>
      </w:r>
      <w:proofErr w:type="spellStart"/>
      <w:r w:rsidRPr="00830D65">
        <w:rPr>
          <w:sz w:val="20"/>
          <w:szCs w:val="20"/>
        </w:rPr>
        <w:t>ed</w:t>
      </w:r>
      <w:proofErr w:type="spellEnd"/>
      <w:r w:rsidRPr="00830D65">
        <w:rPr>
          <w:sz w:val="20"/>
          <w:szCs w:val="20"/>
        </w:rPr>
        <w:t xml:space="preserve">), </w:t>
      </w:r>
      <w:r w:rsidRPr="00830D65">
        <w:rPr>
          <w:i/>
          <w:sz w:val="20"/>
          <w:szCs w:val="20"/>
        </w:rPr>
        <w:t>The Right to Life in International Law</w:t>
      </w:r>
      <w:r w:rsidRPr="00830D65">
        <w:rPr>
          <w:sz w:val="20"/>
          <w:szCs w:val="20"/>
        </w:rPr>
        <w:t xml:space="preserve"> (</w:t>
      </w:r>
      <w:proofErr w:type="spellStart"/>
      <w:r w:rsidRPr="00830D65">
        <w:rPr>
          <w:sz w:val="20"/>
          <w:szCs w:val="20"/>
        </w:rPr>
        <w:t>Martinus</w:t>
      </w:r>
      <w:proofErr w:type="spellEnd"/>
      <w:r w:rsidRPr="00830D65">
        <w:rPr>
          <w:sz w:val="20"/>
          <w:szCs w:val="20"/>
        </w:rPr>
        <w:t xml:space="preserve"> </w:t>
      </w:r>
      <w:proofErr w:type="spellStart"/>
      <w:r w:rsidRPr="00830D65">
        <w:rPr>
          <w:sz w:val="20"/>
          <w:szCs w:val="20"/>
        </w:rPr>
        <w:t>Nijhoff</w:t>
      </w:r>
      <w:proofErr w:type="spellEnd"/>
      <w:r w:rsidRPr="00830D65">
        <w:rPr>
          <w:sz w:val="20"/>
          <w:szCs w:val="20"/>
        </w:rPr>
        <w:t xml:space="preserve"> Publishers, 1985)</w:t>
      </w:r>
    </w:p>
  </w:endnote>
  <w:endnote w:id="6">
    <w:p w14:paraId="75DC8533" w14:textId="519778CA" w:rsidR="00861FE9" w:rsidRPr="00830D65" w:rsidRDefault="00861FE9">
      <w:pPr>
        <w:pStyle w:val="EndnoteText"/>
        <w:rPr>
          <w:sz w:val="20"/>
          <w:szCs w:val="20"/>
        </w:rPr>
      </w:pPr>
      <w:r w:rsidRPr="00830D65">
        <w:rPr>
          <w:rStyle w:val="EndnoteReference"/>
          <w:sz w:val="20"/>
          <w:szCs w:val="20"/>
        </w:rPr>
        <w:endnoteRef/>
      </w:r>
      <w:r w:rsidRPr="00830D65">
        <w:rPr>
          <w:sz w:val="20"/>
          <w:szCs w:val="20"/>
        </w:rPr>
        <w:t xml:space="preserve"> </w:t>
      </w:r>
      <w:r w:rsidRPr="00830D65">
        <w:rPr>
          <w:rFonts w:ascii="Times New Roman" w:eastAsia="Times New Roman" w:hAnsi="Times New Roman" w:cs="Times New Roman"/>
          <w:sz w:val="20"/>
          <w:szCs w:val="20"/>
        </w:rPr>
        <w:t>Interpretation of the Agreement of 25 March 1951 between WHO and Egypt, Advisory Opinion, 1951 I.C.J. 73, 88-89 (Dec. 20); I.J.C. Reparations Case, 179 (“[</w:t>
      </w:r>
      <w:proofErr w:type="spellStart"/>
      <w:r w:rsidRPr="00830D65">
        <w:rPr>
          <w:rFonts w:ascii="Times New Roman" w:eastAsia="Times New Roman" w:hAnsi="Times New Roman" w:cs="Times New Roman"/>
          <w:sz w:val="20"/>
          <w:szCs w:val="20"/>
        </w:rPr>
        <w:t>i</w:t>
      </w:r>
      <w:proofErr w:type="spellEnd"/>
      <w:r w:rsidRPr="00830D65">
        <w:rPr>
          <w:rFonts w:ascii="Times New Roman" w:eastAsia="Times New Roman" w:hAnsi="Times New Roman" w:cs="Times New Roman"/>
          <w:sz w:val="20"/>
          <w:szCs w:val="20"/>
        </w:rPr>
        <w:t>]</w:t>
      </w:r>
      <w:proofErr w:type="spellStart"/>
      <w:r w:rsidRPr="00830D65">
        <w:rPr>
          <w:rFonts w:ascii="Times New Roman" w:eastAsia="Times New Roman" w:hAnsi="Times New Roman" w:cs="Times New Roman"/>
          <w:sz w:val="20"/>
          <w:szCs w:val="20"/>
        </w:rPr>
        <w:t>nternational</w:t>
      </w:r>
      <w:proofErr w:type="spellEnd"/>
      <w:r w:rsidRPr="00830D65">
        <w:rPr>
          <w:rFonts w:ascii="Times New Roman" w:eastAsia="Times New Roman" w:hAnsi="Times New Roman" w:cs="Times New Roman"/>
          <w:sz w:val="20"/>
          <w:szCs w:val="20"/>
        </w:rPr>
        <w:t xml:space="preserve"> organizations are subjects of international law, and as such are bound by any obligations incumbent upon them under general rules of international law, under their constitutions or under international agreements to which they are parties.”)</w:t>
      </w:r>
      <w:r w:rsidRPr="00830D65">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F80F" w14:textId="4749DBB2" w:rsidR="00861FE9" w:rsidRPr="0041561A" w:rsidRDefault="00861FE9" w:rsidP="0041561A">
    <w:pPr>
      <w:tabs>
        <w:tab w:val="num" w:pos="720"/>
      </w:tabs>
      <w:rPr>
        <w:rFonts w:ascii="Helvetica Neue" w:hAnsi="Helvetica Neue" w:cs="Arial"/>
        <w:color w:val="000000"/>
        <w:sz w:val="18"/>
        <w:szCs w:val="18"/>
        <w:lang w:val="fr-CA"/>
      </w:rPr>
    </w:pPr>
    <w:r w:rsidRPr="0041561A">
      <w:rPr>
        <w:rFonts w:ascii="Helvetica Neue" w:hAnsi="Helvetica Neue" w:cs="Arial"/>
        <w:color w:val="262626"/>
        <w:sz w:val="18"/>
        <w:szCs w:val="18"/>
        <w:lang w:val="fr-CA"/>
      </w:rPr>
      <w:t>666 Dorchester Avenue | Boston, MA, USA 02127 | (617) 652-0876 | info@ijdh.org | http://ijdh.org</w:t>
    </w:r>
  </w:p>
  <w:p w14:paraId="18CA487E" w14:textId="10241CB2" w:rsidR="00861FE9" w:rsidRDefault="00861FE9">
    <w:pPr>
      <w:pStyle w:val="Footer"/>
    </w:pPr>
  </w:p>
  <w:p w14:paraId="72C0BDBD" w14:textId="77777777" w:rsidR="00861FE9" w:rsidRDefault="00861F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770BC" w14:textId="77777777" w:rsidR="00861FE9" w:rsidRDefault="00861FE9" w:rsidP="007B3CFF">
      <w:r>
        <w:separator/>
      </w:r>
    </w:p>
  </w:footnote>
  <w:footnote w:type="continuationSeparator" w:id="0">
    <w:p w14:paraId="3B657C6A" w14:textId="77777777" w:rsidR="00861FE9" w:rsidRDefault="00861FE9" w:rsidP="007B3CF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8566a8a88773f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FF"/>
    <w:rsid w:val="0000156C"/>
    <w:rsid w:val="00017635"/>
    <w:rsid w:val="00026AE6"/>
    <w:rsid w:val="0016778C"/>
    <w:rsid w:val="00171337"/>
    <w:rsid w:val="001777B0"/>
    <w:rsid w:val="00177BA6"/>
    <w:rsid w:val="00235370"/>
    <w:rsid w:val="002425D7"/>
    <w:rsid w:val="002A1053"/>
    <w:rsid w:val="002D2B36"/>
    <w:rsid w:val="00396C8B"/>
    <w:rsid w:val="0041561A"/>
    <w:rsid w:val="00421161"/>
    <w:rsid w:val="00433C4D"/>
    <w:rsid w:val="0046729E"/>
    <w:rsid w:val="0047401B"/>
    <w:rsid w:val="004F14D4"/>
    <w:rsid w:val="00514FFB"/>
    <w:rsid w:val="00535F3E"/>
    <w:rsid w:val="005472EB"/>
    <w:rsid w:val="005509A2"/>
    <w:rsid w:val="005651BC"/>
    <w:rsid w:val="005A1E54"/>
    <w:rsid w:val="00604B64"/>
    <w:rsid w:val="00634CCE"/>
    <w:rsid w:val="00670D20"/>
    <w:rsid w:val="00675326"/>
    <w:rsid w:val="00735AD2"/>
    <w:rsid w:val="007458AC"/>
    <w:rsid w:val="007746B4"/>
    <w:rsid w:val="007B1DD7"/>
    <w:rsid w:val="007B3CFF"/>
    <w:rsid w:val="007D1CFA"/>
    <w:rsid w:val="007E1608"/>
    <w:rsid w:val="008275C1"/>
    <w:rsid w:val="00830D65"/>
    <w:rsid w:val="00861FE9"/>
    <w:rsid w:val="008641FB"/>
    <w:rsid w:val="0087267D"/>
    <w:rsid w:val="008A0B9F"/>
    <w:rsid w:val="008F770A"/>
    <w:rsid w:val="0097580E"/>
    <w:rsid w:val="00990436"/>
    <w:rsid w:val="00A709C0"/>
    <w:rsid w:val="00AB683D"/>
    <w:rsid w:val="00B12D5B"/>
    <w:rsid w:val="00B65EB8"/>
    <w:rsid w:val="00BA5017"/>
    <w:rsid w:val="00BA5252"/>
    <w:rsid w:val="00BB4895"/>
    <w:rsid w:val="00C12DE5"/>
    <w:rsid w:val="00C36AD7"/>
    <w:rsid w:val="00C619F6"/>
    <w:rsid w:val="00CB09DB"/>
    <w:rsid w:val="00CC2227"/>
    <w:rsid w:val="00DF17A0"/>
    <w:rsid w:val="00DF2547"/>
    <w:rsid w:val="00E0761F"/>
    <w:rsid w:val="00E07B47"/>
    <w:rsid w:val="00E410AF"/>
    <w:rsid w:val="00E56C8F"/>
    <w:rsid w:val="00EB1B42"/>
    <w:rsid w:val="00F707DE"/>
    <w:rsid w:val="00F7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F2B9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b/>
        <w:bCs/>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FF"/>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B3CFF"/>
    <w:pPr>
      <w:widowControl w:val="0"/>
      <w:contextualSpacing/>
    </w:pPr>
    <w:rPr>
      <w:rFonts w:ascii="Cambria" w:eastAsia="Cambria" w:hAnsi="Cambria" w:cs="Cambria"/>
      <w:b w:val="0"/>
      <w:bCs w:val="0"/>
      <w:color w:val="000000"/>
      <w:sz w:val="24"/>
      <w:szCs w:val="24"/>
      <w:lang w:eastAsia="ja-JP"/>
    </w:rPr>
  </w:style>
  <w:style w:type="paragraph" w:styleId="EndnoteText">
    <w:name w:val="endnote text"/>
    <w:basedOn w:val="Normal"/>
    <w:link w:val="EndnoteTextChar"/>
    <w:uiPriority w:val="99"/>
    <w:unhideWhenUsed/>
    <w:rsid w:val="007B3CFF"/>
    <w:rPr>
      <w:sz w:val="24"/>
      <w:szCs w:val="24"/>
    </w:rPr>
  </w:style>
  <w:style w:type="character" w:customStyle="1" w:styleId="EndnoteTextChar">
    <w:name w:val="Endnote Text Char"/>
    <w:basedOn w:val="DefaultParagraphFont"/>
    <w:link w:val="EndnoteText"/>
    <w:uiPriority w:val="99"/>
    <w:rsid w:val="007B3CFF"/>
    <w:rPr>
      <w:b w:val="0"/>
      <w:bCs w:val="0"/>
      <w:sz w:val="24"/>
      <w:szCs w:val="24"/>
    </w:rPr>
  </w:style>
  <w:style w:type="character" w:styleId="EndnoteReference">
    <w:name w:val="endnote reference"/>
    <w:basedOn w:val="DefaultParagraphFont"/>
    <w:uiPriority w:val="99"/>
    <w:unhideWhenUsed/>
    <w:rsid w:val="007B3CFF"/>
    <w:rPr>
      <w:vertAlign w:val="superscript"/>
    </w:rPr>
  </w:style>
  <w:style w:type="paragraph" w:styleId="FootnoteText">
    <w:name w:val="footnote text"/>
    <w:basedOn w:val="Normal"/>
    <w:link w:val="FootnoteTextChar"/>
    <w:uiPriority w:val="99"/>
    <w:unhideWhenUsed/>
    <w:rsid w:val="004F14D4"/>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4F14D4"/>
    <w:rPr>
      <w:rFonts w:ascii="Times New Roman" w:eastAsiaTheme="minorHAnsi" w:hAnsi="Times New Roman"/>
      <w:b w:val="0"/>
      <w:bCs w:val="0"/>
      <w:sz w:val="20"/>
      <w:szCs w:val="20"/>
    </w:rPr>
  </w:style>
  <w:style w:type="character" w:styleId="FootnoteReference">
    <w:name w:val="footnote reference"/>
    <w:basedOn w:val="DefaultParagraphFont"/>
    <w:uiPriority w:val="99"/>
    <w:unhideWhenUsed/>
    <w:rsid w:val="004F14D4"/>
    <w:rPr>
      <w:vertAlign w:val="superscript"/>
    </w:rPr>
  </w:style>
  <w:style w:type="character" w:styleId="CommentReference">
    <w:name w:val="annotation reference"/>
    <w:basedOn w:val="DefaultParagraphFont"/>
    <w:uiPriority w:val="99"/>
    <w:semiHidden/>
    <w:unhideWhenUsed/>
    <w:rsid w:val="008F770A"/>
    <w:rPr>
      <w:sz w:val="16"/>
      <w:szCs w:val="16"/>
    </w:rPr>
  </w:style>
  <w:style w:type="paragraph" w:styleId="CommentText">
    <w:name w:val="annotation text"/>
    <w:basedOn w:val="Normal"/>
    <w:link w:val="CommentTextChar"/>
    <w:uiPriority w:val="99"/>
    <w:semiHidden/>
    <w:unhideWhenUsed/>
    <w:rsid w:val="008F770A"/>
    <w:rPr>
      <w:rFonts w:ascii="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8F770A"/>
    <w:rPr>
      <w:rFonts w:ascii="Times New Roman" w:hAnsi="Times New Roman" w:cs="Times New Roman"/>
      <w:b w:val="0"/>
      <w:bCs w:val="0"/>
      <w:kern w:val="28"/>
      <w:sz w:val="20"/>
      <w:szCs w:val="20"/>
    </w:rPr>
  </w:style>
  <w:style w:type="paragraph" w:styleId="BalloonText">
    <w:name w:val="Balloon Text"/>
    <w:basedOn w:val="Normal"/>
    <w:link w:val="BalloonTextChar"/>
    <w:uiPriority w:val="99"/>
    <w:semiHidden/>
    <w:unhideWhenUsed/>
    <w:rsid w:val="008F77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70A"/>
    <w:rPr>
      <w:rFonts w:ascii="Lucida Grande" w:hAnsi="Lucida Grande" w:cs="Lucida Grande"/>
      <w:b w:val="0"/>
      <w:bCs w:val="0"/>
      <w:sz w:val="18"/>
      <w:szCs w:val="18"/>
    </w:rPr>
  </w:style>
  <w:style w:type="paragraph" w:styleId="CommentSubject">
    <w:name w:val="annotation subject"/>
    <w:basedOn w:val="CommentText"/>
    <w:next w:val="CommentText"/>
    <w:link w:val="CommentSubjectChar"/>
    <w:uiPriority w:val="99"/>
    <w:semiHidden/>
    <w:unhideWhenUsed/>
    <w:rsid w:val="00990436"/>
    <w:rPr>
      <w:rFonts w:ascii="Times" w:hAnsi="Times" w:cstheme="minorBidi"/>
      <w:b/>
      <w:bCs/>
      <w:kern w:val="0"/>
    </w:rPr>
  </w:style>
  <w:style w:type="character" w:customStyle="1" w:styleId="CommentSubjectChar">
    <w:name w:val="Comment Subject Char"/>
    <w:basedOn w:val="CommentTextChar"/>
    <w:link w:val="CommentSubject"/>
    <w:uiPriority w:val="99"/>
    <w:semiHidden/>
    <w:rsid w:val="00990436"/>
    <w:rPr>
      <w:rFonts w:ascii="Times New Roman" w:hAnsi="Times New Roman" w:cs="Times New Roman"/>
      <w:b/>
      <w:bCs/>
      <w:kern w:val="28"/>
      <w:sz w:val="20"/>
      <w:szCs w:val="20"/>
    </w:rPr>
  </w:style>
  <w:style w:type="paragraph" w:styleId="Header">
    <w:name w:val="header"/>
    <w:basedOn w:val="Normal"/>
    <w:link w:val="HeaderChar"/>
    <w:uiPriority w:val="99"/>
    <w:unhideWhenUsed/>
    <w:rsid w:val="007458AC"/>
    <w:pPr>
      <w:tabs>
        <w:tab w:val="center" w:pos="4680"/>
        <w:tab w:val="right" w:pos="9360"/>
      </w:tabs>
    </w:pPr>
  </w:style>
  <w:style w:type="character" w:customStyle="1" w:styleId="HeaderChar">
    <w:name w:val="Header Char"/>
    <w:basedOn w:val="DefaultParagraphFont"/>
    <w:link w:val="Header"/>
    <w:uiPriority w:val="99"/>
    <w:rsid w:val="007458AC"/>
    <w:rPr>
      <w:b w:val="0"/>
      <w:bCs w:val="0"/>
    </w:rPr>
  </w:style>
  <w:style w:type="paragraph" w:styleId="Footer">
    <w:name w:val="footer"/>
    <w:basedOn w:val="Normal"/>
    <w:link w:val="FooterChar"/>
    <w:uiPriority w:val="99"/>
    <w:unhideWhenUsed/>
    <w:rsid w:val="007458AC"/>
    <w:pPr>
      <w:tabs>
        <w:tab w:val="center" w:pos="4680"/>
        <w:tab w:val="right" w:pos="9360"/>
      </w:tabs>
    </w:pPr>
  </w:style>
  <w:style w:type="character" w:customStyle="1" w:styleId="FooterChar">
    <w:name w:val="Footer Char"/>
    <w:basedOn w:val="DefaultParagraphFont"/>
    <w:link w:val="Footer"/>
    <w:uiPriority w:val="99"/>
    <w:rsid w:val="007458AC"/>
    <w:rPr>
      <w:b w:val="0"/>
      <w:bCs w:val="0"/>
    </w:rPr>
  </w:style>
  <w:style w:type="paragraph" w:customStyle="1" w:styleId="normal0">
    <w:name w:val="normal"/>
    <w:rsid w:val="00BA5252"/>
    <w:pPr>
      <w:widowControl w:val="0"/>
      <w:contextualSpacing/>
    </w:pPr>
    <w:rPr>
      <w:rFonts w:ascii="Cambria" w:eastAsia="Cambria" w:hAnsi="Cambria" w:cs="Cambria"/>
      <w:b w:val="0"/>
      <w:bCs w:val="0"/>
      <w:color w:val="000000"/>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b/>
        <w:bCs/>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FF"/>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B3CFF"/>
    <w:pPr>
      <w:widowControl w:val="0"/>
      <w:contextualSpacing/>
    </w:pPr>
    <w:rPr>
      <w:rFonts w:ascii="Cambria" w:eastAsia="Cambria" w:hAnsi="Cambria" w:cs="Cambria"/>
      <w:b w:val="0"/>
      <w:bCs w:val="0"/>
      <w:color w:val="000000"/>
      <w:sz w:val="24"/>
      <w:szCs w:val="24"/>
      <w:lang w:eastAsia="ja-JP"/>
    </w:rPr>
  </w:style>
  <w:style w:type="paragraph" w:styleId="EndnoteText">
    <w:name w:val="endnote text"/>
    <w:basedOn w:val="Normal"/>
    <w:link w:val="EndnoteTextChar"/>
    <w:uiPriority w:val="99"/>
    <w:unhideWhenUsed/>
    <w:rsid w:val="007B3CFF"/>
    <w:rPr>
      <w:sz w:val="24"/>
      <w:szCs w:val="24"/>
    </w:rPr>
  </w:style>
  <w:style w:type="character" w:customStyle="1" w:styleId="EndnoteTextChar">
    <w:name w:val="Endnote Text Char"/>
    <w:basedOn w:val="DefaultParagraphFont"/>
    <w:link w:val="EndnoteText"/>
    <w:uiPriority w:val="99"/>
    <w:rsid w:val="007B3CFF"/>
    <w:rPr>
      <w:b w:val="0"/>
      <w:bCs w:val="0"/>
      <w:sz w:val="24"/>
      <w:szCs w:val="24"/>
    </w:rPr>
  </w:style>
  <w:style w:type="character" w:styleId="EndnoteReference">
    <w:name w:val="endnote reference"/>
    <w:basedOn w:val="DefaultParagraphFont"/>
    <w:uiPriority w:val="99"/>
    <w:unhideWhenUsed/>
    <w:rsid w:val="007B3CFF"/>
    <w:rPr>
      <w:vertAlign w:val="superscript"/>
    </w:rPr>
  </w:style>
  <w:style w:type="paragraph" w:styleId="FootnoteText">
    <w:name w:val="footnote text"/>
    <w:basedOn w:val="Normal"/>
    <w:link w:val="FootnoteTextChar"/>
    <w:uiPriority w:val="99"/>
    <w:unhideWhenUsed/>
    <w:rsid w:val="004F14D4"/>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4F14D4"/>
    <w:rPr>
      <w:rFonts w:ascii="Times New Roman" w:eastAsiaTheme="minorHAnsi" w:hAnsi="Times New Roman"/>
      <w:b w:val="0"/>
      <w:bCs w:val="0"/>
      <w:sz w:val="20"/>
      <w:szCs w:val="20"/>
    </w:rPr>
  </w:style>
  <w:style w:type="character" w:styleId="FootnoteReference">
    <w:name w:val="footnote reference"/>
    <w:basedOn w:val="DefaultParagraphFont"/>
    <w:uiPriority w:val="99"/>
    <w:unhideWhenUsed/>
    <w:rsid w:val="004F14D4"/>
    <w:rPr>
      <w:vertAlign w:val="superscript"/>
    </w:rPr>
  </w:style>
  <w:style w:type="character" w:styleId="CommentReference">
    <w:name w:val="annotation reference"/>
    <w:basedOn w:val="DefaultParagraphFont"/>
    <w:uiPriority w:val="99"/>
    <w:semiHidden/>
    <w:unhideWhenUsed/>
    <w:rsid w:val="008F770A"/>
    <w:rPr>
      <w:sz w:val="16"/>
      <w:szCs w:val="16"/>
    </w:rPr>
  </w:style>
  <w:style w:type="paragraph" w:styleId="CommentText">
    <w:name w:val="annotation text"/>
    <w:basedOn w:val="Normal"/>
    <w:link w:val="CommentTextChar"/>
    <w:uiPriority w:val="99"/>
    <w:semiHidden/>
    <w:unhideWhenUsed/>
    <w:rsid w:val="008F770A"/>
    <w:rPr>
      <w:rFonts w:ascii="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8F770A"/>
    <w:rPr>
      <w:rFonts w:ascii="Times New Roman" w:hAnsi="Times New Roman" w:cs="Times New Roman"/>
      <w:b w:val="0"/>
      <w:bCs w:val="0"/>
      <w:kern w:val="28"/>
      <w:sz w:val="20"/>
      <w:szCs w:val="20"/>
    </w:rPr>
  </w:style>
  <w:style w:type="paragraph" w:styleId="BalloonText">
    <w:name w:val="Balloon Text"/>
    <w:basedOn w:val="Normal"/>
    <w:link w:val="BalloonTextChar"/>
    <w:uiPriority w:val="99"/>
    <w:semiHidden/>
    <w:unhideWhenUsed/>
    <w:rsid w:val="008F77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70A"/>
    <w:rPr>
      <w:rFonts w:ascii="Lucida Grande" w:hAnsi="Lucida Grande" w:cs="Lucida Grande"/>
      <w:b w:val="0"/>
      <w:bCs w:val="0"/>
      <w:sz w:val="18"/>
      <w:szCs w:val="18"/>
    </w:rPr>
  </w:style>
  <w:style w:type="paragraph" w:styleId="CommentSubject">
    <w:name w:val="annotation subject"/>
    <w:basedOn w:val="CommentText"/>
    <w:next w:val="CommentText"/>
    <w:link w:val="CommentSubjectChar"/>
    <w:uiPriority w:val="99"/>
    <w:semiHidden/>
    <w:unhideWhenUsed/>
    <w:rsid w:val="00990436"/>
    <w:rPr>
      <w:rFonts w:ascii="Times" w:hAnsi="Times" w:cstheme="minorBidi"/>
      <w:b/>
      <w:bCs/>
      <w:kern w:val="0"/>
    </w:rPr>
  </w:style>
  <w:style w:type="character" w:customStyle="1" w:styleId="CommentSubjectChar">
    <w:name w:val="Comment Subject Char"/>
    <w:basedOn w:val="CommentTextChar"/>
    <w:link w:val="CommentSubject"/>
    <w:uiPriority w:val="99"/>
    <w:semiHidden/>
    <w:rsid w:val="00990436"/>
    <w:rPr>
      <w:rFonts w:ascii="Times New Roman" w:hAnsi="Times New Roman" w:cs="Times New Roman"/>
      <w:b/>
      <w:bCs/>
      <w:kern w:val="28"/>
      <w:sz w:val="20"/>
      <w:szCs w:val="20"/>
    </w:rPr>
  </w:style>
  <w:style w:type="paragraph" w:styleId="Header">
    <w:name w:val="header"/>
    <w:basedOn w:val="Normal"/>
    <w:link w:val="HeaderChar"/>
    <w:uiPriority w:val="99"/>
    <w:unhideWhenUsed/>
    <w:rsid w:val="007458AC"/>
    <w:pPr>
      <w:tabs>
        <w:tab w:val="center" w:pos="4680"/>
        <w:tab w:val="right" w:pos="9360"/>
      </w:tabs>
    </w:pPr>
  </w:style>
  <w:style w:type="character" w:customStyle="1" w:styleId="HeaderChar">
    <w:name w:val="Header Char"/>
    <w:basedOn w:val="DefaultParagraphFont"/>
    <w:link w:val="Header"/>
    <w:uiPriority w:val="99"/>
    <w:rsid w:val="007458AC"/>
    <w:rPr>
      <w:b w:val="0"/>
      <w:bCs w:val="0"/>
    </w:rPr>
  </w:style>
  <w:style w:type="paragraph" w:styleId="Footer">
    <w:name w:val="footer"/>
    <w:basedOn w:val="Normal"/>
    <w:link w:val="FooterChar"/>
    <w:uiPriority w:val="99"/>
    <w:unhideWhenUsed/>
    <w:rsid w:val="007458AC"/>
    <w:pPr>
      <w:tabs>
        <w:tab w:val="center" w:pos="4680"/>
        <w:tab w:val="right" w:pos="9360"/>
      </w:tabs>
    </w:pPr>
  </w:style>
  <w:style w:type="character" w:customStyle="1" w:styleId="FooterChar">
    <w:name w:val="Footer Char"/>
    <w:basedOn w:val="DefaultParagraphFont"/>
    <w:link w:val="Footer"/>
    <w:uiPriority w:val="99"/>
    <w:rsid w:val="007458AC"/>
    <w:rPr>
      <w:b w:val="0"/>
      <w:bCs w:val="0"/>
    </w:rPr>
  </w:style>
  <w:style w:type="paragraph" w:customStyle="1" w:styleId="normal0">
    <w:name w:val="normal"/>
    <w:rsid w:val="00BA5252"/>
    <w:pPr>
      <w:widowControl w:val="0"/>
      <w:contextualSpacing/>
    </w:pPr>
    <w:rPr>
      <w:rFonts w:ascii="Cambria" w:eastAsia="Cambria" w:hAnsi="Cambria" w:cs="Cambria"/>
      <w:b w:val="0"/>
      <w:bCs w:val="0"/>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12" Type="http://schemas.microsoft.com/office/2011/relationships/commentsExtended" Target="commentsExtended.xml"/><Relationship Id="rId7" Type="http://schemas.openxmlformats.org/officeDocument/2006/relationships/image" Target="media/image1.png"/><Relationship Id="rId2" Type="http://schemas.microsoft.com/office/2007/relationships/stylesWithEffects" Target="stylesWithEffects.xml"/><Relationship Id="rId11"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7AE1A-7039-49E8-87ED-2B97845805EF}"/>
</file>

<file path=customXml/itemProps2.xml><?xml version="1.0" encoding="utf-8"?>
<ds:datastoreItem xmlns:ds="http://schemas.openxmlformats.org/officeDocument/2006/customXml" ds:itemID="{C522A69A-E7A7-4817-B0B7-80B7B80C93B7}"/>
</file>

<file path=customXml/itemProps3.xml><?xml version="1.0" encoding="utf-8"?>
<ds:datastoreItem xmlns:ds="http://schemas.openxmlformats.org/officeDocument/2006/customXml" ds:itemID="{72A3AB26-D782-44FC-8169-C0A63B34C046}"/>
</file>

<file path=docProps/app.xml><?xml version="1.0" encoding="utf-8"?>
<Properties xmlns="http://schemas.openxmlformats.org/officeDocument/2006/extended-properties" xmlns:vt="http://schemas.openxmlformats.org/officeDocument/2006/docPropsVTypes">
  <Template>Normal.dotm</Template>
  <TotalTime>163</TotalTime>
  <Pages>3</Pages>
  <Words>826</Words>
  <Characters>4711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Nancy Taylor</dc:creator>
  <cp:keywords/>
  <dc:description/>
  <cp:lastModifiedBy>Kate Nancy Taylor</cp:lastModifiedBy>
  <cp:revision>38</cp:revision>
  <dcterms:created xsi:type="dcterms:W3CDTF">2015-06-25T02:34:00Z</dcterms:created>
  <dcterms:modified xsi:type="dcterms:W3CDTF">2015-06-26T19:50:00Z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