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E0" w:rsidRPr="00C111E5" w:rsidRDefault="001961E0" w:rsidP="00C111E5">
      <w:pPr>
        <w:spacing w:line="276" w:lineRule="auto"/>
        <w:jc w:val="both"/>
      </w:pPr>
    </w:p>
    <w:p w:rsidR="00C35FE5" w:rsidRPr="00C111E5" w:rsidRDefault="00C35FE5" w:rsidP="00C111E5">
      <w:pPr>
        <w:spacing w:line="276" w:lineRule="auto"/>
        <w:jc w:val="both"/>
        <w:rPr>
          <w:rFonts w:ascii="Calibri" w:hAnsi="Calibri"/>
          <w:lang w:val="es-MX"/>
        </w:rPr>
      </w:pPr>
    </w:p>
    <w:p w:rsidR="006C4AD4" w:rsidRPr="00C111E5" w:rsidRDefault="006C4AD4" w:rsidP="00C111E5">
      <w:pPr>
        <w:spacing w:line="276" w:lineRule="auto"/>
        <w:jc w:val="both"/>
        <w:rPr>
          <w:rFonts w:ascii="Calibri" w:hAnsi="Calibri"/>
          <w:lang w:val="es-MX"/>
        </w:rPr>
      </w:pPr>
    </w:p>
    <w:p w:rsidR="006C4AD4" w:rsidRPr="001765E2" w:rsidRDefault="006C4AD4" w:rsidP="00C111E5">
      <w:pPr>
        <w:spacing w:line="276" w:lineRule="auto"/>
        <w:jc w:val="right"/>
        <w:rPr>
          <w:rFonts w:ascii="Garamond" w:hAnsi="Garamond"/>
          <w:b/>
          <w:i/>
          <w:color w:val="000000"/>
          <w:shd w:val="clear" w:color="auto" w:fill="FFFFFF"/>
        </w:rPr>
      </w:pPr>
      <w:r w:rsidRPr="001765E2">
        <w:rPr>
          <w:rFonts w:ascii="Garamond" w:hAnsi="Garamond"/>
          <w:b/>
          <w:i/>
          <w:color w:val="000000"/>
          <w:shd w:val="clear" w:color="auto" w:fill="FFFFFF"/>
        </w:rPr>
        <w:t>"Half Day of General Discussion on Article 6”</w:t>
      </w:r>
    </w:p>
    <w:p w:rsidR="001B0151" w:rsidRDefault="001B0151" w:rsidP="00C111E5">
      <w:pPr>
        <w:spacing w:line="276" w:lineRule="auto"/>
        <w:jc w:val="right"/>
        <w:rPr>
          <w:rStyle w:val="apple-converted-space"/>
          <w:rFonts w:ascii="Garamond" w:hAnsi="Garamond"/>
          <w:b/>
          <w:color w:val="000000"/>
          <w:shd w:val="clear" w:color="auto" w:fill="FFFFFF"/>
        </w:rPr>
      </w:pPr>
      <w:r>
        <w:rPr>
          <w:rStyle w:val="apple-converted-space"/>
          <w:rFonts w:ascii="Garamond" w:hAnsi="Garamond"/>
          <w:b/>
          <w:color w:val="000000"/>
          <w:shd w:val="clear" w:color="auto" w:fill="FFFFFF"/>
        </w:rPr>
        <w:t>114</w:t>
      </w:r>
      <w:r w:rsidRPr="001B0151">
        <w:rPr>
          <w:rStyle w:val="apple-converted-space"/>
          <w:rFonts w:ascii="Garamond" w:hAnsi="Garamond"/>
          <w:b/>
          <w:color w:val="000000"/>
          <w:shd w:val="clear" w:color="auto" w:fill="FFFFFF"/>
          <w:vertAlign w:val="superscript"/>
        </w:rPr>
        <w:t>th</w:t>
      </w:r>
      <w:r>
        <w:rPr>
          <w:rStyle w:val="apple-converted-space"/>
          <w:rFonts w:ascii="Garamond" w:hAnsi="Garamond"/>
          <w:b/>
          <w:color w:val="000000"/>
          <w:shd w:val="clear" w:color="auto" w:fill="FFFFFF"/>
        </w:rPr>
        <w:t xml:space="preserve"> Human Rights Committee </w:t>
      </w:r>
      <w:r w:rsidR="00786270">
        <w:rPr>
          <w:rStyle w:val="apple-converted-space"/>
          <w:rFonts w:ascii="Garamond" w:hAnsi="Garamond"/>
          <w:b/>
          <w:color w:val="000000"/>
          <w:shd w:val="clear" w:color="auto" w:fill="FFFFFF"/>
        </w:rPr>
        <w:t>Session</w:t>
      </w:r>
    </w:p>
    <w:p w:rsidR="006C4AD4" w:rsidRPr="00C111E5" w:rsidRDefault="001B0151" w:rsidP="00C111E5">
      <w:pPr>
        <w:spacing w:line="276" w:lineRule="auto"/>
        <w:jc w:val="right"/>
        <w:rPr>
          <w:rFonts w:ascii="Garamond" w:hAnsi="Garamond"/>
          <w:b/>
          <w:color w:val="000000"/>
          <w:shd w:val="clear" w:color="auto" w:fill="FFFFFF"/>
          <w:lang w:val="es-MX"/>
        </w:rPr>
      </w:pPr>
      <w:proofErr w:type="spellStart"/>
      <w:r>
        <w:rPr>
          <w:rStyle w:val="apple-converted-space"/>
          <w:rFonts w:ascii="Garamond" w:hAnsi="Garamond"/>
          <w:b/>
          <w:color w:val="000000"/>
          <w:shd w:val="clear" w:color="auto" w:fill="FFFFFF"/>
          <w:lang w:val="es-MX"/>
        </w:rPr>
        <w:t>Written</w:t>
      </w:r>
      <w:proofErr w:type="spellEnd"/>
      <w:r>
        <w:rPr>
          <w:rStyle w:val="apple-converted-space"/>
          <w:rFonts w:ascii="Garamond" w:hAnsi="Garamond"/>
          <w:b/>
          <w:color w:val="000000"/>
          <w:shd w:val="clear" w:color="auto" w:fill="FFFFFF"/>
          <w:lang w:val="es-MX"/>
        </w:rPr>
        <w:t xml:space="preserve"> </w:t>
      </w:r>
      <w:proofErr w:type="spellStart"/>
      <w:r>
        <w:rPr>
          <w:rStyle w:val="apple-converted-space"/>
          <w:rFonts w:ascii="Garamond" w:hAnsi="Garamond"/>
          <w:b/>
          <w:color w:val="000000"/>
          <w:shd w:val="clear" w:color="auto" w:fill="FFFFFF"/>
          <w:lang w:val="es-MX"/>
        </w:rPr>
        <w:t>contribution</w:t>
      </w:r>
      <w:proofErr w:type="spellEnd"/>
    </w:p>
    <w:p w:rsidR="000641A3" w:rsidRPr="00C111E5" w:rsidRDefault="000641A3" w:rsidP="00C111E5">
      <w:pPr>
        <w:spacing w:line="276" w:lineRule="auto"/>
        <w:jc w:val="right"/>
        <w:rPr>
          <w:rFonts w:ascii="Garamond" w:hAnsi="Garamond"/>
          <w:b/>
          <w:color w:val="000000"/>
          <w:shd w:val="clear" w:color="auto" w:fill="FFFFFF"/>
          <w:lang w:val="es-MX"/>
        </w:rPr>
      </w:pPr>
      <w:r w:rsidRPr="00C111E5">
        <w:rPr>
          <w:rFonts w:ascii="Garamond" w:hAnsi="Garamond"/>
          <w:b/>
          <w:color w:val="000000"/>
          <w:shd w:val="clear" w:color="auto" w:fill="FFFFFF"/>
          <w:lang w:val="es-MX"/>
        </w:rPr>
        <w:t>Grupo de Información en Reproducción Elegida, AC</w:t>
      </w:r>
      <w:r w:rsidR="00710E34">
        <w:rPr>
          <w:rFonts w:ascii="Garamond" w:hAnsi="Garamond"/>
          <w:b/>
          <w:color w:val="000000"/>
          <w:shd w:val="clear" w:color="auto" w:fill="FFFFFF"/>
          <w:lang w:val="es-MX"/>
        </w:rPr>
        <w:t xml:space="preserve"> </w:t>
      </w:r>
      <w:r w:rsidR="00C111E5" w:rsidRPr="00C111E5">
        <w:rPr>
          <w:rFonts w:ascii="Garamond" w:hAnsi="Garamond"/>
          <w:b/>
          <w:color w:val="000000"/>
          <w:shd w:val="clear" w:color="auto" w:fill="FFFFFF"/>
          <w:lang w:val="es-MX"/>
        </w:rPr>
        <w:t>(GIRE)</w:t>
      </w:r>
    </w:p>
    <w:p w:rsidR="000641A3" w:rsidRPr="00BA2220" w:rsidRDefault="000641A3" w:rsidP="00C111E5">
      <w:pPr>
        <w:spacing w:line="276" w:lineRule="auto"/>
        <w:jc w:val="right"/>
        <w:rPr>
          <w:rFonts w:ascii="Garamond" w:hAnsi="Garamond"/>
          <w:b/>
          <w:color w:val="000000"/>
          <w:shd w:val="clear" w:color="auto" w:fill="FFFFFF"/>
        </w:rPr>
      </w:pPr>
      <w:r w:rsidRPr="00BA2220">
        <w:rPr>
          <w:rFonts w:ascii="Garamond" w:hAnsi="Garamond"/>
          <w:b/>
          <w:color w:val="000000"/>
          <w:shd w:val="clear" w:color="auto" w:fill="FFFFFF"/>
        </w:rPr>
        <w:t>M</w:t>
      </w:r>
      <w:r w:rsidR="00786270">
        <w:rPr>
          <w:rFonts w:ascii="Garamond" w:hAnsi="Garamond"/>
          <w:b/>
          <w:color w:val="000000"/>
          <w:shd w:val="clear" w:color="auto" w:fill="FFFFFF"/>
        </w:rPr>
        <w:t>e</w:t>
      </w:r>
      <w:r w:rsidRPr="00BA2220">
        <w:rPr>
          <w:rFonts w:ascii="Garamond" w:hAnsi="Garamond"/>
          <w:b/>
          <w:color w:val="000000"/>
          <w:shd w:val="clear" w:color="auto" w:fill="FFFFFF"/>
        </w:rPr>
        <w:t xml:space="preserve">xico  </w:t>
      </w:r>
    </w:p>
    <w:p w:rsidR="000641A3" w:rsidRPr="00BA2220" w:rsidRDefault="000641A3" w:rsidP="00C111E5">
      <w:pPr>
        <w:spacing w:line="276" w:lineRule="auto"/>
        <w:jc w:val="both"/>
        <w:rPr>
          <w:rFonts w:ascii="Garamond" w:hAnsi="Garamond"/>
          <w:color w:val="000000"/>
          <w:shd w:val="clear" w:color="auto" w:fill="FFFFFF"/>
        </w:rPr>
      </w:pPr>
    </w:p>
    <w:p w:rsidR="001B0151" w:rsidRPr="00BA2220" w:rsidRDefault="001B0151" w:rsidP="00C111E5">
      <w:pPr>
        <w:pStyle w:val="Sinespaciado"/>
        <w:spacing w:line="276" w:lineRule="auto"/>
        <w:jc w:val="both"/>
        <w:rPr>
          <w:rFonts w:ascii="Garamond" w:hAnsi="Garamond"/>
          <w:sz w:val="24"/>
          <w:szCs w:val="24"/>
          <w:lang w:val="en-US"/>
        </w:rPr>
      </w:pPr>
    </w:p>
    <w:p w:rsidR="001B0151" w:rsidRPr="001B0151" w:rsidRDefault="00786270" w:rsidP="00C111E5">
      <w:pPr>
        <w:pStyle w:val="Sinespaciado"/>
        <w:spacing w:line="276" w:lineRule="auto"/>
        <w:jc w:val="both"/>
        <w:rPr>
          <w:rFonts w:ascii="Garamond" w:hAnsi="Garamond"/>
          <w:sz w:val="24"/>
          <w:szCs w:val="24"/>
          <w:lang w:val="en-US"/>
        </w:rPr>
      </w:pPr>
      <w:r>
        <w:rPr>
          <w:rFonts w:ascii="Garamond" w:hAnsi="Garamond"/>
          <w:sz w:val="24"/>
          <w:szCs w:val="24"/>
          <w:lang w:val="en-US"/>
        </w:rPr>
        <w:t xml:space="preserve">This document </w:t>
      </w:r>
      <w:r w:rsidR="00D74A03">
        <w:rPr>
          <w:rFonts w:ascii="Garamond" w:hAnsi="Garamond"/>
          <w:sz w:val="24"/>
          <w:szCs w:val="24"/>
          <w:lang w:val="en-US"/>
        </w:rPr>
        <w:t xml:space="preserve">offers information </w:t>
      </w:r>
      <w:r w:rsidR="000C2AD0" w:rsidRPr="000C2AD0">
        <w:rPr>
          <w:rFonts w:ascii="Garamond" w:hAnsi="Garamond"/>
          <w:sz w:val="24"/>
          <w:szCs w:val="24"/>
          <w:lang w:val="en-US"/>
        </w:rPr>
        <w:t>for</w:t>
      </w:r>
      <w:r w:rsidR="001B0151" w:rsidRPr="001B0151">
        <w:rPr>
          <w:rFonts w:ascii="Garamond" w:hAnsi="Garamond"/>
          <w:sz w:val="24"/>
          <w:szCs w:val="24"/>
          <w:lang w:val="en-US"/>
        </w:rPr>
        <w:t xml:space="preserve"> </w:t>
      </w:r>
      <w:r w:rsidR="000C2AD0">
        <w:rPr>
          <w:rFonts w:ascii="Garamond" w:hAnsi="Garamond"/>
          <w:sz w:val="24"/>
          <w:szCs w:val="24"/>
          <w:lang w:val="en-US"/>
        </w:rPr>
        <w:t xml:space="preserve">the half-day discussion </w:t>
      </w:r>
      <w:r w:rsidR="001B0151" w:rsidRPr="001B0151">
        <w:rPr>
          <w:rFonts w:ascii="Garamond" w:hAnsi="Garamond"/>
          <w:sz w:val="24"/>
          <w:szCs w:val="24"/>
          <w:lang w:val="en-US"/>
        </w:rPr>
        <w:t>o</w:t>
      </w:r>
      <w:r w:rsidR="00D74A03">
        <w:rPr>
          <w:rFonts w:ascii="Garamond" w:hAnsi="Garamond"/>
          <w:sz w:val="24"/>
          <w:szCs w:val="24"/>
          <w:lang w:val="en-US"/>
        </w:rPr>
        <w:t>n</w:t>
      </w:r>
      <w:r w:rsidR="001B0151" w:rsidRPr="001B0151">
        <w:rPr>
          <w:rFonts w:ascii="Garamond" w:hAnsi="Garamond"/>
          <w:sz w:val="24"/>
          <w:szCs w:val="24"/>
          <w:lang w:val="en-US"/>
        </w:rPr>
        <w:t xml:space="preserve"> General </w:t>
      </w:r>
      <w:r w:rsidR="00116218">
        <w:rPr>
          <w:rFonts w:ascii="Garamond" w:hAnsi="Garamond"/>
          <w:sz w:val="24"/>
          <w:szCs w:val="24"/>
          <w:lang w:val="en-US"/>
        </w:rPr>
        <w:t>Comment</w:t>
      </w:r>
      <w:r w:rsidR="001B0151" w:rsidRPr="001B0151">
        <w:rPr>
          <w:rFonts w:ascii="Garamond" w:hAnsi="Garamond"/>
          <w:sz w:val="24"/>
          <w:szCs w:val="24"/>
          <w:lang w:val="en-US"/>
        </w:rPr>
        <w:t xml:space="preserve"> No. 36 on the right to life (Article 6)</w:t>
      </w:r>
      <w:r w:rsidR="001B0151">
        <w:rPr>
          <w:rFonts w:ascii="Garamond" w:hAnsi="Garamond"/>
          <w:sz w:val="24"/>
          <w:szCs w:val="24"/>
          <w:lang w:val="en-US"/>
        </w:rPr>
        <w:t>,</w:t>
      </w:r>
      <w:r w:rsidR="001B0151" w:rsidRPr="001B0151">
        <w:rPr>
          <w:rFonts w:ascii="Garamond" w:hAnsi="Garamond"/>
          <w:sz w:val="24"/>
          <w:szCs w:val="24"/>
          <w:lang w:val="en-US"/>
        </w:rPr>
        <w:t xml:space="preserve"> which w</w:t>
      </w:r>
      <w:r w:rsidR="001B0151">
        <w:rPr>
          <w:rFonts w:ascii="Garamond" w:hAnsi="Garamond"/>
          <w:sz w:val="24"/>
          <w:szCs w:val="24"/>
          <w:lang w:val="en-US"/>
        </w:rPr>
        <w:t>ill take place on July 14, 2015</w:t>
      </w:r>
      <w:r w:rsidR="001B0151" w:rsidRPr="001B0151">
        <w:rPr>
          <w:rFonts w:ascii="Garamond" w:hAnsi="Garamond"/>
          <w:sz w:val="24"/>
          <w:szCs w:val="24"/>
          <w:lang w:val="en-US"/>
        </w:rPr>
        <w:t xml:space="preserve"> </w:t>
      </w:r>
      <w:r>
        <w:rPr>
          <w:rFonts w:ascii="Garamond" w:hAnsi="Garamond"/>
          <w:sz w:val="24"/>
          <w:szCs w:val="24"/>
          <w:lang w:val="en-US"/>
        </w:rPr>
        <w:t xml:space="preserve">and </w:t>
      </w:r>
      <w:r w:rsidR="001B0151" w:rsidRPr="001B0151">
        <w:rPr>
          <w:rFonts w:ascii="Garamond" w:hAnsi="Garamond"/>
          <w:sz w:val="24"/>
          <w:szCs w:val="24"/>
          <w:lang w:val="en-US"/>
        </w:rPr>
        <w:t xml:space="preserve">whose </w:t>
      </w:r>
      <w:r w:rsidR="001B0151">
        <w:rPr>
          <w:rFonts w:ascii="Garamond" w:hAnsi="Garamond"/>
          <w:sz w:val="24"/>
          <w:szCs w:val="24"/>
          <w:lang w:val="en-US"/>
        </w:rPr>
        <w:t>objective</w:t>
      </w:r>
      <w:r w:rsidR="001B0151" w:rsidRPr="001B0151">
        <w:rPr>
          <w:rFonts w:ascii="Garamond" w:hAnsi="Garamond"/>
          <w:sz w:val="24"/>
          <w:szCs w:val="24"/>
          <w:lang w:val="en-US"/>
        </w:rPr>
        <w:t xml:space="preserve"> is to b</w:t>
      </w:r>
      <w:r w:rsidR="001B0151">
        <w:rPr>
          <w:rFonts w:ascii="Garamond" w:hAnsi="Garamond"/>
          <w:sz w:val="24"/>
          <w:szCs w:val="24"/>
          <w:lang w:val="en-US"/>
        </w:rPr>
        <w:t>egin the process of developing</w:t>
      </w:r>
      <w:r w:rsidR="001B0151" w:rsidRPr="001B0151">
        <w:rPr>
          <w:rFonts w:ascii="Garamond" w:hAnsi="Garamond"/>
          <w:sz w:val="24"/>
          <w:szCs w:val="24"/>
          <w:lang w:val="en-US"/>
        </w:rPr>
        <w:t xml:space="preserve"> general </w:t>
      </w:r>
      <w:r w:rsidR="00116218">
        <w:rPr>
          <w:rFonts w:ascii="Garamond" w:hAnsi="Garamond"/>
          <w:sz w:val="24"/>
          <w:szCs w:val="24"/>
          <w:lang w:val="en-US"/>
        </w:rPr>
        <w:t>comment</w:t>
      </w:r>
      <w:r w:rsidR="001B0151">
        <w:rPr>
          <w:rFonts w:ascii="Garamond" w:hAnsi="Garamond"/>
          <w:sz w:val="24"/>
          <w:szCs w:val="24"/>
          <w:lang w:val="en-US"/>
        </w:rPr>
        <w:t>s and</w:t>
      </w:r>
      <w:r w:rsidR="001B0151" w:rsidRPr="001B0151">
        <w:rPr>
          <w:rFonts w:ascii="Garamond" w:hAnsi="Garamond"/>
          <w:sz w:val="24"/>
          <w:szCs w:val="24"/>
          <w:lang w:val="en-US"/>
        </w:rPr>
        <w:t xml:space="preserve"> </w:t>
      </w:r>
      <w:r w:rsidR="001B0151">
        <w:rPr>
          <w:rFonts w:ascii="Garamond" w:hAnsi="Garamond"/>
          <w:sz w:val="24"/>
          <w:szCs w:val="24"/>
          <w:lang w:val="en-US"/>
        </w:rPr>
        <w:t>expanding on</w:t>
      </w:r>
      <w:r w:rsidR="001B0151" w:rsidRPr="001B0151">
        <w:rPr>
          <w:rFonts w:ascii="Garamond" w:hAnsi="Garamond"/>
          <w:sz w:val="24"/>
          <w:szCs w:val="24"/>
          <w:lang w:val="en-US"/>
        </w:rPr>
        <w:t xml:space="preserve"> previous comment</w:t>
      </w:r>
      <w:r w:rsidR="00D74A03">
        <w:rPr>
          <w:rFonts w:ascii="Garamond" w:hAnsi="Garamond"/>
          <w:sz w:val="24"/>
          <w:szCs w:val="24"/>
          <w:lang w:val="en-US"/>
        </w:rPr>
        <w:t>s</w:t>
      </w:r>
      <w:r w:rsidR="001B0151" w:rsidRPr="001B0151">
        <w:rPr>
          <w:rFonts w:ascii="Garamond" w:hAnsi="Garamond"/>
          <w:sz w:val="24"/>
          <w:szCs w:val="24"/>
          <w:lang w:val="en-US"/>
        </w:rPr>
        <w:t xml:space="preserve"> No. 6 and 14 (between 1982 and 1984), in light of subsequent experience gained in the examination of State reports and communications and the adoption of general</w:t>
      </w:r>
      <w:r w:rsidR="000C2AD0">
        <w:rPr>
          <w:rFonts w:ascii="Garamond" w:hAnsi="Garamond"/>
          <w:sz w:val="24"/>
          <w:szCs w:val="24"/>
          <w:lang w:val="en-US"/>
        </w:rPr>
        <w:t xml:space="preserve"> </w:t>
      </w:r>
      <w:r w:rsidR="00116218">
        <w:rPr>
          <w:rFonts w:ascii="Garamond" w:hAnsi="Garamond"/>
          <w:sz w:val="24"/>
          <w:szCs w:val="24"/>
          <w:lang w:val="en-US"/>
        </w:rPr>
        <w:t>comment</w:t>
      </w:r>
      <w:r w:rsidR="000C2AD0">
        <w:rPr>
          <w:rFonts w:ascii="Garamond" w:hAnsi="Garamond"/>
          <w:sz w:val="24"/>
          <w:szCs w:val="24"/>
          <w:lang w:val="en-US"/>
        </w:rPr>
        <w:t>s</w:t>
      </w:r>
      <w:r w:rsidR="001B0151" w:rsidRPr="001B0151">
        <w:rPr>
          <w:rFonts w:ascii="Garamond" w:hAnsi="Garamond"/>
          <w:sz w:val="24"/>
          <w:szCs w:val="24"/>
          <w:lang w:val="en-US"/>
        </w:rPr>
        <w:t xml:space="preserve"> on related issues.</w:t>
      </w:r>
    </w:p>
    <w:p w:rsidR="001B0151" w:rsidRDefault="001B0151" w:rsidP="00C111E5">
      <w:pPr>
        <w:pStyle w:val="Sinespaciado"/>
        <w:spacing w:line="276" w:lineRule="auto"/>
        <w:jc w:val="both"/>
        <w:rPr>
          <w:rFonts w:ascii="Garamond" w:hAnsi="Garamond"/>
          <w:sz w:val="24"/>
          <w:szCs w:val="24"/>
          <w:lang w:val="en-US"/>
        </w:rPr>
      </w:pPr>
    </w:p>
    <w:p w:rsidR="000C2AD0" w:rsidRDefault="000C2AD0" w:rsidP="00C111E5">
      <w:pPr>
        <w:pStyle w:val="Sinespaciado"/>
        <w:spacing w:line="276" w:lineRule="auto"/>
        <w:jc w:val="both"/>
        <w:rPr>
          <w:rFonts w:ascii="Garamond" w:hAnsi="Garamond"/>
          <w:sz w:val="24"/>
          <w:szCs w:val="24"/>
          <w:lang w:val="en-US"/>
        </w:rPr>
      </w:pPr>
      <w:r>
        <w:rPr>
          <w:rFonts w:ascii="Garamond" w:hAnsi="Garamond"/>
          <w:sz w:val="24"/>
          <w:szCs w:val="24"/>
          <w:lang w:val="en-US"/>
        </w:rPr>
        <w:t>Given that</w:t>
      </w:r>
      <w:r w:rsidRPr="000C2AD0">
        <w:rPr>
          <w:rFonts w:ascii="Garamond" w:hAnsi="Garamond"/>
          <w:sz w:val="24"/>
          <w:szCs w:val="24"/>
          <w:lang w:val="en-US"/>
        </w:rPr>
        <w:t xml:space="preserve"> the purpose of the General </w:t>
      </w:r>
      <w:r w:rsidR="00116218">
        <w:rPr>
          <w:rFonts w:ascii="Garamond" w:hAnsi="Garamond"/>
          <w:sz w:val="24"/>
          <w:szCs w:val="24"/>
          <w:lang w:val="en-US"/>
        </w:rPr>
        <w:t>Comment</w:t>
      </w:r>
      <w:r w:rsidRPr="000C2AD0">
        <w:rPr>
          <w:rFonts w:ascii="Garamond" w:hAnsi="Garamond"/>
          <w:sz w:val="24"/>
          <w:szCs w:val="24"/>
          <w:lang w:val="en-US"/>
        </w:rPr>
        <w:t xml:space="preserve"> is to provide adequate and authoritative guidance to States Parties and other stakeholders on measures to be </w:t>
      </w:r>
      <w:r w:rsidR="00D74A03">
        <w:rPr>
          <w:rFonts w:ascii="Garamond" w:hAnsi="Garamond"/>
          <w:sz w:val="24"/>
          <w:szCs w:val="24"/>
          <w:lang w:val="en-US"/>
        </w:rPr>
        <w:t>adopted</w:t>
      </w:r>
      <w:r w:rsidRPr="000C2AD0">
        <w:rPr>
          <w:rFonts w:ascii="Garamond" w:hAnsi="Garamond"/>
          <w:sz w:val="24"/>
          <w:szCs w:val="24"/>
          <w:lang w:val="en-US"/>
        </w:rPr>
        <w:t xml:space="preserve"> to ensure full compliance with the rights protected by th</w:t>
      </w:r>
      <w:r w:rsidR="00D74A03">
        <w:rPr>
          <w:rFonts w:ascii="Garamond" w:hAnsi="Garamond"/>
          <w:sz w:val="24"/>
          <w:szCs w:val="24"/>
          <w:lang w:val="en-US"/>
        </w:rPr>
        <w:t>ese</w:t>
      </w:r>
      <w:r w:rsidRPr="000C2AD0">
        <w:rPr>
          <w:rFonts w:ascii="Garamond" w:hAnsi="Garamond"/>
          <w:sz w:val="24"/>
          <w:szCs w:val="24"/>
          <w:lang w:val="en-US"/>
        </w:rPr>
        <w:t xml:space="preserve"> provision</w:t>
      </w:r>
      <w:r w:rsidR="00D74A03">
        <w:rPr>
          <w:rFonts w:ascii="Garamond" w:hAnsi="Garamond"/>
          <w:sz w:val="24"/>
          <w:szCs w:val="24"/>
          <w:lang w:val="en-US"/>
        </w:rPr>
        <w:t>s</w:t>
      </w:r>
      <w:r w:rsidRPr="000C2AD0">
        <w:rPr>
          <w:rFonts w:ascii="Garamond" w:hAnsi="Garamond"/>
          <w:sz w:val="24"/>
          <w:szCs w:val="24"/>
          <w:lang w:val="en-US"/>
        </w:rPr>
        <w:t xml:space="preserve">, </w:t>
      </w:r>
      <w:r>
        <w:rPr>
          <w:rFonts w:ascii="Garamond" w:hAnsi="Garamond"/>
          <w:sz w:val="24"/>
          <w:szCs w:val="24"/>
          <w:lang w:val="en-US"/>
        </w:rPr>
        <w:t>GIRE</w:t>
      </w:r>
      <w:r w:rsidRPr="000C2AD0">
        <w:rPr>
          <w:rFonts w:ascii="Garamond" w:hAnsi="Garamond"/>
          <w:sz w:val="24"/>
          <w:szCs w:val="24"/>
          <w:lang w:val="en-US"/>
        </w:rPr>
        <w:t xml:space="preserve"> presents the following considerations on the right to life in relation to</w:t>
      </w:r>
      <w:r w:rsidR="00786270">
        <w:rPr>
          <w:rFonts w:ascii="Garamond" w:hAnsi="Garamond"/>
          <w:sz w:val="24"/>
          <w:szCs w:val="24"/>
          <w:lang w:val="en-US"/>
        </w:rPr>
        <w:t xml:space="preserve"> women’s</w:t>
      </w:r>
      <w:r w:rsidRPr="000C2AD0">
        <w:rPr>
          <w:rFonts w:ascii="Garamond" w:hAnsi="Garamond"/>
          <w:sz w:val="24"/>
          <w:szCs w:val="24"/>
          <w:lang w:val="en-US"/>
        </w:rPr>
        <w:t xml:space="preserve"> reproductive rights.</w:t>
      </w:r>
    </w:p>
    <w:p w:rsidR="000C2AD0" w:rsidRPr="001B0151" w:rsidRDefault="000C2AD0" w:rsidP="00C111E5">
      <w:pPr>
        <w:pStyle w:val="Sinespaciado"/>
        <w:spacing w:line="276" w:lineRule="auto"/>
        <w:jc w:val="both"/>
        <w:rPr>
          <w:rFonts w:ascii="Garamond" w:hAnsi="Garamond"/>
          <w:sz w:val="24"/>
          <w:szCs w:val="24"/>
          <w:lang w:val="en-US"/>
        </w:rPr>
      </w:pPr>
    </w:p>
    <w:p w:rsidR="00C111E5" w:rsidRPr="000C2AD0" w:rsidRDefault="000C2AD0" w:rsidP="00C111E5">
      <w:pPr>
        <w:pStyle w:val="Sinespaciado"/>
        <w:spacing w:line="276" w:lineRule="auto"/>
        <w:jc w:val="both"/>
        <w:rPr>
          <w:rFonts w:ascii="Garamond" w:hAnsi="Garamond"/>
          <w:sz w:val="24"/>
          <w:szCs w:val="24"/>
          <w:lang w:val="en-US"/>
        </w:rPr>
      </w:pPr>
      <w:r w:rsidRPr="000C2AD0">
        <w:rPr>
          <w:rFonts w:ascii="Garamond" w:hAnsi="Garamond"/>
          <w:sz w:val="24"/>
          <w:szCs w:val="24"/>
          <w:lang w:val="en-US"/>
        </w:rPr>
        <w:t>In Mexico</w:t>
      </w:r>
      <w:r w:rsidR="00786270">
        <w:rPr>
          <w:rFonts w:ascii="Garamond" w:hAnsi="Garamond"/>
          <w:sz w:val="24"/>
          <w:szCs w:val="24"/>
          <w:lang w:val="en-US"/>
        </w:rPr>
        <w:t>,</w:t>
      </w:r>
      <w:r w:rsidRPr="000C2AD0">
        <w:rPr>
          <w:rFonts w:ascii="Garamond" w:hAnsi="Garamond"/>
          <w:sz w:val="24"/>
          <w:szCs w:val="24"/>
          <w:lang w:val="en-US"/>
        </w:rPr>
        <w:t xml:space="preserve"> access for women to effective</w:t>
      </w:r>
      <w:r>
        <w:rPr>
          <w:rFonts w:ascii="Garamond" w:hAnsi="Garamond"/>
          <w:sz w:val="24"/>
          <w:szCs w:val="24"/>
          <w:lang w:val="en-US"/>
        </w:rPr>
        <w:t>ly</w:t>
      </w:r>
      <w:r w:rsidRPr="000C2AD0">
        <w:rPr>
          <w:rFonts w:ascii="Garamond" w:hAnsi="Garamond"/>
          <w:sz w:val="24"/>
          <w:szCs w:val="24"/>
          <w:lang w:val="en-US"/>
        </w:rPr>
        <w:t xml:space="preserve"> exercise their reproductive rights is precarious and insufficient. Of particular concern is the lack of access to information and </w:t>
      </w:r>
      <w:r>
        <w:rPr>
          <w:rFonts w:ascii="Garamond" w:hAnsi="Garamond"/>
          <w:sz w:val="24"/>
          <w:szCs w:val="24"/>
          <w:lang w:val="en-US"/>
        </w:rPr>
        <w:t xml:space="preserve">contraceptive </w:t>
      </w:r>
      <w:r w:rsidRPr="000C2AD0">
        <w:rPr>
          <w:rFonts w:ascii="Garamond" w:hAnsi="Garamond"/>
          <w:sz w:val="24"/>
          <w:szCs w:val="24"/>
          <w:lang w:val="en-US"/>
        </w:rPr>
        <w:t xml:space="preserve">services for young people, </w:t>
      </w:r>
      <w:r>
        <w:rPr>
          <w:rFonts w:ascii="Garamond" w:hAnsi="Garamond"/>
          <w:sz w:val="24"/>
          <w:szCs w:val="24"/>
          <w:lang w:val="en-US"/>
        </w:rPr>
        <w:t>resulting in</w:t>
      </w:r>
      <w:r w:rsidRPr="000C2AD0">
        <w:rPr>
          <w:rFonts w:ascii="Garamond" w:hAnsi="Garamond"/>
          <w:sz w:val="24"/>
          <w:szCs w:val="24"/>
          <w:lang w:val="en-US"/>
        </w:rPr>
        <w:t xml:space="preserve"> high rat</w:t>
      </w:r>
      <w:r>
        <w:rPr>
          <w:rFonts w:ascii="Garamond" w:hAnsi="Garamond"/>
          <w:sz w:val="24"/>
          <w:szCs w:val="24"/>
          <w:lang w:val="en-US"/>
        </w:rPr>
        <w:t>es of teenage pregnancy</w:t>
      </w:r>
      <w:r w:rsidR="00786270">
        <w:rPr>
          <w:rFonts w:ascii="Garamond" w:hAnsi="Garamond"/>
          <w:sz w:val="24"/>
          <w:szCs w:val="24"/>
          <w:lang w:val="en-US"/>
        </w:rPr>
        <w:t>,</w:t>
      </w:r>
      <w:r>
        <w:rPr>
          <w:rFonts w:ascii="Garamond" w:hAnsi="Garamond"/>
          <w:sz w:val="24"/>
          <w:szCs w:val="24"/>
          <w:lang w:val="en-US"/>
        </w:rPr>
        <w:t xml:space="preserve"> with </w:t>
      </w:r>
      <w:r w:rsidRPr="000C2AD0">
        <w:rPr>
          <w:rFonts w:ascii="Garamond" w:hAnsi="Garamond"/>
          <w:sz w:val="24"/>
          <w:szCs w:val="24"/>
          <w:lang w:val="en-US"/>
        </w:rPr>
        <w:t>two out of te</w:t>
      </w:r>
      <w:r>
        <w:rPr>
          <w:rFonts w:ascii="Garamond" w:hAnsi="Garamond"/>
          <w:sz w:val="24"/>
          <w:szCs w:val="24"/>
          <w:lang w:val="en-US"/>
        </w:rPr>
        <w:t>n adolescents aged 15 to 19 having</w:t>
      </w:r>
      <w:r w:rsidRPr="000C2AD0">
        <w:rPr>
          <w:rFonts w:ascii="Garamond" w:hAnsi="Garamond"/>
          <w:sz w:val="24"/>
          <w:szCs w:val="24"/>
          <w:lang w:val="en-US"/>
        </w:rPr>
        <w:t xml:space="preserve"> been pregnant more than once.</w:t>
      </w:r>
      <w:r w:rsidRPr="000C2AD0">
        <w:rPr>
          <w:rFonts w:ascii="Garamond" w:eastAsiaTheme="minorHAnsi" w:hAnsi="Garamond"/>
          <w:sz w:val="24"/>
          <w:szCs w:val="24"/>
          <w:vertAlign w:val="superscript"/>
          <w:lang w:val="en-US"/>
        </w:rPr>
        <w:t xml:space="preserve"> </w:t>
      </w:r>
      <w:r w:rsidRPr="00C111E5">
        <w:rPr>
          <w:rFonts w:ascii="Garamond" w:eastAsiaTheme="minorHAnsi" w:hAnsi="Garamond"/>
          <w:sz w:val="24"/>
          <w:szCs w:val="24"/>
          <w:vertAlign w:val="superscript"/>
          <w:lang w:val="es-ES"/>
        </w:rPr>
        <w:footnoteReference w:id="1"/>
      </w:r>
      <w:r w:rsidRPr="000C2AD0">
        <w:rPr>
          <w:rFonts w:ascii="Garamond" w:hAnsi="Garamond"/>
          <w:sz w:val="24"/>
          <w:szCs w:val="24"/>
          <w:lang w:val="en-US"/>
        </w:rPr>
        <w:t xml:space="preserve"> Another issue of concern is the lack of ac</w:t>
      </w:r>
      <w:r>
        <w:rPr>
          <w:rFonts w:ascii="Garamond" w:hAnsi="Garamond"/>
          <w:sz w:val="24"/>
          <w:szCs w:val="24"/>
          <w:lang w:val="en-US"/>
        </w:rPr>
        <w:t>cess to legal abortion services. A</w:t>
      </w:r>
      <w:r w:rsidRPr="000C2AD0">
        <w:rPr>
          <w:rFonts w:ascii="Garamond" w:hAnsi="Garamond"/>
          <w:sz w:val="24"/>
          <w:szCs w:val="24"/>
          <w:lang w:val="en-US"/>
        </w:rPr>
        <w:t xml:space="preserve">ccording to information from local prosecutors, from 2007 to 2012 only 39 </w:t>
      </w:r>
      <w:r>
        <w:rPr>
          <w:rFonts w:ascii="Garamond" w:hAnsi="Garamond"/>
          <w:sz w:val="24"/>
          <w:szCs w:val="24"/>
          <w:lang w:val="en-US"/>
        </w:rPr>
        <w:t xml:space="preserve">abortions </w:t>
      </w:r>
      <w:r w:rsidRPr="000C2AD0">
        <w:rPr>
          <w:rFonts w:ascii="Garamond" w:hAnsi="Garamond"/>
          <w:sz w:val="24"/>
          <w:szCs w:val="24"/>
          <w:lang w:val="en-US"/>
        </w:rPr>
        <w:t>for</w:t>
      </w:r>
      <w:r>
        <w:rPr>
          <w:rFonts w:ascii="Garamond" w:hAnsi="Garamond"/>
          <w:sz w:val="24"/>
          <w:szCs w:val="24"/>
          <w:lang w:val="en-US"/>
        </w:rPr>
        <w:t xml:space="preserve"> </w:t>
      </w:r>
      <w:r w:rsidR="00D74A03">
        <w:rPr>
          <w:rFonts w:ascii="Garamond" w:hAnsi="Garamond"/>
          <w:sz w:val="24"/>
          <w:szCs w:val="24"/>
          <w:lang w:val="en-US"/>
        </w:rPr>
        <w:t xml:space="preserve">women who became pregnant as a result of </w:t>
      </w:r>
      <w:r w:rsidRPr="000C2AD0">
        <w:rPr>
          <w:rFonts w:ascii="Garamond" w:hAnsi="Garamond"/>
          <w:sz w:val="24"/>
          <w:szCs w:val="24"/>
          <w:lang w:val="en-US"/>
        </w:rPr>
        <w:t xml:space="preserve">rape </w:t>
      </w:r>
      <w:r>
        <w:rPr>
          <w:rFonts w:ascii="Garamond" w:hAnsi="Garamond"/>
          <w:sz w:val="24"/>
          <w:szCs w:val="24"/>
          <w:lang w:val="en-US"/>
        </w:rPr>
        <w:t xml:space="preserve">were authorized </w:t>
      </w:r>
      <w:r w:rsidRPr="000C2AD0">
        <w:rPr>
          <w:rFonts w:ascii="Garamond" w:hAnsi="Garamond"/>
          <w:sz w:val="24"/>
          <w:szCs w:val="24"/>
          <w:lang w:val="en-US"/>
        </w:rPr>
        <w:t>throughout Mexico</w:t>
      </w:r>
      <w:r>
        <w:rPr>
          <w:rFonts w:ascii="Garamond" w:hAnsi="Garamond"/>
          <w:sz w:val="24"/>
          <w:szCs w:val="24"/>
          <w:lang w:val="en-US"/>
        </w:rPr>
        <w:t xml:space="preserve">. </w:t>
      </w:r>
      <w:r w:rsidR="00786270">
        <w:rPr>
          <w:rFonts w:ascii="Garamond" w:hAnsi="Garamond"/>
          <w:sz w:val="24"/>
          <w:szCs w:val="24"/>
          <w:lang w:val="en-US"/>
        </w:rPr>
        <w:t>Furthermore, another</w:t>
      </w:r>
      <w:r w:rsidR="00897127">
        <w:rPr>
          <w:rFonts w:ascii="Garamond" w:hAnsi="Garamond"/>
          <w:sz w:val="24"/>
          <w:szCs w:val="24"/>
          <w:lang w:val="en-US"/>
        </w:rPr>
        <w:t xml:space="preserve"> issue is t</w:t>
      </w:r>
      <w:r w:rsidRPr="000C2AD0">
        <w:rPr>
          <w:rFonts w:ascii="Garamond" w:hAnsi="Garamond"/>
          <w:sz w:val="24"/>
          <w:szCs w:val="24"/>
          <w:lang w:val="en-US"/>
        </w:rPr>
        <w:t xml:space="preserve">he lack of regulation </w:t>
      </w:r>
      <w:r>
        <w:rPr>
          <w:rFonts w:ascii="Garamond" w:hAnsi="Garamond"/>
          <w:sz w:val="24"/>
          <w:szCs w:val="24"/>
          <w:lang w:val="en-US"/>
        </w:rPr>
        <w:t>for assisted</w:t>
      </w:r>
      <w:r w:rsidRPr="000C2AD0">
        <w:rPr>
          <w:rFonts w:ascii="Garamond" w:hAnsi="Garamond"/>
          <w:sz w:val="24"/>
          <w:szCs w:val="24"/>
          <w:lang w:val="en-US"/>
        </w:rPr>
        <w:t xml:space="preserve"> reproduct</w:t>
      </w:r>
      <w:r>
        <w:rPr>
          <w:rFonts w:ascii="Garamond" w:hAnsi="Garamond"/>
          <w:sz w:val="24"/>
          <w:szCs w:val="24"/>
          <w:lang w:val="en-US"/>
        </w:rPr>
        <w:t>i</w:t>
      </w:r>
      <w:r w:rsidR="00786270">
        <w:rPr>
          <w:rFonts w:ascii="Garamond" w:hAnsi="Garamond"/>
          <w:sz w:val="24"/>
          <w:szCs w:val="24"/>
          <w:lang w:val="en-US"/>
        </w:rPr>
        <w:t>ve</w:t>
      </w:r>
      <w:r w:rsidRPr="000C2AD0">
        <w:rPr>
          <w:rFonts w:ascii="Garamond" w:hAnsi="Garamond"/>
          <w:sz w:val="24"/>
          <w:szCs w:val="24"/>
          <w:lang w:val="en-US"/>
        </w:rPr>
        <w:t xml:space="preserve"> technologies</w:t>
      </w:r>
      <w:r>
        <w:rPr>
          <w:rFonts w:ascii="Garamond" w:hAnsi="Garamond"/>
          <w:sz w:val="24"/>
          <w:szCs w:val="24"/>
          <w:lang w:val="en-US"/>
        </w:rPr>
        <w:t xml:space="preserve"> </w:t>
      </w:r>
      <w:r w:rsidR="00897127">
        <w:rPr>
          <w:rFonts w:ascii="Garamond" w:hAnsi="Garamond"/>
          <w:sz w:val="24"/>
          <w:szCs w:val="24"/>
          <w:lang w:val="en-US"/>
        </w:rPr>
        <w:t xml:space="preserve">resulting in </w:t>
      </w:r>
      <w:r w:rsidR="00897127" w:rsidRPr="000C2AD0">
        <w:rPr>
          <w:rFonts w:ascii="Garamond" w:hAnsi="Garamond"/>
          <w:sz w:val="24"/>
          <w:szCs w:val="24"/>
          <w:lang w:val="en-US"/>
        </w:rPr>
        <w:t>discrimination in access to these techniques</w:t>
      </w:r>
      <w:r w:rsidRPr="000C2AD0">
        <w:rPr>
          <w:rFonts w:ascii="Garamond" w:hAnsi="Garamond"/>
          <w:sz w:val="24"/>
          <w:szCs w:val="24"/>
          <w:lang w:val="en-US"/>
        </w:rPr>
        <w:t xml:space="preserve">. No less worrying is the </w:t>
      </w:r>
      <w:r w:rsidR="00AD3E5B">
        <w:rPr>
          <w:rFonts w:ascii="Garamond" w:hAnsi="Garamond"/>
          <w:sz w:val="24"/>
          <w:szCs w:val="24"/>
          <w:lang w:val="en-US"/>
        </w:rPr>
        <w:t>deficient</w:t>
      </w:r>
      <w:r w:rsidRPr="000C2AD0">
        <w:rPr>
          <w:rFonts w:ascii="Garamond" w:hAnsi="Garamond"/>
          <w:sz w:val="24"/>
          <w:szCs w:val="24"/>
          <w:lang w:val="en-US"/>
        </w:rPr>
        <w:t xml:space="preserve"> care received by women </w:t>
      </w:r>
      <w:r w:rsidR="00897127">
        <w:rPr>
          <w:rFonts w:ascii="Garamond" w:hAnsi="Garamond"/>
          <w:sz w:val="24"/>
          <w:szCs w:val="24"/>
          <w:lang w:val="en-US"/>
        </w:rPr>
        <w:t>during</w:t>
      </w:r>
      <w:r w:rsidRPr="000C2AD0">
        <w:rPr>
          <w:rFonts w:ascii="Garamond" w:hAnsi="Garamond"/>
          <w:sz w:val="24"/>
          <w:szCs w:val="24"/>
          <w:lang w:val="en-US"/>
        </w:rPr>
        <w:t xml:space="preserve"> pregn</w:t>
      </w:r>
      <w:r w:rsidR="00897127">
        <w:rPr>
          <w:rFonts w:ascii="Garamond" w:hAnsi="Garamond"/>
          <w:sz w:val="24"/>
          <w:szCs w:val="24"/>
          <w:lang w:val="en-US"/>
        </w:rPr>
        <w:t>ancy, childbirth and postpartum that</w:t>
      </w:r>
      <w:r w:rsidRPr="000C2AD0">
        <w:rPr>
          <w:rFonts w:ascii="Garamond" w:hAnsi="Garamond"/>
          <w:sz w:val="24"/>
          <w:szCs w:val="24"/>
          <w:lang w:val="en-US"/>
        </w:rPr>
        <w:t xml:space="preserve"> </w:t>
      </w:r>
      <w:r w:rsidR="00897127">
        <w:rPr>
          <w:rFonts w:ascii="Garamond" w:hAnsi="Garamond"/>
          <w:sz w:val="24"/>
          <w:szCs w:val="24"/>
          <w:lang w:val="en-US"/>
        </w:rPr>
        <w:t>results in frequent</w:t>
      </w:r>
      <w:r w:rsidRPr="000C2AD0">
        <w:rPr>
          <w:rFonts w:ascii="Garamond" w:hAnsi="Garamond"/>
          <w:sz w:val="24"/>
          <w:szCs w:val="24"/>
          <w:lang w:val="en-US"/>
        </w:rPr>
        <w:t xml:space="preserve"> cases of obstetric violence and </w:t>
      </w:r>
      <w:r w:rsidR="00897127">
        <w:rPr>
          <w:rFonts w:ascii="Garamond" w:hAnsi="Garamond"/>
          <w:sz w:val="24"/>
          <w:szCs w:val="24"/>
          <w:lang w:val="en-US"/>
        </w:rPr>
        <w:t xml:space="preserve">high rates of maternal death. The </w:t>
      </w:r>
      <w:r w:rsidRPr="000C2AD0">
        <w:rPr>
          <w:rFonts w:ascii="Garamond" w:hAnsi="Garamond"/>
          <w:sz w:val="24"/>
          <w:szCs w:val="24"/>
          <w:lang w:val="en-US"/>
        </w:rPr>
        <w:t>2011 maternal mortality ratio was 50.7 per 100,000 births.</w:t>
      </w:r>
      <w:r w:rsidR="00897127" w:rsidRPr="00897127">
        <w:rPr>
          <w:rFonts w:ascii="Garamond" w:eastAsiaTheme="minorHAnsi" w:hAnsi="Garamond"/>
          <w:sz w:val="24"/>
          <w:szCs w:val="24"/>
          <w:vertAlign w:val="superscript"/>
          <w:lang w:val="en-US"/>
        </w:rPr>
        <w:t xml:space="preserve"> </w:t>
      </w:r>
      <w:r w:rsidR="00897127" w:rsidRPr="00C111E5">
        <w:rPr>
          <w:rFonts w:ascii="Garamond" w:eastAsiaTheme="minorHAnsi" w:hAnsi="Garamond"/>
          <w:sz w:val="24"/>
          <w:szCs w:val="24"/>
          <w:vertAlign w:val="superscript"/>
          <w:lang w:val="es-MX"/>
        </w:rPr>
        <w:footnoteReference w:id="2"/>
      </w:r>
    </w:p>
    <w:p w:rsidR="00C111E5" w:rsidRDefault="00C111E5" w:rsidP="00C111E5">
      <w:pPr>
        <w:pStyle w:val="Sinespaciado"/>
        <w:spacing w:line="276" w:lineRule="auto"/>
        <w:jc w:val="both"/>
        <w:rPr>
          <w:rFonts w:ascii="Garamond" w:hAnsi="Garamond"/>
          <w:sz w:val="24"/>
          <w:szCs w:val="24"/>
          <w:lang w:val="en-US"/>
        </w:rPr>
      </w:pPr>
    </w:p>
    <w:p w:rsidR="00AD3E5B" w:rsidRDefault="00897127" w:rsidP="00897127">
      <w:pPr>
        <w:pStyle w:val="Sinespaciado"/>
        <w:spacing w:line="276" w:lineRule="auto"/>
        <w:jc w:val="both"/>
        <w:rPr>
          <w:rFonts w:ascii="Garamond" w:hAnsi="Garamond"/>
          <w:sz w:val="24"/>
          <w:szCs w:val="24"/>
          <w:lang w:val="en-US"/>
        </w:rPr>
      </w:pPr>
      <w:r w:rsidRPr="00897127">
        <w:rPr>
          <w:rFonts w:ascii="Garamond" w:hAnsi="Garamond"/>
          <w:sz w:val="24"/>
          <w:szCs w:val="24"/>
          <w:lang w:val="en-US"/>
        </w:rPr>
        <w:t xml:space="preserve">Reproductive rights are recognized </w:t>
      </w:r>
      <w:r>
        <w:rPr>
          <w:rFonts w:ascii="Garamond" w:hAnsi="Garamond"/>
          <w:sz w:val="24"/>
          <w:szCs w:val="24"/>
          <w:lang w:val="en-US"/>
        </w:rPr>
        <w:t>as human rights in i</w:t>
      </w:r>
      <w:r w:rsidRPr="00897127">
        <w:rPr>
          <w:rFonts w:ascii="Garamond" w:hAnsi="Garamond"/>
          <w:sz w:val="24"/>
          <w:szCs w:val="24"/>
          <w:lang w:val="en-US"/>
        </w:rPr>
        <w:t xml:space="preserve">nternational law </w:t>
      </w:r>
      <w:r>
        <w:rPr>
          <w:rFonts w:ascii="Garamond" w:hAnsi="Garamond"/>
          <w:sz w:val="24"/>
          <w:szCs w:val="24"/>
          <w:lang w:val="en-US"/>
        </w:rPr>
        <w:t>as well as</w:t>
      </w:r>
      <w:r w:rsidRPr="00897127">
        <w:rPr>
          <w:rFonts w:ascii="Garamond" w:hAnsi="Garamond"/>
          <w:sz w:val="24"/>
          <w:szCs w:val="24"/>
          <w:lang w:val="en-US"/>
        </w:rPr>
        <w:t xml:space="preserve"> the Mexican Constitution, and </w:t>
      </w:r>
      <w:r w:rsidR="00AD3E5B">
        <w:rPr>
          <w:rFonts w:ascii="Garamond" w:hAnsi="Garamond"/>
          <w:sz w:val="24"/>
          <w:szCs w:val="24"/>
          <w:lang w:val="en-US"/>
        </w:rPr>
        <w:t>reiterated</w:t>
      </w:r>
      <w:r>
        <w:rPr>
          <w:rFonts w:ascii="Garamond" w:hAnsi="Garamond"/>
          <w:sz w:val="24"/>
          <w:szCs w:val="24"/>
          <w:lang w:val="en-US"/>
        </w:rPr>
        <w:t xml:space="preserve"> </w:t>
      </w:r>
      <w:r w:rsidR="00AD3E5B">
        <w:rPr>
          <w:rFonts w:ascii="Garamond" w:hAnsi="Garamond"/>
          <w:sz w:val="24"/>
          <w:szCs w:val="24"/>
          <w:lang w:val="en-US"/>
        </w:rPr>
        <w:t>by various treaty bodies</w:t>
      </w:r>
      <w:r>
        <w:rPr>
          <w:rFonts w:ascii="Garamond" w:hAnsi="Garamond"/>
          <w:sz w:val="24"/>
          <w:szCs w:val="24"/>
          <w:lang w:val="en-US"/>
        </w:rPr>
        <w:t xml:space="preserve"> </w:t>
      </w:r>
      <w:r w:rsidRPr="00897127">
        <w:rPr>
          <w:rFonts w:ascii="Garamond" w:hAnsi="Garamond"/>
          <w:sz w:val="24"/>
          <w:szCs w:val="24"/>
          <w:lang w:val="en-US"/>
        </w:rPr>
        <w:t>that analyze</w:t>
      </w:r>
      <w:r>
        <w:rPr>
          <w:rFonts w:ascii="Garamond" w:hAnsi="Garamond"/>
          <w:sz w:val="24"/>
          <w:szCs w:val="24"/>
          <w:lang w:val="en-US"/>
        </w:rPr>
        <w:t xml:space="preserve"> human rights </w:t>
      </w:r>
      <w:r w:rsidRPr="00897127">
        <w:rPr>
          <w:rFonts w:ascii="Garamond" w:hAnsi="Garamond"/>
          <w:sz w:val="24"/>
          <w:szCs w:val="24"/>
          <w:lang w:val="en-US"/>
        </w:rPr>
        <w:t xml:space="preserve">violations </w:t>
      </w:r>
      <w:r>
        <w:rPr>
          <w:rFonts w:ascii="Garamond" w:hAnsi="Garamond"/>
          <w:sz w:val="24"/>
          <w:szCs w:val="24"/>
          <w:lang w:val="en-US"/>
        </w:rPr>
        <w:t>against</w:t>
      </w:r>
      <w:r w:rsidRPr="00897127">
        <w:rPr>
          <w:rFonts w:ascii="Garamond" w:hAnsi="Garamond"/>
          <w:sz w:val="24"/>
          <w:szCs w:val="24"/>
          <w:lang w:val="en-US"/>
        </w:rPr>
        <w:t xml:space="preserve"> wom</w:t>
      </w:r>
      <w:r>
        <w:rPr>
          <w:rFonts w:ascii="Garamond" w:hAnsi="Garamond"/>
          <w:sz w:val="24"/>
          <w:szCs w:val="24"/>
          <w:lang w:val="en-US"/>
        </w:rPr>
        <w:t xml:space="preserve">en, including the Committee for </w:t>
      </w:r>
      <w:r w:rsidRPr="00897127">
        <w:rPr>
          <w:rFonts w:ascii="Garamond" w:hAnsi="Garamond"/>
          <w:sz w:val="24"/>
          <w:szCs w:val="24"/>
          <w:lang w:val="en-US"/>
        </w:rPr>
        <w:t>the Elimination of Discrimination against Women (</w:t>
      </w:r>
      <w:proofErr w:type="spellStart"/>
      <w:r w:rsidRPr="00897127">
        <w:rPr>
          <w:rFonts w:ascii="Garamond" w:hAnsi="Garamond"/>
          <w:sz w:val="24"/>
          <w:szCs w:val="24"/>
          <w:lang w:val="en-US"/>
        </w:rPr>
        <w:t>CEDAW</w:t>
      </w:r>
      <w:proofErr w:type="spellEnd"/>
      <w:r w:rsidR="00AD3E5B">
        <w:rPr>
          <w:rFonts w:ascii="Garamond" w:hAnsi="Garamond"/>
          <w:sz w:val="24"/>
          <w:szCs w:val="24"/>
          <w:lang w:val="en-US"/>
        </w:rPr>
        <w:t xml:space="preserve"> Committee</w:t>
      </w:r>
      <w:r w:rsidRPr="00897127">
        <w:rPr>
          <w:rFonts w:ascii="Garamond" w:hAnsi="Garamond"/>
          <w:sz w:val="24"/>
          <w:szCs w:val="24"/>
          <w:lang w:val="en-US"/>
        </w:rPr>
        <w:t>), the Human Rights Committee and the Committee</w:t>
      </w:r>
    </w:p>
    <w:p w:rsidR="00AD3E5B" w:rsidRDefault="00AD3E5B" w:rsidP="00897127">
      <w:pPr>
        <w:pStyle w:val="Sinespaciado"/>
        <w:spacing w:line="276" w:lineRule="auto"/>
        <w:jc w:val="both"/>
        <w:rPr>
          <w:rFonts w:ascii="Garamond" w:hAnsi="Garamond"/>
          <w:sz w:val="24"/>
          <w:szCs w:val="24"/>
          <w:lang w:val="en-US"/>
        </w:rPr>
      </w:pPr>
    </w:p>
    <w:p w:rsidR="00AD3E5B" w:rsidRDefault="00AD3E5B" w:rsidP="00897127">
      <w:pPr>
        <w:pStyle w:val="Sinespaciado"/>
        <w:spacing w:line="276" w:lineRule="auto"/>
        <w:jc w:val="both"/>
        <w:rPr>
          <w:rFonts w:ascii="Garamond" w:hAnsi="Garamond"/>
          <w:sz w:val="24"/>
          <w:szCs w:val="24"/>
          <w:lang w:val="en-US"/>
        </w:rPr>
      </w:pPr>
    </w:p>
    <w:p w:rsidR="00897127" w:rsidRDefault="00897127" w:rsidP="00897127">
      <w:pPr>
        <w:pStyle w:val="Sinespaciado"/>
        <w:spacing w:line="276" w:lineRule="auto"/>
        <w:jc w:val="both"/>
        <w:rPr>
          <w:rFonts w:ascii="Garamond" w:hAnsi="Garamond"/>
          <w:sz w:val="24"/>
          <w:szCs w:val="24"/>
          <w:lang w:val="en-US"/>
        </w:rPr>
      </w:pPr>
      <w:r w:rsidRPr="00897127">
        <w:rPr>
          <w:rFonts w:ascii="Garamond" w:hAnsi="Garamond"/>
          <w:sz w:val="24"/>
          <w:szCs w:val="24"/>
          <w:lang w:val="en-US"/>
        </w:rPr>
        <w:t xml:space="preserve"> </w:t>
      </w:r>
      <w:proofErr w:type="gramStart"/>
      <w:r w:rsidRPr="00897127">
        <w:rPr>
          <w:rFonts w:ascii="Garamond" w:hAnsi="Garamond"/>
          <w:sz w:val="24"/>
          <w:szCs w:val="24"/>
          <w:lang w:val="en-US"/>
        </w:rPr>
        <w:t>on</w:t>
      </w:r>
      <w:proofErr w:type="gramEnd"/>
      <w:r w:rsidRPr="00897127">
        <w:rPr>
          <w:rFonts w:ascii="Garamond" w:hAnsi="Garamond"/>
          <w:sz w:val="24"/>
          <w:szCs w:val="24"/>
          <w:lang w:val="en-US"/>
        </w:rPr>
        <w:t xml:space="preserve"> the</w:t>
      </w:r>
      <w:r w:rsidR="00786270">
        <w:rPr>
          <w:rFonts w:ascii="Garamond" w:hAnsi="Garamond"/>
          <w:sz w:val="24"/>
          <w:szCs w:val="24"/>
          <w:lang w:val="en-US"/>
        </w:rPr>
        <w:t xml:space="preserve"> </w:t>
      </w:r>
      <w:r w:rsidRPr="00897127">
        <w:rPr>
          <w:rFonts w:ascii="Garamond" w:hAnsi="Garamond"/>
          <w:sz w:val="24"/>
          <w:szCs w:val="24"/>
          <w:lang w:val="en-US"/>
        </w:rPr>
        <w:t>Elimination of Racial Discrimination.</w:t>
      </w:r>
      <w:r w:rsidRPr="00897127">
        <w:rPr>
          <w:rFonts w:ascii="Garamond" w:eastAsiaTheme="minorHAnsi" w:hAnsi="Garamond"/>
          <w:sz w:val="24"/>
          <w:szCs w:val="24"/>
          <w:vertAlign w:val="superscript"/>
          <w:lang w:val="en-US"/>
        </w:rPr>
        <w:t xml:space="preserve"> </w:t>
      </w:r>
      <w:r w:rsidRPr="00C111E5">
        <w:rPr>
          <w:rFonts w:ascii="Garamond" w:eastAsiaTheme="minorHAnsi" w:hAnsi="Garamond"/>
          <w:sz w:val="24"/>
          <w:szCs w:val="24"/>
          <w:vertAlign w:val="superscript"/>
          <w:lang w:val="es-MX"/>
        </w:rPr>
        <w:footnoteReference w:id="3"/>
      </w:r>
      <w:r w:rsidRPr="00897127">
        <w:rPr>
          <w:rFonts w:ascii="Garamond" w:eastAsiaTheme="minorHAnsi" w:hAnsi="Garamond"/>
          <w:sz w:val="24"/>
          <w:szCs w:val="24"/>
          <w:lang w:val="en-US"/>
        </w:rPr>
        <w:t xml:space="preserve"> </w:t>
      </w:r>
      <w:r w:rsidRPr="00897127">
        <w:rPr>
          <w:rFonts w:ascii="Garamond" w:hAnsi="Garamond"/>
          <w:sz w:val="24"/>
          <w:szCs w:val="24"/>
          <w:lang w:val="en-US"/>
        </w:rPr>
        <w:t xml:space="preserve">The Inter-American Court of Human Rights has also established </w:t>
      </w:r>
      <w:r w:rsidR="00AD3E5B">
        <w:rPr>
          <w:rFonts w:ascii="Garamond" w:hAnsi="Garamond"/>
          <w:sz w:val="24"/>
          <w:szCs w:val="24"/>
          <w:lang w:val="en-US"/>
        </w:rPr>
        <w:t>jurisprudence</w:t>
      </w:r>
      <w:r w:rsidRPr="00897127">
        <w:rPr>
          <w:rFonts w:ascii="Garamond" w:hAnsi="Garamond"/>
          <w:sz w:val="24"/>
          <w:szCs w:val="24"/>
          <w:lang w:val="en-US"/>
        </w:rPr>
        <w:t xml:space="preserve"> in this regard </w:t>
      </w:r>
      <w:r>
        <w:rPr>
          <w:rFonts w:ascii="Garamond" w:hAnsi="Garamond"/>
          <w:sz w:val="24"/>
          <w:szCs w:val="24"/>
          <w:lang w:val="en-US"/>
        </w:rPr>
        <w:t>for</w:t>
      </w:r>
      <w:r w:rsidRPr="00897127">
        <w:rPr>
          <w:rFonts w:ascii="Garamond" w:hAnsi="Garamond"/>
          <w:sz w:val="24"/>
          <w:szCs w:val="24"/>
          <w:lang w:val="en-US"/>
        </w:rPr>
        <w:t xml:space="preserve"> the case </w:t>
      </w:r>
      <w:r>
        <w:rPr>
          <w:rFonts w:ascii="Garamond" w:hAnsi="Garamond"/>
          <w:sz w:val="24"/>
          <w:szCs w:val="24"/>
          <w:lang w:val="en-US"/>
        </w:rPr>
        <w:t xml:space="preserve">of </w:t>
      </w:r>
      <w:proofErr w:type="spellStart"/>
      <w:r w:rsidRPr="00897127">
        <w:rPr>
          <w:rFonts w:ascii="Garamond" w:hAnsi="Garamond"/>
          <w:sz w:val="24"/>
          <w:szCs w:val="24"/>
          <w:lang w:val="en-US"/>
        </w:rPr>
        <w:t>Artavia</w:t>
      </w:r>
      <w:proofErr w:type="spellEnd"/>
      <w:r w:rsidRPr="00897127">
        <w:rPr>
          <w:rFonts w:ascii="Garamond" w:hAnsi="Garamond"/>
          <w:sz w:val="24"/>
          <w:szCs w:val="24"/>
          <w:lang w:val="en-US"/>
        </w:rPr>
        <w:t xml:space="preserve"> Murillo</w:t>
      </w:r>
      <w:r>
        <w:rPr>
          <w:rFonts w:ascii="Garamond" w:hAnsi="Garamond"/>
          <w:sz w:val="24"/>
          <w:szCs w:val="24"/>
          <w:lang w:val="en-US"/>
        </w:rPr>
        <w:t xml:space="preserve"> vs.</w:t>
      </w:r>
      <w:r w:rsidRPr="00897127">
        <w:rPr>
          <w:rFonts w:ascii="Garamond" w:hAnsi="Garamond"/>
          <w:sz w:val="24"/>
          <w:szCs w:val="24"/>
          <w:lang w:val="en-US"/>
        </w:rPr>
        <w:t xml:space="preserve"> Costa Rica in </w:t>
      </w:r>
      <w:r>
        <w:rPr>
          <w:rFonts w:ascii="Garamond" w:hAnsi="Garamond"/>
          <w:sz w:val="24"/>
          <w:szCs w:val="24"/>
          <w:lang w:val="en-US"/>
        </w:rPr>
        <w:t xml:space="preserve">the </w:t>
      </w:r>
      <w:r w:rsidRPr="00897127">
        <w:rPr>
          <w:rFonts w:ascii="Garamond" w:hAnsi="Garamond"/>
          <w:sz w:val="24"/>
          <w:szCs w:val="24"/>
          <w:lang w:val="en-US"/>
        </w:rPr>
        <w:t>interpret</w:t>
      </w:r>
      <w:r>
        <w:rPr>
          <w:rFonts w:ascii="Garamond" w:hAnsi="Garamond"/>
          <w:sz w:val="24"/>
          <w:szCs w:val="24"/>
          <w:lang w:val="en-US"/>
        </w:rPr>
        <w:t>ation of</w:t>
      </w:r>
      <w:r w:rsidRPr="00897127">
        <w:rPr>
          <w:rFonts w:ascii="Garamond" w:hAnsi="Garamond"/>
          <w:sz w:val="24"/>
          <w:szCs w:val="24"/>
          <w:lang w:val="en-US"/>
        </w:rPr>
        <w:t xml:space="preserve"> Article 4.1 of the American Convention on Human Rights (right to life) in the following terms:</w:t>
      </w:r>
    </w:p>
    <w:p w:rsidR="00C111E5" w:rsidRPr="00897127" w:rsidRDefault="00C111E5" w:rsidP="00C111E5">
      <w:pPr>
        <w:pStyle w:val="Sinespaciado"/>
        <w:spacing w:line="276" w:lineRule="auto"/>
        <w:jc w:val="both"/>
        <w:rPr>
          <w:rFonts w:ascii="Garamond" w:eastAsiaTheme="minorHAnsi" w:hAnsi="Garamond"/>
          <w:sz w:val="24"/>
          <w:szCs w:val="24"/>
          <w:lang w:val="en-US"/>
        </w:rPr>
      </w:pPr>
    </w:p>
    <w:p w:rsidR="00897127" w:rsidRPr="00897127" w:rsidRDefault="00897127" w:rsidP="00680285">
      <w:pPr>
        <w:pStyle w:val="Sinespaciado"/>
        <w:numPr>
          <w:ilvl w:val="0"/>
          <w:numId w:val="5"/>
        </w:numPr>
        <w:spacing w:line="276" w:lineRule="auto"/>
        <w:jc w:val="both"/>
        <w:rPr>
          <w:rFonts w:ascii="Garamond" w:hAnsi="Garamond"/>
          <w:sz w:val="24"/>
          <w:szCs w:val="24"/>
          <w:lang w:val="en-US"/>
        </w:rPr>
      </w:pPr>
      <w:r>
        <w:rPr>
          <w:rFonts w:ascii="Garamond" w:hAnsi="Garamond"/>
          <w:sz w:val="24"/>
          <w:szCs w:val="24"/>
          <w:lang w:val="en-US"/>
        </w:rPr>
        <w:t>The term conception</w:t>
      </w:r>
      <w:r w:rsidRPr="00897127">
        <w:rPr>
          <w:rFonts w:ascii="Garamond" w:hAnsi="Garamond"/>
          <w:sz w:val="24"/>
          <w:szCs w:val="24"/>
          <w:lang w:val="en-US"/>
        </w:rPr>
        <w:t xml:space="preserve"> should be understood </w:t>
      </w:r>
      <w:r>
        <w:rPr>
          <w:rFonts w:ascii="Garamond" w:hAnsi="Garamond"/>
          <w:sz w:val="24"/>
          <w:szCs w:val="24"/>
          <w:lang w:val="en-US"/>
        </w:rPr>
        <w:t xml:space="preserve">as </w:t>
      </w:r>
      <w:r w:rsidRPr="00897127">
        <w:rPr>
          <w:rFonts w:ascii="Garamond" w:hAnsi="Garamond"/>
          <w:sz w:val="24"/>
          <w:szCs w:val="24"/>
          <w:lang w:val="en-US"/>
        </w:rPr>
        <w:t xml:space="preserve">the process of </w:t>
      </w:r>
      <w:r>
        <w:rPr>
          <w:rFonts w:ascii="Garamond" w:hAnsi="Garamond"/>
          <w:sz w:val="24"/>
          <w:szCs w:val="24"/>
          <w:lang w:val="en-US"/>
        </w:rPr>
        <w:t>implantation</w:t>
      </w:r>
      <w:r w:rsidRPr="00897127">
        <w:rPr>
          <w:rFonts w:ascii="Garamond" w:hAnsi="Garamond"/>
          <w:sz w:val="24"/>
          <w:szCs w:val="24"/>
          <w:lang w:val="en-US"/>
        </w:rPr>
        <w:t xml:space="preserve">, which is when the fertilized egg attaches to the wall of the </w:t>
      </w:r>
      <w:proofErr w:type="spellStart"/>
      <w:r w:rsidRPr="00897127">
        <w:rPr>
          <w:rFonts w:ascii="Garamond" w:hAnsi="Garamond"/>
          <w:sz w:val="24"/>
          <w:szCs w:val="24"/>
          <w:lang w:val="en-US"/>
        </w:rPr>
        <w:t>endometrium</w:t>
      </w:r>
      <w:proofErr w:type="spellEnd"/>
      <w:r w:rsidRPr="00897127">
        <w:rPr>
          <w:rFonts w:ascii="Garamond" w:hAnsi="Garamond"/>
          <w:sz w:val="24"/>
          <w:szCs w:val="24"/>
          <w:lang w:val="en-US"/>
        </w:rPr>
        <w:t>.</w:t>
      </w:r>
      <w:r w:rsidRPr="00897127">
        <w:rPr>
          <w:rFonts w:ascii="Garamond" w:hAnsi="Garamond"/>
          <w:vertAlign w:val="superscript"/>
          <w:lang w:val="en-US"/>
        </w:rPr>
        <w:t xml:space="preserve"> </w:t>
      </w:r>
      <w:r w:rsidRPr="00E72E4D">
        <w:rPr>
          <w:rFonts w:ascii="Garamond" w:hAnsi="Garamond"/>
          <w:vertAlign w:val="superscript"/>
          <w:lang w:val="es-ES"/>
        </w:rPr>
        <w:footnoteReference w:id="4"/>
      </w:r>
    </w:p>
    <w:p w:rsidR="00897127" w:rsidRPr="00897127" w:rsidRDefault="00897127" w:rsidP="00680285">
      <w:pPr>
        <w:pStyle w:val="Sinespaciado"/>
        <w:numPr>
          <w:ilvl w:val="0"/>
          <w:numId w:val="5"/>
        </w:numPr>
        <w:spacing w:line="276" w:lineRule="auto"/>
        <w:jc w:val="both"/>
        <w:rPr>
          <w:rFonts w:ascii="Garamond" w:hAnsi="Garamond"/>
          <w:sz w:val="24"/>
          <w:szCs w:val="24"/>
          <w:lang w:val="en-US"/>
        </w:rPr>
      </w:pPr>
      <w:r>
        <w:rPr>
          <w:rFonts w:ascii="Garamond" w:hAnsi="Garamond"/>
          <w:sz w:val="24"/>
          <w:szCs w:val="24"/>
          <w:lang w:val="en-US"/>
        </w:rPr>
        <w:t>The fetus can</w:t>
      </w:r>
      <w:r w:rsidRPr="00897127">
        <w:rPr>
          <w:rFonts w:ascii="Garamond" w:hAnsi="Garamond"/>
          <w:sz w:val="24"/>
          <w:szCs w:val="24"/>
          <w:lang w:val="en-US"/>
        </w:rPr>
        <w:t>not be considered as a person.</w:t>
      </w:r>
      <w:r w:rsidRPr="00897127">
        <w:rPr>
          <w:rFonts w:ascii="Garamond" w:hAnsi="Garamond"/>
          <w:vertAlign w:val="superscript"/>
          <w:lang w:val="en-US"/>
        </w:rPr>
        <w:t xml:space="preserve"> </w:t>
      </w:r>
      <w:r w:rsidRPr="00E72E4D">
        <w:rPr>
          <w:rFonts w:ascii="Garamond" w:hAnsi="Garamond"/>
          <w:vertAlign w:val="superscript"/>
          <w:lang w:val="es-ES"/>
        </w:rPr>
        <w:footnoteReference w:id="5"/>
      </w:r>
    </w:p>
    <w:p w:rsidR="00897127" w:rsidRPr="00897127" w:rsidRDefault="00897127" w:rsidP="00680285">
      <w:pPr>
        <w:pStyle w:val="Sinespaciado"/>
        <w:numPr>
          <w:ilvl w:val="0"/>
          <w:numId w:val="5"/>
        </w:numPr>
        <w:spacing w:line="276" w:lineRule="auto"/>
        <w:jc w:val="both"/>
        <w:rPr>
          <w:rFonts w:ascii="Garamond" w:hAnsi="Garamond"/>
          <w:sz w:val="24"/>
          <w:szCs w:val="24"/>
          <w:lang w:val="en-US"/>
        </w:rPr>
      </w:pPr>
      <w:r w:rsidRPr="00897127">
        <w:rPr>
          <w:rFonts w:ascii="Garamond" w:hAnsi="Garamond"/>
          <w:sz w:val="24"/>
          <w:szCs w:val="24"/>
          <w:lang w:val="en-US"/>
        </w:rPr>
        <w:t>The protection of unborn life is gradual and incremental.</w:t>
      </w:r>
      <w:r w:rsidRPr="00897127">
        <w:rPr>
          <w:rFonts w:ascii="Garamond" w:hAnsi="Garamond"/>
          <w:vertAlign w:val="superscript"/>
          <w:lang w:val="en-US"/>
        </w:rPr>
        <w:t xml:space="preserve"> </w:t>
      </w:r>
      <w:r w:rsidRPr="00E72E4D">
        <w:rPr>
          <w:rFonts w:ascii="Garamond" w:hAnsi="Garamond"/>
          <w:vertAlign w:val="superscript"/>
          <w:lang w:val="es-ES"/>
        </w:rPr>
        <w:footnoteReference w:id="6"/>
      </w:r>
    </w:p>
    <w:p w:rsidR="00E72E4D" w:rsidRPr="00897127" w:rsidRDefault="00680285" w:rsidP="00680285">
      <w:pPr>
        <w:pStyle w:val="Sinespaciado"/>
        <w:numPr>
          <w:ilvl w:val="0"/>
          <w:numId w:val="5"/>
        </w:numPr>
        <w:spacing w:line="276" w:lineRule="auto"/>
        <w:jc w:val="both"/>
        <w:rPr>
          <w:rFonts w:ascii="Garamond" w:hAnsi="Garamond"/>
          <w:sz w:val="24"/>
          <w:szCs w:val="24"/>
          <w:lang w:val="en-US"/>
        </w:rPr>
      </w:pPr>
      <w:r>
        <w:rPr>
          <w:rFonts w:ascii="Garamond" w:hAnsi="Garamond"/>
          <w:sz w:val="24"/>
          <w:szCs w:val="24"/>
          <w:lang w:val="en-US"/>
        </w:rPr>
        <w:t xml:space="preserve">The protection of prenatal life may only be </w:t>
      </w:r>
      <w:r w:rsidR="00AD3E5B">
        <w:rPr>
          <w:rFonts w:ascii="Garamond" w:hAnsi="Garamond"/>
          <w:sz w:val="24"/>
          <w:szCs w:val="24"/>
          <w:lang w:val="en-US"/>
        </w:rPr>
        <w:t>offered through the exercise of women’s rights</w:t>
      </w:r>
      <w:r w:rsidR="00897127" w:rsidRPr="00897127">
        <w:rPr>
          <w:rFonts w:ascii="Garamond" w:hAnsi="Garamond"/>
          <w:sz w:val="24"/>
          <w:szCs w:val="24"/>
          <w:lang w:val="en-US"/>
        </w:rPr>
        <w:t>.</w:t>
      </w:r>
      <w:r w:rsidR="00897127" w:rsidRPr="00897127">
        <w:rPr>
          <w:rFonts w:ascii="Garamond" w:hAnsi="Garamond"/>
          <w:vertAlign w:val="superscript"/>
          <w:lang w:val="en-US"/>
        </w:rPr>
        <w:t xml:space="preserve"> </w:t>
      </w:r>
      <w:r w:rsidR="00897127" w:rsidRPr="00E72E4D">
        <w:rPr>
          <w:rFonts w:ascii="Garamond" w:hAnsi="Garamond"/>
          <w:vertAlign w:val="superscript"/>
          <w:lang w:val="es-ES"/>
        </w:rPr>
        <w:footnoteReference w:id="7"/>
      </w:r>
    </w:p>
    <w:p w:rsidR="00E72E4D" w:rsidRPr="00BA2220" w:rsidRDefault="00E72E4D" w:rsidP="00C111E5">
      <w:pPr>
        <w:pStyle w:val="Sinespaciado"/>
        <w:spacing w:line="276" w:lineRule="auto"/>
        <w:jc w:val="both"/>
        <w:rPr>
          <w:rFonts w:ascii="Garamond" w:hAnsi="Garamond"/>
          <w:sz w:val="24"/>
          <w:szCs w:val="24"/>
          <w:lang w:val="en-US"/>
        </w:rPr>
      </w:pPr>
    </w:p>
    <w:p w:rsidR="00680285" w:rsidRPr="00680285" w:rsidRDefault="00786270" w:rsidP="00C111E5">
      <w:pPr>
        <w:pStyle w:val="Sinespaciado"/>
        <w:spacing w:line="276" w:lineRule="auto"/>
        <w:jc w:val="both"/>
        <w:rPr>
          <w:rFonts w:ascii="Garamond" w:hAnsi="Garamond"/>
          <w:sz w:val="24"/>
          <w:szCs w:val="24"/>
          <w:lang w:val="en-US"/>
        </w:rPr>
      </w:pPr>
      <w:r>
        <w:rPr>
          <w:rFonts w:ascii="Garamond" w:hAnsi="Garamond"/>
          <w:sz w:val="24"/>
          <w:szCs w:val="24"/>
          <w:lang w:val="en-US"/>
        </w:rPr>
        <w:t>Therefore</w:t>
      </w:r>
      <w:r w:rsidR="00680285">
        <w:rPr>
          <w:rFonts w:ascii="Garamond" w:hAnsi="Garamond"/>
          <w:sz w:val="24"/>
          <w:szCs w:val="24"/>
          <w:lang w:val="en-US"/>
        </w:rPr>
        <w:t>,</w:t>
      </w:r>
      <w:r w:rsidR="00680285" w:rsidRPr="00680285">
        <w:rPr>
          <w:rFonts w:ascii="Garamond" w:hAnsi="Garamond"/>
          <w:sz w:val="24"/>
          <w:szCs w:val="24"/>
          <w:lang w:val="en-US"/>
        </w:rPr>
        <w:t xml:space="preserve"> an interpretat</w:t>
      </w:r>
      <w:r w:rsidR="00680285">
        <w:rPr>
          <w:rFonts w:ascii="Garamond" w:hAnsi="Garamond"/>
          <w:sz w:val="24"/>
          <w:szCs w:val="24"/>
          <w:lang w:val="en-US"/>
        </w:rPr>
        <w:t>ion of the right to life contrary to</w:t>
      </w:r>
      <w:r w:rsidR="00680285" w:rsidRPr="00680285">
        <w:rPr>
          <w:rFonts w:ascii="Garamond" w:hAnsi="Garamond"/>
          <w:sz w:val="24"/>
          <w:szCs w:val="24"/>
          <w:lang w:val="en-US"/>
        </w:rPr>
        <w:t xml:space="preserve"> the </w:t>
      </w:r>
      <w:r w:rsidR="00680285">
        <w:rPr>
          <w:rFonts w:ascii="Garamond" w:hAnsi="Garamond"/>
          <w:sz w:val="24"/>
          <w:szCs w:val="24"/>
          <w:lang w:val="en-US"/>
        </w:rPr>
        <w:t xml:space="preserve">ruling </w:t>
      </w:r>
      <w:r w:rsidR="00680285" w:rsidRPr="00680285">
        <w:rPr>
          <w:rFonts w:ascii="Garamond" w:hAnsi="Garamond"/>
          <w:sz w:val="24"/>
          <w:szCs w:val="24"/>
          <w:lang w:val="en-US"/>
        </w:rPr>
        <w:t>above</w:t>
      </w:r>
      <w:r w:rsidR="00680285">
        <w:rPr>
          <w:rFonts w:ascii="Garamond" w:hAnsi="Garamond"/>
          <w:sz w:val="24"/>
          <w:szCs w:val="24"/>
          <w:lang w:val="en-US"/>
        </w:rPr>
        <w:t xml:space="preserve"> would</w:t>
      </w:r>
      <w:r w:rsidR="00680285" w:rsidRPr="00680285">
        <w:rPr>
          <w:rFonts w:ascii="Garamond" w:hAnsi="Garamond"/>
          <w:sz w:val="24"/>
          <w:szCs w:val="24"/>
          <w:lang w:val="en-US"/>
        </w:rPr>
        <w:t xml:space="preserve"> have the opposite effect </w:t>
      </w:r>
      <w:r w:rsidR="00680285">
        <w:rPr>
          <w:rFonts w:ascii="Garamond" w:hAnsi="Garamond"/>
          <w:sz w:val="24"/>
          <w:szCs w:val="24"/>
          <w:lang w:val="en-US"/>
        </w:rPr>
        <w:t>on</w:t>
      </w:r>
      <w:r w:rsidR="00680285" w:rsidRPr="00680285">
        <w:rPr>
          <w:rFonts w:ascii="Garamond" w:hAnsi="Garamond"/>
          <w:sz w:val="24"/>
          <w:szCs w:val="24"/>
          <w:lang w:val="en-US"/>
        </w:rPr>
        <w:t xml:space="preserve"> the recognition and realization of</w:t>
      </w:r>
      <w:r w:rsidR="00680285">
        <w:rPr>
          <w:rFonts w:ascii="Garamond" w:hAnsi="Garamond"/>
          <w:sz w:val="24"/>
          <w:szCs w:val="24"/>
          <w:lang w:val="en-US"/>
        </w:rPr>
        <w:t xml:space="preserve"> women’s</w:t>
      </w:r>
      <w:r>
        <w:rPr>
          <w:rFonts w:ascii="Garamond" w:hAnsi="Garamond"/>
          <w:sz w:val="24"/>
          <w:szCs w:val="24"/>
          <w:lang w:val="en-US"/>
        </w:rPr>
        <w:t xml:space="preserve"> human rights. This is similar to what</w:t>
      </w:r>
      <w:r w:rsidR="00680285" w:rsidRPr="00680285">
        <w:rPr>
          <w:rFonts w:ascii="Garamond" w:hAnsi="Garamond"/>
          <w:sz w:val="24"/>
          <w:szCs w:val="24"/>
          <w:lang w:val="en-US"/>
        </w:rPr>
        <w:t xml:space="preserve"> </w:t>
      </w:r>
      <w:r>
        <w:rPr>
          <w:rFonts w:ascii="Garamond" w:hAnsi="Garamond"/>
          <w:sz w:val="24"/>
          <w:szCs w:val="24"/>
          <w:lang w:val="en-US"/>
        </w:rPr>
        <w:t xml:space="preserve">has </w:t>
      </w:r>
      <w:r w:rsidR="00680285" w:rsidRPr="00680285">
        <w:rPr>
          <w:rFonts w:ascii="Garamond" w:hAnsi="Garamond"/>
          <w:sz w:val="24"/>
          <w:szCs w:val="24"/>
          <w:lang w:val="en-US"/>
        </w:rPr>
        <w:t xml:space="preserve">occurred in Mexico </w:t>
      </w:r>
      <w:r>
        <w:rPr>
          <w:rFonts w:ascii="Garamond" w:hAnsi="Garamond"/>
          <w:sz w:val="24"/>
          <w:szCs w:val="24"/>
          <w:lang w:val="en-US"/>
        </w:rPr>
        <w:t xml:space="preserve">since 2008, with </w:t>
      </w:r>
      <w:r w:rsidRPr="00680285">
        <w:rPr>
          <w:rFonts w:ascii="Garamond" w:hAnsi="Garamond"/>
          <w:sz w:val="24"/>
          <w:szCs w:val="24"/>
          <w:lang w:val="en-US"/>
        </w:rPr>
        <w:t xml:space="preserve">16 </w:t>
      </w:r>
      <w:r w:rsidR="00AD3E5B">
        <w:rPr>
          <w:rFonts w:ascii="Garamond" w:hAnsi="Garamond"/>
          <w:sz w:val="24"/>
          <w:szCs w:val="24"/>
          <w:lang w:val="en-US"/>
        </w:rPr>
        <w:t xml:space="preserve">Mexican </w:t>
      </w:r>
      <w:r w:rsidRPr="00680285">
        <w:rPr>
          <w:rFonts w:ascii="Garamond" w:hAnsi="Garamond"/>
          <w:sz w:val="24"/>
          <w:szCs w:val="24"/>
          <w:lang w:val="en-US"/>
        </w:rPr>
        <w:t xml:space="preserve">states </w:t>
      </w:r>
      <w:r w:rsidR="00AD3E5B">
        <w:rPr>
          <w:rFonts w:ascii="Garamond" w:hAnsi="Garamond"/>
          <w:sz w:val="24"/>
          <w:szCs w:val="24"/>
          <w:lang w:val="en-US"/>
        </w:rPr>
        <w:t xml:space="preserve">amending state </w:t>
      </w:r>
      <w:r w:rsidR="00680285" w:rsidRPr="00680285">
        <w:rPr>
          <w:rFonts w:ascii="Garamond" w:hAnsi="Garamond"/>
          <w:sz w:val="24"/>
          <w:szCs w:val="24"/>
          <w:lang w:val="en-US"/>
        </w:rPr>
        <w:t xml:space="preserve">constitutions to protect life from conception, </w:t>
      </w:r>
      <w:r>
        <w:rPr>
          <w:rFonts w:ascii="Garamond" w:hAnsi="Garamond"/>
          <w:sz w:val="24"/>
          <w:szCs w:val="24"/>
          <w:lang w:val="en-US"/>
        </w:rPr>
        <w:t xml:space="preserve">consequently </w:t>
      </w:r>
      <w:r w:rsidR="00680285" w:rsidRPr="00680285">
        <w:rPr>
          <w:rFonts w:ascii="Garamond" w:hAnsi="Garamond"/>
          <w:sz w:val="24"/>
          <w:szCs w:val="24"/>
          <w:lang w:val="en-US"/>
        </w:rPr>
        <w:t>generat</w:t>
      </w:r>
      <w:r>
        <w:rPr>
          <w:rFonts w:ascii="Garamond" w:hAnsi="Garamond"/>
          <w:sz w:val="24"/>
          <w:szCs w:val="24"/>
          <w:lang w:val="en-US"/>
        </w:rPr>
        <w:t>ing</w:t>
      </w:r>
      <w:r w:rsidR="00680285" w:rsidRPr="00680285">
        <w:rPr>
          <w:rFonts w:ascii="Garamond" w:hAnsi="Garamond"/>
          <w:sz w:val="24"/>
          <w:szCs w:val="24"/>
          <w:lang w:val="en-US"/>
        </w:rPr>
        <w:t xml:space="preserve"> a </w:t>
      </w:r>
      <w:r w:rsidR="00680285" w:rsidRPr="00680285">
        <w:rPr>
          <w:rFonts w:ascii="Garamond" w:hAnsi="Garamond"/>
          <w:b/>
          <w:sz w:val="24"/>
          <w:szCs w:val="24"/>
          <w:lang w:val="en-US"/>
        </w:rPr>
        <w:t>climate of criminal prosecution against women</w:t>
      </w:r>
      <w:r w:rsidR="00680285">
        <w:rPr>
          <w:rFonts w:ascii="Garamond" w:hAnsi="Garamond"/>
          <w:sz w:val="24"/>
          <w:szCs w:val="24"/>
          <w:lang w:val="en-US"/>
        </w:rPr>
        <w:t>. F</w:t>
      </w:r>
      <w:r w:rsidR="00680285" w:rsidRPr="00680285">
        <w:rPr>
          <w:rFonts w:ascii="Garamond" w:hAnsi="Garamond"/>
          <w:sz w:val="24"/>
          <w:szCs w:val="24"/>
          <w:lang w:val="en-US"/>
        </w:rPr>
        <w:t xml:space="preserve">rom 2009 to 2011, 679 women have been </w:t>
      </w:r>
      <w:r w:rsidR="00AD3E5B" w:rsidRPr="00AD3E5B">
        <w:rPr>
          <w:rFonts w:ascii="Garamond" w:hAnsi="Garamond"/>
          <w:sz w:val="24"/>
          <w:szCs w:val="24"/>
          <w:lang w:val="en-US"/>
        </w:rPr>
        <w:t>reported</w:t>
      </w:r>
      <w:r w:rsidR="00680285" w:rsidRPr="00680285">
        <w:rPr>
          <w:rFonts w:ascii="Garamond" w:hAnsi="Garamond"/>
          <w:sz w:val="24"/>
          <w:szCs w:val="24"/>
          <w:lang w:val="en-US"/>
        </w:rPr>
        <w:t xml:space="preserve"> for the crime of </w:t>
      </w:r>
      <w:proofErr w:type="gramStart"/>
      <w:r w:rsidR="00680285" w:rsidRPr="00680285">
        <w:rPr>
          <w:rFonts w:ascii="Garamond" w:hAnsi="Garamond"/>
          <w:sz w:val="24"/>
          <w:szCs w:val="24"/>
          <w:lang w:val="en-US"/>
        </w:rPr>
        <w:t xml:space="preserve">abortion, </w:t>
      </w:r>
      <w:r w:rsidR="00680285">
        <w:rPr>
          <w:rFonts w:ascii="Garamond" w:hAnsi="Garamond"/>
          <w:sz w:val="24"/>
          <w:szCs w:val="24"/>
          <w:lang w:val="en-US"/>
        </w:rPr>
        <w:t xml:space="preserve">or </w:t>
      </w:r>
      <w:r w:rsidR="00680285" w:rsidRPr="00680285">
        <w:rPr>
          <w:rFonts w:ascii="Garamond" w:hAnsi="Garamond"/>
          <w:sz w:val="24"/>
          <w:szCs w:val="24"/>
          <w:lang w:val="en-US"/>
        </w:rPr>
        <w:t>226.3</w:t>
      </w:r>
      <w:r w:rsidR="00680285" w:rsidRPr="00C111E5">
        <w:rPr>
          <w:rFonts w:ascii="Garamond" w:eastAsiaTheme="minorHAnsi" w:hAnsi="Garamond"/>
          <w:bCs/>
          <w:sz w:val="24"/>
          <w:szCs w:val="24"/>
          <w:vertAlign w:val="superscript"/>
          <w:lang w:val="es-MX"/>
        </w:rPr>
        <w:footnoteReference w:id="8"/>
      </w:r>
      <w:proofErr w:type="gramEnd"/>
      <w:r w:rsidR="00680285" w:rsidRPr="00680285">
        <w:rPr>
          <w:rFonts w:ascii="Garamond" w:hAnsi="Garamond"/>
          <w:sz w:val="24"/>
          <w:szCs w:val="24"/>
          <w:lang w:val="en-US"/>
        </w:rPr>
        <w:t xml:space="preserve"> women on average </w:t>
      </w:r>
      <w:r w:rsidR="00680285">
        <w:rPr>
          <w:rFonts w:ascii="Garamond" w:hAnsi="Garamond"/>
          <w:sz w:val="24"/>
          <w:szCs w:val="24"/>
          <w:lang w:val="en-US"/>
        </w:rPr>
        <w:t>per</w:t>
      </w:r>
      <w:r w:rsidR="00680285" w:rsidRPr="00680285">
        <w:rPr>
          <w:rFonts w:ascii="Garamond" w:hAnsi="Garamond"/>
          <w:sz w:val="24"/>
          <w:szCs w:val="24"/>
          <w:lang w:val="en-US"/>
        </w:rPr>
        <w:t xml:space="preserve"> year</w:t>
      </w:r>
      <w:r w:rsidR="00680285">
        <w:rPr>
          <w:rFonts w:ascii="Garamond" w:hAnsi="Garamond"/>
          <w:sz w:val="24"/>
          <w:szCs w:val="24"/>
          <w:lang w:val="en-US"/>
        </w:rPr>
        <w:t>. I</w:t>
      </w:r>
      <w:r w:rsidR="00680285" w:rsidRPr="00680285">
        <w:rPr>
          <w:rFonts w:ascii="Garamond" w:hAnsi="Garamond"/>
          <w:sz w:val="24"/>
          <w:szCs w:val="24"/>
          <w:lang w:val="en-US"/>
        </w:rPr>
        <w:t xml:space="preserve">n addition to criminalization, the </w:t>
      </w:r>
      <w:r w:rsidR="00AD3E5B">
        <w:rPr>
          <w:rFonts w:ascii="Garamond" w:hAnsi="Garamond"/>
          <w:sz w:val="24"/>
          <w:szCs w:val="24"/>
          <w:lang w:val="en-US"/>
        </w:rPr>
        <w:t>amendments</w:t>
      </w:r>
      <w:r w:rsidR="00680285" w:rsidRPr="00680285">
        <w:rPr>
          <w:rFonts w:ascii="Garamond" w:hAnsi="Garamond"/>
          <w:sz w:val="24"/>
          <w:szCs w:val="24"/>
          <w:lang w:val="en-US"/>
        </w:rPr>
        <w:t xml:space="preserve"> have led to </w:t>
      </w:r>
      <w:r w:rsidR="00680285" w:rsidRPr="00680285">
        <w:rPr>
          <w:rFonts w:ascii="Garamond" w:hAnsi="Garamond"/>
          <w:b/>
          <w:sz w:val="24"/>
          <w:szCs w:val="24"/>
          <w:lang w:val="en-US"/>
        </w:rPr>
        <w:t>confusion</w:t>
      </w:r>
      <w:r w:rsidR="00680285" w:rsidRPr="00680285">
        <w:rPr>
          <w:rFonts w:ascii="Garamond" w:hAnsi="Garamond"/>
          <w:sz w:val="24"/>
          <w:szCs w:val="24"/>
          <w:lang w:val="en-US"/>
        </w:rPr>
        <w:t xml:space="preserve"> </w:t>
      </w:r>
      <w:r w:rsidR="00680285" w:rsidRPr="00680285">
        <w:rPr>
          <w:rFonts w:ascii="Garamond" w:hAnsi="Garamond"/>
          <w:b/>
          <w:sz w:val="24"/>
          <w:szCs w:val="24"/>
          <w:lang w:val="en-US"/>
        </w:rPr>
        <w:t>among medical providers</w:t>
      </w:r>
      <w:r w:rsidR="00680285" w:rsidRPr="00680285">
        <w:rPr>
          <w:rFonts w:ascii="Garamond" w:hAnsi="Garamond"/>
          <w:sz w:val="24"/>
          <w:szCs w:val="24"/>
          <w:lang w:val="en-US"/>
        </w:rPr>
        <w:t xml:space="preserve"> </w:t>
      </w:r>
      <w:r w:rsidR="00680285">
        <w:rPr>
          <w:rFonts w:ascii="Garamond" w:hAnsi="Garamond"/>
          <w:sz w:val="24"/>
          <w:szCs w:val="24"/>
          <w:lang w:val="en-US"/>
        </w:rPr>
        <w:t>in</w:t>
      </w:r>
      <w:r w:rsidR="00680285" w:rsidRPr="00680285">
        <w:rPr>
          <w:rFonts w:ascii="Garamond" w:hAnsi="Garamond"/>
          <w:sz w:val="24"/>
          <w:szCs w:val="24"/>
          <w:lang w:val="en-US"/>
        </w:rPr>
        <w:t xml:space="preserve"> public hospitals </w:t>
      </w:r>
      <w:r w:rsidR="00680285">
        <w:rPr>
          <w:rFonts w:ascii="Garamond" w:hAnsi="Garamond"/>
          <w:sz w:val="24"/>
          <w:szCs w:val="24"/>
          <w:lang w:val="en-US"/>
        </w:rPr>
        <w:t>regarding the</w:t>
      </w:r>
      <w:r w:rsidR="00680285" w:rsidRPr="00680285">
        <w:rPr>
          <w:rFonts w:ascii="Garamond" w:hAnsi="Garamond"/>
          <w:sz w:val="24"/>
          <w:szCs w:val="24"/>
          <w:lang w:val="en-US"/>
        </w:rPr>
        <w:t xml:space="preserve"> terms of their obligations </w:t>
      </w:r>
      <w:r w:rsidR="00680285">
        <w:rPr>
          <w:rFonts w:ascii="Garamond" w:hAnsi="Garamond"/>
          <w:sz w:val="24"/>
          <w:szCs w:val="24"/>
          <w:lang w:val="en-US"/>
        </w:rPr>
        <w:t>to provide</w:t>
      </w:r>
      <w:r w:rsidR="00680285" w:rsidRPr="00680285">
        <w:rPr>
          <w:rFonts w:ascii="Garamond" w:hAnsi="Garamond"/>
          <w:sz w:val="24"/>
          <w:szCs w:val="24"/>
          <w:lang w:val="en-US"/>
        </w:rPr>
        <w:t xml:space="preserve"> </w:t>
      </w:r>
      <w:r w:rsidR="00680285" w:rsidRPr="00680285">
        <w:rPr>
          <w:rFonts w:ascii="Garamond" w:hAnsi="Garamond"/>
          <w:b/>
          <w:sz w:val="24"/>
          <w:szCs w:val="24"/>
          <w:lang w:val="en-US"/>
        </w:rPr>
        <w:t>reproductive health services</w:t>
      </w:r>
      <w:r w:rsidR="00680285" w:rsidRPr="00680285">
        <w:rPr>
          <w:rFonts w:ascii="Garamond" w:hAnsi="Garamond"/>
          <w:sz w:val="24"/>
          <w:szCs w:val="24"/>
          <w:lang w:val="en-US"/>
        </w:rPr>
        <w:t>.</w:t>
      </w:r>
    </w:p>
    <w:p w:rsidR="00680285" w:rsidRPr="00680285" w:rsidRDefault="00680285" w:rsidP="00C111E5">
      <w:pPr>
        <w:pStyle w:val="Sinespaciado"/>
        <w:spacing w:line="276" w:lineRule="auto"/>
        <w:jc w:val="both"/>
        <w:rPr>
          <w:rFonts w:ascii="Garamond" w:hAnsi="Garamond"/>
          <w:sz w:val="24"/>
          <w:szCs w:val="24"/>
          <w:lang w:val="en-US"/>
        </w:rPr>
      </w:pPr>
    </w:p>
    <w:p w:rsidR="00710E34" w:rsidRPr="00680285" w:rsidRDefault="00680285" w:rsidP="00710E34">
      <w:pPr>
        <w:pStyle w:val="Sinespaciado"/>
        <w:spacing w:line="276" w:lineRule="auto"/>
        <w:jc w:val="both"/>
        <w:rPr>
          <w:rFonts w:ascii="Garamond" w:eastAsiaTheme="minorHAnsi" w:hAnsi="Garamond"/>
          <w:sz w:val="24"/>
          <w:szCs w:val="24"/>
          <w:lang w:val="en-US"/>
        </w:rPr>
      </w:pPr>
      <w:r w:rsidRPr="00680285">
        <w:rPr>
          <w:rFonts w:ascii="Garamond" w:eastAsiaTheme="minorHAnsi" w:hAnsi="Garamond"/>
          <w:sz w:val="24"/>
          <w:szCs w:val="24"/>
          <w:lang w:val="en-US"/>
        </w:rPr>
        <w:t xml:space="preserve">In 2012, the </w:t>
      </w:r>
      <w:proofErr w:type="spellStart"/>
      <w:r w:rsidRPr="00680285">
        <w:rPr>
          <w:rFonts w:ascii="Garamond" w:eastAsiaTheme="minorHAnsi" w:hAnsi="Garamond"/>
          <w:sz w:val="24"/>
          <w:szCs w:val="24"/>
          <w:lang w:val="en-US"/>
        </w:rPr>
        <w:t>CEDAW</w:t>
      </w:r>
      <w:proofErr w:type="spellEnd"/>
      <w:r w:rsidRPr="00680285">
        <w:rPr>
          <w:rFonts w:ascii="Garamond" w:eastAsiaTheme="minorHAnsi" w:hAnsi="Garamond"/>
          <w:sz w:val="24"/>
          <w:szCs w:val="24"/>
          <w:lang w:val="en-US"/>
        </w:rPr>
        <w:t xml:space="preserve"> Committee expressed concern regarding the interpretation and application </w:t>
      </w:r>
      <w:r>
        <w:rPr>
          <w:rFonts w:ascii="Garamond" w:eastAsiaTheme="minorHAnsi" w:hAnsi="Garamond"/>
          <w:sz w:val="24"/>
          <w:szCs w:val="24"/>
          <w:lang w:val="en-US"/>
        </w:rPr>
        <w:t>that</w:t>
      </w:r>
      <w:r w:rsidRPr="00680285">
        <w:rPr>
          <w:rFonts w:ascii="Garamond" w:eastAsiaTheme="minorHAnsi" w:hAnsi="Garamond"/>
          <w:sz w:val="24"/>
          <w:szCs w:val="24"/>
          <w:lang w:val="en-US"/>
        </w:rPr>
        <w:t xml:space="preserve"> the Mexican authorities, in particular staff of</w:t>
      </w:r>
      <w:r>
        <w:rPr>
          <w:rFonts w:ascii="Garamond" w:eastAsiaTheme="minorHAnsi" w:hAnsi="Garamond"/>
          <w:sz w:val="24"/>
          <w:szCs w:val="24"/>
          <w:lang w:val="en-US"/>
        </w:rPr>
        <w:t xml:space="preserve"> the public</w:t>
      </w:r>
      <w:r w:rsidRPr="00680285">
        <w:rPr>
          <w:rFonts w:ascii="Garamond" w:eastAsiaTheme="minorHAnsi" w:hAnsi="Garamond"/>
          <w:sz w:val="24"/>
          <w:szCs w:val="24"/>
          <w:lang w:val="en-US"/>
        </w:rPr>
        <w:t xml:space="preserve"> prosecutors</w:t>
      </w:r>
      <w:r>
        <w:rPr>
          <w:rFonts w:ascii="Garamond" w:eastAsiaTheme="minorHAnsi" w:hAnsi="Garamond"/>
          <w:sz w:val="24"/>
          <w:szCs w:val="24"/>
          <w:lang w:val="en-US"/>
        </w:rPr>
        <w:t xml:space="preserve"> offices</w:t>
      </w:r>
      <w:r w:rsidRPr="00680285">
        <w:rPr>
          <w:rFonts w:ascii="Garamond" w:eastAsiaTheme="minorHAnsi" w:hAnsi="Garamond"/>
          <w:sz w:val="24"/>
          <w:szCs w:val="24"/>
          <w:lang w:val="en-US"/>
        </w:rPr>
        <w:t xml:space="preserve"> and health services, </w:t>
      </w:r>
      <w:r>
        <w:rPr>
          <w:rFonts w:ascii="Garamond" w:eastAsiaTheme="minorHAnsi" w:hAnsi="Garamond"/>
          <w:sz w:val="24"/>
          <w:szCs w:val="24"/>
          <w:lang w:val="en-US"/>
        </w:rPr>
        <w:t>have</w:t>
      </w:r>
      <w:r w:rsidRPr="00680285">
        <w:rPr>
          <w:rFonts w:ascii="Garamond" w:eastAsiaTheme="minorHAnsi" w:hAnsi="Garamond"/>
          <w:sz w:val="24"/>
          <w:szCs w:val="24"/>
          <w:lang w:val="en-US"/>
        </w:rPr>
        <w:t xml:space="preserve"> given </w:t>
      </w:r>
      <w:r w:rsidR="00786270">
        <w:rPr>
          <w:rFonts w:ascii="Garamond" w:eastAsiaTheme="minorHAnsi" w:hAnsi="Garamond"/>
          <w:sz w:val="24"/>
          <w:szCs w:val="24"/>
          <w:lang w:val="en-US"/>
        </w:rPr>
        <w:t xml:space="preserve">to </w:t>
      </w:r>
      <w:r w:rsidRPr="00680285">
        <w:rPr>
          <w:rFonts w:ascii="Garamond" w:eastAsiaTheme="minorHAnsi" w:hAnsi="Garamond"/>
          <w:sz w:val="24"/>
          <w:szCs w:val="24"/>
          <w:lang w:val="en-US"/>
        </w:rPr>
        <w:t xml:space="preserve">the </w:t>
      </w:r>
      <w:r w:rsidR="00D47415">
        <w:rPr>
          <w:rFonts w:ascii="Garamond" w:eastAsiaTheme="minorHAnsi" w:hAnsi="Garamond"/>
          <w:sz w:val="24"/>
          <w:szCs w:val="24"/>
          <w:lang w:val="en-US"/>
        </w:rPr>
        <w:t>amendments, most sp</w:t>
      </w:r>
      <w:r>
        <w:rPr>
          <w:rFonts w:ascii="Garamond" w:eastAsiaTheme="minorHAnsi" w:hAnsi="Garamond"/>
          <w:sz w:val="24"/>
          <w:szCs w:val="24"/>
          <w:lang w:val="en-US"/>
        </w:rPr>
        <w:t>ecifically</w:t>
      </w:r>
      <w:r w:rsidRPr="00680285">
        <w:rPr>
          <w:rFonts w:ascii="Garamond" w:eastAsiaTheme="minorHAnsi" w:hAnsi="Garamond"/>
          <w:sz w:val="24"/>
          <w:szCs w:val="24"/>
          <w:lang w:val="en-US"/>
        </w:rPr>
        <w:t xml:space="preserve"> </w:t>
      </w:r>
      <w:r w:rsidR="00786270">
        <w:rPr>
          <w:rFonts w:ascii="Garamond" w:eastAsiaTheme="minorHAnsi" w:hAnsi="Garamond"/>
          <w:sz w:val="24"/>
          <w:szCs w:val="24"/>
          <w:lang w:val="en-US"/>
        </w:rPr>
        <w:t xml:space="preserve">the interpretation of </w:t>
      </w:r>
      <w:r w:rsidR="00D47415">
        <w:rPr>
          <w:rFonts w:ascii="Garamond" w:eastAsiaTheme="minorHAnsi" w:hAnsi="Garamond"/>
          <w:sz w:val="24"/>
          <w:szCs w:val="24"/>
          <w:lang w:val="en-US"/>
        </w:rPr>
        <w:t>“</w:t>
      </w:r>
      <w:r w:rsidRPr="00680285">
        <w:rPr>
          <w:rFonts w:ascii="Garamond" w:eastAsiaTheme="minorHAnsi" w:hAnsi="Garamond"/>
          <w:sz w:val="24"/>
          <w:szCs w:val="24"/>
          <w:lang w:val="en-US"/>
        </w:rPr>
        <w:t>protect</w:t>
      </w:r>
      <w:r w:rsidR="00786270">
        <w:rPr>
          <w:rFonts w:ascii="Garamond" w:eastAsiaTheme="minorHAnsi" w:hAnsi="Garamond"/>
          <w:sz w:val="24"/>
          <w:szCs w:val="24"/>
          <w:lang w:val="en-US"/>
        </w:rPr>
        <w:t>ing</w:t>
      </w:r>
      <w:r w:rsidRPr="00680285">
        <w:rPr>
          <w:rFonts w:ascii="Garamond" w:eastAsiaTheme="minorHAnsi" w:hAnsi="Garamond"/>
          <w:sz w:val="24"/>
          <w:szCs w:val="24"/>
          <w:lang w:val="en-US"/>
        </w:rPr>
        <w:t xml:space="preserve"> life from conception</w:t>
      </w:r>
      <w:r w:rsidR="00D47415">
        <w:rPr>
          <w:rFonts w:ascii="Garamond" w:eastAsiaTheme="minorHAnsi" w:hAnsi="Garamond"/>
          <w:sz w:val="24"/>
          <w:szCs w:val="24"/>
          <w:lang w:val="en-US"/>
        </w:rPr>
        <w:t>”</w:t>
      </w:r>
      <w:r w:rsidRPr="00680285">
        <w:rPr>
          <w:rFonts w:ascii="Garamond" w:eastAsiaTheme="minorHAnsi" w:hAnsi="Garamond"/>
          <w:sz w:val="24"/>
          <w:szCs w:val="24"/>
          <w:lang w:val="en-US"/>
        </w:rPr>
        <w:t xml:space="preserve"> </w:t>
      </w:r>
      <w:r w:rsidR="00786270">
        <w:rPr>
          <w:rFonts w:ascii="Garamond" w:eastAsiaTheme="minorHAnsi" w:hAnsi="Garamond"/>
          <w:sz w:val="24"/>
          <w:szCs w:val="24"/>
          <w:lang w:val="en-US"/>
        </w:rPr>
        <w:t>to</w:t>
      </w:r>
      <w:r w:rsidRPr="00680285">
        <w:rPr>
          <w:rFonts w:ascii="Garamond" w:eastAsiaTheme="minorHAnsi" w:hAnsi="Garamond"/>
          <w:sz w:val="24"/>
          <w:szCs w:val="24"/>
          <w:lang w:val="en-US"/>
        </w:rPr>
        <w:t xml:space="preserve"> the detriment of </w:t>
      </w:r>
      <w:r w:rsidR="00786270">
        <w:rPr>
          <w:rFonts w:ascii="Garamond" w:eastAsiaTheme="minorHAnsi" w:hAnsi="Garamond"/>
          <w:sz w:val="24"/>
          <w:szCs w:val="24"/>
          <w:lang w:val="en-US"/>
        </w:rPr>
        <w:t>women’s</w:t>
      </w:r>
      <w:r w:rsidRPr="00680285">
        <w:rPr>
          <w:rFonts w:ascii="Garamond" w:eastAsiaTheme="minorHAnsi" w:hAnsi="Garamond"/>
          <w:sz w:val="24"/>
          <w:szCs w:val="24"/>
          <w:lang w:val="en-US"/>
        </w:rPr>
        <w:t xml:space="preserve"> rights, </w:t>
      </w:r>
      <w:r w:rsidR="00C54633">
        <w:rPr>
          <w:rFonts w:ascii="Garamond" w:eastAsiaTheme="minorHAnsi" w:hAnsi="Garamond"/>
          <w:sz w:val="24"/>
          <w:szCs w:val="24"/>
          <w:lang w:val="en-US"/>
        </w:rPr>
        <w:t>which has led to</w:t>
      </w:r>
      <w:r w:rsidRPr="00680285">
        <w:rPr>
          <w:rFonts w:ascii="Garamond" w:eastAsiaTheme="minorHAnsi" w:hAnsi="Garamond"/>
          <w:sz w:val="24"/>
          <w:szCs w:val="24"/>
          <w:lang w:val="en-US"/>
        </w:rPr>
        <w:t xml:space="preserve"> criminaliz</w:t>
      </w:r>
      <w:r w:rsidR="00C54633">
        <w:rPr>
          <w:rFonts w:ascii="Garamond" w:eastAsiaTheme="minorHAnsi" w:hAnsi="Garamond"/>
          <w:sz w:val="24"/>
          <w:szCs w:val="24"/>
          <w:lang w:val="en-US"/>
        </w:rPr>
        <w:t>ation</w:t>
      </w:r>
      <w:r w:rsidRPr="00680285">
        <w:rPr>
          <w:rFonts w:ascii="Garamond" w:eastAsiaTheme="minorHAnsi" w:hAnsi="Garamond"/>
          <w:sz w:val="24"/>
          <w:szCs w:val="24"/>
          <w:lang w:val="en-US"/>
        </w:rPr>
        <w:t xml:space="preserve"> and deni</w:t>
      </w:r>
      <w:r w:rsidR="00C54633">
        <w:rPr>
          <w:rFonts w:ascii="Garamond" w:eastAsiaTheme="minorHAnsi" w:hAnsi="Garamond"/>
          <w:sz w:val="24"/>
          <w:szCs w:val="24"/>
          <w:lang w:val="en-US"/>
        </w:rPr>
        <w:t>al of</w:t>
      </w:r>
      <w:r w:rsidRPr="00680285">
        <w:rPr>
          <w:rFonts w:ascii="Garamond" w:eastAsiaTheme="minorHAnsi" w:hAnsi="Garamond"/>
          <w:sz w:val="24"/>
          <w:szCs w:val="24"/>
          <w:lang w:val="en-US"/>
        </w:rPr>
        <w:t xml:space="preserve"> access to reproductive health services.</w:t>
      </w:r>
      <w:r w:rsidR="00C54633" w:rsidRPr="00C111E5">
        <w:rPr>
          <w:rFonts w:ascii="Garamond" w:eastAsiaTheme="minorHAnsi" w:hAnsi="Garamond"/>
          <w:sz w:val="24"/>
          <w:szCs w:val="24"/>
          <w:vertAlign w:val="superscript"/>
          <w:lang w:val="es-MX"/>
        </w:rPr>
        <w:footnoteReference w:id="9"/>
      </w:r>
      <w:r w:rsidR="00C54633" w:rsidRPr="00C54633">
        <w:rPr>
          <w:rFonts w:ascii="Garamond" w:eastAsiaTheme="minorHAnsi" w:hAnsi="Garamond"/>
          <w:sz w:val="24"/>
          <w:szCs w:val="24"/>
          <w:lang w:val="en-US"/>
        </w:rPr>
        <w:t xml:space="preserve"> </w:t>
      </w:r>
      <w:r w:rsidR="00C54633">
        <w:rPr>
          <w:rFonts w:ascii="Garamond" w:eastAsiaTheme="minorHAnsi" w:hAnsi="Garamond"/>
          <w:sz w:val="24"/>
          <w:szCs w:val="24"/>
          <w:lang w:val="en-US"/>
        </w:rPr>
        <w:t>For this reason,</w:t>
      </w:r>
      <w:r w:rsidRPr="00680285">
        <w:rPr>
          <w:rFonts w:ascii="Garamond" w:eastAsiaTheme="minorHAnsi" w:hAnsi="Garamond"/>
          <w:sz w:val="24"/>
          <w:szCs w:val="24"/>
          <w:lang w:val="en-US"/>
        </w:rPr>
        <w:t xml:space="preserve"> the Committee recommended that the Mexican State guarantee women access to reproductive health services without discrimination.</w:t>
      </w:r>
    </w:p>
    <w:p w:rsidR="00710E34" w:rsidRPr="00BA2220" w:rsidRDefault="00710E34" w:rsidP="00C111E5">
      <w:pPr>
        <w:pStyle w:val="Sinespaciado"/>
        <w:spacing w:line="276" w:lineRule="auto"/>
        <w:jc w:val="both"/>
        <w:rPr>
          <w:rFonts w:ascii="Garamond" w:hAnsi="Garamond"/>
          <w:sz w:val="24"/>
          <w:szCs w:val="24"/>
          <w:lang w:val="en-US"/>
        </w:rPr>
      </w:pPr>
    </w:p>
    <w:p w:rsidR="00786270" w:rsidRDefault="00786270" w:rsidP="00710E34">
      <w:pPr>
        <w:pStyle w:val="Sinespaciado"/>
        <w:spacing w:line="276" w:lineRule="auto"/>
        <w:jc w:val="both"/>
        <w:rPr>
          <w:rFonts w:ascii="Garamond" w:hAnsi="Garamond"/>
          <w:sz w:val="24"/>
          <w:szCs w:val="24"/>
          <w:lang w:val="en-US"/>
        </w:rPr>
      </w:pPr>
    </w:p>
    <w:p w:rsidR="00786270" w:rsidRDefault="00786270" w:rsidP="00710E34">
      <w:pPr>
        <w:pStyle w:val="Sinespaciado"/>
        <w:spacing w:line="276" w:lineRule="auto"/>
        <w:jc w:val="both"/>
        <w:rPr>
          <w:rFonts w:ascii="Garamond" w:hAnsi="Garamond"/>
          <w:sz w:val="24"/>
          <w:szCs w:val="24"/>
          <w:lang w:val="en-US"/>
        </w:rPr>
      </w:pPr>
    </w:p>
    <w:p w:rsidR="00C54633" w:rsidRPr="00C54633" w:rsidRDefault="00C54633" w:rsidP="00710E34">
      <w:pPr>
        <w:pStyle w:val="Sinespaciado"/>
        <w:spacing w:line="276" w:lineRule="auto"/>
        <w:jc w:val="both"/>
        <w:rPr>
          <w:rFonts w:ascii="Garamond" w:hAnsi="Garamond"/>
          <w:sz w:val="24"/>
          <w:szCs w:val="24"/>
          <w:lang w:val="en-US"/>
        </w:rPr>
      </w:pPr>
      <w:r>
        <w:rPr>
          <w:rFonts w:ascii="Garamond" w:hAnsi="Garamond"/>
          <w:sz w:val="24"/>
          <w:szCs w:val="24"/>
          <w:lang w:val="en-US"/>
        </w:rPr>
        <w:t>In addition,</w:t>
      </w:r>
      <w:r w:rsidRPr="00C54633">
        <w:rPr>
          <w:rFonts w:ascii="Garamond" w:hAnsi="Garamond"/>
          <w:sz w:val="24"/>
          <w:szCs w:val="24"/>
          <w:lang w:val="en-US"/>
        </w:rPr>
        <w:t xml:space="preserve"> in June 2015</w:t>
      </w:r>
      <w:r w:rsidR="00343256">
        <w:rPr>
          <w:rFonts w:ascii="Garamond" w:hAnsi="Garamond"/>
          <w:sz w:val="24"/>
          <w:szCs w:val="24"/>
          <w:lang w:val="en-US"/>
        </w:rPr>
        <w:t>,</w:t>
      </w:r>
      <w:r w:rsidRPr="00C54633">
        <w:rPr>
          <w:rFonts w:ascii="Garamond" w:hAnsi="Garamond"/>
          <w:sz w:val="24"/>
          <w:szCs w:val="24"/>
          <w:lang w:val="en-US"/>
        </w:rPr>
        <w:t xml:space="preserve"> the Committee on the Rights of the Child expressed concern </w:t>
      </w:r>
      <w:r w:rsidR="00BD720B">
        <w:rPr>
          <w:rFonts w:ascii="Garamond" w:hAnsi="Garamond"/>
          <w:sz w:val="24"/>
          <w:szCs w:val="24"/>
          <w:lang w:val="en-US"/>
        </w:rPr>
        <w:t>about</w:t>
      </w:r>
      <w:r w:rsidRPr="00C54633">
        <w:rPr>
          <w:rFonts w:ascii="Garamond" w:hAnsi="Garamond"/>
          <w:sz w:val="24"/>
          <w:szCs w:val="24"/>
          <w:lang w:val="en-US"/>
        </w:rPr>
        <w:t xml:space="preserve"> the particular risk faced by girls and adolescent </w:t>
      </w:r>
      <w:r w:rsidR="00BD720B">
        <w:rPr>
          <w:rFonts w:ascii="Garamond" w:hAnsi="Garamond"/>
          <w:sz w:val="24"/>
          <w:szCs w:val="24"/>
          <w:lang w:val="en-US"/>
        </w:rPr>
        <w:t xml:space="preserve">who are </w:t>
      </w:r>
      <w:r w:rsidRPr="00C54633">
        <w:rPr>
          <w:rFonts w:ascii="Garamond" w:hAnsi="Garamond"/>
          <w:sz w:val="24"/>
          <w:szCs w:val="24"/>
          <w:lang w:val="en-US"/>
        </w:rPr>
        <w:t xml:space="preserve">victims of sexual </w:t>
      </w:r>
      <w:r w:rsidR="00BD720B">
        <w:rPr>
          <w:rFonts w:ascii="Garamond" w:hAnsi="Garamond"/>
          <w:sz w:val="24"/>
          <w:szCs w:val="24"/>
          <w:lang w:val="en-US"/>
        </w:rPr>
        <w:t>assault</w:t>
      </w:r>
      <w:r w:rsidRPr="00C54633">
        <w:rPr>
          <w:rFonts w:ascii="Garamond" w:hAnsi="Garamond"/>
          <w:sz w:val="24"/>
          <w:szCs w:val="24"/>
          <w:lang w:val="en-US"/>
        </w:rPr>
        <w:t>, which</w:t>
      </w:r>
      <w:r w:rsidR="00BD720B">
        <w:rPr>
          <w:rFonts w:ascii="Garamond" w:hAnsi="Garamond"/>
          <w:sz w:val="24"/>
          <w:szCs w:val="24"/>
          <w:lang w:val="en-US"/>
        </w:rPr>
        <w:t>,</w:t>
      </w:r>
      <w:r w:rsidRPr="00C54633">
        <w:rPr>
          <w:rFonts w:ascii="Garamond" w:hAnsi="Garamond"/>
          <w:sz w:val="24"/>
          <w:szCs w:val="24"/>
          <w:lang w:val="en-US"/>
        </w:rPr>
        <w:t xml:space="preserve"> in many cases</w:t>
      </w:r>
      <w:r w:rsidR="00BD720B">
        <w:rPr>
          <w:rFonts w:ascii="Garamond" w:hAnsi="Garamond"/>
          <w:sz w:val="24"/>
          <w:szCs w:val="24"/>
          <w:lang w:val="en-US"/>
        </w:rPr>
        <w:t>,</w:t>
      </w:r>
      <w:r w:rsidRPr="00C54633">
        <w:rPr>
          <w:rFonts w:ascii="Garamond" w:hAnsi="Garamond"/>
          <w:sz w:val="24"/>
          <w:szCs w:val="24"/>
          <w:lang w:val="en-US"/>
        </w:rPr>
        <w:t xml:space="preserve"> </w:t>
      </w:r>
      <w:r>
        <w:rPr>
          <w:rFonts w:ascii="Garamond" w:hAnsi="Garamond"/>
          <w:sz w:val="24"/>
          <w:szCs w:val="24"/>
          <w:lang w:val="en-US"/>
        </w:rPr>
        <w:t>results in</w:t>
      </w:r>
      <w:r w:rsidRPr="00C54633">
        <w:rPr>
          <w:rFonts w:ascii="Garamond" w:hAnsi="Garamond"/>
          <w:sz w:val="24"/>
          <w:szCs w:val="24"/>
          <w:lang w:val="en-US"/>
        </w:rPr>
        <w:t xml:space="preserve"> unwanted pregnancies and </w:t>
      </w:r>
      <w:r>
        <w:rPr>
          <w:rFonts w:ascii="Garamond" w:hAnsi="Garamond"/>
          <w:sz w:val="24"/>
          <w:szCs w:val="24"/>
          <w:lang w:val="en-US"/>
        </w:rPr>
        <w:t xml:space="preserve">denial </w:t>
      </w:r>
      <w:r w:rsidR="00BD720B">
        <w:rPr>
          <w:rFonts w:ascii="Garamond" w:hAnsi="Garamond"/>
          <w:sz w:val="24"/>
          <w:szCs w:val="24"/>
          <w:lang w:val="en-US"/>
        </w:rPr>
        <w:t>of</w:t>
      </w:r>
      <w:r>
        <w:rPr>
          <w:rFonts w:ascii="Garamond" w:hAnsi="Garamond"/>
          <w:sz w:val="24"/>
          <w:szCs w:val="24"/>
          <w:lang w:val="en-US"/>
        </w:rPr>
        <w:t xml:space="preserve"> safe abortion. I</w:t>
      </w:r>
      <w:r w:rsidRPr="00C54633">
        <w:rPr>
          <w:rFonts w:ascii="Garamond" w:hAnsi="Garamond"/>
          <w:sz w:val="24"/>
          <w:szCs w:val="24"/>
          <w:lang w:val="en-US"/>
        </w:rPr>
        <w:t>t</w:t>
      </w:r>
      <w:r>
        <w:rPr>
          <w:rFonts w:ascii="Garamond" w:hAnsi="Garamond"/>
          <w:sz w:val="24"/>
          <w:szCs w:val="24"/>
          <w:lang w:val="en-US"/>
        </w:rPr>
        <w:t xml:space="preserve"> was therefore</w:t>
      </w:r>
      <w:r w:rsidRPr="00C54633">
        <w:rPr>
          <w:rFonts w:ascii="Garamond" w:hAnsi="Garamond"/>
          <w:sz w:val="24"/>
          <w:szCs w:val="24"/>
          <w:lang w:val="en-US"/>
        </w:rPr>
        <w:t xml:space="preserve"> recommended </w:t>
      </w:r>
      <w:r>
        <w:rPr>
          <w:rFonts w:ascii="Garamond" w:hAnsi="Garamond"/>
          <w:sz w:val="24"/>
          <w:szCs w:val="24"/>
          <w:lang w:val="en-US"/>
        </w:rPr>
        <w:t>to guarantee abortion services without prior</w:t>
      </w:r>
      <w:r w:rsidRPr="00C54633">
        <w:rPr>
          <w:rFonts w:ascii="Garamond" w:hAnsi="Garamond"/>
          <w:sz w:val="24"/>
          <w:szCs w:val="24"/>
          <w:lang w:val="en-US"/>
        </w:rPr>
        <w:t xml:space="preserve"> judicial</w:t>
      </w:r>
      <w:r>
        <w:rPr>
          <w:rFonts w:ascii="Garamond" w:hAnsi="Garamond"/>
          <w:sz w:val="24"/>
          <w:szCs w:val="24"/>
          <w:lang w:val="en-US"/>
        </w:rPr>
        <w:t xml:space="preserve"> or ministerial authorization.</w:t>
      </w:r>
      <w:r w:rsidRPr="00BA2220">
        <w:rPr>
          <w:rStyle w:val="Refdenotaalpie"/>
          <w:rFonts w:ascii="Garamond" w:hAnsi="Garamond"/>
          <w:sz w:val="24"/>
          <w:szCs w:val="24"/>
          <w:lang w:val="en-US"/>
        </w:rPr>
        <w:t xml:space="preserve"> </w:t>
      </w:r>
      <w:r>
        <w:rPr>
          <w:rStyle w:val="Refdenotaalpie"/>
          <w:rFonts w:ascii="Garamond" w:hAnsi="Garamond"/>
          <w:sz w:val="24"/>
          <w:szCs w:val="24"/>
          <w:lang w:val="es-ES"/>
        </w:rPr>
        <w:footnoteReference w:id="10"/>
      </w:r>
    </w:p>
    <w:p w:rsidR="00C54633" w:rsidRDefault="00C54633" w:rsidP="00710E34">
      <w:pPr>
        <w:pStyle w:val="Sinespaciado"/>
        <w:spacing w:line="276" w:lineRule="auto"/>
        <w:jc w:val="both"/>
        <w:rPr>
          <w:rFonts w:ascii="Garamond" w:hAnsi="Garamond"/>
          <w:sz w:val="24"/>
          <w:szCs w:val="24"/>
          <w:lang w:val="en-US"/>
        </w:rPr>
      </w:pPr>
    </w:p>
    <w:p w:rsidR="00C54633" w:rsidRPr="00C54633" w:rsidRDefault="00C54633" w:rsidP="00710E34">
      <w:pPr>
        <w:pStyle w:val="Sinespaciado"/>
        <w:spacing w:line="276" w:lineRule="auto"/>
        <w:jc w:val="both"/>
        <w:rPr>
          <w:rFonts w:ascii="Garamond" w:hAnsi="Garamond"/>
          <w:sz w:val="24"/>
          <w:szCs w:val="24"/>
          <w:lang w:val="en-US"/>
        </w:rPr>
      </w:pPr>
      <w:r>
        <w:rPr>
          <w:rFonts w:ascii="Garamond" w:hAnsi="Garamond"/>
          <w:sz w:val="24"/>
          <w:szCs w:val="24"/>
          <w:lang w:val="en-US"/>
        </w:rPr>
        <w:t>I</w:t>
      </w:r>
      <w:r w:rsidRPr="00C54633">
        <w:rPr>
          <w:rFonts w:ascii="Garamond" w:hAnsi="Garamond"/>
          <w:sz w:val="24"/>
          <w:szCs w:val="24"/>
          <w:lang w:val="en-US"/>
        </w:rPr>
        <w:t xml:space="preserve">ndisputable protection of </w:t>
      </w:r>
      <w:r>
        <w:rPr>
          <w:rFonts w:ascii="Garamond" w:hAnsi="Garamond"/>
          <w:sz w:val="24"/>
          <w:szCs w:val="24"/>
          <w:lang w:val="en-US"/>
        </w:rPr>
        <w:t>prenatal</w:t>
      </w:r>
      <w:r w:rsidRPr="00C54633">
        <w:rPr>
          <w:rFonts w:ascii="Garamond" w:hAnsi="Garamond"/>
          <w:sz w:val="24"/>
          <w:szCs w:val="24"/>
          <w:lang w:val="en-US"/>
        </w:rPr>
        <w:t xml:space="preserve"> life involves </w:t>
      </w:r>
      <w:r>
        <w:rPr>
          <w:rFonts w:ascii="Garamond" w:hAnsi="Garamond"/>
          <w:sz w:val="24"/>
          <w:szCs w:val="24"/>
          <w:lang w:val="en-US"/>
        </w:rPr>
        <w:t xml:space="preserve">carrying out </w:t>
      </w:r>
      <w:r w:rsidRPr="00C54633">
        <w:rPr>
          <w:rFonts w:ascii="Garamond" w:hAnsi="Garamond"/>
          <w:sz w:val="24"/>
          <w:szCs w:val="24"/>
          <w:lang w:val="en-US"/>
        </w:rPr>
        <w:t>a series of positive measures,</w:t>
      </w:r>
      <w:r w:rsidRPr="00C54633">
        <w:rPr>
          <w:rStyle w:val="Refdenotaalpie"/>
          <w:rFonts w:ascii="Garamond" w:eastAsiaTheme="minorHAnsi" w:hAnsi="Garamond" w:cstheme="minorBidi"/>
          <w:sz w:val="24"/>
          <w:lang w:val="en-US"/>
        </w:rPr>
        <w:t xml:space="preserve"> </w:t>
      </w:r>
      <w:r>
        <w:rPr>
          <w:rStyle w:val="Refdenotaalpie"/>
          <w:rFonts w:ascii="Garamond" w:eastAsiaTheme="minorHAnsi" w:hAnsi="Garamond" w:cstheme="minorBidi"/>
          <w:sz w:val="24"/>
          <w:lang w:val="es-MX"/>
        </w:rPr>
        <w:footnoteReference w:id="11"/>
      </w:r>
      <w:r w:rsidRPr="00C54633">
        <w:rPr>
          <w:rFonts w:ascii="Garamond" w:eastAsiaTheme="minorHAnsi" w:hAnsi="Garamond" w:cstheme="minorBidi"/>
          <w:sz w:val="24"/>
          <w:lang w:val="en-US"/>
        </w:rPr>
        <w:t xml:space="preserve"> </w:t>
      </w:r>
      <w:r w:rsidR="00BD720B">
        <w:rPr>
          <w:rFonts w:ascii="Garamond" w:eastAsiaTheme="minorHAnsi" w:hAnsi="Garamond" w:cstheme="minorBidi"/>
          <w:sz w:val="24"/>
          <w:lang w:val="en-US"/>
        </w:rPr>
        <w:t>s</w:t>
      </w:r>
      <w:r w:rsidRPr="00C54633">
        <w:rPr>
          <w:rFonts w:ascii="Garamond" w:hAnsi="Garamond"/>
          <w:sz w:val="24"/>
          <w:szCs w:val="24"/>
          <w:lang w:val="en-US"/>
        </w:rPr>
        <w:t>uch as:</w:t>
      </w:r>
    </w:p>
    <w:p w:rsidR="001765E2" w:rsidRPr="00BA2220" w:rsidRDefault="001765E2" w:rsidP="001765E2">
      <w:pPr>
        <w:pStyle w:val="Sinespaciado"/>
        <w:spacing w:line="276" w:lineRule="auto"/>
        <w:rPr>
          <w:rFonts w:ascii="Garamond" w:eastAsiaTheme="minorHAnsi" w:hAnsi="Garamond" w:cstheme="minorBidi"/>
          <w:sz w:val="24"/>
          <w:lang w:val="en-US"/>
        </w:rPr>
      </w:pPr>
    </w:p>
    <w:p w:rsidR="00C54633" w:rsidRDefault="00C54633" w:rsidP="001765E2">
      <w:pPr>
        <w:pStyle w:val="Sinespaciado"/>
        <w:numPr>
          <w:ilvl w:val="0"/>
          <w:numId w:val="4"/>
        </w:numPr>
        <w:spacing w:line="276" w:lineRule="auto"/>
        <w:jc w:val="both"/>
        <w:rPr>
          <w:rFonts w:ascii="Garamond" w:eastAsiaTheme="minorHAnsi" w:hAnsi="Garamond" w:cstheme="minorBidi"/>
          <w:sz w:val="24"/>
          <w:lang w:val="en-US"/>
        </w:rPr>
      </w:pPr>
      <w:r>
        <w:rPr>
          <w:rFonts w:ascii="Garamond" w:eastAsiaTheme="minorHAnsi" w:hAnsi="Garamond" w:cstheme="minorBidi"/>
          <w:sz w:val="24"/>
          <w:lang w:val="en-US"/>
        </w:rPr>
        <w:t>Fulfilling the nutritional needs of</w:t>
      </w:r>
      <w:r w:rsidRPr="00C54633">
        <w:rPr>
          <w:rFonts w:ascii="Garamond" w:eastAsiaTheme="minorHAnsi" w:hAnsi="Garamond" w:cstheme="minorBidi"/>
          <w:sz w:val="24"/>
          <w:lang w:val="en-US"/>
        </w:rPr>
        <w:t xml:space="preserve"> women of reproduc</w:t>
      </w:r>
      <w:r>
        <w:rPr>
          <w:rFonts w:ascii="Garamond" w:eastAsiaTheme="minorHAnsi" w:hAnsi="Garamond" w:cstheme="minorBidi"/>
          <w:sz w:val="24"/>
          <w:lang w:val="en-US"/>
        </w:rPr>
        <w:t>tive age and pregnant women :</w:t>
      </w:r>
    </w:p>
    <w:p w:rsidR="00C54633" w:rsidRPr="00C54633" w:rsidRDefault="00BD720B" w:rsidP="00C54633">
      <w:pPr>
        <w:pStyle w:val="Sinespaciado"/>
        <w:spacing w:line="276" w:lineRule="auto"/>
        <w:ind w:left="1134"/>
        <w:jc w:val="both"/>
        <w:rPr>
          <w:rFonts w:ascii="Garamond" w:eastAsiaTheme="minorHAnsi" w:hAnsi="Garamond" w:cstheme="minorBidi"/>
          <w:sz w:val="24"/>
          <w:lang w:val="en-US"/>
        </w:rPr>
      </w:pPr>
      <w:r>
        <w:rPr>
          <w:rFonts w:ascii="Garamond" w:eastAsiaTheme="minorHAnsi" w:hAnsi="Garamond" w:cstheme="minorBidi"/>
          <w:sz w:val="24"/>
          <w:lang w:val="en-US"/>
        </w:rPr>
        <w:t>“</w:t>
      </w:r>
      <w:r w:rsidR="00C54633" w:rsidRPr="00C54633">
        <w:rPr>
          <w:rFonts w:ascii="Garamond" w:eastAsiaTheme="minorHAnsi" w:hAnsi="Garamond" w:cstheme="minorBidi"/>
          <w:sz w:val="24"/>
          <w:lang w:val="en-US"/>
        </w:rPr>
        <w:t xml:space="preserve">Anemia is an underlying cause of maternal and </w:t>
      </w:r>
      <w:proofErr w:type="spellStart"/>
      <w:r w:rsidR="00C54633" w:rsidRPr="00C54633">
        <w:rPr>
          <w:rFonts w:ascii="Garamond" w:eastAsiaTheme="minorHAnsi" w:hAnsi="Garamond" w:cstheme="minorBidi"/>
          <w:sz w:val="24"/>
          <w:lang w:val="en-US"/>
        </w:rPr>
        <w:t>perinatal</w:t>
      </w:r>
      <w:proofErr w:type="spellEnd"/>
      <w:r w:rsidR="00C54633" w:rsidRPr="00C54633">
        <w:rPr>
          <w:rFonts w:ascii="Garamond" w:eastAsiaTheme="minorHAnsi" w:hAnsi="Garamond" w:cstheme="minorBidi"/>
          <w:sz w:val="24"/>
          <w:lang w:val="en-US"/>
        </w:rPr>
        <w:t xml:space="preserve"> mortality [...]. Currently, the prevalence of anemia in women of childbearing age is 17.0% among pregnant women and 11.5% in non-pregnant</w:t>
      </w:r>
      <w:r>
        <w:rPr>
          <w:rFonts w:ascii="Garamond" w:eastAsiaTheme="minorHAnsi" w:hAnsi="Garamond" w:cstheme="minorBidi"/>
          <w:sz w:val="24"/>
          <w:lang w:val="en-US"/>
        </w:rPr>
        <w:t xml:space="preserve"> women</w:t>
      </w:r>
      <w:r w:rsidR="00C54633" w:rsidRPr="00C54633">
        <w:rPr>
          <w:rFonts w:ascii="Garamond" w:eastAsiaTheme="minorHAnsi" w:hAnsi="Garamond" w:cstheme="minorBidi"/>
          <w:sz w:val="24"/>
          <w:lang w:val="en-US"/>
        </w:rPr>
        <w:t>. The age groups most affected by anemia were 12 to 19 years (19.6%) and 30 to 39 (19.0%) in pregnant women and those of 40-49 years (16.2%) and 30 to 39 years (13.3%) in non-pregnant.</w:t>
      </w:r>
      <w:r>
        <w:rPr>
          <w:rFonts w:ascii="Garamond" w:eastAsiaTheme="minorHAnsi" w:hAnsi="Garamond" w:cstheme="minorBidi"/>
          <w:sz w:val="24"/>
          <w:lang w:val="en-US"/>
        </w:rPr>
        <w:t>”</w:t>
      </w:r>
      <w:r w:rsidR="00C54633" w:rsidRPr="001765E2">
        <w:rPr>
          <w:rFonts w:ascii="Garamond" w:eastAsiaTheme="minorHAnsi" w:hAnsi="Garamond" w:cstheme="minorBidi"/>
          <w:sz w:val="24"/>
          <w:vertAlign w:val="superscript"/>
          <w:lang w:val="en-US"/>
        </w:rPr>
        <w:footnoteReference w:id="12"/>
      </w:r>
    </w:p>
    <w:p w:rsidR="001765E2" w:rsidRPr="001765E2" w:rsidRDefault="001765E2" w:rsidP="001765E2">
      <w:pPr>
        <w:pStyle w:val="Sinespaciado"/>
        <w:spacing w:line="276" w:lineRule="auto"/>
        <w:ind w:left="1134"/>
        <w:jc w:val="both"/>
        <w:rPr>
          <w:rFonts w:ascii="Garamond" w:eastAsiaTheme="minorHAnsi" w:hAnsi="Garamond" w:cstheme="minorBidi"/>
          <w:sz w:val="24"/>
          <w:lang w:val="es-MX"/>
        </w:rPr>
      </w:pPr>
    </w:p>
    <w:p w:rsidR="00C54633" w:rsidRPr="00C54633" w:rsidRDefault="00C54633" w:rsidP="00C54633">
      <w:pPr>
        <w:pStyle w:val="Sinespaciado"/>
        <w:numPr>
          <w:ilvl w:val="0"/>
          <w:numId w:val="3"/>
        </w:numPr>
        <w:spacing w:line="276" w:lineRule="auto"/>
        <w:jc w:val="both"/>
        <w:rPr>
          <w:rFonts w:ascii="Garamond" w:eastAsiaTheme="minorHAnsi" w:hAnsi="Garamond" w:cstheme="minorBidi"/>
          <w:sz w:val="24"/>
          <w:lang w:val="en-US"/>
        </w:rPr>
      </w:pPr>
      <w:r w:rsidRPr="00C54633">
        <w:rPr>
          <w:rFonts w:ascii="Garamond" w:eastAsiaTheme="minorHAnsi" w:hAnsi="Garamond" w:cstheme="minorBidi"/>
          <w:sz w:val="24"/>
          <w:lang w:val="en-US"/>
        </w:rPr>
        <w:t xml:space="preserve">Reduce maternal mortality </w:t>
      </w:r>
      <w:r w:rsidR="00C370B8">
        <w:rPr>
          <w:rFonts w:ascii="Garamond" w:eastAsiaTheme="minorHAnsi" w:hAnsi="Garamond" w:cstheme="minorBidi"/>
          <w:sz w:val="24"/>
          <w:lang w:val="en-US"/>
        </w:rPr>
        <w:t>through prenatal care</w:t>
      </w:r>
      <w:r w:rsidRPr="00C54633">
        <w:rPr>
          <w:rFonts w:ascii="Garamond" w:eastAsiaTheme="minorHAnsi" w:hAnsi="Garamond" w:cstheme="minorBidi"/>
          <w:sz w:val="24"/>
          <w:lang w:val="en-US"/>
        </w:rPr>
        <w:t>:</w:t>
      </w:r>
    </w:p>
    <w:p w:rsidR="00C370B8" w:rsidRPr="00C370B8" w:rsidRDefault="00C54633" w:rsidP="00C370B8">
      <w:pPr>
        <w:pStyle w:val="Prrafodelista"/>
        <w:ind w:left="1134"/>
        <w:jc w:val="both"/>
        <w:rPr>
          <w:rFonts w:ascii="Cambria" w:hAnsi="Cambria"/>
          <w:sz w:val="22"/>
          <w:szCs w:val="22"/>
          <w:shd w:val="clear" w:color="auto" w:fill="FFFFFF"/>
          <w:lang w:eastAsia="es-MX"/>
        </w:rPr>
      </w:pPr>
      <w:r w:rsidRPr="00C54633">
        <w:rPr>
          <w:rFonts w:ascii="Garamond" w:eastAsiaTheme="minorHAnsi" w:hAnsi="Garamond" w:cstheme="minorBidi"/>
        </w:rPr>
        <w:t>In Mexico, from 1990-2011</w:t>
      </w:r>
      <w:r w:rsidR="00C370B8">
        <w:rPr>
          <w:rFonts w:ascii="Garamond" w:eastAsiaTheme="minorHAnsi" w:hAnsi="Garamond" w:cstheme="minorBidi"/>
        </w:rPr>
        <w:t>, 28,</w:t>
      </w:r>
      <w:r w:rsidRPr="00C54633">
        <w:rPr>
          <w:rFonts w:ascii="Garamond" w:eastAsiaTheme="minorHAnsi" w:hAnsi="Garamond" w:cstheme="minorBidi"/>
        </w:rPr>
        <w:t>042 women died from complications during pregnancy, abortion, childbirth or postpartum.</w:t>
      </w:r>
      <w:r w:rsidR="00C370B8" w:rsidRPr="00C370B8">
        <w:rPr>
          <w:rStyle w:val="Refdenotaalpie"/>
          <w:rFonts w:ascii="Cambria" w:hAnsi="Cambria"/>
          <w:sz w:val="22"/>
          <w:szCs w:val="22"/>
          <w:shd w:val="clear" w:color="auto" w:fill="FFFFFF"/>
          <w:lang w:eastAsia="es-MX"/>
        </w:rPr>
        <w:t xml:space="preserve"> </w:t>
      </w:r>
      <w:r w:rsidR="00C370B8" w:rsidRPr="00F143AC">
        <w:rPr>
          <w:rStyle w:val="Refdenotaalpie"/>
          <w:rFonts w:ascii="Cambria" w:hAnsi="Cambria"/>
          <w:sz w:val="22"/>
          <w:szCs w:val="22"/>
          <w:shd w:val="clear" w:color="auto" w:fill="FFFFFF"/>
          <w:lang w:eastAsia="es-MX"/>
        </w:rPr>
        <w:footnoteReference w:id="13"/>
      </w:r>
    </w:p>
    <w:p w:rsidR="00C54633" w:rsidRDefault="00C54633" w:rsidP="00C54633">
      <w:pPr>
        <w:pStyle w:val="Sinespaciado"/>
        <w:spacing w:line="276" w:lineRule="auto"/>
        <w:ind w:left="720"/>
        <w:jc w:val="both"/>
        <w:rPr>
          <w:rFonts w:ascii="Garamond" w:eastAsiaTheme="minorHAnsi" w:hAnsi="Garamond" w:cstheme="minorBidi"/>
          <w:sz w:val="24"/>
          <w:lang w:val="en-US"/>
        </w:rPr>
      </w:pPr>
    </w:p>
    <w:p w:rsidR="00C370B8" w:rsidRPr="00C370B8" w:rsidRDefault="00C54633" w:rsidP="00C370B8">
      <w:pPr>
        <w:pStyle w:val="Sinespaciado"/>
        <w:spacing w:line="276" w:lineRule="auto"/>
        <w:ind w:left="1080"/>
        <w:jc w:val="both"/>
        <w:rPr>
          <w:rFonts w:ascii="Garamond" w:eastAsiaTheme="minorHAnsi" w:hAnsi="Garamond" w:cstheme="minorBidi"/>
          <w:sz w:val="24"/>
          <w:lang w:val="en-US"/>
        </w:rPr>
      </w:pPr>
      <w:r w:rsidRPr="00C54633">
        <w:rPr>
          <w:rFonts w:ascii="Garamond" w:eastAsiaTheme="minorHAnsi" w:hAnsi="Garamond" w:cstheme="minorBidi"/>
          <w:sz w:val="24"/>
          <w:lang w:val="en-US"/>
        </w:rPr>
        <w:t xml:space="preserve">In 2012, 6.9% of maternal deaths were women without access to education; 14.7% had no social security and 55% had </w:t>
      </w:r>
      <w:r w:rsidR="00C370B8">
        <w:rPr>
          <w:rFonts w:ascii="Garamond" w:eastAsiaTheme="minorHAnsi" w:hAnsi="Garamond" w:cstheme="minorBidi"/>
          <w:sz w:val="24"/>
          <w:lang w:val="en-US"/>
        </w:rPr>
        <w:t>government health insurance</w:t>
      </w:r>
      <w:r w:rsidR="00BD720B">
        <w:rPr>
          <w:rFonts w:ascii="Garamond" w:eastAsiaTheme="minorHAnsi" w:hAnsi="Garamond" w:cstheme="minorBidi"/>
          <w:sz w:val="24"/>
          <w:lang w:val="en-US"/>
        </w:rPr>
        <w:t xml:space="preserve"> under the </w:t>
      </w:r>
      <w:proofErr w:type="spellStart"/>
      <w:r w:rsidR="00BD720B">
        <w:rPr>
          <w:rFonts w:ascii="Garamond" w:eastAsiaTheme="minorHAnsi" w:hAnsi="Garamond" w:cstheme="minorBidi"/>
          <w:sz w:val="24"/>
          <w:lang w:val="en-US"/>
        </w:rPr>
        <w:t>Seguro</w:t>
      </w:r>
      <w:proofErr w:type="spellEnd"/>
      <w:r w:rsidR="00BD720B">
        <w:rPr>
          <w:rFonts w:ascii="Garamond" w:eastAsiaTheme="minorHAnsi" w:hAnsi="Garamond" w:cstheme="minorBidi"/>
          <w:sz w:val="24"/>
          <w:lang w:val="en-US"/>
        </w:rPr>
        <w:t xml:space="preserve"> Popular Program</w:t>
      </w:r>
      <w:r w:rsidRPr="00C54633">
        <w:rPr>
          <w:rFonts w:ascii="Garamond" w:eastAsiaTheme="minorHAnsi" w:hAnsi="Garamond" w:cstheme="minorBidi"/>
          <w:sz w:val="24"/>
          <w:lang w:val="en-US"/>
        </w:rPr>
        <w:t xml:space="preserve">. </w:t>
      </w:r>
      <w:r w:rsidR="00BD720B">
        <w:rPr>
          <w:rFonts w:ascii="Garamond" w:eastAsiaTheme="minorHAnsi" w:hAnsi="Garamond" w:cstheme="minorBidi"/>
          <w:sz w:val="24"/>
          <w:lang w:val="en-US"/>
        </w:rPr>
        <w:t xml:space="preserve">Eleven percent </w:t>
      </w:r>
      <w:r w:rsidR="00C370B8">
        <w:rPr>
          <w:rFonts w:ascii="Garamond" w:eastAsiaTheme="minorHAnsi" w:hAnsi="Garamond" w:cstheme="minorBidi"/>
          <w:sz w:val="24"/>
          <w:lang w:val="en-US"/>
        </w:rPr>
        <w:t>did not have any</w:t>
      </w:r>
      <w:r w:rsidRPr="00C370B8">
        <w:rPr>
          <w:rFonts w:ascii="Garamond" w:eastAsiaTheme="minorHAnsi" w:hAnsi="Garamond" w:cstheme="minorBidi"/>
          <w:sz w:val="24"/>
          <w:lang w:val="en-US"/>
        </w:rPr>
        <w:t xml:space="preserve"> prenatal care during </w:t>
      </w:r>
      <w:r w:rsidR="00C370B8">
        <w:rPr>
          <w:rFonts w:ascii="Garamond" w:eastAsiaTheme="minorHAnsi" w:hAnsi="Garamond" w:cstheme="minorBidi"/>
          <w:sz w:val="24"/>
          <w:lang w:val="en-US"/>
        </w:rPr>
        <w:t xml:space="preserve">their </w:t>
      </w:r>
      <w:r w:rsidRPr="00C370B8">
        <w:rPr>
          <w:rFonts w:ascii="Garamond" w:eastAsiaTheme="minorHAnsi" w:hAnsi="Garamond" w:cstheme="minorBidi"/>
          <w:sz w:val="24"/>
          <w:lang w:val="en-US"/>
        </w:rPr>
        <w:t>pregnancy.</w:t>
      </w:r>
      <w:r w:rsidR="00C370B8" w:rsidRPr="00F143AC">
        <w:rPr>
          <w:rStyle w:val="Refdenotaalpie"/>
          <w:rFonts w:ascii="Cambria" w:hAnsi="Cambria"/>
          <w:shd w:val="clear" w:color="auto" w:fill="FFFFFF"/>
          <w:lang w:eastAsia="es-MX"/>
        </w:rPr>
        <w:footnoteReference w:id="14"/>
      </w:r>
    </w:p>
    <w:p w:rsidR="00C370B8" w:rsidRPr="00C370B8" w:rsidRDefault="00C370B8" w:rsidP="00C370B8">
      <w:pPr>
        <w:pStyle w:val="Sinespaciado"/>
        <w:spacing w:line="276" w:lineRule="auto"/>
        <w:jc w:val="both"/>
        <w:rPr>
          <w:rFonts w:ascii="Garamond" w:eastAsiaTheme="minorHAnsi" w:hAnsi="Garamond" w:cstheme="minorBidi"/>
          <w:sz w:val="24"/>
          <w:lang w:val="en-US"/>
        </w:rPr>
      </w:pPr>
    </w:p>
    <w:p w:rsidR="002B321B" w:rsidRDefault="00C370B8" w:rsidP="00C370B8">
      <w:pPr>
        <w:pStyle w:val="Sinespaciado"/>
        <w:spacing w:line="276" w:lineRule="auto"/>
        <w:jc w:val="both"/>
        <w:rPr>
          <w:rFonts w:ascii="Garamond" w:eastAsiaTheme="minorHAnsi" w:hAnsi="Garamond" w:cstheme="minorBidi"/>
          <w:sz w:val="24"/>
          <w:szCs w:val="24"/>
          <w:lang w:val="en-US"/>
        </w:rPr>
      </w:pPr>
      <w:r w:rsidRPr="00C370B8">
        <w:rPr>
          <w:rFonts w:ascii="Garamond" w:eastAsiaTheme="minorHAnsi" w:hAnsi="Garamond" w:cstheme="minorBidi"/>
          <w:sz w:val="24"/>
          <w:szCs w:val="24"/>
          <w:lang w:val="en-US"/>
        </w:rPr>
        <w:t xml:space="preserve">In addition to the violation of </w:t>
      </w:r>
      <w:r>
        <w:rPr>
          <w:rFonts w:ascii="Garamond" w:eastAsiaTheme="minorHAnsi" w:hAnsi="Garamond" w:cstheme="minorBidi"/>
          <w:sz w:val="24"/>
          <w:szCs w:val="24"/>
          <w:lang w:val="en-US"/>
        </w:rPr>
        <w:t xml:space="preserve">women’s reproductive rights </w:t>
      </w:r>
      <w:r w:rsidRPr="00C370B8">
        <w:rPr>
          <w:rFonts w:ascii="Garamond" w:eastAsiaTheme="minorHAnsi" w:hAnsi="Garamond" w:cstheme="minorBidi"/>
          <w:sz w:val="24"/>
          <w:szCs w:val="24"/>
          <w:lang w:val="en-US"/>
        </w:rPr>
        <w:t>in relation to access to safe abortion, the granting of the right to life from conception would also have negative effects</w:t>
      </w:r>
      <w:r w:rsidR="002B321B">
        <w:rPr>
          <w:rFonts w:ascii="Garamond" w:eastAsiaTheme="minorHAnsi" w:hAnsi="Garamond" w:cstheme="minorBidi"/>
          <w:sz w:val="24"/>
          <w:szCs w:val="24"/>
          <w:lang w:val="en-US"/>
        </w:rPr>
        <w:t xml:space="preserve"> on </w:t>
      </w:r>
      <w:r w:rsidRPr="00C370B8">
        <w:rPr>
          <w:rFonts w:ascii="Garamond" w:eastAsiaTheme="minorHAnsi" w:hAnsi="Garamond" w:cstheme="minorBidi"/>
          <w:sz w:val="24"/>
          <w:szCs w:val="24"/>
          <w:lang w:val="en-US"/>
        </w:rPr>
        <w:t xml:space="preserve">access to assisted reproductive techniques such as </w:t>
      </w:r>
      <w:r w:rsidR="002B321B">
        <w:rPr>
          <w:rFonts w:ascii="Garamond" w:eastAsiaTheme="minorHAnsi" w:hAnsi="Garamond" w:cstheme="minorBidi"/>
          <w:sz w:val="24"/>
          <w:szCs w:val="24"/>
          <w:lang w:val="en-US"/>
        </w:rPr>
        <w:t xml:space="preserve">in vitro </w:t>
      </w:r>
      <w:r w:rsidRPr="00C370B8">
        <w:rPr>
          <w:rFonts w:ascii="Garamond" w:eastAsiaTheme="minorHAnsi" w:hAnsi="Garamond" w:cstheme="minorBidi"/>
          <w:sz w:val="24"/>
          <w:szCs w:val="24"/>
          <w:lang w:val="en-US"/>
        </w:rPr>
        <w:t>ferti</w:t>
      </w:r>
      <w:r>
        <w:rPr>
          <w:rFonts w:ascii="Garamond" w:eastAsiaTheme="minorHAnsi" w:hAnsi="Garamond" w:cstheme="minorBidi"/>
          <w:sz w:val="24"/>
          <w:szCs w:val="24"/>
          <w:lang w:val="en-US"/>
        </w:rPr>
        <w:t>lization. For</w:t>
      </w:r>
    </w:p>
    <w:p w:rsidR="002B321B" w:rsidRDefault="002B321B" w:rsidP="00C370B8">
      <w:pPr>
        <w:pStyle w:val="Sinespaciado"/>
        <w:spacing w:line="276" w:lineRule="auto"/>
        <w:jc w:val="both"/>
        <w:rPr>
          <w:rFonts w:ascii="Garamond" w:eastAsiaTheme="minorHAnsi" w:hAnsi="Garamond" w:cstheme="minorBidi"/>
          <w:sz w:val="24"/>
          <w:szCs w:val="24"/>
          <w:lang w:val="en-US"/>
        </w:rPr>
      </w:pPr>
    </w:p>
    <w:p w:rsidR="002B321B" w:rsidRDefault="002B321B" w:rsidP="00C370B8">
      <w:pPr>
        <w:pStyle w:val="Sinespaciado"/>
        <w:spacing w:line="276" w:lineRule="auto"/>
        <w:jc w:val="both"/>
        <w:rPr>
          <w:rFonts w:ascii="Garamond" w:eastAsiaTheme="minorHAnsi" w:hAnsi="Garamond" w:cstheme="minorBidi"/>
          <w:sz w:val="24"/>
          <w:szCs w:val="24"/>
          <w:lang w:val="en-US"/>
        </w:rPr>
      </w:pPr>
    </w:p>
    <w:p w:rsidR="00C370B8" w:rsidRPr="00C370B8" w:rsidRDefault="00C370B8" w:rsidP="00C370B8">
      <w:pPr>
        <w:pStyle w:val="Sinespaciado"/>
        <w:spacing w:line="276" w:lineRule="auto"/>
        <w:jc w:val="both"/>
        <w:rPr>
          <w:rFonts w:ascii="Garamond" w:eastAsiaTheme="minorHAnsi" w:hAnsi="Garamond" w:cstheme="minorBidi"/>
          <w:sz w:val="24"/>
          <w:szCs w:val="24"/>
          <w:lang w:val="en-US"/>
        </w:rPr>
      </w:pPr>
      <w:r>
        <w:rPr>
          <w:rFonts w:ascii="Garamond" w:eastAsiaTheme="minorHAnsi" w:hAnsi="Garamond" w:cstheme="minorBidi"/>
          <w:sz w:val="24"/>
          <w:szCs w:val="24"/>
          <w:lang w:val="en-US"/>
        </w:rPr>
        <w:t xml:space="preserve"> example, the technique</w:t>
      </w:r>
      <w:r w:rsidRPr="00C370B8">
        <w:rPr>
          <w:rFonts w:ascii="Garamond" w:eastAsiaTheme="minorHAnsi" w:hAnsi="Garamond" w:cstheme="minorBidi"/>
          <w:sz w:val="24"/>
          <w:szCs w:val="24"/>
          <w:lang w:val="en-US"/>
        </w:rPr>
        <w:t xml:space="preserve"> could be </w:t>
      </w:r>
      <w:r>
        <w:rPr>
          <w:rFonts w:ascii="Garamond" w:eastAsiaTheme="minorHAnsi" w:hAnsi="Garamond" w:cstheme="minorBidi"/>
          <w:sz w:val="24"/>
          <w:szCs w:val="24"/>
          <w:lang w:val="en-US"/>
        </w:rPr>
        <w:t xml:space="preserve">prohibited </w:t>
      </w:r>
      <w:r w:rsidR="00973CA4">
        <w:rPr>
          <w:rFonts w:ascii="Garamond" w:eastAsiaTheme="minorHAnsi" w:hAnsi="Garamond" w:cstheme="minorBidi"/>
          <w:sz w:val="24"/>
          <w:szCs w:val="24"/>
          <w:lang w:val="en-US"/>
        </w:rPr>
        <w:t>similar to</w:t>
      </w:r>
      <w:r w:rsidRPr="00C370B8">
        <w:rPr>
          <w:rFonts w:ascii="Garamond" w:eastAsiaTheme="minorHAnsi" w:hAnsi="Garamond" w:cstheme="minorBidi"/>
          <w:sz w:val="24"/>
          <w:szCs w:val="24"/>
          <w:lang w:val="en-US"/>
        </w:rPr>
        <w:t xml:space="preserve"> the case of Costa Rica, which would</w:t>
      </w:r>
      <w:r>
        <w:rPr>
          <w:rFonts w:ascii="Garamond" w:eastAsiaTheme="minorHAnsi" w:hAnsi="Garamond" w:cstheme="minorBidi"/>
          <w:sz w:val="24"/>
          <w:szCs w:val="24"/>
          <w:lang w:val="en-US"/>
        </w:rPr>
        <w:t>, among other things,</w:t>
      </w:r>
      <w:r w:rsidRPr="00C370B8">
        <w:rPr>
          <w:rFonts w:ascii="Garamond" w:eastAsiaTheme="minorHAnsi" w:hAnsi="Garamond" w:cstheme="minorBidi"/>
          <w:sz w:val="24"/>
          <w:szCs w:val="24"/>
          <w:lang w:val="en-US"/>
        </w:rPr>
        <w:t xml:space="preserve"> violate </w:t>
      </w:r>
      <w:r>
        <w:rPr>
          <w:rFonts w:ascii="Garamond" w:eastAsiaTheme="minorHAnsi" w:hAnsi="Garamond" w:cstheme="minorBidi"/>
          <w:sz w:val="24"/>
          <w:szCs w:val="24"/>
          <w:lang w:val="en-US"/>
        </w:rPr>
        <w:t>the</w:t>
      </w:r>
      <w:r w:rsidRPr="00C370B8">
        <w:rPr>
          <w:rFonts w:ascii="Garamond" w:eastAsiaTheme="minorHAnsi" w:hAnsi="Garamond" w:cstheme="minorBidi"/>
          <w:sz w:val="24"/>
          <w:szCs w:val="24"/>
          <w:lang w:val="en-US"/>
        </w:rPr>
        <w:t xml:space="preserve"> right</w:t>
      </w:r>
      <w:r>
        <w:rPr>
          <w:rFonts w:ascii="Garamond" w:eastAsiaTheme="minorHAnsi" w:hAnsi="Garamond" w:cstheme="minorBidi"/>
          <w:sz w:val="24"/>
          <w:szCs w:val="24"/>
          <w:lang w:val="en-US"/>
        </w:rPr>
        <w:t xml:space="preserve"> to privacy</w:t>
      </w:r>
      <w:r w:rsidRPr="00C370B8">
        <w:rPr>
          <w:rFonts w:ascii="Garamond" w:eastAsiaTheme="minorHAnsi" w:hAnsi="Garamond" w:cstheme="minorBidi"/>
          <w:sz w:val="24"/>
          <w:szCs w:val="24"/>
          <w:lang w:val="en-US"/>
        </w:rPr>
        <w:t xml:space="preserve"> and to </w:t>
      </w:r>
      <w:r w:rsidR="00973CA4">
        <w:rPr>
          <w:rFonts w:ascii="Garamond" w:eastAsiaTheme="minorHAnsi" w:hAnsi="Garamond" w:cstheme="minorBidi"/>
          <w:sz w:val="24"/>
          <w:szCs w:val="24"/>
          <w:lang w:val="en-US"/>
        </w:rPr>
        <w:t>found</w:t>
      </w:r>
      <w:r w:rsidRPr="00C370B8">
        <w:rPr>
          <w:rFonts w:ascii="Garamond" w:eastAsiaTheme="minorHAnsi" w:hAnsi="Garamond" w:cstheme="minorBidi"/>
          <w:sz w:val="24"/>
          <w:szCs w:val="24"/>
          <w:lang w:val="en-US"/>
        </w:rPr>
        <w:t xml:space="preserve"> a family</w:t>
      </w:r>
      <w:r>
        <w:rPr>
          <w:rFonts w:ascii="Garamond" w:eastAsiaTheme="minorHAnsi" w:hAnsi="Garamond" w:cstheme="minorBidi"/>
          <w:sz w:val="24"/>
          <w:szCs w:val="24"/>
          <w:lang w:val="en-US"/>
        </w:rPr>
        <w:t xml:space="preserve"> for individuals</w:t>
      </w:r>
      <w:r w:rsidRPr="00C370B8">
        <w:rPr>
          <w:rFonts w:ascii="Garamond" w:eastAsiaTheme="minorHAnsi" w:hAnsi="Garamond" w:cstheme="minorBidi"/>
          <w:sz w:val="24"/>
          <w:szCs w:val="24"/>
          <w:lang w:val="en-US"/>
        </w:rPr>
        <w:t xml:space="preserve"> who require these techniques</w:t>
      </w:r>
      <w:r>
        <w:rPr>
          <w:rFonts w:ascii="Garamond" w:eastAsiaTheme="minorHAnsi" w:hAnsi="Garamond" w:cstheme="minorBidi"/>
          <w:sz w:val="24"/>
          <w:szCs w:val="24"/>
          <w:lang w:val="en-US"/>
        </w:rPr>
        <w:t xml:space="preserve"> to do so</w:t>
      </w:r>
      <w:r w:rsidRPr="00C370B8">
        <w:rPr>
          <w:rFonts w:ascii="Garamond" w:eastAsiaTheme="minorHAnsi" w:hAnsi="Garamond" w:cstheme="minorBidi"/>
          <w:sz w:val="24"/>
          <w:szCs w:val="24"/>
          <w:lang w:val="en-US"/>
        </w:rPr>
        <w:t>. In this regard</w:t>
      </w:r>
      <w:r w:rsidR="002B321B">
        <w:rPr>
          <w:rFonts w:ascii="Garamond" w:eastAsiaTheme="minorHAnsi" w:hAnsi="Garamond" w:cstheme="minorBidi"/>
          <w:sz w:val="24"/>
          <w:szCs w:val="24"/>
          <w:lang w:val="en-US"/>
        </w:rPr>
        <w:t>,</w:t>
      </w:r>
      <w:r w:rsidRPr="00C370B8">
        <w:rPr>
          <w:rFonts w:ascii="Garamond" w:eastAsiaTheme="minorHAnsi" w:hAnsi="Garamond" w:cstheme="minorBidi"/>
          <w:sz w:val="24"/>
          <w:szCs w:val="24"/>
          <w:lang w:val="en-US"/>
        </w:rPr>
        <w:t xml:space="preserve"> the Committee </w:t>
      </w:r>
      <w:r>
        <w:rPr>
          <w:rFonts w:ascii="Garamond" w:eastAsiaTheme="minorHAnsi" w:hAnsi="Garamond" w:cstheme="minorBidi"/>
          <w:sz w:val="24"/>
          <w:szCs w:val="24"/>
          <w:lang w:val="en-US"/>
        </w:rPr>
        <w:t xml:space="preserve">for </w:t>
      </w:r>
      <w:r w:rsidRPr="00C370B8">
        <w:rPr>
          <w:rFonts w:ascii="Garamond" w:eastAsiaTheme="minorHAnsi" w:hAnsi="Garamond" w:cstheme="minorBidi"/>
          <w:sz w:val="24"/>
          <w:szCs w:val="24"/>
          <w:lang w:val="en-US"/>
        </w:rPr>
        <w:t xml:space="preserve">General </w:t>
      </w:r>
      <w:r w:rsidR="00116218">
        <w:rPr>
          <w:rFonts w:ascii="Garamond" w:eastAsiaTheme="minorHAnsi" w:hAnsi="Garamond" w:cstheme="minorBidi"/>
          <w:sz w:val="24"/>
          <w:szCs w:val="24"/>
          <w:lang w:val="en-US"/>
        </w:rPr>
        <w:t>Comment</w:t>
      </w:r>
      <w:r w:rsidRPr="00C370B8">
        <w:rPr>
          <w:rFonts w:ascii="Garamond" w:eastAsiaTheme="minorHAnsi" w:hAnsi="Garamond" w:cstheme="minorBidi"/>
          <w:sz w:val="24"/>
          <w:szCs w:val="24"/>
          <w:lang w:val="en-US"/>
        </w:rPr>
        <w:t xml:space="preserve"> No. 19 has established that the possibility of procreation is part of the right to found a family.</w:t>
      </w:r>
      <w:r w:rsidRPr="00C370B8">
        <w:rPr>
          <w:rStyle w:val="Refdenotaalpie"/>
          <w:rFonts w:ascii="Garamond" w:hAnsi="Garamond"/>
          <w:lang w:val="en-US"/>
        </w:rPr>
        <w:t xml:space="preserve"> </w:t>
      </w:r>
      <w:r w:rsidRPr="00146745">
        <w:rPr>
          <w:rStyle w:val="Refdenotaalpie"/>
          <w:rFonts w:ascii="Garamond" w:hAnsi="Garamond"/>
        </w:rPr>
        <w:footnoteReference w:id="15"/>
      </w:r>
    </w:p>
    <w:p w:rsidR="00C370B8" w:rsidRPr="00C370B8" w:rsidRDefault="00C370B8" w:rsidP="00C2782D">
      <w:pPr>
        <w:pStyle w:val="Sinespaciado"/>
        <w:spacing w:line="276" w:lineRule="auto"/>
        <w:jc w:val="both"/>
        <w:rPr>
          <w:rFonts w:ascii="Garamond" w:eastAsiaTheme="minorHAnsi" w:hAnsi="Garamond" w:cstheme="minorBidi"/>
          <w:sz w:val="24"/>
          <w:szCs w:val="24"/>
          <w:lang w:val="en-US"/>
        </w:rPr>
      </w:pPr>
    </w:p>
    <w:p w:rsidR="00C370B8" w:rsidRPr="00C370B8" w:rsidRDefault="00C370B8" w:rsidP="00C2782D">
      <w:pPr>
        <w:pStyle w:val="Sinespaciado"/>
        <w:spacing w:line="276" w:lineRule="auto"/>
        <w:jc w:val="both"/>
        <w:rPr>
          <w:rFonts w:ascii="Garamond" w:eastAsiaTheme="minorHAnsi" w:hAnsi="Garamond" w:cstheme="minorBidi"/>
          <w:sz w:val="24"/>
          <w:szCs w:val="24"/>
          <w:lang w:val="en-US"/>
        </w:rPr>
      </w:pPr>
      <w:r w:rsidRPr="00C370B8">
        <w:rPr>
          <w:rFonts w:ascii="Garamond" w:eastAsiaTheme="minorHAnsi" w:hAnsi="Garamond" w:cstheme="minorBidi"/>
          <w:sz w:val="24"/>
          <w:szCs w:val="24"/>
          <w:lang w:val="en-US"/>
        </w:rPr>
        <w:t>Given the above and in accordance with the principles of universality, interdependence, indivisibility and progressiveness of human rights</w:t>
      </w:r>
      <w:r>
        <w:rPr>
          <w:rFonts w:ascii="Garamond" w:eastAsiaTheme="minorHAnsi" w:hAnsi="Garamond" w:cstheme="minorBidi"/>
          <w:sz w:val="24"/>
          <w:szCs w:val="24"/>
          <w:lang w:val="en-US"/>
        </w:rPr>
        <w:t>, it</w:t>
      </w:r>
      <w:r w:rsidRPr="00C370B8">
        <w:rPr>
          <w:rFonts w:ascii="Garamond" w:eastAsiaTheme="minorHAnsi" w:hAnsi="Garamond" w:cstheme="minorBidi"/>
          <w:sz w:val="24"/>
          <w:szCs w:val="24"/>
          <w:lang w:val="en-US"/>
        </w:rPr>
        <w:t xml:space="preserve"> is necessary </w:t>
      </w:r>
      <w:r w:rsidR="00310076">
        <w:rPr>
          <w:rFonts w:ascii="Garamond" w:eastAsiaTheme="minorHAnsi" w:hAnsi="Garamond" w:cstheme="minorBidi"/>
          <w:sz w:val="24"/>
          <w:szCs w:val="24"/>
          <w:lang w:val="en-US"/>
        </w:rPr>
        <w:t xml:space="preserve">that the </w:t>
      </w:r>
      <w:r w:rsidRPr="00C370B8">
        <w:rPr>
          <w:rFonts w:ascii="Garamond" w:eastAsiaTheme="minorHAnsi" w:hAnsi="Garamond" w:cstheme="minorBidi"/>
          <w:sz w:val="24"/>
          <w:szCs w:val="24"/>
          <w:lang w:val="en-US"/>
        </w:rPr>
        <w:t xml:space="preserve">interpretation of Article 6 of the International Covenant on Civil and Political Rights by the General </w:t>
      </w:r>
      <w:r w:rsidR="00116218">
        <w:rPr>
          <w:rFonts w:ascii="Garamond" w:eastAsiaTheme="minorHAnsi" w:hAnsi="Garamond" w:cstheme="minorBidi"/>
          <w:sz w:val="24"/>
          <w:szCs w:val="24"/>
          <w:lang w:val="en-US"/>
        </w:rPr>
        <w:t>Comment</w:t>
      </w:r>
      <w:r w:rsidRPr="00C370B8">
        <w:rPr>
          <w:rFonts w:ascii="Garamond" w:eastAsiaTheme="minorHAnsi" w:hAnsi="Garamond" w:cstheme="minorBidi"/>
          <w:sz w:val="24"/>
          <w:szCs w:val="24"/>
          <w:lang w:val="en-US"/>
        </w:rPr>
        <w:t xml:space="preserve"> No. 36 </w:t>
      </w:r>
      <w:r>
        <w:rPr>
          <w:rFonts w:ascii="Garamond" w:eastAsiaTheme="minorHAnsi" w:hAnsi="Garamond" w:cstheme="minorBidi"/>
          <w:sz w:val="24"/>
          <w:szCs w:val="24"/>
          <w:lang w:val="en-US"/>
        </w:rPr>
        <w:t>be</w:t>
      </w:r>
      <w:r w:rsidRPr="00C370B8">
        <w:rPr>
          <w:rFonts w:ascii="Garamond" w:eastAsiaTheme="minorHAnsi" w:hAnsi="Garamond" w:cstheme="minorBidi"/>
          <w:sz w:val="24"/>
          <w:szCs w:val="24"/>
          <w:lang w:val="en-US"/>
        </w:rPr>
        <w:t xml:space="preserve"> made in terms developed by this Committee and other international bodies such as the </w:t>
      </w:r>
      <w:proofErr w:type="spellStart"/>
      <w:r w:rsidRPr="00C370B8">
        <w:rPr>
          <w:rFonts w:ascii="Garamond" w:eastAsiaTheme="minorHAnsi" w:hAnsi="Garamond" w:cstheme="minorBidi"/>
          <w:sz w:val="24"/>
          <w:szCs w:val="24"/>
          <w:lang w:val="en-US"/>
        </w:rPr>
        <w:t>CEDAW</w:t>
      </w:r>
      <w:proofErr w:type="spellEnd"/>
      <w:r w:rsidRPr="00C370B8">
        <w:rPr>
          <w:rFonts w:ascii="Garamond" w:eastAsiaTheme="minorHAnsi" w:hAnsi="Garamond" w:cstheme="minorBidi"/>
          <w:sz w:val="24"/>
          <w:szCs w:val="24"/>
          <w:lang w:val="en-US"/>
        </w:rPr>
        <w:t xml:space="preserve"> Committee, the Committee on the Rights of the Child and the Inter-American C</w:t>
      </w:r>
      <w:r>
        <w:rPr>
          <w:rFonts w:ascii="Garamond" w:eastAsiaTheme="minorHAnsi" w:hAnsi="Garamond" w:cstheme="minorBidi"/>
          <w:sz w:val="24"/>
          <w:szCs w:val="24"/>
          <w:lang w:val="en-US"/>
        </w:rPr>
        <w:t>ourt of Human Rights, recognizing</w:t>
      </w:r>
      <w:r w:rsidRPr="00C370B8">
        <w:rPr>
          <w:rFonts w:ascii="Garamond" w:eastAsiaTheme="minorHAnsi" w:hAnsi="Garamond" w:cstheme="minorBidi"/>
          <w:sz w:val="24"/>
          <w:szCs w:val="24"/>
          <w:lang w:val="en-US"/>
        </w:rPr>
        <w:t xml:space="preserve"> human rights </w:t>
      </w:r>
      <w:r w:rsidR="00310076">
        <w:rPr>
          <w:rFonts w:ascii="Garamond" w:eastAsiaTheme="minorHAnsi" w:hAnsi="Garamond" w:cstheme="minorBidi"/>
          <w:sz w:val="24"/>
          <w:szCs w:val="24"/>
          <w:lang w:val="en-US"/>
        </w:rPr>
        <w:t xml:space="preserve">for born individuals </w:t>
      </w:r>
      <w:r w:rsidRPr="00C370B8">
        <w:rPr>
          <w:rFonts w:ascii="Garamond" w:eastAsiaTheme="minorHAnsi" w:hAnsi="Garamond" w:cstheme="minorBidi"/>
          <w:sz w:val="24"/>
          <w:szCs w:val="24"/>
          <w:lang w:val="en-US"/>
        </w:rPr>
        <w:t>and</w:t>
      </w:r>
      <w:r>
        <w:rPr>
          <w:rFonts w:ascii="Garamond" w:eastAsiaTheme="minorHAnsi" w:hAnsi="Garamond" w:cstheme="minorBidi"/>
          <w:sz w:val="24"/>
          <w:szCs w:val="24"/>
          <w:lang w:val="en-US"/>
        </w:rPr>
        <w:t xml:space="preserve"> to</w:t>
      </w:r>
      <w:r w:rsidRPr="00C370B8">
        <w:rPr>
          <w:rFonts w:ascii="Garamond" w:eastAsiaTheme="minorHAnsi" w:hAnsi="Garamond" w:cstheme="minorBidi"/>
          <w:sz w:val="24"/>
          <w:szCs w:val="24"/>
          <w:lang w:val="en-US"/>
        </w:rPr>
        <w:t xml:space="preserve"> protect the reproductive rights of women.</w:t>
      </w:r>
    </w:p>
    <w:sectPr w:rsidR="00C370B8" w:rsidRPr="00C370B8" w:rsidSect="001961E0">
      <w:headerReference w:type="even" r:id="rId7"/>
      <w:headerReference w:type="default" r:id="rId8"/>
      <w:footerReference w:type="default" r:id="rId9"/>
      <w:headerReference w:type="first" r:id="rId10"/>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644" w:rsidRDefault="00F01644" w:rsidP="00C35FE5">
      <w:r>
        <w:separator/>
      </w:r>
    </w:p>
  </w:endnote>
  <w:endnote w:type="continuationSeparator" w:id="0">
    <w:p w:rsidR="00F01644" w:rsidRDefault="00F01644" w:rsidP="00C35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E34" w:rsidRDefault="00EC3A8A">
    <w:pPr>
      <w:pStyle w:val="Piedepgina"/>
      <w:jc w:val="center"/>
    </w:pPr>
    <w:fldSimple w:instr=" PAGE   \* MERGEFORMAT ">
      <w:r w:rsidR="00310076">
        <w:rPr>
          <w:noProof/>
        </w:rPr>
        <w:t>4</w:t>
      </w:r>
    </w:fldSimple>
  </w:p>
  <w:p w:rsidR="00C35FE5" w:rsidRDefault="00C35F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644" w:rsidRDefault="00F01644" w:rsidP="00C35FE5">
      <w:r>
        <w:separator/>
      </w:r>
    </w:p>
  </w:footnote>
  <w:footnote w:type="continuationSeparator" w:id="0">
    <w:p w:rsidR="00F01644" w:rsidRDefault="00F01644" w:rsidP="00C35FE5">
      <w:r>
        <w:continuationSeparator/>
      </w:r>
    </w:p>
  </w:footnote>
  <w:footnote w:id="1">
    <w:p w:rsidR="000C2AD0" w:rsidRPr="0009286F" w:rsidRDefault="000C2AD0" w:rsidP="000C2AD0">
      <w:pPr>
        <w:pStyle w:val="Textonotapie"/>
        <w:jc w:val="both"/>
        <w:rPr>
          <w:i/>
          <w:sz w:val="18"/>
          <w:szCs w:val="18"/>
          <w:lang w:val="es-ES_tradnl"/>
        </w:rPr>
      </w:pPr>
      <w:r w:rsidRPr="0009286F">
        <w:rPr>
          <w:rStyle w:val="Refdenotaalpie"/>
          <w:sz w:val="18"/>
          <w:szCs w:val="18"/>
        </w:rPr>
        <w:footnoteRef/>
      </w:r>
      <w:r w:rsidRPr="00C111E5">
        <w:rPr>
          <w:sz w:val="18"/>
          <w:szCs w:val="18"/>
          <w:lang w:val="es-MX"/>
        </w:rPr>
        <w:t xml:space="preserve"> INEGI, </w:t>
      </w:r>
      <w:r w:rsidRPr="00C111E5">
        <w:rPr>
          <w:i/>
          <w:sz w:val="18"/>
          <w:szCs w:val="18"/>
          <w:lang w:val="es-MX"/>
        </w:rPr>
        <w:t xml:space="preserve">Encuesta Nacional de Dinámica Demográfica, </w:t>
      </w:r>
      <w:r w:rsidRPr="00C111E5">
        <w:rPr>
          <w:sz w:val="18"/>
          <w:szCs w:val="18"/>
          <w:lang w:val="es-MX"/>
        </w:rPr>
        <w:t>2011.</w:t>
      </w:r>
      <w:r w:rsidRPr="00C111E5">
        <w:rPr>
          <w:i/>
          <w:sz w:val="18"/>
          <w:szCs w:val="18"/>
          <w:lang w:val="es-MX"/>
        </w:rPr>
        <w:t xml:space="preserve"> </w:t>
      </w:r>
    </w:p>
  </w:footnote>
  <w:footnote w:id="2">
    <w:p w:rsidR="00897127" w:rsidRPr="00C111E5" w:rsidRDefault="00897127" w:rsidP="00897127">
      <w:pPr>
        <w:autoSpaceDE w:val="0"/>
        <w:autoSpaceDN w:val="0"/>
        <w:adjustRightInd w:val="0"/>
        <w:jc w:val="both"/>
        <w:rPr>
          <w:sz w:val="20"/>
          <w:lang w:val="es-MX"/>
        </w:rPr>
      </w:pPr>
      <w:r w:rsidRPr="0009286F">
        <w:rPr>
          <w:rStyle w:val="Refdenotaalpie"/>
          <w:sz w:val="18"/>
          <w:szCs w:val="18"/>
        </w:rPr>
        <w:footnoteRef/>
      </w:r>
      <w:r w:rsidRPr="00786270">
        <w:rPr>
          <w:sz w:val="18"/>
          <w:szCs w:val="18"/>
        </w:rPr>
        <w:t xml:space="preserve"> </w:t>
      </w:r>
      <w:proofErr w:type="gramStart"/>
      <w:r w:rsidR="00BA2220" w:rsidRPr="00786270">
        <w:rPr>
          <w:sz w:val="18"/>
          <w:szCs w:val="18"/>
        </w:rPr>
        <w:t>Observatory on Maternal Mortality in Mexico</w:t>
      </w:r>
      <w:r w:rsidRPr="00786270">
        <w:rPr>
          <w:sz w:val="18"/>
          <w:szCs w:val="18"/>
        </w:rPr>
        <w:t xml:space="preserve">, </w:t>
      </w:r>
      <w:r w:rsidR="00786270" w:rsidRPr="00786270">
        <w:rPr>
          <w:i/>
          <w:iCs/>
          <w:sz w:val="18"/>
          <w:szCs w:val="18"/>
        </w:rPr>
        <w:t>Maternal Mortality in Mexico</w:t>
      </w:r>
      <w:r w:rsidRPr="00786270">
        <w:rPr>
          <w:i/>
          <w:iCs/>
          <w:sz w:val="18"/>
          <w:szCs w:val="18"/>
        </w:rPr>
        <w:t>.</w:t>
      </w:r>
      <w:proofErr w:type="gramEnd"/>
      <w:r w:rsidRPr="00786270">
        <w:rPr>
          <w:i/>
          <w:iCs/>
          <w:sz w:val="18"/>
          <w:szCs w:val="18"/>
        </w:rPr>
        <w:t xml:space="preserve"> </w:t>
      </w:r>
      <w:proofErr w:type="spellStart"/>
      <w:r w:rsidRPr="00C111E5">
        <w:rPr>
          <w:i/>
          <w:iCs/>
          <w:sz w:val="18"/>
          <w:szCs w:val="18"/>
          <w:lang w:val="es-MX"/>
        </w:rPr>
        <w:t>Numeralia</w:t>
      </w:r>
      <w:proofErr w:type="spellEnd"/>
      <w:r w:rsidRPr="00C111E5">
        <w:rPr>
          <w:i/>
          <w:iCs/>
          <w:sz w:val="18"/>
          <w:szCs w:val="18"/>
          <w:lang w:val="es-MX"/>
        </w:rPr>
        <w:t xml:space="preserve"> 2011, </w:t>
      </w:r>
      <w:proofErr w:type="spellStart"/>
      <w:r w:rsidR="00AD3E5B">
        <w:rPr>
          <w:iCs/>
          <w:sz w:val="18"/>
          <w:szCs w:val="18"/>
          <w:lang w:val="es-MX"/>
        </w:rPr>
        <w:t>Me</w:t>
      </w:r>
      <w:r w:rsidRPr="00C111E5">
        <w:rPr>
          <w:iCs/>
          <w:sz w:val="18"/>
          <w:szCs w:val="18"/>
          <w:lang w:val="es-MX"/>
        </w:rPr>
        <w:t>xico</w:t>
      </w:r>
      <w:proofErr w:type="spellEnd"/>
      <w:r w:rsidRPr="00C111E5">
        <w:rPr>
          <w:iCs/>
          <w:sz w:val="18"/>
          <w:szCs w:val="18"/>
          <w:lang w:val="es-MX"/>
        </w:rPr>
        <w:t>, 2012.</w:t>
      </w:r>
      <w:r w:rsidRPr="00C111E5">
        <w:rPr>
          <w:iCs/>
          <w:sz w:val="20"/>
          <w:lang w:val="es-MX"/>
        </w:rPr>
        <w:t xml:space="preserve"> </w:t>
      </w:r>
    </w:p>
  </w:footnote>
  <w:footnote w:id="3">
    <w:p w:rsidR="00897127" w:rsidRPr="00116218" w:rsidRDefault="00897127" w:rsidP="00897127">
      <w:pPr>
        <w:pStyle w:val="Textonotapie"/>
        <w:jc w:val="both"/>
        <w:rPr>
          <w:rFonts w:ascii="Garamond" w:hAnsi="Garamond"/>
          <w:i/>
          <w:lang w:val="es-MX"/>
        </w:rPr>
      </w:pPr>
      <w:r w:rsidRPr="00116218">
        <w:rPr>
          <w:rFonts w:ascii="Garamond" w:hAnsi="Garamond"/>
          <w:i/>
          <w:lang w:val="es-MX"/>
        </w:rPr>
        <w:footnoteRef/>
      </w:r>
      <w:r w:rsidRPr="00116218">
        <w:rPr>
          <w:rFonts w:ascii="Garamond" w:hAnsi="Garamond"/>
          <w:i/>
          <w:lang w:val="es-MX"/>
        </w:rPr>
        <w:t xml:space="preserve"> </w:t>
      </w:r>
      <w:proofErr w:type="spellStart"/>
      <w:r w:rsidR="00BA2220" w:rsidRPr="00BD720B">
        <w:rPr>
          <w:rFonts w:ascii="Garamond" w:hAnsi="Garamond"/>
          <w:lang w:val="es-MX"/>
        </w:rPr>
        <w:t>Mexico</w:t>
      </w:r>
      <w:proofErr w:type="spellEnd"/>
      <w:r w:rsidR="00BA2220" w:rsidRPr="00BD720B">
        <w:rPr>
          <w:rFonts w:ascii="Garamond" w:hAnsi="Garamond"/>
          <w:lang w:val="es-MX"/>
        </w:rPr>
        <w:t xml:space="preserve"> has </w:t>
      </w:r>
      <w:proofErr w:type="spellStart"/>
      <w:r w:rsidR="00BA2220" w:rsidRPr="00BD720B">
        <w:rPr>
          <w:rFonts w:ascii="Garamond" w:hAnsi="Garamond"/>
          <w:lang w:val="es-MX"/>
        </w:rPr>
        <w:t>received</w:t>
      </w:r>
      <w:proofErr w:type="spellEnd"/>
      <w:r w:rsidR="00BA2220" w:rsidRPr="00BD720B">
        <w:rPr>
          <w:rFonts w:ascii="Garamond" w:hAnsi="Garamond"/>
          <w:lang w:val="es-MX"/>
        </w:rPr>
        <w:t xml:space="preserve"> </w:t>
      </w:r>
      <w:proofErr w:type="spellStart"/>
      <w:r w:rsidR="00BA2220" w:rsidRPr="00BD720B">
        <w:rPr>
          <w:rFonts w:ascii="Garamond" w:hAnsi="Garamond"/>
          <w:lang w:val="es-MX"/>
        </w:rPr>
        <w:t>almost</w:t>
      </w:r>
      <w:proofErr w:type="spellEnd"/>
      <w:r w:rsidR="00BA2220" w:rsidRPr="00BD720B">
        <w:rPr>
          <w:rFonts w:ascii="Garamond" w:hAnsi="Garamond"/>
          <w:lang w:val="es-MX"/>
        </w:rPr>
        <w:t xml:space="preserve"> 20 </w:t>
      </w:r>
      <w:proofErr w:type="spellStart"/>
      <w:r w:rsidR="00BA2220" w:rsidRPr="00BD720B">
        <w:rPr>
          <w:rFonts w:ascii="Garamond" w:hAnsi="Garamond"/>
          <w:lang w:val="es-MX"/>
        </w:rPr>
        <w:t>recommendations</w:t>
      </w:r>
      <w:proofErr w:type="spellEnd"/>
      <w:r w:rsidR="00BA2220" w:rsidRPr="00BD720B">
        <w:rPr>
          <w:rFonts w:ascii="Garamond" w:hAnsi="Garamond"/>
          <w:lang w:val="es-MX"/>
        </w:rPr>
        <w:t xml:space="preserve"> </w:t>
      </w:r>
      <w:proofErr w:type="spellStart"/>
      <w:r w:rsidR="00BA2220" w:rsidRPr="00BD720B">
        <w:rPr>
          <w:rFonts w:ascii="Garamond" w:hAnsi="Garamond"/>
          <w:lang w:val="es-MX"/>
        </w:rPr>
        <w:t>related</w:t>
      </w:r>
      <w:proofErr w:type="spellEnd"/>
      <w:r w:rsidR="00BA2220" w:rsidRPr="00BD720B">
        <w:rPr>
          <w:rFonts w:ascii="Garamond" w:hAnsi="Garamond"/>
          <w:lang w:val="es-MX"/>
        </w:rPr>
        <w:t xml:space="preserve"> </w:t>
      </w:r>
      <w:proofErr w:type="spellStart"/>
      <w:r w:rsidR="00BA2220" w:rsidRPr="00BD720B">
        <w:rPr>
          <w:rFonts w:ascii="Garamond" w:hAnsi="Garamond"/>
          <w:lang w:val="es-MX"/>
        </w:rPr>
        <w:t>to</w:t>
      </w:r>
      <w:proofErr w:type="spellEnd"/>
      <w:r w:rsidR="00BA2220" w:rsidRPr="00BD720B">
        <w:rPr>
          <w:rFonts w:ascii="Garamond" w:hAnsi="Garamond"/>
          <w:lang w:val="es-MX"/>
        </w:rPr>
        <w:t xml:space="preserve"> sexual and </w:t>
      </w:r>
      <w:proofErr w:type="spellStart"/>
      <w:r w:rsidR="00BA2220" w:rsidRPr="00BD720B">
        <w:rPr>
          <w:rFonts w:ascii="Garamond" w:hAnsi="Garamond"/>
          <w:lang w:val="es-MX"/>
        </w:rPr>
        <w:t>reproductive</w:t>
      </w:r>
      <w:proofErr w:type="spellEnd"/>
      <w:r w:rsidR="00BA2220" w:rsidRPr="00BD720B">
        <w:rPr>
          <w:rFonts w:ascii="Garamond" w:hAnsi="Garamond"/>
          <w:lang w:val="es-MX"/>
        </w:rPr>
        <w:t xml:space="preserve"> </w:t>
      </w:r>
      <w:proofErr w:type="spellStart"/>
      <w:r w:rsidR="00BA2220" w:rsidRPr="00BD720B">
        <w:rPr>
          <w:rFonts w:ascii="Garamond" w:hAnsi="Garamond"/>
          <w:lang w:val="es-MX"/>
        </w:rPr>
        <w:t>health</w:t>
      </w:r>
      <w:proofErr w:type="spellEnd"/>
      <w:r w:rsidR="00BA2220" w:rsidRPr="00BD720B">
        <w:rPr>
          <w:rFonts w:ascii="Garamond" w:hAnsi="Garamond"/>
          <w:lang w:val="es-MX"/>
        </w:rPr>
        <w:t>.</w:t>
      </w:r>
      <w:r w:rsidRPr="00BD720B">
        <w:rPr>
          <w:rFonts w:ascii="Garamond" w:hAnsi="Garamond"/>
          <w:lang w:val="es-MX"/>
        </w:rPr>
        <w:t xml:space="preserve"> </w:t>
      </w:r>
      <w:proofErr w:type="spellStart"/>
      <w:r w:rsidRPr="00BD720B">
        <w:rPr>
          <w:rFonts w:ascii="Garamond" w:hAnsi="Garamond"/>
          <w:lang w:val="es-MX"/>
        </w:rPr>
        <w:t>CEDAW</w:t>
      </w:r>
      <w:proofErr w:type="spellEnd"/>
      <w:r w:rsidRPr="00BD720B">
        <w:rPr>
          <w:rFonts w:ascii="Garamond" w:hAnsi="Garamond"/>
          <w:lang w:val="es-MX"/>
        </w:rPr>
        <w:t>, 1998 (p</w:t>
      </w:r>
      <w:r w:rsidR="00BA2220" w:rsidRPr="00BD720B">
        <w:rPr>
          <w:rFonts w:ascii="Garamond" w:hAnsi="Garamond"/>
          <w:lang w:val="es-MX"/>
        </w:rPr>
        <w:t>a</w:t>
      </w:r>
      <w:r w:rsidR="00786270" w:rsidRPr="00BD720B">
        <w:rPr>
          <w:rFonts w:ascii="Garamond" w:hAnsi="Garamond"/>
          <w:lang w:val="es-MX"/>
        </w:rPr>
        <w:t>r.</w:t>
      </w:r>
      <w:r w:rsidRPr="00BD720B">
        <w:rPr>
          <w:rFonts w:ascii="Garamond" w:hAnsi="Garamond"/>
          <w:lang w:val="es-MX"/>
        </w:rPr>
        <w:t xml:space="preserve"> 408, 410 </w:t>
      </w:r>
      <w:r w:rsidR="00AD3E5B" w:rsidRPr="00BD720B">
        <w:rPr>
          <w:rFonts w:ascii="Garamond" w:hAnsi="Garamond"/>
          <w:lang w:val="es-MX"/>
        </w:rPr>
        <w:t>and</w:t>
      </w:r>
      <w:r w:rsidRPr="00BD720B">
        <w:rPr>
          <w:rFonts w:ascii="Garamond" w:hAnsi="Garamond"/>
          <w:lang w:val="es-MX"/>
        </w:rPr>
        <w:t xml:space="preserve"> 426); </w:t>
      </w:r>
      <w:proofErr w:type="spellStart"/>
      <w:r w:rsidRPr="00BD720B">
        <w:rPr>
          <w:rFonts w:ascii="Garamond" w:hAnsi="Garamond"/>
          <w:lang w:val="es-MX"/>
        </w:rPr>
        <w:t>CDESC</w:t>
      </w:r>
      <w:proofErr w:type="spellEnd"/>
      <w:r w:rsidRPr="00BD720B">
        <w:rPr>
          <w:rFonts w:ascii="Garamond" w:hAnsi="Garamond"/>
          <w:lang w:val="es-MX"/>
        </w:rPr>
        <w:t>, 1999 (p</w:t>
      </w:r>
      <w:r w:rsidR="00BA2220" w:rsidRPr="00BD720B">
        <w:rPr>
          <w:rFonts w:ascii="Garamond" w:hAnsi="Garamond"/>
          <w:lang w:val="es-MX"/>
        </w:rPr>
        <w:t>a</w:t>
      </w:r>
      <w:r w:rsidRPr="00BD720B">
        <w:rPr>
          <w:rFonts w:ascii="Garamond" w:hAnsi="Garamond"/>
          <w:lang w:val="es-MX"/>
        </w:rPr>
        <w:t xml:space="preserve">r. 43); </w:t>
      </w:r>
      <w:proofErr w:type="spellStart"/>
      <w:r w:rsidRPr="00BD720B">
        <w:rPr>
          <w:rFonts w:ascii="Garamond" w:hAnsi="Garamond"/>
          <w:lang w:val="es-MX"/>
        </w:rPr>
        <w:t>CEDAW</w:t>
      </w:r>
      <w:proofErr w:type="spellEnd"/>
      <w:r w:rsidRPr="00BD720B">
        <w:rPr>
          <w:rFonts w:ascii="Garamond" w:hAnsi="Garamond"/>
          <w:lang w:val="es-MX"/>
        </w:rPr>
        <w:t>, 2002 (p</w:t>
      </w:r>
      <w:r w:rsidR="00BA2220" w:rsidRPr="00BD720B">
        <w:rPr>
          <w:rFonts w:ascii="Garamond" w:hAnsi="Garamond"/>
          <w:lang w:val="es-MX"/>
        </w:rPr>
        <w:t>a</w:t>
      </w:r>
      <w:r w:rsidRPr="00BD720B">
        <w:rPr>
          <w:rFonts w:ascii="Garamond" w:hAnsi="Garamond"/>
          <w:lang w:val="es-MX"/>
        </w:rPr>
        <w:t xml:space="preserve">r. 446); </w:t>
      </w:r>
      <w:proofErr w:type="spellStart"/>
      <w:r w:rsidRPr="00BD720B">
        <w:rPr>
          <w:rFonts w:ascii="Garamond" w:hAnsi="Garamond"/>
          <w:lang w:val="es-MX"/>
        </w:rPr>
        <w:t>CDESC</w:t>
      </w:r>
      <w:proofErr w:type="spellEnd"/>
      <w:r w:rsidRPr="00BD720B">
        <w:rPr>
          <w:rFonts w:ascii="Garamond" w:hAnsi="Garamond"/>
          <w:lang w:val="es-MX"/>
        </w:rPr>
        <w:t>, 2006 (p</w:t>
      </w:r>
      <w:r w:rsidR="00BA2220" w:rsidRPr="00BD720B">
        <w:rPr>
          <w:rFonts w:ascii="Garamond" w:hAnsi="Garamond"/>
          <w:lang w:val="es-MX"/>
        </w:rPr>
        <w:t>a</w:t>
      </w:r>
      <w:r w:rsidRPr="00BD720B">
        <w:rPr>
          <w:rFonts w:ascii="Garamond" w:hAnsi="Garamond"/>
          <w:lang w:val="es-MX"/>
        </w:rPr>
        <w:t xml:space="preserve">r. 44); </w:t>
      </w:r>
      <w:proofErr w:type="spellStart"/>
      <w:r w:rsidRPr="00BD720B">
        <w:rPr>
          <w:rFonts w:ascii="Garamond" w:hAnsi="Garamond"/>
          <w:lang w:val="es-MX"/>
        </w:rPr>
        <w:t>CEDAW</w:t>
      </w:r>
      <w:proofErr w:type="spellEnd"/>
      <w:r w:rsidRPr="00BD720B">
        <w:rPr>
          <w:rFonts w:ascii="Garamond" w:hAnsi="Garamond"/>
          <w:lang w:val="es-MX"/>
        </w:rPr>
        <w:t>, 2006 (p</w:t>
      </w:r>
      <w:r w:rsidR="00BA2220" w:rsidRPr="00BD720B">
        <w:rPr>
          <w:rFonts w:ascii="Garamond" w:hAnsi="Garamond"/>
          <w:lang w:val="es-MX"/>
        </w:rPr>
        <w:t>a</w:t>
      </w:r>
      <w:r w:rsidRPr="00BD720B">
        <w:rPr>
          <w:rFonts w:ascii="Garamond" w:hAnsi="Garamond"/>
          <w:lang w:val="es-MX"/>
        </w:rPr>
        <w:t xml:space="preserve">r. 33); </w:t>
      </w:r>
      <w:proofErr w:type="spellStart"/>
      <w:r w:rsidRPr="00BD720B">
        <w:rPr>
          <w:rFonts w:ascii="Garamond" w:hAnsi="Garamond"/>
          <w:lang w:val="es-MX"/>
        </w:rPr>
        <w:t>CDN</w:t>
      </w:r>
      <w:proofErr w:type="spellEnd"/>
      <w:r w:rsidRPr="00BD720B">
        <w:rPr>
          <w:rFonts w:ascii="Garamond" w:hAnsi="Garamond"/>
          <w:lang w:val="es-MX"/>
        </w:rPr>
        <w:t xml:space="preserve">, 2006 (51.a); </w:t>
      </w:r>
      <w:proofErr w:type="spellStart"/>
      <w:r w:rsidR="00BA2220" w:rsidRPr="00BD720B">
        <w:rPr>
          <w:rFonts w:ascii="Garamond" w:hAnsi="Garamond"/>
          <w:lang w:val="es-MX"/>
        </w:rPr>
        <w:t>HR</w:t>
      </w:r>
      <w:proofErr w:type="spellEnd"/>
      <w:r w:rsidR="00BA2220" w:rsidRPr="00BD720B">
        <w:rPr>
          <w:rFonts w:ascii="Garamond" w:hAnsi="Garamond"/>
          <w:lang w:val="es-MX"/>
        </w:rPr>
        <w:t xml:space="preserve"> </w:t>
      </w:r>
      <w:proofErr w:type="spellStart"/>
      <w:r w:rsidR="00BA2220" w:rsidRPr="00BD720B">
        <w:rPr>
          <w:rFonts w:ascii="Garamond" w:hAnsi="Garamond"/>
          <w:lang w:val="es-MX"/>
        </w:rPr>
        <w:t>Committee</w:t>
      </w:r>
      <w:proofErr w:type="spellEnd"/>
      <w:r w:rsidRPr="00BD720B">
        <w:rPr>
          <w:rFonts w:ascii="Garamond" w:hAnsi="Garamond"/>
          <w:lang w:val="es-MX"/>
        </w:rPr>
        <w:t>, 2010 (p</w:t>
      </w:r>
      <w:r w:rsidR="00BA2220" w:rsidRPr="00BD720B">
        <w:rPr>
          <w:rFonts w:ascii="Garamond" w:hAnsi="Garamond"/>
          <w:lang w:val="es-MX"/>
        </w:rPr>
        <w:t>a</w:t>
      </w:r>
      <w:r w:rsidRPr="00BD720B">
        <w:rPr>
          <w:rFonts w:ascii="Garamond" w:hAnsi="Garamond"/>
          <w:lang w:val="es-MX"/>
        </w:rPr>
        <w:t xml:space="preserve">r. 10); </w:t>
      </w:r>
      <w:proofErr w:type="spellStart"/>
      <w:r w:rsidRPr="00BD720B">
        <w:rPr>
          <w:rFonts w:ascii="Garamond" w:hAnsi="Garamond"/>
          <w:lang w:val="es-MX"/>
        </w:rPr>
        <w:t>CERD</w:t>
      </w:r>
      <w:proofErr w:type="spellEnd"/>
      <w:r w:rsidRPr="00BD720B">
        <w:rPr>
          <w:rFonts w:ascii="Garamond" w:hAnsi="Garamond"/>
          <w:lang w:val="es-MX"/>
        </w:rPr>
        <w:t>, 2012 (p</w:t>
      </w:r>
      <w:r w:rsidR="00BA2220" w:rsidRPr="00BD720B">
        <w:rPr>
          <w:rFonts w:ascii="Garamond" w:hAnsi="Garamond"/>
          <w:lang w:val="es-MX"/>
        </w:rPr>
        <w:t xml:space="preserve">ar. 19); </w:t>
      </w:r>
      <w:proofErr w:type="spellStart"/>
      <w:r w:rsidR="00BA2220" w:rsidRPr="00BD720B">
        <w:rPr>
          <w:rFonts w:ascii="Garamond" w:hAnsi="Garamond"/>
          <w:lang w:val="es-MX"/>
        </w:rPr>
        <w:t>CEDAW</w:t>
      </w:r>
      <w:proofErr w:type="spellEnd"/>
      <w:r w:rsidR="00BA2220" w:rsidRPr="00BD720B">
        <w:rPr>
          <w:rFonts w:ascii="Garamond" w:hAnsi="Garamond"/>
          <w:lang w:val="es-MX"/>
        </w:rPr>
        <w:t>, 2012 (pa</w:t>
      </w:r>
      <w:r w:rsidRPr="00BD720B">
        <w:rPr>
          <w:rFonts w:ascii="Garamond" w:hAnsi="Garamond"/>
          <w:lang w:val="es-MX"/>
        </w:rPr>
        <w:t>r. 14</w:t>
      </w:r>
      <w:proofErr w:type="gramStart"/>
      <w:r w:rsidRPr="00BD720B">
        <w:rPr>
          <w:rFonts w:ascii="Garamond" w:hAnsi="Garamond"/>
          <w:lang w:val="es-MX"/>
        </w:rPr>
        <w:t>.b</w:t>
      </w:r>
      <w:proofErr w:type="gramEnd"/>
      <w:r w:rsidRPr="00BD720B">
        <w:rPr>
          <w:rFonts w:ascii="Garamond" w:hAnsi="Garamond"/>
          <w:lang w:val="es-MX"/>
        </w:rPr>
        <w:t xml:space="preserve">, 27.a, 31.a, 31.b, 31.c, 33.a, 33.b, 33.c). </w:t>
      </w:r>
      <w:proofErr w:type="spellStart"/>
      <w:r w:rsidR="00116218" w:rsidRPr="00BD720B">
        <w:rPr>
          <w:rFonts w:ascii="Garamond" w:hAnsi="Garamond"/>
          <w:lang w:val="es-MX"/>
        </w:rPr>
        <w:t>To</w:t>
      </w:r>
      <w:proofErr w:type="spellEnd"/>
      <w:r w:rsidR="00116218" w:rsidRPr="00BD720B">
        <w:rPr>
          <w:rFonts w:ascii="Garamond" w:hAnsi="Garamond"/>
          <w:lang w:val="es-MX"/>
        </w:rPr>
        <w:t xml:space="preserve"> </w:t>
      </w:r>
      <w:proofErr w:type="spellStart"/>
      <w:r w:rsidR="00AD3E5B" w:rsidRPr="00BD720B">
        <w:rPr>
          <w:rFonts w:ascii="Garamond" w:hAnsi="Garamond"/>
          <w:lang w:val="es-MX"/>
        </w:rPr>
        <w:t>review</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all</w:t>
      </w:r>
      <w:proofErr w:type="spellEnd"/>
      <w:r w:rsidR="00116218" w:rsidRPr="00BD720B">
        <w:rPr>
          <w:rFonts w:ascii="Garamond" w:hAnsi="Garamond"/>
          <w:lang w:val="es-MX"/>
        </w:rPr>
        <w:t xml:space="preserve"> of </w:t>
      </w:r>
      <w:proofErr w:type="spellStart"/>
      <w:r w:rsidR="00116218" w:rsidRPr="00BD720B">
        <w:rPr>
          <w:rFonts w:ascii="Garamond" w:hAnsi="Garamond"/>
          <w:lang w:val="es-MX"/>
        </w:rPr>
        <w:t>the</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international</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recommendation</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on</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human</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rights</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that</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Mexico</w:t>
      </w:r>
      <w:proofErr w:type="spellEnd"/>
      <w:r w:rsidR="00116218" w:rsidRPr="00BD720B">
        <w:rPr>
          <w:rFonts w:ascii="Garamond" w:hAnsi="Garamond"/>
          <w:lang w:val="es-MX"/>
        </w:rPr>
        <w:t xml:space="preserve"> has </w:t>
      </w:r>
      <w:proofErr w:type="spellStart"/>
      <w:r w:rsidR="00116218" w:rsidRPr="00BD720B">
        <w:rPr>
          <w:rFonts w:ascii="Garamond" w:hAnsi="Garamond"/>
          <w:lang w:val="es-MX"/>
        </w:rPr>
        <w:t>received</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Available</w:t>
      </w:r>
      <w:proofErr w:type="spellEnd"/>
      <w:r w:rsidR="00116218" w:rsidRPr="00BD720B">
        <w:rPr>
          <w:rFonts w:ascii="Garamond" w:hAnsi="Garamond"/>
          <w:lang w:val="es-MX"/>
        </w:rPr>
        <w:t xml:space="preserve"> at </w:t>
      </w:r>
      <w:hyperlink r:id="rId1" w:history="1">
        <w:r w:rsidRPr="00BD720B">
          <w:rPr>
            <w:rFonts w:ascii="Garamond" w:hAnsi="Garamond"/>
          </w:rPr>
          <w:t>www.recomendacionesdh.mx</w:t>
        </w:r>
      </w:hyperlink>
      <w:r w:rsidR="00AD3E5B" w:rsidRPr="00BD720B">
        <w:t>.</w:t>
      </w:r>
      <w:r w:rsidRPr="00116218">
        <w:rPr>
          <w:rFonts w:ascii="Garamond" w:hAnsi="Garamond"/>
          <w:i/>
          <w:lang w:val="es-MX"/>
        </w:rPr>
        <w:t xml:space="preserve"> </w:t>
      </w:r>
    </w:p>
  </w:footnote>
  <w:footnote w:id="4">
    <w:p w:rsidR="00897127" w:rsidRPr="00116218" w:rsidRDefault="00897127" w:rsidP="00897127">
      <w:pPr>
        <w:pStyle w:val="Textonotapie"/>
        <w:jc w:val="both"/>
        <w:rPr>
          <w:rFonts w:ascii="Garamond" w:hAnsi="Garamond"/>
          <w:i/>
          <w:lang w:val="es-MX"/>
        </w:rPr>
      </w:pPr>
      <w:r w:rsidRPr="00116218">
        <w:rPr>
          <w:i/>
          <w:lang w:val="es-MX"/>
        </w:rPr>
        <w:footnoteRef/>
      </w:r>
      <w:r w:rsidRPr="00116218">
        <w:rPr>
          <w:rFonts w:ascii="Garamond" w:hAnsi="Garamond"/>
          <w:i/>
          <w:lang w:val="es-MX"/>
        </w:rPr>
        <w:t xml:space="preserve"> </w:t>
      </w:r>
      <w:proofErr w:type="spellStart"/>
      <w:r w:rsidR="00116218" w:rsidRPr="00AE10B0">
        <w:rPr>
          <w:rFonts w:ascii="Garamond" w:hAnsi="Garamond"/>
          <w:lang w:val="es-MX"/>
        </w:rPr>
        <w:t>I</w:t>
      </w:r>
      <w:r w:rsidR="00AE10B0" w:rsidRPr="00AE10B0">
        <w:rPr>
          <w:rFonts w:ascii="Garamond" w:hAnsi="Garamond"/>
          <w:lang w:val="es-MX"/>
        </w:rPr>
        <w:t>A</w:t>
      </w:r>
      <w:r w:rsidR="00116218" w:rsidRPr="00AE10B0">
        <w:rPr>
          <w:rFonts w:ascii="Garamond" w:hAnsi="Garamond"/>
          <w:lang w:val="es-MX"/>
        </w:rPr>
        <w:t>CHR</w:t>
      </w:r>
      <w:proofErr w:type="spellEnd"/>
      <w:r w:rsidRPr="00AE10B0">
        <w:rPr>
          <w:rFonts w:ascii="Garamond" w:hAnsi="Garamond"/>
          <w:lang w:val="es-MX"/>
        </w:rPr>
        <w:t>,</w:t>
      </w:r>
      <w:r w:rsidRPr="00116218">
        <w:rPr>
          <w:rFonts w:ascii="Garamond" w:hAnsi="Garamond"/>
          <w:i/>
          <w:lang w:val="es-MX"/>
        </w:rPr>
        <w:t xml:space="preserve"> </w:t>
      </w:r>
      <w:r w:rsidRPr="00A72C22">
        <w:rPr>
          <w:rFonts w:ascii="Garamond" w:hAnsi="Garamond"/>
          <w:i/>
          <w:lang w:val="es-MX"/>
        </w:rPr>
        <w:t xml:space="preserve">Caso </w:t>
      </w:r>
      <w:proofErr w:type="spellStart"/>
      <w:r w:rsidRPr="00A72C22">
        <w:rPr>
          <w:rFonts w:ascii="Garamond" w:hAnsi="Garamond"/>
          <w:i/>
          <w:lang w:val="es-MX"/>
        </w:rPr>
        <w:t>Artavia</w:t>
      </w:r>
      <w:proofErr w:type="spellEnd"/>
      <w:r w:rsidRPr="00A72C22">
        <w:rPr>
          <w:rFonts w:ascii="Garamond" w:hAnsi="Garamond"/>
          <w:i/>
          <w:lang w:val="es-MX"/>
        </w:rPr>
        <w:t xml:space="preserve"> Murillo</w:t>
      </w:r>
      <w:r w:rsidRPr="00AE10B0">
        <w:rPr>
          <w:rFonts w:ascii="Garamond" w:hAnsi="Garamond"/>
          <w:lang w:val="es-MX"/>
        </w:rPr>
        <w:t>…, p</w:t>
      </w:r>
      <w:r w:rsidR="00116218" w:rsidRPr="00AE10B0">
        <w:rPr>
          <w:rFonts w:ascii="Garamond" w:hAnsi="Garamond"/>
          <w:lang w:val="es-MX"/>
        </w:rPr>
        <w:t>a</w:t>
      </w:r>
      <w:r w:rsidRPr="00AE10B0">
        <w:rPr>
          <w:rFonts w:ascii="Garamond" w:hAnsi="Garamond"/>
          <w:lang w:val="es-MX"/>
        </w:rPr>
        <w:t xml:space="preserve">r. 189. </w:t>
      </w:r>
    </w:p>
  </w:footnote>
  <w:footnote w:id="5">
    <w:p w:rsidR="00897127" w:rsidRPr="00116218" w:rsidRDefault="00897127" w:rsidP="00897127">
      <w:pPr>
        <w:pStyle w:val="Textonotapie"/>
        <w:jc w:val="both"/>
        <w:rPr>
          <w:rFonts w:ascii="Garamond" w:hAnsi="Garamond"/>
          <w:i/>
          <w:lang w:val="es-MX"/>
        </w:rPr>
      </w:pPr>
      <w:r w:rsidRPr="00116218">
        <w:rPr>
          <w:i/>
          <w:lang w:val="es-MX"/>
        </w:rPr>
        <w:footnoteRef/>
      </w:r>
      <w:r w:rsidRPr="00116218">
        <w:rPr>
          <w:rFonts w:ascii="Garamond" w:hAnsi="Garamond"/>
          <w:i/>
          <w:lang w:val="es-MX"/>
        </w:rPr>
        <w:t xml:space="preserve"> </w:t>
      </w:r>
      <w:proofErr w:type="spellStart"/>
      <w:r w:rsidRPr="00A72C22">
        <w:rPr>
          <w:rFonts w:ascii="Garamond" w:hAnsi="Garamond"/>
          <w:i/>
          <w:lang w:val="es-MX"/>
        </w:rPr>
        <w:t>Ibid</w:t>
      </w:r>
      <w:r w:rsidRPr="00BD720B">
        <w:rPr>
          <w:rFonts w:ascii="Garamond" w:hAnsi="Garamond"/>
          <w:lang w:val="es-MX"/>
        </w:rPr>
        <w:t>.</w:t>
      </w:r>
      <w:proofErr w:type="spellEnd"/>
      <w:r w:rsidRPr="00BD720B">
        <w:rPr>
          <w:rFonts w:ascii="Garamond" w:hAnsi="Garamond"/>
          <w:lang w:val="es-MX"/>
        </w:rPr>
        <w:t>, p</w:t>
      </w:r>
      <w:r w:rsidR="00116218" w:rsidRPr="00BD720B">
        <w:rPr>
          <w:rFonts w:ascii="Garamond" w:hAnsi="Garamond"/>
          <w:lang w:val="es-MX"/>
        </w:rPr>
        <w:t>a</w:t>
      </w:r>
      <w:r w:rsidRPr="00BD720B">
        <w:rPr>
          <w:rFonts w:ascii="Garamond" w:hAnsi="Garamond"/>
          <w:lang w:val="es-MX"/>
        </w:rPr>
        <w:t>r. 223.</w:t>
      </w:r>
    </w:p>
  </w:footnote>
  <w:footnote w:id="6">
    <w:p w:rsidR="00897127" w:rsidRPr="00116218" w:rsidRDefault="00897127" w:rsidP="00897127">
      <w:pPr>
        <w:pStyle w:val="Textonotapie"/>
        <w:jc w:val="both"/>
        <w:rPr>
          <w:rFonts w:ascii="Garamond" w:hAnsi="Garamond"/>
          <w:i/>
          <w:lang w:val="es-MX"/>
        </w:rPr>
      </w:pPr>
      <w:r w:rsidRPr="00116218">
        <w:rPr>
          <w:i/>
          <w:lang w:val="es-MX"/>
        </w:rPr>
        <w:footnoteRef/>
      </w:r>
      <w:r w:rsidRPr="00116218">
        <w:rPr>
          <w:rFonts w:ascii="Garamond" w:hAnsi="Garamond"/>
          <w:i/>
          <w:lang w:val="es-MX"/>
        </w:rPr>
        <w:t xml:space="preserve"> </w:t>
      </w:r>
      <w:proofErr w:type="spellStart"/>
      <w:r w:rsidRPr="00A72C22">
        <w:rPr>
          <w:rFonts w:ascii="Garamond" w:hAnsi="Garamond"/>
          <w:i/>
          <w:lang w:val="es-MX"/>
        </w:rPr>
        <w:t>Ibid</w:t>
      </w:r>
      <w:r w:rsidRPr="00BD720B">
        <w:rPr>
          <w:rFonts w:ascii="Garamond" w:hAnsi="Garamond"/>
          <w:lang w:val="es-MX"/>
        </w:rPr>
        <w:t>.</w:t>
      </w:r>
      <w:proofErr w:type="spellEnd"/>
      <w:r w:rsidR="00116218" w:rsidRPr="00BD720B">
        <w:rPr>
          <w:rFonts w:ascii="Garamond" w:hAnsi="Garamond"/>
          <w:lang w:val="es-MX"/>
        </w:rPr>
        <w:t>, pa</w:t>
      </w:r>
      <w:r w:rsidRPr="00BD720B">
        <w:rPr>
          <w:rFonts w:ascii="Garamond" w:hAnsi="Garamond"/>
          <w:lang w:val="es-MX"/>
        </w:rPr>
        <w:t>r. 264.</w:t>
      </w:r>
    </w:p>
  </w:footnote>
  <w:footnote w:id="7">
    <w:p w:rsidR="00897127" w:rsidRPr="00116218" w:rsidRDefault="00897127" w:rsidP="00897127">
      <w:pPr>
        <w:pStyle w:val="Textonotapie"/>
        <w:jc w:val="both"/>
        <w:rPr>
          <w:rFonts w:ascii="Garamond" w:hAnsi="Garamond"/>
          <w:i/>
          <w:lang w:val="es-MX"/>
        </w:rPr>
      </w:pPr>
      <w:r w:rsidRPr="00116218">
        <w:rPr>
          <w:i/>
          <w:lang w:val="es-MX"/>
        </w:rPr>
        <w:footnoteRef/>
      </w:r>
      <w:r w:rsidRPr="00116218">
        <w:rPr>
          <w:rFonts w:ascii="Garamond" w:hAnsi="Garamond"/>
          <w:i/>
          <w:lang w:val="es-MX"/>
        </w:rPr>
        <w:t xml:space="preserve"> </w:t>
      </w:r>
      <w:proofErr w:type="spellStart"/>
      <w:r w:rsidRPr="00A72C22">
        <w:rPr>
          <w:rFonts w:ascii="Garamond" w:hAnsi="Garamond"/>
          <w:i/>
          <w:lang w:val="es-MX"/>
        </w:rPr>
        <w:t>Ibid</w:t>
      </w:r>
      <w:r w:rsidRPr="00BD720B">
        <w:rPr>
          <w:rFonts w:ascii="Garamond" w:hAnsi="Garamond"/>
          <w:lang w:val="es-MX"/>
        </w:rPr>
        <w:t>.</w:t>
      </w:r>
      <w:proofErr w:type="spellEnd"/>
      <w:r w:rsidR="00116218" w:rsidRPr="00BD720B">
        <w:rPr>
          <w:rFonts w:ascii="Garamond" w:hAnsi="Garamond"/>
          <w:lang w:val="es-MX"/>
        </w:rPr>
        <w:t>, pa</w:t>
      </w:r>
      <w:r w:rsidRPr="00BD720B">
        <w:rPr>
          <w:rFonts w:ascii="Garamond" w:hAnsi="Garamond"/>
          <w:lang w:val="es-MX"/>
        </w:rPr>
        <w:t xml:space="preserve">r. 222 </w:t>
      </w:r>
      <w:r w:rsidR="00D47415" w:rsidRPr="00BD720B">
        <w:rPr>
          <w:rFonts w:ascii="Garamond" w:hAnsi="Garamond"/>
          <w:lang w:val="es-MX"/>
        </w:rPr>
        <w:t>and</w:t>
      </w:r>
      <w:r w:rsidRPr="00BD720B">
        <w:rPr>
          <w:rFonts w:ascii="Garamond" w:hAnsi="Garamond"/>
          <w:lang w:val="es-MX"/>
        </w:rPr>
        <w:t xml:space="preserve"> 263.</w:t>
      </w:r>
    </w:p>
  </w:footnote>
  <w:footnote w:id="8">
    <w:p w:rsidR="00680285" w:rsidRPr="00BD720B" w:rsidRDefault="00680285" w:rsidP="00680285">
      <w:pPr>
        <w:pStyle w:val="Textonotapie"/>
        <w:jc w:val="both"/>
        <w:rPr>
          <w:rFonts w:ascii="Garamond" w:hAnsi="Garamond"/>
          <w:lang w:val="es-MX"/>
        </w:rPr>
      </w:pPr>
      <w:r w:rsidRPr="00BD720B">
        <w:rPr>
          <w:rFonts w:ascii="Garamond" w:hAnsi="Garamond"/>
          <w:lang w:val="es-MX"/>
        </w:rPr>
        <w:footnoteRef/>
      </w:r>
      <w:r w:rsidRPr="00BD720B">
        <w:rPr>
          <w:rFonts w:ascii="Garamond" w:hAnsi="Garamond"/>
          <w:lang w:val="es-MX"/>
        </w:rPr>
        <w:t xml:space="preserve"> </w:t>
      </w:r>
      <w:r w:rsidR="00116218" w:rsidRPr="00BD720B">
        <w:rPr>
          <w:rFonts w:ascii="Garamond" w:hAnsi="Garamond"/>
          <w:lang w:val="es-MX"/>
        </w:rPr>
        <w:t xml:space="preserve">Data </w:t>
      </w:r>
      <w:proofErr w:type="spellStart"/>
      <w:r w:rsidR="00116218" w:rsidRPr="00BD720B">
        <w:rPr>
          <w:rFonts w:ascii="Garamond" w:hAnsi="Garamond"/>
          <w:lang w:val="es-MX"/>
        </w:rPr>
        <w:t>obtained</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through</w:t>
      </w:r>
      <w:proofErr w:type="spellEnd"/>
      <w:r w:rsidR="00116218" w:rsidRPr="00BD720B">
        <w:rPr>
          <w:rFonts w:ascii="Garamond" w:hAnsi="Garamond"/>
          <w:lang w:val="es-MX"/>
        </w:rPr>
        <w:t xml:space="preserve"> </w:t>
      </w:r>
      <w:proofErr w:type="spellStart"/>
      <w:r w:rsidR="00343256" w:rsidRPr="00BD720B">
        <w:rPr>
          <w:rFonts w:ascii="Garamond" w:hAnsi="Garamond"/>
          <w:lang w:val="es-MX"/>
        </w:rPr>
        <w:t>public</w:t>
      </w:r>
      <w:proofErr w:type="spellEnd"/>
      <w:r w:rsidR="00343256" w:rsidRPr="00BD720B">
        <w:rPr>
          <w:rFonts w:ascii="Garamond" w:hAnsi="Garamond"/>
          <w:lang w:val="es-MX"/>
        </w:rPr>
        <w:t xml:space="preserve"> </w:t>
      </w:r>
      <w:proofErr w:type="spellStart"/>
      <w:r w:rsidR="00343256" w:rsidRPr="00BD720B">
        <w:rPr>
          <w:rFonts w:ascii="Garamond" w:hAnsi="Garamond"/>
          <w:lang w:val="es-MX"/>
        </w:rPr>
        <w:t>governmental</w:t>
      </w:r>
      <w:proofErr w:type="spellEnd"/>
      <w:r w:rsidR="00343256" w:rsidRPr="00BD720B">
        <w:rPr>
          <w:rFonts w:ascii="Garamond" w:hAnsi="Garamond"/>
          <w:lang w:val="es-MX"/>
        </w:rPr>
        <w:t xml:space="preserve"> </w:t>
      </w:r>
      <w:proofErr w:type="spellStart"/>
      <w:r w:rsidR="00116218" w:rsidRPr="00BD720B">
        <w:rPr>
          <w:rFonts w:ascii="Garamond" w:hAnsi="Garamond"/>
          <w:lang w:val="es-MX"/>
        </w:rPr>
        <w:t>information</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requests</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public</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prosecutors</w:t>
      </w:r>
      <w:proofErr w:type="spellEnd"/>
      <w:r w:rsidR="00343256" w:rsidRPr="00BD720B">
        <w:rPr>
          <w:rFonts w:ascii="Garamond" w:hAnsi="Garamond"/>
          <w:lang w:val="es-MX"/>
        </w:rPr>
        <w:t>’</w:t>
      </w:r>
      <w:r w:rsidR="00116218" w:rsidRPr="00BD720B">
        <w:rPr>
          <w:rFonts w:ascii="Garamond" w:hAnsi="Garamond"/>
          <w:lang w:val="es-MX"/>
        </w:rPr>
        <w:t xml:space="preserve"> </w:t>
      </w:r>
      <w:proofErr w:type="spellStart"/>
      <w:r w:rsidR="00116218" w:rsidRPr="00BD720B">
        <w:rPr>
          <w:rFonts w:ascii="Garamond" w:hAnsi="Garamond"/>
          <w:lang w:val="es-MX"/>
        </w:rPr>
        <w:t>offices</w:t>
      </w:r>
      <w:proofErr w:type="spellEnd"/>
      <w:r w:rsidR="00116218" w:rsidRPr="00BD720B">
        <w:rPr>
          <w:rFonts w:ascii="Garamond" w:hAnsi="Garamond"/>
          <w:lang w:val="es-MX"/>
        </w:rPr>
        <w:t xml:space="preserve"> </w:t>
      </w:r>
      <w:r w:rsidR="00343256" w:rsidRPr="00BD720B">
        <w:rPr>
          <w:rFonts w:ascii="Garamond" w:hAnsi="Garamond"/>
          <w:lang w:val="es-MX"/>
        </w:rPr>
        <w:t xml:space="preserve">in </w:t>
      </w:r>
      <w:r w:rsidR="00116218" w:rsidRPr="00BD720B">
        <w:rPr>
          <w:rFonts w:ascii="Garamond" w:hAnsi="Garamond"/>
          <w:lang w:val="es-MX"/>
        </w:rPr>
        <w:t xml:space="preserve">24 </w:t>
      </w:r>
      <w:proofErr w:type="spellStart"/>
      <w:r w:rsidR="00116218" w:rsidRPr="00BD720B">
        <w:rPr>
          <w:rFonts w:ascii="Garamond" w:hAnsi="Garamond"/>
          <w:lang w:val="es-MX"/>
        </w:rPr>
        <w:t>Mexican</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states</w:t>
      </w:r>
      <w:proofErr w:type="spellEnd"/>
      <w:r w:rsidR="00116218" w:rsidRPr="00BD720B">
        <w:rPr>
          <w:rFonts w:ascii="Garamond" w:hAnsi="Garamond"/>
          <w:lang w:val="es-MX"/>
        </w:rPr>
        <w:t xml:space="preserve">: Aguascalientes, Campeche, Chiapas, Chihuahua, Colima, </w:t>
      </w:r>
      <w:proofErr w:type="spellStart"/>
      <w:r w:rsidR="00116218" w:rsidRPr="00BD720B">
        <w:rPr>
          <w:rFonts w:ascii="Garamond" w:hAnsi="Garamond"/>
          <w:lang w:val="es-MX"/>
        </w:rPr>
        <w:t>Mexico</w:t>
      </w:r>
      <w:proofErr w:type="spellEnd"/>
      <w:r w:rsidR="00116218" w:rsidRPr="00BD720B">
        <w:rPr>
          <w:rFonts w:ascii="Garamond" w:hAnsi="Garamond"/>
          <w:lang w:val="es-MX"/>
        </w:rPr>
        <w:t xml:space="preserve"> City, Durango, Guanajuato, Hidalgo, Jalisco, </w:t>
      </w:r>
      <w:proofErr w:type="spellStart"/>
      <w:r w:rsidR="00116218" w:rsidRPr="00BD720B">
        <w:rPr>
          <w:rFonts w:ascii="Garamond" w:hAnsi="Garamond"/>
          <w:lang w:val="es-MX"/>
        </w:rPr>
        <w:t>Mexico</w:t>
      </w:r>
      <w:proofErr w:type="spellEnd"/>
      <w:r w:rsidR="00116218" w:rsidRPr="00BD720B">
        <w:rPr>
          <w:rFonts w:ascii="Garamond" w:hAnsi="Garamond"/>
          <w:lang w:val="es-MX"/>
        </w:rPr>
        <w:t xml:space="preserve">, </w:t>
      </w:r>
      <w:proofErr w:type="spellStart"/>
      <w:r w:rsidR="00116218" w:rsidRPr="00BD720B">
        <w:rPr>
          <w:rFonts w:ascii="Garamond" w:hAnsi="Garamond"/>
          <w:lang w:val="es-MX"/>
        </w:rPr>
        <w:t>Michoacan</w:t>
      </w:r>
      <w:proofErr w:type="spellEnd"/>
      <w:r w:rsidR="00116218" w:rsidRPr="00BD720B">
        <w:rPr>
          <w:rFonts w:ascii="Garamond" w:hAnsi="Garamond"/>
          <w:lang w:val="es-MX"/>
        </w:rPr>
        <w:t xml:space="preserve">, Morelos, Nayarit, Nuevo </w:t>
      </w:r>
      <w:proofErr w:type="spellStart"/>
      <w:r w:rsidR="00116218" w:rsidRPr="00BD720B">
        <w:rPr>
          <w:rFonts w:ascii="Garamond" w:hAnsi="Garamond"/>
          <w:lang w:val="es-MX"/>
        </w:rPr>
        <w:t>Leon</w:t>
      </w:r>
      <w:proofErr w:type="spellEnd"/>
      <w:r w:rsidR="00116218" w:rsidRPr="00BD720B">
        <w:rPr>
          <w:rFonts w:ascii="Garamond" w:hAnsi="Garamond"/>
          <w:lang w:val="es-MX"/>
        </w:rPr>
        <w:t xml:space="preserve">, Puebla, Quintana Roo, San Luis </w:t>
      </w:r>
      <w:proofErr w:type="spellStart"/>
      <w:r w:rsidR="00116218" w:rsidRPr="00BD720B">
        <w:rPr>
          <w:rFonts w:ascii="Garamond" w:hAnsi="Garamond"/>
          <w:lang w:val="es-MX"/>
        </w:rPr>
        <w:t>Potosi</w:t>
      </w:r>
      <w:proofErr w:type="spellEnd"/>
      <w:r w:rsidR="00116218" w:rsidRPr="00BD720B">
        <w:rPr>
          <w:rFonts w:ascii="Garamond" w:hAnsi="Garamond"/>
          <w:lang w:val="es-MX"/>
        </w:rPr>
        <w:t xml:space="preserve">, Sinaloa, Sonora, Tamaulipas, Tlaxcala, Veracruz and Zacatecas, </w:t>
      </w:r>
      <w:proofErr w:type="spellStart"/>
      <w:r w:rsidR="00116218" w:rsidRPr="00BD720B">
        <w:rPr>
          <w:rFonts w:ascii="Garamond" w:hAnsi="Garamond"/>
          <w:lang w:val="es-MX"/>
        </w:rPr>
        <w:t>March</w:t>
      </w:r>
      <w:proofErr w:type="spellEnd"/>
      <w:r w:rsidR="00116218" w:rsidRPr="00BD720B">
        <w:rPr>
          <w:rFonts w:ascii="Garamond" w:hAnsi="Garamond"/>
          <w:lang w:val="es-MX"/>
        </w:rPr>
        <w:t xml:space="preserve"> 2012. </w:t>
      </w:r>
    </w:p>
  </w:footnote>
  <w:footnote w:id="9">
    <w:p w:rsidR="00C54633" w:rsidRPr="00C111E5" w:rsidRDefault="00C54633" w:rsidP="00C54633">
      <w:pPr>
        <w:pStyle w:val="Textonotapie"/>
        <w:jc w:val="both"/>
        <w:rPr>
          <w:i/>
          <w:iCs/>
          <w:sz w:val="18"/>
          <w:szCs w:val="18"/>
          <w:lang w:val="es-MX"/>
        </w:rPr>
      </w:pPr>
      <w:r w:rsidRPr="00116218">
        <w:rPr>
          <w:rFonts w:ascii="Garamond" w:hAnsi="Garamond"/>
          <w:i/>
          <w:lang w:val="es-MX"/>
        </w:rPr>
        <w:footnoteRef/>
      </w:r>
      <w:r w:rsidRPr="00116218">
        <w:rPr>
          <w:rFonts w:ascii="Garamond" w:hAnsi="Garamond"/>
          <w:i/>
          <w:lang w:val="es-MX"/>
        </w:rPr>
        <w:t xml:space="preserve"> </w:t>
      </w:r>
      <w:proofErr w:type="spellStart"/>
      <w:r w:rsidRPr="00AE10B0">
        <w:rPr>
          <w:rFonts w:ascii="Garamond" w:hAnsi="Garamond"/>
          <w:lang w:val="es-MX"/>
        </w:rPr>
        <w:t>CEDAW</w:t>
      </w:r>
      <w:proofErr w:type="spellEnd"/>
      <w:r w:rsidR="00116218" w:rsidRPr="00AE10B0">
        <w:rPr>
          <w:rFonts w:ascii="Garamond" w:hAnsi="Garamond"/>
          <w:lang w:val="es-MX"/>
        </w:rPr>
        <w:t xml:space="preserve"> </w:t>
      </w:r>
      <w:proofErr w:type="spellStart"/>
      <w:r w:rsidR="00116218" w:rsidRPr="00AE10B0">
        <w:rPr>
          <w:rFonts w:ascii="Garamond" w:hAnsi="Garamond"/>
          <w:lang w:val="es-MX"/>
        </w:rPr>
        <w:t>Committee</w:t>
      </w:r>
      <w:proofErr w:type="spellEnd"/>
      <w:r w:rsidRPr="00AE10B0">
        <w:rPr>
          <w:rFonts w:ascii="Garamond" w:hAnsi="Garamond"/>
          <w:lang w:val="es-MX"/>
        </w:rPr>
        <w:t>,</w:t>
      </w:r>
      <w:r w:rsidRPr="00116218">
        <w:rPr>
          <w:rFonts w:ascii="Garamond" w:hAnsi="Garamond"/>
          <w:i/>
          <w:lang w:val="es-MX"/>
        </w:rPr>
        <w:t xml:space="preserve"> Observaciones finales del Comité para la Eliminación de la Discriminación contra la Mujer: México, 52º período de sesiones (2012), párrafo 32, [</w:t>
      </w:r>
      <w:proofErr w:type="spellStart"/>
      <w:r w:rsidRPr="00116218">
        <w:rPr>
          <w:rFonts w:ascii="Garamond" w:hAnsi="Garamond"/>
          <w:i/>
          <w:lang w:val="es-MX"/>
        </w:rPr>
        <w:t>CEDAW</w:t>
      </w:r>
      <w:proofErr w:type="spellEnd"/>
      <w:r w:rsidRPr="00116218">
        <w:rPr>
          <w:rFonts w:ascii="Garamond" w:hAnsi="Garamond"/>
          <w:i/>
          <w:lang w:val="es-MX"/>
        </w:rPr>
        <w:t>/C/</w:t>
      </w:r>
      <w:proofErr w:type="spellStart"/>
      <w:r w:rsidRPr="00116218">
        <w:rPr>
          <w:rFonts w:ascii="Garamond" w:hAnsi="Garamond"/>
          <w:i/>
          <w:lang w:val="es-MX"/>
        </w:rPr>
        <w:t>MEX</w:t>
      </w:r>
      <w:proofErr w:type="spellEnd"/>
      <w:r w:rsidRPr="00116218">
        <w:rPr>
          <w:rFonts w:ascii="Garamond" w:hAnsi="Garamond"/>
          <w:i/>
          <w:lang w:val="es-MX"/>
        </w:rPr>
        <w:t>/CO/7-8].</w:t>
      </w:r>
      <w:r w:rsidRPr="00C111E5">
        <w:rPr>
          <w:sz w:val="18"/>
          <w:szCs w:val="18"/>
          <w:lang w:val="es-MX"/>
        </w:rPr>
        <w:t xml:space="preserve"> </w:t>
      </w:r>
    </w:p>
  </w:footnote>
  <w:footnote w:id="10">
    <w:p w:rsidR="00C54633" w:rsidRPr="00116218" w:rsidRDefault="00C54633" w:rsidP="00C54633">
      <w:pPr>
        <w:pStyle w:val="Textonotapie"/>
        <w:jc w:val="both"/>
        <w:rPr>
          <w:rFonts w:ascii="Garamond" w:hAnsi="Garamond"/>
        </w:rPr>
      </w:pPr>
      <w:r w:rsidRPr="00116218">
        <w:rPr>
          <w:rStyle w:val="Refdenotaalpie"/>
        </w:rPr>
        <w:footnoteRef/>
      </w:r>
      <w:r w:rsidRPr="00116218">
        <w:t xml:space="preserve"> </w:t>
      </w:r>
      <w:proofErr w:type="gramStart"/>
      <w:r w:rsidR="00116218" w:rsidRPr="00116218">
        <w:rPr>
          <w:rFonts w:ascii="Garamond" w:hAnsi="Garamond"/>
        </w:rPr>
        <w:t>Committee on the Rights of the Child</w:t>
      </w:r>
      <w:r w:rsidRPr="00116218">
        <w:rPr>
          <w:rFonts w:ascii="Garamond" w:hAnsi="Garamond"/>
        </w:rPr>
        <w:t>.</w:t>
      </w:r>
      <w:proofErr w:type="gramEnd"/>
      <w:r w:rsidRPr="00116218">
        <w:rPr>
          <w:rFonts w:ascii="Garamond" w:hAnsi="Garamond"/>
        </w:rPr>
        <w:t xml:space="preserve"> </w:t>
      </w:r>
      <w:proofErr w:type="spellStart"/>
      <w:proofErr w:type="gramStart"/>
      <w:r w:rsidRPr="00116218">
        <w:rPr>
          <w:rFonts w:ascii="Garamond" w:hAnsi="Garamond"/>
          <w:i/>
        </w:rPr>
        <w:t>Observaciones</w:t>
      </w:r>
      <w:proofErr w:type="spellEnd"/>
      <w:r w:rsidRPr="00116218">
        <w:rPr>
          <w:rFonts w:ascii="Garamond" w:hAnsi="Garamond"/>
          <w:i/>
        </w:rPr>
        <w:t xml:space="preserve"> finales del </w:t>
      </w:r>
      <w:proofErr w:type="spellStart"/>
      <w:r w:rsidRPr="00116218">
        <w:rPr>
          <w:rFonts w:ascii="Garamond" w:hAnsi="Garamond"/>
          <w:i/>
        </w:rPr>
        <w:t>Comité</w:t>
      </w:r>
      <w:proofErr w:type="spellEnd"/>
      <w:r w:rsidRPr="00116218">
        <w:rPr>
          <w:rFonts w:ascii="Garamond" w:hAnsi="Garamond"/>
          <w:i/>
        </w:rPr>
        <w:t xml:space="preserve"> de los </w:t>
      </w:r>
      <w:proofErr w:type="spellStart"/>
      <w:r w:rsidRPr="00116218">
        <w:rPr>
          <w:rFonts w:ascii="Garamond" w:hAnsi="Garamond"/>
          <w:i/>
        </w:rPr>
        <w:t>Derechos</w:t>
      </w:r>
      <w:proofErr w:type="spellEnd"/>
      <w:r w:rsidRPr="00116218">
        <w:rPr>
          <w:rFonts w:ascii="Garamond" w:hAnsi="Garamond"/>
          <w:i/>
        </w:rPr>
        <w:t xml:space="preserve"> del Niño: México, </w:t>
      </w:r>
      <w:r w:rsidRPr="00116218">
        <w:rPr>
          <w:rFonts w:ascii="Garamond" w:hAnsi="Garamond"/>
        </w:rPr>
        <w:t xml:space="preserve">69° </w:t>
      </w:r>
      <w:proofErr w:type="spellStart"/>
      <w:r w:rsidRPr="00116218">
        <w:rPr>
          <w:rFonts w:ascii="Garamond" w:hAnsi="Garamond"/>
        </w:rPr>
        <w:t>periodo</w:t>
      </w:r>
      <w:proofErr w:type="spellEnd"/>
      <w:r w:rsidRPr="00116218">
        <w:rPr>
          <w:rFonts w:ascii="Garamond" w:hAnsi="Garamond"/>
        </w:rPr>
        <w:t xml:space="preserve"> de </w:t>
      </w:r>
      <w:proofErr w:type="spellStart"/>
      <w:r w:rsidRPr="00116218">
        <w:rPr>
          <w:rFonts w:ascii="Garamond" w:hAnsi="Garamond"/>
        </w:rPr>
        <w:t>sesiones</w:t>
      </w:r>
      <w:proofErr w:type="spellEnd"/>
      <w:r w:rsidRPr="00116218">
        <w:rPr>
          <w:rFonts w:ascii="Garamond" w:hAnsi="Garamond"/>
        </w:rPr>
        <w:t xml:space="preserve"> (2015), </w:t>
      </w:r>
      <w:r w:rsidR="00116218" w:rsidRPr="00116218">
        <w:rPr>
          <w:rFonts w:ascii="Garamond" w:hAnsi="Garamond"/>
        </w:rPr>
        <w:t>paragraph</w:t>
      </w:r>
      <w:r w:rsidRPr="00116218">
        <w:rPr>
          <w:rFonts w:ascii="Garamond" w:hAnsi="Garamond"/>
        </w:rPr>
        <w:t xml:space="preserve"> 50 [</w:t>
      </w:r>
      <w:proofErr w:type="spellStart"/>
      <w:r w:rsidRPr="00116218">
        <w:rPr>
          <w:rFonts w:ascii="Garamond" w:hAnsi="Garamond"/>
        </w:rPr>
        <w:t>CRC</w:t>
      </w:r>
      <w:proofErr w:type="spellEnd"/>
      <w:r w:rsidRPr="00116218">
        <w:rPr>
          <w:rFonts w:ascii="Garamond" w:hAnsi="Garamond"/>
        </w:rPr>
        <w:t>/C/</w:t>
      </w:r>
      <w:proofErr w:type="spellStart"/>
      <w:r w:rsidRPr="00116218">
        <w:rPr>
          <w:rFonts w:ascii="Garamond" w:hAnsi="Garamond"/>
        </w:rPr>
        <w:t>MEX</w:t>
      </w:r>
      <w:proofErr w:type="spellEnd"/>
      <w:r w:rsidRPr="00116218">
        <w:rPr>
          <w:rFonts w:ascii="Garamond" w:hAnsi="Garamond"/>
        </w:rPr>
        <w:t>/CO/4-5].</w:t>
      </w:r>
      <w:proofErr w:type="gramEnd"/>
      <w:r w:rsidRPr="00116218">
        <w:rPr>
          <w:rFonts w:ascii="Garamond" w:hAnsi="Garamond"/>
        </w:rPr>
        <w:t xml:space="preserve"> </w:t>
      </w:r>
      <w:r w:rsidR="00116218" w:rsidRPr="00116218">
        <w:rPr>
          <w:rFonts w:ascii="Garamond" w:hAnsi="Garamond"/>
        </w:rPr>
        <w:t xml:space="preserve">Available at </w:t>
      </w:r>
      <w:r w:rsidRPr="00116218">
        <w:rPr>
          <w:rFonts w:ascii="Garamond" w:hAnsi="Garamond"/>
        </w:rPr>
        <w:t>http://bit.ly/1L1JnNn [</w:t>
      </w:r>
      <w:r w:rsidR="00116218" w:rsidRPr="00116218">
        <w:rPr>
          <w:rFonts w:ascii="Garamond" w:hAnsi="Garamond"/>
        </w:rPr>
        <w:t>consulted: June 12</w:t>
      </w:r>
      <w:r w:rsidRPr="00116218">
        <w:rPr>
          <w:rFonts w:ascii="Garamond" w:hAnsi="Garamond"/>
        </w:rPr>
        <w:t xml:space="preserve"> 2015].</w:t>
      </w:r>
    </w:p>
  </w:footnote>
  <w:footnote w:id="11">
    <w:p w:rsidR="00C54633" w:rsidRPr="00116218" w:rsidRDefault="00C54633" w:rsidP="00C54633">
      <w:pPr>
        <w:pStyle w:val="Textonotapie"/>
        <w:jc w:val="both"/>
        <w:rPr>
          <w:rFonts w:ascii="Garamond" w:hAnsi="Garamond"/>
        </w:rPr>
      </w:pPr>
      <w:r w:rsidRPr="00116218">
        <w:rPr>
          <w:rFonts w:ascii="Garamond" w:hAnsi="Garamond"/>
        </w:rPr>
        <w:footnoteRef/>
      </w:r>
      <w:r w:rsidRPr="00116218">
        <w:rPr>
          <w:rFonts w:ascii="Garamond" w:hAnsi="Garamond"/>
        </w:rPr>
        <w:t xml:space="preserve"> </w:t>
      </w:r>
      <w:r w:rsidR="00116218" w:rsidRPr="00116218">
        <w:rPr>
          <w:rFonts w:ascii="Garamond" w:hAnsi="Garamond"/>
        </w:rPr>
        <w:t xml:space="preserve">Attached is the publication </w:t>
      </w:r>
      <w:r w:rsidR="00116218" w:rsidRPr="00BD720B">
        <w:rPr>
          <w:rFonts w:ascii="Garamond" w:hAnsi="Garamond"/>
          <w:i/>
        </w:rPr>
        <w:t>Human Rights of Women and Protection of Unborn Life in Mexico</w:t>
      </w:r>
      <w:r w:rsidR="00116218" w:rsidRPr="00116218">
        <w:rPr>
          <w:rFonts w:ascii="Garamond" w:hAnsi="Garamond"/>
        </w:rPr>
        <w:t>, GIRE, Mexico, 2013.</w:t>
      </w:r>
    </w:p>
  </w:footnote>
  <w:footnote w:id="12">
    <w:p w:rsidR="00C54633" w:rsidRPr="00116218" w:rsidRDefault="00C54633" w:rsidP="00C54633">
      <w:pPr>
        <w:pStyle w:val="Textonotapie"/>
        <w:jc w:val="both"/>
        <w:rPr>
          <w:rFonts w:ascii="Garamond" w:hAnsi="Garamond"/>
        </w:rPr>
      </w:pPr>
      <w:r w:rsidRPr="00116218">
        <w:rPr>
          <w:rFonts w:ascii="Garamond" w:hAnsi="Garamond"/>
        </w:rPr>
        <w:footnoteRef/>
      </w:r>
      <w:r w:rsidRPr="00116218">
        <w:rPr>
          <w:rFonts w:ascii="Garamond" w:hAnsi="Garamond"/>
        </w:rPr>
        <w:t xml:space="preserve"> “</w:t>
      </w:r>
      <w:r w:rsidR="00973CA4" w:rsidRPr="00973CA4">
        <w:rPr>
          <w:rFonts w:ascii="Garamond" w:hAnsi="Garamond"/>
        </w:rPr>
        <w:t xml:space="preserve">Anemia in </w:t>
      </w:r>
      <w:r w:rsidR="00973CA4">
        <w:rPr>
          <w:rFonts w:ascii="Garamond" w:hAnsi="Garamond"/>
        </w:rPr>
        <w:t>Women of R</w:t>
      </w:r>
      <w:r w:rsidR="00973CA4" w:rsidRPr="00973CA4">
        <w:rPr>
          <w:rFonts w:ascii="Garamond" w:hAnsi="Garamond"/>
        </w:rPr>
        <w:t xml:space="preserve">eproductive </w:t>
      </w:r>
      <w:r w:rsidR="00973CA4">
        <w:rPr>
          <w:rFonts w:ascii="Garamond" w:hAnsi="Garamond"/>
        </w:rPr>
        <w:t>A</w:t>
      </w:r>
      <w:r w:rsidR="00973CA4" w:rsidRPr="00973CA4">
        <w:rPr>
          <w:rFonts w:ascii="Garamond" w:hAnsi="Garamond"/>
        </w:rPr>
        <w:t xml:space="preserve">ge: </w:t>
      </w:r>
      <w:r w:rsidR="00973CA4">
        <w:rPr>
          <w:rFonts w:ascii="Garamond" w:hAnsi="Garamond"/>
        </w:rPr>
        <w:t>G</w:t>
      </w:r>
      <w:r w:rsidR="00973CA4" w:rsidRPr="00973CA4">
        <w:rPr>
          <w:rFonts w:ascii="Garamond" w:hAnsi="Garamond"/>
        </w:rPr>
        <w:t>o</w:t>
      </w:r>
      <w:r w:rsidR="00973CA4">
        <w:rPr>
          <w:rFonts w:ascii="Garamond" w:hAnsi="Garamond"/>
        </w:rPr>
        <w:t>ing</w:t>
      </w:r>
      <w:r w:rsidR="00973CA4" w:rsidRPr="00973CA4">
        <w:rPr>
          <w:rFonts w:ascii="Garamond" w:hAnsi="Garamond"/>
        </w:rPr>
        <w:t xml:space="preserve"> to the </w:t>
      </w:r>
      <w:r w:rsidR="00973CA4">
        <w:rPr>
          <w:rFonts w:ascii="Garamond" w:hAnsi="Garamond"/>
        </w:rPr>
        <w:t>Source of the P</w:t>
      </w:r>
      <w:r w:rsidR="00973CA4" w:rsidRPr="00973CA4">
        <w:rPr>
          <w:rFonts w:ascii="Garamond" w:hAnsi="Garamond"/>
        </w:rPr>
        <w:t>roblem</w:t>
      </w:r>
      <w:r w:rsidRPr="00116218">
        <w:rPr>
          <w:rFonts w:ascii="Garamond" w:hAnsi="Garamond"/>
        </w:rPr>
        <w:t xml:space="preserve">”, </w:t>
      </w:r>
      <w:r w:rsidR="00116218" w:rsidRPr="00116218">
        <w:rPr>
          <w:rFonts w:ascii="Garamond" w:hAnsi="Garamond"/>
        </w:rPr>
        <w:t>National Institute of Public Health, National Health and Nutrition Survey</w:t>
      </w:r>
      <w:r w:rsidRPr="00116218">
        <w:rPr>
          <w:rFonts w:ascii="Garamond" w:hAnsi="Garamond"/>
        </w:rPr>
        <w:t xml:space="preserve"> 2012. </w:t>
      </w:r>
      <w:proofErr w:type="gramStart"/>
      <w:r w:rsidR="00116218" w:rsidRPr="00116218">
        <w:rPr>
          <w:rFonts w:ascii="Garamond" w:hAnsi="Garamond"/>
        </w:rPr>
        <w:t>Available at</w:t>
      </w:r>
      <w:r w:rsidRPr="00116218">
        <w:rPr>
          <w:rFonts w:ascii="Garamond" w:hAnsi="Garamond"/>
        </w:rPr>
        <w:t xml:space="preserve"> &lt;http://bit.ly/1rh3Yo9&gt;.</w:t>
      </w:r>
      <w:proofErr w:type="gramEnd"/>
      <w:r w:rsidRPr="00116218">
        <w:rPr>
          <w:rFonts w:ascii="Garamond" w:hAnsi="Garamond"/>
        </w:rPr>
        <w:t xml:space="preserve"> </w:t>
      </w:r>
      <w:proofErr w:type="gramStart"/>
      <w:r w:rsidR="00116218" w:rsidRPr="00116218">
        <w:rPr>
          <w:rFonts w:ascii="Garamond" w:hAnsi="Garamond"/>
        </w:rPr>
        <w:t>consulted</w:t>
      </w:r>
      <w:proofErr w:type="gramEnd"/>
      <w:r w:rsidR="00116218" w:rsidRPr="00116218">
        <w:rPr>
          <w:rFonts w:ascii="Garamond" w:hAnsi="Garamond"/>
        </w:rPr>
        <w:t xml:space="preserve"> [May 28 </w:t>
      </w:r>
      <w:r w:rsidRPr="00116218">
        <w:rPr>
          <w:rFonts w:ascii="Garamond" w:hAnsi="Garamond"/>
        </w:rPr>
        <w:t xml:space="preserve">2014]. </w:t>
      </w:r>
    </w:p>
  </w:footnote>
  <w:footnote w:id="13">
    <w:p w:rsidR="00C370B8" w:rsidRPr="00116218" w:rsidRDefault="00C370B8" w:rsidP="00C370B8">
      <w:pPr>
        <w:pStyle w:val="Textonotapie"/>
        <w:jc w:val="both"/>
        <w:rPr>
          <w:rFonts w:ascii="Garamond" w:hAnsi="Garamond"/>
        </w:rPr>
      </w:pPr>
      <w:r w:rsidRPr="00116218">
        <w:rPr>
          <w:rFonts w:ascii="Garamond" w:hAnsi="Garamond"/>
        </w:rPr>
        <w:footnoteRef/>
      </w:r>
      <w:r w:rsidRPr="00116218">
        <w:rPr>
          <w:rFonts w:ascii="Garamond" w:hAnsi="Garamond"/>
        </w:rPr>
        <w:t xml:space="preserve"> </w:t>
      </w:r>
      <w:r w:rsidR="00116218" w:rsidRPr="00116218">
        <w:rPr>
          <w:rFonts w:ascii="Garamond" w:hAnsi="Garamond"/>
        </w:rPr>
        <w:t xml:space="preserve">See </w:t>
      </w:r>
      <w:proofErr w:type="spellStart"/>
      <w:r w:rsidR="00116218" w:rsidRPr="00116218">
        <w:rPr>
          <w:rFonts w:ascii="Garamond" w:hAnsi="Garamond"/>
        </w:rPr>
        <w:t>Grupo</w:t>
      </w:r>
      <w:proofErr w:type="spellEnd"/>
      <w:r w:rsidR="00116218" w:rsidRPr="00116218">
        <w:rPr>
          <w:rFonts w:ascii="Garamond" w:hAnsi="Garamond"/>
        </w:rPr>
        <w:t xml:space="preserve"> de </w:t>
      </w:r>
      <w:proofErr w:type="spellStart"/>
      <w:r w:rsidR="00116218" w:rsidRPr="00116218">
        <w:rPr>
          <w:rFonts w:ascii="Garamond" w:hAnsi="Garamond"/>
        </w:rPr>
        <w:t>Información</w:t>
      </w:r>
      <w:proofErr w:type="spellEnd"/>
      <w:r w:rsidR="00116218" w:rsidRPr="00116218">
        <w:rPr>
          <w:rFonts w:ascii="Garamond" w:hAnsi="Garamond"/>
        </w:rPr>
        <w:t xml:space="preserve"> en </w:t>
      </w:r>
      <w:proofErr w:type="spellStart"/>
      <w:r w:rsidR="00116218" w:rsidRPr="00116218">
        <w:rPr>
          <w:rFonts w:ascii="Garamond" w:hAnsi="Garamond"/>
        </w:rPr>
        <w:t>Reproducción</w:t>
      </w:r>
      <w:proofErr w:type="spellEnd"/>
      <w:r w:rsidR="00116218" w:rsidRPr="00116218">
        <w:rPr>
          <w:rFonts w:ascii="Garamond" w:hAnsi="Garamond"/>
        </w:rPr>
        <w:t xml:space="preserve"> </w:t>
      </w:r>
      <w:proofErr w:type="spellStart"/>
      <w:r w:rsidR="00116218" w:rsidRPr="00116218">
        <w:rPr>
          <w:rFonts w:ascii="Garamond" w:hAnsi="Garamond"/>
        </w:rPr>
        <w:t>Elegida</w:t>
      </w:r>
      <w:proofErr w:type="spellEnd"/>
      <w:r w:rsidR="00116218" w:rsidRPr="00116218">
        <w:rPr>
          <w:rFonts w:ascii="Garamond" w:hAnsi="Garamond"/>
        </w:rPr>
        <w:t xml:space="preserve">, </w:t>
      </w:r>
      <w:r w:rsidR="00116218" w:rsidRPr="00BD720B">
        <w:rPr>
          <w:rFonts w:ascii="Garamond" w:hAnsi="Garamond"/>
          <w:i/>
        </w:rPr>
        <w:t>Omission and Indifference. Reproductive Rights in Mexico</w:t>
      </w:r>
      <w:r w:rsidR="00116218" w:rsidRPr="00116218">
        <w:rPr>
          <w:rFonts w:ascii="Garamond" w:hAnsi="Garamond"/>
        </w:rPr>
        <w:t>, 2013, p. 99.</w:t>
      </w:r>
    </w:p>
  </w:footnote>
  <w:footnote w:id="14">
    <w:p w:rsidR="00C370B8" w:rsidRPr="00116218" w:rsidRDefault="00C370B8" w:rsidP="00C370B8">
      <w:pPr>
        <w:pStyle w:val="Textonotapie"/>
        <w:jc w:val="both"/>
        <w:rPr>
          <w:rFonts w:ascii="Garamond" w:hAnsi="Garamond"/>
          <w:lang w:val="es-MX"/>
        </w:rPr>
      </w:pPr>
      <w:r w:rsidRPr="00116218">
        <w:rPr>
          <w:rFonts w:ascii="Garamond" w:hAnsi="Garamond"/>
        </w:rPr>
        <w:footnoteRef/>
      </w:r>
      <w:r w:rsidRPr="00116218">
        <w:rPr>
          <w:rFonts w:ascii="Garamond" w:hAnsi="Garamond"/>
        </w:rPr>
        <w:t xml:space="preserve"> </w:t>
      </w:r>
      <w:proofErr w:type="gramStart"/>
      <w:r w:rsidR="00116218" w:rsidRPr="00116218">
        <w:rPr>
          <w:sz w:val="18"/>
          <w:szCs w:val="18"/>
        </w:rPr>
        <w:t>Observatory on Maternal Mortality in Mexico</w:t>
      </w:r>
      <w:r w:rsidRPr="00116218">
        <w:rPr>
          <w:rFonts w:ascii="Garamond" w:hAnsi="Garamond"/>
        </w:rPr>
        <w:t xml:space="preserve">, </w:t>
      </w:r>
      <w:r w:rsidR="00116218" w:rsidRPr="00116218">
        <w:rPr>
          <w:rFonts w:ascii="Garamond" w:hAnsi="Garamond"/>
          <w:i/>
        </w:rPr>
        <w:t>Maternal Mortality in Mexico</w:t>
      </w:r>
      <w:r w:rsidRPr="00116218">
        <w:rPr>
          <w:rFonts w:ascii="Garamond" w:hAnsi="Garamond"/>
        </w:rPr>
        <w:t>.</w:t>
      </w:r>
      <w:proofErr w:type="gramEnd"/>
      <w:r w:rsidRPr="00116218">
        <w:rPr>
          <w:rFonts w:ascii="Garamond" w:hAnsi="Garamond"/>
        </w:rPr>
        <w:t xml:space="preserve"> </w:t>
      </w:r>
      <w:proofErr w:type="spellStart"/>
      <w:r w:rsidRPr="00116218">
        <w:rPr>
          <w:rFonts w:ascii="Garamond" w:hAnsi="Garamond"/>
        </w:rPr>
        <w:t>Numeralia</w:t>
      </w:r>
      <w:proofErr w:type="spellEnd"/>
      <w:r w:rsidRPr="00116218">
        <w:rPr>
          <w:rFonts w:ascii="Garamond" w:hAnsi="Garamond"/>
        </w:rPr>
        <w:t xml:space="preserve"> 2012</w:t>
      </w:r>
      <w:r w:rsidR="00116218" w:rsidRPr="00116218">
        <w:rPr>
          <w:rFonts w:ascii="Garamond" w:hAnsi="Garamond"/>
        </w:rPr>
        <w:t>, Me</w:t>
      </w:r>
      <w:r w:rsidRPr="00116218">
        <w:rPr>
          <w:rFonts w:ascii="Garamond" w:hAnsi="Garamond"/>
        </w:rPr>
        <w:t xml:space="preserve">xico, 2014, p. 9. </w:t>
      </w:r>
      <w:proofErr w:type="gramStart"/>
      <w:r w:rsidR="00116218" w:rsidRPr="00116218">
        <w:rPr>
          <w:rFonts w:ascii="Garamond" w:hAnsi="Garamond"/>
        </w:rPr>
        <w:t>Available at</w:t>
      </w:r>
      <w:r w:rsidRPr="00116218">
        <w:rPr>
          <w:rFonts w:ascii="Garamond" w:hAnsi="Garamond"/>
        </w:rPr>
        <w:t xml:space="preserve"> &lt;</w:t>
      </w:r>
      <w:hyperlink r:id="rId2" w:history="1">
        <w:r w:rsidRPr="00116218">
          <w:rPr>
            <w:rFonts w:ascii="Garamond" w:hAnsi="Garamond"/>
          </w:rPr>
          <w:t>http://bit.ly/1ouyiJN</w:t>
        </w:r>
      </w:hyperlink>
      <w:r w:rsidR="00116218" w:rsidRPr="00116218">
        <w:rPr>
          <w:rFonts w:ascii="Garamond" w:hAnsi="Garamond"/>
        </w:rPr>
        <w:t>&gt;.</w:t>
      </w:r>
      <w:proofErr w:type="gramEnd"/>
      <w:r w:rsidR="00116218" w:rsidRPr="00116218">
        <w:rPr>
          <w:rFonts w:ascii="Garamond" w:hAnsi="Garamond"/>
        </w:rPr>
        <w:t xml:space="preserve"> </w:t>
      </w:r>
      <w:proofErr w:type="gramStart"/>
      <w:r w:rsidR="00116218" w:rsidRPr="00116218">
        <w:rPr>
          <w:rFonts w:ascii="Garamond" w:hAnsi="Garamond"/>
        </w:rPr>
        <w:t>[Consulted</w:t>
      </w:r>
      <w:r w:rsidRPr="00116218">
        <w:rPr>
          <w:rFonts w:ascii="Garamond" w:hAnsi="Garamond"/>
        </w:rPr>
        <w:t xml:space="preserve">: </w:t>
      </w:r>
      <w:r w:rsidR="00116218" w:rsidRPr="00116218">
        <w:rPr>
          <w:rFonts w:ascii="Garamond" w:hAnsi="Garamond"/>
        </w:rPr>
        <w:t xml:space="preserve">May </w:t>
      </w:r>
      <w:r w:rsidRPr="00116218">
        <w:rPr>
          <w:rFonts w:ascii="Garamond" w:hAnsi="Garamond"/>
        </w:rPr>
        <w:t>28 2014].</w:t>
      </w:r>
      <w:proofErr w:type="gramEnd"/>
    </w:p>
  </w:footnote>
  <w:footnote w:id="15">
    <w:p w:rsidR="00C370B8" w:rsidRPr="002C7FE5" w:rsidRDefault="00C370B8" w:rsidP="00C370B8">
      <w:pPr>
        <w:pStyle w:val="Textonotapie"/>
        <w:jc w:val="both"/>
        <w:rPr>
          <w:rFonts w:ascii="Garamond" w:hAnsi="Garamond"/>
          <w:lang w:val="es-MX"/>
        </w:rPr>
      </w:pPr>
      <w:r w:rsidRPr="00102532">
        <w:rPr>
          <w:rStyle w:val="Refdenotaalpie"/>
          <w:rFonts w:ascii="Garamond" w:hAnsi="Garamond"/>
        </w:rPr>
        <w:footnoteRef/>
      </w:r>
      <w:r w:rsidR="00786270">
        <w:rPr>
          <w:rFonts w:ascii="Garamond" w:hAnsi="Garamond"/>
        </w:rPr>
        <w:t xml:space="preserve"> </w:t>
      </w:r>
      <w:r w:rsidR="00116218" w:rsidRPr="00786270">
        <w:rPr>
          <w:rFonts w:ascii="Garamond" w:hAnsi="Garamond"/>
        </w:rPr>
        <w:t>General Comment</w:t>
      </w:r>
      <w:r w:rsidRPr="00786270">
        <w:rPr>
          <w:rFonts w:ascii="Garamond" w:hAnsi="Garamond"/>
        </w:rPr>
        <w:t xml:space="preserve"> No. 19, </w:t>
      </w:r>
      <w:r w:rsidR="00786270" w:rsidRPr="00786270">
        <w:rPr>
          <w:rFonts w:ascii="Garamond" w:hAnsi="Garamond"/>
        </w:rPr>
        <w:t xml:space="preserve">General comments adopted by the Committee of Human Rights, Article 23 - The </w:t>
      </w:r>
      <w:r w:rsidR="00786270">
        <w:rPr>
          <w:rFonts w:ascii="Garamond" w:hAnsi="Garamond"/>
        </w:rPr>
        <w:t>F</w:t>
      </w:r>
      <w:r w:rsidR="00786270" w:rsidRPr="00786270">
        <w:rPr>
          <w:rFonts w:ascii="Garamond" w:hAnsi="Garamond"/>
        </w:rPr>
        <w:t xml:space="preserve">amily, 39th session, UN Doc </w:t>
      </w:r>
      <w:proofErr w:type="spellStart"/>
      <w:r w:rsidR="00786270" w:rsidRPr="00786270">
        <w:rPr>
          <w:rFonts w:ascii="Garamond" w:hAnsi="Garamond"/>
        </w:rPr>
        <w:t>HRI</w:t>
      </w:r>
      <w:proofErr w:type="spellEnd"/>
      <w:r w:rsidR="00786270" w:rsidRPr="00786270">
        <w:rPr>
          <w:rFonts w:ascii="Garamond" w:hAnsi="Garamond"/>
        </w:rPr>
        <w:t xml:space="preserve"> / GEN / 1 / Rev.7 at 171 (1990) http://www1.umn.edu/humanrts/hrcommittee/Sgencom19.html[consulta. </w:t>
      </w:r>
      <w:proofErr w:type="spellStart"/>
      <w:r w:rsidR="00786270" w:rsidRPr="00786270">
        <w:rPr>
          <w:rFonts w:ascii="Garamond" w:hAnsi="Garamond"/>
          <w:lang w:val="es-ES_tradnl"/>
        </w:rPr>
        <w:t>March</w:t>
      </w:r>
      <w:proofErr w:type="spellEnd"/>
      <w:r w:rsidR="00786270" w:rsidRPr="00786270">
        <w:rPr>
          <w:rFonts w:ascii="Garamond" w:hAnsi="Garamond"/>
          <w:lang w:val="es-ES_tradnl"/>
        </w:rPr>
        <w:t xml:space="preserve"> 17,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E5" w:rsidRDefault="00EC3A8A">
    <w:pPr>
      <w:pStyle w:val="Encabezado"/>
    </w:pPr>
    <w:r w:rsidRPr="00EC3A8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1879 818 1667 859 1244 1063 1217 1145 1085 1390 1058 1472 1058 1800 1270 2127 1270 2413 2197 2434 10800 2454 10800 14563 20302 14890 20011 15238 19826 15545 19720 16854 19429 18163 19058 19145 18555 20147 15352 20454 13897 20495 13923 20720 7994 20843 7967 21068 17894 21109 17550 21559 18979 21559 19111 21415 19905 20127 20250 19472 20541 18818 20858 17836 21070 16854 21176 15545 20673 14890 20647 14727 19958 14706 10800 14563 10773 2434 7411 2065 7279 1963 6961 1800 6961 1697 5691 1493 5320 1452 5426 1329 5426 1084 2144 818 1879 818">
          <v:imagedata r:id="rId1" o:title="hoja membretad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E5" w:rsidRDefault="00EC3A8A">
    <w:pPr>
      <w:pStyle w:val="Encabezado"/>
    </w:pPr>
    <w:r w:rsidRPr="00EC3A8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9776;mso-wrap-edited:f;mso-position-horizontal:center;mso-position-horizontal-relative:margin;mso-position-vertical:center;mso-position-vertical-relative:margin" wrapcoords="1879 818 1667 859 1244 1063 1217 1145 1085 1390 1058 1472 1058 1800 1270 2127 1270 2413 2197 2434 10800 2454 10800 14563 20302 14890 20011 15238 19826 15545 19720 16854 19429 18163 19058 19145 18555 20147 15352 20454 13897 20495 13923 20720 7994 20843 7967 21068 17894 21109 17550 21559 18979 21559 19111 21415 19905 20127 20250 19472 20541 18818 20858 17836 21070 16854 21176 15545 20673 14890 20647 14727 19958 14706 10800 14563 10773 2434 7411 2065 7279 1963 6961 1800 6961 1697 5691 1493 5320 1452 5426 1329 5426 1084 2144 818 1879 818">
          <v:imagedata r:id="rId1" o:title="hoja membretad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FE5" w:rsidRDefault="00EC3A8A">
    <w:pPr>
      <w:pStyle w:val="Encabezado"/>
    </w:pPr>
    <w:r w:rsidRPr="00EC3A8A">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7728;mso-wrap-edited:f;mso-position-horizontal:center;mso-position-horizontal-relative:margin;mso-position-vertical:center;mso-position-vertical-relative:margin" wrapcoords="1879 818 1667 859 1244 1063 1217 1145 1085 1390 1058 1472 1058 1800 1270 2127 1270 2413 2197 2434 10800 2454 10800 14563 20302 14890 20011 15238 19826 15545 19720 16854 19429 18163 19058 19145 18555 20147 15352 20454 13897 20495 13923 20720 7994 20843 7967 21068 17894 21109 17550 21559 18979 21559 19111 21415 19905 20127 20250 19472 20541 18818 20858 17836 21070 16854 21176 15545 20673 14890 20647 14727 19958 14706 10800 14563 10773 2434 7411 2065 7279 1963 6961 1800 6961 1697 5691 1493 5320 1452 5426 1329 5426 1084 2144 818 1879 818">
          <v:imagedata r:id="rId1" o:title="hoja membretad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142D2"/>
    <w:multiLevelType w:val="hybridMultilevel"/>
    <w:tmpl w:val="D82A4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3642CC"/>
    <w:multiLevelType w:val="hybridMultilevel"/>
    <w:tmpl w:val="94202EB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846187B"/>
    <w:multiLevelType w:val="hybridMultilevel"/>
    <w:tmpl w:val="BE1E2F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0C46B99"/>
    <w:multiLevelType w:val="hybridMultilevel"/>
    <w:tmpl w:val="9C526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5514B5"/>
    <w:multiLevelType w:val="hybridMultilevel"/>
    <w:tmpl w:val="60C86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cumentType w:val="let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45632C"/>
    <w:rsid w:val="00012B1D"/>
    <w:rsid w:val="000641A3"/>
    <w:rsid w:val="000C2AD0"/>
    <w:rsid w:val="00116218"/>
    <w:rsid w:val="001765E2"/>
    <w:rsid w:val="001961E0"/>
    <w:rsid w:val="001B0151"/>
    <w:rsid w:val="001F1969"/>
    <w:rsid w:val="00236064"/>
    <w:rsid w:val="002B321B"/>
    <w:rsid w:val="002C7FE5"/>
    <w:rsid w:val="00310076"/>
    <w:rsid w:val="00343256"/>
    <w:rsid w:val="00422588"/>
    <w:rsid w:val="0045632C"/>
    <w:rsid w:val="00680285"/>
    <w:rsid w:val="006C4AD4"/>
    <w:rsid w:val="00710E34"/>
    <w:rsid w:val="00786270"/>
    <w:rsid w:val="00897127"/>
    <w:rsid w:val="0093684D"/>
    <w:rsid w:val="00973CA4"/>
    <w:rsid w:val="009B336C"/>
    <w:rsid w:val="00A36381"/>
    <w:rsid w:val="00A53440"/>
    <w:rsid w:val="00AD3E5B"/>
    <w:rsid w:val="00AE10B0"/>
    <w:rsid w:val="00B15D58"/>
    <w:rsid w:val="00BA2220"/>
    <w:rsid w:val="00BD720B"/>
    <w:rsid w:val="00C01149"/>
    <w:rsid w:val="00C111E5"/>
    <w:rsid w:val="00C2782D"/>
    <w:rsid w:val="00C35FE5"/>
    <w:rsid w:val="00C370B8"/>
    <w:rsid w:val="00C54633"/>
    <w:rsid w:val="00CE1EDE"/>
    <w:rsid w:val="00D46CA6"/>
    <w:rsid w:val="00D47415"/>
    <w:rsid w:val="00D74A03"/>
    <w:rsid w:val="00D84D7D"/>
    <w:rsid w:val="00E72E4D"/>
    <w:rsid w:val="00EC3A8A"/>
    <w:rsid w:val="00F01644"/>
    <w:rsid w:val="00F7369E"/>
    <w:rsid w:val="00F800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B336C"/>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Fecha">
    <w:name w:val="Date"/>
    <w:basedOn w:val="Normal"/>
    <w:next w:val="Normal"/>
    <w:link w:val="FechaCar"/>
    <w:uiPriority w:val="99"/>
    <w:semiHidden/>
    <w:unhideWhenUsed/>
    <w:rsid w:val="00C35FE5"/>
  </w:style>
  <w:style w:type="character" w:customStyle="1" w:styleId="FechaCar">
    <w:name w:val="Fecha Car"/>
    <w:link w:val="Fecha"/>
    <w:uiPriority w:val="99"/>
    <w:semiHidden/>
    <w:rsid w:val="00C35FE5"/>
    <w:rPr>
      <w:sz w:val="24"/>
      <w:szCs w:val="24"/>
      <w:lang w:eastAsia="en-US"/>
    </w:rPr>
  </w:style>
  <w:style w:type="paragraph" w:styleId="Cierre">
    <w:name w:val="Closing"/>
    <w:basedOn w:val="Normal"/>
    <w:link w:val="CierreCar"/>
    <w:uiPriority w:val="99"/>
    <w:semiHidden/>
    <w:unhideWhenUsed/>
    <w:rsid w:val="00C35FE5"/>
  </w:style>
  <w:style w:type="character" w:customStyle="1" w:styleId="CierreCar">
    <w:name w:val="Cierre Car"/>
    <w:link w:val="Cierre"/>
    <w:uiPriority w:val="99"/>
    <w:semiHidden/>
    <w:rsid w:val="00C35FE5"/>
    <w:rPr>
      <w:sz w:val="24"/>
      <w:szCs w:val="24"/>
      <w:lang w:eastAsia="en-US"/>
    </w:rPr>
  </w:style>
  <w:style w:type="paragraph" w:styleId="Firma">
    <w:name w:val="Signature"/>
    <w:basedOn w:val="Normal"/>
    <w:link w:val="FirmaCar"/>
    <w:uiPriority w:val="99"/>
    <w:semiHidden/>
    <w:unhideWhenUsed/>
    <w:rsid w:val="00C35FE5"/>
  </w:style>
  <w:style w:type="character" w:customStyle="1" w:styleId="FirmaCar">
    <w:name w:val="Firma Car"/>
    <w:link w:val="Firma"/>
    <w:uiPriority w:val="99"/>
    <w:semiHidden/>
    <w:rsid w:val="00C35FE5"/>
    <w:rPr>
      <w:sz w:val="24"/>
      <w:szCs w:val="24"/>
      <w:lang w:eastAsia="en-US"/>
    </w:rPr>
  </w:style>
  <w:style w:type="paragraph" w:styleId="Textoindependiente">
    <w:name w:val="Body Text"/>
    <w:basedOn w:val="Normal"/>
    <w:link w:val="TextoindependienteCar"/>
    <w:uiPriority w:val="99"/>
    <w:semiHidden/>
    <w:unhideWhenUsed/>
    <w:rsid w:val="00C35FE5"/>
    <w:pPr>
      <w:spacing w:after="120"/>
    </w:pPr>
  </w:style>
  <w:style w:type="character" w:customStyle="1" w:styleId="TextoindependienteCar">
    <w:name w:val="Texto independiente Car"/>
    <w:link w:val="Textoindependiente"/>
    <w:uiPriority w:val="99"/>
    <w:semiHidden/>
    <w:rsid w:val="00C35FE5"/>
    <w:rPr>
      <w:sz w:val="24"/>
      <w:szCs w:val="24"/>
      <w:lang w:eastAsia="en-US"/>
    </w:rPr>
  </w:style>
  <w:style w:type="paragraph" w:styleId="Encabezado">
    <w:name w:val="header"/>
    <w:basedOn w:val="Normal"/>
    <w:link w:val="EncabezadoCar"/>
    <w:uiPriority w:val="99"/>
    <w:unhideWhenUsed/>
    <w:rsid w:val="00C35FE5"/>
    <w:pPr>
      <w:tabs>
        <w:tab w:val="center" w:pos="4419"/>
        <w:tab w:val="right" w:pos="8838"/>
      </w:tabs>
    </w:pPr>
  </w:style>
  <w:style w:type="character" w:customStyle="1" w:styleId="EncabezadoCar">
    <w:name w:val="Encabezado Car"/>
    <w:link w:val="Encabezado"/>
    <w:uiPriority w:val="99"/>
    <w:rsid w:val="00C35FE5"/>
    <w:rPr>
      <w:sz w:val="24"/>
      <w:szCs w:val="24"/>
      <w:lang w:eastAsia="en-US"/>
    </w:rPr>
  </w:style>
  <w:style w:type="paragraph" w:styleId="Piedepgina">
    <w:name w:val="footer"/>
    <w:basedOn w:val="Normal"/>
    <w:link w:val="PiedepginaCar"/>
    <w:uiPriority w:val="99"/>
    <w:unhideWhenUsed/>
    <w:rsid w:val="00C35FE5"/>
    <w:pPr>
      <w:tabs>
        <w:tab w:val="center" w:pos="4419"/>
        <w:tab w:val="right" w:pos="8838"/>
      </w:tabs>
    </w:pPr>
  </w:style>
  <w:style w:type="character" w:customStyle="1" w:styleId="PiedepginaCar">
    <w:name w:val="Pie de página Car"/>
    <w:link w:val="Piedepgina"/>
    <w:uiPriority w:val="99"/>
    <w:rsid w:val="00C35FE5"/>
    <w:rPr>
      <w:sz w:val="24"/>
      <w:szCs w:val="24"/>
      <w:lang w:eastAsia="en-US"/>
    </w:rPr>
  </w:style>
  <w:style w:type="character" w:customStyle="1" w:styleId="apple-converted-space">
    <w:name w:val="apple-converted-space"/>
    <w:basedOn w:val="Fuentedeprrafopredeter"/>
    <w:rsid w:val="000641A3"/>
  </w:style>
  <w:style w:type="paragraph" w:styleId="Sinespaciado">
    <w:name w:val="No Spacing"/>
    <w:uiPriority w:val="1"/>
    <w:qFormat/>
    <w:rsid w:val="000641A3"/>
    <w:rPr>
      <w:rFonts w:ascii="Calibri" w:eastAsia="Calibri" w:hAnsi="Calibri"/>
      <w:sz w:val="22"/>
      <w:szCs w:val="22"/>
      <w:lang w:val="es-CL" w:eastAsia="en-US"/>
    </w:rPr>
  </w:style>
  <w:style w:type="paragraph" w:styleId="Textonotapie">
    <w:name w:val="footnote text"/>
    <w:aliases w:val="FA Fu,Footnote reference,Footnote Text Char Char Char Char Char,Footnote Text Char Char Char Char,Footnote Text Char Char Char,FA Fußnotentext,FA Fuﬂnotentext,Footnote Text Cha,Footnote Text Char Char,FA Fu?notentext,Ca,C,nota"/>
    <w:basedOn w:val="Normal"/>
    <w:link w:val="TextonotapieCar"/>
    <w:uiPriority w:val="99"/>
    <w:unhideWhenUsed/>
    <w:qFormat/>
    <w:rsid w:val="00C111E5"/>
    <w:rPr>
      <w:sz w:val="20"/>
      <w:szCs w:val="20"/>
    </w:rPr>
  </w:style>
  <w:style w:type="character" w:customStyle="1" w:styleId="TextonotapieCar">
    <w:name w:val="Texto nota pie Car"/>
    <w:aliases w:val="FA Fu Car,Footnote reference Car,Footnote Text Char Char Char Char Char Car,Footnote Text Char Char Char Char Car,Footnote Text Char Char Char Car,FA Fußnotentext Car,FA Fuﬂnotentext Car,Footnote Text Cha Car,FA Fu?notentext Car,C Car"/>
    <w:basedOn w:val="Fuentedeprrafopredeter"/>
    <w:link w:val="Textonotapie"/>
    <w:uiPriority w:val="99"/>
    <w:rsid w:val="00C111E5"/>
    <w:rPr>
      <w:lang w:val="en-US" w:eastAsia="en-US"/>
    </w:rPr>
  </w:style>
  <w:style w:type="character" w:styleId="Hipervnculo">
    <w:name w:val="Hyperlink"/>
    <w:uiPriority w:val="99"/>
    <w:unhideWhenUsed/>
    <w:rsid w:val="00C111E5"/>
    <w:rPr>
      <w:color w:val="0000FF"/>
      <w:u w:val="single"/>
    </w:rPr>
  </w:style>
  <w:style w:type="character" w:styleId="Refdenotaalpie">
    <w:name w:val="footnote reference"/>
    <w:aliases w:val="Footnotes refss,Ref,de nota al pie,Appel note de bas de page,Texto de nota al pie,Footnote number,referencia nota al pie,BVI fnr,f,4_G,16 Point,Superscript 6 Point,Texto nota al pie,Ref. de nota al pie 2,Footnote Reference Char3"/>
    <w:link w:val="Refdenotaalpie1"/>
    <w:unhideWhenUsed/>
    <w:qFormat/>
    <w:rsid w:val="00C111E5"/>
    <w:rPr>
      <w:vertAlign w:val="superscript"/>
    </w:rPr>
  </w:style>
  <w:style w:type="paragraph" w:styleId="Prrafodelista">
    <w:name w:val="List Paragraph"/>
    <w:basedOn w:val="Normal"/>
    <w:uiPriority w:val="34"/>
    <w:qFormat/>
    <w:rsid w:val="00E72E4D"/>
    <w:pPr>
      <w:ind w:left="720"/>
      <w:contextualSpacing/>
    </w:pPr>
  </w:style>
  <w:style w:type="paragraph" w:customStyle="1" w:styleId="Refdenotaalpie1">
    <w:name w:val="Ref. de nota al pie1"/>
    <w:aliases w:val=" BVI fnr Car Car Car Car,BVI fnr Car Car Car Car"/>
    <w:basedOn w:val="Normal"/>
    <w:link w:val="Refdenotaalpie"/>
    <w:rsid w:val="00E72E4D"/>
    <w:pPr>
      <w:spacing w:after="160" w:line="240" w:lineRule="exact"/>
    </w:pPr>
    <w:rPr>
      <w:sz w:val="20"/>
      <w:szCs w:val="20"/>
      <w:vertAlign w:val="superscript"/>
    </w:rPr>
  </w:style>
  <w:style w:type="paragraph" w:styleId="HTMLconformatoprevio">
    <w:name w:val="HTML Preformatted"/>
    <w:basedOn w:val="Normal"/>
    <w:link w:val="HTMLconformatoprevioCar"/>
    <w:uiPriority w:val="99"/>
    <w:semiHidden/>
    <w:unhideWhenUsed/>
    <w:rsid w:val="00710E34"/>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710E34"/>
    <w:rPr>
      <w:rFonts w:ascii="Courier New" w:hAnsi="Courier New" w:cs="Courier New"/>
      <w:lang w:val="en-US" w:eastAsia="en-US"/>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bit.ly/1ouyiJN" TargetMode="External"/><Relationship Id="rId1" Type="http://schemas.openxmlformats.org/officeDocument/2006/relationships/hyperlink" Target="http://www.recomendacionesdh.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6DCC72-FF23-4B64-BCD3-0A9025362C30}"/>
</file>

<file path=customXml/itemProps2.xml><?xml version="1.0" encoding="utf-8"?>
<ds:datastoreItem xmlns:ds="http://schemas.openxmlformats.org/officeDocument/2006/customXml" ds:itemID="{639A974B-3DDB-4760-BA6A-B92D9549368A}"/>
</file>

<file path=customXml/itemProps3.xml><?xml version="1.0" encoding="utf-8"?>
<ds:datastoreItem xmlns:ds="http://schemas.openxmlformats.org/officeDocument/2006/customXml" ds:itemID="{EB5456D2-3849-46E7-A33E-AD4B21035AA3}"/>
</file>

<file path=docProps/app.xml><?xml version="1.0" encoding="utf-8"?>
<Properties xmlns="http://schemas.openxmlformats.org/officeDocument/2006/extended-properties" xmlns:vt="http://schemas.openxmlformats.org/officeDocument/2006/docPropsVTypes">
  <Template>Normal</Template>
  <TotalTime>14</TotalTime>
  <Pages>4</Pages>
  <Words>1049</Words>
  <Characters>5772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Julio Fabien Cruz Lefebvre</dc:creator>
  <cp:lastModifiedBy>Jennifer Paine</cp:lastModifiedBy>
  <cp:revision>8</cp:revision>
  <dcterms:created xsi:type="dcterms:W3CDTF">2015-06-25T16:31:00Z</dcterms:created>
  <dcterms:modified xsi:type="dcterms:W3CDTF">2015-06-25T16:43:00Z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