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501D4" w14:textId="77777777" w:rsidR="00033B97" w:rsidRPr="00982004" w:rsidRDefault="004B58D8" w:rsidP="00E61B24">
      <w:pPr>
        <w:spacing w:after="0"/>
        <w:jc w:val="center"/>
        <w:rPr>
          <w:rFonts w:cs="Arial"/>
          <w:b/>
          <w:u w:val="single"/>
          <w:lang w:val="en-US"/>
        </w:rPr>
      </w:pPr>
      <w:r w:rsidRPr="00982004">
        <w:rPr>
          <w:rFonts w:cs="Arial"/>
          <w:b/>
          <w:u w:val="single"/>
          <w:lang w:val="en-US"/>
        </w:rPr>
        <w:t>General Discussion on the preparation for a General Comment on Article 6 (Right to Life)</w:t>
      </w:r>
    </w:p>
    <w:p w14:paraId="43051B30" w14:textId="77777777" w:rsidR="00982004" w:rsidRDefault="00982004" w:rsidP="00E61B24">
      <w:pPr>
        <w:spacing w:after="0"/>
        <w:jc w:val="center"/>
        <w:rPr>
          <w:rFonts w:cs="Arial"/>
          <w:b/>
          <w:u w:val="single"/>
          <w:lang w:val="en-US"/>
        </w:rPr>
      </w:pPr>
    </w:p>
    <w:p w14:paraId="16B3F20B" w14:textId="77777777" w:rsidR="00F018E6" w:rsidRPr="00982004" w:rsidRDefault="00F018E6" w:rsidP="00E61B24">
      <w:pPr>
        <w:spacing w:after="0"/>
        <w:jc w:val="center"/>
        <w:rPr>
          <w:rFonts w:cs="Arial"/>
          <w:b/>
          <w:u w:val="single"/>
          <w:lang w:val="en-US"/>
        </w:rPr>
      </w:pPr>
      <w:r w:rsidRPr="00982004">
        <w:rPr>
          <w:rFonts w:cs="Arial"/>
          <w:b/>
          <w:u w:val="single"/>
          <w:lang w:val="en-US"/>
        </w:rPr>
        <w:t>Submission from Ipas Bolivia</w:t>
      </w:r>
    </w:p>
    <w:p w14:paraId="789B57A9" w14:textId="77777777" w:rsidR="00982004" w:rsidRPr="00982004" w:rsidRDefault="00982004" w:rsidP="00E61B24">
      <w:pPr>
        <w:spacing w:after="0"/>
        <w:jc w:val="both"/>
        <w:rPr>
          <w:rFonts w:cs="Arial"/>
          <w:lang w:val="en-US"/>
        </w:rPr>
      </w:pPr>
    </w:p>
    <w:p w14:paraId="348304E0" w14:textId="77777777" w:rsidR="00982004" w:rsidRPr="00982004" w:rsidRDefault="004B58D8" w:rsidP="00982004">
      <w:pPr>
        <w:spacing w:after="0"/>
        <w:jc w:val="both"/>
        <w:rPr>
          <w:rFonts w:cs="Arial"/>
          <w:lang w:val="en-US"/>
        </w:rPr>
      </w:pPr>
      <w:r w:rsidRPr="00982004">
        <w:rPr>
          <w:rFonts w:cs="Arial"/>
          <w:lang w:val="en-US"/>
        </w:rPr>
        <w:t xml:space="preserve">This submission is intended to support the meeting for a General Discussion in preparation for a General Comment on Article 6 of the ICCPR scheduled by </w:t>
      </w:r>
      <w:r w:rsidR="00F018E6" w:rsidRPr="00982004">
        <w:rPr>
          <w:rFonts w:cs="Arial"/>
          <w:lang w:val="en-US"/>
        </w:rPr>
        <w:t xml:space="preserve">the Human Rights </w:t>
      </w:r>
      <w:r w:rsidRPr="00982004">
        <w:rPr>
          <w:rFonts w:cs="Arial"/>
          <w:lang w:val="en-US"/>
        </w:rPr>
        <w:t xml:space="preserve">Committee in July 2015. </w:t>
      </w:r>
      <w:r w:rsidR="00982004" w:rsidRPr="00982004">
        <w:rPr>
          <w:rFonts w:cs="Arial"/>
          <w:lang w:val="en-US"/>
        </w:rPr>
        <w:t>Ipas Bolivia is an organization that works to increase women's ability to exercise their sexual and reproductive rights.</w:t>
      </w:r>
      <w:r w:rsidR="00982004" w:rsidRPr="00982004">
        <w:rPr>
          <w:rStyle w:val="FootnoteReference"/>
          <w:rFonts w:cs="Arial"/>
          <w:lang w:val="en-US"/>
        </w:rPr>
        <w:footnoteReference w:id="1"/>
      </w:r>
    </w:p>
    <w:p w14:paraId="65834A20" w14:textId="77777777" w:rsidR="004630F3" w:rsidRPr="00982004" w:rsidRDefault="004630F3" w:rsidP="00E61B24">
      <w:pPr>
        <w:spacing w:after="0"/>
        <w:jc w:val="both"/>
        <w:rPr>
          <w:rFonts w:cs="Arial"/>
          <w:lang w:val="en-US"/>
        </w:rPr>
      </w:pPr>
    </w:p>
    <w:p w14:paraId="0DE83452" w14:textId="079E5BE9" w:rsidR="004B58D8" w:rsidRPr="00982004" w:rsidRDefault="004B58D8" w:rsidP="00E61B24">
      <w:pPr>
        <w:spacing w:after="0"/>
        <w:jc w:val="both"/>
        <w:rPr>
          <w:rFonts w:cs="Arial"/>
          <w:lang w:val="en-US"/>
        </w:rPr>
      </w:pPr>
      <w:r w:rsidRPr="00982004">
        <w:rPr>
          <w:rFonts w:cs="Arial"/>
          <w:lang w:val="en-US"/>
        </w:rPr>
        <w:t>Bolivia’s maternal mortality rate is one of the highest in the region; in certain rural areas the rate is as high as 310 per 100,000 live births.</w:t>
      </w:r>
      <w:r w:rsidR="00E73DCE" w:rsidRPr="00982004">
        <w:rPr>
          <w:rStyle w:val="FootnoteReference"/>
          <w:rFonts w:cs="Arial"/>
          <w:lang w:val="en-US"/>
        </w:rPr>
        <w:footnoteReference w:id="2"/>
      </w:r>
      <w:r w:rsidRPr="00982004">
        <w:rPr>
          <w:rFonts w:cs="Arial"/>
          <w:lang w:val="en-US"/>
        </w:rPr>
        <w:t xml:space="preserve"> Unsafe abortion is the third cause of maternal mortality in Bolivia, accounting for 9.1% of maternal deaths.</w:t>
      </w:r>
      <w:r w:rsidR="00E73DCE" w:rsidRPr="00982004">
        <w:rPr>
          <w:rStyle w:val="FootnoteReference"/>
          <w:rFonts w:cs="Arial"/>
          <w:lang w:val="en-US"/>
        </w:rPr>
        <w:footnoteReference w:id="3"/>
      </w:r>
      <w:r w:rsidRPr="00982004">
        <w:rPr>
          <w:rFonts w:cs="Arial"/>
          <w:lang w:val="en-US"/>
        </w:rPr>
        <w:t xml:space="preserve"> The Bolivian Ministry of Health recognizes that “Bolivia is one of the few countries where the probability of dying from causes related to maternity continues to be highly unacceptable.”</w:t>
      </w:r>
      <w:r w:rsidR="00E73DCE" w:rsidRPr="00982004">
        <w:rPr>
          <w:rStyle w:val="FootnoteReference"/>
          <w:rFonts w:cs="Arial"/>
          <w:lang w:val="en-US"/>
        </w:rPr>
        <w:footnoteReference w:id="4"/>
      </w:r>
    </w:p>
    <w:p w14:paraId="78BF8E21" w14:textId="77777777" w:rsidR="004630F3" w:rsidRPr="00982004" w:rsidRDefault="004630F3" w:rsidP="00E61B24">
      <w:pPr>
        <w:spacing w:after="0"/>
        <w:jc w:val="both"/>
        <w:rPr>
          <w:rFonts w:cs="Arial"/>
          <w:lang w:val="en-US"/>
        </w:rPr>
      </w:pPr>
    </w:p>
    <w:p w14:paraId="202BD428" w14:textId="77777777" w:rsidR="004B58D8" w:rsidRPr="00982004" w:rsidRDefault="004B58D8" w:rsidP="00E61B24">
      <w:pPr>
        <w:spacing w:after="0"/>
        <w:jc w:val="both"/>
        <w:rPr>
          <w:rFonts w:cs="Arial"/>
          <w:lang w:val="en-US"/>
        </w:rPr>
      </w:pPr>
      <w:r w:rsidRPr="00982004">
        <w:rPr>
          <w:rFonts w:cs="Arial"/>
          <w:lang w:val="en-US"/>
        </w:rPr>
        <w:t>Seventy four percent of all pregnancies in Bolivia are unplanned. Approximately 15-35% of unwanted pregnancies are a result of one or more of the following factors: failure to use a meth</w:t>
      </w:r>
      <w:r w:rsidR="00E73DCE" w:rsidRPr="00982004">
        <w:rPr>
          <w:rFonts w:cs="Arial"/>
          <w:lang w:val="en-US"/>
        </w:rPr>
        <w:t xml:space="preserve">od of contraception correctly, </w:t>
      </w:r>
      <w:r w:rsidRPr="00982004">
        <w:rPr>
          <w:rFonts w:cs="Arial"/>
          <w:lang w:val="en-US"/>
        </w:rPr>
        <w:t>not using contraception at all (due to either no information about contraception or no access to contraception) and/or involuntary sexual intercourse (rape, incest, or rape of a minor). Failure to use a contraceptive is linked to insufficient access to information on methods of contraception, sexual and reproductive health education and the unavailability of con</w:t>
      </w:r>
      <w:r w:rsidR="00E73DCE" w:rsidRPr="00982004">
        <w:rPr>
          <w:rFonts w:cs="Arial"/>
          <w:lang w:val="en-US"/>
        </w:rPr>
        <w:t>traceptives in health centers.</w:t>
      </w:r>
      <w:r w:rsidR="00E73DCE" w:rsidRPr="00982004">
        <w:rPr>
          <w:rStyle w:val="FootnoteReference"/>
          <w:rFonts w:cs="Arial"/>
          <w:lang w:val="en-US"/>
        </w:rPr>
        <w:footnoteReference w:id="5"/>
      </w:r>
      <w:r w:rsidRPr="00982004">
        <w:rPr>
          <w:rFonts w:cs="Arial"/>
          <w:lang w:val="en-US"/>
        </w:rPr>
        <w:t xml:space="preserve">  </w:t>
      </w:r>
    </w:p>
    <w:p w14:paraId="67BC8664" w14:textId="77777777" w:rsidR="004630F3" w:rsidRPr="00982004" w:rsidRDefault="004630F3" w:rsidP="00E61B24">
      <w:pPr>
        <w:spacing w:after="0"/>
        <w:jc w:val="both"/>
        <w:rPr>
          <w:rFonts w:cs="Arial"/>
          <w:lang w:val="en-US"/>
        </w:rPr>
      </w:pPr>
    </w:p>
    <w:p w14:paraId="4C76B602" w14:textId="77777777" w:rsidR="00F018E6" w:rsidRPr="00982004" w:rsidRDefault="00F018E6" w:rsidP="00E61B24">
      <w:pPr>
        <w:spacing w:after="0"/>
        <w:jc w:val="both"/>
        <w:rPr>
          <w:rFonts w:cs="Arial"/>
          <w:b/>
          <w:u w:val="single"/>
          <w:lang w:val="en-US"/>
        </w:rPr>
      </w:pPr>
      <w:r w:rsidRPr="00982004">
        <w:rPr>
          <w:rFonts w:cs="Arial"/>
          <w:b/>
          <w:u w:val="single"/>
          <w:lang w:val="en-US"/>
        </w:rPr>
        <w:t>Abortion and the Right to Life in Bolivia</w:t>
      </w:r>
    </w:p>
    <w:p w14:paraId="467C94A7" w14:textId="77777777" w:rsidR="004630F3" w:rsidRPr="00982004" w:rsidRDefault="004630F3" w:rsidP="00E61B24">
      <w:pPr>
        <w:spacing w:after="0"/>
        <w:jc w:val="both"/>
        <w:rPr>
          <w:rFonts w:cs="Arial"/>
          <w:lang w:val="en-US"/>
        </w:rPr>
      </w:pPr>
    </w:p>
    <w:p w14:paraId="01313C67" w14:textId="77777777" w:rsidR="00443A6F" w:rsidRPr="00982004" w:rsidRDefault="00443A6F" w:rsidP="00E61B24">
      <w:pPr>
        <w:spacing w:after="0"/>
        <w:jc w:val="both"/>
        <w:rPr>
          <w:rFonts w:cs="Arial"/>
          <w:lang w:val="en-US"/>
        </w:rPr>
      </w:pPr>
      <w:r w:rsidRPr="00982004">
        <w:rPr>
          <w:rFonts w:cs="Arial"/>
          <w:lang w:val="en-US"/>
        </w:rPr>
        <w:t>In March 2012 a Bolivian parliamentarian presented an “abstract action of unconstitutionality” before the Bolivian Constitutional Court. The petition challenged the constitutionality of several penal code provisions, which did not comply with the Bolivian Constitution and with international human rights standards protecting women’s reproductive rights.</w:t>
      </w:r>
      <w:r w:rsidRPr="00982004">
        <w:rPr>
          <w:rStyle w:val="FootnoteReference"/>
          <w:rFonts w:cs="Arial"/>
          <w:lang w:val="en-US"/>
        </w:rPr>
        <w:footnoteReference w:id="6"/>
      </w:r>
      <w:r w:rsidRPr="00982004">
        <w:rPr>
          <w:rFonts w:cs="Arial"/>
          <w:lang w:val="en-US"/>
        </w:rPr>
        <w:t xml:space="preserve"> </w:t>
      </w:r>
    </w:p>
    <w:p w14:paraId="58E6EE71" w14:textId="57F43D4F" w:rsidR="00443A6F" w:rsidRPr="00982004" w:rsidRDefault="00443A6F" w:rsidP="00E61B24">
      <w:pPr>
        <w:spacing w:after="0"/>
        <w:jc w:val="both"/>
        <w:rPr>
          <w:rFonts w:cs="Arial"/>
          <w:lang w:val="en-US"/>
        </w:rPr>
      </w:pPr>
      <w:r w:rsidRPr="00982004">
        <w:rPr>
          <w:rFonts w:cs="Arial"/>
          <w:lang w:val="en-US"/>
        </w:rPr>
        <w:lastRenderedPageBreak/>
        <w:t>In response, on February 5, 2014 the Constitutional Court removed from the penal codes the judicial authorization requirement for an abortion, and in cases of rape or incest, the requirement to file a criminal complaint. The Court also reaffirmed the constitutionality of abortion in cases of risk to the health or the risk to life of a woman, this, in accordance with Bolivia’s  legal obligations established in ratified inter</w:t>
      </w:r>
      <w:r w:rsidR="00982004">
        <w:rPr>
          <w:rFonts w:cs="Arial"/>
          <w:lang w:val="en-US"/>
        </w:rPr>
        <w:t>national human rights treaties.</w:t>
      </w:r>
      <w:r w:rsidRPr="00982004">
        <w:rPr>
          <w:rStyle w:val="FootnoteReference"/>
          <w:rFonts w:cs="Arial"/>
          <w:lang w:val="en-US"/>
        </w:rPr>
        <w:footnoteReference w:id="7"/>
      </w:r>
      <w:r w:rsidRPr="00982004">
        <w:rPr>
          <w:rFonts w:cs="Arial"/>
          <w:lang w:val="en-US"/>
        </w:rPr>
        <w:t xml:space="preserve"> </w:t>
      </w:r>
    </w:p>
    <w:p w14:paraId="345F9AD8" w14:textId="77777777" w:rsidR="004630F3" w:rsidRPr="00982004" w:rsidRDefault="004630F3" w:rsidP="00E61B24">
      <w:pPr>
        <w:spacing w:after="0"/>
        <w:jc w:val="both"/>
        <w:rPr>
          <w:rFonts w:cs="Arial"/>
          <w:lang w:val="en-US"/>
        </w:rPr>
      </w:pPr>
    </w:p>
    <w:p w14:paraId="2E5659A4" w14:textId="77777777" w:rsidR="00443A6F" w:rsidRDefault="00443A6F" w:rsidP="00E61B24">
      <w:pPr>
        <w:spacing w:after="0"/>
        <w:jc w:val="both"/>
        <w:rPr>
          <w:rFonts w:cs="Arial"/>
          <w:lang w:val="en-US"/>
        </w:rPr>
      </w:pPr>
      <w:r w:rsidRPr="00982004">
        <w:rPr>
          <w:rFonts w:cs="Arial"/>
          <w:lang w:val="en-US"/>
        </w:rPr>
        <w:t xml:space="preserve">However, following the Court’s decision, sexual violence survivors with unwanted pregnancies resulting from rape or incest must still report their rapes to the public prosecutor’s office and law enforcement authorities in order to access a legal abortion. </w:t>
      </w:r>
    </w:p>
    <w:p w14:paraId="4FE0ED78" w14:textId="77777777" w:rsidR="00982004" w:rsidRPr="00982004" w:rsidRDefault="00982004" w:rsidP="00E61B24">
      <w:pPr>
        <w:spacing w:after="0"/>
        <w:jc w:val="both"/>
        <w:rPr>
          <w:rFonts w:cs="Arial"/>
          <w:lang w:val="en-US"/>
        </w:rPr>
      </w:pPr>
    </w:p>
    <w:p w14:paraId="41B9BFCB" w14:textId="77777777" w:rsidR="00443A6F" w:rsidRPr="00982004" w:rsidRDefault="00443A6F" w:rsidP="00E61B24">
      <w:pPr>
        <w:spacing w:after="0"/>
        <w:jc w:val="both"/>
        <w:rPr>
          <w:rFonts w:cs="Arial"/>
          <w:lang w:val="en-US"/>
        </w:rPr>
      </w:pPr>
      <w:r w:rsidRPr="00982004">
        <w:rPr>
          <w:rFonts w:cs="Arial"/>
          <w:lang w:val="en-US"/>
        </w:rPr>
        <w:t xml:space="preserve">Access to legal abortion in cases of rape in Bolivia was highly restricted because of the judicial authorization requirement and due to providers’ refusal to administer a legal abortion. Since the Court’s decision, sexual violence victims’ access to abortion care continues to be extremely limited due to lack of implementation by the Bolivian government, especially adolescent victims of sexual violence.  </w:t>
      </w:r>
    </w:p>
    <w:p w14:paraId="52C41195" w14:textId="77777777" w:rsidR="004630F3" w:rsidRPr="00982004" w:rsidRDefault="004630F3" w:rsidP="00E61B24">
      <w:pPr>
        <w:spacing w:after="0"/>
        <w:jc w:val="both"/>
        <w:rPr>
          <w:rFonts w:cs="Arial"/>
          <w:i/>
          <w:lang w:val="en-US"/>
        </w:rPr>
      </w:pPr>
    </w:p>
    <w:p w14:paraId="0DFFB913" w14:textId="77777777" w:rsidR="004B58D8" w:rsidRPr="00982004" w:rsidRDefault="00443A6F" w:rsidP="00E61B24">
      <w:pPr>
        <w:spacing w:after="0"/>
        <w:jc w:val="both"/>
        <w:rPr>
          <w:rFonts w:cs="Arial"/>
          <w:i/>
          <w:lang w:val="en-US"/>
        </w:rPr>
      </w:pPr>
      <w:r w:rsidRPr="00982004">
        <w:rPr>
          <w:rFonts w:cs="Arial"/>
          <w:i/>
          <w:lang w:val="en-US"/>
        </w:rPr>
        <w:t>Most importantly, although the ruling states a legal obligation to protect life, it says that this protection is gradual and increases as gestation progresses. In other words, the closer the fetus is to an embryo the less protection it has under the law. If an embryo is recognized as having the potential for life but not as actually being alive until it is further along in gestation, then this ruling could open the door to legal abortion on demand in the first trimester.</w:t>
      </w:r>
      <w:r w:rsidR="00F84993" w:rsidRPr="00982004">
        <w:rPr>
          <w:rStyle w:val="FootnoteReference"/>
          <w:rFonts w:cs="Arial"/>
          <w:i/>
          <w:lang w:val="en-US"/>
        </w:rPr>
        <w:footnoteReference w:id="8"/>
      </w:r>
    </w:p>
    <w:p w14:paraId="46E3550C" w14:textId="77777777" w:rsidR="004630F3" w:rsidRPr="00982004" w:rsidRDefault="004630F3" w:rsidP="00E61B24">
      <w:pPr>
        <w:spacing w:after="0"/>
        <w:jc w:val="both"/>
        <w:rPr>
          <w:rFonts w:cs="Arial"/>
          <w:b/>
          <w:u w:val="single"/>
          <w:lang w:val="en-US"/>
        </w:rPr>
      </w:pPr>
    </w:p>
    <w:p w14:paraId="266BB7B7" w14:textId="77777777" w:rsidR="00F84993" w:rsidRPr="00982004" w:rsidRDefault="00F84993" w:rsidP="00E61B24">
      <w:pPr>
        <w:spacing w:after="0"/>
        <w:jc w:val="both"/>
        <w:rPr>
          <w:rFonts w:cs="Arial"/>
          <w:b/>
          <w:u w:val="single"/>
          <w:lang w:val="en-US"/>
        </w:rPr>
      </w:pPr>
      <w:r w:rsidRPr="00982004">
        <w:rPr>
          <w:rFonts w:cs="Arial"/>
          <w:b/>
          <w:u w:val="single"/>
          <w:lang w:val="en-US"/>
        </w:rPr>
        <w:t>International Human Rights and the Right to Life</w:t>
      </w:r>
    </w:p>
    <w:p w14:paraId="1A4297FC" w14:textId="77777777" w:rsidR="004630F3" w:rsidRPr="00982004" w:rsidRDefault="004630F3" w:rsidP="00E61B24">
      <w:pPr>
        <w:spacing w:after="0"/>
        <w:jc w:val="both"/>
        <w:rPr>
          <w:rFonts w:cs="Arial"/>
          <w:lang w:val="en-US"/>
        </w:rPr>
      </w:pPr>
    </w:p>
    <w:p w14:paraId="2917A324" w14:textId="7D2E4B56" w:rsidR="008665E1" w:rsidRDefault="00F84993" w:rsidP="00E61B24">
      <w:pPr>
        <w:spacing w:after="0"/>
        <w:jc w:val="both"/>
        <w:rPr>
          <w:rFonts w:cs="Arial"/>
          <w:lang w:val="en-US"/>
        </w:rPr>
      </w:pPr>
      <w:r w:rsidRPr="00982004">
        <w:rPr>
          <w:rFonts w:cs="Arial"/>
          <w:lang w:val="en-US"/>
        </w:rPr>
        <w:t xml:space="preserve">International and regional human rights treaties do not recognize the right to life before birth. Below is a </w:t>
      </w:r>
      <w:r w:rsidR="0042733C">
        <w:rPr>
          <w:rFonts w:cs="Arial"/>
          <w:lang w:val="en-US"/>
        </w:rPr>
        <w:t>list</w:t>
      </w:r>
      <w:r w:rsidRPr="00982004">
        <w:rPr>
          <w:rFonts w:cs="Arial"/>
          <w:lang w:val="en-US"/>
        </w:rPr>
        <w:t xml:space="preserve"> of major human rights treaties </w:t>
      </w:r>
      <w:r w:rsidR="0042733C">
        <w:rPr>
          <w:rFonts w:cs="Arial"/>
          <w:lang w:val="en-US"/>
        </w:rPr>
        <w:t>that</w:t>
      </w:r>
      <w:r w:rsidRPr="00982004">
        <w:rPr>
          <w:rFonts w:cs="Arial"/>
          <w:lang w:val="en-US"/>
        </w:rPr>
        <w:t xml:space="preserve"> address the right to life.</w:t>
      </w:r>
      <w:r w:rsidR="00982004">
        <w:rPr>
          <w:rFonts w:cs="Arial"/>
          <w:lang w:val="en-US"/>
        </w:rPr>
        <w:t xml:space="preserve"> </w:t>
      </w:r>
      <w:r w:rsidR="008665E1" w:rsidRPr="00982004">
        <w:rPr>
          <w:rFonts w:cs="Arial"/>
          <w:lang w:val="en-US"/>
        </w:rPr>
        <w:t xml:space="preserve">It is noteworthy that, in addition to Article 6 of the Covenant, other international </w:t>
      </w:r>
      <w:r w:rsidR="00982004">
        <w:rPr>
          <w:rFonts w:cs="Arial"/>
          <w:lang w:val="en-US"/>
        </w:rPr>
        <w:t xml:space="preserve">human rights </w:t>
      </w:r>
      <w:r w:rsidR="008665E1" w:rsidRPr="00982004">
        <w:rPr>
          <w:rFonts w:cs="Arial"/>
          <w:lang w:val="en-US"/>
        </w:rPr>
        <w:t xml:space="preserve">treaties </w:t>
      </w:r>
      <w:r w:rsidR="00982004">
        <w:rPr>
          <w:rFonts w:cs="Arial"/>
          <w:lang w:val="en-US"/>
        </w:rPr>
        <w:t>and agreements</w:t>
      </w:r>
      <w:r w:rsidR="008665E1" w:rsidRPr="00982004">
        <w:rPr>
          <w:rFonts w:cs="Arial"/>
          <w:lang w:val="en-US"/>
        </w:rPr>
        <w:t xml:space="preserve"> </w:t>
      </w:r>
      <w:r w:rsidR="00982004">
        <w:rPr>
          <w:rFonts w:cs="Arial"/>
          <w:lang w:val="en-US"/>
        </w:rPr>
        <w:t>protect the right to life only after birth</w:t>
      </w:r>
      <w:r w:rsidR="008665E1" w:rsidRPr="00982004">
        <w:rPr>
          <w:rFonts w:cs="Arial"/>
          <w:lang w:val="en-US"/>
        </w:rPr>
        <w:t>:</w:t>
      </w:r>
    </w:p>
    <w:p w14:paraId="7F852FCB" w14:textId="77777777" w:rsidR="00982004" w:rsidRPr="00982004" w:rsidRDefault="00982004" w:rsidP="00E61B24">
      <w:pPr>
        <w:spacing w:after="0"/>
        <w:jc w:val="both"/>
        <w:rPr>
          <w:rFonts w:cs="Arial"/>
          <w:lang w:val="en-US"/>
        </w:rPr>
      </w:pPr>
    </w:p>
    <w:p w14:paraId="0ADA6057" w14:textId="77777777" w:rsidR="008665E1" w:rsidRPr="00982004" w:rsidRDefault="008665E1" w:rsidP="00E61B24">
      <w:pPr>
        <w:pStyle w:val="ListParagraph"/>
        <w:numPr>
          <w:ilvl w:val="0"/>
          <w:numId w:val="1"/>
        </w:numPr>
        <w:spacing w:after="0"/>
        <w:jc w:val="both"/>
        <w:rPr>
          <w:rFonts w:cs="Arial"/>
          <w:lang w:val="en-US"/>
        </w:rPr>
      </w:pPr>
      <w:r w:rsidRPr="00982004">
        <w:rPr>
          <w:rFonts w:cs="Arial"/>
          <w:lang w:val="en-US"/>
        </w:rPr>
        <w:t xml:space="preserve">The Universal Declaration of Human Rights </w:t>
      </w:r>
      <w:r w:rsidRPr="00982004">
        <w:rPr>
          <w:rStyle w:val="FootnoteReference"/>
          <w:rFonts w:cs="Arial"/>
          <w:lang w:val="en-US"/>
        </w:rPr>
        <w:footnoteReference w:id="9"/>
      </w:r>
      <w:r w:rsidRPr="00982004">
        <w:rPr>
          <w:rFonts w:cs="Arial"/>
          <w:lang w:val="en-US"/>
        </w:rPr>
        <w:t xml:space="preserve"> </w:t>
      </w:r>
    </w:p>
    <w:p w14:paraId="76AEAF49" w14:textId="77777777" w:rsidR="008665E1" w:rsidRPr="00982004" w:rsidRDefault="008665E1" w:rsidP="00E61B24">
      <w:pPr>
        <w:pStyle w:val="ListParagraph"/>
        <w:numPr>
          <w:ilvl w:val="0"/>
          <w:numId w:val="1"/>
        </w:numPr>
        <w:spacing w:after="0"/>
        <w:jc w:val="both"/>
        <w:rPr>
          <w:rFonts w:cs="Arial"/>
          <w:lang w:val="en-US"/>
        </w:rPr>
      </w:pPr>
      <w:r w:rsidRPr="00982004">
        <w:rPr>
          <w:rFonts w:cs="Arial"/>
          <w:lang w:val="en-US"/>
        </w:rPr>
        <w:t>The International Covenant on Civil and Political Rights</w:t>
      </w:r>
      <w:r w:rsidRPr="00982004">
        <w:rPr>
          <w:rStyle w:val="FootnoteReference"/>
          <w:rFonts w:cs="Arial"/>
          <w:lang w:val="en-US"/>
        </w:rPr>
        <w:footnoteReference w:id="10"/>
      </w:r>
    </w:p>
    <w:p w14:paraId="268780E0" w14:textId="77777777" w:rsidR="008665E1" w:rsidRPr="00982004" w:rsidRDefault="008665E1" w:rsidP="00E61B24">
      <w:pPr>
        <w:pStyle w:val="ListParagraph"/>
        <w:numPr>
          <w:ilvl w:val="0"/>
          <w:numId w:val="1"/>
        </w:numPr>
        <w:spacing w:after="0"/>
        <w:jc w:val="both"/>
        <w:rPr>
          <w:rFonts w:cs="Arial"/>
          <w:lang w:val="en-US"/>
        </w:rPr>
      </w:pPr>
      <w:r w:rsidRPr="00982004">
        <w:rPr>
          <w:rFonts w:cs="Arial"/>
          <w:lang w:val="en-US"/>
        </w:rPr>
        <w:t xml:space="preserve"> The Convention on the Elimination of All Forms of Discrimination Against Women</w:t>
      </w:r>
      <w:r w:rsidRPr="00982004">
        <w:rPr>
          <w:rStyle w:val="FootnoteReference"/>
          <w:rFonts w:cs="Arial"/>
          <w:lang w:val="en-US"/>
        </w:rPr>
        <w:footnoteReference w:id="11"/>
      </w:r>
    </w:p>
    <w:p w14:paraId="3767E6DE" w14:textId="77777777" w:rsidR="008665E1" w:rsidRDefault="008665E1" w:rsidP="00E61B24">
      <w:pPr>
        <w:pStyle w:val="ListParagraph"/>
        <w:numPr>
          <w:ilvl w:val="0"/>
          <w:numId w:val="1"/>
        </w:numPr>
        <w:spacing w:after="0"/>
        <w:jc w:val="both"/>
        <w:rPr>
          <w:rFonts w:cs="Arial"/>
          <w:lang w:val="en-US"/>
        </w:rPr>
      </w:pPr>
      <w:r w:rsidRPr="00982004">
        <w:rPr>
          <w:rFonts w:cs="Arial"/>
          <w:lang w:val="en-US"/>
        </w:rPr>
        <w:t xml:space="preserve"> The Convention on the Rights of the Child </w:t>
      </w:r>
      <w:r w:rsidRPr="00982004">
        <w:rPr>
          <w:rStyle w:val="FootnoteReference"/>
          <w:rFonts w:cs="Arial"/>
          <w:lang w:val="en-US"/>
        </w:rPr>
        <w:footnoteReference w:id="12"/>
      </w:r>
    </w:p>
    <w:p w14:paraId="034BBC9E" w14:textId="77777777" w:rsidR="00982004" w:rsidRPr="00982004" w:rsidRDefault="00982004" w:rsidP="00E61B24">
      <w:pPr>
        <w:pStyle w:val="ListParagraph"/>
        <w:numPr>
          <w:ilvl w:val="0"/>
          <w:numId w:val="1"/>
        </w:numPr>
        <w:spacing w:after="0"/>
        <w:jc w:val="both"/>
        <w:rPr>
          <w:rFonts w:cs="Arial"/>
          <w:lang w:val="en-US"/>
        </w:rPr>
      </w:pPr>
    </w:p>
    <w:p w14:paraId="2810B628" w14:textId="77777777" w:rsidR="008665E1" w:rsidRDefault="008665E1" w:rsidP="00E61B24">
      <w:pPr>
        <w:spacing w:after="0"/>
        <w:jc w:val="both"/>
        <w:rPr>
          <w:rFonts w:cs="Arial"/>
          <w:lang w:val="en-US"/>
        </w:rPr>
      </w:pPr>
      <w:r w:rsidRPr="00982004">
        <w:rPr>
          <w:rFonts w:cs="Arial"/>
          <w:lang w:val="en-US"/>
        </w:rPr>
        <w:t>Regional human rights instruments likewise protect the right to life after birth:</w:t>
      </w:r>
    </w:p>
    <w:p w14:paraId="740D169A" w14:textId="77777777" w:rsidR="0042733C" w:rsidRPr="00982004" w:rsidRDefault="0042733C" w:rsidP="00E61B24">
      <w:pPr>
        <w:spacing w:after="0"/>
        <w:jc w:val="both"/>
        <w:rPr>
          <w:rFonts w:cs="Arial"/>
          <w:lang w:val="en-US"/>
        </w:rPr>
      </w:pPr>
      <w:bookmarkStart w:id="0" w:name="_GoBack"/>
      <w:bookmarkEnd w:id="0"/>
    </w:p>
    <w:p w14:paraId="2428D867" w14:textId="77777777" w:rsidR="008665E1" w:rsidRPr="00982004" w:rsidRDefault="008665E1" w:rsidP="00E61B24">
      <w:pPr>
        <w:pStyle w:val="ListParagraph"/>
        <w:numPr>
          <w:ilvl w:val="0"/>
          <w:numId w:val="1"/>
        </w:numPr>
        <w:spacing w:after="0"/>
        <w:jc w:val="both"/>
        <w:rPr>
          <w:rFonts w:cs="Arial"/>
          <w:lang w:val="en-US"/>
        </w:rPr>
      </w:pPr>
      <w:r w:rsidRPr="00982004">
        <w:rPr>
          <w:rFonts w:cs="Arial"/>
          <w:lang w:val="en-US"/>
        </w:rPr>
        <w:t>The European Convention on the Protection of Human Rights</w:t>
      </w:r>
      <w:r w:rsidRPr="00982004">
        <w:rPr>
          <w:rStyle w:val="FootnoteReference"/>
          <w:rFonts w:cs="Arial"/>
          <w:lang w:val="en-US"/>
        </w:rPr>
        <w:footnoteReference w:id="13"/>
      </w:r>
    </w:p>
    <w:p w14:paraId="4E029FEA" w14:textId="77777777" w:rsidR="008665E1" w:rsidRPr="00982004" w:rsidRDefault="008665E1" w:rsidP="00E61B24">
      <w:pPr>
        <w:pStyle w:val="ListParagraph"/>
        <w:numPr>
          <w:ilvl w:val="0"/>
          <w:numId w:val="1"/>
        </w:numPr>
        <w:spacing w:after="0"/>
        <w:jc w:val="both"/>
        <w:rPr>
          <w:rFonts w:cs="Arial"/>
          <w:lang w:val="en-US"/>
        </w:rPr>
      </w:pPr>
      <w:r w:rsidRPr="00982004">
        <w:rPr>
          <w:rFonts w:cs="Arial"/>
          <w:lang w:val="en-US"/>
        </w:rPr>
        <w:t>The American Convention on Human Rights</w:t>
      </w:r>
      <w:r w:rsidRPr="00982004">
        <w:rPr>
          <w:rStyle w:val="FootnoteReference"/>
          <w:rFonts w:cs="Arial"/>
          <w:lang w:val="en-US"/>
        </w:rPr>
        <w:footnoteReference w:id="14"/>
      </w:r>
    </w:p>
    <w:p w14:paraId="55BDAC33" w14:textId="77777777" w:rsidR="008941EC" w:rsidRPr="00982004" w:rsidRDefault="008941EC" w:rsidP="00E61B24">
      <w:pPr>
        <w:pStyle w:val="ListParagraph"/>
        <w:numPr>
          <w:ilvl w:val="0"/>
          <w:numId w:val="1"/>
        </w:numPr>
        <w:spacing w:after="0"/>
        <w:jc w:val="both"/>
        <w:rPr>
          <w:rFonts w:cs="Arial"/>
          <w:lang w:val="en-US"/>
        </w:rPr>
      </w:pPr>
      <w:r w:rsidRPr="00982004">
        <w:rPr>
          <w:rFonts w:cs="Arial"/>
          <w:lang w:val="en-US"/>
        </w:rPr>
        <w:t>The African Charter on Human and People’s Rights</w:t>
      </w:r>
    </w:p>
    <w:p w14:paraId="0B8F9AAC" w14:textId="77777777" w:rsidR="00982004" w:rsidRDefault="00982004" w:rsidP="00E61B24">
      <w:pPr>
        <w:spacing w:after="0"/>
        <w:jc w:val="both"/>
        <w:rPr>
          <w:rFonts w:cs="Arial"/>
          <w:lang w:val="en-US"/>
        </w:rPr>
      </w:pPr>
    </w:p>
    <w:p w14:paraId="28F527A9" w14:textId="28946569" w:rsidR="008941EC" w:rsidRPr="00982004" w:rsidRDefault="00982004" w:rsidP="00E61B24">
      <w:pPr>
        <w:spacing w:after="0"/>
        <w:jc w:val="both"/>
        <w:rPr>
          <w:rFonts w:cs="Arial"/>
          <w:lang w:val="en-US"/>
        </w:rPr>
      </w:pPr>
      <w:r>
        <w:rPr>
          <w:rFonts w:cs="Arial"/>
          <w:lang w:val="en-US"/>
        </w:rPr>
        <w:t>None of the global or regional instruments protect</w:t>
      </w:r>
      <w:r w:rsidR="008941EC" w:rsidRPr="00982004">
        <w:rPr>
          <w:rFonts w:cs="Arial"/>
          <w:lang w:val="en-US"/>
        </w:rPr>
        <w:t xml:space="preserve"> </w:t>
      </w:r>
      <w:r w:rsidR="004630F3" w:rsidRPr="00982004">
        <w:rPr>
          <w:rFonts w:cs="Arial"/>
          <w:lang w:val="en-US"/>
        </w:rPr>
        <w:t>prenatal life</w:t>
      </w:r>
      <w:r w:rsidR="008941EC" w:rsidRPr="00982004">
        <w:rPr>
          <w:rFonts w:cs="Arial"/>
          <w:lang w:val="en-US"/>
        </w:rPr>
        <w:t xml:space="preserve"> as part of the right to life.</w:t>
      </w:r>
    </w:p>
    <w:p w14:paraId="07CD643C" w14:textId="77777777" w:rsidR="004630F3" w:rsidRPr="00982004" w:rsidRDefault="004630F3" w:rsidP="00E61B24">
      <w:pPr>
        <w:spacing w:after="0"/>
        <w:jc w:val="both"/>
        <w:rPr>
          <w:rFonts w:cs="Arial"/>
          <w:lang w:val="en-US"/>
        </w:rPr>
      </w:pPr>
    </w:p>
    <w:p w14:paraId="5FFF4460" w14:textId="053D42DA" w:rsidR="008941EC" w:rsidRDefault="004630F3" w:rsidP="00E61B24">
      <w:pPr>
        <w:spacing w:after="0"/>
        <w:jc w:val="both"/>
        <w:rPr>
          <w:rFonts w:cs="Arial"/>
          <w:lang w:val="en-US"/>
        </w:rPr>
      </w:pPr>
      <w:r w:rsidRPr="00982004">
        <w:rPr>
          <w:rFonts w:cs="Arial"/>
          <w:lang w:val="en-US"/>
        </w:rPr>
        <w:t>Under</w:t>
      </w:r>
      <w:r w:rsidR="008941EC" w:rsidRPr="00982004">
        <w:rPr>
          <w:rFonts w:cs="Arial"/>
          <w:lang w:val="en-US"/>
        </w:rPr>
        <w:t xml:space="preserve"> international human rights </w:t>
      </w:r>
      <w:r w:rsidRPr="00982004">
        <w:rPr>
          <w:rFonts w:cs="Arial"/>
          <w:lang w:val="en-US"/>
        </w:rPr>
        <w:t xml:space="preserve">law </w:t>
      </w:r>
      <w:r w:rsidR="008941EC" w:rsidRPr="00982004">
        <w:rPr>
          <w:rFonts w:cs="Arial"/>
          <w:lang w:val="en-US"/>
        </w:rPr>
        <w:t xml:space="preserve">protection </w:t>
      </w:r>
      <w:r w:rsidR="00982004">
        <w:rPr>
          <w:rFonts w:cs="Arial"/>
          <w:lang w:val="en-US"/>
        </w:rPr>
        <w:t xml:space="preserve">is not </w:t>
      </w:r>
      <w:r w:rsidR="008941EC" w:rsidRPr="00982004">
        <w:rPr>
          <w:rFonts w:cs="Arial"/>
          <w:lang w:val="en-US"/>
        </w:rPr>
        <w:t xml:space="preserve">given to unborn life, since it is </w:t>
      </w:r>
      <w:r w:rsidRPr="00982004">
        <w:rPr>
          <w:rFonts w:cs="Arial"/>
          <w:lang w:val="en-US"/>
        </w:rPr>
        <w:t xml:space="preserve">may </w:t>
      </w:r>
      <w:r w:rsidR="00982004">
        <w:rPr>
          <w:rFonts w:cs="Arial"/>
          <w:lang w:val="en-US"/>
        </w:rPr>
        <w:t xml:space="preserve">restrict </w:t>
      </w:r>
      <w:r w:rsidR="008941EC" w:rsidRPr="00982004">
        <w:rPr>
          <w:rFonts w:cs="Arial"/>
          <w:lang w:val="en-US"/>
        </w:rPr>
        <w:t>the rights of pregnant women</w:t>
      </w:r>
      <w:r w:rsidRPr="00982004">
        <w:rPr>
          <w:rFonts w:cs="Arial"/>
          <w:lang w:val="en-US"/>
        </w:rPr>
        <w:t xml:space="preserve">. International and regional human rights authorities have not considered the right to life to apply until after a person is born. </w:t>
      </w:r>
    </w:p>
    <w:p w14:paraId="60034170" w14:textId="77777777" w:rsidR="00982004" w:rsidRPr="00982004" w:rsidRDefault="00982004" w:rsidP="00E61B24">
      <w:pPr>
        <w:spacing w:after="0"/>
        <w:jc w:val="both"/>
        <w:rPr>
          <w:rFonts w:cs="Arial"/>
          <w:lang w:val="en-US"/>
        </w:rPr>
      </w:pPr>
    </w:p>
    <w:p w14:paraId="254C8AE6" w14:textId="77F24CC9" w:rsidR="00F84993" w:rsidRPr="00982004" w:rsidRDefault="00F84993" w:rsidP="00E61B24">
      <w:pPr>
        <w:spacing w:after="0"/>
        <w:jc w:val="both"/>
        <w:rPr>
          <w:rFonts w:cs="Arial"/>
          <w:lang w:val="en-US"/>
        </w:rPr>
      </w:pPr>
      <w:r w:rsidRPr="00982004">
        <w:rPr>
          <w:rFonts w:cs="Arial"/>
          <w:lang w:val="en-US"/>
        </w:rPr>
        <w:t>We hope this information can be useful for your discussion on this topic in July.</w:t>
      </w:r>
    </w:p>
    <w:p w14:paraId="04797259" w14:textId="77777777" w:rsidR="008941EC" w:rsidRPr="00982004" w:rsidRDefault="008941EC" w:rsidP="00E61B24">
      <w:pPr>
        <w:spacing w:after="0"/>
        <w:jc w:val="both"/>
        <w:rPr>
          <w:rFonts w:cs="Arial"/>
          <w:lang w:val="en-US"/>
        </w:rPr>
      </w:pPr>
    </w:p>
    <w:p w14:paraId="42247D2D" w14:textId="77777777" w:rsidR="008941EC" w:rsidRPr="00982004" w:rsidRDefault="008941EC" w:rsidP="00E61B24">
      <w:pPr>
        <w:spacing w:after="0"/>
        <w:jc w:val="both"/>
        <w:rPr>
          <w:rFonts w:cs="Arial"/>
          <w:lang w:val="en-US"/>
        </w:rPr>
      </w:pPr>
    </w:p>
    <w:p w14:paraId="0CE2EDB5" w14:textId="77777777" w:rsidR="008941EC" w:rsidRPr="00982004" w:rsidRDefault="008941EC" w:rsidP="00E61B24">
      <w:pPr>
        <w:spacing w:after="0"/>
        <w:jc w:val="both"/>
        <w:rPr>
          <w:rFonts w:cs="Arial"/>
          <w:lang w:val="pt-BR"/>
        </w:rPr>
      </w:pPr>
      <w:r w:rsidRPr="00982004">
        <w:rPr>
          <w:rFonts w:cs="Arial"/>
          <w:lang w:val="pt-BR"/>
        </w:rPr>
        <w:t>Malena Morales</w:t>
      </w:r>
      <w:r w:rsidRPr="00982004">
        <w:rPr>
          <w:rFonts w:cs="Arial"/>
          <w:lang w:val="pt-BR"/>
        </w:rPr>
        <w:tab/>
      </w:r>
      <w:r w:rsidRPr="00982004">
        <w:rPr>
          <w:rFonts w:cs="Arial"/>
          <w:lang w:val="pt-BR"/>
        </w:rPr>
        <w:tab/>
      </w:r>
      <w:r w:rsidRPr="00982004">
        <w:rPr>
          <w:rFonts w:cs="Arial"/>
          <w:lang w:val="pt-BR"/>
        </w:rPr>
        <w:tab/>
      </w:r>
      <w:r w:rsidRPr="00982004">
        <w:rPr>
          <w:rFonts w:cs="Arial"/>
          <w:lang w:val="pt-BR"/>
        </w:rPr>
        <w:tab/>
      </w:r>
      <w:r w:rsidRPr="00982004">
        <w:rPr>
          <w:rFonts w:cs="Arial"/>
          <w:lang w:val="pt-BR"/>
        </w:rPr>
        <w:tab/>
      </w:r>
      <w:r w:rsidRPr="00982004">
        <w:rPr>
          <w:rFonts w:cs="Arial"/>
          <w:lang w:val="pt-BR"/>
        </w:rPr>
        <w:tab/>
        <w:t>Gretzel Brozovich</w:t>
      </w:r>
    </w:p>
    <w:p w14:paraId="5F3D5FFD" w14:textId="2D782EFB" w:rsidR="008941EC" w:rsidRPr="00982004" w:rsidRDefault="008941EC" w:rsidP="00982004">
      <w:pPr>
        <w:spacing w:after="0"/>
        <w:jc w:val="both"/>
        <w:rPr>
          <w:rFonts w:cs="Arial"/>
          <w:lang w:val="pt-BR"/>
        </w:rPr>
      </w:pPr>
      <w:r w:rsidRPr="00982004">
        <w:rPr>
          <w:rFonts w:cs="Arial"/>
          <w:lang w:val="pt-BR"/>
        </w:rPr>
        <w:t>Ipas-Bolivia</w:t>
      </w:r>
      <w:r w:rsidRPr="00982004">
        <w:rPr>
          <w:rFonts w:cs="Arial"/>
          <w:lang w:val="pt-BR"/>
        </w:rPr>
        <w:tab/>
      </w:r>
      <w:r w:rsidRPr="00982004">
        <w:rPr>
          <w:rFonts w:cs="Arial"/>
          <w:lang w:val="pt-BR"/>
        </w:rPr>
        <w:tab/>
      </w:r>
      <w:r w:rsidRPr="00982004">
        <w:rPr>
          <w:rFonts w:cs="Arial"/>
          <w:lang w:val="pt-BR"/>
        </w:rPr>
        <w:tab/>
      </w:r>
      <w:r w:rsidRPr="00982004">
        <w:rPr>
          <w:rFonts w:cs="Arial"/>
          <w:lang w:val="pt-BR"/>
        </w:rPr>
        <w:tab/>
      </w:r>
      <w:r w:rsidRPr="00982004">
        <w:rPr>
          <w:rFonts w:cs="Arial"/>
          <w:lang w:val="pt-BR"/>
        </w:rPr>
        <w:tab/>
      </w:r>
      <w:r w:rsidRPr="00982004">
        <w:rPr>
          <w:rFonts w:cs="Arial"/>
          <w:lang w:val="pt-BR"/>
        </w:rPr>
        <w:tab/>
      </w:r>
      <w:r w:rsidRPr="00982004">
        <w:rPr>
          <w:rFonts w:cs="Arial"/>
          <w:lang w:val="pt-BR"/>
        </w:rPr>
        <w:tab/>
        <w:t>Ipas-Bolivia</w:t>
      </w:r>
    </w:p>
    <w:sectPr w:rsidR="008941EC" w:rsidRPr="0098200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05956" w14:textId="77777777" w:rsidR="001C428C" w:rsidRDefault="001C428C" w:rsidP="00AB61AD">
      <w:pPr>
        <w:spacing w:after="0" w:line="240" w:lineRule="auto"/>
      </w:pPr>
      <w:r>
        <w:separator/>
      </w:r>
    </w:p>
  </w:endnote>
  <w:endnote w:type="continuationSeparator" w:id="0">
    <w:p w14:paraId="7DC773CA" w14:textId="77777777" w:rsidR="001C428C" w:rsidRDefault="001C428C" w:rsidP="00A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9E1DC" w14:textId="77777777" w:rsidR="001C428C" w:rsidRDefault="001C428C" w:rsidP="00AB61AD">
      <w:pPr>
        <w:spacing w:after="0" w:line="240" w:lineRule="auto"/>
      </w:pPr>
      <w:r>
        <w:separator/>
      </w:r>
    </w:p>
  </w:footnote>
  <w:footnote w:type="continuationSeparator" w:id="0">
    <w:p w14:paraId="1FC70D51" w14:textId="77777777" w:rsidR="001C428C" w:rsidRDefault="001C428C" w:rsidP="00AB61AD">
      <w:pPr>
        <w:spacing w:after="0" w:line="240" w:lineRule="auto"/>
      </w:pPr>
      <w:r>
        <w:continuationSeparator/>
      </w:r>
    </w:p>
  </w:footnote>
  <w:footnote w:id="1">
    <w:p w14:paraId="215ED1E1" w14:textId="77777777" w:rsidR="00982004" w:rsidRPr="00E73DCE" w:rsidRDefault="00982004" w:rsidP="00982004">
      <w:pPr>
        <w:pStyle w:val="FootnoteText"/>
        <w:rPr>
          <w:lang w:val="en-US"/>
        </w:rPr>
      </w:pPr>
      <w:r>
        <w:rPr>
          <w:rStyle w:val="FootnoteReference"/>
        </w:rPr>
        <w:footnoteRef/>
      </w:r>
      <w:r w:rsidRPr="00E73DCE">
        <w:rPr>
          <w:lang w:val="en-US"/>
        </w:rPr>
        <w:t xml:space="preserve"> www.ipas.org Ipas has an office in Bolivia.</w:t>
      </w:r>
    </w:p>
  </w:footnote>
  <w:footnote w:id="2">
    <w:p w14:paraId="1AF21C89" w14:textId="77777777" w:rsidR="00E73DCE" w:rsidRPr="00E73DCE" w:rsidRDefault="00E73DCE">
      <w:pPr>
        <w:pStyle w:val="FootnoteText"/>
        <w:rPr>
          <w:lang w:val="en-US"/>
        </w:rPr>
      </w:pPr>
      <w:r>
        <w:rPr>
          <w:rStyle w:val="FootnoteReference"/>
        </w:rPr>
        <w:footnoteRef/>
      </w:r>
      <w:r w:rsidRPr="00E73DCE">
        <w:rPr>
          <w:lang w:val="en-US"/>
        </w:rPr>
        <w:t xml:space="preserve"> ENDSA 2008, http://www.unicef.org/bolivia/children_1538.htm</w:t>
      </w:r>
    </w:p>
  </w:footnote>
  <w:footnote w:id="3">
    <w:p w14:paraId="553D7661" w14:textId="77777777" w:rsidR="00E73DCE" w:rsidRDefault="00E73DCE">
      <w:pPr>
        <w:pStyle w:val="FootnoteText"/>
      </w:pPr>
      <w:r>
        <w:rPr>
          <w:rStyle w:val="FootnoteReference"/>
        </w:rPr>
        <w:footnoteRef/>
      </w:r>
      <w:r>
        <w:t xml:space="preserve"> </w:t>
      </w:r>
      <w:r w:rsidRPr="00E73DCE">
        <w:t>Encuesta Post censal de Mortalidad Materna. La Paz:MSD;2003</w:t>
      </w:r>
    </w:p>
  </w:footnote>
  <w:footnote w:id="4">
    <w:p w14:paraId="31F35370" w14:textId="77777777" w:rsidR="00E73DCE" w:rsidRDefault="00E73DCE">
      <w:pPr>
        <w:pStyle w:val="FootnoteText"/>
      </w:pPr>
      <w:r>
        <w:rPr>
          <w:rStyle w:val="FootnoteReference"/>
        </w:rPr>
        <w:footnoteRef/>
      </w:r>
      <w:r>
        <w:t xml:space="preserve"> </w:t>
      </w:r>
      <w:r w:rsidRPr="00E73DCE">
        <w:t xml:space="preserve">Commisión Interamericana de Derochos Humanos (CIDH), Accesso a servicios de salud maternal desde una perspectiva de derechos humanos (Access to maternal health services from a human rights perspective), paragraph 13 (2010).  </w:t>
      </w:r>
    </w:p>
  </w:footnote>
  <w:footnote w:id="5">
    <w:p w14:paraId="5ED4AE40" w14:textId="77777777" w:rsidR="00E73DCE" w:rsidRDefault="00E73DCE">
      <w:pPr>
        <w:pStyle w:val="FootnoteText"/>
      </w:pPr>
      <w:r>
        <w:rPr>
          <w:rStyle w:val="FootnoteReference"/>
        </w:rPr>
        <w:footnoteRef/>
      </w:r>
      <w:r w:rsidRPr="00E73DCE">
        <w:t>Ipas Bolivia. La Cifras Hablan: El aborto es un problema de salud pública. Ipas (2011). Ibid</w:t>
      </w:r>
      <w:r>
        <w:t xml:space="preserve"> </w:t>
      </w:r>
    </w:p>
  </w:footnote>
  <w:footnote w:id="6">
    <w:p w14:paraId="202DC0CB" w14:textId="77777777" w:rsidR="00443A6F" w:rsidRPr="00443A6F" w:rsidRDefault="00443A6F">
      <w:pPr>
        <w:pStyle w:val="FootnoteText"/>
        <w:rPr>
          <w:lang w:val="en-US"/>
        </w:rPr>
      </w:pPr>
      <w:r>
        <w:rPr>
          <w:rStyle w:val="FootnoteReference"/>
        </w:rPr>
        <w:footnoteRef/>
      </w:r>
      <w:r w:rsidRPr="00443A6F">
        <w:rPr>
          <w:lang w:val="en-US"/>
        </w:rPr>
        <w:t xml:space="preserve"> The petitioner argued that Articles 263 (criminalization of abortion), 264 (criminalization of abortion followed by injury or death of the woman), 265 (criminalization of abortion performed to “salvage the honor of the woman”), 266 (exceptions to the criminalization of abortion), and 269 (criminalization of the regular provision of abortion services) of the Penal Code violated the following articles of Bolivia’s Constitution:  Arts. 8.II (principles on which the State is based), 14.I (right to equal protection before the law) and II (freedom from discrimination), 15.I (rights to life and personal integrity), II (freedom from violence) and III (State duty to prevent, eliminate and punish violence), 35.I (right to health), 66 (sexual and reproductive rights) and 109.I (direct applicability and equal enjoyment of rights).</w:t>
      </w:r>
    </w:p>
  </w:footnote>
  <w:footnote w:id="7">
    <w:p w14:paraId="1649E2AC" w14:textId="77777777" w:rsidR="00443A6F" w:rsidRPr="00443A6F" w:rsidRDefault="00443A6F">
      <w:pPr>
        <w:pStyle w:val="FootnoteText"/>
        <w:rPr>
          <w:lang w:val="en-US"/>
        </w:rPr>
      </w:pPr>
      <w:r>
        <w:rPr>
          <w:rStyle w:val="FootnoteReference"/>
        </w:rPr>
        <w:footnoteRef/>
      </w:r>
      <w:r w:rsidRPr="00443A6F">
        <w:rPr>
          <w:lang w:val="en-US"/>
        </w:rPr>
        <w:t xml:space="preserve"> Regarding the Article 266 (exceptions to the criminalization of abortion), the Tribunal’s decision declared its constitutionality establishing that woman’s consent is required for the termination of the pregnancy and that the procedure must be performed by a physician in order to guarantee the life of the woman in such cases</w:t>
      </w:r>
    </w:p>
  </w:footnote>
  <w:footnote w:id="8">
    <w:p w14:paraId="2B89996E" w14:textId="77777777" w:rsidR="00F84993" w:rsidRPr="00E61B24" w:rsidRDefault="00F84993">
      <w:pPr>
        <w:pStyle w:val="FootnoteText"/>
        <w:rPr>
          <w:lang w:val="en-US"/>
        </w:rPr>
      </w:pPr>
      <w:r>
        <w:rPr>
          <w:rStyle w:val="FootnoteReference"/>
        </w:rPr>
        <w:footnoteRef/>
      </w:r>
      <w:r w:rsidRPr="00E61B24">
        <w:rPr>
          <w:lang w:val="en-US"/>
        </w:rPr>
        <w:t xml:space="preserve"> Constitutional decision . Funsamento legal III.8.7</w:t>
      </w:r>
    </w:p>
  </w:footnote>
  <w:footnote w:id="9">
    <w:p w14:paraId="58CFEC99" w14:textId="77777777" w:rsidR="008665E1" w:rsidRPr="008665E1" w:rsidRDefault="008665E1">
      <w:pPr>
        <w:pStyle w:val="FootnoteText"/>
        <w:rPr>
          <w:lang w:val="en-US"/>
        </w:rPr>
      </w:pPr>
      <w:r>
        <w:rPr>
          <w:rStyle w:val="FootnoteReference"/>
        </w:rPr>
        <w:footnoteRef/>
      </w:r>
      <w:r w:rsidRPr="008665E1">
        <w:rPr>
          <w:lang w:val="en-US"/>
        </w:rPr>
        <w:t xml:space="preserve"> Article 1, “All human beings are born free and equal in dignity and rights.”  The language of the treaty was specifically chosen to apply rights to persons once they are born. As the language of the treaty was being negotiated, an amendment was proposed to include the right to life before birth but the amendment was overwhelmingly rejected</w:t>
      </w:r>
    </w:p>
  </w:footnote>
  <w:footnote w:id="10">
    <w:p w14:paraId="3BB4890B" w14:textId="77777777" w:rsidR="008665E1" w:rsidRPr="008665E1" w:rsidRDefault="008665E1">
      <w:pPr>
        <w:pStyle w:val="FootnoteText"/>
        <w:rPr>
          <w:lang w:val="en-US"/>
        </w:rPr>
      </w:pPr>
      <w:r>
        <w:rPr>
          <w:rStyle w:val="FootnoteReference"/>
        </w:rPr>
        <w:footnoteRef/>
      </w:r>
      <w:r w:rsidRPr="008665E1">
        <w:rPr>
          <w:lang w:val="en-US"/>
        </w:rPr>
        <w:t xml:space="preserve"> </w:t>
      </w:r>
      <w:r w:rsidR="008941EC">
        <w:rPr>
          <w:lang w:val="en-US"/>
        </w:rPr>
        <w:t>P</w:t>
      </w:r>
      <w:r w:rsidRPr="008665E1">
        <w:rPr>
          <w:lang w:val="en-US"/>
        </w:rPr>
        <w:t>rotects the right to life in Article 6.  As with negotiations on the language of the Universal Declaration on Human Rights, an amendment to protect life before birth was offered and rejected.  The Committee overseeing the treaty has recognized the right to abortion and linked it with the right to life of a pregnant woman</w:t>
      </w:r>
    </w:p>
  </w:footnote>
  <w:footnote w:id="11">
    <w:p w14:paraId="17FA2E36" w14:textId="77777777" w:rsidR="008665E1" w:rsidRPr="008665E1" w:rsidRDefault="008665E1">
      <w:pPr>
        <w:pStyle w:val="FootnoteText"/>
        <w:rPr>
          <w:lang w:val="en-US"/>
        </w:rPr>
      </w:pPr>
      <w:r>
        <w:rPr>
          <w:rStyle w:val="FootnoteReference"/>
        </w:rPr>
        <w:footnoteRef/>
      </w:r>
      <w:r w:rsidRPr="008665E1">
        <w:rPr>
          <w:lang w:val="en-US"/>
        </w:rPr>
        <w:t xml:space="preserve"> </w:t>
      </w:r>
      <w:r>
        <w:rPr>
          <w:lang w:val="en-US"/>
        </w:rPr>
        <w:t>N</w:t>
      </w:r>
      <w:r w:rsidRPr="008665E1">
        <w:rPr>
          <w:lang w:val="en-US"/>
        </w:rPr>
        <w:t>otes the UDHR proclamation that “</w:t>
      </w:r>
      <w:r>
        <w:rPr>
          <w:lang w:val="en-US"/>
        </w:rPr>
        <w:t xml:space="preserve"> </w:t>
      </w:r>
      <w:r w:rsidRPr="008665E1">
        <w:rPr>
          <w:lang w:val="en-US"/>
        </w:rPr>
        <w:t>are born free and equal in dignity and rights.”   The Committee overseeing the treaty has also recognized that women’s rights include access to safe abortion.  General Recommendation 24 on Health states, “When possible, legislation criminalizing abortion should be amended, in order to withdraw punitive measures imposed on women who undergo abortion” and the Committee has repeatedly recommended that states that are party to the treaty take measures to increase access to safe abortion.</w:t>
      </w:r>
    </w:p>
  </w:footnote>
  <w:footnote w:id="12">
    <w:p w14:paraId="73CB7E78" w14:textId="77777777" w:rsidR="008665E1" w:rsidRPr="008665E1" w:rsidRDefault="008665E1">
      <w:pPr>
        <w:pStyle w:val="FootnoteText"/>
        <w:rPr>
          <w:lang w:val="en-US"/>
        </w:rPr>
      </w:pPr>
      <w:r>
        <w:rPr>
          <w:rStyle w:val="FootnoteReference"/>
        </w:rPr>
        <w:footnoteRef/>
      </w:r>
      <w:r w:rsidRPr="008665E1">
        <w:rPr>
          <w:lang w:val="en-US"/>
        </w:rPr>
        <w:t xml:space="preserve"> </w:t>
      </w:r>
      <w:r>
        <w:rPr>
          <w:lang w:val="en-US"/>
        </w:rPr>
        <w:t>P</w:t>
      </w:r>
      <w:r w:rsidRPr="008665E1">
        <w:rPr>
          <w:lang w:val="en-US"/>
        </w:rPr>
        <w:t>rotects the right to life of children after birth under Article 6 which recognizes “that every child has the inherent right to life.”   The preamble of the treaty states "the child, by reason of his physical and mental immaturity, needs special safeguards and care, including appropriate legal protection, before as well as after birth," which includes support for pregnant women but not legal protections for fetuses.   That the treaty does not protect life before birth is supported by the Committee on the Rights of the Child’s interpretation of the treaty to include the right to safe abortion.  In General Comment 4, the Committee urges states parties “to develop and implement programmes that provide access to sexual and reproductive health services, including family planning, contraception and safe abortion services …”    In reviewing states’ compliance with the treaty, the Committee has expressed concern with high rates of unsafe abortion and has asked governments to review restrictive abortion laws.</w:t>
      </w:r>
    </w:p>
  </w:footnote>
  <w:footnote w:id="13">
    <w:p w14:paraId="60BFABEA" w14:textId="77777777" w:rsidR="008665E1" w:rsidRPr="008665E1" w:rsidRDefault="008665E1">
      <w:pPr>
        <w:pStyle w:val="FootnoteText"/>
        <w:rPr>
          <w:lang w:val="en-US"/>
        </w:rPr>
      </w:pPr>
      <w:r>
        <w:rPr>
          <w:rStyle w:val="FootnoteReference"/>
        </w:rPr>
        <w:footnoteRef/>
      </w:r>
      <w:r w:rsidRPr="008665E1">
        <w:rPr>
          <w:lang w:val="en-US"/>
        </w:rPr>
        <w:t xml:space="preserve"> </w:t>
      </w:r>
      <w:r>
        <w:rPr>
          <w:lang w:val="en-US"/>
        </w:rPr>
        <w:t>Base</w:t>
      </w:r>
      <w:r w:rsidRPr="008665E1">
        <w:rPr>
          <w:lang w:val="en-US"/>
        </w:rPr>
        <w:t xml:space="preserve"> its protection for the right to life on the Universal Declaration on Human Rights.  The European Court of Human Right, in its jurisprudence, has repeatedly denied the right to life of fetuses.     </w:t>
      </w:r>
    </w:p>
  </w:footnote>
  <w:footnote w:id="14">
    <w:p w14:paraId="3433269F" w14:textId="77777777" w:rsidR="008665E1" w:rsidRPr="008665E1" w:rsidRDefault="008665E1" w:rsidP="008665E1">
      <w:pPr>
        <w:pStyle w:val="FootnoteText"/>
        <w:rPr>
          <w:lang w:val="en-US"/>
        </w:rPr>
      </w:pPr>
      <w:r>
        <w:rPr>
          <w:rStyle w:val="FootnoteReference"/>
        </w:rPr>
        <w:footnoteRef/>
      </w:r>
      <w:r w:rsidRPr="008665E1">
        <w:rPr>
          <w:lang w:val="en-US"/>
        </w:rPr>
        <w:t xml:space="preserve"> Rights is the only international human rights instrument to mention the right to life before birth, protecting the right to life “in general, from the mo</w:t>
      </w:r>
      <w:r>
        <w:rPr>
          <w:lang w:val="en-US"/>
        </w:rPr>
        <w:t>ment of conception.”  The Intera</w:t>
      </w:r>
      <w:r w:rsidRPr="008665E1">
        <w:rPr>
          <w:lang w:val="en-US"/>
        </w:rPr>
        <w:t>merican Commission on Human Rights has refused to afford the right to life to a fetus, referring to the American Declaration on the Rights and Duties of Man, which, like the UDHR, protects rights after birth and emphasizing the clause, “in general” to be a limit on the right to life before birth.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680479"/>
    <w:multiLevelType w:val="hybridMultilevel"/>
    <w:tmpl w:val="F8E27932"/>
    <w:lvl w:ilvl="0" w:tplc="61020D64">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7"/>
    <w:rsid w:val="00033B97"/>
    <w:rsid w:val="0011513D"/>
    <w:rsid w:val="001C428C"/>
    <w:rsid w:val="00316762"/>
    <w:rsid w:val="0042733C"/>
    <w:rsid w:val="00443A6F"/>
    <w:rsid w:val="004630F3"/>
    <w:rsid w:val="004B58D8"/>
    <w:rsid w:val="005425D8"/>
    <w:rsid w:val="00730EB6"/>
    <w:rsid w:val="008665E1"/>
    <w:rsid w:val="008941EC"/>
    <w:rsid w:val="00982004"/>
    <w:rsid w:val="009E7EF4"/>
    <w:rsid w:val="00AB61AD"/>
    <w:rsid w:val="00E61B24"/>
    <w:rsid w:val="00E73DCE"/>
    <w:rsid w:val="00F018E6"/>
    <w:rsid w:val="00F8499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42B3"/>
  <w15:docId w15:val="{404D6172-4AF5-4CAA-A686-B8895743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1AD"/>
    <w:pPr>
      <w:tabs>
        <w:tab w:val="center" w:pos="4419"/>
        <w:tab w:val="right" w:pos="8838"/>
      </w:tabs>
      <w:spacing w:after="0" w:line="240" w:lineRule="auto"/>
    </w:pPr>
  </w:style>
  <w:style w:type="character" w:customStyle="1" w:styleId="HeaderChar">
    <w:name w:val="Header Char"/>
    <w:basedOn w:val="DefaultParagraphFont"/>
    <w:link w:val="Header"/>
    <w:uiPriority w:val="99"/>
    <w:rsid w:val="00AB61AD"/>
  </w:style>
  <w:style w:type="paragraph" w:styleId="Footer">
    <w:name w:val="footer"/>
    <w:basedOn w:val="Normal"/>
    <w:link w:val="FooterChar"/>
    <w:uiPriority w:val="99"/>
    <w:unhideWhenUsed/>
    <w:rsid w:val="00AB61AD"/>
    <w:pPr>
      <w:tabs>
        <w:tab w:val="center" w:pos="4419"/>
        <w:tab w:val="right" w:pos="8838"/>
      </w:tabs>
      <w:spacing w:after="0" w:line="240" w:lineRule="auto"/>
    </w:pPr>
  </w:style>
  <w:style w:type="character" w:customStyle="1" w:styleId="FooterChar">
    <w:name w:val="Footer Char"/>
    <w:basedOn w:val="DefaultParagraphFont"/>
    <w:link w:val="Footer"/>
    <w:uiPriority w:val="99"/>
    <w:rsid w:val="00AB61AD"/>
  </w:style>
  <w:style w:type="paragraph" w:styleId="BalloonText">
    <w:name w:val="Balloon Text"/>
    <w:basedOn w:val="Normal"/>
    <w:link w:val="BalloonTextChar"/>
    <w:uiPriority w:val="99"/>
    <w:semiHidden/>
    <w:unhideWhenUsed/>
    <w:rsid w:val="00AB6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AD"/>
    <w:rPr>
      <w:rFonts w:ascii="Tahoma" w:hAnsi="Tahoma" w:cs="Tahoma"/>
      <w:sz w:val="16"/>
      <w:szCs w:val="16"/>
    </w:rPr>
  </w:style>
  <w:style w:type="paragraph" w:styleId="FootnoteText">
    <w:name w:val="footnote text"/>
    <w:basedOn w:val="Normal"/>
    <w:link w:val="FootnoteTextChar"/>
    <w:uiPriority w:val="99"/>
    <w:semiHidden/>
    <w:unhideWhenUsed/>
    <w:rsid w:val="00E73D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DCE"/>
    <w:rPr>
      <w:sz w:val="20"/>
      <w:szCs w:val="20"/>
    </w:rPr>
  </w:style>
  <w:style w:type="character" w:styleId="FootnoteReference">
    <w:name w:val="footnote reference"/>
    <w:basedOn w:val="DefaultParagraphFont"/>
    <w:uiPriority w:val="99"/>
    <w:semiHidden/>
    <w:unhideWhenUsed/>
    <w:rsid w:val="00E73DCE"/>
    <w:rPr>
      <w:vertAlign w:val="superscript"/>
    </w:rPr>
  </w:style>
  <w:style w:type="paragraph" w:styleId="ListParagraph">
    <w:name w:val="List Paragraph"/>
    <w:basedOn w:val="Normal"/>
    <w:uiPriority w:val="34"/>
    <w:qFormat/>
    <w:rsid w:val="008665E1"/>
    <w:pPr>
      <w:ind w:left="720"/>
      <w:contextualSpacing/>
    </w:pPr>
  </w:style>
  <w:style w:type="character" w:styleId="CommentReference">
    <w:name w:val="annotation reference"/>
    <w:basedOn w:val="DefaultParagraphFont"/>
    <w:uiPriority w:val="99"/>
    <w:semiHidden/>
    <w:unhideWhenUsed/>
    <w:rsid w:val="00F018E6"/>
    <w:rPr>
      <w:sz w:val="16"/>
      <w:szCs w:val="16"/>
    </w:rPr>
  </w:style>
  <w:style w:type="paragraph" w:styleId="CommentText">
    <w:name w:val="annotation text"/>
    <w:basedOn w:val="Normal"/>
    <w:link w:val="CommentTextChar"/>
    <w:uiPriority w:val="99"/>
    <w:semiHidden/>
    <w:unhideWhenUsed/>
    <w:rsid w:val="00F018E6"/>
    <w:pPr>
      <w:spacing w:line="240" w:lineRule="auto"/>
    </w:pPr>
    <w:rPr>
      <w:sz w:val="20"/>
      <w:szCs w:val="20"/>
    </w:rPr>
  </w:style>
  <w:style w:type="character" w:customStyle="1" w:styleId="CommentTextChar">
    <w:name w:val="Comment Text Char"/>
    <w:basedOn w:val="DefaultParagraphFont"/>
    <w:link w:val="CommentText"/>
    <w:uiPriority w:val="99"/>
    <w:semiHidden/>
    <w:rsid w:val="00F018E6"/>
    <w:rPr>
      <w:sz w:val="20"/>
      <w:szCs w:val="20"/>
    </w:rPr>
  </w:style>
  <w:style w:type="paragraph" w:styleId="CommentSubject">
    <w:name w:val="annotation subject"/>
    <w:basedOn w:val="CommentText"/>
    <w:next w:val="CommentText"/>
    <w:link w:val="CommentSubjectChar"/>
    <w:uiPriority w:val="99"/>
    <w:semiHidden/>
    <w:unhideWhenUsed/>
    <w:rsid w:val="00F018E6"/>
    <w:rPr>
      <w:b/>
      <w:bCs/>
    </w:rPr>
  </w:style>
  <w:style w:type="character" w:customStyle="1" w:styleId="CommentSubjectChar">
    <w:name w:val="Comment Subject Char"/>
    <w:basedOn w:val="CommentTextChar"/>
    <w:link w:val="CommentSubject"/>
    <w:uiPriority w:val="99"/>
    <w:semiHidden/>
    <w:rsid w:val="00F018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263481-BEC3-4F66-BBA0-E87A06336787}"/>
</file>

<file path=customXml/itemProps2.xml><?xml version="1.0" encoding="utf-8"?>
<ds:datastoreItem xmlns:ds="http://schemas.openxmlformats.org/officeDocument/2006/customXml" ds:itemID="{2DC78422-2785-41A8-ACA6-6E6573A55E52}"/>
</file>

<file path=customXml/itemProps3.xml><?xml version="1.0" encoding="utf-8"?>
<ds:datastoreItem xmlns:ds="http://schemas.openxmlformats.org/officeDocument/2006/customXml" ds:itemID="{8689279A-F05D-4BB3-B63F-CF28A4111AB8}"/>
</file>

<file path=customXml/itemProps4.xml><?xml version="1.0" encoding="utf-8"?>
<ds:datastoreItem xmlns:ds="http://schemas.openxmlformats.org/officeDocument/2006/customXml" ds:itemID="{A198D9BF-57F4-4108-B7C5-61D402B04350}"/>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4148</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dc:creator>
  <cp:lastModifiedBy>Patty Skuster</cp:lastModifiedBy>
  <cp:revision>2</cp:revision>
  <dcterms:created xsi:type="dcterms:W3CDTF">2015-06-26T15:55:00Z</dcterms:created>
  <dcterms:modified xsi:type="dcterms:W3CDTF">2015-06-26T15:55:00Z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2918500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