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E73C06" w14:textId="77777777" w:rsidR="007A5A94" w:rsidRPr="007A5A94" w:rsidRDefault="007A5A94" w:rsidP="007A5A94">
      <w:pPr>
        <w:pStyle w:val="Header"/>
        <w:jc w:val="right"/>
        <w:rPr>
          <w:rFonts w:ascii="Times New Roman" w:hAnsi="Times New Roman" w:cs="Times New Roman"/>
        </w:rPr>
      </w:pPr>
      <w:r w:rsidRPr="007A5A94">
        <w:rPr>
          <w:rFonts w:ascii="Times New Roman" w:hAnsi="Times New Roman" w:cs="Times New Roman"/>
        </w:rPr>
        <w:t>26 June 2015</w:t>
      </w:r>
    </w:p>
    <w:p w14:paraId="02F673F9" w14:textId="77777777" w:rsidR="007A5A94" w:rsidRPr="007A5A94" w:rsidRDefault="007A5A94" w:rsidP="007A5A94">
      <w:pPr>
        <w:pStyle w:val="Header"/>
        <w:rPr>
          <w:rFonts w:ascii="Times New Roman" w:hAnsi="Times New Roman" w:cs="Times New Roman"/>
        </w:rPr>
      </w:pPr>
    </w:p>
    <w:p w14:paraId="43CBB700" w14:textId="77777777" w:rsidR="007A5A94" w:rsidRDefault="007A5A94" w:rsidP="007A5A94">
      <w:pPr>
        <w:pStyle w:val="Header"/>
        <w:jc w:val="center"/>
        <w:rPr>
          <w:rFonts w:ascii="Times New Roman" w:hAnsi="Times New Roman" w:cs="Times New Roman"/>
          <w:b/>
        </w:rPr>
      </w:pPr>
      <w:r w:rsidRPr="007A5A94">
        <w:rPr>
          <w:rFonts w:ascii="Times New Roman" w:hAnsi="Times New Roman" w:cs="Times New Roman"/>
          <w:b/>
        </w:rPr>
        <w:t>Human Rights Committee Half Day Discussion in Preparation for a</w:t>
      </w:r>
    </w:p>
    <w:p w14:paraId="793866E5" w14:textId="77777777" w:rsidR="007A5A94" w:rsidRPr="007A5A94" w:rsidRDefault="007A5A94" w:rsidP="007A5A94">
      <w:pPr>
        <w:pStyle w:val="Header"/>
        <w:jc w:val="center"/>
        <w:rPr>
          <w:rFonts w:ascii="Times New Roman" w:hAnsi="Times New Roman" w:cs="Times New Roman"/>
          <w:b/>
        </w:rPr>
      </w:pPr>
      <w:r w:rsidRPr="007A5A94">
        <w:rPr>
          <w:rFonts w:ascii="Times New Roman" w:hAnsi="Times New Roman" w:cs="Times New Roman"/>
          <w:b/>
        </w:rPr>
        <w:t>General Comment on Article 6—Right to Life</w:t>
      </w:r>
    </w:p>
    <w:p w14:paraId="03D0659E" w14:textId="77777777" w:rsidR="007A5A94" w:rsidRPr="007A5A94" w:rsidRDefault="007A5A94" w:rsidP="007A5A94">
      <w:pPr>
        <w:pStyle w:val="Header"/>
      </w:pPr>
    </w:p>
    <w:p w14:paraId="6CD70CC7" w14:textId="77777777" w:rsidR="007A5A94" w:rsidRPr="007A5A94" w:rsidRDefault="007A5A94" w:rsidP="003D236C">
      <w:pPr>
        <w:spacing w:line="240" w:lineRule="auto"/>
        <w:rPr>
          <w:rFonts w:ascii="Times New Roman" w:hAnsi="Times New Roman" w:cs="Times New Roman"/>
        </w:rPr>
      </w:pPr>
    </w:p>
    <w:p w14:paraId="111218D8" w14:textId="77777777" w:rsidR="003D236C" w:rsidRPr="007A5A94" w:rsidRDefault="003D236C" w:rsidP="003D236C">
      <w:pPr>
        <w:spacing w:line="240" w:lineRule="auto"/>
        <w:rPr>
          <w:rFonts w:ascii="Times New Roman" w:hAnsi="Times New Roman" w:cs="Times New Roman"/>
          <w:color w:val="000000"/>
        </w:rPr>
      </w:pPr>
      <w:r w:rsidRPr="007A5A94">
        <w:rPr>
          <w:rFonts w:ascii="Times New Roman" w:hAnsi="Times New Roman" w:cs="Times New Roman"/>
        </w:rPr>
        <w:t xml:space="preserve">As the issue of abortion has repeatedly come before this committee, this brief submission </w:t>
      </w:r>
      <w:r w:rsidR="00F47073" w:rsidRPr="007A5A94">
        <w:rPr>
          <w:rFonts w:ascii="Times New Roman" w:hAnsi="Times New Roman" w:cs="Times New Roman"/>
        </w:rPr>
        <w:t xml:space="preserve">is written </w:t>
      </w:r>
      <w:r w:rsidRPr="007A5A94">
        <w:rPr>
          <w:rFonts w:ascii="Times New Roman" w:hAnsi="Times New Roman" w:cs="Times New Roman"/>
        </w:rPr>
        <w:t xml:space="preserve">to suggest how </w:t>
      </w:r>
      <w:r w:rsidR="00634A93" w:rsidRPr="007A5A94">
        <w:rPr>
          <w:rFonts w:ascii="Times New Roman" w:hAnsi="Times New Roman" w:cs="Times New Roman"/>
        </w:rPr>
        <w:t>Article 6.1</w:t>
      </w:r>
      <w:r w:rsidRPr="007A5A94">
        <w:rPr>
          <w:rFonts w:ascii="Times New Roman" w:hAnsi="Times New Roman" w:cs="Times New Roman"/>
        </w:rPr>
        <w:t xml:space="preserve"> might be better clarified in order to give guidance to states parties to the </w:t>
      </w:r>
      <w:r w:rsidRPr="007A5A94">
        <w:rPr>
          <w:rFonts w:ascii="Times New Roman" w:hAnsi="Times New Roman" w:cs="Times New Roman"/>
          <w:color w:val="000000"/>
        </w:rPr>
        <w:t>International Covenant on Civil and Political Rights (Covenant)</w:t>
      </w:r>
      <w:r w:rsidR="001E5F65" w:rsidRPr="007A5A94">
        <w:rPr>
          <w:rFonts w:ascii="Times New Roman" w:hAnsi="Times New Roman" w:cs="Times New Roman"/>
          <w:color w:val="000000"/>
        </w:rPr>
        <w:t>. I</w:t>
      </w:r>
      <w:r w:rsidR="008C50E9" w:rsidRPr="007A5A94">
        <w:rPr>
          <w:rFonts w:ascii="Times New Roman" w:hAnsi="Times New Roman" w:cs="Times New Roman"/>
          <w:color w:val="000000"/>
        </w:rPr>
        <w:t>t</w:t>
      </w:r>
      <w:r w:rsidR="001E5F65" w:rsidRPr="007A5A94">
        <w:rPr>
          <w:rFonts w:ascii="Times New Roman" w:hAnsi="Times New Roman" w:cs="Times New Roman"/>
          <w:color w:val="000000"/>
        </w:rPr>
        <w:t xml:space="preserve"> focus</w:t>
      </w:r>
      <w:r w:rsidR="008C50E9" w:rsidRPr="007A5A94">
        <w:rPr>
          <w:rFonts w:ascii="Times New Roman" w:hAnsi="Times New Roman" w:cs="Times New Roman"/>
          <w:color w:val="000000"/>
        </w:rPr>
        <w:t>es</w:t>
      </w:r>
      <w:r w:rsidR="001E5F65" w:rsidRPr="007A5A94">
        <w:rPr>
          <w:rFonts w:ascii="Times New Roman" w:hAnsi="Times New Roman" w:cs="Times New Roman"/>
          <w:color w:val="000000"/>
        </w:rPr>
        <w:t xml:space="preserve"> particularly </w:t>
      </w:r>
      <w:r w:rsidR="00634A93" w:rsidRPr="007A5A94">
        <w:rPr>
          <w:rFonts w:ascii="Times New Roman" w:hAnsi="Times New Roman" w:cs="Times New Roman"/>
          <w:color w:val="000000"/>
        </w:rPr>
        <w:t xml:space="preserve">on </w:t>
      </w:r>
      <w:r w:rsidR="001E5F65" w:rsidRPr="007A5A94">
        <w:rPr>
          <w:rFonts w:ascii="Times New Roman" w:hAnsi="Times New Roman" w:cs="Times New Roman"/>
          <w:color w:val="000000"/>
        </w:rPr>
        <w:t xml:space="preserve">the meaning of “every human being,” </w:t>
      </w:r>
      <w:r w:rsidR="00634A93" w:rsidRPr="007A5A94">
        <w:rPr>
          <w:rFonts w:ascii="Times New Roman" w:hAnsi="Times New Roman" w:cs="Times New Roman"/>
          <w:color w:val="000000"/>
        </w:rPr>
        <w:t>the connection between the right to life and health, and a few implications for the meaning of</w:t>
      </w:r>
      <w:r w:rsidR="001E5F65" w:rsidRPr="007A5A94">
        <w:rPr>
          <w:rFonts w:ascii="Times New Roman" w:hAnsi="Times New Roman" w:cs="Times New Roman"/>
          <w:color w:val="000000"/>
        </w:rPr>
        <w:t xml:space="preserve"> “protected by law</w:t>
      </w:r>
      <w:r w:rsidR="00634A93" w:rsidRPr="007A5A94">
        <w:rPr>
          <w:rFonts w:ascii="Times New Roman" w:hAnsi="Times New Roman" w:cs="Times New Roman"/>
          <w:color w:val="000000"/>
        </w:rPr>
        <w:t>.</w:t>
      </w:r>
      <w:r w:rsidR="001E5F65" w:rsidRPr="007A5A94">
        <w:rPr>
          <w:rFonts w:ascii="Times New Roman" w:hAnsi="Times New Roman" w:cs="Times New Roman"/>
          <w:color w:val="000000"/>
        </w:rPr>
        <w:t>”</w:t>
      </w:r>
    </w:p>
    <w:p w14:paraId="7E4FD555" w14:textId="77777777" w:rsidR="001E5F65" w:rsidRPr="007A5A94" w:rsidRDefault="001E5F65" w:rsidP="003D236C">
      <w:pPr>
        <w:spacing w:line="240" w:lineRule="auto"/>
        <w:rPr>
          <w:rFonts w:ascii="Times New Roman" w:hAnsi="Times New Roman" w:cs="Times New Roman"/>
          <w:u w:val="single"/>
        </w:rPr>
      </w:pPr>
      <w:r w:rsidRPr="007A5A94">
        <w:rPr>
          <w:rFonts w:ascii="Times New Roman" w:hAnsi="Times New Roman" w:cs="Times New Roman"/>
          <w:color w:val="000000"/>
          <w:u w:val="single"/>
        </w:rPr>
        <w:t>“Every human being”</w:t>
      </w:r>
    </w:p>
    <w:p w14:paraId="57B806ED" w14:textId="5E5F7EC5" w:rsidR="003D236C" w:rsidRPr="007A5A94" w:rsidRDefault="003D236C" w:rsidP="003D236C">
      <w:pPr>
        <w:pStyle w:val="NormalWeb"/>
        <w:numPr>
          <w:ilvl w:val="0"/>
          <w:numId w:val="2"/>
        </w:numPr>
        <w:shd w:val="clear" w:color="auto" w:fill="FFFFFF"/>
        <w:spacing w:before="0" w:beforeAutospacing="0" w:after="0" w:afterAutospacing="0"/>
        <w:textAlignment w:val="baseline"/>
        <w:rPr>
          <w:color w:val="000000"/>
          <w:sz w:val="22"/>
          <w:szCs w:val="22"/>
        </w:rPr>
      </w:pPr>
      <w:r w:rsidRPr="007A5A94">
        <w:rPr>
          <w:color w:val="000000"/>
          <w:sz w:val="22"/>
          <w:szCs w:val="22"/>
        </w:rPr>
        <w:t xml:space="preserve">Article </w:t>
      </w:r>
      <w:r w:rsidR="00634A93" w:rsidRPr="007A5A94">
        <w:rPr>
          <w:color w:val="000000"/>
          <w:sz w:val="22"/>
          <w:szCs w:val="22"/>
        </w:rPr>
        <w:t>6.1</w:t>
      </w:r>
      <w:r w:rsidRPr="007A5A94">
        <w:rPr>
          <w:color w:val="000000"/>
          <w:sz w:val="22"/>
          <w:szCs w:val="22"/>
        </w:rPr>
        <w:t xml:space="preserve"> of the ICCPR states that: “Every human being has the inherent right to life.” </w:t>
      </w:r>
      <w:r w:rsidRPr="007A5A94">
        <w:rPr>
          <w:sz w:val="22"/>
          <w:szCs w:val="22"/>
        </w:rPr>
        <w:t xml:space="preserve">It is </w:t>
      </w:r>
      <w:r w:rsidR="00663794">
        <w:rPr>
          <w:sz w:val="22"/>
          <w:szCs w:val="22"/>
        </w:rPr>
        <w:t>well</w:t>
      </w:r>
      <w:r w:rsidRPr="007A5A94">
        <w:rPr>
          <w:sz w:val="22"/>
          <w:szCs w:val="22"/>
        </w:rPr>
        <w:t xml:space="preserve"> settled that state</w:t>
      </w:r>
      <w:r w:rsidR="00FF6C19" w:rsidRPr="007A5A94">
        <w:rPr>
          <w:sz w:val="22"/>
          <w:szCs w:val="22"/>
        </w:rPr>
        <w:t>s</w:t>
      </w:r>
      <w:r w:rsidRPr="007A5A94">
        <w:rPr>
          <w:sz w:val="22"/>
          <w:szCs w:val="22"/>
        </w:rPr>
        <w:t xml:space="preserve"> parties’ obligations to protect the right to life do not apply before birth.  </w:t>
      </w:r>
      <w:r w:rsidRPr="007A5A94">
        <w:rPr>
          <w:color w:val="000000"/>
          <w:sz w:val="22"/>
          <w:szCs w:val="22"/>
        </w:rPr>
        <w:t>Proposed amendments to Article 6 (1) of the Covenant protecting the right to life from the moment of conception were soundly rejected</w:t>
      </w:r>
      <w:r w:rsidR="00B8484B" w:rsidRPr="007A5A94">
        <w:rPr>
          <w:color w:val="000000"/>
          <w:sz w:val="22"/>
          <w:szCs w:val="22"/>
        </w:rPr>
        <w:t xml:space="preserve"> during its drafting</w:t>
      </w:r>
      <w:r w:rsidRPr="007A5A94">
        <w:rPr>
          <w:color w:val="000000"/>
          <w:sz w:val="22"/>
          <w:szCs w:val="22"/>
        </w:rPr>
        <w:t>, as they were regarding the Convention on the Rights of the Child.</w:t>
      </w:r>
      <w:r w:rsidRPr="007A5A94">
        <w:rPr>
          <w:rStyle w:val="FootnoteReference"/>
          <w:sz w:val="22"/>
          <w:szCs w:val="22"/>
        </w:rPr>
        <w:footnoteReference w:id="1"/>
      </w:r>
      <w:r w:rsidRPr="007A5A94">
        <w:rPr>
          <w:color w:val="000000"/>
          <w:sz w:val="22"/>
          <w:szCs w:val="22"/>
          <w:vertAlign w:val="superscript"/>
        </w:rPr>
        <w:t xml:space="preserve"> </w:t>
      </w:r>
      <w:r w:rsidRPr="007A5A94">
        <w:rPr>
          <w:sz w:val="22"/>
          <w:szCs w:val="22"/>
        </w:rPr>
        <w:t xml:space="preserve">Although arguments continue to be advanced that the fetus is </w:t>
      </w:r>
      <w:r w:rsidR="00FF6C19" w:rsidRPr="007A5A94">
        <w:rPr>
          <w:sz w:val="22"/>
          <w:szCs w:val="22"/>
        </w:rPr>
        <w:t xml:space="preserve">a </w:t>
      </w:r>
      <w:r w:rsidRPr="007A5A94">
        <w:rPr>
          <w:sz w:val="22"/>
          <w:szCs w:val="22"/>
        </w:rPr>
        <w:t>bearer</w:t>
      </w:r>
      <w:r w:rsidR="00B8484B" w:rsidRPr="007A5A94">
        <w:rPr>
          <w:sz w:val="22"/>
          <w:szCs w:val="22"/>
        </w:rPr>
        <w:t xml:space="preserve"> of</w:t>
      </w:r>
      <w:r w:rsidRPr="007A5A94">
        <w:rPr>
          <w:sz w:val="22"/>
          <w:szCs w:val="22"/>
        </w:rPr>
        <w:t xml:space="preserve"> rights, no international </w:t>
      </w:r>
      <w:r w:rsidR="00994EE5" w:rsidRPr="007A5A94">
        <w:rPr>
          <w:sz w:val="22"/>
          <w:szCs w:val="22"/>
        </w:rPr>
        <w:t xml:space="preserve">treaty body or regional </w:t>
      </w:r>
      <w:r w:rsidRPr="007A5A94">
        <w:rPr>
          <w:sz w:val="22"/>
          <w:szCs w:val="22"/>
        </w:rPr>
        <w:t xml:space="preserve">human rights </w:t>
      </w:r>
      <w:r w:rsidR="00994EE5" w:rsidRPr="007A5A94">
        <w:rPr>
          <w:sz w:val="22"/>
          <w:szCs w:val="22"/>
        </w:rPr>
        <w:t xml:space="preserve">court or commission </w:t>
      </w:r>
      <w:r w:rsidRPr="007A5A94">
        <w:rPr>
          <w:sz w:val="22"/>
          <w:szCs w:val="22"/>
        </w:rPr>
        <w:t>has interpreted</w:t>
      </w:r>
      <w:r w:rsidR="00A8265D">
        <w:rPr>
          <w:sz w:val="22"/>
          <w:szCs w:val="22"/>
        </w:rPr>
        <w:t xml:space="preserve"> the words </w:t>
      </w:r>
      <w:r w:rsidRPr="007A5A94">
        <w:rPr>
          <w:sz w:val="22"/>
          <w:szCs w:val="22"/>
        </w:rPr>
        <w:t xml:space="preserve"> “Every human being” to extend to potential life</w:t>
      </w:r>
      <w:r w:rsidR="00CF0231">
        <w:rPr>
          <w:sz w:val="22"/>
          <w:szCs w:val="22"/>
        </w:rPr>
        <w:t>,</w:t>
      </w:r>
      <w:r w:rsidR="00CF0231" w:rsidRPr="00CF0231">
        <w:rPr>
          <w:sz w:val="18"/>
          <w:szCs w:val="18"/>
        </w:rPr>
        <w:t xml:space="preserve"> </w:t>
      </w:r>
      <w:r w:rsidR="00E41C9B" w:rsidRPr="00E41C9B">
        <w:rPr>
          <w:sz w:val="22"/>
          <w:szCs w:val="22"/>
        </w:rPr>
        <w:t>although t</w:t>
      </w:r>
      <w:r w:rsidR="00CF0231" w:rsidRPr="00E41C9B">
        <w:rPr>
          <w:sz w:val="22"/>
          <w:szCs w:val="22"/>
        </w:rPr>
        <w:t xml:space="preserve">here may be </w:t>
      </w:r>
      <w:r w:rsidR="002F3E0E">
        <w:rPr>
          <w:sz w:val="22"/>
          <w:szCs w:val="22"/>
        </w:rPr>
        <w:t xml:space="preserve">an emerging, </w:t>
      </w:r>
      <w:r w:rsidR="00CF0231" w:rsidRPr="00E41C9B">
        <w:rPr>
          <w:sz w:val="22"/>
          <w:szCs w:val="22"/>
        </w:rPr>
        <w:t>minority view that potential life may enjoy some</w:t>
      </w:r>
      <w:r w:rsidR="00B1613C">
        <w:rPr>
          <w:sz w:val="22"/>
          <w:szCs w:val="22"/>
        </w:rPr>
        <w:t xml:space="preserve"> </w:t>
      </w:r>
      <w:r w:rsidR="00CF0231" w:rsidRPr="00E41C9B">
        <w:rPr>
          <w:sz w:val="22"/>
          <w:szCs w:val="22"/>
        </w:rPr>
        <w:t>kind of claim to human rights protection</w:t>
      </w:r>
      <w:r w:rsidRPr="007A5A94">
        <w:rPr>
          <w:sz w:val="22"/>
          <w:szCs w:val="22"/>
        </w:rPr>
        <w:t>.</w:t>
      </w:r>
      <w:r w:rsidRPr="007A5A94">
        <w:rPr>
          <w:rStyle w:val="FootnoteReference"/>
          <w:sz w:val="22"/>
          <w:szCs w:val="22"/>
        </w:rPr>
        <w:footnoteReference w:id="2"/>
      </w:r>
      <w:r w:rsidR="00B1613C">
        <w:rPr>
          <w:sz w:val="22"/>
          <w:szCs w:val="22"/>
        </w:rPr>
        <w:t xml:space="preserve">  </w:t>
      </w:r>
      <w:r w:rsidR="002F3E0E">
        <w:rPr>
          <w:sz w:val="22"/>
          <w:szCs w:val="22"/>
        </w:rPr>
        <w:t xml:space="preserve">At this point, </w:t>
      </w:r>
      <w:r w:rsidR="00EE2D2F">
        <w:rPr>
          <w:sz w:val="22"/>
          <w:szCs w:val="22"/>
        </w:rPr>
        <w:t>the majority opinion on human rights standards is</w:t>
      </w:r>
      <w:r w:rsidRPr="007A5A94">
        <w:rPr>
          <w:sz w:val="22"/>
          <w:szCs w:val="22"/>
        </w:rPr>
        <w:t xml:space="preserve"> clear</w:t>
      </w:r>
      <w:r w:rsidR="00FF6C19" w:rsidRPr="007A5A94">
        <w:rPr>
          <w:sz w:val="22"/>
          <w:szCs w:val="22"/>
        </w:rPr>
        <w:t xml:space="preserve">; </w:t>
      </w:r>
      <w:r w:rsidRPr="007A5A94">
        <w:rPr>
          <w:sz w:val="22"/>
          <w:szCs w:val="22"/>
        </w:rPr>
        <w:t xml:space="preserve">the bearers of human rights, the right to life specifically, are those individuals already born. </w:t>
      </w:r>
    </w:p>
    <w:p w14:paraId="49EEA569" w14:textId="77777777" w:rsidR="003D236C" w:rsidRPr="007A5A94" w:rsidRDefault="003D236C" w:rsidP="003D236C">
      <w:pPr>
        <w:pStyle w:val="NormalWeb"/>
        <w:shd w:val="clear" w:color="auto" w:fill="FFFFFF"/>
        <w:spacing w:before="0" w:beforeAutospacing="0" w:after="0" w:afterAutospacing="0"/>
        <w:ind w:left="720"/>
        <w:textAlignment w:val="baseline"/>
        <w:rPr>
          <w:color w:val="000000"/>
          <w:sz w:val="22"/>
          <w:szCs w:val="22"/>
        </w:rPr>
      </w:pPr>
    </w:p>
    <w:p w14:paraId="634C9BE3" w14:textId="77777777" w:rsidR="00C16648" w:rsidRPr="007A5A94" w:rsidRDefault="003D236C" w:rsidP="003D236C">
      <w:pPr>
        <w:pStyle w:val="ListParagraph"/>
        <w:numPr>
          <w:ilvl w:val="0"/>
          <w:numId w:val="2"/>
        </w:numPr>
        <w:spacing w:line="240" w:lineRule="auto"/>
        <w:rPr>
          <w:rFonts w:ascii="Times New Roman" w:hAnsi="Times New Roman" w:cs="Times New Roman"/>
        </w:rPr>
      </w:pPr>
      <w:r w:rsidRPr="007A5A94">
        <w:rPr>
          <w:rFonts w:ascii="Times New Roman" w:hAnsi="Times New Roman" w:cs="Times New Roman"/>
        </w:rPr>
        <w:t xml:space="preserve">The duties states parties therefore owe are to women, pregnant or not. Laws that purport to protect “unborn” life </w:t>
      </w:r>
      <w:r w:rsidRPr="007A5A94">
        <w:rPr>
          <w:rFonts w:ascii="Times New Roman" w:hAnsi="Times New Roman" w:cs="Times New Roman"/>
          <w:i/>
        </w:rPr>
        <w:t>tout court</w:t>
      </w:r>
      <w:r w:rsidRPr="007A5A94">
        <w:rPr>
          <w:rFonts w:ascii="Times New Roman" w:hAnsi="Times New Roman" w:cs="Times New Roman"/>
        </w:rPr>
        <w:t xml:space="preserve"> are incompatible with well-established human rights doctrine and practice as: a. such laws </w:t>
      </w:r>
      <w:r w:rsidR="00B8484B" w:rsidRPr="007A5A94">
        <w:rPr>
          <w:rFonts w:ascii="Times New Roman" w:hAnsi="Times New Roman" w:cs="Times New Roman"/>
        </w:rPr>
        <w:t xml:space="preserve">tend to </w:t>
      </w:r>
      <w:r w:rsidRPr="007A5A94">
        <w:rPr>
          <w:rFonts w:ascii="Times New Roman" w:hAnsi="Times New Roman" w:cs="Times New Roman"/>
        </w:rPr>
        <w:t>subordinate women’s rights to the pregnancy without regard for their life or health;</w:t>
      </w:r>
      <w:r w:rsidRPr="007A5A94">
        <w:rPr>
          <w:rStyle w:val="FootnoteReference"/>
          <w:rFonts w:ascii="Times New Roman" w:hAnsi="Times New Roman" w:cs="Times New Roman"/>
        </w:rPr>
        <w:footnoteReference w:id="3"/>
      </w:r>
      <w:r w:rsidRPr="007A5A94">
        <w:rPr>
          <w:rFonts w:ascii="Times New Roman" w:hAnsi="Times New Roman" w:cs="Times New Roman"/>
        </w:rPr>
        <w:t xml:space="preserve"> and b. </w:t>
      </w:r>
      <w:r w:rsidR="00B8484B" w:rsidRPr="007A5A94">
        <w:rPr>
          <w:rFonts w:ascii="Times New Roman" w:hAnsi="Times New Roman" w:cs="Times New Roman"/>
        </w:rPr>
        <w:t xml:space="preserve">frequently </w:t>
      </w:r>
      <w:r w:rsidRPr="007A5A94">
        <w:rPr>
          <w:rFonts w:ascii="Times New Roman" w:hAnsi="Times New Roman" w:cs="Times New Roman"/>
        </w:rPr>
        <w:t>err in applying limiting principles.</w:t>
      </w:r>
      <w:r w:rsidRPr="007A5A94">
        <w:rPr>
          <w:rStyle w:val="FootnoteReference"/>
          <w:rFonts w:ascii="Times New Roman" w:hAnsi="Times New Roman" w:cs="Times New Roman"/>
        </w:rPr>
        <w:footnoteReference w:id="4"/>
      </w:r>
      <w:r w:rsidRPr="007A5A94">
        <w:rPr>
          <w:rFonts w:ascii="Times New Roman" w:hAnsi="Times New Roman" w:cs="Times New Roman"/>
        </w:rPr>
        <w:t xml:space="preserve"> </w:t>
      </w:r>
    </w:p>
    <w:p w14:paraId="0D053F24" w14:textId="77777777" w:rsidR="008C50E9" w:rsidRPr="007A5A94" w:rsidRDefault="008C50E9" w:rsidP="008C50E9">
      <w:pPr>
        <w:pStyle w:val="ListParagraph"/>
        <w:rPr>
          <w:rFonts w:ascii="Times New Roman" w:hAnsi="Times New Roman" w:cs="Times New Roman"/>
        </w:rPr>
      </w:pPr>
    </w:p>
    <w:p w14:paraId="1D53FC3B" w14:textId="77777777" w:rsidR="00C16648" w:rsidRPr="007A5A94" w:rsidRDefault="00C16648" w:rsidP="00C16648">
      <w:pPr>
        <w:pStyle w:val="ListParagraph"/>
        <w:numPr>
          <w:ilvl w:val="0"/>
          <w:numId w:val="2"/>
        </w:numPr>
        <w:spacing w:line="240" w:lineRule="auto"/>
        <w:rPr>
          <w:rFonts w:ascii="Times New Roman" w:hAnsi="Times New Roman" w:cs="Times New Roman"/>
        </w:rPr>
      </w:pPr>
      <w:r w:rsidRPr="007A5A94">
        <w:rPr>
          <w:rFonts w:ascii="Times New Roman" w:hAnsi="Times New Roman" w:cs="Times New Roman"/>
        </w:rPr>
        <w:t xml:space="preserve">Some states parties purport to protect a woman and the fetus’s life equally; assuming </w:t>
      </w:r>
      <w:r w:rsidRPr="007A5A94">
        <w:rPr>
          <w:rFonts w:ascii="Times New Roman" w:hAnsi="Times New Roman" w:cs="Times New Roman"/>
          <w:i/>
        </w:rPr>
        <w:t>ad arguendo</w:t>
      </w:r>
      <w:r w:rsidRPr="007A5A94">
        <w:rPr>
          <w:rFonts w:ascii="Times New Roman" w:hAnsi="Times New Roman" w:cs="Times New Roman"/>
        </w:rPr>
        <w:t xml:space="preserve"> that a state party might recognize a fetal right to life on par with that of a woman, in practice, it is often the woman’s health, liberty, and life that are compromised.</w:t>
      </w:r>
      <w:r w:rsidRPr="007A5A94">
        <w:rPr>
          <w:rStyle w:val="FootnoteReference"/>
          <w:rFonts w:ascii="Times New Roman" w:hAnsi="Times New Roman" w:cs="Times New Roman"/>
        </w:rPr>
        <w:footnoteReference w:id="5"/>
      </w:r>
      <w:r w:rsidRPr="007A5A94">
        <w:rPr>
          <w:rFonts w:ascii="Times New Roman" w:hAnsi="Times New Roman" w:cs="Times New Roman"/>
        </w:rPr>
        <w:t xml:space="preserve"> </w:t>
      </w:r>
    </w:p>
    <w:p w14:paraId="3A002718" w14:textId="77777777" w:rsidR="008C50E9" w:rsidRPr="007A5A94" w:rsidRDefault="008C50E9" w:rsidP="008C50E9">
      <w:pPr>
        <w:pStyle w:val="ListParagraph"/>
        <w:rPr>
          <w:rFonts w:ascii="Times New Roman" w:hAnsi="Times New Roman" w:cs="Times New Roman"/>
        </w:rPr>
      </w:pPr>
    </w:p>
    <w:p w14:paraId="32E89E62" w14:textId="77777777" w:rsidR="003D236C" w:rsidRPr="007A5A94" w:rsidRDefault="00B8484B" w:rsidP="003D236C">
      <w:pPr>
        <w:pStyle w:val="ListParagraph"/>
        <w:numPr>
          <w:ilvl w:val="0"/>
          <w:numId w:val="2"/>
        </w:numPr>
        <w:spacing w:line="240" w:lineRule="auto"/>
        <w:rPr>
          <w:rFonts w:ascii="Times New Roman" w:hAnsi="Times New Roman" w:cs="Times New Roman"/>
        </w:rPr>
      </w:pPr>
      <w:r w:rsidRPr="007A5A94">
        <w:rPr>
          <w:rFonts w:ascii="Times New Roman" w:hAnsi="Times New Roman" w:cs="Times New Roman"/>
        </w:rPr>
        <w:t>Thus, a</w:t>
      </w:r>
      <w:r w:rsidR="003D236C" w:rsidRPr="007A5A94">
        <w:rPr>
          <w:rFonts w:ascii="Times New Roman" w:hAnsi="Times New Roman" w:cs="Times New Roman"/>
        </w:rPr>
        <w:t xml:space="preserve">ny laws or policies that a state might direct towards the protection of a pregnancy [or of the unborn] </w:t>
      </w:r>
      <w:r w:rsidRPr="007A5A94">
        <w:rPr>
          <w:rFonts w:ascii="Times New Roman" w:hAnsi="Times New Roman" w:cs="Times New Roman"/>
        </w:rPr>
        <w:t>ought to</w:t>
      </w:r>
      <w:r w:rsidR="003D236C" w:rsidRPr="007A5A94">
        <w:rPr>
          <w:rFonts w:ascii="Times New Roman" w:hAnsi="Times New Roman" w:cs="Times New Roman"/>
        </w:rPr>
        <w:t xml:space="preserve"> be seen as derivative of the duty owed to the woman carrying the pregnancy, especially regarding her life, health, non-discrimination and other human rights.</w:t>
      </w:r>
      <w:r w:rsidR="003D236C" w:rsidRPr="007A5A94">
        <w:rPr>
          <w:rStyle w:val="FootnoteReference"/>
          <w:rFonts w:ascii="Times New Roman" w:hAnsi="Times New Roman" w:cs="Times New Roman"/>
        </w:rPr>
        <w:footnoteReference w:id="6"/>
      </w:r>
      <w:r w:rsidR="003D236C" w:rsidRPr="007A5A94">
        <w:rPr>
          <w:rFonts w:ascii="Times New Roman" w:hAnsi="Times New Roman" w:cs="Times New Roman"/>
        </w:rPr>
        <w:t xml:space="preserve"> </w:t>
      </w:r>
    </w:p>
    <w:p w14:paraId="2110E733" w14:textId="77777777" w:rsidR="003D236C" w:rsidRPr="007A5A94" w:rsidRDefault="00634A93" w:rsidP="003D236C">
      <w:pPr>
        <w:spacing w:line="240" w:lineRule="auto"/>
        <w:rPr>
          <w:rFonts w:ascii="Times New Roman" w:hAnsi="Times New Roman" w:cs="Times New Roman"/>
          <w:b/>
          <w:u w:val="single"/>
        </w:rPr>
      </w:pPr>
      <w:r w:rsidRPr="007A5A94">
        <w:rPr>
          <w:rFonts w:ascii="Times New Roman" w:hAnsi="Times New Roman" w:cs="Times New Roman"/>
          <w:u w:val="single"/>
        </w:rPr>
        <w:t>Rights to life and health</w:t>
      </w:r>
      <w:r w:rsidR="003D236C" w:rsidRPr="007A5A94">
        <w:rPr>
          <w:rFonts w:ascii="Times New Roman" w:hAnsi="Times New Roman" w:cs="Times New Roman"/>
          <w:b/>
          <w:u w:val="single"/>
        </w:rPr>
        <w:t xml:space="preserve"> </w:t>
      </w:r>
    </w:p>
    <w:p w14:paraId="208261F3" w14:textId="77777777" w:rsidR="003D236C" w:rsidRPr="007A5A94" w:rsidRDefault="003D236C" w:rsidP="003D236C">
      <w:pPr>
        <w:pStyle w:val="ListParagraph"/>
        <w:numPr>
          <w:ilvl w:val="0"/>
          <w:numId w:val="2"/>
        </w:numPr>
        <w:spacing w:line="240" w:lineRule="auto"/>
        <w:rPr>
          <w:rFonts w:ascii="Times New Roman" w:hAnsi="Times New Roman" w:cs="Times New Roman"/>
        </w:rPr>
      </w:pPr>
      <w:r w:rsidRPr="007A5A94">
        <w:rPr>
          <w:rFonts w:ascii="Times New Roman" w:hAnsi="Times New Roman" w:cs="Times New Roman"/>
          <w:color w:val="000000"/>
        </w:rPr>
        <w:t xml:space="preserve">This committee has previously advised states parties that obligations </w:t>
      </w:r>
      <w:r w:rsidR="00FF6C19" w:rsidRPr="007A5A94">
        <w:rPr>
          <w:rFonts w:ascii="Times New Roman" w:hAnsi="Times New Roman" w:cs="Times New Roman"/>
          <w:color w:val="000000"/>
        </w:rPr>
        <w:t>under the right to life include</w:t>
      </w:r>
      <w:r w:rsidRPr="007A5A94">
        <w:rPr>
          <w:rFonts w:ascii="Times New Roman" w:hAnsi="Times New Roman" w:cs="Times New Roman"/>
          <w:color w:val="000000"/>
        </w:rPr>
        <w:t xml:space="preserve"> taking positive measures: “</w:t>
      </w:r>
      <w:r w:rsidRPr="007A5A94">
        <w:rPr>
          <w:rFonts w:ascii="Times New Roman" w:hAnsi="Times New Roman" w:cs="Times New Roman"/>
        </w:rPr>
        <w:t>In this connection, the Committee considers that it would be desirable for States parties to take all possible measures to reduce infant mortality and to increase life expectancy, especially in adopting measures to eliminate malnutrition and epidemics.”</w:t>
      </w:r>
      <w:r w:rsidRPr="007A5A94">
        <w:rPr>
          <w:rStyle w:val="FootnoteReference"/>
          <w:rFonts w:ascii="Times New Roman" w:hAnsi="Times New Roman" w:cs="Times New Roman"/>
        </w:rPr>
        <w:footnoteReference w:id="7"/>
      </w:r>
      <w:r w:rsidRPr="007A5A94">
        <w:rPr>
          <w:rFonts w:ascii="Times New Roman" w:hAnsi="Times New Roman" w:cs="Times New Roman"/>
        </w:rPr>
        <w:t xml:space="preserve"> This </w:t>
      </w:r>
      <w:r w:rsidR="00B23FBB" w:rsidRPr="007A5A94">
        <w:rPr>
          <w:rFonts w:ascii="Times New Roman" w:hAnsi="Times New Roman" w:cs="Times New Roman"/>
        </w:rPr>
        <w:t xml:space="preserve">formulation </w:t>
      </w:r>
      <w:r w:rsidRPr="007A5A94">
        <w:rPr>
          <w:rFonts w:ascii="Times New Roman" w:hAnsi="Times New Roman" w:cs="Times New Roman"/>
        </w:rPr>
        <w:t>has been foundational in establishing a human right to survive pregnancy and childbirth, through the provision of emergency (and comprehensive) obstetrical care.</w:t>
      </w:r>
      <w:r w:rsidRPr="007A5A94">
        <w:rPr>
          <w:rStyle w:val="FootnoteReference"/>
          <w:rFonts w:ascii="Times New Roman" w:hAnsi="Times New Roman" w:cs="Times New Roman"/>
        </w:rPr>
        <w:footnoteReference w:id="8"/>
      </w:r>
    </w:p>
    <w:p w14:paraId="44F479A0" w14:textId="77777777" w:rsidR="003D236C" w:rsidRPr="007A5A94" w:rsidRDefault="003D236C" w:rsidP="003D236C">
      <w:pPr>
        <w:pStyle w:val="NormalWeb"/>
        <w:numPr>
          <w:ilvl w:val="0"/>
          <w:numId w:val="2"/>
        </w:numPr>
        <w:shd w:val="clear" w:color="auto" w:fill="FFFFFF"/>
        <w:spacing w:before="0" w:beforeAutospacing="0" w:after="0" w:afterAutospacing="0"/>
        <w:textAlignment w:val="baseline"/>
        <w:rPr>
          <w:color w:val="000000"/>
          <w:sz w:val="22"/>
          <w:szCs w:val="22"/>
          <w:shd w:val="clear" w:color="auto" w:fill="FFFFFF"/>
        </w:rPr>
      </w:pPr>
      <w:r w:rsidRPr="007A5A94">
        <w:rPr>
          <w:sz w:val="22"/>
          <w:szCs w:val="22"/>
        </w:rPr>
        <w:lastRenderedPageBreak/>
        <w:t>Although the Covenant does not contain a “right to health” article, the committee has n</w:t>
      </w:r>
      <w:r w:rsidR="00FF6C19" w:rsidRPr="007A5A94">
        <w:rPr>
          <w:sz w:val="22"/>
          <w:szCs w:val="22"/>
        </w:rPr>
        <w:t xml:space="preserve">oted that </w:t>
      </w:r>
      <w:r w:rsidR="00D4662E">
        <w:rPr>
          <w:sz w:val="22"/>
          <w:szCs w:val="22"/>
        </w:rPr>
        <w:t xml:space="preserve">right </w:t>
      </w:r>
      <w:r w:rsidR="00FF6C19" w:rsidRPr="007A5A94">
        <w:rPr>
          <w:sz w:val="22"/>
          <w:szCs w:val="22"/>
        </w:rPr>
        <w:t xml:space="preserve">to health </w:t>
      </w:r>
      <w:r w:rsidRPr="007A5A94">
        <w:rPr>
          <w:sz w:val="22"/>
          <w:szCs w:val="22"/>
        </w:rPr>
        <w:t>arguments are not precluded and can be raised under the right to life (Article 6).</w:t>
      </w:r>
      <w:r w:rsidRPr="007A5A94">
        <w:rPr>
          <w:rStyle w:val="FootnoteReference"/>
          <w:sz w:val="22"/>
          <w:szCs w:val="22"/>
        </w:rPr>
        <w:footnoteReference w:id="9"/>
      </w:r>
      <w:r w:rsidRPr="007A5A94">
        <w:rPr>
          <w:sz w:val="22"/>
          <w:szCs w:val="22"/>
        </w:rPr>
        <w:t xml:space="preserve">   </w:t>
      </w:r>
      <w:r w:rsidRPr="007A5A94">
        <w:rPr>
          <w:color w:val="000000"/>
          <w:sz w:val="22"/>
          <w:szCs w:val="22"/>
          <w:shd w:val="clear" w:color="auto" w:fill="FFFFFF"/>
        </w:rPr>
        <w:t>This committee has repeatedly stated its concerns regarding a host of state</w:t>
      </w:r>
      <w:r w:rsidR="00FF6C19" w:rsidRPr="007A5A94">
        <w:rPr>
          <w:color w:val="000000"/>
          <w:sz w:val="22"/>
          <w:szCs w:val="22"/>
          <w:shd w:val="clear" w:color="auto" w:fill="FFFFFF"/>
        </w:rPr>
        <w:t>s</w:t>
      </w:r>
      <w:r w:rsidRPr="007A5A94">
        <w:rPr>
          <w:color w:val="000000"/>
          <w:sz w:val="22"/>
          <w:szCs w:val="22"/>
          <w:shd w:val="clear" w:color="auto" w:fill="FFFFFF"/>
        </w:rPr>
        <w:t xml:space="preserve"> parties’ practices which compromise women’s health so significantly that their lives are put at risk.</w:t>
      </w:r>
      <w:r w:rsidRPr="007A5A94">
        <w:rPr>
          <w:rStyle w:val="FootnoteReference"/>
          <w:color w:val="000000"/>
          <w:sz w:val="22"/>
          <w:szCs w:val="22"/>
          <w:shd w:val="clear" w:color="auto" w:fill="FFFFFF"/>
        </w:rPr>
        <w:footnoteReference w:id="10"/>
      </w:r>
      <w:r w:rsidRPr="007A5A94">
        <w:rPr>
          <w:rFonts w:ascii="Garamond" w:hAnsi="Garamond"/>
          <w:sz w:val="22"/>
          <w:szCs w:val="22"/>
        </w:rPr>
        <w:t xml:space="preserve"> </w:t>
      </w:r>
    </w:p>
    <w:p w14:paraId="71EABA80" w14:textId="77777777" w:rsidR="003D236C" w:rsidRPr="007A5A94" w:rsidRDefault="003D236C" w:rsidP="003D236C">
      <w:pPr>
        <w:pStyle w:val="NormalWeb"/>
        <w:shd w:val="clear" w:color="auto" w:fill="FFFFFF"/>
        <w:spacing w:before="0" w:beforeAutospacing="0" w:after="0" w:afterAutospacing="0"/>
        <w:textAlignment w:val="baseline"/>
        <w:rPr>
          <w:color w:val="000000"/>
          <w:sz w:val="22"/>
          <w:szCs w:val="22"/>
        </w:rPr>
      </w:pPr>
    </w:p>
    <w:p w14:paraId="5501B65C" w14:textId="77777777" w:rsidR="003D236C" w:rsidRPr="007A5A94" w:rsidRDefault="003D236C" w:rsidP="003D236C">
      <w:pPr>
        <w:pStyle w:val="NormalWeb"/>
        <w:numPr>
          <w:ilvl w:val="0"/>
          <w:numId w:val="2"/>
        </w:numPr>
        <w:shd w:val="clear" w:color="auto" w:fill="FFFFFF"/>
        <w:spacing w:before="0" w:beforeAutospacing="0" w:after="0" w:afterAutospacing="0"/>
        <w:textAlignment w:val="baseline"/>
        <w:rPr>
          <w:color w:val="000000"/>
          <w:sz w:val="22"/>
          <w:szCs w:val="22"/>
          <w:shd w:val="clear" w:color="auto" w:fill="FFFFFF"/>
        </w:rPr>
      </w:pPr>
      <w:r w:rsidRPr="007A5A94">
        <w:rPr>
          <w:color w:val="000000"/>
          <w:sz w:val="22"/>
          <w:szCs w:val="22"/>
        </w:rPr>
        <w:t>The recognition of interconnection between the right to life and to health is reflected not only in the output of this committee, but by other UN treaty body committees as well. For example, the Committee on Economic, Social and Cultural Rights, in its General Comment 14, notes the interdepend</w:t>
      </w:r>
      <w:r w:rsidR="00B23FBB" w:rsidRPr="007A5A94">
        <w:rPr>
          <w:color w:val="000000"/>
          <w:sz w:val="22"/>
          <w:szCs w:val="22"/>
        </w:rPr>
        <w:t xml:space="preserve">ence of the right to health </w:t>
      </w:r>
      <w:r w:rsidR="00FF6C19" w:rsidRPr="007A5A94">
        <w:rPr>
          <w:color w:val="000000"/>
          <w:sz w:val="22"/>
          <w:szCs w:val="22"/>
        </w:rPr>
        <w:t>“</w:t>
      </w:r>
      <w:r w:rsidR="00B23FBB" w:rsidRPr="007A5A94">
        <w:rPr>
          <w:color w:val="000000"/>
          <w:sz w:val="22"/>
          <w:szCs w:val="22"/>
        </w:rPr>
        <w:t xml:space="preserve">on </w:t>
      </w:r>
      <w:r w:rsidRPr="007A5A94">
        <w:rPr>
          <w:color w:val="000000"/>
          <w:sz w:val="22"/>
          <w:szCs w:val="22"/>
          <w:shd w:val="clear" w:color="auto" w:fill="FFFFFF"/>
        </w:rPr>
        <w:t>the realization of othe</w:t>
      </w:r>
      <w:r w:rsidR="00FF6C19" w:rsidRPr="007A5A94">
        <w:rPr>
          <w:color w:val="000000"/>
          <w:sz w:val="22"/>
          <w:szCs w:val="22"/>
          <w:shd w:val="clear" w:color="auto" w:fill="FFFFFF"/>
        </w:rPr>
        <w:t>r human rights,</w:t>
      </w:r>
      <w:r w:rsidRPr="007A5A94">
        <w:rPr>
          <w:color w:val="000000"/>
          <w:sz w:val="22"/>
          <w:szCs w:val="22"/>
          <w:shd w:val="clear" w:color="auto" w:fill="FFFFFF"/>
        </w:rPr>
        <w:t xml:space="preserve"> as contained in the International Bill of Rights, including the rights to …life, non-discrimination, equality, the prohibition against torture, privacy, access to information, and the freedoms of association, assembly and movement.”</w:t>
      </w:r>
      <w:r w:rsidRPr="007A5A94">
        <w:rPr>
          <w:rStyle w:val="FootnoteReference"/>
          <w:color w:val="000000"/>
          <w:sz w:val="22"/>
          <w:szCs w:val="22"/>
          <w:shd w:val="clear" w:color="auto" w:fill="FFFFFF"/>
        </w:rPr>
        <w:footnoteReference w:id="11"/>
      </w:r>
      <w:r w:rsidRPr="007A5A94">
        <w:rPr>
          <w:color w:val="000000"/>
          <w:sz w:val="22"/>
          <w:szCs w:val="22"/>
          <w:shd w:val="clear" w:color="auto" w:fill="FFFFFF"/>
        </w:rPr>
        <w:t xml:space="preserve">   </w:t>
      </w:r>
    </w:p>
    <w:p w14:paraId="3DBDDCFC" w14:textId="77777777" w:rsidR="003D236C" w:rsidRPr="007A5A94" w:rsidRDefault="003D236C" w:rsidP="003D236C">
      <w:pPr>
        <w:pStyle w:val="NormalWeb"/>
        <w:shd w:val="clear" w:color="auto" w:fill="FFFFFF"/>
        <w:spacing w:before="0" w:beforeAutospacing="0" w:after="0" w:afterAutospacing="0"/>
        <w:textAlignment w:val="baseline"/>
        <w:rPr>
          <w:color w:val="000000"/>
          <w:sz w:val="22"/>
          <w:szCs w:val="22"/>
          <w:shd w:val="clear" w:color="auto" w:fill="FFFFFF"/>
        </w:rPr>
      </w:pPr>
    </w:p>
    <w:p w14:paraId="37D38929" w14:textId="77777777" w:rsidR="003D236C" w:rsidRPr="007A5A94" w:rsidRDefault="003D236C" w:rsidP="003D236C">
      <w:pPr>
        <w:pStyle w:val="ListParagraph"/>
        <w:numPr>
          <w:ilvl w:val="0"/>
          <w:numId w:val="2"/>
        </w:numPr>
        <w:spacing w:line="240" w:lineRule="auto"/>
        <w:rPr>
          <w:rFonts w:ascii="Times New Roman" w:hAnsi="Times New Roman" w:cs="Times New Roman"/>
        </w:rPr>
      </w:pPr>
      <w:r w:rsidRPr="007A5A94">
        <w:rPr>
          <w:rFonts w:ascii="Times New Roman" w:hAnsi="Times New Roman" w:cs="Times New Roman"/>
          <w:color w:val="000000"/>
          <w:shd w:val="clear" w:color="auto" w:fill="FFFFFF"/>
        </w:rPr>
        <w:t xml:space="preserve">The intimate connection between the rights to health and life often is at issue with restrictive abortion laws in the following way: </w:t>
      </w:r>
      <w:r w:rsidRPr="007A5A94">
        <w:rPr>
          <w:rFonts w:ascii="Times New Roman" w:hAnsi="Times New Roman" w:cs="Times New Roman"/>
        </w:rPr>
        <w:t xml:space="preserve"> </w:t>
      </w:r>
      <w:r w:rsidR="00B23FBB" w:rsidRPr="007A5A94">
        <w:rPr>
          <w:rFonts w:ascii="Times New Roman" w:hAnsi="Times New Roman" w:cs="Times New Roman"/>
        </w:rPr>
        <w:t>m</w:t>
      </w:r>
      <w:r w:rsidRPr="007A5A94">
        <w:rPr>
          <w:rFonts w:ascii="Times New Roman" w:hAnsi="Times New Roman" w:cs="Times New Roman"/>
        </w:rPr>
        <w:t>any states parties criminalize abortion, based on a stated interest in the protection of potential life, but make exceptions for medical and forensic “indications” – that is for pregnancies which pose risks to the woman’s life, ph</w:t>
      </w:r>
      <w:r w:rsidR="00FF6C19" w:rsidRPr="007A5A94">
        <w:rPr>
          <w:rFonts w:ascii="Times New Roman" w:hAnsi="Times New Roman" w:cs="Times New Roman"/>
        </w:rPr>
        <w:t xml:space="preserve">ysical or mental health, for </w:t>
      </w:r>
      <w:r w:rsidRPr="007A5A94">
        <w:rPr>
          <w:rFonts w:ascii="Times New Roman" w:hAnsi="Times New Roman" w:cs="Times New Roman"/>
        </w:rPr>
        <w:t>cases of significant or severe fetal abnormalities, or due to a crime such as rape or incest. In fact, most of the world’s abortion laws follow such a regime.</w:t>
      </w:r>
      <w:r w:rsidRPr="007A5A94">
        <w:rPr>
          <w:rStyle w:val="FootnoteReference"/>
          <w:rFonts w:ascii="Times New Roman" w:hAnsi="Times New Roman" w:cs="Times New Roman"/>
        </w:rPr>
        <w:footnoteReference w:id="12"/>
      </w:r>
      <w:r w:rsidRPr="007A5A94">
        <w:rPr>
          <w:rFonts w:ascii="Times New Roman" w:hAnsi="Times New Roman" w:cs="Times New Roman"/>
        </w:rPr>
        <w:t xml:space="preserve"> </w:t>
      </w:r>
    </w:p>
    <w:p w14:paraId="4941CD06" w14:textId="77777777" w:rsidR="00634A93" w:rsidRPr="007A5A94" w:rsidRDefault="00634A93" w:rsidP="00634A93">
      <w:pPr>
        <w:ind w:left="360"/>
        <w:rPr>
          <w:rFonts w:ascii="Times New Roman" w:hAnsi="Times New Roman" w:cs="Times New Roman"/>
          <w:u w:val="single"/>
        </w:rPr>
      </w:pPr>
      <w:r w:rsidRPr="007A5A94">
        <w:rPr>
          <w:rFonts w:ascii="Times New Roman" w:hAnsi="Times New Roman" w:cs="Times New Roman"/>
          <w:u w:val="single"/>
        </w:rPr>
        <w:t>(Some) implications of “provided by law”</w:t>
      </w:r>
    </w:p>
    <w:p w14:paraId="7C6344EE" w14:textId="77777777" w:rsidR="003D236C" w:rsidRPr="007A5A94" w:rsidRDefault="003D236C" w:rsidP="003D236C">
      <w:pPr>
        <w:pStyle w:val="ListParagraph"/>
        <w:numPr>
          <w:ilvl w:val="0"/>
          <w:numId w:val="2"/>
        </w:numPr>
        <w:spacing w:line="240" w:lineRule="auto"/>
        <w:rPr>
          <w:rFonts w:ascii="Times New Roman" w:hAnsi="Times New Roman" w:cs="Times New Roman"/>
        </w:rPr>
      </w:pPr>
      <w:r w:rsidRPr="007A5A94">
        <w:rPr>
          <w:rFonts w:ascii="Times New Roman" w:hAnsi="Times New Roman" w:cs="Times New Roman"/>
        </w:rPr>
        <w:t>Where women are able to terminate an “indicated” pregnancy, states parties have established administrative mechanisms that enable, rather than encumber</w:t>
      </w:r>
      <w:r w:rsidR="00FF6C19" w:rsidRPr="007A5A94">
        <w:rPr>
          <w:rFonts w:ascii="Times New Roman" w:hAnsi="Times New Roman" w:cs="Times New Roman"/>
        </w:rPr>
        <w:t>,</w:t>
      </w:r>
      <w:r w:rsidRPr="007A5A94">
        <w:rPr>
          <w:rFonts w:ascii="Times New Roman" w:hAnsi="Times New Roman" w:cs="Times New Roman"/>
        </w:rPr>
        <w:t xml:space="preserve"> access to appropriate, affordable, quality health services.</w:t>
      </w:r>
      <w:r w:rsidR="001E5F65" w:rsidRPr="007A5A94">
        <w:rPr>
          <w:rStyle w:val="FootnoteReference"/>
          <w:rFonts w:ascii="Times New Roman" w:hAnsi="Times New Roman" w:cs="Times New Roman"/>
        </w:rPr>
        <w:footnoteReference w:id="13"/>
      </w:r>
      <w:r w:rsidRPr="007A5A94">
        <w:rPr>
          <w:rFonts w:ascii="Times New Roman" w:hAnsi="Times New Roman" w:cs="Times New Roman"/>
        </w:rPr>
        <w:t xml:space="preserve">  Complaints and communications to </w:t>
      </w:r>
      <w:r w:rsidR="00162F77" w:rsidRPr="007A5A94">
        <w:rPr>
          <w:rFonts w:ascii="Times New Roman" w:hAnsi="Times New Roman" w:cs="Times New Roman"/>
        </w:rPr>
        <w:t xml:space="preserve">regional </w:t>
      </w:r>
      <w:r w:rsidR="00FF6C19" w:rsidRPr="007A5A94">
        <w:rPr>
          <w:rFonts w:ascii="Times New Roman" w:hAnsi="Times New Roman" w:cs="Times New Roman"/>
        </w:rPr>
        <w:t>human rights courts</w:t>
      </w:r>
      <w:r w:rsidRPr="007A5A94">
        <w:rPr>
          <w:rFonts w:ascii="Times New Roman" w:hAnsi="Times New Roman" w:cs="Times New Roman"/>
        </w:rPr>
        <w:t xml:space="preserve"> and the UN treaty bodies reflect</w:t>
      </w:r>
      <w:r w:rsidR="00B23FBB" w:rsidRPr="007A5A94">
        <w:rPr>
          <w:rFonts w:ascii="Times New Roman" w:hAnsi="Times New Roman" w:cs="Times New Roman"/>
        </w:rPr>
        <w:t xml:space="preserve"> (in the breach)</w:t>
      </w:r>
      <w:r w:rsidRPr="007A5A94">
        <w:rPr>
          <w:rFonts w:ascii="Times New Roman" w:hAnsi="Times New Roman" w:cs="Times New Roman"/>
        </w:rPr>
        <w:t xml:space="preserve"> the importance of such mechanisms to the protection and realization of a range of huma</w:t>
      </w:r>
      <w:r w:rsidR="00B23FBB" w:rsidRPr="007A5A94">
        <w:rPr>
          <w:rFonts w:ascii="Times New Roman" w:hAnsi="Times New Roman" w:cs="Times New Roman"/>
        </w:rPr>
        <w:t>n rights, including those that are connected to the right to life</w:t>
      </w:r>
      <w:r w:rsidRPr="007A5A94">
        <w:rPr>
          <w:rFonts w:ascii="Times New Roman" w:hAnsi="Times New Roman" w:cs="Times New Roman"/>
        </w:rPr>
        <w:t>.</w:t>
      </w:r>
      <w:r w:rsidRPr="007A5A94">
        <w:rPr>
          <w:rStyle w:val="FootnoteReference"/>
          <w:rFonts w:ascii="Times New Roman" w:hAnsi="Times New Roman" w:cs="Times New Roman"/>
        </w:rPr>
        <w:footnoteReference w:id="14"/>
      </w:r>
      <w:r w:rsidRPr="007A5A94">
        <w:rPr>
          <w:rFonts w:ascii="Times New Roman" w:hAnsi="Times New Roman" w:cs="Times New Roman"/>
        </w:rPr>
        <w:t xml:space="preserve"> </w:t>
      </w:r>
    </w:p>
    <w:p w14:paraId="075851EE" w14:textId="10B6930D" w:rsidR="003D236C" w:rsidRPr="007A5A94" w:rsidRDefault="003D236C" w:rsidP="003D236C">
      <w:pPr>
        <w:pStyle w:val="NormalWeb"/>
        <w:numPr>
          <w:ilvl w:val="0"/>
          <w:numId w:val="2"/>
        </w:numPr>
        <w:shd w:val="clear" w:color="auto" w:fill="FFFFFF"/>
        <w:spacing w:before="0" w:beforeAutospacing="0" w:after="0" w:afterAutospacing="0"/>
        <w:textAlignment w:val="baseline"/>
        <w:rPr>
          <w:color w:val="000000"/>
          <w:sz w:val="22"/>
          <w:szCs w:val="22"/>
        </w:rPr>
      </w:pPr>
      <w:r w:rsidRPr="007A5A94">
        <w:rPr>
          <w:color w:val="000000"/>
          <w:sz w:val="22"/>
          <w:szCs w:val="22"/>
        </w:rPr>
        <w:lastRenderedPageBreak/>
        <w:t>This c</w:t>
      </w:r>
      <w:r w:rsidR="00B23FBB" w:rsidRPr="007A5A94">
        <w:rPr>
          <w:color w:val="000000"/>
          <w:sz w:val="22"/>
          <w:szCs w:val="22"/>
        </w:rPr>
        <w:t>ommittee has previously remarked</w:t>
      </w:r>
      <w:r w:rsidRPr="007A5A94">
        <w:rPr>
          <w:color w:val="000000"/>
          <w:sz w:val="22"/>
          <w:szCs w:val="22"/>
        </w:rPr>
        <w:t xml:space="preserve"> on the nature of Article 6 in conjunction with Articles 2.1 and 26 (rights to equality and non-discrimination).</w:t>
      </w:r>
      <w:r w:rsidRPr="007A5A94">
        <w:rPr>
          <w:rStyle w:val="FootnoteReference"/>
          <w:color w:val="000000"/>
          <w:sz w:val="22"/>
          <w:szCs w:val="22"/>
        </w:rPr>
        <w:footnoteReference w:id="15"/>
      </w:r>
      <w:r w:rsidRPr="007A5A94">
        <w:rPr>
          <w:color w:val="000000"/>
          <w:sz w:val="22"/>
          <w:szCs w:val="22"/>
        </w:rPr>
        <w:t xml:space="preserve"> Recently</w:t>
      </w:r>
      <w:r w:rsidR="00FF6C19" w:rsidRPr="007A5A94">
        <w:rPr>
          <w:color w:val="000000"/>
          <w:sz w:val="22"/>
          <w:szCs w:val="22"/>
        </w:rPr>
        <w:t>,</w:t>
      </w:r>
      <w:r w:rsidRPr="007A5A94">
        <w:rPr>
          <w:color w:val="000000"/>
          <w:sz w:val="22"/>
          <w:szCs w:val="22"/>
        </w:rPr>
        <w:t xml:space="preserve"> observations by the UN Committee on the Rights of Persons with Disabilities [CRPD] have been made regarding the </w:t>
      </w:r>
      <w:r w:rsidR="00D54A58" w:rsidRPr="007A5A94">
        <w:rPr>
          <w:color w:val="000000"/>
          <w:sz w:val="22"/>
          <w:szCs w:val="22"/>
        </w:rPr>
        <w:t>laws that</w:t>
      </w:r>
      <w:r w:rsidRPr="007A5A94">
        <w:rPr>
          <w:color w:val="000000"/>
          <w:sz w:val="22"/>
          <w:szCs w:val="22"/>
        </w:rPr>
        <w:t xml:space="preserve"> permit abortion on the basis of fetal anomalies, labeling them impermissible discrimination on the basis of disability.</w:t>
      </w:r>
      <w:r w:rsidRPr="007A5A94">
        <w:rPr>
          <w:rStyle w:val="FootnoteReference"/>
          <w:color w:val="000000"/>
          <w:sz w:val="22"/>
          <w:szCs w:val="22"/>
        </w:rPr>
        <w:footnoteReference w:id="16"/>
      </w:r>
      <w:r w:rsidRPr="007A5A94">
        <w:rPr>
          <w:color w:val="000000"/>
          <w:sz w:val="22"/>
          <w:szCs w:val="22"/>
        </w:rPr>
        <w:t xml:space="preserve"> </w:t>
      </w:r>
      <w:r w:rsidR="00CB2A41" w:rsidRPr="007A5A94">
        <w:rPr>
          <w:color w:val="000000"/>
          <w:sz w:val="22"/>
          <w:szCs w:val="22"/>
        </w:rPr>
        <w:t xml:space="preserve"> Some commen</w:t>
      </w:r>
      <w:r w:rsidR="00FF4FDC">
        <w:rPr>
          <w:color w:val="000000"/>
          <w:sz w:val="22"/>
          <w:szCs w:val="22"/>
        </w:rPr>
        <w:t>tators have suggested that the</w:t>
      </w:r>
      <w:r w:rsidR="00CB2A41" w:rsidRPr="007A5A94">
        <w:rPr>
          <w:color w:val="000000"/>
          <w:sz w:val="22"/>
          <w:szCs w:val="22"/>
        </w:rPr>
        <w:t xml:space="preserve"> CRPD is imputing human rights protections to the fetus, which if it were, would be unfounded</w:t>
      </w:r>
      <w:r w:rsidR="00B23FBB" w:rsidRPr="007A5A94">
        <w:rPr>
          <w:color w:val="000000"/>
          <w:sz w:val="22"/>
          <w:szCs w:val="22"/>
        </w:rPr>
        <w:t>, as already discussed</w:t>
      </w:r>
      <w:r w:rsidRPr="007A5A94">
        <w:rPr>
          <w:color w:val="000000"/>
          <w:sz w:val="22"/>
          <w:szCs w:val="22"/>
        </w:rPr>
        <w:t>.</w:t>
      </w:r>
      <w:r w:rsidRPr="007A5A94">
        <w:rPr>
          <w:rStyle w:val="FootnoteReference"/>
          <w:color w:val="000000"/>
          <w:sz w:val="22"/>
          <w:szCs w:val="22"/>
        </w:rPr>
        <w:footnoteReference w:id="17"/>
      </w:r>
      <w:r w:rsidRPr="007A5A94">
        <w:rPr>
          <w:color w:val="000000"/>
          <w:sz w:val="22"/>
          <w:szCs w:val="22"/>
        </w:rPr>
        <w:t xml:space="preserve"> </w:t>
      </w:r>
      <w:r w:rsidR="00CB2A41" w:rsidRPr="007A5A94">
        <w:rPr>
          <w:color w:val="000000"/>
          <w:sz w:val="22"/>
          <w:szCs w:val="22"/>
        </w:rPr>
        <w:t>The CRPD’s observations could be read more narrowly, and be limited to the singling out of fetal “disability” for exceptional treatment when compared to other legally sanctioned grounds</w:t>
      </w:r>
      <w:r w:rsidR="007D2FFF" w:rsidRPr="007A5A94">
        <w:rPr>
          <w:color w:val="000000"/>
          <w:sz w:val="22"/>
          <w:szCs w:val="22"/>
        </w:rPr>
        <w:t xml:space="preserve">: Spain, </w:t>
      </w:r>
      <w:r w:rsidR="00CB2A41" w:rsidRPr="007A5A94">
        <w:rPr>
          <w:color w:val="000000"/>
          <w:sz w:val="22"/>
          <w:szCs w:val="22"/>
        </w:rPr>
        <w:t>for example</w:t>
      </w:r>
      <w:r w:rsidR="007D2FFF" w:rsidRPr="007A5A94">
        <w:rPr>
          <w:color w:val="000000"/>
          <w:sz w:val="22"/>
          <w:szCs w:val="22"/>
        </w:rPr>
        <w:t xml:space="preserve">, allows abortion for any reason up to 14 weeks of gestation, but up to 22 weeks or beyond should there be </w:t>
      </w:r>
      <w:r w:rsidR="007D2FFF" w:rsidRPr="007A5A94">
        <w:rPr>
          <w:sz w:val="22"/>
          <w:szCs w:val="22"/>
        </w:rPr>
        <w:t>“a risk of serious anomalies in the foetus…[or]an extremely serious and incurable illness is detected in the foetus”.</w:t>
      </w:r>
      <w:r w:rsidR="007D2FFF" w:rsidRPr="007A5A94">
        <w:rPr>
          <w:rStyle w:val="FootnoteReference"/>
          <w:sz w:val="22"/>
          <w:szCs w:val="22"/>
        </w:rPr>
        <w:footnoteReference w:id="18"/>
      </w:r>
      <w:r w:rsidR="007D2FFF" w:rsidRPr="007A5A94">
        <w:rPr>
          <w:sz w:val="22"/>
          <w:szCs w:val="22"/>
        </w:rPr>
        <w:t xml:space="preserve"> </w:t>
      </w:r>
      <w:r w:rsidR="00CB2A41" w:rsidRPr="007A5A94">
        <w:rPr>
          <w:color w:val="000000"/>
          <w:sz w:val="22"/>
          <w:szCs w:val="22"/>
        </w:rPr>
        <w:t xml:space="preserve"> </w:t>
      </w:r>
      <w:r w:rsidR="007D2FFF" w:rsidRPr="007A5A94">
        <w:rPr>
          <w:color w:val="000000"/>
          <w:sz w:val="22"/>
          <w:szCs w:val="22"/>
        </w:rPr>
        <w:t>A remedy might therefore be to permit abortion for any reason without regard to gestational limit.</w:t>
      </w:r>
      <w:r w:rsidRPr="007A5A94">
        <w:rPr>
          <w:rStyle w:val="FootnoteReference"/>
          <w:color w:val="000000"/>
          <w:sz w:val="22"/>
          <w:szCs w:val="22"/>
        </w:rPr>
        <w:footnoteReference w:id="19"/>
      </w:r>
    </w:p>
    <w:p w14:paraId="29F90747" w14:textId="77777777" w:rsidR="00B57375" w:rsidRPr="007A5A94" w:rsidRDefault="00B57375" w:rsidP="003D236C">
      <w:pPr>
        <w:pStyle w:val="NormalWeb"/>
        <w:shd w:val="clear" w:color="auto" w:fill="FFFFFF"/>
        <w:spacing w:before="0" w:beforeAutospacing="0" w:after="0" w:afterAutospacing="0"/>
        <w:textAlignment w:val="baseline"/>
        <w:rPr>
          <w:color w:val="000000"/>
          <w:sz w:val="22"/>
          <w:szCs w:val="22"/>
        </w:rPr>
      </w:pPr>
    </w:p>
    <w:p w14:paraId="5645EC49"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1A616EE3"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0BAE89AD"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2B6060D2"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51A49E54"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1E2F8F19"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3C9F94F1"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04CD6C42"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6582E332" w14:textId="77777777" w:rsidR="00B57375" w:rsidRDefault="00B57375" w:rsidP="003D236C">
      <w:pPr>
        <w:pStyle w:val="NormalWeb"/>
        <w:shd w:val="clear" w:color="auto" w:fill="FFFFFF"/>
        <w:spacing w:before="0" w:beforeAutospacing="0" w:after="0" w:afterAutospacing="0"/>
        <w:textAlignment w:val="baseline"/>
        <w:rPr>
          <w:color w:val="000000"/>
          <w:sz w:val="22"/>
          <w:szCs w:val="22"/>
          <w:u w:val="single"/>
        </w:rPr>
      </w:pPr>
    </w:p>
    <w:p w14:paraId="1030F0D0" w14:textId="77777777" w:rsidR="00F47073" w:rsidRDefault="00F47073" w:rsidP="003D236C">
      <w:pPr>
        <w:pStyle w:val="NormalWeb"/>
        <w:shd w:val="clear" w:color="auto" w:fill="FFFFFF"/>
        <w:spacing w:before="0" w:beforeAutospacing="0" w:after="0" w:afterAutospacing="0"/>
        <w:textAlignment w:val="baseline"/>
        <w:rPr>
          <w:color w:val="000000"/>
          <w:sz w:val="22"/>
          <w:szCs w:val="22"/>
          <w:u w:val="single"/>
        </w:rPr>
      </w:pPr>
      <w:r w:rsidRPr="007A5A94">
        <w:rPr>
          <w:color w:val="000000"/>
          <w:sz w:val="22"/>
          <w:szCs w:val="22"/>
          <w:u w:val="single"/>
        </w:rPr>
        <w:lastRenderedPageBreak/>
        <w:t>Conclusion</w:t>
      </w:r>
    </w:p>
    <w:p w14:paraId="434A8880" w14:textId="77777777" w:rsidR="00B32DE7" w:rsidRPr="007A5A94" w:rsidRDefault="00B32DE7" w:rsidP="003D236C">
      <w:pPr>
        <w:pStyle w:val="NormalWeb"/>
        <w:shd w:val="clear" w:color="auto" w:fill="FFFFFF"/>
        <w:spacing w:before="0" w:beforeAutospacing="0" w:after="0" w:afterAutospacing="0"/>
        <w:textAlignment w:val="baseline"/>
        <w:rPr>
          <w:color w:val="000000"/>
          <w:sz w:val="22"/>
          <w:szCs w:val="22"/>
          <w:u w:val="single"/>
        </w:rPr>
      </w:pPr>
      <w:bookmarkStart w:id="0" w:name="_GoBack"/>
      <w:bookmarkEnd w:id="0"/>
    </w:p>
    <w:p w14:paraId="40930C57" w14:textId="77777777" w:rsidR="00F47073" w:rsidRPr="007A5A94" w:rsidRDefault="00F47073" w:rsidP="00F47073">
      <w:pPr>
        <w:pStyle w:val="ListParagraph"/>
        <w:numPr>
          <w:ilvl w:val="0"/>
          <w:numId w:val="3"/>
        </w:numPr>
        <w:spacing w:line="240" w:lineRule="auto"/>
        <w:rPr>
          <w:rFonts w:ascii="Times New Roman" w:hAnsi="Times New Roman" w:cs="Times New Roman"/>
          <w:b/>
        </w:rPr>
      </w:pPr>
      <w:r w:rsidRPr="007A5A94">
        <w:rPr>
          <w:rFonts w:ascii="Times New Roman" w:hAnsi="Times New Roman" w:cs="Times New Roman"/>
          <w:b/>
        </w:rPr>
        <w:t>This General Comment 36 presents an op</w:t>
      </w:r>
      <w:r w:rsidR="00FF6C19" w:rsidRPr="007A5A94">
        <w:rPr>
          <w:rFonts w:ascii="Times New Roman" w:hAnsi="Times New Roman" w:cs="Times New Roman"/>
          <w:b/>
        </w:rPr>
        <w:t xml:space="preserve">portunity to clarify that laws </w:t>
      </w:r>
      <w:r w:rsidRPr="007A5A94">
        <w:rPr>
          <w:rFonts w:ascii="Times New Roman" w:hAnsi="Times New Roman" w:cs="Times New Roman"/>
          <w:b/>
        </w:rPr>
        <w:t>prohibit</w:t>
      </w:r>
      <w:r w:rsidR="00FF6C19" w:rsidRPr="007A5A94">
        <w:rPr>
          <w:rFonts w:ascii="Times New Roman" w:hAnsi="Times New Roman" w:cs="Times New Roman"/>
          <w:b/>
        </w:rPr>
        <w:t>ing</w:t>
      </w:r>
      <w:r w:rsidRPr="007A5A94">
        <w:rPr>
          <w:rFonts w:ascii="Times New Roman" w:hAnsi="Times New Roman" w:cs="Times New Roman"/>
          <w:b/>
        </w:rPr>
        <w:t xml:space="preserve"> </w:t>
      </w:r>
      <w:r w:rsidR="00FF6C19" w:rsidRPr="007A5A94">
        <w:rPr>
          <w:rFonts w:ascii="Times New Roman" w:hAnsi="Times New Roman" w:cs="Times New Roman"/>
          <w:b/>
        </w:rPr>
        <w:t xml:space="preserve">abortion or </w:t>
      </w:r>
      <w:r w:rsidRPr="007A5A94">
        <w:rPr>
          <w:rFonts w:ascii="Times New Roman" w:hAnsi="Times New Roman" w:cs="Times New Roman"/>
          <w:b/>
        </w:rPr>
        <w:t>a pregnant woman’s access to any other medical treatment</w:t>
      </w:r>
      <w:r w:rsidR="00FF6C19" w:rsidRPr="007A5A94">
        <w:rPr>
          <w:rFonts w:ascii="Times New Roman" w:hAnsi="Times New Roman" w:cs="Times New Roman"/>
          <w:b/>
        </w:rPr>
        <w:t xml:space="preserve"> through criminal or other sanctions</w:t>
      </w:r>
      <w:r w:rsidRPr="007A5A94">
        <w:rPr>
          <w:rFonts w:ascii="Times New Roman" w:hAnsi="Times New Roman" w:cs="Times New Roman"/>
          <w:b/>
        </w:rPr>
        <w:t>, violate Article 6.1.</w:t>
      </w:r>
    </w:p>
    <w:p w14:paraId="644D48F5" w14:textId="77777777" w:rsidR="00F47073" w:rsidRPr="007A5A94" w:rsidRDefault="00F47073" w:rsidP="00F47073">
      <w:pPr>
        <w:pStyle w:val="ListParagraph"/>
        <w:spacing w:line="240" w:lineRule="auto"/>
        <w:rPr>
          <w:rFonts w:ascii="Times New Roman" w:hAnsi="Times New Roman" w:cs="Times New Roman"/>
          <w:b/>
        </w:rPr>
      </w:pPr>
    </w:p>
    <w:p w14:paraId="03F4D9AA" w14:textId="77777777" w:rsidR="00F47073" w:rsidRPr="007A5A94" w:rsidRDefault="00F47073" w:rsidP="00F47073">
      <w:pPr>
        <w:pStyle w:val="ListParagraph"/>
        <w:numPr>
          <w:ilvl w:val="0"/>
          <w:numId w:val="3"/>
        </w:numPr>
        <w:spacing w:line="240" w:lineRule="auto"/>
        <w:rPr>
          <w:rFonts w:ascii="Times New Roman" w:hAnsi="Times New Roman" w:cs="Times New Roman"/>
          <w:b/>
        </w:rPr>
      </w:pPr>
      <w:r w:rsidRPr="007A5A94">
        <w:rPr>
          <w:rFonts w:ascii="Times New Roman" w:hAnsi="Times New Roman" w:cs="Times New Roman"/>
          <w:b/>
        </w:rPr>
        <w:t xml:space="preserve">This General Comment 36 could further articulate that states parties’ laws and policies must, at the very least, permit abortion in cases where there are risks: </w:t>
      </w:r>
    </w:p>
    <w:p w14:paraId="634F0F7E" w14:textId="77777777" w:rsidR="00F47073" w:rsidRPr="007A5A94" w:rsidRDefault="00F47073" w:rsidP="00F47073">
      <w:pPr>
        <w:pStyle w:val="ListParagraph"/>
        <w:rPr>
          <w:rFonts w:ascii="Times New Roman" w:hAnsi="Times New Roman" w:cs="Times New Roman"/>
          <w:b/>
        </w:rPr>
      </w:pPr>
    </w:p>
    <w:p w14:paraId="6B125293" w14:textId="77777777" w:rsidR="00F47073" w:rsidRPr="007A5A94" w:rsidRDefault="00F47073" w:rsidP="00F47073">
      <w:pPr>
        <w:pStyle w:val="ListParagraph"/>
        <w:numPr>
          <w:ilvl w:val="1"/>
          <w:numId w:val="3"/>
        </w:numPr>
        <w:spacing w:line="240" w:lineRule="auto"/>
        <w:rPr>
          <w:rFonts w:ascii="Times New Roman" w:hAnsi="Times New Roman" w:cs="Times New Roman"/>
          <w:b/>
        </w:rPr>
      </w:pPr>
      <w:r w:rsidRPr="007A5A94">
        <w:rPr>
          <w:rFonts w:ascii="Times New Roman" w:hAnsi="Times New Roman" w:cs="Times New Roman"/>
          <w:b/>
        </w:rPr>
        <w:t xml:space="preserve">to the woman’s life, physical or mental health, </w:t>
      </w:r>
    </w:p>
    <w:p w14:paraId="38F6D0A2" w14:textId="77777777" w:rsidR="00F47073" w:rsidRPr="007A5A94" w:rsidRDefault="00F47073" w:rsidP="00F47073">
      <w:pPr>
        <w:pStyle w:val="ListParagraph"/>
        <w:numPr>
          <w:ilvl w:val="1"/>
          <w:numId w:val="3"/>
        </w:numPr>
        <w:spacing w:line="240" w:lineRule="auto"/>
        <w:rPr>
          <w:rFonts w:ascii="Times New Roman" w:hAnsi="Times New Roman" w:cs="Times New Roman"/>
          <w:b/>
        </w:rPr>
      </w:pPr>
      <w:r w:rsidRPr="007A5A94">
        <w:rPr>
          <w:rFonts w:ascii="Times New Roman" w:hAnsi="Times New Roman" w:cs="Times New Roman"/>
          <w:b/>
        </w:rPr>
        <w:t>of fetal impairment</w:t>
      </w:r>
    </w:p>
    <w:p w14:paraId="6FAE9ACF" w14:textId="77777777" w:rsidR="00F47073" w:rsidRPr="007A5A94" w:rsidRDefault="00F47073" w:rsidP="00F47073">
      <w:pPr>
        <w:pStyle w:val="ListParagraph"/>
        <w:numPr>
          <w:ilvl w:val="1"/>
          <w:numId w:val="3"/>
        </w:numPr>
        <w:spacing w:line="240" w:lineRule="auto"/>
        <w:rPr>
          <w:rFonts w:ascii="Times New Roman" w:hAnsi="Times New Roman" w:cs="Times New Roman"/>
          <w:b/>
        </w:rPr>
      </w:pPr>
      <w:r w:rsidRPr="007A5A94">
        <w:rPr>
          <w:rFonts w:ascii="Times New Roman" w:hAnsi="Times New Roman" w:cs="Times New Roman"/>
          <w:b/>
        </w:rPr>
        <w:t>or when the pregnancy is due to a crime (e.g. rape, incest).</w:t>
      </w:r>
    </w:p>
    <w:p w14:paraId="1875EDBD" w14:textId="77777777" w:rsidR="00F47073" w:rsidRPr="007A5A94" w:rsidRDefault="00F47073" w:rsidP="00F47073">
      <w:pPr>
        <w:pStyle w:val="ListParagraph"/>
        <w:spacing w:line="240" w:lineRule="auto"/>
        <w:rPr>
          <w:rFonts w:ascii="Times New Roman" w:hAnsi="Times New Roman" w:cs="Times New Roman"/>
          <w:b/>
        </w:rPr>
      </w:pPr>
    </w:p>
    <w:p w14:paraId="7F2E2CEB" w14:textId="77777777" w:rsidR="00F47073" w:rsidRPr="007A5A94" w:rsidRDefault="00F47073" w:rsidP="00F47073">
      <w:pPr>
        <w:pStyle w:val="NormalWeb"/>
        <w:numPr>
          <w:ilvl w:val="0"/>
          <w:numId w:val="3"/>
        </w:numPr>
        <w:shd w:val="clear" w:color="auto" w:fill="FFFFFF"/>
        <w:spacing w:before="0" w:beforeAutospacing="0" w:after="0" w:afterAutospacing="0"/>
        <w:textAlignment w:val="baseline"/>
        <w:rPr>
          <w:sz w:val="22"/>
          <w:szCs w:val="22"/>
        </w:rPr>
      </w:pPr>
      <w:r w:rsidRPr="007A5A94">
        <w:rPr>
          <w:b/>
          <w:color w:val="000000"/>
          <w:sz w:val="22"/>
          <w:szCs w:val="22"/>
        </w:rPr>
        <w:t xml:space="preserve">The committee could also take this occasion to clarify that indications for abortion on the basis of fetal impairment do not violate Articles 2.1, 6.1 or 26. </w:t>
      </w:r>
    </w:p>
    <w:p w14:paraId="297E3B98" w14:textId="77777777" w:rsidR="00F47073" w:rsidRPr="007A5A94" w:rsidRDefault="00F47073" w:rsidP="00F47073">
      <w:pPr>
        <w:pStyle w:val="NormalWeb"/>
        <w:shd w:val="clear" w:color="auto" w:fill="FFFFFF"/>
        <w:spacing w:before="0" w:beforeAutospacing="0" w:after="0" w:afterAutospacing="0"/>
        <w:ind w:left="720"/>
        <w:textAlignment w:val="baseline"/>
        <w:rPr>
          <w:sz w:val="22"/>
          <w:szCs w:val="22"/>
        </w:rPr>
      </w:pPr>
    </w:p>
    <w:p w14:paraId="6AC0F262" w14:textId="77777777" w:rsidR="00634A93" w:rsidRPr="007A5A94" w:rsidRDefault="00634A93" w:rsidP="001B10D6">
      <w:pPr>
        <w:pStyle w:val="ListParagraph"/>
        <w:numPr>
          <w:ilvl w:val="0"/>
          <w:numId w:val="3"/>
        </w:numPr>
        <w:spacing w:line="240" w:lineRule="auto"/>
        <w:rPr>
          <w:rFonts w:ascii="Times New Roman" w:hAnsi="Times New Roman" w:cs="Times New Roman"/>
          <w:b/>
        </w:rPr>
      </w:pPr>
      <w:r w:rsidRPr="007A5A94">
        <w:rPr>
          <w:rFonts w:ascii="Times New Roman" w:hAnsi="Times New Roman" w:cs="Times New Roman"/>
          <w:b/>
        </w:rPr>
        <w:t>This General Comment can stress to states parties that they must adopt measures to provide for an effective and acce</w:t>
      </w:r>
      <w:r w:rsidR="00FF6C19" w:rsidRPr="007A5A94">
        <w:rPr>
          <w:rFonts w:ascii="Times New Roman" w:hAnsi="Times New Roman" w:cs="Times New Roman"/>
          <w:b/>
        </w:rPr>
        <w:t>ssible means of protecting women’s</w:t>
      </w:r>
      <w:r w:rsidRPr="007A5A94">
        <w:rPr>
          <w:rFonts w:ascii="Times New Roman" w:hAnsi="Times New Roman" w:cs="Times New Roman"/>
          <w:b/>
        </w:rPr>
        <w:t xml:space="preserve"> rights, including a regulatory framework for their adjudication and enforcement, specifically tailored to the time constraints of pregnancy. Failure to do </w:t>
      </w:r>
      <w:r w:rsidR="00FF6C19" w:rsidRPr="007A5A94">
        <w:rPr>
          <w:rFonts w:ascii="Times New Roman" w:hAnsi="Times New Roman" w:cs="Times New Roman"/>
          <w:b/>
        </w:rPr>
        <w:t xml:space="preserve">so </w:t>
      </w:r>
      <w:r w:rsidRPr="007A5A94">
        <w:rPr>
          <w:rFonts w:ascii="Times New Roman" w:hAnsi="Times New Roman" w:cs="Times New Roman"/>
          <w:b/>
        </w:rPr>
        <w:t>would violate the content of Article 6.1 and Article 2.3 (the right to an effective remedy).</w:t>
      </w:r>
    </w:p>
    <w:p w14:paraId="071F9457" w14:textId="77777777" w:rsidR="007A5A94" w:rsidRPr="007A5A94" w:rsidRDefault="007A5A94" w:rsidP="007A5A94">
      <w:pPr>
        <w:pStyle w:val="ListParagraph"/>
        <w:rPr>
          <w:rFonts w:ascii="Times New Roman" w:hAnsi="Times New Roman" w:cs="Times New Roman"/>
          <w:b/>
        </w:rPr>
      </w:pPr>
    </w:p>
    <w:p w14:paraId="618A6EF2" w14:textId="77777777" w:rsidR="007A5A94" w:rsidRPr="007A5A94" w:rsidRDefault="007A5A94" w:rsidP="007A5A94">
      <w:pPr>
        <w:spacing w:line="240" w:lineRule="auto"/>
        <w:rPr>
          <w:rFonts w:ascii="Times New Roman" w:hAnsi="Times New Roman" w:cs="Times New Roman"/>
        </w:rPr>
      </w:pPr>
      <w:r w:rsidRPr="007A5A94">
        <w:rPr>
          <w:rFonts w:ascii="Times New Roman" w:hAnsi="Times New Roman" w:cs="Times New Roman"/>
        </w:rPr>
        <w:t>Humbly submitted in my personal capacity (not on behalf of Harvard Law School or its Human Rights Program),</w:t>
      </w:r>
    </w:p>
    <w:p w14:paraId="16CF339A" w14:textId="77777777" w:rsidR="007A5A94" w:rsidRPr="007A5A94" w:rsidRDefault="00875557" w:rsidP="007A5A94">
      <w:pPr>
        <w:spacing w:line="240" w:lineRule="auto"/>
        <w:rPr>
          <w:rFonts w:ascii="Times New Roman" w:hAnsi="Times New Roman" w:cs="Times New Roman"/>
        </w:rPr>
      </w:pPr>
      <w:r>
        <w:rPr>
          <w:rFonts w:ascii="Times New Roman" w:hAnsi="Times New Roman" w:cs="Times New Roman"/>
          <w:noProof/>
        </w:rPr>
        <w:drawing>
          <wp:inline distT="0" distB="0" distL="0" distR="0" wp14:anchorId="01FBA217" wp14:editId="2D860DEB">
            <wp:extent cx="2882900" cy="603250"/>
            <wp:effectExtent l="0" t="0" r="0" b="6350"/>
            <wp:docPr id="4" name="Picture 4" descr="K:\Electronic Signatures\MIndy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lectronic Signatures\MIndyS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2900" cy="603250"/>
                    </a:xfrm>
                    <a:prstGeom prst="rect">
                      <a:avLst/>
                    </a:prstGeom>
                    <a:noFill/>
                    <a:ln>
                      <a:noFill/>
                    </a:ln>
                  </pic:spPr>
                </pic:pic>
              </a:graphicData>
            </a:graphic>
          </wp:inline>
        </w:drawing>
      </w:r>
    </w:p>
    <w:p w14:paraId="25FB4DD3" w14:textId="77777777" w:rsidR="007A5A94" w:rsidRPr="007A5A94" w:rsidRDefault="007A5A94" w:rsidP="007A5A94">
      <w:pPr>
        <w:spacing w:line="240" w:lineRule="auto"/>
        <w:rPr>
          <w:rFonts w:ascii="Times New Roman" w:hAnsi="Times New Roman" w:cs="Times New Roman"/>
        </w:rPr>
      </w:pPr>
      <w:r w:rsidRPr="007A5A94">
        <w:rPr>
          <w:rFonts w:ascii="Times New Roman" w:hAnsi="Times New Roman" w:cs="Times New Roman"/>
        </w:rPr>
        <w:t>Mindy Jane Roseman, J.D., Ph.D.</w:t>
      </w:r>
    </w:p>
    <w:p w14:paraId="34E557F1" w14:textId="77777777" w:rsidR="007A5A94" w:rsidRPr="007A5A94" w:rsidRDefault="007A5A94" w:rsidP="007A5A94">
      <w:pPr>
        <w:spacing w:line="240" w:lineRule="auto"/>
        <w:rPr>
          <w:rFonts w:ascii="Times New Roman" w:hAnsi="Times New Roman" w:cs="Times New Roman"/>
        </w:rPr>
      </w:pPr>
      <w:r w:rsidRPr="007A5A94">
        <w:rPr>
          <w:rFonts w:ascii="Times New Roman" w:hAnsi="Times New Roman" w:cs="Times New Roman"/>
        </w:rPr>
        <w:t>Lecturer on Law</w:t>
      </w:r>
    </w:p>
    <w:p w14:paraId="5D6B8C8B" w14:textId="77777777" w:rsidR="007A5A94" w:rsidRPr="007A5A94" w:rsidRDefault="007A5A94" w:rsidP="007A5A94">
      <w:pPr>
        <w:spacing w:line="240" w:lineRule="auto"/>
        <w:rPr>
          <w:rFonts w:ascii="Times New Roman" w:hAnsi="Times New Roman" w:cs="Times New Roman"/>
        </w:rPr>
      </w:pPr>
      <w:r w:rsidRPr="007A5A94">
        <w:rPr>
          <w:rFonts w:ascii="Times New Roman" w:hAnsi="Times New Roman" w:cs="Times New Roman"/>
        </w:rPr>
        <w:t>Academic Director, Human Rights Program</w:t>
      </w:r>
    </w:p>
    <w:sectPr w:rsidR="007A5A94" w:rsidRPr="007A5A9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61423" w14:textId="77777777" w:rsidR="007050BE" w:rsidRDefault="007050BE" w:rsidP="003D236C">
      <w:pPr>
        <w:spacing w:after="0" w:line="240" w:lineRule="auto"/>
      </w:pPr>
      <w:r>
        <w:separator/>
      </w:r>
    </w:p>
  </w:endnote>
  <w:endnote w:type="continuationSeparator" w:id="0">
    <w:p w14:paraId="59C84923" w14:textId="77777777" w:rsidR="007050BE" w:rsidRDefault="007050BE" w:rsidP="003D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Times">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374634"/>
      <w:docPartObj>
        <w:docPartGallery w:val="Page Numbers (Bottom of Page)"/>
        <w:docPartUnique/>
      </w:docPartObj>
    </w:sdtPr>
    <w:sdtEndPr>
      <w:rPr>
        <w:rFonts w:ascii="Garamond" w:hAnsi="Garamond"/>
        <w:noProof/>
        <w:sz w:val="20"/>
        <w:szCs w:val="20"/>
      </w:rPr>
    </w:sdtEndPr>
    <w:sdtContent>
      <w:p w14:paraId="67A2EDE6" w14:textId="77777777" w:rsidR="00994EE5" w:rsidRPr="00082573" w:rsidRDefault="00994EE5">
        <w:pPr>
          <w:pStyle w:val="Footer"/>
          <w:jc w:val="center"/>
          <w:rPr>
            <w:rFonts w:ascii="Garamond" w:hAnsi="Garamond"/>
            <w:sz w:val="20"/>
            <w:szCs w:val="20"/>
          </w:rPr>
        </w:pPr>
        <w:r w:rsidRPr="00082573">
          <w:rPr>
            <w:rFonts w:ascii="Garamond" w:hAnsi="Garamond"/>
            <w:sz w:val="20"/>
            <w:szCs w:val="20"/>
          </w:rPr>
          <w:fldChar w:fldCharType="begin"/>
        </w:r>
        <w:r w:rsidRPr="00082573">
          <w:rPr>
            <w:rFonts w:ascii="Garamond" w:hAnsi="Garamond"/>
            <w:sz w:val="20"/>
            <w:szCs w:val="20"/>
          </w:rPr>
          <w:instrText xml:space="preserve"> PAGE   \* MERGEFORMAT </w:instrText>
        </w:r>
        <w:r w:rsidRPr="00082573">
          <w:rPr>
            <w:rFonts w:ascii="Garamond" w:hAnsi="Garamond"/>
            <w:sz w:val="20"/>
            <w:szCs w:val="20"/>
          </w:rPr>
          <w:fldChar w:fldCharType="separate"/>
        </w:r>
        <w:r w:rsidR="00B32DE7">
          <w:rPr>
            <w:rFonts w:ascii="Garamond" w:hAnsi="Garamond"/>
            <w:noProof/>
            <w:sz w:val="20"/>
            <w:szCs w:val="20"/>
          </w:rPr>
          <w:t>4</w:t>
        </w:r>
        <w:r w:rsidRPr="00082573">
          <w:rPr>
            <w:rFonts w:ascii="Garamond" w:hAnsi="Garamond"/>
            <w:noProof/>
            <w:sz w:val="20"/>
            <w:szCs w:val="20"/>
          </w:rPr>
          <w:fldChar w:fldCharType="end"/>
        </w:r>
      </w:p>
    </w:sdtContent>
  </w:sdt>
  <w:p w14:paraId="708D6F30" w14:textId="77777777" w:rsidR="00994EE5" w:rsidRDefault="00994E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6A098" w14:textId="77777777" w:rsidR="007050BE" w:rsidRDefault="007050BE" w:rsidP="003D236C">
      <w:pPr>
        <w:spacing w:after="0" w:line="240" w:lineRule="auto"/>
      </w:pPr>
      <w:r>
        <w:separator/>
      </w:r>
    </w:p>
  </w:footnote>
  <w:footnote w:type="continuationSeparator" w:id="0">
    <w:p w14:paraId="3FD4C566" w14:textId="77777777" w:rsidR="007050BE" w:rsidRDefault="007050BE" w:rsidP="003D236C">
      <w:pPr>
        <w:spacing w:after="0" w:line="240" w:lineRule="auto"/>
      </w:pPr>
      <w:r>
        <w:continuationSeparator/>
      </w:r>
    </w:p>
  </w:footnote>
  <w:footnote w:id="1">
    <w:p w14:paraId="6E7F64D0"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See UN GAOR Annex, 12th Session, Agenda Item 33, at 96, A/C.3/L.654; UN GAOR, 12th Session, Agenda Item 33, at 113, A/3764, 1957; UN Commission on Human Rights, Question of a Convention on the Rights of a Child: Report of the Working Group, 36th Session, E/CN.4/L/1542 (1980)). For a comprehensive discussion see </w:t>
      </w:r>
      <w:r w:rsidRPr="007A5A94">
        <w:rPr>
          <w:sz w:val="18"/>
          <w:szCs w:val="18"/>
          <w:shd w:val="clear" w:color="auto" w:fill="FFFFFF"/>
        </w:rPr>
        <w:t>Rebecca J. Cook and Bernard M. Dickens. "Human rights dynamics of abortion law reform,"</w:t>
      </w:r>
      <w:r w:rsidRPr="007A5A94">
        <w:rPr>
          <w:rStyle w:val="apple-converted-space"/>
          <w:sz w:val="18"/>
          <w:szCs w:val="18"/>
          <w:shd w:val="clear" w:color="auto" w:fill="FFFFFF"/>
        </w:rPr>
        <w:t> </w:t>
      </w:r>
      <w:r w:rsidRPr="007A5A94">
        <w:rPr>
          <w:i/>
          <w:iCs/>
          <w:sz w:val="18"/>
          <w:szCs w:val="18"/>
          <w:shd w:val="clear" w:color="auto" w:fill="FFFFFF"/>
        </w:rPr>
        <w:t>Human Rights Quarterly</w:t>
      </w:r>
      <w:r w:rsidRPr="007A5A94">
        <w:rPr>
          <w:rStyle w:val="apple-converted-space"/>
          <w:sz w:val="18"/>
          <w:szCs w:val="18"/>
          <w:shd w:val="clear" w:color="auto" w:fill="FFFFFF"/>
        </w:rPr>
        <w:t> </w:t>
      </w:r>
      <w:r w:rsidRPr="007A5A94">
        <w:rPr>
          <w:sz w:val="18"/>
          <w:szCs w:val="18"/>
          <w:shd w:val="clear" w:color="auto" w:fill="FFFFFF"/>
        </w:rPr>
        <w:t xml:space="preserve">25.1 (2003): 1-59 and </w:t>
      </w:r>
      <w:r w:rsidRPr="007A5A94">
        <w:rPr>
          <w:sz w:val="18"/>
          <w:szCs w:val="18"/>
        </w:rPr>
        <w:t xml:space="preserve">Rhonda Copelon et al., “Human Rights Being at Birth: International Law and the Claim of Fetal Rights”, </w:t>
      </w:r>
      <w:r w:rsidRPr="007A5A94">
        <w:rPr>
          <w:i/>
          <w:sz w:val="18"/>
          <w:szCs w:val="18"/>
        </w:rPr>
        <w:t xml:space="preserve">Reproductive Health Matters </w:t>
      </w:r>
      <w:r w:rsidRPr="007A5A94">
        <w:rPr>
          <w:sz w:val="18"/>
          <w:szCs w:val="18"/>
        </w:rPr>
        <w:t>13 (2005): 120-129.</w:t>
      </w:r>
    </w:p>
  </w:footnote>
  <w:footnote w:id="2">
    <w:p w14:paraId="284B84F0" w14:textId="751E75C3" w:rsidR="008C50E9" w:rsidRPr="007A5A94" w:rsidRDefault="00994EE5" w:rsidP="008700C2">
      <w:pPr>
        <w:pStyle w:val="NormalWeb"/>
        <w:shd w:val="clear" w:color="auto" w:fill="FFFFFF"/>
        <w:rPr>
          <w:sz w:val="18"/>
          <w:szCs w:val="18"/>
        </w:rPr>
      </w:pPr>
      <w:r w:rsidRPr="007A5A94">
        <w:rPr>
          <w:rStyle w:val="FootnoteReference"/>
          <w:sz w:val="18"/>
          <w:szCs w:val="18"/>
        </w:rPr>
        <w:footnoteRef/>
      </w:r>
      <w:r w:rsidRPr="007A5A94">
        <w:rPr>
          <w:sz w:val="18"/>
          <w:szCs w:val="18"/>
        </w:rPr>
        <w:t xml:space="preserve"> </w:t>
      </w:r>
      <w:r w:rsidR="00A53743">
        <w:rPr>
          <w:sz w:val="18"/>
          <w:szCs w:val="18"/>
        </w:rPr>
        <w:t xml:space="preserve"> The Committee on the Rights of Persons with Disabilities </w:t>
      </w:r>
      <w:r w:rsidR="00D67890">
        <w:rPr>
          <w:sz w:val="18"/>
          <w:szCs w:val="18"/>
        </w:rPr>
        <w:t xml:space="preserve">may be recognizing  the right to non-discrimination </w:t>
      </w:r>
      <w:r w:rsidR="006847A7">
        <w:rPr>
          <w:sz w:val="18"/>
          <w:szCs w:val="18"/>
        </w:rPr>
        <w:t xml:space="preserve">regarding potential life.  See paragraph 10 of this submission for further discussion.  </w:t>
      </w:r>
      <w:r w:rsidR="002376BE">
        <w:rPr>
          <w:sz w:val="18"/>
          <w:szCs w:val="18"/>
        </w:rPr>
        <w:t xml:space="preserve">The Inter-American Commission has considered a different </w:t>
      </w:r>
      <w:r w:rsidR="002205D6">
        <w:rPr>
          <w:sz w:val="18"/>
          <w:szCs w:val="18"/>
        </w:rPr>
        <w:t xml:space="preserve">formulation of the right to life [Art. 4.1] in the Baby Boy case, challenging the legalization of abortion in the United States. </w:t>
      </w:r>
      <w:r w:rsidRPr="007A5A94">
        <w:rPr>
          <w:sz w:val="18"/>
          <w:szCs w:val="18"/>
        </w:rPr>
        <w:t xml:space="preserve">Inter-American Commission on Human Rights, Baby Boy (case 2141), Resolution 23/81, 6 March 1981, 25/OEA/ser.L./V/II.54, Doc. 9 Rev.1[interpreting language the right to life “in general, from the moment of conception,” to allow abortion]; and </w:t>
      </w:r>
      <w:r w:rsidRPr="007A5A94">
        <w:rPr>
          <w:sz w:val="18"/>
          <w:szCs w:val="18"/>
          <w:lang w:val="es-CO"/>
        </w:rPr>
        <w:t xml:space="preserve">Vo v. France, No. 53924/00 Eur. Ct. H. R., para. </w:t>
      </w:r>
      <w:r w:rsidRPr="007A5A94">
        <w:rPr>
          <w:sz w:val="18"/>
          <w:szCs w:val="18"/>
        </w:rPr>
        <w:t xml:space="preserve">82 (2004). </w:t>
      </w:r>
      <w:r w:rsidR="009757ED" w:rsidRPr="007A5A94">
        <w:rPr>
          <w:sz w:val="18"/>
          <w:szCs w:val="18"/>
        </w:rPr>
        <w:t xml:space="preserve"> A recent decision by the Inter-American Court, challenging a ban of in vitro fertilization, reviewed scientific evidence, its jurisprudence and that of the European Court of Human Rights. </w:t>
      </w:r>
      <w:r w:rsidR="008C50E9" w:rsidRPr="007A5A94">
        <w:rPr>
          <w:sz w:val="18"/>
          <w:szCs w:val="18"/>
        </w:rPr>
        <w:t>Artavia Murillo et al. (“In Vitro Fertilization”) v. Costa Rica, Preliminary Objections, Merits, Reparations, and Costs, Judgment, Inter-Am. Ct. H.R., series C, No. 257, (Nov. 28, 2012). There, i</w:t>
      </w:r>
      <w:r w:rsidR="009757ED" w:rsidRPr="007A5A94">
        <w:rPr>
          <w:sz w:val="18"/>
          <w:szCs w:val="18"/>
        </w:rPr>
        <w:t xml:space="preserve">t held: </w:t>
      </w:r>
    </w:p>
    <w:p w14:paraId="7437AAF3" w14:textId="77777777" w:rsidR="008C50E9" w:rsidRPr="007A5A94" w:rsidRDefault="009757ED" w:rsidP="008C50E9">
      <w:pPr>
        <w:pStyle w:val="NormalWeb"/>
        <w:shd w:val="clear" w:color="auto" w:fill="FFFFFF"/>
        <w:ind w:left="720"/>
        <w:rPr>
          <w:sz w:val="18"/>
          <w:szCs w:val="18"/>
        </w:rPr>
      </w:pPr>
      <w:r w:rsidRPr="007A5A94">
        <w:rPr>
          <w:sz w:val="18"/>
          <w:szCs w:val="18"/>
        </w:rPr>
        <w:t>“...</w:t>
      </w:r>
      <w:r w:rsidR="008C50E9" w:rsidRPr="007A5A94">
        <w:rPr>
          <w:sz w:val="18"/>
          <w:szCs w:val="18"/>
        </w:rPr>
        <w:t xml:space="preserve"> ‘</w:t>
      </w:r>
      <w:r w:rsidRPr="007A5A94">
        <w:rPr>
          <w:sz w:val="18"/>
          <w:szCs w:val="18"/>
        </w:rPr>
        <w:t>conception’ in the sense of Article 4 (1) occurs at the moment when the embryo becomes implanted in the uterus, which explains why, before this event, Article 4 of the Convention [the Right to Life] would not be applicable. Moreover, it can be concluded from the words “in general” that the protection of the right to life under this provision is not absolute, but rather gradual and incremental according to its development</w:t>
      </w:r>
      <w:r w:rsidR="008C50E9" w:rsidRPr="007A5A94">
        <w:rPr>
          <w:sz w:val="18"/>
          <w:szCs w:val="18"/>
        </w:rPr>
        <w:t>”</w:t>
      </w:r>
      <w:r w:rsidRPr="007A5A94">
        <w:rPr>
          <w:sz w:val="18"/>
          <w:szCs w:val="18"/>
        </w:rPr>
        <w:t xml:space="preserve"> </w:t>
      </w:r>
      <w:r w:rsidR="008C50E9" w:rsidRPr="007A5A94">
        <w:rPr>
          <w:sz w:val="18"/>
          <w:szCs w:val="18"/>
        </w:rPr>
        <w:t xml:space="preserve">Artavia Murillo et al. at para. 264. </w:t>
      </w:r>
    </w:p>
    <w:p w14:paraId="16A61C39" w14:textId="60B4D707" w:rsidR="00994EE5" w:rsidRPr="007A5A94" w:rsidRDefault="008A5C83" w:rsidP="008C50E9">
      <w:pPr>
        <w:pStyle w:val="NormalWeb"/>
        <w:shd w:val="clear" w:color="auto" w:fill="FFFFFF"/>
        <w:rPr>
          <w:sz w:val="18"/>
          <w:szCs w:val="18"/>
        </w:rPr>
      </w:pPr>
      <w:r>
        <w:rPr>
          <w:sz w:val="18"/>
          <w:szCs w:val="18"/>
        </w:rPr>
        <w:t xml:space="preserve">The </w:t>
      </w:r>
      <w:r w:rsidR="00ED5D6D">
        <w:rPr>
          <w:sz w:val="18"/>
          <w:szCs w:val="18"/>
        </w:rPr>
        <w:t xml:space="preserve"> Inter-American Court</w:t>
      </w:r>
      <w:r w:rsidR="00924F6C">
        <w:rPr>
          <w:sz w:val="18"/>
          <w:szCs w:val="18"/>
        </w:rPr>
        <w:t xml:space="preserve"> a</w:t>
      </w:r>
      <w:r w:rsidR="00934433">
        <w:rPr>
          <w:sz w:val="18"/>
          <w:szCs w:val="18"/>
        </w:rPr>
        <w:t>ppears to r</w:t>
      </w:r>
      <w:r w:rsidR="00351A6F">
        <w:rPr>
          <w:sz w:val="18"/>
          <w:szCs w:val="18"/>
        </w:rPr>
        <w:t xml:space="preserve">ecognize the salience of the </w:t>
      </w:r>
      <w:r w:rsidR="00934433">
        <w:rPr>
          <w:sz w:val="18"/>
          <w:szCs w:val="18"/>
        </w:rPr>
        <w:t>right to life</w:t>
      </w:r>
      <w:r w:rsidR="00351A6F">
        <w:rPr>
          <w:sz w:val="18"/>
          <w:szCs w:val="18"/>
        </w:rPr>
        <w:t xml:space="preserve"> once a pregnancy is established. As Artavia Murillo concerned in vitro fertilization and not abortion,</w:t>
      </w:r>
      <w:r w:rsidR="005660AE">
        <w:rPr>
          <w:sz w:val="18"/>
          <w:szCs w:val="18"/>
        </w:rPr>
        <w:t xml:space="preserve"> the court did not elab</w:t>
      </w:r>
      <w:r w:rsidR="004E3089">
        <w:rPr>
          <w:sz w:val="18"/>
          <w:szCs w:val="18"/>
        </w:rPr>
        <w:t xml:space="preserve">orate its reasoning.  </w:t>
      </w:r>
      <w:r w:rsidR="00934433">
        <w:rPr>
          <w:sz w:val="18"/>
          <w:szCs w:val="18"/>
        </w:rPr>
        <w:t xml:space="preserve"> </w:t>
      </w:r>
      <w:r w:rsidR="00994EE5" w:rsidRPr="007A5A94">
        <w:rPr>
          <w:sz w:val="18"/>
          <w:szCs w:val="18"/>
        </w:rPr>
        <w:t>An African regional human rights treaty explicitly permits abortion when pregnancy poses risks to life and health: see Protocol to the African Charter on Human and Peoples’ Rights on the Rights of Women in Africa, 2nd Ordinary Sess., Assembly of the Union, adopted July 11, 2003, art. 14(2)(c).</w:t>
      </w:r>
    </w:p>
  </w:footnote>
  <w:footnote w:id="3">
    <w:p w14:paraId="7D957891" w14:textId="77777777" w:rsidR="00994EE5" w:rsidRPr="007A5A94" w:rsidRDefault="00994EE5" w:rsidP="003D236C">
      <w:pPr>
        <w:pStyle w:val="EndnoteText"/>
        <w:rPr>
          <w:rFonts w:ascii="Times New Roman" w:hAnsi="Times New Roman" w:cs="Times New Roman"/>
          <w:sz w:val="18"/>
          <w:szCs w:val="18"/>
        </w:rPr>
      </w:pPr>
      <w:r w:rsidRPr="007A5A94">
        <w:rPr>
          <w:rStyle w:val="FootnoteReference"/>
          <w:rFonts w:ascii="Times New Roman" w:hAnsi="Times New Roman" w:cs="Times New Roman"/>
          <w:sz w:val="18"/>
          <w:szCs w:val="18"/>
        </w:rPr>
        <w:footnoteRef/>
      </w:r>
      <w:r w:rsidRPr="007A5A94">
        <w:rPr>
          <w:rFonts w:ascii="Times New Roman" w:hAnsi="Times New Roman" w:cs="Times New Roman"/>
          <w:sz w:val="18"/>
          <w:szCs w:val="18"/>
        </w:rPr>
        <w:t xml:space="preserve"> The Inter-American Court and Commission have issued precautionary measures against the application of laws which protected fetal life at the expense of the woman’s health and life. See Matter of B., Provisional Measures, Order of the Court, Inter-Am. Ct. H.R., para. 2(i)-(ii) (May 29, 2013) and “Amelia,” Precautionary Measures MC 43-10, Inter-Am. Comm’n HR, (2010). </w:t>
      </w:r>
    </w:p>
  </w:footnote>
  <w:footnote w:id="4">
    <w:p w14:paraId="6A3F45EA" w14:textId="77777777" w:rsidR="00994EE5" w:rsidRPr="007A5A94" w:rsidRDefault="00994EE5" w:rsidP="003D236C">
      <w:pPr>
        <w:pStyle w:val="BodyA"/>
        <w:spacing w:after="0" w:line="240" w:lineRule="auto"/>
        <w:rPr>
          <w:sz w:val="18"/>
          <w:szCs w:val="18"/>
        </w:rPr>
      </w:pPr>
      <w:r w:rsidRPr="007A5A94">
        <w:rPr>
          <w:rStyle w:val="FootnoteReference"/>
          <w:rFonts w:ascii="Times New Roman" w:hAnsi="Times New Roman" w:cs="Times New Roman"/>
          <w:color w:val="auto"/>
          <w:sz w:val="18"/>
          <w:szCs w:val="18"/>
        </w:rPr>
        <w:footnoteRef/>
      </w:r>
      <w:r w:rsidRPr="007A5A94">
        <w:rPr>
          <w:color w:val="auto"/>
          <w:sz w:val="18"/>
          <w:szCs w:val="18"/>
        </w:rPr>
        <w:t xml:space="preserve"> </w:t>
      </w:r>
      <w:r w:rsidRPr="007A5A94">
        <w:rPr>
          <w:rFonts w:ascii="Times" w:hAnsi="Times" w:cs="Times New Roman"/>
          <w:color w:val="auto"/>
          <w:sz w:val="18"/>
          <w:szCs w:val="18"/>
        </w:rPr>
        <w:t xml:space="preserve">Any limitation on the woman’s right to life must meet the test laid out </w:t>
      </w:r>
      <w:r w:rsidRPr="007A5A94">
        <w:rPr>
          <w:rFonts w:ascii="Times New Roman" w:hAnsi="Times New Roman" w:cs="Times New Roman"/>
          <w:color w:val="auto"/>
          <w:sz w:val="18"/>
          <w:szCs w:val="18"/>
        </w:rPr>
        <w:t xml:space="preserve">in the </w:t>
      </w:r>
      <w:r w:rsidRPr="007A5A94">
        <w:rPr>
          <w:rFonts w:ascii="Times New Roman" w:hAnsi="Times New Roman" w:cs="Times New Roman"/>
          <w:i/>
          <w:color w:val="auto"/>
          <w:sz w:val="18"/>
          <w:szCs w:val="18"/>
        </w:rPr>
        <w:t>Siracusa Principles on the Limitation and Derogation Provisions in the International Covenant on Civil and Political Rights</w:t>
      </w:r>
      <w:r w:rsidRPr="007A5A94">
        <w:rPr>
          <w:rFonts w:ascii="Times New Roman" w:hAnsi="Times New Roman" w:cs="Times New Roman"/>
          <w:color w:val="auto"/>
          <w:sz w:val="18"/>
          <w:szCs w:val="18"/>
        </w:rPr>
        <w:t xml:space="preserve">, </w:t>
      </w:r>
      <w:r w:rsidRPr="007A5A94">
        <w:rPr>
          <w:rFonts w:ascii="Times New Roman" w:eastAsiaTheme="minorHAnsi" w:hAnsi="Times New Roman" w:cs="Times New Roman"/>
          <w:bCs/>
          <w:color w:val="auto"/>
          <w:sz w:val="18"/>
          <w:szCs w:val="18"/>
          <w:bdr w:val="none" w:sz="0" w:space="0" w:color="auto"/>
          <w:shd w:val="clear" w:color="auto" w:fill="FFFFFF"/>
          <w:lang w:eastAsia="en-US"/>
        </w:rPr>
        <w:t xml:space="preserve">U.N. Doc. E/CN.4/1985/4, Annex (1985): </w:t>
      </w:r>
      <w:r w:rsidRPr="007A5A94">
        <w:rPr>
          <w:rFonts w:ascii="Times" w:hAnsi="Times" w:cs="Times New Roman"/>
          <w:color w:val="auto"/>
          <w:sz w:val="18"/>
          <w:szCs w:val="18"/>
        </w:rPr>
        <w:t xml:space="preserve">limitations must be prescribed by law, serve a legitimate aim be necessary for achieving that aim and be proportional. The limitations, moreover, must neither affect the essence of the right so limited, nor provide unbounded discretion to the state party. Jeopardizing women’s right to life to protect prenatal life fails on its face to </w:t>
      </w:r>
      <w:r w:rsidRPr="007A5A94">
        <w:rPr>
          <w:rFonts w:ascii="Times New Roman" w:hAnsi="Times New Roman" w:cs="Times New Roman"/>
          <w:color w:val="auto"/>
          <w:sz w:val="18"/>
          <w:szCs w:val="18"/>
        </w:rPr>
        <w:t xml:space="preserve">comply with the terms of the Covenant and has not met strict criteria imposed on limitations on rights through judicial and committee review. See e.g. </w:t>
      </w:r>
      <w:r w:rsidRPr="007A5A94">
        <w:rPr>
          <w:rFonts w:ascii="Times New Roman" w:hAnsi="Times New Roman" w:cs="Times New Roman"/>
          <w:color w:val="auto"/>
          <w:sz w:val="18"/>
          <w:szCs w:val="18"/>
          <w:shd w:val="clear" w:color="auto" w:fill="FFFFFF"/>
        </w:rPr>
        <w:t xml:space="preserve">Concluding Observations of the HRC regarding: Ireland, 24 July 2014 </w:t>
      </w:r>
      <w:r w:rsidRPr="007A5A94">
        <w:rPr>
          <w:rFonts w:ascii="Times New Roman" w:hAnsi="Times New Roman" w:cs="Times New Roman"/>
          <w:bCs/>
          <w:color w:val="auto"/>
          <w:sz w:val="18"/>
          <w:szCs w:val="18"/>
          <w:shd w:val="clear" w:color="auto" w:fill="FFFFFF"/>
        </w:rPr>
        <w:t>CCPR/C/IRL/CO/4</w:t>
      </w:r>
      <w:r w:rsidRPr="007A5A94">
        <w:rPr>
          <w:rFonts w:ascii="Times New Roman" w:hAnsi="Times New Roman" w:cs="Times New Roman"/>
          <w:color w:val="auto"/>
          <w:sz w:val="18"/>
          <w:szCs w:val="18"/>
          <w:shd w:val="clear" w:color="auto" w:fill="FFFFFF"/>
        </w:rPr>
        <w:t xml:space="preserve"> at para 9; Chile, 18 May 2007, CCPR/C/CHL/CO/5 at para. 8; and Madagascar, 11 May 2007, CCPR/C/MDG/CO/3 at para. 14. </w:t>
      </w:r>
    </w:p>
  </w:footnote>
  <w:footnote w:id="5">
    <w:p w14:paraId="186A09F0" w14:textId="77777777" w:rsidR="00C16648" w:rsidRPr="007A5A94" w:rsidRDefault="00C16648" w:rsidP="00C16648">
      <w:pPr>
        <w:spacing w:line="240" w:lineRule="auto"/>
        <w:rPr>
          <w:rFonts w:ascii="Times New Roman" w:hAnsi="Times New Roman" w:cs="Times New Roman"/>
          <w:sz w:val="18"/>
          <w:szCs w:val="18"/>
        </w:rPr>
      </w:pPr>
      <w:r w:rsidRPr="007A5A94">
        <w:rPr>
          <w:rStyle w:val="FootnoteReference"/>
          <w:rFonts w:ascii="Times New Roman" w:hAnsi="Times New Roman" w:cs="Times New Roman"/>
          <w:sz w:val="18"/>
          <w:szCs w:val="18"/>
        </w:rPr>
        <w:footnoteRef/>
      </w:r>
      <w:r w:rsidRPr="007A5A94">
        <w:rPr>
          <w:rFonts w:ascii="Times New Roman" w:hAnsi="Times New Roman" w:cs="Times New Roman"/>
          <w:sz w:val="18"/>
          <w:szCs w:val="18"/>
        </w:rPr>
        <w:t xml:space="preserve">  See for example, </w:t>
      </w:r>
      <w:r w:rsidRPr="007A5A94">
        <w:rPr>
          <w:rFonts w:ascii="Times New Roman" w:hAnsi="Times New Roman" w:cs="Times New Roman"/>
          <w:color w:val="252525"/>
          <w:sz w:val="18"/>
          <w:szCs w:val="18"/>
          <w:shd w:val="clear" w:color="auto" w:fill="FFFFFF"/>
        </w:rPr>
        <w:t xml:space="preserve">Article 40.3.3 (the Eight amendment), Irish constitution; and </w:t>
      </w:r>
      <w:r w:rsidRPr="007A5A94">
        <w:rPr>
          <w:rFonts w:ascii="Times New Roman" w:hAnsi="Times New Roman" w:cs="Times New Roman"/>
          <w:sz w:val="18"/>
          <w:szCs w:val="18"/>
        </w:rPr>
        <w:t xml:space="preserve">A, B and C v. Ireland, No. 25579/05 Eur. Ct. H. R. (2010). In contrast, Germany seems to be an exception (that might prove the rule). The right of life of the woman and the fetus is equally recognized in the Constitution but the “indications” regime [Court developed and legislature ratified] grants to women the right to terminate a pregnancy for reasons of threat to her life, mental and physical health or due to rape, incest, and for fetal abnormalities. See 15 StRAndG, 1976 BGB I 1213 and Judgment of Feb. 25, 1975, BVerf3, 39 Entscheidungen des Bundesverfassungsgerichts [BVerfGE]1; for a similar holding post-reunification see 88BVerfGE 203 (1993). See also </w:t>
      </w:r>
      <w:r w:rsidRPr="007A5A94">
        <w:rPr>
          <w:rFonts w:ascii="Times New Roman" w:hAnsi="Times New Roman" w:cs="Times New Roman"/>
          <w:color w:val="222222"/>
          <w:sz w:val="18"/>
          <w:szCs w:val="18"/>
          <w:shd w:val="clear" w:color="auto" w:fill="FFFFFF"/>
        </w:rPr>
        <w:t>Gerald L. Neuman, “Casey in the mirror: abortion, abuse and the right to protection in the United States and Germany.”</w:t>
      </w:r>
      <w:r w:rsidRPr="007A5A94">
        <w:rPr>
          <w:rStyle w:val="apple-converted-space"/>
          <w:rFonts w:ascii="Times New Roman" w:hAnsi="Times New Roman" w:cs="Times New Roman"/>
          <w:color w:val="222222"/>
          <w:sz w:val="18"/>
          <w:szCs w:val="18"/>
          <w:shd w:val="clear" w:color="auto" w:fill="FFFFFF"/>
        </w:rPr>
        <w:t> </w:t>
      </w:r>
      <w:r w:rsidRPr="007A5A94">
        <w:rPr>
          <w:rFonts w:ascii="Times New Roman" w:hAnsi="Times New Roman" w:cs="Times New Roman"/>
          <w:i/>
          <w:iCs/>
          <w:color w:val="222222"/>
          <w:sz w:val="18"/>
          <w:szCs w:val="18"/>
          <w:shd w:val="clear" w:color="auto" w:fill="FFFFFF"/>
        </w:rPr>
        <w:t>The American journal of comparative law</w:t>
      </w:r>
      <w:r w:rsidRPr="007A5A94">
        <w:rPr>
          <w:rStyle w:val="apple-converted-space"/>
          <w:rFonts w:ascii="Times New Roman" w:hAnsi="Times New Roman" w:cs="Times New Roman"/>
          <w:color w:val="222222"/>
          <w:sz w:val="18"/>
          <w:szCs w:val="18"/>
          <w:shd w:val="clear" w:color="auto" w:fill="FFFFFF"/>
        </w:rPr>
        <w:t> </w:t>
      </w:r>
      <w:r w:rsidRPr="007A5A94">
        <w:rPr>
          <w:rFonts w:ascii="Times New Roman" w:hAnsi="Times New Roman" w:cs="Times New Roman"/>
          <w:color w:val="222222"/>
          <w:sz w:val="18"/>
          <w:szCs w:val="18"/>
          <w:shd w:val="clear" w:color="auto" w:fill="FFFFFF"/>
        </w:rPr>
        <w:t>(1995): 273-314.</w:t>
      </w:r>
    </w:p>
  </w:footnote>
  <w:footnote w:id="6">
    <w:p w14:paraId="370BED31"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See Committee on Economic, Social and Cultural Rights , General Comment 14, The right to the highest attainable standard of health, E/C.12/2000/4, para. 14. [Noting a duty toward pregnancy and child-birth outcomes through the provision of reproductive and sexual health services.]</w:t>
      </w:r>
    </w:p>
  </w:footnote>
  <w:footnote w:id="7">
    <w:p w14:paraId="5F9742B2"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w:t>
      </w:r>
      <w:r w:rsidRPr="007A5A94">
        <w:rPr>
          <w:bCs/>
          <w:sz w:val="18"/>
          <w:szCs w:val="18"/>
        </w:rPr>
        <w:t xml:space="preserve">Human Rights Committee, General Comment 6, Article 6 (Sixteenth session, 1982), Compilation of General Comments and General Recommendations Adopted by Human Rights Treaty Bodies, U.N. Doc. HRI\GEN\1\Rev.1 at 6 (1994). para 5. </w:t>
      </w:r>
    </w:p>
  </w:footnote>
  <w:footnote w:id="8">
    <w:p w14:paraId="48E694F5"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See Human Rights Council, Resolution 11/8. (11</w:t>
      </w:r>
      <w:r w:rsidRPr="007A5A94">
        <w:rPr>
          <w:sz w:val="18"/>
          <w:szCs w:val="18"/>
          <w:vertAlign w:val="superscript"/>
        </w:rPr>
        <w:t>th</w:t>
      </w:r>
      <w:r w:rsidRPr="007A5A94">
        <w:rPr>
          <w:sz w:val="18"/>
          <w:szCs w:val="18"/>
        </w:rPr>
        <w:t xml:space="preserve"> session, 17 June 2009), Preventable maternal mortality and morbidity and human rights.  In addition, this committee has frequently commented on the connection between restrictive abortion laws and high rates of maternal mortality.  See e.g.,</w:t>
      </w:r>
      <w:r w:rsidRPr="007A5A94">
        <w:rPr>
          <w:sz w:val="18"/>
          <w:szCs w:val="18"/>
          <w:shd w:val="clear" w:color="auto" w:fill="FFFFFF"/>
        </w:rPr>
        <w:t xml:space="preserve"> Chile, 30 March 1999, CCPR/C/79/Add.104 at para. 15; Colombia, 1 April 1997, CCPR/C/79/Add.76 at para. 24; Ecuador, 18 August 1998, CCPR/C/79/Add.92 at para. 11; Guatemala, 27 August 2001, CCPR/CO/72/GTM at para. 19; Mali, 16 April 2003, CCPR/CO/77/MLI at para. 14; Mongolia, 25 May 2000, CCPR/C/79/Add.120 at para. 8(b); Peru, 15 November 2000, CCPR/CO/70/PER at para. 20; Poland, 29 July 1999, CCPR/C/79/Add.110 at para. 11; and United Republic of Tanzania, 18 August 1998, CCPR/C/79/Add.97 at para. 15.</w:t>
      </w:r>
    </w:p>
  </w:footnote>
  <w:footnote w:id="9">
    <w:p w14:paraId="50ED633A" w14:textId="77777777" w:rsidR="00994EE5" w:rsidRPr="007A5A94" w:rsidRDefault="00994EE5" w:rsidP="003D236C">
      <w:pPr>
        <w:pStyle w:val="FootnoteText"/>
        <w:spacing w:after="0"/>
        <w:rPr>
          <w:sz w:val="18"/>
          <w:szCs w:val="18"/>
          <w:lang w:val="en-CA"/>
        </w:rPr>
      </w:pPr>
      <w:r w:rsidRPr="007A5A94">
        <w:rPr>
          <w:rStyle w:val="FootnoteReference"/>
          <w:sz w:val="18"/>
          <w:szCs w:val="18"/>
        </w:rPr>
        <w:footnoteRef/>
      </w:r>
      <w:r w:rsidRPr="007A5A94">
        <w:rPr>
          <w:sz w:val="18"/>
          <w:szCs w:val="18"/>
        </w:rPr>
        <w:t xml:space="preserve"> </w:t>
      </w:r>
      <w:r w:rsidRPr="007A5A94">
        <w:rPr>
          <w:i/>
          <w:sz w:val="18"/>
          <w:szCs w:val="18"/>
        </w:rPr>
        <w:t>Cabal and Pasini v  Australia</w:t>
      </w:r>
      <w:r w:rsidRPr="007A5A94">
        <w:rPr>
          <w:sz w:val="18"/>
          <w:szCs w:val="18"/>
        </w:rPr>
        <w:t xml:space="preserve">, Communication No. 1020/2001,  </w:t>
      </w:r>
      <w:r w:rsidRPr="007A5A94">
        <w:rPr>
          <w:color w:val="000000"/>
          <w:sz w:val="18"/>
          <w:szCs w:val="18"/>
        </w:rPr>
        <w:t>Views of 7 August 2003 at para  7.7.</w:t>
      </w:r>
    </w:p>
  </w:footnote>
  <w:footnote w:id="10">
    <w:p w14:paraId="3E049B4F" w14:textId="77777777" w:rsidR="00994EE5" w:rsidRPr="007A5A94" w:rsidRDefault="00994EE5" w:rsidP="003D236C">
      <w:pPr>
        <w:pStyle w:val="NormalWeb"/>
        <w:shd w:val="clear" w:color="auto" w:fill="FFFFFF"/>
        <w:spacing w:before="120" w:beforeAutospacing="0" w:after="120" w:afterAutospacing="0"/>
        <w:textAlignment w:val="baseline"/>
        <w:rPr>
          <w:sz w:val="18"/>
          <w:szCs w:val="18"/>
        </w:rPr>
      </w:pPr>
      <w:r w:rsidRPr="007A5A94">
        <w:rPr>
          <w:rStyle w:val="FootnoteReference"/>
          <w:sz w:val="18"/>
          <w:szCs w:val="18"/>
        </w:rPr>
        <w:footnoteRef/>
      </w:r>
      <w:r w:rsidRPr="007A5A94">
        <w:rPr>
          <w:sz w:val="18"/>
          <w:szCs w:val="18"/>
        </w:rPr>
        <w:t xml:space="preserve"> For example, </w:t>
      </w:r>
      <w:r w:rsidRPr="007A5A94">
        <w:rPr>
          <w:color w:val="000000"/>
          <w:sz w:val="18"/>
          <w:szCs w:val="18"/>
        </w:rPr>
        <w:t xml:space="preserve">Concluding Observations of the HRC: Chile, 18 May 2007, CCPR/C/CHL/CO/5 at para. 8 (criminalization risks life of woman); </w:t>
      </w:r>
      <w:r w:rsidRPr="007A5A94">
        <w:rPr>
          <w:rStyle w:val="apple-converted-space"/>
          <w:color w:val="000000"/>
          <w:sz w:val="18"/>
          <w:szCs w:val="18"/>
        </w:rPr>
        <w:t xml:space="preserve">Ecuador, </w:t>
      </w:r>
      <w:r w:rsidRPr="007A5A94">
        <w:rPr>
          <w:color w:val="000000"/>
          <w:sz w:val="18"/>
          <w:szCs w:val="18"/>
          <w:shd w:val="clear" w:color="auto" w:fill="FFFFFF"/>
        </w:rPr>
        <w:t>18 August 1998, CCPR/C/79/Add.92 at para. 11(adolescent suicide);</w:t>
      </w:r>
      <w:r w:rsidRPr="007A5A94">
        <w:rPr>
          <w:color w:val="000000"/>
          <w:sz w:val="18"/>
          <w:szCs w:val="18"/>
        </w:rPr>
        <w:t xml:space="preserve"> El Salvador, 22 August 2003, CCPR/CO/78/SLV at para. 14 (criminalization risks life of woman); Gambia, 12 August 2004, CCPR/CO/75/GMB at para. 17 (restrictions risk life of woman); Madagascar, 11 May 2007, CCPR/C/MDG/CO/3 at para. 14 (restrictions risk life of woman);</w:t>
      </w:r>
      <w:r w:rsidRPr="007A5A94">
        <w:rPr>
          <w:color w:val="000000"/>
          <w:sz w:val="18"/>
          <w:szCs w:val="18"/>
          <w:shd w:val="clear" w:color="auto" w:fill="FFFFFF"/>
        </w:rPr>
        <w:t>Mali, 16 April 2003, CCPR/CO/77/MLI at para.14</w:t>
      </w:r>
      <w:r w:rsidRPr="007A5A94">
        <w:rPr>
          <w:color w:val="000000"/>
          <w:sz w:val="18"/>
          <w:szCs w:val="18"/>
        </w:rPr>
        <w:t>(restrictions risk life of woman); Mauritius, 27 April 2005, CCPR/CO/83.MUS at para. 9 (criminalization risks life of woman); P</w:t>
      </w:r>
      <w:r w:rsidRPr="007A5A94">
        <w:rPr>
          <w:color w:val="000000"/>
          <w:sz w:val="18"/>
          <w:szCs w:val="18"/>
          <w:shd w:val="clear" w:color="auto" w:fill="FFFFFF"/>
        </w:rPr>
        <w:t>eru, 15 November 2000</w:t>
      </w:r>
      <w:r w:rsidRPr="007A5A94">
        <w:rPr>
          <w:color w:val="000000"/>
          <w:sz w:val="18"/>
          <w:szCs w:val="18"/>
        </w:rPr>
        <w:t>3 at para. 20 (rape); Poland, 2 December 2004, CCPR/CO/82/POL at para. 8l; and Venezuela, 26 April 2001, CCPR/CO/71/VEN at para. 19 (criminalization risks life of woman).</w:t>
      </w:r>
    </w:p>
  </w:footnote>
  <w:footnote w:id="11">
    <w:p w14:paraId="51C70D79"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See Committee on Economic, Social and Cultural Rights , General Comment 14, The right to the highest attainable standard of health, E/C.12/2000/4, para.3.</w:t>
      </w:r>
    </w:p>
  </w:footnote>
  <w:footnote w:id="12">
    <w:p w14:paraId="5C5CCAC0" w14:textId="77777777" w:rsidR="00994EE5" w:rsidRPr="007A5A94" w:rsidRDefault="00994EE5" w:rsidP="003D236C">
      <w:pPr>
        <w:pStyle w:val="EndnoteText"/>
        <w:rPr>
          <w:rFonts w:ascii="Times New Roman" w:hAnsi="Times New Roman"/>
          <w:sz w:val="18"/>
          <w:szCs w:val="18"/>
        </w:rPr>
      </w:pPr>
      <w:r w:rsidRPr="007A5A94">
        <w:rPr>
          <w:rStyle w:val="FootnoteReference"/>
          <w:sz w:val="18"/>
          <w:szCs w:val="18"/>
        </w:rPr>
        <w:footnoteRef/>
      </w:r>
      <w:r w:rsidRPr="007A5A94">
        <w:rPr>
          <w:sz w:val="18"/>
          <w:szCs w:val="18"/>
        </w:rPr>
        <w:t xml:space="preserve"> </w:t>
      </w:r>
      <w:r w:rsidRPr="007A5A94">
        <w:rPr>
          <w:rFonts w:ascii="Times New Roman" w:hAnsi="Times New Roman"/>
          <w:sz w:val="18"/>
          <w:szCs w:val="18"/>
        </w:rPr>
        <w:t>Center for Reproductive Rights</w:t>
      </w:r>
      <w:r w:rsidRPr="007A5A94">
        <w:rPr>
          <w:rFonts w:ascii="Times New Roman" w:hAnsi="Times New Roman"/>
          <w:smallCaps/>
          <w:sz w:val="18"/>
          <w:szCs w:val="18"/>
        </w:rPr>
        <w:t xml:space="preserve">, </w:t>
      </w:r>
      <w:r w:rsidRPr="007A5A94">
        <w:rPr>
          <w:rFonts w:ascii="Times New Roman" w:hAnsi="Times New Roman"/>
          <w:i/>
          <w:sz w:val="18"/>
          <w:szCs w:val="18"/>
        </w:rPr>
        <w:t>The World’s Abortion Laws 2015</w:t>
      </w:r>
      <w:r w:rsidRPr="007A5A94">
        <w:rPr>
          <w:rFonts w:ascii="Times New Roman" w:hAnsi="Times New Roman"/>
          <w:sz w:val="18"/>
          <w:szCs w:val="18"/>
        </w:rPr>
        <w:t xml:space="preserve"> (2015) at http://worldabortionlaws.com/.</w:t>
      </w:r>
      <w:r w:rsidRPr="007A5A94">
        <w:rPr>
          <w:rFonts w:ascii="Times New Roman" w:hAnsi="Times New Roman"/>
          <w:color w:val="FF0000"/>
          <w:sz w:val="18"/>
          <w:szCs w:val="18"/>
        </w:rPr>
        <w:t xml:space="preserve"> </w:t>
      </w:r>
    </w:p>
    <w:p w14:paraId="6EDB01E3" w14:textId="77777777" w:rsidR="00994EE5" w:rsidRPr="007A5A94" w:rsidRDefault="00994EE5" w:rsidP="003D236C">
      <w:pPr>
        <w:pStyle w:val="FootnoteText"/>
        <w:rPr>
          <w:sz w:val="18"/>
          <w:szCs w:val="18"/>
        </w:rPr>
      </w:pPr>
    </w:p>
  </w:footnote>
  <w:footnote w:id="13">
    <w:p w14:paraId="62E44F02" w14:textId="77777777" w:rsidR="00994EE5" w:rsidRPr="007A5A94" w:rsidRDefault="00994EE5">
      <w:pPr>
        <w:pStyle w:val="FootnoteText"/>
        <w:rPr>
          <w:sz w:val="18"/>
          <w:szCs w:val="18"/>
        </w:rPr>
      </w:pPr>
      <w:r w:rsidRPr="007A5A94">
        <w:rPr>
          <w:rStyle w:val="FootnoteReference"/>
          <w:sz w:val="18"/>
          <w:szCs w:val="18"/>
        </w:rPr>
        <w:footnoteRef/>
      </w:r>
      <w:r w:rsidRPr="007A5A94">
        <w:rPr>
          <w:sz w:val="18"/>
          <w:szCs w:val="18"/>
        </w:rPr>
        <w:t xml:space="preserve"> See </w:t>
      </w:r>
      <w:r w:rsidRPr="007A5A94">
        <w:rPr>
          <w:i/>
          <w:sz w:val="18"/>
          <w:szCs w:val="18"/>
        </w:rPr>
        <w:t>infra</w:t>
      </w:r>
      <w:r w:rsidR="00D4662E">
        <w:rPr>
          <w:sz w:val="18"/>
          <w:szCs w:val="18"/>
        </w:rPr>
        <w:t xml:space="preserve"> note 5</w:t>
      </w:r>
      <w:r w:rsidRPr="007A5A94">
        <w:rPr>
          <w:sz w:val="18"/>
          <w:szCs w:val="18"/>
        </w:rPr>
        <w:t xml:space="preserve"> with regard to Germany.</w:t>
      </w:r>
    </w:p>
  </w:footnote>
  <w:footnote w:id="14">
    <w:p w14:paraId="6BB7EF25"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Before UN treaty bodies see K.L. v. Peru</w:t>
      </w:r>
      <w:r w:rsidRPr="007A5A94">
        <w:rPr>
          <w:i/>
          <w:sz w:val="18"/>
          <w:szCs w:val="18"/>
        </w:rPr>
        <w:t xml:space="preserve">, </w:t>
      </w:r>
      <w:r w:rsidRPr="007A5A94">
        <w:rPr>
          <w:sz w:val="18"/>
          <w:szCs w:val="18"/>
        </w:rPr>
        <w:t>Human Rights Committee</w:t>
      </w:r>
      <w:r w:rsidRPr="007A5A94">
        <w:rPr>
          <w:i/>
          <w:sz w:val="18"/>
          <w:szCs w:val="18"/>
        </w:rPr>
        <w:t>,</w:t>
      </w:r>
      <w:r w:rsidRPr="007A5A94">
        <w:rPr>
          <w:sz w:val="18"/>
          <w:szCs w:val="18"/>
        </w:rPr>
        <w:t xml:space="preserve"> Commc’n No. 1153/2003, U.N. Doc. CCPR/C/85/D/1153/2003 (2005); L.M.R. v. Argentina, Human Rights Committee, Commc’n No. 1608/2007, U.N. Doc. CCPR/C/101/D/1608/2007 (2011); L.C. v. Peru, Committee on the Elimination of Discrimination against Women (CEDAW Committee), Commc’n No. 22/2009, U.N. Doc. CEDAW/C/50/D/22/2009 (2011); before the European Court of Human Rights: Tysiąc v. Poland, No. 5410/03 Eur. Ct. H.R., </w:t>
      </w:r>
      <w:r w:rsidRPr="007A5A94">
        <w:rPr>
          <w:sz w:val="18"/>
          <w:szCs w:val="18"/>
          <w:lang w:val="es-CO"/>
        </w:rPr>
        <w:t>(2007);</w:t>
      </w:r>
      <w:r w:rsidRPr="007A5A94">
        <w:rPr>
          <w:sz w:val="18"/>
          <w:szCs w:val="18"/>
        </w:rPr>
        <w:t xml:space="preserve">P. and S. v. Poland, No. 57375/08 Eur. Ct. H.R (2008); A, B and C v. Ireland, No. 25579/05 Eur. Ct. H. R., paras. 245-268. (2010) and </w:t>
      </w:r>
      <w:r w:rsidRPr="007A5A94">
        <w:rPr>
          <w:sz w:val="18"/>
          <w:szCs w:val="18"/>
          <w:lang w:val="es-CO"/>
        </w:rPr>
        <w:t>R.R. v. Poland, No. 27617/04 Eur. Ct. H. R.</w:t>
      </w:r>
      <w:r w:rsidRPr="007A5A94">
        <w:rPr>
          <w:sz w:val="18"/>
          <w:szCs w:val="18"/>
        </w:rPr>
        <w:t xml:space="preserve"> (2011); and before the Inter-American Court of Human Rights see Xákmok Kásek Indigenous Community v. Paraguay, Merits, Reparations, and Costs, Judgment, Inter-Am. Ct. H.R. (Aug. 24, 2010).</w:t>
      </w:r>
    </w:p>
  </w:footnote>
  <w:footnote w:id="15">
    <w:p w14:paraId="0A5E3C1B"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w:t>
      </w:r>
      <w:r w:rsidRPr="007A5A94">
        <w:rPr>
          <w:color w:val="000000"/>
          <w:sz w:val="18"/>
          <w:szCs w:val="18"/>
          <w:shd w:val="clear" w:color="auto" w:fill="FFFFFF"/>
        </w:rPr>
        <w:t>HRC, General Comment No. 28: Article 3 (Equality of rights between men and women), in Compilation of General Comments supra n. 32 at 179, para. 10.</w:t>
      </w:r>
      <w:r w:rsidRPr="007A5A94">
        <w:rPr>
          <w:color w:val="000000"/>
          <w:sz w:val="18"/>
          <w:szCs w:val="18"/>
        </w:rPr>
        <w:t xml:space="preserve"> [requesting that states parties to “give information on any measures taken by the State to help women prevent unwanted pregnancies,” in reporting under Article 6, and “to ensure that they do not have to undergo life-threatening clandestine abortions.”] The Committee on the Elimination of Discrimination against Women also considers restrictive abortion laws to violate women’s rights to equality stating “</w:t>
      </w:r>
      <w:r w:rsidRPr="007A5A94">
        <w:rPr>
          <w:color w:val="000000"/>
          <w:sz w:val="18"/>
          <w:szCs w:val="18"/>
          <w:shd w:val="clear" w:color="auto" w:fill="FFFFFF"/>
        </w:rPr>
        <w:t>it is discriminatory for a State Party to refuse to provide legally for the performance of certain reproductive health services for women</w:t>
      </w:r>
      <w:r w:rsidRPr="007A5A94">
        <w:rPr>
          <w:color w:val="000000"/>
          <w:sz w:val="18"/>
          <w:szCs w:val="18"/>
        </w:rPr>
        <w:t xml:space="preserve">.”  </w:t>
      </w:r>
      <w:r w:rsidRPr="007A5A94">
        <w:rPr>
          <w:color w:val="000000"/>
          <w:sz w:val="18"/>
          <w:szCs w:val="18"/>
          <w:shd w:val="clear" w:color="auto" w:fill="FFFFFF"/>
        </w:rPr>
        <w:t>Committee on the Elimination of Discrimination Against Women, General Recommendation 24: Article 12 of the Convention (Women and Health), in Compilation of General Comments at 276, para. 11</w:t>
      </w:r>
    </w:p>
  </w:footnote>
  <w:footnote w:id="16">
    <w:p w14:paraId="5C348D62"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Concluding observations of the CRPD: of Hungary, 22 October 2012, CRPD/ C/HUN/CO/1 at paras 17-18; Spain, 19 October 2011, CRPD/C/ESP/CO/1 at paras 17-18.</w:t>
      </w:r>
    </w:p>
  </w:footnote>
  <w:footnote w:id="17">
    <w:p w14:paraId="6720BD91" w14:textId="77777777" w:rsidR="00994EE5" w:rsidRPr="007A5A94" w:rsidRDefault="00994EE5" w:rsidP="003D236C">
      <w:pPr>
        <w:pStyle w:val="FootnoteText"/>
        <w:rPr>
          <w:sz w:val="18"/>
          <w:szCs w:val="18"/>
        </w:rPr>
      </w:pPr>
      <w:r w:rsidRPr="007A5A94">
        <w:rPr>
          <w:rStyle w:val="FootnoteReference"/>
          <w:sz w:val="18"/>
          <w:szCs w:val="18"/>
        </w:rPr>
        <w:footnoteRef/>
      </w:r>
      <w:r w:rsidRPr="007A5A94">
        <w:rPr>
          <w:sz w:val="18"/>
          <w:szCs w:val="18"/>
        </w:rPr>
        <w:t xml:space="preserve"> </w:t>
      </w:r>
      <w:r w:rsidRPr="007A5A94">
        <w:rPr>
          <w:color w:val="000000"/>
          <w:sz w:val="18"/>
          <w:szCs w:val="18"/>
        </w:rPr>
        <w:t>See</w:t>
      </w:r>
      <w:r w:rsidRPr="007A5A94">
        <w:rPr>
          <w:sz w:val="18"/>
          <w:szCs w:val="18"/>
          <w:shd w:val="clear" w:color="auto" w:fill="FFFFFF"/>
        </w:rPr>
        <w:t xml:space="preserve"> Carole J. Petersen, "Reproductive Justice, Public Policy, and Abortion on the Basis of Fetal Impairment: Lessons from International Human Rights Law and the Potential Impact of the Convention on the Rights of Persons with Disabilities."</w:t>
      </w:r>
      <w:r w:rsidRPr="007A5A94">
        <w:rPr>
          <w:rStyle w:val="apple-converted-space"/>
          <w:sz w:val="18"/>
          <w:szCs w:val="18"/>
          <w:shd w:val="clear" w:color="auto" w:fill="FFFFFF"/>
        </w:rPr>
        <w:t> </w:t>
      </w:r>
      <w:r w:rsidRPr="007A5A94">
        <w:rPr>
          <w:i/>
          <w:iCs/>
          <w:sz w:val="18"/>
          <w:szCs w:val="18"/>
          <w:shd w:val="clear" w:color="auto" w:fill="FFFFFF"/>
        </w:rPr>
        <w:t>Journal of Law and Health</w:t>
      </w:r>
      <w:r w:rsidRPr="007A5A94">
        <w:rPr>
          <w:rStyle w:val="apple-converted-space"/>
          <w:sz w:val="18"/>
          <w:szCs w:val="18"/>
          <w:shd w:val="clear" w:color="auto" w:fill="FFFFFF"/>
        </w:rPr>
        <w:t> </w:t>
      </w:r>
      <w:r w:rsidRPr="007A5A94">
        <w:rPr>
          <w:sz w:val="18"/>
          <w:szCs w:val="18"/>
          <w:shd w:val="clear" w:color="auto" w:fill="FFFFFF"/>
        </w:rPr>
        <w:t>28.1 (2015): 121, 161-163.</w:t>
      </w:r>
      <w:r w:rsidR="00CB2A41" w:rsidRPr="007A5A94">
        <w:rPr>
          <w:sz w:val="18"/>
          <w:szCs w:val="18"/>
          <w:shd w:val="clear" w:color="auto" w:fill="FFFFFF"/>
        </w:rPr>
        <w:t>[Discussing an attempted repeal of Spain’s abortion law.]</w:t>
      </w:r>
      <w:r w:rsidR="00CB2A41" w:rsidRPr="007A5A94">
        <w:rPr>
          <w:color w:val="000000"/>
          <w:sz w:val="18"/>
          <w:szCs w:val="18"/>
        </w:rPr>
        <w:t xml:space="preserve"> If the CRPD is concerned that such an indication reflects (or augments) stigma and discrimination towards those </w:t>
      </w:r>
      <w:r w:rsidR="00CB2A41" w:rsidRPr="007A5A94">
        <w:rPr>
          <w:i/>
          <w:color w:val="000000"/>
          <w:sz w:val="18"/>
          <w:szCs w:val="18"/>
        </w:rPr>
        <w:t>already living</w:t>
      </w:r>
      <w:r w:rsidR="00CB2A41" w:rsidRPr="007A5A94">
        <w:rPr>
          <w:color w:val="000000"/>
          <w:sz w:val="18"/>
          <w:szCs w:val="18"/>
        </w:rPr>
        <w:t xml:space="preserve"> with disabilities, its observations may also accord with existing understandings. However the CRPD has not articulated its reasoning in this manner. </w:t>
      </w:r>
    </w:p>
  </w:footnote>
  <w:footnote w:id="18">
    <w:p w14:paraId="6E156320" w14:textId="77777777" w:rsidR="007D2FFF" w:rsidRPr="007A5A94" w:rsidRDefault="007D2FFF">
      <w:pPr>
        <w:pStyle w:val="FootnoteText"/>
        <w:rPr>
          <w:sz w:val="18"/>
          <w:szCs w:val="18"/>
        </w:rPr>
      </w:pPr>
      <w:r w:rsidRPr="007A5A94">
        <w:rPr>
          <w:rStyle w:val="FootnoteReference"/>
          <w:sz w:val="18"/>
          <w:szCs w:val="18"/>
        </w:rPr>
        <w:footnoteRef/>
      </w:r>
      <w:r w:rsidRPr="007A5A94">
        <w:rPr>
          <w:sz w:val="18"/>
          <w:szCs w:val="18"/>
        </w:rPr>
        <w:t xml:space="preserve"> Concluding Observation,Spain, 19 October 2011, CRPD/C/ESP/CO/1 at paras 17.</w:t>
      </w:r>
    </w:p>
  </w:footnote>
  <w:footnote w:id="19">
    <w:p w14:paraId="4588C1B4" w14:textId="77777777" w:rsidR="00994EE5" w:rsidRPr="007A5A94" w:rsidRDefault="00994EE5" w:rsidP="003D236C">
      <w:pPr>
        <w:spacing w:line="240" w:lineRule="auto"/>
        <w:rPr>
          <w:rFonts w:ascii="Times New Roman" w:hAnsi="Times New Roman" w:cs="Times New Roman"/>
          <w:sz w:val="18"/>
          <w:szCs w:val="18"/>
        </w:rPr>
      </w:pPr>
      <w:r w:rsidRPr="007A5A94">
        <w:rPr>
          <w:rStyle w:val="FootnoteReference"/>
          <w:rFonts w:ascii="Times New Roman" w:hAnsi="Times New Roman" w:cs="Times New Roman"/>
          <w:sz w:val="18"/>
          <w:szCs w:val="18"/>
        </w:rPr>
        <w:footnoteRef/>
      </w:r>
      <w:r w:rsidR="00D54A58" w:rsidRPr="007A5A94">
        <w:rPr>
          <w:rFonts w:ascii="Times New Roman" w:hAnsi="Times New Roman" w:cs="Times New Roman"/>
          <w:sz w:val="18"/>
          <w:szCs w:val="18"/>
        </w:rPr>
        <w:t xml:space="preserve"> </w:t>
      </w:r>
      <w:r w:rsidR="007D2FFF" w:rsidRPr="007A5A94">
        <w:rPr>
          <w:rFonts w:ascii="Times New Roman" w:hAnsi="Times New Roman" w:cs="Times New Roman"/>
          <w:color w:val="000000"/>
          <w:sz w:val="18"/>
          <w:szCs w:val="18"/>
        </w:rPr>
        <w:t>Some fetal impairments, moreover, increase risks to a woman’s health during childbirth; this specific indication might be viewed as reinforcing life and health exceptions to abortion laws.</w:t>
      </w:r>
      <w:r w:rsidR="007D2FFF" w:rsidRPr="007A5A94">
        <w:rPr>
          <w:rFonts w:ascii="Times New Roman" w:hAnsi="Times New Roman" w:cs="Times New Roman"/>
          <w:sz w:val="18"/>
          <w:szCs w:val="18"/>
        </w:rPr>
        <w:t xml:space="preserve"> </w:t>
      </w:r>
      <w:r w:rsidR="00D54A58" w:rsidRPr="007A5A94">
        <w:rPr>
          <w:rFonts w:ascii="Times New Roman" w:hAnsi="Times New Roman" w:cs="Times New Roman"/>
          <w:sz w:val="18"/>
          <w:szCs w:val="18"/>
        </w:rPr>
        <w:t xml:space="preserve">See </w:t>
      </w:r>
      <w:r w:rsidRPr="007A5A94">
        <w:rPr>
          <w:rFonts w:ascii="Times New Roman" w:hAnsi="Times New Roman" w:cs="Times New Roman"/>
          <w:sz w:val="18"/>
          <w:szCs w:val="18"/>
        </w:rPr>
        <w:t>International Federation of Gynaecologists and Obstetricians (FIGO), INTRODUCTION TO PRINCIPLES AND PRACTICE OF BIOETHICS: CASE-STUDIES IN WOMEN’S HEALTH By the Committee on Ethical Aspects of Human Reproduction and Women's Health, 2012,p. 23 [“Anencephaly is associated with risks if dysfunctional labour and complicated delivery, and stressful newborn care until death.”]</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B8C0" w14:textId="77777777" w:rsidR="007A5A94" w:rsidRPr="008023CF" w:rsidRDefault="008023CF" w:rsidP="007A5A94">
    <w:pPr>
      <w:pStyle w:val="Header"/>
      <w:jc w:val="center"/>
      <w:rPr>
        <w:rFonts w:ascii="Garamond" w:hAnsi="Garamond"/>
        <w:b/>
        <w:smallCaps/>
        <w:sz w:val="28"/>
        <w:szCs w:val="28"/>
      </w:rPr>
    </w:pPr>
    <w:r>
      <w:rPr>
        <w:noProof/>
      </w:rPr>
      <w:drawing>
        <wp:anchor distT="0" distB="0" distL="114300" distR="114300" simplePos="0" relativeHeight="251658240" behindDoc="0" locked="0" layoutInCell="1" allowOverlap="1" wp14:anchorId="4468045E" wp14:editId="657C596C">
          <wp:simplePos x="0" y="0"/>
          <wp:positionH relativeFrom="column">
            <wp:posOffset>25400</wp:posOffset>
          </wp:positionH>
          <wp:positionV relativeFrom="paragraph">
            <wp:posOffset>-200850</wp:posOffset>
          </wp:positionV>
          <wp:extent cx="889000" cy="658050"/>
          <wp:effectExtent l="0" t="0" r="6350" b="8890"/>
          <wp:wrapNone/>
          <wp:docPr id="3" name="Picture 3" descr="http://today.law.harvard.edu/wp-content/uploads/2014/01/sh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oday.law.harvard.edu/wp-content/uploads/2014/01/shiel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658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A94" w:rsidRPr="008023CF">
      <w:rPr>
        <w:rFonts w:ascii="Garamond" w:hAnsi="Garamond"/>
        <w:b/>
        <w:smallCaps/>
        <w:sz w:val="28"/>
        <w:szCs w:val="28"/>
      </w:rPr>
      <w:t>Harvard Law School</w:t>
    </w:r>
  </w:p>
  <w:p w14:paraId="237655B9" w14:textId="77777777" w:rsidR="007A5A94" w:rsidRPr="008023CF" w:rsidRDefault="007A5A94" w:rsidP="007A5A94">
    <w:pPr>
      <w:pStyle w:val="Header"/>
      <w:jc w:val="center"/>
      <w:rPr>
        <w:rFonts w:ascii="Garamond" w:hAnsi="Garamond"/>
        <w:b/>
        <w:smallCaps/>
        <w:sz w:val="28"/>
        <w:szCs w:val="28"/>
      </w:rPr>
    </w:pPr>
    <w:r w:rsidRPr="008023CF">
      <w:rPr>
        <w:rFonts w:ascii="Garamond" w:hAnsi="Garamond"/>
        <w:b/>
        <w:smallCaps/>
        <w:sz w:val="28"/>
        <w:szCs w:val="28"/>
      </w:rPr>
      <w:t>Cambridge – Massachusetts – 02138</w:t>
    </w:r>
  </w:p>
  <w:p w14:paraId="0DC367FC" w14:textId="77777777" w:rsidR="007A5A94" w:rsidRDefault="007A5A94" w:rsidP="007A5A9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2CA2"/>
    <w:multiLevelType w:val="hybridMultilevel"/>
    <w:tmpl w:val="BBF2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86318"/>
    <w:multiLevelType w:val="hybridMultilevel"/>
    <w:tmpl w:val="7A3E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D859A0"/>
    <w:multiLevelType w:val="hybridMultilevel"/>
    <w:tmpl w:val="51CC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6C"/>
    <w:rsid w:val="000231EF"/>
    <w:rsid w:val="0012233A"/>
    <w:rsid w:val="00162F77"/>
    <w:rsid w:val="001B10D6"/>
    <w:rsid w:val="001C51F0"/>
    <w:rsid w:val="001E5F65"/>
    <w:rsid w:val="002205D6"/>
    <w:rsid w:val="002376BE"/>
    <w:rsid w:val="00297E18"/>
    <w:rsid w:val="002F0EDA"/>
    <w:rsid w:val="002F3E0E"/>
    <w:rsid w:val="0031693B"/>
    <w:rsid w:val="00351A6F"/>
    <w:rsid w:val="003D236C"/>
    <w:rsid w:val="00431314"/>
    <w:rsid w:val="004E3089"/>
    <w:rsid w:val="00544D6A"/>
    <w:rsid w:val="00545F64"/>
    <w:rsid w:val="005660AE"/>
    <w:rsid w:val="00634A93"/>
    <w:rsid w:val="00650974"/>
    <w:rsid w:val="00663794"/>
    <w:rsid w:val="00677C1E"/>
    <w:rsid w:val="006847A7"/>
    <w:rsid w:val="007050BE"/>
    <w:rsid w:val="00776D33"/>
    <w:rsid w:val="007A5A94"/>
    <w:rsid w:val="007D2FFF"/>
    <w:rsid w:val="007F03B3"/>
    <w:rsid w:val="008023CF"/>
    <w:rsid w:val="008700C2"/>
    <w:rsid w:val="00871E87"/>
    <w:rsid w:val="00875557"/>
    <w:rsid w:val="008A5C83"/>
    <w:rsid w:val="008C50E9"/>
    <w:rsid w:val="00924F6C"/>
    <w:rsid w:val="00934433"/>
    <w:rsid w:val="009757ED"/>
    <w:rsid w:val="00992355"/>
    <w:rsid w:val="00994EE5"/>
    <w:rsid w:val="00A5201F"/>
    <w:rsid w:val="00A53743"/>
    <w:rsid w:val="00A80535"/>
    <w:rsid w:val="00A8265D"/>
    <w:rsid w:val="00B1613C"/>
    <w:rsid w:val="00B23FBB"/>
    <w:rsid w:val="00B32DE7"/>
    <w:rsid w:val="00B57375"/>
    <w:rsid w:val="00B8484B"/>
    <w:rsid w:val="00B95635"/>
    <w:rsid w:val="00C16648"/>
    <w:rsid w:val="00C72F07"/>
    <w:rsid w:val="00C84F90"/>
    <w:rsid w:val="00CA7FCF"/>
    <w:rsid w:val="00CB2A41"/>
    <w:rsid w:val="00CE51D7"/>
    <w:rsid w:val="00CF0231"/>
    <w:rsid w:val="00D4662E"/>
    <w:rsid w:val="00D54A58"/>
    <w:rsid w:val="00D67890"/>
    <w:rsid w:val="00DA7C9C"/>
    <w:rsid w:val="00E05476"/>
    <w:rsid w:val="00E41C9B"/>
    <w:rsid w:val="00ED5D6D"/>
    <w:rsid w:val="00EE2D2F"/>
    <w:rsid w:val="00F0701E"/>
    <w:rsid w:val="00F47073"/>
    <w:rsid w:val="00F52E4C"/>
    <w:rsid w:val="00FF4FDC"/>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1F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Footnote Text Char Char Char Char Char Char Char Char Char,Footnote Text Char Char Ch Char Char,Footnote Text Char Char Ch Char Char Char Char Char,Footnote Text Char Char Char Ch Char,FA Fu Char"/>
    <w:basedOn w:val="DefaultParagraphFont"/>
    <w:link w:val="FootnoteText"/>
    <w:locked/>
    <w:rsid w:val="003D236C"/>
    <w:rPr>
      <w:rFonts w:ascii="Times New Roman" w:hAnsi="Times New Roman" w:cs="Times New Roman"/>
      <w:sz w:val="20"/>
      <w:szCs w:val="20"/>
    </w:rPr>
  </w:style>
  <w:style w:type="paragraph" w:styleId="FootnoteText">
    <w:name w:val="footnote text"/>
    <w:aliases w:val="Footnote Text Char Char Char,Footnote Text Char Char Char Char Char Char Char Char,Footnote Text Char Char Ch Char,Footnote Text Char Char Ch Char Char Char Char,Footnote Text Char Char Char Ch,FA Fu,Footnote Text Char2,FA Char1"/>
    <w:basedOn w:val="Normal"/>
    <w:link w:val="FootnoteTextChar"/>
    <w:unhideWhenUsed/>
    <w:rsid w:val="003D236C"/>
    <w:pPr>
      <w:spacing w:after="240" w:line="240" w:lineRule="auto"/>
    </w:pPr>
    <w:rPr>
      <w:rFonts w:ascii="Times New Roman" w:hAnsi="Times New Roman" w:cs="Times New Roman"/>
      <w:sz w:val="20"/>
      <w:szCs w:val="20"/>
    </w:rPr>
  </w:style>
  <w:style w:type="character" w:customStyle="1" w:styleId="FootnoteTextChar1">
    <w:name w:val="Footnote Text Char1"/>
    <w:basedOn w:val="DefaultParagraphFont"/>
    <w:uiPriority w:val="99"/>
    <w:semiHidden/>
    <w:rsid w:val="003D236C"/>
    <w:rPr>
      <w:sz w:val="20"/>
      <w:szCs w:val="20"/>
    </w:rPr>
  </w:style>
  <w:style w:type="character" w:styleId="FootnoteReference">
    <w:name w:val="footnote reference"/>
    <w:aliases w:val="Footnotes refss,ftref,Fago Fußnotenzeichen,Ref,de nota al pie,fr,oc-footreference,oc-footnoteref,oc-footreference1,oc-footnoteref1,(Diplomarbeit FZ),-E Fußnotenzeichen,(Diplomarbeit FZ)1,(Dipl...,(Diplomarbeit FZ)2,(Diplomarbeit FZ)3"/>
    <w:basedOn w:val="DefaultParagraphFont"/>
    <w:link w:val="BVIfnr"/>
    <w:unhideWhenUsed/>
    <w:rsid w:val="003D236C"/>
    <w:rPr>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callout,BVI fnr"/>
    <w:basedOn w:val="Normal"/>
    <w:link w:val="FootnoteReference"/>
    <w:rsid w:val="003D236C"/>
    <w:pPr>
      <w:spacing w:after="160" w:line="240" w:lineRule="exact"/>
    </w:pPr>
    <w:rPr>
      <w:vertAlign w:val="superscript"/>
    </w:rPr>
  </w:style>
  <w:style w:type="paragraph" w:styleId="EndnoteText">
    <w:name w:val="endnote text"/>
    <w:aliases w:val="en"/>
    <w:basedOn w:val="Normal"/>
    <w:link w:val="EndnoteTextChar"/>
    <w:unhideWhenUsed/>
    <w:rsid w:val="003D236C"/>
    <w:pPr>
      <w:spacing w:after="0" w:line="240" w:lineRule="auto"/>
    </w:pPr>
    <w:rPr>
      <w:sz w:val="20"/>
      <w:szCs w:val="20"/>
    </w:rPr>
  </w:style>
  <w:style w:type="character" w:customStyle="1" w:styleId="EndnoteTextChar">
    <w:name w:val="Endnote Text Char"/>
    <w:aliases w:val="en Char"/>
    <w:basedOn w:val="DefaultParagraphFont"/>
    <w:link w:val="EndnoteText"/>
    <w:rsid w:val="003D236C"/>
    <w:rPr>
      <w:sz w:val="20"/>
      <w:szCs w:val="20"/>
    </w:rPr>
  </w:style>
  <w:style w:type="character" w:customStyle="1" w:styleId="apple-converted-space">
    <w:name w:val="apple-converted-space"/>
    <w:basedOn w:val="DefaultParagraphFont"/>
    <w:rsid w:val="003D236C"/>
  </w:style>
  <w:style w:type="paragraph" w:styleId="Header">
    <w:name w:val="header"/>
    <w:basedOn w:val="Normal"/>
    <w:link w:val="HeaderChar"/>
    <w:uiPriority w:val="99"/>
    <w:unhideWhenUsed/>
    <w:rsid w:val="003D2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36C"/>
  </w:style>
  <w:style w:type="paragraph" w:styleId="Footer">
    <w:name w:val="footer"/>
    <w:basedOn w:val="Normal"/>
    <w:link w:val="FooterChar"/>
    <w:uiPriority w:val="99"/>
    <w:unhideWhenUsed/>
    <w:rsid w:val="003D2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36C"/>
  </w:style>
  <w:style w:type="paragraph" w:styleId="NormalWeb">
    <w:name w:val="Normal (Web)"/>
    <w:basedOn w:val="Normal"/>
    <w:uiPriority w:val="99"/>
    <w:unhideWhenUsed/>
    <w:rsid w:val="003D23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A">
    <w:name w:val="Body A"/>
    <w:link w:val="BodyAChar"/>
    <w:rsid w:val="003D236C"/>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fr-CH"/>
    </w:rPr>
  </w:style>
  <w:style w:type="character" w:customStyle="1" w:styleId="BodyAChar">
    <w:name w:val="Body A Char"/>
    <w:basedOn w:val="DefaultParagraphFont"/>
    <w:link w:val="BodyA"/>
    <w:rsid w:val="003D236C"/>
    <w:rPr>
      <w:rFonts w:ascii="Calibri" w:eastAsia="Calibri" w:hAnsi="Calibri" w:cs="Calibri"/>
      <w:color w:val="000000"/>
      <w:u w:color="000000"/>
      <w:bdr w:val="nil"/>
      <w:lang w:eastAsia="fr-CH"/>
    </w:rPr>
  </w:style>
  <w:style w:type="paragraph" w:styleId="ListParagraph">
    <w:name w:val="List Paragraph"/>
    <w:basedOn w:val="Normal"/>
    <w:uiPriority w:val="34"/>
    <w:qFormat/>
    <w:rsid w:val="003D236C"/>
    <w:pPr>
      <w:ind w:left="720"/>
      <w:contextualSpacing/>
    </w:pPr>
  </w:style>
  <w:style w:type="paragraph" w:styleId="BalloonText">
    <w:name w:val="Balloon Text"/>
    <w:basedOn w:val="Normal"/>
    <w:link w:val="BalloonTextChar"/>
    <w:uiPriority w:val="99"/>
    <w:semiHidden/>
    <w:unhideWhenUsed/>
    <w:rsid w:val="003D2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36C"/>
    <w:rPr>
      <w:rFonts w:ascii="Tahoma" w:hAnsi="Tahoma" w:cs="Tahoma"/>
      <w:sz w:val="16"/>
      <w:szCs w:val="16"/>
    </w:rPr>
  </w:style>
  <w:style w:type="character" w:styleId="Hyperlink">
    <w:name w:val="Hyperlink"/>
    <w:basedOn w:val="DefaultParagraphFont"/>
    <w:uiPriority w:val="99"/>
    <w:semiHidden/>
    <w:unhideWhenUsed/>
    <w:rsid w:val="009757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66355">
      <w:bodyDiv w:val="1"/>
      <w:marLeft w:val="0"/>
      <w:marRight w:val="0"/>
      <w:marTop w:val="0"/>
      <w:marBottom w:val="0"/>
      <w:divBdr>
        <w:top w:val="none" w:sz="0" w:space="0" w:color="auto"/>
        <w:left w:val="none" w:sz="0" w:space="0" w:color="auto"/>
        <w:bottom w:val="none" w:sz="0" w:space="0" w:color="auto"/>
        <w:right w:val="none" w:sz="0" w:space="0" w:color="auto"/>
      </w:divBdr>
      <w:divsChild>
        <w:div w:id="84686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EA98F-F7BF-41D2-960F-135D69EF3967}"/>
</file>

<file path=customXml/itemProps2.xml><?xml version="1.0" encoding="utf-8"?>
<ds:datastoreItem xmlns:ds="http://schemas.openxmlformats.org/officeDocument/2006/customXml" ds:itemID="{3DFDDD93-03E1-BC48-8EC1-F0DC894F3CE2}"/>
</file>

<file path=customXml/itemProps3.xml><?xml version="1.0" encoding="utf-8"?>
<ds:datastoreItem xmlns:ds="http://schemas.openxmlformats.org/officeDocument/2006/customXml" ds:itemID="{CD9B3CEF-ED3E-4F36-9168-BD6DD602F556}"/>
</file>

<file path=customXml/itemProps4.xml><?xml version="1.0" encoding="utf-8"?>
<ds:datastoreItem xmlns:ds="http://schemas.openxmlformats.org/officeDocument/2006/customXml" ds:itemID="{9787E6B3-A56D-430A-A69E-5F0F504F648B}"/>
</file>

<file path=docProps/app.xml><?xml version="1.0" encoding="utf-8"?>
<Properties xmlns="http://schemas.openxmlformats.org/officeDocument/2006/extended-properties" xmlns:vt="http://schemas.openxmlformats.org/officeDocument/2006/docPropsVTypes">
  <Template>Normal.dotm</Template>
  <TotalTime>38</TotalTime>
  <Pages>5</Pages>
  <Words>1118</Words>
  <Characters>6378</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mroseman</dc:creator>
  <cp:lastModifiedBy>Mindy Roseman Roseman</cp:lastModifiedBy>
  <cp:revision>38</cp:revision>
  <cp:lastPrinted>2015-06-26T15:01:00Z</cp:lastPrinted>
  <dcterms:created xsi:type="dcterms:W3CDTF">2015-06-27T20:52:00Z</dcterms:created>
  <dcterms:modified xsi:type="dcterms:W3CDTF">2015-06-27T21:30:00Z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2918000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