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12" w:rsidRDefault="007A3512">
      <w:pPr>
        <w:rPr>
          <w:b/>
          <w:sz w:val="28"/>
          <w:szCs w:val="28"/>
        </w:rPr>
      </w:pPr>
    </w:p>
    <w:p w:rsidR="006F3B0E" w:rsidRPr="0081293F" w:rsidRDefault="0081293F">
      <w:pPr>
        <w:rPr>
          <w:b/>
          <w:sz w:val="28"/>
          <w:szCs w:val="28"/>
        </w:rPr>
      </w:pPr>
      <w:r w:rsidRPr="0081293F">
        <w:rPr>
          <w:b/>
          <w:sz w:val="28"/>
          <w:szCs w:val="28"/>
        </w:rPr>
        <w:t>Written Submission to the Human Rights Committee by Former Special Rapporteurs</w:t>
      </w:r>
      <w:r w:rsidR="00502F06">
        <w:rPr>
          <w:b/>
          <w:sz w:val="28"/>
          <w:szCs w:val="28"/>
        </w:rPr>
        <w:t>*</w:t>
      </w:r>
      <w:r w:rsidRPr="0081293F">
        <w:rPr>
          <w:b/>
          <w:sz w:val="28"/>
          <w:szCs w:val="28"/>
        </w:rPr>
        <w:t xml:space="preserve"> for the Half Day of General Discussion on General Comment 36 on the Right to Life (Article 6)</w:t>
      </w:r>
    </w:p>
    <w:p w:rsidR="0081293F" w:rsidRDefault="0081293F"/>
    <w:p w:rsidR="006F3B0E" w:rsidRDefault="006F3B0E">
      <w:r>
        <w:t>We are writing as former special rapporteurs on rights to adequate housing, food, water and sanitation</w:t>
      </w:r>
      <w:r w:rsidR="004A13B5">
        <w:t xml:space="preserve">, </w:t>
      </w:r>
      <w:r w:rsidR="004C34BB">
        <w:t xml:space="preserve">extreme </w:t>
      </w:r>
      <w:r w:rsidR="004A13B5">
        <w:t>poverty</w:t>
      </w:r>
      <w:r>
        <w:t xml:space="preserve"> and the highest attainable standard of health with respect to the Committee’s preparation of General Comment 36 on the right to life in article 6 of the ICCPR.</w:t>
      </w:r>
    </w:p>
    <w:p w:rsidR="00DB535B" w:rsidRDefault="000376C1">
      <w:r>
        <w:t>In our previous roles as</w:t>
      </w:r>
      <w:r w:rsidR="006F3B0E">
        <w:t xml:space="preserve"> special rapporteurs</w:t>
      </w:r>
      <w:r w:rsidR="00DB535B">
        <w:t>, each of</w:t>
      </w:r>
      <w:r w:rsidR="007D2807">
        <w:t xml:space="preserve"> us has </w:t>
      </w:r>
      <w:r w:rsidR="006F3B0E">
        <w:t>witness</w:t>
      </w:r>
      <w:r w:rsidR="00623D3B">
        <w:t>ed</w:t>
      </w:r>
      <w:r w:rsidR="006F3B0E">
        <w:t xml:space="preserve"> the</w:t>
      </w:r>
      <w:r w:rsidR="00623D3B">
        <w:t xml:space="preserve"> massive loss of life and the</w:t>
      </w:r>
      <w:r w:rsidR="006F3B0E">
        <w:t xml:space="preserve"> </w:t>
      </w:r>
      <w:r w:rsidR="0081293F">
        <w:t>catastrophic</w:t>
      </w:r>
      <w:r w:rsidR="006F3B0E">
        <w:t xml:space="preserve"> </w:t>
      </w:r>
      <w:r w:rsidR="00623D3B">
        <w:t xml:space="preserve">effects on </w:t>
      </w:r>
      <w:r>
        <w:t xml:space="preserve">health, dignity and security resulting from states’ and the international community’s failure to take positive measures to ensure access to </w:t>
      </w:r>
      <w:r w:rsidR="006F3B0E">
        <w:t>adequate hous</w:t>
      </w:r>
      <w:r>
        <w:t>ing, food, saf</w:t>
      </w:r>
      <w:r w:rsidR="00DB535B">
        <w:t xml:space="preserve">e drinking water, sanitation, </w:t>
      </w:r>
      <w:r>
        <w:t>health care</w:t>
      </w:r>
      <w:r w:rsidR="004C34BB">
        <w:t>, social protection</w:t>
      </w:r>
      <w:r w:rsidR="00DB535B">
        <w:t xml:space="preserve"> and other requirements of life and personal security</w:t>
      </w:r>
      <w:r>
        <w:t xml:space="preserve">.  </w:t>
      </w:r>
    </w:p>
    <w:p w:rsidR="000376C1" w:rsidRDefault="000376C1">
      <w:r>
        <w:t xml:space="preserve">We have been concerned that violations of the right to life resulting from systemic patterns of </w:t>
      </w:r>
      <w:r w:rsidR="00DB535B">
        <w:t xml:space="preserve">governmental neglect and </w:t>
      </w:r>
      <w:r>
        <w:t xml:space="preserve">inaction have </w:t>
      </w:r>
      <w:r w:rsidR="00DB535B">
        <w:t xml:space="preserve">not received sufficient </w:t>
      </w:r>
      <w:r>
        <w:t xml:space="preserve">attention </w:t>
      </w:r>
      <w:r w:rsidR="00A321F9">
        <w:t>from domestic courts and human rights bodies</w:t>
      </w:r>
      <w:r>
        <w:t xml:space="preserve">.  Despite </w:t>
      </w:r>
      <w:r w:rsidR="004A13B5">
        <w:t xml:space="preserve">your </w:t>
      </w:r>
      <w:r>
        <w:t>Committee’s clear statements in General C</w:t>
      </w:r>
      <w:r w:rsidR="00A321F9">
        <w:t>omment 6 that ““[t]</w:t>
      </w:r>
      <w:r w:rsidR="00A321F9" w:rsidRPr="00B04886">
        <w:t>he expression "inherent right to life" cannot properly be understood in a restrictive manner, and the protection of this right requires that</w:t>
      </w:r>
      <w:r w:rsidR="00A321F9">
        <w:t xml:space="preserve"> States adopt positive measures</w:t>
      </w:r>
      <w:r w:rsidR="00DB535B">
        <w:t>,</w:t>
      </w:r>
      <w:r w:rsidR="00A321F9">
        <w:t>”</w:t>
      </w:r>
      <w:r w:rsidR="0081293F">
        <w:t xml:space="preserve"> the positive</w:t>
      </w:r>
      <w:r w:rsidR="00A321F9">
        <w:t xml:space="preserve"> dimension</w:t>
      </w:r>
      <w:r w:rsidR="0081293F">
        <w:t>s</w:t>
      </w:r>
      <w:r w:rsidR="00A321F9">
        <w:t xml:space="preserve"> of state obligations</w:t>
      </w:r>
      <w:r w:rsidR="0081293F">
        <w:t xml:space="preserve"> with respect to article 6 have</w:t>
      </w:r>
      <w:r w:rsidR="00A321F9">
        <w:t xml:space="preserve"> too often been ignored.  T</w:t>
      </w:r>
      <w:r w:rsidR="00A321F9" w:rsidRPr="00B04886">
        <w:t>he Committee</w:t>
      </w:r>
      <w:r w:rsidR="00A321F9">
        <w:t>’s recognition in General Comment 6</w:t>
      </w:r>
      <w:r w:rsidR="0081293F">
        <w:t>,</w:t>
      </w:r>
      <w:r w:rsidR="00A321F9">
        <w:t xml:space="preserve"> as well as in concluding observations and in its jurisprudence</w:t>
      </w:r>
      <w:r w:rsidR="0081293F">
        <w:t>,</w:t>
      </w:r>
      <w:r w:rsidR="00A321F9">
        <w:t xml:space="preserve"> that the protection of the right to life requires strategies and programs to reduce infant mortality, </w:t>
      </w:r>
      <w:r w:rsidR="00A321F9" w:rsidRPr="00B04886">
        <w:t xml:space="preserve">to increase life expectancy, </w:t>
      </w:r>
      <w:r w:rsidR="00A321F9">
        <w:t xml:space="preserve">to address homelessness, to ensure access to health care and to </w:t>
      </w:r>
      <w:r w:rsidR="00A321F9" w:rsidRPr="00B04886">
        <w:t>elimi</w:t>
      </w:r>
      <w:r w:rsidR="00A321F9">
        <w:t xml:space="preserve">nate malnutrition and epidemics has </w:t>
      </w:r>
      <w:r w:rsidR="00DB535B">
        <w:t>often not been</w:t>
      </w:r>
      <w:r w:rsidR="00940441">
        <w:t xml:space="preserve"> </w:t>
      </w:r>
      <w:r w:rsidR="00A321F9">
        <w:t xml:space="preserve">translated into firm legal obligations. </w:t>
      </w:r>
      <w:r w:rsidR="00940441">
        <w:t xml:space="preserve"> </w:t>
      </w:r>
    </w:p>
    <w:p w:rsidR="007F1BD0" w:rsidRDefault="00940441">
      <w:r>
        <w:t>As the Committee is aware, in the years since the adoption of General Comment 6</w:t>
      </w:r>
      <w:proofErr w:type="gramStart"/>
      <w:r>
        <w:t>,  a</w:t>
      </w:r>
      <w:proofErr w:type="gramEnd"/>
      <w:r>
        <w:t xml:space="preserve"> number of domestic courts and regional bodies have recognized the interdependence and indivisibility of the right to life with economic, social and cultural rights such as the right to housing, health care, food, water and sanitation.  </w:t>
      </w:r>
      <w:proofErr w:type="gramStart"/>
      <w:r>
        <w:t>In doing so</w:t>
      </w:r>
      <w:r w:rsidR="0081293F">
        <w:t>,</w:t>
      </w:r>
      <w:r>
        <w:t xml:space="preserve"> they have ensured access to justice for victims of systemic violations of the right to life and ensured the implementation of long</w:t>
      </w:r>
      <w:r w:rsidR="00A55910">
        <w:t>-</w:t>
      </w:r>
      <w:r>
        <w:t>term remedies that have saved countless lives.</w:t>
      </w:r>
      <w:proofErr w:type="gramEnd"/>
      <w:r>
        <w:t xml:space="preserve">  The series of cases in India in which the </w:t>
      </w:r>
      <w:r w:rsidR="007F1BD0">
        <w:t xml:space="preserve">Indian </w:t>
      </w:r>
      <w:r>
        <w:t>Supreme Court held that measures to ensure access to food</w:t>
      </w:r>
      <w:r w:rsidR="004A13B5">
        <w:t xml:space="preserve">, </w:t>
      </w:r>
      <w:r w:rsidR="00D60841">
        <w:t xml:space="preserve">housing, </w:t>
      </w:r>
      <w:r w:rsidR="004A13B5">
        <w:t xml:space="preserve">water and </w:t>
      </w:r>
      <w:r w:rsidR="007A3512">
        <w:t>sanitation were</w:t>
      </w:r>
      <w:r>
        <w:t xml:space="preserve"> required by the right to life and the role of the Constitutional Court in Col</w:t>
      </w:r>
      <w:r w:rsidR="005F35B8">
        <w:t>o</w:t>
      </w:r>
      <w:r>
        <w:t xml:space="preserve">mbia in </w:t>
      </w:r>
      <w:r w:rsidR="00A55910">
        <w:t>ensuring</w:t>
      </w:r>
      <w:r>
        <w:t xml:space="preserve"> access to justice </w:t>
      </w:r>
      <w:r w:rsidR="00A55910">
        <w:t xml:space="preserve">and overseeing measures to provide access to health care </w:t>
      </w:r>
      <w:r>
        <w:t xml:space="preserve">for internally displaced persons in </w:t>
      </w:r>
      <w:r w:rsidR="005F35B8">
        <w:t>a writ of protection (</w:t>
      </w:r>
      <w:proofErr w:type="spellStart"/>
      <w:r w:rsidR="005F35B8">
        <w:t>amparo</w:t>
      </w:r>
      <w:proofErr w:type="spellEnd"/>
      <w:r w:rsidR="005F35B8">
        <w:t xml:space="preserve">) based on the right to life are a few examples of an extensive array of jurisprudence at the domestic level which is evidence  </w:t>
      </w:r>
      <w:r w:rsidR="007F1BD0">
        <w:t xml:space="preserve">of the critical importance of ensuring access to justice for systemic violations of the right to life.  </w:t>
      </w:r>
    </w:p>
    <w:p w:rsidR="00940441" w:rsidRDefault="00DB535B">
      <w:r>
        <w:t>In too many cases, however,</w:t>
      </w:r>
      <w:r w:rsidR="007F1BD0">
        <w:t xml:space="preserve"> victims of systemic violations of the right to life resulting from states’ failures to adopt necessary measures of protection </w:t>
      </w:r>
      <w:r w:rsidR="0081293F">
        <w:t xml:space="preserve">have not been afforded </w:t>
      </w:r>
      <w:r w:rsidR="007F1BD0">
        <w:t xml:space="preserve">access to justice.   </w:t>
      </w:r>
      <w:r>
        <w:t>C</w:t>
      </w:r>
      <w:r w:rsidR="002C6C00">
        <w:t>ourts</w:t>
      </w:r>
      <w:r>
        <w:t xml:space="preserve"> in many countries now adjudicate claims to </w:t>
      </w:r>
      <w:proofErr w:type="gramStart"/>
      <w:r>
        <w:t>economic ,</w:t>
      </w:r>
      <w:proofErr w:type="gramEnd"/>
      <w:r>
        <w:t xml:space="preserve"> social and cultural rights and</w:t>
      </w:r>
      <w:r w:rsidR="002C6C00">
        <w:t xml:space="preserve"> </w:t>
      </w:r>
      <w:r>
        <w:t xml:space="preserve">the international </w:t>
      </w:r>
      <w:r>
        <w:lastRenderedPageBreak/>
        <w:t xml:space="preserve">community </w:t>
      </w:r>
      <w:r w:rsidR="0081293F">
        <w:t>has</w:t>
      </w:r>
      <w:r>
        <w:t xml:space="preserve"> recognized, with the adoption of the Optional Protocol to the ICESCR, that all human rights are justiciable</w:t>
      </w:r>
      <w:r w:rsidR="0081293F">
        <w:t xml:space="preserve">.  </w:t>
      </w:r>
      <w:r w:rsidR="007D1B45">
        <w:t>It is now clear that</w:t>
      </w:r>
      <w:r w:rsidR="00FE3A68">
        <w:t xml:space="preserve"> </w:t>
      </w:r>
      <w:r w:rsidR="0081293F">
        <w:t>e</w:t>
      </w:r>
      <w:r>
        <w:t xml:space="preserve">ffective remedies </w:t>
      </w:r>
      <w:r w:rsidR="007D1B45">
        <w:t xml:space="preserve">can be provided </w:t>
      </w:r>
      <w:r w:rsidR="0081293F">
        <w:t xml:space="preserve">in cases involving states’ obligations to implement positive measures </w:t>
      </w:r>
      <w:r w:rsidR="007D1B45">
        <w:t xml:space="preserve">without courts or human rights bodies encroaching </w:t>
      </w:r>
      <w:r w:rsidR="002C6C00">
        <w:t>on the policy and law-making roles of legislative and executive branches of government</w:t>
      </w:r>
      <w:r>
        <w:t>s.   Nevertheless,</w:t>
      </w:r>
      <w:r w:rsidR="002C6C00">
        <w:t xml:space="preserve"> many governments and d</w:t>
      </w:r>
      <w:r w:rsidR="007F1BD0">
        <w:t>ome</w:t>
      </w:r>
      <w:r w:rsidR="00DC7896">
        <w:t>stic courts continue to treat</w:t>
      </w:r>
      <w:r w:rsidR="007F1BD0">
        <w:t xml:space="preserve"> states’ positive programmatic obligations to protect the right to l</w:t>
      </w:r>
      <w:r w:rsidR="00DC7896">
        <w:t xml:space="preserve">ife, where these engage with socio-economic policies and programs, </w:t>
      </w:r>
      <w:r w:rsidR="007F1BD0">
        <w:t>as merely aspirational r</w:t>
      </w:r>
      <w:r w:rsidR="002C6C00">
        <w:t>ather than as fully justiciable.   On the basis of a false distinction between justiciable and non-justiciable components of the right to life, millions of victims continue to be denied access to justice</w:t>
      </w:r>
      <w:r w:rsidR="00DC7896">
        <w:t xml:space="preserve"> and </w:t>
      </w:r>
      <w:r w:rsidR="002C6C00">
        <w:t>governments fail to prioritize the protection of the right to life of many of the most vulne</w:t>
      </w:r>
      <w:r w:rsidR="00DC7896">
        <w:t>rable and marginalized individuals and groups</w:t>
      </w:r>
      <w:r w:rsidR="002C6C00">
        <w:t xml:space="preserve">.  </w:t>
      </w:r>
    </w:p>
    <w:p w:rsidR="002C6C00" w:rsidRDefault="00DC7896">
      <w:r>
        <w:t>In recent months we have</w:t>
      </w:r>
      <w:r w:rsidR="007D1B45">
        <w:t xml:space="preserve"> also</w:t>
      </w:r>
      <w:r w:rsidR="002C6C00">
        <w:t xml:space="preserve"> been alarmed at the rise of discriminatory notions that the right to life of some groups, such as migrants in irregular situations, does not require positive measures of protection.  </w:t>
      </w:r>
      <w:r>
        <w:t>Some governments and commentators</w:t>
      </w:r>
      <w:r w:rsidR="002C6C00">
        <w:t xml:space="preserve"> have attempted to justify denying migrants access to health care</w:t>
      </w:r>
      <w:r>
        <w:t xml:space="preserve">, shelter and social protection </w:t>
      </w:r>
      <w:r w:rsidR="007D1B45">
        <w:t>as a means of</w:t>
      </w:r>
      <w:r>
        <w:t xml:space="preserve"> p</w:t>
      </w:r>
      <w:r w:rsidR="007D1B45">
        <w:t>romoting</w:t>
      </w:r>
      <w:r w:rsidR="004D6FF6">
        <w:t xml:space="preserve"> compliance with immigration laws.  </w:t>
      </w:r>
      <w:r>
        <w:t>A</w:t>
      </w:r>
      <w:r w:rsidR="004D6FF6">
        <w:t>ny acceptance of unequal protections of so fundamental a right as the right to life</w:t>
      </w:r>
      <w:r>
        <w:t>, of course,</w:t>
      </w:r>
      <w:r w:rsidR="004D6FF6">
        <w:t xml:space="preserve"> would undermine the very foundations of international human rights and the principle tha</w:t>
      </w:r>
      <w:r>
        <w:t xml:space="preserve">t all human beings are equal in </w:t>
      </w:r>
      <w:r w:rsidR="004D6FF6">
        <w:t>dignity and rights.</w:t>
      </w:r>
    </w:p>
    <w:p w:rsidR="00DC7896" w:rsidRDefault="004D6FF6">
      <w:r>
        <w:t>In light of the above concerns, we recommend that</w:t>
      </w:r>
      <w:r w:rsidR="00DC7896">
        <w:t xml:space="preserve"> in its new General Comment on the right to life,</w:t>
      </w:r>
      <w:r>
        <w:t xml:space="preserve"> the Committee</w:t>
      </w:r>
    </w:p>
    <w:p w:rsidR="00DC7896" w:rsidRDefault="00DC7896" w:rsidP="007D1B45">
      <w:pPr>
        <w:pStyle w:val="PargrafodaLista"/>
        <w:numPr>
          <w:ilvl w:val="0"/>
          <w:numId w:val="1"/>
        </w:numPr>
      </w:pPr>
      <w:r>
        <w:t>R</w:t>
      </w:r>
      <w:r w:rsidR="004D6FF6">
        <w:t xml:space="preserve">eaffirm that article 6 imposes both positive and negative obligations on governments and that </w:t>
      </w:r>
      <w:r w:rsidR="007D2807">
        <w:t xml:space="preserve">both sets of </w:t>
      </w:r>
      <w:r w:rsidR="004D6FF6">
        <w:t>obligations</w:t>
      </w:r>
      <w:r w:rsidR="007D2807">
        <w:t xml:space="preserve"> must be subject to legal protection and effect</w:t>
      </w:r>
      <w:r>
        <w:t>ive remedy;</w:t>
      </w:r>
    </w:p>
    <w:p w:rsidR="007D1B45" w:rsidRDefault="007D1B45" w:rsidP="007D1B45">
      <w:pPr>
        <w:pStyle w:val="PargrafodaLista"/>
        <w:ind w:left="1080"/>
      </w:pPr>
    </w:p>
    <w:p w:rsidR="007D1B45" w:rsidRDefault="00DC7896" w:rsidP="007D1B45">
      <w:pPr>
        <w:pStyle w:val="PargrafodaLista"/>
        <w:numPr>
          <w:ilvl w:val="0"/>
          <w:numId w:val="1"/>
        </w:numPr>
      </w:pPr>
      <w:r>
        <w:t>E</w:t>
      </w:r>
      <w:r w:rsidR="004A13B5">
        <w:t xml:space="preserve">xplicitly </w:t>
      </w:r>
      <w:r w:rsidR="00A55910">
        <w:t xml:space="preserve">state </w:t>
      </w:r>
      <w:r>
        <w:t>that article 6 imposes obligations on states to ensure</w:t>
      </w:r>
      <w:r w:rsidR="004D6FF6">
        <w:t xml:space="preserve"> access to adequate housing, food, water, sanitation, </w:t>
      </w:r>
      <w:r w:rsidR="007D2807">
        <w:t>heal</w:t>
      </w:r>
      <w:r w:rsidR="007D1B45">
        <w:t xml:space="preserve">th care, </w:t>
      </w:r>
      <w:r>
        <w:t xml:space="preserve">social </w:t>
      </w:r>
      <w:r w:rsidR="007D2807">
        <w:t>protection</w:t>
      </w:r>
      <w:r>
        <w:t xml:space="preserve"> </w:t>
      </w:r>
      <w:r w:rsidR="007D1B45">
        <w:t xml:space="preserve">and other programs </w:t>
      </w:r>
      <w:r>
        <w:t>where these are necessary for the enjoyment of the right to life;</w:t>
      </w:r>
    </w:p>
    <w:p w:rsidR="007D1B45" w:rsidRDefault="007D1B45" w:rsidP="007D1B45">
      <w:pPr>
        <w:pStyle w:val="PargrafodaLista"/>
      </w:pPr>
    </w:p>
    <w:p w:rsidR="004A13B5" w:rsidRDefault="00DC7896" w:rsidP="004A13B5">
      <w:pPr>
        <w:pStyle w:val="PargrafodaLista"/>
        <w:numPr>
          <w:ilvl w:val="0"/>
          <w:numId w:val="1"/>
        </w:numPr>
      </w:pPr>
      <w:r>
        <w:t>Recognize the principle of substantive equality in the interpretat</w:t>
      </w:r>
      <w:r w:rsidR="0081293F">
        <w:t>ion of article 6 so as to e</w:t>
      </w:r>
      <w:r>
        <w:t xml:space="preserve">nsure </w:t>
      </w:r>
      <w:r w:rsidR="004D6FF6">
        <w:t>the equal enjoyment of the right</w:t>
      </w:r>
      <w:r>
        <w:t xml:space="preserve"> to life</w:t>
      </w:r>
      <w:r w:rsidR="004D6FF6">
        <w:t xml:space="preserve"> by </w:t>
      </w:r>
      <w:r w:rsidR="007D2807">
        <w:t>women, migrants, children, people with disabilities, Indigenous peoples, those who are homeless or living in poverty and others w</w:t>
      </w:r>
      <w:r w:rsidR="004D6FF6">
        <w:t>ho, beca</w:t>
      </w:r>
      <w:r w:rsidR="007D2807">
        <w:t>use of socio-economic circumstances or patterns of discrimination and stigmatization,</w:t>
      </w:r>
      <w:r w:rsidR="004D6FF6">
        <w:t xml:space="preserve"> require </w:t>
      </w:r>
      <w:r w:rsidR="007D2807">
        <w:t>positive measures to address systemic patterns of neglect and exclusion</w:t>
      </w:r>
      <w:r w:rsidR="001F7BE3">
        <w:t>;</w:t>
      </w:r>
      <w:r w:rsidR="004D6FF6">
        <w:t xml:space="preserve"> </w:t>
      </w:r>
    </w:p>
    <w:p w:rsidR="004A13B5" w:rsidRDefault="004A13B5" w:rsidP="007A3512">
      <w:pPr>
        <w:pStyle w:val="PargrafodaLista"/>
      </w:pPr>
    </w:p>
    <w:p w:rsidR="004A13B5" w:rsidRDefault="004A13B5" w:rsidP="004A13B5">
      <w:pPr>
        <w:pStyle w:val="PargrafodaLista"/>
        <w:numPr>
          <w:ilvl w:val="0"/>
          <w:numId w:val="1"/>
        </w:numPr>
      </w:pPr>
      <w:r>
        <w:t xml:space="preserve">Reaffirm that victims of violations of the right to life are entitled to adequate reparation, including compensation, satisfaction or guarantees of non-repetition, and that courts </w:t>
      </w:r>
      <w:r w:rsidR="001F7BE3">
        <w:t>should</w:t>
      </w:r>
      <w:r>
        <w:t xml:space="preserve"> provide both restorative and transformative remedies;</w:t>
      </w:r>
    </w:p>
    <w:p w:rsidR="007A3512" w:rsidRDefault="007A3512" w:rsidP="007A3512"/>
    <w:p w:rsidR="004A13B5" w:rsidRDefault="004A13B5" w:rsidP="004A13B5">
      <w:pPr>
        <w:pStyle w:val="PargrafodaLista"/>
        <w:numPr>
          <w:ilvl w:val="0"/>
          <w:numId w:val="1"/>
        </w:numPr>
      </w:pPr>
      <w:r>
        <w:lastRenderedPageBreak/>
        <w:t>Recommend that  judges, prosecutors and decision-makers have adequate human rights education and training, including the economic, social and cultural rights’ dimensions of the human right to life, by making training on those rights part of law school curricula and providing ongoing training;</w:t>
      </w:r>
    </w:p>
    <w:p w:rsidR="007A3512" w:rsidRDefault="007A3512" w:rsidP="007A3512"/>
    <w:p w:rsidR="004A13B5" w:rsidRDefault="004A13B5" w:rsidP="004A13B5">
      <w:pPr>
        <w:pStyle w:val="PargrafodaLista"/>
        <w:numPr>
          <w:ilvl w:val="0"/>
          <w:numId w:val="1"/>
        </w:numPr>
      </w:pPr>
      <w:r>
        <w:t>Recommend that  national human rights institutions and other relevant bodies have an explicit mandate to: (</w:t>
      </w:r>
      <w:proofErr w:type="spellStart"/>
      <w:r>
        <w:t>i</w:t>
      </w:r>
      <w:proofErr w:type="spellEnd"/>
      <w:r>
        <w:t>) identify and address violations of the right to life, adopting a comprehensive approach; and (ii) require remedial and transformative action on violations of the right to life</w:t>
      </w:r>
      <w:r w:rsidR="001F7BE3">
        <w:t>;</w:t>
      </w:r>
      <w:r w:rsidR="007A3512">
        <w:t>;</w:t>
      </w:r>
    </w:p>
    <w:p w:rsidR="007A3512" w:rsidRDefault="007A3512" w:rsidP="007A3512"/>
    <w:p w:rsidR="007A3512" w:rsidRDefault="007A3512" w:rsidP="007A3512">
      <w:pPr>
        <w:pStyle w:val="PargrafodaLista"/>
        <w:numPr>
          <w:ilvl w:val="0"/>
          <w:numId w:val="1"/>
        </w:numPr>
      </w:pPr>
      <w:r>
        <w:t xml:space="preserve">Clarify that obligations to ensure access to adequate food, housing, health care, water, sanitation and other requirements of life, dignity and security derive from the right to life itself and are not dependent on the status accorded ESC rights under the domestic law of a State party to the ICCPR; </w:t>
      </w:r>
    </w:p>
    <w:p w:rsidR="007A3512" w:rsidRDefault="007A3512" w:rsidP="007A3512"/>
    <w:p w:rsidR="007A3512" w:rsidRDefault="007A3512" w:rsidP="007A3512">
      <w:pPr>
        <w:pStyle w:val="PargrafodaLista"/>
        <w:numPr>
          <w:ilvl w:val="0"/>
          <w:numId w:val="1"/>
        </w:numPr>
      </w:pPr>
      <w:r>
        <w:t xml:space="preserve">Clarify that violations of the right to life may relate to </w:t>
      </w:r>
      <w:r w:rsidR="001F7BE3">
        <w:t xml:space="preserve">states’ </w:t>
      </w:r>
      <w:r>
        <w:t>failures to implement comprehensive plans and strategies</w:t>
      </w:r>
      <w:r w:rsidR="002A4A86">
        <w:t xml:space="preserve"> to address socio-economic deprivation</w:t>
      </w:r>
      <w:r w:rsidR="001F7BE3">
        <w:t xml:space="preserve"> </w:t>
      </w:r>
      <w:r>
        <w:t xml:space="preserve">or to regulate non-State actors. </w:t>
      </w:r>
    </w:p>
    <w:p w:rsidR="006F3B0E" w:rsidRDefault="006F3B0E"/>
    <w:p w:rsidR="00FE3A68" w:rsidRDefault="00502F06" w:rsidP="00FE3A68">
      <w:r>
        <w:t>*</w:t>
      </w:r>
      <w:r w:rsidR="00FE3A68">
        <w:t xml:space="preserve">Catarina </w:t>
      </w:r>
      <w:r w:rsidR="00FE3A68" w:rsidRPr="00502F06">
        <w:rPr>
          <w:b/>
        </w:rPr>
        <w:t>de Albuquerque,</w:t>
      </w:r>
      <w:r w:rsidR="00FE3A68">
        <w:t xml:space="preserve"> former UN Special Rapporteur on the human right to water and sanitation</w:t>
      </w:r>
      <w:proofErr w:type="gramStart"/>
      <w:r>
        <w:t xml:space="preserve">;  </w:t>
      </w:r>
      <w:r w:rsidR="00FE3A68">
        <w:t>Olivier</w:t>
      </w:r>
      <w:proofErr w:type="gramEnd"/>
      <w:r w:rsidR="00FE3A68">
        <w:t xml:space="preserve"> </w:t>
      </w:r>
      <w:r w:rsidR="00FE3A68" w:rsidRPr="00FE3A68">
        <w:rPr>
          <w:b/>
        </w:rPr>
        <w:t>de Schutter</w:t>
      </w:r>
      <w:r w:rsidR="00FE3A68">
        <w:t>, former UN Special Rappo</w:t>
      </w:r>
      <w:r>
        <w:t xml:space="preserve">rteur on the human right to food; </w:t>
      </w:r>
      <w:proofErr w:type="spellStart"/>
      <w:r w:rsidR="006726AE">
        <w:t>Anand</w:t>
      </w:r>
      <w:proofErr w:type="spellEnd"/>
      <w:r w:rsidR="006726AE">
        <w:t xml:space="preserve"> </w:t>
      </w:r>
      <w:bookmarkStart w:id="0" w:name="_GoBack"/>
      <w:r w:rsidR="006726AE" w:rsidRPr="0073460E">
        <w:rPr>
          <w:b/>
        </w:rPr>
        <w:t>Grover</w:t>
      </w:r>
      <w:bookmarkEnd w:id="0"/>
      <w:r w:rsidR="006726AE">
        <w:t xml:space="preserve">, former UN Special Rapporteur on the human right to health; </w:t>
      </w:r>
      <w:proofErr w:type="spellStart"/>
      <w:r w:rsidR="00FE3A68">
        <w:t>Miloon</w:t>
      </w:r>
      <w:proofErr w:type="spellEnd"/>
      <w:r w:rsidR="00FE3A68">
        <w:t xml:space="preserve"> </w:t>
      </w:r>
      <w:r w:rsidR="00FE3A68" w:rsidRPr="00FE3A68">
        <w:rPr>
          <w:b/>
        </w:rPr>
        <w:t>Kothari</w:t>
      </w:r>
      <w:r w:rsidR="00FE3A68">
        <w:t>, former UN Special Rapporteur on the human right to housing</w:t>
      </w:r>
      <w:r>
        <w:t xml:space="preserve">; </w:t>
      </w:r>
      <w:r w:rsidR="00FE3A68">
        <w:t xml:space="preserve">Raquel </w:t>
      </w:r>
      <w:proofErr w:type="spellStart"/>
      <w:r w:rsidR="00FE3A68" w:rsidRPr="00FE3A68">
        <w:rPr>
          <w:b/>
        </w:rPr>
        <w:t>Rolnik</w:t>
      </w:r>
      <w:proofErr w:type="spellEnd"/>
      <w:r w:rsidR="00FE3A68">
        <w:t>, former UN Special Rapporteur on the human right to housing</w:t>
      </w:r>
      <w:r w:rsidR="00FE3A68" w:rsidRPr="00FE3A68">
        <w:t xml:space="preserve"> </w:t>
      </w:r>
      <w:r>
        <w:t xml:space="preserve">and </w:t>
      </w:r>
      <w:r w:rsidR="00FE3A68">
        <w:t xml:space="preserve">Magdalena </w:t>
      </w:r>
      <w:r w:rsidR="00FE3A68" w:rsidRPr="00FE3A68">
        <w:rPr>
          <w:b/>
        </w:rPr>
        <w:t>Sepulveda</w:t>
      </w:r>
      <w:r w:rsidR="00FE3A68">
        <w:t xml:space="preserve"> Carmona, former UN Special Rapporteur on extreme poverty and human rights</w:t>
      </w:r>
    </w:p>
    <w:p w:rsidR="00FE3A68" w:rsidRDefault="00FE3A68"/>
    <w:p w:rsidR="006F3B0E" w:rsidRDefault="006F3B0E"/>
    <w:sectPr w:rsidR="006F3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B5836"/>
    <w:multiLevelType w:val="hybridMultilevel"/>
    <w:tmpl w:val="87A2E3C0"/>
    <w:lvl w:ilvl="0" w:tplc="72F470B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FA31574"/>
    <w:multiLevelType w:val="hybridMultilevel"/>
    <w:tmpl w:val="10CA5E9E"/>
    <w:lvl w:ilvl="0" w:tplc="24623ADA">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0E"/>
    <w:rsid w:val="000376C1"/>
    <w:rsid w:val="000B4C32"/>
    <w:rsid w:val="001F7BE3"/>
    <w:rsid w:val="002A4A86"/>
    <w:rsid w:val="002C6C00"/>
    <w:rsid w:val="003170D8"/>
    <w:rsid w:val="004A13B5"/>
    <w:rsid w:val="004C34BB"/>
    <w:rsid w:val="004D6FF6"/>
    <w:rsid w:val="00502F06"/>
    <w:rsid w:val="005F35B8"/>
    <w:rsid w:val="00623D3B"/>
    <w:rsid w:val="006726AE"/>
    <w:rsid w:val="006F3B0E"/>
    <w:rsid w:val="006F5ED3"/>
    <w:rsid w:val="0073460E"/>
    <w:rsid w:val="007A3512"/>
    <w:rsid w:val="007D1B45"/>
    <w:rsid w:val="007D2807"/>
    <w:rsid w:val="007F1BD0"/>
    <w:rsid w:val="0081293F"/>
    <w:rsid w:val="00940441"/>
    <w:rsid w:val="00A321F9"/>
    <w:rsid w:val="00A55910"/>
    <w:rsid w:val="00BA3E60"/>
    <w:rsid w:val="00C65C37"/>
    <w:rsid w:val="00D60841"/>
    <w:rsid w:val="00DB535B"/>
    <w:rsid w:val="00DC7896"/>
    <w:rsid w:val="00F428C7"/>
    <w:rsid w:val="00FE3A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7896"/>
    <w:pPr>
      <w:ind w:left="720"/>
      <w:contextualSpacing/>
    </w:pPr>
  </w:style>
  <w:style w:type="paragraph" w:styleId="Textodebalo">
    <w:name w:val="Balloon Text"/>
    <w:basedOn w:val="Normal"/>
    <w:link w:val="TextodebaloCarcter"/>
    <w:uiPriority w:val="99"/>
    <w:semiHidden/>
    <w:unhideWhenUsed/>
    <w:rsid w:val="004A13B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A1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7896"/>
    <w:pPr>
      <w:ind w:left="720"/>
      <w:contextualSpacing/>
    </w:pPr>
  </w:style>
  <w:style w:type="paragraph" w:styleId="Textodebalo">
    <w:name w:val="Balloon Text"/>
    <w:basedOn w:val="Normal"/>
    <w:link w:val="TextodebaloCarcter"/>
    <w:uiPriority w:val="99"/>
    <w:semiHidden/>
    <w:unhideWhenUsed/>
    <w:rsid w:val="004A13B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A1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EF1BA-642E-4E69-A2CD-B1303C8C378F}"/>
</file>

<file path=customXml/itemProps2.xml><?xml version="1.0" encoding="utf-8"?>
<ds:datastoreItem xmlns:ds="http://schemas.openxmlformats.org/officeDocument/2006/customXml" ds:itemID="{BE68CCA6-1EDB-443A-90F5-A64038B4F302}"/>
</file>

<file path=customXml/itemProps3.xml><?xml version="1.0" encoding="utf-8"?>
<ds:datastoreItem xmlns:ds="http://schemas.openxmlformats.org/officeDocument/2006/customXml" ds:itemID="{A4DA03FF-CCE0-4940-9DDE-0107ABB8EA7B}"/>
</file>

<file path=docProps/app.xml><?xml version="1.0" encoding="utf-8"?>
<Properties xmlns="http://schemas.openxmlformats.org/officeDocument/2006/extended-properties" xmlns:vt="http://schemas.openxmlformats.org/officeDocument/2006/docPropsVTypes">
  <Template>Normal</Template>
  <TotalTime>27</TotalTime>
  <Pages>3</Pages>
  <Words>1200</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Porter</dc:creator>
  <cp:lastModifiedBy>Catarina Albuquerque</cp:lastModifiedBy>
  <cp:revision>7</cp:revision>
  <dcterms:created xsi:type="dcterms:W3CDTF">2015-06-25T08:52:00Z</dcterms:created>
  <dcterms:modified xsi:type="dcterms:W3CDTF">2015-06-25T10:07:00Z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