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F549A" w14:textId="6C4B71B3" w:rsidR="008F2C84" w:rsidRDefault="000D4E53" w:rsidP="005E0098">
      <w:pPr>
        <w:spacing w:after="0" w:line="276" w:lineRule="auto"/>
        <w:rPr>
          <w:rFonts w:ascii="Arial Narrow" w:hAnsi="Arial Narrow"/>
          <w:b/>
        </w:rPr>
      </w:pPr>
      <w:r>
        <w:rPr>
          <w:rFonts w:ascii="Arial Narrow" w:hAnsi="Arial Narrow"/>
          <w:b/>
          <w:noProof/>
          <w:lang w:eastAsia="en-GB"/>
        </w:rPr>
        <w:drawing>
          <wp:anchor distT="0" distB="0" distL="114300" distR="114300" simplePos="0" relativeHeight="251658240" behindDoc="0" locked="0" layoutInCell="1" allowOverlap="1" wp14:anchorId="32A7C6AD" wp14:editId="10625F3B">
            <wp:simplePos x="0" y="0"/>
            <wp:positionH relativeFrom="margin">
              <wp:align>center</wp:align>
            </wp:positionH>
            <wp:positionV relativeFrom="margin">
              <wp:posOffset>7620</wp:posOffset>
            </wp:positionV>
            <wp:extent cx="2440305" cy="1266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ICLE 19 LOGO NEW 2018.jpg"/>
                    <pic:cNvPicPr/>
                  </pic:nvPicPr>
                  <pic:blipFill>
                    <a:blip r:embed="rId8">
                      <a:extLst>
                        <a:ext uri="{28A0092B-C50C-407E-A947-70E740481C1C}">
                          <a14:useLocalDpi xmlns:a14="http://schemas.microsoft.com/office/drawing/2010/main" val="0"/>
                        </a:ext>
                      </a:extLst>
                    </a:blip>
                    <a:stretch>
                      <a:fillRect/>
                    </a:stretch>
                  </pic:blipFill>
                  <pic:spPr>
                    <a:xfrm>
                      <a:off x="0" y="0"/>
                      <a:ext cx="2440305" cy="1266825"/>
                    </a:xfrm>
                    <a:prstGeom prst="rect">
                      <a:avLst/>
                    </a:prstGeom>
                  </pic:spPr>
                </pic:pic>
              </a:graphicData>
            </a:graphic>
            <wp14:sizeRelH relativeFrom="margin">
              <wp14:pctWidth>0</wp14:pctWidth>
            </wp14:sizeRelH>
            <wp14:sizeRelV relativeFrom="margin">
              <wp14:pctHeight>0</wp14:pctHeight>
            </wp14:sizeRelV>
          </wp:anchor>
        </w:drawing>
      </w:r>
    </w:p>
    <w:p w14:paraId="0EDA6D15" w14:textId="257FF377" w:rsidR="000D4E53" w:rsidRDefault="000D4E53" w:rsidP="005E0098">
      <w:pPr>
        <w:spacing w:after="0" w:line="276" w:lineRule="auto"/>
        <w:rPr>
          <w:rFonts w:ascii="Arial Narrow" w:hAnsi="Arial Narrow"/>
          <w:b/>
        </w:rPr>
      </w:pPr>
    </w:p>
    <w:p w14:paraId="38ABE729" w14:textId="2802104B" w:rsidR="000D4E53" w:rsidRDefault="000D4E53" w:rsidP="005E0098">
      <w:pPr>
        <w:spacing w:after="0" w:line="276" w:lineRule="auto"/>
        <w:rPr>
          <w:rFonts w:ascii="Arial Narrow" w:hAnsi="Arial Narrow"/>
          <w:b/>
        </w:rPr>
      </w:pPr>
    </w:p>
    <w:p w14:paraId="7237C990" w14:textId="6262133B" w:rsidR="000D4E53" w:rsidRDefault="000D4E53" w:rsidP="005E0098">
      <w:pPr>
        <w:spacing w:after="0" w:line="276" w:lineRule="auto"/>
        <w:rPr>
          <w:rFonts w:ascii="Arial Narrow" w:hAnsi="Arial Narrow"/>
          <w:b/>
        </w:rPr>
      </w:pPr>
    </w:p>
    <w:p w14:paraId="6788BC89" w14:textId="2850E111" w:rsidR="000D4E53" w:rsidRDefault="000D4E53" w:rsidP="005E0098">
      <w:pPr>
        <w:spacing w:after="0" w:line="276" w:lineRule="auto"/>
        <w:rPr>
          <w:rFonts w:ascii="Arial Narrow" w:hAnsi="Arial Narrow"/>
          <w:b/>
        </w:rPr>
      </w:pPr>
    </w:p>
    <w:p w14:paraId="41D709C4" w14:textId="636B5F62" w:rsidR="000D4E53" w:rsidRDefault="000D4E53" w:rsidP="005E0098">
      <w:pPr>
        <w:spacing w:after="0" w:line="276" w:lineRule="auto"/>
        <w:rPr>
          <w:rFonts w:ascii="Arial Narrow" w:hAnsi="Arial Narrow"/>
          <w:b/>
        </w:rPr>
      </w:pPr>
    </w:p>
    <w:p w14:paraId="2937313B" w14:textId="1CA3A321" w:rsidR="000D4E53" w:rsidRDefault="000D4E53" w:rsidP="005E0098">
      <w:pPr>
        <w:spacing w:after="0" w:line="276" w:lineRule="auto"/>
        <w:rPr>
          <w:rFonts w:ascii="Arial Narrow" w:hAnsi="Arial Narrow"/>
          <w:b/>
        </w:rPr>
      </w:pPr>
    </w:p>
    <w:p w14:paraId="6539E852" w14:textId="1B83B81D" w:rsidR="000D4E53" w:rsidRPr="00021F53" w:rsidRDefault="000D4E53" w:rsidP="005E0098">
      <w:pPr>
        <w:spacing w:after="0" w:line="276" w:lineRule="auto"/>
        <w:rPr>
          <w:rFonts w:ascii="Arial Narrow" w:hAnsi="Arial Narrow"/>
          <w:b/>
        </w:rPr>
      </w:pPr>
    </w:p>
    <w:p w14:paraId="43DD4CD8" w14:textId="77777777" w:rsidR="00A8292C" w:rsidRPr="00021F53" w:rsidRDefault="00A8292C" w:rsidP="005E0098">
      <w:pPr>
        <w:spacing w:after="0" w:line="276" w:lineRule="auto"/>
        <w:rPr>
          <w:rFonts w:ascii="Arial Narrow" w:hAnsi="Arial Narrow"/>
          <w:b/>
        </w:rPr>
      </w:pPr>
    </w:p>
    <w:p w14:paraId="1BD9DD74" w14:textId="77777777" w:rsidR="00E8614A" w:rsidRPr="00021F53" w:rsidRDefault="00E8614A" w:rsidP="005E0098">
      <w:pPr>
        <w:pBdr>
          <w:top w:val="single" w:sz="12" w:space="1" w:color="auto"/>
          <w:bottom w:val="single" w:sz="12" w:space="1" w:color="auto"/>
        </w:pBdr>
        <w:spacing w:after="0" w:line="276" w:lineRule="auto"/>
        <w:jc w:val="center"/>
        <w:rPr>
          <w:rFonts w:ascii="Arial Narrow" w:hAnsi="Arial Narrow"/>
          <w:b/>
        </w:rPr>
      </w:pPr>
    </w:p>
    <w:p w14:paraId="10115C99" w14:textId="31CD5FAB" w:rsidR="00A8292C" w:rsidRPr="00021F53" w:rsidRDefault="000D4E53" w:rsidP="005E0098">
      <w:pPr>
        <w:pBdr>
          <w:top w:val="single" w:sz="12" w:space="1" w:color="auto"/>
          <w:bottom w:val="single" w:sz="12" w:space="1" w:color="auto"/>
        </w:pBdr>
        <w:spacing w:after="0" w:line="276" w:lineRule="auto"/>
        <w:jc w:val="center"/>
        <w:rPr>
          <w:rFonts w:ascii="Arial Narrow" w:hAnsi="Arial Narrow"/>
          <w:b/>
        </w:rPr>
      </w:pPr>
      <w:r>
        <w:rPr>
          <w:rFonts w:ascii="Arial Narrow" w:hAnsi="Arial Narrow"/>
          <w:b/>
        </w:rPr>
        <w:t>Submissions to General Comment No. 37 on Article 21 (the Right of Peaceful Assembly)</w:t>
      </w:r>
    </w:p>
    <w:p w14:paraId="051A0891" w14:textId="77777777" w:rsidR="00E8614A" w:rsidRPr="00021F53" w:rsidRDefault="00E8614A" w:rsidP="005E0098">
      <w:pPr>
        <w:pBdr>
          <w:top w:val="single" w:sz="12" w:space="1" w:color="auto"/>
          <w:bottom w:val="single" w:sz="12" w:space="1" w:color="auto"/>
        </w:pBdr>
        <w:spacing w:after="0" w:line="276" w:lineRule="auto"/>
        <w:jc w:val="center"/>
        <w:rPr>
          <w:rFonts w:ascii="Arial Narrow" w:hAnsi="Arial Narrow"/>
          <w:b/>
        </w:rPr>
      </w:pPr>
    </w:p>
    <w:p w14:paraId="439D0F36" w14:textId="4CA14103" w:rsidR="00A8292C" w:rsidRDefault="00A8292C" w:rsidP="005E0098">
      <w:pPr>
        <w:spacing w:after="0" w:line="276" w:lineRule="auto"/>
        <w:rPr>
          <w:rFonts w:ascii="Arial Narrow" w:hAnsi="Arial Narrow"/>
          <w:b/>
        </w:rPr>
      </w:pPr>
      <w:r w:rsidRPr="00021F53">
        <w:rPr>
          <w:rFonts w:ascii="Arial Narrow" w:hAnsi="Arial Narrow"/>
          <w:b/>
        </w:rPr>
        <w:softHyphen/>
      </w:r>
      <w:r w:rsidRPr="00021F53">
        <w:rPr>
          <w:rFonts w:ascii="Arial Narrow" w:hAnsi="Arial Narrow"/>
          <w:b/>
        </w:rPr>
        <w:softHyphen/>
      </w:r>
      <w:r w:rsidRPr="00021F53">
        <w:rPr>
          <w:rFonts w:ascii="Arial Narrow" w:hAnsi="Arial Narrow"/>
          <w:b/>
        </w:rPr>
        <w:softHyphen/>
      </w:r>
      <w:r w:rsidRPr="00021F53">
        <w:rPr>
          <w:rFonts w:ascii="Arial Narrow" w:hAnsi="Arial Narrow"/>
          <w:b/>
        </w:rPr>
        <w:softHyphen/>
      </w:r>
      <w:r w:rsidRPr="00021F53">
        <w:rPr>
          <w:rFonts w:ascii="Arial Narrow" w:hAnsi="Arial Narrow"/>
          <w:b/>
        </w:rPr>
        <w:softHyphen/>
      </w:r>
      <w:r w:rsidRPr="00021F53">
        <w:rPr>
          <w:rFonts w:ascii="Arial Narrow" w:hAnsi="Arial Narrow"/>
          <w:b/>
        </w:rPr>
        <w:softHyphen/>
      </w:r>
      <w:r w:rsidRPr="00021F53">
        <w:rPr>
          <w:rFonts w:ascii="Arial Narrow" w:hAnsi="Arial Narrow"/>
          <w:b/>
        </w:rPr>
        <w:softHyphen/>
      </w:r>
      <w:r w:rsidRPr="00021F53">
        <w:rPr>
          <w:rFonts w:ascii="Arial Narrow" w:hAnsi="Arial Narrow"/>
          <w:b/>
        </w:rPr>
        <w:softHyphen/>
      </w:r>
      <w:r w:rsidRPr="00021F53">
        <w:rPr>
          <w:rFonts w:ascii="Arial Narrow" w:hAnsi="Arial Narrow"/>
          <w:b/>
        </w:rPr>
        <w:softHyphen/>
      </w:r>
      <w:r w:rsidRPr="00021F53">
        <w:rPr>
          <w:rFonts w:ascii="Arial Narrow" w:hAnsi="Arial Narrow"/>
          <w:b/>
        </w:rPr>
        <w:softHyphen/>
      </w:r>
    </w:p>
    <w:p w14:paraId="6147EEF3" w14:textId="77777777" w:rsidR="00E475C7" w:rsidRPr="00021F53" w:rsidRDefault="00E475C7" w:rsidP="005E0098">
      <w:pPr>
        <w:spacing w:after="0" w:line="276" w:lineRule="auto"/>
        <w:rPr>
          <w:rFonts w:ascii="Arial Narrow" w:hAnsi="Arial Narrow"/>
          <w:b/>
        </w:rPr>
      </w:pPr>
    </w:p>
    <w:p w14:paraId="7B5D68B9" w14:textId="77777777" w:rsidR="00211198" w:rsidRPr="000364B7" w:rsidRDefault="00211198" w:rsidP="005E0098">
      <w:pPr>
        <w:spacing w:after="0" w:line="276" w:lineRule="auto"/>
        <w:rPr>
          <w:rFonts w:ascii="Arial Narrow" w:hAnsi="Arial Narrow"/>
          <w:b/>
          <w:sz w:val="28"/>
        </w:rPr>
      </w:pPr>
      <w:r w:rsidRPr="000364B7">
        <w:rPr>
          <w:rFonts w:ascii="Arial Narrow" w:hAnsi="Arial Narrow"/>
          <w:b/>
          <w:sz w:val="28"/>
        </w:rPr>
        <w:t>Introduction</w:t>
      </w:r>
    </w:p>
    <w:p w14:paraId="47E72B6A" w14:textId="77777777" w:rsidR="00574859" w:rsidRDefault="00574859" w:rsidP="005E0098">
      <w:pPr>
        <w:pStyle w:val="ListParagraph"/>
        <w:spacing w:after="0" w:line="276" w:lineRule="auto"/>
        <w:ind w:left="360"/>
        <w:jc w:val="both"/>
        <w:rPr>
          <w:rFonts w:ascii="Arial Narrow" w:hAnsi="Arial Narrow" w:cs="Arial"/>
        </w:rPr>
      </w:pPr>
    </w:p>
    <w:p w14:paraId="39EB5550" w14:textId="608E2325" w:rsidR="00966452" w:rsidRPr="00021F53" w:rsidRDefault="000D4E53" w:rsidP="005E0098">
      <w:pPr>
        <w:pStyle w:val="ListParagraph"/>
        <w:numPr>
          <w:ilvl w:val="0"/>
          <w:numId w:val="1"/>
        </w:numPr>
        <w:spacing w:after="0" w:line="276" w:lineRule="auto"/>
        <w:jc w:val="both"/>
        <w:rPr>
          <w:rFonts w:ascii="Arial Narrow" w:hAnsi="Arial Narrow" w:cs="Arial"/>
        </w:rPr>
      </w:pPr>
      <w:r>
        <w:rPr>
          <w:rFonts w:ascii="Arial Narrow" w:hAnsi="Arial Narrow" w:cs="Arial"/>
        </w:rPr>
        <w:t>The</w:t>
      </w:r>
      <w:r w:rsidR="00211198" w:rsidRPr="00021F53">
        <w:rPr>
          <w:rFonts w:ascii="Arial Narrow" w:hAnsi="Arial Narrow" w:cs="Arial"/>
        </w:rPr>
        <w:t>s</w:t>
      </w:r>
      <w:r>
        <w:rPr>
          <w:rFonts w:ascii="Arial Narrow" w:hAnsi="Arial Narrow" w:cs="Arial"/>
        </w:rPr>
        <w:t>e</w:t>
      </w:r>
      <w:r w:rsidR="00211198" w:rsidRPr="00021F53">
        <w:rPr>
          <w:rFonts w:ascii="Arial Narrow" w:hAnsi="Arial Narrow" w:cs="Arial"/>
        </w:rPr>
        <w:t xml:space="preserve"> </w:t>
      </w:r>
      <w:r>
        <w:rPr>
          <w:rFonts w:ascii="Arial Narrow" w:hAnsi="Arial Narrow" w:cs="Arial"/>
        </w:rPr>
        <w:t>submissions are</w:t>
      </w:r>
      <w:r w:rsidR="00211198" w:rsidRPr="00021F53">
        <w:rPr>
          <w:rFonts w:ascii="Arial Narrow" w:hAnsi="Arial Narrow" w:cs="Arial"/>
        </w:rPr>
        <w:t xml:space="preserve"> </w:t>
      </w:r>
      <w:r>
        <w:rPr>
          <w:rFonts w:ascii="Arial Narrow" w:hAnsi="Arial Narrow" w:cs="Arial"/>
        </w:rPr>
        <w:t>made</w:t>
      </w:r>
      <w:r w:rsidR="00211198" w:rsidRPr="00021F53">
        <w:rPr>
          <w:rFonts w:ascii="Arial Narrow" w:hAnsi="Arial Narrow" w:cs="Arial"/>
        </w:rPr>
        <w:t xml:space="preserve"> </w:t>
      </w:r>
      <w:r w:rsidR="00A8292C" w:rsidRPr="00021F53">
        <w:rPr>
          <w:rFonts w:ascii="Arial Narrow" w:hAnsi="Arial Narrow" w:cs="Arial"/>
        </w:rPr>
        <w:t xml:space="preserve">on behalf of ARTICLE 19: Global Campaign for Free Expression (ARTICLE 19), an independent human rights organisation that works around the world to protect and promote the right to freedom of expression and right to freedom of information. </w:t>
      </w:r>
      <w:r>
        <w:rPr>
          <w:rFonts w:ascii="Arial Narrow" w:hAnsi="Arial Narrow"/>
        </w:rPr>
        <w:t>ARTICLE 19 welcomes the decision of the UN Human Rights Committee (the Committee) at its 124</w:t>
      </w:r>
      <w:r w:rsidRPr="000D4E53">
        <w:rPr>
          <w:rFonts w:ascii="Arial Narrow" w:hAnsi="Arial Narrow"/>
          <w:vertAlign w:val="superscript"/>
        </w:rPr>
        <w:t>th</w:t>
      </w:r>
      <w:r>
        <w:rPr>
          <w:rFonts w:ascii="Arial Narrow" w:hAnsi="Arial Narrow"/>
        </w:rPr>
        <w:t xml:space="preserve"> Session in 2018 to develop a General Comment on Article 21 of the International Covenant on Civil and Political Rights (ICCPR) on the right to peaceful assembly. </w:t>
      </w:r>
      <w:r w:rsidR="00A8292C" w:rsidRPr="00021F53">
        <w:rPr>
          <w:rFonts w:ascii="Arial Narrow" w:hAnsi="Arial Narrow"/>
        </w:rPr>
        <w:t xml:space="preserve"> </w:t>
      </w:r>
      <w:r w:rsidR="007669C8" w:rsidRPr="00021F53">
        <w:rPr>
          <w:rFonts w:ascii="Arial Narrow" w:hAnsi="Arial Narrow"/>
        </w:rPr>
        <w:t xml:space="preserve"> </w:t>
      </w:r>
    </w:p>
    <w:p w14:paraId="368E819F" w14:textId="5E60C1B8" w:rsidR="00E21AB4" w:rsidRDefault="00E21AB4" w:rsidP="005E0098">
      <w:pPr>
        <w:spacing w:after="0" w:line="276" w:lineRule="auto"/>
        <w:jc w:val="both"/>
        <w:rPr>
          <w:rFonts w:ascii="Arial Narrow" w:hAnsi="Arial Narrow" w:cs="Arial"/>
        </w:rPr>
      </w:pPr>
    </w:p>
    <w:p w14:paraId="49C83BD2" w14:textId="4C3140D0" w:rsidR="00EF250C" w:rsidRDefault="0070244D" w:rsidP="005E0098">
      <w:pPr>
        <w:pStyle w:val="ListParagraph"/>
        <w:numPr>
          <w:ilvl w:val="0"/>
          <w:numId w:val="1"/>
        </w:numPr>
        <w:spacing w:after="0" w:line="276" w:lineRule="auto"/>
        <w:jc w:val="both"/>
        <w:rPr>
          <w:rFonts w:ascii="Arial Narrow" w:hAnsi="Arial Narrow" w:cs="Arial"/>
        </w:rPr>
      </w:pPr>
      <w:r>
        <w:rPr>
          <w:rFonts w:ascii="Arial Narrow" w:hAnsi="Arial Narrow" w:cs="Arial"/>
        </w:rPr>
        <w:t>Our submissions draw on</w:t>
      </w:r>
      <w:r w:rsidR="000D4E53">
        <w:rPr>
          <w:rFonts w:ascii="Arial Narrow" w:hAnsi="Arial Narrow" w:cs="Arial"/>
        </w:rPr>
        <w:t xml:space="preserve"> ARTICLE 19</w:t>
      </w:r>
      <w:r w:rsidR="00BD046E">
        <w:rPr>
          <w:rFonts w:ascii="Arial Narrow" w:hAnsi="Arial Narrow" w:cs="Arial"/>
        </w:rPr>
        <w:t xml:space="preserve"> experience and expertise </w:t>
      </w:r>
      <w:r w:rsidR="00D73AFF">
        <w:rPr>
          <w:rFonts w:ascii="Arial Narrow" w:hAnsi="Arial Narrow" w:cs="Arial"/>
        </w:rPr>
        <w:t xml:space="preserve">advocating to protect </w:t>
      </w:r>
      <w:r w:rsidR="00BD046E">
        <w:rPr>
          <w:rFonts w:ascii="Arial Narrow" w:hAnsi="Arial Narrow" w:cs="Arial"/>
        </w:rPr>
        <w:t>the right</w:t>
      </w:r>
      <w:r w:rsidR="00D73AFF">
        <w:rPr>
          <w:rFonts w:ascii="Arial Narrow" w:hAnsi="Arial Narrow" w:cs="Arial"/>
        </w:rPr>
        <w:t>s</w:t>
      </w:r>
      <w:r w:rsidR="00BD046E">
        <w:rPr>
          <w:rFonts w:ascii="Arial Narrow" w:hAnsi="Arial Narrow" w:cs="Arial"/>
        </w:rPr>
        <w:t xml:space="preserve"> to freedom of expression and freedom of</w:t>
      </w:r>
      <w:r w:rsidR="00D73AFF">
        <w:rPr>
          <w:rFonts w:ascii="Arial Narrow" w:hAnsi="Arial Narrow" w:cs="Arial"/>
        </w:rPr>
        <w:t xml:space="preserve"> peaceful</w:t>
      </w:r>
      <w:r w:rsidR="00BD046E">
        <w:rPr>
          <w:rFonts w:ascii="Arial Narrow" w:hAnsi="Arial Narrow" w:cs="Arial"/>
        </w:rPr>
        <w:t xml:space="preserve"> assembly and association. This includes the policy work – culminating in ou</w:t>
      </w:r>
      <w:r w:rsidR="00D73AFF">
        <w:rPr>
          <w:rFonts w:ascii="Arial Narrow" w:hAnsi="Arial Narrow" w:cs="Arial"/>
        </w:rPr>
        <w:t>r</w:t>
      </w:r>
      <w:r w:rsidR="00BD046E">
        <w:rPr>
          <w:rFonts w:ascii="Arial Narrow" w:hAnsi="Arial Narrow" w:cs="Arial"/>
        </w:rPr>
        <w:t xml:space="preserve"> </w:t>
      </w:r>
      <w:r w:rsidR="000D4E53">
        <w:rPr>
          <w:rFonts w:ascii="Arial Narrow" w:hAnsi="Arial Narrow" w:cs="Arial"/>
        </w:rPr>
        <w:t>principle policy position in this field, “The Right to Protest: Principles on the Protection of Human Rights in Protests” (the Protest Principles),</w:t>
      </w:r>
      <w:r w:rsidR="000D4E53">
        <w:rPr>
          <w:rStyle w:val="FootnoteReference"/>
          <w:rFonts w:ascii="Arial Narrow" w:hAnsi="Arial Narrow" w:cs="Arial"/>
        </w:rPr>
        <w:footnoteReference w:id="2"/>
      </w:r>
      <w:r w:rsidR="000D4E53">
        <w:rPr>
          <w:rFonts w:ascii="Arial Narrow" w:hAnsi="Arial Narrow" w:cs="Arial"/>
        </w:rPr>
        <w:t xml:space="preserve"> </w:t>
      </w:r>
      <w:r w:rsidR="00BD046E">
        <w:rPr>
          <w:rFonts w:ascii="Arial Narrow" w:hAnsi="Arial Narrow" w:cs="Arial"/>
        </w:rPr>
        <w:t>legal analys</w:t>
      </w:r>
      <w:r w:rsidR="00D73AFF">
        <w:rPr>
          <w:rFonts w:ascii="Arial Narrow" w:hAnsi="Arial Narrow" w:cs="Arial"/>
        </w:rPr>
        <w:t>e</w:t>
      </w:r>
      <w:r w:rsidR="00BD046E">
        <w:rPr>
          <w:rFonts w:ascii="Arial Narrow" w:hAnsi="Arial Narrow" w:cs="Arial"/>
        </w:rPr>
        <w:t xml:space="preserve">s of laws related to </w:t>
      </w:r>
      <w:r w:rsidR="00D73AFF">
        <w:rPr>
          <w:rFonts w:ascii="Arial Narrow" w:hAnsi="Arial Narrow" w:cs="Arial"/>
        </w:rPr>
        <w:t>the right of</w:t>
      </w:r>
      <w:r w:rsidR="00BD046E">
        <w:rPr>
          <w:rFonts w:ascii="Arial Narrow" w:hAnsi="Arial Narrow" w:cs="Arial"/>
        </w:rPr>
        <w:t xml:space="preserve"> assembly, support to progressive jurisprudence at national and regional levels (including at the European Court of Human Rights)</w:t>
      </w:r>
      <w:r w:rsidR="00D73AFF">
        <w:rPr>
          <w:rFonts w:ascii="Arial Narrow" w:hAnsi="Arial Narrow" w:cs="Arial"/>
        </w:rPr>
        <w:t>,</w:t>
      </w:r>
      <w:r w:rsidR="00BD046E">
        <w:rPr>
          <w:rFonts w:ascii="Arial Narrow" w:hAnsi="Arial Narrow" w:cs="Arial"/>
        </w:rPr>
        <w:t xml:space="preserve"> and work with human rights defenders and grassroot</w:t>
      </w:r>
      <w:r w:rsidR="00D73AFF">
        <w:rPr>
          <w:rFonts w:ascii="Arial Narrow" w:hAnsi="Arial Narrow" w:cs="Arial"/>
        </w:rPr>
        <w:t>s</w:t>
      </w:r>
      <w:r w:rsidR="00BD046E">
        <w:rPr>
          <w:rFonts w:ascii="Arial Narrow" w:hAnsi="Arial Narrow" w:cs="Arial"/>
        </w:rPr>
        <w:t xml:space="preserve"> organisations involved in protests</w:t>
      </w:r>
      <w:r w:rsidR="00D73AFF">
        <w:rPr>
          <w:rFonts w:ascii="Arial Narrow" w:hAnsi="Arial Narrow" w:cs="Arial"/>
        </w:rPr>
        <w:t>.</w:t>
      </w:r>
      <w:r w:rsidR="005E0098">
        <w:rPr>
          <w:rFonts w:ascii="Arial Narrow" w:hAnsi="Arial Narrow" w:cs="Arial"/>
        </w:rPr>
        <w:t xml:space="preserve"> </w:t>
      </w:r>
      <w:r w:rsidR="00313A19">
        <w:rPr>
          <w:rFonts w:ascii="Arial Narrow" w:hAnsi="Arial Narrow" w:cs="Arial"/>
        </w:rPr>
        <w:t xml:space="preserve"> </w:t>
      </w:r>
    </w:p>
    <w:p w14:paraId="624B2003" w14:textId="77777777" w:rsidR="00EF250C" w:rsidRPr="00EF250C" w:rsidRDefault="00EF250C" w:rsidP="005E0098">
      <w:pPr>
        <w:pStyle w:val="ListParagraph"/>
        <w:spacing w:after="0" w:line="276" w:lineRule="auto"/>
        <w:rPr>
          <w:rFonts w:ascii="Arial Narrow" w:hAnsi="Arial Narrow" w:cs="Arial"/>
        </w:rPr>
      </w:pPr>
    </w:p>
    <w:p w14:paraId="179985AD" w14:textId="1719C81F" w:rsidR="00BD046E" w:rsidRDefault="00313A19" w:rsidP="005E0098">
      <w:pPr>
        <w:pStyle w:val="ListParagraph"/>
        <w:numPr>
          <w:ilvl w:val="0"/>
          <w:numId w:val="1"/>
        </w:numPr>
        <w:spacing w:after="0" w:line="276" w:lineRule="auto"/>
        <w:jc w:val="both"/>
        <w:rPr>
          <w:rFonts w:ascii="Arial Narrow" w:hAnsi="Arial Narrow" w:cs="Arial"/>
        </w:rPr>
      </w:pPr>
      <w:r>
        <w:rPr>
          <w:rFonts w:ascii="Arial Narrow" w:hAnsi="Arial Narrow" w:cs="Arial"/>
        </w:rPr>
        <w:t>The submissions are structured to respond to the specific questions raised by the Rapporteur for the General Comment in the “note by the rapporteur.”</w:t>
      </w:r>
      <w:r>
        <w:rPr>
          <w:rStyle w:val="FootnoteReference"/>
          <w:rFonts w:ascii="Arial Narrow" w:hAnsi="Arial Narrow" w:cs="Arial"/>
        </w:rPr>
        <w:footnoteReference w:id="3"/>
      </w:r>
      <w:r w:rsidR="00EF250C">
        <w:rPr>
          <w:rFonts w:ascii="Arial Narrow" w:hAnsi="Arial Narrow" w:cs="Arial"/>
        </w:rPr>
        <w:t xml:space="preserve"> We organise these </w:t>
      </w:r>
      <w:r w:rsidR="00BD046E">
        <w:rPr>
          <w:rFonts w:ascii="Arial Narrow" w:hAnsi="Arial Narrow" w:cs="Arial"/>
        </w:rPr>
        <w:t>as follows:</w:t>
      </w:r>
    </w:p>
    <w:p w14:paraId="07C8A064" w14:textId="0FDFE16C" w:rsidR="00BD046E" w:rsidRDefault="000364B7" w:rsidP="00D73AFF">
      <w:pPr>
        <w:pStyle w:val="ListParagraph"/>
        <w:numPr>
          <w:ilvl w:val="1"/>
          <w:numId w:val="1"/>
        </w:numPr>
        <w:spacing w:after="0" w:line="276" w:lineRule="auto"/>
        <w:jc w:val="both"/>
        <w:rPr>
          <w:rFonts w:ascii="Arial Narrow" w:hAnsi="Arial Narrow" w:cs="Arial"/>
        </w:rPr>
      </w:pPr>
      <w:r>
        <w:rPr>
          <w:rFonts w:ascii="Arial Narrow" w:hAnsi="Arial Narrow" w:cs="Arial"/>
        </w:rPr>
        <w:t>Section I</w:t>
      </w:r>
      <w:r w:rsidR="00BD046E">
        <w:rPr>
          <w:rFonts w:ascii="Arial Narrow" w:hAnsi="Arial Narrow" w:cs="Arial"/>
        </w:rPr>
        <w:t xml:space="preserve"> deals with </w:t>
      </w:r>
      <w:r>
        <w:rPr>
          <w:rFonts w:ascii="Arial Narrow" w:hAnsi="Arial Narrow" w:cs="Arial"/>
        </w:rPr>
        <w:t>general principles, including on</w:t>
      </w:r>
      <w:r w:rsidR="005E0098">
        <w:rPr>
          <w:rFonts w:ascii="Arial Narrow" w:hAnsi="Arial Narrow" w:cs="Arial"/>
        </w:rPr>
        <w:t xml:space="preserve"> understanding the scope of the right to freedom of peaceful assembly,</w:t>
      </w:r>
      <w:r>
        <w:rPr>
          <w:rFonts w:ascii="Arial Narrow" w:hAnsi="Arial Narrow" w:cs="Arial"/>
        </w:rPr>
        <w:t xml:space="preserve"> limitations, states of emergency, and non-discrimination</w:t>
      </w:r>
      <w:r w:rsidR="00BD046E">
        <w:rPr>
          <w:rFonts w:ascii="Arial Narrow" w:hAnsi="Arial Narrow" w:cs="Arial"/>
        </w:rPr>
        <w:t>;</w:t>
      </w:r>
    </w:p>
    <w:p w14:paraId="40FDD515" w14:textId="700CD256" w:rsidR="00BD046E" w:rsidRDefault="000364B7" w:rsidP="00D73AFF">
      <w:pPr>
        <w:pStyle w:val="ListParagraph"/>
        <w:numPr>
          <w:ilvl w:val="1"/>
          <w:numId w:val="1"/>
        </w:numPr>
        <w:spacing w:after="0" w:line="276" w:lineRule="auto"/>
        <w:jc w:val="both"/>
        <w:rPr>
          <w:rFonts w:ascii="Arial Narrow" w:hAnsi="Arial Narrow" w:cs="Arial"/>
        </w:rPr>
      </w:pPr>
      <w:r>
        <w:rPr>
          <w:rFonts w:ascii="Arial Narrow" w:hAnsi="Arial Narrow" w:cs="Arial"/>
        </w:rPr>
        <w:t xml:space="preserve">Section II </w:t>
      </w:r>
      <w:r w:rsidR="005E0098">
        <w:rPr>
          <w:rFonts w:ascii="Arial Narrow" w:hAnsi="Arial Narrow" w:cs="Arial"/>
        </w:rPr>
        <w:t xml:space="preserve">addresses </w:t>
      </w:r>
      <w:r>
        <w:rPr>
          <w:rFonts w:ascii="Arial Narrow" w:hAnsi="Arial Narrow" w:cs="Arial"/>
        </w:rPr>
        <w:t>the obligation to respect</w:t>
      </w:r>
      <w:r w:rsidR="00D73AFF">
        <w:rPr>
          <w:rFonts w:ascii="Arial Narrow" w:hAnsi="Arial Narrow" w:cs="Arial"/>
        </w:rPr>
        <w:t xml:space="preserve"> the right of peaceful assembly;</w:t>
      </w:r>
      <w:r>
        <w:rPr>
          <w:rFonts w:ascii="Arial Narrow" w:hAnsi="Arial Narrow" w:cs="Arial"/>
        </w:rPr>
        <w:t xml:space="preserve"> </w:t>
      </w:r>
    </w:p>
    <w:p w14:paraId="39A77619" w14:textId="3316DB7C" w:rsidR="00BD046E" w:rsidRDefault="000364B7" w:rsidP="00D73AFF">
      <w:pPr>
        <w:pStyle w:val="ListParagraph"/>
        <w:numPr>
          <w:ilvl w:val="1"/>
          <w:numId w:val="1"/>
        </w:numPr>
        <w:spacing w:after="0" w:line="276" w:lineRule="auto"/>
        <w:jc w:val="both"/>
        <w:rPr>
          <w:rFonts w:ascii="Arial Narrow" w:hAnsi="Arial Narrow" w:cs="Arial"/>
        </w:rPr>
      </w:pPr>
      <w:r>
        <w:rPr>
          <w:rFonts w:ascii="Arial Narrow" w:hAnsi="Arial Narrow" w:cs="Arial"/>
        </w:rPr>
        <w:t>Section III the obligation to protect</w:t>
      </w:r>
      <w:r w:rsidR="00D73AFF">
        <w:rPr>
          <w:rFonts w:ascii="Arial Narrow" w:hAnsi="Arial Narrow" w:cs="Arial"/>
        </w:rPr>
        <w:t xml:space="preserve"> the right of peaceful assembly;</w:t>
      </w:r>
    </w:p>
    <w:p w14:paraId="04D663E4" w14:textId="144753A5" w:rsidR="00D73AFF" w:rsidRDefault="000364B7" w:rsidP="007F2B82">
      <w:pPr>
        <w:pStyle w:val="ListParagraph"/>
        <w:numPr>
          <w:ilvl w:val="1"/>
          <w:numId w:val="1"/>
        </w:numPr>
        <w:spacing w:after="0" w:line="276" w:lineRule="auto"/>
        <w:jc w:val="both"/>
        <w:rPr>
          <w:rFonts w:ascii="Arial Narrow" w:hAnsi="Arial Narrow" w:cs="Arial"/>
        </w:rPr>
      </w:pPr>
      <w:r>
        <w:rPr>
          <w:rFonts w:ascii="Arial Narrow" w:hAnsi="Arial Narrow" w:cs="Arial"/>
        </w:rPr>
        <w:t>Section IV the obligation to fulfil</w:t>
      </w:r>
      <w:r w:rsidR="007F2B82">
        <w:rPr>
          <w:rFonts w:ascii="Arial Narrow" w:hAnsi="Arial Narrow" w:cs="Arial"/>
        </w:rPr>
        <w:t xml:space="preserve"> the right of peaceful assembly.</w:t>
      </w:r>
    </w:p>
    <w:p w14:paraId="0F608B5B" w14:textId="77777777" w:rsidR="007F2B82" w:rsidRPr="007F2B82" w:rsidRDefault="007F2B82" w:rsidP="007F2B82">
      <w:pPr>
        <w:pStyle w:val="ListParagraph"/>
        <w:spacing w:after="0" w:line="276" w:lineRule="auto"/>
        <w:ind w:left="1080"/>
        <w:jc w:val="both"/>
        <w:rPr>
          <w:rFonts w:ascii="Arial Narrow" w:hAnsi="Arial Narrow" w:cs="Arial"/>
        </w:rPr>
      </w:pPr>
    </w:p>
    <w:p w14:paraId="3F5E5312" w14:textId="3052A589" w:rsidR="00E21AB4" w:rsidRPr="00D73AFF" w:rsidRDefault="000364B7" w:rsidP="00D73AFF">
      <w:pPr>
        <w:pStyle w:val="ListParagraph"/>
        <w:numPr>
          <w:ilvl w:val="0"/>
          <w:numId w:val="1"/>
        </w:numPr>
        <w:spacing w:after="0" w:line="276" w:lineRule="auto"/>
        <w:jc w:val="both"/>
        <w:rPr>
          <w:rFonts w:ascii="Arial Narrow" w:hAnsi="Arial Narrow" w:cs="Arial"/>
        </w:rPr>
      </w:pPr>
      <w:r w:rsidRPr="00D73AFF">
        <w:rPr>
          <w:rFonts w:ascii="Arial Narrow" w:hAnsi="Arial Narrow" w:cs="Arial"/>
        </w:rPr>
        <w:t>In our view</w:t>
      </w:r>
      <w:r w:rsidR="005E0098" w:rsidRPr="00D73AFF">
        <w:rPr>
          <w:rFonts w:ascii="Arial Narrow" w:hAnsi="Arial Narrow" w:cs="Arial"/>
        </w:rPr>
        <w:t>, this</w:t>
      </w:r>
      <w:r w:rsidR="00D73AFF">
        <w:rPr>
          <w:rFonts w:ascii="Arial Narrow" w:hAnsi="Arial Narrow" w:cs="Arial"/>
        </w:rPr>
        <w:t xml:space="preserve"> approach</w:t>
      </w:r>
      <w:r w:rsidR="005E0098" w:rsidRPr="00D73AFF">
        <w:rPr>
          <w:rFonts w:ascii="Arial Narrow" w:hAnsi="Arial Narrow" w:cs="Arial"/>
        </w:rPr>
        <w:t xml:space="preserve"> captures the </w:t>
      </w:r>
      <w:r w:rsidR="007F2B82">
        <w:rPr>
          <w:rFonts w:ascii="Arial Narrow" w:hAnsi="Arial Narrow" w:cs="Arial"/>
        </w:rPr>
        <w:t>States’ legal obligations</w:t>
      </w:r>
      <w:r w:rsidRPr="00D73AFF">
        <w:rPr>
          <w:rFonts w:ascii="Arial Narrow" w:hAnsi="Arial Narrow" w:cs="Arial"/>
        </w:rPr>
        <w:t xml:space="preserve"> in a way that is comprehensive and logical. </w:t>
      </w:r>
      <w:r w:rsidR="007F2B82">
        <w:rPr>
          <w:rFonts w:ascii="Arial Narrow" w:hAnsi="Arial Narrow" w:cs="Arial"/>
        </w:rPr>
        <w:t xml:space="preserve">Considerations </w:t>
      </w:r>
      <w:r w:rsidR="0010667E">
        <w:rPr>
          <w:rFonts w:ascii="Arial Narrow" w:hAnsi="Arial Narrow" w:cs="Arial"/>
        </w:rPr>
        <w:t>related to interpreting the right of peaceful assembly in the digital age, in particular in relation to</w:t>
      </w:r>
      <w:r w:rsidR="007F2B82">
        <w:rPr>
          <w:rFonts w:ascii="Arial Narrow" w:hAnsi="Arial Narrow" w:cs="Arial"/>
        </w:rPr>
        <w:t xml:space="preserve"> private actors</w:t>
      </w:r>
      <w:r w:rsidR="0010667E">
        <w:rPr>
          <w:rFonts w:ascii="Arial Narrow" w:hAnsi="Arial Narrow" w:cs="Arial"/>
        </w:rPr>
        <w:t>,</w:t>
      </w:r>
      <w:r w:rsidR="007F2B82">
        <w:rPr>
          <w:rFonts w:ascii="Arial Narrow" w:hAnsi="Arial Narrow" w:cs="Arial"/>
        </w:rPr>
        <w:t xml:space="preserve"> are integrated throughout the submiss</w:t>
      </w:r>
      <w:r w:rsidR="0010667E">
        <w:rPr>
          <w:rFonts w:ascii="Arial Narrow" w:hAnsi="Arial Narrow" w:cs="Arial"/>
        </w:rPr>
        <w:t>ion.</w:t>
      </w:r>
      <w:r w:rsidRPr="00D73AFF">
        <w:rPr>
          <w:rFonts w:ascii="Arial Narrow" w:hAnsi="Arial Narrow" w:cs="Arial"/>
        </w:rPr>
        <w:t xml:space="preserve">  </w:t>
      </w:r>
    </w:p>
    <w:p w14:paraId="2455F43A" w14:textId="77777777" w:rsidR="00574859" w:rsidRPr="00574859" w:rsidRDefault="00574859" w:rsidP="005E0098">
      <w:pPr>
        <w:pStyle w:val="ListParagraph"/>
        <w:spacing w:after="0" w:line="276" w:lineRule="auto"/>
        <w:rPr>
          <w:rFonts w:ascii="Arial Narrow" w:hAnsi="Arial Narrow" w:cs="Arial"/>
        </w:rPr>
      </w:pPr>
    </w:p>
    <w:p w14:paraId="764DD68C" w14:textId="0E7777B5" w:rsidR="00425DD2" w:rsidRDefault="00574859" w:rsidP="009800A6">
      <w:pPr>
        <w:pStyle w:val="ListParagraph"/>
        <w:numPr>
          <w:ilvl w:val="0"/>
          <w:numId w:val="1"/>
        </w:numPr>
        <w:spacing w:after="0" w:line="276" w:lineRule="auto"/>
        <w:jc w:val="both"/>
        <w:rPr>
          <w:rFonts w:ascii="Arial Narrow" w:hAnsi="Arial Narrow" w:cs="Arial"/>
        </w:rPr>
      </w:pPr>
      <w:r w:rsidRPr="00D73AFF">
        <w:rPr>
          <w:rFonts w:ascii="Arial Narrow" w:hAnsi="Arial Narrow" w:cs="Arial"/>
        </w:rPr>
        <w:t xml:space="preserve">ARTICLE 19’s work at the intersection of the right to freedom of expression and the right of peaceful assembly </w:t>
      </w:r>
      <w:r w:rsidR="00425DD2" w:rsidRPr="00D73AFF">
        <w:rPr>
          <w:rFonts w:ascii="Arial Narrow" w:hAnsi="Arial Narrow" w:cs="Arial"/>
        </w:rPr>
        <w:t xml:space="preserve">has led us to a particular focus on human rights in protests. We understand protests to mean “the individual or collective </w:t>
      </w:r>
      <w:r w:rsidR="00425DD2" w:rsidRPr="00D73AFF">
        <w:rPr>
          <w:rFonts w:ascii="Arial Narrow" w:hAnsi="Arial Narrow" w:cs="Arial"/>
        </w:rPr>
        <w:lastRenderedPageBreak/>
        <w:t>expression of oppositional, dissenting, reactive or responsive views, values or interests”,</w:t>
      </w:r>
      <w:r w:rsidR="00425DD2">
        <w:rPr>
          <w:rStyle w:val="FootnoteReference"/>
          <w:rFonts w:ascii="Arial Narrow" w:hAnsi="Arial Narrow" w:cs="Arial"/>
        </w:rPr>
        <w:footnoteReference w:id="4"/>
      </w:r>
      <w:r w:rsidR="00425DD2" w:rsidRPr="00D73AFF">
        <w:rPr>
          <w:rFonts w:ascii="Arial Narrow" w:hAnsi="Arial Narrow" w:cs="Arial"/>
        </w:rPr>
        <w:t xml:space="preserve"> and thus</w:t>
      </w:r>
      <w:r w:rsidR="00237CB1" w:rsidRPr="00D73AFF">
        <w:rPr>
          <w:rFonts w:ascii="Arial Narrow" w:hAnsi="Arial Narrow" w:cs="Arial"/>
        </w:rPr>
        <w:t>,</w:t>
      </w:r>
      <w:r w:rsidR="00425DD2" w:rsidRPr="00D73AFF">
        <w:rPr>
          <w:rFonts w:ascii="Arial Narrow" w:hAnsi="Arial Narrow" w:cs="Arial"/>
        </w:rPr>
        <w:t xml:space="preserve"> in instances of collective expression</w:t>
      </w:r>
      <w:r w:rsidR="00237CB1" w:rsidRPr="00D73AFF">
        <w:rPr>
          <w:rFonts w:ascii="Arial Narrow" w:hAnsi="Arial Narrow" w:cs="Arial"/>
        </w:rPr>
        <w:t>,</w:t>
      </w:r>
      <w:r w:rsidR="00425DD2" w:rsidRPr="00D73AFF">
        <w:rPr>
          <w:rFonts w:ascii="Arial Narrow" w:hAnsi="Arial Narrow" w:cs="Arial"/>
        </w:rPr>
        <w:t xml:space="preserve"> both Articles 19 and</w:t>
      </w:r>
      <w:r w:rsidR="00237CB1" w:rsidRPr="00D73AFF">
        <w:rPr>
          <w:rFonts w:ascii="Arial Narrow" w:hAnsi="Arial Narrow" w:cs="Arial"/>
        </w:rPr>
        <w:t xml:space="preserve"> 21 of the ICCPR are among the human rights</w:t>
      </w:r>
      <w:r w:rsidR="00425DD2" w:rsidRPr="00D73AFF">
        <w:rPr>
          <w:rFonts w:ascii="Arial Narrow" w:hAnsi="Arial Narrow" w:cs="Arial"/>
        </w:rPr>
        <w:t xml:space="preserve"> engaged.</w:t>
      </w:r>
      <w:r w:rsidR="00237CB1" w:rsidRPr="00D73AFF">
        <w:rPr>
          <w:rFonts w:ascii="Arial Narrow" w:hAnsi="Arial Narrow" w:cs="Arial"/>
        </w:rPr>
        <w:t xml:space="preserve"> </w:t>
      </w:r>
      <w:r w:rsidR="00103D53" w:rsidRPr="00D73AFF">
        <w:rPr>
          <w:rFonts w:ascii="Arial Narrow" w:hAnsi="Arial Narrow" w:cs="Arial"/>
        </w:rPr>
        <w:t xml:space="preserve">By their associative nature, assemblies will frequently engage the right to freedom of association also, under Article 22 of the ICCPR. </w:t>
      </w:r>
      <w:r w:rsidR="00237CB1" w:rsidRPr="00D73AFF">
        <w:rPr>
          <w:rFonts w:ascii="Arial Narrow" w:hAnsi="Arial Narrow" w:cs="Arial"/>
        </w:rPr>
        <w:t xml:space="preserve">While Article 21 may be engaged in situations that are not protests, the number of human rights violations we witness in protests indicates that this ought to be a priority area to develop guidance for States Parties on their obligations. </w:t>
      </w:r>
    </w:p>
    <w:p w14:paraId="438BAB59" w14:textId="77777777" w:rsidR="00D73AFF" w:rsidRPr="00D73AFF" w:rsidRDefault="00D73AFF" w:rsidP="00D73AFF">
      <w:pPr>
        <w:pStyle w:val="ListParagraph"/>
        <w:rPr>
          <w:rFonts w:ascii="Arial Narrow" w:hAnsi="Arial Narrow" w:cs="Arial"/>
        </w:rPr>
      </w:pPr>
    </w:p>
    <w:p w14:paraId="18381E44" w14:textId="77777777" w:rsidR="00D73AFF" w:rsidRPr="00D73AFF" w:rsidRDefault="00D73AFF" w:rsidP="00D73AFF">
      <w:pPr>
        <w:pStyle w:val="ListParagraph"/>
        <w:spacing w:after="0" w:line="276" w:lineRule="auto"/>
        <w:ind w:left="360"/>
        <w:jc w:val="both"/>
        <w:rPr>
          <w:rFonts w:ascii="Arial Narrow" w:hAnsi="Arial Narrow" w:cs="Arial"/>
        </w:rPr>
      </w:pPr>
    </w:p>
    <w:p w14:paraId="1E4B5206" w14:textId="41246B46" w:rsidR="00EF250C" w:rsidRPr="000364B7" w:rsidRDefault="000364B7" w:rsidP="005E0098">
      <w:pPr>
        <w:pStyle w:val="ListParagraph"/>
        <w:numPr>
          <w:ilvl w:val="0"/>
          <w:numId w:val="13"/>
        </w:numPr>
        <w:spacing w:after="0" w:line="276" w:lineRule="auto"/>
        <w:jc w:val="both"/>
        <w:rPr>
          <w:rFonts w:ascii="Arial Narrow" w:hAnsi="Arial Narrow" w:cs="Arial"/>
          <w:b/>
          <w:sz w:val="28"/>
        </w:rPr>
      </w:pPr>
      <w:r w:rsidRPr="000364B7">
        <w:rPr>
          <w:rFonts w:ascii="Arial Narrow" w:hAnsi="Arial Narrow" w:cs="Arial"/>
          <w:b/>
          <w:sz w:val="28"/>
        </w:rPr>
        <w:t>General Principles</w:t>
      </w:r>
    </w:p>
    <w:p w14:paraId="6AA16702" w14:textId="77777777" w:rsidR="00EF250C" w:rsidRPr="00425DD2" w:rsidRDefault="00EF250C" w:rsidP="005E0098">
      <w:pPr>
        <w:pStyle w:val="ListParagraph"/>
        <w:spacing w:after="0" w:line="276" w:lineRule="auto"/>
        <w:ind w:left="360"/>
        <w:jc w:val="both"/>
        <w:rPr>
          <w:rFonts w:ascii="Arial Narrow" w:hAnsi="Arial Narrow" w:cs="Arial"/>
        </w:rPr>
      </w:pPr>
    </w:p>
    <w:p w14:paraId="21CC3FDB" w14:textId="7F431625" w:rsidR="005E0098" w:rsidRDefault="0039352D" w:rsidP="005E0098">
      <w:pPr>
        <w:spacing w:after="0" w:line="276" w:lineRule="auto"/>
        <w:rPr>
          <w:rFonts w:ascii="Arial Narrow" w:hAnsi="Arial Narrow" w:cs="Arial"/>
          <w:b/>
        </w:rPr>
      </w:pPr>
      <w:r>
        <w:rPr>
          <w:rFonts w:ascii="Arial Narrow" w:hAnsi="Arial Narrow" w:cs="Arial"/>
          <w:b/>
        </w:rPr>
        <w:t>Value of</w:t>
      </w:r>
      <w:r w:rsidR="00237CB1">
        <w:rPr>
          <w:rFonts w:ascii="Arial Narrow" w:hAnsi="Arial Narrow" w:cs="Arial"/>
          <w:b/>
        </w:rPr>
        <w:t xml:space="preserve"> the right of</w:t>
      </w:r>
      <w:r>
        <w:rPr>
          <w:rFonts w:ascii="Arial Narrow" w:hAnsi="Arial Narrow" w:cs="Arial"/>
          <w:b/>
        </w:rPr>
        <w:t xml:space="preserve"> peaceful assembly</w:t>
      </w:r>
      <w:r w:rsidR="00B2305D" w:rsidRPr="00AC5253">
        <w:rPr>
          <w:rStyle w:val="FootnoteReference"/>
          <w:rFonts w:ascii="Arial Narrow" w:hAnsi="Arial Narrow" w:cs="Arial"/>
        </w:rPr>
        <w:footnoteReference w:id="5"/>
      </w:r>
    </w:p>
    <w:p w14:paraId="760E357B" w14:textId="7549A29C" w:rsidR="00B2305D" w:rsidRDefault="00237CB1" w:rsidP="005E0098">
      <w:pPr>
        <w:pStyle w:val="ListParagraph"/>
        <w:numPr>
          <w:ilvl w:val="0"/>
          <w:numId w:val="1"/>
        </w:numPr>
        <w:spacing w:after="0" w:line="276" w:lineRule="auto"/>
        <w:jc w:val="both"/>
        <w:rPr>
          <w:rFonts w:ascii="Arial Narrow" w:hAnsi="Arial Narrow" w:cs="Arial"/>
        </w:rPr>
      </w:pPr>
      <w:r>
        <w:rPr>
          <w:rFonts w:ascii="Arial Narrow" w:hAnsi="Arial Narrow" w:cs="Arial"/>
        </w:rPr>
        <w:t>The right of p</w:t>
      </w:r>
      <w:r w:rsidR="00B2305D">
        <w:rPr>
          <w:rFonts w:ascii="Arial Narrow" w:hAnsi="Arial Narrow" w:cs="Arial"/>
        </w:rPr>
        <w:t xml:space="preserve">eaceful assembly is essential for </w:t>
      </w:r>
      <w:r w:rsidR="005E0098">
        <w:rPr>
          <w:rFonts w:ascii="Arial Narrow" w:hAnsi="Arial Narrow" w:cs="Arial"/>
        </w:rPr>
        <w:t>collective expression</w:t>
      </w:r>
      <w:r w:rsidR="00D73AFF">
        <w:rPr>
          <w:rFonts w:ascii="Arial Narrow" w:hAnsi="Arial Narrow" w:cs="Arial"/>
        </w:rPr>
        <w:t>,</w:t>
      </w:r>
      <w:r w:rsidR="005E0098">
        <w:rPr>
          <w:rFonts w:ascii="Arial Narrow" w:hAnsi="Arial Narrow" w:cs="Arial"/>
        </w:rPr>
        <w:t xml:space="preserve"> and in particular for protests</w:t>
      </w:r>
      <w:r w:rsidR="00B2305D">
        <w:rPr>
          <w:rFonts w:ascii="Arial Narrow" w:hAnsi="Arial Narrow" w:cs="Arial"/>
        </w:rPr>
        <w:t xml:space="preserve">, and thus plays </w:t>
      </w:r>
      <w:r w:rsidRPr="00B2305D">
        <w:rPr>
          <w:rFonts w:ascii="Arial Narrow" w:hAnsi="Arial Narrow" w:cs="Arial"/>
        </w:rPr>
        <w:t xml:space="preserve">an important part in the civil, political, economic, social and cultural life of all societies. </w:t>
      </w:r>
    </w:p>
    <w:p w14:paraId="46ADF827" w14:textId="77777777" w:rsidR="00B2305D" w:rsidRDefault="00B2305D" w:rsidP="005E0098">
      <w:pPr>
        <w:pStyle w:val="ListParagraph"/>
        <w:spacing w:after="0" w:line="276" w:lineRule="auto"/>
        <w:ind w:left="360"/>
        <w:jc w:val="both"/>
        <w:rPr>
          <w:rFonts w:ascii="Arial Narrow" w:hAnsi="Arial Narrow" w:cs="Arial"/>
        </w:rPr>
      </w:pPr>
    </w:p>
    <w:p w14:paraId="5578F234" w14:textId="572351A0" w:rsidR="00B2305D" w:rsidRDefault="00237CB1" w:rsidP="005E0098">
      <w:pPr>
        <w:pStyle w:val="ListParagraph"/>
        <w:numPr>
          <w:ilvl w:val="0"/>
          <w:numId w:val="1"/>
        </w:numPr>
        <w:spacing w:after="0" w:line="276" w:lineRule="auto"/>
        <w:jc w:val="both"/>
        <w:rPr>
          <w:rFonts w:ascii="Arial Narrow" w:hAnsi="Arial Narrow" w:cs="Arial"/>
        </w:rPr>
      </w:pPr>
      <w:r w:rsidRPr="00B2305D">
        <w:rPr>
          <w:rFonts w:ascii="Arial Narrow" w:hAnsi="Arial Narrow" w:cs="Arial"/>
        </w:rPr>
        <w:t xml:space="preserve">Historically, </w:t>
      </w:r>
      <w:r w:rsidR="00B2305D">
        <w:rPr>
          <w:rFonts w:ascii="Arial Narrow" w:hAnsi="Arial Narrow" w:cs="Arial"/>
        </w:rPr>
        <w:t>peaceful assemblies</w:t>
      </w:r>
      <w:r w:rsidRPr="00B2305D">
        <w:rPr>
          <w:rFonts w:ascii="Arial Narrow" w:hAnsi="Arial Narrow" w:cs="Arial"/>
        </w:rPr>
        <w:t xml:space="preserve"> have often inspired positive social change and improved protection of human rights, and they continue to help define and protect civic space in all parts of the world.</w:t>
      </w:r>
      <w:r w:rsidR="00B2305D">
        <w:rPr>
          <w:rFonts w:ascii="Arial Narrow" w:hAnsi="Arial Narrow" w:cs="Arial"/>
        </w:rPr>
        <w:t xml:space="preserve"> They</w:t>
      </w:r>
      <w:r w:rsidRPr="00B2305D">
        <w:rPr>
          <w:rFonts w:ascii="Arial Narrow" w:hAnsi="Arial Narrow" w:cs="Arial"/>
        </w:rPr>
        <w:t xml:space="preserve"> encourage the development of an engaged and informed citizenry and strengthen representative democracy by enabling direct participation in public affairs. They enable individuals and groups to express dissent and grievances, to share views and opinions, to expose flaws in governance and to publicly demand that the authorities and other powerful entities rectify problems and are accountable for their actions. This is especially important for those whose interests are otherwise poor</w:t>
      </w:r>
      <w:r w:rsidR="00B2305D">
        <w:rPr>
          <w:rFonts w:ascii="Arial Narrow" w:hAnsi="Arial Narrow" w:cs="Arial"/>
        </w:rPr>
        <w:t>ly represented or marginalised.</w:t>
      </w:r>
    </w:p>
    <w:p w14:paraId="01B0627B" w14:textId="77777777" w:rsidR="005E0098" w:rsidRPr="005E0098" w:rsidRDefault="005E0098" w:rsidP="005E0098">
      <w:pPr>
        <w:pStyle w:val="ListParagraph"/>
        <w:spacing w:after="0" w:line="276" w:lineRule="auto"/>
        <w:rPr>
          <w:rFonts w:ascii="Arial Narrow" w:hAnsi="Arial Narrow" w:cs="Arial"/>
        </w:rPr>
      </w:pPr>
    </w:p>
    <w:p w14:paraId="7C846CDA" w14:textId="05F11D26" w:rsidR="005E0098" w:rsidRPr="005E0098" w:rsidRDefault="005E0098" w:rsidP="005E0098">
      <w:pPr>
        <w:pStyle w:val="ListParagraph"/>
        <w:numPr>
          <w:ilvl w:val="0"/>
          <w:numId w:val="1"/>
        </w:numPr>
        <w:spacing w:after="0" w:line="276" w:lineRule="auto"/>
        <w:jc w:val="both"/>
        <w:rPr>
          <w:rFonts w:ascii="Arial Narrow" w:hAnsi="Arial Narrow" w:cs="Arial"/>
        </w:rPr>
      </w:pPr>
      <w:r>
        <w:rPr>
          <w:rFonts w:ascii="Arial Narrow" w:hAnsi="Arial Narrow" w:cs="Arial"/>
        </w:rPr>
        <w:t xml:space="preserve">As the </w:t>
      </w:r>
      <w:r w:rsidRPr="005E0098">
        <w:rPr>
          <w:rFonts w:ascii="Arial Narrow" w:hAnsi="Arial Narrow" w:cs="Arial"/>
        </w:rPr>
        <w:t xml:space="preserve">High Commissioner for Human Rights observed in her global report of March 2019: </w:t>
      </w:r>
    </w:p>
    <w:p w14:paraId="0445D808" w14:textId="77777777" w:rsidR="005E0098" w:rsidRPr="005E0098" w:rsidRDefault="005E0098" w:rsidP="005E0098">
      <w:pPr>
        <w:pStyle w:val="ListParagraph"/>
        <w:spacing w:after="0" w:line="276" w:lineRule="auto"/>
        <w:rPr>
          <w:rFonts w:ascii="Arial Narrow" w:hAnsi="Arial Narrow" w:cs="Arial"/>
        </w:rPr>
      </w:pPr>
    </w:p>
    <w:p w14:paraId="24EB1AEC" w14:textId="4F3ED20E" w:rsidR="005E0098" w:rsidRPr="005E0098" w:rsidRDefault="005E0098" w:rsidP="009220A3">
      <w:pPr>
        <w:pStyle w:val="ListParagraph"/>
        <w:spacing w:after="0" w:line="276" w:lineRule="auto"/>
        <w:ind w:left="709" w:right="107"/>
        <w:jc w:val="both"/>
        <w:rPr>
          <w:rFonts w:ascii="Arial Narrow" w:hAnsi="Arial Narrow" w:cs="Arial"/>
          <w:sz w:val="20"/>
        </w:rPr>
      </w:pPr>
      <w:r w:rsidRPr="005E0098">
        <w:rPr>
          <w:rStyle w:val="lblnewsfulltext"/>
          <w:rFonts w:ascii="Arial Narrow" w:hAnsi="Arial Narrow"/>
          <w:i/>
          <w:sz w:val="20"/>
        </w:rPr>
        <w:t>Even in prosperous States, people feel excluded from the benefits of development and deprived of economic and social rights – leading to alienation, unrest, and sometimes violence.  In recent months, we have seen people across the world take to the streets to protest inequalities and deteriorating economic and social conditions.  Their demands call for respectful dialogue and genuine reform. And yet, in several cases, they are being met with violent and excessive use of force; arbitrary detentions; torture; and even alleged summary or extra-judicial killings</w:t>
      </w:r>
      <w:r w:rsidRPr="005E0098">
        <w:rPr>
          <w:rStyle w:val="lblnewsfulltext"/>
          <w:rFonts w:ascii="Arial Narrow" w:hAnsi="Arial Narrow"/>
          <w:sz w:val="20"/>
        </w:rPr>
        <w:t>.</w:t>
      </w:r>
      <w:r w:rsidRPr="005E0098">
        <w:rPr>
          <w:rStyle w:val="FootnoteReference"/>
          <w:rFonts w:ascii="Arial Narrow" w:hAnsi="Arial Narrow"/>
          <w:sz w:val="20"/>
        </w:rPr>
        <w:footnoteReference w:id="6"/>
      </w:r>
    </w:p>
    <w:p w14:paraId="25AE5819" w14:textId="77777777" w:rsidR="00B2305D" w:rsidRPr="005E0098" w:rsidRDefault="00B2305D" w:rsidP="005E0098">
      <w:pPr>
        <w:pStyle w:val="ListParagraph"/>
        <w:spacing w:after="0" w:line="276" w:lineRule="auto"/>
        <w:rPr>
          <w:rFonts w:ascii="Arial Narrow" w:hAnsi="Arial Narrow" w:cs="Arial"/>
        </w:rPr>
      </w:pPr>
    </w:p>
    <w:p w14:paraId="6602FA78" w14:textId="5D932DCA" w:rsidR="005E0098" w:rsidRDefault="009220A3" w:rsidP="005E0098">
      <w:pPr>
        <w:pStyle w:val="ListParagraph"/>
        <w:numPr>
          <w:ilvl w:val="0"/>
          <w:numId w:val="1"/>
        </w:numPr>
        <w:spacing w:after="0" w:line="276" w:lineRule="auto"/>
        <w:jc w:val="both"/>
        <w:rPr>
          <w:rFonts w:ascii="Arial Narrow" w:hAnsi="Arial Narrow" w:cs="Arial"/>
        </w:rPr>
      </w:pPr>
      <w:r>
        <w:rPr>
          <w:rFonts w:ascii="Arial Narrow" w:hAnsi="Arial Narrow" w:cs="Arial"/>
        </w:rPr>
        <w:t xml:space="preserve">The </w:t>
      </w:r>
      <w:r w:rsidR="005E0098">
        <w:rPr>
          <w:rFonts w:ascii="Arial Narrow" w:hAnsi="Arial Narrow" w:cs="Arial"/>
        </w:rPr>
        <w:t xml:space="preserve">value of peaceful assembly to sustainable development, in particular Agenda 2030, has also be stressed by the UN Special Rapporteur on the right to freedom of peaceful assembly and </w:t>
      </w:r>
      <w:r w:rsidR="00D73AFF">
        <w:rPr>
          <w:rFonts w:ascii="Arial Narrow" w:hAnsi="Arial Narrow" w:cs="Arial"/>
        </w:rPr>
        <w:t>association, who has noted how the rights ensure</w:t>
      </w:r>
      <w:r w:rsidR="005E0098">
        <w:rPr>
          <w:rFonts w:ascii="Arial Narrow" w:hAnsi="Arial Narrow" w:cs="Arial"/>
        </w:rPr>
        <w:t xml:space="preserve"> transpar</w:t>
      </w:r>
      <w:r w:rsidR="00D73AFF">
        <w:rPr>
          <w:rFonts w:ascii="Arial Narrow" w:hAnsi="Arial Narrow" w:cs="Arial"/>
        </w:rPr>
        <w:t>ency and inclusiveness, create</w:t>
      </w:r>
      <w:r w:rsidR="005E0098">
        <w:rPr>
          <w:rFonts w:ascii="Arial Narrow" w:hAnsi="Arial Narrow" w:cs="Arial"/>
        </w:rPr>
        <w:t xml:space="preserve"> an enabling environ</w:t>
      </w:r>
      <w:r w:rsidR="00D73AFF">
        <w:rPr>
          <w:rFonts w:ascii="Arial Narrow" w:hAnsi="Arial Narrow" w:cs="Arial"/>
        </w:rPr>
        <w:t>ment for civil society, ensure accountability, create</w:t>
      </w:r>
      <w:r w:rsidR="005E0098">
        <w:rPr>
          <w:rFonts w:ascii="Arial Narrow" w:hAnsi="Arial Narrow" w:cs="Arial"/>
        </w:rPr>
        <w:t xml:space="preserve"> partnerships wi</w:t>
      </w:r>
      <w:r w:rsidR="00D73AFF">
        <w:rPr>
          <w:rFonts w:ascii="Arial Narrow" w:hAnsi="Arial Narrow" w:cs="Arial"/>
        </w:rPr>
        <w:t>th civil society, and support</w:t>
      </w:r>
      <w:r w:rsidR="005E0098">
        <w:rPr>
          <w:rFonts w:ascii="Arial Narrow" w:hAnsi="Arial Narrow" w:cs="Arial"/>
        </w:rPr>
        <w:t xml:space="preserve"> labour rights.</w:t>
      </w:r>
      <w:r w:rsidR="005E0098">
        <w:rPr>
          <w:rStyle w:val="FootnoteReference"/>
          <w:rFonts w:ascii="Arial Narrow" w:hAnsi="Arial Narrow" w:cs="Arial"/>
        </w:rPr>
        <w:footnoteReference w:id="7"/>
      </w:r>
      <w:r w:rsidR="005E0098">
        <w:rPr>
          <w:rFonts w:ascii="Arial Narrow" w:hAnsi="Arial Narrow" w:cs="Arial"/>
        </w:rPr>
        <w:t xml:space="preserve"> </w:t>
      </w:r>
    </w:p>
    <w:p w14:paraId="19F63640" w14:textId="77777777" w:rsidR="005E0098" w:rsidRDefault="005E0098" w:rsidP="005E0098">
      <w:pPr>
        <w:pStyle w:val="ListParagraph"/>
        <w:spacing w:after="0" w:line="276" w:lineRule="auto"/>
        <w:ind w:left="360"/>
        <w:jc w:val="both"/>
        <w:rPr>
          <w:rFonts w:ascii="Arial Narrow" w:hAnsi="Arial Narrow" w:cs="Arial"/>
        </w:rPr>
      </w:pPr>
    </w:p>
    <w:p w14:paraId="7648F3BF" w14:textId="74B5F1AE" w:rsidR="00C753AE" w:rsidRDefault="009220A3" w:rsidP="005E0098">
      <w:pPr>
        <w:pStyle w:val="ListParagraph"/>
        <w:numPr>
          <w:ilvl w:val="0"/>
          <w:numId w:val="1"/>
        </w:numPr>
        <w:spacing w:after="0" w:line="276" w:lineRule="auto"/>
        <w:jc w:val="both"/>
        <w:rPr>
          <w:rFonts w:ascii="Arial Narrow" w:hAnsi="Arial Narrow" w:cs="Arial"/>
        </w:rPr>
      </w:pPr>
      <w:r>
        <w:rPr>
          <w:rFonts w:ascii="Arial Narrow" w:hAnsi="Arial Narrow" w:cs="Arial"/>
        </w:rPr>
        <w:t xml:space="preserve">The </w:t>
      </w:r>
      <w:r w:rsidR="00B44B21" w:rsidRPr="005E0098">
        <w:rPr>
          <w:rFonts w:ascii="Arial Narrow" w:hAnsi="Arial Narrow" w:cs="Arial"/>
        </w:rPr>
        <w:t>right of peaceful</w:t>
      </w:r>
      <w:r w:rsidR="00B44B21">
        <w:rPr>
          <w:rFonts w:ascii="Arial Narrow" w:hAnsi="Arial Narrow" w:cs="Arial"/>
        </w:rPr>
        <w:t xml:space="preserve"> assembly</w:t>
      </w:r>
      <w:r w:rsidR="00C753AE">
        <w:rPr>
          <w:rFonts w:ascii="Arial Narrow" w:hAnsi="Arial Narrow" w:cs="Arial"/>
        </w:rPr>
        <w:t xml:space="preserve"> also function</w:t>
      </w:r>
      <w:r w:rsidR="00B44B21">
        <w:rPr>
          <w:rFonts w:ascii="Arial Narrow" w:hAnsi="Arial Narrow" w:cs="Arial"/>
        </w:rPr>
        <w:t>s as a safety valve in a democratic society</w:t>
      </w:r>
      <w:r w:rsidR="00C753AE">
        <w:rPr>
          <w:rFonts w:ascii="Arial Narrow" w:hAnsi="Arial Narrow" w:cs="Arial"/>
        </w:rPr>
        <w:t xml:space="preserve">. Where other forms of </w:t>
      </w:r>
      <w:r w:rsidR="00987482">
        <w:rPr>
          <w:rFonts w:ascii="Arial Narrow" w:hAnsi="Arial Narrow" w:cs="Arial"/>
        </w:rPr>
        <w:t>representation and participation are not functioning,</w:t>
      </w:r>
      <w:r w:rsidR="00B44B21">
        <w:rPr>
          <w:rFonts w:ascii="Arial Narrow" w:hAnsi="Arial Narrow" w:cs="Arial"/>
        </w:rPr>
        <w:t xml:space="preserve"> or are not sufficiently direct and effective, protests serve as an early warning system. They can indicate that the government is not meeting the needs of the public, or that there are other challenges the government is not aware of, and this can facilitate a change in government policy or action. </w:t>
      </w:r>
      <w:r w:rsidR="00D73AFF">
        <w:rPr>
          <w:rFonts w:ascii="Arial Narrow" w:hAnsi="Arial Narrow" w:cs="Arial"/>
        </w:rPr>
        <w:t xml:space="preserve">The right of peaceful assembly should therefore be seen as essential in a democracy as the right to participate in public affairs, including the right to vote. </w:t>
      </w:r>
    </w:p>
    <w:p w14:paraId="30602672" w14:textId="77777777" w:rsidR="00C753AE" w:rsidRPr="00C753AE" w:rsidRDefault="00C753AE" w:rsidP="005E0098">
      <w:pPr>
        <w:pStyle w:val="ListParagraph"/>
        <w:spacing w:after="0" w:line="276" w:lineRule="auto"/>
        <w:rPr>
          <w:rFonts w:ascii="Arial Narrow" w:hAnsi="Arial Narrow" w:cs="Arial"/>
        </w:rPr>
      </w:pPr>
    </w:p>
    <w:p w14:paraId="44C4B7FB" w14:textId="026142CA" w:rsidR="00C753AE" w:rsidRPr="00C753AE" w:rsidRDefault="00237CB1" w:rsidP="005E0098">
      <w:pPr>
        <w:pStyle w:val="ListParagraph"/>
        <w:numPr>
          <w:ilvl w:val="0"/>
          <w:numId w:val="1"/>
        </w:numPr>
        <w:spacing w:after="0" w:line="276" w:lineRule="auto"/>
        <w:jc w:val="both"/>
        <w:rPr>
          <w:rFonts w:ascii="Arial Narrow" w:hAnsi="Arial Narrow" w:cs="Arial"/>
        </w:rPr>
      </w:pPr>
      <w:r w:rsidRPr="00B2305D">
        <w:rPr>
          <w:rFonts w:ascii="Arial Narrow" w:hAnsi="Arial Narrow" w:cs="Arial"/>
        </w:rPr>
        <w:lastRenderedPageBreak/>
        <w:t>Yet</w:t>
      </w:r>
      <w:r w:rsidR="00D73AFF">
        <w:rPr>
          <w:rFonts w:ascii="Arial Narrow" w:hAnsi="Arial Narrow" w:cs="Arial"/>
        </w:rPr>
        <w:t>, as the High Commissioner for Human Rights has identified,</w:t>
      </w:r>
      <w:r w:rsidRPr="00B2305D">
        <w:rPr>
          <w:rFonts w:ascii="Arial Narrow" w:hAnsi="Arial Narrow" w:cs="Arial"/>
        </w:rPr>
        <w:t xml:space="preserve"> governments around the world too often treat protests as either an inconvenience to be controlled or a threat to be extinguished.</w:t>
      </w:r>
    </w:p>
    <w:p w14:paraId="344CCF4F" w14:textId="77777777" w:rsidR="00B2305D" w:rsidRPr="00B2305D" w:rsidRDefault="00B2305D" w:rsidP="005E0098">
      <w:pPr>
        <w:pStyle w:val="ListParagraph"/>
        <w:spacing w:after="0" w:line="276" w:lineRule="auto"/>
        <w:rPr>
          <w:rFonts w:ascii="Arial Narrow" w:hAnsi="Arial Narrow" w:cs="Arial"/>
        </w:rPr>
      </w:pPr>
    </w:p>
    <w:p w14:paraId="4C1F0683" w14:textId="05086B1A" w:rsidR="00B2305D" w:rsidRDefault="00237CB1" w:rsidP="005E0098">
      <w:pPr>
        <w:pStyle w:val="ListParagraph"/>
        <w:numPr>
          <w:ilvl w:val="0"/>
          <w:numId w:val="1"/>
        </w:numPr>
        <w:spacing w:after="0" w:line="276" w:lineRule="auto"/>
        <w:jc w:val="both"/>
        <w:rPr>
          <w:rFonts w:ascii="Arial Narrow" w:hAnsi="Arial Narrow" w:cs="Arial"/>
        </w:rPr>
      </w:pPr>
      <w:r w:rsidRPr="00B2305D">
        <w:rPr>
          <w:rFonts w:ascii="Arial Narrow" w:hAnsi="Arial Narrow" w:cs="Arial"/>
        </w:rPr>
        <w:t xml:space="preserve">Digital technologies offer new opportunities and challenges to protests; they are now used both as a crucial medium for enabling </w:t>
      </w:r>
      <w:r w:rsidR="00B2305D">
        <w:rPr>
          <w:rFonts w:ascii="Arial Narrow" w:hAnsi="Arial Narrow" w:cs="Arial"/>
        </w:rPr>
        <w:t>peaceful assemblie</w:t>
      </w:r>
      <w:r w:rsidRPr="00B2305D">
        <w:rPr>
          <w:rFonts w:ascii="Arial Narrow" w:hAnsi="Arial Narrow" w:cs="Arial"/>
        </w:rPr>
        <w:t xml:space="preserve">s to take place and as a platform for </w:t>
      </w:r>
      <w:r w:rsidR="00B2305D">
        <w:rPr>
          <w:rFonts w:ascii="Arial Narrow" w:hAnsi="Arial Narrow" w:cs="Arial"/>
        </w:rPr>
        <w:t>collective expression that may be considered as “online” assemblies</w:t>
      </w:r>
      <w:r w:rsidRPr="00B2305D">
        <w:rPr>
          <w:rFonts w:ascii="Arial Narrow" w:hAnsi="Arial Narrow" w:cs="Arial"/>
        </w:rPr>
        <w:t>. Technological advancements have also significantly enhanced the ability of governments to infringe and potentially v</w:t>
      </w:r>
      <w:r w:rsidR="00B2305D">
        <w:rPr>
          <w:rFonts w:ascii="Arial Narrow" w:hAnsi="Arial Narrow" w:cs="Arial"/>
        </w:rPr>
        <w:t xml:space="preserve">iolate human rights in protests. </w:t>
      </w:r>
    </w:p>
    <w:p w14:paraId="64BF6CB4" w14:textId="77777777" w:rsidR="00B2305D" w:rsidRPr="00B2305D" w:rsidRDefault="00B2305D" w:rsidP="005E0098">
      <w:pPr>
        <w:pStyle w:val="ListParagraph"/>
        <w:spacing w:after="0" w:line="276" w:lineRule="auto"/>
        <w:rPr>
          <w:rFonts w:ascii="Arial Narrow" w:hAnsi="Arial Narrow" w:cs="Arial"/>
        </w:rPr>
      </w:pPr>
    </w:p>
    <w:p w14:paraId="5FA5E7C5" w14:textId="50DE0D4E" w:rsidR="005E0098" w:rsidRPr="005E0098" w:rsidRDefault="00B2305D" w:rsidP="005E0098">
      <w:pPr>
        <w:pStyle w:val="ListParagraph"/>
        <w:numPr>
          <w:ilvl w:val="0"/>
          <w:numId w:val="1"/>
        </w:numPr>
        <w:spacing w:after="0" w:line="276" w:lineRule="auto"/>
        <w:jc w:val="both"/>
        <w:rPr>
          <w:rFonts w:ascii="Arial Narrow" w:hAnsi="Arial Narrow" w:cs="Arial"/>
        </w:rPr>
      </w:pPr>
      <w:r>
        <w:rPr>
          <w:rFonts w:ascii="Arial Narrow" w:hAnsi="Arial Narrow" w:cs="Arial"/>
        </w:rPr>
        <w:t>The value of the right of peaceful assembly</w:t>
      </w:r>
      <w:r w:rsidR="005E0098">
        <w:rPr>
          <w:rFonts w:ascii="Arial Narrow" w:hAnsi="Arial Narrow" w:cs="Arial"/>
        </w:rPr>
        <w:t xml:space="preserve"> in a democratic society</w:t>
      </w:r>
      <w:r>
        <w:rPr>
          <w:rFonts w:ascii="Arial Narrow" w:hAnsi="Arial Narrow" w:cs="Arial"/>
        </w:rPr>
        <w:t xml:space="preserve"> thus requires that Article 21 of the ICCPR be given the maximum scope of protection, and that any limitations on the right are exceptional in nature. </w:t>
      </w:r>
    </w:p>
    <w:p w14:paraId="0FE6FEEE" w14:textId="77777777" w:rsidR="005E0098" w:rsidRPr="005E0098" w:rsidRDefault="005E0098" w:rsidP="005E0098">
      <w:pPr>
        <w:pStyle w:val="ListParagraph"/>
        <w:spacing w:after="0" w:line="276" w:lineRule="auto"/>
        <w:ind w:left="360"/>
        <w:jc w:val="both"/>
        <w:rPr>
          <w:rFonts w:ascii="Arial Narrow" w:hAnsi="Arial Narrow" w:cs="Arial"/>
        </w:rPr>
      </w:pPr>
    </w:p>
    <w:p w14:paraId="485C10C3" w14:textId="093BD82F" w:rsidR="005E0098" w:rsidRDefault="00425DD2" w:rsidP="005E0098">
      <w:pPr>
        <w:spacing w:after="0" w:line="276" w:lineRule="auto"/>
        <w:rPr>
          <w:rFonts w:ascii="Arial Narrow" w:hAnsi="Arial Narrow" w:cs="Arial"/>
          <w:b/>
        </w:rPr>
      </w:pPr>
      <w:r>
        <w:rPr>
          <w:rFonts w:ascii="Arial Narrow" w:hAnsi="Arial Narrow" w:cs="Arial"/>
          <w:b/>
        </w:rPr>
        <w:t>Understanding “peaceful”</w:t>
      </w:r>
      <w:r w:rsidR="000364B7" w:rsidRPr="00EF18D4">
        <w:rPr>
          <w:rStyle w:val="FootnoteReference"/>
          <w:rFonts w:ascii="Arial Narrow" w:hAnsi="Arial Narrow" w:cs="Arial"/>
        </w:rPr>
        <w:footnoteReference w:id="8"/>
      </w:r>
    </w:p>
    <w:p w14:paraId="28B302AB" w14:textId="3E2865C7" w:rsidR="004D68D7" w:rsidRDefault="00425DD2" w:rsidP="005E0098">
      <w:pPr>
        <w:pStyle w:val="ListParagraph"/>
        <w:numPr>
          <w:ilvl w:val="0"/>
          <w:numId w:val="1"/>
        </w:numPr>
        <w:spacing w:after="0" w:line="276" w:lineRule="auto"/>
        <w:jc w:val="both"/>
        <w:rPr>
          <w:rFonts w:ascii="Arial Narrow" w:hAnsi="Arial Narrow" w:cs="Arial"/>
        </w:rPr>
      </w:pPr>
      <w:r>
        <w:rPr>
          <w:rFonts w:ascii="Arial Narrow" w:hAnsi="Arial Narrow" w:cs="Arial"/>
        </w:rPr>
        <w:t>Article 21 is the only right in the ICCPR framed with the qualifier “peaceful</w:t>
      </w:r>
      <w:r w:rsidR="004D68D7">
        <w:rPr>
          <w:rFonts w:ascii="Arial Narrow" w:hAnsi="Arial Narrow" w:cs="Arial"/>
        </w:rPr>
        <w:t xml:space="preserve">”, </w:t>
      </w:r>
      <w:r w:rsidR="00237CB1">
        <w:rPr>
          <w:rFonts w:ascii="Arial Narrow" w:hAnsi="Arial Narrow" w:cs="Arial"/>
        </w:rPr>
        <w:t xml:space="preserve">implying that assemblies that are not </w:t>
      </w:r>
      <w:r w:rsidR="00B44B21">
        <w:rPr>
          <w:rFonts w:ascii="Arial Narrow" w:hAnsi="Arial Narrow" w:cs="Arial"/>
        </w:rPr>
        <w:t>“</w:t>
      </w:r>
      <w:r w:rsidR="00237CB1">
        <w:rPr>
          <w:rFonts w:ascii="Arial Narrow" w:hAnsi="Arial Narrow" w:cs="Arial"/>
        </w:rPr>
        <w:t>peaceful</w:t>
      </w:r>
      <w:r w:rsidR="00B44B21">
        <w:rPr>
          <w:rFonts w:ascii="Arial Narrow" w:hAnsi="Arial Narrow" w:cs="Arial"/>
        </w:rPr>
        <w:t>”</w:t>
      </w:r>
      <w:r w:rsidR="00237CB1">
        <w:rPr>
          <w:rFonts w:ascii="Arial Narrow" w:hAnsi="Arial Narrow" w:cs="Arial"/>
        </w:rPr>
        <w:t xml:space="preserve"> do not fall within the scope of protection.</w:t>
      </w:r>
      <w:r w:rsidR="00556ED8">
        <w:rPr>
          <w:rFonts w:ascii="Arial Narrow" w:hAnsi="Arial Narrow" w:cs="Arial"/>
        </w:rPr>
        <w:t xml:space="preserve"> </w:t>
      </w:r>
      <w:r w:rsidR="00BD046E">
        <w:rPr>
          <w:rFonts w:ascii="Arial Narrow" w:hAnsi="Arial Narrow" w:cs="Arial"/>
        </w:rPr>
        <w:t>In ARTICLE 19’s experience, t</w:t>
      </w:r>
      <w:r w:rsidR="00B44B21">
        <w:rPr>
          <w:rFonts w:ascii="Arial Narrow" w:hAnsi="Arial Narrow" w:cs="Arial"/>
        </w:rPr>
        <w:t>he term “peaceful”</w:t>
      </w:r>
      <w:r w:rsidR="00556ED8">
        <w:rPr>
          <w:rFonts w:ascii="Arial Narrow" w:hAnsi="Arial Narrow" w:cs="Arial"/>
        </w:rPr>
        <w:t>, which is somewhat ambiguous from a legal perspective,</w:t>
      </w:r>
      <w:r w:rsidR="00B44B21">
        <w:rPr>
          <w:rFonts w:ascii="Arial Narrow" w:hAnsi="Arial Narrow" w:cs="Arial"/>
        </w:rPr>
        <w:t xml:space="preserve"> is prone to narrow interpretation by </w:t>
      </w:r>
      <w:r w:rsidR="005E0098">
        <w:rPr>
          <w:rFonts w:ascii="Arial Narrow" w:hAnsi="Arial Narrow" w:cs="Arial"/>
        </w:rPr>
        <w:t>States</w:t>
      </w:r>
      <w:r w:rsidR="00B44B21">
        <w:rPr>
          <w:rFonts w:ascii="Arial Narrow" w:hAnsi="Arial Narrow" w:cs="Arial"/>
        </w:rPr>
        <w:t xml:space="preserve"> who wish to limit the scope </w:t>
      </w:r>
      <w:r w:rsidR="00556ED8">
        <w:rPr>
          <w:rFonts w:ascii="Arial Narrow" w:hAnsi="Arial Narrow" w:cs="Arial"/>
        </w:rPr>
        <w:t>of the right of peaceful assembly</w:t>
      </w:r>
      <w:r w:rsidR="00C646FE">
        <w:rPr>
          <w:rFonts w:ascii="Arial Narrow" w:hAnsi="Arial Narrow" w:cs="Arial"/>
        </w:rPr>
        <w:t>. While most regional</w:t>
      </w:r>
      <w:r w:rsidR="005E0098">
        <w:rPr>
          <w:rFonts w:ascii="Arial Narrow" w:hAnsi="Arial Narrow" w:cs="Arial"/>
        </w:rPr>
        <w:t xml:space="preserve"> human rights</w:t>
      </w:r>
      <w:r w:rsidR="00C646FE">
        <w:rPr>
          <w:rFonts w:ascii="Arial Narrow" w:hAnsi="Arial Narrow" w:cs="Arial"/>
        </w:rPr>
        <w:t xml:space="preserve"> instruments</w:t>
      </w:r>
      <w:r w:rsidR="005E0098">
        <w:rPr>
          <w:rFonts w:ascii="Arial Narrow" w:hAnsi="Arial Narrow" w:cs="Arial"/>
        </w:rPr>
        <w:t xml:space="preserve"> contain similar qualifiers, an</w:t>
      </w:r>
      <w:r w:rsidR="00C646FE">
        <w:rPr>
          <w:rFonts w:ascii="Arial Narrow" w:hAnsi="Arial Narrow" w:cs="Arial"/>
        </w:rPr>
        <w:t xml:space="preserve"> </w:t>
      </w:r>
      <w:r w:rsidR="005E0098">
        <w:rPr>
          <w:rFonts w:ascii="Arial Narrow" w:hAnsi="Arial Narrow" w:cs="Arial"/>
        </w:rPr>
        <w:t xml:space="preserve">exception is the </w:t>
      </w:r>
      <w:r w:rsidR="00C646FE">
        <w:rPr>
          <w:rFonts w:ascii="Arial Narrow" w:hAnsi="Arial Narrow" w:cs="Arial"/>
        </w:rPr>
        <w:t xml:space="preserve">African Charter on Human and Peoples’ Rights, </w:t>
      </w:r>
      <w:r w:rsidR="005E0098">
        <w:rPr>
          <w:rFonts w:ascii="Arial Narrow" w:hAnsi="Arial Narrow" w:cs="Arial"/>
        </w:rPr>
        <w:t>which guarantees in Article 11</w:t>
      </w:r>
      <w:r w:rsidR="00C646FE">
        <w:rPr>
          <w:rFonts w:ascii="Arial Narrow" w:hAnsi="Arial Narrow" w:cs="Arial"/>
        </w:rPr>
        <w:t xml:space="preserve"> “the right to assemble freely” without reference to the term “peaceful”.</w:t>
      </w:r>
    </w:p>
    <w:p w14:paraId="68414912" w14:textId="3E06A1E2" w:rsidR="004D68D7" w:rsidRDefault="004D68D7" w:rsidP="005E0098">
      <w:pPr>
        <w:pStyle w:val="ListParagraph"/>
        <w:spacing w:after="0" w:line="276" w:lineRule="auto"/>
        <w:ind w:left="360"/>
        <w:rPr>
          <w:rFonts w:ascii="Arial Narrow" w:hAnsi="Arial Narrow" w:cs="Arial"/>
        </w:rPr>
      </w:pPr>
    </w:p>
    <w:p w14:paraId="23C1B52B" w14:textId="2E840D7B" w:rsidR="004D68D7" w:rsidRDefault="00BD046E" w:rsidP="009220A3">
      <w:pPr>
        <w:pStyle w:val="ListParagraph"/>
        <w:numPr>
          <w:ilvl w:val="0"/>
          <w:numId w:val="1"/>
        </w:numPr>
        <w:spacing w:after="0" w:line="276" w:lineRule="auto"/>
        <w:jc w:val="both"/>
        <w:rPr>
          <w:rFonts w:ascii="Arial Narrow" w:hAnsi="Arial Narrow" w:cs="Arial"/>
        </w:rPr>
      </w:pPr>
      <w:r>
        <w:rPr>
          <w:rFonts w:ascii="Arial Narrow" w:hAnsi="Arial Narrow" w:cs="Arial"/>
        </w:rPr>
        <w:t xml:space="preserve">In our policy position, </w:t>
      </w:r>
      <w:r w:rsidR="004D68D7">
        <w:rPr>
          <w:rFonts w:ascii="Arial Narrow" w:hAnsi="Arial Narrow" w:cs="Arial"/>
        </w:rPr>
        <w:t>The Protest Principles</w:t>
      </w:r>
      <w:r>
        <w:rPr>
          <w:rFonts w:ascii="Arial Narrow" w:hAnsi="Arial Narrow" w:cs="Arial"/>
        </w:rPr>
        <w:t>, ARTICLE 19</w:t>
      </w:r>
      <w:r w:rsidR="004D68D7">
        <w:rPr>
          <w:rFonts w:ascii="Arial Narrow" w:hAnsi="Arial Narrow" w:cs="Arial"/>
        </w:rPr>
        <w:t xml:space="preserve"> equate</w:t>
      </w:r>
      <w:r>
        <w:rPr>
          <w:rFonts w:ascii="Arial Narrow" w:hAnsi="Arial Narrow" w:cs="Arial"/>
        </w:rPr>
        <w:t>s</w:t>
      </w:r>
      <w:r w:rsidR="004D68D7">
        <w:rPr>
          <w:rFonts w:ascii="Arial Narrow" w:hAnsi="Arial Narrow" w:cs="Arial"/>
        </w:rPr>
        <w:t xml:space="preserve"> the term “peaceful”</w:t>
      </w:r>
      <w:r w:rsidR="00C232C5">
        <w:rPr>
          <w:rFonts w:ascii="Arial Narrow" w:hAnsi="Arial Narrow" w:cs="Arial"/>
        </w:rPr>
        <w:t xml:space="preserve"> with</w:t>
      </w:r>
      <w:r w:rsidR="004D68D7">
        <w:rPr>
          <w:rFonts w:ascii="Arial Narrow" w:hAnsi="Arial Narrow" w:cs="Arial"/>
        </w:rPr>
        <w:t xml:space="preserve"> “non-violent”, </w:t>
      </w:r>
      <w:r w:rsidR="00C232C5">
        <w:rPr>
          <w:rFonts w:ascii="Arial Narrow" w:hAnsi="Arial Narrow" w:cs="Arial"/>
        </w:rPr>
        <w:t>narrowing the potenti</w:t>
      </w:r>
      <w:r w:rsidR="00237CB1">
        <w:rPr>
          <w:rFonts w:ascii="Arial Narrow" w:hAnsi="Arial Narrow" w:cs="Arial"/>
        </w:rPr>
        <w:t>al for this</w:t>
      </w:r>
      <w:r w:rsidR="00C232C5">
        <w:rPr>
          <w:rFonts w:ascii="Arial Narrow" w:hAnsi="Arial Narrow" w:cs="Arial"/>
        </w:rPr>
        <w:t xml:space="preserve"> qualifier to be interpreted too restrictively, </w:t>
      </w:r>
      <w:r w:rsidR="00237CB1">
        <w:rPr>
          <w:rFonts w:ascii="Arial Narrow" w:hAnsi="Arial Narrow" w:cs="Arial"/>
        </w:rPr>
        <w:t xml:space="preserve">and </w:t>
      </w:r>
      <w:r w:rsidR="00C232C5">
        <w:rPr>
          <w:rFonts w:ascii="Arial Narrow" w:hAnsi="Arial Narrow" w:cs="Arial"/>
        </w:rPr>
        <w:t xml:space="preserve">to give </w:t>
      </w:r>
      <w:r w:rsidR="0050721C">
        <w:rPr>
          <w:rFonts w:ascii="Arial Narrow" w:hAnsi="Arial Narrow" w:cs="Arial"/>
        </w:rPr>
        <w:t xml:space="preserve">human </w:t>
      </w:r>
      <w:r w:rsidR="00C232C5">
        <w:rPr>
          <w:rFonts w:ascii="Arial Narrow" w:hAnsi="Arial Narrow" w:cs="Arial"/>
        </w:rPr>
        <w:t xml:space="preserve">rights in </w:t>
      </w:r>
      <w:r w:rsidR="0050721C">
        <w:rPr>
          <w:rFonts w:ascii="Arial Narrow" w:hAnsi="Arial Narrow" w:cs="Arial"/>
        </w:rPr>
        <w:t xml:space="preserve">peaceful assemblies </w:t>
      </w:r>
      <w:r w:rsidR="004D68D7">
        <w:rPr>
          <w:rFonts w:ascii="Arial Narrow" w:hAnsi="Arial Narrow" w:cs="Arial"/>
        </w:rPr>
        <w:t>the widest possible protection:</w:t>
      </w:r>
      <w:r w:rsidR="004D68D7" w:rsidRPr="004D68D7">
        <w:rPr>
          <w:rFonts w:ascii="Arial Narrow" w:hAnsi="Arial Narrow" w:cs="Arial"/>
        </w:rPr>
        <w:t xml:space="preserve"> </w:t>
      </w:r>
    </w:p>
    <w:p w14:paraId="4AF3D2F7" w14:textId="411A9ED9" w:rsidR="005E0098" w:rsidRPr="005E0098" w:rsidRDefault="005E0098" w:rsidP="005E0098">
      <w:pPr>
        <w:spacing w:after="0" w:line="276" w:lineRule="auto"/>
        <w:rPr>
          <w:rFonts w:ascii="Arial Narrow" w:hAnsi="Arial Narrow" w:cs="Arial"/>
        </w:rPr>
      </w:pPr>
    </w:p>
    <w:p w14:paraId="59657C6A" w14:textId="77777777" w:rsidR="004D68D7" w:rsidRPr="004D68D7" w:rsidRDefault="004D68D7" w:rsidP="005E0098">
      <w:pPr>
        <w:spacing w:after="0" w:line="276" w:lineRule="auto"/>
        <w:ind w:firstLine="720"/>
        <w:rPr>
          <w:rFonts w:ascii="Arial Narrow" w:hAnsi="Arial Narrow" w:cs="Arial"/>
          <w:i/>
          <w:sz w:val="20"/>
          <w:szCs w:val="20"/>
        </w:rPr>
      </w:pPr>
      <w:r w:rsidRPr="004D68D7">
        <w:rPr>
          <w:rFonts w:ascii="Arial Narrow" w:hAnsi="Arial Narrow" w:cs="Arial"/>
          <w:i/>
          <w:sz w:val="20"/>
          <w:szCs w:val="20"/>
        </w:rPr>
        <w:t>1.2 As for the terms peaceful or non-violent:</w:t>
      </w:r>
    </w:p>
    <w:p w14:paraId="7D7E89EF" w14:textId="77777777" w:rsidR="004D68D7" w:rsidRPr="004D68D7" w:rsidRDefault="004D68D7" w:rsidP="005E0098">
      <w:pPr>
        <w:spacing w:after="0" w:line="276" w:lineRule="auto"/>
        <w:ind w:left="720"/>
        <w:rPr>
          <w:rFonts w:ascii="Arial Narrow" w:hAnsi="Arial Narrow" w:cs="Arial"/>
          <w:i/>
          <w:sz w:val="20"/>
          <w:szCs w:val="20"/>
        </w:rPr>
      </w:pPr>
      <w:r w:rsidRPr="004D68D7">
        <w:rPr>
          <w:rFonts w:ascii="Arial Narrow" w:hAnsi="Arial Narrow" w:cs="Arial"/>
          <w:i/>
          <w:sz w:val="20"/>
          <w:szCs w:val="20"/>
        </w:rPr>
        <w:t>a) These should always be interpreted broadly and should exclude only those instances in which there is clear and convincing evidence of intent by protesters to engage in violence against a person or property, and a high probability that they will do so;</w:t>
      </w:r>
    </w:p>
    <w:p w14:paraId="33553784" w14:textId="3CFAD307" w:rsidR="004D68D7" w:rsidRPr="004D68D7" w:rsidRDefault="004D68D7" w:rsidP="005E0098">
      <w:pPr>
        <w:spacing w:after="0" w:line="276" w:lineRule="auto"/>
        <w:ind w:left="720"/>
        <w:rPr>
          <w:rFonts w:ascii="Arial Narrow" w:hAnsi="Arial Narrow" w:cs="Arial"/>
          <w:i/>
          <w:sz w:val="20"/>
          <w:szCs w:val="20"/>
        </w:rPr>
      </w:pPr>
      <w:r w:rsidRPr="004D68D7">
        <w:rPr>
          <w:rFonts w:ascii="Arial Narrow" w:hAnsi="Arial Narrow" w:cs="Arial"/>
          <w:i/>
          <w:sz w:val="20"/>
          <w:szCs w:val="20"/>
        </w:rPr>
        <w:t>b) These should include the use of self-defence (of oneself or another) by protesters against unlawful acts, but the form of self-defence should be no more than is reasonably necessary in the circumstances, as the individual genuinely believed them to be;</w:t>
      </w:r>
    </w:p>
    <w:p w14:paraId="3FB2F1B4" w14:textId="77777777" w:rsidR="004D68D7" w:rsidRPr="004D68D7" w:rsidRDefault="004D68D7" w:rsidP="005E0098">
      <w:pPr>
        <w:spacing w:after="0" w:line="276" w:lineRule="auto"/>
        <w:ind w:left="720"/>
        <w:rPr>
          <w:rFonts w:ascii="Arial Narrow" w:hAnsi="Arial Narrow" w:cs="Arial"/>
          <w:i/>
          <w:sz w:val="20"/>
          <w:szCs w:val="20"/>
        </w:rPr>
      </w:pPr>
      <w:r w:rsidRPr="004D68D7">
        <w:rPr>
          <w:rFonts w:ascii="Arial Narrow" w:hAnsi="Arial Narrow" w:cs="Arial"/>
          <w:i/>
          <w:sz w:val="20"/>
          <w:szCs w:val="20"/>
        </w:rPr>
        <w:t>c) The assessment of whether protest is peaceful should take into account the fact that isolated or sporadic violence or other unlawful acts committed by others do not deprive individuals of the right to protection, as long as they remain peaceful in their own intentions or behaviour;</w:t>
      </w:r>
    </w:p>
    <w:p w14:paraId="5F6BE97D" w14:textId="642DC5B5" w:rsidR="005E0098" w:rsidRPr="005E0098" w:rsidRDefault="004D68D7" w:rsidP="005E0098">
      <w:pPr>
        <w:spacing w:after="0" w:line="276" w:lineRule="auto"/>
        <w:ind w:left="720"/>
        <w:rPr>
          <w:rFonts w:ascii="Arial Narrow" w:hAnsi="Arial Narrow" w:cs="Arial"/>
          <w:i/>
          <w:sz w:val="20"/>
          <w:szCs w:val="20"/>
        </w:rPr>
      </w:pPr>
      <w:r w:rsidRPr="004D68D7">
        <w:rPr>
          <w:rFonts w:ascii="Arial Narrow" w:hAnsi="Arial Narrow" w:cs="Arial"/>
          <w:i/>
          <w:sz w:val="20"/>
          <w:szCs w:val="20"/>
        </w:rPr>
        <w:t>d) States should acknowledge that whenever a protest ended in violence, it was due to the state’s failure to effectively facilitate peaceful protest, prevent violence and engage in conflict resolution with those who were likely or intending to engage in violence.</w:t>
      </w:r>
      <w:r>
        <w:rPr>
          <w:rStyle w:val="FootnoteReference"/>
          <w:rFonts w:ascii="Arial Narrow" w:hAnsi="Arial Narrow" w:cs="Arial"/>
          <w:i/>
          <w:sz w:val="20"/>
          <w:szCs w:val="20"/>
        </w:rPr>
        <w:footnoteReference w:id="9"/>
      </w:r>
    </w:p>
    <w:p w14:paraId="2C03E691" w14:textId="77777777" w:rsidR="005E0098" w:rsidRDefault="005E0098" w:rsidP="005E0098">
      <w:pPr>
        <w:pStyle w:val="ListParagraph"/>
        <w:spacing w:after="0" w:line="276" w:lineRule="auto"/>
        <w:ind w:left="360"/>
        <w:jc w:val="both"/>
        <w:rPr>
          <w:rFonts w:ascii="Arial Narrow" w:hAnsi="Arial Narrow" w:cs="Arial"/>
        </w:rPr>
      </w:pPr>
    </w:p>
    <w:p w14:paraId="01D4CB0B" w14:textId="123F9355" w:rsidR="00F71850" w:rsidRDefault="007B5FD8" w:rsidP="005E0098">
      <w:pPr>
        <w:pStyle w:val="ListParagraph"/>
        <w:numPr>
          <w:ilvl w:val="0"/>
          <w:numId w:val="1"/>
        </w:numPr>
        <w:spacing w:after="0" w:line="276" w:lineRule="auto"/>
        <w:jc w:val="both"/>
        <w:rPr>
          <w:rFonts w:ascii="Arial Narrow" w:hAnsi="Arial Narrow" w:cs="Arial"/>
        </w:rPr>
      </w:pPr>
      <w:r>
        <w:rPr>
          <w:rFonts w:ascii="Arial Narrow" w:hAnsi="Arial Narrow" w:cs="Arial"/>
        </w:rPr>
        <w:t>What is “peaceful” versus “not peaceful</w:t>
      </w:r>
      <w:r w:rsidR="00F71850">
        <w:rPr>
          <w:rFonts w:ascii="Arial Narrow" w:hAnsi="Arial Narrow" w:cs="Arial"/>
        </w:rPr>
        <w:t>”</w:t>
      </w:r>
      <w:r>
        <w:rPr>
          <w:rFonts w:ascii="Arial Narrow" w:hAnsi="Arial Narrow" w:cs="Arial"/>
        </w:rPr>
        <w:t xml:space="preserve"> should be considered on a </w:t>
      </w:r>
      <w:r w:rsidR="00F71850">
        <w:rPr>
          <w:rFonts w:ascii="Arial Narrow" w:hAnsi="Arial Narrow" w:cs="Arial"/>
        </w:rPr>
        <w:t xml:space="preserve">case by case basis, according to contextual factors focused on </w:t>
      </w:r>
      <w:r w:rsidR="005E0098">
        <w:rPr>
          <w:rFonts w:ascii="Arial Narrow" w:hAnsi="Arial Narrow" w:cs="Arial"/>
        </w:rPr>
        <w:t xml:space="preserve">determining (i) </w:t>
      </w:r>
      <w:r w:rsidR="00F71850">
        <w:rPr>
          <w:rFonts w:ascii="Arial Narrow" w:hAnsi="Arial Narrow" w:cs="Arial"/>
        </w:rPr>
        <w:t>the intent of organisers and participants to an assembly</w:t>
      </w:r>
      <w:r w:rsidR="005E0098">
        <w:rPr>
          <w:rFonts w:ascii="Arial Narrow" w:hAnsi="Arial Narrow" w:cs="Arial"/>
        </w:rPr>
        <w:t xml:space="preserve"> to engage in violence</w:t>
      </w:r>
      <w:r w:rsidR="00F71850">
        <w:rPr>
          <w:rFonts w:ascii="Arial Narrow" w:hAnsi="Arial Narrow" w:cs="Arial"/>
        </w:rPr>
        <w:t xml:space="preserve">, and </w:t>
      </w:r>
      <w:r w:rsidR="005E0098">
        <w:rPr>
          <w:rFonts w:ascii="Arial Narrow" w:hAnsi="Arial Narrow" w:cs="Arial"/>
        </w:rPr>
        <w:t xml:space="preserve">(ii) </w:t>
      </w:r>
      <w:r w:rsidR="00F71850">
        <w:rPr>
          <w:rFonts w:ascii="Arial Narrow" w:hAnsi="Arial Narrow" w:cs="Arial"/>
        </w:rPr>
        <w:t xml:space="preserve">the likelihood of significant violence and/or property damage occurring. </w:t>
      </w:r>
      <w:r w:rsidR="007F5211">
        <w:rPr>
          <w:rFonts w:ascii="Arial Narrow" w:hAnsi="Arial Narrow" w:cs="Arial"/>
        </w:rPr>
        <w:t>This should be considered as</w:t>
      </w:r>
      <w:r w:rsidR="00F71850">
        <w:rPr>
          <w:rFonts w:ascii="Arial Narrow" w:hAnsi="Arial Narrow" w:cs="Arial"/>
        </w:rPr>
        <w:t xml:space="preserve"> a threshold along a scale, rather than </w:t>
      </w:r>
      <w:r w:rsidR="007F5211">
        <w:rPr>
          <w:rFonts w:ascii="Arial Narrow" w:hAnsi="Arial Narrow" w:cs="Arial"/>
        </w:rPr>
        <w:t xml:space="preserve">as </w:t>
      </w:r>
      <w:r w:rsidR="00F71850">
        <w:rPr>
          <w:rFonts w:ascii="Arial Narrow" w:hAnsi="Arial Narrow" w:cs="Arial"/>
        </w:rPr>
        <w:t>an analogue determination.</w:t>
      </w:r>
      <w:r w:rsidR="005E0098">
        <w:rPr>
          <w:rStyle w:val="FootnoteReference"/>
          <w:rFonts w:ascii="Arial Narrow" w:hAnsi="Arial Narrow" w:cs="Arial"/>
        </w:rPr>
        <w:footnoteReference w:id="10"/>
      </w:r>
      <w:r w:rsidR="00F71850">
        <w:rPr>
          <w:rFonts w:ascii="Arial Narrow" w:hAnsi="Arial Narrow" w:cs="Arial"/>
        </w:rPr>
        <w:t xml:space="preserve"> That threshold should be high so as to </w:t>
      </w:r>
      <w:r w:rsidRPr="00F71850">
        <w:rPr>
          <w:rFonts w:ascii="Arial Narrow" w:hAnsi="Arial Narrow" w:cs="Arial"/>
        </w:rPr>
        <w:t xml:space="preserve">afford maximum protection to </w:t>
      </w:r>
      <w:r w:rsidRPr="00F71850">
        <w:rPr>
          <w:rFonts w:ascii="Arial Narrow" w:hAnsi="Arial Narrow" w:cs="Arial"/>
        </w:rPr>
        <w:lastRenderedPageBreak/>
        <w:t>the right</w:t>
      </w:r>
      <w:r w:rsidR="00F71850" w:rsidRPr="00F71850">
        <w:rPr>
          <w:rFonts w:ascii="Arial Narrow" w:hAnsi="Arial Narrow" w:cs="Arial"/>
        </w:rPr>
        <w:t xml:space="preserve"> of peaceful assembly</w:t>
      </w:r>
      <w:r w:rsidRPr="00F71850">
        <w:rPr>
          <w:rFonts w:ascii="Arial Narrow" w:hAnsi="Arial Narrow" w:cs="Arial"/>
        </w:rPr>
        <w:t xml:space="preserve">, bearing in mind that all conduct within the scope of protection may still be subject to limitations in accordance with the limitation clause of Article 21. </w:t>
      </w:r>
    </w:p>
    <w:p w14:paraId="45D8814D" w14:textId="265F715C" w:rsidR="00F71850" w:rsidRDefault="00F71850" w:rsidP="005E0098">
      <w:pPr>
        <w:pStyle w:val="ListParagraph"/>
        <w:spacing w:after="0" w:line="276" w:lineRule="auto"/>
        <w:ind w:left="360"/>
        <w:jc w:val="both"/>
        <w:rPr>
          <w:rFonts w:ascii="Arial Narrow" w:hAnsi="Arial Narrow" w:cs="Arial"/>
        </w:rPr>
      </w:pPr>
    </w:p>
    <w:p w14:paraId="36E18F81" w14:textId="31DEDDA1" w:rsidR="00F71850" w:rsidRPr="00F71850" w:rsidRDefault="00F71850" w:rsidP="005E0098">
      <w:pPr>
        <w:pStyle w:val="ListParagraph"/>
        <w:numPr>
          <w:ilvl w:val="0"/>
          <w:numId w:val="1"/>
        </w:numPr>
        <w:spacing w:after="0" w:line="276" w:lineRule="auto"/>
        <w:jc w:val="both"/>
        <w:rPr>
          <w:rFonts w:ascii="Arial Narrow" w:hAnsi="Arial Narrow" w:cs="Arial"/>
        </w:rPr>
      </w:pPr>
      <w:r>
        <w:rPr>
          <w:rFonts w:ascii="Arial Narrow" w:hAnsi="Arial Narrow" w:cs="Arial"/>
        </w:rPr>
        <w:t>Determining violent intent should be decisive</w:t>
      </w:r>
      <w:r w:rsidR="005E0098">
        <w:rPr>
          <w:rFonts w:ascii="Arial Narrow" w:hAnsi="Arial Narrow" w:cs="Arial"/>
        </w:rPr>
        <w:t>, and in the absence of compelling evidence an assembly should be deemed peaceful</w:t>
      </w:r>
      <w:r>
        <w:rPr>
          <w:rFonts w:ascii="Arial Narrow" w:hAnsi="Arial Narrow" w:cs="Arial"/>
        </w:rPr>
        <w:t>.</w:t>
      </w:r>
      <w:r>
        <w:rPr>
          <w:rStyle w:val="FootnoteReference"/>
          <w:rFonts w:ascii="Arial Narrow" w:hAnsi="Arial Narrow" w:cs="Arial"/>
        </w:rPr>
        <w:footnoteReference w:id="11"/>
      </w:r>
      <w:r w:rsidR="00834715" w:rsidRPr="00F71850">
        <w:rPr>
          <w:rFonts w:ascii="Arial Narrow" w:hAnsi="Arial Narrow" w:cs="Arial"/>
        </w:rPr>
        <w:t xml:space="preserve"> </w:t>
      </w:r>
      <w:r w:rsidRPr="00F71850">
        <w:rPr>
          <w:rFonts w:ascii="Arial Narrow" w:hAnsi="Arial Narrow" w:cs="Arial"/>
        </w:rPr>
        <w:t>As with the right to freedom of expression, the right to peaceful assembly must include the right to annoy or offend people who are opposed to the ideas or claims that an assembly is seeking to promote,</w:t>
      </w:r>
      <w:r w:rsidR="00E92281">
        <w:rPr>
          <w:rStyle w:val="FootnoteReference"/>
          <w:rFonts w:ascii="Arial Narrow" w:hAnsi="Arial Narrow" w:cs="Arial"/>
        </w:rPr>
        <w:footnoteReference w:id="12"/>
      </w:r>
      <w:r w:rsidRPr="00F71850">
        <w:rPr>
          <w:rFonts w:ascii="Arial Narrow" w:hAnsi="Arial Narrow" w:cs="Arial"/>
        </w:rPr>
        <w:t xml:space="preserve"> as well as conduct that temporarily hinders, impedes or obstructs the activities of third parties.</w:t>
      </w:r>
      <w:r>
        <w:rPr>
          <w:rStyle w:val="FootnoteReference"/>
          <w:rFonts w:ascii="Arial Narrow" w:hAnsi="Arial Narrow" w:cs="Arial"/>
        </w:rPr>
        <w:footnoteReference w:id="13"/>
      </w:r>
      <w:r w:rsidR="005E0098">
        <w:rPr>
          <w:rFonts w:ascii="Arial Narrow" w:hAnsi="Arial Narrow" w:cs="Arial"/>
        </w:rPr>
        <w:t xml:space="preserve"> This</w:t>
      </w:r>
      <w:r w:rsidRPr="00F71850">
        <w:rPr>
          <w:rFonts w:ascii="Arial Narrow" w:hAnsi="Arial Narrow" w:cs="Arial"/>
        </w:rPr>
        <w:t xml:space="preserve"> also requires interpreting “peaceful” to include acts that may be unlawful</w:t>
      </w:r>
      <w:r w:rsidR="005E0098">
        <w:rPr>
          <w:rFonts w:ascii="Arial Narrow" w:hAnsi="Arial Narrow" w:cs="Arial"/>
        </w:rPr>
        <w:t xml:space="preserve"> but nevertheless non-violent</w:t>
      </w:r>
      <w:r w:rsidRPr="00F71850">
        <w:rPr>
          <w:rFonts w:ascii="Arial Narrow" w:hAnsi="Arial Narrow" w:cs="Arial"/>
        </w:rPr>
        <w:t>. For example, protests that employ tactics and strategies of non-violent direct action or civi</w:t>
      </w:r>
      <w:r w:rsidR="005E0098">
        <w:rPr>
          <w:rFonts w:ascii="Arial Narrow" w:hAnsi="Arial Narrow" w:cs="Arial"/>
        </w:rPr>
        <w:t>l disobedience may technically and intentionally</w:t>
      </w:r>
      <w:r w:rsidRPr="00F71850">
        <w:rPr>
          <w:rFonts w:ascii="Arial Narrow" w:hAnsi="Arial Narrow" w:cs="Arial"/>
        </w:rPr>
        <w:t xml:space="preserve"> violate the law, but should still be understood as the exercise of freedom of peaceful assembly.</w:t>
      </w:r>
      <w:r>
        <w:rPr>
          <w:rStyle w:val="FootnoteReference"/>
          <w:rFonts w:ascii="Arial Narrow" w:hAnsi="Arial Narrow" w:cs="Arial"/>
        </w:rPr>
        <w:footnoteReference w:id="14"/>
      </w:r>
      <w:r w:rsidRPr="00F71850">
        <w:rPr>
          <w:rFonts w:ascii="Arial Narrow" w:hAnsi="Arial Narrow" w:cs="Arial"/>
        </w:rPr>
        <w:t xml:space="preserve"> </w:t>
      </w:r>
      <w:r>
        <w:rPr>
          <w:rFonts w:ascii="Arial Narrow" w:hAnsi="Arial Narrow" w:cs="Arial"/>
        </w:rPr>
        <w:t>Organising for or possessing protective equipment (including helmets or gas masks) for self-defence against counter-protesters or against the potential for authorities’ use of force, should not necessarily be regarded as preparation to engage in violence.</w:t>
      </w:r>
      <w:r w:rsidR="007F5211">
        <w:rPr>
          <w:rFonts w:ascii="Arial Narrow" w:hAnsi="Arial Narrow" w:cs="Arial"/>
        </w:rPr>
        <w:t xml:space="preserve"> Similarly, for particular communities carrying weapons may be of a symbolic importance and have an expressive value, and not necessarily indicate an intention to engage in violence. Likewise, taking measures to conceal one’s identity in an assembly (e.g. by wearing a mask) should not be interpreted as an intent to engage in violence.  </w:t>
      </w:r>
    </w:p>
    <w:p w14:paraId="4DE1B48F" w14:textId="63019949" w:rsidR="0050721C" w:rsidRPr="00834715" w:rsidRDefault="0050721C" w:rsidP="005E0098">
      <w:pPr>
        <w:spacing w:after="0" w:line="276" w:lineRule="auto"/>
        <w:jc w:val="both"/>
        <w:rPr>
          <w:rFonts w:ascii="Arial Narrow" w:hAnsi="Arial Narrow" w:cs="Arial"/>
        </w:rPr>
      </w:pPr>
    </w:p>
    <w:p w14:paraId="1D8C35D4" w14:textId="13738907" w:rsidR="007B5FD8" w:rsidRDefault="007B5FD8" w:rsidP="005E0098">
      <w:pPr>
        <w:pStyle w:val="ListParagraph"/>
        <w:numPr>
          <w:ilvl w:val="0"/>
          <w:numId w:val="1"/>
        </w:numPr>
        <w:spacing w:after="0" w:line="276" w:lineRule="auto"/>
        <w:jc w:val="both"/>
        <w:rPr>
          <w:rFonts w:ascii="Arial Narrow" w:hAnsi="Arial Narrow" w:cs="Arial"/>
        </w:rPr>
      </w:pPr>
      <w:r>
        <w:rPr>
          <w:rFonts w:ascii="Arial Narrow" w:hAnsi="Arial Narrow" w:cs="Arial"/>
        </w:rPr>
        <w:t>Even where individual participants</w:t>
      </w:r>
      <w:r w:rsidR="00834715">
        <w:rPr>
          <w:rFonts w:ascii="Arial Narrow" w:hAnsi="Arial Narrow" w:cs="Arial"/>
        </w:rPr>
        <w:t xml:space="preserve"> in an assembly</w:t>
      </w:r>
      <w:r>
        <w:rPr>
          <w:rFonts w:ascii="Arial Narrow" w:hAnsi="Arial Narrow" w:cs="Arial"/>
        </w:rPr>
        <w:t xml:space="preserve"> engage in acts of violence or property damage, this should not be enough to categorize the assembly as “not peaceful” and therefore deprive all participants their right of peaceful assembly.</w:t>
      </w:r>
      <w:r>
        <w:rPr>
          <w:rStyle w:val="FootnoteReference"/>
          <w:rFonts w:ascii="Arial Narrow" w:hAnsi="Arial Narrow" w:cs="Arial"/>
        </w:rPr>
        <w:footnoteReference w:id="15"/>
      </w:r>
      <w:r>
        <w:rPr>
          <w:rFonts w:ascii="Arial Narrow" w:hAnsi="Arial Narrow" w:cs="Arial"/>
        </w:rPr>
        <w:t xml:space="preserve"> The possibility of persons deliberately sabotaging peaceful assemblies through acts of violence must also be considered</w:t>
      </w:r>
      <w:r w:rsidR="00834715">
        <w:rPr>
          <w:rFonts w:ascii="Arial Narrow" w:hAnsi="Arial Narrow" w:cs="Arial"/>
        </w:rPr>
        <w:t xml:space="preserve"> in this context</w:t>
      </w:r>
      <w:r>
        <w:rPr>
          <w:rFonts w:ascii="Arial Narrow" w:hAnsi="Arial Narrow" w:cs="Arial"/>
        </w:rPr>
        <w:t xml:space="preserve">. </w:t>
      </w:r>
      <w:r w:rsidRPr="00D529D9">
        <w:rPr>
          <w:rFonts w:ascii="Arial Narrow" w:hAnsi="Arial Narrow" w:cs="Arial"/>
        </w:rPr>
        <w:t xml:space="preserve"> </w:t>
      </w:r>
    </w:p>
    <w:p w14:paraId="525C9D25" w14:textId="4A91FE5E" w:rsidR="00834715" w:rsidRPr="00834715" w:rsidRDefault="00834715" w:rsidP="005E0098">
      <w:pPr>
        <w:spacing w:after="0" w:line="276" w:lineRule="auto"/>
        <w:jc w:val="both"/>
        <w:rPr>
          <w:rFonts w:ascii="Arial Narrow" w:hAnsi="Arial Narrow" w:cs="Arial"/>
        </w:rPr>
      </w:pPr>
    </w:p>
    <w:p w14:paraId="314BDD19" w14:textId="5CDEDE4C" w:rsidR="002F4D0C" w:rsidRPr="005E0098" w:rsidRDefault="00556ED8" w:rsidP="005E0098">
      <w:pPr>
        <w:pStyle w:val="ListParagraph"/>
        <w:numPr>
          <w:ilvl w:val="0"/>
          <w:numId w:val="1"/>
        </w:numPr>
        <w:spacing w:after="0" w:line="276" w:lineRule="auto"/>
        <w:jc w:val="both"/>
        <w:rPr>
          <w:rFonts w:ascii="Arial Narrow" w:hAnsi="Arial Narrow" w:cs="Arial"/>
        </w:rPr>
      </w:pPr>
      <w:r w:rsidRPr="00C646FE">
        <w:rPr>
          <w:rFonts w:ascii="Arial Narrow" w:hAnsi="Arial Narrow" w:cs="Arial"/>
        </w:rPr>
        <w:t>The term “peacefu</w:t>
      </w:r>
      <w:r w:rsidR="005E0098">
        <w:rPr>
          <w:rFonts w:ascii="Arial Narrow" w:hAnsi="Arial Narrow" w:cs="Arial"/>
        </w:rPr>
        <w:t>l” should only</w:t>
      </w:r>
      <w:r w:rsidRPr="00C646FE">
        <w:rPr>
          <w:rFonts w:ascii="Arial Narrow" w:hAnsi="Arial Narrow" w:cs="Arial"/>
        </w:rPr>
        <w:t xml:space="preserve"> be interpreted to restrict the permissible subject-matter of ideas or opinions expressed during an assembly</w:t>
      </w:r>
      <w:r w:rsidR="005E0098">
        <w:rPr>
          <w:rFonts w:ascii="Arial Narrow" w:hAnsi="Arial Narrow" w:cs="Arial"/>
        </w:rPr>
        <w:t xml:space="preserve"> in exceptional circumstances</w:t>
      </w:r>
      <w:r w:rsidRPr="00C646FE">
        <w:rPr>
          <w:rFonts w:ascii="Arial Narrow" w:hAnsi="Arial Narrow" w:cs="Arial"/>
        </w:rPr>
        <w:t>. The right to freedom of expression is not qualified by the term “peaceful”</w:t>
      </w:r>
      <w:r w:rsidR="00C646FE" w:rsidRPr="00C646FE">
        <w:rPr>
          <w:rFonts w:ascii="Arial Narrow" w:hAnsi="Arial Narrow" w:cs="Arial"/>
        </w:rPr>
        <w:t>, and it would</w:t>
      </w:r>
      <w:r w:rsidRPr="00C646FE">
        <w:rPr>
          <w:rFonts w:ascii="Arial Narrow" w:hAnsi="Arial Narrow" w:cs="Arial"/>
        </w:rPr>
        <w:t xml:space="preserve"> therefore be inconsistent with Article 19 of the ICCPR to interpret Arti</w:t>
      </w:r>
      <w:r w:rsidR="00C646FE" w:rsidRPr="00C646FE">
        <w:rPr>
          <w:rFonts w:ascii="Arial Narrow" w:hAnsi="Arial Narrow" w:cs="Arial"/>
        </w:rPr>
        <w:t xml:space="preserve">cle 21 in a way </w:t>
      </w:r>
      <w:r w:rsidR="00C646FE">
        <w:rPr>
          <w:rFonts w:ascii="Arial Narrow" w:hAnsi="Arial Narrow" w:cs="Arial"/>
        </w:rPr>
        <w:t xml:space="preserve">to permit limitations that do not meet the requirements of Article 19(3) of the ICCPR. </w:t>
      </w:r>
      <w:r w:rsidR="005E0098">
        <w:rPr>
          <w:rFonts w:ascii="Arial Narrow" w:hAnsi="Arial Narrow" w:cs="Arial"/>
        </w:rPr>
        <w:t xml:space="preserve">Assemblies that include the advocacy of hatred that incites violence or discrimination, or which intimidates or constitutes serious harassment against individuals, may be limited through </w:t>
      </w:r>
      <w:r w:rsidR="007B2F30" w:rsidRPr="005E0098">
        <w:rPr>
          <w:rFonts w:ascii="Arial Narrow" w:hAnsi="Arial Narrow" w:cs="Arial"/>
        </w:rPr>
        <w:t>reliance on the limitation clause of Article 21</w:t>
      </w:r>
      <w:r w:rsidR="007B5FD8" w:rsidRPr="005E0098">
        <w:rPr>
          <w:rFonts w:ascii="Arial Narrow" w:hAnsi="Arial Narrow" w:cs="Arial"/>
        </w:rPr>
        <w:t xml:space="preserve">, and </w:t>
      </w:r>
      <w:r w:rsidR="007B2F30" w:rsidRPr="005E0098">
        <w:rPr>
          <w:rFonts w:ascii="Arial Narrow" w:hAnsi="Arial Narrow" w:cs="Arial"/>
        </w:rPr>
        <w:t>consistently with Articles 19(3)</w:t>
      </w:r>
      <w:r w:rsidR="007B5FD8" w:rsidRPr="005E0098">
        <w:rPr>
          <w:rFonts w:ascii="Arial Narrow" w:hAnsi="Arial Narrow" w:cs="Arial"/>
        </w:rPr>
        <w:t xml:space="preserve"> and 20(2) of the ICCPR</w:t>
      </w:r>
      <w:r w:rsidR="005E0098">
        <w:rPr>
          <w:rFonts w:ascii="Arial Narrow" w:hAnsi="Arial Narrow" w:cs="Arial"/>
        </w:rPr>
        <w:t xml:space="preserve"> as applicable</w:t>
      </w:r>
      <w:r w:rsidR="007B2F30" w:rsidRPr="005E0098">
        <w:rPr>
          <w:rFonts w:ascii="Arial Narrow" w:hAnsi="Arial Narrow" w:cs="Arial"/>
        </w:rPr>
        <w:t xml:space="preserve">. </w:t>
      </w:r>
    </w:p>
    <w:p w14:paraId="2A69B9E6" w14:textId="77777777" w:rsidR="00C232C5" w:rsidRDefault="00C232C5" w:rsidP="005E0098">
      <w:pPr>
        <w:pStyle w:val="ListParagraph"/>
        <w:spacing w:after="0" w:line="276" w:lineRule="auto"/>
        <w:ind w:left="360"/>
        <w:jc w:val="both"/>
        <w:rPr>
          <w:rFonts w:ascii="Arial Narrow" w:hAnsi="Arial Narrow" w:cs="Arial"/>
        </w:rPr>
      </w:pPr>
    </w:p>
    <w:p w14:paraId="7303867C" w14:textId="268E151E" w:rsidR="005E0098" w:rsidRPr="00686F83" w:rsidRDefault="00EF18D4" w:rsidP="00686F83">
      <w:pPr>
        <w:spacing w:after="0" w:line="276" w:lineRule="auto"/>
        <w:rPr>
          <w:rFonts w:ascii="Arial Narrow" w:hAnsi="Arial Narrow" w:cs="Arial"/>
          <w:b/>
        </w:rPr>
      </w:pPr>
      <w:r>
        <w:rPr>
          <w:rFonts w:ascii="Arial Narrow" w:hAnsi="Arial Narrow" w:cs="Arial"/>
          <w:b/>
        </w:rPr>
        <w:t>Understanding “assembly”</w:t>
      </w:r>
      <w:r w:rsidR="005E0098">
        <w:rPr>
          <w:rFonts w:ascii="Arial Narrow" w:hAnsi="Arial Narrow" w:cs="Arial"/>
          <w:b/>
        </w:rPr>
        <w:t>, including in private spaces and online</w:t>
      </w:r>
      <w:r w:rsidRPr="00EF18D4">
        <w:rPr>
          <w:rStyle w:val="FootnoteReference"/>
          <w:rFonts w:ascii="Arial Narrow" w:hAnsi="Arial Narrow" w:cs="Arial"/>
        </w:rPr>
        <w:footnoteReference w:id="16"/>
      </w:r>
    </w:p>
    <w:p w14:paraId="50C55C64" w14:textId="77777777" w:rsidR="005E0098" w:rsidRDefault="005E0098" w:rsidP="005E0098">
      <w:pPr>
        <w:pStyle w:val="ListParagraph"/>
        <w:numPr>
          <w:ilvl w:val="0"/>
          <w:numId w:val="1"/>
        </w:numPr>
        <w:spacing w:after="0" w:line="276" w:lineRule="auto"/>
        <w:jc w:val="both"/>
        <w:rPr>
          <w:rFonts w:ascii="Arial Narrow" w:hAnsi="Arial Narrow" w:cs="Arial"/>
        </w:rPr>
      </w:pPr>
      <w:r>
        <w:rPr>
          <w:rFonts w:ascii="Arial Narrow" w:hAnsi="Arial Narrow" w:cs="Arial"/>
        </w:rPr>
        <w:t>The Committee should define “assembly” broadly, to reflect</w:t>
      </w:r>
      <w:r w:rsidRPr="005E0098">
        <w:rPr>
          <w:rFonts w:ascii="Arial Narrow" w:hAnsi="Arial Narrow" w:cs="Arial"/>
        </w:rPr>
        <w:t xml:space="preserve"> </w:t>
      </w:r>
      <w:r>
        <w:rPr>
          <w:rFonts w:ascii="Arial Narrow" w:hAnsi="Arial Narrow" w:cs="Arial"/>
        </w:rPr>
        <w:t xml:space="preserve">the increasingly creative ways in which people collectively exercise their rights to freedom of expression, in particular online in the digital age. We suggest that an assembly should </w:t>
      </w:r>
      <w:r>
        <w:rPr>
          <w:rFonts w:ascii="Arial Narrow" w:hAnsi="Arial Narrow" w:cs="Arial"/>
        </w:rPr>
        <w:lastRenderedPageBreak/>
        <w:t xml:space="preserve">mean any </w:t>
      </w:r>
      <w:r w:rsidRPr="005E0098">
        <w:rPr>
          <w:rFonts w:ascii="Arial Narrow" w:hAnsi="Arial Narrow" w:cs="Arial"/>
        </w:rPr>
        <w:t>collective act of expression between two or more pe</w:t>
      </w:r>
      <w:r>
        <w:rPr>
          <w:rFonts w:ascii="Arial Narrow" w:hAnsi="Arial Narrow" w:cs="Arial"/>
        </w:rPr>
        <w:t>ople</w:t>
      </w:r>
      <w:r w:rsidRPr="005E0098">
        <w:rPr>
          <w:rFonts w:ascii="Arial Narrow" w:hAnsi="Arial Narrow" w:cs="Arial"/>
        </w:rPr>
        <w:t xml:space="preserve"> with proximate unity of purpose, time, and place. </w:t>
      </w:r>
      <w:r>
        <w:rPr>
          <w:rFonts w:ascii="Arial Narrow" w:hAnsi="Arial Narrow" w:cs="Arial"/>
        </w:rPr>
        <w:t>The presumption in favour of assemblies requires that the term “assembly” be interpreted as broadly as possible.</w:t>
      </w:r>
    </w:p>
    <w:p w14:paraId="02560B4E" w14:textId="77777777" w:rsidR="005E0098" w:rsidRDefault="005E0098" w:rsidP="005E0098">
      <w:pPr>
        <w:pStyle w:val="ListParagraph"/>
        <w:spacing w:after="0" w:line="276" w:lineRule="auto"/>
        <w:ind w:left="360"/>
        <w:jc w:val="both"/>
        <w:rPr>
          <w:rFonts w:ascii="Arial Narrow" w:hAnsi="Arial Narrow" w:cs="Arial"/>
        </w:rPr>
      </w:pPr>
    </w:p>
    <w:p w14:paraId="47C65C28" w14:textId="2A7D837A" w:rsidR="005E0098" w:rsidRPr="00890F7E" w:rsidRDefault="009220A3" w:rsidP="00890F7E">
      <w:pPr>
        <w:pStyle w:val="ListParagraph"/>
        <w:numPr>
          <w:ilvl w:val="0"/>
          <w:numId w:val="1"/>
        </w:numPr>
        <w:spacing w:after="0" w:line="276" w:lineRule="auto"/>
        <w:jc w:val="both"/>
        <w:rPr>
          <w:rFonts w:ascii="Arial Narrow" w:hAnsi="Arial Narrow" w:cs="Arial"/>
        </w:rPr>
      </w:pPr>
      <w:r>
        <w:rPr>
          <w:rFonts w:ascii="Arial Narrow" w:hAnsi="Arial Narrow" w:cs="Arial"/>
        </w:rPr>
        <w:t>P</w:t>
      </w:r>
      <w:r w:rsidR="005E0098">
        <w:rPr>
          <w:rFonts w:ascii="Arial Narrow" w:hAnsi="Arial Narrow" w:cs="Arial"/>
        </w:rPr>
        <w:t xml:space="preserve">urpose, time, and place, </w:t>
      </w:r>
      <w:r>
        <w:rPr>
          <w:rFonts w:ascii="Arial Narrow" w:hAnsi="Arial Narrow" w:cs="Arial"/>
        </w:rPr>
        <w:t>are</w:t>
      </w:r>
      <w:r w:rsidR="005E0098">
        <w:rPr>
          <w:rFonts w:ascii="Arial Narrow" w:hAnsi="Arial Narrow" w:cs="Arial"/>
        </w:rPr>
        <w:t xml:space="preserve"> integral to the collective expressive</w:t>
      </w:r>
      <w:r>
        <w:rPr>
          <w:rFonts w:ascii="Arial Narrow" w:hAnsi="Arial Narrow" w:cs="Arial"/>
        </w:rPr>
        <w:t xml:space="preserve"> and associational </w:t>
      </w:r>
      <w:r w:rsidR="005E0098">
        <w:rPr>
          <w:rFonts w:ascii="Arial Narrow" w:hAnsi="Arial Narrow" w:cs="Arial"/>
        </w:rPr>
        <w:t>value of assemblies, in particular protests. These are factors that are not only relevant to identifying when the right of peaceful assembly is engaged, but also are key to ensuring that persons have the freedom to choose the location of their assemblies, the form and manner of their assemblies, and the content or cause of their assemblies.</w:t>
      </w:r>
      <w:r w:rsidR="005E0098">
        <w:rPr>
          <w:rStyle w:val="FootnoteReference"/>
          <w:rFonts w:ascii="Arial Narrow" w:hAnsi="Arial Narrow" w:cs="Arial"/>
        </w:rPr>
        <w:footnoteReference w:id="17"/>
      </w:r>
      <w:r w:rsidR="005E0098">
        <w:rPr>
          <w:rFonts w:ascii="Arial Narrow" w:hAnsi="Arial Narrow" w:cs="Arial"/>
        </w:rPr>
        <w:t xml:space="preserve"> </w:t>
      </w:r>
      <w:r w:rsidR="005E0098" w:rsidRPr="005E0098">
        <w:rPr>
          <w:rFonts w:ascii="Arial Narrow" w:hAnsi="Arial Narrow" w:cs="Arial"/>
        </w:rPr>
        <w:t xml:space="preserve">These three </w:t>
      </w:r>
      <w:r w:rsidR="00890F7E">
        <w:rPr>
          <w:rFonts w:ascii="Arial Narrow" w:hAnsi="Arial Narrow" w:cs="Arial"/>
        </w:rPr>
        <w:t>“</w:t>
      </w:r>
      <w:r w:rsidR="005E0098" w:rsidRPr="005E0098">
        <w:rPr>
          <w:rFonts w:ascii="Arial Narrow" w:hAnsi="Arial Narrow" w:cs="Arial"/>
        </w:rPr>
        <w:t>unities</w:t>
      </w:r>
      <w:r w:rsidR="00890F7E">
        <w:rPr>
          <w:rFonts w:ascii="Arial Narrow" w:hAnsi="Arial Narrow" w:cs="Arial"/>
        </w:rPr>
        <w:t>”</w:t>
      </w:r>
      <w:r w:rsidR="005E0098" w:rsidRPr="005E0098">
        <w:rPr>
          <w:rFonts w:ascii="Arial Narrow" w:hAnsi="Arial Narrow" w:cs="Arial"/>
        </w:rPr>
        <w:t xml:space="preserve"> should be considered together</w:t>
      </w:r>
      <w:r w:rsidR="00890F7E">
        <w:rPr>
          <w:rFonts w:ascii="Arial Narrow" w:hAnsi="Arial Narrow" w:cs="Arial"/>
        </w:rPr>
        <w:t xml:space="preserve"> when examining if conduct qualifies as an “assembly” for the purpose of Article 21 ICCPR – with each unity not necessarily carrying the same weight. </w:t>
      </w:r>
      <w:r w:rsidR="005E0098" w:rsidRPr="00890F7E">
        <w:rPr>
          <w:rFonts w:ascii="Arial Narrow" w:hAnsi="Arial Narrow" w:cs="Arial"/>
        </w:rPr>
        <w:t xml:space="preserve">Some assemblies may have greater unity of purpose, for example, than time or place, in particular where they take place online. The definition requires a case-by-case assessment and should not be interpreted restrictively. </w:t>
      </w:r>
    </w:p>
    <w:p w14:paraId="0666AAE7" w14:textId="589C0C22" w:rsidR="005E0098" w:rsidRDefault="005E0098" w:rsidP="005E0098">
      <w:pPr>
        <w:spacing w:after="0" w:line="276" w:lineRule="auto"/>
        <w:rPr>
          <w:rFonts w:ascii="Arial Narrow" w:hAnsi="Arial Narrow" w:cs="Arial"/>
          <w:u w:val="single"/>
        </w:rPr>
      </w:pPr>
    </w:p>
    <w:p w14:paraId="28AF6190" w14:textId="062DFFBA" w:rsidR="005E0098" w:rsidRPr="005E0098" w:rsidRDefault="005E0098" w:rsidP="005E0098">
      <w:pPr>
        <w:pStyle w:val="ListParagraph"/>
        <w:numPr>
          <w:ilvl w:val="0"/>
          <w:numId w:val="15"/>
        </w:numPr>
        <w:spacing w:after="0" w:line="276" w:lineRule="auto"/>
        <w:rPr>
          <w:rFonts w:ascii="Arial Narrow" w:hAnsi="Arial Narrow" w:cs="Arial"/>
          <w:u w:val="single"/>
        </w:rPr>
      </w:pPr>
      <w:r w:rsidRPr="005E0098">
        <w:rPr>
          <w:rFonts w:ascii="Arial Narrow" w:hAnsi="Arial Narrow" w:cs="Arial"/>
          <w:u w:val="single"/>
        </w:rPr>
        <w:t>Two or more persons</w:t>
      </w:r>
    </w:p>
    <w:p w14:paraId="5C14178F" w14:textId="77777777" w:rsidR="005E0098" w:rsidRDefault="005E0098" w:rsidP="005E0098">
      <w:pPr>
        <w:pStyle w:val="ListParagraph"/>
        <w:spacing w:after="0" w:line="276" w:lineRule="auto"/>
        <w:ind w:left="360"/>
        <w:jc w:val="both"/>
        <w:rPr>
          <w:rFonts w:ascii="Arial Narrow" w:hAnsi="Arial Narrow" w:cs="Arial"/>
        </w:rPr>
      </w:pPr>
    </w:p>
    <w:p w14:paraId="4334CF81" w14:textId="77777777" w:rsidR="00890F7E" w:rsidRDefault="005E0098" w:rsidP="005E0098">
      <w:pPr>
        <w:pStyle w:val="ListParagraph"/>
        <w:numPr>
          <w:ilvl w:val="0"/>
          <w:numId w:val="1"/>
        </w:numPr>
        <w:spacing w:after="0" w:line="276" w:lineRule="auto"/>
        <w:jc w:val="both"/>
        <w:rPr>
          <w:rFonts w:ascii="Arial Narrow" w:hAnsi="Arial Narrow" w:cs="Arial"/>
        </w:rPr>
      </w:pPr>
      <w:r>
        <w:rPr>
          <w:rFonts w:ascii="Arial Narrow" w:hAnsi="Arial Narrow" w:cs="Arial"/>
        </w:rPr>
        <w:t>Requiring an assembly to involve two or more persons is necessary to distinguish the right under Article 21 ICCPR from the right to freedom of expression under Article 19, and also to co</w:t>
      </w:r>
      <w:r w:rsidR="00890F7E">
        <w:rPr>
          <w:rFonts w:ascii="Arial Narrow" w:hAnsi="Arial Narrow" w:cs="Arial"/>
        </w:rPr>
        <w:t>nvey the associational value inherent to the right of peaceful assembly</w:t>
      </w:r>
      <w:r>
        <w:rPr>
          <w:rFonts w:ascii="Arial Narrow" w:hAnsi="Arial Narrow" w:cs="Arial"/>
        </w:rPr>
        <w:t xml:space="preserve">. </w:t>
      </w:r>
    </w:p>
    <w:p w14:paraId="4B7FF8E2" w14:textId="77777777" w:rsidR="00890F7E" w:rsidRDefault="00890F7E" w:rsidP="00890F7E">
      <w:pPr>
        <w:pStyle w:val="ListParagraph"/>
        <w:spacing w:after="0" w:line="276" w:lineRule="auto"/>
        <w:ind w:left="360"/>
        <w:jc w:val="both"/>
        <w:rPr>
          <w:rFonts w:ascii="Arial Narrow" w:hAnsi="Arial Narrow" w:cs="Arial"/>
        </w:rPr>
      </w:pPr>
    </w:p>
    <w:p w14:paraId="3FB83069" w14:textId="7D3567A0" w:rsidR="00890F7E" w:rsidRPr="00890F7E" w:rsidRDefault="005E0098" w:rsidP="00890F7E">
      <w:pPr>
        <w:pStyle w:val="ListParagraph"/>
        <w:numPr>
          <w:ilvl w:val="0"/>
          <w:numId w:val="1"/>
        </w:numPr>
        <w:spacing w:after="0" w:line="276" w:lineRule="auto"/>
        <w:jc w:val="both"/>
        <w:rPr>
          <w:rFonts w:ascii="Arial Narrow" w:hAnsi="Arial Narrow" w:cs="Arial"/>
        </w:rPr>
      </w:pPr>
      <w:r>
        <w:rPr>
          <w:rFonts w:ascii="Arial Narrow" w:hAnsi="Arial Narrow" w:cs="Arial"/>
        </w:rPr>
        <w:t>This should not be interpreted to diminish the value of</w:t>
      </w:r>
      <w:r w:rsidR="00890F7E">
        <w:rPr>
          <w:rFonts w:ascii="Arial Narrow" w:hAnsi="Arial Narrow" w:cs="Arial"/>
        </w:rPr>
        <w:t xml:space="preserve"> or afford lower protection to individual acts of protest.</w:t>
      </w:r>
      <w:r>
        <w:rPr>
          <w:rFonts w:ascii="Arial Narrow" w:hAnsi="Arial Narrow" w:cs="Arial"/>
        </w:rPr>
        <w:t xml:space="preserve"> </w:t>
      </w:r>
      <w:r w:rsidR="00890F7E">
        <w:rPr>
          <w:rFonts w:ascii="Arial Narrow" w:hAnsi="Arial Narrow" w:cs="Arial"/>
        </w:rPr>
        <w:t xml:space="preserve">Acts of individual expression, especially where they take on a more physical form, </w:t>
      </w:r>
      <w:r>
        <w:rPr>
          <w:rFonts w:ascii="Arial Narrow" w:hAnsi="Arial Narrow" w:cs="Arial"/>
        </w:rPr>
        <w:t>may engage many of the same considerations as collective forms of expression</w:t>
      </w:r>
      <w:r w:rsidR="00890F7E">
        <w:rPr>
          <w:rFonts w:ascii="Arial Narrow" w:hAnsi="Arial Narrow" w:cs="Arial"/>
        </w:rPr>
        <w:t>.</w:t>
      </w:r>
      <w:r>
        <w:rPr>
          <w:rFonts w:ascii="Arial Narrow" w:hAnsi="Arial Narrow" w:cs="Arial"/>
        </w:rPr>
        <w:t xml:space="preserve"> </w:t>
      </w:r>
      <w:r w:rsidR="00890F7E">
        <w:rPr>
          <w:rFonts w:ascii="Arial Narrow" w:hAnsi="Arial Narrow" w:cs="Arial"/>
        </w:rPr>
        <w:t>The States’ obligations for facilitating and, where applicable, responding to such expression, may be very similar as for collective acts of expression, but without engaging Article 21 of the ICCPR.</w:t>
      </w:r>
      <w:r w:rsidR="00890F7E" w:rsidRPr="00890F7E">
        <w:rPr>
          <w:rFonts w:ascii="Arial Narrow" w:hAnsi="Arial Narrow" w:cs="Arial"/>
        </w:rPr>
        <w:t xml:space="preserve"> </w:t>
      </w:r>
    </w:p>
    <w:p w14:paraId="65C69BAA" w14:textId="77777777" w:rsidR="00890F7E" w:rsidRPr="005E0098" w:rsidRDefault="00890F7E" w:rsidP="00890F7E">
      <w:pPr>
        <w:pStyle w:val="ListParagraph"/>
        <w:spacing w:after="0" w:line="276" w:lineRule="auto"/>
        <w:ind w:left="360"/>
        <w:jc w:val="both"/>
        <w:rPr>
          <w:rFonts w:ascii="Arial Narrow" w:hAnsi="Arial Narrow" w:cs="Arial"/>
        </w:rPr>
      </w:pPr>
    </w:p>
    <w:p w14:paraId="5C1BB5F9" w14:textId="1B15C1B6" w:rsidR="005E0098" w:rsidRPr="005E0098" w:rsidRDefault="005E0098" w:rsidP="005E0098">
      <w:pPr>
        <w:pStyle w:val="ListParagraph"/>
        <w:numPr>
          <w:ilvl w:val="0"/>
          <w:numId w:val="15"/>
        </w:numPr>
        <w:spacing w:after="0" w:line="276" w:lineRule="auto"/>
        <w:jc w:val="both"/>
        <w:rPr>
          <w:rFonts w:ascii="Arial Narrow" w:hAnsi="Arial Narrow" w:cs="Arial"/>
        </w:rPr>
      </w:pPr>
      <w:r>
        <w:rPr>
          <w:rFonts w:ascii="Arial Narrow" w:hAnsi="Arial Narrow" w:cs="Arial"/>
          <w:u w:val="single"/>
        </w:rPr>
        <w:t>Unity of time</w:t>
      </w:r>
    </w:p>
    <w:p w14:paraId="746345A1" w14:textId="77777777" w:rsidR="005E0098" w:rsidRDefault="005E0098" w:rsidP="005E0098">
      <w:pPr>
        <w:pStyle w:val="ListParagraph"/>
        <w:spacing w:after="0" w:line="276" w:lineRule="auto"/>
        <w:ind w:left="1080"/>
        <w:jc w:val="both"/>
        <w:rPr>
          <w:rFonts w:ascii="Arial Narrow" w:hAnsi="Arial Narrow" w:cs="Arial"/>
        </w:rPr>
      </w:pPr>
    </w:p>
    <w:p w14:paraId="120D4D27" w14:textId="77777777" w:rsidR="005E0098" w:rsidRDefault="005E0098" w:rsidP="005E0098">
      <w:pPr>
        <w:pStyle w:val="ListParagraph"/>
        <w:numPr>
          <w:ilvl w:val="0"/>
          <w:numId w:val="1"/>
        </w:numPr>
        <w:spacing w:after="0" w:line="276" w:lineRule="auto"/>
        <w:jc w:val="both"/>
        <w:rPr>
          <w:rFonts w:ascii="Arial Narrow" w:hAnsi="Arial Narrow" w:cs="Arial"/>
        </w:rPr>
      </w:pPr>
      <w:r>
        <w:rPr>
          <w:rFonts w:ascii="Arial Narrow" w:hAnsi="Arial Narrow" w:cs="Arial"/>
        </w:rPr>
        <w:t xml:space="preserve">In addition to the number of participants, an assembly implies multiple expressive acts taking place close in time, though not necessary with exact contemporaneity. A group of individuals engaging in a series of expressions which closely follow each other may still be considered an assembly, for example. </w:t>
      </w:r>
    </w:p>
    <w:p w14:paraId="1DA4AB6D" w14:textId="77777777" w:rsidR="005E0098" w:rsidRDefault="005E0098" w:rsidP="005E0098">
      <w:pPr>
        <w:pStyle w:val="ListParagraph"/>
        <w:spacing w:after="0" w:line="276" w:lineRule="auto"/>
        <w:ind w:left="360"/>
        <w:jc w:val="both"/>
        <w:rPr>
          <w:rFonts w:ascii="Arial Narrow" w:hAnsi="Arial Narrow" w:cs="Arial"/>
        </w:rPr>
      </w:pPr>
    </w:p>
    <w:p w14:paraId="6DAB8030" w14:textId="5570DF27" w:rsidR="005E0098" w:rsidRDefault="005E0098" w:rsidP="005E0098">
      <w:pPr>
        <w:pStyle w:val="ListParagraph"/>
        <w:numPr>
          <w:ilvl w:val="0"/>
          <w:numId w:val="1"/>
        </w:numPr>
        <w:spacing w:after="0" w:line="276" w:lineRule="auto"/>
        <w:jc w:val="both"/>
        <w:rPr>
          <w:rFonts w:ascii="Arial Narrow" w:hAnsi="Arial Narrow" w:cs="Arial"/>
        </w:rPr>
      </w:pPr>
      <w:r>
        <w:rPr>
          <w:rFonts w:ascii="Arial Narrow" w:hAnsi="Arial Narrow" w:cs="Arial"/>
        </w:rPr>
        <w:t xml:space="preserve">In relation to </w:t>
      </w:r>
      <w:r w:rsidR="00CC3759">
        <w:rPr>
          <w:rFonts w:ascii="Arial Narrow" w:hAnsi="Arial Narrow" w:cs="Arial"/>
        </w:rPr>
        <w:t>the duration of an assembly, we advise the term “temporary”</w:t>
      </w:r>
      <w:r>
        <w:rPr>
          <w:rFonts w:ascii="Arial Narrow" w:hAnsi="Arial Narrow" w:cs="Arial"/>
        </w:rPr>
        <w:t xml:space="preserve"> be avoided in any definition, since this may be abused to deny protection to assemblies of extended duration, including where the duration of an assembly is intrinsic to its expressive purpose. </w:t>
      </w:r>
      <w:r w:rsidRPr="005E0098">
        <w:rPr>
          <w:rFonts w:ascii="Arial Narrow" w:hAnsi="Arial Narrow" w:cs="Arial"/>
        </w:rPr>
        <w:t>While UN experts have employed the term “temporary” in relation to assemblies, they have also stressed that this should not diminish protections for assemblies that take on a form of extended duration, such as sit-ins and occupations.</w:t>
      </w:r>
      <w:r>
        <w:rPr>
          <w:rStyle w:val="FootnoteReference"/>
          <w:rFonts w:ascii="Arial Narrow" w:hAnsi="Arial Narrow" w:cs="Arial"/>
        </w:rPr>
        <w:footnoteReference w:id="18"/>
      </w:r>
      <w:r w:rsidR="00AF6D30">
        <w:rPr>
          <w:rFonts w:ascii="Arial Narrow" w:hAnsi="Arial Narrow" w:cs="Arial"/>
        </w:rPr>
        <w:t xml:space="preserve"> The Commi</w:t>
      </w:r>
      <w:r w:rsidR="00890F7E">
        <w:rPr>
          <w:rFonts w:ascii="Arial Narrow" w:hAnsi="Arial Narrow" w:cs="Arial"/>
        </w:rPr>
        <w:t>ttee has itself raised concerns</w:t>
      </w:r>
      <w:r w:rsidR="00AF6D30">
        <w:rPr>
          <w:rFonts w:ascii="Arial Narrow" w:hAnsi="Arial Narrow" w:cs="Arial"/>
        </w:rPr>
        <w:t xml:space="preserve"> on time-based limitations to assemblies that prevent protests of extended duration.</w:t>
      </w:r>
      <w:r w:rsidR="00AF6D30">
        <w:rPr>
          <w:rStyle w:val="FootnoteReference"/>
          <w:rFonts w:ascii="Arial Narrow" w:hAnsi="Arial Narrow" w:cs="Arial"/>
        </w:rPr>
        <w:footnoteReference w:id="19"/>
      </w:r>
      <w:r w:rsidRPr="005E0098">
        <w:rPr>
          <w:rFonts w:ascii="Arial Narrow" w:hAnsi="Arial Narrow" w:cs="Arial"/>
        </w:rPr>
        <w:t xml:space="preserve"> </w:t>
      </w:r>
      <w:r>
        <w:rPr>
          <w:rFonts w:ascii="Arial Narrow" w:hAnsi="Arial Narrow" w:cs="Arial"/>
        </w:rPr>
        <w:t>Avoiding the term “temporary” in any definition would not preclude States from imposing time limitations on assemblies in line with the limitations clause of Article 21 ICCPR</w:t>
      </w:r>
      <w:r w:rsidRPr="005E0098">
        <w:rPr>
          <w:rFonts w:ascii="Arial Narrow" w:hAnsi="Arial Narrow" w:cs="Arial"/>
        </w:rPr>
        <w:t>.</w:t>
      </w:r>
      <w:r>
        <w:rPr>
          <w:rStyle w:val="FootnoteReference"/>
          <w:rFonts w:ascii="Arial Narrow" w:hAnsi="Arial Narrow" w:cs="Arial"/>
        </w:rPr>
        <w:footnoteReference w:id="20"/>
      </w:r>
      <w:r w:rsidRPr="005E0098">
        <w:rPr>
          <w:rFonts w:ascii="Arial Narrow" w:hAnsi="Arial Narrow" w:cs="Arial"/>
        </w:rPr>
        <w:t xml:space="preserve"> </w:t>
      </w:r>
    </w:p>
    <w:p w14:paraId="4B4B185D" w14:textId="77777777" w:rsidR="00AF6D30" w:rsidRPr="00AF6D30" w:rsidRDefault="00AF6D30" w:rsidP="00AF6D30">
      <w:pPr>
        <w:pStyle w:val="ListParagraph"/>
        <w:rPr>
          <w:rFonts w:ascii="Arial Narrow" w:hAnsi="Arial Narrow" w:cs="Arial"/>
        </w:rPr>
      </w:pPr>
    </w:p>
    <w:p w14:paraId="5C92E1D8" w14:textId="6A7465A4" w:rsidR="00AF6D30" w:rsidRPr="005E0098" w:rsidRDefault="00AF6D30" w:rsidP="005E0098">
      <w:pPr>
        <w:pStyle w:val="ListParagraph"/>
        <w:numPr>
          <w:ilvl w:val="0"/>
          <w:numId w:val="1"/>
        </w:numPr>
        <w:spacing w:after="0" w:line="276" w:lineRule="auto"/>
        <w:jc w:val="both"/>
        <w:rPr>
          <w:rFonts w:ascii="Arial Narrow" w:hAnsi="Arial Narrow" w:cs="Arial"/>
        </w:rPr>
      </w:pPr>
      <w:r>
        <w:rPr>
          <w:rFonts w:ascii="Arial Narrow" w:hAnsi="Arial Narrow" w:cs="Arial"/>
        </w:rPr>
        <w:t>While an assembly may be defined by reference to the time</w:t>
      </w:r>
      <w:r w:rsidR="00890F7E">
        <w:rPr>
          <w:rFonts w:ascii="Arial Narrow" w:hAnsi="Arial Narrow" w:cs="Arial"/>
        </w:rPr>
        <w:t>frame in which</w:t>
      </w:r>
      <w:r>
        <w:rPr>
          <w:rFonts w:ascii="Arial Narrow" w:hAnsi="Arial Narrow" w:cs="Arial"/>
        </w:rPr>
        <w:t xml:space="preserve"> it manifests, the Committee should be clear that the right to freedom of assembly is engaged during acts of preparation for an assembly, includ</w:t>
      </w:r>
      <w:r w:rsidR="00890F7E">
        <w:rPr>
          <w:rFonts w:ascii="Arial Narrow" w:hAnsi="Arial Narrow" w:cs="Arial"/>
        </w:rPr>
        <w:t>ing promoting information on an</w:t>
      </w:r>
      <w:r>
        <w:rPr>
          <w:rFonts w:ascii="Arial Narrow" w:hAnsi="Arial Narrow" w:cs="Arial"/>
        </w:rPr>
        <w:t xml:space="preserve"> assembly, in add</w:t>
      </w:r>
      <w:r w:rsidR="00890F7E">
        <w:rPr>
          <w:rFonts w:ascii="Arial Narrow" w:hAnsi="Arial Narrow" w:cs="Arial"/>
        </w:rPr>
        <w:t>ition to during an assembly, as well as</w:t>
      </w:r>
      <w:r>
        <w:rPr>
          <w:rFonts w:ascii="Arial Narrow" w:hAnsi="Arial Narrow" w:cs="Arial"/>
        </w:rPr>
        <w:t xml:space="preserve"> following it</w:t>
      </w:r>
      <w:r w:rsidR="00890F7E">
        <w:rPr>
          <w:rFonts w:ascii="Arial Narrow" w:hAnsi="Arial Narrow" w:cs="Arial"/>
        </w:rPr>
        <w:t xml:space="preserve">, where persons may still be </w:t>
      </w:r>
      <w:r w:rsidR="00890F7E">
        <w:rPr>
          <w:rFonts w:ascii="Arial Narrow" w:hAnsi="Arial Narrow" w:cs="Arial"/>
        </w:rPr>
        <w:lastRenderedPageBreak/>
        <w:t>targeted for their participation or for sharing further commentary on the assembly, including authorities’ responses to the assembly</w:t>
      </w:r>
      <w:r>
        <w:rPr>
          <w:rFonts w:ascii="Arial Narrow" w:hAnsi="Arial Narrow" w:cs="Arial"/>
        </w:rPr>
        <w:t>.</w:t>
      </w:r>
      <w:r>
        <w:rPr>
          <w:rStyle w:val="FootnoteReference"/>
          <w:rFonts w:ascii="Arial Narrow" w:hAnsi="Arial Narrow" w:cs="Arial"/>
        </w:rPr>
        <w:footnoteReference w:id="21"/>
      </w:r>
      <w:r>
        <w:rPr>
          <w:rFonts w:ascii="Arial Narrow" w:hAnsi="Arial Narrow" w:cs="Arial"/>
        </w:rPr>
        <w:t xml:space="preserve"> </w:t>
      </w:r>
    </w:p>
    <w:p w14:paraId="70318DB6" w14:textId="77777777" w:rsidR="005E0098" w:rsidRDefault="005E0098" w:rsidP="005E0098">
      <w:pPr>
        <w:pStyle w:val="ListParagraph"/>
        <w:spacing w:after="0" w:line="276" w:lineRule="auto"/>
        <w:ind w:left="360"/>
        <w:jc w:val="both"/>
        <w:rPr>
          <w:rFonts w:ascii="Arial Narrow" w:hAnsi="Arial Narrow" w:cs="Arial"/>
        </w:rPr>
      </w:pPr>
    </w:p>
    <w:p w14:paraId="5055721B" w14:textId="6DFC6598" w:rsidR="005E0098" w:rsidRPr="005E0098" w:rsidRDefault="005E0098" w:rsidP="005E0098">
      <w:pPr>
        <w:pStyle w:val="ListParagraph"/>
        <w:numPr>
          <w:ilvl w:val="0"/>
          <w:numId w:val="15"/>
        </w:numPr>
        <w:spacing w:after="0" w:line="276" w:lineRule="auto"/>
        <w:jc w:val="both"/>
        <w:rPr>
          <w:rFonts w:ascii="Arial Narrow" w:hAnsi="Arial Narrow" w:cs="Arial"/>
          <w:u w:val="single"/>
        </w:rPr>
      </w:pPr>
      <w:r w:rsidRPr="005E0098">
        <w:rPr>
          <w:rFonts w:ascii="Arial Narrow" w:hAnsi="Arial Narrow" w:cs="Arial"/>
          <w:u w:val="single"/>
        </w:rPr>
        <w:t>Unity of purpose</w:t>
      </w:r>
    </w:p>
    <w:p w14:paraId="5D3BE422" w14:textId="77777777" w:rsidR="005E0098" w:rsidRDefault="005E0098" w:rsidP="005E0098">
      <w:pPr>
        <w:pStyle w:val="ListParagraph"/>
        <w:spacing w:after="0" w:line="276" w:lineRule="auto"/>
        <w:ind w:left="360"/>
        <w:jc w:val="both"/>
        <w:rPr>
          <w:rFonts w:ascii="Arial Narrow" w:hAnsi="Arial Narrow" w:cs="Arial"/>
        </w:rPr>
      </w:pPr>
    </w:p>
    <w:p w14:paraId="4BB5F43A" w14:textId="0D0DE9A0" w:rsidR="005E0098" w:rsidRDefault="005E0098" w:rsidP="005E0098">
      <w:pPr>
        <w:pStyle w:val="ListParagraph"/>
        <w:numPr>
          <w:ilvl w:val="0"/>
          <w:numId w:val="1"/>
        </w:numPr>
        <w:spacing w:after="0" w:line="276" w:lineRule="auto"/>
        <w:jc w:val="both"/>
        <w:rPr>
          <w:rFonts w:ascii="Arial Narrow" w:hAnsi="Arial Narrow" w:cs="Arial"/>
        </w:rPr>
      </w:pPr>
      <w:r>
        <w:rPr>
          <w:rFonts w:ascii="Arial Narrow" w:hAnsi="Arial Narrow" w:cs="Arial"/>
        </w:rPr>
        <w:t xml:space="preserve">A collective act of expression implies </w:t>
      </w:r>
      <w:r w:rsidR="00890F7E">
        <w:rPr>
          <w:rFonts w:ascii="Arial Narrow" w:hAnsi="Arial Narrow" w:cs="Arial"/>
        </w:rPr>
        <w:t xml:space="preserve">that </w:t>
      </w:r>
      <w:r>
        <w:rPr>
          <w:rFonts w:ascii="Arial Narrow" w:hAnsi="Arial Narrow" w:cs="Arial"/>
        </w:rPr>
        <w:t>participants shar</w:t>
      </w:r>
      <w:r w:rsidR="00890F7E">
        <w:rPr>
          <w:rFonts w:ascii="Arial Narrow" w:hAnsi="Arial Narrow" w:cs="Arial"/>
        </w:rPr>
        <w:t>e a common expressive purpose. Understandings of “collectiv</w:t>
      </w:r>
      <w:r>
        <w:rPr>
          <w:rFonts w:ascii="Arial Narrow" w:hAnsi="Arial Narrow" w:cs="Arial"/>
        </w:rPr>
        <w:t>e expression</w:t>
      </w:r>
      <w:r w:rsidR="00890F7E">
        <w:rPr>
          <w:rFonts w:ascii="Arial Narrow" w:hAnsi="Arial Narrow" w:cs="Arial"/>
        </w:rPr>
        <w:t>”</w:t>
      </w:r>
      <w:r>
        <w:rPr>
          <w:rFonts w:ascii="Arial Narrow" w:hAnsi="Arial Narrow" w:cs="Arial"/>
        </w:rPr>
        <w:t xml:space="preserve"> should include all three facets of the right to freedom of expression, and </w:t>
      </w:r>
      <w:r w:rsidR="00890F7E">
        <w:rPr>
          <w:rFonts w:ascii="Arial Narrow" w:hAnsi="Arial Narrow" w:cs="Arial"/>
        </w:rPr>
        <w:t xml:space="preserve">therefore </w:t>
      </w:r>
      <w:r>
        <w:rPr>
          <w:rFonts w:ascii="Arial Narrow" w:hAnsi="Arial Narrow" w:cs="Arial"/>
        </w:rPr>
        <w:t xml:space="preserve">encompass the right to collectively seek, receive, or impart information or ideas. </w:t>
      </w:r>
      <w:r w:rsidR="00890F7E">
        <w:rPr>
          <w:rFonts w:ascii="Arial Narrow" w:hAnsi="Arial Narrow" w:cs="Arial"/>
        </w:rPr>
        <w:t>Any</w:t>
      </w:r>
      <w:r>
        <w:rPr>
          <w:rFonts w:ascii="Arial Narrow" w:hAnsi="Arial Narrow" w:cs="Arial"/>
        </w:rPr>
        <w:t xml:space="preserve"> definition of assembly should not focus only on the imparting of information or ideas, or be restricted by reference to </w:t>
      </w:r>
      <w:r w:rsidR="00890F7E">
        <w:rPr>
          <w:rFonts w:ascii="Arial Narrow" w:hAnsi="Arial Narrow" w:cs="Arial"/>
        </w:rPr>
        <w:t xml:space="preserve">any particular public audience - </w:t>
      </w:r>
      <w:r>
        <w:rPr>
          <w:rFonts w:ascii="Arial Narrow" w:hAnsi="Arial Narrow" w:cs="Arial"/>
        </w:rPr>
        <w:t xml:space="preserve">indeed, people may join an assembly </w:t>
      </w:r>
      <w:r w:rsidR="00890F7E">
        <w:rPr>
          <w:rFonts w:ascii="Arial Narrow" w:hAnsi="Arial Narrow" w:cs="Arial"/>
        </w:rPr>
        <w:t>primarily to be in the audience, to seek and receive the information or ideas promised at an assembly</w:t>
      </w:r>
      <w:r>
        <w:rPr>
          <w:rFonts w:ascii="Arial Narrow" w:hAnsi="Arial Narrow" w:cs="Arial"/>
        </w:rPr>
        <w:t xml:space="preserve">. </w:t>
      </w:r>
    </w:p>
    <w:p w14:paraId="6184BC5B" w14:textId="77777777" w:rsidR="005E0098" w:rsidRDefault="005E0098" w:rsidP="005E0098">
      <w:pPr>
        <w:pStyle w:val="ListParagraph"/>
        <w:spacing w:after="0" w:line="276" w:lineRule="auto"/>
        <w:ind w:left="360"/>
        <w:jc w:val="both"/>
        <w:rPr>
          <w:rFonts w:ascii="Arial Narrow" w:hAnsi="Arial Narrow" w:cs="Arial"/>
        </w:rPr>
      </w:pPr>
    </w:p>
    <w:p w14:paraId="6DC2EC37" w14:textId="2B1AD8A1" w:rsidR="005E0098" w:rsidRPr="005E0098" w:rsidRDefault="005E0098" w:rsidP="005E0098">
      <w:pPr>
        <w:pStyle w:val="ListParagraph"/>
        <w:numPr>
          <w:ilvl w:val="0"/>
          <w:numId w:val="15"/>
        </w:numPr>
        <w:spacing w:after="0" w:line="276" w:lineRule="auto"/>
        <w:jc w:val="both"/>
        <w:rPr>
          <w:rFonts w:ascii="Arial Narrow" w:hAnsi="Arial Narrow" w:cs="Arial"/>
          <w:u w:val="single"/>
        </w:rPr>
      </w:pPr>
      <w:r w:rsidRPr="005E0098">
        <w:rPr>
          <w:rFonts w:ascii="Arial Narrow" w:hAnsi="Arial Narrow" w:cs="Arial"/>
          <w:u w:val="single"/>
        </w:rPr>
        <w:t xml:space="preserve">Unity </w:t>
      </w:r>
      <w:r w:rsidR="00932C4D">
        <w:rPr>
          <w:rFonts w:ascii="Arial Narrow" w:hAnsi="Arial Narrow" w:cs="Arial"/>
          <w:u w:val="single"/>
        </w:rPr>
        <w:t>of place, encompassing</w:t>
      </w:r>
      <w:r>
        <w:rPr>
          <w:rFonts w:ascii="Arial Narrow" w:hAnsi="Arial Narrow" w:cs="Arial"/>
          <w:u w:val="single"/>
        </w:rPr>
        <w:t xml:space="preserve"> private</w:t>
      </w:r>
      <w:r w:rsidR="00932C4D">
        <w:rPr>
          <w:rFonts w:ascii="Arial Narrow" w:hAnsi="Arial Narrow" w:cs="Arial"/>
          <w:u w:val="single"/>
        </w:rPr>
        <w:t xml:space="preserve"> and online</w:t>
      </w:r>
      <w:r>
        <w:rPr>
          <w:rFonts w:ascii="Arial Narrow" w:hAnsi="Arial Narrow" w:cs="Arial"/>
          <w:u w:val="single"/>
        </w:rPr>
        <w:t xml:space="preserve"> space</w:t>
      </w:r>
      <w:r w:rsidR="00932C4D">
        <w:rPr>
          <w:rFonts w:ascii="Arial Narrow" w:hAnsi="Arial Narrow" w:cs="Arial"/>
          <w:u w:val="single"/>
        </w:rPr>
        <w:t>s</w:t>
      </w:r>
    </w:p>
    <w:p w14:paraId="75B38575" w14:textId="77777777" w:rsidR="005E0098" w:rsidRPr="005E0098" w:rsidRDefault="005E0098" w:rsidP="005E0098">
      <w:pPr>
        <w:pStyle w:val="ListParagraph"/>
        <w:spacing w:after="0" w:line="276" w:lineRule="auto"/>
        <w:rPr>
          <w:rFonts w:ascii="Arial Narrow" w:hAnsi="Arial Narrow" w:cs="Arial"/>
        </w:rPr>
      </w:pPr>
    </w:p>
    <w:p w14:paraId="20693C54" w14:textId="3AFDCEC7" w:rsidR="005E0098" w:rsidRDefault="005E0098" w:rsidP="005E0098">
      <w:pPr>
        <w:pStyle w:val="ListParagraph"/>
        <w:numPr>
          <w:ilvl w:val="0"/>
          <w:numId w:val="1"/>
        </w:numPr>
        <w:spacing w:after="0" w:line="276" w:lineRule="auto"/>
        <w:jc w:val="both"/>
        <w:rPr>
          <w:rFonts w:ascii="Arial Narrow" w:hAnsi="Arial Narrow" w:cs="Arial"/>
        </w:rPr>
      </w:pPr>
      <w:r>
        <w:rPr>
          <w:rFonts w:ascii="Arial Narrow" w:hAnsi="Arial Narrow" w:cs="Arial"/>
        </w:rPr>
        <w:t xml:space="preserve">An assembly may take place in any </w:t>
      </w:r>
      <w:r w:rsidR="00890F7E">
        <w:rPr>
          <w:rFonts w:ascii="Arial Narrow" w:hAnsi="Arial Narrow" w:cs="Arial"/>
        </w:rPr>
        <w:t>location</w:t>
      </w:r>
      <w:r>
        <w:rPr>
          <w:rFonts w:ascii="Arial Narrow" w:hAnsi="Arial Narrow" w:cs="Arial"/>
        </w:rPr>
        <w:t xml:space="preserve">, </w:t>
      </w:r>
      <w:r w:rsidRPr="005E0098">
        <w:rPr>
          <w:rFonts w:ascii="Arial Narrow" w:hAnsi="Arial Narrow" w:cs="Arial"/>
        </w:rPr>
        <w:t>physical or virtual</w:t>
      </w:r>
      <w:r>
        <w:rPr>
          <w:rFonts w:ascii="Arial Narrow" w:hAnsi="Arial Narrow" w:cs="Arial"/>
        </w:rPr>
        <w:t xml:space="preserve">, whether that space is public, private, or </w:t>
      </w:r>
      <w:r w:rsidRPr="005E0098">
        <w:rPr>
          <w:rFonts w:ascii="Arial Narrow" w:hAnsi="Arial Narrow" w:cs="Arial"/>
        </w:rPr>
        <w:t>quasi-public (i.e. privately owned, but functionally public</w:t>
      </w:r>
      <w:r>
        <w:rPr>
          <w:rFonts w:ascii="Arial Narrow" w:hAnsi="Arial Narrow" w:cs="Arial"/>
        </w:rPr>
        <w:t>)</w:t>
      </w:r>
      <w:r w:rsidRPr="005E0098">
        <w:rPr>
          <w:rFonts w:ascii="Arial Narrow" w:hAnsi="Arial Narrow" w:cs="Arial"/>
        </w:rPr>
        <w:t xml:space="preserve">. </w:t>
      </w:r>
      <w:r>
        <w:rPr>
          <w:rFonts w:ascii="Arial Narrow" w:hAnsi="Arial Narrow" w:cs="Arial"/>
        </w:rPr>
        <w:t xml:space="preserve">In the digital age, at a time when offline and online protests are increasingly creative, any definition of assembly must not be tied to limited understandings of physical (public) space. </w:t>
      </w:r>
    </w:p>
    <w:p w14:paraId="245DC55A" w14:textId="485BF9C5" w:rsidR="005E0098" w:rsidRPr="005E0098" w:rsidRDefault="005E0098" w:rsidP="005E0098">
      <w:pPr>
        <w:spacing w:after="0" w:line="276" w:lineRule="auto"/>
        <w:jc w:val="both"/>
        <w:rPr>
          <w:rFonts w:ascii="Arial Narrow" w:hAnsi="Arial Narrow" w:cs="Arial"/>
        </w:rPr>
      </w:pPr>
    </w:p>
    <w:p w14:paraId="3D947AC8" w14:textId="235CB7B1" w:rsidR="005E0098" w:rsidRDefault="005E0098" w:rsidP="005E0098">
      <w:pPr>
        <w:pStyle w:val="ListParagraph"/>
        <w:numPr>
          <w:ilvl w:val="0"/>
          <w:numId w:val="1"/>
        </w:numPr>
        <w:spacing w:after="0" w:line="276" w:lineRule="auto"/>
        <w:jc w:val="both"/>
        <w:rPr>
          <w:rFonts w:ascii="Arial Narrow" w:hAnsi="Arial Narrow" w:cs="Arial"/>
        </w:rPr>
      </w:pPr>
      <w:r>
        <w:rPr>
          <w:rFonts w:ascii="Arial Narrow" w:hAnsi="Arial Narrow" w:cs="Arial"/>
        </w:rPr>
        <w:t>A textual reading of Article 21 of the ICCPR justifies a broad understanding of the relationship between assemblies and space – the text itself does not reference or distinguish between spaces that are privately or publicly owned, or imply the necessity of physical presence of individuals together</w:t>
      </w:r>
      <w:r w:rsidR="00890F7E">
        <w:rPr>
          <w:rFonts w:ascii="Arial Narrow" w:hAnsi="Arial Narrow" w:cs="Arial"/>
        </w:rPr>
        <w:t xml:space="preserve"> in one place</w:t>
      </w:r>
      <w:r>
        <w:rPr>
          <w:rFonts w:ascii="Arial Narrow" w:hAnsi="Arial Narrow" w:cs="Arial"/>
        </w:rPr>
        <w:t xml:space="preserve">. </w:t>
      </w:r>
    </w:p>
    <w:p w14:paraId="2272111D" w14:textId="77777777" w:rsidR="005E0098" w:rsidRPr="005E0098" w:rsidRDefault="005E0098" w:rsidP="005E0098">
      <w:pPr>
        <w:pStyle w:val="ListParagraph"/>
        <w:spacing w:line="276" w:lineRule="auto"/>
        <w:rPr>
          <w:rFonts w:ascii="Arial Narrow" w:hAnsi="Arial Narrow" w:cs="Arial"/>
        </w:rPr>
      </w:pPr>
    </w:p>
    <w:p w14:paraId="38D04C28" w14:textId="77777777" w:rsidR="00CC3759" w:rsidRDefault="0096322F" w:rsidP="005E0098">
      <w:pPr>
        <w:pStyle w:val="ListParagraph"/>
        <w:numPr>
          <w:ilvl w:val="0"/>
          <w:numId w:val="1"/>
        </w:numPr>
        <w:spacing w:after="0" w:line="276" w:lineRule="auto"/>
        <w:jc w:val="both"/>
        <w:rPr>
          <w:rFonts w:ascii="Arial Narrow" w:hAnsi="Arial Narrow" w:cs="Arial"/>
        </w:rPr>
      </w:pPr>
      <w:r>
        <w:rPr>
          <w:rFonts w:ascii="Arial Narrow" w:hAnsi="Arial Narrow" w:cs="Arial"/>
        </w:rPr>
        <w:t>The Committee has itself raised concerns at violations of the right to freedom of peaceful assembly in relation to gatherings at private venues.</w:t>
      </w:r>
      <w:r>
        <w:rPr>
          <w:rStyle w:val="FootnoteReference"/>
          <w:rFonts w:ascii="Arial Narrow" w:hAnsi="Arial Narrow" w:cs="Arial"/>
        </w:rPr>
        <w:footnoteReference w:id="22"/>
      </w:r>
      <w:r>
        <w:rPr>
          <w:rFonts w:ascii="Arial Narrow" w:hAnsi="Arial Narrow" w:cs="Arial"/>
        </w:rPr>
        <w:t xml:space="preserve"> </w:t>
      </w:r>
      <w:r w:rsidR="005E0098" w:rsidRPr="005E0098">
        <w:rPr>
          <w:rFonts w:ascii="Arial Narrow" w:hAnsi="Arial Narrow" w:cs="Arial"/>
        </w:rPr>
        <w:t xml:space="preserve">UN experts have </w:t>
      </w:r>
      <w:r w:rsidR="005E0098">
        <w:rPr>
          <w:rFonts w:ascii="Arial Narrow" w:hAnsi="Arial Narrow" w:cs="Arial"/>
        </w:rPr>
        <w:t>opted for this more expansive approach, recognising the right of peaceful assembly can be engaged in public or private places, including online.</w:t>
      </w:r>
      <w:r w:rsidR="005E0098">
        <w:rPr>
          <w:rStyle w:val="FootnoteReference"/>
          <w:rFonts w:ascii="Arial Narrow" w:hAnsi="Arial Narrow" w:cs="Arial"/>
        </w:rPr>
        <w:footnoteReference w:id="23"/>
      </w:r>
      <w:r w:rsidR="005E0098">
        <w:rPr>
          <w:rFonts w:ascii="Arial Narrow" w:hAnsi="Arial Narrow" w:cs="Arial"/>
        </w:rPr>
        <w:t xml:space="preserve"> Through UN Human Rights Council resolutions, States have expressly endorsed this approach in relation to online assemblies</w:t>
      </w:r>
      <w:r w:rsidR="005E0098" w:rsidRPr="005E0098">
        <w:rPr>
          <w:rFonts w:ascii="Arial Narrow" w:hAnsi="Arial Narrow" w:cs="Arial"/>
        </w:rPr>
        <w:t>.</w:t>
      </w:r>
      <w:r w:rsidR="005E0098">
        <w:rPr>
          <w:rStyle w:val="FootnoteReference"/>
          <w:rFonts w:ascii="Arial Narrow" w:hAnsi="Arial Narrow" w:cs="Arial"/>
        </w:rPr>
        <w:footnoteReference w:id="24"/>
      </w:r>
      <w:r w:rsidR="005E0098">
        <w:rPr>
          <w:rFonts w:ascii="Arial Narrow" w:hAnsi="Arial Narrow" w:cs="Arial"/>
        </w:rPr>
        <w:t xml:space="preserve"> </w:t>
      </w:r>
    </w:p>
    <w:p w14:paraId="48FC0633" w14:textId="77777777" w:rsidR="00CC3759" w:rsidRPr="00CC3759" w:rsidRDefault="00CC3759" w:rsidP="00CC3759">
      <w:pPr>
        <w:pStyle w:val="ListParagraph"/>
        <w:rPr>
          <w:rFonts w:ascii="Arial Narrow" w:hAnsi="Arial Narrow" w:cs="Arial"/>
        </w:rPr>
      </w:pPr>
    </w:p>
    <w:p w14:paraId="0DD5149A" w14:textId="65ED708B" w:rsidR="005E0098" w:rsidRPr="00747C47" w:rsidRDefault="005E0098" w:rsidP="005E0098">
      <w:pPr>
        <w:pStyle w:val="ListParagraph"/>
        <w:numPr>
          <w:ilvl w:val="0"/>
          <w:numId w:val="1"/>
        </w:numPr>
        <w:spacing w:after="0" w:line="276" w:lineRule="auto"/>
        <w:jc w:val="both"/>
        <w:rPr>
          <w:rFonts w:ascii="Arial Narrow" w:hAnsi="Arial Narrow" w:cs="Arial"/>
        </w:rPr>
      </w:pPr>
      <w:r>
        <w:rPr>
          <w:rFonts w:ascii="Arial Narrow" w:hAnsi="Arial Narrow" w:cs="Arial"/>
        </w:rPr>
        <w:t>At the regional and natio</w:t>
      </w:r>
      <w:r w:rsidR="00764EE0">
        <w:rPr>
          <w:rFonts w:ascii="Arial Narrow" w:hAnsi="Arial Narrow" w:cs="Arial"/>
        </w:rPr>
        <w:t>nal levels, assemblies have</w:t>
      </w:r>
      <w:r>
        <w:rPr>
          <w:rFonts w:ascii="Arial Narrow" w:hAnsi="Arial Narrow" w:cs="Arial"/>
        </w:rPr>
        <w:t xml:space="preserve"> a</w:t>
      </w:r>
      <w:r w:rsidR="0096322F">
        <w:rPr>
          <w:rFonts w:ascii="Arial Narrow" w:hAnsi="Arial Narrow" w:cs="Arial"/>
        </w:rPr>
        <w:t>t</w:t>
      </w:r>
      <w:r>
        <w:rPr>
          <w:rFonts w:ascii="Arial Narrow" w:hAnsi="Arial Narrow" w:cs="Arial"/>
        </w:rPr>
        <w:t xml:space="preserve"> times been defined by reference to public space,</w:t>
      </w:r>
      <w:r>
        <w:rPr>
          <w:rStyle w:val="FootnoteReference"/>
          <w:rFonts w:ascii="Arial Narrow" w:hAnsi="Arial Narrow" w:cs="Arial"/>
        </w:rPr>
        <w:footnoteReference w:id="25"/>
      </w:r>
      <w:r>
        <w:rPr>
          <w:rFonts w:ascii="Arial Narrow" w:hAnsi="Arial Narrow" w:cs="Arial"/>
        </w:rPr>
        <w:t xml:space="preserve"> though the European Court of Human Rights has recognised the right of peaceful assembly may be engaged</w:t>
      </w:r>
      <w:r w:rsidRPr="005E0098">
        <w:rPr>
          <w:rFonts w:ascii="Arial Narrow" w:hAnsi="Arial Narrow" w:cs="Arial"/>
        </w:rPr>
        <w:t xml:space="preserve"> </w:t>
      </w:r>
      <w:r>
        <w:rPr>
          <w:rFonts w:ascii="Arial Narrow" w:hAnsi="Arial Narrow" w:cs="Arial"/>
        </w:rPr>
        <w:t xml:space="preserve">in </w:t>
      </w:r>
      <w:r w:rsidRPr="005E0098">
        <w:rPr>
          <w:rFonts w:ascii="Arial Narrow" w:hAnsi="Arial Narrow" w:cs="Arial"/>
        </w:rPr>
        <w:t xml:space="preserve">privately owned </w:t>
      </w:r>
      <w:r w:rsidRPr="00747C47">
        <w:rPr>
          <w:rFonts w:ascii="Arial Narrow" w:hAnsi="Arial Narrow" w:cs="Arial"/>
        </w:rPr>
        <w:t>premises that are functionally public.</w:t>
      </w:r>
      <w:r w:rsidRPr="00747C47">
        <w:rPr>
          <w:rStyle w:val="FootnoteReference"/>
          <w:rFonts w:ascii="Arial Narrow" w:hAnsi="Arial Narrow" w:cs="Arial"/>
        </w:rPr>
        <w:footnoteReference w:id="26"/>
      </w:r>
      <w:r w:rsidR="00CC3759" w:rsidRPr="00747C47">
        <w:rPr>
          <w:rFonts w:ascii="Arial Narrow" w:hAnsi="Arial Narrow" w:cs="Arial"/>
        </w:rPr>
        <w:t xml:space="preserve"> This distinction has led to the term “quasi-public space”, to reflect an increasing trend in many parts of the world for space that was previously publicly owned, and still frequented by the public, to fall into private ownership. </w:t>
      </w:r>
      <w:r w:rsidR="00747C47" w:rsidRPr="00747C47">
        <w:rPr>
          <w:rFonts w:ascii="Arial Narrow" w:hAnsi="Arial Narrow" w:cs="Arial"/>
        </w:rPr>
        <w:t xml:space="preserve">As UN special procedures have recognised: </w:t>
      </w:r>
    </w:p>
    <w:p w14:paraId="612E0F49" w14:textId="77777777" w:rsidR="00747C47" w:rsidRPr="00747C47" w:rsidRDefault="00747C47" w:rsidP="00747C47">
      <w:pPr>
        <w:pStyle w:val="ListParagraph"/>
        <w:rPr>
          <w:rFonts w:ascii="Arial Narrow" w:hAnsi="Arial Narrow" w:cs="Arial"/>
        </w:rPr>
      </w:pPr>
    </w:p>
    <w:p w14:paraId="4F36898D" w14:textId="0BEB7111" w:rsidR="00747C47" w:rsidRPr="00747C47" w:rsidRDefault="00747C47" w:rsidP="00686F83">
      <w:pPr>
        <w:pStyle w:val="ListParagraph"/>
        <w:spacing w:after="0" w:line="276" w:lineRule="auto"/>
        <w:jc w:val="both"/>
        <w:rPr>
          <w:rFonts w:ascii="Arial Narrow" w:hAnsi="Arial Narrow" w:cs="Arial"/>
          <w:i/>
        </w:rPr>
      </w:pPr>
      <w:r w:rsidRPr="00764EE0">
        <w:rPr>
          <w:rFonts w:ascii="Arial Narrow" w:hAnsi="Arial Narrow"/>
          <w:i/>
          <w:sz w:val="20"/>
          <w:szCs w:val="20"/>
        </w:rPr>
        <w:t xml:space="preserve">The trend towards the </w:t>
      </w:r>
      <w:r w:rsidR="00400E32" w:rsidRPr="00764EE0">
        <w:rPr>
          <w:rFonts w:ascii="Arial Narrow" w:hAnsi="Arial Narrow"/>
          <w:i/>
          <w:sz w:val="20"/>
          <w:szCs w:val="20"/>
        </w:rPr>
        <w:t>privatis</w:t>
      </w:r>
      <w:r w:rsidRPr="00764EE0">
        <w:rPr>
          <w:rFonts w:ascii="Arial Narrow" w:hAnsi="Arial Narrow"/>
          <w:i/>
          <w:sz w:val="20"/>
          <w:szCs w:val="20"/>
        </w:rPr>
        <w:t>ation of public places, such as shopping malls, pedestrian precincts and squares, means that assemblies commonly occur</w:t>
      </w:r>
      <w:r w:rsidRPr="00747C47">
        <w:rPr>
          <w:rFonts w:ascii="Arial Narrow" w:hAnsi="Arial Narrow"/>
          <w:i/>
          <w:sz w:val="20"/>
          <w:szCs w:val="20"/>
        </w:rPr>
        <w:t xml:space="preserve"> on property owned by business enterprises, sometimes referred to as </w:t>
      </w:r>
      <w:r w:rsidRPr="00747C47">
        <w:rPr>
          <w:rStyle w:val="highlight"/>
          <w:rFonts w:ascii="Arial Narrow" w:hAnsi="Arial Narrow"/>
          <w:i/>
          <w:sz w:val="20"/>
          <w:szCs w:val="20"/>
        </w:rPr>
        <w:t>private</w:t>
      </w:r>
      <w:r w:rsidRPr="00747C47">
        <w:rPr>
          <w:rFonts w:ascii="Arial Narrow" w:hAnsi="Arial Narrow"/>
          <w:i/>
          <w:sz w:val="20"/>
          <w:szCs w:val="20"/>
        </w:rPr>
        <w:t xml:space="preserve">ly owned public </w:t>
      </w:r>
      <w:r w:rsidRPr="00747C47">
        <w:rPr>
          <w:rFonts w:ascii="Arial Narrow" w:hAnsi="Arial Narrow"/>
          <w:i/>
          <w:sz w:val="20"/>
          <w:szCs w:val="20"/>
        </w:rPr>
        <w:lastRenderedPageBreak/>
        <w:t xml:space="preserve">space. While </w:t>
      </w:r>
      <w:r w:rsidRPr="00747C47">
        <w:rPr>
          <w:rStyle w:val="highlight"/>
          <w:rFonts w:ascii="Arial Narrow" w:hAnsi="Arial Narrow"/>
          <w:i/>
          <w:sz w:val="20"/>
          <w:szCs w:val="20"/>
        </w:rPr>
        <w:t>private</w:t>
      </w:r>
      <w:r w:rsidRPr="00747C47">
        <w:rPr>
          <w:rFonts w:ascii="Arial Narrow" w:hAnsi="Arial Narrow"/>
          <w:i/>
          <w:sz w:val="20"/>
          <w:szCs w:val="20"/>
        </w:rPr>
        <w:t xml:space="preserve"> landowners generally have the right to determine who may access their property, the rights related to assembly may require positive measures of protection even in the sphere of relations between individuals.</w:t>
      </w:r>
      <w:r w:rsidR="00400E32" w:rsidRPr="00400E32">
        <w:rPr>
          <w:rStyle w:val="FootnoteReference"/>
          <w:rFonts w:ascii="Arial Narrow" w:hAnsi="Arial Narrow"/>
          <w:sz w:val="20"/>
          <w:szCs w:val="20"/>
        </w:rPr>
        <w:footnoteReference w:id="27"/>
      </w:r>
    </w:p>
    <w:p w14:paraId="00851351" w14:textId="77777777" w:rsidR="005E0098" w:rsidRPr="00747C47" w:rsidRDefault="005E0098" w:rsidP="005E0098">
      <w:pPr>
        <w:pStyle w:val="ListParagraph"/>
        <w:spacing w:line="276" w:lineRule="auto"/>
        <w:rPr>
          <w:rFonts w:ascii="Arial Narrow" w:hAnsi="Arial Narrow" w:cs="Arial"/>
        </w:rPr>
      </w:pPr>
    </w:p>
    <w:p w14:paraId="106916EF" w14:textId="1E377C3A" w:rsidR="00400E32" w:rsidRDefault="00400E32" w:rsidP="005E0098">
      <w:pPr>
        <w:pStyle w:val="ListParagraph"/>
        <w:numPr>
          <w:ilvl w:val="0"/>
          <w:numId w:val="1"/>
        </w:numPr>
        <w:spacing w:after="0" w:line="276" w:lineRule="auto"/>
        <w:jc w:val="both"/>
        <w:rPr>
          <w:rFonts w:ascii="Arial Narrow" w:hAnsi="Arial Narrow" w:cs="Arial"/>
        </w:rPr>
      </w:pPr>
      <w:r>
        <w:rPr>
          <w:rFonts w:ascii="Arial Narrow" w:hAnsi="Arial Narrow" w:cs="Arial"/>
        </w:rPr>
        <w:t>UN special procedures have connected this trend of privatisation to an increase in the use of strategic lawsuits agai</w:t>
      </w:r>
      <w:r w:rsidR="00E64F67">
        <w:rPr>
          <w:rFonts w:ascii="Arial Narrow" w:hAnsi="Arial Narrow" w:cs="Arial"/>
        </w:rPr>
        <w:t>nst public participation (SLAPPs</w:t>
      </w:r>
      <w:r>
        <w:rPr>
          <w:rFonts w:ascii="Arial Narrow" w:hAnsi="Arial Narrow" w:cs="Arial"/>
        </w:rPr>
        <w:t>), as well as abuses against rights-holders by private security.</w:t>
      </w:r>
      <w:r>
        <w:rPr>
          <w:rStyle w:val="FootnoteReference"/>
          <w:rFonts w:ascii="Arial Narrow" w:hAnsi="Arial Narrow" w:cs="Arial"/>
        </w:rPr>
        <w:footnoteReference w:id="28"/>
      </w:r>
      <w:r>
        <w:rPr>
          <w:rFonts w:ascii="Arial Narrow" w:hAnsi="Arial Narrow" w:cs="Arial"/>
        </w:rPr>
        <w:t xml:space="preserve"> </w:t>
      </w:r>
      <w:r w:rsidR="00377281">
        <w:rPr>
          <w:rFonts w:ascii="Arial Narrow" w:hAnsi="Arial Narrow" w:cs="Arial"/>
        </w:rPr>
        <w:t xml:space="preserve">Recognizing that the right of peaceful assembly is engaged in private spaces, including those that are functionally public, is essential if international human rights law is going to be an effective tool to push back against limitations on protest in societies where physical space is increasingly owned by business enterprises. </w:t>
      </w:r>
    </w:p>
    <w:p w14:paraId="02265FE3" w14:textId="77777777" w:rsidR="00400E32" w:rsidRDefault="00400E32" w:rsidP="00400E32">
      <w:pPr>
        <w:pStyle w:val="ListParagraph"/>
        <w:spacing w:after="0" w:line="276" w:lineRule="auto"/>
        <w:ind w:left="360"/>
        <w:jc w:val="both"/>
        <w:rPr>
          <w:rFonts w:ascii="Arial Narrow" w:hAnsi="Arial Narrow" w:cs="Arial"/>
        </w:rPr>
      </w:pPr>
    </w:p>
    <w:p w14:paraId="213C2613" w14:textId="1A75008B" w:rsidR="005E0098" w:rsidRDefault="005E0098" w:rsidP="005E0098">
      <w:pPr>
        <w:pStyle w:val="ListParagraph"/>
        <w:numPr>
          <w:ilvl w:val="0"/>
          <w:numId w:val="1"/>
        </w:numPr>
        <w:spacing w:after="0" w:line="276" w:lineRule="auto"/>
        <w:jc w:val="both"/>
        <w:rPr>
          <w:rFonts w:ascii="Arial Narrow" w:hAnsi="Arial Narrow" w:cs="Arial"/>
        </w:rPr>
      </w:pPr>
      <w:r w:rsidRPr="00747C47">
        <w:rPr>
          <w:rFonts w:ascii="Arial Narrow" w:hAnsi="Arial Narrow" w:cs="Arial"/>
        </w:rPr>
        <w:t>To recognize that the right of peaceful assembly may be engaged in private spaces, including against the will of persons with property interests, does not mean that property owners cannot</w:t>
      </w:r>
      <w:r w:rsidR="00932C4D" w:rsidRPr="00747C47">
        <w:rPr>
          <w:rFonts w:ascii="Arial Narrow" w:hAnsi="Arial Narrow" w:cs="Arial"/>
        </w:rPr>
        <w:t xml:space="preserve"> ever</w:t>
      </w:r>
      <w:r w:rsidRPr="00747C47">
        <w:rPr>
          <w:rFonts w:ascii="Arial Narrow" w:hAnsi="Arial Narrow" w:cs="Arial"/>
        </w:rPr>
        <w:t xml:space="preserve"> assert their interests to exclude persons exercising their peaceful assembly</w:t>
      </w:r>
      <w:r>
        <w:rPr>
          <w:rFonts w:ascii="Arial Narrow" w:hAnsi="Arial Narrow" w:cs="Arial"/>
        </w:rPr>
        <w:t xml:space="preserve"> rights. Rather, the assertion of those</w:t>
      </w:r>
      <w:r w:rsidR="00CC3759">
        <w:rPr>
          <w:rFonts w:ascii="Arial Narrow" w:hAnsi="Arial Narrow" w:cs="Arial"/>
        </w:rPr>
        <w:t xml:space="preserve"> property</w:t>
      </w:r>
      <w:r>
        <w:rPr>
          <w:rFonts w:ascii="Arial Narrow" w:hAnsi="Arial Narrow" w:cs="Arial"/>
        </w:rPr>
        <w:t xml:space="preserve"> interests may be considered an infringement of assembly rights, and would need to be justified in accordance with the limitations clause of Article 21 ICCPR (i.e. property interests should not be considered absolute, in the same way the right of peaceful assembly </w:t>
      </w:r>
      <w:r w:rsidR="00377281">
        <w:rPr>
          <w:rFonts w:ascii="Arial Narrow" w:hAnsi="Arial Narrow" w:cs="Arial"/>
        </w:rPr>
        <w:t xml:space="preserve">is not absolute). Where privately-owned </w:t>
      </w:r>
      <w:r>
        <w:rPr>
          <w:rFonts w:ascii="Arial Narrow" w:hAnsi="Arial Narrow" w:cs="Arial"/>
        </w:rPr>
        <w:t>property serves a public function, or where private</w:t>
      </w:r>
      <w:r w:rsidR="00377281">
        <w:rPr>
          <w:rFonts w:ascii="Arial Narrow" w:hAnsi="Arial Narrow" w:cs="Arial"/>
        </w:rPr>
        <w:t>ly-owned property</w:t>
      </w:r>
      <w:r>
        <w:rPr>
          <w:rFonts w:ascii="Arial Narrow" w:hAnsi="Arial Narrow" w:cs="Arial"/>
        </w:rPr>
        <w:t xml:space="preserve"> is the only venue within sight and sound of an assembly’s in</w:t>
      </w:r>
      <w:r w:rsidR="00932C4D">
        <w:rPr>
          <w:rFonts w:ascii="Arial Narrow" w:hAnsi="Arial Narrow" w:cs="Arial"/>
        </w:rPr>
        <w:t>tended audience, more weight should</w:t>
      </w:r>
      <w:r>
        <w:rPr>
          <w:rFonts w:ascii="Arial Narrow" w:hAnsi="Arial Narrow" w:cs="Arial"/>
        </w:rPr>
        <w:t xml:space="preserve"> be given to the exercise of the right of peaceful assembly against another’s property interests. </w:t>
      </w:r>
    </w:p>
    <w:p w14:paraId="3A151BFA" w14:textId="77777777" w:rsidR="005E0098" w:rsidRPr="005E0098" w:rsidRDefault="005E0098" w:rsidP="005E0098">
      <w:pPr>
        <w:pStyle w:val="ListParagraph"/>
        <w:spacing w:line="276" w:lineRule="auto"/>
        <w:rPr>
          <w:rFonts w:ascii="Arial Narrow" w:hAnsi="Arial Narrow" w:cs="Arial"/>
        </w:rPr>
      </w:pPr>
    </w:p>
    <w:p w14:paraId="32ED9506" w14:textId="28ADE887" w:rsidR="005E0098" w:rsidRPr="00377281" w:rsidRDefault="005E0098" w:rsidP="00377281">
      <w:pPr>
        <w:pStyle w:val="ListParagraph"/>
        <w:numPr>
          <w:ilvl w:val="0"/>
          <w:numId w:val="1"/>
        </w:numPr>
        <w:spacing w:after="0" w:line="276" w:lineRule="auto"/>
        <w:jc w:val="both"/>
        <w:rPr>
          <w:rFonts w:ascii="Arial Narrow" w:hAnsi="Arial Narrow" w:cs="Arial"/>
        </w:rPr>
      </w:pPr>
      <w:r w:rsidRPr="005E0098">
        <w:rPr>
          <w:rFonts w:ascii="Arial Narrow" w:hAnsi="Arial Narrow" w:cs="Arial"/>
        </w:rPr>
        <w:t>The operation of the internet depends upon platforms and a communications infrastructure that are l</w:t>
      </w:r>
      <w:r w:rsidR="00B64FEE">
        <w:rPr>
          <w:rFonts w:ascii="Arial Narrow" w:hAnsi="Arial Narrow" w:cs="Arial"/>
        </w:rPr>
        <w:t>argely privately owned. Recognis</w:t>
      </w:r>
      <w:r w:rsidRPr="005E0098">
        <w:rPr>
          <w:rFonts w:ascii="Arial Narrow" w:hAnsi="Arial Narrow" w:cs="Arial"/>
        </w:rPr>
        <w:t>ing that the right of peaceful assembly can be engaged in privately owned spaces is therefore essential to recognizing any online dimension of this right.</w:t>
      </w:r>
      <w:r>
        <w:rPr>
          <w:rStyle w:val="FootnoteReference"/>
          <w:rFonts w:ascii="Arial Narrow" w:hAnsi="Arial Narrow" w:cs="Arial"/>
        </w:rPr>
        <w:footnoteReference w:id="29"/>
      </w:r>
      <w:r>
        <w:rPr>
          <w:rFonts w:ascii="Arial Narrow" w:hAnsi="Arial Narrow" w:cs="Arial"/>
        </w:rPr>
        <w:t xml:space="preserve"> ARTICLE 19 advocates that the Internet should be considered a quasi-public (i.e. privately owned but functionally public) space</w:t>
      </w:r>
      <w:r w:rsidR="00B64FEE">
        <w:rPr>
          <w:rFonts w:ascii="Arial Narrow" w:hAnsi="Arial Narrow" w:cs="Arial"/>
        </w:rPr>
        <w:t xml:space="preserve"> for the exercise of rights</w:t>
      </w:r>
      <w:r>
        <w:rPr>
          <w:rFonts w:ascii="Arial Narrow" w:hAnsi="Arial Narrow" w:cs="Arial"/>
        </w:rPr>
        <w:t>.</w:t>
      </w:r>
      <w:r>
        <w:rPr>
          <w:rStyle w:val="FootnoteReference"/>
          <w:rFonts w:ascii="Arial Narrow" w:hAnsi="Arial Narrow" w:cs="Arial"/>
        </w:rPr>
        <w:footnoteReference w:id="30"/>
      </w:r>
      <w:r w:rsidRPr="005E0098">
        <w:rPr>
          <w:rFonts w:ascii="Arial Narrow" w:hAnsi="Arial Narrow" w:cs="Arial"/>
        </w:rPr>
        <w:t xml:space="preserve"> </w:t>
      </w:r>
      <w:r w:rsidR="00377281">
        <w:rPr>
          <w:rFonts w:ascii="Arial Narrow" w:hAnsi="Arial Narrow" w:cs="Arial"/>
        </w:rPr>
        <w:t xml:space="preserve">Where the owner of an infrastructure or platform holds an effective monopoly, i.e. there are no or few alternative venues to achieve the same communicative impact, this should weigh against their property interests (including as asserted through their terms of service or community standards) and in favour of the right of peaceful assembly. By analogy, an Internet platform that holds a monopoly over particular communications is similarly situated to a privately-owned shopping mall in a town-centre that otherwise has no equivalent public space, except Internet platforms often have as their business model the provision of space for expressive purposes. </w:t>
      </w:r>
    </w:p>
    <w:p w14:paraId="39B7BE67" w14:textId="77777777" w:rsidR="00377281" w:rsidRDefault="00377281" w:rsidP="00377281">
      <w:pPr>
        <w:pStyle w:val="ListParagraph"/>
        <w:spacing w:after="0" w:line="276" w:lineRule="auto"/>
        <w:ind w:left="360"/>
        <w:jc w:val="both"/>
        <w:rPr>
          <w:rFonts w:ascii="Arial Narrow" w:hAnsi="Arial Narrow" w:cs="Arial"/>
        </w:rPr>
      </w:pPr>
    </w:p>
    <w:p w14:paraId="5637BB94" w14:textId="0C8DDF2F" w:rsidR="005E0098" w:rsidRPr="005E0098" w:rsidRDefault="005E0098" w:rsidP="005E0098">
      <w:pPr>
        <w:pStyle w:val="ListParagraph"/>
        <w:numPr>
          <w:ilvl w:val="0"/>
          <w:numId w:val="1"/>
        </w:numPr>
        <w:spacing w:after="0" w:line="276" w:lineRule="auto"/>
        <w:jc w:val="both"/>
        <w:rPr>
          <w:rFonts w:ascii="Arial Narrow" w:hAnsi="Arial Narrow" w:cs="Arial"/>
        </w:rPr>
      </w:pPr>
      <w:r w:rsidRPr="005E0098">
        <w:rPr>
          <w:rFonts w:ascii="Arial Narrow" w:hAnsi="Arial Narrow" w:cs="Arial"/>
        </w:rPr>
        <w:t>T</w:t>
      </w:r>
      <w:r>
        <w:rPr>
          <w:rFonts w:ascii="Arial Narrow" w:hAnsi="Arial Narrow" w:cs="Arial"/>
        </w:rPr>
        <w:t xml:space="preserve">wo </w:t>
      </w:r>
      <w:r w:rsidRPr="005E0098">
        <w:rPr>
          <w:rFonts w:ascii="Arial Narrow" w:hAnsi="Arial Narrow" w:cs="Arial"/>
        </w:rPr>
        <w:t>dimensions of the right</w:t>
      </w:r>
      <w:r>
        <w:rPr>
          <w:rFonts w:ascii="Arial Narrow" w:hAnsi="Arial Narrow" w:cs="Arial"/>
        </w:rPr>
        <w:t xml:space="preserve"> of peaceful assembly</w:t>
      </w:r>
      <w:r w:rsidRPr="005E0098">
        <w:rPr>
          <w:rFonts w:ascii="Arial Narrow" w:hAnsi="Arial Narrow" w:cs="Arial"/>
        </w:rPr>
        <w:t xml:space="preserve"> should be recognized</w:t>
      </w:r>
      <w:r>
        <w:rPr>
          <w:rFonts w:ascii="Arial Narrow" w:hAnsi="Arial Narrow" w:cs="Arial"/>
        </w:rPr>
        <w:t xml:space="preserve"> when it is exercised online</w:t>
      </w:r>
      <w:r w:rsidRPr="005E0098">
        <w:rPr>
          <w:rFonts w:ascii="Arial Narrow" w:hAnsi="Arial Narrow" w:cs="Arial"/>
        </w:rPr>
        <w:t xml:space="preserve">: first, </w:t>
      </w:r>
      <w:r>
        <w:rPr>
          <w:rFonts w:ascii="Arial Narrow" w:hAnsi="Arial Narrow" w:cs="Arial"/>
        </w:rPr>
        <w:t>communications technologies, including the internet,</w:t>
      </w:r>
      <w:r w:rsidRPr="005E0098">
        <w:rPr>
          <w:rFonts w:ascii="Arial Narrow" w:hAnsi="Arial Narrow" w:cs="Arial"/>
        </w:rPr>
        <w:t xml:space="preserve"> </w:t>
      </w:r>
      <w:r>
        <w:rPr>
          <w:rFonts w:ascii="Arial Narrow" w:hAnsi="Arial Narrow" w:cs="Arial"/>
        </w:rPr>
        <w:t xml:space="preserve">should be recognised </w:t>
      </w:r>
      <w:r w:rsidRPr="005E0098">
        <w:rPr>
          <w:rFonts w:ascii="Arial Narrow" w:hAnsi="Arial Narrow" w:cs="Arial"/>
        </w:rPr>
        <w:t xml:space="preserve">as a medium for organizing protests and/or for contemporaneous commentary on assemblies; and second, </w:t>
      </w:r>
      <w:r>
        <w:rPr>
          <w:rFonts w:ascii="Arial Narrow" w:hAnsi="Arial Narrow" w:cs="Arial"/>
        </w:rPr>
        <w:t xml:space="preserve">these technologies must be recognised </w:t>
      </w:r>
      <w:r w:rsidRPr="005E0098">
        <w:rPr>
          <w:rFonts w:ascii="Arial Narrow" w:hAnsi="Arial Narrow" w:cs="Arial"/>
        </w:rPr>
        <w:t>as a venue for “virtual” assemblies</w:t>
      </w:r>
      <w:r>
        <w:rPr>
          <w:rFonts w:ascii="Arial Narrow" w:hAnsi="Arial Narrow" w:cs="Arial"/>
        </w:rPr>
        <w:t>, including forms of online civil disobedience and online direct action</w:t>
      </w:r>
      <w:r w:rsidRPr="005E0098">
        <w:rPr>
          <w:rFonts w:ascii="Arial Narrow" w:hAnsi="Arial Narrow" w:cs="Arial"/>
        </w:rPr>
        <w:t xml:space="preserve">. </w:t>
      </w:r>
      <w:r>
        <w:rPr>
          <w:rFonts w:ascii="Arial Narrow" w:hAnsi="Arial Narrow" w:cs="Arial"/>
        </w:rPr>
        <w:t>For</w:t>
      </w:r>
      <w:r w:rsidRPr="005E0098">
        <w:rPr>
          <w:rFonts w:ascii="Arial Narrow" w:hAnsi="Arial Narrow" w:cs="Arial"/>
        </w:rPr>
        <w:t xml:space="preserve"> both dimensions, </w:t>
      </w:r>
      <w:r>
        <w:rPr>
          <w:rFonts w:ascii="Arial Narrow" w:hAnsi="Arial Narrow" w:cs="Arial"/>
        </w:rPr>
        <w:t xml:space="preserve">the enhancing role of technologies should be recognised in three respects: </w:t>
      </w:r>
    </w:p>
    <w:p w14:paraId="6AADA442" w14:textId="2AEE81C1" w:rsidR="005E0098" w:rsidRDefault="005E0098" w:rsidP="005E0098">
      <w:pPr>
        <w:pStyle w:val="ListParagraph"/>
        <w:numPr>
          <w:ilvl w:val="0"/>
          <w:numId w:val="16"/>
        </w:numPr>
        <w:spacing w:after="0" w:line="276" w:lineRule="auto"/>
        <w:jc w:val="both"/>
        <w:rPr>
          <w:rFonts w:ascii="Arial Narrow" w:hAnsi="Arial Narrow" w:cs="Arial"/>
        </w:rPr>
      </w:pPr>
      <w:r>
        <w:rPr>
          <w:rFonts w:ascii="Arial Narrow" w:hAnsi="Arial Narrow" w:cs="Arial"/>
        </w:rPr>
        <w:t xml:space="preserve">They </w:t>
      </w:r>
      <w:r w:rsidRPr="005E0098">
        <w:rPr>
          <w:rFonts w:ascii="Arial Narrow" w:hAnsi="Arial Narrow" w:cs="Arial"/>
        </w:rPr>
        <w:t>allow for the broader dissemination of information ahead of, during, and following assemblies</w:t>
      </w:r>
      <w:r>
        <w:rPr>
          <w:rFonts w:ascii="Arial Narrow" w:hAnsi="Arial Narrow" w:cs="Arial"/>
        </w:rPr>
        <w:t xml:space="preserve">, </w:t>
      </w:r>
      <w:r w:rsidRPr="005E0098">
        <w:rPr>
          <w:rFonts w:ascii="Arial Narrow" w:hAnsi="Arial Narrow" w:cs="Arial"/>
        </w:rPr>
        <w:t>enhancing possibilities for participation beyond those physicall</w:t>
      </w:r>
      <w:r>
        <w:rPr>
          <w:rFonts w:ascii="Arial Narrow" w:hAnsi="Arial Narrow" w:cs="Arial"/>
        </w:rPr>
        <w:t>y present, as well as enhancing the public’s access to information;</w:t>
      </w:r>
      <w:r w:rsidRPr="005E0098">
        <w:rPr>
          <w:rFonts w:ascii="Arial Narrow" w:hAnsi="Arial Narrow" w:cs="Arial"/>
        </w:rPr>
        <w:t xml:space="preserve"> </w:t>
      </w:r>
    </w:p>
    <w:p w14:paraId="739ACCF7" w14:textId="77777777" w:rsidR="005E0098" w:rsidRDefault="005E0098" w:rsidP="005E0098">
      <w:pPr>
        <w:pStyle w:val="ListParagraph"/>
        <w:numPr>
          <w:ilvl w:val="0"/>
          <w:numId w:val="16"/>
        </w:numPr>
        <w:spacing w:after="0" w:line="276" w:lineRule="auto"/>
        <w:jc w:val="both"/>
        <w:rPr>
          <w:rFonts w:ascii="Arial Narrow" w:hAnsi="Arial Narrow" w:cs="Arial"/>
        </w:rPr>
      </w:pPr>
      <w:r>
        <w:rPr>
          <w:rFonts w:ascii="Arial Narrow" w:hAnsi="Arial Narrow" w:cs="Arial"/>
        </w:rPr>
        <w:t xml:space="preserve">They </w:t>
      </w:r>
      <w:r w:rsidRPr="005E0098">
        <w:rPr>
          <w:rFonts w:ascii="Arial Narrow" w:hAnsi="Arial Narrow" w:cs="Arial"/>
        </w:rPr>
        <w:t>enhancing the communicative impact of assemblies on their target</w:t>
      </w:r>
      <w:r>
        <w:rPr>
          <w:rFonts w:ascii="Arial Narrow" w:hAnsi="Arial Narrow" w:cs="Arial"/>
        </w:rPr>
        <w:t xml:space="preserve"> audience</w:t>
      </w:r>
      <w:r w:rsidRPr="005E0098">
        <w:rPr>
          <w:rFonts w:ascii="Arial Narrow" w:hAnsi="Arial Narrow" w:cs="Arial"/>
        </w:rPr>
        <w:t>,</w:t>
      </w:r>
      <w:r>
        <w:rPr>
          <w:rFonts w:ascii="Arial Narrow" w:hAnsi="Arial Narrow" w:cs="Arial"/>
        </w:rPr>
        <w:t xml:space="preserve"> increasing the possibility of any demands or requests being met;</w:t>
      </w:r>
    </w:p>
    <w:p w14:paraId="7E8FD376" w14:textId="15BDA9ED" w:rsidR="005E0098" w:rsidRPr="005E0098" w:rsidRDefault="005E0098" w:rsidP="005E0098">
      <w:pPr>
        <w:pStyle w:val="ListParagraph"/>
        <w:numPr>
          <w:ilvl w:val="0"/>
          <w:numId w:val="16"/>
        </w:numPr>
        <w:spacing w:after="0" w:line="276" w:lineRule="auto"/>
        <w:jc w:val="both"/>
        <w:rPr>
          <w:rFonts w:ascii="Arial Narrow" w:hAnsi="Arial Narrow" w:cs="Arial"/>
        </w:rPr>
      </w:pPr>
      <w:r>
        <w:rPr>
          <w:rFonts w:ascii="Arial Narrow" w:hAnsi="Arial Narrow" w:cs="Arial"/>
        </w:rPr>
        <w:t>Secure communications in particular</w:t>
      </w:r>
      <w:r w:rsidRPr="005E0098">
        <w:rPr>
          <w:rFonts w:ascii="Arial Narrow" w:hAnsi="Arial Narrow" w:cs="Arial"/>
        </w:rPr>
        <w:t xml:space="preserve"> enable the anonymous exercise of rights</w:t>
      </w:r>
      <w:r>
        <w:rPr>
          <w:rFonts w:ascii="Arial Narrow" w:hAnsi="Arial Narrow" w:cs="Arial"/>
        </w:rPr>
        <w:t>, which</w:t>
      </w:r>
      <w:r w:rsidRPr="005E0098">
        <w:rPr>
          <w:rFonts w:ascii="Arial Narrow" w:hAnsi="Arial Narrow" w:cs="Arial"/>
        </w:rPr>
        <w:t xml:space="preserve"> is particularly </w:t>
      </w:r>
      <w:r>
        <w:rPr>
          <w:rFonts w:ascii="Arial Narrow" w:hAnsi="Arial Narrow" w:cs="Arial"/>
        </w:rPr>
        <w:t xml:space="preserve">important </w:t>
      </w:r>
      <w:r w:rsidRPr="005E0098">
        <w:rPr>
          <w:rFonts w:ascii="Arial Narrow" w:hAnsi="Arial Narrow" w:cs="Arial"/>
        </w:rPr>
        <w:t>in environments wher</w:t>
      </w:r>
      <w:r>
        <w:rPr>
          <w:rFonts w:ascii="Arial Narrow" w:hAnsi="Arial Narrow" w:cs="Arial"/>
        </w:rPr>
        <w:t>e assemblies are suppressed, especially</w:t>
      </w:r>
      <w:r w:rsidRPr="005E0098">
        <w:rPr>
          <w:rFonts w:ascii="Arial Narrow" w:hAnsi="Arial Narrow" w:cs="Arial"/>
        </w:rPr>
        <w:t xml:space="preserve"> for i</w:t>
      </w:r>
      <w:r w:rsidR="00103D53">
        <w:rPr>
          <w:rFonts w:ascii="Arial Narrow" w:hAnsi="Arial Narrow" w:cs="Arial"/>
        </w:rPr>
        <w:t>ndividuals and communities who are discriminated against</w:t>
      </w:r>
      <w:r w:rsidRPr="005E0098">
        <w:rPr>
          <w:rFonts w:ascii="Arial Narrow" w:hAnsi="Arial Narrow" w:cs="Arial"/>
        </w:rPr>
        <w:t xml:space="preserve">. </w:t>
      </w:r>
    </w:p>
    <w:p w14:paraId="1636CD56" w14:textId="77777777" w:rsidR="005E0098" w:rsidRDefault="005E0098" w:rsidP="005E0098">
      <w:pPr>
        <w:pStyle w:val="ListParagraph"/>
        <w:spacing w:after="0" w:line="276" w:lineRule="auto"/>
        <w:ind w:left="360"/>
        <w:jc w:val="both"/>
        <w:rPr>
          <w:rFonts w:ascii="Arial Narrow" w:hAnsi="Arial Narrow" w:cs="Arial"/>
        </w:rPr>
      </w:pPr>
    </w:p>
    <w:p w14:paraId="653EC440" w14:textId="645A9009" w:rsidR="005E0098" w:rsidRDefault="005E0098" w:rsidP="005E0098">
      <w:pPr>
        <w:pStyle w:val="ListParagraph"/>
        <w:numPr>
          <w:ilvl w:val="0"/>
          <w:numId w:val="1"/>
        </w:numPr>
        <w:spacing w:after="0" w:line="276" w:lineRule="auto"/>
        <w:jc w:val="both"/>
        <w:rPr>
          <w:rFonts w:ascii="Arial Narrow" w:hAnsi="Arial Narrow" w:cs="Arial"/>
        </w:rPr>
      </w:pPr>
      <w:r>
        <w:rPr>
          <w:rFonts w:ascii="Arial Narrow" w:hAnsi="Arial Narrow" w:cs="Arial"/>
        </w:rPr>
        <w:lastRenderedPageBreak/>
        <w:t>For protests that take place in private places, including online, the Human Rights Committee should also consider the human rights responsibilities of private actors, in particular in determining any conflict between those exercising their rights and the owners of a particular platform. A private entity’s human rights responsibilities should be considered alongside any prerogative they are claiming as part of their property int</w:t>
      </w:r>
      <w:r w:rsidR="00377281">
        <w:rPr>
          <w:rFonts w:ascii="Arial Narrow" w:hAnsi="Arial Narrow" w:cs="Arial"/>
        </w:rPr>
        <w:t>erest</w:t>
      </w:r>
      <w:r w:rsidR="008E07DC">
        <w:rPr>
          <w:rFonts w:ascii="Arial Narrow" w:hAnsi="Arial Narrow" w:cs="Arial"/>
        </w:rPr>
        <w:t>.</w:t>
      </w:r>
      <w:r w:rsidR="00377281">
        <w:rPr>
          <w:rFonts w:ascii="Arial Narrow" w:hAnsi="Arial Narrow" w:cs="Arial"/>
        </w:rPr>
        <w:t xml:space="preserve"> </w:t>
      </w:r>
      <w:r>
        <w:rPr>
          <w:rFonts w:ascii="Arial Narrow" w:hAnsi="Arial Narrow" w:cs="Arial"/>
        </w:rPr>
        <w:t xml:space="preserve"> </w:t>
      </w:r>
    </w:p>
    <w:p w14:paraId="381E5C00" w14:textId="79AE9B37" w:rsidR="005E0098" w:rsidRPr="005E0098" w:rsidRDefault="005E0098" w:rsidP="005E0098">
      <w:pPr>
        <w:spacing w:after="0" w:line="276" w:lineRule="auto"/>
        <w:jc w:val="both"/>
        <w:rPr>
          <w:rFonts w:ascii="Arial Narrow" w:hAnsi="Arial Narrow" w:cs="Arial"/>
        </w:rPr>
      </w:pPr>
    </w:p>
    <w:p w14:paraId="21AE92B6" w14:textId="4E686EF2" w:rsidR="00A55D6A" w:rsidRPr="00A55D6A" w:rsidRDefault="005E0098" w:rsidP="00A55D6A">
      <w:pPr>
        <w:pStyle w:val="ListParagraph"/>
        <w:numPr>
          <w:ilvl w:val="0"/>
          <w:numId w:val="1"/>
        </w:numPr>
        <w:spacing w:after="0" w:line="276" w:lineRule="auto"/>
        <w:jc w:val="both"/>
        <w:rPr>
          <w:rFonts w:ascii="Arial Narrow" w:hAnsi="Arial Narrow" w:cs="Arial"/>
        </w:rPr>
      </w:pPr>
      <w:r w:rsidRPr="00A55D6A">
        <w:rPr>
          <w:rFonts w:ascii="Arial Narrow" w:hAnsi="Arial Narrow" w:cs="Arial"/>
        </w:rPr>
        <w:t>In relation to the exercise of the right of peaceful assembly online, the UN Special Rapporteur on freedom of opinion and expression has pointed to the Ruggie Principles on Business and Human Rights to make clear that private communication infrastructure owners and private online platform owners have a responsibility to respect the human rights of Internet users, including their right of peaceful assembly.</w:t>
      </w:r>
      <w:r>
        <w:rPr>
          <w:rStyle w:val="FootnoteReference"/>
          <w:rFonts w:ascii="Arial Narrow" w:hAnsi="Arial Narrow" w:cs="Arial"/>
        </w:rPr>
        <w:footnoteReference w:id="31"/>
      </w:r>
      <w:r w:rsidRPr="00A55D6A">
        <w:rPr>
          <w:rFonts w:ascii="Arial Narrow" w:hAnsi="Arial Narrow" w:cs="Arial"/>
        </w:rPr>
        <w:t xml:space="preserve"> </w:t>
      </w:r>
    </w:p>
    <w:p w14:paraId="278C3907" w14:textId="77777777" w:rsidR="00A55D6A" w:rsidRPr="00A55D6A" w:rsidRDefault="00A55D6A" w:rsidP="00A55D6A">
      <w:pPr>
        <w:pStyle w:val="ListParagraph"/>
        <w:spacing w:after="0" w:line="276" w:lineRule="auto"/>
        <w:ind w:left="360"/>
        <w:jc w:val="both"/>
        <w:rPr>
          <w:rFonts w:ascii="Arial Narrow" w:hAnsi="Arial Narrow" w:cs="Arial"/>
        </w:rPr>
      </w:pPr>
    </w:p>
    <w:p w14:paraId="392F5F4A" w14:textId="12B10558" w:rsidR="0089568A" w:rsidRPr="00686F83" w:rsidRDefault="00DB4468" w:rsidP="005E0098">
      <w:pPr>
        <w:spacing w:after="0" w:line="276" w:lineRule="auto"/>
        <w:jc w:val="both"/>
        <w:rPr>
          <w:rFonts w:ascii="Arial Narrow" w:hAnsi="Arial Narrow" w:cs="Arial"/>
          <w:b/>
        </w:rPr>
      </w:pPr>
      <w:r>
        <w:rPr>
          <w:rFonts w:ascii="Arial Narrow" w:hAnsi="Arial Narrow" w:cs="Arial"/>
          <w:b/>
        </w:rPr>
        <w:t>Limit</w:t>
      </w:r>
      <w:r w:rsidR="0081067C">
        <w:rPr>
          <w:rFonts w:ascii="Arial Narrow" w:hAnsi="Arial Narrow" w:cs="Arial"/>
          <w:b/>
        </w:rPr>
        <w:t>ed scope of restriction</w:t>
      </w:r>
      <w:r w:rsidR="00AC5253">
        <w:rPr>
          <w:rFonts w:ascii="Arial Narrow" w:hAnsi="Arial Narrow" w:cs="Arial"/>
          <w:b/>
        </w:rPr>
        <w:t>s</w:t>
      </w:r>
      <w:r w:rsidR="005E0098" w:rsidRPr="00AC5253">
        <w:rPr>
          <w:rStyle w:val="FootnoteReference"/>
          <w:rFonts w:ascii="Arial Narrow" w:hAnsi="Arial Narrow" w:cs="Arial"/>
        </w:rPr>
        <w:footnoteReference w:id="32"/>
      </w:r>
      <w:r w:rsidRPr="00AC5253">
        <w:rPr>
          <w:rFonts w:ascii="Arial Narrow" w:hAnsi="Arial Narrow" w:cs="Arial"/>
        </w:rPr>
        <w:t xml:space="preserve"> </w:t>
      </w:r>
    </w:p>
    <w:p w14:paraId="584B6BBA" w14:textId="508AC318" w:rsidR="003D3218" w:rsidRDefault="005E0098" w:rsidP="005E0098">
      <w:pPr>
        <w:pStyle w:val="ListParagraph"/>
        <w:numPr>
          <w:ilvl w:val="0"/>
          <w:numId w:val="1"/>
        </w:numPr>
        <w:spacing w:after="0" w:line="276" w:lineRule="auto"/>
        <w:jc w:val="both"/>
        <w:rPr>
          <w:rFonts w:ascii="Arial Narrow" w:hAnsi="Arial Narrow"/>
        </w:rPr>
      </w:pPr>
      <w:r>
        <w:rPr>
          <w:rFonts w:ascii="Arial Narrow" w:hAnsi="Arial Narrow"/>
        </w:rPr>
        <w:t>The Protest Principles set out applicable standards in relation to limiting human rights in protests, including the right of peaceful assembly.</w:t>
      </w:r>
      <w:r>
        <w:rPr>
          <w:rStyle w:val="FootnoteReference"/>
          <w:rFonts w:ascii="Arial Narrow" w:hAnsi="Arial Narrow"/>
        </w:rPr>
        <w:footnoteReference w:id="33"/>
      </w:r>
      <w:r>
        <w:rPr>
          <w:rFonts w:ascii="Arial Narrow" w:hAnsi="Arial Narrow"/>
        </w:rPr>
        <w:t xml:space="preserve"> Many of these standards draw upon existing work of the Committee, in particular its General Comments, and the Siracusa Principles.</w:t>
      </w:r>
      <w:r>
        <w:rPr>
          <w:rStyle w:val="FootnoteReference"/>
          <w:rFonts w:ascii="Arial Narrow" w:hAnsi="Arial Narrow"/>
        </w:rPr>
        <w:footnoteReference w:id="34"/>
      </w:r>
      <w:r>
        <w:rPr>
          <w:rFonts w:ascii="Arial Narrow" w:hAnsi="Arial Narrow"/>
        </w:rPr>
        <w:t xml:space="preserve"> </w:t>
      </w:r>
      <w:r w:rsidRPr="005E0098">
        <w:rPr>
          <w:rFonts w:ascii="Arial Narrow" w:hAnsi="Arial Narrow"/>
        </w:rPr>
        <w:t xml:space="preserve">In this submission, rather than </w:t>
      </w:r>
      <w:r w:rsidR="003D3218">
        <w:rPr>
          <w:rFonts w:ascii="Arial Narrow" w:hAnsi="Arial Narrow"/>
        </w:rPr>
        <w:t xml:space="preserve">reiterate </w:t>
      </w:r>
      <w:r w:rsidR="0081067C">
        <w:rPr>
          <w:rFonts w:ascii="Arial Narrow" w:hAnsi="Arial Narrow"/>
        </w:rPr>
        <w:t>well-established</w:t>
      </w:r>
      <w:r w:rsidRPr="005E0098">
        <w:rPr>
          <w:rFonts w:ascii="Arial Narrow" w:hAnsi="Arial Narrow"/>
        </w:rPr>
        <w:t xml:space="preserve"> principles, we focus on areas that</w:t>
      </w:r>
      <w:r w:rsidR="003D3218">
        <w:rPr>
          <w:rFonts w:ascii="Arial Narrow" w:hAnsi="Arial Narrow"/>
        </w:rPr>
        <w:t xml:space="preserve"> in our view </w:t>
      </w:r>
      <w:r w:rsidRPr="005E0098">
        <w:rPr>
          <w:rFonts w:ascii="Arial Narrow" w:hAnsi="Arial Narrow"/>
        </w:rPr>
        <w:t>require</w:t>
      </w:r>
      <w:r w:rsidR="003D3218">
        <w:rPr>
          <w:rFonts w:ascii="Arial Narrow" w:hAnsi="Arial Narrow"/>
        </w:rPr>
        <w:t xml:space="preserve"> specific attention for normative development, to ensure more granular guidance to States Parties on their obligations</w:t>
      </w:r>
      <w:r w:rsidR="008E07DC">
        <w:rPr>
          <w:rFonts w:ascii="Arial Narrow" w:hAnsi="Arial Narrow"/>
        </w:rPr>
        <w:t xml:space="preserve"> under Article 21 of the ICCPR</w:t>
      </w:r>
      <w:r w:rsidR="003D3218">
        <w:rPr>
          <w:rFonts w:ascii="Arial Narrow" w:hAnsi="Arial Narrow"/>
        </w:rPr>
        <w:t xml:space="preserve">. </w:t>
      </w:r>
    </w:p>
    <w:p w14:paraId="4156A32F" w14:textId="4933EB58" w:rsidR="003D285D" w:rsidRPr="00021F53" w:rsidRDefault="003D285D" w:rsidP="005E0098">
      <w:pPr>
        <w:spacing w:after="0" w:line="276" w:lineRule="auto"/>
        <w:jc w:val="both"/>
        <w:rPr>
          <w:rFonts w:ascii="Arial Narrow" w:hAnsi="Arial Narrow"/>
        </w:rPr>
      </w:pPr>
    </w:p>
    <w:p w14:paraId="6984BF44" w14:textId="26B2810D" w:rsidR="005E0098" w:rsidRPr="005E0098" w:rsidRDefault="005E0098" w:rsidP="005E0098">
      <w:pPr>
        <w:pStyle w:val="ListParagraph"/>
        <w:numPr>
          <w:ilvl w:val="0"/>
          <w:numId w:val="11"/>
        </w:numPr>
        <w:spacing w:after="0" w:line="276" w:lineRule="auto"/>
        <w:rPr>
          <w:rFonts w:ascii="Arial Narrow" w:hAnsi="Arial Narrow"/>
          <w:u w:val="single"/>
        </w:rPr>
      </w:pPr>
      <w:r w:rsidRPr="005E0098">
        <w:rPr>
          <w:rFonts w:ascii="Arial Narrow" w:hAnsi="Arial Narrow"/>
          <w:u w:val="single"/>
        </w:rPr>
        <w:t>“</w:t>
      </w:r>
      <w:r>
        <w:rPr>
          <w:rFonts w:ascii="Arial Narrow" w:hAnsi="Arial Narrow"/>
          <w:u w:val="single"/>
        </w:rPr>
        <w:t>In conformity with the l</w:t>
      </w:r>
      <w:r w:rsidRPr="005E0098">
        <w:rPr>
          <w:rFonts w:ascii="Arial Narrow" w:hAnsi="Arial Narrow"/>
          <w:u w:val="single"/>
        </w:rPr>
        <w:t>aw”</w:t>
      </w:r>
    </w:p>
    <w:p w14:paraId="0E470306" w14:textId="77777777" w:rsidR="005E0098" w:rsidRDefault="005E0098" w:rsidP="005E0098">
      <w:pPr>
        <w:pStyle w:val="ListParagraph"/>
        <w:spacing w:after="0" w:line="276" w:lineRule="auto"/>
        <w:ind w:left="360"/>
        <w:rPr>
          <w:rFonts w:ascii="Arial Narrow" w:hAnsi="Arial Narrow"/>
        </w:rPr>
      </w:pPr>
    </w:p>
    <w:p w14:paraId="209BD1B9" w14:textId="2854C152" w:rsidR="005E0098" w:rsidRDefault="005E0098" w:rsidP="005E0098">
      <w:pPr>
        <w:pStyle w:val="ListParagraph"/>
        <w:numPr>
          <w:ilvl w:val="0"/>
          <w:numId w:val="1"/>
        </w:numPr>
        <w:spacing w:after="0" w:line="276" w:lineRule="auto"/>
        <w:jc w:val="both"/>
        <w:rPr>
          <w:rFonts w:ascii="Arial Narrow" w:hAnsi="Arial Narrow"/>
        </w:rPr>
      </w:pPr>
      <w:r>
        <w:rPr>
          <w:rFonts w:ascii="Arial Narrow" w:hAnsi="Arial Narrow"/>
        </w:rPr>
        <w:t>The use of the term “in conformity with the law” in Article 21 of the ICCPR, should not be interpreted to imply any lower standard of legality for limitations on the right of peaceful assembly than other</w:t>
      </w:r>
      <w:r w:rsidR="003D3218">
        <w:rPr>
          <w:rFonts w:ascii="Arial Narrow" w:hAnsi="Arial Narrow"/>
        </w:rPr>
        <w:t xml:space="preserve"> limitations</w:t>
      </w:r>
      <w:r>
        <w:rPr>
          <w:rFonts w:ascii="Arial Narrow" w:hAnsi="Arial Narrow"/>
        </w:rPr>
        <w:t xml:space="preserve"> </w:t>
      </w:r>
      <w:r w:rsidR="003D3218">
        <w:rPr>
          <w:rFonts w:ascii="Arial Narrow" w:hAnsi="Arial Narrow"/>
        </w:rPr>
        <w:t xml:space="preserve">within the ICCPR. It </w:t>
      </w:r>
      <w:r>
        <w:rPr>
          <w:rFonts w:ascii="Arial Narrow" w:hAnsi="Arial Narrow"/>
        </w:rPr>
        <w:t>should be the same standard that applies to interpreting the language of “provided by law” within Article 19 of the ICCPR, as elaborated in the Committee’s General Comment No. 34:</w:t>
      </w:r>
      <w:r>
        <w:rPr>
          <w:rStyle w:val="FootnoteReference"/>
          <w:rFonts w:ascii="Arial Narrow" w:hAnsi="Arial Narrow"/>
        </w:rPr>
        <w:footnoteReference w:id="35"/>
      </w:r>
      <w:r>
        <w:rPr>
          <w:rFonts w:ascii="Arial Narrow" w:hAnsi="Arial Narrow"/>
        </w:rPr>
        <w:t xml:space="preserve"> </w:t>
      </w:r>
    </w:p>
    <w:p w14:paraId="776DCB6C" w14:textId="77777777" w:rsidR="005E0098" w:rsidRPr="005E0098" w:rsidRDefault="005E0098" w:rsidP="005E0098">
      <w:pPr>
        <w:pStyle w:val="ListParagraph"/>
        <w:spacing w:after="0" w:line="276" w:lineRule="auto"/>
        <w:ind w:left="360" w:firstLine="360"/>
        <w:jc w:val="both"/>
        <w:rPr>
          <w:rFonts w:ascii="Arial Narrow" w:hAnsi="Arial Narrow" w:cs="Arial"/>
          <w:szCs w:val="18"/>
        </w:rPr>
      </w:pPr>
    </w:p>
    <w:p w14:paraId="53DC556D" w14:textId="7F3B862B" w:rsidR="005E0098" w:rsidRPr="005E0098" w:rsidRDefault="005E0098" w:rsidP="005E0098">
      <w:pPr>
        <w:pStyle w:val="ListParagraph"/>
        <w:spacing w:after="0" w:line="276" w:lineRule="auto"/>
        <w:ind w:left="360" w:firstLine="360"/>
        <w:jc w:val="both"/>
        <w:rPr>
          <w:rFonts w:ascii="Arial Narrow" w:hAnsi="Arial Narrow"/>
          <w:sz w:val="20"/>
          <w:szCs w:val="18"/>
        </w:rPr>
      </w:pPr>
      <w:r w:rsidRPr="005E0098">
        <w:rPr>
          <w:rFonts w:ascii="Arial Narrow" w:hAnsi="Arial Narrow" w:cs="Arial"/>
          <w:sz w:val="20"/>
          <w:szCs w:val="18"/>
        </w:rPr>
        <w:t>“</w:t>
      </w:r>
      <w:r w:rsidRPr="005E0098">
        <w:rPr>
          <w:rFonts w:ascii="Arial Narrow" w:hAnsi="Arial Narrow" w:cs="Arial"/>
          <w:i/>
          <w:sz w:val="20"/>
          <w:szCs w:val="18"/>
        </w:rPr>
        <w:t>For the purposes of paragraph 3, a norm, to be characterized as a “</w:t>
      </w:r>
      <w:r w:rsidRPr="005E0098">
        <w:rPr>
          <w:rStyle w:val="highlight"/>
          <w:rFonts w:ascii="Arial Narrow" w:hAnsi="Arial Narrow" w:cs="Arial"/>
          <w:i/>
          <w:sz w:val="20"/>
          <w:szCs w:val="18"/>
        </w:rPr>
        <w:t>law</w:t>
      </w:r>
      <w:r w:rsidRPr="005E0098">
        <w:rPr>
          <w:rFonts w:ascii="Arial Narrow" w:hAnsi="Arial Narrow" w:cs="Arial"/>
          <w:i/>
          <w:sz w:val="20"/>
          <w:szCs w:val="18"/>
        </w:rPr>
        <w:t xml:space="preserve">”, must be formulated with sufficient precision to enable an individual to regulate his or her conduct accordingly and it must be made accessible to the public. A </w:t>
      </w:r>
      <w:r w:rsidRPr="005E0098">
        <w:rPr>
          <w:rStyle w:val="highlight"/>
          <w:rFonts w:ascii="Arial Narrow" w:hAnsi="Arial Narrow" w:cs="Arial"/>
          <w:i/>
          <w:sz w:val="20"/>
          <w:szCs w:val="18"/>
        </w:rPr>
        <w:t>law</w:t>
      </w:r>
      <w:r w:rsidRPr="005E0098">
        <w:rPr>
          <w:rFonts w:ascii="Arial Narrow" w:hAnsi="Arial Narrow" w:cs="Arial"/>
          <w:i/>
          <w:sz w:val="20"/>
          <w:szCs w:val="18"/>
        </w:rPr>
        <w:t xml:space="preserve"> may not confer unfettered discretion for the restriction of freedom of expression on those charged with its execution. </w:t>
      </w:r>
      <w:r w:rsidRPr="005E0098">
        <w:rPr>
          <w:rStyle w:val="highlight"/>
          <w:rFonts w:ascii="Arial Narrow" w:hAnsi="Arial Narrow" w:cs="Arial"/>
          <w:i/>
          <w:sz w:val="20"/>
          <w:szCs w:val="18"/>
        </w:rPr>
        <w:t>Law</w:t>
      </w:r>
      <w:r w:rsidRPr="005E0098">
        <w:rPr>
          <w:rFonts w:ascii="Arial Narrow" w:hAnsi="Arial Narrow" w:cs="Arial"/>
          <w:i/>
          <w:sz w:val="20"/>
          <w:szCs w:val="18"/>
        </w:rPr>
        <w:t>s must provide sufficient guidance to those charged with their execution to enable them to ascertain what sorts of expression are properly restricted and what sorts are not</w:t>
      </w:r>
      <w:r w:rsidRPr="005E0098">
        <w:rPr>
          <w:rFonts w:ascii="Arial Narrow" w:hAnsi="Arial Narrow" w:cs="Arial"/>
          <w:sz w:val="20"/>
          <w:szCs w:val="18"/>
        </w:rPr>
        <w:t>.”</w:t>
      </w:r>
    </w:p>
    <w:p w14:paraId="00C1318B" w14:textId="2C9D5E41" w:rsidR="005E0098" w:rsidRDefault="005E0098" w:rsidP="005E0098">
      <w:pPr>
        <w:pStyle w:val="ListParagraph"/>
        <w:spacing w:after="0" w:line="276" w:lineRule="auto"/>
        <w:ind w:left="360"/>
        <w:rPr>
          <w:rFonts w:ascii="Arial Narrow" w:hAnsi="Arial Narrow"/>
        </w:rPr>
      </w:pPr>
    </w:p>
    <w:p w14:paraId="2C35B177" w14:textId="1C61B552" w:rsidR="0096322F" w:rsidRDefault="0096322F" w:rsidP="0096322F">
      <w:pPr>
        <w:pStyle w:val="ListParagraph"/>
        <w:numPr>
          <w:ilvl w:val="0"/>
          <w:numId w:val="1"/>
        </w:numPr>
        <w:spacing w:after="0" w:line="276" w:lineRule="auto"/>
        <w:rPr>
          <w:rFonts w:ascii="Arial Narrow" w:hAnsi="Arial Narrow"/>
        </w:rPr>
      </w:pPr>
      <w:r>
        <w:rPr>
          <w:rFonts w:ascii="Arial Narrow" w:hAnsi="Arial Narrow"/>
        </w:rPr>
        <w:lastRenderedPageBreak/>
        <w:t>The Committee has at various points raised concerns with national laws for being vague or overbroad, implying that it does not distinguish “in conformity with the law” from the concept “provided by law”.</w:t>
      </w:r>
      <w:r>
        <w:rPr>
          <w:rStyle w:val="FootnoteReference"/>
          <w:rFonts w:ascii="Arial Narrow" w:hAnsi="Arial Narrow"/>
        </w:rPr>
        <w:footnoteReference w:id="36"/>
      </w:r>
    </w:p>
    <w:p w14:paraId="3CB54752" w14:textId="77777777" w:rsidR="0096322F" w:rsidRPr="005E0098" w:rsidRDefault="0096322F" w:rsidP="005E0098">
      <w:pPr>
        <w:pStyle w:val="ListParagraph"/>
        <w:spacing w:after="0" w:line="276" w:lineRule="auto"/>
        <w:ind w:left="360"/>
        <w:rPr>
          <w:rFonts w:ascii="Arial Narrow" w:hAnsi="Arial Narrow"/>
        </w:rPr>
      </w:pPr>
    </w:p>
    <w:p w14:paraId="08F66FF8" w14:textId="626651E8" w:rsidR="005E0098" w:rsidRPr="008D21C0" w:rsidRDefault="005E0098" w:rsidP="005E0098">
      <w:pPr>
        <w:pStyle w:val="ListParagraph"/>
        <w:numPr>
          <w:ilvl w:val="0"/>
          <w:numId w:val="11"/>
        </w:numPr>
        <w:spacing w:after="0" w:line="276" w:lineRule="auto"/>
        <w:rPr>
          <w:rFonts w:ascii="Arial Narrow" w:hAnsi="Arial Narrow"/>
          <w:u w:val="single"/>
        </w:rPr>
      </w:pPr>
      <w:r w:rsidRPr="008D21C0">
        <w:rPr>
          <w:rFonts w:ascii="Arial Narrow" w:hAnsi="Arial Narrow"/>
          <w:u w:val="single"/>
        </w:rPr>
        <w:t xml:space="preserve">Interpreting “public order” </w:t>
      </w:r>
      <w:r w:rsidR="00F34F02" w:rsidRPr="008D21C0">
        <w:rPr>
          <w:rFonts w:ascii="Arial Narrow" w:hAnsi="Arial Narrow"/>
          <w:u w:val="single"/>
        </w:rPr>
        <w:t>and</w:t>
      </w:r>
      <w:r w:rsidRPr="008D21C0">
        <w:rPr>
          <w:rFonts w:ascii="Arial Narrow" w:hAnsi="Arial Narrow"/>
          <w:u w:val="single"/>
        </w:rPr>
        <w:t xml:space="preserve"> </w:t>
      </w:r>
      <w:r w:rsidR="008D21C0" w:rsidRPr="008D21C0">
        <w:rPr>
          <w:rFonts w:ascii="Arial Narrow" w:hAnsi="Arial Narrow"/>
          <w:u w:val="single"/>
        </w:rPr>
        <w:t>“public safety”</w:t>
      </w:r>
      <w:r w:rsidRPr="008D21C0">
        <w:rPr>
          <w:rFonts w:ascii="Arial Narrow" w:hAnsi="Arial Narrow"/>
          <w:u w:val="single"/>
        </w:rPr>
        <w:t xml:space="preserve"> </w:t>
      </w:r>
    </w:p>
    <w:p w14:paraId="02522CFA" w14:textId="4856E062" w:rsidR="005E0098" w:rsidRDefault="005E0098" w:rsidP="005E0098">
      <w:pPr>
        <w:spacing w:after="0" w:line="276" w:lineRule="auto"/>
        <w:jc w:val="both"/>
        <w:rPr>
          <w:rFonts w:ascii="Arial Narrow" w:hAnsi="Arial Narrow"/>
        </w:rPr>
      </w:pPr>
    </w:p>
    <w:p w14:paraId="791FC49F" w14:textId="097ED27D" w:rsidR="005E0098" w:rsidRPr="003D3218" w:rsidRDefault="005E0098" w:rsidP="003D3218">
      <w:pPr>
        <w:pStyle w:val="ListParagraph"/>
        <w:numPr>
          <w:ilvl w:val="0"/>
          <w:numId w:val="1"/>
        </w:numPr>
        <w:spacing w:after="0" w:line="276" w:lineRule="auto"/>
        <w:jc w:val="both"/>
        <w:rPr>
          <w:rFonts w:ascii="Arial Narrow" w:hAnsi="Arial Narrow"/>
        </w:rPr>
      </w:pPr>
      <w:r>
        <w:rPr>
          <w:rFonts w:ascii="Arial Narrow" w:hAnsi="Arial Narrow"/>
        </w:rPr>
        <w:t>For States, the ambiguity of the term “public order” is routinely exploited to justify extensive limitations on rights, including to peaceful assembly. The term has received relatively little attention from the Committee, with</w:t>
      </w:r>
      <w:r w:rsidR="003D3218">
        <w:rPr>
          <w:rFonts w:ascii="Arial Narrow" w:hAnsi="Arial Narrow"/>
        </w:rPr>
        <w:t xml:space="preserve"> relatively</w:t>
      </w:r>
      <w:r>
        <w:rPr>
          <w:rFonts w:ascii="Arial Narrow" w:hAnsi="Arial Narrow"/>
        </w:rPr>
        <w:t xml:space="preserve"> little guidance offered </w:t>
      </w:r>
      <w:r w:rsidR="003D3218">
        <w:rPr>
          <w:rFonts w:ascii="Arial Narrow" w:hAnsi="Arial Narrow"/>
        </w:rPr>
        <w:t xml:space="preserve">in relation to its use in Article 19(3) ICCPR in </w:t>
      </w:r>
      <w:r w:rsidRPr="003D3218">
        <w:rPr>
          <w:rFonts w:ascii="Arial Narrow" w:hAnsi="Arial Narrow"/>
        </w:rPr>
        <w:t>General Comment No. 34.</w:t>
      </w:r>
      <w:r>
        <w:rPr>
          <w:rStyle w:val="FootnoteReference"/>
          <w:rFonts w:ascii="Arial Narrow" w:hAnsi="Arial Narrow"/>
        </w:rPr>
        <w:footnoteReference w:id="37"/>
      </w:r>
      <w:r w:rsidRPr="003D3218">
        <w:rPr>
          <w:rFonts w:ascii="Arial Narrow" w:hAnsi="Arial Narrow"/>
        </w:rPr>
        <w:t xml:space="preserve"> The Committee has</w:t>
      </w:r>
      <w:r w:rsidR="00943405" w:rsidRPr="003D3218">
        <w:rPr>
          <w:rFonts w:ascii="Arial Narrow" w:hAnsi="Arial Narrow"/>
        </w:rPr>
        <w:t>, however,</w:t>
      </w:r>
      <w:r w:rsidRPr="003D3218">
        <w:rPr>
          <w:rFonts w:ascii="Arial Narrow" w:hAnsi="Arial Narrow"/>
        </w:rPr>
        <w:t xml:space="preserve"> criticised States</w:t>
      </w:r>
      <w:r w:rsidR="00F34F02" w:rsidRPr="003D3218">
        <w:rPr>
          <w:rFonts w:ascii="Arial Narrow" w:hAnsi="Arial Narrow"/>
        </w:rPr>
        <w:t xml:space="preserve"> for over-reliance on the </w:t>
      </w:r>
      <w:r w:rsidRPr="003D3218">
        <w:rPr>
          <w:rFonts w:ascii="Arial Narrow" w:hAnsi="Arial Narrow"/>
        </w:rPr>
        <w:t>term</w:t>
      </w:r>
      <w:r w:rsidR="00F34F02" w:rsidRPr="003D3218">
        <w:rPr>
          <w:rFonts w:ascii="Arial Narrow" w:hAnsi="Arial Narrow"/>
        </w:rPr>
        <w:t xml:space="preserve"> “public order” where legal frameworks do not provide sufficient guidance on its interpretation</w:t>
      </w:r>
      <w:r w:rsidR="00943405" w:rsidRPr="003D3218">
        <w:rPr>
          <w:rFonts w:ascii="Arial Narrow" w:hAnsi="Arial Narrow"/>
        </w:rPr>
        <w:t xml:space="preserve"> for</w:t>
      </w:r>
      <w:r w:rsidR="00F34F02" w:rsidRPr="003D3218">
        <w:rPr>
          <w:rFonts w:ascii="Arial Narrow" w:hAnsi="Arial Narrow"/>
        </w:rPr>
        <w:t xml:space="preserve"> limiting rights, in particular where violations of public order, or incitement thereof, are the basis for criminal liability.</w:t>
      </w:r>
      <w:r w:rsidR="00F34F02">
        <w:rPr>
          <w:rStyle w:val="FootnoteReference"/>
          <w:rFonts w:ascii="Arial Narrow" w:hAnsi="Arial Narrow"/>
        </w:rPr>
        <w:footnoteReference w:id="38"/>
      </w:r>
      <w:r w:rsidR="00F34F02" w:rsidRPr="003D3218">
        <w:rPr>
          <w:rFonts w:ascii="Arial Narrow" w:hAnsi="Arial Narrow"/>
        </w:rPr>
        <w:t xml:space="preserve"> General Comment No. 37 is therefore an important opportunity to better define</w:t>
      </w:r>
      <w:r w:rsidR="00066FA9" w:rsidRPr="003D3218">
        <w:rPr>
          <w:rFonts w:ascii="Arial Narrow" w:hAnsi="Arial Narrow"/>
        </w:rPr>
        <w:t xml:space="preserve"> the contours of “public order”</w:t>
      </w:r>
      <w:r w:rsidR="003D3218" w:rsidRPr="003D3218">
        <w:rPr>
          <w:rFonts w:ascii="Arial Narrow" w:hAnsi="Arial Narrow"/>
        </w:rPr>
        <w:t xml:space="preserve"> and fill what might be considered a normative gap.</w:t>
      </w:r>
    </w:p>
    <w:p w14:paraId="6CA8D014" w14:textId="0B14E690" w:rsidR="00F34F02" w:rsidRDefault="00F34F02" w:rsidP="00F34F02">
      <w:pPr>
        <w:pStyle w:val="ListParagraph"/>
        <w:spacing w:after="0" w:line="276" w:lineRule="auto"/>
        <w:ind w:left="360"/>
        <w:jc w:val="both"/>
        <w:rPr>
          <w:rFonts w:ascii="Arial Narrow" w:hAnsi="Arial Narrow"/>
        </w:rPr>
      </w:pPr>
    </w:p>
    <w:p w14:paraId="4C24C15C" w14:textId="0413557A" w:rsidR="00943405" w:rsidRPr="00A20983" w:rsidRDefault="00D578FD" w:rsidP="00943405">
      <w:pPr>
        <w:pStyle w:val="ListParagraph"/>
        <w:numPr>
          <w:ilvl w:val="0"/>
          <w:numId w:val="1"/>
        </w:numPr>
        <w:spacing w:after="0" w:line="276" w:lineRule="auto"/>
        <w:jc w:val="both"/>
        <w:rPr>
          <w:rFonts w:ascii="Arial Narrow" w:hAnsi="Arial Narrow"/>
        </w:rPr>
      </w:pPr>
      <w:r>
        <w:rPr>
          <w:rFonts w:ascii="Arial Narrow" w:hAnsi="Arial Narrow"/>
        </w:rPr>
        <w:t xml:space="preserve">In </w:t>
      </w:r>
      <w:r w:rsidR="008E07DC">
        <w:rPr>
          <w:rFonts w:ascii="Arial Narrow" w:hAnsi="Arial Narrow"/>
        </w:rPr>
        <w:t>t</w:t>
      </w:r>
      <w:r w:rsidR="00943405">
        <w:rPr>
          <w:rFonts w:ascii="Arial Narrow" w:hAnsi="Arial Narrow"/>
        </w:rPr>
        <w:t>he Protest Principles</w:t>
      </w:r>
      <w:r>
        <w:rPr>
          <w:rFonts w:ascii="Arial Narrow" w:hAnsi="Arial Narrow"/>
        </w:rPr>
        <w:t>, ARTICLE 19</w:t>
      </w:r>
      <w:r w:rsidR="00943405">
        <w:rPr>
          <w:rFonts w:ascii="Arial Narrow" w:hAnsi="Arial Narrow"/>
        </w:rPr>
        <w:t xml:space="preserve"> offer</w:t>
      </w:r>
      <w:r>
        <w:rPr>
          <w:rFonts w:ascii="Arial Narrow" w:hAnsi="Arial Narrow"/>
        </w:rPr>
        <w:t>s</w:t>
      </w:r>
      <w:r w:rsidR="00943405">
        <w:rPr>
          <w:rFonts w:ascii="Arial Narrow" w:hAnsi="Arial Narrow"/>
        </w:rPr>
        <w:t xml:space="preserve"> two observations in relation to “public order” limitations on protests, where the right of peaceful assembly will</w:t>
      </w:r>
      <w:r w:rsidR="003D3218">
        <w:rPr>
          <w:rFonts w:ascii="Arial Narrow" w:hAnsi="Arial Narrow"/>
        </w:rPr>
        <w:t>,</w:t>
      </w:r>
      <w:r w:rsidR="00943405">
        <w:rPr>
          <w:rFonts w:ascii="Arial Narrow" w:hAnsi="Arial Narrow"/>
        </w:rPr>
        <w:t xml:space="preserve"> </w:t>
      </w:r>
      <w:r w:rsidR="00943405" w:rsidRPr="00943405">
        <w:rPr>
          <w:rFonts w:ascii="Arial Narrow" w:hAnsi="Arial Narrow"/>
        </w:rPr>
        <w:t>invariably</w:t>
      </w:r>
      <w:r w:rsidR="003D3218">
        <w:rPr>
          <w:rFonts w:ascii="Arial Narrow" w:hAnsi="Arial Narrow"/>
        </w:rPr>
        <w:t>, be engaged. Firstly, the Protest Principles</w:t>
      </w:r>
      <w:r w:rsidR="00943405" w:rsidRPr="00943405">
        <w:rPr>
          <w:rFonts w:ascii="Arial Narrow" w:hAnsi="Arial Narrow"/>
        </w:rPr>
        <w:t xml:space="preserve"> specify that “exercising the right to protest, </w:t>
      </w:r>
      <w:r w:rsidR="00943405" w:rsidRPr="00943405">
        <w:rPr>
          <w:rFonts w:ascii="Arial Narrow" w:hAnsi="Arial Narrow" w:cs="Arial"/>
        </w:rPr>
        <w:t>including spontaneous, simultaneous and counter protests, should be considered an essential characteristic of public order and not a de facto threat to it, even where the protest causes inconvenience or disruption.”</w:t>
      </w:r>
      <w:r w:rsidR="00943405" w:rsidRPr="00943405">
        <w:rPr>
          <w:rStyle w:val="FootnoteReference"/>
          <w:rFonts w:ascii="Arial Narrow" w:hAnsi="Arial Narrow" w:cs="Arial"/>
        </w:rPr>
        <w:footnoteReference w:id="39"/>
      </w:r>
      <w:r w:rsidR="00943405" w:rsidRPr="00943405">
        <w:rPr>
          <w:rFonts w:ascii="Arial Narrow" w:hAnsi="Arial Narrow" w:cs="Arial"/>
        </w:rPr>
        <w:t xml:space="preserve"> </w:t>
      </w:r>
      <w:r w:rsidR="00A20983">
        <w:rPr>
          <w:rFonts w:ascii="Arial Narrow" w:hAnsi="Arial Narrow" w:cs="Arial"/>
        </w:rPr>
        <w:t>Secondly, the Protest Principles</w:t>
      </w:r>
      <w:r w:rsidR="00943405" w:rsidRPr="00943405">
        <w:rPr>
          <w:rFonts w:ascii="Arial Narrow" w:hAnsi="Arial Narrow" w:cs="Arial"/>
        </w:rPr>
        <w:t xml:space="preserve"> draw upon the limited guidance of the Siracusa Principles to specify: “public order may be invoked only where protests present a genuine and sufficiently serious threat to the very functioning of society or the fundamental principles on which society is founded, such as the respect of human rights and the rule of law.”</w:t>
      </w:r>
      <w:r w:rsidR="00A20983">
        <w:rPr>
          <w:rStyle w:val="FootnoteReference"/>
          <w:rFonts w:ascii="Arial Narrow" w:hAnsi="Arial Narrow" w:cs="Arial"/>
        </w:rPr>
        <w:footnoteReference w:id="40"/>
      </w:r>
    </w:p>
    <w:p w14:paraId="44C60583" w14:textId="77777777" w:rsidR="00A20983" w:rsidRPr="00A20983" w:rsidRDefault="00A20983" w:rsidP="00A20983">
      <w:pPr>
        <w:pStyle w:val="ListParagraph"/>
        <w:rPr>
          <w:rFonts w:ascii="Arial Narrow" w:hAnsi="Arial Narrow"/>
        </w:rPr>
      </w:pPr>
    </w:p>
    <w:p w14:paraId="19978598" w14:textId="3E5E1CF3" w:rsidR="0058459F" w:rsidRPr="0058459F" w:rsidRDefault="003D3218" w:rsidP="00A20983">
      <w:pPr>
        <w:pStyle w:val="ListParagraph"/>
        <w:numPr>
          <w:ilvl w:val="0"/>
          <w:numId w:val="1"/>
        </w:numPr>
        <w:spacing w:after="0" w:line="276" w:lineRule="auto"/>
        <w:jc w:val="both"/>
        <w:rPr>
          <w:rFonts w:ascii="Arial Narrow" w:hAnsi="Arial Narrow"/>
        </w:rPr>
      </w:pPr>
      <w:r>
        <w:rPr>
          <w:rFonts w:ascii="Arial Narrow" w:hAnsi="Arial Narrow"/>
        </w:rPr>
        <w:t>The</w:t>
      </w:r>
      <w:r w:rsidR="00A20983">
        <w:rPr>
          <w:rFonts w:ascii="Arial Narrow" w:hAnsi="Arial Narrow"/>
        </w:rPr>
        <w:t xml:space="preserve"> Committee </w:t>
      </w:r>
      <w:r>
        <w:rPr>
          <w:rFonts w:ascii="Arial Narrow" w:hAnsi="Arial Narrow"/>
        </w:rPr>
        <w:t xml:space="preserve">should establish </w:t>
      </w:r>
      <w:r w:rsidR="00A20983">
        <w:rPr>
          <w:rFonts w:ascii="Arial Narrow" w:hAnsi="Arial Narrow"/>
        </w:rPr>
        <w:t>a similarly high threshold for interpretations of “public order”</w:t>
      </w:r>
      <w:r>
        <w:rPr>
          <w:rFonts w:ascii="Arial Narrow" w:hAnsi="Arial Narrow"/>
        </w:rPr>
        <w:t xml:space="preserve"> under Article 21 ICCPR</w:t>
      </w:r>
      <w:r w:rsidR="00A20983">
        <w:rPr>
          <w:rFonts w:ascii="Arial Narrow" w:hAnsi="Arial Narrow"/>
        </w:rPr>
        <w:t xml:space="preserve">, ensuring that the term is not abused to limit peaceful assemblies that are simply </w:t>
      </w:r>
      <w:r w:rsidR="00A20983" w:rsidRPr="00A20983">
        <w:rPr>
          <w:rFonts w:ascii="Arial Narrow" w:hAnsi="Arial Narrow" w:cs="Arial"/>
        </w:rPr>
        <w:t>annoy</w:t>
      </w:r>
      <w:r w:rsidR="00A20983">
        <w:rPr>
          <w:rFonts w:ascii="Arial Narrow" w:hAnsi="Arial Narrow" w:cs="Arial"/>
        </w:rPr>
        <w:t>ing or offensive to</w:t>
      </w:r>
      <w:r w:rsidR="00A20983" w:rsidRPr="00A20983">
        <w:rPr>
          <w:rFonts w:ascii="Arial Narrow" w:hAnsi="Arial Narrow" w:cs="Arial"/>
        </w:rPr>
        <w:t xml:space="preserve"> people who are opposed to the ideas or claims that an assembly is seeking to promote,</w:t>
      </w:r>
      <w:r w:rsidR="00E92281">
        <w:rPr>
          <w:rStyle w:val="FootnoteReference"/>
          <w:rFonts w:ascii="Arial Narrow" w:hAnsi="Arial Narrow" w:cs="Arial"/>
        </w:rPr>
        <w:footnoteReference w:id="41"/>
      </w:r>
      <w:r w:rsidR="00A20983" w:rsidRPr="00A20983">
        <w:rPr>
          <w:rFonts w:ascii="Arial Narrow" w:hAnsi="Arial Narrow" w:cs="Arial"/>
        </w:rPr>
        <w:t xml:space="preserve"> as well as conduct that temporarily hinders, impedes or obstructs the activities of third parties.</w:t>
      </w:r>
      <w:r w:rsidR="00A20983">
        <w:rPr>
          <w:rStyle w:val="FootnoteReference"/>
          <w:rFonts w:ascii="Arial Narrow" w:hAnsi="Arial Narrow" w:cs="Arial"/>
        </w:rPr>
        <w:footnoteReference w:id="42"/>
      </w:r>
      <w:r w:rsidR="00A20983">
        <w:rPr>
          <w:rFonts w:ascii="Arial Narrow" w:hAnsi="Arial Narrow" w:cs="Arial"/>
        </w:rPr>
        <w:t xml:space="preserve"> </w:t>
      </w:r>
    </w:p>
    <w:p w14:paraId="5FFBDD27" w14:textId="77777777" w:rsidR="0058459F" w:rsidRPr="0058459F" w:rsidRDefault="0058459F" w:rsidP="0058459F">
      <w:pPr>
        <w:pStyle w:val="ListParagraph"/>
        <w:rPr>
          <w:rFonts w:ascii="Arial Narrow" w:hAnsi="Arial Narrow" w:cs="Arial"/>
        </w:rPr>
      </w:pPr>
    </w:p>
    <w:p w14:paraId="5B8FEE45" w14:textId="0B2A8258" w:rsidR="00A20983" w:rsidRPr="008D21C0" w:rsidRDefault="00A20983" w:rsidP="008D21C0">
      <w:pPr>
        <w:pStyle w:val="ListParagraph"/>
        <w:numPr>
          <w:ilvl w:val="0"/>
          <w:numId w:val="1"/>
        </w:numPr>
        <w:spacing w:after="0" w:line="276" w:lineRule="auto"/>
        <w:jc w:val="both"/>
        <w:rPr>
          <w:rFonts w:ascii="Arial Narrow" w:hAnsi="Arial Narrow"/>
        </w:rPr>
      </w:pPr>
      <w:r>
        <w:rPr>
          <w:rFonts w:ascii="Arial Narrow" w:hAnsi="Arial Narrow" w:cs="Arial"/>
        </w:rPr>
        <w:t>The Committee has made clear that protecting the right to freedom of peaceful assembly requires accepting disruptions to public life, implying that inconveniences to the free-flow of traffic, for example, are not a basis to justify wide-ranging limitations.</w:t>
      </w:r>
      <w:r>
        <w:rPr>
          <w:rStyle w:val="FootnoteReference"/>
          <w:rFonts w:ascii="Arial Narrow" w:hAnsi="Arial Narrow" w:cs="Arial"/>
        </w:rPr>
        <w:footnoteReference w:id="43"/>
      </w:r>
      <w:r w:rsidR="0058459F">
        <w:rPr>
          <w:rFonts w:ascii="Arial Narrow" w:hAnsi="Arial Narrow" w:cs="Arial"/>
        </w:rPr>
        <w:t xml:space="preserve"> </w:t>
      </w:r>
      <w:r w:rsidR="003D3218">
        <w:rPr>
          <w:rFonts w:ascii="Arial Narrow" w:hAnsi="Arial Narrow" w:cs="Arial"/>
        </w:rPr>
        <w:t xml:space="preserve">In ARTICLE 19’s view, the way in which assemblies may cause inconvenience to everyday life should not be considered issues of “public order”,  but instead such factors may provide basis for </w:t>
      </w:r>
      <w:r w:rsidR="008D21C0">
        <w:rPr>
          <w:rFonts w:ascii="Arial Narrow" w:hAnsi="Arial Narrow" w:cs="Arial"/>
        </w:rPr>
        <w:t>limitations for the protections of “the rights of others”, provided t</w:t>
      </w:r>
      <w:r w:rsidR="008D21C0" w:rsidRPr="008D21C0">
        <w:rPr>
          <w:rFonts w:ascii="Arial Narrow" w:hAnsi="Arial Narrow" w:cs="Arial"/>
        </w:rPr>
        <w:t>his also</w:t>
      </w:r>
      <w:r w:rsidR="0058459F" w:rsidRPr="008D21C0">
        <w:rPr>
          <w:rFonts w:ascii="Arial Narrow" w:hAnsi="Arial Narrow" w:cs="Arial"/>
        </w:rPr>
        <w:t xml:space="preserve"> makes clear that inconvenience or disruption to others will not be considered by themselves sufficient for limiting assembly rights.</w:t>
      </w:r>
      <w:r w:rsidR="0058459F">
        <w:rPr>
          <w:rStyle w:val="FootnoteReference"/>
          <w:rFonts w:ascii="Arial Narrow" w:hAnsi="Arial Narrow" w:cs="Arial"/>
        </w:rPr>
        <w:footnoteReference w:id="44"/>
      </w:r>
      <w:r w:rsidR="00066FA9" w:rsidRPr="008D21C0">
        <w:rPr>
          <w:rFonts w:ascii="Arial Narrow" w:hAnsi="Arial Narrow" w:cs="Arial"/>
        </w:rPr>
        <w:t xml:space="preserve"> The European Court of Human Rights has recognised that a “certain degree of tolerance” towards disruption to ordinary life caused by demonstrations is necessary “if the freedom </w:t>
      </w:r>
      <w:r w:rsidR="00066FA9" w:rsidRPr="008D21C0">
        <w:rPr>
          <w:rFonts w:ascii="Arial Narrow" w:hAnsi="Arial Narrow" w:cs="Arial"/>
        </w:rPr>
        <w:lastRenderedPageBreak/>
        <w:t>of assembly is not to be deprived of all substance”,</w:t>
      </w:r>
      <w:r w:rsidR="00066FA9">
        <w:rPr>
          <w:rStyle w:val="FootnoteReference"/>
          <w:rFonts w:ascii="Arial Narrow" w:hAnsi="Arial Narrow" w:cs="Arial"/>
        </w:rPr>
        <w:footnoteReference w:id="45"/>
      </w:r>
      <w:r w:rsidR="00066FA9" w:rsidRPr="008D21C0">
        <w:rPr>
          <w:rFonts w:ascii="Arial Narrow" w:hAnsi="Arial Narrow" w:cs="Arial"/>
        </w:rPr>
        <w:t xml:space="preserve"> which is a principle that finds support in the jurisprudence of the European Court of Justice.</w:t>
      </w:r>
      <w:r w:rsidR="00066FA9">
        <w:rPr>
          <w:rStyle w:val="FootnoteReference"/>
          <w:rFonts w:ascii="Arial Narrow" w:hAnsi="Arial Narrow" w:cs="Arial"/>
        </w:rPr>
        <w:footnoteReference w:id="46"/>
      </w:r>
    </w:p>
    <w:p w14:paraId="1D38DD49" w14:textId="77777777" w:rsidR="00E92281" w:rsidRPr="00E92281" w:rsidRDefault="00E92281" w:rsidP="00E92281">
      <w:pPr>
        <w:pStyle w:val="ListParagraph"/>
        <w:rPr>
          <w:rFonts w:ascii="Arial Narrow" w:hAnsi="Arial Narrow"/>
        </w:rPr>
      </w:pPr>
    </w:p>
    <w:p w14:paraId="3B7A0A88" w14:textId="56F97BF1" w:rsidR="00E92281" w:rsidRDefault="00E92281" w:rsidP="00E92281">
      <w:pPr>
        <w:pStyle w:val="ListParagraph"/>
        <w:numPr>
          <w:ilvl w:val="0"/>
          <w:numId w:val="1"/>
        </w:numPr>
        <w:spacing w:after="0" w:line="276" w:lineRule="auto"/>
        <w:jc w:val="both"/>
        <w:rPr>
          <w:rFonts w:ascii="Arial Narrow" w:hAnsi="Arial Narrow"/>
        </w:rPr>
      </w:pPr>
      <w:r>
        <w:rPr>
          <w:rFonts w:ascii="Arial Narrow" w:hAnsi="Arial Narrow"/>
        </w:rPr>
        <w:t xml:space="preserve">The General Comment is also an opportunity for the Committee to define “public safety”. Since this is not a ground for limiting the right to freedom of expression under Article 19(3) of the ICCPR, it must relate to specific concerns that arise from the physical presence of a </w:t>
      </w:r>
      <w:r w:rsidR="003D3218">
        <w:rPr>
          <w:rFonts w:ascii="Arial Narrow" w:hAnsi="Arial Narrow"/>
        </w:rPr>
        <w:t xml:space="preserve">(presumably </w:t>
      </w:r>
      <w:r>
        <w:rPr>
          <w:rFonts w:ascii="Arial Narrow" w:hAnsi="Arial Narrow"/>
        </w:rPr>
        <w:t>large</w:t>
      </w:r>
      <w:r w:rsidR="003D3218">
        <w:rPr>
          <w:rFonts w:ascii="Arial Narrow" w:hAnsi="Arial Narrow"/>
        </w:rPr>
        <w:t>)</w:t>
      </w:r>
      <w:r>
        <w:rPr>
          <w:rFonts w:ascii="Arial Narrow" w:hAnsi="Arial Narrow"/>
        </w:rPr>
        <w:t xml:space="preserve"> number of persons present at a gathering. The Protest Principles suggest “public safety” should only </w:t>
      </w:r>
      <w:r w:rsidRPr="00E92281">
        <w:rPr>
          <w:rFonts w:ascii="Arial Narrow" w:hAnsi="Arial Narrow"/>
        </w:rPr>
        <w:t>be invoked “</w:t>
      </w:r>
      <w:r w:rsidRPr="00E92281">
        <w:rPr>
          <w:rFonts w:ascii="Arial Narrow" w:hAnsi="Arial Narrow" w:cs="Arial"/>
        </w:rPr>
        <w:t>against a specified and genuine danger to the life or physical integrity of people, or serious damage to their property</w:t>
      </w:r>
      <w:r w:rsidRPr="00E92281">
        <w:rPr>
          <w:rFonts w:ascii="Arial Narrow" w:hAnsi="Arial Narrow"/>
        </w:rPr>
        <w:t>.”</w:t>
      </w:r>
      <w:r w:rsidRPr="00E92281">
        <w:rPr>
          <w:rStyle w:val="FootnoteReference"/>
          <w:rFonts w:ascii="Arial Narrow" w:hAnsi="Arial Narrow"/>
        </w:rPr>
        <w:footnoteReference w:id="47"/>
      </w:r>
    </w:p>
    <w:p w14:paraId="2A1E4FD3" w14:textId="2BD7463E" w:rsidR="00686F83" w:rsidRDefault="00686F83" w:rsidP="00B44974">
      <w:pPr>
        <w:spacing w:after="0" w:line="276" w:lineRule="auto"/>
        <w:jc w:val="both"/>
        <w:rPr>
          <w:rFonts w:ascii="Arial Narrow" w:hAnsi="Arial Narrow"/>
        </w:rPr>
      </w:pPr>
    </w:p>
    <w:p w14:paraId="17AEB516" w14:textId="1C282977" w:rsidR="009800A6" w:rsidRDefault="009800A6" w:rsidP="00B44974">
      <w:pPr>
        <w:spacing w:after="0" w:line="276" w:lineRule="auto"/>
        <w:jc w:val="both"/>
        <w:rPr>
          <w:rFonts w:ascii="Arial Narrow" w:hAnsi="Arial Narrow"/>
          <w:b/>
        </w:rPr>
      </w:pPr>
      <w:r>
        <w:rPr>
          <w:rFonts w:ascii="Arial Narrow" w:hAnsi="Arial Narrow"/>
          <w:b/>
        </w:rPr>
        <w:t>States of emergency</w:t>
      </w:r>
      <w:r w:rsidR="0085373B" w:rsidRPr="005770F2">
        <w:rPr>
          <w:rStyle w:val="FootnoteReference"/>
          <w:rFonts w:ascii="Arial Narrow" w:hAnsi="Arial Narrow"/>
        </w:rPr>
        <w:footnoteReference w:id="48"/>
      </w:r>
    </w:p>
    <w:p w14:paraId="59AC0549" w14:textId="4C8C6A2B" w:rsidR="00932332" w:rsidRDefault="00932332" w:rsidP="009800A6">
      <w:pPr>
        <w:pStyle w:val="ListParagraph"/>
        <w:numPr>
          <w:ilvl w:val="0"/>
          <w:numId w:val="1"/>
        </w:numPr>
        <w:spacing w:after="0" w:line="276" w:lineRule="auto"/>
        <w:jc w:val="both"/>
        <w:rPr>
          <w:rFonts w:ascii="Arial Narrow" w:hAnsi="Arial Narrow"/>
        </w:rPr>
      </w:pPr>
      <w:r>
        <w:rPr>
          <w:rFonts w:ascii="Arial Narrow" w:hAnsi="Arial Narrow"/>
        </w:rPr>
        <w:t>On the relationship between Article 21 of the ICCPR and the potential for emergency derogations under Article 4 of the ICCPR, ARTICLE 19 encourages the Committee to make clear that acts of collective expression in an assembly, even where they are “not peaceful”, will not “threaten the life of the nation”, and therefore derogations should never be made for the purpose of limiting assemblies.</w:t>
      </w:r>
      <w:r>
        <w:rPr>
          <w:rStyle w:val="FootnoteReference"/>
          <w:rFonts w:ascii="Arial Narrow" w:hAnsi="Arial Narrow"/>
        </w:rPr>
        <w:footnoteReference w:id="49"/>
      </w:r>
      <w:r>
        <w:rPr>
          <w:rFonts w:ascii="Arial Narrow" w:hAnsi="Arial Narrow"/>
        </w:rPr>
        <w:t xml:space="preserve"> </w:t>
      </w:r>
    </w:p>
    <w:p w14:paraId="2FD80A19" w14:textId="77777777" w:rsidR="00932332" w:rsidRDefault="00932332" w:rsidP="00932332">
      <w:pPr>
        <w:pStyle w:val="ListParagraph"/>
        <w:spacing w:after="0" w:line="276" w:lineRule="auto"/>
        <w:ind w:left="360"/>
        <w:jc w:val="both"/>
        <w:rPr>
          <w:rFonts w:ascii="Arial Narrow" w:hAnsi="Arial Narrow"/>
        </w:rPr>
      </w:pPr>
    </w:p>
    <w:p w14:paraId="60EABB9C" w14:textId="7CA9BB9D" w:rsidR="005770F2" w:rsidRDefault="005770F2" w:rsidP="009800A6">
      <w:pPr>
        <w:pStyle w:val="ListParagraph"/>
        <w:numPr>
          <w:ilvl w:val="0"/>
          <w:numId w:val="1"/>
        </w:numPr>
        <w:spacing w:after="0" w:line="276" w:lineRule="auto"/>
        <w:jc w:val="both"/>
        <w:rPr>
          <w:rFonts w:ascii="Arial Narrow" w:hAnsi="Arial Narrow"/>
        </w:rPr>
      </w:pPr>
      <w:r>
        <w:rPr>
          <w:rFonts w:ascii="Arial Narrow" w:hAnsi="Arial Narrow"/>
        </w:rPr>
        <w:t>We are particularly concerned at situations in which States facing widespread protests characterise the exercise the right of peaceful assembly as “unrest” or “terrorism”, wrongly equating threats to the continued political power of an incumbent government to threats to the life of the nation.</w:t>
      </w:r>
      <w:r w:rsidR="005F0601">
        <w:rPr>
          <w:rFonts w:ascii="Arial Narrow" w:hAnsi="Arial Narrow"/>
        </w:rPr>
        <w:t xml:space="preserve"> In</w:t>
      </w:r>
      <w:r>
        <w:rPr>
          <w:rFonts w:ascii="Arial Narrow" w:hAnsi="Arial Narrow"/>
        </w:rPr>
        <w:t xml:space="preserve"> </w:t>
      </w:r>
      <w:r w:rsidR="005F0601">
        <w:rPr>
          <w:rFonts w:ascii="Arial Narrow" w:hAnsi="Arial Narrow"/>
        </w:rPr>
        <w:t>General Comment No. 37, the Committee should build upon their Concluding Observations to elaborate this point.</w:t>
      </w:r>
      <w:r w:rsidR="005F0601">
        <w:rPr>
          <w:rStyle w:val="FootnoteReference"/>
          <w:rFonts w:ascii="Arial Narrow" w:hAnsi="Arial Narrow"/>
        </w:rPr>
        <w:footnoteReference w:id="50"/>
      </w:r>
    </w:p>
    <w:p w14:paraId="38E0C77D" w14:textId="77777777" w:rsidR="005770F2" w:rsidRPr="005770F2" w:rsidRDefault="005770F2" w:rsidP="005770F2">
      <w:pPr>
        <w:pStyle w:val="ListParagraph"/>
        <w:rPr>
          <w:rFonts w:ascii="Arial Narrow" w:hAnsi="Arial Narrow"/>
        </w:rPr>
      </w:pPr>
    </w:p>
    <w:p w14:paraId="0AAA5B1A" w14:textId="5DE073FE" w:rsidR="009800A6" w:rsidRDefault="005F0601" w:rsidP="009800A6">
      <w:pPr>
        <w:pStyle w:val="ListParagraph"/>
        <w:numPr>
          <w:ilvl w:val="0"/>
          <w:numId w:val="1"/>
        </w:numPr>
        <w:spacing w:after="0" w:line="276" w:lineRule="auto"/>
        <w:jc w:val="both"/>
        <w:rPr>
          <w:rFonts w:ascii="Arial Narrow" w:hAnsi="Arial Narrow"/>
        </w:rPr>
      </w:pPr>
      <w:r>
        <w:rPr>
          <w:rFonts w:ascii="Arial Narrow" w:hAnsi="Arial Narrow"/>
        </w:rPr>
        <w:t xml:space="preserve">The Committee should also draw upon the </w:t>
      </w:r>
      <w:r w:rsidR="009800A6">
        <w:rPr>
          <w:rFonts w:ascii="Arial Narrow" w:hAnsi="Arial Narrow"/>
        </w:rPr>
        <w:t>UN Special Rapporteur on the protection and promotion of human rights while countering terrorism</w:t>
      </w:r>
      <w:r>
        <w:rPr>
          <w:rFonts w:ascii="Arial Narrow" w:hAnsi="Arial Narrow"/>
        </w:rPr>
        <w:t>’s work in this field. In the mandate’s</w:t>
      </w:r>
      <w:r w:rsidR="009800A6">
        <w:rPr>
          <w:rFonts w:ascii="Arial Narrow" w:hAnsi="Arial Narrow"/>
        </w:rPr>
        <w:t xml:space="preserve"> recent report to the Human Rights Council,</w:t>
      </w:r>
      <w:r>
        <w:rPr>
          <w:rFonts w:ascii="Arial Narrow" w:hAnsi="Arial Narrow"/>
        </w:rPr>
        <w:t xml:space="preserve"> she</w:t>
      </w:r>
      <w:r w:rsidR="009800A6">
        <w:rPr>
          <w:rFonts w:ascii="Arial Narrow" w:hAnsi="Arial Narrow"/>
        </w:rPr>
        <w:t xml:space="preserve"> observed: </w:t>
      </w:r>
    </w:p>
    <w:p w14:paraId="164C4EAA" w14:textId="77777777" w:rsidR="009800A6" w:rsidRDefault="009800A6" w:rsidP="009800A6">
      <w:pPr>
        <w:pStyle w:val="ListParagraph"/>
        <w:spacing w:after="0" w:line="276" w:lineRule="auto"/>
        <w:ind w:left="360"/>
        <w:jc w:val="both"/>
        <w:rPr>
          <w:rFonts w:ascii="Arial" w:hAnsi="Arial" w:cs="Arial"/>
          <w:sz w:val="25"/>
          <w:szCs w:val="25"/>
        </w:rPr>
      </w:pPr>
    </w:p>
    <w:p w14:paraId="261ABA60" w14:textId="0B36B791" w:rsidR="009800A6" w:rsidRPr="009800A6" w:rsidRDefault="009800A6" w:rsidP="009800A6">
      <w:pPr>
        <w:pStyle w:val="ListParagraph"/>
        <w:spacing w:after="0" w:line="276" w:lineRule="auto"/>
        <w:jc w:val="both"/>
        <w:rPr>
          <w:rFonts w:ascii="Arial Narrow" w:hAnsi="Arial Narrow"/>
          <w:sz w:val="20"/>
          <w:szCs w:val="20"/>
        </w:rPr>
      </w:pPr>
      <w:r w:rsidRPr="009800A6">
        <w:rPr>
          <w:rFonts w:ascii="Arial Narrow" w:hAnsi="Arial Narrow" w:cs="Arial"/>
          <w:i/>
          <w:sz w:val="20"/>
          <w:szCs w:val="20"/>
        </w:rPr>
        <w:t xml:space="preserve">Emboldened by pervasive security rhetoric, the last few years have seen the emergence of ever more unhinged laws that directly or indirectly choke and suppress civil society. Not necessarily addressing a direct threat of terrorism, such legislation typically addresses the need to protect national security, including through the use of </w:t>
      </w:r>
      <w:r w:rsidRPr="009800A6">
        <w:rPr>
          <w:rStyle w:val="highlight"/>
          <w:rFonts w:ascii="Arial Narrow" w:hAnsi="Arial Narrow" w:cs="Arial"/>
          <w:i/>
          <w:sz w:val="20"/>
          <w:szCs w:val="20"/>
        </w:rPr>
        <w:t>emergency</w:t>
      </w:r>
      <w:r w:rsidRPr="009800A6">
        <w:rPr>
          <w:rFonts w:ascii="Arial Narrow" w:hAnsi="Arial Narrow" w:cs="Arial"/>
          <w:i/>
          <w:sz w:val="20"/>
          <w:szCs w:val="20"/>
        </w:rPr>
        <w:t xml:space="preserve"> powers.</w:t>
      </w:r>
      <w:r>
        <w:rPr>
          <w:rStyle w:val="FootnoteReference"/>
          <w:rFonts w:ascii="Arial Narrow" w:hAnsi="Arial Narrow" w:cs="Arial"/>
          <w:i/>
          <w:sz w:val="20"/>
          <w:szCs w:val="20"/>
        </w:rPr>
        <w:footnoteReference w:id="51"/>
      </w:r>
    </w:p>
    <w:p w14:paraId="10E434C4" w14:textId="6BEECDE3" w:rsidR="009800A6" w:rsidRDefault="009800A6" w:rsidP="00B44974">
      <w:pPr>
        <w:spacing w:after="0" w:line="276" w:lineRule="auto"/>
        <w:jc w:val="both"/>
        <w:rPr>
          <w:rFonts w:ascii="Arial Narrow" w:hAnsi="Arial Narrow"/>
          <w:b/>
        </w:rPr>
      </w:pPr>
    </w:p>
    <w:p w14:paraId="435D755A" w14:textId="120B23A1" w:rsidR="009800A6" w:rsidRPr="0085373B" w:rsidRDefault="005F0601" w:rsidP="005F0601">
      <w:pPr>
        <w:pStyle w:val="ListParagraph"/>
        <w:numPr>
          <w:ilvl w:val="0"/>
          <w:numId w:val="1"/>
        </w:numPr>
        <w:spacing w:after="0" w:line="276" w:lineRule="auto"/>
        <w:jc w:val="both"/>
        <w:rPr>
          <w:rFonts w:ascii="Arial Narrow" w:hAnsi="Arial Narrow"/>
        </w:rPr>
      </w:pPr>
      <w:r>
        <w:rPr>
          <w:rFonts w:ascii="Arial Narrow" w:hAnsi="Arial Narrow"/>
        </w:rPr>
        <w:t>In her 2017 Human Rights Council report on “states of emergency” the mandate called for</w:t>
      </w:r>
      <w:r w:rsidR="009800A6">
        <w:rPr>
          <w:rFonts w:ascii="Arial Narrow" w:hAnsi="Arial Narrow"/>
        </w:rPr>
        <w:t xml:space="preserve"> “</w:t>
      </w:r>
      <w:r w:rsidR="00D0196B">
        <w:rPr>
          <w:rFonts w:ascii="Arial Narrow" w:hAnsi="Arial Narrow"/>
        </w:rPr>
        <w:t>the reach and breadth of counter-terrorism law that enables de facto, complex and permanent states of emergency [to be] recognized and robustly regulated.”</w:t>
      </w:r>
      <w:r w:rsidR="00D0196B">
        <w:rPr>
          <w:rStyle w:val="FootnoteReference"/>
          <w:rFonts w:ascii="Arial Narrow" w:hAnsi="Arial Narrow"/>
        </w:rPr>
        <w:footnoteReference w:id="52"/>
      </w:r>
      <w:r w:rsidR="00D0196B">
        <w:rPr>
          <w:rFonts w:ascii="Arial Narrow" w:hAnsi="Arial Narrow"/>
        </w:rPr>
        <w:t xml:space="preserve"> The Committee should draw upon her recommendations, in particular to restate the prohibition on permanent states of emergency, and ensure that properly declared emergencies and associated derogations from international human rights treaties are </w:t>
      </w:r>
      <w:r w:rsidR="0085373B">
        <w:rPr>
          <w:rFonts w:ascii="Arial Narrow" w:hAnsi="Arial Narrow"/>
        </w:rPr>
        <w:t xml:space="preserve">subject to judicial oversight, and are </w:t>
      </w:r>
      <w:r w:rsidR="00D0196B">
        <w:rPr>
          <w:rFonts w:ascii="Arial Narrow" w:hAnsi="Arial Narrow"/>
        </w:rPr>
        <w:t>regularly reviewed for their necessity and proportionality, with particular attention to their potentially discriminatory impacts.</w:t>
      </w:r>
      <w:r w:rsidR="00D0196B">
        <w:rPr>
          <w:rStyle w:val="FootnoteReference"/>
          <w:rFonts w:ascii="Arial Narrow" w:hAnsi="Arial Narrow"/>
        </w:rPr>
        <w:footnoteReference w:id="53"/>
      </w:r>
      <w:r w:rsidR="0085373B">
        <w:rPr>
          <w:rFonts w:ascii="Arial Narrow" w:hAnsi="Arial Narrow"/>
        </w:rPr>
        <w:t xml:space="preserve"> </w:t>
      </w:r>
      <w:r w:rsidR="00D0196B" w:rsidRPr="0085373B">
        <w:rPr>
          <w:rFonts w:ascii="Arial Narrow" w:hAnsi="Arial Narrow"/>
        </w:rPr>
        <w:t xml:space="preserve">In the rare circumstances that </w:t>
      </w:r>
      <w:r w:rsidR="0085373B">
        <w:rPr>
          <w:rFonts w:ascii="Arial Narrow" w:hAnsi="Arial Narrow"/>
        </w:rPr>
        <w:t>States legitimately derogate</w:t>
      </w:r>
      <w:r w:rsidR="00D0196B" w:rsidRPr="0085373B">
        <w:rPr>
          <w:rFonts w:ascii="Arial Narrow" w:hAnsi="Arial Narrow"/>
        </w:rPr>
        <w:t xml:space="preserve"> from Article 21 ICCPR</w:t>
      </w:r>
      <w:r w:rsidR="0085373B" w:rsidRPr="0085373B">
        <w:rPr>
          <w:rFonts w:ascii="Arial Narrow" w:hAnsi="Arial Narrow"/>
        </w:rPr>
        <w:t xml:space="preserve">, </w:t>
      </w:r>
      <w:r w:rsidR="0085373B" w:rsidRPr="0085373B">
        <w:rPr>
          <w:rFonts w:ascii="Arial Narrow" w:hAnsi="Arial Narrow" w:cs="Arial"/>
        </w:rPr>
        <w:t>procedural rights that enable contestation, debate and review of emergency powers</w:t>
      </w:r>
      <w:r w:rsidR="0085373B">
        <w:rPr>
          <w:rFonts w:ascii="Arial Narrow" w:hAnsi="Arial Narrow" w:cs="Arial"/>
        </w:rPr>
        <w:t xml:space="preserve"> </w:t>
      </w:r>
      <w:r w:rsidR="0085373B" w:rsidRPr="0085373B">
        <w:rPr>
          <w:rFonts w:ascii="Arial Narrow" w:hAnsi="Arial Narrow" w:cs="Arial"/>
        </w:rPr>
        <w:t>are</w:t>
      </w:r>
      <w:r w:rsidR="0085373B">
        <w:rPr>
          <w:rFonts w:ascii="Arial Narrow" w:hAnsi="Arial Narrow" w:cs="Arial"/>
        </w:rPr>
        <w:t xml:space="preserve"> </w:t>
      </w:r>
      <w:r w:rsidR="0085373B" w:rsidRPr="0085373B">
        <w:rPr>
          <w:rFonts w:ascii="Arial Narrow" w:hAnsi="Arial Narrow" w:cs="Arial"/>
        </w:rPr>
        <w:t>critical</w:t>
      </w:r>
      <w:r w:rsidR="0085373B">
        <w:rPr>
          <w:rFonts w:ascii="Arial Narrow" w:hAnsi="Arial Narrow" w:cs="Arial"/>
        </w:rPr>
        <w:t>.</w:t>
      </w:r>
      <w:r w:rsidR="0085373B">
        <w:rPr>
          <w:rStyle w:val="FootnoteReference"/>
          <w:rFonts w:ascii="Arial Narrow" w:hAnsi="Arial Narrow" w:cs="Arial"/>
        </w:rPr>
        <w:footnoteReference w:id="54"/>
      </w:r>
      <w:r w:rsidR="0085373B">
        <w:rPr>
          <w:rFonts w:ascii="Arial Narrow" w:hAnsi="Arial Narrow" w:cs="Arial"/>
        </w:rPr>
        <w:t xml:space="preserve"> At the same time, the Committee should be clear that derogations from Article 21 </w:t>
      </w:r>
      <w:r w:rsidR="0085373B">
        <w:rPr>
          <w:rFonts w:ascii="Arial Narrow" w:hAnsi="Arial Narrow" w:cs="Arial"/>
        </w:rPr>
        <w:lastRenderedPageBreak/>
        <w:t xml:space="preserve">ICCPR do not affect the engagement of non-derogable rights in assemblies, for example the absolute prohibition on torture. </w:t>
      </w:r>
    </w:p>
    <w:p w14:paraId="205691E4" w14:textId="1E7CC299" w:rsidR="00686F83" w:rsidRDefault="00686F83" w:rsidP="00B44974">
      <w:pPr>
        <w:spacing w:after="0" w:line="276" w:lineRule="auto"/>
        <w:jc w:val="both"/>
        <w:rPr>
          <w:rFonts w:ascii="Arial Narrow" w:hAnsi="Arial Narrow"/>
          <w:b/>
        </w:rPr>
      </w:pPr>
    </w:p>
    <w:p w14:paraId="00E5937A" w14:textId="78E5A2EE" w:rsidR="00932C4D" w:rsidRPr="00686F83" w:rsidRDefault="009800A6" w:rsidP="00B44974">
      <w:pPr>
        <w:spacing w:after="0" w:line="276" w:lineRule="auto"/>
        <w:jc w:val="both"/>
        <w:rPr>
          <w:rFonts w:ascii="Arial Narrow" w:hAnsi="Arial Narrow"/>
          <w:b/>
        </w:rPr>
      </w:pPr>
      <w:r>
        <w:rPr>
          <w:rFonts w:ascii="Arial Narrow" w:hAnsi="Arial Narrow"/>
          <w:b/>
        </w:rPr>
        <w:t>Non-discrimination</w:t>
      </w:r>
    </w:p>
    <w:p w14:paraId="3469178C" w14:textId="637A2051" w:rsidR="005F0601" w:rsidRDefault="005F0601" w:rsidP="00231667">
      <w:pPr>
        <w:pStyle w:val="ListParagraph"/>
        <w:numPr>
          <w:ilvl w:val="0"/>
          <w:numId w:val="1"/>
        </w:numPr>
        <w:spacing w:after="0" w:line="276" w:lineRule="auto"/>
        <w:jc w:val="both"/>
        <w:rPr>
          <w:rFonts w:ascii="Arial Narrow" w:hAnsi="Arial Narrow"/>
        </w:rPr>
      </w:pPr>
      <w:r>
        <w:rPr>
          <w:rFonts w:ascii="Arial Narrow" w:hAnsi="Arial Narrow"/>
        </w:rPr>
        <w:t xml:space="preserve">In General Comment No. 37, the Committee should </w:t>
      </w:r>
      <w:r w:rsidR="00231667">
        <w:rPr>
          <w:rFonts w:ascii="Arial Narrow" w:hAnsi="Arial Narrow"/>
        </w:rPr>
        <w:t>expressly</w:t>
      </w:r>
      <w:r>
        <w:rPr>
          <w:rFonts w:ascii="Arial Narrow" w:hAnsi="Arial Narrow"/>
        </w:rPr>
        <w:t xml:space="preserve"> raise concerns </w:t>
      </w:r>
      <w:r w:rsidR="00231667">
        <w:rPr>
          <w:rFonts w:ascii="Arial Narrow" w:hAnsi="Arial Narrow"/>
        </w:rPr>
        <w:t xml:space="preserve">at the discriminatory targeting </w:t>
      </w:r>
      <w:r w:rsidR="00530B2A">
        <w:rPr>
          <w:rFonts w:ascii="Arial Narrow" w:hAnsi="Arial Narrow"/>
        </w:rPr>
        <w:t>of individuals and groups, who often belong to</w:t>
      </w:r>
      <w:r w:rsidR="00231667">
        <w:rPr>
          <w:rFonts w:ascii="Arial Narrow" w:hAnsi="Arial Narrow"/>
        </w:rPr>
        <w:t xml:space="preserve"> minorities, on the basis of protected characteristics, </w:t>
      </w:r>
      <w:r w:rsidR="00126411" w:rsidRPr="00231667">
        <w:rPr>
          <w:rFonts w:ascii="Arial Narrow" w:hAnsi="Arial Narrow"/>
        </w:rPr>
        <w:t xml:space="preserve">in particular where they collectively exercise their rights to challenge discrimination or </w:t>
      </w:r>
      <w:r w:rsidR="00231667" w:rsidRPr="00231667">
        <w:rPr>
          <w:rFonts w:ascii="Arial Narrow" w:hAnsi="Arial Narrow"/>
        </w:rPr>
        <w:t xml:space="preserve">to </w:t>
      </w:r>
      <w:r w:rsidR="00126411" w:rsidRPr="00231667">
        <w:rPr>
          <w:rFonts w:ascii="Arial Narrow" w:hAnsi="Arial Narrow"/>
        </w:rPr>
        <w:t>criticise the government or other powerful actors</w:t>
      </w:r>
      <w:r w:rsidR="00231667" w:rsidRPr="00231667">
        <w:rPr>
          <w:rFonts w:ascii="Arial Narrow" w:hAnsi="Arial Narrow"/>
        </w:rPr>
        <w:t>.</w:t>
      </w:r>
      <w:r w:rsidR="00686F83">
        <w:rPr>
          <w:rStyle w:val="FootnoteReference"/>
          <w:rFonts w:ascii="Arial Narrow" w:hAnsi="Arial Narrow"/>
        </w:rPr>
        <w:footnoteReference w:id="55"/>
      </w:r>
      <w:r w:rsidR="00231667">
        <w:rPr>
          <w:rFonts w:ascii="Arial Narrow" w:hAnsi="Arial Narrow"/>
        </w:rPr>
        <w:t xml:space="preserve"> An expansive interpretation should be given to protected characteristics, with a specific but non-exhaustive listing, expanding on the grounds listed in Articles 2</w:t>
      </w:r>
      <w:r w:rsidR="007D490D">
        <w:rPr>
          <w:rFonts w:ascii="Arial Narrow" w:hAnsi="Arial Narrow"/>
        </w:rPr>
        <w:t>(1)</w:t>
      </w:r>
      <w:r w:rsidR="00231667">
        <w:rPr>
          <w:rFonts w:ascii="Arial Narrow" w:hAnsi="Arial Narrow"/>
        </w:rPr>
        <w:t xml:space="preserve"> and 26 of the ICCPR</w:t>
      </w:r>
      <w:r w:rsidR="007D490D">
        <w:rPr>
          <w:rFonts w:ascii="Arial Narrow" w:hAnsi="Arial Narrow"/>
        </w:rPr>
        <w:t xml:space="preserve">, consistent with </w:t>
      </w:r>
      <w:r w:rsidR="00231667">
        <w:rPr>
          <w:rFonts w:ascii="Arial Narrow" w:hAnsi="Arial Narrow"/>
        </w:rPr>
        <w:t>the Committee’s jurisprudence.</w:t>
      </w:r>
      <w:r w:rsidR="00231667">
        <w:rPr>
          <w:rStyle w:val="FootnoteReference"/>
          <w:rFonts w:ascii="Arial Narrow" w:hAnsi="Arial Narrow"/>
        </w:rPr>
        <w:footnoteReference w:id="56"/>
      </w:r>
      <w:r w:rsidR="00530B2A">
        <w:rPr>
          <w:rFonts w:ascii="Arial Narrow" w:hAnsi="Arial Narrow"/>
        </w:rPr>
        <w:t xml:space="preserve"> </w:t>
      </w:r>
    </w:p>
    <w:p w14:paraId="5EF797ED" w14:textId="50B65EFA" w:rsidR="00231667" w:rsidRDefault="00231667" w:rsidP="00231667">
      <w:pPr>
        <w:pStyle w:val="ListParagraph"/>
        <w:spacing w:after="0" w:line="276" w:lineRule="auto"/>
        <w:ind w:left="360"/>
        <w:jc w:val="both"/>
        <w:rPr>
          <w:rFonts w:ascii="Arial Narrow" w:hAnsi="Arial Narrow"/>
        </w:rPr>
      </w:pPr>
    </w:p>
    <w:p w14:paraId="0703B7F7" w14:textId="33F3196C" w:rsidR="00686F83" w:rsidRDefault="00686F83" w:rsidP="00231667">
      <w:pPr>
        <w:pStyle w:val="ListParagraph"/>
        <w:numPr>
          <w:ilvl w:val="0"/>
          <w:numId w:val="1"/>
        </w:numPr>
        <w:spacing w:after="0" w:line="276" w:lineRule="auto"/>
        <w:jc w:val="both"/>
        <w:rPr>
          <w:rFonts w:ascii="Arial Narrow" w:hAnsi="Arial Narrow"/>
        </w:rPr>
      </w:pPr>
      <w:r>
        <w:rPr>
          <w:rFonts w:ascii="Arial Narrow" w:hAnsi="Arial Narrow"/>
        </w:rPr>
        <w:t>For individuals and groups who face discrimination</w:t>
      </w:r>
      <w:r w:rsidR="00530B2A">
        <w:rPr>
          <w:rFonts w:ascii="Arial Narrow" w:hAnsi="Arial Narrow"/>
        </w:rPr>
        <w:t xml:space="preserve">, </w:t>
      </w:r>
      <w:r w:rsidR="00764EE0">
        <w:rPr>
          <w:rFonts w:ascii="Arial Narrow" w:hAnsi="Arial Narrow"/>
        </w:rPr>
        <w:t>including</w:t>
      </w:r>
      <w:r w:rsidR="002E5150">
        <w:rPr>
          <w:rFonts w:ascii="Arial Narrow" w:hAnsi="Arial Narrow"/>
        </w:rPr>
        <w:t xml:space="preserve"> multiple and intersecting forms</w:t>
      </w:r>
      <w:r w:rsidR="00764EE0">
        <w:rPr>
          <w:rFonts w:ascii="Arial Narrow" w:hAnsi="Arial Narrow"/>
        </w:rPr>
        <w:t xml:space="preserve"> of discrimination</w:t>
      </w:r>
      <w:r w:rsidR="002E5150">
        <w:rPr>
          <w:rFonts w:ascii="Arial Narrow" w:hAnsi="Arial Narrow"/>
        </w:rPr>
        <w:t xml:space="preserve">, </w:t>
      </w:r>
      <w:r w:rsidR="00530B2A">
        <w:rPr>
          <w:rFonts w:ascii="Arial Narrow" w:hAnsi="Arial Narrow"/>
        </w:rPr>
        <w:t>exercising</w:t>
      </w:r>
      <w:r>
        <w:rPr>
          <w:rFonts w:ascii="Arial Narrow" w:hAnsi="Arial Narrow"/>
        </w:rPr>
        <w:t xml:space="preserve"> their right</w:t>
      </w:r>
      <w:r w:rsidR="00530B2A">
        <w:rPr>
          <w:rFonts w:ascii="Arial Narrow" w:hAnsi="Arial Narrow"/>
        </w:rPr>
        <w:t>s</w:t>
      </w:r>
      <w:r w:rsidR="00AE5CD1">
        <w:rPr>
          <w:rFonts w:ascii="Arial Narrow" w:hAnsi="Arial Narrow"/>
        </w:rPr>
        <w:t xml:space="preserve"> of peaceful assembly</w:t>
      </w:r>
      <w:r>
        <w:rPr>
          <w:rFonts w:ascii="Arial Narrow" w:hAnsi="Arial Narrow"/>
        </w:rPr>
        <w:t xml:space="preserve"> can carry </w:t>
      </w:r>
      <w:r w:rsidR="002E5150">
        <w:rPr>
          <w:rFonts w:ascii="Arial Narrow" w:hAnsi="Arial Narrow"/>
        </w:rPr>
        <w:t>additional and different</w:t>
      </w:r>
      <w:r w:rsidR="00764EE0">
        <w:rPr>
          <w:rFonts w:ascii="Arial Narrow" w:hAnsi="Arial Narrow"/>
        </w:rPr>
        <w:t>ial</w:t>
      </w:r>
      <w:r w:rsidR="002E5150">
        <w:rPr>
          <w:rFonts w:ascii="Arial Narrow" w:hAnsi="Arial Narrow"/>
        </w:rPr>
        <w:t xml:space="preserve"> risks.</w:t>
      </w:r>
      <w:r>
        <w:rPr>
          <w:rFonts w:ascii="Arial Narrow" w:hAnsi="Arial Narrow"/>
        </w:rPr>
        <w:t xml:space="preserve"> </w:t>
      </w:r>
      <w:r w:rsidR="002E5150">
        <w:rPr>
          <w:rFonts w:ascii="Arial Narrow" w:hAnsi="Arial Narrow"/>
        </w:rPr>
        <w:t xml:space="preserve">These risks may vary in form, and include legal, physical, or digital security risks. </w:t>
      </w:r>
      <w:r w:rsidR="00AE5CD1">
        <w:rPr>
          <w:rFonts w:ascii="Arial Narrow" w:hAnsi="Arial Narrow"/>
        </w:rPr>
        <w:t>Where such risks are identified, measures should</w:t>
      </w:r>
      <w:r>
        <w:rPr>
          <w:rFonts w:ascii="Arial Narrow" w:hAnsi="Arial Narrow"/>
        </w:rPr>
        <w:t xml:space="preserve"> be taken to ensure such </w:t>
      </w:r>
      <w:r w:rsidR="00AE5CD1">
        <w:rPr>
          <w:rFonts w:ascii="Arial Narrow" w:hAnsi="Arial Narrow"/>
        </w:rPr>
        <w:t xml:space="preserve">individuals and </w:t>
      </w:r>
      <w:r>
        <w:rPr>
          <w:rFonts w:ascii="Arial Narrow" w:hAnsi="Arial Narrow"/>
        </w:rPr>
        <w:t>groups may exercise their rights</w:t>
      </w:r>
      <w:r w:rsidR="002E5150">
        <w:rPr>
          <w:rFonts w:ascii="Arial Narrow" w:hAnsi="Arial Narrow"/>
        </w:rPr>
        <w:t>, including, where necessary, through reforms</w:t>
      </w:r>
      <w:r w:rsidR="00764EE0">
        <w:rPr>
          <w:rFonts w:ascii="Arial Narrow" w:hAnsi="Arial Narrow"/>
        </w:rPr>
        <w:t xml:space="preserve"> to bring laws and policies in line with international human rights law</w:t>
      </w:r>
      <w:r w:rsidR="002E5150">
        <w:rPr>
          <w:rFonts w:ascii="Arial Narrow" w:hAnsi="Arial Narrow"/>
        </w:rPr>
        <w:t>, training of (and where necessary disciplinary action against) law enforcement, and measures to protect individuals from counter-protesters</w:t>
      </w:r>
      <w:r w:rsidR="00764EE0">
        <w:rPr>
          <w:rFonts w:ascii="Arial Narrow" w:hAnsi="Arial Narrow"/>
        </w:rPr>
        <w:t xml:space="preserve"> or agents provocateur</w:t>
      </w:r>
      <w:r>
        <w:rPr>
          <w:rFonts w:ascii="Arial Narrow" w:hAnsi="Arial Narrow"/>
        </w:rPr>
        <w:t>.</w:t>
      </w:r>
      <w:r>
        <w:rPr>
          <w:rStyle w:val="FootnoteReference"/>
          <w:rFonts w:ascii="Arial Narrow" w:hAnsi="Arial Narrow"/>
        </w:rPr>
        <w:footnoteReference w:id="57"/>
      </w:r>
      <w:r>
        <w:rPr>
          <w:rFonts w:ascii="Arial Narrow" w:hAnsi="Arial Narrow"/>
        </w:rPr>
        <w:t xml:space="preserve">  </w:t>
      </w:r>
    </w:p>
    <w:p w14:paraId="53EB47AD" w14:textId="77777777" w:rsidR="00686F83" w:rsidRPr="00686F83" w:rsidRDefault="00686F83" w:rsidP="00686F83">
      <w:pPr>
        <w:pStyle w:val="ListParagraph"/>
        <w:rPr>
          <w:rFonts w:ascii="Arial Narrow" w:hAnsi="Arial Narrow"/>
        </w:rPr>
      </w:pPr>
    </w:p>
    <w:p w14:paraId="71790F10" w14:textId="2BADCAC6" w:rsidR="00231667" w:rsidRDefault="00686F83" w:rsidP="002E5150">
      <w:pPr>
        <w:pStyle w:val="ListParagraph"/>
        <w:numPr>
          <w:ilvl w:val="0"/>
          <w:numId w:val="1"/>
        </w:numPr>
        <w:spacing w:after="0" w:line="276" w:lineRule="auto"/>
        <w:jc w:val="both"/>
        <w:rPr>
          <w:rFonts w:ascii="Arial Narrow" w:hAnsi="Arial Narrow"/>
        </w:rPr>
      </w:pPr>
      <w:r>
        <w:rPr>
          <w:rFonts w:ascii="Arial Narrow" w:hAnsi="Arial Narrow"/>
        </w:rPr>
        <w:t>Specific</w:t>
      </w:r>
      <w:r w:rsidR="00231667">
        <w:rPr>
          <w:rFonts w:ascii="Arial Narrow" w:hAnsi="Arial Narrow"/>
        </w:rPr>
        <w:t xml:space="preserve"> consideration should also be given to</w:t>
      </w:r>
      <w:r w:rsidR="00AE5CD1">
        <w:rPr>
          <w:rFonts w:ascii="Arial Narrow" w:hAnsi="Arial Narrow"/>
        </w:rPr>
        <w:t xml:space="preserve"> addressing</w:t>
      </w:r>
      <w:r w:rsidR="00231667">
        <w:rPr>
          <w:rFonts w:ascii="Arial Narrow" w:hAnsi="Arial Narrow"/>
        </w:rPr>
        <w:t xml:space="preserve"> </w:t>
      </w:r>
      <w:r w:rsidR="002E5150">
        <w:rPr>
          <w:rFonts w:ascii="Arial Narrow" w:hAnsi="Arial Narrow"/>
        </w:rPr>
        <w:t xml:space="preserve">the impact of gender-based stereotypes and </w:t>
      </w:r>
      <w:r>
        <w:rPr>
          <w:rFonts w:ascii="Arial Narrow" w:hAnsi="Arial Narrow"/>
        </w:rPr>
        <w:t>gender-based discrimination, including sexual</w:t>
      </w:r>
      <w:r w:rsidR="00AE5CD1">
        <w:rPr>
          <w:rFonts w:ascii="Arial Narrow" w:hAnsi="Arial Narrow"/>
        </w:rPr>
        <w:t xml:space="preserve"> and gender-based violence</w:t>
      </w:r>
      <w:r>
        <w:rPr>
          <w:rFonts w:ascii="Arial Narrow" w:hAnsi="Arial Narrow"/>
        </w:rPr>
        <w:t xml:space="preserve"> against women</w:t>
      </w:r>
      <w:r w:rsidR="00AE5CD1">
        <w:rPr>
          <w:rFonts w:ascii="Arial Narrow" w:hAnsi="Arial Narrow"/>
        </w:rPr>
        <w:t>,</w:t>
      </w:r>
      <w:r w:rsidR="00530B2A">
        <w:rPr>
          <w:rFonts w:ascii="Arial Narrow" w:hAnsi="Arial Narrow"/>
        </w:rPr>
        <w:t xml:space="preserve"> </w:t>
      </w:r>
      <w:r w:rsidR="002E5150">
        <w:rPr>
          <w:rFonts w:ascii="Arial Narrow" w:hAnsi="Arial Narrow"/>
        </w:rPr>
        <w:t>that has the purpose or effect of impairing or nullifying women’s enjoyment of their right of peaceful assembly</w:t>
      </w:r>
      <w:r w:rsidR="00AE5CD1">
        <w:rPr>
          <w:rFonts w:ascii="Arial Narrow" w:hAnsi="Arial Narrow"/>
        </w:rPr>
        <w:t xml:space="preserve">, </w:t>
      </w:r>
      <w:r w:rsidR="002E5150">
        <w:rPr>
          <w:rFonts w:ascii="Arial Narrow" w:hAnsi="Arial Narrow"/>
        </w:rPr>
        <w:t>on the basis of substantive equality</w:t>
      </w:r>
      <w:r w:rsidR="00AE5CD1">
        <w:rPr>
          <w:rFonts w:ascii="Arial Narrow" w:hAnsi="Arial Narrow"/>
        </w:rPr>
        <w:t>.</w:t>
      </w:r>
      <w:r w:rsidR="00AE5CD1">
        <w:rPr>
          <w:rStyle w:val="FootnoteReference"/>
          <w:rFonts w:ascii="Arial Narrow" w:hAnsi="Arial Narrow"/>
        </w:rPr>
        <w:footnoteReference w:id="58"/>
      </w:r>
      <w:r w:rsidR="00530B2A">
        <w:rPr>
          <w:rFonts w:ascii="Arial Narrow" w:hAnsi="Arial Narrow"/>
        </w:rPr>
        <w:t xml:space="preserve"> </w:t>
      </w:r>
      <w:r>
        <w:rPr>
          <w:rFonts w:ascii="Arial Narrow" w:hAnsi="Arial Narrow"/>
        </w:rPr>
        <w:t xml:space="preserve"> </w:t>
      </w:r>
      <w:r w:rsidR="002E5150">
        <w:rPr>
          <w:rFonts w:ascii="Arial Narrow" w:hAnsi="Arial Narrow"/>
        </w:rPr>
        <w:t>This includes addressing the differential impact of gender-based discrimination on the stigmatisation of women protesters, which can increase their exposure to human rights violations and abuses in the context of protest, and obstruct their access to remedies.  Particular attention should be given to the disproportionate risk of sexual- and gender-based violence against women protesters both in the context of assemblies, and in detention.</w:t>
      </w:r>
    </w:p>
    <w:p w14:paraId="598E0E2E" w14:textId="77777777" w:rsidR="00AE5CD1" w:rsidRPr="00AE5CD1" w:rsidRDefault="00AE5CD1" w:rsidP="00AE5CD1">
      <w:pPr>
        <w:pStyle w:val="ListParagraph"/>
        <w:rPr>
          <w:rFonts w:ascii="Arial Narrow" w:hAnsi="Arial Narrow"/>
        </w:rPr>
      </w:pPr>
    </w:p>
    <w:p w14:paraId="3FFCB579" w14:textId="35ADD067" w:rsidR="00126411" w:rsidRPr="00EA6F76" w:rsidRDefault="00AE5CD1" w:rsidP="00EA6F76">
      <w:pPr>
        <w:pStyle w:val="ListParagraph"/>
        <w:numPr>
          <w:ilvl w:val="0"/>
          <w:numId w:val="1"/>
        </w:numPr>
        <w:spacing w:after="0" w:line="276" w:lineRule="auto"/>
        <w:jc w:val="both"/>
        <w:rPr>
          <w:rFonts w:ascii="Arial Narrow" w:hAnsi="Arial Narrow"/>
        </w:rPr>
      </w:pPr>
      <w:r>
        <w:rPr>
          <w:rFonts w:ascii="Arial Narrow" w:hAnsi="Arial Narrow"/>
        </w:rPr>
        <w:t xml:space="preserve">Age-based discrimination against children should also be </w:t>
      </w:r>
      <w:r w:rsidR="00EA6F76">
        <w:rPr>
          <w:rFonts w:ascii="Arial Narrow" w:hAnsi="Arial Narrow"/>
        </w:rPr>
        <w:t>addressed, and specific attention to give to the rights of children to organise and take part in assemblies on the same basis as adults, as guaranteed in Article 15 of the Convention on the Rights of the Child.</w:t>
      </w:r>
      <w:r w:rsidR="00592606">
        <w:rPr>
          <w:rStyle w:val="FootnoteReference"/>
          <w:rFonts w:ascii="Arial Narrow" w:hAnsi="Arial Narrow"/>
        </w:rPr>
        <w:footnoteReference w:id="59"/>
      </w:r>
      <w:r w:rsidR="00EA6F76">
        <w:rPr>
          <w:rFonts w:ascii="Arial Narrow" w:hAnsi="Arial Narrow"/>
        </w:rPr>
        <w:t xml:space="preserve"> The Committee on the Rights of the Child has on elaborated States’ duties under the Convention, and this guidance should be drawn upon in General Comment No. 37</w:t>
      </w:r>
      <w:r w:rsidR="006C114E">
        <w:rPr>
          <w:rFonts w:ascii="Arial Narrow" w:hAnsi="Arial Narrow"/>
        </w:rPr>
        <w:t>, giving due regard to the autonomy of children as well as their potential vulnerability</w:t>
      </w:r>
      <w:r w:rsidR="00EA6F76">
        <w:rPr>
          <w:rFonts w:ascii="Arial Narrow" w:hAnsi="Arial Narrow"/>
        </w:rPr>
        <w:t>.</w:t>
      </w:r>
      <w:r w:rsidR="00EA6F76" w:rsidRPr="00FD3C57">
        <w:rPr>
          <w:rFonts w:ascii="Calibri" w:eastAsia="Calibri" w:hAnsi="Calibri" w:cs="Calibri"/>
          <w:vertAlign w:val="superscript"/>
        </w:rPr>
        <w:footnoteReference w:id="60"/>
      </w:r>
      <w:r w:rsidR="002E5150">
        <w:rPr>
          <w:rFonts w:ascii="Arial Narrow" w:hAnsi="Arial Narrow"/>
        </w:rPr>
        <w:t xml:space="preserve"> It should also be noted that age-based discrimination against the participation of children in assemblies may prevent</w:t>
      </w:r>
      <w:r w:rsidR="00764EE0">
        <w:rPr>
          <w:rFonts w:ascii="Arial Narrow" w:hAnsi="Arial Narrow"/>
        </w:rPr>
        <w:t xml:space="preserve"> primary care-givers for children – disproportionately women </w:t>
      </w:r>
      <w:r w:rsidR="00DB12CC">
        <w:rPr>
          <w:rFonts w:ascii="Arial Narrow" w:hAnsi="Arial Narrow"/>
        </w:rPr>
        <w:t>– from exercising their rights</w:t>
      </w:r>
      <w:r w:rsidR="002E5150">
        <w:rPr>
          <w:rFonts w:ascii="Arial Narrow" w:hAnsi="Arial Narrow"/>
        </w:rPr>
        <w:t xml:space="preserve">. </w:t>
      </w:r>
    </w:p>
    <w:p w14:paraId="6AC79DE3" w14:textId="77777777" w:rsidR="00EA6F76" w:rsidRDefault="00EA6F76" w:rsidP="00EA6F76">
      <w:pPr>
        <w:pStyle w:val="ListParagraph"/>
        <w:spacing w:after="0" w:line="276" w:lineRule="auto"/>
        <w:ind w:left="360"/>
        <w:jc w:val="both"/>
        <w:rPr>
          <w:rFonts w:ascii="Arial Narrow" w:hAnsi="Arial Narrow"/>
        </w:rPr>
      </w:pPr>
    </w:p>
    <w:p w14:paraId="58D240C1" w14:textId="34C67A1E" w:rsidR="005F0601" w:rsidRPr="006C114E" w:rsidRDefault="00126411" w:rsidP="00B44974">
      <w:pPr>
        <w:pStyle w:val="ListParagraph"/>
        <w:numPr>
          <w:ilvl w:val="0"/>
          <w:numId w:val="1"/>
        </w:numPr>
        <w:spacing w:after="0" w:line="276" w:lineRule="auto"/>
        <w:jc w:val="both"/>
        <w:rPr>
          <w:rFonts w:ascii="Arial Narrow" w:hAnsi="Arial Narrow"/>
        </w:rPr>
      </w:pPr>
      <w:r>
        <w:rPr>
          <w:rFonts w:ascii="Arial Narrow" w:hAnsi="Arial Narrow"/>
        </w:rPr>
        <w:t xml:space="preserve">Questions pertaining to </w:t>
      </w:r>
      <w:r w:rsidR="00231667">
        <w:rPr>
          <w:rFonts w:ascii="Arial Narrow" w:hAnsi="Arial Narrow"/>
        </w:rPr>
        <w:t>States’ obligations under Article 20(2) of the ICCPR to</w:t>
      </w:r>
      <w:r>
        <w:rPr>
          <w:rFonts w:ascii="Arial Narrow" w:hAnsi="Arial Narrow"/>
        </w:rPr>
        <w:t xml:space="preserve"> prohibit advocacy of hatred that constitutes incitement to discri</w:t>
      </w:r>
      <w:r w:rsidR="00231667">
        <w:rPr>
          <w:rFonts w:ascii="Arial Narrow" w:hAnsi="Arial Narrow"/>
        </w:rPr>
        <w:t xml:space="preserve">mination, hostility or violence, are examined below. </w:t>
      </w:r>
    </w:p>
    <w:p w14:paraId="60EB9D6E" w14:textId="278DF258" w:rsidR="005F0601" w:rsidRDefault="005F0601" w:rsidP="00B44974">
      <w:pPr>
        <w:spacing w:after="0" w:line="276" w:lineRule="auto"/>
        <w:jc w:val="both"/>
        <w:rPr>
          <w:rFonts w:ascii="Arial Narrow" w:hAnsi="Arial Narrow"/>
        </w:rPr>
      </w:pPr>
    </w:p>
    <w:p w14:paraId="0B96E5CD" w14:textId="77777777" w:rsidR="006C114E" w:rsidRDefault="006C114E" w:rsidP="00B44974">
      <w:pPr>
        <w:spacing w:after="0" w:line="276" w:lineRule="auto"/>
        <w:jc w:val="both"/>
        <w:rPr>
          <w:rFonts w:ascii="Arial Narrow" w:hAnsi="Arial Narrow"/>
        </w:rPr>
      </w:pPr>
    </w:p>
    <w:p w14:paraId="5DB2F595" w14:textId="0C1A40BE" w:rsidR="00B44974" w:rsidRPr="00B44974" w:rsidRDefault="00B44974" w:rsidP="00B44974">
      <w:pPr>
        <w:pStyle w:val="ListParagraph"/>
        <w:numPr>
          <w:ilvl w:val="0"/>
          <w:numId w:val="13"/>
        </w:numPr>
        <w:spacing w:after="0" w:line="276" w:lineRule="auto"/>
        <w:jc w:val="both"/>
        <w:rPr>
          <w:rFonts w:ascii="Arial Narrow" w:hAnsi="Arial Narrow" w:cs="Arial"/>
          <w:b/>
          <w:sz w:val="28"/>
        </w:rPr>
      </w:pPr>
      <w:r>
        <w:rPr>
          <w:rFonts w:ascii="Arial Narrow" w:hAnsi="Arial Narrow" w:cs="Arial"/>
          <w:b/>
          <w:sz w:val="28"/>
        </w:rPr>
        <w:t>Obligation to respect</w:t>
      </w:r>
    </w:p>
    <w:p w14:paraId="3550452F" w14:textId="3B356400" w:rsidR="005E0098" w:rsidRPr="00DC1FFC" w:rsidRDefault="005E0098" w:rsidP="00DC1FFC">
      <w:pPr>
        <w:spacing w:after="0" w:line="276" w:lineRule="auto"/>
        <w:jc w:val="both"/>
        <w:rPr>
          <w:rFonts w:ascii="Arial Narrow" w:hAnsi="Arial Narrow"/>
        </w:rPr>
      </w:pPr>
    </w:p>
    <w:p w14:paraId="605F1CBB" w14:textId="6AF299DE" w:rsidR="00B44974" w:rsidRDefault="00B44974" w:rsidP="00B44974">
      <w:pPr>
        <w:spacing w:after="0" w:line="276" w:lineRule="auto"/>
        <w:rPr>
          <w:rFonts w:ascii="Arial Narrow" w:hAnsi="Arial Narrow"/>
          <w:b/>
        </w:rPr>
      </w:pPr>
      <w:r>
        <w:rPr>
          <w:rFonts w:ascii="Arial Narrow" w:hAnsi="Arial Narrow"/>
          <w:b/>
        </w:rPr>
        <w:t>Presumption in favour of peaceful assembly</w:t>
      </w:r>
      <w:r w:rsidR="00FF034C" w:rsidRPr="00FF034C">
        <w:rPr>
          <w:rStyle w:val="FootnoteReference"/>
          <w:rFonts w:ascii="Arial Narrow" w:hAnsi="Arial Narrow"/>
        </w:rPr>
        <w:footnoteReference w:id="61"/>
      </w:r>
    </w:p>
    <w:p w14:paraId="54663F7D" w14:textId="4A8D37E0" w:rsidR="00932C4D" w:rsidRDefault="0010667E" w:rsidP="00434E83">
      <w:pPr>
        <w:pStyle w:val="ListParagraph"/>
        <w:numPr>
          <w:ilvl w:val="0"/>
          <w:numId w:val="1"/>
        </w:numPr>
        <w:spacing w:after="0" w:line="276" w:lineRule="auto"/>
        <w:jc w:val="both"/>
        <w:rPr>
          <w:rFonts w:ascii="Arial Narrow" w:hAnsi="Arial Narrow"/>
        </w:rPr>
      </w:pPr>
      <w:r>
        <w:rPr>
          <w:rFonts w:ascii="Arial Narrow" w:hAnsi="Arial Narrow"/>
        </w:rPr>
        <w:t>The jurisprudence of the Committee strongly supports a presumption in favour of the right of peaceful assembly</w:t>
      </w:r>
      <w:r w:rsidR="00831C9F">
        <w:rPr>
          <w:rFonts w:ascii="Arial Narrow" w:hAnsi="Arial Narrow"/>
        </w:rPr>
        <w:t>, evidenced b</w:t>
      </w:r>
      <w:r w:rsidR="00592606">
        <w:rPr>
          <w:rFonts w:ascii="Arial Narrow" w:hAnsi="Arial Narrow"/>
        </w:rPr>
        <w:t xml:space="preserve">y the significant number of communications </w:t>
      </w:r>
      <w:r w:rsidR="00831C9F">
        <w:rPr>
          <w:rFonts w:ascii="Arial Narrow" w:hAnsi="Arial Narrow"/>
        </w:rPr>
        <w:t>in which</w:t>
      </w:r>
      <w:r w:rsidR="00592606">
        <w:rPr>
          <w:rFonts w:ascii="Arial Narrow" w:hAnsi="Arial Narrow"/>
        </w:rPr>
        <w:t xml:space="preserve"> a violation of Article 21 of the ICCPR was found for the rejection of</w:t>
      </w:r>
      <w:r w:rsidR="00831C9F">
        <w:rPr>
          <w:rFonts w:ascii="Arial Narrow" w:hAnsi="Arial Narrow"/>
        </w:rPr>
        <w:t xml:space="preserve"> notifications</w:t>
      </w:r>
      <w:r>
        <w:rPr>
          <w:rFonts w:ascii="Arial Narrow" w:hAnsi="Arial Narrow"/>
        </w:rPr>
        <w:t>.</w:t>
      </w:r>
      <w:r w:rsidR="00831C9F">
        <w:rPr>
          <w:rStyle w:val="FootnoteReference"/>
          <w:rFonts w:ascii="Arial Narrow" w:hAnsi="Arial Narrow"/>
        </w:rPr>
        <w:footnoteReference w:id="62"/>
      </w:r>
      <w:r>
        <w:rPr>
          <w:rFonts w:ascii="Arial Narrow" w:hAnsi="Arial Narrow"/>
        </w:rPr>
        <w:t xml:space="preserve"> Similarly, UN special procedures have encouraged States to reflect this presumption in national legal frameworks</w:t>
      </w:r>
      <w:r w:rsidR="00831C9F">
        <w:rPr>
          <w:rFonts w:ascii="Arial Narrow" w:hAnsi="Arial Narrow"/>
        </w:rPr>
        <w:t>, and asserted that “no assembly should be treated as an unprotected assembly”</w:t>
      </w:r>
      <w:r>
        <w:rPr>
          <w:rFonts w:ascii="Arial Narrow" w:hAnsi="Arial Narrow"/>
        </w:rPr>
        <w:t>.</w:t>
      </w:r>
      <w:r>
        <w:rPr>
          <w:rStyle w:val="FootnoteReference"/>
          <w:rFonts w:ascii="Arial Narrow" w:hAnsi="Arial Narrow"/>
        </w:rPr>
        <w:footnoteReference w:id="63"/>
      </w:r>
    </w:p>
    <w:p w14:paraId="26A5701B" w14:textId="31D9EFA9" w:rsidR="00EB5CFE" w:rsidRDefault="00EB5CFE" w:rsidP="00EB5CFE">
      <w:pPr>
        <w:pStyle w:val="ListParagraph"/>
        <w:spacing w:after="0" w:line="276" w:lineRule="auto"/>
        <w:ind w:left="360"/>
        <w:jc w:val="both"/>
        <w:rPr>
          <w:rFonts w:ascii="Arial Narrow" w:hAnsi="Arial Narrow"/>
        </w:rPr>
      </w:pPr>
    </w:p>
    <w:p w14:paraId="6D5D80A0" w14:textId="6B4FB0B0" w:rsidR="00EB5CFE" w:rsidRPr="0010667E" w:rsidRDefault="00EB5CFE" w:rsidP="00434E83">
      <w:pPr>
        <w:pStyle w:val="ListParagraph"/>
        <w:numPr>
          <w:ilvl w:val="0"/>
          <w:numId w:val="1"/>
        </w:numPr>
        <w:spacing w:after="0" w:line="276" w:lineRule="auto"/>
        <w:jc w:val="both"/>
        <w:rPr>
          <w:rFonts w:ascii="Arial Narrow" w:hAnsi="Arial Narrow"/>
        </w:rPr>
      </w:pPr>
      <w:r>
        <w:rPr>
          <w:rFonts w:ascii="Arial Narrow" w:hAnsi="Arial Narrow"/>
        </w:rPr>
        <w:t xml:space="preserve">The presumption in favour of peaceful assembly should also carry with it a responsibility on the part of public officials to not engage in expression or practices to stigmatise assemblies or their participants, but rather recognize protests as legitimate and important forms of public participation. </w:t>
      </w:r>
    </w:p>
    <w:p w14:paraId="03BC5475" w14:textId="77777777" w:rsidR="00B44974" w:rsidRPr="00B44974" w:rsidRDefault="00B44974" w:rsidP="00B44974">
      <w:pPr>
        <w:spacing w:after="0" w:line="276" w:lineRule="auto"/>
        <w:rPr>
          <w:rFonts w:ascii="Arial Narrow" w:hAnsi="Arial Narrow"/>
        </w:rPr>
      </w:pPr>
    </w:p>
    <w:p w14:paraId="3A755883" w14:textId="5FD36BB5" w:rsidR="00B44974" w:rsidRDefault="00B44974" w:rsidP="00B44974">
      <w:pPr>
        <w:spacing w:after="0" w:line="276" w:lineRule="auto"/>
        <w:rPr>
          <w:rFonts w:ascii="Arial Narrow" w:hAnsi="Arial Narrow"/>
          <w:b/>
        </w:rPr>
      </w:pPr>
      <w:r>
        <w:rPr>
          <w:rFonts w:ascii="Arial Narrow" w:hAnsi="Arial Narrow"/>
          <w:b/>
        </w:rPr>
        <w:t xml:space="preserve">Notification regimes </w:t>
      </w:r>
    </w:p>
    <w:p w14:paraId="1C188BCC" w14:textId="1B91472F" w:rsidR="00B44974" w:rsidRDefault="00592606" w:rsidP="001360E8">
      <w:pPr>
        <w:pStyle w:val="ListParagraph"/>
        <w:numPr>
          <w:ilvl w:val="0"/>
          <w:numId w:val="1"/>
        </w:numPr>
        <w:spacing w:after="0" w:line="276" w:lineRule="auto"/>
        <w:jc w:val="both"/>
        <w:rPr>
          <w:rFonts w:ascii="Arial Narrow" w:hAnsi="Arial Narrow"/>
        </w:rPr>
      </w:pPr>
      <w:r>
        <w:rPr>
          <w:rFonts w:ascii="Arial Narrow" w:hAnsi="Arial Narrow"/>
        </w:rPr>
        <w:t>ARTICLE 19 considers that a presumption in favour of the right of peaceful assembly presupposes that individuals should not have to seek permission from the government to exercise the right.</w:t>
      </w:r>
      <w:r>
        <w:rPr>
          <w:rStyle w:val="FootnoteReference"/>
          <w:rFonts w:ascii="Arial Narrow" w:hAnsi="Arial Narrow"/>
        </w:rPr>
        <w:footnoteReference w:id="64"/>
      </w:r>
      <w:r w:rsidR="001360E8">
        <w:rPr>
          <w:rFonts w:ascii="Arial Narrow" w:hAnsi="Arial Narrow"/>
        </w:rPr>
        <w:t xml:space="preserve"> At most, and only for the purpose of enabling authorities, where necessary, to take measures to facilitate a peaceful assembly, voluntary regimes for notification should be in place. </w:t>
      </w:r>
    </w:p>
    <w:p w14:paraId="2F648475" w14:textId="4B6C2DD7" w:rsidR="001360E8" w:rsidRDefault="001360E8" w:rsidP="001360E8">
      <w:pPr>
        <w:pStyle w:val="ListParagraph"/>
        <w:spacing w:after="0" w:line="276" w:lineRule="auto"/>
        <w:ind w:left="360"/>
        <w:jc w:val="both"/>
        <w:rPr>
          <w:rFonts w:ascii="Arial Narrow" w:hAnsi="Arial Narrow"/>
        </w:rPr>
      </w:pPr>
    </w:p>
    <w:p w14:paraId="4242DDB4" w14:textId="6BB6F652" w:rsidR="003D3A52" w:rsidRDefault="003D3A52" w:rsidP="001360E8">
      <w:pPr>
        <w:pStyle w:val="ListParagraph"/>
        <w:numPr>
          <w:ilvl w:val="0"/>
          <w:numId w:val="1"/>
        </w:numPr>
        <w:spacing w:after="0" w:line="276" w:lineRule="auto"/>
        <w:jc w:val="both"/>
        <w:rPr>
          <w:rFonts w:ascii="Arial Narrow" w:hAnsi="Arial Narrow"/>
        </w:rPr>
      </w:pPr>
      <w:r>
        <w:rPr>
          <w:rFonts w:ascii="Arial Narrow" w:hAnsi="Arial Narrow"/>
        </w:rPr>
        <w:t xml:space="preserve">The </w:t>
      </w:r>
      <w:r w:rsidR="00E64F67">
        <w:rPr>
          <w:rFonts w:ascii="Arial Narrow" w:hAnsi="Arial Narrow"/>
        </w:rPr>
        <w:t xml:space="preserve">Committee has </w:t>
      </w:r>
      <w:r w:rsidR="001E19D4">
        <w:rPr>
          <w:rFonts w:ascii="Arial Narrow" w:hAnsi="Arial Narrow"/>
        </w:rPr>
        <w:t xml:space="preserve">routinely criticised States that operate </w:t>
      </w:r>
      <w:r w:rsidR="001E19D4">
        <w:rPr>
          <w:rFonts w:ascii="Arial Narrow" w:hAnsi="Arial Narrow"/>
          <w:i/>
        </w:rPr>
        <w:t xml:space="preserve">de jure </w:t>
      </w:r>
      <w:r w:rsidR="001E19D4">
        <w:rPr>
          <w:rFonts w:ascii="Arial Narrow" w:hAnsi="Arial Narrow"/>
        </w:rPr>
        <w:t xml:space="preserve">or </w:t>
      </w:r>
      <w:r w:rsidR="001E19D4" w:rsidRPr="001E19D4">
        <w:rPr>
          <w:rFonts w:ascii="Arial Narrow" w:hAnsi="Arial Narrow"/>
          <w:i/>
        </w:rPr>
        <w:t>de facto</w:t>
      </w:r>
      <w:r w:rsidR="001E19D4">
        <w:rPr>
          <w:rFonts w:ascii="Arial Narrow" w:hAnsi="Arial Narrow"/>
        </w:rPr>
        <w:t xml:space="preserve"> authorisation regimes</w:t>
      </w:r>
      <w:r>
        <w:rPr>
          <w:rFonts w:ascii="Arial Narrow" w:hAnsi="Arial Narrow"/>
        </w:rPr>
        <w:t>,</w:t>
      </w:r>
      <w:r w:rsidR="001E19D4">
        <w:rPr>
          <w:rStyle w:val="FootnoteReference"/>
          <w:rFonts w:ascii="Arial Narrow" w:hAnsi="Arial Narrow"/>
        </w:rPr>
        <w:footnoteReference w:id="65"/>
      </w:r>
      <w:r>
        <w:rPr>
          <w:rFonts w:ascii="Arial Narrow" w:hAnsi="Arial Narrow"/>
        </w:rPr>
        <w:t xml:space="preserve"> reiterating the principle that the only legitimate purpose of notification regimes is to enable the authorities to facilitate the exercise of rights.</w:t>
      </w:r>
      <w:r>
        <w:rPr>
          <w:rStyle w:val="FootnoteReference"/>
          <w:rFonts w:ascii="Arial Narrow" w:hAnsi="Arial Narrow"/>
        </w:rPr>
        <w:footnoteReference w:id="66"/>
      </w:r>
      <w:r>
        <w:rPr>
          <w:rFonts w:ascii="Arial Narrow" w:hAnsi="Arial Narrow"/>
        </w:rPr>
        <w:t xml:space="preserve"> </w:t>
      </w:r>
      <w:r w:rsidR="00BA0317">
        <w:rPr>
          <w:rFonts w:ascii="Arial Narrow" w:hAnsi="Arial Narrow"/>
        </w:rPr>
        <w:t>It has implied support for notification periods of 48 hours.</w:t>
      </w:r>
      <w:r w:rsidR="00BA0317">
        <w:rPr>
          <w:rStyle w:val="FootnoteReference"/>
          <w:rFonts w:ascii="Arial Narrow" w:hAnsi="Arial Narrow"/>
        </w:rPr>
        <w:footnoteReference w:id="67"/>
      </w:r>
      <w:r w:rsidR="00BA0317">
        <w:rPr>
          <w:rFonts w:ascii="Arial Narrow" w:hAnsi="Arial Narrow"/>
        </w:rPr>
        <w:t xml:space="preserve"> </w:t>
      </w:r>
      <w:r>
        <w:rPr>
          <w:rFonts w:ascii="Arial Narrow" w:hAnsi="Arial Narrow"/>
        </w:rPr>
        <w:t>The Committee</w:t>
      </w:r>
      <w:r w:rsidR="001E19D4">
        <w:rPr>
          <w:rFonts w:ascii="Arial Narrow" w:hAnsi="Arial Narrow"/>
        </w:rPr>
        <w:t xml:space="preserve"> h</w:t>
      </w:r>
      <w:r>
        <w:rPr>
          <w:rFonts w:ascii="Arial Narrow" w:hAnsi="Arial Narrow"/>
        </w:rPr>
        <w:t>as</w:t>
      </w:r>
      <w:r w:rsidR="001E19D4">
        <w:rPr>
          <w:rFonts w:ascii="Arial Narrow" w:hAnsi="Arial Narrow"/>
        </w:rPr>
        <w:t xml:space="preserve"> </w:t>
      </w:r>
      <w:r w:rsidR="00E64F67">
        <w:rPr>
          <w:rFonts w:ascii="Arial Narrow" w:hAnsi="Arial Narrow"/>
        </w:rPr>
        <w:t>also recognized that s</w:t>
      </w:r>
      <w:r w:rsidR="001360E8">
        <w:rPr>
          <w:rFonts w:ascii="Arial Narrow" w:hAnsi="Arial Narrow"/>
        </w:rPr>
        <w:t xml:space="preserve">pontaneous </w:t>
      </w:r>
      <w:r w:rsidR="00E64F67">
        <w:rPr>
          <w:rFonts w:ascii="Arial Narrow" w:hAnsi="Arial Narrow"/>
        </w:rPr>
        <w:t xml:space="preserve">assemblies </w:t>
      </w:r>
      <w:r w:rsidR="001E19D4">
        <w:rPr>
          <w:rFonts w:ascii="Arial Narrow" w:hAnsi="Arial Narrow"/>
        </w:rPr>
        <w:t>fall within the scope of</w:t>
      </w:r>
      <w:r w:rsidR="00E64F67">
        <w:rPr>
          <w:rFonts w:ascii="Arial Narrow" w:hAnsi="Arial Narrow"/>
        </w:rPr>
        <w:t xml:space="preserve"> Article 21 of the ICCPR</w:t>
      </w:r>
      <w:r w:rsidR="001E19D4">
        <w:rPr>
          <w:rFonts w:ascii="Arial Narrow" w:hAnsi="Arial Narrow"/>
        </w:rPr>
        <w:t>, and should be specifically protected in law</w:t>
      </w:r>
      <w:r w:rsidR="00A83C19">
        <w:rPr>
          <w:rFonts w:ascii="Arial Narrow" w:hAnsi="Arial Narrow"/>
        </w:rPr>
        <w:t>,</w:t>
      </w:r>
      <w:r w:rsidR="00E64F67">
        <w:rPr>
          <w:rStyle w:val="FootnoteReference"/>
          <w:rFonts w:ascii="Arial Narrow" w:hAnsi="Arial Narrow"/>
        </w:rPr>
        <w:footnoteReference w:id="68"/>
      </w:r>
      <w:r>
        <w:rPr>
          <w:rFonts w:ascii="Arial Narrow" w:hAnsi="Arial Narrow"/>
        </w:rPr>
        <w:t xml:space="preserve"> </w:t>
      </w:r>
      <w:r w:rsidR="00A83C19">
        <w:rPr>
          <w:rFonts w:ascii="Arial Narrow" w:hAnsi="Arial Narrow"/>
        </w:rPr>
        <w:t>a principle supported by other treaty bodies and regional mechanisms.</w:t>
      </w:r>
      <w:r w:rsidR="00A83C19">
        <w:rPr>
          <w:rStyle w:val="FootnoteReference"/>
          <w:rFonts w:ascii="Arial Narrow" w:hAnsi="Arial Narrow"/>
        </w:rPr>
        <w:footnoteReference w:id="69"/>
      </w:r>
      <w:r w:rsidR="00A83C19">
        <w:rPr>
          <w:rFonts w:ascii="Arial Narrow" w:hAnsi="Arial Narrow"/>
        </w:rPr>
        <w:t xml:space="preserve"> </w:t>
      </w:r>
      <w:r>
        <w:rPr>
          <w:rFonts w:ascii="Arial Narrow" w:hAnsi="Arial Narrow"/>
        </w:rPr>
        <w:t>Moreover, failure to notify should never be the basis for dispersing an assembly.</w:t>
      </w:r>
      <w:r w:rsidRPr="00FD3C57">
        <w:rPr>
          <w:rFonts w:ascii="Calibri" w:eastAsia="Calibri" w:hAnsi="Calibri" w:cs="Calibri"/>
          <w:color w:val="000000"/>
          <w:u w:color="000000"/>
          <w:vertAlign w:val="superscript"/>
        </w:rPr>
        <w:footnoteReference w:id="70"/>
      </w:r>
      <w:r w:rsidRPr="00FD3C57">
        <w:rPr>
          <w:rFonts w:ascii="Calibri" w:eastAsia="Calibri" w:hAnsi="Calibri" w:cs="Calibri"/>
          <w:color w:val="000000"/>
          <w:u w:color="000000"/>
        </w:rPr>
        <w:t xml:space="preserve"> </w:t>
      </w:r>
      <w:r>
        <w:rPr>
          <w:rFonts w:ascii="Arial Narrow" w:hAnsi="Arial Narrow"/>
        </w:rPr>
        <w:t xml:space="preserve"> </w:t>
      </w:r>
    </w:p>
    <w:p w14:paraId="5AEBE2B0" w14:textId="77777777" w:rsidR="003D3A52" w:rsidRPr="003D3A52" w:rsidRDefault="003D3A52" w:rsidP="003D3A52">
      <w:pPr>
        <w:pStyle w:val="ListParagraph"/>
        <w:rPr>
          <w:rFonts w:ascii="Arial Narrow" w:hAnsi="Arial Narrow"/>
        </w:rPr>
      </w:pPr>
    </w:p>
    <w:p w14:paraId="62B5661C" w14:textId="03A4BC3A" w:rsidR="007A3CBA" w:rsidRDefault="007A3CBA" w:rsidP="001360E8">
      <w:pPr>
        <w:pStyle w:val="ListParagraph"/>
        <w:numPr>
          <w:ilvl w:val="0"/>
          <w:numId w:val="1"/>
        </w:numPr>
        <w:spacing w:after="0" w:line="276" w:lineRule="auto"/>
        <w:jc w:val="both"/>
        <w:rPr>
          <w:rFonts w:ascii="Arial Narrow" w:hAnsi="Arial Narrow"/>
        </w:rPr>
      </w:pPr>
      <w:r>
        <w:rPr>
          <w:rFonts w:ascii="Arial Narrow" w:hAnsi="Arial Narrow"/>
        </w:rPr>
        <w:t>UN special procedures have</w:t>
      </w:r>
      <w:r w:rsidR="0069723C">
        <w:rPr>
          <w:rFonts w:ascii="Arial Narrow" w:hAnsi="Arial Narrow"/>
        </w:rPr>
        <w:t xml:space="preserve"> reinforced a number of these points,</w:t>
      </w:r>
      <w:r>
        <w:rPr>
          <w:rFonts w:ascii="Arial Narrow" w:hAnsi="Arial Narrow"/>
        </w:rPr>
        <w:t xml:space="preserve"> also set</w:t>
      </w:r>
      <w:r w:rsidR="0069723C">
        <w:rPr>
          <w:rFonts w:ascii="Arial Narrow" w:hAnsi="Arial Narrow"/>
        </w:rPr>
        <w:t>ting</w:t>
      </w:r>
      <w:r>
        <w:rPr>
          <w:rFonts w:ascii="Arial Narrow" w:hAnsi="Arial Narrow"/>
        </w:rPr>
        <w:t xml:space="preserve"> out particular considerations for ensuring that notification regimes comply with international human rights law, including Article 21 of the ICCPR.</w:t>
      </w:r>
      <w:r>
        <w:rPr>
          <w:rStyle w:val="FootnoteReference"/>
          <w:rFonts w:ascii="Arial Narrow" w:hAnsi="Arial Narrow"/>
        </w:rPr>
        <w:footnoteReference w:id="71"/>
      </w:r>
      <w:r w:rsidR="0069723C">
        <w:rPr>
          <w:rFonts w:ascii="Arial Narrow" w:hAnsi="Arial Narrow"/>
        </w:rPr>
        <w:t xml:space="preserve"> </w:t>
      </w:r>
    </w:p>
    <w:p w14:paraId="59DD3C12" w14:textId="77777777" w:rsidR="007A3CBA" w:rsidRPr="007A3CBA" w:rsidRDefault="007A3CBA" w:rsidP="007A3CBA">
      <w:pPr>
        <w:pStyle w:val="ListParagraph"/>
        <w:rPr>
          <w:rFonts w:ascii="Arial Narrow" w:hAnsi="Arial Narrow"/>
        </w:rPr>
      </w:pPr>
    </w:p>
    <w:p w14:paraId="5DECDC06" w14:textId="63CD5325" w:rsidR="0069723C" w:rsidRPr="00DB12CC" w:rsidRDefault="0069723C" w:rsidP="00DB12CC">
      <w:pPr>
        <w:pStyle w:val="ListParagraph"/>
        <w:numPr>
          <w:ilvl w:val="0"/>
          <w:numId w:val="1"/>
        </w:numPr>
        <w:spacing w:after="0" w:line="276" w:lineRule="auto"/>
        <w:jc w:val="both"/>
        <w:rPr>
          <w:rFonts w:ascii="Arial Narrow" w:hAnsi="Arial Narrow"/>
        </w:rPr>
      </w:pPr>
      <w:r>
        <w:rPr>
          <w:rFonts w:ascii="Arial Narrow" w:hAnsi="Arial Narrow"/>
        </w:rPr>
        <w:lastRenderedPageBreak/>
        <w:t>While ARTICLE 19 reflects these standards in the Protest Principles,</w:t>
      </w:r>
      <w:r>
        <w:rPr>
          <w:rStyle w:val="FootnoteReference"/>
          <w:rFonts w:ascii="Arial Narrow" w:hAnsi="Arial Narrow"/>
        </w:rPr>
        <w:footnoteReference w:id="72"/>
      </w:r>
      <w:r>
        <w:rPr>
          <w:rFonts w:ascii="Arial Narrow" w:hAnsi="Arial Narrow"/>
        </w:rPr>
        <w:t xml:space="preserve"> we retain the view t</w:t>
      </w:r>
      <w:r w:rsidRPr="0069723C">
        <w:rPr>
          <w:rFonts w:ascii="Arial Narrow" w:hAnsi="Arial Narrow"/>
        </w:rPr>
        <w:t xml:space="preserve">hat </w:t>
      </w:r>
      <w:r>
        <w:rPr>
          <w:rFonts w:ascii="Arial Narrow" w:hAnsi="Arial Narrow"/>
        </w:rPr>
        <w:t>a progressi</w:t>
      </w:r>
      <w:r w:rsidR="00DB12CC">
        <w:rPr>
          <w:rFonts w:ascii="Arial Narrow" w:hAnsi="Arial Narrow"/>
        </w:rPr>
        <w:t>ve approach,</w:t>
      </w:r>
      <w:r>
        <w:rPr>
          <w:rFonts w:ascii="Arial Narrow" w:hAnsi="Arial Narrow"/>
        </w:rPr>
        <w:t xml:space="preserve"> </w:t>
      </w:r>
      <w:r w:rsidR="00DB12CC">
        <w:rPr>
          <w:rFonts w:ascii="Arial Narrow" w:hAnsi="Arial Narrow"/>
        </w:rPr>
        <w:t>affording</w:t>
      </w:r>
      <w:r>
        <w:rPr>
          <w:rFonts w:ascii="Arial Narrow" w:hAnsi="Arial Narrow"/>
        </w:rPr>
        <w:t xml:space="preserve"> maximum protection to Article 21 of the ICCPR while also allowing the State to manage other prerogatives, would be to adopt</w:t>
      </w:r>
      <w:r w:rsidR="00DB12CC">
        <w:rPr>
          <w:rFonts w:ascii="Arial Narrow" w:hAnsi="Arial Narrow"/>
        </w:rPr>
        <w:t xml:space="preserve"> </w:t>
      </w:r>
      <w:r w:rsidR="00DB12CC" w:rsidRPr="00DB12CC">
        <w:rPr>
          <w:rFonts w:ascii="Arial Narrow" w:hAnsi="Arial Narrow"/>
          <w:i/>
        </w:rPr>
        <w:t>voluntary</w:t>
      </w:r>
      <w:r>
        <w:rPr>
          <w:rFonts w:ascii="Arial Narrow" w:hAnsi="Arial Narrow"/>
        </w:rPr>
        <w:t xml:space="preserve"> notification </w:t>
      </w:r>
      <w:r w:rsidR="00DB12CC">
        <w:rPr>
          <w:rFonts w:ascii="Arial Narrow" w:hAnsi="Arial Narrow"/>
        </w:rPr>
        <w:t>procedures</w:t>
      </w:r>
      <w:r>
        <w:rPr>
          <w:rFonts w:ascii="Arial Narrow" w:hAnsi="Arial Narrow"/>
        </w:rPr>
        <w:t xml:space="preserve">. </w:t>
      </w:r>
      <w:r w:rsidRPr="00DB12CC">
        <w:rPr>
          <w:rFonts w:ascii="Arial Narrow" w:hAnsi="Arial Narrow"/>
        </w:rPr>
        <w:t>This would recognize that, in certain circumstances (e.g. protesting abuses of power by law enforcement), non-coop</w:t>
      </w:r>
      <w:r w:rsidR="00DB12CC">
        <w:rPr>
          <w:rFonts w:ascii="Arial Narrow" w:hAnsi="Arial Narrow"/>
        </w:rPr>
        <w:t>eration with the authorities has an integral</w:t>
      </w:r>
      <w:r w:rsidRPr="00DB12CC">
        <w:rPr>
          <w:rFonts w:ascii="Arial Narrow" w:hAnsi="Arial Narrow"/>
        </w:rPr>
        <w:t xml:space="preserve"> expressive value</w:t>
      </w:r>
      <w:r w:rsidR="00DB12CC">
        <w:rPr>
          <w:rFonts w:ascii="Arial Narrow" w:hAnsi="Arial Narrow"/>
        </w:rPr>
        <w:t xml:space="preserve"> that should be protected</w:t>
      </w:r>
      <w:r w:rsidRPr="00DB12CC">
        <w:rPr>
          <w:rFonts w:ascii="Arial Narrow" w:hAnsi="Arial Narrow"/>
        </w:rPr>
        <w:t xml:space="preserve">. It would also remove any need for ‘spontaneous assemblies’ to be </w:t>
      </w:r>
      <w:r w:rsidR="00DB12CC">
        <w:rPr>
          <w:rFonts w:ascii="Arial Narrow" w:hAnsi="Arial Narrow"/>
        </w:rPr>
        <w:t>afforded special</w:t>
      </w:r>
      <w:r w:rsidRPr="00DB12CC">
        <w:rPr>
          <w:rFonts w:ascii="Arial Narrow" w:hAnsi="Arial Narrow"/>
        </w:rPr>
        <w:t xml:space="preserve"> protection, and avoid the need to define the legal parameters of ‘spontaneity’. Importantly, it</w:t>
      </w:r>
      <w:r w:rsidR="007A3CBA" w:rsidRPr="00DB12CC">
        <w:rPr>
          <w:rFonts w:ascii="Arial Narrow" w:hAnsi="Arial Narrow"/>
        </w:rPr>
        <w:t xml:space="preserve"> would also mitigate the potential discriminatory impacts of </w:t>
      </w:r>
      <w:r w:rsidRPr="00DB12CC">
        <w:rPr>
          <w:rFonts w:ascii="Arial Narrow" w:hAnsi="Arial Narrow"/>
        </w:rPr>
        <w:t xml:space="preserve">mandatory </w:t>
      </w:r>
      <w:r w:rsidR="007A3CBA" w:rsidRPr="00DB12CC">
        <w:rPr>
          <w:rFonts w:ascii="Arial Narrow" w:hAnsi="Arial Narrow"/>
        </w:rPr>
        <w:t xml:space="preserve">notification regimes that, depending on their degree of prescriptiveness, may preclude certain individuals from complying with </w:t>
      </w:r>
      <w:r w:rsidRPr="00DB12CC">
        <w:rPr>
          <w:rFonts w:ascii="Arial Narrow" w:hAnsi="Arial Narrow"/>
        </w:rPr>
        <w:t xml:space="preserve">their </w:t>
      </w:r>
      <w:r w:rsidR="007A3CBA" w:rsidRPr="00DB12CC">
        <w:rPr>
          <w:rFonts w:ascii="Arial Narrow" w:hAnsi="Arial Narrow"/>
        </w:rPr>
        <w:t>requirements</w:t>
      </w:r>
      <w:r w:rsidRPr="00DB12CC">
        <w:rPr>
          <w:rFonts w:ascii="Arial Narrow" w:hAnsi="Arial Narrow"/>
        </w:rPr>
        <w:t xml:space="preserve">, making them vulnerable to the denial or rights or penalties for the exercise of rights. This is particularly the case for individuals or groups who have low access to education, limited spoken or written abilities in official/recognised languages, limited understanding of the law, or are either not close to physical offices where notification is required, or do not have Internet access.  </w:t>
      </w:r>
    </w:p>
    <w:p w14:paraId="43D95E06" w14:textId="77777777" w:rsidR="007A3CBA" w:rsidRDefault="007A3CBA" w:rsidP="007A3CBA">
      <w:pPr>
        <w:pStyle w:val="ListParagraph"/>
        <w:spacing w:after="0" w:line="276" w:lineRule="auto"/>
        <w:ind w:left="360"/>
        <w:jc w:val="both"/>
        <w:rPr>
          <w:rFonts w:ascii="Arial Narrow" w:hAnsi="Arial Narrow"/>
        </w:rPr>
      </w:pPr>
    </w:p>
    <w:p w14:paraId="275E0D73" w14:textId="36229B5B" w:rsidR="001360E8" w:rsidRPr="00D50E2E" w:rsidRDefault="007A3CBA" w:rsidP="007A3CBA">
      <w:pPr>
        <w:pStyle w:val="ListParagraph"/>
        <w:numPr>
          <w:ilvl w:val="0"/>
          <w:numId w:val="1"/>
        </w:numPr>
        <w:spacing w:after="0" w:line="276" w:lineRule="auto"/>
        <w:jc w:val="both"/>
        <w:rPr>
          <w:rFonts w:ascii="Arial Narrow" w:hAnsi="Arial Narrow"/>
        </w:rPr>
      </w:pPr>
      <w:r>
        <w:rPr>
          <w:rFonts w:ascii="Arial Narrow" w:hAnsi="Arial Narrow"/>
        </w:rPr>
        <w:t xml:space="preserve">We therefore urge the Committee to consider the extent to which according undue legitimacy to notification regimes in General Comment No. 37 may entrench such practices and limit progress away from </w:t>
      </w:r>
      <w:r w:rsidR="0069723C">
        <w:rPr>
          <w:rFonts w:ascii="Arial Narrow" w:hAnsi="Arial Narrow"/>
        </w:rPr>
        <w:t xml:space="preserve">these </w:t>
      </w:r>
      <w:r>
        <w:rPr>
          <w:rFonts w:ascii="Arial Narrow" w:hAnsi="Arial Narrow"/>
        </w:rPr>
        <w:t xml:space="preserve">bureaucratic </w:t>
      </w:r>
      <w:r w:rsidR="0069723C">
        <w:rPr>
          <w:rFonts w:ascii="Arial Narrow" w:hAnsi="Arial Narrow"/>
        </w:rPr>
        <w:t>and rights-limiting arrangements. In reality, mandatory notification regimes only</w:t>
      </w:r>
      <w:r>
        <w:rPr>
          <w:rFonts w:ascii="Arial Narrow" w:hAnsi="Arial Narrow"/>
        </w:rPr>
        <w:t xml:space="preserve"> work to undermine the presumption in favour of peaceful assembly</w:t>
      </w:r>
      <w:r w:rsidR="00D50E2E">
        <w:rPr>
          <w:rFonts w:ascii="Arial Narrow" w:hAnsi="Arial Narrow"/>
        </w:rPr>
        <w:t>, and States should therefore be invited to abandon them</w:t>
      </w:r>
      <w:r>
        <w:rPr>
          <w:rFonts w:ascii="Arial Narrow" w:hAnsi="Arial Narrow"/>
        </w:rPr>
        <w:t xml:space="preserve">. </w:t>
      </w:r>
    </w:p>
    <w:p w14:paraId="79E2CEB3" w14:textId="77777777" w:rsidR="00932C4D" w:rsidRPr="00B44974" w:rsidRDefault="00932C4D" w:rsidP="00B44974">
      <w:pPr>
        <w:spacing w:after="0" w:line="276" w:lineRule="auto"/>
        <w:rPr>
          <w:rFonts w:ascii="Arial Narrow" w:hAnsi="Arial Narrow"/>
        </w:rPr>
      </w:pPr>
    </w:p>
    <w:p w14:paraId="2948439B" w14:textId="77777777" w:rsidR="002E5150" w:rsidRDefault="002E5150" w:rsidP="00B44974">
      <w:pPr>
        <w:spacing w:after="0" w:line="276" w:lineRule="auto"/>
        <w:rPr>
          <w:rFonts w:ascii="Arial Narrow" w:hAnsi="Arial Narrow"/>
          <w:b/>
        </w:rPr>
      </w:pPr>
      <w:r>
        <w:rPr>
          <w:rFonts w:ascii="Arial Narrow" w:hAnsi="Arial Narrow"/>
          <w:b/>
        </w:rPr>
        <w:t>Time, place and manner limitations</w:t>
      </w:r>
    </w:p>
    <w:p w14:paraId="079594A7" w14:textId="44137006" w:rsidR="00D50E2E" w:rsidRDefault="00D50E2E" w:rsidP="00EB5CFE">
      <w:pPr>
        <w:pStyle w:val="ListParagraph"/>
        <w:numPr>
          <w:ilvl w:val="0"/>
          <w:numId w:val="1"/>
        </w:numPr>
        <w:spacing w:after="0" w:line="276" w:lineRule="auto"/>
        <w:jc w:val="both"/>
        <w:rPr>
          <w:rFonts w:ascii="Arial Narrow" w:hAnsi="Arial Narrow"/>
        </w:rPr>
      </w:pPr>
      <w:r>
        <w:rPr>
          <w:rFonts w:ascii="Arial Narrow" w:hAnsi="Arial Narrow"/>
        </w:rPr>
        <w:t xml:space="preserve">The Committee should avoid implying in General Comment No.37 that time, place or manner limitations on assembly have any less potential to deprive individuals the communicative impact of their action, than content-based limitations. In our experience, these forms of limitation are disproportionately employed against assemblies where the authorities take issue with the content or purpose of an assembly, in particular where the organisers or participants are from a discriminated-against group. </w:t>
      </w:r>
    </w:p>
    <w:p w14:paraId="38BD805B" w14:textId="524419E5" w:rsidR="00CF0473" w:rsidRDefault="00CF0473" w:rsidP="00CF0473">
      <w:pPr>
        <w:pStyle w:val="ListParagraph"/>
        <w:spacing w:after="0" w:line="276" w:lineRule="auto"/>
        <w:ind w:left="360"/>
        <w:jc w:val="both"/>
        <w:rPr>
          <w:rFonts w:ascii="Arial Narrow" w:hAnsi="Arial Narrow"/>
        </w:rPr>
      </w:pPr>
    </w:p>
    <w:p w14:paraId="0997E871" w14:textId="77777777" w:rsidR="00A37FC8" w:rsidRDefault="00CF0473" w:rsidP="00A37FC8">
      <w:pPr>
        <w:pStyle w:val="ListParagraph"/>
        <w:numPr>
          <w:ilvl w:val="0"/>
          <w:numId w:val="1"/>
        </w:numPr>
        <w:spacing w:after="0" w:line="276" w:lineRule="auto"/>
        <w:jc w:val="both"/>
        <w:rPr>
          <w:rFonts w:ascii="Arial Narrow" w:hAnsi="Arial Narrow"/>
        </w:rPr>
      </w:pPr>
      <w:r>
        <w:rPr>
          <w:rFonts w:ascii="Arial Narrow" w:hAnsi="Arial Narrow"/>
        </w:rPr>
        <w:t>Numerous</w:t>
      </w:r>
      <w:r w:rsidR="00A37FC8">
        <w:rPr>
          <w:rFonts w:ascii="Arial Narrow" w:hAnsi="Arial Narrow"/>
        </w:rPr>
        <w:t xml:space="preserve"> considerations around the duration, location and form of assemblies are set out above in relation to “understanding assemblies”, including the importance of recognizing the engagement of peaceful assembly in private spaces, including those that are functionally public, as well as the importance of recognizing the legitimacy of protests of extended duration. </w:t>
      </w:r>
      <w:r w:rsidR="00A37FC8" w:rsidRPr="00A37FC8">
        <w:rPr>
          <w:rFonts w:ascii="Arial Narrow" w:hAnsi="Arial Narrow"/>
        </w:rPr>
        <w:t>Further international</w:t>
      </w:r>
      <w:r w:rsidRPr="00A37FC8">
        <w:rPr>
          <w:rFonts w:ascii="Arial Narrow" w:hAnsi="Arial Narrow"/>
        </w:rPr>
        <w:t xml:space="preserve"> standards are </w:t>
      </w:r>
      <w:r w:rsidR="00A37FC8" w:rsidRPr="00A37FC8">
        <w:rPr>
          <w:rFonts w:ascii="Arial Narrow" w:hAnsi="Arial Narrow"/>
        </w:rPr>
        <w:t>also reflected</w:t>
      </w:r>
      <w:r w:rsidRPr="00A37FC8">
        <w:rPr>
          <w:rFonts w:ascii="Arial Narrow" w:hAnsi="Arial Narrow"/>
        </w:rPr>
        <w:t xml:space="preserve"> in ARTICLE 19’s protest principles in relation to time, place and manner limitations.</w:t>
      </w:r>
      <w:r>
        <w:rPr>
          <w:rStyle w:val="FootnoteReference"/>
          <w:rFonts w:ascii="Arial Narrow" w:hAnsi="Arial Narrow"/>
        </w:rPr>
        <w:footnoteReference w:id="73"/>
      </w:r>
    </w:p>
    <w:p w14:paraId="1FE1C7A4" w14:textId="77777777" w:rsidR="00A37FC8" w:rsidRPr="00A37FC8" w:rsidRDefault="00A37FC8" w:rsidP="00A37FC8">
      <w:pPr>
        <w:pStyle w:val="ListParagraph"/>
        <w:rPr>
          <w:rFonts w:ascii="Arial Narrow" w:hAnsi="Arial Narrow"/>
        </w:rPr>
      </w:pPr>
    </w:p>
    <w:p w14:paraId="34E7CF96" w14:textId="29CDFFC6" w:rsidR="00A37FC8" w:rsidRPr="00A37FC8" w:rsidRDefault="00A37FC8" w:rsidP="00A37FC8">
      <w:pPr>
        <w:pStyle w:val="ListParagraph"/>
        <w:numPr>
          <w:ilvl w:val="0"/>
          <w:numId w:val="1"/>
        </w:numPr>
        <w:spacing w:after="0" w:line="276" w:lineRule="auto"/>
        <w:jc w:val="both"/>
        <w:rPr>
          <w:rFonts w:ascii="Arial Narrow" w:hAnsi="Arial Narrow"/>
        </w:rPr>
      </w:pPr>
      <w:r w:rsidRPr="00A37FC8">
        <w:rPr>
          <w:rFonts w:ascii="Arial Narrow" w:hAnsi="Arial Narrow"/>
        </w:rPr>
        <w:t>We note that the Rapporteur for General Comment No. 37 did not include questions in the preparatory note relating to acts of civil disobedience or direct action in advance of the first consultations, and this omission should be addressed during the half-day meeting.</w:t>
      </w:r>
    </w:p>
    <w:p w14:paraId="341657DC" w14:textId="77777777" w:rsidR="00EB5CFE" w:rsidRPr="00D50E2E" w:rsidRDefault="00EB5CFE" w:rsidP="00EB5CFE">
      <w:pPr>
        <w:pStyle w:val="ListParagraph"/>
        <w:spacing w:after="0" w:line="276" w:lineRule="auto"/>
        <w:ind w:left="360"/>
        <w:jc w:val="both"/>
        <w:rPr>
          <w:rFonts w:ascii="Arial Narrow" w:hAnsi="Arial Narrow"/>
        </w:rPr>
      </w:pPr>
    </w:p>
    <w:p w14:paraId="324D1068" w14:textId="1E0E3273" w:rsidR="00EB5CFE" w:rsidRPr="00EB5CFE" w:rsidRDefault="00EB5CFE" w:rsidP="00EB5CFE">
      <w:pPr>
        <w:spacing w:after="0" w:line="276" w:lineRule="auto"/>
        <w:ind w:left="360"/>
        <w:rPr>
          <w:rFonts w:ascii="Arial Narrow" w:hAnsi="Arial Narrow"/>
          <w:u w:val="single"/>
        </w:rPr>
      </w:pPr>
      <w:r>
        <w:rPr>
          <w:rFonts w:ascii="Arial Narrow" w:hAnsi="Arial Narrow"/>
          <w:u w:val="single"/>
        </w:rPr>
        <w:t xml:space="preserve">i. </w:t>
      </w:r>
      <w:r w:rsidRPr="00EB5CFE">
        <w:rPr>
          <w:rFonts w:ascii="Arial Narrow" w:hAnsi="Arial Narrow"/>
          <w:u w:val="single"/>
        </w:rPr>
        <w:t>Restrictions on acts of civil disobedience or direct action</w:t>
      </w:r>
    </w:p>
    <w:p w14:paraId="1EA1C56D" w14:textId="77777777" w:rsidR="00EB5CFE" w:rsidRDefault="00EB5CFE" w:rsidP="00EB5CFE">
      <w:pPr>
        <w:spacing w:after="0" w:line="276" w:lineRule="auto"/>
        <w:rPr>
          <w:rFonts w:ascii="Arial Narrow" w:hAnsi="Arial Narrow"/>
        </w:rPr>
      </w:pPr>
    </w:p>
    <w:p w14:paraId="3F1F96B4" w14:textId="77777777" w:rsidR="00EB5CFE" w:rsidRDefault="00EB5CFE" w:rsidP="00EB5CFE">
      <w:pPr>
        <w:pStyle w:val="ListParagraph"/>
        <w:numPr>
          <w:ilvl w:val="0"/>
          <w:numId w:val="1"/>
        </w:numPr>
        <w:spacing w:after="0" w:line="276" w:lineRule="auto"/>
        <w:jc w:val="both"/>
        <w:rPr>
          <w:rFonts w:ascii="Arial Narrow" w:hAnsi="Arial Narrow"/>
        </w:rPr>
      </w:pPr>
      <w:r>
        <w:rPr>
          <w:rFonts w:ascii="Arial Narrow" w:hAnsi="Arial Narrow"/>
        </w:rPr>
        <w:t>ARTICLE 19 considers that non-violent direct action, and civil disobedience, should be considered legitimate forms of protest, and, where they involve more than one person, should fall within the protective scope of Article 21 of the ICCPR, and any restrictions on such protests should be justified in accordance with the limitations clause therein.</w:t>
      </w:r>
      <w:r>
        <w:rPr>
          <w:rStyle w:val="FootnoteReference"/>
          <w:rFonts w:ascii="Arial Narrow" w:hAnsi="Arial Narrow"/>
        </w:rPr>
        <w:footnoteReference w:id="74"/>
      </w:r>
      <w:r>
        <w:rPr>
          <w:rFonts w:ascii="Arial Narrow" w:hAnsi="Arial Narrow"/>
        </w:rPr>
        <w:t xml:space="preserve"> </w:t>
      </w:r>
    </w:p>
    <w:p w14:paraId="39E54265" w14:textId="77777777" w:rsidR="00EB5CFE" w:rsidRDefault="00EB5CFE" w:rsidP="00EB5CFE">
      <w:pPr>
        <w:pStyle w:val="ListParagraph"/>
        <w:spacing w:after="0" w:line="276" w:lineRule="auto"/>
        <w:ind w:left="360"/>
        <w:jc w:val="both"/>
        <w:rPr>
          <w:rFonts w:ascii="Arial Narrow" w:hAnsi="Arial Narrow"/>
        </w:rPr>
      </w:pPr>
    </w:p>
    <w:p w14:paraId="2B30EFB7" w14:textId="77777777" w:rsidR="00EB5CFE" w:rsidRDefault="00EB5CFE" w:rsidP="00EB5CFE">
      <w:pPr>
        <w:pStyle w:val="ListParagraph"/>
        <w:numPr>
          <w:ilvl w:val="0"/>
          <w:numId w:val="1"/>
        </w:numPr>
        <w:spacing w:after="0" w:line="276" w:lineRule="auto"/>
        <w:jc w:val="both"/>
        <w:rPr>
          <w:rFonts w:ascii="Arial Narrow" w:hAnsi="Arial Narrow"/>
        </w:rPr>
      </w:pPr>
      <w:r>
        <w:rPr>
          <w:rFonts w:ascii="Arial Narrow" w:hAnsi="Arial Narrow"/>
        </w:rPr>
        <w:t xml:space="preserve">Both forms of action invariably include conduct where participants intentionally break the law in order to communicate unequivocally to an audience, usually a government or business enterprise, that their conduct must change. These forms of protest are, throughout history, among the most effective, leading to significant advances in protection for </w:t>
      </w:r>
      <w:r>
        <w:rPr>
          <w:rFonts w:ascii="Arial Narrow" w:hAnsi="Arial Narrow"/>
        </w:rPr>
        <w:lastRenderedPageBreak/>
        <w:t>human rights, in particular the right to equality and freedom from discrimination.</w:t>
      </w:r>
      <w:r>
        <w:rPr>
          <w:rStyle w:val="FootnoteReference"/>
          <w:rFonts w:ascii="Arial Narrow" w:hAnsi="Arial Narrow"/>
        </w:rPr>
        <w:footnoteReference w:id="75"/>
      </w:r>
      <w:r>
        <w:rPr>
          <w:rFonts w:ascii="Arial Narrow" w:hAnsi="Arial Narrow"/>
        </w:rPr>
        <w:t xml:space="preserve"> The action may take on forms that are direct, where participants break a law that they want to see changed, or indirect, where the law violated is not the object of the protest, but breaking the law is necessary to achieve symbolic and/or other communicative objectives.</w:t>
      </w:r>
    </w:p>
    <w:p w14:paraId="0F68FCDA" w14:textId="77777777" w:rsidR="00EB5CFE" w:rsidRPr="00114B8C" w:rsidRDefault="00EB5CFE" w:rsidP="00EB5CFE">
      <w:pPr>
        <w:pStyle w:val="ListParagraph"/>
        <w:rPr>
          <w:rFonts w:ascii="Arial Narrow" w:hAnsi="Arial Narrow"/>
        </w:rPr>
      </w:pPr>
    </w:p>
    <w:p w14:paraId="49B8E19B" w14:textId="77777777" w:rsidR="00EB5CFE" w:rsidRDefault="00EB5CFE" w:rsidP="00EB5CFE">
      <w:pPr>
        <w:pStyle w:val="ListParagraph"/>
        <w:numPr>
          <w:ilvl w:val="0"/>
          <w:numId w:val="1"/>
        </w:numPr>
        <w:spacing w:after="0" w:line="276" w:lineRule="auto"/>
        <w:jc w:val="both"/>
        <w:rPr>
          <w:rFonts w:ascii="Arial Narrow" w:hAnsi="Arial Narrow"/>
        </w:rPr>
      </w:pPr>
      <w:r>
        <w:rPr>
          <w:rFonts w:ascii="Arial Narrow" w:hAnsi="Arial Narrow"/>
        </w:rPr>
        <w:t>It does not appear that the Committee has previously addressed acts of civil disobedience or direct action as such in its jurisprudence, UN special procedures have interpreted acts that presumably include some level of unlawful conduct, such as occupations and sit-ins, to be within the protection of the ICCPR.</w:t>
      </w:r>
      <w:r>
        <w:rPr>
          <w:rStyle w:val="FootnoteReference"/>
          <w:rFonts w:ascii="Arial Narrow" w:hAnsi="Arial Narrow"/>
        </w:rPr>
        <w:footnoteReference w:id="76"/>
      </w:r>
      <w:r>
        <w:rPr>
          <w:rFonts w:ascii="Arial Narrow" w:hAnsi="Arial Narrow"/>
        </w:rPr>
        <w:t xml:space="preserve"> While the European Court of Human Rights has expressed support for the exercise of the right of peaceful assembly where doing so disrupts traffic, or causes damage that falls short of violence, it has not framed such conduct as being unlawful </w:t>
      </w:r>
      <w:r>
        <w:rPr>
          <w:rFonts w:ascii="Arial Narrow" w:hAnsi="Arial Narrow"/>
          <w:i/>
        </w:rPr>
        <w:t xml:space="preserve">and </w:t>
      </w:r>
      <w:r>
        <w:rPr>
          <w:rFonts w:ascii="Arial Narrow" w:hAnsi="Arial Narrow"/>
        </w:rPr>
        <w:t>in need of any form of protection.</w:t>
      </w:r>
      <w:r>
        <w:rPr>
          <w:rStyle w:val="FootnoteReference"/>
          <w:rFonts w:ascii="Arial Narrow" w:hAnsi="Arial Narrow"/>
        </w:rPr>
        <w:footnoteReference w:id="77"/>
      </w:r>
      <w:r>
        <w:rPr>
          <w:rFonts w:ascii="Arial Narrow" w:hAnsi="Arial Narrow"/>
        </w:rPr>
        <w:t xml:space="preserve"> It may be argued that the decision of the European Court of Human Rights in </w:t>
      </w:r>
      <w:r>
        <w:rPr>
          <w:rFonts w:ascii="Arial Narrow" w:hAnsi="Arial Narrow"/>
          <w:i/>
        </w:rPr>
        <w:t xml:space="preserve">Appleby and Others </w:t>
      </w:r>
      <w:r>
        <w:rPr>
          <w:rFonts w:ascii="Arial Narrow" w:hAnsi="Arial Narrow"/>
        </w:rPr>
        <w:t>implies support for pamphleteers violating laws in relation to trespass where this is the only avenue for effective communication with the public.</w:t>
      </w:r>
      <w:r>
        <w:rPr>
          <w:rStyle w:val="FootnoteReference"/>
          <w:rFonts w:ascii="Arial Narrow" w:hAnsi="Arial Narrow"/>
        </w:rPr>
        <w:footnoteReference w:id="78"/>
      </w:r>
      <w:r>
        <w:rPr>
          <w:rFonts w:ascii="Arial Narrow" w:hAnsi="Arial Narrow"/>
        </w:rPr>
        <w:t xml:space="preserve"> At the national level, there are examples of limited protection being given to acts of non-violent direct action and civil disobedience.</w:t>
      </w:r>
      <w:r>
        <w:rPr>
          <w:rStyle w:val="FootnoteReference"/>
          <w:rFonts w:ascii="Arial Narrow" w:hAnsi="Arial Narrow"/>
        </w:rPr>
        <w:footnoteReference w:id="79"/>
      </w:r>
    </w:p>
    <w:p w14:paraId="54B3C9CE" w14:textId="77777777" w:rsidR="00EB5CFE" w:rsidRPr="00053380" w:rsidRDefault="00EB5CFE" w:rsidP="00EB5CFE">
      <w:pPr>
        <w:pStyle w:val="ListParagraph"/>
        <w:rPr>
          <w:rFonts w:ascii="Arial Narrow" w:hAnsi="Arial Narrow"/>
        </w:rPr>
      </w:pPr>
    </w:p>
    <w:p w14:paraId="1051BD27" w14:textId="77777777" w:rsidR="00EB5CFE" w:rsidRDefault="00EB5CFE" w:rsidP="00EB5CFE">
      <w:pPr>
        <w:pStyle w:val="ListParagraph"/>
        <w:numPr>
          <w:ilvl w:val="0"/>
          <w:numId w:val="1"/>
        </w:numPr>
        <w:spacing w:after="0" w:line="276" w:lineRule="auto"/>
        <w:jc w:val="both"/>
        <w:rPr>
          <w:rFonts w:ascii="Arial Narrow" w:hAnsi="Arial Narrow"/>
        </w:rPr>
      </w:pPr>
      <w:r>
        <w:rPr>
          <w:rFonts w:ascii="Arial Narrow" w:hAnsi="Arial Narrow"/>
        </w:rPr>
        <w:t>While ARTICLE 19 does not consider that States should define in law the circumstances under which laws may be broken, we do consider that States should recognise that certain forms of law breaking can involve the exercise of rights, and that the imposition of limitations in these circumstances must therefore comply with international human rights law. In jurisdictions that provide for prosecutorial discretion in criminal cases on the basis of public interest considerations, such discretion could be exercised favourably for persons who have broken the law, or, where sanctions are imposed, the exercise of rights may be considered a mitigating factor in sentencing.</w:t>
      </w:r>
      <w:r>
        <w:rPr>
          <w:rStyle w:val="FootnoteReference"/>
          <w:rFonts w:ascii="Arial Narrow" w:hAnsi="Arial Narrow"/>
        </w:rPr>
        <w:footnoteReference w:id="80"/>
      </w:r>
      <w:r>
        <w:rPr>
          <w:rFonts w:ascii="Arial Narrow" w:hAnsi="Arial Narrow"/>
        </w:rPr>
        <w:t xml:space="preserve"> </w:t>
      </w:r>
    </w:p>
    <w:p w14:paraId="2AD2486D" w14:textId="77777777" w:rsidR="00EB5CFE" w:rsidRPr="00114B8C" w:rsidRDefault="00EB5CFE" w:rsidP="00EB5CFE">
      <w:pPr>
        <w:pStyle w:val="ListParagraph"/>
        <w:rPr>
          <w:rFonts w:ascii="Arial Narrow" w:hAnsi="Arial Narrow"/>
        </w:rPr>
      </w:pPr>
    </w:p>
    <w:p w14:paraId="60314D78" w14:textId="77777777" w:rsidR="00EB5CFE" w:rsidRDefault="00EB5CFE" w:rsidP="00EB5CFE">
      <w:pPr>
        <w:pStyle w:val="ListParagraph"/>
        <w:numPr>
          <w:ilvl w:val="0"/>
          <w:numId w:val="1"/>
        </w:numPr>
        <w:spacing w:after="0" w:line="276" w:lineRule="auto"/>
        <w:jc w:val="both"/>
        <w:rPr>
          <w:rFonts w:ascii="Arial Narrow" w:hAnsi="Arial Narrow"/>
        </w:rPr>
      </w:pPr>
      <w:r>
        <w:rPr>
          <w:rFonts w:ascii="Arial Narrow" w:hAnsi="Arial Narrow"/>
        </w:rPr>
        <w:t>As part of the State’s obligation to protect, the Protest Principles offer substantial guidance in relation to the application of limitations against acts of civil disobedience and direct action, which we invite the Committee to consider:</w:t>
      </w:r>
    </w:p>
    <w:p w14:paraId="5E75E68F" w14:textId="77777777" w:rsidR="00EB5CFE" w:rsidRPr="00114B8C" w:rsidRDefault="00EB5CFE" w:rsidP="00EB5CFE">
      <w:pPr>
        <w:pStyle w:val="ListParagraph"/>
        <w:rPr>
          <w:rFonts w:ascii="Arial Narrow" w:hAnsi="Arial Narrow"/>
        </w:rPr>
      </w:pPr>
    </w:p>
    <w:p w14:paraId="6C1AE05A" w14:textId="77777777" w:rsidR="00EB5CFE" w:rsidRPr="00114B8C" w:rsidRDefault="00EB5CFE" w:rsidP="00EB5CFE">
      <w:pPr>
        <w:pStyle w:val="ListParagraph"/>
        <w:spacing w:after="0" w:line="276" w:lineRule="auto"/>
        <w:ind w:left="360"/>
        <w:jc w:val="both"/>
        <w:rPr>
          <w:rFonts w:ascii="Arial Narrow" w:hAnsi="Arial Narrow" w:cs="Arial"/>
          <w:i/>
          <w:sz w:val="20"/>
          <w:szCs w:val="20"/>
        </w:rPr>
      </w:pPr>
      <w:r w:rsidRPr="00114B8C">
        <w:rPr>
          <w:rFonts w:ascii="Arial Narrow" w:hAnsi="Arial Narrow" w:cs="Arial"/>
          <w:i/>
          <w:sz w:val="20"/>
          <w:szCs w:val="20"/>
        </w:rPr>
        <w:t xml:space="preserve">16.7 Any restrictions on protests that take the form of non-violent </w:t>
      </w:r>
      <w:r w:rsidRPr="00114B8C">
        <w:rPr>
          <w:rStyle w:val="highlight"/>
          <w:rFonts w:ascii="Arial Narrow" w:hAnsi="Arial Narrow" w:cs="Arial"/>
          <w:i/>
          <w:sz w:val="20"/>
          <w:szCs w:val="20"/>
        </w:rPr>
        <w:t>direct</w:t>
      </w:r>
      <w:r w:rsidRPr="00114B8C">
        <w:rPr>
          <w:rFonts w:ascii="Arial Narrow" w:hAnsi="Arial Narrow" w:cs="Arial"/>
          <w:i/>
          <w:sz w:val="20"/>
          <w:szCs w:val="20"/>
        </w:rPr>
        <w:t xml:space="preserve"> action should be based on an individualised assessment in accordance with the test set out in Principle 4. In particular:</w:t>
      </w:r>
    </w:p>
    <w:p w14:paraId="5E1DC5D1" w14:textId="77777777" w:rsidR="00EB5CFE" w:rsidRPr="00114B8C" w:rsidRDefault="00EB5CFE" w:rsidP="00EB5CFE">
      <w:pPr>
        <w:pStyle w:val="ListParagraph"/>
        <w:numPr>
          <w:ilvl w:val="0"/>
          <w:numId w:val="27"/>
        </w:numPr>
        <w:spacing w:after="0" w:line="276" w:lineRule="auto"/>
        <w:jc w:val="both"/>
        <w:rPr>
          <w:rFonts w:ascii="Arial Narrow" w:hAnsi="Arial Narrow" w:cs="Arial"/>
          <w:i/>
          <w:sz w:val="20"/>
          <w:szCs w:val="20"/>
        </w:rPr>
      </w:pPr>
      <w:r w:rsidRPr="00114B8C">
        <w:rPr>
          <w:rFonts w:ascii="Arial Narrow" w:hAnsi="Arial Narrow" w:cs="Arial"/>
          <w:i/>
          <w:sz w:val="20"/>
          <w:szCs w:val="20"/>
        </w:rPr>
        <w:t xml:space="preserve">States should recognise that some criminal offences, when applied to non-violent </w:t>
      </w:r>
      <w:r w:rsidRPr="00114B8C">
        <w:rPr>
          <w:rStyle w:val="highlight"/>
          <w:rFonts w:ascii="Arial Narrow" w:hAnsi="Arial Narrow" w:cs="Arial"/>
          <w:i/>
          <w:sz w:val="20"/>
          <w:szCs w:val="20"/>
        </w:rPr>
        <w:t>direct</w:t>
      </w:r>
      <w:r w:rsidRPr="00114B8C">
        <w:rPr>
          <w:rFonts w:ascii="Arial Narrow" w:hAnsi="Arial Narrow" w:cs="Arial"/>
          <w:i/>
          <w:sz w:val="20"/>
          <w:szCs w:val="20"/>
        </w:rPr>
        <w:t xml:space="preserve"> action/civil disobedience, including but not limited to aggravated trespass or squatting, have a chilling effect on the right to protest. They should be replaced by civil or administrative remedies where appropriate when relating to protest;</w:t>
      </w:r>
    </w:p>
    <w:p w14:paraId="373ADD22" w14:textId="77777777" w:rsidR="00EB5CFE" w:rsidRPr="00114B8C" w:rsidRDefault="00EB5CFE" w:rsidP="00EB5CFE">
      <w:pPr>
        <w:pStyle w:val="ListParagraph"/>
        <w:numPr>
          <w:ilvl w:val="0"/>
          <w:numId w:val="27"/>
        </w:numPr>
        <w:spacing w:after="0" w:line="276" w:lineRule="auto"/>
        <w:jc w:val="both"/>
        <w:rPr>
          <w:rFonts w:ascii="Arial Narrow" w:hAnsi="Arial Narrow"/>
          <w:i/>
          <w:sz w:val="20"/>
          <w:szCs w:val="20"/>
        </w:rPr>
      </w:pPr>
      <w:r w:rsidRPr="00114B8C">
        <w:rPr>
          <w:rFonts w:ascii="Arial Narrow" w:hAnsi="Arial Narrow" w:cs="Arial"/>
          <w:i/>
          <w:sz w:val="20"/>
          <w:szCs w:val="20"/>
        </w:rPr>
        <w:t xml:space="preserve">Law enforcement should be allowed to exercise discretion in considering whether the strict application of criminal or administrative offences is an appropriate and proportionate form of restriction. Criminal law sanctions should be applied only against non-violent </w:t>
      </w:r>
      <w:r w:rsidRPr="00114B8C">
        <w:rPr>
          <w:rStyle w:val="highlight"/>
          <w:rFonts w:ascii="Arial Narrow" w:hAnsi="Arial Narrow" w:cs="Arial"/>
          <w:i/>
          <w:sz w:val="20"/>
          <w:szCs w:val="20"/>
        </w:rPr>
        <w:t>direct</w:t>
      </w:r>
      <w:r w:rsidRPr="00114B8C">
        <w:rPr>
          <w:rFonts w:ascii="Arial Narrow" w:hAnsi="Arial Narrow" w:cs="Arial"/>
          <w:i/>
          <w:sz w:val="20"/>
          <w:szCs w:val="20"/>
        </w:rPr>
        <w:t xml:space="preserve"> action in the most serious cases if less severe restrictions or measures could not achieve </w:t>
      </w:r>
      <w:r>
        <w:rPr>
          <w:rFonts w:ascii="Arial Narrow" w:hAnsi="Arial Narrow" w:cs="Arial"/>
          <w:i/>
          <w:sz w:val="20"/>
          <w:szCs w:val="20"/>
        </w:rPr>
        <w:t>the same effect;</w:t>
      </w:r>
    </w:p>
    <w:p w14:paraId="68424501" w14:textId="77777777" w:rsidR="00EB5CFE" w:rsidRPr="00114B8C" w:rsidRDefault="00EB5CFE" w:rsidP="00EB5CFE">
      <w:pPr>
        <w:pStyle w:val="ListParagraph"/>
        <w:numPr>
          <w:ilvl w:val="0"/>
          <w:numId w:val="27"/>
        </w:numPr>
        <w:spacing w:after="0" w:line="276" w:lineRule="auto"/>
        <w:jc w:val="both"/>
        <w:rPr>
          <w:rFonts w:ascii="Arial Narrow" w:hAnsi="Arial Narrow"/>
          <w:i/>
          <w:sz w:val="20"/>
          <w:szCs w:val="20"/>
        </w:rPr>
      </w:pPr>
      <w:r w:rsidRPr="00114B8C">
        <w:rPr>
          <w:rFonts w:ascii="Arial Narrow" w:hAnsi="Arial Narrow" w:cs="Arial"/>
          <w:i/>
          <w:sz w:val="20"/>
          <w:szCs w:val="20"/>
        </w:rPr>
        <w:t>Judicial authorities should consider the expressive nature of the conduct as a mitigating circumstance when applying sanctions;</w:t>
      </w:r>
    </w:p>
    <w:p w14:paraId="515E2788" w14:textId="77777777" w:rsidR="00EB5CFE" w:rsidRPr="00114B8C" w:rsidRDefault="00EB5CFE" w:rsidP="00EB5CFE">
      <w:pPr>
        <w:pStyle w:val="ListParagraph"/>
        <w:numPr>
          <w:ilvl w:val="0"/>
          <w:numId w:val="27"/>
        </w:numPr>
        <w:spacing w:after="0" w:line="276" w:lineRule="auto"/>
        <w:jc w:val="both"/>
        <w:rPr>
          <w:rFonts w:ascii="Arial Narrow" w:hAnsi="Arial Narrow"/>
          <w:i/>
          <w:sz w:val="20"/>
          <w:szCs w:val="20"/>
        </w:rPr>
      </w:pPr>
      <w:r w:rsidRPr="00114B8C">
        <w:rPr>
          <w:rFonts w:ascii="Arial Narrow" w:hAnsi="Arial Narrow" w:cs="Arial"/>
          <w:i/>
          <w:sz w:val="20"/>
          <w:szCs w:val="20"/>
        </w:rPr>
        <w:t>In determining the proportionality and necessity of restrictions, law enforcement and judicial authorities should employ a public interest assessment, taking into account:</w:t>
      </w:r>
    </w:p>
    <w:p w14:paraId="241F6306" w14:textId="77777777" w:rsidR="00EB5CFE" w:rsidRPr="00114B8C" w:rsidRDefault="00EB5CFE" w:rsidP="00EB5CFE">
      <w:pPr>
        <w:pStyle w:val="ListParagraph"/>
        <w:numPr>
          <w:ilvl w:val="1"/>
          <w:numId w:val="27"/>
        </w:numPr>
        <w:spacing w:after="0" w:line="276" w:lineRule="auto"/>
        <w:jc w:val="both"/>
        <w:rPr>
          <w:rFonts w:ascii="Arial Narrow" w:hAnsi="Arial Narrow"/>
          <w:i/>
          <w:sz w:val="20"/>
          <w:szCs w:val="20"/>
        </w:rPr>
      </w:pPr>
      <w:r w:rsidRPr="00114B8C">
        <w:rPr>
          <w:rFonts w:ascii="Arial Narrow" w:hAnsi="Arial Narrow" w:cs="Arial"/>
          <w:i/>
          <w:sz w:val="20"/>
          <w:szCs w:val="20"/>
        </w:rPr>
        <w:t xml:space="preserve">The importance of upholding the exercise of fundamental rights and maintaining the ability of individuals to enjoy their </w:t>
      </w:r>
      <w:r>
        <w:rPr>
          <w:rFonts w:ascii="Arial Narrow" w:hAnsi="Arial Narrow" w:cs="Arial"/>
          <w:i/>
          <w:sz w:val="20"/>
          <w:szCs w:val="20"/>
        </w:rPr>
        <w:t>right to protest;</w:t>
      </w:r>
    </w:p>
    <w:p w14:paraId="6326B61E" w14:textId="77777777" w:rsidR="00EB5CFE" w:rsidRPr="00114B8C" w:rsidRDefault="00EB5CFE" w:rsidP="00EB5CFE">
      <w:pPr>
        <w:pStyle w:val="ListParagraph"/>
        <w:numPr>
          <w:ilvl w:val="1"/>
          <w:numId w:val="27"/>
        </w:numPr>
        <w:spacing w:after="0" w:line="276" w:lineRule="auto"/>
        <w:jc w:val="both"/>
        <w:rPr>
          <w:rFonts w:ascii="Arial Narrow" w:hAnsi="Arial Narrow"/>
          <w:i/>
          <w:sz w:val="20"/>
          <w:szCs w:val="20"/>
        </w:rPr>
      </w:pPr>
      <w:r w:rsidRPr="00114B8C">
        <w:rPr>
          <w:rFonts w:ascii="Arial Narrow" w:hAnsi="Arial Narrow" w:cs="Arial"/>
          <w:i/>
          <w:sz w:val="20"/>
          <w:szCs w:val="20"/>
        </w:rPr>
        <w:t xml:space="preserve">The non-violent manner of the expressive conduct; </w:t>
      </w:r>
    </w:p>
    <w:p w14:paraId="5F258E0A" w14:textId="77777777" w:rsidR="00EB5CFE" w:rsidRPr="00114B8C" w:rsidRDefault="00EB5CFE" w:rsidP="00EB5CFE">
      <w:pPr>
        <w:pStyle w:val="ListParagraph"/>
        <w:numPr>
          <w:ilvl w:val="1"/>
          <w:numId w:val="27"/>
        </w:numPr>
        <w:spacing w:after="0" w:line="276" w:lineRule="auto"/>
        <w:jc w:val="both"/>
        <w:rPr>
          <w:rFonts w:ascii="Arial Narrow" w:hAnsi="Arial Narrow"/>
          <w:i/>
          <w:sz w:val="20"/>
          <w:szCs w:val="20"/>
        </w:rPr>
      </w:pPr>
      <w:r w:rsidRPr="00114B8C">
        <w:rPr>
          <w:rFonts w:ascii="Arial Narrow" w:hAnsi="Arial Narrow" w:cs="Arial"/>
          <w:i/>
          <w:sz w:val="20"/>
          <w:szCs w:val="20"/>
        </w:rPr>
        <w:t>The level of disru</w:t>
      </w:r>
      <w:r>
        <w:rPr>
          <w:rFonts w:ascii="Arial Narrow" w:hAnsi="Arial Narrow" w:cs="Arial"/>
          <w:i/>
          <w:sz w:val="20"/>
          <w:szCs w:val="20"/>
        </w:rPr>
        <w:t>ption of the expressive conduct;</w:t>
      </w:r>
    </w:p>
    <w:p w14:paraId="3EC6FA1D" w14:textId="77777777" w:rsidR="00EB5CFE" w:rsidRPr="00114B8C" w:rsidRDefault="00EB5CFE" w:rsidP="00EB5CFE">
      <w:pPr>
        <w:pStyle w:val="ListParagraph"/>
        <w:numPr>
          <w:ilvl w:val="1"/>
          <w:numId w:val="27"/>
        </w:numPr>
        <w:spacing w:after="0" w:line="276" w:lineRule="auto"/>
        <w:jc w:val="both"/>
        <w:rPr>
          <w:rFonts w:ascii="Arial Narrow" w:hAnsi="Arial Narrow"/>
          <w:i/>
          <w:sz w:val="20"/>
          <w:szCs w:val="20"/>
        </w:rPr>
      </w:pPr>
      <w:r w:rsidRPr="00114B8C">
        <w:rPr>
          <w:rFonts w:ascii="Arial Narrow" w:hAnsi="Arial Narrow" w:cs="Arial"/>
          <w:i/>
          <w:sz w:val="20"/>
          <w:szCs w:val="20"/>
        </w:rPr>
        <w:t xml:space="preserve">The type of targeted entity; </w:t>
      </w:r>
    </w:p>
    <w:p w14:paraId="7275F443" w14:textId="77777777" w:rsidR="00EB5CFE" w:rsidRPr="00114B8C" w:rsidRDefault="00EB5CFE" w:rsidP="00EB5CFE">
      <w:pPr>
        <w:pStyle w:val="ListParagraph"/>
        <w:numPr>
          <w:ilvl w:val="1"/>
          <w:numId w:val="27"/>
        </w:numPr>
        <w:spacing w:after="0" w:line="276" w:lineRule="auto"/>
        <w:jc w:val="both"/>
        <w:rPr>
          <w:rFonts w:ascii="Arial Narrow" w:hAnsi="Arial Narrow"/>
          <w:i/>
          <w:sz w:val="20"/>
          <w:szCs w:val="20"/>
        </w:rPr>
      </w:pPr>
      <w:r w:rsidRPr="00114B8C">
        <w:rPr>
          <w:rFonts w:ascii="Arial Narrow" w:hAnsi="Arial Narrow" w:cs="Arial"/>
          <w:i/>
          <w:sz w:val="20"/>
          <w:szCs w:val="20"/>
        </w:rPr>
        <w:lastRenderedPageBreak/>
        <w:t xml:space="preserve">The actual harm caused, with the deciding factor being not whether damage occurred, but whether it was unduly substantial. The test of substantial damage should not be one of mere embarrassment, disruption or discomfort and should be considered in context, and with regards to the type of </w:t>
      </w:r>
      <w:r>
        <w:rPr>
          <w:rFonts w:ascii="Arial Narrow" w:hAnsi="Arial Narrow" w:cs="Arial"/>
          <w:i/>
          <w:sz w:val="20"/>
          <w:szCs w:val="20"/>
        </w:rPr>
        <w:t>targeted entity;</w:t>
      </w:r>
    </w:p>
    <w:p w14:paraId="3228A45A" w14:textId="77777777" w:rsidR="00EB5CFE" w:rsidRPr="00114B8C" w:rsidRDefault="00EB5CFE" w:rsidP="00EB5CFE">
      <w:pPr>
        <w:pStyle w:val="ListParagraph"/>
        <w:numPr>
          <w:ilvl w:val="1"/>
          <w:numId w:val="27"/>
        </w:numPr>
        <w:spacing w:after="0" w:line="276" w:lineRule="auto"/>
        <w:jc w:val="both"/>
        <w:rPr>
          <w:rFonts w:ascii="Arial Narrow" w:hAnsi="Arial Narrow"/>
          <w:i/>
          <w:sz w:val="20"/>
          <w:szCs w:val="20"/>
        </w:rPr>
      </w:pPr>
      <w:r w:rsidRPr="00114B8C">
        <w:rPr>
          <w:rFonts w:ascii="Arial Narrow" w:hAnsi="Arial Narrow" w:cs="Arial"/>
          <w:i/>
          <w:sz w:val="20"/>
          <w:szCs w:val="20"/>
        </w:rPr>
        <w:t>In cases concerning the use of digital technologies for expressive purposes, law enforcement and judicial authorities should consider whether the targeted entity has any alternative means of communication and the extent to which the protest resulted in a violation of the right to freedom of expression of the targeted entity online.</w:t>
      </w:r>
    </w:p>
    <w:p w14:paraId="47274374" w14:textId="77777777" w:rsidR="00D50E2E" w:rsidRDefault="00D50E2E" w:rsidP="00B44974">
      <w:pPr>
        <w:spacing w:after="0" w:line="276" w:lineRule="auto"/>
        <w:rPr>
          <w:rFonts w:ascii="Arial Narrow" w:hAnsi="Arial Narrow"/>
          <w:b/>
        </w:rPr>
      </w:pPr>
    </w:p>
    <w:p w14:paraId="04B4E1D2" w14:textId="142F8D3E" w:rsidR="00B44974" w:rsidRDefault="00D50E2E" w:rsidP="00B44974">
      <w:pPr>
        <w:spacing w:after="0" w:line="276" w:lineRule="auto"/>
        <w:rPr>
          <w:rFonts w:ascii="Arial Narrow" w:hAnsi="Arial Narrow"/>
          <w:b/>
        </w:rPr>
      </w:pPr>
      <w:r>
        <w:rPr>
          <w:rFonts w:ascii="Arial Narrow" w:hAnsi="Arial Narrow"/>
          <w:b/>
        </w:rPr>
        <w:t>Content l</w:t>
      </w:r>
      <w:r w:rsidR="008D21C0" w:rsidRPr="00B44974">
        <w:rPr>
          <w:rFonts w:ascii="Arial Narrow" w:hAnsi="Arial Narrow"/>
          <w:b/>
        </w:rPr>
        <w:t>imitations</w:t>
      </w:r>
      <w:r w:rsidR="00FF034C">
        <w:rPr>
          <w:rFonts w:ascii="Arial Narrow" w:hAnsi="Arial Narrow"/>
          <w:b/>
        </w:rPr>
        <w:t xml:space="preserve"> </w:t>
      </w:r>
    </w:p>
    <w:p w14:paraId="23418024" w14:textId="77777777" w:rsidR="00CF0473" w:rsidRPr="00CF0473" w:rsidRDefault="00CF0473" w:rsidP="00CF0473">
      <w:pPr>
        <w:pStyle w:val="ListParagraph"/>
        <w:numPr>
          <w:ilvl w:val="0"/>
          <w:numId w:val="1"/>
        </w:numPr>
        <w:spacing w:after="0" w:line="276" w:lineRule="auto"/>
        <w:jc w:val="both"/>
        <w:rPr>
          <w:rFonts w:ascii="Arial Narrow" w:hAnsi="Arial Narrow"/>
          <w:b/>
        </w:rPr>
      </w:pPr>
      <w:r>
        <w:rPr>
          <w:rFonts w:ascii="Arial Narrow" w:hAnsi="Arial Narrow"/>
        </w:rPr>
        <w:t xml:space="preserve">It is important that General Comment No. 37 reinforces and builds upon the guidance of General Comment No. 34 in </w:t>
      </w:r>
    </w:p>
    <w:p w14:paraId="39D6E67B" w14:textId="0E54D715" w:rsidR="00CF0473" w:rsidRDefault="00CF0473" w:rsidP="00CF0473">
      <w:pPr>
        <w:pStyle w:val="ListParagraph"/>
        <w:spacing w:after="0" w:line="276" w:lineRule="auto"/>
        <w:ind w:left="360"/>
        <w:jc w:val="both"/>
        <w:rPr>
          <w:rFonts w:ascii="Arial Narrow" w:hAnsi="Arial Narrow"/>
        </w:rPr>
      </w:pPr>
      <w:r w:rsidRPr="00CF0473">
        <w:rPr>
          <w:rFonts w:ascii="Arial Narrow" w:hAnsi="Arial Narrow"/>
        </w:rPr>
        <w:t xml:space="preserve">relation to content-based limitations, to make clear that these same principles also apply </w:t>
      </w:r>
      <w:r>
        <w:rPr>
          <w:rFonts w:ascii="Arial Narrow" w:hAnsi="Arial Narrow"/>
        </w:rPr>
        <w:t>to collective forms of expression, and in particular to stress the exceptional nature of prior restraints on expression, which authorities commonly seek to enforce against the organisers and participants in assemblies.</w:t>
      </w:r>
      <w:r w:rsidR="00E76A5E">
        <w:rPr>
          <w:rStyle w:val="FootnoteReference"/>
          <w:rFonts w:ascii="Arial Narrow" w:hAnsi="Arial Narrow"/>
        </w:rPr>
        <w:footnoteReference w:id="81"/>
      </w:r>
      <w:r>
        <w:rPr>
          <w:rFonts w:ascii="Arial Narrow" w:hAnsi="Arial Narrow"/>
        </w:rPr>
        <w:t xml:space="preserve"> </w:t>
      </w:r>
    </w:p>
    <w:p w14:paraId="1C65E678" w14:textId="7D6F6C33" w:rsidR="00CF0473" w:rsidRDefault="00CF0473" w:rsidP="00CF0473">
      <w:pPr>
        <w:pStyle w:val="ListParagraph"/>
        <w:spacing w:after="0" w:line="276" w:lineRule="auto"/>
        <w:ind w:left="360"/>
        <w:jc w:val="both"/>
        <w:rPr>
          <w:rFonts w:ascii="Arial Narrow" w:hAnsi="Arial Narrow"/>
        </w:rPr>
      </w:pPr>
    </w:p>
    <w:p w14:paraId="3696E5C0" w14:textId="533D99C4" w:rsidR="00CF0473" w:rsidRPr="00CF0473" w:rsidRDefault="00E76A5E" w:rsidP="00CF0473">
      <w:pPr>
        <w:pStyle w:val="ListParagraph"/>
        <w:numPr>
          <w:ilvl w:val="0"/>
          <w:numId w:val="1"/>
        </w:numPr>
        <w:spacing w:after="0" w:line="276" w:lineRule="auto"/>
        <w:jc w:val="both"/>
        <w:rPr>
          <w:rFonts w:ascii="Arial Narrow" w:hAnsi="Arial Narrow"/>
          <w:b/>
        </w:rPr>
      </w:pPr>
      <w:r>
        <w:rPr>
          <w:rFonts w:ascii="Arial Narrow" w:hAnsi="Arial Narrow"/>
        </w:rPr>
        <w:t xml:space="preserve">For the purposes of these submissions, ARTICLE 19 focuses on content limitations on peaceful assembly in the online context, as well as limitations pursuant to States obligations under Article 20(2) of the ICCPR. In both fields, we consider there are opportunities for the Committee to address normative gaps, or develop further norms already articulated in General Comment No. 34. </w:t>
      </w:r>
    </w:p>
    <w:p w14:paraId="2A2BEE22" w14:textId="21DDA770" w:rsidR="00CF0473" w:rsidRDefault="00CF0473" w:rsidP="00B44974">
      <w:pPr>
        <w:spacing w:after="0" w:line="276" w:lineRule="auto"/>
        <w:rPr>
          <w:rFonts w:ascii="Arial Narrow" w:hAnsi="Arial Narrow"/>
          <w:b/>
        </w:rPr>
      </w:pPr>
    </w:p>
    <w:p w14:paraId="79DD17CE" w14:textId="2E224BC2" w:rsidR="00B44974" w:rsidRPr="00932C4D" w:rsidRDefault="00B44974" w:rsidP="00B44974">
      <w:pPr>
        <w:pStyle w:val="ListParagraph"/>
        <w:numPr>
          <w:ilvl w:val="0"/>
          <w:numId w:val="26"/>
        </w:numPr>
        <w:spacing w:after="0" w:line="276" w:lineRule="auto"/>
        <w:rPr>
          <w:rFonts w:ascii="Arial Narrow" w:hAnsi="Arial Narrow"/>
        </w:rPr>
      </w:pPr>
      <w:r>
        <w:rPr>
          <w:rFonts w:ascii="Arial Narrow" w:hAnsi="Arial Narrow"/>
          <w:u w:val="single"/>
        </w:rPr>
        <w:t>Limiting the right of peaceful assembly online</w:t>
      </w:r>
      <w:r w:rsidR="00715B9E">
        <w:rPr>
          <w:rStyle w:val="FootnoteReference"/>
          <w:rFonts w:ascii="Arial Narrow" w:hAnsi="Arial Narrow"/>
          <w:u w:val="single"/>
        </w:rPr>
        <w:footnoteReference w:id="82"/>
      </w:r>
    </w:p>
    <w:p w14:paraId="19DC871C" w14:textId="1DCEDD8E" w:rsidR="00B401A4" w:rsidRDefault="00B401A4" w:rsidP="00B401A4">
      <w:pPr>
        <w:spacing w:after="0" w:line="276" w:lineRule="auto"/>
        <w:rPr>
          <w:rFonts w:ascii="Arial Narrow" w:hAnsi="Arial Narrow"/>
        </w:rPr>
      </w:pPr>
    </w:p>
    <w:p w14:paraId="24165898" w14:textId="2A225EC0" w:rsidR="000D5FD1" w:rsidRDefault="000D5FD1" w:rsidP="00B76AB1">
      <w:pPr>
        <w:pStyle w:val="ListParagraph"/>
        <w:numPr>
          <w:ilvl w:val="0"/>
          <w:numId w:val="1"/>
        </w:numPr>
        <w:spacing w:after="0" w:line="276" w:lineRule="auto"/>
        <w:jc w:val="both"/>
        <w:rPr>
          <w:rFonts w:ascii="Arial Narrow" w:hAnsi="Arial Narrow"/>
        </w:rPr>
      </w:pPr>
      <w:r>
        <w:rPr>
          <w:rFonts w:ascii="Arial Narrow" w:hAnsi="Arial Narrow"/>
        </w:rPr>
        <w:t xml:space="preserve">ARTICLE 19 considers that States’ legislation should expressly recognise, in the context of the freedom to choose the location of an assembly, </w:t>
      </w:r>
      <w:r w:rsidR="00B76AB1">
        <w:rPr>
          <w:rFonts w:ascii="Arial Narrow" w:hAnsi="Arial Narrow"/>
        </w:rPr>
        <w:t>that assemblies may take place online, and may not be limited except in accordance with the requirements of the limitations provisions of Article 19(3) and Article 21 of the ICCPR.</w:t>
      </w:r>
      <w:r w:rsidR="00B76AB1">
        <w:rPr>
          <w:rStyle w:val="FootnoteReference"/>
          <w:rFonts w:ascii="Arial Narrow" w:hAnsi="Arial Narrow"/>
        </w:rPr>
        <w:footnoteReference w:id="83"/>
      </w:r>
      <w:r w:rsidR="00B76AB1">
        <w:rPr>
          <w:rFonts w:ascii="Arial Narrow" w:hAnsi="Arial Narrow"/>
        </w:rPr>
        <w:t xml:space="preserve"> As outlined above, internet platforms and the infrastructure on which they depend should be considered a quasi-public space, with the possibility of internet users’ rights taking precedence over the property interests of platform or infrastructure owners. </w:t>
      </w:r>
    </w:p>
    <w:p w14:paraId="28C9D939" w14:textId="3058AB0B" w:rsidR="00B76AB1" w:rsidRDefault="00B76AB1" w:rsidP="00B76AB1">
      <w:pPr>
        <w:pStyle w:val="ListParagraph"/>
        <w:spacing w:after="0" w:line="276" w:lineRule="auto"/>
        <w:ind w:left="360"/>
        <w:rPr>
          <w:rFonts w:ascii="Arial Narrow" w:hAnsi="Arial Narrow"/>
        </w:rPr>
      </w:pPr>
    </w:p>
    <w:p w14:paraId="68E3AAC2" w14:textId="78C168F3" w:rsidR="00B76AB1" w:rsidRDefault="00B76AB1" w:rsidP="001169FE">
      <w:pPr>
        <w:pStyle w:val="ListParagraph"/>
        <w:numPr>
          <w:ilvl w:val="0"/>
          <w:numId w:val="1"/>
        </w:numPr>
        <w:spacing w:after="0" w:line="276" w:lineRule="auto"/>
        <w:jc w:val="both"/>
        <w:rPr>
          <w:rFonts w:ascii="Arial Narrow" w:hAnsi="Arial Narrow"/>
        </w:rPr>
      </w:pPr>
      <w:r>
        <w:rPr>
          <w:rFonts w:ascii="Arial Narrow" w:hAnsi="Arial Narrow"/>
        </w:rPr>
        <w:t xml:space="preserve">In relation to </w:t>
      </w:r>
      <w:r w:rsidR="001169FE">
        <w:rPr>
          <w:rFonts w:ascii="Arial Narrow" w:hAnsi="Arial Narrow"/>
        </w:rPr>
        <w:t xml:space="preserve">online </w:t>
      </w:r>
      <w:r>
        <w:rPr>
          <w:rFonts w:ascii="Arial Narrow" w:hAnsi="Arial Narrow"/>
        </w:rPr>
        <w:t>limitations</w:t>
      </w:r>
      <w:r w:rsidR="001169FE">
        <w:rPr>
          <w:rFonts w:ascii="Arial Narrow" w:hAnsi="Arial Narrow"/>
        </w:rPr>
        <w:t xml:space="preserve"> that engage Article 21 of the ICCPR</w:t>
      </w:r>
      <w:r>
        <w:rPr>
          <w:rFonts w:ascii="Arial Narrow" w:hAnsi="Arial Narrow"/>
        </w:rPr>
        <w:t xml:space="preserve">, </w:t>
      </w:r>
      <w:r w:rsidR="00DB12CC">
        <w:rPr>
          <w:rFonts w:ascii="Arial Narrow" w:hAnsi="Arial Narrow"/>
        </w:rPr>
        <w:t>the</w:t>
      </w:r>
      <w:r w:rsidR="001169FE">
        <w:rPr>
          <w:rFonts w:ascii="Arial Narrow" w:hAnsi="Arial Narrow"/>
        </w:rPr>
        <w:t xml:space="preserve"> Committee has raised concerns at the blocking of websites as a means to frustrate the organising of offline assemblies.</w:t>
      </w:r>
      <w:r w:rsidR="001169FE" w:rsidRPr="00B401A4">
        <w:rPr>
          <w:rStyle w:val="FootnoteReference"/>
          <w:rFonts w:ascii="Arial Narrow" w:hAnsi="Arial Narrow" w:cstheme="minorHAnsi"/>
          <w:szCs w:val="21"/>
        </w:rPr>
        <w:footnoteReference w:id="84"/>
      </w:r>
      <w:r w:rsidR="00DB12CC">
        <w:rPr>
          <w:rFonts w:ascii="Arial Narrow" w:hAnsi="Arial Narrow"/>
        </w:rPr>
        <w:t xml:space="preserve"> The standards the</w:t>
      </w:r>
      <w:r w:rsidR="001169FE">
        <w:rPr>
          <w:rFonts w:ascii="Arial Narrow" w:hAnsi="Arial Narrow"/>
        </w:rPr>
        <w:t xml:space="preserve"> Committee has applied in relation to infringements of online expression should also be considered applicable by analogy to limitations on the right of peaceful assembly online, including in relation to restrictions on the operation of websites.</w:t>
      </w:r>
      <w:r w:rsidR="001169FE">
        <w:rPr>
          <w:rStyle w:val="FootnoteReference"/>
          <w:rFonts w:ascii="Arial Narrow" w:hAnsi="Arial Narrow"/>
        </w:rPr>
        <w:footnoteReference w:id="85"/>
      </w:r>
    </w:p>
    <w:p w14:paraId="3944E7A9" w14:textId="77777777" w:rsidR="001169FE" w:rsidRPr="001169FE" w:rsidRDefault="001169FE" w:rsidP="001169FE">
      <w:pPr>
        <w:pStyle w:val="ListParagraph"/>
        <w:rPr>
          <w:rFonts w:ascii="Arial Narrow" w:hAnsi="Arial Narrow"/>
        </w:rPr>
      </w:pPr>
    </w:p>
    <w:p w14:paraId="7B5F5640" w14:textId="56B804C1" w:rsidR="00AA56A8" w:rsidRDefault="001169FE" w:rsidP="00AA56A8">
      <w:pPr>
        <w:pStyle w:val="ListParagraph"/>
        <w:numPr>
          <w:ilvl w:val="0"/>
          <w:numId w:val="1"/>
        </w:numPr>
        <w:spacing w:after="0" w:line="276" w:lineRule="auto"/>
        <w:jc w:val="both"/>
        <w:rPr>
          <w:rFonts w:ascii="Arial Narrow" w:hAnsi="Arial Narrow"/>
        </w:rPr>
      </w:pPr>
      <w:r>
        <w:rPr>
          <w:rFonts w:ascii="Arial Narrow" w:hAnsi="Arial Narrow"/>
        </w:rPr>
        <w:t xml:space="preserve">General Comment No. 37 should also be considered an opportunity to </w:t>
      </w:r>
      <w:r w:rsidR="00AA56A8">
        <w:rPr>
          <w:rFonts w:ascii="Arial Narrow" w:hAnsi="Arial Narrow"/>
        </w:rPr>
        <w:t>consolidate normative advances in understanding the application of international human rights law online, including in relation to the right of peaceful assembly under Article 21 ICCPR.</w:t>
      </w:r>
      <w:r w:rsidR="00AA56A8">
        <w:rPr>
          <w:rStyle w:val="FootnoteReference"/>
          <w:rFonts w:ascii="Arial Narrow" w:hAnsi="Arial Narrow"/>
        </w:rPr>
        <w:footnoteReference w:id="86"/>
      </w:r>
      <w:r w:rsidR="00AA56A8">
        <w:rPr>
          <w:rFonts w:ascii="Arial Narrow" w:hAnsi="Arial Narrow"/>
        </w:rPr>
        <w:t xml:space="preserve"> In particular, the Committee should draw upon the authoritative standards advanced by States at the UN Human Rights Council,</w:t>
      </w:r>
      <w:r w:rsidR="00AA56A8">
        <w:rPr>
          <w:rStyle w:val="FootnoteReference"/>
          <w:rFonts w:ascii="Arial Narrow" w:hAnsi="Arial Narrow"/>
        </w:rPr>
        <w:footnoteReference w:id="87"/>
      </w:r>
      <w:r w:rsidR="00AA56A8">
        <w:rPr>
          <w:rFonts w:ascii="Arial Narrow" w:hAnsi="Arial Narrow"/>
        </w:rPr>
        <w:t xml:space="preserve"> in addition to the normative contributions in the thematic reports of UN special procedures.</w:t>
      </w:r>
      <w:r w:rsidR="00AA56A8">
        <w:rPr>
          <w:rStyle w:val="FootnoteReference"/>
          <w:rFonts w:ascii="Arial Narrow" w:hAnsi="Arial Narrow"/>
        </w:rPr>
        <w:footnoteReference w:id="88"/>
      </w:r>
    </w:p>
    <w:p w14:paraId="4CD44AA3" w14:textId="77777777" w:rsidR="00AA56A8" w:rsidRPr="00AA56A8" w:rsidRDefault="00AA56A8" w:rsidP="00AA56A8">
      <w:pPr>
        <w:pStyle w:val="ListParagraph"/>
        <w:rPr>
          <w:rFonts w:ascii="Arial Narrow" w:hAnsi="Arial Narrow"/>
        </w:rPr>
      </w:pPr>
    </w:p>
    <w:p w14:paraId="4E05EB2D" w14:textId="032C055D" w:rsidR="00AA56A8" w:rsidRPr="00153E6D" w:rsidRDefault="00AA56A8" w:rsidP="00153E6D">
      <w:pPr>
        <w:pStyle w:val="ListParagraph"/>
        <w:numPr>
          <w:ilvl w:val="0"/>
          <w:numId w:val="1"/>
        </w:numPr>
        <w:spacing w:after="0" w:line="276" w:lineRule="auto"/>
        <w:jc w:val="both"/>
        <w:rPr>
          <w:rFonts w:ascii="Arial Narrow" w:hAnsi="Arial Narrow"/>
        </w:rPr>
      </w:pPr>
      <w:r>
        <w:rPr>
          <w:rFonts w:ascii="Arial Narrow" w:hAnsi="Arial Narrow"/>
        </w:rPr>
        <w:lastRenderedPageBreak/>
        <w:t xml:space="preserve">As priorities, </w:t>
      </w:r>
      <w:r w:rsidR="00153E6D">
        <w:rPr>
          <w:rFonts w:ascii="Arial Narrow" w:hAnsi="Arial Narrow"/>
        </w:rPr>
        <w:t>the Committee should make clear that everyone should, by default, be allowed to freely use digital technologies in peaceful assemblies, including as part of preparations for assemblies, and for commentary on assemblies (including</w:t>
      </w:r>
      <w:r w:rsidR="004E2C93">
        <w:rPr>
          <w:rFonts w:ascii="Arial Narrow" w:hAnsi="Arial Narrow"/>
        </w:rPr>
        <w:t xml:space="preserve"> after the assembly has ceased),</w:t>
      </w:r>
      <w:r w:rsidR="00153E6D">
        <w:rPr>
          <w:rStyle w:val="FootnoteReference"/>
          <w:rFonts w:ascii="Arial Narrow" w:hAnsi="Arial Narrow"/>
        </w:rPr>
        <w:footnoteReference w:id="89"/>
      </w:r>
      <w:r w:rsidR="00DE7DAA">
        <w:rPr>
          <w:rFonts w:ascii="Arial Narrow" w:hAnsi="Arial Narrow"/>
        </w:rPr>
        <w:t xml:space="preserve"> and that States should promote universal Internet access on a rights-basis.</w:t>
      </w:r>
      <w:r w:rsidR="00DE7DAA">
        <w:rPr>
          <w:rStyle w:val="FootnoteReference"/>
          <w:rFonts w:ascii="Arial Narrow" w:hAnsi="Arial Narrow"/>
        </w:rPr>
        <w:footnoteReference w:id="90"/>
      </w:r>
      <w:r w:rsidR="00153E6D">
        <w:rPr>
          <w:rFonts w:ascii="Arial Narrow" w:hAnsi="Arial Narrow"/>
        </w:rPr>
        <w:t xml:space="preserve">  In particular,</w:t>
      </w:r>
      <w:r>
        <w:rPr>
          <w:rFonts w:ascii="Arial Narrow" w:hAnsi="Arial Narrow"/>
        </w:rPr>
        <w:t xml:space="preserve"> </w:t>
      </w:r>
      <w:r w:rsidR="00153E6D">
        <w:rPr>
          <w:rFonts w:ascii="Arial Narrow" w:hAnsi="Arial Narrow"/>
        </w:rPr>
        <w:t>the following standards should be integrated</w:t>
      </w:r>
      <w:r>
        <w:rPr>
          <w:rFonts w:ascii="Arial Narrow" w:hAnsi="Arial Narrow"/>
        </w:rPr>
        <w:t xml:space="preserve"> </w:t>
      </w:r>
      <w:r w:rsidR="00DB12CC">
        <w:rPr>
          <w:rFonts w:ascii="Arial Narrow" w:hAnsi="Arial Narrow"/>
        </w:rPr>
        <w:t>in</w:t>
      </w:r>
      <w:r>
        <w:rPr>
          <w:rFonts w:ascii="Arial Narrow" w:hAnsi="Arial Narrow"/>
        </w:rPr>
        <w:t xml:space="preserve">to General Comment No. 37: </w:t>
      </w:r>
    </w:p>
    <w:p w14:paraId="09439A0D" w14:textId="4AFD2525" w:rsidR="00DE7DAA" w:rsidRPr="00DE7DAA" w:rsidRDefault="00DE7DAA" w:rsidP="002D7501">
      <w:pPr>
        <w:pStyle w:val="ListParagraph"/>
        <w:numPr>
          <w:ilvl w:val="1"/>
          <w:numId w:val="1"/>
        </w:numPr>
        <w:spacing w:after="0" w:line="276" w:lineRule="auto"/>
        <w:jc w:val="both"/>
        <w:rPr>
          <w:rFonts w:ascii="Arial Narrow" w:hAnsi="Arial Narrow"/>
          <w:szCs w:val="21"/>
        </w:rPr>
      </w:pPr>
      <w:r>
        <w:rPr>
          <w:rFonts w:ascii="Arial Narrow" w:hAnsi="Arial Narrow"/>
          <w:b/>
          <w:szCs w:val="21"/>
        </w:rPr>
        <w:t xml:space="preserve">Content restrictions online </w:t>
      </w:r>
      <w:r>
        <w:rPr>
          <w:rFonts w:ascii="Arial Narrow" w:hAnsi="Arial Narrow"/>
          <w:szCs w:val="21"/>
        </w:rPr>
        <w:t>that apply to acts of collective expression and therefore engage Article 21 of the ICCPR should comply with the requirements of legality, legitimate aim, and necessity and proportionality.</w:t>
      </w:r>
      <w:r>
        <w:rPr>
          <w:rStyle w:val="FootnoteReference"/>
          <w:rFonts w:ascii="Arial Narrow" w:hAnsi="Arial Narrow"/>
          <w:szCs w:val="21"/>
        </w:rPr>
        <w:footnoteReference w:id="91"/>
      </w:r>
    </w:p>
    <w:p w14:paraId="5894D55A" w14:textId="4E984147" w:rsidR="00A55D6A" w:rsidRPr="00D75C24" w:rsidRDefault="00153E6D" w:rsidP="00DB12CC">
      <w:pPr>
        <w:pStyle w:val="ListParagraph"/>
        <w:numPr>
          <w:ilvl w:val="1"/>
          <w:numId w:val="1"/>
        </w:numPr>
        <w:spacing w:after="0" w:line="276" w:lineRule="auto"/>
        <w:jc w:val="both"/>
        <w:rPr>
          <w:rFonts w:ascii="Arial Narrow" w:hAnsi="Arial Narrow"/>
          <w:szCs w:val="21"/>
        </w:rPr>
      </w:pPr>
      <w:r w:rsidRPr="00DE7DAA">
        <w:rPr>
          <w:rFonts w:ascii="Arial Narrow" w:hAnsi="Arial Narrow"/>
          <w:b/>
          <w:szCs w:val="21"/>
        </w:rPr>
        <w:t>“Internet shutdowns” or “kill switches”</w:t>
      </w:r>
      <w:r>
        <w:rPr>
          <w:rFonts w:ascii="Arial Narrow" w:hAnsi="Arial Narrow"/>
          <w:szCs w:val="21"/>
        </w:rPr>
        <w:t xml:space="preserve">, </w:t>
      </w:r>
      <w:r w:rsidR="002D7501">
        <w:rPr>
          <w:rFonts w:ascii="Arial Narrow" w:hAnsi="Arial Narrow"/>
          <w:szCs w:val="21"/>
        </w:rPr>
        <w:t>defined as measures to intentionally prevent or disrupt Internet access,</w:t>
      </w:r>
      <w:r>
        <w:rPr>
          <w:rFonts w:ascii="Arial Narrow" w:hAnsi="Arial Narrow"/>
          <w:szCs w:val="21"/>
        </w:rPr>
        <w:t xml:space="preserve"> </w:t>
      </w:r>
      <w:r w:rsidR="004E2C93">
        <w:rPr>
          <w:rFonts w:ascii="Arial Narrow" w:hAnsi="Arial Narrow"/>
          <w:szCs w:val="21"/>
        </w:rPr>
        <w:t>are always a disproportionate interference with human rights.</w:t>
      </w:r>
      <w:r w:rsidR="004E2C93">
        <w:rPr>
          <w:rStyle w:val="FootnoteReference"/>
          <w:rFonts w:ascii="Arial Narrow" w:hAnsi="Arial Narrow"/>
          <w:szCs w:val="21"/>
        </w:rPr>
        <w:footnoteReference w:id="92"/>
      </w:r>
      <w:r w:rsidR="004E2C93">
        <w:rPr>
          <w:rFonts w:ascii="Arial Narrow" w:hAnsi="Arial Narrow"/>
          <w:szCs w:val="21"/>
        </w:rPr>
        <w:t xml:space="preserve"> </w:t>
      </w:r>
      <w:r w:rsidR="002D7501" w:rsidRPr="004E2C93">
        <w:rPr>
          <w:rFonts w:ascii="Arial Narrow" w:hAnsi="Arial Narrow"/>
          <w:szCs w:val="21"/>
        </w:rPr>
        <w:t>States at the UN Human Rights Council</w:t>
      </w:r>
      <w:r w:rsidR="004E2C93">
        <w:rPr>
          <w:rFonts w:ascii="Arial Narrow" w:hAnsi="Arial Narrow"/>
          <w:szCs w:val="21"/>
        </w:rPr>
        <w:t xml:space="preserve"> have specifically condemned attacks on connectivity</w:t>
      </w:r>
      <w:r w:rsidR="002D7501" w:rsidRPr="004E2C93">
        <w:rPr>
          <w:rFonts w:ascii="Arial Narrow" w:hAnsi="Arial Narrow"/>
          <w:szCs w:val="21"/>
        </w:rPr>
        <w:t xml:space="preserve"> where they are used as part of a strategy to frustrate the exercise of the right of peaceful assembly.</w:t>
      </w:r>
      <w:r w:rsidR="002D7501">
        <w:rPr>
          <w:rStyle w:val="FootnoteReference"/>
          <w:rFonts w:ascii="Arial Narrow" w:hAnsi="Arial Narrow"/>
          <w:szCs w:val="21"/>
        </w:rPr>
        <w:footnoteReference w:id="93"/>
      </w:r>
      <w:r w:rsidR="002D7501" w:rsidRPr="004E2C93">
        <w:rPr>
          <w:rFonts w:ascii="Arial Narrow" w:hAnsi="Arial Narrow"/>
          <w:szCs w:val="21"/>
        </w:rPr>
        <w:t xml:space="preserve"> The UN Special Rapporteur on freedom of opinion and expression has called on States to cease the practice, observing that shutdowns rarely have a sound legal basis,</w:t>
      </w:r>
      <w:r w:rsidR="002D7501">
        <w:rPr>
          <w:rStyle w:val="FootnoteReference"/>
          <w:rFonts w:ascii="Arial Narrow" w:hAnsi="Arial Narrow"/>
          <w:szCs w:val="21"/>
        </w:rPr>
        <w:footnoteReference w:id="94"/>
      </w:r>
      <w:r w:rsidR="002D7501" w:rsidRPr="004E2C93">
        <w:rPr>
          <w:rFonts w:ascii="Arial Narrow" w:hAnsi="Arial Narrow"/>
          <w:szCs w:val="21"/>
        </w:rPr>
        <w:t xml:space="preserve"> “invariably fail to meet the standard of necessity”, and “are generally disproportionate.”</w:t>
      </w:r>
      <w:r w:rsidR="002D7501">
        <w:rPr>
          <w:rStyle w:val="FootnoteReference"/>
          <w:rFonts w:ascii="Arial Narrow" w:hAnsi="Arial Narrow"/>
          <w:szCs w:val="21"/>
        </w:rPr>
        <w:footnoteReference w:id="95"/>
      </w:r>
      <w:r w:rsidR="005A34CA" w:rsidRPr="004E2C93">
        <w:rPr>
          <w:rFonts w:ascii="Arial Narrow" w:hAnsi="Arial Narrow"/>
          <w:szCs w:val="21"/>
        </w:rPr>
        <w:t xml:space="preserve"> UN</w:t>
      </w:r>
      <w:r w:rsidR="00D75C24">
        <w:rPr>
          <w:rFonts w:ascii="Arial Narrow" w:hAnsi="Arial Narrow"/>
          <w:szCs w:val="21"/>
        </w:rPr>
        <w:t xml:space="preserve"> and regional</w:t>
      </w:r>
      <w:r w:rsidR="005A34CA" w:rsidRPr="004E2C93">
        <w:rPr>
          <w:rFonts w:ascii="Arial Narrow" w:hAnsi="Arial Narrow"/>
          <w:szCs w:val="21"/>
        </w:rPr>
        <w:t xml:space="preserve"> mandates on freedom of expression have come together to state that cutting off access to the Internet can never be justified under international human rights law.</w:t>
      </w:r>
      <w:r w:rsidR="005A34CA">
        <w:rPr>
          <w:rStyle w:val="FootnoteReference"/>
          <w:rFonts w:ascii="Arial Narrow" w:hAnsi="Arial Narrow"/>
          <w:szCs w:val="21"/>
        </w:rPr>
        <w:footnoteReference w:id="96"/>
      </w:r>
      <w:r w:rsidR="005A34CA" w:rsidRPr="004E2C93">
        <w:rPr>
          <w:rFonts w:ascii="Arial Narrow" w:hAnsi="Arial Narrow"/>
          <w:szCs w:val="21"/>
        </w:rPr>
        <w:t xml:space="preserve"> </w:t>
      </w:r>
    </w:p>
    <w:p w14:paraId="5053F88A" w14:textId="1D58363C" w:rsidR="00D75C24" w:rsidRPr="00F42CDA" w:rsidRDefault="00AA56A8" w:rsidP="00DB12CC">
      <w:pPr>
        <w:pStyle w:val="ListParagraph"/>
        <w:numPr>
          <w:ilvl w:val="1"/>
          <w:numId w:val="1"/>
        </w:numPr>
        <w:spacing w:after="0" w:line="276" w:lineRule="auto"/>
        <w:jc w:val="both"/>
        <w:rPr>
          <w:rFonts w:ascii="Arial Narrow" w:hAnsi="Arial Narrow"/>
          <w:b/>
        </w:rPr>
      </w:pPr>
      <w:r w:rsidRPr="00DE7DAA">
        <w:rPr>
          <w:rFonts w:ascii="Arial Narrow" w:hAnsi="Arial Narrow"/>
          <w:b/>
          <w:szCs w:val="21"/>
        </w:rPr>
        <w:t>Internet blocking and filtering</w:t>
      </w:r>
      <w:r w:rsidR="00D75C24">
        <w:rPr>
          <w:rFonts w:ascii="Arial Narrow" w:hAnsi="Arial Narrow"/>
          <w:b/>
          <w:szCs w:val="21"/>
        </w:rPr>
        <w:t xml:space="preserve"> </w:t>
      </w:r>
      <w:r w:rsidR="00D75C24">
        <w:rPr>
          <w:rFonts w:ascii="Arial Narrow" w:hAnsi="Arial Narrow"/>
          <w:szCs w:val="21"/>
        </w:rPr>
        <w:t xml:space="preserve">raise similar concerns to Internet shutdowns. In relation to blocking orders, the UN and regional mandates on freedom of </w:t>
      </w:r>
      <w:r w:rsidR="00D75C24" w:rsidRPr="00D75C24">
        <w:rPr>
          <w:rFonts w:ascii="Arial Narrow" w:hAnsi="Arial Narrow"/>
        </w:rPr>
        <w:t>expression have</w:t>
      </w:r>
      <w:r w:rsidR="00D75C24">
        <w:rPr>
          <w:rFonts w:ascii="Arial Narrow" w:hAnsi="Arial Narrow"/>
        </w:rPr>
        <w:t xml:space="preserve"> advised</w:t>
      </w:r>
      <w:r w:rsidR="00D75C24" w:rsidRPr="00D75C24">
        <w:rPr>
          <w:rFonts w:ascii="Arial Narrow" w:hAnsi="Arial Narrow"/>
        </w:rPr>
        <w:t xml:space="preserve"> that “</w:t>
      </w:r>
      <w:r w:rsidR="00D75C24" w:rsidRPr="00D75C24">
        <w:rPr>
          <w:rFonts w:ascii="Arial Narrow" w:hAnsi="Arial Narrow" w:cs="Arial"/>
        </w:rPr>
        <w:t xml:space="preserve">State mandated </w:t>
      </w:r>
      <w:r w:rsidR="00D75C24" w:rsidRPr="00D75C24">
        <w:rPr>
          <w:rStyle w:val="highlight"/>
          <w:rFonts w:ascii="Arial Narrow" w:hAnsi="Arial Narrow" w:cs="Arial"/>
        </w:rPr>
        <w:t>block</w:t>
      </w:r>
      <w:r w:rsidR="00D75C24" w:rsidRPr="00D75C24">
        <w:rPr>
          <w:rFonts w:ascii="Arial Narrow" w:hAnsi="Arial Narrow" w:cs="Arial"/>
        </w:rPr>
        <w:t>ing of entire websites, IP addresses, ports or network protocols is an extreme measure which can only be justified where it is provided</w:t>
      </w:r>
      <w:r w:rsidR="00F42CDA">
        <w:rPr>
          <w:rFonts w:ascii="Arial Narrow" w:hAnsi="Arial Narrow" w:cs="Arial"/>
        </w:rPr>
        <w:t xml:space="preserve"> </w:t>
      </w:r>
      <w:r w:rsidR="00D75C24" w:rsidRPr="00D75C24">
        <w:rPr>
          <w:rFonts w:ascii="Arial Narrow" w:hAnsi="Arial Narrow" w:cs="Arial"/>
        </w:rPr>
        <w:t>by law and is necessary to protect a human right or other legitimate public inte</w:t>
      </w:r>
      <w:r w:rsidR="00DB12CC">
        <w:rPr>
          <w:rFonts w:ascii="Arial Narrow" w:hAnsi="Arial Narrow" w:cs="Arial"/>
        </w:rPr>
        <w:t xml:space="preserve">rest, including in the sense </w:t>
      </w:r>
      <w:r w:rsidR="00D75C24" w:rsidRPr="00D75C24">
        <w:rPr>
          <w:rFonts w:ascii="Arial Narrow" w:hAnsi="Arial Narrow" w:cs="Arial"/>
        </w:rPr>
        <w:t>that it is proportionate, there are no less intrusive alternative measures which would protect the interest and it respects minimum due process guarantees”</w:t>
      </w:r>
      <w:r w:rsidR="00D75C24">
        <w:rPr>
          <w:rFonts w:ascii="Arial Narrow" w:hAnsi="Arial Narrow" w:cs="Arial"/>
        </w:rPr>
        <w:t>,</w:t>
      </w:r>
      <w:r w:rsidR="00D75C24">
        <w:rPr>
          <w:rStyle w:val="FootnoteReference"/>
          <w:rFonts w:ascii="Arial Narrow" w:hAnsi="Arial Narrow" w:cs="Arial"/>
        </w:rPr>
        <w:footnoteReference w:id="97"/>
      </w:r>
      <w:r w:rsidR="00D75C24">
        <w:rPr>
          <w:rFonts w:ascii="Arial Narrow" w:hAnsi="Arial Narrow" w:cs="Arial"/>
        </w:rPr>
        <w:t xml:space="preserve"> building upon the Committee’s guidance in General Comment No. 34.</w:t>
      </w:r>
      <w:r w:rsidR="00D75C24">
        <w:rPr>
          <w:rStyle w:val="FootnoteReference"/>
          <w:rFonts w:ascii="Arial Narrow" w:hAnsi="Arial Narrow" w:cs="Arial"/>
        </w:rPr>
        <w:footnoteReference w:id="98"/>
      </w:r>
      <w:r w:rsidR="00F42CDA">
        <w:rPr>
          <w:rFonts w:ascii="Arial Narrow" w:hAnsi="Arial Narrow" w:cs="Arial"/>
        </w:rPr>
        <w:t xml:space="preserve"> By contrast, the mandates observe that content filtering systems imposed by governments are, as a form of prior censorship, never justified under international human rights law.</w:t>
      </w:r>
      <w:r w:rsidR="00F42CDA">
        <w:rPr>
          <w:rStyle w:val="FootnoteReference"/>
          <w:rFonts w:ascii="Arial Narrow" w:hAnsi="Arial Narrow" w:cs="Arial"/>
        </w:rPr>
        <w:footnoteReference w:id="99"/>
      </w:r>
    </w:p>
    <w:p w14:paraId="3230724D" w14:textId="6672D181" w:rsidR="00AA56A8" w:rsidRPr="00AA56A8" w:rsidRDefault="00932C4D" w:rsidP="00AA56A8">
      <w:pPr>
        <w:pStyle w:val="ListParagraph"/>
        <w:numPr>
          <w:ilvl w:val="1"/>
          <w:numId w:val="1"/>
        </w:numPr>
        <w:spacing w:after="0" w:line="276" w:lineRule="auto"/>
        <w:jc w:val="both"/>
        <w:rPr>
          <w:rFonts w:ascii="Arial Narrow" w:hAnsi="Arial Narrow"/>
        </w:rPr>
      </w:pPr>
      <w:r w:rsidRPr="00F42CDA">
        <w:rPr>
          <w:rFonts w:ascii="Arial Narrow" w:hAnsi="Arial Narrow"/>
          <w:b/>
          <w:szCs w:val="21"/>
        </w:rPr>
        <w:lastRenderedPageBreak/>
        <w:t xml:space="preserve">Limitations to </w:t>
      </w:r>
      <w:r w:rsidR="00B76AB1" w:rsidRPr="00F42CDA">
        <w:rPr>
          <w:rFonts w:ascii="Arial Narrow" w:hAnsi="Arial Narrow"/>
          <w:b/>
          <w:szCs w:val="21"/>
        </w:rPr>
        <w:t xml:space="preserve">online </w:t>
      </w:r>
      <w:r w:rsidR="009911CD" w:rsidRPr="00F42CDA">
        <w:rPr>
          <w:rFonts w:ascii="Arial Narrow" w:hAnsi="Arial Narrow"/>
          <w:b/>
          <w:szCs w:val="21"/>
        </w:rPr>
        <w:t>anonymity and encryption</w:t>
      </w:r>
      <w:r w:rsidR="00F42CDA">
        <w:rPr>
          <w:rFonts w:ascii="Arial Narrow" w:hAnsi="Arial Narrow"/>
          <w:szCs w:val="21"/>
        </w:rPr>
        <w:t xml:space="preserve"> chill the exercise of the right of peaceful assembly, online and offline</w:t>
      </w:r>
      <w:r w:rsidR="007F2B82">
        <w:rPr>
          <w:rFonts w:ascii="Arial Narrow" w:hAnsi="Arial Narrow"/>
          <w:szCs w:val="21"/>
        </w:rPr>
        <w:t>, and potentially violate this right, in addition to the right</w:t>
      </w:r>
      <w:r w:rsidR="00B94EAE">
        <w:rPr>
          <w:rFonts w:ascii="Arial Narrow" w:hAnsi="Arial Narrow"/>
          <w:szCs w:val="21"/>
        </w:rPr>
        <w:t>s to freedom of expression and</w:t>
      </w:r>
      <w:r w:rsidR="007F2B82">
        <w:rPr>
          <w:rFonts w:ascii="Arial Narrow" w:hAnsi="Arial Narrow"/>
          <w:szCs w:val="21"/>
        </w:rPr>
        <w:t xml:space="preserve"> to privacy</w:t>
      </w:r>
      <w:r w:rsidR="00F42CDA">
        <w:rPr>
          <w:rFonts w:ascii="Arial Narrow" w:hAnsi="Arial Narrow"/>
          <w:szCs w:val="21"/>
        </w:rPr>
        <w:t>.</w:t>
      </w:r>
      <w:r w:rsidR="00715B9E">
        <w:rPr>
          <w:rStyle w:val="FootnoteReference"/>
          <w:rFonts w:ascii="Arial Narrow" w:hAnsi="Arial Narrow"/>
          <w:szCs w:val="21"/>
        </w:rPr>
        <w:footnoteReference w:id="100"/>
      </w:r>
      <w:r w:rsidR="00B94EAE">
        <w:rPr>
          <w:rFonts w:ascii="Arial Narrow" w:hAnsi="Arial Narrow"/>
          <w:szCs w:val="21"/>
        </w:rPr>
        <w:t xml:space="preserve"> ARTICLE 19 considers that the ability to conceal one’s identity can have an expressive purpose, and is integral to individual autonomy, in particular for seeking and access information, but also for choosing the conditions of one’s interactions with others. </w:t>
      </w:r>
      <w:r w:rsidR="00F42CDA">
        <w:rPr>
          <w:rFonts w:ascii="Arial Narrow" w:hAnsi="Arial Narrow"/>
          <w:szCs w:val="21"/>
        </w:rPr>
        <w:t>States at the UN Human Rights Council have recognised their importance to peaceful assembly,</w:t>
      </w:r>
      <w:r w:rsidR="009911CD">
        <w:rPr>
          <w:rStyle w:val="FootnoteReference"/>
          <w:rFonts w:ascii="Arial Narrow" w:hAnsi="Arial Narrow"/>
          <w:szCs w:val="21"/>
        </w:rPr>
        <w:footnoteReference w:id="101"/>
      </w:r>
      <w:r w:rsidR="00F42CDA">
        <w:rPr>
          <w:rFonts w:ascii="Arial Narrow" w:hAnsi="Arial Narrow"/>
          <w:szCs w:val="21"/>
        </w:rPr>
        <w:t xml:space="preserve"> and have called on States “not to interfere with the use of such technical solutions.”</w:t>
      </w:r>
      <w:r w:rsidR="00F42CDA">
        <w:rPr>
          <w:rStyle w:val="FootnoteReference"/>
          <w:rFonts w:ascii="Arial Narrow" w:hAnsi="Arial Narrow"/>
          <w:szCs w:val="21"/>
        </w:rPr>
        <w:footnoteReference w:id="102"/>
      </w:r>
      <w:r w:rsidR="00F42CDA">
        <w:rPr>
          <w:rFonts w:ascii="Arial Narrow" w:hAnsi="Arial Narrow"/>
          <w:szCs w:val="21"/>
        </w:rPr>
        <w:t xml:space="preserve"> The UN Special Rapporteur has called on States to protect encryption and anonymity tools in law and policy, </w:t>
      </w:r>
      <w:r w:rsidR="007F2B82">
        <w:rPr>
          <w:rFonts w:ascii="Arial Narrow" w:hAnsi="Arial Narrow"/>
          <w:szCs w:val="21"/>
        </w:rPr>
        <w:t>making clear that bans on their use are incompatible with international human rights law, and that limitations must be justified according to the test of legality, legitimate aim, and necessity and proportionality.</w:t>
      </w:r>
      <w:r w:rsidR="007F2B82">
        <w:rPr>
          <w:rStyle w:val="FootnoteReference"/>
          <w:rFonts w:ascii="Arial Narrow" w:hAnsi="Arial Narrow"/>
          <w:szCs w:val="21"/>
        </w:rPr>
        <w:footnoteReference w:id="103"/>
      </w:r>
      <w:r w:rsidR="00F42CDA">
        <w:rPr>
          <w:rFonts w:ascii="Arial Narrow" w:hAnsi="Arial Narrow"/>
          <w:szCs w:val="21"/>
        </w:rPr>
        <w:t xml:space="preserve"> </w:t>
      </w:r>
      <w:r w:rsidR="007F2B82">
        <w:rPr>
          <w:rFonts w:ascii="Arial Narrow" w:hAnsi="Arial Narrow"/>
          <w:szCs w:val="21"/>
        </w:rPr>
        <w:t>The Committee should consider the particular importance of encryption and anonymity tools for individuals and groups that face discrimination, as well as those operating in environments where organising or engaging in peaceful assemblies carries with it risks of surveillance by the government or private actors.</w:t>
      </w:r>
      <w:r w:rsidR="00715B9E">
        <w:rPr>
          <w:rStyle w:val="FootnoteReference"/>
          <w:rFonts w:ascii="Arial Narrow" w:hAnsi="Arial Narrow"/>
          <w:szCs w:val="21"/>
        </w:rPr>
        <w:footnoteReference w:id="104"/>
      </w:r>
      <w:r w:rsidR="00E76A5E">
        <w:rPr>
          <w:rFonts w:ascii="Arial Narrow" w:hAnsi="Arial Narrow"/>
          <w:szCs w:val="21"/>
        </w:rPr>
        <w:t xml:space="preserve"> This also applies to offline assemblies, where any limitations to attempts by individuals to conceal their identity (e.g. by requiring the removal of masks), should be justified on the basis of an individualised suspicion of a serious criminal offence, and by reference to the test of the limitations clause in Article 21 of the ICCPR.</w:t>
      </w:r>
      <w:r w:rsidR="00E76A5E">
        <w:rPr>
          <w:rStyle w:val="FootnoteReference"/>
          <w:rFonts w:ascii="Arial Narrow" w:hAnsi="Arial Narrow"/>
          <w:szCs w:val="21"/>
        </w:rPr>
        <w:footnoteReference w:id="105"/>
      </w:r>
    </w:p>
    <w:p w14:paraId="7F3FD4C9" w14:textId="5B8761AD" w:rsidR="00D75C24" w:rsidRPr="00D75C24" w:rsidRDefault="002F2AF1" w:rsidP="00715B9E">
      <w:pPr>
        <w:pStyle w:val="ListParagraph"/>
        <w:numPr>
          <w:ilvl w:val="1"/>
          <w:numId w:val="1"/>
        </w:numPr>
        <w:spacing w:after="0" w:line="276" w:lineRule="auto"/>
        <w:jc w:val="both"/>
        <w:rPr>
          <w:rFonts w:ascii="Arial Narrow" w:hAnsi="Arial Narrow"/>
          <w:b/>
        </w:rPr>
      </w:pPr>
      <w:r w:rsidRPr="00D75C24">
        <w:rPr>
          <w:rFonts w:ascii="Arial Narrow" w:hAnsi="Arial Narrow"/>
          <w:b/>
          <w:szCs w:val="21"/>
        </w:rPr>
        <w:t>I</w:t>
      </w:r>
      <w:r w:rsidR="00932C4D" w:rsidRPr="00D75C24">
        <w:rPr>
          <w:rFonts w:ascii="Arial Narrow" w:hAnsi="Arial Narrow"/>
          <w:b/>
        </w:rPr>
        <w:t>ntermediary liability</w:t>
      </w:r>
      <w:r w:rsidR="007F2B82">
        <w:rPr>
          <w:rFonts w:ascii="Arial Narrow" w:hAnsi="Arial Narrow"/>
        </w:rPr>
        <w:t xml:space="preserve"> -</w:t>
      </w:r>
      <w:r w:rsidRPr="00D75C24">
        <w:rPr>
          <w:rFonts w:ascii="Arial Narrow" w:hAnsi="Arial Narrow"/>
        </w:rPr>
        <w:t xml:space="preserve"> States </w:t>
      </w:r>
      <w:r w:rsidR="00A55D6A" w:rsidRPr="00D75C24">
        <w:rPr>
          <w:rFonts w:ascii="Arial Narrow" w:hAnsi="Arial Narrow"/>
        </w:rPr>
        <w:t>are increasingly placing</w:t>
      </w:r>
      <w:r w:rsidRPr="00D75C24">
        <w:rPr>
          <w:rFonts w:ascii="Arial Narrow" w:hAnsi="Arial Narrow"/>
        </w:rPr>
        <w:t xml:space="preserve"> </w:t>
      </w:r>
      <w:r w:rsidR="00A55D6A" w:rsidRPr="00D75C24">
        <w:rPr>
          <w:rFonts w:ascii="Arial Narrow" w:hAnsi="Arial Narrow"/>
        </w:rPr>
        <w:t xml:space="preserve">regulatory </w:t>
      </w:r>
      <w:r w:rsidRPr="00D75C24">
        <w:rPr>
          <w:rFonts w:ascii="Arial Narrow" w:hAnsi="Arial Narrow"/>
        </w:rPr>
        <w:t xml:space="preserve">pressure on private intermediaries to take action to restrict </w:t>
      </w:r>
      <w:r w:rsidR="00A55D6A" w:rsidRPr="00D75C24">
        <w:rPr>
          <w:rFonts w:ascii="Arial Narrow" w:hAnsi="Arial Narrow"/>
        </w:rPr>
        <w:t xml:space="preserve">online </w:t>
      </w:r>
      <w:r w:rsidRPr="00D75C24">
        <w:rPr>
          <w:rFonts w:ascii="Arial Narrow" w:hAnsi="Arial Narrow"/>
        </w:rPr>
        <w:t>content, including through automated processes, thereby “privatising” censorship, with the potential to impact the right of peaceful assembly online, as well as freedom of expression.</w:t>
      </w:r>
      <w:r w:rsidRPr="00A55D6A">
        <w:rPr>
          <w:rStyle w:val="FootnoteReference"/>
          <w:rFonts w:ascii="Arial Narrow" w:hAnsi="Arial Narrow"/>
        </w:rPr>
        <w:footnoteReference w:id="106"/>
      </w:r>
      <w:r w:rsidR="00A55D6A" w:rsidRPr="00D75C24">
        <w:rPr>
          <w:rFonts w:ascii="Arial Narrow" w:hAnsi="Arial Narrow"/>
        </w:rPr>
        <w:t xml:space="preserve"> UN and regional freedom of expression mandates have joined forces to recommend that “</w:t>
      </w:r>
      <w:r w:rsidR="00A55D6A" w:rsidRPr="00D75C24">
        <w:rPr>
          <w:rStyle w:val="highlight"/>
          <w:rFonts w:ascii="Arial Narrow" w:hAnsi="Arial Narrow" w:cs="Arial"/>
        </w:rPr>
        <w:t>Intermed</w:t>
      </w:r>
      <w:r w:rsidR="00A55D6A" w:rsidRPr="00D75C24">
        <w:rPr>
          <w:rFonts w:ascii="Arial Narrow" w:hAnsi="Arial Narrow" w:cs="Arial"/>
        </w:rPr>
        <w:t>iaries should never be liable for any third party content relating to those services unless they specifically intervene in that content or refuse to obey an order adopted in accordance with due process guarantees by an independent, impartial, authoritative oversight body (such as a court) to remove it and they have the technical capacity to do that.”</w:t>
      </w:r>
      <w:r w:rsidR="00A55D6A">
        <w:rPr>
          <w:rStyle w:val="FootnoteReference"/>
          <w:rFonts w:ascii="Arial Narrow" w:hAnsi="Arial Narrow" w:cs="Arial"/>
        </w:rPr>
        <w:footnoteReference w:id="107"/>
      </w:r>
    </w:p>
    <w:p w14:paraId="2F7C1079" w14:textId="4312F504" w:rsidR="00A55D6A" w:rsidRPr="00D75C24" w:rsidRDefault="00D75C24" w:rsidP="00D75C24">
      <w:pPr>
        <w:pStyle w:val="ListParagraph"/>
        <w:numPr>
          <w:ilvl w:val="1"/>
          <w:numId w:val="1"/>
        </w:numPr>
        <w:spacing w:after="0" w:line="276" w:lineRule="auto"/>
        <w:jc w:val="both"/>
        <w:rPr>
          <w:rFonts w:ascii="Arial Narrow" w:hAnsi="Arial Narrow"/>
          <w:b/>
        </w:rPr>
      </w:pPr>
      <w:r>
        <w:rPr>
          <w:rFonts w:ascii="Arial Narrow" w:hAnsi="Arial Narrow"/>
          <w:b/>
          <w:szCs w:val="21"/>
        </w:rPr>
        <w:t xml:space="preserve">Private actors, including intermediaries and online platforms, </w:t>
      </w:r>
      <w:r>
        <w:rPr>
          <w:rFonts w:ascii="Arial Narrow" w:hAnsi="Arial Narrow"/>
          <w:szCs w:val="21"/>
        </w:rPr>
        <w:t xml:space="preserve">have human rights responsibilities </w:t>
      </w:r>
      <w:r w:rsidRPr="00D75C24">
        <w:rPr>
          <w:rFonts w:ascii="Arial Narrow" w:hAnsi="Arial Narrow" w:cs="Arial"/>
        </w:rPr>
        <w:t>under</w:t>
      </w:r>
      <w:r w:rsidR="00A55D6A" w:rsidRPr="00D75C24">
        <w:rPr>
          <w:rFonts w:ascii="Arial Narrow" w:hAnsi="Arial Narrow" w:cs="Arial"/>
        </w:rPr>
        <w:t xml:space="preserve"> the Ruggie Principles on Business and Human Rights to respect the human rights of Internet users, including their right of peaceful assembly.</w:t>
      </w:r>
      <w:r w:rsidR="00A55D6A">
        <w:rPr>
          <w:rStyle w:val="FootnoteReference"/>
          <w:rFonts w:ascii="Arial Narrow" w:hAnsi="Arial Narrow" w:cs="Arial"/>
        </w:rPr>
        <w:footnoteReference w:id="108"/>
      </w:r>
      <w:r w:rsidR="00A55D6A" w:rsidRPr="00D75C24">
        <w:rPr>
          <w:rFonts w:ascii="Arial Narrow" w:hAnsi="Arial Narrow" w:cs="Arial"/>
        </w:rPr>
        <w:t xml:space="preserve"> States at the Human Rights Council have also recognised that Internet companies have responsibilities to protect the human rights of their users, and specifically that “international </w:t>
      </w:r>
      <w:r w:rsidR="00A55D6A" w:rsidRPr="00D75C24">
        <w:rPr>
          <w:rFonts w:ascii="Arial Narrow" w:hAnsi="Arial Narrow" w:cs="Arial"/>
        </w:rPr>
        <w:lastRenderedPageBreak/>
        <w:t>human rights law should guide private sector actors and be the basis for their policies”.</w:t>
      </w:r>
      <w:r w:rsidR="00A55D6A">
        <w:rPr>
          <w:rStyle w:val="FootnoteReference"/>
          <w:rFonts w:ascii="Arial Narrow" w:hAnsi="Arial Narrow" w:cs="Arial"/>
        </w:rPr>
        <w:footnoteReference w:id="109"/>
      </w:r>
      <w:r w:rsidR="00A55D6A" w:rsidRPr="00D75C24">
        <w:rPr>
          <w:rFonts w:ascii="Arial Narrow" w:hAnsi="Arial Narrow" w:cs="Arial"/>
        </w:rPr>
        <w:t xml:space="preserve"> As the Special Rapporteur has identified, this further requires that companies ensure transparency around any decisions impacting freedom of peaceful assembly, including vis-à-vis requests from governments or third parties for user-data or content removal, and to ensure accountability and access to remedy.</w:t>
      </w:r>
      <w:r w:rsidR="00A55D6A">
        <w:rPr>
          <w:rStyle w:val="FootnoteReference"/>
          <w:rFonts w:ascii="Arial Narrow" w:hAnsi="Arial Narrow" w:cs="Arial"/>
        </w:rPr>
        <w:footnoteReference w:id="110"/>
      </w:r>
      <w:r w:rsidR="00A55D6A" w:rsidRPr="00D75C24">
        <w:rPr>
          <w:rFonts w:ascii="Arial Narrow" w:hAnsi="Arial Narrow" w:cs="Arial"/>
        </w:rPr>
        <w:t xml:space="preserve">  </w:t>
      </w:r>
    </w:p>
    <w:p w14:paraId="061B27AC" w14:textId="072E24D8" w:rsidR="00A55D6A" w:rsidRDefault="00A55D6A" w:rsidP="00B44974">
      <w:pPr>
        <w:spacing w:after="0" w:line="276" w:lineRule="auto"/>
        <w:rPr>
          <w:rFonts w:ascii="Arial Narrow" w:hAnsi="Arial Narrow"/>
          <w:b/>
        </w:rPr>
      </w:pPr>
    </w:p>
    <w:p w14:paraId="10482AAB" w14:textId="634DD681" w:rsidR="00CF0473" w:rsidRPr="00CF0473" w:rsidRDefault="00CF0473" w:rsidP="00CF0473">
      <w:pPr>
        <w:pStyle w:val="ListParagraph"/>
        <w:numPr>
          <w:ilvl w:val="0"/>
          <w:numId w:val="1"/>
        </w:numPr>
        <w:spacing w:after="0" w:line="276" w:lineRule="auto"/>
        <w:jc w:val="both"/>
        <w:rPr>
          <w:rFonts w:ascii="Arial Narrow" w:hAnsi="Arial Narrow"/>
          <w:b/>
        </w:rPr>
      </w:pPr>
      <w:r>
        <w:rPr>
          <w:rFonts w:ascii="Arial Narrow" w:hAnsi="Arial Narrow"/>
        </w:rPr>
        <w:t xml:space="preserve">The Committee should recognize a strong relationship between the right to privacy under Article 17 of the ICCPR, and the freedom of individuals to engage in online forms of communication, including in relation to the exercise of the right of peaceful assembly under Article 21 of the ICCPR (see more on “surveillance”, below). </w:t>
      </w:r>
    </w:p>
    <w:p w14:paraId="3A6D4362" w14:textId="77777777" w:rsidR="00CF0473" w:rsidRDefault="00CF0473" w:rsidP="00B44974">
      <w:pPr>
        <w:spacing w:after="0" w:line="276" w:lineRule="auto"/>
        <w:rPr>
          <w:rFonts w:ascii="Arial Narrow" w:hAnsi="Arial Narrow"/>
          <w:b/>
        </w:rPr>
      </w:pPr>
    </w:p>
    <w:p w14:paraId="74903369" w14:textId="7FB102CC" w:rsidR="005E0098" w:rsidRPr="00B44974" w:rsidRDefault="00B44974" w:rsidP="00B44974">
      <w:pPr>
        <w:pStyle w:val="ListParagraph"/>
        <w:numPr>
          <w:ilvl w:val="0"/>
          <w:numId w:val="26"/>
        </w:numPr>
        <w:spacing w:after="0" w:line="276" w:lineRule="auto"/>
        <w:rPr>
          <w:rFonts w:ascii="Arial Narrow" w:hAnsi="Arial Narrow"/>
          <w:u w:val="single"/>
        </w:rPr>
      </w:pPr>
      <w:r w:rsidRPr="00B44974">
        <w:rPr>
          <w:rFonts w:ascii="Arial Narrow" w:hAnsi="Arial Narrow"/>
          <w:u w:val="single"/>
        </w:rPr>
        <w:t>A</w:t>
      </w:r>
      <w:r w:rsidR="008D21C0" w:rsidRPr="00B44974">
        <w:rPr>
          <w:rFonts w:ascii="Arial Narrow" w:hAnsi="Arial Narrow"/>
          <w:u w:val="single"/>
        </w:rPr>
        <w:t xml:space="preserve">dvocacy of hatred that constitutes </w:t>
      </w:r>
      <w:r w:rsidR="0058459F" w:rsidRPr="00B44974">
        <w:rPr>
          <w:rFonts w:ascii="Arial Narrow" w:hAnsi="Arial Narrow"/>
          <w:u w:val="single"/>
        </w:rPr>
        <w:t>i</w:t>
      </w:r>
      <w:r w:rsidR="005E0098" w:rsidRPr="00B44974">
        <w:rPr>
          <w:rFonts w:ascii="Arial Narrow" w:hAnsi="Arial Narrow"/>
          <w:u w:val="single"/>
        </w:rPr>
        <w:t>ncitement</w:t>
      </w:r>
      <w:r w:rsidR="008D21C0" w:rsidRPr="00B44974">
        <w:rPr>
          <w:rFonts w:ascii="Arial Narrow" w:hAnsi="Arial Narrow"/>
          <w:u w:val="single"/>
        </w:rPr>
        <w:t xml:space="preserve"> to discrimination, hostility or violence</w:t>
      </w:r>
      <w:r w:rsidR="008354F1" w:rsidRPr="009911CD">
        <w:rPr>
          <w:rStyle w:val="FootnoteReference"/>
          <w:rFonts w:ascii="Arial Narrow" w:hAnsi="Arial Narrow"/>
        </w:rPr>
        <w:footnoteReference w:id="111"/>
      </w:r>
    </w:p>
    <w:p w14:paraId="42816E57" w14:textId="15483F14" w:rsidR="005E0098" w:rsidRDefault="005E0098" w:rsidP="005E0098">
      <w:pPr>
        <w:spacing w:after="0" w:line="276" w:lineRule="auto"/>
        <w:rPr>
          <w:rFonts w:ascii="Arial Narrow" w:hAnsi="Arial Narrow"/>
        </w:rPr>
      </w:pPr>
    </w:p>
    <w:p w14:paraId="220FB440" w14:textId="3E04D30C" w:rsidR="00BD43BF" w:rsidRDefault="00DC1FFC" w:rsidP="0081067C">
      <w:pPr>
        <w:pStyle w:val="ListParagraph"/>
        <w:numPr>
          <w:ilvl w:val="0"/>
          <w:numId w:val="1"/>
        </w:numPr>
        <w:spacing w:after="0" w:line="276" w:lineRule="auto"/>
        <w:jc w:val="both"/>
        <w:rPr>
          <w:rFonts w:ascii="Arial Narrow" w:hAnsi="Arial Narrow"/>
        </w:rPr>
      </w:pPr>
      <w:r>
        <w:rPr>
          <w:rFonts w:ascii="Arial Narrow" w:hAnsi="Arial Narrow"/>
        </w:rPr>
        <w:t>Limitations to the content or cause of an assembly require particularly close supervision, and ARTICLE 19 consi</w:t>
      </w:r>
      <w:r w:rsidR="00EB5CFE">
        <w:rPr>
          <w:rFonts w:ascii="Arial Narrow" w:hAnsi="Arial Narrow"/>
        </w:rPr>
        <w:t xml:space="preserve">ders that the principles the </w:t>
      </w:r>
      <w:r>
        <w:rPr>
          <w:rFonts w:ascii="Arial Narrow" w:hAnsi="Arial Narrow"/>
        </w:rPr>
        <w:t>Committee has articulated in relation to content limitations on individual acts of expression apply equally to acts of collective expression.</w:t>
      </w:r>
      <w:r w:rsidR="00BD43BF">
        <w:rPr>
          <w:rFonts w:ascii="Arial Narrow" w:hAnsi="Arial Narrow"/>
        </w:rPr>
        <w:t xml:space="preserve"> While those principles are well established, the frequency with which States disregard their human rights obligations in this area necessitates that the standards set out in General Comment No. 34 be reasserted, tailored as appropriate to the particularities of peaceful assemblies.</w:t>
      </w:r>
      <w:r w:rsidR="00BD43BF">
        <w:rPr>
          <w:rStyle w:val="FootnoteReference"/>
          <w:rFonts w:ascii="Arial Narrow" w:hAnsi="Arial Narrow"/>
        </w:rPr>
        <w:footnoteReference w:id="112"/>
      </w:r>
    </w:p>
    <w:p w14:paraId="22E34B64" w14:textId="77777777" w:rsidR="0081067C" w:rsidRPr="0081067C" w:rsidRDefault="0081067C" w:rsidP="0081067C">
      <w:pPr>
        <w:pStyle w:val="ListParagraph"/>
        <w:spacing w:after="0" w:line="276" w:lineRule="auto"/>
        <w:ind w:left="360"/>
        <w:jc w:val="both"/>
        <w:rPr>
          <w:rFonts w:ascii="Arial Narrow" w:hAnsi="Arial Narrow"/>
        </w:rPr>
      </w:pPr>
    </w:p>
    <w:p w14:paraId="44E9EA4E" w14:textId="73FFB927" w:rsidR="00BD43BF" w:rsidRDefault="0081067C" w:rsidP="00BD43BF">
      <w:pPr>
        <w:pStyle w:val="ListParagraph"/>
        <w:numPr>
          <w:ilvl w:val="0"/>
          <w:numId w:val="1"/>
        </w:numPr>
        <w:spacing w:after="0" w:line="276" w:lineRule="auto"/>
        <w:jc w:val="both"/>
        <w:rPr>
          <w:rFonts w:ascii="Arial Narrow" w:hAnsi="Arial Narrow"/>
        </w:rPr>
      </w:pPr>
      <w:r>
        <w:rPr>
          <w:rFonts w:ascii="Arial Narrow" w:hAnsi="Arial Narrow"/>
        </w:rPr>
        <w:t>States requi</w:t>
      </w:r>
      <w:r w:rsidR="00DB12CC">
        <w:rPr>
          <w:rFonts w:ascii="Arial Narrow" w:hAnsi="Arial Narrow"/>
        </w:rPr>
        <w:t>re further normative guidance</w:t>
      </w:r>
      <w:r>
        <w:rPr>
          <w:rFonts w:ascii="Arial Narrow" w:hAnsi="Arial Narrow"/>
        </w:rPr>
        <w:t xml:space="preserve"> in relation to assemblies that have discriminatory purposes, or involve the expression of discriminatory opinions or ideas (“hate speech”). Distinguishing which assemblies falling within this category additionally engage Article 20(2) of the ICCPR (the obligation to prohibit incitement), alongside Articles 19 and 21, is particularly important. </w:t>
      </w:r>
    </w:p>
    <w:p w14:paraId="065E3A1D" w14:textId="0D040BBC" w:rsidR="0081067C" w:rsidRDefault="0081067C" w:rsidP="0081067C">
      <w:pPr>
        <w:pStyle w:val="ListParagraph"/>
        <w:spacing w:after="0" w:line="276" w:lineRule="auto"/>
        <w:ind w:left="360"/>
        <w:jc w:val="both"/>
        <w:rPr>
          <w:rFonts w:ascii="Arial Narrow" w:hAnsi="Arial Narrow"/>
        </w:rPr>
      </w:pPr>
    </w:p>
    <w:p w14:paraId="0C858138" w14:textId="1F524BB2" w:rsidR="0077637E" w:rsidRPr="0077637E" w:rsidRDefault="0077637E" w:rsidP="0077637E">
      <w:pPr>
        <w:pStyle w:val="ListParagraph"/>
        <w:numPr>
          <w:ilvl w:val="0"/>
          <w:numId w:val="1"/>
        </w:numPr>
        <w:spacing w:after="0" w:line="276" w:lineRule="auto"/>
        <w:jc w:val="both"/>
        <w:rPr>
          <w:rFonts w:ascii="Arial Narrow" w:hAnsi="Arial Narrow"/>
        </w:rPr>
      </w:pPr>
      <w:r>
        <w:rPr>
          <w:rFonts w:ascii="Arial Narrow" w:hAnsi="Arial Narrow"/>
        </w:rPr>
        <w:t xml:space="preserve">Since the Committee adopted General Comment No. 34, and addressed the relationship between Articles 19 and 20(2) of the ICCPR, there have been a number of developments to advance normative understandings in this field, though not specifically in relation to assemblies. These include:  </w:t>
      </w:r>
    </w:p>
    <w:p w14:paraId="204B1CB0" w14:textId="77777777" w:rsidR="0077637E" w:rsidRDefault="0077637E" w:rsidP="0077637E">
      <w:pPr>
        <w:pStyle w:val="ListParagraph"/>
        <w:numPr>
          <w:ilvl w:val="1"/>
          <w:numId w:val="1"/>
        </w:numPr>
        <w:jc w:val="both"/>
        <w:rPr>
          <w:rFonts w:ascii="Arial Narrow" w:hAnsi="Arial Narrow"/>
        </w:rPr>
      </w:pPr>
      <w:r>
        <w:rPr>
          <w:rFonts w:ascii="Arial Narrow" w:hAnsi="Arial Narrow"/>
        </w:rPr>
        <w:t>The Rabat Plan of Action on the prohibition of advocacy of national, racial or religious hatred that constitutes incitement to discrimination, hostility or violence;</w:t>
      </w:r>
      <w:r>
        <w:rPr>
          <w:rStyle w:val="FootnoteReference"/>
          <w:rFonts w:ascii="Arial Narrow" w:hAnsi="Arial Narrow"/>
        </w:rPr>
        <w:footnoteReference w:id="113"/>
      </w:r>
      <w:r>
        <w:rPr>
          <w:rFonts w:ascii="Arial Narrow" w:hAnsi="Arial Narrow"/>
        </w:rPr>
        <w:t xml:space="preserve"> </w:t>
      </w:r>
    </w:p>
    <w:p w14:paraId="7C9840AF" w14:textId="77777777" w:rsidR="0077637E" w:rsidRDefault="0077637E" w:rsidP="0077637E">
      <w:pPr>
        <w:pStyle w:val="ListParagraph"/>
        <w:numPr>
          <w:ilvl w:val="1"/>
          <w:numId w:val="1"/>
        </w:numPr>
        <w:jc w:val="both"/>
        <w:rPr>
          <w:rFonts w:ascii="Arial Narrow" w:hAnsi="Arial Narrow"/>
        </w:rPr>
      </w:pPr>
      <w:r>
        <w:rPr>
          <w:rFonts w:ascii="Arial Narrow" w:hAnsi="Arial Narrow"/>
        </w:rPr>
        <w:t>Guidance from other treaty bodies, in particular the Committee on the Elimination of Racial Discrimination in General Recommendation No. 35, including its adaptation of the Rabat Plan of Action for the purpose of interpreting Article 4 of the International Covenant on the Elimination of all forms of Racial Discrimination;</w:t>
      </w:r>
      <w:r>
        <w:rPr>
          <w:rStyle w:val="FootnoteReference"/>
          <w:rFonts w:ascii="Arial Narrow" w:hAnsi="Arial Narrow"/>
        </w:rPr>
        <w:footnoteReference w:id="114"/>
      </w:r>
      <w:r>
        <w:rPr>
          <w:rFonts w:ascii="Arial Narrow" w:hAnsi="Arial Narrow"/>
        </w:rPr>
        <w:t xml:space="preserve"> </w:t>
      </w:r>
    </w:p>
    <w:p w14:paraId="77F674FA" w14:textId="77777777" w:rsidR="0077637E" w:rsidRPr="005A319A" w:rsidRDefault="0077637E" w:rsidP="0077637E">
      <w:pPr>
        <w:pStyle w:val="ListParagraph"/>
        <w:numPr>
          <w:ilvl w:val="1"/>
          <w:numId w:val="1"/>
        </w:numPr>
        <w:jc w:val="both"/>
        <w:rPr>
          <w:rFonts w:ascii="Arial Narrow" w:hAnsi="Arial Narrow"/>
        </w:rPr>
      </w:pPr>
      <w:r w:rsidRPr="007623F2">
        <w:rPr>
          <w:rFonts w:ascii="Arial Narrow" w:hAnsi="Arial Narrow"/>
        </w:rPr>
        <w:lastRenderedPageBreak/>
        <w:t>The discontinuation of resolutions on “defamation of religions” at the UN Human Rights Council and General Assembly, and continued consensus support for the framework of HRC Resolution 16/18 on addressing religious intolerance, and the limited role it foresees for limitations on rights</w:t>
      </w:r>
      <w:r>
        <w:rPr>
          <w:rFonts w:ascii="Arial Narrow" w:hAnsi="Arial Narrow"/>
        </w:rPr>
        <w:t>.</w:t>
      </w:r>
      <w:r>
        <w:rPr>
          <w:rStyle w:val="FootnoteReference"/>
          <w:rFonts w:ascii="Arial Narrow" w:hAnsi="Arial Narrow"/>
        </w:rPr>
        <w:footnoteReference w:id="115"/>
      </w:r>
    </w:p>
    <w:p w14:paraId="197B7A02" w14:textId="09BB8CB5" w:rsidR="0077637E" w:rsidRDefault="0077637E" w:rsidP="0077637E">
      <w:pPr>
        <w:pStyle w:val="ListParagraph"/>
        <w:spacing w:after="0" w:line="276" w:lineRule="auto"/>
        <w:ind w:left="360"/>
        <w:jc w:val="both"/>
        <w:rPr>
          <w:rFonts w:ascii="Arial Narrow" w:hAnsi="Arial Narrow"/>
        </w:rPr>
      </w:pPr>
    </w:p>
    <w:p w14:paraId="28406631" w14:textId="2EB66478" w:rsidR="00BD43BF" w:rsidRPr="0077637E" w:rsidRDefault="0077637E" w:rsidP="00BD43BF">
      <w:pPr>
        <w:pStyle w:val="ListParagraph"/>
        <w:numPr>
          <w:ilvl w:val="0"/>
          <w:numId w:val="1"/>
        </w:numPr>
        <w:spacing w:after="0" w:line="276" w:lineRule="auto"/>
        <w:jc w:val="both"/>
        <w:rPr>
          <w:rFonts w:ascii="Arial Narrow" w:hAnsi="Arial Narrow"/>
        </w:rPr>
      </w:pPr>
      <w:r w:rsidRPr="0077637E">
        <w:rPr>
          <w:rFonts w:ascii="Arial Narrow" w:hAnsi="Arial Narrow"/>
        </w:rPr>
        <w:t>These normative developments build upon General Comment No. 34</w:t>
      </w:r>
      <w:r w:rsidR="00C55387">
        <w:rPr>
          <w:rFonts w:ascii="Arial Narrow" w:hAnsi="Arial Narrow"/>
        </w:rPr>
        <w:t>,</w:t>
      </w:r>
      <w:r w:rsidRPr="0077637E">
        <w:rPr>
          <w:rFonts w:ascii="Arial Narrow" w:hAnsi="Arial Narrow"/>
        </w:rPr>
        <w:t xml:space="preserve"> to move away from determining limitations on </w:t>
      </w:r>
      <w:r>
        <w:rPr>
          <w:rFonts w:ascii="Arial Narrow" w:hAnsi="Arial Narrow"/>
        </w:rPr>
        <w:t xml:space="preserve">expression by reference to the </w:t>
      </w:r>
      <w:r w:rsidRPr="0077637E">
        <w:rPr>
          <w:rFonts w:ascii="Arial Narrow" w:hAnsi="Arial Narrow"/>
          <w:i/>
        </w:rPr>
        <w:t>discriminatory content</w:t>
      </w:r>
      <w:r>
        <w:rPr>
          <w:rFonts w:ascii="Arial Narrow" w:hAnsi="Arial Narrow"/>
        </w:rPr>
        <w:t xml:space="preserve"> of an opinion or idea, towards a more comprehensive assessment of the</w:t>
      </w:r>
      <w:r>
        <w:rPr>
          <w:rFonts w:ascii="Arial Narrow" w:hAnsi="Arial Narrow"/>
          <w:i/>
        </w:rPr>
        <w:t xml:space="preserve"> intent </w:t>
      </w:r>
      <w:r>
        <w:rPr>
          <w:rFonts w:ascii="Arial Narrow" w:hAnsi="Arial Narrow"/>
        </w:rPr>
        <w:t xml:space="preserve">behind the expression, the </w:t>
      </w:r>
      <w:r>
        <w:rPr>
          <w:rFonts w:ascii="Arial Narrow" w:hAnsi="Arial Narrow"/>
          <w:i/>
        </w:rPr>
        <w:t xml:space="preserve">influence </w:t>
      </w:r>
      <w:r>
        <w:rPr>
          <w:rFonts w:ascii="Arial Narrow" w:hAnsi="Arial Narrow"/>
        </w:rPr>
        <w:t xml:space="preserve">of the expression to mobilize an audience to engage in action, and the </w:t>
      </w:r>
      <w:r>
        <w:rPr>
          <w:rFonts w:ascii="Arial Narrow" w:hAnsi="Arial Narrow"/>
          <w:i/>
        </w:rPr>
        <w:t xml:space="preserve">impact </w:t>
      </w:r>
      <w:r>
        <w:rPr>
          <w:rFonts w:ascii="Arial Narrow" w:hAnsi="Arial Narrow"/>
        </w:rPr>
        <w:t>on a target group</w:t>
      </w:r>
      <w:r w:rsidR="00BD43BF" w:rsidRPr="0077637E">
        <w:rPr>
          <w:rFonts w:ascii="Arial Narrow" w:hAnsi="Arial Narrow"/>
        </w:rPr>
        <w:t>.</w:t>
      </w:r>
      <w:r w:rsidR="00BD43BF">
        <w:rPr>
          <w:rStyle w:val="FootnoteReference"/>
          <w:rFonts w:ascii="Arial Narrow" w:hAnsi="Arial Narrow"/>
        </w:rPr>
        <w:footnoteReference w:id="116"/>
      </w:r>
      <w:r w:rsidR="00BD43BF" w:rsidRPr="0077637E">
        <w:rPr>
          <w:rFonts w:ascii="Arial Narrow" w:hAnsi="Arial Narrow"/>
        </w:rPr>
        <w:t xml:space="preserve">  </w:t>
      </w:r>
    </w:p>
    <w:p w14:paraId="21CDA40F" w14:textId="77777777" w:rsidR="00BD43BF" w:rsidRPr="00BD43BF" w:rsidRDefault="00BD43BF" w:rsidP="00BD43BF">
      <w:pPr>
        <w:spacing w:after="0" w:line="276" w:lineRule="auto"/>
        <w:jc w:val="both"/>
        <w:rPr>
          <w:rFonts w:ascii="Arial Narrow" w:hAnsi="Arial Narrow"/>
        </w:rPr>
      </w:pPr>
    </w:p>
    <w:p w14:paraId="6D9FB845" w14:textId="3D09A43C" w:rsidR="00BD43BF" w:rsidRPr="00C55387" w:rsidRDefault="00BD43BF" w:rsidP="00C55387">
      <w:pPr>
        <w:pStyle w:val="ListParagraph"/>
        <w:numPr>
          <w:ilvl w:val="0"/>
          <w:numId w:val="1"/>
        </w:numPr>
        <w:spacing w:after="0" w:line="276" w:lineRule="auto"/>
        <w:jc w:val="both"/>
        <w:rPr>
          <w:rFonts w:ascii="Arial Narrow" w:hAnsi="Arial Narrow"/>
        </w:rPr>
      </w:pPr>
      <w:r>
        <w:rPr>
          <w:rFonts w:ascii="Arial Narrow" w:hAnsi="Arial Narrow"/>
        </w:rPr>
        <w:t xml:space="preserve">General Comment No. 37 is </w:t>
      </w:r>
      <w:r w:rsidR="00C55387">
        <w:rPr>
          <w:rFonts w:ascii="Arial Narrow" w:hAnsi="Arial Narrow"/>
        </w:rPr>
        <w:t xml:space="preserve">therefore </w:t>
      </w:r>
      <w:r>
        <w:rPr>
          <w:rFonts w:ascii="Arial Narrow" w:hAnsi="Arial Narrow"/>
        </w:rPr>
        <w:t>an i</w:t>
      </w:r>
      <w:r w:rsidR="00DB12CC">
        <w:rPr>
          <w:rFonts w:ascii="Arial Narrow" w:hAnsi="Arial Narrow"/>
        </w:rPr>
        <w:t xml:space="preserve">mportant opportunity for the </w:t>
      </w:r>
      <w:r>
        <w:rPr>
          <w:rFonts w:ascii="Arial Narrow" w:hAnsi="Arial Narrow"/>
        </w:rPr>
        <w:t xml:space="preserve">Committee to take stock of </w:t>
      </w:r>
      <w:r w:rsidR="00C55387">
        <w:rPr>
          <w:rFonts w:ascii="Arial Narrow" w:hAnsi="Arial Narrow"/>
        </w:rPr>
        <w:t>and consolidate the</w:t>
      </w:r>
      <w:r w:rsidR="0077637E">
        <w:rPr>
          <w:rFonts w:ascii="Arial Narrow" w:hAnsi="Arial Narrow"/>
        </w:rPr>
        <w:t xml:space="preserve"> </w:t>
      </w:r>
      <w:r>
        <w:rPr>
          <w:rFonts w:ascii="Arial Narrow" w:hAnsi="Arial Narrow"/>
        </w:rPr>
        <w:t>normative developments</w:t>
      </w:r>
      <w:r w:rsidR="00C55387">
        <w:rPr>
          <w:rFonts w:ascii="Arial Narrow" w:hAnsi="Arial Narrow"/>
        </w:rPr>
        <w:t xml:space="preserve"> around Article 20(2) ICCPR, and around “hate speech” more broadly</w:t>
      </w:r>
      <w:r w:rsidR="0077637E">
        <w:rPr>
          <w:rFonts w:ascii="Arial Narrow" w:hAnsi="Arial Narrow"/>
        </w:rPr>
        <w:t>,</w:t>
      </w:r>
      <w:r>
        <w:rPr>
          <w:rFonts w:ascii="Arial Narrow" w:hAnsi="Arial Narrow"/>
        </w:rPr>
        <w:t xml:space="preserve"> </w:t>
      </w:r>
      <w:r w:rsidR="00C55387">
        <w:rPr>
          <w:rFonts w:ascii="Arial Narrow" w:hAnsi="Arial Narrow"/>
        </w:rPr>
        <w:t xml:space="preserve">and </w:t>
      </w:r>
      <w:r w:rsidR="00B44974">
        <w:rPr>
          <w:rFonts w:ascii="Arial Narrow" w:hAnsi="Arial Narrow"/>
        </w:rPr>
        <w:t>elaborate on</w:t>
      </w:r>
      <w:r w:rsidR="0077637E">
        <w:rPr>
          <w:rFonts w:ascii="Arial Narrow" w:hAnsi="Arial Narrow"/>
        </w:rPr>
        <w:t xml:space="preserve"> </w:t>
      </w:r>
      <w:r w:rsidR="00B44974">
        <w:rPr>
          <w:rFonts w:ascii="Arial Narrow" w:hAnsi="Arial Narrow"/>
        </w:rPr>
        <w:t>how this normative development</w:t>
      </w:r>
      <w:r w:rsidR="00C55387">
        <w:rPr>
          <w:rFonts w:ascii="Arial Narrow" w:hAnsi="Arial Narrow"/>
        </w:rPr>
        <w:t xml:space="preserve"> relate</w:t>
      </w:r>
      <w:r w:rsidR="00B44974">
        <w:rPr>
          <w:rFonts w:ascii="Arial Narrow" w:hAnsi="Arial Narrow"/>
        </w:rPr>
        <w:t>s</w:t>
      </w:r>
      <w:r w:rsidR="0077637E">
        <w:rPr>
          <w:rFonts w:ascii="Arial Narrow" w:hAnsi="Arial Narrow"/>
        </w:rPr>
        <w:t xml:space="preserve"> to the right of peaceful assembly. </w:t>
      </w:r>
    </w:p>
    <w:p w14:paraId="64295FF9" w14:textId="77777777" w:rsidR="00C55387" w:rsidRDefault="00C55387" w:rsidP="00C55387">
      <w:pPr>
        <w:pStyle w:val="ListParagraph"/>
        <w:spacing w:after="0" w:line="276" w:lineRule="auto"/>
        <w:ind w:left="360"/>
        <w:jc w:val="both"/>
        <w:rPr>
          <w:rFonts w:ascii="Arial Narrow" w:hAnsi="Arial Narrow"/>
        </w:rPr>
      </w:pPr>
    </w:p>
    <w:p w14:paraId="74207E50" w14:textId="191AF271" w:rsidR="00751EA2" w:rsidRPr="00C55387" w:rsidRDefault="00DB12CC" w:rsidP="00C55387">
      <w:pPr>
        <w:pStyle w:val="ListParagraph"/>
        <w:numPr>
          <w:ilvl w:val="0"/>
          <w:numId w:val="1"/>
        </w:numPr>
        <w:spacing w:after="0" w:line="276" w:lineRule="auto"/>
        <w:jc w:val="both"/>
        <w:rPr>
          <w:rFonts w:ascii="Arial Narrow" w:hAnsi="Arial Narrow"/>
        </w:rPr>
      </w:pPr>
      <w:r>
        <w:rPr>
          <w:rFonts w:ascii="Arial Narrow" w:hAnsi="Arial Narrow"/>
        </w:rPr>
        <w:t xml:space="preserve">Several points the </w:t>
      </w:r>
      <w:r w:rsidR="00C55387">
        <w:rPr>
          <w:rFonts w:ascii="Arial Narrow" w:hAnsi="Arial Narrow"/>
        </w:rPr>
        <w:t xml:space="preserve"> Committee made i</w:t>
      </w:r>
      <w:r w:rsidR="00764E2E" w:rsidRPr="00BD43BF">
        <w:rPr>
          <w:rFonts w:ascii="Arial Narrow" w:hAnsi="Arial Narrow"/>
        </w:rPr>
        <w:t>n General Comment No. 34</w:t>
      </w:r>
      <w:r w:rsidR="00C55387">
        <w:rPr>
          <w:rFonts w:ascii="Arial Narrow" w:hAnsi="Arial Narrow"/>
        </w:rPr>
        <w:t xml:space="preserve"> deserve repeating in relation to peaceful assembly, including that Article 20(2) of the ICCPR is </w:t>
      </w:r>
      <w:r w:rsidR="00C55387">
        <w:rPr>
          <w:rFonts w:ascii="Arial Narrow" w:hAnsi="Arial Narrow"/>
          <w:i/>
        </w:rPr>
        <w:t>lex specialis</w:t>
      </w:r>
      <w:r w:rsidR="00C55387">
        <w:rPr>
          <w:rFonts w:ascii="Arial Narrow" w:hAnsi="Arial Narrow"/>
        </w:rPr>
        <w:t xml:space="preserve"> in relation to other rights, including Article 21, and that </w:t>
      </w:r>
      <w:r w:rsidR="00C55387" w:rsidRPr="00BD43BF">
        <w:rPr>
          <w:rFonts w:ascii="Arial Narrow" w:hAnsi="Arial Narrow"/>
        </w:rPr>
        <w:t>any limitations pursuant to Article 20(2) of the ICCPR must also be justified under the limitations</w:t>
      </w:r>
      <w:r w:rsidR="00C55387">
        <w:rPr>
          <w:rFonts w:ascii="Arial Narrow" w:hAnsi="Arial Narrow"/>
        </w:rPr>
        <w:t xml:space="preserve"> clauses of Article 21</w:t>
      </w:r>
      <w:r w:rsidR="00764E2E" w:rsidRPr="00C55387">
        <w:rPr>
          <w:rFonts w:ascii="Arial Narrow" w:hAnsi="Arial Narrow"/>
        </w:rPr>
        <w:t>.</w:t>
      </w:r>
      <w:r w:rsidR="00764E2E">
        <w:rPr>
          <w:rStyle w:val="FootnoteReference"/>
          <w:rFonts w:ascii="Arial Narrow" w:hAnsi="Arial Narrow"/>
        </w:rPr>
        <w:footnoteReference w:id="117"/>
      </w:r>
      <w:r w:rsidR="00764E2E" w:rsidRPr="00C55387">
        <w:rPr>
          <w:rFonts w:ascii="Arial Narrow" w:hAnsi="Arial Narrow"/>
        </w:rPr>
        <w:t xml:space="preserve"> </w:t>
      </w:r>
      <w:r w:rsidR="00C55387">
        <w:rPr>
          <w:rFonts w:ascii="Arial Narrow" w:hAnsi="Arial Narrow"/>
        </w:rPr>
        <w:t xml:space="preserve">The Committee’s assertion </w:t>
      </w:r>
      <w:r w:rsidR="00751EA2" w:rsidRPr="00C55387">
        <w:rPr>
          <w:rFonts w:ascii="Arial Narrow" w:hAnsi="Arial Narrow"/>
        </w:rPr>
        <w:t xml:space="preserve">that prohibitions on blasphemy, as well as prohibitions of opinions about historical facts, are incompatible with the convention unless those expressions </w:t>
      </w:r>
      <w:r w:rsidR="007A0E66" w:rsidRPr="00C55387">
        <w:rPr>
          <w:rFonts w:ascii="Arial Narrow" w:hAnsi="Arial Narrow"/>
        </w:rPr>
        <w:t xml:space="preserve">specifically </w:t>
      </w:r>
      <w:r w:rsidR="00751EA2" w:rsidRPr="00C55387">
        <w:rPr>
          <w:rFonts w:ascii="Arial Narrow" w:hAnsi="Arial Narrow"/>
        </w:rPr>
        <w:t>constitute incitement</w:t>
      </w:r>
      <w:r w:rsidR="00C55387" w:rsidRPr="00C55387">
        <w:rPr>
          <w:rFonts w:ascii="Arial Narrow" w:hAnsi="Arial Narrow"/>
        </w:rPr>
        <w:t xml:space="preserve"> per Article 20(2) of the ICCPR,</w:t>
      </w:r>
      <w:r w:rsidR="00751EA2">
        <w:rPr>
          <w:rStyle w:val="FootnoteReference"/>
          <w:rFonts w:ascii="Arial Narrow" w:hAnsi="Arial Narrow"/>
        </w:rPr>
        <w:footnoteReference w:id="118"/>
      </w:r>
      <w:r w:rsidR="00C55387" w:rsidRPr="00C55387">
        <w:rPr>
          <w:rFonts w:ascii="Arial Narrow" w:hAnsi="Arial Narrow"/>
        </w:rPr>
        <w:t xml:space="preserve"> should also be reiterated in relation to collective forms of expression in assemblies. </w:t>
      </w:r>
      <w:r w:rsidR="00751EA2" w:rsidRPr="00C55387">
        <w:rPr>
          <w:rFonts w:ascii="Arial Narrow" w:hAnsi="Arial Narrow"/>
        </w:rPr>
        <w:t xml:space="preserve">  </w:t>
      </w:r>
    </w:p>
    <w:p w14:paraId="76F7B05C" w14:textId="77777777" w:rsidR="00751EA2" w:rsidRPr="005A319A" w:rsidRDefault="00751EA2" w:rsidP="00751EA2">
      <w:pPr>
        <w:pStyle w:val="ListParagraph"/>
        <w:spacing w:after="0" w:line="276" w:lineRule="auto"/>
        <w:ind w:left="360"/>
        <w:jc w:val="both"/>
        <w:rPr>
          <w:rFonts w:ascii="Arial Narrow" w:hAnsi="Arial Narrow"/>
        </w:rPr>
      </w:pPr>
    </w:p>
    <w:p w14:paraId="23FE2AD4" w14:textId="393A5272" w:rsidR="00C55387" w:rsidRDefault="00C55387" w:rsidP="00ED2FCB">
      <w:pPr>
        <w:pStyle w:val="ListParagraph"/>
        <w:numPr>
          <w:ilvl w:val="0"/>
          <w:numId w:val="1"/>
        </w:numPr>
        <w:spacing w:after="0" w:line="276" w:lineRule="auto"/>
        <w:jc w:val="both"/>
        <w:rPr>
          <w:rFonts w:ascii="Arial Narrow" w:hAnsi="Arial Narrow"/>
        </w:rPr>
      </w:pPr>
      <w:r>
        <w:rPr>
          <w:rFonts w:ascii="Arial Narrow" w:hAnsi="Arial Narrow"/>
        </w:rPr>
        <w:t>There</w:t>
      </w:r>
      <w:r w:rsidR="00F0057E" w:rsidRPr="005513A4">
        <w:rPr>
          <w:rFonts w:ascii="Arial Narrow" w:hAnsi="Arial Narrow"/>
        </w:rPr>
        <w:t xml:space="preserve"> has been</w:t>
      </w:r>
      <w:r>
        <w:rPr>
          <w:rFonts w:ascii="Arial Narrow" w:hAnsi="Arial Narrow"/>
        </w:rPr>
        <w:t xml:space="preserve"> relatively</w:t>
      </w:r>
      <w:r w:rsidR="00F0057E" w:rsidRPr="005513A4">
        <w:rPr>
          <w:rFonts w:ascii="Arial Narrow" w:hAnsi="Arial Narrow"/>
        </w:rPr>
        <w:t xml:space="preserve"> limited </w:t>
      </w:r>
      <w:r w:rsidR="005513A4">
        <w:rPr>
          <w:rFonts w:ascii="Arial Narrow" w:hAnsi="Arial Narrow"/>
        </w:rPr>
        <w:t xml:space="preserve">guidance from </w:t>
      </w:r>
      <w:r>
        <w:rPr>
          <w:rFonts w:ascii="Arial Narrow" w:hAnsi="Arial Narrow"/>
        </w:rPr>
        <w:t>international bodies on when an assembly may</w:t>
      </w:r>
      <w:r w:rsidR="005A319A" w:rsidRPr="005513A4">
        <w:rPr>
          <w:rFonts w:ascii="Arial Narrow" w:hAnsi="Arial Narrow"/>
        </w:rPr>
        <w:t xml:space="preserve"> engage States’</w:t>
      </w:r>
      <w:r w:rsidR="00F0057E" w:rsidRPr="005513A4">
        <w:rPr>
          <w:rFonts w:ascii="Arial Narrow" w:hAnsi="Arial Narrow"/>
        </w:rPr>
        <w:t xml:space="preserve"> obligation</w:t>
      </w:r>
      <w:r>
        <w:rPr>
          <w:rFonts w:ascii="Arial Narrow" w:hAnsi="Arial Narrow"/>
        </w:rPr>
        <w:t>s to prohibit incitement</w:t>
      </w:r>
      <w:r w:rsidR="00F0057E" w:rsidRPr="005513A4">
        <w:rPr>
          <w:rFonts w:ascii="Arial Narrow" w:hAnsi="Arial Narrow"/>
        </w:rPr>
        <w:t xml:space="preserve"> unde</w:t>
      </w:r>
      <w:r w:rsidR="005A319A" w:rsidRPr="005513A4">
        <w:rPr>
          <w:rFonts w:ascii="Arial Narrow" w:hAnsi="Arial Narrow"/>
        </w:rPr>
        <w:t>r Article 20(2) of the ICCPR.</w:t>
      </w:r>
      <w:r w:rsidR="005A319A" w:rsidRPr="005513A4">
        <w:rPr>
          <w:rStyle w:val="FootnoteReference"/>
          <w:rFonts w:ascii="Arial Narrow" w:hAnsi="Arial Narrow"/>
        </w:rPr>
        <w:footnoteReference w:id="119"/>
      </w:r>
      <w:r w:rsidR="007B5C06" w:rsidRPr="005513A4">
        <w:rPr>
          <w:rFonts w:ascii="Arial Narrow" w:hAnsi="Arial Narrow"/>
        </w:rPr>
        <w:t xml:space="preserve"> </w:t>
      </w:r>
      <w:r w:rsidR="005513A4">
        <w:rPr>
          <w:rFonts w:ascii="Arial Narrow" w:hAnsi="Arial Narrow"/>
        </w:rPr>
        <w:t xml:space="preserve">In various Concluding Observations, the Committee has raised concerns around States’ responses </w:t>
      </w:r>
      <w:r w:rsidR="00055D00">
        <w:rPr>
          <w:rFonts w:ascii="Arial Narrow" w:hAnsi="Arial Narrow"/>
        </w:rPr>
        <w:t xml:space="preserve">(or lack thereof) </w:t>
      </w:r>
      <w:r w:rsidR="005513A4">
        <w:rPr>
          <w:rFonts w:ascii="Arial Narrow" w:hAnsi="Arial Narrow"/>
        </w:rPr>
        <w:t xml:space="preserve">to collective expression of hatred, but </w:t>
      </w:r>
      <w:r w:rsidR="00055D00">
        <w:rPr>
          <w:rFonts w:ascii="Arial Narrow" w:hAnsi="Arial Narrow"/>
        </w:rPr>
        <w:t xml:space="preserve">has </w:t>
      </w:r>
      <w:r w:rsidR="005513A4">
        <w:rPr>
          <w:rFonts w:ascii="Arial Narrow" w:hAnsi="Arial Narrow"/>
        </w:rPr>
        <w:t>not necessarily framed this</w:t>
      </w:r>
      <w:r>
        <w:rPr>
          <w:rFonts w:ascii="Arial Narrow" w:hAnsi="Arial Narrow"/>
        </w:rPr>
        <w:t xml:space="preserve"> as a failure to implement</w:t>
      </w:r>
      <w:r w:rsidR="005513A4">
        <w:rPr>
          <w:rFonts w:ascii="Arial Narrow" w:hAnsi="Arial Narrow"/>
        </w:rPr>
        <w:t xml:space="preserve"> Article 20(2) ICCPR</w:t>
      </w:r>
      <w:r w:rsidR="00ED4DD9">
        <w:rPr>
          <w:rFonts w:ascii="Arial Narrow" w:hAnsi="Arial Narrow"/>
        </w:rPr>
        <w:t>.</w:t>
      </w:r>
      <w:r w:rsidR="005513A4">
        <w:rPr>
          <w:rStyle w:val="FootnoteReference"/>
          <w:rFonts w:ascii="Arial Narrow" w:hAnsi="Arial Narrow"/>
        </w:rPr>
        <w:footnoteReference w:id="120"/>
      </w:r>
      <w:r w:rsidR="005513A4">
        <w:rPr>
          <w:rFonts w:ascii="Arial Narrow" w:hAnsi="Arial Narrow"/>
        </w:rPr>
        <w:t xml:space="preserve"> </w:t>
      </w:r>
    </w:p>
    <w:p w14:paraId="733267EB" w14:textId="77777777" w:rsidR="00C55387" w:rsidRPr="00C55387" w:rsidRDefault="00C55387" w:rsidP="00C55387">
      <w:pPr>
        <w:pStyle w:val="ListParagraph"/>
        <w:rPr>
          <w:rFonts w:ascii="Arial Narrow" w:hAnsi="Arial Narrow"/>
        </w:rPr>
      </w:pPr>
    </w:p>
    <w:p w14:paraId="0AE6A1DD" w14:textId="445B1DB1" w:rsidR="00751EA2" w:rsidRPr="00ED2FCB" w:rsidRDefault="00DB12CC" w:rsidP="00ED2FCB">
      <w:pPr>
        <w:pStyle w:val="ListParagraph"/>
        <w:numPr>
          <w:ilvl w:val="0"/>
          <w:numId w:val="1"/>
        </w:numPr>
        <w:spacing w:after="0" w:line="276" w:lineRule="auto"/>
        <w:jc w:val="both"/>
        <w:rPr>
          <w:rFonts w:ascii="Arial Narrow" w:hAnsi="Arial Narrow"/>
        </w:rPr>
      </w:pPr>
      <w:r>
        <w:rPr>
          <w:rFonts w:ascii="Arial Narrow" w:hAnsi="Arial Narrow"/>
        </w:rPr>
        <w:t>The</w:t>
      </w:r>
      <w:r w:rsidR="005513A4" w:rsidRPr="00ED2FCB">
        <w:rPr>
          <w:rFonts w:ascii="Arial Narrow" w:hAnsi="Arial Narrow"/>
        </w:rPr>
        <w:t xml:space="preserve"> Committee has been clear</w:t>
      </w:r>
      <w:r w:rsidR="00055D00" w:rsidRPr="00ED2FCB">
        <w:rPr>
          <w:rFonts w:ascii="Arial Narrow" w:hAnsi="Arial Narrow"/>
        </w:rPr>
        <w:t>er</w:t>
      </w:r>
      <w:r w:rsidR="005513A4" w:rsidRPr="00ED2FCB">
        <w:rPr>
          <w:rFonts w:ascii="Arial Narrow" w:hAnsi="Arial Narrow"/>
        </w:rPr>
        <w:t xml:space="preserve"> on </w:t>
      </w:r>
      <w:r w:rsidR="00055D00" w:rsidRPr="00ED2FCB">
        <w:rPr>
          <w:rFonts w:ascii="Arial Narrow" w:hAnsi="Arial Narrow"/>
        </w:rPr>
        <w:t>when</w:t>
      </w:r>
      <w:r w:rsidR="005513A4" w:rsidRPr="00ED2FCB">
        <w:rPr>
          <w:rFonts w:ascii="Arial Narrow" w:hAnsi="Arial Narrow"/>
        </w:rPr>
        <w:t xml:space="preserve"> Article 20(2) of the ICCPR is not engaged. </w:t>
      </w:r>
      <w:r w:rsidR="006D5DD2" w:rsidRPr="00ED2FCB">
        <w:rPr>
          <w:rFonts w:ascii="Arial Narrow" w:hAnsi="Arial Narrow"/>
        </w:rPr>
        <w:t>For</w:t>
      </w:r>
      <w:r w:rsidR="005513A4" w:rsidRPr="00ED2FCB">
        <w:rPr>
          <w:rFonts w:ascii="Arial Narrow" w:hAnsi="Arial Narrow"/>
        </w:rPr>
        <w:t xml:space="preserve"> assemblies that offend majority sentiments</w:t>
      </w:r>
      <w:r w:rsidR="00C55387">
        <w:rPr>
          <w:rFonts w:ascii="Arial Narrow" w:hAnsi="Arial Narrow"/>
        </w:rPr>
        <w:t xml:space="preserve"> to the extent that they pose the danger of facing violent retaliation</w:t>
      </w:r>
      <w:r w:rsidR="006D5DD2" w:rsidRPr="00ED2FCB">
        <w:rPr>
          <w:rFonts w:ascii="Arial Narrow" w:hAnsi="Arial Narrow"/>
        </w:rPr>
        <w:t>, they have been clear that the assembly must go ahead and its participants be protected</w:t>
      </w:r>
      <w:r w:rsidR="005513A4" w:rsidRPr="00ED2FCB">
        <w:rPr>
          <w:rFonts w:ascii="Arial Narrow" w:hAnsi="Arial Narrow"/>
        </w:rPr>
        <w:t>.</w:t>
      </w:r>
      <w:r w:rsidR="005513A4" w:rsidRPr="006D5DD2">
        <w:rPr>
          <w:vertAlign w:val="superscript"/>
        </w:rPr>
        <w:footnoteReference w:id="121"/>
      </w:r>
      <w:r w:rsidR="006D5DD2" w:rsidRPr="00ED2FCB">
        <w:rPr>
          <w:rFonts w:ascii="Arial Narrow" w:hAnsi="Arial Narrow"/>
        </w:rPr>
        <w:t xml:space="preserve"> Distinguishing expression that </w:t>
      </w:r>
      <w:r w:rsidR="006D5DD2" w:rsidRPr="00ED2FCB">
        <w:rPr>
          <w:rFonts w:ascii="Arial Narrow" w:hAnsi="Arial Narrow"/>
          <w:i/>
        </w:rPr>
        <w:t>provokes</w:t>
      </w:r>
      <w:r w:rsidR="006D5DD2" w:rsidRPr="00ED2FCB">
        <w:rPr>
          <w:rFonts w:ascii="Arial Narrow" w:hAnsi="Arial Narrow"/>
        </w:rPr>
        <w:t xml:space="preserve"> a hostile reaction </w:t>
      </w:r>
      <w:r w:rsidR="00793430" w:rsidRPr="00ED2FCB">
        <w:rPr>
          <w:rFonts w:ascii="Arial Narrow" w:hAnsi="Arial Narrow"/>
        </w:rPr>
        <w:t xml:space="preserve">against those engaged in acts of expression, from expression which intentionally incites </w:t>
      </w:r>
      <w:r w:rsidR="006D5DD2" w:rsidRPr="00ED2FCB">
        <w:rPr>
          <w:rFonts w:ascii="Arial Narrow" w:hAnsi="Arial Narrow"/>
        </w:rPr>
        <w:t>an audience to unlawful conduct against third persons,</w:t>
      </w:r>
      <w:r w:rsidR="00793430">
        <w:rPr>
          <w:rStyle w:val="FootnoteReference"/>
          <w:rFonts w:ascii="Arial Narrow" w:hAnsi="Arial Narrow"/>
        </w:rPr>
        <w:footnoteReference w:id="122"/>
      </w:r>
      <w:r w:rsidR="006D5DD2" w:rsidRPr="00ED2FCB">
        <w:rPr>
          <w:rFonts w:ascii="Arial Narrow" w:hAnsi="Arial Narrow"/>
        </w:rPr>
        <w:t xml:space="preserve"> is </w:t>
      </w:r>
      <w:r w:rsidR="00793430" w:rsidRPr="00ED2FCB">
        <w:rPr>
          <w:rFonts w:ascii="Arial Narrow" w:hAnsi="Arial Narrow"/>
        </w:rPr>
        <w:t xml:space="preserve">essential, in particular to </w:t>
      </w:r>
      <w:r w:rsidR="00C55387">
        <w:rPr>
          <w:rFonts w:ascii="Arial Narrow" w:hAnsi="Arial Narrow"/>
        </w:rPr>
        <w:t>protect</w:t>
      </w:r>
      <w:r w:rsidR="00793430" w:rsidRPr="00ED2FCB">
        <w:rPr>
          <w:rFonts w:ascii="Arial Narrow" w:hAnsi="Arial Narrow"/>
        </w:rPr>
        <w:t xml:space="preserve"> the right</w:t>
      </w:r>
      <w:r w:rsidR="00C55387">
        <w:rPr>
          <w:rFonts w:ascii="Arial Narrow" w:hAnsi="Arial Narrow"/>
        </w:rPr>
        <w:t>s</w:t>
      </w:r>
      <w:r w:rsidR="00793430" w:rsidRPr="00ED2FCB">
        <w:rPr>
          <w:rFonts w:ascii="Arial Narrow" w:hAnsi="Arial Narrow"/>
        </w:rPr>
        <w:t xml:space="preserve"> of</w:t>
      </w:r>
      <w:r w:rsidR="00C55387">
        <w:rPr>
          <w:rFonts w:ascii="Arial Narrow" w:hAnsi="Arial Narrow"/>
        </w:rPr>
        <w:t xml:space="preserve"> discriminated against individuals and groups to</w:t>
      </w:r>
      <w:r w:rsidR="00793430" w:rsidRPr="00ED2FCB">
        <w:rPr>
          <w:rFonts w:ascii="Arial Narrow" w:hAnsi="Arial Narrow"/>
        </w:rPr>
        <w:t xml:space="preserve"> peaceful assembly</w:t>
      </w:r>
      <w:r w:rsidR="006D5DD2" w:rsidRPr="00ED2FCB">
        <w:rPr>
          <w:rFonts w:ascii="Arial Narrow" w:hAnsi="Arial Narrow"/>
        </w:rPr>
        <w:t>.</w:t>
      </w:r>
      <w:r w:rsidR="00793430">
        <w:rPr>
          <w:rStyle w:val="FootnoteReference"/>
          <w:rFonts w:ascii="Arial Narrow" w:hAnsi="Arial Narrow"/>
        </w:rPr>
        <w:footnoteReference w:id="123"/>
      </w:r>
      <w:r w:rsidR="00793430" w:rsidRPr="00ED2FCB">
        <w:rPr>
          <w:rFonts w:ascii="Arial Narrow" w:hAnsi="Arial Narrow"/>
        </w:rPr>
        <w:t xml:space="preserve"> </w:t>
      </w:r>
    </w:p>
    <w:p w14:paraId="5AFD733C" w14:textId="6E9A3EEA" w:rsidR="005A319A" w:rsidRPr="00BD43BF" w:rsidRDefault="005A319A" w:rsidP="00BD43BF">
      <w:pPr>
        <w:spacing w:after="0" w:line="276" w:lineRule="auto"/>
        <w:jc w:val="both"/>
        <w:rPr>
          <w:rFonts w:ascii="Arial Narrow" w:hAnsi="Arial Narrow"/>
        </w:rPr>
      </w:pPr>
    </w:p>
    <w:p w14:paraId="349FBB9E" w14:textId="20EA7F5D" w:rsidR="00F0057E" w:rsidRPr="003C52E6" w:rsidRDefault="0077637E" w:rsidP="003C52E6">
      <w:pPr>
        <w:pStyle w:val="ListParagraph"/>
        <w:numPr>
          <w:ilvl w:val="0"/>
          <w:numId w:val="1"/>
        </w:numPr>
        <w:spacing w:after="0" w:line="276" w:lineRule="auto"/>
        <w:jc w:val="both"/>
        <w:rPr>
          <w:rFonts w:ascii="Arial Narrow" w:hAnsi="Arial Narrow"/>
        </w:rPr>
      </w:pPr>
      <w:r>
        <w:rPr>
          <w:rFonts w:ascii="Arial Narrow" w:hAnsi="Arial Narrow"/>
        </w:rPr>
        <w:t>When</w:t>
      </w:r>
      <w:r w:rsidR="00B44974">
        <w:rPr>
          <w:rFonts w:ascii="Arial Narrow" w:hAnsi="Arial Narrow"/>
        </w:rPr>
        <w:t xml:space="preserve"> addressing the relationship between Article 21 of the ICCPR and Article 20(2) of the ICCPR,</w:t>
      </w:r>
      <w:r>
        <w:rPr>
          <w:rFonts w:ascii="Arial Narrow" w:hAnsi="Arial Narrow"/>
        </w:rPr>
        <w:t xml:space="preserve"> there are numerous </w:t>
      </w:r>
      <w:r w:rsidR="00B44974">
        <w:rPr>
          <w:rFonts w:ascii="Arial Narrow" w:hAnsi="Arial Narrow"/>
        </w:rPr>
        <w:t>considerations the Committee should take into account</w:t>
      </w:r>
      <w:r w:rsidR="00F0057E" w:rsidRPr="003C52E6">
        <w:rPr>
          <w:rFonts w:ascii="Arial Narrow" w:hAnsi="Arial Narrow"/>
        </w:rPr>
        <w:t xml:space="preserve">: </w:t>
      </w:r>
    </w:p>
    <w:p w14:paraId="17BBD525" w14:textId="352EE796" w:rsidR="00B44974" w:rsidRDefault="003C52E6" w:rsidP="00B44974">
      <w:pPr>
        <w:pStyle w:val="ListParagraph"/>
        <w:numPr>
          <w:ilvl w:val="0"/>
          <w:numId w:val="24"/>
        </w:numPr>
        <w:spacing w:after="0" w:line="276" w:lineRule="auto"/>
        <w:jc w:val="both"/>
        <w:rPr>
          <w:rFonts w:ascii="Arial Narrow" w:hAnsi="Arial Narrow"/>
        </w:rPr>
      </w:pPr>
      <w:r>
        <w:rPr>
          <w:rFonts w:ascii="Arial Narrow" w:hAnsi="Arial Narrow"/>
        </w:rPr>
        <w:t xml:space="preserve">Article 20(2) of the ICCPR </w:t>
      </w:r>
      <w:r w:rsidR="0077637E">
        <w:rPr>
          <w:rFonts w:ascii="Arial Narrow" w:hAnsi="Arial Narrow"/>
        </w:rPr>
        <w:t xml:space="preserve">only </w:t>
      </w:r>
      <w:r w:rsidR="0077637E">
        <w:rPr>
          <w:rFonts w:ascii="Arial Narrow" w:hAnsi="Arial Narrow"/>
          <w:i/>
        </w:rPr>
        <w:t xml:space="preserve">requires </w:t>
      </w:r>
      <w:r w:rsidR="0077637E">
        <w:rPr>
          <w:rFonts w:ascii="Arial Narrow" w:hAnsi="Arial Narrow"/>
        </w:rPr>
        <w:t xml:space="preserve">States to prohibit </w:t>
      </w:r>
      <w:r w:rsidRPr="00B44974">
        <w:rPr>
          <w:rFonts w:ascii="Arial Narrow" w:hAnsi="Arial Narrow"/>
          <w:i/>
        </w:rPr>
        <w:t>particularly severe</w:t>
      </w:r>
      <w:r>
        <w:rPr>
          <w:rFonts w:ascii="Arial Narrow" w:hAnsi="Arial Narrow"/>
        </w:rPr>
        <w:t xml:space="preserve"> forms of “hate speech”, </w:t>
      </w:r>
      <w:r w:rsidR="0077637E">
        <w:rPr>
          <w:rFonts w:ascii="Arial Narrow" w:hAnsi="Arial Narrow"/>
        </w:rPr>
        <w:t xml:space="preserve">and </w:t>
      </w:r>
      <w:r>
        <w:rPr>
          <w:rFonts w:ascii="Arial Narrow" w:hAnsi="Arial Narrow"/>
        </w:rPr>
        <w:t xml:space="preserve">does not </w:t>
      </w:r>
      <w:r w:rsidR="0077637E">
        <w:rPr>
          <w:rFonts w:ascii="Arial Narrow" w:hAnsi="Arial Narrow"/>
        </w:rPr>
        <w:t xml:space="preserve">imply a prohibition on </w:t>
      </w:r>
      <w:r>
        <w:rPr>
          <w:rFonts w:ascii="Arial Narrow" w:hAnsi="Arial Narrow"/>
        </w:rPr>
        <w:t xml:space="preserve">all forms of discriminatory expression, </w:t>
      </w:r>
      <w:r w:rsidR="00602B9F">
        <w:rPr>
          <w:rFonts w:ascii="Arial Narrow" w:hAnsi="Arial Narrow"/>
        </w:rPr>
        <w:t>including in t</w:t>
      </w:r>
      <w:r w:rsidR="0077637E">
        <w:rPr>
          <w:rFonts w:ascii="Arial Narrow" w:hAnsi="Arial Narrow"/>
        </w:rPr>
        <w:t>he context of assemblies</w:t>
      </w:r>
      <w:r w:rsidR="00B44974">
        <w:rPr>
          <w:rFonts w:ascii="Arial Narrow" w:hAnsi="Arial Narrow"/>
        </w:rPr>
        <w:t xml:space="preserve">. While </w:t>
      </w:r>
      <w:r w:rsidR="00B44974">
        <w:rPr>
          <w:rFonts w:ascii="Arial Narrow" w:hAnsi="Arial Narrow"/>
        </w:rPr>
        <w:lastRenderedPageBreak/>
        <w:t>all “hate speech” raises concerns in relation to tolerance and respect for diversity, not all “hate speech” may legitimately be subject to restrictions under Article 19(3) of the ICCPR</w:t>
      </w:r>
      <w:r w:rsidR="00B44974" w:rsidRPr="00B44974">
        <w:rPr>
          <w:rFonts w:ascii="Arial Narrow" w:hAnsi="Arial Narrow"/>
        </w:rPr>
        <w:t>.</w:t>
      </w:r>
      <w:r w:rsidR="00602B9F">
        <w:rPr>
          <w:rStyle w:val="FootnoteReference"/>
          <w:rFonts w:ascii="Arial Narrow" w:hAnsi="Arial Narrow"/>
        </w:rPr>
        <w:footnoteReference w:id="124"/>
      </w:r>
    </w:p>
    <w:p w14:paraId="63772C73" w14:textId="1E5C7AE0" w:rsidR="00BC38FA" w:rsidRDefault="00DB12CC" w:rsidP="00B44974">
      <w:pPr>
        <w:pStyle w:val="ListParagraph"/>
        <w:numPr>
          <w:ilvl w:val="0"/>
          <w:numId w:val="24"/>
        </w:numPr>
        <w:spacing w:after="0" w:line="276" w:lineRule="auto"/>
        <w:jc w:val="both"/>
        <w:rPr>
          <w:rFonts w:ascii="Arial Narrow" w:hAnsi="Arial Narrow"/>
        </w:rPr>
      </w:pPr>
      <w:r>
        <w:rPr>
          <w:rFonts w:ascii="Arial Narrow" w:hAnsi="Arial Narrow"/>
        </w:rPr>
        <w:t>The need to i</w:t>
      </w:r>
      <w:r w:rsidR="00BC38FA">
        <w:rPr>
          <w:rFonts w:ascii="Arial Narrow" w:hAnsi="Arial Narrow"/>
        </w:rPr>
        <w:t>nterpret the list of protected characteristics in Article 20(2) of the ICCPR expansively, to include all protected characteristics recognized by international human rights law</w:t>
      </w:r>
      <w:r w:rsidR="00EB5CFE">
        <w:rPr>
          <w:rFonts w:ascii="Arial Narrow" w:hAnsi="Arial Narrow"/>
        </w:rPr>
        <w:t>, and to consider the possibility of multiple and intersecting forms of discrimination, including on the basis of gender</w:t>
      </w:r>
      <w:r w:rsidR="00BC38FA">
        <w:rPr>
          <w:rFonts w:ascii="Arial Narrow" w:hAnsi="Arial Narrow"/>
        </w:rPr>
        <w:t>.</w:t>
      </w:r>
      <w:r w:rsidR="00BC38FA">
        <w:rPr>
          <w:rStyle w:val="FootnoteReference"/>
          <w:rFonts w:ascii="Arial Narrow" w:hAnsi="Arial Narrow"/>
        </w:rPr>
        <w:footnoteReference w:id="125"/>
      </w:r>
    </w:p>
    <w:p w14:paraId="7E7E9A8D" w14:textId="03FEDA2C" w:rsidR="005A319A" w:rsidRPr="00B44974" w:rsidRDefault="005A319A" w:rsidP="00B44974">
      <w:pPr>
        <w:pStyle w:val="ListParagraph"/>
        <w:numPr>
          <w:ilvl w:val="0"/>
          <w:numId w:val="24"/>
        </w:numPr>
        <w:spacing w:after="0" w:line="276" w:lineRule="auto"/>
        <w:jc w:val="both"/>
        <w:rPr>
          <w:rFonts w:ascii="Arial Narrow" w:hAnsi="Arial Narrow"/>
        </w:rPr>
      </w:pPr>
      <w:r w:rsidRPr="00B44974">
        <w:rPr>
          <w:rFonts w:ascii="Arial Narrow" w:hAnsi="Arial Narrow"/>
        </w:rPr>
        <w:t xml:space="preserve">States must justify any limitations on the right of peaceful assembly pursuant to Article 20(2) of the ICCPR </w:t>
      </w:r>
      <w:r w:rsidR="00751351">
        <w:rPr>
          <w:rFonts w:ascii="Arial Narrow" w:hAnsi="Arial Narrow"/>
        </w:rPr>
        <w:t xml:space="preserve">in accordance with </w:t>
      </w:r>
      <w:r w:rsidRPr="00B44974">
        <w:rPr>
          <w:rFonts w:ascii="Arial Narrow" w:hAnsi="Arial Narrow"/>
        </w:rPr>
        <w:t xml:space="preserve">the limitations clause of Article 21 of the ICCPR, </w:t>
      </w:r>
      <w:r w:rsidRPr="00751351">
        <w:rPr>
          <w:rFonts w:ascii="Arial Narrow" w:hAnsi="Arial Narrow"/>
          <w:i/>
        </w:rPr>
        <w:t>and</w:t>
      </w:r>
      <w:r w:rsidR="00751351">
        <w:rPr>
          <w:rFonts w:ascii="Arial Narrow" w:hAnsi="Arial Narrow"/>
        </w:rPr>
        <w:t xml:space="preserve"> in accordance with</w:t>
      </w:r>
      <w:r w:rsidRPr="00B44974">
        <w:rPr>
          <w:rFonts w:ascii="Arial Narrow" w:hAnsi="Arial Narrow"/>
        </w:rPr>
        <w:t xml:space="preserve"> Article 19(3) of th</w:t>
      </w:r>
      <w:r w:rsidR="003C52E6" w:rsidRPr="00B44974">
        <w:rPr>
          <w:rFonts w:ascii="Arial Narrow" w:hAnsi="Arial Narrow"/>
        </w:rPr>
        <w:t>e ICCPR</w:t>
      </w:r>
      <w:r w:rsidR="00751351">
        <w:rPr>
          <w:rFonts w:ascii="Arial Narrow" w:hAnsi="Arial Narrow"/>
        </w:rPr>
        <w:t>, with Article 19(3) continuing to apply even where</w:t>
      </w:r>
      <w:r w:rsidR="00751351" w:rsidRPr="00B44974">
        <w:rPr>
          <w:rFonts w:ascii="Arial Narrow" w:hAnsi="Arial Narrow"/>
        </w:rPr>
        <w:t xml:space="preserve"> an assembly ceases to be peaceful</w:t>
      </w:r>
      <w:r w:rsidR="00751351">
        <w:rPr>
          <w:rFonts w:ascii="Arial Narrow" w:hAnsi="Arial Narrow"/>
        </w:rPr>
        <w:t>.</w:t>
      </w:r>
      <w:r w:rsidR="003C52E6">
        <w:rPr>
          <w:rStyle w:val="FootnoteReference"/>
          <w:rFonts w:ascii="Arial Narrow" w:hAnsi="Arial Narrow"/>
        </w:rPr>
        <w:footnoteReference w:id="126"/>
      </w:r>
      <w:r w:rsidRPr="00B44974">
        <w:rPr>
          <w:rFonts w:ascii="Arial Narrow" w:hAnsi="Arial Narrow"/>
        </w:rPr>
        <w:t xml:space="preserve"> </w:t>
      </w:r>
    </w:p>
    <w:p w14:paraId="477E01F1" w14:textId="2F24C946" w:rsidR="003C52E6" w:rsidRDefault="00751351" w:rsidP="00F0057E">
      <w:pPr>
        <w:pStyle w:val="ListParagraph"/>
        <w:numPr>
          <w:ilvl w:val="0"/>
          <w:numId w:val="23"/>
        </w:numPr>
        <w:spacing w:after="0" w:line="276" w:lineRule="auto"/>
        <w:jc w:val="both"/>
        <w:rPr>
          <w:rFonts w:ascii="Arial Narrow" w:hAnsi="Arial Narrow"/>
        </w:rPr>
      </w:pPr>
      <w:r>
        <w:rPr>
          <w:rFonts w:ascii="Arial Narrow" w:hAnsi="Arial Narrow"/>
        </w:rPr>
        <w:t>For any prohibition on an assembly pursuant t</w:t>
      </w:r>
      <w:r w:rsidR="00602B9F">
        <w:rPr>
          <w:rFonts w:ascii="Arial Narrow" w:hAnsi="Arial Narrow"/>
        </w:rPr>
        <w:t>o Article 20(2) ICCPR,</w:t>
      </w:r>
      <w:r>
        <w:rPr>
          <w:rFonts w:ascii="Arial Narrow" w:hAnsi="Arial Narrow"/>
        </w:rPr>
        <w:t xml:space="preserve"> the obligation is on the State to show specific intent, by organisers </w:t>
      </w:r>
      <w:r w:rsidR="003C52E6">
        <w:rPr>
          <w:rFonts w:ascii="Arial Narrow" w:hAnsi="Arial Narrow"/>
        </w:rPr>
        <w:t>or participants</w:t>
      </w:r>
      <w:r>
        <w:rPr>
          <w:rFonts w:ascii="Arial Narrow" w:hAnsi="Arial Narrow"/>
        </w:rPr>
        <w:t>,</w:t>
      </w:r>
      <w:r w:rsidR="003C52E6">
        <w:rPr>
          <w:rFonts w:ascii="Arial Narrow" w:hAnsi="Arial Narrow"/>
        </w:rPr>
        <w:t xml:space="preserve"> to engage in acts that would incite others to commit acts of discri</w:t>
      </w:r>
      <w:r w:rsidR="00602B9F">
        <w:rPr>
          <w:rFonts w:ascii="Arial Narrow" w:hAnsi="Arial Narrow"/>
        </w:rPr>
        <w:t>mination, hostility or violence</w:t>
      </w:r>
      <w:r>
        <w:rPr>
          <w:rFonts w:ascii="Arial Narrow" w:hAnsi="Arial Narrow"/>
        </w:rPr>
        <w:t>.</w:t>
      </w:r>
      <w:r w:rsidR="003C52E6">
        <w:rPr>
          <w:rStyle w:val="FootnoteReference"/>
          <w:rFonts w:ascii="Arial Narrow" w:hAnsi="Arial Narrow"/>
        </w:rPr>
        <w:footnoteReference w:id="127"/>
      </w:r>
      <w:r w:rsidR="003C52E6">
        <w:rPr>
          <w:rFonts w:ascii="Arial Narrow" w:hAnsi="Arial Narrow"/>
        </w:rPr>
        <w:t xml:space="preserve"> </w:t>
      </w:r>
      <w:r>
        <w:rPr>
          <w:rFonts w:ascii="Arial Narrow" w:hAnsi="Arial Narrow"/>
        </w:rPr>
        <w:t>States must ensure</w:t>
      </w:r>
      <w:r w:rsidR="00602B9F">
        <w:rPr>
          <w:rFonts w:ascii="Arial Narrow" w:hAnsi="Arial Narrow"/>
        </w:rPr>
        <w:t xml:space="preserve"> that isolated or sporadic acts of individual participants are not attributed to the conduct o</w:t>
      </w:r>
      <w:r>
        <w:rPr>
          <w:rFonts w:ascii="Arial Narrow" w:hAnsi="Arial Narrow"/>
        </w:rPr>
        <w:t>f the assembly as a whole.</w:t>
      </w:r>
      <w:r w:rsidR="00602B9F">
        <w:rPr>
          <w:rFonts w:ascii="Arial Narrow" w:hAnsi="Arial Narrow"/>
        </w:rPr>
        <w:t xml:space="preserve"> </w:t>
      </w:r>
      <w:r w:rsidR="003C52E6">
        <w:rPr>
          <w:rFonts w:ascii="Arial Narrow" w:hAnsi="Arial Narrow"/>
        </w:rPr>
        <w:t xml:space="preserve"> </w:t>
      </w:r>
    </w:p>
    <w:p w14:paraId="79187294" w14:textId="5DA64116" w:rsidR="00602B9F" w:rsidRPr="00ED4DD9" w:rsidRDefault="00DB12CC" w:rsidP="00ED4DD9">
      <w:pPr>
        <w:pStyle w:val="ListParagraph"/>
        <w:numPr>
          <w:ilvl w:val="0"/>
          <w:numId w:val="23"/>
        </w:numPr>
        <w:spacing w:after="0" w:line="276" w:lineRule="auto"/>
        <w:jc w:val="both"/>
        <w:rPr>
          <w:rFonts w:ascii="Arial Narrow" w:hAnsi="Arial Narrow"/>
        </w:rPr>
      </w:pPr>
      <w:r>
        <w:rPr>
          <w:rFonts w:ascii="Arial Narrow" w:hAnsi="Arial Narrow"/>
        </w:rPr>
        <w:t>The need to i</w:t>
      </w:r>
      <w:r w:rsidR="00602B9F">
        <w:rPr>
          <w:rFonts w:ascii="Arial Narrow" w:hAnsi="Arial Narrow"/>
        </w:rPr>
        <w:t>ncorporate the Rabat Plan of Action</w:t>
      </w:r>
      <w:r w:rsidR="00A00C4F">
        <w:rPr>
          <w:rFonts w:ascii="Arial Narrow" w:hAnsi="Arial Narrow"/>
        </w:rPr>
        <w:t xml:space="preserve"> 6-factor </w:t>
      </w:r>
      <w:r w:rsidR="00602B9F">
        <w:rPr>
          <w:rFonts w:ascii="Arial Narrow" w:hAnsi="Arial Narrow"/>
        </w:rPr>
        <w:t>“threshold test”</w:t>
      </w:r>
      <w:r w:rsidR="00A00C4F">
        <w:rPr>
          <w:rFonts w:ascii="Arial Narrow" w:hAnsi="Arial Narrow"/>
        </w:rPr>
        <w:t xml:space="preserve"> for determining if</w:t>
      </w:r>
      <w:r w:rsidR="00751351">
        <w:rPr>
          <w:rFonts w:ascii="Arial Narrow" w:hAnsi="Arial Narrow"/>
        </w:rPr>
        <w:t xml:space="preserve"> “advocacy of hatred”</w:t>
      </w:r>
      <w:r w:rsidR="00A00C4F">
        <w:rPr>
          <w:rFonts w:ascii="Arial Narrow" w:hAnsi="Arial Narrow"/>
        </w:rPr>
        <w:t xml:space="preserve"> is so severe </w:t>
      </w:r>
      <w:r w:rsidR="00751351">
        <w:rPr>
          <w:rFonts w:ascii="Arial Narrow" w:hAnsi="Arial Narrow"/>
        </w:rPr>
        <w:t>that it constitutes incitement to hostility, discrimination or violence</w:t>
      </w:r>
      <w:r>
        <w:rPr>
          <w:rFonts w:ascii="Arial Narrow" w:hAnsi="Arial Narrow"/>
        </w:rPr>
        <w:t>, and that those outcomes are a likely consequence of the collective expression in issue</w:t>
      </w:r>
      <w:r w:rsidR="00751351">
        <w:rPr>
          <w:rFonts w:ascii="Arial Narrow" w:hAnsi="Arial Narrow"/>
        </w:rPr>
        <w:t xml:space="preserve">. A particularly </w:t>
      </w:r>
      <w:r w:rsidR="00602B9F" w:rsidRPr="00751351">
        <w:rPr>
          <w:rFonts w:ascii="Arial Narrow" w:hAnsi="Arial Narrow"/>
        </w:rPr>
        <w:t xml:space="preserve">high threshold </w:t>
      </w:r>
      <w:r w:rsidR="00751351" w:rsidRPr="00751351">
        <w:rPr>
          <w:rFonts w:ascii="Arial Narrow" w:hAnsi="Arial Narrow"/>
        </w:rPr>
        <w:t xml:space="preserve">should be required </w:t>
      </w:r>
      <w:r w:rsidR="00602B9F" w:rsidRPr="00751351">
        <w:rPr>
          <w:rFonts w:ascii="Arial Narrow" w:hAnsi="Arial Narrow"/>
        </w:rPr>
        <w:t xml:space="preserve">for </w:t>
      </w:r>
      <w:r w:rsidR="00751351" w:rsidRPr="00751351">
        <w:rPr>
          <w:rFonts w:ascii="Arial Narrow" w:hAnsi="Arial Narrow"/>
        </w:rPr>
        <w:t>imposing</w:t>
      </w:r>
      <w:r w:rsidR="00602B9F" w:rsidRPr="00751351">
        <w:rPr>
          <w:rFonts w:ascii="Arial Narrow" w:hAnsi="Arial Narrow"/>
        </w:rPr>
        <w:t xml:space="preserve"> prior-restraint</w:t>
      </w:r>
      <w:r w:rsidR="00751351" w:rsidRPr="00751351">
        <w:rPr>
          <w:rFonts w:ascii="Arial Narrow" w:hAnsi="Arial Narrow"/>
        </w:rPr>
        <w:t>s</w:t>
      </w:r>
      <w:r w:rsidR="00ED4DD9">
        <w:rPr>
          <w:rFonts w:ascii="Arial Narrow" w:hAnsi="Arial Narrow"/>
        </w:rPr>
        <w:t xml:space="preserve"> or </w:t>
      </w:r>
      <w:r>
        <w:rPr>
          <w:rFonts w:ascii="Arial Narrow" w:hAnsi="Arial Narrow"/>
        </w:rPr>
        <w:t>prohibitions</w:t>
      </w:r>
      <w:r w:rsidR="00602B9F" w:rsidRPr="00751351">
        <w:rPr>
          <w:rFonts w:ascii="Arial Narrow" w:hAnsi="Arial Narrow"/>
        </w:rPr>
        <w:t xml:space="preserve"> on</w:t>
      </w:r>
      <w:r>
        <w:rPr>
          <w:rFonts w:ascii="Arial Narrow" w:hAnsi="Arial Narrow"/>
        </w:rPr>
        <w:t xml:space="preserve"> otherwise peaceful</w:t>
      </w:r>
      <w:r w:rsidR="00602B9F" w:rsidRPr="00751351">
        <w:rPr>
          <w:rFonts w:ascii="Arial Narrow" w:hAnsi="Arial Narrow"/>
        </w:rPr>
        <w:t xml:space="preserve"> assemblies, as well as for responses </w:t>
      </w:r>
      <w:r w:rsidR="00751351" w:rsidRPr="00751351">
        <w:rPr>
          <w:rFonts w:ascii="Arial Narrow" w:hAnsi="Arial Narrow"/>
        </w:rPr>
        <w:t>to assemblies</w:t>
      </w:r>
      <w:r>
        <w:rPr>
          <w:rFonts w:ascii="Arial Narrow" w:hAnsi="Arial Narrow"/>
        </w:rPr>
        <w:t xml:space="preserve"> </w:t>
      </w:r>
      <w:r w:rsidR="00751351" w:rsidRPr="00751351">
        <w:rPr>
          <w:rFonts w:ascii="Arial Narrow" w:hAnsi="Arial Narrow"/>
        </w:rPr>
        <w:t>in</w:t>
      </w:r>
      <w:r w:rsidR="00602B9F" w:rsidRPr="00751351">
        <w:rPr>
          <w:rFonts w:ascii="Arial Narrow" w:hAnsi="Arial Narrow"/>
        </w:rPr>
        <w:t xml:space="preserve"> the criminal law</w:t>
      </w:r>
      <w:r>
        <w:rPr>
          <w:rFonts w:ascii="Arial Narrow" w:hAnsi="Arial Narrow"/>
        </w:rPr>
        <w:t xml:space="preserve">. Prior-restraints on expression, including collective expression in the form of assemblies, </w:t>
      </w:r>
      <w:r w:rsidR="00ED4DD9">
        <w:rPr>
          <w:rFonts w:ascii="Arial Narrow" w:hAnsi="Arial Narrow"/>
        </w:rPr>
        <w:t>should be considered extreme, and only used exceptionally and as a last resort</w:t>
      </w:r>
      <w:r>
        <w:rPr>
          <w:rFonts w:ascii="Arial Narrow" w:hAnsi="Arial Narrow"/>
        </w:rPr>
        <w:t>, according to a similar if not higher standard than the imposition of criminal sanctions after the fact</w:t>
      </w:r>
      <w:r w:rsidR="00ED4DD9">
        <w:rPr>
          <w:rFonts w:ascii="Arial Narrow" w:hAnsi="Arial Narrow"/>
        </w:rPr>
        <w:t>.</w:t>
      </w:r>
      <w:r w:rsidR="00A00C4F" w:rsidRPr="00DC1FFC">
        <w:rPr>
          <w:rStyle w:val="FootnoteReference"/>
          <w:rFonts w:ascii="Arial Narrow" w:hAnsi="Arial Narrow"/>
        </w:rPr>
        <w:footnoteReference w:id="128"/>
      </w:r>
    </w:p>
    <w:p w14:paraId="2B87AE80" w14:textId="4805039B" w:rsidR="00DC1FFC" w:rsidRPr="00DC1FFC" w:rsidRDefault="00ED4DD9" w:rsidP="00A00C4F">
      <w:pPr>
        <w:pStyle w:val="ListParagraph"/>
        <w:numPr>
          <w:ilvl w:val="0"/>
          <w:numId w:val="23"/>
        </w:numPr>
        <w:spacing w:after="0" w:line="276" w:lineRule="auto"/>
        <w:jc w:val="both"/>
        <w:rPr>
          <w:rFonts w:ascii="Arial Narrow" w:hAnsi="Arial Narrow"/>
        </w:rPr>
      </w:pPr>
      <w:r>
        <w:rPr>
          <w:rFonts w:ascii="Arial Narrow" w:hAnsi="Arial Narrow" w:cs="Arial"/>
        </w:rPr>
        <w:t>I</w:t>
      </w:r>
      <w:r w:rsidR="00DC1FFC" w:rsidRPr="00DC1FFC">
        <w:rPr>
          <w:rFonts w:ascii="Arial Narrow" w:hAnsi="Arial Narrow" w:cs="Arial"/>
        </w:rPr>
        <w:t xml:space="preserve">nsignia, uniforms, emblems, music, flags or signs that are historically associated with discrimination against </w:t>
      </w:r>
      <w:r>
        <w:rPr>
          <w:rFonts w:ascii="Arial Narrow" w:hAnsi="Arial Narrow" w:cs="Arial"/>
        </w:rPr>
        <w:t>certain groups should only be prohibited</w:t>
      </w:r>
      <w:r w:rsidR="00DC1FFC" w:rsidRPr="00DC1FFC">
        <w:rPr>
          <w:rFonts w:ascii="Arial Narrow" w:hAnsi="Arial Narrow" w:cs="Arial"/>
        </w:rPr>
        <w:t xml:space="preserve"> </w:t>
      </w:r>
      <w:r w:rsidR="00DC1FFC">
        <w:rPr>
          <w:rFonts w:ascii="Arial Narrow" w:hAnsi="Arial Narrow" w:cs="Arial"/>
        </w:rPr>
        <w:t>in circumstances where they</w:t>
      </w:r>
      <w:r w:rsidR="00DC1FFC" w:rsidRPr="00DC1FFC">
        <w:rPr>
          <w:rFonts w:ascii="Arial Narrow" w:hAnsi="Arial Narrow" w:cs="Arial"/>
        </w:rPr>
        <w:t xml:space="preserve"> are intended to and are likely to incite imminent violence</w:t>
      </w:r>
      <w:r>
        <w:rPr>
          <w:rFonts w:ascii="Arial Narrow" w:hAnsi="Arial Narrow" w:cs="Arial"/>
        </w:rPr>
        <w:t>.</w:t>
      </w:r>
      <w:r w:rsidR="00DC1FFC">
        <w:rPr>
          <w:rStyle w:val="FootnoteReference"/>
          <w:rFonts w:ascii="Arial Narrow" w:hAnsi="Arial Narrow" w:cs="Arial"/>
        </w:rPr>
        <w:footnoteReference w:id="129"/>
      </w:r>
    </w:p>
    <w:p w14:paraId="3BC67952" w14:textId="61CED3B2" w:rsidR="00A00C4F" w:rsidRDefault="00DB12CC" w:rsidP="00A00C4F">
      <w:pPr>
        <w:pStyle w:val="ListParagraph"/>
        <w:numPr>
          <w:ilvl w:val="0"/>
          <w:numId w:val="23"/>
        </w:numPr>
        <w:spacing w:after="0" w:line="276" w:lineRule="auto"/>
        <w:jc w:val="both"/>
        <w:rPr>
          <w:rFonts w:ascii="Arial Narrow" w:hAnsi="Arial Narrow"/>
        </w:rPr>
      </w:pPr>
      <w:r>
        <w:rPr>
          <w:rFonts w:ascii="Arial Narrow" w:hAnsi="Arial Narrow"/>
        </w:rPr>
        <w:t>The importance of s</w:t>
      </w:r>
      <w:r w:rsidR="00642CA8">
        <w:rPr>
          <w:rFonts w:ascii="Arial Narrow" w:hAnsi="Arial Narrow"/>
        </w:rPr>
        <w:t>afeguard</w:t>
      </w:r>
      <w:r>
        <w:rPr>
          <w:rFonts w:ascii="Arial Narrow" w:hAnsi="Arial Narrow"/>
        </w:rPr>
        <w:t>ing</w:t>
      </w:r>
      <w:r w:rsidR="00642CA8">
        <w:rPr>
          <w:rFonts w:ascii="Arial Narrow" w:hAnsi="Arial Narrow"/>
        </w:rPr>
        <w:t xml:space="preserve"> against the abuse of “incitement” laws </w:t>
      </w:r>
      <w:r w:rsidR="00DC1FFC">
        <w:rPr>
          <w:rFonts w:ascii="Arial Narrow" w:hAnsi="Arial Narrow"/>
        </w:rPr>
        <w:t>to persecute</w:t>
      </w:r>
      <w:r w:rsidR="00642CA8">
        <w:rPr>
          <w:rFonts w:ascii="Arial Narrow" w:hAnsi="Arial Narrow"/>
        </w:rPr>
        <w:t xml:space="preserve"> persons engaged in minority or dissenting expression, including in assemblies</w:t>
      </w:r>
      <w:r w:rsidR="00ED4DD9">
        <w:rPr>
          <w:rFonts w:ascii="Arial Narrow" w:hAnsi="Arial Narrow"/>
        </w:rPr>
        <w:t>.</w:t>
      </w:r>
      <w:r w:rsidR="00642CA8">
        <w:rPr>
          <w:rStyle w:val="FootnoteReference"/>
          <w:rFonts w:ascii="Arial Narrow" w:hAnsi="Arial Narrow"/>
        </w:rPr>
        <w:footnoteReference w:id="130"/>
      </w:r>
    </w:p>
    <w:p w14:paraId="7DDAE8B9" w14:textId="53CAD6E4" w:rsidR="00A00C4F" w:rsidRPr="00A00C4F" w:rsidRDefault="00DB12CC" w:rsidP="00A00C4F">
      <w:pPr>
        <w:pStyle w:val="ListParagraph"/>
        <w:numPr>
          <w:ilvl w:val="0"/>
          <w:numId w:val="23"/>
        </w:numPr>
        <w:spacing w:after="0" w:line="276" w:lineRule="auto"/>
        <w:jc w:val="both"/>
        <w:rPr>
          <w:rFonts w:ascii="Arial Narrow" w:hAnsi="Arial Narrow"/>
        </w:rPr>
      </w:pPr>
      <w:r>
        <w:rPr>
          <w:rFonts w:ascii="Arial Narrow" w:hAnsi="Arial Narrow"/>
        </w:rPr>
        <w:t>The existence of a</w:t>
      </w:r>
      <w:r w:rsidR="00A00C4F">
        <w:rPr>
          <w:rFonts w:ascii="Arial Narrow" w:hAnsi="Arial Narrow"/>
        </w:rPr>
        <w:t xml:space="preserve"> wide range of non-coercive policy responses that are available to States to address the root causes of hatred</w:t>
      </w:r>
      <w:r w:rsidR="00ED4DD9">
        <w:rPr>
          <w:rFonts w:ascii="Arial Narrow" w:hAnsi="Arial Narrow"/>
        </w:rPr>
        <w:t>,</w:t>
      </w:r>
      <w:r w:rsidR="00A00C4F">
        <w:rPr>
          <w:rFonts w:ascii="Arial Narrow" w:hAnsi="Arial Narrow"/>
        </w:rPr>
        <w:t xml:space="preserve"> without relying upon the proscription of expression or assemblies, which should be considered </w:t>
      </w:r>
      <w:r w:rsidR="00ED4DD9">
        <w:rPr>
          <w:rFonts w:ascii="Arial Narrow" w:hAnsi="Arial Narrow"/>
        </w:rPr>
        <w:t>in determining the necessity and proportionality of prohibitions.</w:t>
      </w:r>
      <w:r w:rsidR="00A00C4F">
        <w:rPr>
          <w:rStyle w:val="FootnoteReference"/>
          <w:rFonts w:ascii="Arial Narrow" w:hAnsi="Arial Narrow"/>
        </w:rPr>
        <w:footnoteReference w:id="131"/>
      </w:r>
    </w:p>
    <w:p w14:paraId="6F334170" w14:textId="096F0D61" w:rsidR="00F0057E" w:rsidRDefault="00DB12CC" w:rsidP="00932C4D">
      <w:pPr>
        <w:pStyle w:val="ListParagraph"/>
        <w:numPr>
          <w:ilvl w:val="0"/>
          <w:numId w:val="23"/>
        </w:numPr>
        <w:spacing w:after="0" w:line="276" w:lineRule="auto"/>
        <w:jc w:val="both"/>
        <w:rPr>
          <w:rFonts w:ascii="Arial Narrow" w:hAnsi="Arial Narrow"/>
        </w:rPr>
      </w:pPr>
      <w:r>
        <w:rPr>
          <w:rFonts w:ascii="Arial Narrow" w:hAnsi="Arial Narrow"/>
        </w:rPr>
        <w:t>The importance of e</w:t>
      </w:r>
      <w:r w:rsidR="00A00C4F" w:rsidRPr="00A00C4F">
        <w:rPr>
          <w:rFonts w:ascii="Arial Narrow" w:hAnsi="Arial Narrow"/>
        </w:rPr>
        <w:t>n</w:t>
      </w:r>
      <w:r>
        <w:rPr>
          <w:rFonts w:ascii="Arial Narrow" w:hAnsi="Arial Narrow"/>
        </w:rPr>
        <w:t>suring</w:t>
      </w:r>
      <w:r w:rsidR="00A00C4F" w:rsidRPr="00A00C4F">
        <w:rPr>
          <w:rFonts w:ascii="Arial Narrow" w:hAnsi="Arial Narrow"/>
        </w:rPr>
        <w:t xml:space="preserve"> that r</w:t>
      </w:r>
      <w:r w:rsidR="00602B9F" w:rsidRPr="00A00C4F">
        <w:rPr>
          <w:rFonts w:ascii="Arial Narrow" w:hAnsi="Arial Narrow"/>
        </w:rPr>
        <w:t xml:space="preserve">eporting </w:t>
      </w:r>
      <w:r w:rsidR="00A00C4F" w:rsidRPr="00A00C4F">
        <w:rPr>
          <w:rFonts w:ascii="Arial Narrow" w:hAnsi="Arial Narrow"/>
        </w:rPr>
        <w:t>or commentary on</w:t>
      </w:r>
      <w:r w:rsidR="00602B9F" w:rsidRPr="00A00C4F">
        <w:rPr>
          <w:rFonts w:ascii="Arial Narrow" w:hAnsi="Arial Narrow"/>
        </w:rPr>
        <w:t xml:space="preserve"> assemblies or expression</w:t>
      </w:r>
      <w:r w:rsidR="00A00C4F" w:rsidRPr="00A00C4F">
        <w:rPr>
          <w:rFonts w:ascii="Arial Narrow" w:hAnsi="Arial Narrow"/>
        </w:rPr>
        <w:t xml:space="preserve"> in assemblies</w:t>
      </w:r>
      <w:r w:rsidR="00602B9F" w:rsidRPr="00A00C4F">
        <w:rPr>
          <w:rFonts w:ascii="Arial Narrow" w:hAnsi="Arial Narrow"/>
        </w:rPr>
        <w:t xml:space="preserve"> that advocates </w:t>
      </w:r>
      <w:r w:rsidR="00A00C4F" w:rsidRPr="00A00C4F">
        <w:rPr>
          <w:rFonts w:ascii="Arial Narrow" w:hAnsi="Arial Narrow"/>
        </w:rPr>
        <w:t>hatred is</w:t>
      </w:r>
      <w:r w:rsidR="00602B9F" w:rsidRPr="00A00C4F">
        <w:rPr>
          <w:rFonts w:ascii="Arial Narrow" w:hAnsi="Arial Narrow"/>
        </w:rPr>
        <w:t xml:space="preserve"> not be equated with </w:t>
      </w:r>
      <w:r w:rsidR="00A00C4F" w:rsidRPr="00A00C4F">
        <w:rPr>
          <w:rFonts w:ascii="Arial Narrow" w:hAnsi="Arial Narrow"/>
        </w:rPr>
        <w:t>incitement, unless the reporter or commentator shares specific inte</w:t>
      </w:r>
      <w:r w:rsidR="00A00C4F">
        <w:rPr>
          <w:rFonts w:ascii="Arial Narrow" w:hAnsi="Arial Narrow"/>
        </w:rPr>
        <w:t>nt for incited action to occur.</w:t>
      </w:r>
      <w:r w:rsidR="00A00C4F">
        <w:rPr>
          <w:rStyle w:val="FootnoteReference"/>
          <w:rFonts w:ascii="Arial Narrow" w:hAnsi="Arial Narrow"/>
        </w:rPr>
        <w:footnoteReference w:id="132"/>
      </w:r>
    </w:p>
    <w:p w14:paraId="287A3332" w14:textId="77777777" w:rsidR="00642CA8" w:rsidRDefault="00642CA8" w:rsidP="00642CA8">
      <w:pPr>
        <w:pStyle w:val="ListParagraph"/>
        <w:spacing w:after="0" w:line="276" w:lineRule="auto"/>
        <w:ind w:left="1080"/>
        <w:jc w:val="both"/>
        <w:rPr>
          <w:rFonts w:ascii="Arial Narrow" w:hAnsi="Arial Narrow"/>
        </w:rPr>
      </w:pPr>
    </w:p>
    <w:p w14:paraId="038F74F8" w14:textId="6ACB9BF7" w:rsidR="005E0098" w:rsidRPr="00EB5CFE" w:rsidRDefault="00642CA8" w:rsidP="00EB5CFE">
      <w:pPr>
        <w:pStyle w:val="ListParagraph"/>
        <w:numPr>
          <w:ilvl w:val="0"/>
          <w:numId w:val="1"/>
        </w:numPr>
        <w:jc w:val="both"/>
        <w:rPr>
          <w:rFonts w:ascii="Arial Narrow" w:hAnsi="Arial Narrow"/>
        </w:rPr>
      </w:pPr>
      <w:r>
        <w:rPr>
          <w:rFonts w:ascii="Arial Narrow" w:hAnsi="Arial Narrow"/>
        </w:rPr>
        <w:t xml:space="preserve">Due to the specific “triangular” nature of incitement, the Committee should distinguish assemblies that directly threaten violence or other unlawful conduct, as well as assemblies that intend to directly intimidate or harass persons on the </w:t>
      </w:r>
      <w:r>
        <w:rPr>
          <w:rFonts w:ascii="Arial Narrow" w:hAnsi="Arial Narrow"/>
        </w:rPr>
        <w:lastRenderedPageBreak/>
        <w:t>basis of a protected characteristic.</w:t>
      </w:r>
      <w:r>
        <w:rPr>
          <w:rStyle w:val="FootnoteReference"/>
          <w:rFonts w:ascii="Arial Narrow" w:hAnsi="Arial Narrow"/>
        </w:rPr>
        <w:footnoteReference w:id="133"/>
      </w:r>
      <w:r w:rsidR="00932C4D">
        <w:rPr>
          <w:rFonts w:ascii="Arial Narrow" w:hAnsi="Arial Narrow"/>
        </w:rPr>
        <w:t xml:space="preserve"> </w:t>
      </w:r>
      <w:r w:rsidR="00A37FC8">
        <w:rPr>
          <w:rFonts w:ascii="Arial Narrow" w:hAnsi="Arial Narrow"/>
        </w:rPr>
        <w:t xml:space="preserve">These do not engage Article 20(2) of the ICCPR, but may still be limited. </w:t>
      </w:r>
      <w:r w:rsidR="00932C4D">
        <w:rPr>
          <w:rFonts w:ascii="Arial Narrow" w:hAnsi="Arial Narrow"/>
        </w:rPr>
        <w:t>At the same time, the Committee should ensure that such limitations are construed narrowly, and not used simply to constrain abusive or insulting speech, even if it is of a discriminatory nature.</w:t>
      </w:r>
      <w:r w:rsidR="00932C4D">
        <w:rPr>
          <w:rStyle w:val="FootnoteReference"/>
          <w:rFonts w:ascii="Arial Narrow" w:hAnsi="Arial Narrow"/>
        </w:rPr>
        <w:footnoteReference w:id="134"/>
      </w:r>
    </w:p>
    <w:p w14:paraId="52827F36" w14:textId="77777777" w:rsidR="000D5FD1" w:rsidRDefault="000D5FD1" w:rsidP="000D5FD1">
      <w:pPr>
        <w:spacing w:after="0" w:line="276" w:lineRule="auto"/>
        <w:jc w:val="both"/>
        <w:rPr>
          <w:rFonts w:ascii="Arial Narrow" w:hAnsi="Arial Narrow"/>
        </w:rPr>
      </w:pPr>
    </w:p>
    <w:p w14:paraId="73571AAC" w14:textId="035F4ED0" w:rsidR="000D5FD1" w:rsidRPr="00B44974" w:rsidRDefault="000D5FD1" w:rsidP="000D5FD1">
      <w:pPr>
        <w:pStyle w:val="ListParagraph"/>
        <w:numPr>
          <w:ilvl w:val="0"/>
          <w:numId w:val="13"/>
        </w:numPr>
        <w:spacing w:after="0" w:line="276" w:lineRule="auto"/>
        <w:jc w:val="both"/>
        <w:rPr>
          <w:rFonts w:ascii="Arial Narrow" w:hAnsi="Arial Narrow" w:cs="Arial"/>
          <w:b/>
          <w:sz w:val="28"/>
        </w:rPr>
      </w:pPr>
      <w:r>
        <w:rPr>
          <w:rFonts w:ascii="Arial Narrow" w:hAnsi="Arial Narrow" w:cs="Arial"/>
          <w:b/>
          <w:sz w:val="28"/>
        </w:rPr>
        <w:t>Obligation to protect</w:t>
      </w:r>
    </w:p>
    <w:p w14:paraId="3C67D054" w14:textId="1D03BA71" w:rsidR="0096322F" w:rsidRDefault="0096322F" w:rsidP="005E0098">
      <w:pPr>
        <w:spacing w:after="0" w:line="276" w:lineRule="auto"/>
        <w:rPr>
          <w:rFonts w:ascii="Arial Narrow" w:hAnsi="Arial Narrow"/>
          <w:b/>
        </w:rPr>
      </w:pPr>
    </w:p>
    <w:p w14:paraId="607454A3" w14:textId="1BE7A1DF" w:rsidR="000D5FD1" w:rsidRDefault="00E76A5E" w:rsidP="005E0098">
      <w:pPr>
        <w:spacing w:after="0" w:line="276" w:lineRule="auto"/>
        <w:rPr>
          <w:rFonts w:ascii="Arial Narrow" w:hAnsi="Arial Narrow"/>
          <w:b/>
        </w:rPr>
      </w:pPr>
      <w:r>
        <w:rPr>
          <w:rFonts w:ascii="Arial Narrow" w:hAnsi="Arial Narrow"/>
          <w:b/>
        </w:rPr>
        <w:t>Duty to facilitate</w:t>
      </w:r>
      <w:r w:rsidR="00D53BF8" w:rsidRPr="003272B1">
        <w:rPr>
          <w:rStyle w:val="FootnoteReference"/>
          <w:rFonts w:ascii="Arial Narrow" w:hAnsi="Arial Narrow"/>
        </w:rPr>
        <w:footnoteReference w:id="135"/>
      </w:r>
      <w:r w:rsidRPr="003272B1">
        <w:rPr>
          <w:rFonts w:ascii="Arial Narrow" w:hAnsi="Arial Narrow"/>
        </w:rPr>
        <w:t xml:space="preserve"> </w:t>
      </w:r>
    </w:p>
    <w:p w14:paraId="64119BFA" w14:textId="11B7C536" w:rsidR="00E76A5E" w:rsidRPr="00917BB5" w:rsidRDefault="00E76A5E" w:rsidP="00917BB5">
      <w:pPr>
        <w:pStyle w:val="ListParagraph"/>
        <w:numPr>
          <w:ilvl w:val="0"/>
          <w:numId w:val="1"/>
        </w:numPr>
        <w:spacing w:after="0" w:line="276" w:lineRule="auto"/>
        <w:jc w:val="both"/>
        <w:rPr>
          <w:rFonts w:ascii="Arial Narrow" w:hAnsi="Arial Narrow"/>
          <w:b/>
        </w:rPr>
      </w:pPr>
      <w:r w:rsidRPr="00D53BF8">
        <w:rPr>
          <w:rFonts w:ascii="Arial Narrow" w:hAnsi="Arial Narrow"/>
        </w:rPr>
        <w:t>The duty of S</w:t>
      </w:r>
      <w:r w:rsidR="00D53BF8" w:rsidRPr="00D53BF8">
        <w:rPr>
          <w:rFonts w:ascii="Arial Narrow" w:hAnsi="Arial Narrow"/>
        </w:rPr>
        <w:t>t</w:t>
      </w:r>
      <w:r w:rsidRPr="00D53BF8">
        <w:rPr>
          <w:rFonts w:ascii="Arial Narrow" w:hAnsi="Arial Narrow"/>
        </w:rPr>
        <w:t>ates to facilitate</w:t>
      </w:r>
      <w:r w:rsidR="00D53BF8" w:rsidRPr="00D53BF8">
        <w:rPr>
          <w:rFonts w:ascii="Arial Narrow" w:hAnsi="Arial Narrow"/>
        </w:rPr>
        <w:t xml:space="preserve"> the right of peaceful assembly</w:t>
      </w:r>
      <w:r w:rsidRPr="00D53BF8">
        <w:rPr>
          <w:rFonts w:ascii="Arial Narrow" w:hAnsi="Arial Narrow"/>
        </w:rPr>
        <w:t xml:space="preserve"> can be read into </w:t>
      </w:r>
      <w:r w:rsidR="00D53BF8" w:rsidRPr="00D53BF8">
        <w:rPr>
          <w:rFonts w:ascii="Arial Narrow" w:hAnsi="Arial Narrow"/>
        </w:rPr>
        <w:t>all of the decisions and concluding observations of the Committee concerning Article 21 of the ICCPR.</w:t>
      </w:r>
      <w:r w:rsidR="00D53BF8">
        <w:rPr>
          <w:rStyle w:val="FootnoteReference"/>
          <w:rFonts w:ascii="Arial Narrow" w:hAnsi="Arial Narrow"/>
        </w:rPr>
        <w:footnoteReference w:id="136"/>
      </w:r>
      <w:r w:rsidR="00D53BF8" w:rsidRPr="00D53BF8">
        <w:rPr>
          <w:rFonts w:ascii="Arial Narrow" w:hAnsi="Arial Narrow"/>
        </w:rPr>
        <w:t xml:space="preserve"> The Committee has also identified authorities’ engagement in practices of harassing participants in assemblies, or journalists covering assemblies, </w:t>
      </w:r>
      <w:r w:rsidR="00D53BF8">
        <w:rPr>
          <w:rFonts w:ascii="Arial Narrow" w:hAnsi="Arial Narrow"/>
        </w:rPr>
        <w:t>as a violation of their positive obligation to f</w:t>
      </w:r>
      <w:r w:rsidR="00BA0317">
        <w:rPr>
          <w:rFonts w:ascii="Arial Narrow" w:hAnsi="Arial Narrow"/>
        </w:rPr>
        <w:t>acilitate and protect the right of</w:t>
      </w:r>
      <w:r w:rsidR="00D53BF8">
        <w:rPr>
          <w:rFonts w:ascii="Arial Narrow" w:hAnsi="Arial Narrow"/>
        </w:rPr>
        <w:t xml:space="preserve"> peaceful assembly.</w:t>
      </w:r>
      <w:r w:rsidR="00D53BF8">
        <w:rPr>
          <w:rStyle w:val="FootnoteReference"/>
          <w:rFonts w:ascii="Arial Narrow" w:hAnsi="Arial Narrow"/>
        </w:rPr>
        <w:footnoteReference w:id="137"/>
      </w:r>
      <w:r w:rsidR="00D53BF8">
        <w:rPr>
          <w:rFonts w:ascii="Arial Narrow" w:hAnsi="Arial Narrow"/>
        </w:rPr>
        <w:t xml:space="preserve"> </w:t>
      </w:r>
      <w:r w:rsidR="00BA0317">
        <w:rPr>
          <w:rFonts w:ascii="Arial Narrow" w:hAnsi="Arial Narrow"/>
        </w:rPr>
        <w:t>The chilling or deterrent effect that violations of Article 21 of the ICCPR may have on the exercise of the right of peaceful assembly, also appears to be framed as a failure to facilitate.</w:t>
      </w:r>
      <w:r w:rsidR="00BA0317">
        <w:rPr>
          <w:rStyle w:val="FootnoteReference"/>
          <w:rFonts w:ascii="Arial Narrow" w:hAnsi="Arial Narrow"/>
        </w:rPr>
        <w:footnoteReference w:id="138"/>
      </w:r>
      <w:r w:rsidR="00BA0317">
        <w:rPr>
          <w:rFonts w:ascii="Arial Narrow" w:hAnsi="Arial Narrow"/>
        </w:rPr>
        <w:t xml:space="preserve"> </w:t>
      </w:r>
    </w:p>
    <w:p w14:paraId="52156A2E" w14:textId="57191CA9" w:rsidR="00917BB5" w:rsidRPr="00917BB5" w:rsidRDefault="00917BB5" w:rsidP="00917BB5">
      <w:pPr>
        <w:pStyle w:val="ListParagraph"/>
        <w:spacing w:after="0" w:line="276" w:lineRule="auto"/>
        <w:ind w:left="360"/>
        <w:jc w:val="both"/>
        <w:rPr>
          <w:rFonts w:ascii="Arial Narrow" w:hAnsi="Arial Narrow"/>
          <w:b/>
        </w:rPr>
      </w:pPr>
    </w:p>
    <w:p w14:paraId="34A2D30B" w14:textId="3611EAC3" w:rsidR="00917BB5" w:rsidRPr="00D53BF8" w:rsidRDefault="00917BB5" w:rsidP="00917BB5">
      <w:pPr>
        <w:pStyle w:val="ListParagraph"/>
        <w:numPr>
          <w:ilvl w:val="0"/>
          <w:numId w:val="1"/>
        </w:numPr>
        <w:spacing w:after="0" w:line="276" w:lineRule="auto"/>
        <w:jc w:val="both"/>
        <w:rPr>
          <w:rFonts w:ascii="Arial Narrow" w:hAnsi="Arial Narrow"/>
          <w:b/>
        </w:rPr>
      </w:pPr>
      <w:r>
        <w:rPr>
          <w:rFonts w:ascii="Arial Narrow" w:hAnsi="Arial Narrow"/>
        </w:rPr>
        <w:t>At the same time, General Comment No. 37 is an important opportunity to clarify what the duty to facilitate entails. ARTICLE 19 recommends Principle 11 of the Protest Principles,</w:t>
      </w:r>
      <w:r>
        <w:rPr>
          <w:rStyle w:val="FootnoteReference"/>
          <w:rFonts w:ascii="Arial Narrow" w:hAnsi="Arial Narrow"/>
        </w:rPr>
        <w:footnoteReference w:id="139"/>
      </w:r>
      <w:r>
        <w:rPr>
          <w:rFonts w:ascii="Arial Narrow" w:hAnsi="Arial Narrow"/>
        </w:rPr>
        <w:t xml:space="preserve"> which reflects regional standards and the recommendations of UN special procedures.</w:t>
      </w:r>
    </w:p>
    <w:p w14:paraId="35741EB2" w14:textId="77777777" w:rsidR="00D53BF8" w:rsidRPr="00D53BF8" w:rsidRDefault="00D53BF8" w:rsidP="00D53BF8">
      <w:pPr>
        <w:pStyle w:val="ListParagraph"/>
        <w:spacing w:after="0" w:line="276" w:lineRule="auto"/>
        <w:ind w:left="360"/>
        <w:jc w:val="both"/>
        <w:rPr>
          <w:rFonts w:ascii="Arial Narrow" w:hAnsi="Arial Narrow"/>
          <w:b/>
        </w:rPr>
      </w:pPr>
    </w:p>
    <w:p w14:paraId="5CD0F507" w14:textId="59045B1F" w:rsidR="000D5FD1" w:rsidRDefault="00917BB5" w:rsidP="005E0098">
      <w:pPr>
        <w:spacing w:after="0" w:line="276" w:lineRule="auto"/>
        <w:rPr>
          <w:rFonts w:ascii="Arial Narrow" w:hAnsi="Arial Narrow"/>
          <w:b/>
        </w:rPr>
      </w:pPr>
      <w:r>
        <w:rPr>
          <w:rFonts w:ascii="Arial Narrow" w:hAnsi="Arial Narrow"/>
          <w:b/>
        </w:rPr>
        <w:t>Hu</w:t>
      </w:r>
      <w:r w:rsidR="00A11D38">
        <w:rPr>
          <w:rFonts w:ascii="Arial Narrow" w:hAnsi="Arial Narrow"/>
          <w:b/>
        </w:rPr>
        <w:t>man rights approach to policing</w:t>
      </w:r>
      <w:r w:rsidR="00B94EAE" w:rsidRPr="003272B1">
        <w:rPr>
          <w:rStyle w:val="FootnoteReference"/>
          <w:rFonts w:ascii="Arial Narrow" w:hAnsi="Arial Narrow"/>
        </w:rPr>
        <w:footnoteReference w:id="140"/>
      </w:r>
    </w:p>
    <w:p w14:paraId="3B31C93C" w14:textId="0E16086E" w:rsidR="000D5FD1" w:rsidRPr="00B94EAE" w:rsidRDefault="00917BB5" w:rsidP="00B94EAE">
      <w:pPr>
        <w:pStyle w:val="ListParagraph"/>
        <w:numPr>
          <w:ilvl w:val="0"/>
          <w:numId w:val="1"/>
        </w:numPr>
        <w:spacing w:after="0" w:line="276" w:lineRule="auto"/>
        <w:jc w:val="both"/>
        <w:rPr>
          <w:rFonts w:ascii="Arial Narrow" w:hAnsi="Arial Narrow"/>
          <w:b/>
          <w:szCs w:val="18"/>
        </w:rPr>
      </w:pPr>
      <w:r>
        <w:rPr>
          <w:rFonts w:ascii="Arial Narrow" w:hAnsi="Arial Narrow" w:cs="Arial"/>
          <w:szCs w:val="18"/>
        </w:rPr>
        <w:lastRenderedPageBreak/>
        <w:t>The duty to facilitate implies that police must take a human rights approach to facilitating peaceful assemblies.</w:t>
      </w:r>
      <w:r w:rsidR="00B94EAE">
        <w:rPr>
          <w:rFonts w:ascii="Arial Narrow" w:hAnsi="Arial Narrow" w:cs="Arial"/>
          <w:szCs w:val="18"/>
        </w:rPr>
        <w:t xml:space="preserve"> </w:t>
      </w:r>
      <w:r w:rsidRPr="00B94EAE">
        <w:rPr>
          <w:rFonts w:ascii="Arial Narrow" w:hAnsi="Arial Narrow" w:cs="Arial"/>
          <w:szCs w:val="18"/>
        </w:rPr>
        <w:t>In their legislation and binding law enforcement regulations, States should elaborate clear and operationally focused rules on the policing of protests and make these available to the public. Policing of protests by law enforcement agencies should be guided by the human rights principles of legality, necessity, proportionality, and non-discrimination and should comply at all times with international human rights law and standards on policing, in particular the UN Code of Conduct for Law Enforcement Officials.</w:t>
      </w:r>
      <w:r>
        <w:rPr>
          <w:rStyle w:val="FootnoteReference"/>
          <w:rFonts w:ascii="Arial Narrow" w:hAnsi="Arial Narrow" w:cs="Arial"/>
          <w:szCs w:val="18"/>
        </w:rPr>
        <w:footnoteReference w:id="141"/>
      </w:r>
    </w:p>
    <w:p w14:paraId="7A241C16" w14:textId="77777777" w:rsidR="00917BB5" w:rsidRPr="00917BB5" w:rsidRDefault="00917BB5" w:rsidP="00917BB5">
      <w:pPr>
        <w:pStyle w:val="ListParagraph"/>
        <w:rPr>
          <w:rFonts w:ascii="Arial Narrow" w:hAnsi="Arial Narrow"/>
          <w:b/>
          <w:szCs w:val="18"/>
        </w:rPr>
      </w:pPr>
    </w:p>
    <w:p w14:paraId="61615BB6" w14:textId="6C0BB564" w:rsidR="00A11D38" w:rsidRPr="00A11D38" w:rsidRDefault="00917BB5" w:rsidP="00A11D38">
      <w:pPr>
        <w:pStyle w:val="ListParagraph"/>
        <w:numPr>
          <w:ilvl w:val="0"/>
          <w:numId w:val="1"/>
        </w:numPr>
        <w:spacing w:after="0" w:line="276" w:lineRule="auto"/>
        <w:jc w:val="both"/>
        <w:rPr>
          <w:rFonts w:ascii="Arial Narrow" w:hAnsi="Arial Narrow"/>
          <w:b/>
          <w:szCs w:val="18"/>
        </w:rPr>
      </w:pPr>
      <w:r>
        <w:rPr>
          <w:rFonts w:ascii="Arial Narrow" w:hAnsi="Arial Narrow"/>
          <w:szCs w:val="18"/>
        </w:rPr>
        <w:t>In particular, the Committee should emphasise that a human rights approach to policing requires:</w:t>
      </w:r>
    </w:p>
    <w:p w14:paraId="60FB4694" w14:textId="0CC7B7F0" w:rsidR="00917BB5" w:rsidRPr="00A11D38" w:rsidRDefault="00A11D38" w:rsidP="00A11D38">
      <w:pPr>
        <w:pStyle w:val="ListParagraph"/>
        <w:numPr>
          <w:ilvl w:val="0"/>
          <w:numId w:val="33"/>
        </w:numPr>
        <w:spacing w:after="0" w:line="276" w:lineRule="auto"/>
        <w:jc w:val="both"/>
        <w:rPr>
          <w:rFonts w:ascii="Arial Narrow" w:hAnsi="Arial Narrow"/>
          <w:b/>
          <w:szCs w:val="18"/>
        </w:rPr>
      </w:pPr>
      <w:r>
        <w:rPr>
          <w:rFonts w:ascii="Arial Narrow" w:hAnsi="Arial Narrow"/>
          <w:szCs w:val="18"/>
        </w:rPr>
        <w:t>Adequate training, including on human rights standards, in particular on techniques to de-escalate conflict, such as through negotiation and mediation;</w:t>
      </w:r>
      <w:r>
        <w:rPr>
          <w:rStyle w:val="FootnoteReference"/>
          <w:rFonts w:ascii="Arial Narrow" w:hAnsi="Arial Narrow"/>
          <w:szCs w:val="18"/>
        </w:rPr>
        <w:footnoteReference w:id="142"/>
      </w:r>
    </w:p>
    <w:p w14:paraId="3E9374C2" w14:textId="3D69E6D0" w:rsidR="00A11D38" w:rsidRPr="00A11D38" w:rsidRDefault="00A11D38" w:rsidP="00917BB5">
      <w:pPr>
        <w:pStyle w:val="ListParagraph"/>
        <w:numPr>
          <w:ilvl w:val="0"/>
          <w:numId w:val="32"/>
        </w:numPr>
        <w:spacing w:after="0" w:line="276" w:lineRule="auto"/>
        <w:jc w:val="both"/>
        <w:rPr>
          <w:rFonts w:ascii="Arial Narrow" w:hAnsi="Arial Narrow"/>
          <w:b/>
          <w:szCs w:val="18"/>
        </w:rPr>
      </w:pPr>
      <w:r>
        <w:rPr>
          <w:rFonts w:ascii="Arial Narrow" w:hAnsi="Arial Narrow"/>
          <w:szCs w:val="18"/>
        </w:rPr>
        <w:t>A dialogue and engagement based approach to interaction with organisers and participants in assemblies,</w:t>
      </w:r>
      <w:r>
        <w:rPr>
          <w:rStyle w:val="FootnoteReference"/>
          <w:rFonts w:ascii="Arial Narrow" w:hAnsi="Arial Narrow"/>
          <w:szCs w:val="18"/>
        </w:rPr>
        <w:footnoteReference w:id="143"/>
      </w:r>
      <w:r>
        <w:rPr>
          <w:rFonts w:ascii="Arial Narrow" w:hAnsi="Arial Narrow"/>
          <w:szCs w:val="18"/>
        </w:rPr>
        <w:t xml:space="preserve"> as well as clear communication to the public and media;</w:t>
      </w:r>
      <w:r>
        <w:rPr>
          <w:rStyle w:val="FootnoteReference"/>
          <w:rFonts w:ascii="Arial Narrow" w:hAnsi="Arial Narrow"/>
          <w:szCs w:val="18"/>
        </w:rPr>
        <w:footnoteReference w:id="144"/>
      </w:r>
    </w:p>
    <w:p w14:paraId="2267E98F" w14:textId="3528259D" w:rsidR="00A11D38" w:rsidRPr="00A11D38" w:rsidRDefault="00A11D38" w:rsidP="00917BB5">
      <w:pPr>
        <w:pStyle w:val="ListParagraph"/>
        <w:numPr>
          <w:ilvl w:val="0"/>
          <w:numId w:val="32"/>
        </w:numPr>
        <w:spacing w:after="0" w:line="276" w:lineRule="auto"/>
        <w:jc w:val="both"/>
        <w:rPr>
          <w:rFonts w:ascii="Arial Narrow" w:hAnsi="Arial Narrow"/>
          <w:b/>
          <w:szCs w:val="18"/>
        </w:rPr>
      </w:pPr>
      <w:r>
        <w:rPr>
          <w:rFonts w:ascii="Arial Narrow" w:hAnsi="Arial Narrow"/>
          <w:szCs w:val="18"/>
        </w:rPr>
        <w:t>Clear command structures as well as points of contact for the public within law enforcement;</w:t>
      </w:r>
      <w:r>
        <w:rPr>
          <w:rStyle w:val="FootnoteReference"/>
          <w:rFonts w:ascii="Arial Narrow" w:hAnsi="Arial Narrow"/>
          <w:szCs w:val="18"/>
        </w:rPr>
        <w:footnoteReference w:id="145"/>
      </w:r>
      <w:r>
        <w:rPr>
          <w:rFonts w:ascii="Arial Narrow" w:hAnsi="Arial Narrow"/>
          <w:szCs w:val="18"/>
        </w:rPr>
        <w:t xml:space="preserve"> </w:t>
      </w:r>
    </w:p>
    <w:p w14:paraId="4C2E47D1" w14:textId="2FB219D6" w:rsidR="00A37FC8" w:rsidRPr="00B94EAE" w:rsidRDefault="00A11D38" w:rsidP="005E0098">
      <w:pPr>
        <w:pStyle w:val="ListParagraph"/>
        <w:numPr>
          <w:ilvl w:val="0"/>
          <w:numId w:val="32"/>
        </w:numPr>
        <w:spacing w:after="0" w:line="276" w:lineRule="auto"/>
        <w:jc w:val="both"/>
        <w:rPr>
          <w:rFonts w:ascii="Arial Narrow" w:hAnsi="Arial Narrow"/>
          <w:b/>
          <w:szCs w:val="18"/>
        </w:rPr>
      </w:pPr>
      <w:r>
        <w:rPr>
          <w:rFonts w:ascii="Arial Narrow" w:hAnsi="Arial Narrow"/>
          <w:szCs w:val="18"/>
        </w:rPr>
        <w:t>Only wearing regular gear and uniforms, with protective equipment only worn where strictly necessary</w:t>
      </w:r>
      <w:r w:rsidR="00B94EAE">
        <w:rPr>
          <w:rFonts w:ascii="Arial Narrow" w:hAnsi="Arial Narrow"/>
          <w:szCs w:val="18"/>
        </w:rPr>
        <w:t>, ensuring the clear display of identifying information</w:t>
      </w:r>
      <w:r>
        <w:rPr>
          <w:rFonts w:ascii="Arial Narrow" w:hAnsi="Arial Narrow"/>
          <w:szCs w:val="18"/>
        </w:rPr>
        <w:t>;</w:t>
      </w:r>
      <w:r>
        <w:rPr>
          <w:rStyle w:val="FootnoteReference"/>
          <w:rFonts w:ascii="Arial Narrow" w:hAnsi="Arial Narrow"/>
          <w:szCs w:val="18"/>
        </w:rPr>
        <w:footnoteReference w:id="146"/>
      </w:r>
      <w:r>
        <w:rPr>
          <w:rFonts w:ascii="Arial Narrow" w:hAnsi="Arial Narrow"/>
          <w:szCs w:val="18"/>
        </w:rPr>
        <w:t xml:space="preserve"> </w:t>
      </w:r>
    </w:p>
    <w:p w14:paraId="693BEE32" w14:textId="0876F9D6" w:rsidR="00B94EAE" w:rsidRPr="00B94EAE" w:rsidRDefault="00B94EAE" w:rsidP="00B94EAE">
      <w:pPr>
        <w:spacing w:after="0" w:line="276" w:lineRule="auto"/>
        <w:jc w:val="both"/>
        <w:rPr>
          <w:rFonts w:ascii="Arial Narrow" w:hAnsi="Arial Narrow"/>
          <w:b/>
          <w:szCs w:val="18"/>
        </w:rPr>
      </w:pPr>
    </w:p>
    <w:p w14:paraId="1978EB32" w14:textId="1295CD87" w:rsidR="00A11D38" w:rsidRPr="003272B1" w:rsidRDefault="00A11D38" w:rsidP="005E0098">
      <w:pPr>
        <w:spacing w:after="0" w:line="276" w:lineRule="auto"/>
        <w:rPr>
          <w:rFonts w:ascii="Arial Narrow" w:hAnsi="Arial Narrow"/>
        </w:rPr>
      </w:pPr>
      <w:r>
        <w:rPr>
          <w:rFonts w:ascii="Arial Narrow" w:hAnsi="Arial Narrow"/>
          <w:b/>
        </w:rPr>
        <w:t>Dispersal and crowd control</w:t>
      </w:r>
      <w:r w:rsidR="003272B1" w:rsidRPr="003272B1">
        <w:rPr>
          <w:rStyle w:val="FootnoteReference"/>
          <w:rFonts w:ascii="Arial Narrow" w:hAnsi="Arial Narrow"/>
        </w:rPr>
        <w:footnoteReference w:id="147"/>
      </w:r>
    </w:p>
    <w:p w14:paraId="360EFC5C" w14:textId="2CE76655" w:rsidR="003272B1" w:rsidRPr="003272B1" w:rsidRDefault="003272B1" w:rsidP="003272B1">
      <w:pPr>
        <w:pStyle w:val="ListParagraph"/>
        <w:numPr>
          <w:ilvl w:val="0"/>
          <w:numId w:val="1"/>
        </w:numPr>
        <w:spacing w:after="0" w:line="276" w:lineRule="auto"/>
        <w:jc w:val="both"/>
        <w:rPr>
          <w:rFonts w:ascii="Arial Narrow" w:hAnsi="Arial Narrow"/>
          <w:b/>
          <w:szCs w:val="18"/>
        </w:rPr>
      </w:pPr>
      <w:r>
        <w:rPr>
          <w:rFonts w:ascii="Arial Narrow" w:hAnsi="Arial Narrow"/>
          <w:szCs w:val="18"/>
        </w:rPr>
        <w:t>The HR Committee has frequently raised concerns with measures taken by States to disperse assemblies in circumstances that are not necessary or proportionate.</w:t>
      </w:r>
      <w:r w:rsidR="00200AAD">
        <w:rPr>
          <w:rStyle w:val="FootnoteReference"/>
          <w:rFonts w:ascii="Arial Narrow" w:hAnsi="Arial Narrow"/>
          <w:szCs w:val="18"/>
        </w:rPr>
        <w:footnoteReference w:id="148"/>
      </w:r>
      <w:r>
        <w:rPr>
          <w:rFonts w:ascii="Arial Narrow" w:hAnsi="Arial Narrow"/>
          <w:szCs w:val="18"/>
        </w:rPr>
        <w:t xml:space="preserve"> </w:t>
      </w:r>
    </w:p>
    <w:p w14:paraId="0D470B6C" w14:textId="77777777" w:rsidR="003272B1" w:rsidRPr="003272B1" w:rsidRDefault="003272B1" w:rsidP="003272B1">
      <w:pPr>
        <w:pStyle w:val="ListParagraph"/>
        <w:spacing w:after="0" w:line="276" w:lineRule="auto"/>
        <w:ind w:left="360"/>
        <w:rPr>
          <w:rFonts w:ascii="Arial Narrow" w:hAnsi="Arial Narrow"/>
          <w:b/>
          <w:szCs w:val="18"/>
        </w:rPr>
      </w:pPr>
    </w:p>
    <w:p w14:paraId="7A0234D5" w14:textId="35260BA1" w:rsidR="00B94EAE" w:rsidRPr="00B94EAE" w:rsidRDefault="003272B1" w:rsidP="00B94EAE">
      <w:pPr>
        <w:pStyle w:val="ListParagraph"/>
        <w:numPr>
          <w:ilvl w:val="0"/>
          <w:numId w:val="1"/>
        </w:numPr>
        <w:spacing w:after="0" w:line="276" w:lineRule="auto"/>
        <w:rPr>
          <w:rFonts w:ascii="Arial Narrow" w:hAnsi="Arial Narrow"/>
          <w:b/>
          <w:szCs w:val="18"/>
        </w:rPr>
      </w:pPr>
      <w:r>
        <w:rPr>
          <w:rFonts w:ascii="Arial Narrow" w:hAnsi="Arial Narrow" w:cs="Arial"/>
          <w:szCs w:val="18"/>
        </w:rPr>
        <w:t>A number of principles could be developed to respond to these concerns in General Comment No. 37</w:t>
      </w:r>
      <w:r w:rsidR="00B603CB">
        <w:rPr>
          <w:rFonts w:ascii="Arial Narrow" w:hAnsi="Arial Narrow" w:cs="Arial"/>
          <w:szCs w:val="18"/>
        </w:rPr>
        <w:t>, drawing upon the guidance of UN special procedures, as well as commitments made by States at the UN Human Rights Council</w:t>
      </w:r>
      <w:r>
        <w:rPr>
          <w:rFonts w:ascii="Arial Narrow" w:hAnsi="Arial Narrow" w:cs="Arial"/>
          <w:szCs w:val="18"/>
        </w:rPr>
        <w:t>.</w:t>
      </w:r>
      <w:r w:rsidR="00B603CB">
        <w:rPr>
          <w:rStyle w:val="FootnoteReference"/>
          <w:rFonts w:ascii="Arial Narrow" w:hAnsi="Arial Narrow" w:cs="Arial"/>
          <w:szCs w:val="18"/>
        </w:rPr>
        <w:footnoteReference w:id="149"/>
      </w:r>
      <w:r>
        <w:rPr>
          <w:rFonts w:ascii="Arial Narrow" w:hAnsi="Arial Narrow" w:cs="Arial"/>
          <w:szCs w:val="18"/>
        </w:rPr>
        <w:t xml:space="preserve"> </w:t>
      </w:r>
      <w:r w:rsidR="00B94EAE" w:rsidRPr="00B94EAE">
        <w:rPr>
          <w:rFonts w:ascii="Arial Narrow" w:hAnsi="Arial Narrow" w:cs="Arial"/>
          <w:szCs w:val="18"/>
        </w:rPr>
        <w:t>Decisions to disperse protests should be taken as a last resort in accordance with the principles of necessity and proportionality and should be ordered by a competent authority only if an imminent threat of violence outweighs the right to protest; in particular:</w:t>
      </w:r>
      <w:r w:rsidR="00B94EAE">
        <w:rPr>
          <w:rStyle w:val="FootnoteReference"/>
          <w:rFonts w:ascii="Arial Narrow" w:hAnsi="Arial Narrow" w:cs="Arial"/>
          <w:szCs w:val="18"/>
        </w:rPr>
        <w:footnoteReference w:id="150"/>
      </w:r>
    </w:p>
    <w:p w14:paraId="7F9CB000" w14:textId="60D4A862" w:rsidR="00B94EAE" w:rsidRPr="00B94EAE" w:rsidRDefault="00B94EAE" w:rsidP="00B94EAE">
      <w:pPr>
        <w:pStyle w:val="ListParagraph"/>
        <w:numPr>
          <w:ilvl w:val="0"/>
          <w:numId w:val="34"/>
        </w:numPr>
        <w:spacing w:after="0" w:line="276" w:lineRule="auto"/>
        <w:rPr>
          <w:rFonts w:ascii="Arial Narrow" w:hAnsi="Arial Narrow"/>
          <w:b/>
          <w:szCs w:val="18"/>
        </w:rPr>
      </w:pPr>
      <w:r w:rsidRPr="00B94EAE">
        <w:rPr>
          <w:rFonts w:ascii="Arial Narrow" w:hAnsi="Arial Narrow" w:cs="Arial"/>
          <w:szCs w:val="18"/>
        </w:rPr>
        <w:t>Dispersals should never be ordered due to non-compliance with prior notification requirements (if such requirements exist), or failure to comply with other illegitimate prior restrictions on protest</w:t>
      </w:r>
      <w:r>
        <w:rPr>
          <w:rFonts w:ascii="Arial Narrow" w:hAnsi="Arial Narrow" w:cs="Arial"/>
          <w:szCs w:val="18"/>
        </w:rPr>
        <w:t>;</w:t>
      </w:r>
      <w:r w:rsidR="00200AAD">
        <w:rPr>
          <w:rStyle w:val="FootnoteReference"/>
          <w:rFonts w:ascii="Arial Narrow" w:hAnsi="Arial Narrow" w:cs="Arial"/>
          <w:szCs w:val="18"/>
        </w:rPr>
        <w:footnoteReference w:id="151"/>
      </w:r>
    </w:p>
    <w:p w14:paraId="57C43AC9" w14:textId="5A4FEF01" w:rsidR="00B94EAE" w:rsidRPr="00B94EAE" w:rsidRDefault="00B94EAE" w:rsidP="00B94EAE">
      <w:pPr>
        <w:pStyle w:val="ListParagraph"/>
        <w:numPr>
          <w:ilvl w:val="0"/>
          <w:numId w:val="34"/>
        </w:numPr>
        <w:spacing w:after="0" w:line="276" w:lineRule="auto"/>
        <w:rPr>
          <w:rFonts w:ascii="Arial Narrow" w:hAnsi="Arial Narrow"/>
          <w:b/>
          <w:szCs w:val="18"/>
        </w:rPr>
      </w:pPr>
      <w:r w:rsidRPr="00B94EAE">
        <w:rPr>
          <w:rFonts w:ascii="Arial Narrow" w:hAnsi="Arial Narrow" w:cs="Arial"/>
          <w:szCs w:val="18"/>
        </w:rPr>
        <w:t>Isolated or sporadic acts of violence by individuals within a protest shall not justify the dispersal of a protest</w:t>
      </w:r>
      <w:r w:rsidR="00200AAD">
        <w:rPr>
          <w:rFonts w:ascii="Arial Narrow" w:hAnsi="Arial Narrow" w:cs="Arial"/>
          <w:szCs w:val="18"/>
        </w:rPr>
        <w:t>;</w:t>
      </w:r>
    </w:p>
    <w:p w14:paraId="018BFF9E" w14:textId="78F222EE" w:rsidR="00A11D38" w:rsidRPr="00B94EAE" w:rsidRDefault="00B94EAE" w:rsidP="00B94EAE">
      <w:pPr>
        <w:pStyle w:val="ListParagraph"/>
        <w:numPr>
          <w:ilvl w:val="0"/>
          <w:numId w:val="34"/>
        </w:numPr>
        <w:spacing w:after="0" w:line="276" w:lineRule="auto"/>
        <w:rPr>
          <w:rFonts w:ascii="Arial Narrow" w:hAnsi="Arial Narrow"/>
          <w:b/>
          <w:szCs w:val="18"/>
        </w:rPr>
      </w:pPr>
      <w:r w:rsidRPr="00B94EAE">
        <w:rPr>
          <w:rFonts w:ascii="Arial Narrow" w:hAnsi="Arial Narrow" w:cs="Arial"/>
          <w:szCs w:val="18"/>
        </w:rPr>
        <w:t>Law enforcement officers should be obliged to clearly communicate and explain orders to disperse, so as to obtain, as far as possible, the understanding and compliance of protesters; protesters must be given sufficient time to disperse before there is any recourse to coercive means</w:t>
      </w:r>
      <w:r w:rsidR="00200AAD">
        <w:rPr>
          <w:rFonts w:ascii="Arial Narrow" w:hAnsi="Arial Narrow" w:cs="Arial"/>
          <w:szCs w:val="18"/>
        </w:rPr>
        <w:t>.</w:t>
      </w:r>
      <w:r w:rsidR="00200AAD">
        <w:rPr>
          <w:rStyle w:val="FootnoteReference"/>
          <w:rFonts w:ascii="Arial Narrow" w:hAnsi="Arial Narrow" w:cs="Arial"/>
          <w:szCs w:val="18"/>
        </w:rPr>
        <w:footnoteReference w:id="152"/>
      </w:r>
    </w:p>
    <w:p w14:paraId="23D5E735" w14:textId="68199A32" w:rsidR="00B94EAE" w:rsidRPr="003272B1" w:rsidRDefault="00B94EAE" w:rsidP="00B94EAE">
      <w:pPr>
        <w:pStyle w:val="ListParagraph"/>
        <w:spacing w:after="0" w:line="276" w:lineRule="auto"/>
        <w:ind w:left="360"/>
        <w:rPr>
          <w:rFonts w:ascii="Arial Narrow" w:hAnsi="Arial Narrow"/>
          <w:b/>
        </w:rPr>
      </w:pPr>
    </w:p>
    <w:p w14:paraId="13B038F2" w14:textId="760EC3C5" w:rsidR="00D5409F" w:rsidRPr="00D5409F" w:rsidRDefault="003272B1" w:rsidP="00B94EAE">
      <w:pPr>
        <w:pStyle w:val="ListParagraph"/>
        <w:numPr>
          <w:ilvl w:val="0"/>
          <w:numId w:val="1"/>
        </w:numPr>
        <w:spacing w:after="0" w:line="276" w:lineRule="auto"/>
        <w:rPr>
          <w:rFonts w:ascii="Arial Narrow" w:hAnsi="Arial Narrow"/>
          <w:b/>
        </w:rPr>
      </w:pPr>
      <w:r w:rsidRPr="003272B1">
        <w:rPr>
          <w:rFonts w:ascii="Arial Narrow" w:hAnsi="Arial Narrow" w:cs="Arial"/>
        </w:rPr>
        <w:lastRenderedPageBreak/>
        <w:t>Crowd-control strategies that temporarily deprive specific individuals of their freedom of movement</w:t>
      </w:r>
      <w:r>
        <w:rPr>
          <w:rFonts w:ascii="Arial Narrow" w:hAnsi="Arial Narrow" w:cs="Arial"/>
        </w:rPr>
        <w:t xml:space="preserve"> (e.g. such as “kettling”)</w:t>
      </w:r>
      <w:r w:rsidRPr="003272B1">
        <w:rPr>
          <w:rFonts w:ascii="Arial Narrow" w:hAnsi="Arial Narrow" w:cs="Arial"/>
        </w:rPr>
        <w:t xml:space="preserve"> should be used exceptionally and only if law enforcement officers have reasonable grounds to believe that the specific individuals being contained are liable to cause violence or serious disturbances elsewhere. </w:t>
      </w:r>
      <w:r w:rsidR="00D5409F">
        <w:rPr>
          <w:rFonts w:ascii="Arial Narrow" w:hAnsi="Arial Narrow" w:cs="Arial"/>
        </w:rPr>
        <w:t>In his country-visit to the United Kingdom, the UN Special Rapporteur raised specific concerns around the compatibility of such practices with international human rights law, including in relation to Article 21 of the ICCPR</w:t>
      </w:r>
      <w:r w:rsidR="00B603CB">
        <w:rPr>
          <w:rFonts w:ascii="Arial Narrow" w:hAnsi="Arial Narrow" w:cs="Arial"/>
        </w:rPr>
        <w:t>, and called for an end to them</w:t>
      </w:r>
      <w:r w:rsidR="00D5409F">
        <w:rPr>
          <w:rFonts w:ascii="Arial Narrow" w:hAnsi="Arial Narrow" w:cs="Arial"/>
        </w:rPr>
        <w:t>.</w:t>
      </w:r>
      <w:r w:rsidR="00D5409F">
        <w:rPr>
          <w:rStyle w:val="FootnoteReference"/>
          <w:rFonts w:ascii="Arial Narrow" w:hAnsi="Arial Narrow" w:cs="Arial"/>
        </w:rPr>
        <w:footnoteReference w:id="153"/>
      </w:r>
    </w:p>
    <w:p w14:paraId="6CC1CF76" w14:textId="77777777" w:rsidR="00D5409F" w:rsidRPr="00D5409F" w:rsidRDefault="00D5409F" w:rsidP="00D5409F">
      <w:pPr>
        <w:pStyle w:val="ListParagraph"/>
        <w:spacing w:after="0" w:line="276" w:lineRule="auto"/>
        <w:ind w:left="360"/>
        <w:rPr>
          <w:rFonts w:ascii="Arial Narrow" w:hAnsi="Arial Narrow"/>
          <w:b/>
        </w:rPr>
      </w:pPr>
    </w:p>
    <w:p w14:paraId="34DD2071" w14:textId="5D4CF78D" w:rsidR="003272B1" w:rsidRPr="003272B1" w:rsidRDefault="003272B1" w:rsidP="00B94EAE">
      <w:pPr>
        <w:pStyle w:val="ListParagraph"/>
        <w:numPr>
          <w:ilvl w:val="0"/>
          <w:numId w:val="1"/>
        </w:numPr>
        <w:spacing w:after="0" w:line="276" w:lineRule="auto"/>
        <w:rPr>
          <w:rFonts w:ascii="Arial Narrow" w:hAnsi="Arial Narrow"/>
          <w:b/>
        </w:rPr>
      </w:pPr>
      <w:r w:rsidRPr="003272B1">
        <w:rPr>
          <w:rFonts w:ascii="Arial Narrow" w:hAnsi="Arial Narrow" w:cs="Arial"/>
        </w:rPr>
        <w:t>Such strategies should only be used as a form of extremely limited and temporary crowd-control, where other means of achieving the same aim have been exhausted, and only for as long as is absolutely necessary. In the exceptional cases where containment can be deployed, the police should moderate the impact of the measure by ensuring:</w:t>
      </w:r>
      <w:r>
        <w:rPr>
          <w:rStyle w:val="FootnoteReference"/>
          <w:rFonts w:ascii="Arial Narrow" w:hAnsi="Arial Narrow" w:cs="Arial"/>
        </w:rPr>
        <w:footnoteReference w:id="154"/>
      </w:r>
    </w:p>
    <w:p w14:paraId="54175B40" w14:textId="77777777" w:rsidR="003272B1" w:rsidRPr="003272B1" w:rsidRDefault="003272B1" w:rsidP="003272B1">
      <w:pPr>
        <w:pStyle w:val="ListParagraph"/>
        <w:numPr>
          <w:ilvl w:val="0"/>
          <w:numId w:val="35"/>
        </w:numPr>
        <w:spacing w:after="0" w:line="276" w:lineRule="auto"/>
        <w:rPr>
          <w:rFonts w:ascii="Arial Narrow" w:hAnsi="Arial Narrow"/>
          <w:b/>
        </w:rPr>
      </w:pPr>
      <w:r w:rsidRPr="003272B1">
        <w:rPr>
          <w:rFonts w:ascii="Arial Narrow" w:hAnsi="Arial Narrow" w:cs="Arial"/>
        </w:rPr>
        <w:t>Easy access to information for protesters and the public regarding the reason for, anticipated duration of, and exit routes from, any police containment;</w:t>
      </w:r>
    </w:p>
    <w:p w14:paraId="0C7298D4" w14:textId="6246898A" w:rsidR="003272B1" w:rsidRPr="003272B1" w:rsidRDefault="003272B1" w:rsidP="003272B1">
      <w:pPr>
        <w:pStyle w:val="ListParagraph"/>
        <w:numPr>
          <w:ilvl w:val="0"/>
          <w:numId w:val="35"/>
        </w:numPr>
        <w:spacing w:after="0" w:line="276" w:lineRule="auto"/>
        <w:rPr>
          <w:rFonts w:ascii="Arial Narrow" w:hAnsi="Arial Narrow"/>
          <w:b/>
        </w:rPr>
      </w:pPr>
      <w:r w:rsidRPr="003272B1">
        <w:rPr>
          <w:rFonts w:ascii="Arial Narrow" w:hAnsi="Arial Narrow" w:cs="Arial"/>
        </w:rPr>
        <w:t>Clear signposting to basic facilities and amenities</w:t>
      </w:r>
      <w:r w:rsidRPr="003272B1">
        <w:rPr>
          <w:rFonts w:ascii="Arial Narrow" w:hAnsi="Arial Narrow" w:cs="Arial"/>
        </w:rPr>
        <w:t>;</w:t>
      </w:r>
    </w:p>
    <w:p w14:paraId="0E077211" w14:textId="77777777" w:rsidR="003272B1" w:rsidRPr="003272B1" w:rsidRDefault="003272B1" w:rsidP="003272B1">
      <w:pPr>
        <w:pStyle w:val="ListParagraph"/>
        <w:numPr>
          <w:ilvl w:val="0"/>
          <w:numId w:val="35"/>
        </w:numPr>
        <w:spacing w:after="0" w:line="276" w:lineRule="auto"/>
        <w:rPr>
          <w:rFonts w:ascii="Arial Narrow" w:hAnsi="Arial Narrow"/>
          <w:b/>
        </w:rPr>
      </w:pPr>
      <w:r w:rsidRPr="003272B1">
        <w:rPr>
          <w:rFonts w:ascii="Arial Narrow" w:hAnsi="Arial Narrow" w:cs="Arial"/>
        </w:rPr>
        <w:t>Immediate access to the emergency services, as well as to state and non-state providers of first aid and other forms of assistance and care;</w:t>
      </w:r>
    </w:p>
    <w:p w14:paraId="0EFAF951" w14:textId="73F5E88D" w:rsidR="00B94EAE" w:rsidRPr="003272B1" w:rsidRDefault="003272B1" w:rsidP="003272B1">
      <w:pPr>
        <w:pStyle w:val="ListParagraph"/>
        <w:numPr>
          <w:ilvl w:val="0"/>
          <w:numId w:val="35"/>
        </w:numPr>
        <w:spacing w:after="0" w:line="276" w:lineRule="auto"/>
        <w:rPr>
          <w:rFonts w:ascii="Arial Narrow" w:hAnsi="Arial Narrow"/>
          <w:b/>
        </w:rPr>
      </w:pPr>
      <w:r w:rsidRPr="003272B1">
        <w:rPr>
          <w:rFonts w:ascii="Arial Narrow" w:hAnsi="Arial Narrow" w:cs="Arial"/>
        </w:rPr>
        <w:t>Non-violent protesters and bystanders trapped as a result of the strategy, as well as vulnerable or distressed persons, are able to leave</w:t>
      </w:r>
      <w:r w:rsidRPr="003272B1">
        <w:rPr>
          <w:rFonts w:ascii="Arial Narrow" w:hAnsi="Arial Narrow" w:cs="Arial"/>
        </w:rPr>
        <w:t>.</w:t>
      </w:r>
    </w:p>
    <w:p w14:paraId="5F4A60E1" w14:textId="378DAA58" w:rsidR="00A11D38" w:rsidRDefault="00A11D38" w:rsidP="005E0098">
      <w:pPr>
        <w:spacing w:after="0" w:line="276" w:lineRule="auto"/>
        <w:rPr>
          <w:rFonts w:ascii="Arial Narrow" w:hAnsi="Arial Narrow"/>
          <w:b/>
        </w:rPr>
      </w:pPr>
    </w:p>
    <w:p w14:paraId="50CCBC99" w14:textId="6E73FD1B" w:rsidR="00A11D38" w:rsidRDefault="00A11D38" w:rsidP="005E0098">
      <w:pPr>
        <w:spacing w:after="0" w:line="276" w:lineRule="auto"/>
        <w:rPr>
          <w:rFonts w:ascii="Arial Narrow" w:hAnsi="Arial Narrow"/>
          <w:b/>
        </w:rPr>
      </w:pPr>
      <w:r>
        <w:rPr>
          <w:rFonts w:ascii="Arial Narrow" w:hAnsi="Arial Narrow"/>
          <w:b/>
        </w:rPr>
        <w:t>Use of force</w:t>
      </w:r>
    </w:p>
    <w:p w14:paraId="43D66278" w14:textId="53BBD61E" w:rsidR="00F7596D" w:rsidRPr="00AB4658" w:rsidRDefault="00441D7C" w:rsidP="00AB4658">
      <w:pPr>
        <w:pStyle w:val="ListParagraph"/>
        <w:numPr>
          <w:ilvl w:val="0"/>
          <w:numId w:val="1"/>
        </w:numPr>
        <w:spacing w:after="0" w:line="276" w:lineRule="auto"/>
        <w:jc w:val="both"/>
        <w:rPr>
          <w:rFonts w:ascii="Arial Narrow" w:hAnsi="Arial Narrow"/>
        </w:rPr>
      </w:pPr>
      <w:r w:rsidRPr="00AB4658">
        <w:rPr>
          <w:rFonts w:ascii="Arial Narrow" w:hAnsi="Arial Narrow"/>
        </w:rPr>
        <w:t xml:space="preserve">ARTICLE 19 notes that the </w:t>
      </w:r>
      <w:r w:rsidR="00D5409F" w:rsidRPr="00AB4658">
        <w:rPr>
          <w:rFonts w:ascii="Arial Narrow" w:hAnsi="Arial Narrow"/>
        </w:rPr>
        <w:t xml:space="preserve">Committee has repeatedly raised concerns at State authorities’ excessive use of force at protests, in violation of Article 21 of the ICCPR, as well as other rights under the Covenant. </w:t>
      </w:r>
    </w:p>
    <w:p w14:paraId="15DD219E" w14:textId="77777777" w:rsidR="00F7596D" w:rsidRDefault="00F7596D" w:rsidP="00D5409F">
      <w:pPr>
        <w:spacing w:after="0" w:line="276" w:lineRule="auto"/>
        <w:jc w:val="both"/>
        <w:rPr>
          <w:rFonts w:ascii="Arial Narrow" w:hAnsi="Arial Narrow"/>
        </w:rPr>
      </w:pPr>
    </w:p>
    <w:p w14:paraId="1E79F161" w14:textId="7B3D2900" w:rsidR="00D5409F" w:rsidRPr="00AB4658" w:rsidRDefault="00D5409F" w:rsidP="00AB4658">
      <w:pPr>
        <w:pStyle w:val="ListParagraph"/>
        <w:numPr>
          <w:ilvl w:val="0"/>
          <w:numId w:val="1"/>
        </w:numPr>
        <w:spacing w:after="0" w:line="276" w:lineRule="auto"/>
        <w:jc w:val="both"/>
        <w:rPr>
          <w:rFonts w:ascii="Arial Narrow" w:hAnsi="Arial Narrow"/>
        </w:rPr>
      </w:pPr>
      <w:r w:rsidRPr="00AB4658">
        <w:rPr>
          <w:rFonts w:ascii="Arial Narrow" w:hAnsi="Arial Narrow" w:cs="Calibri"/>
        </w:rPr>
        <w:t xml:space="preserve">Concluding Observations often reference the </w:t>
      </w:r>
      <w:r w:rsidRPr="00AB4658">
        <w:rPr>
          <w:rFonts w:ascii="Arial Narrow" w:hAnsi="Arial Narrow" w:cs="Calibri"/>
        </w:rPr>
        <w:t>UN Basic Principles on the Use of Force and Firearms by Law Enforcement Officials (UN Basic Principles)</w:t>
      </w:r>
      <w:r w:rsidRPr="00AB4658">
        <w:rPr>
          <w:rFonts w:ascii="Arial Narrow" w:hAnsi="Arial Narrow" w:cs="Calibri"/>
        </w:rPr>
        <w:t>,</w:t>
      </w:r>
      <w:r w:rsidRPr="00D5409F">
        <w:rPr>
          <w:vertAlign w:val="superscript"/>
        </w:rPr>
        <w:footnoteReference w:id="155"/>
      </w:r>
      <w:r w:rsidRPr="00AB4658">
        <w:rPr>
          <w:rFonts w:ascii="Arial Narrow" w:hAnsi="Arial Narrow" w:cs="Calibri"/>
        </w:rPr>
        <w:t xml:space="preserve"> and the UN Code of Conduc</w:t>
      </w:r>
      <w:r w:rsidRPr="00AB4658">
        <w:rPr>
          <w:rFonts w:ascii="Arial Narrow" w:hAnsi="Arial Narrow" w:cs="Calibri"/>
        </w:rPr>
        <w:t>t for Law Enforcement Officials.</w:t>
      </w:r>
      <w:r w:rsidRPr="00D5409F">
        <w:rPr>
          <w:vertAlign w:val="superscript"/>
        </w:rPr>
        <w:footnoteReference w:id="156"/>
      </w:r>
      <w:r w:rsidRPr="00AB4658">
        <w:rPr>
          <w:rFonts w:ascii="Arial Narrow" w:hAnsi="Arial Narrow" w:cs="Calibri"/>
        </w:rPr>
        <w:t xml:space="preserve"> These standards have been supplemented more recently through contrib</w:t>
      </w:r>
      <w:r w:rsidR="00B603CB" w:rsidRPr="00AB4658">
        <w:rPr>
          <w:rFonts w:ascii="Arial Narrow" w:hAnsi="Arial Narrow" w:cs="Calibri"/>
        </w:rPr>
        <w:t>utions of UN special procedures,</w:t>
      </w:r>
      <w:r w:rsidRPr="00B603CB">
        <w:rPr>
          <w:rStyle w:val="FootnoteReference"/>
          <w:rFonts w:ascii="Arial Narrow" w:hAnsi="Arial Narrow" w:cs="Calibri"/>
        </w:rPr>
        <w:footnoteReference w:id="157"/>
      </w:r>
      <w:r w:rsidR="00B603CB" w:rsidRPr="00AB4658">
        <w:rPr>
          <w:rFonts w:ascii="Arial Narrow" w:hAnsi="Arial Narrow" w:cs="Calibri"/>
        </w:rPr>
        <w:t xml:space="preserve"> as well as through </w:t>
      </w:r>
      <w:r w:rsidR="00B603CB" w:rsidRPr="00AB4658">
        <w:rPr>
          <w:rFonts w:ascii="Arial Narrow" w:hAnsi="Arial Narrow"/>
        </w:rPr>
        <w:t>a r</w:t>
      </w:r>
      <w:r w:rsidR="00B603CB" w:rsidRPr="00AB4658">
        <w:rPr>
          <w:rFonts w:ascii="Arial Narrow" w:hAnsi="Arial Narrow" w:cs="Arial"/>
        </w:rPr>
        <w:t xml:space="preserve">esource book on the use of </w:t>
      </w:r>
      <w:r w:rsidR="00B603CB" w:rsidRPr="00AB4658">
        <w:rPr>
          <w:rStyle w:val="highlight"/>
          <w:rFonts w:ascii="Arial Narrow" w:hAnsi="Arial Narrow" w:cs="Arial"/>
        </w:rPr>
        <w:t>force</w:t>
      </w:r>
      <w:r w:rsidR="00B603CB" w:rsidRPr="00AB4658">
        <w:rPr>
          <w:rFonts w:ascii="Arial Narrow" w:hAnsi="Arial Narrow" w:cs="Arial"/>
        </w:rPr>
        <w:t xml:space="preserve"> and firearms in law en</w:t>
      </w:r>
      <w:r w:rsidR="00B603CB" w:rsidRPr="00AB4658">
        <w:rPr>
          <w:rStyle w:val="highlight"/>
          <w:rFonts w:ascii="Arial Narrow" w:hAnsi="Arial Narrow" w:cs="Arial"/>
        </w:rPr>
        <w:t>force</w:t>
      </w:r>
      <w:r w:rsidR="00B603CB" w:rsidRPr="00AB4658">
        <w:rPr>
          <w:rFonts w:ascii="Arial Narrow" w:hAnsi="Arial Narrow" w:cs="Arial"/>
        </w:rPr>
        <w:t xml:space="preserve">ment published by the Office of the United Nations High Commissioner for Human Rights and the United Nations Office on Drugs and Crime, and </w:t>
      </w:r>
      <w:r w:rsidR="00B603CB" w:rsidRPr="00AB4658">
        <w:rPr>
          <w:rFonts w:ascii="Arial Narrow" w:hAnsi="Arial Narrow" w:cs="Arial"/>
        </w:rPr>
        <w:t>an</w:t>
      </w:r>
      <w:r w:rsidR="00B603CB" w:rsidRPr="00AB4658">
        <w:rPr>
          <w:rFonts w:ascii="Arial Narrow" w:hAnsi="Arial Narrow" w:cs="Arial"/>
        </w:rPr>
        <w:t xml:space="preserve"> updated training</w:t>
      </w:r>
      <w:r w:rsidR="00B603CB" w:rsidRPr="00AB4658">
        <w:rPr>
          <w:rFonts w:ascii="Arial Narrow" w:hAnsi="Arial Narrow" w:cs="Arial"/>
        </w:rPr>
        <w:t xml:space="preserve"> </w:t>
      </w:r>
      <w:r w:rsidR="00B603CB" w:rsidRPr="00AB4658">
        <w:rPr>
          <w:rFonts w:ascii="Arial Narrow" w:hAnsi="Arial Narrow" w:cs="Arial"/>
        </w:rPr>
        <w:t>package of the Office of the High Commissioner on human rights law and law en</w:t>
      </w:r>
      <w:r w:rsidR="00B603CB" w:rsidRPr="00AB4658">
        <w:rPr>
          <w:rStyle w:val="highlight"/>
          <w:rFonts w:ascii="Arial Narrow" w:hAnsi="Arial Narrow" w:cs="Arial"/>
        </w:rPr>
        <w:t>force</w:t>
      </w:r>
      <w:r w:rsidR="00B603CB" w:rsidRPr="00AB4658">
        <w:rPr>
          <w:rFonts w:ascii="Arial Narrow" w:hAnsi="Arial Narrow" w:cs="Arial"/>
        </w:rPr>
        <w:t>ment</w:t>
      </w:r>
      <w:r w:rsidR="00B603CB" w:rsidRPr="00AB4658">
        <w:rPr>
          <w:rFonts w:ascii="Arial Narrow" w:hAnsi="Arial Narrow" w:cs="Arial"/>
        </w:rPr>
        <w:t>.</w:t>
      </w:r>
      <w:r w:rsidR="00B603CB">
        <w:rPr>
          <w:rStyle w:val="FootnoteReference"/>
          <w:rFonts w:ascii="Arial Narrow" w:hAnsi="Arial Narrow" w:cs="Arial"/>
        </w:rPr>
        <w:footnoteReference w:id="158"/>
      </w:r>
      <w:r w:rsidR="00F7596D" w:rsidRPr="00AB4658">
        <w:rPr>
          <w:rFonts w:ascii="Arial Narrow" w:hAnsi="Arial Narrow" w:cs="Arial"/>
        </w:rPr>
        <w:t xml:space="preserve"> These materials should all inform the development of General Comment No. 37. </w:t>
      </w:r>
    </w:p>
    <w:p w14:paraId="3CB34A26" w14:textId="77777777" w:rsidR="00AB4658" w:rsidRPr="00AB4658" w:rsidRDefault="00AB4658" w:rsidP="00AB4658">
      <w:pPr>
        <w:pStyle w:val="ListParagraph"/>
        <w:rPr>
          <w:rFonts w:ascii="Arial Narrow" w:hAnsi="Arial Narrow"/>
        </w:rPr>
      </w:pPr>
    </w:p>
    <w:p w14:paraId="69DBA294" w14:textId="1C086DE7" w:rsidR="00D96FEC" w:rsidRPr="00D96FEC" w:rsidRDefault="00D96FEC" w:rsidP="00D96FEC">
      <w:pPr>
        <w:pStyle w:val="ListParagraph"/>
        <w:numPr>
          <w:ilvl w:val="0"/>
          <w:numId w:val="1"/>
        </w:numPr>
        <w:spacing w:after="0" w:line="276" w:lineRule="auto"/>
        <w:jc w:val="both"/>
        <w:rPr>
          <w:rFonts w:ascii="Arial Narrow" w:hAnsi="Arial Narrow"/>
        </w:rPr>
      </w:pPr>
      <w:r w:rsidRPr="00D96FEC">
        <w:rPr>
          <w:rFonts w:ascii="Arial Narrow" w:hAnsi="Arial Narrow"/>
        </w:rPr>
        <w:t>The Committee has called on States to address unlawful and excessive use of force, often by reference to the UN Basic Principles on the Use of Force and Firearms by Law Enforcement Officials.</w:t>
      </w:r>
      <w:r>
        <w:rPr>
          <w:rStyle w:val="FootnoteReference"/>
          <w:rFonts w:ascii="Arial Narrow" w:hAnsi="Arial Narrow"/>
        </w:rPr>
        <w:footnoteReference w:id="159"/>
      </w:r>
      <w:r w:rsidRPr="00D96FEC">
        <w:rPr>
          <w:rFonts w:ascii="Arial Narrow" w:hAnsi="Arial Narrow"/>
        </w:rPr>
        <w:t xml:space="preserve"> Recommendations to States in this field also frequently include the need to establish independent authorities to receive, investigate and adjudicate complaints of excessive use of force.</w:t>
      </w:r>
      <w:r>
        <w:rPr>
          <w:rStyle w:val="FootnoteReference"/>
          <w:rFonts w:ascii="Arial Narrow" w:hAnsi="Arial Narrow"/>
        </w:rPr>
        <w:footnoteReference w:id="160"/>
      </w:r>
      <w:r w:rsidRPr="00D96FEC">
        <w:rPr>
          <w:rFonts w:ascii="Arial Narrow" w:hAnsi="Arial Narrow"/>
        </w:rPr>
        <w:t xml:space="preserve"> Where independent investigative mechanisms hav</w:t>
      </w:r>
      <w:r w:rsidR="004E680C">
        <w:rPr>
          <w:rFonts w:ascii="Arial Narrow" w:hAnsi="Arial Narrow"/>
        </w:rPr>
        <w:t xml:space="preserve">e been established following </w:t>
      </w:r>
      <w:r w:rsidR="004E680C">
        <w:rPr>
          <w:rFonts w:ascii="Arial Narrow" w:hAnsi="Arial Narrow"/>
        </w:rPr>
        <w:lastRenderedPageBreak/>
        <w:t>unlawful or disproportionate</w:t>
      </w:r>
      <w:r w:rsidRPr="00D96FEC">
        <w:rPr>
          <w:rFonts w:ascii="Arial Narrow" w:hAnsi="Arial Narrow"/>
        </w:rPr>
        <w:t xml:space="preserve"> use of force, the Committee has criticised States for not securing convictions for those responsible.</w:t>
      </w:r>
      <w:r>
        <w:rPr>
          <w:rStyle w:val="FootnoteReference"/>
          <w:rFonts w:ascii="Arial Narrow" w:hAnsi="Arial Narrow"/>
        </w:rPr>
        <w:footnoteReference w:id="161"/>
      </w:r>
    </w:p>
    <w:p w14:paraId="08AE9431" w14:textId="3610B4D3" w:rsidR="00B603CB" w:rsidRDefault="00B603CB" w:rsidP="00D5409F">
      <w:pPr>
        <w:spacing w:after="0" w:line="276" w:lineRule="auto"/>
        <w:jc w:val="both"/>
        <w:rPr>
          <w:rFonts w:ascii="Arial Narrow" w:hAnsi="Arial Narrow"/>
        </w:rPr>
      </w:pPr>
    </w:p>
    <w:p w14:paraId="38331A2A" w14:textId="38FC7AE3" w:rsidR="00B603CB" w:rsidRPr="00AB4658" w:rsidRDefault="00AB4658" w:rsidP="00AB4658">
      <w:pPr>
        <w:pStyle w:val="ListParagraph"/>
        <w:numPr>
          <w:ilvl w:val="0"/>
          <w:numId w:val="1"/>
        </w:numPr>
        <w:spacing w:after="0" w:line="276" w:lineRule="auto"/>
        <w:jc w:val="both"/>
        <w:rPr>
          <w:rFonts w:ascii="Arial Narrow" w:hAnsi="Arial Narrow"/>
        </w:rPr>
      </w:pPr>
      <w:r>
        <w:rPr>
          <w:rFonts w:ascii="Arial Narrow" w:hAnsi="Arial Narrow"/>
        </w:rPr>
        <w:t>States have recently committed to a number of important principles related to the use of force in HRC Resolution 38/11.</w:t>
      </w:r>
      <w:r>
        <w:rPr>
          <w:rStyle w:val="FootnoteReference"/>
          <w:rFonts w:ascii="Arial Narrow" w:hAnsi="Arial Narrow"/>
        </w:rPr>
        <w:footnoteReference w:id="162"/>
      </w:r>
      <w:r w:rsidR="00D96FEC">
        <w:rPr>
          <w:rFonts w:ascii="Arial Narrow" w:hAnsi="Arial Narrow"/>
        </w:rPr>
        <w:t xml:space="preserve"> </w:t>
      </w:r>
      <w:r>
        <w:rPr>
          <w:rFonts w:ascii="Arial Narrow" w:hAnsi="Arial Narrow"/>
        </w:rPr>
        <w:t xml:space="preserve">These reflect </w:t>
      </w:r>
      <w:r w:rsidR="00D96FEC">
        <w:rPr>
          <w:rFonts w:ascii="Arial Narrow" w:hAnsi="Arial Narrow"/>
        </w:rPr>
        <w:t>guidance in</w:t>
      </w:r>
      <w:r>
        <w:rPr>
          <w:rFonts w:ascii="Arial Narrow" w:hAnsi="Arial Narrow"/>
        </w:rPr>
        <w:t xml:space="preserve"> </w:t>
      </w:r>
      <w:r w:rsidRPr="00AB4658">
        <w:rPr>
          <w:rFonts w:ascii="Arial Narrow" w:hAnsi="Arial Narrow"/>
        </w:rPr>
        <w:t>Amnesty International’s “</w:t>
      </w:r>
      <w:r w:rsidRPr="00AB4658">
        <w:rPr>
          <w:rFonts w:ascii="Arial Narrow" w:hAnsi="Arial Narrow" w:cs="Arial"/>
        </w:rPr>
        <w:t>Use of Force: Guidelines for Implementation of the UN Basic Principles on the Use of Force and Firearms by Law Enforcement Offici</w:t>
      </w:r>
      <w:r w:rsidRPr="00AB4658">
        <w:rPr>
          <w:rFonts w:ascii="Arial Narrow" w:hAnsi="Arial Narrow" w:cs="Arial"/>
        </w:rPr>
        <w:t>als”, which we recommend, as well as standards set out in Principle 13 of ARTICLE 19’s “Protest Principles”.</w:t>
      </w:r>
    </w:p>
    <w:p w14:paraId="2B4671FC" w14:textId="3C81AC05" w:rsidR="00A11D38" w:rsidRDefault="00A11D38" w:rsidP="005E0098">
      <w:pPr>
        <w:spacing w:after="0" w:line="276" w:lineRule="auto"/>
        <w:rPr>
          <w:rFonts w:ascii="Arial Narrow" w:hAnsi="Arial Narrow"/>
          <w:b/>
        </w:rPr>
      </w:pPr>
    </w:p>
    <w:p w14:paraId="3BC7A3AC" w14:textId="71A6E906" w:rsidR="000D5FD1" w:rsidRDefault="000D5FD1" w:rsidP="005E0098">
      <w:pPr>
        <w:spacing w:after="0" w:line="276" w:lineRule="auto"/>
        <w:rPr>
          <w:rFonts w:ascii="Arial Narrow" w:hAnsi="Arial Narrow"/>
          <w:b/>
        </w:rPr>
      </w:pPr>
      <w:r>
        <w:rPr>
          <w:rFonts w:ascii="Arial Narrow" w:hAnsi="Arial Narrow"/>
          <w:b/>
        </w:rPr>
        <w:t xml:space="preserve">Surveillance </w:t>
      </w:r>
    </w:p>
    <w:p w14:paraId="23B58E04" w14:textId="25C26031" w:rsidR="00D96FEC" w:rsidRDefault="00D96FEC" w:rsidP="00035587">
      <w:pPr>
        <w:pStyle w:val="ListParagraph"/>
        <w:numPr>
          <w:ilvl w:val="0"/>
          <w:numId w:val="1"/>
        </w:numPr>
        <w:jc w:val="both"/>
        <w:rPr>
          <w:rFonts w:ascii="Arial Narrow" w:hAnsi="Arial Narrow" w:cs="Times New Roman"/>
        </w:rPr>
      </w:pPr>
      <w:r w:rsidRPr="004E680C">
        <w:rPr>
          <w:rFonts w:ascii="Arial Narrow" w:hAnsi="Arial Narrow" w:cs="Times New Roman"/>
        </w:rPr>
        <w:t xml:space="preserve">ARTICLE 19 considers that use of surveillance techniques for the indiscriminate and untargeted surveillance of persons exercising their rights of peaceful assembly should be </w:t>
      </w:r>
      <w:r w:rsidR="004E680C" w:rsidRPr="004E680C">
        <w:rPr>
          <w:rFonts w:ascii="Arial Narrow" w:hAnsi="Arial Narrow" w:cs="Times New Roman"/>
        </w:rPr>
        <w:t xml:space="preserve">prohibited, on the basis of Articles 17 and 21 of the ICCPR. </w:t>
      </w:r>
    </w:p>
    <w:p w14:paraId="2CF0F28C" w14:textId="77777777" w:rsidR="004E680C" w:rsidRPr="004E680C" w:rsidRDefault="004E680C" w:rsidP="004E680C">
      <w:pPr>
        <w:pStyle w:val="ListParagraph"/>
        <w:ind w:left="360"/>
        <w:jc w:val="both"/>
        <w:rPr>
          <w:rFonts w:ascii="Arial Narrow" w:hAnsi="Arial Narrow" w:cs="Times New Roman"/>
        </w:rPr>
      </w:pPr>
    </w:p>
    <w:p w14:paraId="571F3E01" w14:textId="5878F37A" w:rsidR="00D96FEC" w:rsidRDefault="00D96FEC" w:rsidP="00D96FEC">
      <w:pPr>
        <w:pStyle w:val="ListParagraph"/>
        <w:numPr>
          <w:ilvl w:val="0"/>
          <w:numId w:val="1"/>
        </w:numPr>
        <w:rPr>
          <w:rFonts w:ascii="Arial Narrow" w:hAnsi="Arial Narrow" w:cs="Times New Roman"/>
        </w:rPr>
      </w:pPr>
      <w:r w:rsidRPr="00D96FEC">
        <w:rPr>
          <w:rFonts w:ascii="Arial Narrow" w:hAnsi="Arial Narrow" w:cs="Times New Roman"/>
        </w:rPr>
        <w:t xml:space="preserve">At </w:t>
      </w:r>
      <w:r>
        <w:rPr>
          <w:rFonts w:ascii="Arial Narrow" w:hAnsi="Arial Narrow" w:cs="Times New Roman"/>
        </w:rPr>
        <w:t>numerous points, the Committee has raised concerns at the practice of States engaged in unlawful, arbitrary or unnecessary surveillance against persons exercising their right to freedom of peaceful assembly, including to identify individuals engaged in lawful activity,</w:t>
      </w:r>
      <w:r>
        <w:rPr>
          <w:rStyle w:val="FootnoteReference"/>
          <w:rFonts w:ascii="Arial Narrow" w:hAnsi="Arial Narrow" w:cs="Times New Roman"/>
        </w:rPr>
        <w:footnoteReference w:id="163"/>
      </w:r>
      <w:r>
        <w:rPr>
          <w:rFonts w:ascii="Arial Narrow" w:hAnsi="Arial Narrow" w:cs="Times New Roman"/>
        </w:rPr>
        <w:t xml:space="preserve"> and noted the general deterrent impact of law enforcement using cameras and video recorders during demonstrations, specifically calling for clear guidance on such practices that is made accessible to the public.</w:t>
      </w:r>
      <w:r>
        <w:rPr>
          <w:rStyle w:val="FootnoteReference"/>
          <w:rFonts w:ascii="Arial Narrow" w:hAnsi="Arial Narrow" w:cs="Times New Roman"/>
        </w:rPr>
        <w:footnoteReference w:id="164"/>
      </w:r>
    </w:p>
    <w:p w14:paraId="1C05AD97" w14:textId="77777777" w:rsidR="004E680C" w:rsidRPr="004E680C" w:rsidRDefault="004E680C" w:rsidP="004E680C">
      <w:pPr>
        <w:pStyle w:val="ListParagraph"/>
        <w:rPr>
          <w:rFonts w:ascii="Arial Narrow" w:hAnsi="Arial Narrow" w:cs="Times New Roman"/>
        </w:rPr>
      </w:pPr>
    </w:p>
    <w:p w14:paraId="47FD4619" w14:textId="3D1225DB" w:rsidR="005757BE" w:rsidRPr="00EA33A6" w:rsidRDefault="005757BE" w:rsidP="00EA33A6">
      <w:pPr>
        <w:pStyle w:val="ListParagraph"/>
        <w:numPr>
          <w:ilvl w:val="0"/>
          <w:numId w:val="1"/>
        </w:numPr>
        <w:jc w:val="both"/>
        <w:rPr>
          <w:rFonts w:ascii="Arial Narrow" w:hAnsi="Arial Narrow" w:cs="Times New Roman"/>
        </w:rPr>
      </w:pPr>
      <w:r>
        <w:rPr>
          <w:rFonts w:ascii="Arial Narrow" w:hAnsi="Arial Narrow" w:cs="Times New Roman"/>
        </w:rPr>
        <w:t xml:space="preserve">ARTICLE 19 shares concerns expressed by the UN special rapporteur on freedom of opinion and expression regarding methods of facial recognition based on artificial intelligence </w:t>
      </w:r>
      <w:r w:rsidRPr="00EA33A6">
        <w:rPr>
          <w:rFonts w:ascii="Arial Narrow" w:hAnsi="Arial Narrow" w:cs="Times New Roman"/>
        </w:rPr>
        <w:t>models, including their potential discriminatory impacts when deployed for surveillance purposes in the context of assemblie</w:t>
      </w:r>
      <w:r w:rsidR="00EA33A6" w:rsidRPr="00EA33A6">
        <w:rPr>
          <w:rFonts w:ascii="Arial Narrow" w:hAnsi="Arial Narrow" w:cs="Times New Roman"/>
        </w:rPr>
        <w:t>s</w:t>
      </w:r>
      <w:r w:rsidRPr="00EA33A6">
        <w:rPr>
          <w:rFonts w:ascii="Arial Narrow" w:hAnsi="Arial Narrow" w:cs="Times New Roman"/>
        </w:rPr>
        <w:t>.</w:t>
      </w:r>
      <w:r w:rsidRPr="00EA33A6">
        <w:rPr>
          <w:rStyle w:val="FootnoteReference"/>
          <w:rFonts w:ascii="Arial Narrow" w:hAnsi="Arial Narrow" w:cs="Times New Roman"/>
        </w:rPr>
        <w:footnoteReference w:id="165"/>
      </w:r>
      <w:r w:rsidRPr="00EA33A6">
        <w:rPr>
          <w:rFonts w:ascii="Arial Narrow" w:hAnsi="Arial Narrow" w:cs="Times New Roman"/>
        </w:rPr>
        <w:t xml:space="preserve"> </w:t>
      </w:r>
      <w:r w:rsidR="00EA33A6" w:rsidRPr="00EA33A6">
        <w:rPr>
          <w:rFonts w:ascii="Arial Narrow" w:hAnsi="Arial Narrow" w:cs="Times New Roman"/>
        </w:rPr>
        <w:t>The Committee should consider the special rapporteur’s recommendation that w</w:t>
      </w:r>
      <w:r w:rsidR="00EA33A6" w:rsidRPr="00EA33A6">
        <w:rPr>
          <w:rFonts w:ascii="Arial Narrow" w:hAnsi="Arial Narrow" w:cs="Arial"/>
        </w:rPr>
        <w:t>hen procuring or deploying</w:t>
      </w:r>
      <w:r w:rsidR="00EA33A6" w:rsidRPr="00EA33A6">
        <w:rPr>
          <w:rFonts w:ascii="Arial Narrow" w:hAnsi="Arial Narrow" w:cs="Arial"/>
        </w:rPr>
        <w:t xml:space="preserve"> </w:t>
      </w:r>
      <w:r w:rsidR="00EA33A6" w:rsidRPr="00EA33A6">
        <w:rPr>
          <w:rFonts w:ascii="Arial Narrow" w:hAnsi="Arial Narrow" w:cs="Arial"/>
        </w:rPr>
        <w:t xml:space="preserve">artificial intelligence systems or applications, States should ensure that public sector bodies act consistently with human rights </w:t>
      </w:r>
      <w:r w:rsidR="00EA33A6" w:rsidRPr="00EA33A6">
        <w:rPr>
          <w:rFonts w:ascii="Arial Narrow" w:hAnsi="Arial Narrow" w:cs="Arial"/>
        </w:rPr>
        <w:t>principles, with particular regard to disparate impacts on minorities, ensuring that their use complies with international human rights law.</w:t>
      </w:r>
      <w:r w:rsidR="00EA33A6" w:rsidRPr="00EA33A6">
        <w:rPr>
          <w:rStyle w:val="FootnoteReference"/>
          <w:rFonts w:ascii="Arial Narrow" w:hAnsi="Arial Narrow" w:cs="Arial"/>
        </w:rPr>
        <w:footnoteReference w:id="166"/>
      </w:r>
    </w:p>
    <w:p w14:paraId="11BB13E1" w14:textId="77777777" w:rsidR="005757BE" w:rsidRPr="005757BE" w:rsidRDefault="005757BE" w:rsidP="005757BE">
      <w:pPr>
        <w:pStyle w:val="ListParagraph"/>
        <w:rPr>
          <w:rFonts w:ascii="Arial Narrow" w:hAnsi="Arial Narrow" w:cs="Times New Roman"/>
        </w:rPr>
      </w:pPr>
    </w:p>
    <w:p w14:paraId="27678A9A" w14:textId="46DA83C0" w:rsidR="004E680C" w:rsidRPr="007E7D4F" w:rsidRDefault="004E680C" w:rsidP="007E7D4F">
      <w:pPr>
        <w:pStyle w:val="ListParagraph"/>
        <w:numPr>
          <w:ilvl w:val="0"/>
          <w:numId w:val="1"/>
        </w:numPr>
        <w:jc w:val="both"/>
        <w:rPr>
          <w:rFonts w:ascii="Arial Narrow" w:hAnsi="Arial Narrow" w:cs="Times New Roman"/>
        </w:rPr>
      </w:pPr>
      <w:r>
        <w:rPr>
          <w:rFonts w:ascii="Arial Narrow" w:hAnsi="Arial Narrow" w:cs="Times New Roman"/>
        </w:rPr>
        <w:t>General Comment No. 37 is an important opportunity for the Committee to clarify that interferences with privacy under Article 17 must meet the same three-part test as limitations on the right of peaceful assembly.</w:t>
      </w:r>
      <w:r>
        <w:rPr>
          <w:rStyle w:val="FootnoteReference"/>
          <w:rFonts w:ascii="Arial Narrow" w:hAnsi="Arial Narrow" w:cs="Times New Roman"/>
        </w:rPr>
        <w:footnoteReference w:id="167"/>
      </w:r>
      <w:r>
        <w:rPr>
          <w:rFonts w:ascii="Arial Narrow" w:hAnsi="Arial Narrow" w:cs="Times New Roman"/>
        </w:rPr>
        <w:t xml:space="preserve"> </w:t>
      </w:r>
      <w:r w:rsidR="007E7D4F">
        <w:rPr>
          <w:rFonts w:ascii="Arial Narrow" w:hAnsi="Arial Narrow" w:cs="Times New Roman"/>
        </w:rPr>
        <w:t xml:space="preserve">As outlined above, the Committee should make clear the importance of strong protections for anonymity and encryption tools, to ensure the right to privacy and enable exercise of the right of peaceful assembly. </w:t>
      </w:r>
    </w:p>
    <w:p w14:paraId="7C5647B0" w14:textId="77777777" w:rsidR="004E680C" w:rsidRDefault="004E680C" w:rsidP="004E680C">
      <w:pPr>
        <w:pStyle w:val="ListParagraph"/>
        <w:ind w:left="360"/>
        <w:jc w:val="both"/>
        <w:rPr>
          <w:rFonts w:ascii="Arial Narrow" w:hAnsi="Arial Narrow" w:cs="Times New Roman"/>
        </w:rPr>
      </w:pPr>
    </w:p>
    <w:p w14:paraId="306E8764" w14:textId="71C4BF3E" w:rsidR="007E7D4F" w:rsidRPr="007E7D4F" w:rsidRDefault="004E680C" w:rsidP="007E7D4F">
      <w:pPr>
        <w:pStyle w:val="ListParagraph"/>
        <w:numPr>
          <w:ilvl w:val="0"/>
          <w:numId w:val="1"/>
        </w:numPr>
        <w:spacing w:after="0"/>
        <w:ind w:left="357" w:hanging="357"/>
        <w:jc w:val="both"/>
        <w:rPr>
          <w:rFonts w:ascii="Arial Narrow" w:hAnsi="Arial Narrow" w:cs="Times New Roman"/>
        </w:rPr>
      </w:pPr>
      <w:r>
        <w:rPr>
          <w:rFonts w:ascii="Arial Narrow" w:hAnsi="Arial Narrow" w:cs="Times New Roman"/>
        </w:rPr>
        <w:t>ARTICLE 19 is also concerned at the tendency of some States to monitor online expression related to assemblies, as well as to monitor online assemblies, and engage in disinformation campaigns or the use of bots as a strategy to frustrate online organising</w:t>
      </w:r>
      <w:r w:rsidR="00EA33A6">
        <w:rPr>
          <w:rFonts w:ascii="Arial Narrow" w:hAnsi="Arial Narrow" w:cs="Times New Roman"/>
        </w:rPr>
        <w:t>, including through crowding out the messaging of social movements</w:t>
      </w:r>
      <w:r>
        <w:rPr>
          <w:rFonts w:ascii="Arial Narrow" w:hAnsi="Arial Narrow" w:cs="Times New Roman"/>
        </w:rPr>
        <w:t>.</w:t>
      </w:r>
      <w:r w:rsidR="005757BE">
        <w:rPr>
          <w:rStyle w:val="FootnoteReference"/>
          <w:rFonts w:ascii="Arial Narrow" w:hAnsi="Arial Narrow" w:cs="Times New Roman"/>
        </w:rPr>
        <w:footnoteReference w:id="168"/>
      </w:r>
      <w:r>
        <w:rPr>
          <w:rFonts w:ascii="Arial Narrow" w:hAnsi="Arial Narrow" w:cs="Times New Roman"/>
        </w:rPr>
        <w:t xml:space="preserve"> </w:t>
      </w:r>
    </w:p>
    <w:p w14:paraId="02AD6F8E" w14:textId="327758C7" w:rsidR="00011DC6" w:rsidRDefault="00011DC6" w:rsidP="005757BE">
      <w:pPr>
        <w:spacing w:after="0" w:line="276" w:lineRule="auto"/>
        <w:rPr>
          <w:rFonts w:ascii="Arial Narrow" w:hAnsi="Arial Narrow"/>
          <w:b/>
        </w:rPr>
      </w:pPr>
    </w:p>
    <w:p w14:paraId="331438CC" w14:textId="37DF0AC8" w:rsidR="000D5FD1" w:rsidRDefault="000D5FD1" w:rsidP="005757BE">
      <w:pPr>
        <w:spacing w:after="0" w:line="276" w:lineRule="auto"/>
        <w:rPr>
          <w:rFonts w:ascii="Arial Narrow" w:hAnsi="Arial Narrow"/>
          <w:b/>
        </w:rPr>
      </w:pPr>
      <w:r>
        <w:rPr>
          <w:rFonts w:ascii="Arial Narrow" w:hAnsi="Arial Narrow"/>
          <w:b/>
        </w:rPr>
        <w:t xml:space="preserve">Strategic litigation against public participation </w:t>
      </w:r>
      <w:r w:rsidR="00CF0473">
        <w:rPr>
          <w:rFonts w:ascii="Arial Narrow" w:hAnsi="Arial Narrow"/>
          <w:b/>
        </w:rPr>
        <w:t>(SLAPPs)</w:t>
      </w:r>
    </w:p>
    <w:p w14:paraId="48B369B9" w14:textId="77777777" w:rsidR="007E7D4F" w:rsidRDefault="007E7D4F" w:rsidP="005757BE">
      <w:pPr>
        <w:pStyle w:val="ColorfulList-Accent11"/>
        <w:numPr>
          <w:ilvl w:val="0"/>
          <w:numId w:val="1"/>
        </w:numPr>
        <w:spacing w:after="0"/>
        <w:jc w:val="both"/>
        <w:rPr>
          <w:rFonts w:ascii="Arial Narrow" w:hAnsi="Arial Narrow" w:cs="Calibri"/>
        </w:rPr>
      </w:pPr>
      <w:bookmarkStart w:id="0" w:name="_GoBack"/>
      <w:bookmarkEnd w:id="0"/>
      <w:r>
        <w:rPr>
          <w:rFonts w:ascii="Arial Narrow" w:hAnsi="Arial Narrow" w:cs="Calibri"/>
        </w:rPr>
        <w:t xml:space="preserve">UN special procedures have raised concerns at the use of civil law actions, in particular </w:t>
      </w:r>
      <w:r w:rsidRPr="007E7D4F">
        <w:rPr>
          <w:rFonts w:ascii="Arial Narrow" w:hAnsi="Arial Narrow" w:cs="Calibri"/>
        </w:rPr>
        <w:t>Strategic Lawsuits Against Public Participation” (SLAPPs)</w:t>
      </w:r>
      <w:r>
        <w:rPr>
          <w:rFonts w:ascii="Arial Narrow" w:hAnsi="Arial Narrow" w:cs="Calibri"/>
        </w:rPr>
        <w:t xml:space="preserve"> to frustrate the exercise of the right of peaceful assembly, in particular against protests taking the form of direct action.</w:t>
      </w:r>
      <w:r>
        <w:rPr>
          <w:rStyle w:val="FootnoteReference"/>
          <w:rFonts w:ascii="Arial Narrow" w:hAnsi="Arial Narrow" w:cs="Calibri"/>
        </w:rPr>
        <w:footnoteReference w:id="169"/>
      </w:r>
      <w:r>
        <w:rPr>
          <w:rFonts w:ascii="Arial Narrow" w:hAnsi="Arial Narrow" w:cs="Calibri"/>
        </w:rPr>
        <w:t xml:space="preserve"> </w:t>
      </w:r>
      <w:r w:rsidRPr="007E7D4F">
        <w:rPr>
          <w:rFonts w:ascii="Arial Narrow" w:hAnsi="Arial Narrow" w:cs="Calibri"/>
        </w:rPr>
        <w:t xml:space="preserve">Such suits are based on civil claims such as nuisance, trespass, interference with </w:t>
      </w:r>
      <w:r w:rsidRPr="007E7D4F">
        <w:rPr>
          <w:rFonts w:ascii="Arial Narrow" w:hAnsi="Arial Narrow" w:cs="Calibri"/>
        </w:rPr>
        <w:lastRenderedPageBreak/>
        <w:t xml:space="preserve">contract and/or economic advantage, usually to intimidate activists with claims for large damages, or for the purpose of seeking injunctions to prevent future protests. </w:t>
      </w:r>
      <w:r>
        <w:rPr>
          <w:rFonts w:ascii="Arial Narrow" w:hAnsi="Arial Narrow" w:cs="Calibri"/>
        </w:rPr>
        <w:t xml:space="preserve">Even where unsuccessful, the costs associated with defending against such suits is prohibitive, and has a significant chilling effect on the right of peaceful assembly. </w:t>
      </w:r>
    </w:p>
    <w:p w14:paraId="19B4FBF4" w14:textId="77777777" w:rsidR="007E7D4F" w:rsidRDefault="007E7D4F" w:rsidP="005757BE">
      <w:pPr>
        <w:pStyle w:val="ColorfulList-Accent11"/>
        <w:spacing w:after="0"/>
        <w:ind w:left="360"/>
        <w:jc w:val="both"/>
        <w:rPr>
          <w:rFonts w:ascii="Arial Narrow" w:hAnsi="Arial Narrow" w:cs="Calibri"/>
        </w:rPr>
      </w:pPr>
    </w:p>
    <w:p w14:paraId="4B092DBA" w14:textId="7A8937F4" w:rsidR="007E7D4F" w:rsidRPr="005757BE" w:rsidRDefault="007E7D4F" w:rsidP="005757BE">
      <w:pPr>
        <w:pStyle w:val="ColorfulList-Accent11"/>
        <w:numPr>
          <w:ilvl w:val="0"/>
          <w:numId w:val="1"/>
        </w:numPr>
        <w:spacing w:after="0"/>
        <w:jc w:val="both"/>
        <w:rPr>
          <w:rFonts w:ascii="Arial Narrow" w:hAnsi="Arial Narrow" w:cs="Calibri"/>
        </w:rPr>
      </w:pPr>
      <w:r>
        <w:rPr>
          <w:rFonts w:ascii="Arial Narrow" w:hAnsi="Arial Narrow" w:cs="Calibri"/>
        </w:rPr>
        <w:t>Importantly, the UN Human Rights Council has called upon States “to avoid the abuse of […] civil proceedings, or threats of such acts at all times</w:t>
      </w:r>
      <w:r w:rsidR="005757BE">
        <w:rPr>
          <w:rFonts w:ascii="Arial Narrow" w:hAnsi="Arial Narrow" w:cs="Calibri"/>
        </w:rPr>
        <w:t>”, as part of the responsibility to protect human rights and prevent human rights violations and abuses.</w:t>
      </w:r>
      <w:r w:rsidR="005757BE">
        <w:rPr>
          <w:rStyle w:val="FootnoteReference"/>
          <w:rFonts w:ascii="Arial Narrow" w:hAnsi="Arial Narrow" w:cs="Calibri"/>
        </w:rPr>
        <w:footnoteReference w:id="170"/>
      </w:r>
      <w:r w:rsidR="005757BE">
        <w:rPr>
          <w:rFonts w:ascii="Arial Narrow" w:hAnsi="Arial Narrow" w:cs="Calibri"/>
        </w:rPr>
        <w:t xml:space="preserve"> </w:t>
      </w:r>
      <w:r w:rsidRPr="005757BE">
        <w:rPr>
          <w:rFonts w:ascii="Arial Narrow" w:hAnsi="Arial Narrow" w:cs="Arial"/>
        </w:rPr>
        <w:t xml:space="preserve">General Comment No. 37 must </w:t>
      </w:r>
      <w:r w:rsidR="005757BE" w:rsidRPr="005757BE">
        <w:rPr>
          <w:rFonts w:ascii="Arial Narrow" w:hAnsi="Arial Narrow" w:cs="Arial"/>
        </w:rPr>
        <w:t xml:space="preserve">build upon this to </w:t>
      </w:r>
      <w:r w:rsidRPr="005757BE">
        <w:rPr>
          <w:rFonts w:ascii="Arial Narrow" w:hAnsi="Arial Narrow" w:cs="Arial"/>
        </w:rPr>
        <w:t>call on States to</w:t>
      </w:r>
      <w:r w:rsidRPr="005757BE">
        <w:rPr>
          <w:rFonts w:ascii="Arial Narrow" w:hAnsi="Arial Narrow" w:cs="Arial"/>
        </w:rPr>
        <w:t xml:space="preserve"> restrict the possibility of civil law remedies being used to silence protesters and to obstruct the work of human rights defenders in protests, including strategic litigation against public participation </w:t>
      </w:r>
      <w:r w:rsidR="005757BE">
        <w:rPr>
          <w:rFonts w:ascii="Arial Narrow" w:hAnsi="Arial Narrow" w:cs="Arial"/>
        </w:rPr>
        <w:t>(SLAPP). Furthermore, S</w:t>
      </w:r>
      <w:r w:rsidRPr="005757BE">
        <w:rPr>
          <w:rFonts w:ascii="Arial Narrow" w:hAnsi="Arial Narrow" w:cs="Arial"/>
        </w:rPr>
        <w:t>tates should adopt legislation that considers SLAPP as an abuse of the judicial process which aims to restrict the legitimate exercise of the right to protest.</w:t>
      </w:r>
      <w:r>
        <w:rPr>
          <w:rStyle w:val="FootnoteReference"/>
          <w:rFonts w:ascii="Arial Narrow" w:hAnsi="Arial Narrow" w:cs="Arial"/>
        </w:rPr>
        <w:footnoteReference w:id="171"/>
      </w:r>
    </w:p>
    <w:p w14:paraId="07548AFE" w14:textId="342E5878" w:rsidR="000D5FD1" w:rsidRDefault="000D5FD1" w:rsidP="000D5FD1">
      <w:pPr>
        <w:spacing w:after="0" w:line="276" w:lineRule="auto"/>
        <w:jc w:val="both"/>
        <w:rPr>
          <w:rFonts w:ascii="Arial Narrow" w:hAnsi="Arial Narrow"/>
        </w:rPr>
      </w:pPr>
    </w:p>
    <w:p w14:paraId="7104C7BC" w14:textId="77777777" w:rsidR="009401CF" w:rsidRDefault="009401CF" w:rsidP="000D5FD1">
      <w:pPr>
        <w:spacing w:after="0" w:line="276" w:lineRule="auto"/>
        <w:jc w:val="both"/>
        <w:rPr>
          <w:rFonts w:ascii="Arial Narrow" w:hAnsi="Arial Narrow"/>
        </w:rPr>
      </w:pPr>
    </w:p>
    <w:p w14:paraId="5164E2D4" w14:textId="45F5F71F" w:rsidR="000D5FD1" w:rsidRPr="00B44974" w:rsidRDefault="000D5FD1" w:rsidP="000D5FD1">
      <w:pPr>
        <w:pStyle w:val="ListParagraph"/>
        <w:numPr>
          <w:ilvl w:val="0"/>
          <w:numId w:val="13"/>
        </w:numPr>
        <w:spacing w:after="0" w:line="276" w:lineRule="auto"/>
        <w:jc w:val="both"/>
        <w:rPr>
          <w:rFonts w:ascii="Arial Narrow" w:hAnsi="Arial Narrow" w:cs="Arial"/>
          <w:b/>
          <w:sz w:val="28"/>
        </w:rPr>
      </w:pPr>
      <w:r>
        <w:rPr>
          <w:rFonts w:ascii="Arial Narrow" w:hAnsi="Arial Narrow" w:cs="Arial"/>
          <w:b/>
          <w:sz w:val="28"/>
        </w:rPr>
        <w:t>Obligation to fulfil</w:t>
      </w:r>
      <w:r w:rsidR="00011DC6" w:rsidRPr="00011DC6">
        <w:rPr>
          <w:rStyle w:val="FootnoteReference"/>
          <w:rFonts w:ascii="Arial Narrow" w:hAnsi="Arial Narrow" w:cs="Arial"/>
          <w:sz w:val="28"/>
        </w:rPr>
        <w:footnoteReference w:id="172"/>
      </w:r>
    </w:p>
    <w:p w14:paraId="265EAD78" w14:textId="6DD666E7" w:rsidR="000D5FD1" w:rsidRDefault="000D5FD1" w:rsidP="000D5FD1">
      <w:pPr>
        <w:spacing w:after="0" w:line="276" w:lineRule="auto"/>
        <w:rPr>
          <w:rFonts w:ascii="Arial Narrow" w:hAnsi="Arial Narrow"/>
          <w:b/>
        </w:rPr>
      </w:pPr>
    </w:p>
    <w:p w14:paraId="45112DCE" w14:textId="73C31371" w:rsidR="009401CF" w:rsidRDefault="00EA33A6" w:rsidP="009401CF">
      <w:pPr>
        <w:pStyle w:val="ListParagraph"/>
        <w:numPr>
          <w:ilvl w:val="0"/>
          <w:numId w:val="1"/>
        </w:numPr>
        <w:spacing w:after="0" w:line="276" w:lineRule="auto"/>
        <w:jc w:val="both"/>
        <w:rPr>
          <w:rFonts w:ascii="Arial Narrow" w:hAnsi="Arial Narrow"/>
        </w:rPr>
      </w:pPr>
      <w:r>
        <w:rPr>
          <w:rFonts w:ascii="Arial Narrow" w:hAnsi="Arial Narrow"/>
        </w:rPr>
        <w:t>In relation to the obligation to fulfil, ARTICLE 19 recommends that General Comment No. 37 cover comprehensively the States’ obligations to ensure full transparency for public decision-making processes, and ensure full accountability for human rights abuses and violations, including through access to remedies.</w:t>
      </w:r>
      <w:r>
        <w:rPr>
          <w:rStyle w:val="FootnoteReference"/>
          <w:rFonts w:ascii="Arial Narrow" w:hAnsi="Arial Narrow"/>
        </w:rPr>
        <w:footnoteReference w:id="173"/>
      </w:r>
      <w:r w:rsidR="009401CF">
        <w:rPr>
          <w:rFonts w:ascii="Arial Narrow" w:hAnsi="Arial Narrow"/>
        </w:rPr>
        <w:t xml:space="preserve"> This must be complemented through measures to enable the free flow of information relating to protests, including through comprehensively protecting the right of access to information.</w:t>
      </w:r>
      <w:r w:rsidR="009401CF">
        <w:rPr>
          <w:rStyle w:val="FootnoteReference"/>
          <w:rFonts w:ascii="Arial Narrow" w:hAnsi="Arial Narrow"/>
        </w:rPr>
        <w:footnoteReference w:id="174"/>
      </w:r>
      <w:r w:rsidR="009401CF">
        <w:rPr>
          <w:rFonts w:ascii="Arial Narrow" w:hAnsi="Arial Narrow"/>
        </w:rPr>
        <w:t xml:space="preserve"> </w:t>
      </w:r>
      <w:r w:rsidR="00011DC6">
        <w:rPr>
          <w:rFonts w:ascii="Arial Narrow" w:hAnsi="Arial Narrow"/>
        </w:rPr>
        <w:t xml:space="preserve">Both aspects should be considered parts of the right to freedom of peaceful assembly, as well as protected acts of freedom of expression and access to information under Article 19 of the ICCPR. </w:t>
      </w:r>
    </w:p>
    <w:p w14:paraId="5C7E07C2" w14:textId="5A48A617" w:rsidR="009401CF" w:rsidRPr="009401CF" w:rsidRDefault="009401CF" w:rsidP="009401CF">
      <w:pPr>
        <w:spacing w:after="0" w:line="276" w:lineRule="auto"/>
        <w:jc w:val="both"/>
        <w:rPr>
          <w:rFonts w:ascii="Arial Narrow" w:hAnsi="Arial Narrow"/>
        </w:rPr>
      </w:pPr>
    </w:p>
    <w:p w14:paraId="05A5D08B" w14:textId="59902AEC" w:rsidR="009401CF" w:rsidRDefault="009401CF" w:rsidP="009401CF">
      <w:pPr>
        <w:pStyle w:val="ListParagraph"/>
        <w:numPr>
          <w:ilvl w:val="0"/>
          <w:numId w:val="1"/>
        </w:numPr>
        <w:spacing w:after="0" w:line="276" w:lineRule="auto"/>
        <w:jc w:val="both"/>
        <w:rPr>
          <w:rFonts w:ascii="Arial Narrow" w:hAnsi="Arial Narrow"/>
        </w:rPr>
      </w:pPr>
      <w:r>
        <w:rPr>
          <w:rFonts w:ascii="Arial Narrow" w:hAnsi="Arial Narrow"/>
        </w:rPr>
        <w:t xml:space="preserve">The HR Committee has consistently raised concerns with measures taken by States to restrict journalists and independent </w:t>
      </w:r>
      <w:r w:rsidRPr="009401CF">
        <w:rPr>
          <w:rFonts w:ascii="Arial Narrow" w:hAnsi="Arial Narrow"/>
        </w:rPr>
        <w:t>observers monitoring assemblies, including law enforcement operations around assemblies.</w:t>
      </w:r>
      <w:r w:rsidRPr="009401CF">
        <w:rPr>
          <w:rStyle w:val="FootnoteReference"/>
          <w:rFonts w:ascii="Arial Narrow" w:hAnsi="Arial Narrow"/>
        </w:rPr>
        <w:footnoteReference w:id="175"/>
      </w:r>
      <w:r w:rsidRPr="009401CF">
        <w:rPr>
          <w:rFonts w:ascii="Arial Narrow" w:hAnsi="Arial Narrow"/>
        </w:rPr>
        <w:t xml:space="preserve"> The importance of the right to observe, monitor and record assemblies has also been reiterated by UN special procedures,</w:t>
      </w:r>
      <w:r w:rsidRPr="009401CF">
        <w:rPr>
          <w:rStyle w:val="FootnoteReference"/>
          <w:rFonts w:ascii="Arial Narrow" w:hAnsi="Arial Narrow"/>
        </w:rPr>
        <w:footnoteReference w:id="176"/>
      </w:r>
      <w:r w:rsidRPr="009401CF">
        <w:rPr>
          <w:rFonts w:ascii="Arial Narrow" w:hAnsi="Arial Narrow"/>
        </w:rPr>
        <w:t xml:space="preserve"> and affirmed by States at the Human Rights Council, who have called on “</w:t>
      </w:r>
      <w:r w:rsidRPr="009401CF">
        <w:rPr>
          <w:rFonts w:ascii="Arial Narrow" w:hAnsi="Arial Narrow" w:cs="Arial"/>
        </w:rPr>
        <w:t xml:space="preserve">all States to pay particular attention to the safety of </w:t>
      </w:r>
      <w:r w:rsidRPr="009401CF">
        <w:rPr>
          <w:rStyle w:val="highlight"/>
          <w:rFonts w:ascii="Arial Narrow" w:hAnsi="Arial Narrow" w:cs="Arial"/>
        </w:rPr>
        <w:t>journ</w:t>
      </w:r>
      <w:r w:rsidRPr="009401CF">
        <w:rPr>
          <w:rFonts w:ascii="Arial Narrow" w:hAnsi="Arial Narrow" w:cs="Arial"/>
        </w:rPr>
        <w:t>alists and media workers observing, monitoring and recording peaceful protests, taking into account their specific role, exposure and vulnerability</w:t>
      </w:r>
      <w:r w:rsidRPr="009401CF">
        <w:rPr>
          <w:rFonts w:ascii="Arial Narrow" w:hAnsi="Arial Narrow" w:cs="Arial"/>
        </w:rPr>
        <w:t>”</w:t>
      </w:r>
      <w:r w:rsidRPr="009401CF">
        <w:rPr>
          <w:rFonts w:ascii="Arial Narrow" w:hAnsi="Arial Narrow"/>
        </w:rPr>
        <w:t>.</w:t>
      </w:r>
      <w:r w:rsidRPr="009401CF">
        <w:rPr>
          <w:rStyle w:val="FootnoteReference"/>
          <w:rFonts w:ascii="Arial Narrow" w:hAnsi="Arial Narrow"/>
        </w:rPr>
        <w:footnoteReference w:id="177"/>
      </w:r>
      <w:r w:rsidRPr="009401CF">
        <w:rPr>
          <w:rFonts w:ascii="Arial Narrow" w:hAnsi="Arial Narrow"/>
        </w:rPr>
        <w:t xml:space="preserve"> General Comment No. 37 should therefore clearly articulate an obligation on</w:t>
      </w:r>
      <w:r w:rsidRPr="009401CF">
        <w:rPr>
          <w:rFonts w:ascii="Arial Narrow" w:hAnsi="Arial Narrow"/>
        </w:rPr>
        <w:t xml:space="preserve"> </w:t>
      </w:r>
      <w:r w:rsidRPr="009401CF">
        <w:rPr>
          <w:rFonts w:ascii="Arial Narrow" w:hAnsi="Arial Narrow"/>
        </w:rPr>
        <w:t>States to</w:t>
      </w:r>
      <w:r w:rsidRPr="009401CF">
        <w:rPr>
          <w:rFonts w:ascii="Arial Narrow" w:hAnsi="Arial Narrow"/>
        </w:rPr>
        <w:t xml:space="preserve"> allow and actively facilitate reporting on, and</w:t>
      </w:r>
      <w:r>
        <w:rPr>
          <w:rFonts w:ascii="Arial Narrow" w:hAnsi="Arial Narrow"/>
        </w:rPr>
        <w:t xml:space="preserve"> the independent monitoring of, protests by all media and independent observers, without imposing undue limitations.</w:t>
      </w:r>
      <w:r>
        <w:rPr>
          <w:rStyle w:val="FootnoteReference"/>
          <w:rFonts w:ascii="Arial Narrow" w:hAnsi="Arial Narrow"/>
        </w:rPr>
        <w:footnoteReference w:id="178"/>
      </w:r>
    </w:p>
    <w:p w14:paraId="7F8CB727" w14:textId="5BF6C793" w:rsidR="009401CF" w:rsidRDefault="009401CF" w:rsidP="009401CF">
      <w:pPr>
        <w:pStyle w:val="ListParagraph"/>
        <w:spacing w:after="0" w:line="276" w:lineRule="auto"/>
        <w:ind w:left="360"/>
        <w:jc w:val="both"/>
        <w:rPr>
          <w:rFonts w:ascii="Arial Narrow" w:hAnsi="Arial Narrow"/>
        </w:rPr>
      </w:pPr>
    </w:p>
    <w:p w14:paraId="3E6B4A8F" w14:textId="705468C3" w:rsidR="00EA33A6" w:rsidRDefault="00EA33A6" w:rsidP="009401CF">
      <w:pPr>
        <w:pStyle w:val="ListParagraph"/>
        <w:spacing w:after="0" w:line="276" w:lineRule="auto"/>
        <w:ind w:left="360"/>
        <w:jc w:val="both"/>
        <w:rPr>
          <w:rFonts w:ascii="Arial Narrow" w:hAnsi="Arial Narrow"/>
        </w:rPr>
      </w:pPr>
    </w:p>
    <w:p w14:paraId="0A65D840" w14:textId="77777777" w:rsidR="000D5FD1" w:rsidRPr="005E0098" w:rsidRDefault="000D5FD1" w:rsidP="005E0098">
      <w:pPr>
        <w:spacing w:after="0" w:line="276" w:lineRule="auto"/>
        <w:rPr>
          <w:rFonts w:ascii="Arial Narrow" w:hAnsi="Arial Narrow"/>
          <w:b/>
        </w:rPr>
      </w:pPr>
    </w:p>
    <w:sectPr w:rsidR="000D5FD1" w:rsidRPr="005E0098" w:rsidSect="00211198">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5049B" w14:textId="77777777" w:rsidR="008F39C3" w:rsidRDefault="008F39C3" w:rsidP="00290DFB">
      <w:pPr>
        <w:spacing w:after="0" w:line="240" w:lineRule="auto"/>
      </w:pPr>
      <w:r>
        <w:separator/>
      </w:r>
    </w:p>
  </w:endnote>
  <w:endnote w:type="continuationSeparator" w:id="0">
    <w:p w14:paraId="3CCCD7A7" w14:textId="77777777" w:rsidR="008F39C3" w:rsidRDefault="008F39C3" w:rsidP="00290DFB">
      <w:pPr>
        <w:spacing w:after="0" w:line="240" w:lineRule="auto"/>
      </w:pPr>
      <w:r>
        <w:continuationSeparator/>
      </w:r>
    </w:p>
  </w:endnote>
  <w:endnote w:type="continuationNotice" w:id="1">
    <w:p w14:paraId="76E38535" w14:textId="77777777" w:rsidR="008F39C3" w:rsidRDefault="008F3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 Gothic LT Std">
    <w:altName w:val="Courier New"/>
    <w:charset w:val="00"/>
    <w:family w:val="auto"/>
    <w:pitch w:val="variable"/>
    <w:sig w:usb0="00000003" w:usb1="4000204A"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MV Boli"/>
    <w:panose1 w:val="02010601000101010101"/>
    <w:charset w:val="00"/>
    <w:family w:val="roman"/>
    <w:pitch w:val="variable"/>
  </w:font>
  <w:font w:name="Arial">
    <w:panose1 w:val="020B0604020202020204"/>
    <w:charset w:val="00"/>
    <w:family w:val="swiss"/>
    <w:pitch w:val="variable"/>
    <w:sig w:usb0="E0002EFF" w:usb1="C000785B" w:usb2="00000009" w:usb3="00000000" w:csb0="000001FF" w:csb1="00000000"/>
  </w:font>
  <w:font w:name="Amnesty Trade Gothic Light">
    <w:altName w:val="Corbel"/>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808993"/>
      <w:docPartObj>
        <w:docPartGallery w:val="Page Numbers (Bottom of Page)"/>
        <w:docPartUnique/>
      </w:docPartObj>
    </w:sdtPr>
    <w:sdtEndPr>
      <w:rPr>
        <w:rFonts w:ascii="Arial Narrow" w:hAnsi="Arial Narrow"/>
        <w:noProof/>
        <w:sz w:val="20"/>
        <w:szCs w:val="20"/>
      </w:rPr>
    </w:sdtEndPr>
    <w:sdtContent>
      <w:p w14:paraId="36622149" w14:textId="4480C49B" w:rsidR="00917BB5" w:rsidRDefault="00917BB5">
        <w:pPr>
          <w:pStyle w:val="Footer"/>
          <w:jc w:val="right"/>
        </w:pPr>
        <w:r w:rsidRPr="00BB76CB">
          <w:rPr>
            <w:rFonts w:ascii="Arial Narrow" w:hAnsi="Arial Narrow"/>
          </w:rPr>
          <w:fldChar w:fldCharType="begin"/>
        </w:r>
        <w:r w:rsidRPr="00BB76CB">
          <w:rPr>
            <w:rFonts w:ascii="Arial Narrow" w:hAnsi="Arial Narrow"/>
          </w:rPr>
          <w:instrText xml:space="preserve"> PAGE   \* MERGEFORMAT </w:instrText>
        </w:r>
        <w:r w:rsidRPr="00BB76CB">
          <w:rPr>
            <w:rFonts w:ascii="Arial Narrow" w:hAnsi="Arial Narrow"/>
          </w:rPr>
          <w:fldChar w:fldCharType="separate"/>
        </w:r>
        <w:r w:rsidR="00011DC6">
          <w:rPr>
            <w:rFonts w:ascii="Arial Narrow" w:hAnsi="Arial Narrow"/>
            <w:noProof/>
          </w:rPr>
          <w:t>23</w:t>
        </w:r>
        <w:r w:rsidRPr="00BB76CB">
          <w:rPr>
            <w:rFonts w:ascii="Arial Narrow" w:hAnsi="Arial Narrow"/>
            <w:noProof/>
          </w:rPr>
          <w:fldChar w:fldCharType="end"/>
        </w:r>
      </w:p>
    </w:sdtContent>
  </w:sdt>
  <w:p w14:paraId="6DA3CD6D" w14:textId="77777777" w:rsidR="00917BB5" w:rsidRDefault="00917B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100EF" w14:textId="77777777" w:rsidR="008F39C3" w:rsidRDefault="008F39C3" w:rsidP="00290DFB">
      <w:pPr>
        <w:spacing w:after="0" w:line="240" w:lineRule="auto"/>
      </w:pPr>
      <w:r>
        <w:separator/>
      </w:r>
    </w:p>
  </w:footnote>
  <w:footnote w:type="continuationSeparator" w:id="0">
    <w:p w14:paraId="5DAC9B57" w14:textId="77777777" w:rsidR="008F39C3" w:rsidRDefault="008F39C3" w:rsidP="00290DFB">
      <w:pPr>
        <w:spacing w:after="0" w:line="240" w:lineRule="auto"/>
      </w:pPr>
      <w:r>
        <w:continuationSeparator/>
      </w:r>
    </w:p>
  </w:footnote>
  <w:footnote w:type="continuationNotice" w:id="1">
    <w:p w14:paraId="6BE128F0" w14:textId="77777777" w:rsidR="008F39C3" w:rsidRDefault="008F39C3">
      <w:pPr>
        <w:spacing w:after="0" w:line="240" w:lineRule="auto"/>
      </w:pPr>
    </w:p>
  </w:footnote>
  <w:footnote w:id="2">
    <w:p w14:paraId="2FCD9560" w14:textId="07830287" w:rsidR="00917BB5" w:rsidRPr="00103D53" w:rsidRDefault="00917BB5">
      <w:pPr>
        <w:pStyle w:val="FootnoteText"/>
        <w:rPr>
          <w:rFonts w:ascii="Arial Narrow" w:hAnsi="Arial Narrow"/>
          <w:sz w:val="18"/>
          <w:szCs w:val="18"/>
        </w:rPr>
      </w:pPr>
      <w:r w:rsidRPr="00103D53">
        <w:rPr>
          <w:rStyle w:val="FootnoteReference"/>
          <w:rFonts w:ascii="Arial Narrow" w:hAnsi="Arial Narrow"/>
          <w:sz w:val="18"/>
          <w:szCs w:val="18"/>
        </w:rPr>
        <w:footnoteRef/>
      </w:r>
      <w:r w:rsidRPr="00103D53">
        <w:rPr>
          <w:rFonts w:ascii="Arial Narrow" w:hAnsi="Arial Narrow"/>
          <w:sz w:val="18"/>
          <w:szCs w:val="18"/>
        </w:rPr>
        <w:t xml:space="preserve"> </w:t>
      </w:r>
      <w:hyperlink r:id="rId1" w:history="1">
        <w:r w:rsidRPr="00103D53">
          <w:rPr>
            <w:rStyle w:val="Hyperlink"/>
            <w:rFonts w:ascii="Arial Narrow" w:hAnsi="Arial Narrow"/>
            <w:sz w:val="18"/>
            <w:szCs w:val="18"/>
          </w:rPr>
          <w:t>The Right to Protest Principles</w:t>
        </w:r>
      </w:hyperlink>
      <w:r w:rsidRPr="00103D53">
        <w:rPr>
          <w:rFonts w:ascii="Arial Narrow" w:hAnsi="Arial Narrow"/>
          <w:sz w:val="18"/>
          <w:szCs w:val="18"/>
        </w:rPr>
        <w:t xml:space="preserve">, ARTICLE 19, 2016. </w:t>
      </w:r>
    </w:p>
  </w:footnote>
  <w:footnote w:id="3">
    <w:p w14:paraId="2B299FBE" w14:textId="4ACB402F" w:rsidR="00917BB5" w:rsidRPr="00103D53" w:rsidRDefault="00917BB5">
      <w:pPr>
        <w:pStyle w:val="FootnoteText"/>
        <w:rPr>
          <w:rFonts w:ascii="Arial Narrow" w:hAnsi="Arial Narrow"/>
          <w:sz w:val="18"/>
          <w:szCs w:val="18"/>
        </w:rPr>
      </w:pPr>
      <w:r w:rsidRPr="00103D53">
        <w:rPr>
          <w:rStyle w:val="FootnoteReference"/>
          <w:rFonts w:ascii="Arial Narrow" w:hAnsi="Arial Narrow"/>
          <w:sz w:val="18"/>
          <w:szCs w:val="18"/>
        </w:rPr>
        <w:footnoteRef/>
      </w:r>
      <w:r w:rsidRPr="00103D53">
        <w:rPr>
          <w:rFonts w:ascii="Arial Narrow" w:hAnsi="Arial Narrow"/>
          <w:sz w:val="18"/>
          <w:szCs w:val="18"/>
        </w:rPr>
        <w:t xml:space="preserve"> “</w:t>
      </w:r>
      <w:hyperlink r:id="rId2" w:history="1">
        <w:r w:rsidRPr="00103D53">
          <w:rPr>
            <w:rStyle w:val="Hyperlink"/>
            <w:rFonts w:ascii="Arial Narrow" w:hAnsi="Arial Narrow"/>
            <w:sz w:val="18"/>
            <w:szCs w:val="18"/>
          </w:rPr>
          <w:t xml:space="preserve">Issues for consideration during a half-day general discussion in preparation for a General Comment on article 21 (right to peaceful assembly) of the </w:t>
        </w:r>
        <w:r w:rsidRPr="00103D53">
          <w:rPr>
            <w:rStyle w:val="Hyperlink"/>
            <w:rFonts w:ascii="Arial Narrow" w:eastAsia="Calibri" w:hAnsi="Arial Narrow"/>
            <w:sz w:val="18"/>
            <w:szCs w:val="18"/>
          </w:rPr>
          <w:t>International Covenant on Civil and Political Rights</w:t>
        </w:r>
      </w:hyperlink>
      <w:r w:rsidRPr="00103D53">
        <w:rPr>
          <w:rFonts w:ascii="Arial Narrow" w:eastAsia="Calibri" w:hAnsi="Arial Narrow"/>
          <w:sz w:val="18"/>
          <w:szCs w:val="18"/>
        </w:rPr>
        <w:t>”, Note by the Rapporteur.</w:t>
      </w:r>
    </w:p>
  </w:footnote>
  <w:footnote w:id="4">
    <w:p w14:paraId="514A3C70" w14:textId="77777777" w:rsidR="00917BB5" w:rsidRPr="00313A19" w:rsidRDefault="00917BB5" w:rsidP="00425DD2">
      <w:pPr>
        <w:pStyle w:val="FootnoteText"/>
        <w:rPr>
          <w:rFonts w:ascii="Arial Narrow" w:hAnsi="Arial Narrow"/>
          <w:sz w:val="18"/>
          <w:szCs w:val="18"/>
        </w:rPr>
      </w:pPr>
      <w:r w:rsidRPr="00103D53">
        <w:rPr>
          <w:rStyle w:val="FootnoteReference"/>
          <w:rFonts w:ascii="Arial Narrow" w:hAnsi="Arial Narrow"/>
          <w:sz w:val="18"/>
          <w:szCs w:val="18"/>
        </w:rPr>
        <w:footnoteRef/>
      </w:r>
      <w:r w:rsidRPr="00103D53">
        <w:rPr>
          <w:rFonts w:ascii="Arial Narrow" w:hAnsi="Arial Narrow"/>
          <w:sz w:val="18"/>
          <w:szCs w:val="18"/>
        </w:rPr>
        <w:t xml:space="preserve"> The Protest Principles, </w:t>
      </w:r>
      <w:r w:rsidRPr="00103D53">
        <w:rPr>
          <w:rFonts w:ascii="Arial Narrow" w:hAnsi="Arial Narrow"/>
          <w:i/>
          <w:sz w:val="18"/>
          <w:szCs w:val="18"/>
        </w:rPr>
        <w:t>op. cit.</w:t>
      </w:r>
      <w:r w:rsidRPr="00103D53">
        <w:rPr>
          <w:rFonts w:ascii="Arial Narrow" w:hAnsi="Arial Narrow"/>
          <w:sz w:val="18"/>
          <w:szCs w:val="18"/>
        </w:rPr>
        <w:t>, Principle</w:t>
      </w:r>
      <w:r w:rsidRPr="00313A19">
        <w:rPr>
          <w:rFonts w:ascii="Arial Narrow" w:hAnsi="Arial Narrow"/>
          <w:sz w:val="18"/>
          <w:szCs w:val="18"/>
        </w:rPr>
        <w:t xml:space="preserve"> 1.1. </w:t>
      </w:r>
    </w:p>
  </w:footnote>
  <w:footnote w:id="5">
    <w:p w14:paraId="0DDDC37B" w14:textId="267343B0" w:rsidR="00917BB5" w:rsidRPr="00103D53" w:rsidRDefault="00917BB5">
      <w:pPr>
        <w:pStyle w:val="FootnoteText"/>
        <w:rPr>
          <w:rFonts w:ascii="Arial Narrow" w:hAnsi="Arial Narrow"/>
          <w:sz w:val="18"/>
          <w:szCs w:val="18"/>
        </w:rPr>
      </w:pPr>
      <w:r w:rsidRPr="00103D53">
        <w:rPr>
          <w:rStyle w:val="FootnoteReference"/>
          <w:rFonts w:ascii="Arial Narrow" w:hAnsi="Arial Narrow"/>
          <w:sz w:val="18"/>
          <w:szCs w:val="18"/>
        </w:rPr>
        <w:footnoteRef/>
      </w:r>
      <w:r w:rsidRPr="00103D53">
        <w:rPr>
          <w:rFonts w:ascii="Arial Narrow" w:hAnsi="Arial Narrow"/>
          <w:sz w:val="18"/>
          <w:szCs w:val="18"/>
        </w:rPr>
        <w:t xml:space="preserve"> Note by the Rapporteur, Question 1: </w:t>
      </w:r>
      <w:r w:rsidRPr="00103D53">
        <w:rPr>
          <w:rFonts w:ascii="Arial Narrow" w:eastAsia="Calibri" w:hAnsi="Arial Narrow"/>
          <w:sz w:val="18"/>
          <w:szCs w:val="18"/>
        </w:rPr>
        <w:t xml:space="preserve">What are the unique features of the right to peaceful assembly, which distinguishes it from other related rights such as freedom of expression and political participation? What is the function, added value and rationale for this right in a social system based on democracy and human rights? Does the scope of the right differ depending on the context (for example, is it the same during political transitions)? </w:t>
      </w:r>
    </w:p>
  </w:footnote>
  <w:footnote w:id="6">
    <w:p w14:paraId="06C1D04C" w14:textId="6CE9AF0B" w:rsidR="00917BB5" w:rsidRPr="00103D53" w:rsidRDefault="00917BB5">
      <w:pPr>
        <w:pStyle w:val="FootnoteText"/>
        <w:rPr>
          <w:rFonts w:ascii="Arial Narrow" w:hAnsi="Arial Narrow"/>
          <w:sz w:val="18"/>
          <w:szCs w:val="18"/>
        </w:rPr>
      </w:pPr>
      <w:r w:rsidRPr="00103D53">
        <w:rPr>
          <w:rStyle w:val="FootnoteReference"/>
          <w:rFonts w:ascii="Arial Narrow" w:hAnsi="Arial Narrow"/>
          <w:sz w:val="18"/>
          <w:szCs w:val="18"/>
        </w:rPr>
        <w:footnoteRef/>
      </w:r>
      <w:r w:rsidRPr="00103D53">
        <w:rPr>
          <w:rFonts w:ascii="Arial Narrow" w:hAnsi="Arial Narrow"/>
          <w:sz w:val="18"/>
          <w:szCs w:val="18"/>
        </w:rPr>
        <w:t xml:space="preserve"> UN High Commissioner for Human Rights, Michelle Bachelet, address to 40</w:t>
      </w:r>
      <w:r w:rsidRPr="00103D53">
        <w:rPr>
          <w:rFonts w:ascii="Arial Narrow" w:hAnsi="Arial Narrow"/>
          <w:sz w:val="18"/>
          <w:szCs w:val="18"/>
          <w:vertAlign w:val="superscript"/>
        </w:rPr>
        <w:t>th</w:t>
      </w:r>
      <w:r w:rsidRPr="00103D53">
        <w:rPr>
          <w:rFonts w:ascii="Arial Narrow" w:hAnsi="Arial Narrow"/>
          <w:sz w:val="18"/>
          <w:szCs w:val="18"/>
        </w:rPr>
        <w:t xml:space="preserve"> Session of the UN Human Rights Council, 6 March 2019; available at: </w:t>
      </w:r>
      <w:hyperlink r:id="rId3" w:history="1">
        <w:r w:rsidRPr="00103D53">
          <w:rPr>
            <w:rStyle w:val="Hyperlink"/>
            <w:rFonts w:ascii="Arial Narrow" w:hAnsi="Arial Narrow"/>
            <w:sz w:val="18"/>
            <w:szCs w:val="18"/>
          </w:rPr>
          <w:t>https://www.ohchr.org/EN/NewsEvents/Pages/DisplayNews.aspx?NewsID=24265&amp;LangID=E</w:t>
        </w:r>
      </w:hyperlink>
      <w:r w:rsidRPr="00103D53">
        <w:rPr>
          <w:rFonts w:ascii="Arial Narrow" w:hAnsi="Arial Narrow"/>
          <w:sz w:val="18"/>
          <w:szCs w:val="18"/>
        </w:rPr>
        <w:t xml:space="preserve">. </w:t>
      </w:r>
    </w:p>
  </w:footnote>
  <w:footnote w:id="7">
    <w:p w14:paraId="6D5409DA" w14:textId="0A345E47" w:rsidR="00917BB5" w:rsidRDefault="00917BB5">
      <w:pPr>
        <w:pStyle w:val="FootnoteText"/>
      </w:pPr>
      <w:r w:rsidRPr="00103D53">
        <w:rPr>
          <w:rStyle w:val="FootnoteReference"/>
          <w:rFonts w:ascii="Arial Narrow" w:hAnsi="Arial Narrow"/>
          <w:sz w:val="18"/>
          <w:szCs w:val="18"/>
        </w:rPr>
        <w:footnoteRef/>
      </w:r>
      <w:r w:rsidRPr="00103D53">
        <w:rPr>
          <w:rFonts w:ascii="Arial Narrow" w:hAnsi="Arial Narrow"/>
          <w:sz w:val="18"/>
          <w:szCs w:val="18"/>
        </w:rPr>
        <w:t xml:space="preserve"> Report of the UN Special Rapporteur on freedom of peaceful assembly and of association, A/73/279, recommendations from para. 101. Available at: </w:t>
      </w:r>
      <w:hyperlink r:id="rId4" w:history="1">
        <w:r w:rsidRPr="00103D53">
          <w:rPr>
            <w:rStyle w:val="Hyperlink"/>
            <w:rFonts w:ascii="Arial Narrow" w:hAnsi="Arial Narrow"/>
            <w:sz w:val="18"/>
            <w:szCs w:val="18"/>
          </w:rPr>
          <w:t>https://undocs.org/A/73/279</w:t>
        </w:r>
      </w:hyperlink>
      <w:r>
        <w:rPr>
          <w:rFonts w:ascii="Arial Narrow" w:hAnsi="Arial Narrow"/>
          <w:sz w:val="18"/>
          <w:szCs w:val="18"/>
        </w:rPr>
        <w:t xml:space="preserve">  </w:t>
      </w:r>
      <w:r w:rsidRPr="005E0098">
        <w:rPr>
          <w:rFonts w:ascii="Arial Narrow" w:hAnsi="Arial Narrow"/>
          <w:sz w:val="18"/>
          <w:szCs w:val="18"/>
        </w:rPr>
        <w:t xml:space="preserve"> </w:t>
      </w:r>
    </w:p>
  </w:footnote>
  <w:footnote w:id="8">
    <w:p w14:paraId="674688DB" w14:textId="46E119E0" w:rsidR="00917BB5" w:rsidRPr="000364B7" w:rsidRDefault="00917BB5" w:rsidP="005E0098">
      <w:pPr>
        <w:pStyle w:val="SingleTxtG"/>
        <w:spacing w:after="0" w:line="240" w:lineRule="auto"/>
        <w:ind w:left="0" w:right="-35"/>
        <w:rPr>
          <w:rFonts w:ascii="Arial Narrow" w:eastAsia="Calibri" w:hAnsi="Arial Narrow"/>
        </w:rPr>
      </w:pPr>
      <w:r w:rsidRPr="005E0098">
        <w:rPr>
          <w:rStyle w:val="FootnoteReference"/>
          <w:rFonts w:ascii="Arial Narrow" w:hAnsi="Arial Narrow"/>
          <w:sz w:val="18"/>
          <w:szCs w:val="18"/>
        </w:rPr>
        <w:footnoteRef/>
      </w:r>
      <w:r w:rsidRPr="005E0098">
        <w:rPr>
          <w:rFonts w:ascii="Arial Narrow" w:hAnsi="Arial Narrow"/>
          <w:sz w:val="18"/>
          <w:szCs w:val="18"/>
        </w:rPr>
        <w:t xml:space="preserve"> Note by the Rapporteur, Question 2. </w:t>
      </w:r>
      <w:r w:rsidRPr="005E0098">
        <w:rPr>
          <w:rFonts w:ascii="Arial Narrow" w:eastAsia="Calibri" w:hAnsi="Arial Narrow"/>
          <w:sz w:val="18"/>
          <w:szCs w:val="18"/>
        </w:rPr>
        <w:t>When is an assembly not ‘peaceful’, and fall outside the scope of the protection of the particular right? What level of violence (or mere disruption?) is required not to consider it peaceful? To what extent can the violent conduct of certain individuals participating in the</w:t>
      </w:r>
      <w:r w:rsidRPr="000364B7">
        <w:rPr>
          <w:rFonts w:ascii="Arial Narrow" w:eastAsia="Calibri" w:hAnsi="Arial Narrow"/>
          <w:sz w:val="18"/>
        </w:rPr>
        <w:t xml:space="preserve"> assembly be attributed to the group as a whole and render an assembly as a whole not peaceful?</w:t>
      </w:r>
    </w:p>
  </w:footnote>
  <w:footnote w:id="9">
    <w:p w14:paraId="79618D29" w14:textId="6CFC3B42" w:rsidR="00917BB5" w:rsidRDefault="00917BB5" w:rsidP="004D68D7">
      <w:pPr>
        <w:pStyle w:val="FootnoteText"/>
      </w:pPr>
      <w:r>
        <w:rPr>
          <w:rStyle w:val="FootnoteReference"/>
        </w:rPr>
        <w:footnoteRef/>
      </w:r>
      <w:r>
        <w:t xml:space="preserve"> </w:t>
      </w:r>
      <w:r w:rsidRPr="00E828DB">
        <w:rPr>
          <w:rFonts w:ascii="Arial Narrow" w:hAnsi="Arial Narrow"/>
          <w:sz w:val="18"/>
        </w:rPr>
        <w:t xml:space="preserve">The Protest Principles, </w:t>
      </w:r>
      <w:r w:rsidRPr="00E828DB">
        <w:rPr>
          <w:rFonts w:ascii="Arial Narrow" w:hAnsi="Arial Narrow"/>
          <w:i/>
          <w:sz w:val="18"/>
        </w:rPr>
        <w:t>op. cit.</w:t>
      </w:r>
      <w:r>
        <w:rPr>
          <w:rFonts w:ascii="Arial Narrow" w:hAnsi="Arial Narrow"/>
          <w:sz w:val="18"/>
        </w:rPr>
        <w:t>, Principle 1.2</w:t>
      </w:r>
      <w:r w:rsidRPr="00E828DB">
        <w:rPr>
          <w:rFonts w:ascii="Arial Narrow" w:hAnsi="Arial Narrow"/>
          <w:sz w:val="18"/>
        </w:rPr>
        <w:t>.</w:t>
      </w:r>
    </w:p>
  </w:footnote>
  <w:footnote w:id="10">
    <w:p w14:paraId="1D849103" w14:textId="3EBCCF6C" w:rsidR="00917BB5" w:rsidRPr="005E0098" w:rsidRDefault="00917BB5">
      <w:pPr>
        <w:pStyle w:val="FootnoteText"/>
        <w:rPr>
          <w:rFonts w:ascii="Arial Narrow" w:hAnsi="Arial Narrow"/>
        </w:rPr>
      </w:pPr>
      <w:r w:rsidRPr="005E0098">
        <w:rPr>
          <w:rStyle w:val="FootnoteReference"/>
          <w:rFonts w:ascii="Arial Narrow" w:hAnsi="Arial Narrow"/>
          <w:sz w:val="18"/>
        </w:rPr>
        <w:footnoteRef/>
      </w:r>
      <w:r w:rsidRPr="005E0098">
        <w:rPr>
          <w:rFonts w:ascii="Arial Narrow" w:hAnsi="Arial Narrow"/>
          <w:sz w:val="18"/>
        </w:rPr>
        <w:t xml:space="preserve"> </w:t>
      </w:r>
      <w:r>
        <w:rPr>
          <w:rFonts w:ascii="Arial Narrow" w:hAnsi="Arial Narrow"/>
          <w:sz w:val="18"/>
        </w:rPr>
        <w:t xml:space="preserve">The Protest Principles, </w:t>
      </w:r>
      <w:r>
        <w:rPr>
          <w:rFonts w:ascii="Arial Narrow" w:hAnsi="Arial Narrow"/>
          <w:i/>
          <w:sz w:val="18"/>
        </w:rPr>
        <w:t>op. cit.</w:t>
      </w:r>
      <w:r>
        <w:rPr>
          <w:rFonts w:ascii="Arial Narrow" w:hAnsi="Arial Narrow"/>
          <w:sz w:val="18"/>
        </w:rPr>
        <w:t>, Principle 10.2(b). These</w:t>
      </w:r>
      <w:r w:rsidRPr="005E0098">
        <w:rPr>
          <w:rFonts w:ascii="Arial Narrow" w:hAnsi="Arial Narrow"/>
          <w:sz w:val="18"/>
        </w:rPr>
        <w:t xml:space="preserve"> factors</w:t>
      </w:r>
      <w:r>
        <w:rPr>
          <w:rFonts w:ascii="Arial Narrow" w:hAnsi="Arial Narrow"/>
          <w:sz w:val="18"/>
        </w:rPr>
        <w:t xml:space="preserve"> correspond closely to those</w:t>
      </w:r>
      <w:r w:rsidRPr="005E0098">
        <w:rPr>
          <w:rFonts w:ascii="Arial Narrow" w:hAnsi="Arial Narrow"/>
          <w:sz w:val="18"/>
        </w:rPr>
        <w:t xml:space="preserve"> identified as a threshold test for assessing intent for and the likelihood of violence in the Rabat Plan of Action on the prohibition of advocacy of national, racial or religious hatred that constitutes incitement to discrimination hostility or violence, may be considered relevant. A/HRC/22/17.Add.4, 5 October 2012,  </w:t>
      </w:r>
    </w:p>
  </w:footnote>
  <w:footnote w:id="11">
    <w:p w14:paraId="7F648622" w14:textId="4C35A615" w:rsidR="00917BB5" w:rsidRPr="007B2F30" w:rsidRDefault="00917BB5" w:rsidP="00F71850">
      <w:pPr>
        <w:pStyle w:val="FootnoteText"/>
        <w:rPr>
          <w:rFonts w:ascii="Arial Narrow" w:hAnsi="Arial Narrow"/>
        </w:rPr>
      </w:pPr>
      <w:r w:rsidRPr="007B2F30">
        <w:rPr>
          <w:rStyle w:val="FootnoteReference"/>
          <w:rFonts w:ascii="Arial Narrow" w:hAnsi="Arial Narrow"/>
          <w:sz w:val="18"/>
        </w:rPr>
        <w:footnoteRef/>
      </w:r>
      <w:r w:rsidRPr="007B2F30">
        <w:rPr>
          <w:rFonts w:ascii="Arial Narrow" w:hAnsi="Arial Narrow"/>
          <w:sz w:val="18"/>
        </w:rPr>
        <w:t xml:space="preserve"> </w:t>
      </w:r>
      <w:r>
        <w:rPr>
          <w:rFonts w:ascii="Arial Narrow" w:hAnsi="Arial Narrow"/>
          <w:sz w:val="18"/>
        </w:rPr>
        <w:t>ECtHR</w:t>
      </w:r>
      <w:r w:rsidRPr="007B2F30">
        <w:rPr>
          <w:rFonts w:ascii="Arial Narrow" w:hAnsi="Arial Narrow"/>
          <w:sz w:val="18"/>
        </w:rPr>
        <w:t xml:space="preserve">, </w:t>
      </w:r>
      <w:r w:rsidRPr="007B2F30">
        <w:rPr>
          <w:rFonts w:ascii="Arial Narrow" w:hAnsi="Arial Narrow"/>
          <w:i/>
          <w:sz w:val="18"/>
        </w:rPr>
        <w:t>G. vs. Germany</w:t>
      </w:r>
      <w:r w:rsidRPr="007B2F30">
        <w:rPr>
          <w:rFonts w:ascii="Arial Narrow" w:hAnsi="Arial Narrow"/>
          <w:sz w:val="18"/>
        </w:rPr>
        <w:t xml:space="preserve">, App. No. 13079/87 (1989); </w:t>
      </w:r>
      <w:r w:rsidRPr="007B2F30">
        <w:rPr>
          <w:rFonts w:ascii="Arial Narrow" w:hAnsi="Arial Narrow"/>
          <w:i/>
          <w:sz w:val="18"/>
        </w:rPr>
        <w:t>Plattform “Artze fur das Leben” vs Austria</w:t>
      </w:r>
      <w:r w:rsidRPr="007B2F30">
        <w:rPr>
          <w:rFonts w:ascii="Arial Narrow" w:hAnsi="Arial Narrow"/>
          <w:sz w:val="18"/>
        </w:rPr>
        <w:t xml:space="preserve">, App. No. 10126/82 (1998), para 32. </w:t>
      </w:r>
      <w:r>
        <w:rPr>
          <w:rFonts w:ascii="Arial Narrow" w:hAnsi="Arial Narrow"/>
          <w:sz w:val="18"/>
        </w:rPr>
        <w:t xml:space="preserve">See also: The OSCE Guidelines on Freedom of Peaceful Assembly, Second Edition, 2012, para. 25.   </w:t>
      </w:r>
    </w:p>
  </w:footnote>
  <w:footnote w:id="12">
    <w:p w14:paraId="4DE93218" w14:textId="7CE9A9DA" w:rsidR="00917BB5" w:rsidRPr="00066FA9" w:rsidRDefault="00917BB5">
      <w:pPr>
        <w:pStyle w:val="FootnoteText"/>
        <w:rPr>
          <w:rFonts w:ascii="Arial Narrow" w:hAnsi="Arial Narrow"/>
          <w:sz w:val="18"/>
          <w:szCs w:val="18"/>
        </w:rPr>
      </w:pPr>
      <w:r w:rsidRPr="00066FA9">
        <w:rPr>
          <w:rStyle w:val="FootnoteReference"/>
          <w:rFonts w:ascii="Arial Narrow" w:hAnsi="Arial Narrow"/>
          <w:sz w:val="18"/>
          <w:szCs w:val="18"/>
        </w:rPr>
        <w:footnoteRef/>
      </w:r>
      <w:r w:rsidRPr="00066FA9">
        <w:rPr>
          <w:rFonts w:ascii="Arial Narrow" w:hAnsi="Arial Narrow"/>
          <w:sz w:val="18"/>
          <w:szCs w:val="18"/>
        </w:rPr>
        <w:t xml:space="preserve"> See, for example: HR Committee, Alekseev vs. Russian Federation, </w:t>
      </w:r>
      <w:r w:rsidRPr="00066FA9">
        <w:rPr>
          <w:rFonts w:ascii="Arial Narrow" w:hAnsi="Arial Narrow" w:cstheme="minorHAnsi"/>
          <w:sz w:val="18"/>
          <w:szCs w:val="18"/>
        </w:rPr>
        <w:t>Communication No. 1873/2009, UN Doc. CCPR/C/109/D/1873/2009, 2 December 2013</w:t>
      </w:r>
      <w:r>
        <w:rPr>
          <w:rFonts w:ascii="Arial Narrow" w:hAnsi="Arial Narrow" w:cstheme="minorHAnsi"/>
          <w:sz w:val="18"/>
          <w:szCs w:val="18"/>
        </w:rPr>
        <w:t xml:space="preserve">, finding a violation of Article 21. The suggestion that a pro-LGBT rights protest would provoke a negative reaction in the public, whom the authorities considered opposed to the protest’s objectives, was not sufficient basis for denying authorisation to the assembly.   </w:t>
      </w:r>
    </w:p>
  </w:footnote>
  <w:footnote w:id="13">
    <w:p w14:paraId="064B07EE" w14:textId="77777777" w:rsidR="00917BB5" w:rsidRDefault="00917BB5" w:rsidP="00F71850">
      <w:pPr>
        <w:pStyle w:val="FootnoteText"/>
      </w:pPr>
      <w:r>
        <w:rPr>
          <w:rStyle w:val="FootnoteReference"/>
        </w:rPr>
        <w:footnoteRef/>
      </w:r>
      <w:r>
        <w:t xml:space="preserve"> </w:t>
      </w:r>
      <w:r w:rsidRPr="00E828DB">
        <w:rPr>
          <w:rFonts w:ascii="Arial Narrow" w:hAnsi="Arial Narrow"/>
          <w:sz w:val="18"/>
        </w:rPr>
        <w:t xml:space="preserve">The Protest Principles, </w:t>
      </w:r>
      <w:r w:rsidRPr="00E828DB">
        <w:rPr>
          <w:rFonts w:ascii="Arial Narrow" w:hAnsi="Arial Narrow"/>
          <w:i/>
          <w:sz w:val="18"/>
        </w:rPr>
        <w:t>op. cit.</w:t>
      </w:r>
      <w:r>
        <w:rPr>
          <w:rFonts w:ascii="Arial Narrow" w:hAnsi="Arial Narrow"/>
          <w:sz w:val="18"/>
        </w:rPr>
        <w:t xml:space="preserve">, Principle 1.1.a.iv </w:t>
      </w:r>
    </w:p>
  </w:footnote>
  <w:footnote w:id="14">
    <w:p w14:paraId="077BF48E" w14:textId="30CF708D" w:rsidR="00917BB5" w:rsidRPr="007F5211" w:rsidRDefault="00917BB5" w:rsidP="00F71850">
      <w:pPr>
        <w:pStyle w:val="FootnoteText"/>
        <w:rPr>
          <w:rFonts w:ascii="Arial Narrow" w:hAnsi="Arial Narrow"/>
          <w:sz w:val="18"/>
          <w:szCs w:val="18"/>
        </w:rPr>
      </w:pPr>
      <w:r w:rsidRPr="007F5211">
        <w:rPr>
          <w:rStyle w:val="FootnoteReference"/>
          <w:rFonts w:ascii="Arial Narrow" w:hAnsi="Arial Narrow"/>
          <w:sz w:val="18"/>
          <w:szCs w:val="18"/>
        </w:rPr>
        <w:footnoteRef/>
      </w:r>
      <w:r w:rsidRPr="007F5211">
        <w:rPr>
          <w:rFonts w:ascii="Arial Narrow" w:hAnsi="Arial Narrow"/>
          <w:sz w:val="18"/>
          <w:szCs w:val="18"/>
        </w:rPr>
        <w:t xml:space="preserve"> M. Nowak, UN Covenant on Civil and Political Rights: CCPR Commentary, p. 487. The Protest Principles, </w:t>
      </w:r>
      <w:r w:rsidRPr="007F5211">
        <w:rPr>
          <w:rFonts w:ascii="Arial Narrow" w:hAnsi="Arial Narrow"/>
          <w:i/>
          <w:sz w:val="18"/>
          <w:szCs w:val="18"/>
        </w:rPr>
        <w:t>op. cit.</w:t>
      </w:r>
      <w:r w:rsidRPr="007F5211">
        <w:rPr>
          <w:rFonts w:ascii="Arial Narrow" w:hAnsi="Arial Narrow"/>
          <w:sz w:val="18"/>
          <w:szCs w:val="18"/>
        </w:rPr>
        <w:t xml:space="preserve">, Principle 1.1.d. See also, OSCE Guidelines, </w:t>
      </w:r>
      <w:r w:rsidRPr="007F5211">
        <w:rPr>
          <w:rFonts w:ascii="Arial Narrow" w:hAnsi="Arial Narrow"/>
          <w:i/>
          <w:sz w:val="18"/>
          <w:szCs w:val="18"/>
        </w:rPr>
        <w:t>op. cit.</w:t>
      </w:r>
      <w:r w:rsidRPr="007F5211">
        <w:rPr>
          <w:rFonts w:ascii="Arial Narrow" w:hAnsi="Arial Narrow"/>
          <w:sz w:val="18"/>
          <w:szCs w:val="18"/>
        </w:rPr>
        <w:t xml:space="preserve">, para 26. </w:t>
      </w:r>
    </w:p>
  </w:footnote>
  <w:footnote w:id="15">
    <w:p w14:paraId="0E52C6AD" w14:textId="32997E77" w:rsidR="00917BB5" w:rsidRPr="00834715" w:rsidRDefault="00917BB5" w:rsidP="007B5FD8">
      <w:pPr>
        <w:pStyle w:val="FootnoteText"/>
        <w:rPr>
          <w:rFonts w:ascii="Arial Narrow" w:hAnsi="Arial Narrow"/>
          <w:sz w:val="18"/>
          <w:szCs w:val="18"/>
        </w:rPr>
      </w:pPr>
      <w:r w:rsidRPr="00C753AE">
        <w:rPr>
          <w:rStyle w:val="FootnoteReference"/>
          <w:rFonts w:ascii="Arial Narrow" w:hAnsi="Arial Narrow"/>
          <w:sz w:val="18"/>
          <w:szCs w:val="18"/>
        </w:rPr>
        <w:footnoteRef/>
      </w:r>
      <w:r w:rsidRPr="00C753AE">
        <w:rPr>
          <w:rFonts w:ascii="Arial Narrow" w:hAnsi="Arial Narrow"/>
          <w:sz w:val="18"/>
          <w:szCs w:val="18"/>
        </w:rPr>
        <w:t xml:space="preserve"> The Protest Principles, </w:t>
      </w:r>
      <w:r w:rsidRPr="00C753AE">
        <w:rPr>
          <w:rFonts w:ascii="Arial Narrow" w:hAnsi="Arial Narrow"/>
          <w:i/>
          <w:sz w:val="18"/>
          <w:szCs w:val="18"/>
        </w:rPr>
        <w:t xml:space="preserve">op. cit. </w:t>
      </w:r>
      <w:r w:rsidRPr="00C753AE">
        <w:rPr>
          <w:rFonts w:ascii="Arial Narrow" w:hAnsi="Arial Narrow"/>
          <w:sz w:val="18"/>
          <w:szCs w:val="18"/>
        </w:rPr>
        <w:t>Principle 1.2.c</w:t>
      </w:r>
      <w:r>
        <w:rPr>
          <w:rFonts w:ascii="Arial Narrow" w:hAnsi="Arial Narrow"/>
          <w:sz w:val="18"/>
          <w:szCs w:val="18"/>
        </w:rPr>
        <w:t xml:space="preserve">. See also: ECtHR, </w:t>
      </w:r>
      <w:r>
        <w:rPr>
          <w:rFonts w:ascii="Arial Narrow" w:hAnsi="Arial Narrow"/>
          <w:i/>
          <w:sz w:val="18"/>
          <w:szCs w:val="18"/>
        </w:rPr>
        <w:t>Christians against Racism and Fascism</w:t>
      </w:r>
      <w:r>
        <w:rPr>
          <w:rFonts w:ascii="Arial Narrow" w:hAnsi="Arial Narrow"/>
          <w:sz w:val="18"/>
          <w:szCs w:val="18"/>
        </w:rPr>
        <w:t xml:space="preserve"> </w:t>
      </w:r>
      <w:r>
        <w:rPr>
          <w:rFonts w:ascii="Arial Narrow" w:hAnsi="Arial Narrow"/>
          <w:i/>
          <w:sz w:val="18"/>
          <w:szCs w:val="18"/>
        </w:rPr>
        <w:t>vs. the United Kingdom</w:t>
      </w:r>
      <w:r>
        <w:rPr>
          <w:rFonts w:ascii="Arial Narrow" w:hAnsi="Arial Narrow"/>
          <w:sz w:val="18"/>
          <w:szCs w:val="18"/>
        </w:rPr>
        <w:t xml:space="preserve">, App. No. 9440/78 (1980). </w:t>
      </w:r>
    </w:p>
  </w:footnote>
  <w:footnote w:id="16">
    <w:p w14:paraId="34EA8BBB" w14:textId="0C209E76" w:rsidR="00917BB5" w:rsidRPr="00EF18D4" w:rsidRDefault="00917BB5" w:rsidP="005E0098">
      <w:pPr>
        <w:pStyle w:val="SingleTxtG"/>
        <w:spacing w:after="0" w:line="240" w:lineRule="auto"/>
        <w:ind w:left="0" w:right="107"/>
        <w:rPr>
          <w:rFonts w:ascii="Arial Narrow" w:eastAsia="Calibri" w:hAnsi="Arial Narrow"/>
          <w:sz w:val="18"/>
          <w:szCs w:val="18"/>
        </w:rPr>
      </w:pPr>
      <w:r w:rsidRPr="000364B7">
        <w:rPr>
          <w:rStyle w:val="FootnoteReference"/>
          <w:rFonts w:ascii="Arial Narrow" w:hAnsi="Arial Narrow"/>
          <w:sz w:val="18"/>
        </w:rPr>
        <w:footnoteRef/>
      </w:r>
      <w:r w:rsidRPr="000364B7">
        <w:rPr>
          <w:rFonts w:ascii="Arial Narrow" w:hAnsi="Arial Narrow"/>
          <w:sz w:val="18"/>
        </w:rPr>
        <w:t xml:space="preserve"> </w:t>
      </w:r>
      <w:r>
        <w:rPr>
          <w:rFonts w:ascii="Arial Narrow" w:hAnsi="Arial Narrow"/>
          <w:sz w:val="18"/>
        </w:rPr>
        <w:t>Note by the Rapporteur, “</w:t>
      </w:r>
      <w:r w:rsidRPr="00EF18D4">
        <w:rPr>
          <w:rFonts w:ascii="Arial Narrow" w:hAnsi="Arial Narrow"/>
          <w:sz w:val="18"/>
          <w:szCs w:val="18"/>
        </w:rPr>
        <w:t>Question 2.</w:t>
      </w:r>
      <w:r w:rsidRPr="00EF18D4">
        <w:rPr>
          <w:rFonts w:ascii="Arial Narrow" w:eastAsia="Calibri" w:hAnsi="Arial Narrow"/>
          <w:sz w:val="18"/>
          <w:szCs w:val="18"/>
        </w:rPr>
        <w:t xml:space="preserve"> How should the term ‘peaceful assembly’ be understood?  When is one dealing with an ‘assembly’? Does it require the expression of an idea through a gathering, and if so, what is the hallmark of such an expression of an idea (e.g. does it necessarily entail an appeal to the public opinion</w:t>
      </w:r>
      <w:r w:rsidRPr="005E0098">
        <w:rPr>
          <w:rFonts w:ascii="Arial Narrow" w:eastAsia="Calibri" w:hAnsi="Arial Narrow"/>
          <w:sz w:val="18"/>
          <w:szCs w:val="18"/>
        </w:rPr>
        <w:t xml:space="preserve">)? Does it cover strikes?  Or do all gatherings (e.g., also sporting, religious, cultural events, or) qualify as ‘assemblies’? Does it matter whether the organizers pursue a commercial interest? In order to qualify as an assembly, are there requirements about where should the gathering should </w:t>
      </w:r>
      <w:r w:rsidRPr="008778D6">
        <w:rPr>
          <w:rFonts w:ascii="Arial Narrow" w:eastAsia="Calibri" w:hAnsi="Arial Narrow"/>
          <w:sz w:val="18"/>
          <w:szCs w:val="18"/>
        </w:rPr>
        <w:t>take place – in public, private or on-line? Can one person form an assembly?” Question 14: To what extent are private actors (including the owners of shopping centres) required to allow of facilitate peaceful assemblies? How should the responsibility of States in such situations be approached?</w:t>
      </w:r>
      <w:r w:rsidRPr="008778D6">
        <w:rPr>
          <w:rFonts w:ascii="Arial Narrow" w:eastAsia="Calibri" w:hAnsi="Arial Narrow" w:cs="Arial"/>
          <w:sz w:val="18"/>
          <w:szCs w:val="18"/>
        </w:rPr>
        <w:t xml:space="preserve"> </w:t>
      </w:r>
      <w:r w:rsidRPr="008778D6">
        <w:rPr>
          <w:rFonts w:ascii="Arial Narrow" w:eastAsia="Calibri" w:hAnsi="Arial Narrow"/>
          <w:sz w:val="18"/>
          <w:szCs w:val="18"/>
        </w:rPr>
        <w:t>How should public places (partly) owned by a State company (e.g. airports) be treated?;  Question</w:t>
      </w:r>
      <w:r w:rsidRPr="005E0098">
        <w:rPr>
          <w:rFonts w:ascii="Arial Narrow" w:eastAsia="Calibri" w:hAnsi="Arial Narrow"/>
          <w:sz w:val="18"/>
          <w:szCs w:val="18"/>
        </w:rPr>
        <w:t xml:space="preserve"> 19: “Moreover, to what extent does the right of peaceful assembly apply in the digital space? Can ‘gathering’ online impose obligations on States and other actors to facilitate it?”</w:t>
      </w:r>
    </w:p>
  </w:footnote>
  <w:footnote w:id="17">
    <w:p w14:paraId="2397A8F6" w14:textId="77777777" w:rsidR="00917BB5" w:rsidRPr="005E0098" w:rsidRDefault="00917BB5" w:rsidP="005E0098">
      <w:pPr>
        <w:pStyle w:val="FootnoteText"/>
        <w:rPr>
          <w:rFonts w:ascii="Arial Narrow" w:hAnsi="Arial Narrow"/>
          <w:sz w:val="18"/>
          <w:szCs w:val="18"/>
        </w:rPr>
      </w:pPr>
      <w:r w:rsidRPr="005E0098">
        <w:rPr>
          <w:rStyle w:val="FootnoteReference"/>
          <w:rFonts w:ascii="Arial Narrow" w:hAnsi="Arial Narrow"/>
          <w:sz w:val="18"/>
          <w:szCs w:val="18"/>
        </w:rPr>
        <w:footnoteRef/>
      </w:r>
      <w:r w:rsidRPr="005E0098">
        <w:rPr>
          <w:rFonts w:ascii="Arial Narrow" w:hAnsi="Arial Narrow"/>
          <w:sz w:val="18"/>
          <w:szCs w:val="18"/>
        </w:rPr>
        <w:t xml:space="preserve"> The Protest Principles, </w:t>
      </w:r>
      <w:r w:rsidRPr="005E0098">
        <w:rPr>
          <w:rFonts w:ascii="Arial Narrow" w:hAnsi="Arial Narrow"/>
          <w:i/>
          <w:sz w:val="18"/>
          <w:szCs w:val="18"/>
        </w:rPr>
        <w:t>op. cit</w:t>
      </w:r>
      <w:r w:rsidRPr="005E0098">
        <w:rPr>
          <w:rFonts w:ascii="Arial Narrow" w:hAnsi="Arial Narrow"/>
          <w:sz w:val="18"/>
          <w:szCs w:val="18"/>
        </w:rPr>
        <w:t xml:space="preserve">., Principles 8, 9 and 10. </w:t>
      </w:r>
    </w:p>
  </w:footnote>
  <w:footnote w:id="18">
    <w:p w14:paraId="50F03FBE" w14:textId="7FCC31B4" w:rsidR="00917BB5" w:rsidRPr="005E0098" w:rsidRDefault="00917BB5" w:rsidP="00AF6D30">
      <w:pPr>
        <w:pStyle w:val="FootnoteText"/>
        <w:jc w:val="both"/>
        <w:rPr>
          <w:rFonts w:ascii="Arial Narrow" w:hAnsi="Arial Narrow"/>
          <w:sz w:val="18"/>
          <w:szCs w:val="18"/>
        </w:rPr>
      </w:pPr>
      <w:r w:rsidRPr="005E0098">
        <w:rPr>
          <w:rStyle w:val="FootnoteReference"/>
          <w:rFonts w:ascii="Arial Narrow" w:hAnsi="Arial Narrow"/>
          <w:sz w:val="18"/>
          <w:szCs w:val="18"/>
        </w:rPr>
        <w:footnoteRef/>
      </w:r>
      <w:r w:rsidRPr="005E0098">
        <w:rPr>
          <w:rFonts w:ascii="Arial Narrow" w:hAnsi="Arial Narrow"/>
          <w:sz w:val="18"/>
          <w:szCs w:val="18"/>
        </w:rPr>
        <w:t xml:space="preserve"> Joint report of the Special Rapporteur on the rights to freedom of peaceful assembly and of association and the Special Rapporteur on extrajudicial, summary or arbitrary executions on the proper management of assemblies, 4 February 2019, A/HRC/31/66, at para. 10; available at: </w:t>
      </w:r>
      <w:hyperlink r:id="rId5" w:history="1">
        <w:r w:rsidRPr="005E0098">
          <w:rPr>
            <w:rStyle w:val="Hyperlink"/>
            <w:rFonts w:ascii="Arial Narrow" w:hAnsi="Arial Narrow"/>
            <w:sz w:val="18"/>
            <w:szCs w:val="18"/>
          </w:rPr>
          <w:t>http://ap.ohchr.org/documents/dpage_e.aspx?si=A/HRC/31/66</w:t>
        </w:r>
      </w:hyperlink>
    </w:p>
  </w:footnote>
  <w:footnote w:id="19">
    <w:p w14:paraId="4334503F" w14:textId="740124D7" w:rsidR="00917BB5" w:rsidRPr="00AF6D30" w:rsidRDefault="00917BB5" w:rsidP="00AF6D30">
      <w:pPr>
        <w:pStyle w:val="FootnoteText"/>
        <w:jc w:val="both"/>
        <w:rPr>
          <w:rFonts w:ascii="Arial Narrow" w:hAnsi="Arial Narrow"/>
          <w:sz w:val="18"/>
          <w:szCs w:val="18"/>
        </w:rPr>
      </w:pPr>
      <w:r w:rsidRPr="00AF6D30">
        <w:rPr>
          <w:rStyle w:val="FootnoteReference"/>
          <w:rFonts w:ascii="Arial Narrow" w:hAnsi="Arial Narrow"/>
          <w:sz w:val="18"/>
          <w:szCs w:val="18"/>
        </w:rPr>
        <w:footnoteRef/>
      </w:r>
      <w:r w:rsidRPr="00AF6D30">
        <w:rPr>
          <w:rFonts w:ascii="Arial Narrow" w:hAnsi="Arial Narrow"/>
          <w:sz w:val="18"/>
          <w:szCs w:val="18"/>
        </w:rPr>
        <w:t xml:space="preserve"> See, for example: Concluding Observations on Republic of Korea, </w:t>
      </w:r>
      <w:r w:rsidRPr="00AF6D30">
        <w:rPr>
          <w:rFonts w:ascii="Arial Narrow" w:hAnsi="Arial Narrow"/>
          <w:bCs/>
          <w:sz w:val="18"/>
          <w:szCs w:val="18"/>
          <w:lang w:val="en-US"/>
        </w:rPr>
        <w:t>CCPR/C/KOR/CO/4, at para 52, and Concluding Observations on</w:t>
      </w:r>
      <w:r w:rsidRPr="00AF6D30">
        <w:rPr>
          <w:rFonts w:ascii="Arial Narrow" w:hAnsi="Arial Narrow"/>
          <w:sz w:val="18"/>
          <w:szCs w:val="18"/>
        </w:rPr>
        <w:t xml:space="preserve"> Tunisia, A/42/40, 31 March 1987, at para 141, both expressing concerns on limiting assemblies that continue past midnight. </w:t>
      </w:r>
    </w:p>
  </w:footnote>
  <w:footnote w:id="20">
    <w:p w14:paraId="76350061" w14:textId="61A55AA2" w:rsidR="00917BB5" w:rsidRPr="005E0098" w:rsidRDefault="00917BB5" w:rsidP="00AF6D30">
      <w:pPr>
        <w:pStyle w:val="FootnoteText"/>
        <w:jc w:val="both"/>
        <w:rPr>
          <w:rFonts w:ascii="Arial Narrow" w:hAnsi="Arial Narrow"/>
          <w:sz w:val="18"/>
          <w:szCs w:val="18"/>
        </w:rPr>
      </w:pPr>
      <w:r w:rsidRPr="00AF6D30">
        <w:rPr>
          <w:rStyle w:val="FootnoteReference"/>
          <w:rFonts w:ascii="Arial Narrow" w:hAnsi="Arial Narrow"/>
          <w:sz w:val="18"/>
          <w:szCs w:val="18"/>
        </w:rPr>
        <w:footnoteRef/>
      </w:r>
      <w:r w:rsidRPr="00AF6D30">
        <w:rPr>
          <w:rFonts w:ascii="Arial Narrow" w:hAnsi="Arial Narrow"/>
          <w:sz w:val="18"/>
          <w:szCs w:val="18"/>
        </w:rPr>
        <w:t xml:space="preserve"> The Protest Principles, </w:t>
      </w:r>
      <w:r w:rsidRPr="00AF6D30">
        <w:rPr>
          <w:rFonts w:ascii="Arial Narrow" w:hAnsi="Arial Narrow"/>
          <w:i/>
          <w:sz w:val="18"/>
          <w:szCs w:val="18"/>
        </w:rPr>
        <w:t>op. cit.</w:t>
      </w:r>
      <w:r w:rsidRPr="00AF6D30">
        <w:rPr>
          <w:rFonts w:ascii="Arial Narrow" w:hAnsi="Arial Narrow"/>
          <w:sz w:val="18"/>
          <w:szCs w:val="18"/>
        </w:rPr>
        <w:t>,</w:t>
      </w:r>
      <w:r w:rsidRPr="005E0098">
        <w:rPr>
          <w:rFonts w:ascii="Arial Narrow" w:hAnsi="Arial Narrow"/>
          <w:sz w:val="18"/>
          <w:szCs w:val="18"/>
        </w:rPr>
        <w:t xml:space="preserve"> Principle 9. </w:t>
      </w:r>
    </w:p>
  </w:footnote>
  <w:footnote w:id="21">
    <w:p w14:paraId="2FF34572" w14:textId="39B10803" w:rsidR="00917BB5" w:rsidRPr="00AF6D30" w:rsidRDefault="00917BB5" w:rsidP="00AF6D30">
      <w:pPr>
        <w:pStyle w:val="FootnoteText"/>
        <w:jc w:val="both"/>
        <w:rPr>
          <w:rFonts w:ascii="Arial Narrow" w:hAnsi="Arial Narrow"/>
          <w:sz w:val="18"/>
          <w:szCs w:val="18"/>
        </w:rPr>
      </w:pPr>
      <w:r w:rsidRPr="00AF6D30">
        <w:rPr>
          <w:rStyle w:val="FootnoteReference"/>
          <w:rFonts w:ascii="Arial Narrow" w:hAnsi="Arial Narrow"/>
          <w:sz w:val="18"/>
          <w:szCs w:val="18"/>
        </w:rPr>
        <w:footnoteRef/>
      </w:r>
      <w:r w:rsidRPr="00AF6D30">
        <w:rPr>
          <w:rFonts w:ascii="Arial Narrow" w:hAnsi="Arial Narrow"/>
          <w:sz w:val="18"/>
          <w:szCs w:val="18"/>
        </w:rPr>
        <w:t xml:space="preserve"> In relation to acts of preparation, the Committee has raised concerns at the use of preventative arrests of demonstrators, for example in its Concluding Observations on Belgium, November 2010, </w:t>
      </w:r>
      <w:r>
        <w:rPr>
          <w:rFonts w:ascii="Arial Narrow" w:hAnsi="Arial Narrow"/>
          <w:sz w:val="18"/>
          <w:szCs w:val="18"/>
        </w:rPr>
        <w:t xml:space="preserve">as well as incidents of harassment or intimidation to deter persons participating in assemblies, for example in its Concluding Observations on Algeria, CCPR/C/DZA/CO/3, 12 December 2007, at para 25. The existence of notification or authorisation regimes also makes clear that the Committee considers the right to freedom of peaceful assembly to be engaged ahead of an assembly commencing. See, for example: Concluding Observations on the Maldives, CCPR/C/MDV/CO/1, 31 August 2012, at para 23; Concluding Observations on Uzbekistan, CCPR/C/UZB/CO/4, 17 August 2015, at para. 24. </w:t>
      </w:r>
    </w:p>
  </w:footnote>
  <w:footnote w:id="22">
    <w:p w14:paraId="36848733" w14:textId="7BBE861E" w:rsidR="00917BB5" w:rsidRPr="0096322F" w:rsidRDefault="00917BB5" w:rsidP="0096322F">
      <w:pPr>
        <w:pStyle w:val="FootnoteText"/>
        <w:rPr>
          <w:rFonts w:ascii="Arial Narrow" w:hAnsi="Arial Narrow"/>
          <w:sz w:val="18"/>
          <w:szCs w:val="18"/>
        </w:rPr>
      </w:pPr>
      <w:r w:rsidRPr="0096322F">
        <w:rPr>
          <w:rStyle w:val="FootnoteReference"/>
          <w:rFonts w:ascii="Arial Narrow" w:hAnsi="Arial Narrow"/>
          <w:sz w:val="18"/>
          <w:szCs w:val="18"/>
        </w:rPr>
        <w:footnoteRef/>
      </w:r>
      <w:r w:rsidRPr="0096322F">
        <w:rPr>
          <w:rFonts w:ascii="Arial Narrow" w:hAnsi="Arial Narrow"/>
          <w:sz w:val="18"/>
          <w:szCs w:val="18"/>
        </w:rPr>
        <w:t xml:space="preserve"> HR Committee, Concluding Observations on Algeria, </w:t>
      </w:r>
      <w:r w:rsidRPr="0096322F">
        <w:rPr>
          <w:rFonts w:ascii="Arial Narrow" w:hAnsi="Arial Narrow"/>
          <w:bCs/>
          <w:sz w:val="18"/>
          <w:szCs w:val="18"/>
          <w:lang w:val="en-US"/>
        </w:rPr>
        <w:t>CCPR/C/DZA/CO/4, 17 August 2018, at para</w:t>
      </w:r>
      <w:r w:rsidRPr="0096322F">
        <w:rPr>
          <w:rFonts w:ascii="Arial Narrow" w:hAnsi="Arial Narrow"/>
          <w:sz w:val="18"/>
          <w:szCs w:val="18"/>
        </w:rPr>
        <w:t xml:space="preserve">. 45. </w:t>
      </w:r>
    </w:p>
  </w:footnote>
  <w:footnote w:id="23">
    <w:p w14:paraId="79301DE0" w14:textId="77777777" w:rsidR="00917BB5" w:rsidRPr="005E0098" w:rsidRDefault="00917BB5" w:rsidP="005E0098">
      <w:pPr>
        <w:pStyle w:val="FootnoteText"/>
        <w:rPr>
          <w:rFonts w:ascii="Arial Narrow" w:hAnsi="Arial Narrow"/>
          <w:sz w:val="18"/>
          <w:szCs w:val="18"/>
        </w:rPr>
      </w:pPr>
      <w:r w:rsidRPr="005E0098">
        <w:rPr>
          <w:rStyle w:val="FootnoteReference"/>
          <w:rFonts w:ascii="Arial Narrow" w:hAnsi="Arial Narrow"/>
          <w:sz w:val="18"/>
          <w:szCs w:val="18"/>
        </w:rPr>
        <w:footnoteRef/>
      </w:r>
      <w:r w:rsidRPr="005E0098">
        <w:rPr>
          <w:rFonts w:ascii="Arial Narrow" w:hAnsi="Arial Narrow"/>
          <w:sz w:val="18"/>
          <w:szCs w:val="18"/>
        </w:rPr>
        <w:t xml:space="preserve"> Joint report A/HRC/31/66, </w:t>
      </w:r>
      <w:r w:rsidRPr="005E0098">
        <w:rPr>
          <w:rFonts w:ascii="Arial Narrow" w:hAnsi="Arial Narrow"/>
          <w:i/>
          <w:sz w:val="18"/>
          <w:szCs w:val="18"/>
        </w:rPr>
        <w:t>op. cit.</w:t>
      </w:r>
      <w:r w:rsidRPr="005E0098">
        <w:rPr>
          <w:rFonts w:ascii="Arial Narrow" w:hAnsi="Arial Narrow"/>
          <w:sz w:val="18"/>
          <w:szCs w:val="18"/>
        </w:rPr>
        <w:t xml:space="preserve">, at para. 10. </w:t>
      </w:r>
    </w:p>
  </w:footnote>
  <w:footnote w:id="24">
    <w:p w14:paraId="65AE51F8" w14:textId="77777777" w:rsidR="00917BB5" w:rsidRPr="005E0098" w:rsidRDefault="00917BB5" w:rsidP="005E0098">
      <w:pPr>
        <w:pStyle w:val="FootnoteText"/>
        <w:rPr>
          <w:rFonts w:ascii="Arial Narrow" w:hAnsi="Arial Narrow"/>
          <w:sz w:val="18"/>
          <w:szCs w:val="18"/>
        </w:rPr>
      </w:pPr>
      <w:r w:rsidRPr="005E0098">
        <w:rPr>
          <w:rStyle w:val="FootnoteReference"/>
          <w:rFonts w:ascii="Arial Narrow" w:hAnsi="Arial Narrow"/>
          <w:sz w:val="18"/>
          <w:szCs w:val="18"/>
        </w:rPr>
        <w:footnoteRef/>
      </w:r>
      <w:r w:rsidRPr="005E0098">
        <w:rPr>
          <w:rFonts w:ascii="Arial Narrow" w:hAnsi="Arial Narrow"/>
          <w:sz w:val="18"/>
          <w:szCs w:val="18"/>
        </w:rPr>
        <w:t xml:space="preserve"> HRC Res 38/11 on the promotion and protection of human rights in the context of peaceful protests, A/HRC/RES/38/11, </w:t>
      </w:r>
      <w:r>
        <w:rPr>
          <w:rFonts w:ascii="Arial Narrow" w:hAnsi="Arial Narrow"/>
          <w:sz w:val="18"/>
          <w:szCs w:val="18"/>
        </w:rPr>
        <w:t xml:space="preserve">adopted by consensus on </w:t>
      </w:r>
      <w:r w:rsidRPr="005E0098">
        <w:rPr>
          <w:rFonts w:ascii="Arial Narrow" w:hAnsi="Arial Narrow"/>
          <w:sz w:val="18"/>
          <w:szCs w:val="18"/>
        </w:rPr>
        <w:t xml:space="preserve">6 July 2018, at preamble paragraph 22; available at: </w:t>
      </w:r>
      <w:hyperlink r:id="rId6" w:history="1">
        <w:r w:rsidRPr="005E0098">
          <w:rPr>
            <w:rStyle w:val="Hyperlink"/>
            <w:rFonts w:ascii="Arial Narrow" w:hAnsi="Arial Narrow"/>
            <w:sz w:val="18"/>
            <w:szCs w:val="18"/>
          </w:rPr>
          <w:t>http://ap.ohchr.org/documents/dpage_e.aspx?si=A/HRC/RES/38/11</w:t>
        </w:r>
      </w:hyperlink>
      <w:r w:rsidRPr="005E0098">
        <w:rPr>
          <w:rFonts w:ascii="Arial Narrow" w:hAnsi="Arial Narrow"/>
          <w:sz w:val="18"/>
          <w:szCs w:val="18"/>
        </w:rPr>
        <w:t xml:space="preserve"> </w:t>
      </w:r>
    </w:p>
  </w:footnote>
  <w:footnote w:id="25">
    <w:p w14:paraId="43C9BD19" w14:textId="7BE196AF" w:rsidR="00917BB5" w:rsidRPr="005E0098" w:rsidRDefault="00917BB5">
      <w:pPr>
        <w:pStyle w:val="FootnoteText"/>
        <w:rPr>
          <w:rFonts w:ascii="Arial Narrow" w:hAnsi="Arial Narrow"/>
          <w:sz w:val="18"/>
          <w:szCs w:val="18"/>
        </w:rPr>
      </w:pPr>
      <w:r w:rsidRPr="005E0098">
        <w:rPr>
          <w:rStyle w:val="FootnoteReference"/>
          <w:rFonts w:ascii="Arial Narrow" w:hAnsi="Arial Narrow"/>
          <w:sz w:val="18"/>
          <w:szCs w:val="18"/>
        </w:rPr>
        <w:footnoteRef/>
      </w:r>
      <w:r w:rsidRPr="005E0098">
        <w:rPr>
          <w:rFonts w:ascii="Arial Narrow" w:hAnsi="Arial Narrow"/>
          <w:sz w:val="18"/>
          <w:szCs w:val="18"/>
        </w:rPr>
        <w:t xml:space="preserve"> OSCE Guidelines, </w:t>
      </w:r>
      <w:r w:rsidRPr="005E0098">
        <w:rPr>
          <w:rFonts w:ascii="Arial Narrow" w:hAnsi="Arial Narrow"/>
          <w:i/>
          <w:sz w:val="18"/>
          <w:szCs w:val="18"/>
        </w:rPr>
        <w:t>op. cit.</w:t>
      </w:r>
      <w:r w:rsidRPr="005E0098">
        <w:rPr>
          <w:rFonts w:ascii="Arial Narrow" w:hAnsi="Arial Narrow"/>
          <w:sz w:val="18"/>
          <w:szCs w:val="18"/>
        </w:rPr>
        <w:t>, Principle 1.2</w:t>
      </w:r>
      <w:r>
        <w:rPr>
          <w:rFonts w:ascii="Arial Narrow" w:hAnsi="Arial Narrow"/>
          <w:sz w:val="18"/>
          <w:szCs w:val="18"/>
        </w:rPr>
        <w:t xml:space="preserve">. At the same time, the “definition recognises that, although particular forms of assembly may raise specific regulatory issues, all types of peaceful assembly – both static and moving assemblies, as well as those that take place publicly or privately owned premises or in enclosed structures – deserve protection.” </w:t>
      </w:r>
      <w:r w:rsidRPr="005E0098">
        <w:rPr>
          <w:rFonts w:ascii="Arial Narrow" w:hAnsi="Arial Narrow"/>
          <w:sz w:val="18"/>
          <w:szCs w:val="18"/>
        </w:rPr>
        <w:t xml:space="preserve"> </w:t>
      </w:r>
    </w:p>
  </w:footnote>
  <w:footnote w:id="26">
    <w:p w14:paraId="047426FF" w14:textId="77777777" w:rsidR="00917BB5" w:rsidRPr="005E0098" w:rsidRDefault="00917BB5" w:rsidP="005E0098">
      <w:pPr>
        <w:pStyle w:val="FootnoteText"/>
        <w:rPr>
          <w:rFonts w:ascii="Arial Narrow" w:hAnsi="Arial Narrow"/>
          <w:sz w:val="18"/>
          <w:szCs w:val="18"/>
        </w:rPr>
      </w:pPr>
      <w:r w:rsidRPr="005E0098">
        <w:rPr>
          <w:rStyle w:val="FootnoteReference"/>
          <w:rFonts w:ascii="Arial Narrow" w:hAnsi="Arial Narrow"/>
          <w:sz w:val="18"/>
          <w:szCs w:val="18"/>
        </w:rPr>
        <w:footnoteRef/>
      </w:r>
      <w:r w:rsidRPr="005E0098">
        <w:rPr>
          <w:rFonts w:ascii="Arial Narrow" w:hAnsi="Arial Narrow"/>
          <w:sz w:val="18"/>
          <w:szCs w:val="18"/>
        </w:rPr>
        <w:t xml:space="preserve"> European Court, </w:t>
      </w:r>
      <w:r w:rsidRPr="005E0098">
        <w:rPr>
          <w:rFonts w:ascii="Arial Narrow" w:hAnsi="Arial Narrow"/>
          <w:i/>
          <w:sz w:val="18"/>
          <w:szCs w:val="18"/>
        </w:rPr>
        <w:t>Appleby v. the United Kingdom</w:t>
      </w:r>
      <w:r w:rsidRPr="005E0098">
        <w:rPr>
          <w:rFonts w:ascii="Arial Narrow" w:hAnsi="Arial Narrow"/>
          <w:sz w:val="18"/>
          <w:szCs w:val="18"/>
        </w:rPr>
        <w:t>, App. No. 44306/98, 6 May 2003</w:t>
      </w:r>
    </w:p>
  </w:footnote>
  <w:footnote w:id="27">
    <w:p w14:paraId="172A7725" w14:textId="7B7AD0C2" w:rsidR="00917BB5" w:rsidRDefault="00917BB5" w:rsidP="00400E32">
      <w:pPr>
        <w:pStyle w:val="FootnoteText"/>
      </w:pPr>
      <w:r>
        <w:rPr>
          <w:rStyle w:val="FootnoteReference"/>
        </w:rPr>
        <w:footnoteRef/>
      </w:r>
      <w:r>
        <w:t xml:space="preserve"> </w:t>
      </w:r>
      <w:r w:rsidRPr="005E0098">
        <w:rPr>
          <w:rFonts w:ascii="Arial Narrow" w:hAnsi="Arial Narrow"/>
          <w:sz w:val="18"/>
          <w:szCs w:val="18"/>
        </w:rPr>
        <w:t xml:space="preserve">Joint report A/HRC/31/66, </w:t>
      </w:r>
      <w:r w:rsidRPr="005E0098">
        <w:rPr>
          <w:rFonts w:ascii="Arial Narrow" w:hAnsi="Arial Narrow"/>
          <w:i/>
          <w:sz w:val="18"/>
          <w:szCs w:val="18"/>
        </w:rPr>
        <w:t>op. cit.</w:t>
      </w:r>
      <w:r>
        <w:rPr>
          <w:rFonts w:ascii="Arial Narrow" w:hAnsi="Arial Narrow"/>
          <w:sz w:val="18"/>
          <w:szCs w:val="18"/>
        </w:rPr>
        <w:t>, at para. 84</w:t>
      </w:r>
      <w:r w:rsidRPr="005E0098">
        <w:rPr>
          <w:rFonts w:ascii="Arial Narrow" w:hAnsi="Arial Narrow"/>
          <w:sz w:val="18"/>
          <w:szCs w:val="18"/>
        </w:rPr>
        <w:t>.</w:t>
      </w:r>
    </w:p>
  </w:footnote>
  <w:footnote w:id="28">
    <w:p w14:paraId="3A439144" w14:textId="5B4929BF" w:rsidR="00917BB5" w:rsidRPr="00400E32" w:rsidRDefault="00917BB5">
      <w:pPr>
        <w:pStyle w:val="FootnoteText"/>
        <w:rPr>
          <w:rFonts w:ascii="Arial Narrow" w:hAnsi="Arial Narrow"/>
          <w:sz w:val="18"/>
          <w:szCs w:val="18"/>
        </w:rPr>
      </w:pPr>
      <w:r w:rsidRPr="00400E32">
        <w:rPr>
          <w:rStyle w:val="FootnoteReference"/>
          <w:rFonts w:ascii="Arial Narrow" w:hAnsi="Arial Narrow"/>
          <w:sz w:val="18"/>
          <w:szCs w:val="18"/>
        </w:rPr>
        <w:footnoteRef/>
      </w:r>
      <w:r w:rsidRPr="00400E32">
        <w:rPr>
          <w:rFonts w:ascii="Arial Narrow" w:hAnsi="Arial Narrow"/>
          <w:sz w:val="18"/>
          <w:szCs w:val="18"/>
        </w:rPr>
        <w:t xml:space="preserve"> </w:t>
      </w:r>
      <w:r w:rsidRPr="00400E32">
        <w:rPr>
          <w:rFonts w:ascii="Arial Narrow" w:hAnsi="Arial Narrow"/>
          <w:i/>
          <w:sz w:val="18"/>
          <w:szCs w:val="18"/>
        </w:rPr>
        <w:t>Op. cit.</w:t>
      </w:r>
      <w:r w:rsidRPr="00400E32">
        <w:rPr>
          <w:rFonts w:ascii="Arial Narrow" w:hAnsi="Arial Narrow"/>
          <w:sz w:val="18"/>
          <w:szCs w:val="18"/>
        </w:rPr>
        <w:t xml:space="preserve">, at para. 85.  </w:t>
      </w:r>
    </w:p>
  </w:footnote>
  <w:footnote w:id="29">
    <w:p w14:paraId="5FA05BAD" w14:textId="77777777" w:rsidR="00917BB5" w:rsidRPr="005E0098" w:rsidRDefault="00917BB5" w:rsidP="005E0098">
      <w:pPr>
        <w:pStyle w:val="FootnoteText"/>
        <w:rPr>
          <w:rFonts w:ascii="Arial Narrow" w:hAnsi="Arial Narrow"/>
          <w:sz w:val="18"/>
          <w:szCs w:val="18"/>
        </w:rPr>
      </w:pPr>
      <w:r w:rsidRPr="005E0098">
        <w:rPr>
          <w:rStyle w:val="FootnoteReference"/>
          <w:rFonts w:ascii="Arial Narrow" w:hAnsi="Arial Narrow"/>
          <w:sz w:val="18"/>
          <w:szCs w:val="18"/>
        </w:rPr>
        <w:footnoteRef/>
      </w:r>
      <w:r w:rsidRPr="005E0098">
        <w:rPr>
          <w:rFonts w:ascii="Arial Narrow" w:hAnsi="Arial Narrow"/>
          <w:sz w:val="18"/>
          <w:szCs w:val="18"/>
        </w:rPr>
        <w:t xml:space="preserve"> The Protest Principles, </w:t>
      </w:r>
      <w:r w:rsidRPr="005E0098">
        <w:rPr>
          <w:rFonts w:ascii="Arial Narrow" w:hAnsi="Arial Narrow"/>
          <w:i/>
          <w:sz w:val="18"/>
          <w:szCs w:val="18"/>
        </w:rPr>
        <w:t>op. cit.</w:t>
      </w:r>
      <w:r w:rsidRPr="005E0098">
        <w:rPr>
          <w:rFonts w:ascii="Arial Narrow" w:hAnsi="Arial Narrow"/>
          <w:sz w:val="18"/>
          <w:szCs w:val="18"/>
        </w:rPr>
        <w:t xml:space="preserve">, Principle 1.1(a)(v). </w:t>
      </w:r>
    </w:p>
  </w:footnote>
  <w:footnote w:id="30">
    <w:p w14:paraId="3066B231" w14:textId="3513660D" w:rsidR="00917BB5" w:rsidRPr="005E0098" w:rsidRDefault="00917BB5">
      <w:pPr>
        <w:pStyle w:val="FootnoteText"/>
      </w:pPr>
      <w:r w:rsidRPr="005E0098">
        <w:rPr>
          <w:rStyle w:val="FootnoteReference"/>
          <w:rFonts w:ascii="Arial Narrow" w:hAnsi="Arial Narrow"/>
          <w:sz w:val="18"/>
          <w:szCs w:val="18"/>
        </w:rPr>
        <w:footnoteRef/>
      </w:r>
      <w:r w:rsidRPr="005E0098">
        <w:rPr>
          <w:rFonts w:ascii="Arial Narrow" w:hAnsi="Arial Narrow"/>
          <w:sz w:val="18"/>
          <w:szCs w:val="18"/>
        </w:rPr>
        <w:t xml:space="preserve"> The Protest Principles, </w:t>
      </w:r>
      <w:r w:rsidRPr="005E0098">
        <w:rPr>
          <w:rFonts w:ascii="Arial Narrow" w:hAnsi="Arial Narrow"/>
          <w:i/>
          <w:sz w:val="18"/>
          <w:szCs w:val="18"/>
        </w:rPr>
        <w:t>op. cit.</w:t>
      </w:r>
      <w:r w:rsidRPr="005E0098">
        <w:rPr>
          <w:rFonts w:ascii="Arial Narrow" w:hAnsi="Arial Narrow"/>
          <w:sz w:val="18"/>
          <w:szCs w:val="18"/>
        </w:rPr>
        <w:t>, Principle 8(d)</w:t>
      </w:r>
      <w:r>
        <w:rPr>
          <w:rFonts w:ascii="Arial Narrow" w:hAnsi="Arial Narrow"/>
          <w:sz w:val="18"/>
          <w:szCs w:val="18"/>
        </w:rPr>
        <w:t>.</w:t>
      </w:r>
    </w:p>
  </w:footnote>
  <w:footnote w:id="31">
    <w:p w14:paraId="7B36961C" w14:textId="7BEABDA9" w:rsidR="00917BB5" w:rsidRPr="005E0098" w:rsidRDefault="00917BB5">
      <w:pPr>
        <w:pStyle w:val="FootnoteText"/>
        <w:rPr>
          <w:rFonts w:ascii="Arial Narrow" w:hAnsi="Arial Narrow"/>
          <w:sz w:val="18"/>
          <w:szCs w:val="18"/>
        </w:rPr>
      </w:pPr>
      <w:r w:rsidRPr="005E0098">
        <w:rPr>
          <w:rStyle w:val="FootnoteReference"/>
          <w:rFonts w:ascii="Arial Narrow" w:hAnsi="Arial Narrow"/>
          <w:sz w:val="18"/>
          <w:szCs w:val="18"/>
        </w:rPr>
        <w:footnoteRef/>
      </w:r>
      <w:r w:rsidRPr="005E0098">
        <w:rPr>
          <w:rFonts w:ascii="Arial Narrow" w:hAnsi="Arial Narrow"/>
          <w:sz w:val="18"/>
          <w:szCs w:val="18"/>
        </w:rPr>
        <w:t xml:space="preserve"> </w:t>
      </w:r>
      <w:r>
        <w:rPr>
          <w:rFonts w:ascii="Arial Narrow" w:hAnsi="Arial Narrow"/>
          <w:sz w:val="18"/>
          <w:szCs w:val="18"/>
        </w:rPr>
        <w:t xml:space="preserve">In relation to owners of online platforms, see: </w:t>
      </w:r>
      <w:r w:rsidRPr="005E0098">
        <w:rPr>
          <w:rFonts w:ascii="Arial Narrow" w:hAnsi="Arial Narrow"/>
          <w:sz w:val="18"/>
          <w:szCs w:val="18"/>
        </w:rPr>
        <w:t xml:space="preserve">UN Special Rapporteur on the promotion and protection of the right to freedom of opinion and expression, A/HRC/38/35, 6 April 2018, at para. 70; available online at: </w:t>
      </w:r>
      <w:hyperlink r:id="rId7" w:history="1">
        <w:r w:rsidRPr="005E0098">
          <w:rPr>
            <w:rStyle w:val="Hyperlink"/>
            <w:rFonts w:ascii="Arial Narrow" w:hAnsi="Arial Narrow"/>
            <w:sz w:val="18"/>
            <w:szCs w:val="18"/>
          </w:rPr>
          <w:t>https://freedex.org/a-human-rights-approach-to-platform-content-regulation/</w:t>
        </w:r>
      </w:hyperlink>
      <w:r w:rsidRPr="005E0098">
        <w:rPr>
          <w:rFonts w:ascii="Arial Narrow" w:hAnsi="Arial Narrow"/>
          <w:sz w:val="18"/>
          <w:szCs w:val="18"/>
        </w:rPr>
        <w:t xml:space="preserve">. </w:t>
      </w:r>
      <w:r>
        <w:rPr>
          <w:rFonts w:ascii="Arial Narrow" w:hAnsi="Arial Narrow"/>
          <w:sz w:val="18"/>
          <w:szCs w:val="18"/>
        </w:rPr>
        <w:t xml:space="preserve">In relation to owners of infrastructure, see: </w:t>
      </w:r>
      <w:r w:rsidRPr="005E0098">
        <w:rPr>
          <w:rFonts w:ascii="Arial Narrow" w:hAnsi="Arial Narrow"/>
          <w:sz w:val="18"/>
          <w:szCs w:val="18"/>
        </w:rPr>
        <w:t>UN Special Rapporteur on the promotion and protection of the right to freedom of opinion and expression,</w:t>
      </w:r>
      <w:r>
        <w:rPr>
          <w:rFonts w:ascii="Arial Narrow" w:hAnsi="Arial Narrow"/>
          <w:sz w:val="18"/>
          <w:szCs w:val="18"/>
        </w:rPr>
        <w:t xml:space="preserve"> A/HRC/35/22</w:t>
      </w:r>
      <w:r w:rsidRPr="005E0098">
        <w:rPr>
          <w:rFonts w:ascii="Arial Narrow" w:hAnsi="Arial Narrow"/>
          <w:sz w:val="18"/>
          <w:szCs w:val="18"/>
        </w:rPr>
        <w:t>,</w:t>
      </w:r>
      <w:r>
        <w:rPr>
          <w:rFonts w:ascii="Arial Narrow" w:hAnsi="Arial Narrow"/>
          <w:sz w:val="18"/>
          <w:szCs w:val="18"/>
        </w:rPr>
        <w:t xml:space="preserve"> 30 March 2017, at para. 82 – 83. </w:t>
      </w:r>
    </w:p>
  </w:footnote>
  <w:footnote w:id="32">
    <w:p w14:paraId="405DC0C9" w14:textId="1C7984ED" w:rsidR="00917BB5" w:rsidRPr="005E0098" w:rsidRDefault="00917BB5" w:rsidP="005E0098">
      <w:pPr>
        <w:pStyle w:val="SingleTxtG"/>
        <w:spacing w:after="0" w:line="240" w:lineRule="auto"/>
        <w:ind w:left="0" w:right="-35"/>
        <w:rPr>
          <w:rFonts w:ascii="Arial Narrow" w:eastAsia="Calibri" w:hAnsi="Arial Narrow"/>
          <w:sz w:val="18"/>
          <w:szCs w:val="18"/>
        </w:rPr>
      </w:pPr>
      <w:r w:rsidRPr="005E0098">
        <w:rPr>
          <w:rStyle w:val="FootnoteReference"/>
          <w:rFonts w:ascii="Arial Narrow" w:hAnsi="Arial Narrow"/>
          <w:sz w:val="18"/>
          <w:szCs w:val="18"/>
        </w:rPr>
        <w:footnoteRef/>
      </w:r>
      <w:r w:rsidRPr="005E0098">
        <w:rPr>
          <w:rFonts w:ascii="Arial Narrow" w:hAnsi="Arial Narrow"/>
          <w:sz w:val="18"/>
          <w:szCs w:val="18"/>
        </w:rPr>
        <w:t xml:space="preserve"> Note by the Rapporteur, Question 6: </w:t>
      </w:r>
      <w:r w:rsidRPr="005E0098">
        <w:rPr>
          <w:rFonts w:ascii="Arial Narrow" w:eastAsia="Calibri" w:hAnsi="Arial Narrow"/>
          <w:sz w:val="18"/>
          <w:szCs w:val="18"/>
        </w:rPr>
        <w:t xml:space="preserve">When and how may the right of peaceful assembly be limited? </w:t>
      </w:r>
      <w:r w:rsidRPr="005E0098">
        <w:rPr>
          <w:rFonts w:ascii="Arial Narrow" w:eastAsia="Calibri" w:hAnsi="Arial Narrow" w:cs="Arial"/>
          <w:sz w:val="18"/>
          <w:szCs w:val="18"/>
        </w:rPr>
        <w:t xml:space="preserve"> </w:t>
      </w:r>
      <w:r w:rsidRPr="005E0098">
        <w:rPr>
          <w:rFonts w:ascii="Arial Narrow" w:eastAsia="Calibri" w:hAnsi="Arial Narrow"/>
          <w:sz w:val="18"/>
          <w:szCs w:val="18"/>
        </w:rPr>
        <w:t xml:space="preserve">Are the limitations affected by the modalities of the assembly (e.g. whether they take place in the open or within a building, whether they are stationary gatherings or marches)? Is it correct to say there is a ‘presumption’ under the Covenant in favour of allowing peaceful assemblies, and the onus is on those wishing to restrict such assemblies to justify such limitations? How should the procedural requirement for limitations on the right in sentence two of article 21 (that limitations can only be imposed ‘by law’) and the substantive requirements (this can be done only where it is necessary to protect national security, etc.) be understood? What is their relationship to other articles of the Covenant, including article 22? </w:t>
      </w:r>
      <w:r w:rsidRPr="005E0098">
        <w:rPr>
          <w:rFonts w:ascii="Arial Narrow" w:eastAsia="Calibri" w:hAnsi="Arial Narrow"/>
          <w:sz w:val="18"/>
          <w:szCs w:val="18"/>
          <w:lang w:val="en-US" w:bidi="he-IL"/>
        </w:rPr>
        <w:t xml:space="preserve">In what way are the limits on article 21 different from the limits of article 19? </w:t>
      </w:r>
      <w:r w:rsidRPr="005E0098">
        <w:rPr>
          <w:rFonts w:ascii="Arial Narrow" w:eastAsia="Calibri" w:hAnsi="Arial Narrow"/>
          <w:sz w:val="18"/>
          <w:szCs w:val="18"/>
        </w:rPr>
        <w:t xml:space="preserve"> How should such limitations be enforced – is there e.g. a role for criminal sanctions, and if so when? What are the alternatives? Who can be held criminally responsible for violent conduct of individuals or groups that participate? What are the safeguards that should be in place to establish whether limitations on peaceful assemblies are permissible (e.g. judicial review)? What does an ‘effective remedy’ mean in time sensitive contexts? How can transparency of decision-making in relation to assemblies be ensured? And Question 9: What sort of limitations may be placed on assemblies as far as their form (e.g. place, manner and time) or their contents (e.g. promotion of violence) is concerned? Are there circumstances under which all peaceful assemblies may be prohibited for a certain period in connection with states of emergencies, or independently of states of emergency?</w:t>
      </w:r>
      <w:r w:rsidRPr="005E0098">
        <w:rPr>
          <w:rFonts w:ascii="Arial Narrow" w:eastAsia="Calibri" w:hAnsi="Arial Narrow" w:cs="Arial"/>
          <w:sz w:val="18"/>
          <w:szCs w:val="18"/>
        </w:rPr>
        <w:t xml:space="preserve"> </w:t>
      </w:r>
      <w:r w:rsidRPr="005E0098">
        <w:rPr>
          <w:rFonts w:ascii="Arial Narrow" w:eastAsia="Calibri" w:hAnsi="Arial Narrow"/>
          <w:sz w:val="18"/>
          <w:szCs w:val="18"/>
        </w:rPr>
        <w:t>Can all assemblies in particular places (e.g. ‘neutral zones’ around parliaments, courts or monuments) or during a specific time be prohibited?</w:t>
      </w:r>
    </w:p>
  </w:footnote>
  <w:footnote w:id="33">
    <w:p w14:paraId="6D32CB67" w14:textId="69E11F04" w:rsidR="00917BB5" w:rsidRPr="005E0098" w:rsidRDefault="00917BB5">
      <w:pPr>
        <w:pStyle w:val="FootnoteText"/>
        <w:rPr>
          <w:rFonts w:ascii="Arial Narrow" w:hAnsi="Arial Narrow"/>
          <w:sz w:val="18"/>
          <w:szCs w:val="18"/>
        </w:rPr>
      </w:pPr>
      <w:r w:rsidRPr="005E0098">
        <w:rPr>
          <w:rStyle w:val="FootnoteReference"/>
          <w:rFonts w:ascii="Arial Narrow" w:hAnsi="Arial Narrow"/>
          <w:sz w:val="18"/>
          <w:szCs w:val="18"/>
        </w:rPr>
        <w:footnoteRef/>
      </w:r>
      <w:r w:rsidRPr="005E0098">
        <w:rPr>
          <w:rFonts w:ascii="Arial Narrow" w:hAnsi="Arial Narrow"/>
          <w:sz w:val="18"/>
          <w:szCs w:val="18"/>
        </w:rPr>
        <w:t xml:space="preserve"> Protest Principles, </w:t>
      </w:r>
      <w:r w:rsidRPr="005E0098">
        <w:rPr>
          <w:rFonts w:ascii="Arial Narrow" w:hAnsi="Arial Narrow"/>
          <w:i/>
          <w:sz w:val="18"/>
          <w:szCs w:val="18"/>
        </w:rPr>
        <w:t>op. cit</w:t>
      </w:r>
      <w:r w:rsidRPr="005E0098">
        <w:rPr>
          <w:rFonts w:ascii="Arial Narrow" w:hAnsi="Arial Narrow"/>
          <w:sz w:val="18"/>
          <w:szCs w:val="18"/>
        </w:rPr>
        <w:t xml:space="preserve">., at Principles 4 and 5. </w:t>
      </w:r>
    </w:p>
  </w:footnote>
  <w:footnote w:id="34">
    <w:p w14:paraId="544B16E1" w14:textId="13F14B1B" w:rsidR="00917BB5" w:rsidRPr="005E0098" w:rsidRDefault="00917BB5">
      <w:pPr>
        <w:pStyle w:val="FootnoteText"/>
        <w:rPr>
          <w:rFonts w:ascii="Arial Narrow" w:hAnsi="Arial Narrow"/>
          <w:b/>
          <w:sz w:val="18"/>
          <w:szCs w:val="18"/>
        </w:rPr>
      </w:pPr>
      <w:r w:rsidRPr="005E0098">
        <w:rPr>
          <w:rStyle w:val="FootnoteReference"/>
          <w:rFonts w:ascii="Arial Narrow" w:hAnsi="Arial Narrow"/>
          <w:sz w:val="18"/>
          <w:szCs w:val="18"/>
        </w:rPr>
        <w:footnoteRef/>
      </w:r>
      <w:r w:rsidRPr="005E0098">
        <w:rPr>
          <w:rFonts w:ascii="Arial Narrow" w:hAnsi="Arial Narrow"/>
          <w:sz w:val="18"/>
          <w:szCs w:val="18"/>
        </w:rPr>
        <w:t xml:space="preserve"> </w:t>
      </w:r>
      <w:r w:rsidRPr="005E0098">
        <w:rPr>
          <w:rStyle w:val="Strong"/>
          <w:rFonts w:ascii="Arial Narrow" w:hAnsi="Arial Narrow"/>
          <w:b w:val="0"/>
          <w:sz w:val="18"/>
          <w:szCs w:val="18"/>
        </w:rPr>
        <w:t>United Nations, Economic and Social Council, Siracusa Principles on the Limitation and Derogation Provisions in the International Covenant on Civil and Political Rights, U.N. Doc. E/CN.4/1985/4, Annex (1985).</w:t>
      </w:r>
    </w:p>
  </w:footnote>
  <w:footnote w:id="35">
    <w:p w14:paraId="2EA57B55" w14:textId="3E234778" w:rsidR="00917BB5" w:rsidRPr="005E0098" w:rsidRDefault="00917BB5">
      <w:pPr>
        <w:pStyle w:val="FootnoteText"/>
        <w:rPr>
          <w:rFonts w:ascii="Arial Narrow" w:hAnsi="Arial Narrow"/>
        </w:rPr>
      </w:pPr>
      <w:r w:rsidRPr="005E0098">
        <w:rPr>
          <w:rStyle w:val="FootnoteReference"/>
          <w:rFonts w:ascii="Arial Narrow" w:hAnsi="Arial Narrow"/>
          <w:sz w:val="18"/>
        </w:rPr>
        <w:footnoteRef/>
      </w:r>
      <w:r w:rsidRPr="005E0098">
        <w:rPr>
          <w:rFonts w:ascii="Arial Narrow" w:hAnsi="Arial Narrow"/>
          <w:sz w:val="18"/>
        </w:rPr>
        <w:t xml:space="preserve"> HR Committee, General Comment No. 34</w:t>
      </w:r>
      <w:r>
        <w:rPr>
          <w:rFonts w:ascii="Arial Narrow" w:hAnsi="Arial Narrow"/>
          <w:sz w:val="18"/>
        </w:rPr>
        <w:t xml:space="preserve"> on Article 19: f</w:t>
      </w:r>
      <w:r w:rsidRPr="005E0098">
        <w:rPr>
          <w:rFonts w:ascii="Arial Narrow" w:hAnsi="Arial Narrow"/>
          <w:sz w:val="18"/>
        </w:rPr>
        <w:t xml:space="preserve">reedoms of opinion and expression, CCPR/C/GC/34, 12 September 2011; at para. 25. </w:t>
      </w:r>
    </w:p>
  </w:footnote>
  <w:footnote w:id="36">
    <w:p w14:paraId="06698211" w14:textId="749C7ADA" w:rsidR="00917BB5" w:rsidRPr="0096322F" w:rsidRDefault="00917BB5">
      <w:pPr>
        <w:pStyle w:val="FootnoteText"/>
        <w:rPr>
          <w:rFonts w:ascii="Arial Narrow" w:hAnsi="Arial Narrow"/>
          <w:sz w:val="18"/>
          <w:szCs w:val="18"/>
        </w:rPr>
      </w:pPr>
      <w:r w:rsidRPr="0096322F">
        <w:rPr>
          <w:rStyle w:val="FootnoteReference"/>
          <w:rFonts w:ascii="Arial Narrow" w:hAnsi="Arial Narrow"/>
          <w:sz w:val="18"/>
          <w:szCs w:val="18"/>
        </w:rPr>
        <w:footnoteRef/>
      </w:r>
      <w:r w:rsidRPr="0096322F">
        <w:rPr>
          <w:rFonts w:ascii="Arial Narrow" w:hAnsi="Arial Narrow"/>
          <w:sz w:val="18"/>
          <w:szCs w:val="18"/>
        </w:rPr>
        <w:t xml:space="preserve"> </w:t>
      </w:r>
      <w:r>
        <w:rPr>
          <w:rFonts w:ascii="Arial Narrow" w:hAnsi="Arial Narrow"/>
          <w:sz w:val="18"/>
          <w:szCs w:val="18"/>
        </w:rPr>
        <w:t>See, for example:</w:t>
      </w:r>
      <w:r w:rsidRPr="0096322F">
        <w:rPr>
          <w:rFonts w:ascii="Arial Narrow" w:hAnsi="Arial Narrow"/>
          <w:sz w:val="18"/>
          <w:szCs w:val="18"/>
        </w:rPr>
        <w:t xml:space="preserve"> the Concluding Observation on Peru (April 2013), which encouraged the State Party to review its definition of “hostile group” in Legislative Decrees 1094 and 1095 so that they would not be interpreted to apply against participants in demonstratio</w:t>
      </w:r>
      <w:r>
        <w:rPr>
          <w:rFonts w:ascii="Arial Narrow" w:hAnsi="Arial Narrow"/>
          <w:sz w:val="18"/>
          <w:szCs w:val="18"/>
        </w:rPr>
        <w:t xml:space="preserve">ns or social movements; the Concluding Observation on Iran (November 2011) took issue with the legality of limitations on public gathering and marches that were conditional on “compliance with Islam”; and Concluding Observation on Morocco (1999), which expressed concern at the breadth of notification requirements. </w:t>
      </w:r>
    </w:p>
  </w:footnote>
  <w:footnote w:id="37">
    <w:p w14:paraId="0B810114" w14:textId="2A93BD5D" w:rsidR="00917BB5" w:rsidRPr="005E0098" w:rsidRDefault="00917BB5">
      <w:pPr>
        <w:pStyle w:val="FootnoteText"/>
        <w:rPr>
          <w:rFonts w:ascii="Arial Narrow" w:hAnsi="Arial Narrow"/>
          <w:sz w:val="18"/>
          <w:szCs w:val="18"/>
        </w:rPr>
      </w:pPr>
      <w:r w:rsidRPr="0096322F">
        <w:rPr>
          <w:rStyle w:val="FootnoteReference"/>
          <w:rFonts w:ascii="Arial Narrow" w:hAnsi="Arial Narrow"/>
          <w:sz w:val="18"/>
          <w:szCs w:val="18"/>
        </w:rPr>
        <w:footnoteRef/>
      </w:r>
      <w:r w:rsidRPr="0096322F">
        <w:rPr>
          <w:rFonts w:ascii="Arial Narrow" w:hAnsi="Arial Narrow"/>
          <w:sz w:val="18"/>
          <w:szCs w:val="18"/>
        </w:rPr>
        <w:t xml:space="preserve"> General</w:t>
      </w:r>
      <w:r w:rsidRPr="005E0098">
        <w:rPr>
          <w:rFonts w:ascii="Arial Narrow" w:hAnsi="Arial Narrow"/>
          <w:sz w:val="18"/>
          <w:szCs w:val="18"/>
        </w:rPr>
        <w:t xml:space="preserve"> Comment No. 34, </w:t>
      </w:r>
      <w:r w:rsidRPr="005E0098">
        <w:rPr>
          <w:rFonts w:ascii="Arial Narrow" w:hAnsi="Arial Narrow"/>
          <w:i/>
          <w:sz w:val="18"/>
          <w:szCs w:val="18"/>
        </w:rPr>
        <w:t>op. cit</w:t>
      </w:r>
      <w:r w:rsidRPr="005E0098">
        <w:rPr>
          <w:rFonts w:ascii="Arial Narrow" w:hAnsi="Arial Narrow"/>
          <w:sz w:val="18"/>
          <w:szCs w:val="18"/>
        </w:rPr>
        <w:t xml:space="preserve">., </w:t>
      </w:r>
      <w:r>
        <w:rPr>
          <w:rFonts w:ascii="Arial Narrow" w:hAnsi="Arial Narrow"/>
          <w:sz w:val="18"/>
          <w:szCs w:val="18"/>
        </w:rPr>
        <w:t xml:space="preserve">at para. 31, </w:t>
      </w:r>
      <w:r w:rsidRPr="005E0098">
        <w:rPr>
          <w:rFonts w:ascii="Arial Narrow" w:hAnsi="Arial Narrow"/>
          <w:sz w:val="18"/>
          <w:szCs w:val="18"/>
        </w:rPr>
        <w:t xml:space="preserve">deals with public order (ordre public) mainly in relation to laws pertaining to contempt of court, but does not offer much guidance of general application. </w:t>
      </w:r>
      <w:r w:rsidRPr="005E0098">
        <w:rPr>
          <w:rFonts w:ascii="Arial Narrow" w:hAnsi="Arial Narrow"/>
          <w:i/>
          <w:sz w:val="18"/>
          <w:szCs w:val="18"/>
        </w:rPr>
        <w:t xml:space="preserve"> </w:t>
      </w:r>
    </w:p>
  </w:footnote>
  <w:footnote w:id="38">
    <w:p w14:paraId="4DA1A6EC" w14:textId="664F1BB8" w:rsidR="00917BB5" w:rsidRPr="00F34F02" w:rsidRDefault="00917BB5">
      <w:pPr>
        <w:pStyle w:val="FootnoteText"/>
        <w:rPr>
          <w:rFonts w:ascii="Arial Narrow" w:hAnsi="Arial Narrow"/>
          <w:sz w:val="18"/>
          <w:szCs w:val="18"/>
        </w:rPr>
      </w:pPr>
      <w:r w:rsidRPr="00F34F02">
        <w:rPr>
          <w:rStyle w:val="FootnoteReference"/>
          <w:rFonts w:ascii="Arial Narrow" w:hAnsi="Arial Narrow"/>
          <w:sz w:val="18"/>
          <w:szCs w:val="18"/>
        </w:rPr>
        <w:footnoteRef/>
      </w:r>
      <w:r w:rsidRPr="00F34F02">
        <w:rPr>
          <w:rFonts w:ascii="Arial Narrow" w:hAnsi="Arial Narrow"/>
          <w:sz w:val="18"/>
          <w:szCs w:val="18"/>
        </w:rPr>
        <w:t xml:space="preserve"> See, f</w:t>
      </w:r>
      <w:r>
        <w:rPr>
          <w:rFonts w:ascii="Arial Narrow" w:hAnsi="Arial Narrow"/>
          <w:sz w:val="18"/>
          <w:szCs w:val="18"/>
        </w:rPr>
        <w:t xml:space="preserve">or example: Concluding Observations on Algeria, CCPR/C/DZA/CO/4, 17 August 2018 at para. 45, where “public order” is characterized as a “vague criteria”; </w:t>
      </w:r>
      <w:r w:rsidRPr="00F34F02">
        <w:rPr>
          <w:rFonts w:ascii="Arial Narrow" w:hAnsi="Arial Narrow"/>
          <w:sz w:val="18"/>
          <w:szCs w:val="18"/>
        </w:rPr>
        <w:t xml:space="preserve">Concluding Observations on Burundi, CCPR/C/BDI/CO/2, </w:t>
      </w:r>
      <w:r>
        <w:rPr>
          <w:rFonts w:ascii="Arial Narrow" w:hAnsi="Arial Narrow"/>
          <w:sz w:val="18"/>
          <w:szCs w:val="18"/>
        </w:rPr>
        <w:t>21 November</w:t>
      </w:r>
      <w:r w:rsidRPr="00F34F02">
        <w:rPr>
          <w:rFonts w:ascii="Arial Narrow" w:hAnsi="Arial Narrow"/>
          <w:sz w:val="18"/>
          <w:szCs w:val="18"/>
        </w:rPr>
        <w:t xml:space="preserve"> 2014</w:t>
      </w:r>
      <w:r>
        <w:rPr>
          <w:rFonts w:ascii="Arial Narrow" w:hAnsi="Arial Narrow"/>
          <w:sz w:val="18"/>
          <w:szCs w:val="18"/>
        </w:rPr>
        <w:t>, at para. 10; Concluding Observations on China (Hong Kong), CCPR/C/CHN-HKG/CO/3, 29 April 2013, at para. 10, and in relation to “inciting collective disobedience of public order”, at para. 16.</w:t>
      </w:r>
    </w:p>
  </w:footnote>
  <w:footnote w:id="39">
    <w:p w14:paraId="714361B1" w14:textId="20112DC9" w:rsidR="00917BB5" w:rsidRPr="00943405" w:rsidRDefault="00917BB5">
      <w:pPr>
        <w:pStyle w:val="FootnoteText"/>
        <w:rPr>
          <w:rFonts w:ascii="Arial Narrow" w:hAnsi="Arial Narrow"/>
          <w:sz w:val="18"/>
          <w:szCs w:val="18"/>
        </w:rPr>
      </w:pPr>
      <w:r w:rsidRPr="00943405">
        <w:rPr>
          <w:rStyle w:val="FootnoteReference"/>
          <w:rFonts w:ascii="Arial Narrow" w:hAnsi="Arial Narrow"/>
          <w:sz w:val="18"/>
          <w:szCs w:val="18"/>
        </w:rPr>
        <w:footnoteRef/>
      </w:r>
      <w:r w:rsidRPr="00943405">
        <w:rPr>
          <w:rFonts w:ascii="Arial Narrow" w:hAnsi="Arial Narrow"/>
          <w:sz w:val="18"/>
          <w:szCs w:val="18"/>
        </w:rPr>
        <w:t xml:space="preserve"> The Protest Principles, </w:t>
      </w:r>
      <w:r w:rsidRPr="00943405">
        <w:rPr>
          <w:rFonts w:ascii="Arial Narrow" w:hAnsi="Arial Narrow"/>
          <w:i/>
          <w:sz w:val="18"/>
          <w:szCs w:val="18"/>
        </w:rPr>
        <w:t>op. cit.</w:t>
      </w:r>
      <w:r w:rsidRPr="00943405">
        <w:rPr>
          <w:rFonts w:ascii="Arial Narrow" w:hAnsi="Arial Narrow"/>
          <w:sz w:val="18"/>
          <w:szCs w:val="18"/>
        </w:rPr>
        <w:t xml:space="preserve">, at Principle 4.2(b)(ii). </w:t>
      </w:r>
    </w:p>
  </w:footnote>
  <w:footnote w:id="40">
    <w:p w14:paraId="0B8E18AD" w14:textId="49C25BD3" w:rsidR="00917BB5" w:rsidRPr="00A20983" w:rsidRDefault="00917BB5">
      <w:pPr>
        <w:pStyle w:val="FootnoteText"/>
        <w:rPr>
          <w:rFonts w:ascii="Arial Narrow" w:hAnsi="Arial Narrow"/>
          <w:i/>
        </w:rPr>
      </w:pPr>
      <w:r w:rsidRPr="00A20983">
        <w:rPr>
          <w:rStyle w:val="FootnoteReference"/>
          <w:rFonts w:ascii="Arial Narrow" w:hAnsi="Arial Narrow"/>
          <w:sz w:val="18"/>
        </w:rPr>
        <w:footnoteRef/>
      </w:r>
      <w:r w:rsidRPr="00A20983">
        <w:rPr>
          <w:rFonts w:ascii="Arial Narrow" w:hAnsi="Arial Narrow"/>
          <w:sz w:val="18"/>
        </w:rPr>
        <w:t xml:space="preserve"> </w:t>
      </w:r>
      <w:r w:rsidRPr="00A20983">
        <w:rPr>
          <w:rFonts w:ascii="Arial Narrow" w:hAnsi="Arial Narrow"/>
          <w:i/>
          <w:sz w:val="18"/>
        </w:rPr>
        <w:t xml:space="preserve">Ibid. </w:t>
      </w:r>
    </w:p>
  </w:footnote>
  <w:footnote w:id="41">
    <w:p w14:paraId="4B215E80" w14:textId="0AFD7DAF" w:rsidR="00917BB5" w:rsidRPr="007623F2" w:rsidRDefault="00917BB5" w:rsidP="007623F2">
      <w:pPr>
        <w:autoSpaceDE w:val="0"/>
        <w:autoSpaceDN w:val="0"/>
        <w:adjustRightInd w:val="0"/>
        <w:spacing w:after="0" w:line="240" w:lineRule="auto"/>
        <w:jc w:val="both"/>
        <w:rPr>
          <w:rFonts w:ascii="Arial Narrow" w:hAnsi="Arial Narrow" w:cstheme="minorHAnsi"/>
          <w:sz w:val="18"/>
          <w:szCs w:val="18"/>
        </w:rPr>
      </w:pPr>
      <w:r w:rsidRPr="007623F2">
        <w:rPr>
          <w:rStyle w:val="FootnoteReference"/>
          <w:rFonts w:ascii="Arial Narrow" w:hAnsi="Arial Narrow"/>
          <w:sz w:val="18"/>
          <w:szCs w:val="18"/>
        </w:rPr>
        <w:footnoteRef/>
      </w:r>
      <w:r w:rsidRPr="007623F2">
        <w:rPr>
          <w:rFonts w:ascii="Arial Narrow" w:hAnsi="Arial Narrow"/>
          <w:sz w:val="18"/>
          <w:szCs w:val="18"/>
        </w:rPr>
        <w:t xml:space="preserve"> HR Committee, </w:t>
      </w:r>
      <w:r w:rsidRPr="007623F2">
        <w:rPr>
          <w:rFonts w:ascii="Arial Narrow" w:hAnsi="Arial Narrow" w:cstheme="minorHAnsi"/>
          <w:i/>
          <w:sz w:val="18"/>
          <w:szCs w:val="18"/>
        </w:rPr>
        <w:t>Nikolai Alekseev vs Russian Federation,</w:t>
      </w:r>
      <w:r w:rsidRPr="007623F2">
        <w:rPr>
          <w:rFonts w:ascii="Arial Narrow" w:hAnsi="Arial Narrow" w:cstheme="minorHAnsi"/>
          <w:sz w:val="18"/>
          <w:szCs w:val="18"/>
        </w:rPr>
        <w:t xml:space="preserve"> </w:t>
      </w:r>
      <w:r w:rsidRPr="007623F2">
        <w:rPr>
          <w:rFonts w:ascii="Arial Narrow" w:hAnsi="Arial Narrow" w:cstheme="minorHAnsi"/>
          <w:i/>
          <w:sz w:val="18"/>
          <w:szCs w:val="18"/>
        </w:rPr>
        <w:t>op. cit.</w:t>
      </w:r>
    </w:p>
  </w:footnote>
  <w:footnote w:id="42">
    <w:p w14:paraId="3E01FA4F" w14:textId="3CF06D0F" w:rsidR="00917BB5" w:rsidRDefault="00917BB5" w:rsidP="00A20983">
      <w:pPr>
        <w:pStyle w:val="FootnoteText"/>
      </w:pPr>
      <w:r>
        <w:rPr>
          <w:rStyle w:val="FootnoteReference"/>
        </w:rPr>
        <w:footnoteRef/>
      </w:r>
      <w:r>
        <w:t xml:space="preserve"> </w:t>
      </w:r>
      <w:r w:rsidRPr="00E828DB">
        <w:rPr>
          <w:rFonts w:ascii="Arial Narrow" w:hAnsi="Arial Narrow"/>
          <w:sz w:val="18"/>
        </w:rPr>
        <w:t xml:space="preserve">The Protest Principles, </w:t>
      </w:r>
      <w:r w:rsidRPr="00E828DB">
        <w:rPr>
          <w:rFonts w:ascii="Arial Narrow" w:hAnsi="Arial Narrow"/>
          <w:i/>
          <w:sz w:val="18"/>
        </w:rPr>
        <w:t>op. cit.</w:t>
      </w:r>
      <w:r>
        <w:rPr>
          <w:rFonts w:ascii="Arial Narrow" w:hAnsi="Arial Narrow"/>
          <w:sz w:val="18"/>
        </w:rPr>
        <w:t xml:space="preserve">, Principle 1.1.a.iv. </w:t>
      </w:r>
    </w:p>
  </w:footnote>
  <w:footnote w:id="43">
    <w:p w14:paraId="26D85F64" w14:textId="32696C43" w:rsidR="00917BB5" w:rsidRPr="00A20983" w:rsidRDefault="00917BB5">
      <w:pPr>
        <w:pStyle w:val="FootnoteText"/>
        <w:rPr>
          <w:rFonts w:ascii="Arial Narrow" w:hAnsi="Arial Narrow"/>
          <w:sz w:val="18"/>
          <w:szCs w:val="18"/>
        </w:rPr>
      </w:pPr>
      <w:r w:rsidRPr="00A20983">
        <w:rPr>
          <w:rStyle w:val="FootnoteReference"/>
          <w:rFonts w:ascii="Arial Narrow" w:hAnsi="Arial Narrow"/>
          <w:sz w:val="18"/>
          <w:szCs w:val="18"/>
        </w:rPr>
        <w:footnoteRef/>
      </w:r>
      <w:r w:rsidRPr="00A20983">
        <w:rPr>
          <w:rFonts w:ascii="Arial Narrow" w:hAnsi="Arial Narrow"/>
          <w:sz w:val="18"/>
          <w:szCs w:val="18"/>
        </w:rPr>
        <w:t xml:space="preserve"> </w:t>
      </w:r>
      <w:r>
        <w:rPr>
          <w:rFonts w:ascii="Arial Narrow" w:hAnsi="Arial Narrow"/>
          <w:sz w:val="18"/>
          <w:szCs w:val="18"/>
        </w:rPr>
        <w:t>See, for example:</w:t>
      </w:r>
      <w:r w:rsidRPr="00A20983">
        <w:rPr>
          <w:rFonts w:ascii="Arial Narrow" w:hAnsi="Arial Narrow"/>
          <w:sz w:val="18"/>
          <w:szCs w:val="18"/>
        </w:rPr>
        <w:t xml:space="preserve"> Concluding Observation on the Republic of Korea (1999), a total prohibition on assemblies</w:t>
      </w:r>
      <w:r>
        <w:rPr>
          <w:rFonts w:ascii="Arial Narrow" w:hAnsi="Arial Narrow"/>
          <w:sz w:val="18"/>
          <w:szCs w:val="18"/>
        </w:rPr>
        <w:t xml:space="preserve"> on public roads was overbroad; Concluding Observation on Togo, CCPR/C/TGO/CO/4, 18 April 2011, at para. 20, the Committee expressed concerns at a law prohibiting electoral meetings on public highways or between the hours of 10pm to 6am. </w:t>
      </w:r>
    </w:p>
  </w:footnote>
  <w:footnote w:id="44">
    <w:p w14:paraId="238691AD" w14:textId="0F0F2B9B" w:rsidR="00917BB5" w:rsidRPr="00066FA9" w:rsidRDefault="00917BB5">
      <w:pPr>
        <w:pStyle w:val="FootnoteText"/>
        <w:rPr>
          <w:rFonts w:ascii="Arial Narrow" w:hAnsi="Arial Narrow"/>
          <w:sz w:val="18"/>
          <w:szCs w:val="18"/>
        </w:rPr>
      </w:pPr>
      <w:r w:rsidRPr="00066FA9">
        <w:rPr>
          <w:rStyle w:val="FootnoteReference"/>
          <w:rFonts w:ascii="Arial Narrow" w:hAnsi="Arial Narrow"/>
          <w:sz w:val="18"/>
          <w:szCs w:val="18"/>
        </w:rPr>
        <w:footnoteRef/>
      </w:r>
      <w:r w:rsidRPr="00066FA9">
        <w:rPr>
          <w:rFonts w:ascii="Arial Narrow" w:hAnsi="Arial Narrow"/>
          <w:sz w:val="18"/>
          <w:szCs w:val="18"/>
        </w:rPr>
        <w:t xml:space="preserve"> The Protest Principles, </w:t>
      </w:r>
      <w:r w:rsidRPr="00066FA9">
        <w:rPr>
          <w:rFonts w:ascii="Arial Narrow" w:hAnsi="Arial Narrow"/>
          <w:i/>
          <w:sz w:val="18"/>
          <w:szCs w:val="18"/>
        </w:rPr>
        <w:t>op. cit</w:t>
      </w:r>
      <w:r w:rsidRPr="00066FA9">
        <w:rPr>
          <w:rFonts w:ascii="Arial Narrow" w:hAnsi="Arial Narrow"/>
          <w:sz w:val="18"/>
          <w:szCs w:val="18"/>
        </w:rPr>
        <w:t xml:space="preserve">., Principle 4.2.(b)v. </w:t>
      </w:r>
    </w:p>
  </w:footnote>
  <w:footnote w:id="45">
    <w:p w14:paraId="1354A2C6" w14:textId="0DDCF46C" w:rsidR="00917BB5" w:rsidRPr="00066FA9" w:rsidRDefault="00917BB5">
      <w:pPr>
        <w:pStyle w:val="FootnoteText"/>
        <w:rPr>
          <w:rFonts w:ascii="Arial Narrow" w:hAnsi="Arial Narrow"/>
          <w:i/>
          <w:sz w:val="18"/>
          <w:szCs w:val="18"/>
        </w:rPr>
      </w:pPr>
      <w:r w:rsidRPr="00066FA9">
        <w:rPr>
          <w:rStyle w:val="FootnoteReference"/>
          <w:rFonts w:ascii="Arial Narrow" w:hAnsi="Arial Narrow"/>
          <w:sz w:val="18"/>
          <w:szCs w:val="18"/>
        </w:rPr>
        <w:footnoteRef/>
      </w:r>
      <w:r w:rsidRPr="00066FA9">
        <w:rPr>
          <w:rFonts w:ascii="Arial Narrow" w:hAnsi="Arial Narrow"/>
          <w:sz w:val="18"/>
          <w:szCs w:val="18"/>
        </w:rPr>
        <w:t xml:space="preserve"> European Court of Human Rights, </w:t>
      </w:r>
      <w:r w:rsidRPr="00066FA9">
        <w:rPr>
          <w:rFonts w:ascii="Arial Narrow" w:hAnsi="Arial Narrow"/>
          <w:i/>
          <w:sz w:val="18"/>
          <w:szCs w:val="18"/>
        </w:rPr>
        <w:t xml:space="preserve">Ashughyan vs. Armenia, </w:t>
      </w:r>
      <w:r w:rsidRPr="00066FA9">
        <w:rPr>
          <w:rFonts w:ascii="Arial Narrow" w:hAnsi="Arial Narrow"/>
          <w:sz w:val="18"/>
          <w:szCs w:val="18"/>
        </w:rPr>
        <w:t xml:space="preserve">Application. No. 33268/03 (2008), at para 90. </w:t>
      </w:r>
      <w:r w:rsidRPr="00066FA9">
        <w:rPr>
          <w:rFonts w:ascii="Arial Narrow" w:hAnsi="Arial Narrow"/>
          <w:i/>
          <w:sz w:val="18"/>
          <w:szCs w:val="18"/>
        </w:rPr>
        <w:t xml:space="preserve"> </w:t>
      </w:r>
    </w:p>
  </w:footnote>
  <w:footnote w:id="46">
    <w:p w14:paraId="5358F8FB" w14:textId="4084DEE1" w:rsidR="00917BB5" w:rsidRPr="00153CF7" w:rsidRDefault="00917BB5">
      <w:pPr>
        <w:pStyle w:val="FootnoteText"/>
        <w:rPr>
          <w:rFonts w:ascii="Arial Narrow" w:hAnsi="Arial Narrow"/>
          <w:sz w:val="18"/>
          <w:szCs w:val="18"/>
        </w:rPr>
      </w:pPr>
      <w:r w:rsidRPr="00153CF7">
        <w:rPr>
          <w:rStyle w:val="FootnoteReference"/>
          <w:rFonts w:ascii="Arial Narrow" w:hAnsi="Arial Narrow"/>
          <w:sz w:val="18"/>
          <w:szCs w:val="18"/>
        </w:rPr>
        <w:footnoteRef/>
      </w:r>
      <w:r w:rsidRPr="00153CF7">
        <w:rPr>
          <w:rFonts w:ascii="Arial Narrow" w:hAnsi="Arial Narrow"/>
          <w:sz w:val="18"/>
          <w:szCs w:val="18"/>
        </w:rPr>
        <w:t xml:space="preserve"> ECJ, </w:t>
      </w:r>
      <w:r w:rsidRPr="00153CF7">
        <w:rPr>
          <w:rFonts w:ascii="Arial Narrow" w:hAnsi="Arial Narrow"/>
          <w:i/>
          <w:sz w:val="18"/>
          <w:szCs w:val="18"/>
        </w:rPr>
        <w:t>Eugen Schmidberger vs. Republic of Austria</w:t>
      </w:r>
      <w:r w:rsidRPr="00153CF7">
        <w:rPr>
          <w:rFonts w:ascii="Arial Narrow" w:hAnsi="Arial Narrow"/>
          <w:sz w:val="18"/>
          <w:szCs w:val="18"/>
        </w:rPr>
        <w:t xml:space="preserve">, Case C-112/00, 12 June 2003. </w:t>
      </w:r>
    </w:p>
  </w:footnote>
  <w:footnote w:id="47">
    <w:p w14:paraId="24DD6FE1" w14:textId="2A403BEF" w:rsidR="00917BB5" w:rsidRPr="0085373B" w:rsidRDefault="00917BB5" w:rsidP="0085373B">
      <w:pPr>
        <w:pStyle w:val="FootnoteText"/>
        <w:rPr>
          <w:rFonts w:ascii="Arial Narrow" w:hAnsi="Arial Narrow"/>
          <w:sz w:val="18"/>
          <w:szCs w:val="18"/>
        </w:rPr>
      </w:pPr>
      <w:r w:rsidRPr="0085373B">
        <w:rPr>
          <w:rStyle w:val="FootnoteReference"/>
          <w:rFonts w:ascii="Arial Narrow" w:hAnsi="Arial Narrow"/>
          <w:sz w:val="18"/>
          <w:szCs w:val="18"/>
        </w:rPr>
        <w:footnoteRef/>
      </w:r>
      <w:r w:rsidRPr="0085373B">
        <w:rPr>
          <w:rFonts w:ascii="Arial Narrow" w:hAnsi="Arial Narrow"/>
          <w:sz w:val="18"/>
          <w:szCs w:val="18"/>
        </w:rPr>
        <w:t xml:space="preserve"> The Protest Principles, </w:t>
      </w:r>
      <w:r w:rsidRPr="0085373B">
        <w:rPr>
          <w:rFonts w:ascii="Arial Narrow" w:hAnsi="Arial Narrow"/>
          <w:i/>
          <w:sz w:val="18"/>
          <w:szCs w:val="18"/>
        </w:rPr>
        <w:t>op. cit.</w:t>
      </w:r>
      <w:r w:rsidRPr="0085373B">
        <w:rPr>
          <w:rFonts w:ascii="Arial Narrow" w:hAnsi="Arial Narrow"/>
          <w:sz w:val="18"/>
          <w:szCs w:val="18"/>
        </w:rPr>
        <w:t xml:space="preserve">, Principle 4.2(b)(vi) </w:t>
      </w:r>
    </w:p>
  </w:footnote>
  <w:footnote w:id="48">
    <w:p w14:paraId="4BCB7486" w14:textId="69509DF9" w:rsidR="00917BB5" w:rsidRPr="0085373B" w:rsidRDefault="00917BB5" w:rsidP="0085373B">
      <w:pPr>
        <w:pStyle w:val="HMG"/>
        <w:tabs>
          <w:tab w:val="clear" w:pos="851"/>
        </w:tabs>
        <w:spacing w:before="0" w:after="0" w:line="240" w:lineRule="auto"/>
        <w:ind w:left="0" w:right="107" w:firstLine="0"/>
        <w:rPr>
          <w:rFonts w:ascii="Arial Narrow" w:hAnsi="Arial Narrow"/>
          <w:b w:val="0"/>
          <w:sz w:val="18"/>
          <w:szCs w:val="18"/>
        </w:rPr>
      </w:pPr>
      <w:r w:rsidRPr="0085373B">
        <w:rPr>
          <w:rStyle w:val="FootnoteReference"/>
          <w:rFonts w:ascii="Arial Narrow" w:hAnsi="Arial Narrow"/>
          <w:b w:val="0"/>
          <w:sz w:val="18"/>
          <w:szCs w:val="18"/>
        </w:rPr>
        <w:footnoteRef/>
      </w:r>
      <w:r w:rsidRPr="0085373B">
        <w:rPr>
          <w:rFonts w:ascii="Arial Narrow" w:hAnsi="Arial Narrow"/>
          <w:b w:val="0"/>
          <w:sz w:val="18"/>
          <w:szCs w:val="18"/>
        </w:rPr>
        <w:t xml:space="preserve"> Note by Rapporteur, Question 9: </w:t>
      </w:r>
      <w:r>
        <w:rPr>
          <w:rFonts w:ascii="Arial Narrow" w:hAnsi="Arial Narrow"/>
          <w:b w:val="0"/>
          <w:sz w:val="18"/>
          <w:szCs w:val="18"/>
        </w:rPr>
        <w:t>“</w:t>
      </w:r>
      <w:r w:rsidRPr="0085373B">
        <w:rPr>
          <w:rFonts w:ascii="Arial Narrow" w:eastAsia="Calibri" w:hAnsi="Arial Narrow"/>
          <w:b w:val="0"/>
          <w:sz w:val="18"/>
          <w:szCs w:val="18"/>
        </w:rPr>
        <w:t>Are there circumstances under which all peaceful assemblies may be prohibited for a certain period in connection with states of emergencies, or independently of states of emergency?</w:t>
      </w:r>
      <w:r>
        <w:rPr>
          <w:rFonts w:ascii="Arial Narrow" w:eastAsia="Calibri" w:hAnsi="Arial Narrow"/>
          <w:b w:val="0"/>
          <w:sz w:val="18"/>
          <w:szCs w:val="18"/>
        </w:rPr>
        <w:t>”</w:t>
      </w:r>
    </w:p>
  </w:footnote>
  <w:footnote w:id="49">
    <w:p w14:paraId="56BDB29D" w14:textId="61925160" w:rsidR="00917BB5" w:rsidRPr="00932332" w:rsidRDefault="00917BB5">
      <w:pPr>
        <w:pStyle w:val="FootnoteText"/>
        <w:rPr>
          <w:rFonts w:ascii="Arial Narrow" w:hAnsi="Arial Narrow"/>
          <w:sz w:val="18"/>
          <w:szCs w:val="18"/>
        </w:rPr>
      </w:pPr>
      <w:r w:rsidRPr="00932332">
        <w:rPr>
          <w:rStyle w:val="FootnoteReference"/>
          <w:rFonts w:ascii="Arial Narrow" w:hAnsi="Arial Narrow"/>
          <w:sz w:val="18"/>
          <w:szCs w:val="18"/>
        </w:rPr>
        <w:footnoteRef/>
      </w:r>
      <w:r w:rsidRPr="00932332">
        <w:rPr>
          <w:rFonts w:ascii="Arial Narrow" w:hAnsi="Arial Narrow"/>
          <w:sz w:val="18"/>
          <w:szCs w:val="18"/>
        </w:rPr>
        <w:t xml:space="preserve"> The Protest Principles, </w:t>
      </w:r>
      <w:r w:rsidRPr="00932332">
        <w:rPr>
          <w:rFonts w:ascii="Arial Narrow" w:hAnsi="Arial Narrow"/>
          <w:i/>
          <w:sz w:val="18"/>
          <w:szCs w:val="18"/>
        </w:rPr>
        <w:t>op. cit.</w:t>
      </w:r>
      <w:r w:rsidRPr="00932332">
        <w:rPr>
          <w:rFonts w:ascii="Arial Narrow" w:hAnsi="Arial Narrow"/>
          <w:sz w:val="18"/>
          <w:szCs w:val="18"/>
        </w:rPr>
        <w:t xml:space="preserve">, at Principle 5. </w:t>
      </w:r>
    </w:p>
  </w:footnote>
  <w:footnote w:id="50">
    <w:p w14:paraId="168F77D0" w14:textId="7C06EB4F" w:rsidR="00917BB5" w:rsidRPr="005F0601" w:rsidRDefault="00917BB5">
      <w:pPr>
        <w:pStyle w:val="FootnoteText"/>
        <w:rPr>
          <w:rFonts w:ascii="Arial Narrow" w:hAnsi="Arial Narrow"/>
          <w:sz w:val="18"/>
          <w:szCs w:val="18"/>
        </w:rPr>
      </w:pPr>
      <w:r w:rsidRPr="005F0601">
        <w:rPr>
          <w:rStyle w:val="FootnoteReference"/>
          <w:rFonts w:ascii="Arial Narrow" w:hAnsi="Arial Narrow"/>
          <w:sz w:val="18"/>
          <w:szCs w:val="18"/>
        </w:rPr>
        <w:footnoteRef/>
      </w:r>
      <w:r w:rsidRPr="005F0601">
        <w:rPr>
          <w:rFonts w:ascii="Arial Narrow" w:hAnsi="Arial Narrow"/>
          <w:sz w:val="18"/>
          <w:szCs w:val="18"/>
        </w:rPr>
        <w:t xml:space="preserve"> See, for example, HR Committee: Concluding Observations on Peru (2003)</w:t>
      </w:r>
      <w:r>
        <w:rPr>
          <w:rFonts w:ascii="Arial Narrow" w:hAnsi="Arial Narrow"/>
          <w:sz w:val="18"/>
          <w:szCs w:val="18"/>
        </w:rPr>
        <w:t>.</w:t>
      </w:r>
    </w:p>
  </w:footnote>
  <w:footnote w:id="51">
    <w:p w14:paraId="4D2CE661" w14:textId="66638597" w:rsidR="00917BB5" w:rsidRPr="00D0196B" w:rsidRDefault="00917BB5" w:rsidP="0085373B">
      <w:pPr>
        <w:pStyle w:val="FootnoteText"/>
        <w:rPr>
          <w:rFonts w:ascii="Arial Narrow" w:hAnsi="Arial Narrow"/>
          <w:sz w:val="18"/>
          <w:szCs w:val="18"/>
        </w:rPr>
      </w:pPr>
      <w:r w:rsidRPr="00D0196B">
        <w:rPr>
          <w:rStyle w:val="FootnoteReference"/>
          <w:rFonts w:ascii="Arial Narrow" w:hAnsi="Arial Narrow"/>
          <w:sz w:val="18"/>
          <w:szCs w:val="18"/>
        </w:rPr>
        <w:footnoteRef/>
      </w:r>
      <w:r w:rsidRPr="00D0196B">
        <w:rPr>
          <w:rFonts w:ascii="Arial Narrow" w:hAnsi="Arial Narrow"/>
          <w:sz w:val="18"/>
          <w:szCs w:val="18"/>
        </w:rPr>
        <w:t xml:space="preserve"> Report of the UN Special Rapporteur on the promotion and protection of human rights and fundamental freedoms while countering terrorism, on “the role of measures to address terrorism and violent extremism on closing civic space and violating the rights of civil society actors and human rights defenders”, A/HRC/40/52, 18 February 2019; at para 45.</w:t>
      </w:r>
    </w:p>
  </w:footnote>
  <w:footnote w:id="52">
    <w:p w14:paraId="56E0FA20" w14:textId="116F85A1" w:rsidR="00917BB5" w:rsidRPr="0085373B" w:rsidRDefault="00917BB5">
      <w:pPr>
        <w:pStyle w:val="FootnoteText"/>
        <w:rPr>
          <w:rFonts w:ascii="Arial Narrow" w:hAnsi="Arial Narrow"/>
          <w:sz w:val="18"/>
          <w:szCs w:val="18"/>
        </w:rPr>
      </w:pPr>
      <w:r w:rsidRPr="00D0196B">
        <w:rPr>
          <w:rStyle w:val="FootnoteReference"/>
          <w:rFonts w:ascii="Arial Narrow" w:hAnsi="Arial Narrow"/>
          <w:sz w:val="18"/>
          <w:szCs w:val="18"/>
        </w:rPr>
        <w:footnoteRef/>
      </w:r>
      <w:r w:rsidRPr="00D0196B">
        <w:rPr>
          <w:rFonts w:ascii="Arial Narrow" w:hAnsi="Arial Narrow"/>
          <w:sz w:val="18"/>
          <w:szCs w:val="18"/>
        </w:rPr>
        <w:t xml:space="preserve"> Report of the Special Rapporteur on the promotion and protection of human rights and fundamental freedoms while countering terrorism, on “the </w:t>
      </w:r>
      <w:r w:rsidRPr="0085373B">
        <w:rPr>
          <w:rFonts w:ascii="Arial Narrow" w:hAnsi="Arial Narrow"/>
          <w:sz w:val="18"/>
          <w:szCs w:val="18"/>
        </w:rPr>
        <w:t xml:space="preserve">human rights challenge of states of emergency in the context of countering terrorism”, A/HRC/37/52, 27 February 2018, at para 72. </w:t>
      </w:r>
    </w:p>
  </w:footnote>
  <w:footnote w:id="53">
    <w:p w14:paraId="6DA0751A" w14:textId="30C50A68" w:rsidR="00917BB5" w:rsidRPr="00D0196B" w:rsidRDefault="00917BB5">
      <w:pPr>
        <w:pStyle w:val="FootnoteText"/>
      </w:pPr>
      <w:r w:rsidRPr="0085373B">
        <w:rPr>
          <w:rStyle w:val="FootnoteReference"/>
          <w:rFonts w:ascii="Arial Narrow" w:hAnsi="Arial Narrow"/>
          <w:sz w:val="18"/>
          <w:szCs w:val="18"/>
        </w:rPr>
        <w:footnoteRef/>
      </w:r>
      <w:r w:rsidRPr="0085373B">
        <w:rPr>
          <w:rFonts w:ascii="Arial Narrow" w:hAnsi="Arial Narrow"/>
          <w:sz w:val="18"/>
          <w:szCs w:val="18"/>
        </w:rPr>
        <w:t xml:space="preserve"> </w:t>
      </w:r>
      <w:r w:rsidRPr="0085373B">
        <w:rPr>
          <w:rFonts w:ascii="Arial Narrow" w:hAnsi="Arial Narrow"/>
          <w:i/>
          <w:sz w:val="18"/>
          <w:szCs w:val="18"/>
        </w:rPr>
        <w:t>Ibid.</w:t>
      </w:r>
      <w:r w:rsidRPr="0085373B">
        <w:rPr>
          <w:rFonts w:ascii="Arial Narrow" w:hAnsi="Arial Narrow"/>
          <w:sz w:val="18"/>
          <w:szCs w:val="18"/>
        </w:rPr>
        <w:t>, at paras 74 - 77.</w:t>
      </w:r>
    </w:p>
  </w:footnote>
  <w:footnote w:id="54">
    <w:p w14:paraId="38F3B66D" w14:textId="04A5D90D" w:rsidR="00917BB5" w:rsidRPr="009E3018" w:rsidRDefault="00917BB5">
      <w:pPr>
        <w:pStyle w:val="FootnoteText"/>
        <w:rPr>
          <w:rFonts w:ascii="Arial Narrow" w:hAnsi="Arial Narrow"/>
          <w:sz w:val="18"/>
          <w:szCs w:val="18"/>
        </w:rPr>
      </w:pPr>
      <w:r w:rsidRPr="009E3018">
        <w:rPr>
          <w:rStyle w:val="FootnoteReference"/>
          <w:rFonts w:ascii="Arial Narrow" w:hAnsi="Arial Narrow"/>
          <w:sz w:val="18"/>
          <w:szCs w:val="18"/>
        </w:rPr>
        <w:footnoteRef/>
      </w:r>
      <w:r w:rsidRPr="009E3018">
        <w:rPr>
          <w:rFonts w:ascii="Arial Narrow" w:hAnsi="Arial Narrow"/>
          <w:sz w:val="18"/>
          <w:szCs w:val="18"/>
        </w:rPr>
        <w:t xml:space="preserve"> </w:t>
      </w:r>
      <w:r w:rsidRPr="009E3018">
        <w:rPr>
          <w:rFonts w:ascii="Arial Narrow" w:hAnsi="Arial Narrow"/>
          <w:i/>
          <w:sz w:val="18"/>
          <w:szCs w:val="18"/>
        </w:rPr>
        <w:t>Ibid.</w:t>
      </w:r>
      <w:r w:rsidRPr="009E3018">
        <w:rPr>
          <w:rFonts w:ascii="Arial Narrow" w:hAnsi="Arial Narrow"/>
          <w:sz w:val="18"/>
          <w:szCs w:val="18"/>
        </w:rPr>
        <w:t xml:space="preserve">, at para. 78. </w:t>
      </w:r>
    </w:p>
  </w:footnote>
  <w:footnote w:id="55">
    <w:p w14:paraId="441B69BB" w14:textId="7A8EB862" w:rsidR="00917BB5" w:rsidRPr="00686F83" w:rsidRDefault="00917BB5">
      <w:pPr>
        <w:pStyle w:val="FootnoteText"/>
        <w:rPr>
          <w:rFonts w:ascii="Arial Narrow" w:hAnsi="Arial Narrow"/>
          <w:sz w:val="18"/>
          <w:szCs w:val="18"/>
        </w:rPr>
      </w:pPr>
      <w:r w:rsidRPr="00686F83">
        <w:rPr>
          <w:rStyle w:val="FootnoteReference"/>
          <w:rFonts w:ascii="Arial Narrow" w:hAnsi="Arial Narrow"/>
          <w:sz w:val="18"/>
          <w:szCs w:val="18"/>
        </w:rPr>
        <w:footnoteRef/>
      </w:r>
      <w:r w:rsidRPr="00686F83">
        <w:rPr>
          <w:rFonts w:ascii="Arial Narrow" w:hAnsi="Arial Narrow"/>
          <w:sz w:val="18"/>
          <w:szCs w:val="18"/>
        </w:rPr>
        <w:t xml:space="preserve"> Protest Principles, </w:t>
      </w:r>
      <w:r w:rsidRPr="00686F83">
        <w:rPr>
          <w:rFonts w:ascii="Arial Narrow" w:hAnsi="Arial Narrow"/>
          <w:i/>
          <w:sz w:val="18"/>
          <w:szCs w:val="18"/>
        </w:rPr>
        <w:t>op. cit.</w:t>
      </w:r>
      <w:r>
        <w:rPr>
          <w:rFonts w:ascii="Arial Narrow" w:hAnsi="Arial Narrow"/>
          <w:sz w:val="18"/>
          <w:szCs w:val="18"/>
        </w:rPr>
        <w:t xml:space="preserve">, at Principle 3. </w:t>
      </w:r>
    </w:p>
  </w:footnote>
  <w:footnote w:id="56">
    <w:p w14:paraId="47E478F8" w14:textId="79795240" w:rsidR="00917BB5" w:rsidRPr="009E3018" w:rsidRDefault="00917BB5" w:rsidP="00231667">
      <w:pPr>
        <w:pStyle w:val="FootnoteText"/>
        <w:rPr>
          <w:rFonts w:ascii="Arial Narrow" w:hAnsi="Arial Narrow"/>
          <w:sz w:val="18"/>
          <w:szCs w:val="18"/>
        </w:rPr>
      </w:pPr>
      <w:r w:rsidRPr="009E3018">
        <w:rPr>
          <w:rStyle w:val="FootnoteReference"/>
          <w:rFonts w:ascii="Arial Narrow" w:hAnsi="Arial Narrow"/>
          <w:sz w:val="18"/>
          <w:szCs w:val="18"/>
        </w:rPr>
        <w:footnoteRef/>
      </w:r>
      <w:r w:rsidRPr="009E3018">
        <w:rPr>
          <w:rFonts w:ascii="Arial Narrow" w:hAnsi="Arial Narrow"/>
          <w:sz w:val="18"/>
          <w:szCs w:val="18"/>
        </w:rPr>
        <w:t xml:space="preserve"> See, for example, the following HR Committee Concluding Observations: Sri Lanka, CCPR/C/LKA/CO/5, 21 November 2014, at para. 22 (Tamil minorities); Georgia, CCPR/C/GEO/CO/4, 19 August 2014, at para. 8 (LGBT people); Iraq, CCPR/C/IRQ/5, at para. 177 (LGBT people); Indonesia, CCPR/C/IDN/CO/1, 21 August 2013, at para. 28 (religious minorities); Dominican Republic, CCPR/C/DOM/CO/5, 19 April 2012, para. 25 (migrant workers); Iran, CCPR/C/IRN/CO/3, 29 November 2011 (religious minorities); Ethiopia, CCPR/C/ETH/CO/1, 19 August 2011, at para 25 (civil society organisations with members outside of the country). See also: HR Committee, Alekseev, </w:t>
      </w:r>
      <w:r>
        <w:rPr>
          <w:rFonts w:ascii="Arial Narrow" w:hAnsi="Arial Narrow" w:cstheme="minorHAnsi"/>
          <w:i/>
          <w:sz w:val="18"/>
          <w:szCs w:val="18"/>
        </w:rPr>
        <w:t>op. cit.</w:t>
      </w:r>
      <w:r w:rsidRPr="009E3018">
        <w:rPr>
          <w:rFonts w:ascii="Arial Narrow" w:hAnsi="Arial Narrow" w:cstheme="minorHAnsi"/>
          <w:sz w:val="18"/>
          <w:szCs w:val="18"/>
        </w:rPr>
        <w:t>, 2 December 2013</w:t>
      </w:r>
      <w:r>
        <w:rPr>
          <w:rFonts w:ascii="Arial Narrow" w:hAnsi="Arial Narrow" w:cstheme="minorHAnsi"/>
          <w:sz w:val="18"/>
          <w:szCs w:val="18"/>
        </w:rPr>
        <w:t xml:space="preserve"> (LGBT people)</w:t>
      </w:r>
      <w:r w:rsidRPr="009E3018">
        <w:rPr>
          <w:rFonts w:ascii="Arial Narrow" w:hAnsi="Arial Narrow" w:cstheme="minorHAnsi"/>
          <w:sz w:val="18"/>
          <w:szCs w:val="18"/>
        </w:rPr>
        <w:t>.</w:t>
      </w:r>
    </w:p>
  </w:footnote>
  <w:footnote w:id="57">
    <w:p w14:paraId="3E225B01" w14:textId="0C0902D2" w:rsidR="00917BB5" w:rsidRPr="00686F83" w:rsidRDefault="00917BB5">
      <w:pPr>
        <w:pStyle w:val="FootnoteText"/>
        <w:rPr>
          <w:rFonts w:ascii="Arial Narrow" w:hAnsi="Arial Narrow"/>
          <w:sz w:val="18"/>
          <w:szCs w:val="18"/>
        </w:rPr>
      </w:pPr>
      <w:r w:rsidRPr="00686F83">
        <w:rPr>
          <w:rStyle w:val="FootnoteReference"/>
          <w:rFonts w:ascii="Arial Narrow" w:hAnsi="Arial Narrow"/>
          <w:sz w:val="18"/>
          <w:szCs w:val="18"/>
        </w:rPr>
        <w:footnoteRef/>
      </w:r>
      <w:r w:rsidRPr="00686F83">
        <w:rPr>
          <w:rFonts w:ascii="Arial Narrow" w:hAnsi="Arial Narrow"/>
          <w:sz w:val="18"/>
          <w:szCs w:val="18"/>
        </w:rPr>
        <w:t xml:space="preserve"> </w:t>
      </w:r>
      <w:r>
        <w:rPr>
          <w:rFonts w:ascii="Arial Narrow" w:hAnsi="Arial Narrow"/>
          <w:sz w:val="18"/>
          <w:szCs w:val="18"/>
        </w:rPr>
        <w:t xml:space="preserve">Protest Principles, </w:t>
      </w:r>
      <w:r w:rsidRPr="00686F83">
        <w:rPr>
          <w:rFonts w:ascii="Arial Narrow" w:hAnsi="Arial Narrow"/>
          <w:i/>
          <w:sz w:val="18"/>
          <w:szCs w:val="18"/>
        </w:rPr>
        <w:t>op. cit</w:t>
      </w:r>
      <w:r>
        <w:rPr>
          <w:rFonts w:ascii="Arial Narrow" w:hAnsi="Arial Narrow"/>
          <w:sz w:val="18"/>
          <w:szCs w:val="18"/>
        </w:rPr>
        <w:t xml:space="preserve">., at Principle 11(d). See also: </w:t>
      </w:r>
      <w:r w:rsidRPr="00686F83">
        <w:rPr>
          <w:rFonts w:ascii="Arial Narrow" w:hAnsi="Arial Narrow"/>
          <w:sz w:val="18"/>
          <w:szCs w:val="18"/>
        </w:rPr>
        <w:t xml:space="preserve">HR Committee, </w:t>
      </w:r>
      <w:r w:rsidRPr="00686F83">
        <w:rPr>
          <w:rFonts w:ascii="Arial Narrow" w:hAnsi="Arial Narrow"/>
          <w:i/>
          <w:sz w:val="18"/>
          <w:szCs w:val="18"/>
        </w:rPr>
        <w:t>Alekseev</w:t>
      </w:r>
      <w:r w:rsidRPr="00686F83">
        <w:rPr>
          <w:rFonts w:ascii="Arial Narrow" w:hAnsi="Arial Narrow"/>
          <w:sz w:val="18"/>
          <w:szCs w:val="18"/>
        </w:rPr>
        <w:t xml:space="preserve">, op cit. </w:t>
      </w:r>
    </w:p>
  </w:footnote>
  <w:footnote w:id="58">
    <w:p w14:paraId="363B3410" w14:textId="3B0FF830" w:rsidR="00917BB5" w:rsidRPr="00AE5CD1" w:rsidRDefault="00917BB5">
      <w:pPr>
        <w:pStyle w:val="FootnoteText"/>
        <w:rPr>
          <w:rFonts w:ascii="Arial Narrow" w:hAnsi="Arial Narrow"/>
          <w:sz w:val="18"/>
          <w:szCs w:val="18"/>
        </w:rPr>
      </w:pPr>
      <w:r w:rsidRPr="00AE5CD1">
        <w:rPr>
          <w:rStyle w:val="FootnoteReference"/>
          <w:rFonts w:ascii="Arial Narrow" w:hAnsi="Arial Narrow"/>
          <w:sz w:val="18"/>
          <w:szCs w:val="18"/>
        </w:rPr>
        <w:footnoteRef/>
      </w:r>
      <w:r w:rsidRPr="00AE5CD1">
        <w:rPr>
          <w:rFonts w:ascii="Arial Narrow" w:hAnsi="Arial Narrow"/>
          <w:sz w:val="18"/>
          <w:szCs w:val="18"/>
        </w:rPr>
        <w:t xml:space="preserve"> Human Rights Council Resolution 38/11, at operative paragraph 6.</w:t>
      </w:r>
    </w:p>
  </w:footnote>
  <w:footnote w:id="59">
    <w:p w14:paraId="64CE2A8E" w14:textId="4C295B8D" w:rsidR="00917BB5" w:rsidRPr="00592606" w:rsidRDefault="00917BB5">
      <w:pPr>
        <w:pStyle w:val="FootnoteText"/>
        <w:rPr>
          <w:rFonts w:ascii="Arial Narrow" w:hAnsi="Arial Narrow"/>
          <w:sz w:val="18"/>
          <w:szCs w:val="18"/>
        </w:rPr>
      </w:pPr>
      <w:r w:rsidRPr="00592606">
        <w:rPr>
          <w:rStyle w:val="FootnoteReference"/>
          <w:rFonts w:ascii="Arial Narrow" w:hAnsi="Arial Narrow"/>
          <w:sz w:val="18"/>
          <w:szCs w:val="18"/>
        </w:rPr>
        <w:footnoteRef/>
      </w:r>
      <w:r w:rsidRPr="00592606">
        <w:rPr>
          <w:rFonts w:ascii="Arial Narrow" w:hAnsi="Arial Narrow"/>
          <w:sz w:val="18"/>
          <w:szCs w:val="18"/>
        </w:rPr>
        <w:t xml:space="preserve"> Protest Principles, </w:t>
      </w:r>
      <w:r w:rsidRPr="00592606">
        <w:rPr>
          <w:rFonts w:ascii="Arial Narrow" w:hAnsi="Arial Narrow"/>
          <w:i/>
          <w:sz w:val="18"/>
          <w:szCs w:val="18"/>
        </w:rPr>
        <w:t>op. cit.</w:t>
      </w:r>
      <w:r w:rsidRPr="00592606">
        <w:rPr>
          <w:rFonts w:ascii="Arial Narrow" w:hAnsi="Arial Narrow"/>
          <w:sz w:val="18"/>
          <w:szCs w:val="18"/>
        </w:rPr>
        <w:t>, at Principle 7.2</w:t>
      </w:r>
      <w:r w:rsidR="00AB4658">
        <w:rPr>
          <w:rFonts w:ascii="Arial Narrow" w:hAnsi="Arial Narrow"/>
          <w:sz w:val="18"/>
          <w:szCs w:val="18"/>
        </w:rPr>
        <w:t xml:space="preserve">. See also HRC Resolution 38/11, at operative paragraph 7. </w:t>
      </w:r>
    </w:p>
  </w:footnote>
  <w:footnote w:id="60">
    <w:p w14:paraId="5C5CB956" w14:textId="11D58E85" w:rsidR="00917BB5" w:rsidRPr="00EA6F76" w:rsidRDefault="00917BB5" w:rsidP="00EA6F76">
      <w:pPr>
        <w:spacing w:after="0"/>
        <w:jc w:val="both"/>
        <w:rPr>
          <w:rFonts w:ascii="Arial Narrow" w:hAnsi="Arial Narrow" w:cs="Calibri"/>
          <w:sz w:val="18"/>
          <w:szCs w:val="18"/>
        </w:rPr>
      </w:pPr>
      <w:r w:rsidRPr="00EA6F76">
        <w:rPr>
          <w:rFonts w:ascii="Arial Narrow" w:eastAsia="Calibri" w:hAnsi="Arial Narrow" w:cs="Calibri"/>
          <w:sz w:val="18"/>
          <w:szCs w:val="18"/>
          <w:vertAlign w:val="superscript"/>
        </w:rPr>
        <w:footnoteRef/>
      </w:r>
      <w:r w:rsidRPr="00EA6F76">
        <w:rPr>
          <w:rFonts w:ascii="Arial Narrow" w:eastAsia="Calibri" w:hAnsi="Arial Narrow" w:cs="Calibri"/>
          <w:sz w:val="18"/>
          <w:szCs w:val="18"/>
        </w:rPr>
        <w:t xml:space="preserve"> Committee on the Rights of the Child: Concluding Observations on Japan, UN Doc. CRC/C/15/Add.231, 26 February 2004, at paras 29 - 30; Concluding Observations on Myanmar 1997, UN. Doc. CRC/C/15/Add.69, 24 January 1997, at para</w:t>
      </w:r>
      <w:r>
        <w:rPr>
          <w:rFonts w:ascii="Arial Narrow" w:eastAsia="Calibri" w:hAnsi="Arial Narrow" w:cs="Calibri"/>
          <w:sz w:val="18"/>
          <w:szCs w:val="18"/>
        </w:rPr>
        <w:t>.</w:t>
      </w:r>
      <w:r w:rsidRPr="00EA6F76">
        <w:rPr>
          <w:rFonts w:ascii="Arial Narrow" w:eastAsia="Calibri" w:hAnsi="Arial Narrow" w:cs="Calibri"/>
          <w:sz w:val="18"/>
          <w:szCs w:val="18"/>
        </w:rPr>
        <w:t xml:space="preserve"> 28; Concluding Observations on Belarus, UN Doc. CRC/C/BLR/CO/3-4, 8 April 2011, at para 35; Concluding Observations on Turkey, UN Doc. CRC/C/R/CO/2-3, 20 July 2012, at para</w:t>
      </w:r>
      <w:r>
        <w:rPr>
          <w:rFonts w:ascii="Arial Narrow" w:eastAsia="Calibri" w:hAnsi="Arial Narrow" w:cs="Calibri"/>
          <w:sz w:val="18"/>
          <w:szCs w:val="18"/>
        </w:rPr>
        <w:t>.</w:t>
      </w:r>
      <w:r w:rsidRPr="00EA6F76">
        <w:rPr>
          <w:rFonts w:ascii="Arial Narrow" w:eastAsia="Calibri" w:hAnsi="Arial Narrow" w:cs="Calibri"/>
          <w:sz w:val="18"/>
          <w:szCs w:val="18"/>
        </w:rPr>
        <w:t xml:space="preserve"> 39;</w:t>
      </w:r>
      <w:r w:rsidRPr="00EA6F76">
        <w:rPr>
          <w:rFonts w:ascii="Arial Narrow" w:hAnsi="Arial Narrow" w:cs="Calibri"/>
          <w:sz w:val="18"/>
          <w:szCs w:val="18"/>
        </w:rPr>
        <w:t xml:space="preserve"> Concluding Observations on Syrian Arab Republic, UN Doc CRC/C/SYR/CO 3-4, 9 February 2012, </w:t>
      </w:r>
      <w:r>
        <w:rPr>
          <w:rFonts w:ascii="Arial Narrow" w:hAnsi="Arial Narrow" w:cs="Calibri"/>
          <w:sz w:val="18"/>
          <w:szCs w:val="18"/>
        </w:rPr>
        <w:t xml:space="preserve">at </w:t>
      </w:r>
      <w:r w:rsidRPr="00EA6F76">
        <w:rPr>
          <w:rFonts w:ascii="Arial Narrow" w:hAnsi="Arial Narrow" w:cs="Calibri"/>
          <w:sz w:val="18"/>
          <w:szCs w:val="18"/>
        </w:rPr>
        <w:t>para</w:t>
      </w:r>
      <w:r>
        <w:rPr>
          <w:rFonts w:ascii="Arial Narrow" w:hAnsi="Arial Narrow" w:cs="Calibri"/>
          <w:sz w:val="18"/>
          <w:szCs w:val="18"/>
        </w:rPr>
        <w:t>.</w:t>
      </w:r>
      <w:r w:rsidRPr="00EA6F76">
        <w:rPr>
          <w:rFonts w:ascii="Arial Narrow" w:hAnsi="Arial Narrow" w:cs="Calibri"/>
          <w:sz w:val="18"/>
          <w:szCs w:val="18"/>
        </w:rPr>
        <w:t xml:space="preserve"> 47; Concluding Observations on Bahrain, UN Doc. CRC/C/BHR/CO/2-3, 3 August 2011, paras 40 - 41; Concluding Observations on Syrian Arab Republic, UN Doc CRC/C/SYR/CO 3-4, 9 February 2012, at para</w:t>
      </w:r>
      <w:r>
        <w:rPr>
          <w:rFonts w:ascii="Arial Narrow" w:hAnsi="Arial Narrow" w:cs="Calibri"/>
          <w:sz w:val="18"/>
          <w:szCs w:val="18"/>
        </w:rPr>
        <w:t>.</w:t>
      </w:r>
      <w:r w:rsidRPr="00EA6F76">
        <w:rPr>
          <w:rFonts w:ascii="Arial Narrow" w:hAnsi="Arial Narrow" w:cs="Calibri"/>
          <w:sz w:val="18"/>
          <w:szCs w:val="18"/>
        </w:rPr>
        <w:t xml:space="preserve"> 47; Concluding Observations on Bahrain, UN Doc. CRC/C/BHR/CO/2-3, 3 August 2011, at paras 40-41.</w:t>
      </w:r>
    </w:p>
  </w:footnote>
  <w:footnote w:id="61">
    <w:p w14:paraId="7805D20E" w14:textId="4FBDC737" w:rsidR="00917BB5" w:rsidRPr="00FF034C" w:rsidRDefault="00917BB5" w:rsidP="00FF034C">
      <w:pPr>
        <w:pStyle w:val="HMG"/>
        <w:spacing w:before="0" w:after="0" w:line="240" w:lineRule="auto"/>
        <w:ind w:left="0" w:right="-35" w:firstLine="0"/>
        <w:jc w:val="both"/>
        <w:rPr>
          <w:rFonts w:ascii="Arial Narrow" w:hAnsi="Arial Narrow"/>
          <w:b w:val="0"/>
          <w:sz w:val="18"/>
          <w:szCs w:val="18"/>
        </w:rPr>
      </w:pPr>
      <w:r w:rsidRPr="00FF034C">
        <w:rPr>
          <w:rStyle w:val="FootnoteReference"/>
          <w:rFonts w:ascii="Arial Narrow" w:hAnsi="Arial Narrow"/>
          <w:b w:val="0"/>
          <w:sz w:val="18"/>
          <w:szCs w:val="18"/>
        </w:rPr>
        <w:footnoteRef/>
      </w:r>
      <w:r w:rsidRPr="00FF034C">
        <w:rPr>
          <w:rFonts w:ascii="Arial Narrow" w:hAnsi="Arial Narrow"/>
          <w:b w:val="0"/>
          <w:sz w:val="18"/>
          <w:szCs w:val="18"/>
        </w:rPr>
        <w:t xml:space="preserve"> Note of the Rapporteur, </w:t>
      </w:r>
      <w:r w:rsidRPr="00FF034C">
        <w:rPr>
          <w:rFonts w:ascii="Arial Narrow" w:hAnsi="Arial Narrow"/>
          <w:b w:val="0"/>
          <w:i/>
          <w:sz w:val="18"/>
          <w:szCs w:val="18"/>
        </w:rPr>
        <w:t>op. cit.</w:t>
      </w:r>
      <w:r w:rsidRPr="00FF034C">
        <w:rPr>
          <w:rFonts w:ascii="Arial Narrow" w:hAnsi="Arial Narrow"/>
          <w:b w:val="0"/>
          <w:sz w:val="18"/>
          <w:szCs w:val="18"/>
        </w:rPr>
        <w:t xml:space="preserve">, at Question 6: </w:t>
      </w:r>
      <w:r>
        <w:rPr>
          <w:rFonts w:ascii="Arial Narrow" w:hAnsi="Arial Narrow"/>
          <w:b w:val="0"/>
          <w:sz w:val="18"/>
          <w:szCs w:val="18"/>
        </w:rPr>
        <w:t>“</w:t>
      </w:r>
      <w:r>
        <w:rPr>
          <w:rFonts w:ascii="Arial Narrow" w:eastAsia="Calibri" w:hAnsi="Arial Narrow"/>
          <w:b w:val="0"/>
          <w:sz w:val="18"/>
          <w:szCs w:val="18"/>
        </w:rPr>
        <w:t>i</w:t>
      </w:r>
      <w:r w:rsidRPr="00FF034C">
        <w:rPr>
          <w:rFonts w:ascii="Arial Narrow" w:eastAsia="Calibri" w:hAnsi="Arial Narrow"/>
          <w:b w:val="0"/>
          <w:sz w:val="18"/>
          <w:szCs w:val="18"/>
        </w:rPr>
        <w:t>s it correct to say there is a ‘presumption’ under the Covenant in favour of allowing peaceful assemblies, and the onus is on those wishing to restrict such assemblies to justify such limitations?</w:t>
      </w:r>
      <w:r>
        <w:rPr>
          <w:rFonts w:ascii="Arial Narrow" w:eastAsia="Calibri" w:hAnsi="Arial Narrow"/>
          <w:b w:val="0"/>
          <w:sz w:val="18"/>
          <w:szCs w:val="18"/>
        </w:rPr>
        <w:t>”</w:t>
      </w:r>
    </w:p>
  </w:footnote>
  <w:footnote w:id="62">
    <w:p w14:paraId="5178ECC5" w14:textId="05EA0A66" w:rsidR="00917BB5" w:rsidRPr="00831C9F" w:rsidRDefault="00917BB5" w:rsidP="00831C9F">
      <w:pPr>
        <w:spacing w:after="0" w:line="240" w:lineRule="auto"/>
        <w:rPr>
          <w:rFonts w:ascii="Times New Roman" w:hAnsi="Times New Roman" w:cs="Times New Roman"/>
          <w:sz w:val="24"/>
          <w:szCs w:val="24"/>
        </w:rPr>
      </w:pPr>
      <w:r w:rsidRPr="00831C9F">
        <w:rPr>
          <w:rStyle w:val="FootnoteReference"/>
          <w:rFonts w:ascii="Arial Narrow" w:hAnsi="Arial Narrow"/>
          <w:sz w:val="18"/>
          <w:szCs w:val="18"/>
        </w:rPr>
        <w:footnoteRef/>
      </w:r>
      <w:r w:rsidRPr="00831C9F">
        <w:rPr>
          <w:rFonts w:ascii="Arial Narrow" w:hAnsi="Arial Narrow"/>
          <w:sz w:val="18"/>
          <w:szCs w:val="18"/>
        </w:rPr>
        <w:t xml:space="preserve"> </w:t>
      </w:r>
      <w:r>
        <w:rPr>
          <w:rFonts w:ascii="Arial Narrow" w:hAnsi="Arial Narrow"/>
          <w:sz w:val="18"/>
          <w:szCs w:val="18"/>
        </w:rPr>
        <w:t>See, for example, a series of HR Committee decisions on Belarus and on Russia:</w:t>
      </w:r>
      <w:r w:rsidRPr="00831C9F">
        <w:rPr>
          <w:rFonts w:ascii="Arial Narrow" w:hAnsi="Arial Narrow"/>
          <w:sz w:val="18"/>
          <w:szCs w:val="18"/>
        </w:rPr>
        <w:t xml:space="preserve"> </w:t>
      </w:r>
      <w:r w:rsidRPr="00831C9F">
        <w:rPr>
          <w:rFonts w:ascii="Arial Narrow" w:hAnsi="Arial Narrow" w:cs="Times New Roman"/>
          <w:sz w:val="18"/>
          <w:szCs w:val="18"/>
        </w:rPr>
        <w:t xml:space="preserve">Belarus, </w:t>
      </w:r>
      <w:r w:rsidRPr="00E64F67">
        <w:rPr>
          <w:rFonts w:ascii="Arial Narrow" w:hAnsi="Arial Narrow" w:cs="Times New Roman"/>
          <w:i/>
          <w:sz w:val="18"/>
          <w:szCs w:val="18"/>
        </w:rPr>
        <w:t>Poplavny</w:t>
      </w:r>
      <w:r w:rsidRPr="00831C9F">
        <w:rPr>
          <w:rFonts w:ascii="Arial Narrow" w:hAnsi="Arial Narrow" w:cs="Times New Roman"/>
          <w:sz w:val="18"/>
          <w:szCs w:val="18"/>
        </w:rPr>
        <w:t xml:space="preserve">, 2015; Belarus, </w:t>
      </w:r>
      <w:r w:rsidRPr="00E64F67">
        <w:rPr>
          <w:rFonts w:ascii="Arial Narrow" w:hAnsi="Arial Narrow" w:cs="Times New Roman"/>
          <w:i/>
          <w:sz w:val="18"/>
          <w:szCs w:val="18"/>
        </w:rPr>
        <w:t>Statkevich</w:t>
      </w:r>
      <w:r w:rsidRPr="00831C9F">
        <w:rPr>
          <w:rFonts w:ascii="Arial Narrow" w:hAnsi="Arial Narrow" w:cs="Times New Roman"/>
          <w:sz w:val="18"/>
          <w:szCs w:val="18"/>
        </w:rPr>
        <w:t>, 2015</w:t>
      </w:r>
      <w:r w:rsidRPr="00831C9F">
        <w:rPr>
          <w:rFonts w:ascii="Arial Narrow" w:hAnsi="Arial Narrow"/>
          <w:sz w:val="18"/>
          <w:szCs w:val="18"/>
        </w:rPr>
        <w:t xml:space="preserve">; </w:t>
      </w:r>
      <w:r w:rsidRPr="00831C9F">
        <w:rPr>
          <w:rFonts w:ascii="Arial Narrow" w:hAnsi="Arial Narrow" w:cs="Times New Roman"/>
          <w:sz w:val="18"/>
          <w:szCs w:val="18"/>
        </w:rPr>
        <w:t xml:space="preserve">Belarus, </w:t>
      </w:r>
      <w:r w:rsidRPr="00E64F67">
        <w:rPr>
          <w:rFonts w:ascii="Arial Narrow" w:hAnsi="Arial Narrow" w:cs="Times New Roman"/>
          <w:i/>
          <w:sz w:val="18"/>
          <w:szCs w:val="18"/>
        </w:rPr>
        <w:t>Pugach</w:t>
      </w:r>
      <w:r w:rsidRPr="00831C9F">
        <w:rPr>
          <w:rFonts w:ascii="Arial Narrow" w:hAnsi="Arial Narrow" w:cs="Times New Roman"/>
          <w:sz w:val="18"/>
          <w:szCs w:val="18"/>
        </w:rPr>
        <w:t xml:space="preserve">, 2015; Belarus, </w:t>
      </w:r>
      <w:r w:rsidRPr="00E64F67">
        <w:rPr>
          <w:rFonts w:ascii="Arial Narrow" w:hAnsi="Arial Narrow" w:cs="Times New Roman"/>
          <w:i/>
          <w:sz w:val="18"/>
          <w:szCs w:val="18"/>
        </w:rPr>
        <w:t>Sudalenko</w:t>
      </w:r>
      <w:r w:rsidRPr="00831C9F">
        <w:rPr>
          <w:rFonts w:ascii="Arial Narrow" w:hAnsi="Arial Narrow" w:cs="Times New Roman"/>
          <w:sz w:val="18"/>
          <w:szCs w:val="18"/>
        </w:rPr>
        <w:t xml:space="preserve">, December 2015; Belarus, </w:t>
      </w:r>
      <w:r w:rsidRPr="00E64F67">
        <w:rPr>
          <w:rFonts w:ascii="Arial Narrow" w:hAnsi="Arial Narrow" w:cs="Times New Roman"/>
          <w:i/>
          <w:sz w:val="18"/>
          <w:szCs w:val="18"/>
        </w:rPr>
        <w:t>Sudalenko</w:t>
      </w:r>
      <w:r w:rsidRPr="00831C9F">
        <w:rPr>
          <w:rFonts w:ascii="Arial Narrow" w:hAnsi="Arial Narrow" w:cs="Times New Roman"/>
          <w:sz w:val="18"/>
          <w:szCs w:val="18"/>
        </w:rPr>
        <w:t xml:space="preserve">, May 2015; Belarus, </w:t>
      </w:r>
      <w:r w:rsidRPr="00E64F67">
        <w:rPr>
          <w:rFonts w:ascii="Arial Narrow" w:hAnsi="Arial Narrow" w:cs="Times New Roman"/>
          <w:i/>
          <w:sz w:val="18"/>
          <w:szCs w:val="18"/>
        </w:rPr>
        <w:t>Evrezov,</w:t>
      </w:r>
      <w:r w:rsidRPr="00831C9F">
        <w:rPr>
          <w:rFonts w:ascii="Arial Narrow" w:hAnsi="Arial Narrow" w:cs="Times New Roman"/>
          <w:sz w:val="18"/>
          <w:szCs w:val="18"/>
        </w:rPr>
        <w:t xml:space="preserve"> 2015; Belarus, </w:t>
      </w:r>
      <w:r w:rsidRPr="00E64F67">
        <w:rPr>
          <w:rFonts w:ascii="Arial Narrow" w:hAnsi="Arial Narrow" w:cs="Times New Roman"/>
          <w:i/>
          <w:sz w:val="18"/>
          <w:szCs w:val="18"/>
        </w:rPr>
        <w:t>Kozlov,</w:t>
      </w:r>
      <w:r w:rsidRPr="00831C9F">
        <w:rPr>
          <w:rFonts w:ascii="Arial Narrow" w:hAnsi="Arial Narrow" w:cs="Times New Roman"/>
          <w:sz w:val="18"/>
          <w:szCs w:val="18"/>
        </w:rPr>
        <w:t xml:space="preserve"> 2015; Belarus, </w:t>
      </w:r>
      <w:r w:rsidRPr="00E64F67">
        <w:rPr>
          <w:rFonts w:ascii="Arial Narrow" w:hAnsi="Arial Narrow" w:cs="Times New Roman"/>
          <w:i/>
          <w:sz w:val="18"/>
          <w:szCs w:val="18"/>
        </w:rPr>
        <w:t>Kirsanov</w:t>
      </w:r>
      <w:r w:rsidRPr="00831C9F">
        <w:rPr>
          <w:rFonts w:ascii="Arial Narrow" w:hAnsi="Arial Narrow" w:cs="Times New Roman"/>
          <w:sz w:val="18"/>
          <w:szCs w:val="18"/>
        </w:rPr>
        <w:t xml:space="preserve">, 2014; </w:t>
      </w:r>
      <w:r>
        <w:rPr>
          <w:rFonts w:ascii="Arial Narrow" w:hAnsi="Arial Narrow" w:cs="Times New Roman"/>
          <w:sz w:val="18"/>
          <w:szCs w:val="18"/>
        </w:rPr>
        <w:t>Belarus</w:t>
      </w:r>
      <w:r w:rsidRPr="00E64F67">
        <w:rPr>
          <w:rFonts w:ascii="Arial Narrow" w:hAnsi="Arial Narrow" w:cs="Times New Roman"/>
          <w:i/>
          <w:sz w:val="18"/>
          <w:szCs w:val="18"/>
        </w:rPr>
        <w:t>, Poliakov</w:t>
      </w:r>
      <w:r>
        <w:rPr>
          <w:rFonts w:ascii="Arial Narrow" w:hAnsi="Arial Narrow" w:cs="Times New Roman"/>
          <w:sz w:val="18"/>
          <w:szCs w:val="18"/>
        </w:rPr>
        <w:t>, 2014; B</w:t>
      </w:r>
      <w:r w:rsidRPr="00831C9F">
        <w:rPr>
          <w:rFonts w:ascii="Arial Narrow" w:hAnsi="Arial Narrow" w:cs="Times New Roman"/>
          <w:sz w:val="18"/>
          <w:szCs w:val="18"/>
        </w:rPr>
        <w:t xml:space="preserve">elarus, </w:t>
      </w:r>
      <w:r w:rsidRPr="00E64F67">
        <w:rPr>
          <w:rFonts w:ascii="Arial Narrow" w:hAnsi="Arial Narrow" w:cs="Times New Roman"/>
          <w:i/>
          <w:sz w:val="18"/>
          <w:szCs w:val="18"/>
        </w:rPr>
        <w:t>Youbko</w:t>
      </w:r>
      <w:r w:rsidRPr="00831C9F">
        <w:rPr>
          <w:rFonts w:ascii="Arial Narrow" w:hAnsi="Arial Narrow" w:cs="Times New Roman"/>
          <w:sz w:val="18"/>
          <w:szCs w:val="18"/>
        </w:rPr>
        <w:t xml:space="preserve">, 2014; Russia, </w:t>
      </w:r>
      <w:r w:rsidRPr="00E64F67">
        <w:rPr>
          <w:rFonts w:ascii="Arial Narrow" w:hAnsi="Arial Narrow" w:cs="Times New Roman"/>
          <w:i/>
          <w:sz w:val="18"/>
          <w:szCs w:val="18"/>
        </w:rPr>
        <w:t>Alekseev</w:t>
      </w:r>
      <w:r w:rsidRPr="00831C9F">
        <w:rPr>
          <w:rFonts w:ascii="Arial Narrow" w:hAnsi="Arial Narrow" w:cs="Times New Roman"/>
          <w:sz w:val="18"/>
          <w:szCs w:val="18"/>
        </w:rPr>
        <w:t>, 2013</w:t>
      </w:r>
      <w:r>
        <w:rPr>
          <w:rFonts w:ascii="Arial Narrow" w:hAnsi="Arial Narrow" w:cs="Times New Roman"/>
          <w:sz w:val="18"/>
          <w:szCs w:val="18"/>
        </w:rPr>
        <w:t xml:space="preserve">; </w:t>
      </w:r>
      <w:r w:rsidRPr="00831C9F">
        <w:rPr>
          <w:rFonts w:ascii="Arial Narrow" w:hAnsi="Arial Narrow" w:cs="Times New Roman"/>
          <w:sz w:val="18"/>
          <w:szCs w:val="18"/>
        </w:rPr>
        <w:t xml:space="preserve">Belarus, </w:t>
      </w:r>
      <w:r w:rsidRPr="00E64F67">
        <w:rPr>
          <w:rFonts w:ascii="Arial Narrow" w:hAnsi="Arial Narrow" w:cs="Times New Roman"/>
          <w:i/>
          <w:sz w:val="18"/>
          <w:szCs w:val="18"/>
        </w:rPr>
        <w:t>Turchenyak</w:t>
      </w:r>
      <w:r w:rsidRPr="00831C9F">
        <w:rPr>
          <w:rFonts w:ascii="Arial Narrow" w:hAnsi="Arial Narrow" w:cs="Times New Roman"/>
          <w:sz w:val="18"/>
          <w:szCs w:val="18"/>
        </w:rPr>
        <w:t xml:space="preserve">, 2013; Belarus, </w:t>
      </w:r>
      <w:r w:rsidRPr="00E64F67">
        <w:rPr>
          <w:rFonts w:ascii="Arial Narrow" w:hAnsi="Arial Narrow" w:cs="Times New Roman"/>
          <w:i/>
          <w:sz w:val="18"/>
          <w:szCs w:val="18"/>
        </w:rPr>
        <w:t>Sekerko</w:t>
      </w:r>
      <w:r w:rsidRPr="00831C9F">
        <w:rPr>
          <w:rFonts w:ascii="Arial Narrow" w:hAnsi="Arial Narrow" w:cs="Times New Roman"/>
          <w:sz w:val="18"/>
          <w:szCs w:val="18"/>
        </w:rPr>
        <w:t xml:space="preserve">, 2013; Belarus, </w:t>
      </w:r>
      <w:r w:rsidRPr="00E64F67">
        <w:rPr>
          <w:rFonts w:ascii="Arial Narrow" w:hAnsi="Arial Narrow" w:cs="Times New Roman"/>
          <w:i/>
          <w:sz w:val="18"/>
          <w:szCs w:val="18"/>
        </w:rPr>
        <w:t>Govsha</w:t>
      </w:r>
      <w:r w:rsidRPr="00831C9F">
        <w:rPr>
          <w:rFonts w:ascii="Arial Narrow" w:hAnsi="Arial Narrow" w:cs="Times New Roman"/>
          <w:sz w:val="18"/>
          <w:szCs w:val="18"/>
        </w:rPr>
        <w:t xml:space="preserve">, 2012; Russia, </w:t>
      </w:r>
      <w:r w:rsidRPr="00E64F67">
        <w:rPr>
          <w:rFonts w:ascii="Arial Narrow" w:hAnsi="Arial Narrow" w:cs="Times New Roman"/>
          <w:i/>
          <w:sz w:val="18"/>
          <w:szCs w:val="18"/>
        </w:rPr>
        <w:t>Chebotareva</w:t>
      </w:r>
      <w:r w:rsidRPr="00831C9F">
        <w:rPr>
          <w:rFonts w:ascii="Arial Narrow" w:hAnsi="Arial Narrow" w:cs="Times New Roman"/>
          <w:sz w:val="18"/>
          <w:szCs w:val="18"/>
        </w:rPr>
        <w:t>, 2012</w:t>
      </w:r>
    </w:p>
  </w:footnote>
  <w:footnote w:id="63">
    <w:p w14:paraId="3967F69E" w14:textId="048C14D3" w:rsidR="00917BB5" w:rsidRPr="00831C9F" w:rsidRDefault="00917BB5" w:rsidP="00831C9F">
      <w:pPr>
        <w:pStyle w:val="FootnoteText"/>
        <w:rPr>
          <w:rFonts w:ascii="Arial Narrow" w:hAnsi="Arial Narrow"/>
          <w:sz w:val="18"/>
          <w:szCs w:val="18"/>
        </w:rPr>
      </w:pPr>
      <w:r w:rsidRPr="00831C9F">
        <w:rPr>
          <w:rStyle w:val="FootnoteReference"/>
          <w:rFonts w:ascii="Arial Narrow" w:hAnsi="Arial Narrow"/>
          <w:sz w:val="18"/>
          <w:szCs w:val="18"/>
        </w:rPr>
        <w:footnoteRef/>
      </w:r>
      <w:r w:rsidRPr="00831C9F">
        <w:rPr>
          <w:rFonts w:ascii="Arial Narrow" w:hAnsi="Arial Narrow"/>
          <w:sz w:val="18"/>
          <w:szCs w:val="18"/>
        </w:rPr>
        <w:t xml:space="preserve"> Joint report</w:t>
      </w:r>
      <w:r>
        <w:rPr>
          <w:rFonts w:ascii="Arial Narrow" w:hAnsi="Arial Narrow"/>
          <w:sz w:val="18"/>
          <w:szCs w:val="18"/>
        </w:rPr>
        <w:t>,</w:t>
      </w:r>
      <w:r w:rsidRPr="00831C9F">
        <w:rPr>
          <w:rFonts w:ascii="Arial Narrow" w:hAnsi="Arial Narrow"/>
          <w:sz w:val="18"/>
          <w:szCs w:val="18"/>
        </w:rPr>
        <w:t xml:space="preserve"> A/HRC/31/66, </w:t>
      </w:r>
      <w:r w:rsidRPr="00831C9F">
        <w:rPr>
          <w:rFonts w:ascii="Arial Narrow" w:hAnsi="Arial Narrow"/>
          <w:i/>
          <w:sz w:val="18"/>
          <w:szCs w:val="18"/>
        </w:rPr>
        <w:t>op. cit.</w:t>
      </w:r>
      <w:r w:rsidRPr="00831C9F">
        <w:rPr>
          <w:rFonts w:ascii="Arial Narrow" w:hAnsi="Arial Narrow"/>
          <w:sz w:val="18"/>
          <w:szCs w:val="18"/>
        </w:rPr>
        <w:t>, at</w:t>
      </w:r>
      <w:r>
        <w:rPr>
          <w:rFonts w:ascii="Arial Narrow" w:hAnsi="Arial Narrow"/>
          <w:sz w:val="18"/>
          <w:szCs w:val="18"/>
        </w:rPr>
        <w:t xml:space="preserve"> 17(a). See also, Protest Principles, </w:t>
      </w:r>
      <w:r>
        <w:rPr>
          <w:rFonts w:ascii="Arial Narrow" w:hAnsi="Arial Narrow"/>
          <w:i/>
          <w:sz w:val="18"/>
          <w:szCs w:val="18"/>
        </w:rPr>
        <w:t>op. cit.</w:t>
      </w:r>
      <w:r>
        <w:rPr>
          <w:rFonts w:ascii="Arial Narrow" w:hAnsi="Arial Narrow"/>
          <w:sz w:val="18"/>
          <w:szCs w:val="18"/>
        </w:rPr>
        <w:t xml:space="preserve">, at Principle 6. </w:t>
      </w:r>
    </w:p>
  </w:footnote>
  <w:footnote w:id="64">
    <w:p w14:paraId="51E616EA" w14:textId="035ABBB0" w:rsidR="00917BB5" w:rsidRPr="00592606" w:rsidRDefault="00917BB5">
      <w:pPr>
        <w:pStyle w:val="FootnoteText"/>
        <w:rPr>
          <w:rFonts w:ascii="Arial Narrow" w:hAnsi="Arial Narrow"/>
          <w:sz w:val="18"/>
          <w:szCs w:val="18"/>
        </w:rPr>
      </w:pPr>
      <w:r w:rsidRPr="00592606">
        <w:rPr>
          <w:rStyle w:val="FootnoteReference"/>
          <w:rFonts w:ascii="Arial Narrow" w:hAnsi="Arial Narrow"/>
          <w:sz w:val="18"/>
          <w:szCs w:val="18"/>
        </w:rPr>
        <w:footnoteRef/>
      </w:r>
      <w:r w:rsidRPr="00592606">
        <w:rPr>
          <w:rFonts w:ascii="Arial Narrow" w:hAnsi="Arial Narrow"/>
          <w:sz w:val="18"/>
          <w:szCs w:val="18"/>
        </w:rPr>
        <w:t xml:space="preserve"> Protest Principles, </w:t>
      </w:r>
      <w:r w:rsidRPr="00592606">
        <w:rPr>
          <w:rFonts w:ascii="Arial Narrow" w:hAnsi="Arial Narrow"/>
          <w:i/>
          <w:sz w:val="18"/>
          <w:szCs w:val="18"/>
        </w:rPr>
        <w:t>op. cit.</w:t>
      </w:r>
      <w:r w:rsidRPr="00592606">
        <w:rPr>
          <w:rFonts w:ascii="Arial Narrow" w:hAnsi="Arial Narrow"/>
          <w:sz w:val="18"/>
          <w:szCs w:val="18"/>
        </w:rPr>
        <w:t xml:space="preserve">, Principle 7. </w:t>
      </w:r>
    </w:p>
  </w:footnote>
  <w:footnote w:id="65">
    <w:p w14:paraId="07110C6B" w14:textId="30D57ED6" w:rsidR="00917BB5" w:rsidRPr="001E19D4" w:rsidRDefault="00917BB5">
      <w:pPr>
        <w:pStyle w:val="FootnoteText"/>
        <w:rPr>
          <w:rFonts w:ascii="Arial Narrow" w:hAnsi="Arial Narrow"/>
          <w:sz w:val="18"/>
          <w:szCs w:val="18"/>
        </w:rPr>
      </w:pPr>
      <w:r w:rsidRPr="001E19D4">
        <w:rPr>
          <w:rStyle w:val="FootnoteReference"/>
          <w:rFonts w:ascii="Arial Narrow" w:hAnsi="Arial Narrow"/>
          <w:sz w:val="18"/>
          <w:szCs w:val="18"/>
        </w:rPr>
        <w:footnoteRef/>
      </w:r>
      <w:r w:rsidRPr="001E19D4">
        <w:rPr>
          <w:rFonts w:ascii="Arial Narrow" w:hAnsi="Arial Narrow"/>
          <w:sz w:val="18"/>
          <w:szCs w:val="18"/>
        </w:rPr>
        <w:t xml:space="preserve"> See, for example: HR Committee, </w:t>
      </w:r>
      <w:r>
        <w:rPr>
          <w:rFonts w:ascii="Arial Narrow" w:hAnsi="Arial Narrow"/>
          <w:sz w:val="18"/>
          <w:szCs w:val="18"/>
        </w:rPr>
        <w:t xml:space="preserve">Concluding Observations on Mali, CCPR/C/MWI/CO/1, 18 June 2012, at para 17; </w:t>
      </w:r>
      <w:r w:rsidRPr="001E19D4">
        <w:rPr>
          <w:rFonts w:ascii="Arial Narrow" w:hAnsi="Arial Narrow"/>
          <w:sz w:val="18"/>
          <w:szCs w:val="18"/>
        </w:rPr>
        <w:t xml:space="preserve">Concluding Observations on </w:t>
      </w:r>
      <w:r>
        <w:rPr>
          <w:rFonts w:ascii="Arial Narrow" w:hAnsi="Arial Narrow"/>
          <w:sz w:val="18"/>
          <w:szCs w:val="18"/>
        </w:rPr>
        <w:t xml:space="preserve">Jordan, CCPR/C/JOR/CO/4, 18 November 2010, at para 15; Concluding Observations on the Republic of Korea, CCPR/C/KOR/CO/4, 3 December 2015, at para. 15; Concluding Observations on Ukraine, CCPR/C/UKR/CO/7, 22 August 2013, at para. 21.  </w:t>
      </w:r>
    </w:p>
  </w:footnote>
  <w:footnote w:id="66">
    <w:p w14:paraId="06E22634" w14:textId="57594685" w:rsidR="00917BB5" w:rsidRPr="003D3A52" w:rsidRDefault="00917BB5" w:rsidP="003D3A52">
      <w:pPr>
        <w:pStyle w:val="FootnoteText"/>
        <w:rPr>
          <w:rFonts w:ascii="Arial Narrow" w:hAnsi="Arial Narrow"/>
          <w:sz w:val="18"/>
        </w:rPr>
      </w:pPr>
      <w:r w:rsidRPr="003D3A52">
        <w:rPr>
          <w:rStyle w:val="FootnoteReference"/>
          <w:rFonts w:ascii="Arial Narrow" w:hAnsi="Arial Narrow"/>
          <w:sz w:val="18"/>
        </w:rPr>
        <w:footnoteRef/>
      </w:r>
      <w:r w:rsidRPr="003D3A52">
        <w:rPr>
          <w:rFonts w:ascii="Arial Narrow" w:hAnsi="Arial Narrow"/>
          <w:sz w:val="18"/>
        </w:rPr>
        <w:t xml:space="preserve"> </w:t>
      </w:r>
      <w:r w:rsidRPr="003D3A52">
        <w:rPr>
          <w:rFonts w:ascii="Arial Narrow" w:hAnsi="Arial Narrow" w:cs="Calibri"/>
          <w:sz w:val="18"/>
        </w:rPr>
        <w:t xml:space="preserve">HR Committee, </w:t>
      </w:r>
      <w:r w:rsidRPr="003D3A52">
        <w:rPr>
          <w:rFonts w:ascii="Arial Narrow" w:hAnsi="Arial Narrow" w:cs="Calibri"/>
          <w:i/>
          <w:iCs/>
          <w:sz w:val="18"/>
        </w:rPr>
        <w:t>Kivenmaa vs Finland</w:t>
      </w:r>
      <w:r w:rsidRPr="003D3A52">
        <w:rPr>
          <w:rFonts w:ascii="Arial Narrow" w:hAnsi="Arial Narrow" w:cs="Calibri"/>
          <w:sz w:val="18"/>
        </w:rPr>
        <w:t>,</w:t>
      </w:r>
      <w:r>
        <w:rPr>
          <w:rFonts w:ascii="Arial Narrow" w:hAnsi="Arial Narrow" w:cs="Calibri"/>
          <w:sz w:val="18"/>
        </w:rPr>
        <w:t xml:space="preserve"> Communication No. 412/1990, 31 March 1994. </w:t>
      </w:r>
    </w:p>
  </w:footnote>
  <w:footnote w:id="67">
    <w:p w14:paraId="65148A78" w14:textId="5DBE4D63" w:rsidR="00917BB5" w:rsidRPr="00BA0317" w:rsidRDefault="00917BB5">
      <w:pPr>
        <w:pStyle w:val="FootnoteText"/>
        <w:rPr>
          <w:rFonts w:ascii="Arial Narrow" w:hAnsi="Arial Narrow" w:cs="Times New Roman"/>
          <w:sz w:val="18"/>
          <w:szCs w:val="18"/>
        </w:rPr>
      </w:pPr>
      <w:r w:rsidRPr="00BA0317">
        <w:rPr>
          <w:rStyle w:val="FootnoteReference"/>
          <w:rFonts w:ascii="Arial Narrow" w:hAnsi="Arial Narrow" w:cs="Times New Roman"/>
          <w:sz w:val="18"/>
          <w:szCs w:val="18"/>
        </w:rPr>
        <w:footnoteRef/>
      </w:r>
      <w:r w:rsidRPr="00BA0317">
        <w:rPr>
          <w:rFonts w:ascii="Arial Narrow" w:hAnsi="Arial Narrow" w:cs="Times New Roman"/>
          <w:sz w:val="18"/>
          <w:szCs w:val="18"/>
        </w:rPr>
        <w:t xml:space="preserve"> HR Committee, Concluding Observations on Malawi, CCPR/C/MWI,CO/1, 18 June 2012, at para 17. </w:t>
      </w:r>
    </w:p>
  </w:footnote>
  <w:footnote w:id="68">
    <w:p w14:paraId="09BEBEC7" w14:textId="0F9E82DB" w:rsidR="00917BB5" w:rsidRPr="00A83C19" w:rsidRDefault="00917BB5">
      <w:pPr>
        <w:pStyle w:val="FootnoteText"/>
        <w:rPr>
          <w:rFonts w:ascii="Arial Narrow" w:hAnsi="Arial Narrow"/>
          <w:sz w:val="18"/>
          <w:szCs w:val="18"/>
        </w:rPr>
      </w:pPr>
      <w:r w:rsidRPr="003D3A52">
        <w:rPr>
          <w:rStyle w:val="FootnoteReference"/>
          <w:rFonts w:ascii="Arial Narrow" w:hAnsi="Arial Narrow"/>
          <w:sz w:val="18"/>
        </w:rPr>
        <w:footnoteRef/>
      </w:r>
      <w:r w:rsidRPr="003D3A52">
        <w:rPr>
          <w:rFonts w:ascii="Arial Narrow" w:hAnsi="Arial Narrow"/>
          <w:sz w:val="18"/>
        </w:rPr>
        <w:t xml:space="preserve"> HR </w:t>
      </w:r>
      <w:r w:rsidRPr="00A83C19">
        <w:rPr>
          <w:rFonts w:ascii="Arial Narrow" w:hAnsi="Arial Narrow"/>
          <w:sz w:val="18"/>
          <w:szCs w:val="18"/>
        </w:rPr>
        <w:t xml:space="preserve">Committee, Concluding Observations on Switzerland (2017). See also: HR Committee, </w:t>
      </w:r>
      <w:r w:rsidRPr="00A83C19">
        <w:rPr>
          <w:rFonts w:ascii="Arial Narrow" w:hAnsi="Arial Narrow"/>
          <w:i/>
          <w:sz w:val="18"/>
          <w:szCs w:val="18"/>
        </w:rPr>
        <w:t>Bazarov v. Belarus</w:t>
      </w:r>
      <w:r w:rsidRPr="00A83C19">
        <w:rPr>
          <w:rFonts w:ascii="Arial Narrow" w:hAnsi="Arial Narrow"/>
          <w:sz w:val="18"/>
          <w:szCs w:val="18"/>
        </w:rPr>
        <w:t xml:space="preserve"> (2014). </w:t>
      </w:r>
    </w:p>
  </w:footnote>
  <w:footnote w:id="69">
    <w:p w14:paraId="47D61B8A" w14:textId="108EF6F4" w:rsidR="00917BB5" w:rsidRPr="00A83C19" w:rsidRDefault="00917BB5" w:rsidP="00A83C19">
      <w:pPr>
        <w:pStyle w:val="FootnoteText"/>
        <w:jc w:val="both"/>
        <w:rPr>
          <w:rFonts w:ascii="Arial Narrow" w:hAnsi="Arial Narrow" w:cs="Calibri"/>
          <w:sz w:val="18"/>
          <w:szCs w:val="18"/>
        </w:rPr>
      </w:pPr>
      <w:r w:rsidRPr="00A83C19">
        <w:rPr>
          <w:rStyle w:val="FootnoteReference"/>
          <w:rFonts w:ascii="Arial Narrow" w:hAnsi="Arial Narrow"/>
          <w:sz w:val="18"/>
          <w:szCs w:val="18"/>
        </w:rPr>
        <w:footnoteRef/>
      </w:r>
      <w:r w:rsidRPr="00A83C19">
        <w:rPr>
          <w:rFonts w:ascii="Arial Narrow" w:hAnsi="Arial Narrow"/>
          <w:sz w:val="18"/>
          <w:szCs w:val="18"/>
        </w:rPr>
        <w:t xml:space="preserve"> See various opinions by the Venice Commission and OSCE/ODIHR: </w:t>
      </w:r>
      <w:r w:rsidRPr="00A83C19">
        <w:rPr>
          <w:rFonts w:ascii="Arial Narrow" w:hAnsi="Arial Narrow" w:cs="Arial"/>
          <w:sz w:val="18"/>
          <w:szCs w:val="18"/>
        </w:rPr>
        <w:t xml:space="preserve">Joint Opinion on the Draft Law on Assemblies of the Kyrgyz Republic CDL-AD(2009)034, at 36; Joint Opinion on the Order of Organising and Conducting Peaceful Events of Ukraine CDL-AD(2009)052, at 23; </w:t>
      </w:r>
      <w:r w:rsidRPr="00A83C19">
        <w:rPr>
          <w:rFonts w:ascii="Arial Narrow" w:hAnsi="Arial Narrow" w:cs="Calibri"/>
          <w:sz w:val="18"/>
          <w:szCs w:val="18"/>
        </w:rPr>
        <w:t xml:space="preserve">ECtHR, </w:t>
      </w:r>
      <w:r w:rsidRPr="00A83C19">
        <w:rPr>
          <w:rFonts w:ascii="Arial Narrow" w:hAnsi="Arial Narrow" w:cs="Calibri"/>
          <w:i/>
          <w:iCs/>
          <w:sz w:val="18"/>
          <w:szCs w:val="18"/>
        </w:rPr>
        <w:t>Eva Molnar vs Hungary</w:t>
      </w:r>
      <w:r w:rsidRPr="00A83C19">
        <w:rPr>
          <w:rFonts w:ascii="Arial Narrow" w:hAnsi="Arial Narrow" w:cs="Calibri"/>
          <w:sz w:val="18"/>
          <w:szCs w:val="18"/>
        </w:rPr>
        <w:t>, Appl. no. 10346/05 (2009)</w:t>
      </w:r>
      <w:r w:rsidRPr="00A83C19">
        <w:rPr>
          <w:rFonts w:ascii="Arial Narrow" w:hAnsi="Arial Narrow" w:cs="Calibri"/>
          <w:iCs/>
          <w:sz w:val="18"/>
          <w:szCs w:val="18"/>
        </w:rPr>
        <w:t>; ECtHR,</w:t>
      </w:r>
      <w:r w:rsidRPr="00A83C19">
        <w:rPr>
          <w:rFonts w:ascii="Arial Narrow" w:hAnsi="Arial Narrow" w:cs="Calibri"/>
          <w:i/>
          <w:iCs/>
          <w:sz w:val="18"/>
          <w:szCs w:val="18"/>
        </w:rPr>
        <w:t xml:space="preserve"> Ezelin vs France, </w:t>
      </w:r>
      <w:r w:rsidRPr="00A83C19">
        <w:rPr>
          <w:rFonts w:ascii="Arial Narrow" w:hAnsi="Arial Narrow" w:cs="Calibri"/>
          <w:sz w:val="18"/>
          <w:szCs w:val="18"/>
        </w:rPr>
        <w:t xml:space="preserve">Appl. no. 11800/85 (1991); ECtHR, </w:t>
      </w:r>
      <w:r w:rsidRPr="00A83C19">
        <w:rPr>
          <w:rFonts w:ascii="Arial Narrow" w:hAnsi="Arial Narrow" w:cs="Calibri"/>
          <w:i/>
          <w:iCs/>
          <w:sz w:val="18"/>
          <w:szCs w:val="18"/>
        </w:rPr>
        <w:t>Christians against Racism and Fascism vs the UK</w:t>
      </w:r>
      <w:r w:rsidRPr="00A83C19">
        <w:rPr>
          <w:rFonts w:ascii="Arial Narrow" w:hAnsi="Arial Narrow" w:cs="Calibri"/>
          <w:sz w:val="18"/>
          <w:szCs w:val="18"/>
        </w:rPr>
        <w:t xml:space="preserve">, </w:t>
      </w:r>
      <w:r w:rsidRPr="00A83C19">
        <w:rPr>
          <w:rFonts w:ascii="Arial Narrow" w:hAnsi="Arial Narrow" w:cs="Calibri"/>
          <w:i/>
          <w:iCs/>
          <w:sz w:val="18"/>
          <w:szCs w:val="18"/>
        </w:rPr>
        <w:t>op.cit.</w:t>
      </w:r>
    </w:p>
  </w:footnote>
  <w:footnote w:id="70">
    <w:p w14:paraId="6DE1048E" w14:textId="29438C0D" w:rsidR="00917BB5" w:rsidRPr="00A83C19" w:rsidRDefault="00917BB5" w:rsidP="003D3A52">
      <w:pPr>
        <w:pStyle w:val="FootnoteText"/>
        <w:jc w:val="both"/>
        <w:rPr>
          <w:rFonts w:ascii="Arial Narrow" w:hAnsi="Arial Narrow" w:cs="Calibri"/>
          <w:sz w:val="18"/>
          <w:szCs w:val="18"/>
        </w:rPr>
      </w:pPr>
      <w:r w:rsidRPr="00A83C19">
        <w:rPr>
          <w:rFonts w:ascii="Arial Narrow" w:hAnsi="Arial Narrow" w:cs="Calibri"/>
          <w:color w:val="000000"/>
          <w:sz w:val="18"/>
          <w:szCs w:val="18"/>
          <w:u w:color="000000"/>
          <w:vertAlign w:val="superscript"/>
        </w:rPr>
        <w:footnoteRef/>
      </w:r>
      <w:r w:rsidRPr="00A83C19">
        <w:rPr>
          <w:rFonts w:ascii="Arial Narrow" w:hAnsi="Arial Narrow" w:cs="Calibri"/>
          <w:sz w:val="18"/>
          <w:szCs w:val="18"/>
        </w:rPr>
        <w:t xml:space="preserve"> ECtHR, </w:t>
      </w:r>
      <w:r w:rsidRPr="00A83C19">
        <w:rPr>
          <w:rFonts w:ascii="Arial Narrow" w:hAnsi="Arial Narrow" w:cs="Calibri"/>
          <w:i/>
          <w:iCs/>
          <w:sz w:val="18"/>
          <w:szCs w:val="18"/>
        </w:rPr>
        <w:t>Bukta &amp; Others vs Hungary</w:t>
      </w:r>
      <w:r w:rsidRPr="00A83C19">
        <w:rPr>
          <w:rFonts w:ascii="Arial Narrow" w:hAnsi="Arial Narrow" w:cs="Calibri"/>
          <w:sz w:val="18"/>
          <w:szCs w:val="18"/>
        </w:rPr>
        <w:t>, Appl. no. 25691/04 (2007), at para. 36.</w:t>
      </w:r>
    </w:p>
  </w:footnote>
  <w:footnote w:id="71">
    <w:p w14:paraId="04326E2C" w14:textId="7E1FDFC6" w:rsidR="00917BB5" w:rsidRDefault="00917BB5" w:rsidP="007A3CBA">
      <w:pPr>
        <w:pStyle w:val="FootnoteText"/>
      </w:pPr>
      <w:r>
        <w:rPr>
          <w:rStyle w:val="FootnoteReference"/>
        </w:rPr>
        <w:footnoteRef/>
      </w:r>
      <w:r>
        <w:t xml:space="preserve"> </w:t>
      </w:r>
      <w:r w:rsidRPr="00831C9F">
        <w:rPr>
          <w:rFonts w:ascii="Arial Narrow" w:hAnsi="Arial Narrow"/>
          <w:sz w:val="18"/>
          <w:szCs w:val="18"/>
        </w:rPr>
        <w:t>Joint report</w:t>
      </w:r>
      <w:r>
        <w:rPr>
          <w:rFonts w:ascii="Arial Narrow" w:hAnsi="Arial Narrow"/>
          <w:sz w:val="18"/>
          <w:szCs w:val="18"/>
        </w:rPr>
        <w:t>,</w:t>
      </w:r>
      <w:r w:rsidRPr="00831C9F">
        <w:rPr>
          <w:rFonts w:ascii="Arial Narrow" w:hAnsi="Arial Narrow"/>
          <w:sz w:val="18"/>
          <w:szCs w:val="18"/>
        </w:rPr>
        <w:t xml:space="preserve"> A/HRC/31/66, </w:t>
      </w:r>
      <w:r w:rsidRPr="00831C9F">
        <w:rPr>
          <w:rFonts w:ascii="Arial Narrow" w:hAnsi="Arial Narrow"/>
          <w:i/>
          <w:sz w:val="18"/>
          <w:szCs w:val="18"/>
        </w:rPr>
        <w:t>op. cit.</w:t>
      </w:r>
      <w:r w:rsidRPr="00831C9F">
        <w:rPr>
          <w:rFonts w:ascii="Arial Narrow" w:hAnsi="Arial Narrow"/>
          <w:sz w:val="18"/>
          <w:szCs w:val="18"/>
        </w:rPr>
        <w:t>, at</w:t>
      </w:r>
      <w:r>
        <w:rPr>
          <w:rFonts w:ascii="Arial Narrow" w:hAnsi="Arial Narrow"/>
          <w:sz w:val="18"/>
          <w:szCs w:val="18"/>
        </w:rPr>
        <w:t xml:space="preserve"> para. 28.</w:t>
      </w:r>
    </w:p>
  </w:footnote>
  <w:footnote w:id="72">
    <w:p w14:paraId="6FFC257A" w14:textId="4CA7AF9D" w:rsidR="00917BB5" w:rsidRPr="0069723C" w:rsidRDefault="00917BB5">
      <w:pPr>
        <w:pStyle w:val="FootnoteText"/>
        <w:rPr>
          <w:rFonts w:ascii="Arial Narrow" w:hAnsi="Arial Narrow"/>
          <w:sz w:val="18"/>
          <w:szCs w:val="18"/>
        </w:rPr>
      </w:pPr>
      <w:r w:rsidRPr="0069723C">
        <w:rPr>
          <w:rStyle w:val="FootnoteReference"/>
          <w:rFonts w:ascii="Arial Narrow" w:hAnsi="Arial Narrow"/>
          <w:sz w:val="18"/>
          <w:szCs w:val="18"/>
        </w:rPr>
        <w:footnoteRef/>
      </w:r>
      <w:r w:rsidRPr="0069723C">
        <w:rPr>
          <w:rFonts w:ascii="Arial Narrow" w:hAnsi="Arial Narrow"/>
          <w:sz w:val="18"/>
          <w:szCs w:val="18"/>
        </w:rPr>
        <w:t xml:space="preserve"> At Principle 7.4</w:t>
      </w:r>
    </w:p>
  </w:footnote>
  <w:footnote w:id="73">
    <w:p w14:paraId="2F3A97FA" w14:textId="568DAD57" w:rsidR="00917BB5" w:rsidRPr="00CF0473" w:rsidRDefault="00917BB5">
      <w:pPr>
        <w:pStyle w:val="FootnoteText"/>
        <w:rPr>
          <w:rFonts w:ascii="Arial Narrow" w:hAnsi="Arial Narrow"/>
          <w:sz w:val="18"/>
          <w:szCs w:val="18"/>
        </w:rPr>
      </w:pPr>
      <w:r w:rsidRPr="00CF0473">
        <w:rPr>
          <w:rStyle w:val="FootnoteReference"/>
          <w:rFonts w:ascii="Arial Narrow" w:hAnsi="Arial Narrow"/>
          <w:sz w:val="18"/>
          <w:szCs w:val="18"/>
        </w:rPr>
        <w:footnoteRef/>
      </w:r>
      <w:r w:rsidRPr="00CF0473">
        <w:rPr>
          <w:rFonts w:ascii="Arial Narrow" w:hAnsi="Arial Narrow"/>
          <w:sz w:val="18"/>
          <w:szCs w:val="18"/>
        </w:rPr>
        <w:t xml:space="preserve"> At Principles 8 –</w:t>
      </w:r>
      <w:r>
        <w:rPr>
          <w:rFonts w:ascii="Arial Narrow" w:hAnsi="Arial Narrow"/>
          <w:sz w:val="18"/>
          <w:szCs w:val="18"/>
        </w:rPr>
        <w:t xml:space="preserve"> 9</w:t>
      </w:r>
      <w:r w:rsidRPr="00CF0473">
        <w:rPr>
          <w:rFonts w:ascii="Arial Narrow" w:hAnsi="Arial Narrow"/>
          <w:sz w:val="18"/>
          <w:szCs w:val="18"/>
        </w:rPr>
        <w:t xml:space="preserve">. </w:t>
      </w:r>
    </w:p>
  </w:footnote>
  <w:footnote w:id="74">
    <w:p w14:paraId="1BF1D5C1" w14:textId="6598BED4" w:rsidR="00917BB5" w:rsidRPr="00B401A4" w:rsidRDefault="00917BB5" w:rsidP="00EB5CFE">
      <w:pPr>
        <w:pStyle w:val="FootnoteText"/>
        <w:rPr>
          <w:rFonts w:ascii="Arial Narrow" w:hAnsi="Arial Narrow"/>
          <w:sz w:val="18"/>
          <w:szCs w:val="18"/>
        </w:rPr>
      </w:pPr>
      <w:r w:rsidRPr="00B401A4">
        <w:rPr>
          <w:rStyle w:val="FootnoteReference"/>
          <w:rFonts w:ascii="Arial Narrow" w:hAnsi="Arial Narrow"/>
          <w:sz w:val="18"/>
          <w:szCs w:val="18"/>
        </w:rPr>
        <w:footnoteRef/>
      </w:r>
      <w:r w:rsidRPr="00B401A4">
        <w:rPr>
          <w:rFonts w:ascii="Arial Narrow" w:hAnsi="Arial Narrow"/>
          <w:sz w:val="18"/>
          <w:szCs w:val="18"/>
        </w:rPr>
        <w:t xml:space="preserve"> Protest Principles, </w:t>
      </w:r>
      <w:r w:rsidRPr="00B401A4">
        <w:rPr>
          <w:rFonts w:ascii="Arial Narrow" w:hAnsi="Arial Narrow"/>
          <w:i/>
          <w:sz w:val="18"/>
          <w:szCs w:val="18"/>
        </w:rPr>
        <w:t>op. cit.</w:t>
      </w:r>
      <w:r w:rsidRPr="00B401A4">
        <w:rPr>
          <w:rFonts w:ascii="Arial Narrow" w:hAnsi="Arial Narrow"/>
          <w:sz w:val="18"/>
          <w:szCs w:val="18"/>
        </w:rPr>
        <w:t xml:space="preserve">, Principle 9.2. </w:t>
      </w:r>
      <w:r w:rsidR="00441D7C">
        <w:rPr>
          <w:rFonts w:ascii="Arial Narrow" w:hAnsi="Arial Narrow"/>
          <w:sz w:val="18"/>
          <w:szCs w:val="18"/>
        </w:rPr>
        <w:t xml:space="preserve">ARTICLE 19 notes that the HR Committee has raised concerns regarding the use of force against persons engaged in acts of civil disobedience. See, for example: Concluding Observations on Macedonia, CCPR/C/MKD/CO/3, 17 August 2015, at para. 19. </w:t>
      </w:r>
    </w:p>
  </w:footnote>
  <w:footnote w:id="75">
    <w:p w14:paraId="27A20AA2" w14:textId="77777777" w:rsidR="00917BB5" w:rsidRPr="008778D6" w:rsidRDefault="00917BB5" w:rsidP="00EB5CFE">
      <w:pPr>
        <w:pStyle w:val="FootnoteText"/>
        <w:rPr>
          <w:rFonts w:ascii="Arial Narrow" w:hAnsi="Arial Narrow"/>
          <w:sz w:val="18"/>
          <w:szCs w:val="18"/>
        </w:rPr>
      </w:pPr>
      <w:r w:rsidRPr="00B401A4">
        <w:rPr>
          <w:rStyle w:val="FootnoteReference"/>
          <w:rFonts w:ascii="Arial Narrow" w:hAnsi="Arial Narrow"/>
          <w:sz w:val="18"/>
          <w:szCs w:val="18"/>
        </w:rPr>
        <w:footnoteRef/>
      </w:r>
      <w:r w:rsidRPr="00B401A4">
        <w:rPr>
          <w:rFonts w:ascii="Arial Narrow" w:hAnsi="Arial Narrow"/>
          <w:sz w:val="18"/>
          <w:szCs w:val="18"/>
        </w:rPr>
        <w:t xml:space="preserve"> For a fuller</w:t>
      </w:r>
      <w:r w:rsidRPr="008778D6">
        <w:rPr>
          <w:rFonts w:ascii="Arial Narrow" w:hAnsi="Arial Narrow"/>
          <w:sz w:val="18"/>
          <w:szCs w:val="18"/>
        </w:rPr>
        <w:t xml:space="preserve"> explanation, see ARTICLE 19’s Protest Principles Background Paper, </w:t>
      </w:r>
      <w:r w:rsidRPr="008778D6">
        <w:rPr>
          <w:rFonts w:ascii="Arial Narrow" w:hAnsi="Arial Narrow"/>
          <w:i/>
          <w:sz w:val="18"/>
          <w:szCs w:val="18"/>
        </w:rPr>
        <w:t>op. cit.</w:t>
      </w:r>
      <w:r w:rsidRPr="008778D6">
        <w:rPr>
          <w:rFonts w:ascii="Arial Narrow" w:hAnsi="Arial Narrow"/>
          <w:sz w:val="18"/>
          <w:szCs w:val="18"/>
        </w:rPr>
        <w:t>, at page</w:t>
      </w:r>
      <w:r>
        <w:rPr>
          <w:rFonts w:ascii="Arial Narrow" w:hAnsi="Arial Narrow"/>
          <w:sz w:val="18"/>
          <w:szCs w:val="18"/>
        </w:rPr>
        <w:t>s</w:t>
      </w:r>
      <w:r w:rsidRPr="008778D6">
        <w:rPr>
          <w:rFonts w:ascii="Arial Narrow" w:hAnsi="Arial Narrow"/>
          <w:sz w:val="18"/>
          <w:szCs w:val="18"/>
        </w:rPr>
        <w:t xml:space="preserve"> 18</w:t>
      </w:r>
      <w:r>
        <w:rPr>
          <w:rFonts w:ascii="Arial Narrow" w:hAnsi="Arial Narrow"/>
          <w:sz w:val="18"/>
          <w:szCs w:val="18"/>
        </w:rPr>
        <w:t xml:space="preserve"> and 19</w:t>
      </w:r>
      <w:r w:rsidRPr="008778D6">
        <w:rPr>
          <w:rFonts w:ascii="Arial Narrow" w:hAnsi="Arial Narrow"/>
          <w:sz w:val="18"/>
          <w:szCs w:val="18"/>
        </w:rPr>
        <w:t xml:space="preserve">. </w:t>
      </w:r>
    </w:p>
  </w:footnote>
  <w:footnote w:id="76">
    <w:p w14:paraId="0E7EA133" w14:textId="77777777" w:rsidR="00917BB5" w:rsidRPr="00186348" w:rsidRDefault="00917BB5" w:rsidP="00EB5CFE">
      <w:pPr>
        <w:pStyle w:val="FootnoteText"/>
        <w:rPr>
          <w:rFonts w:ascii="Arial Narrow" w:hAnsi="Arial Narrow"/>
          <w:sz w:val="18"/>
          <w:szCs w:val="18"/>
        </w:rPr>
      </w:pPr>
      <w:r w:rsidRPr="00186348">
        <w:rPr>
          <w:rStyle w:val="FootnoteReference"/>
          <w:rFonts w:ascii="Arial Narrow" w:hAnsi="Arial Narrow"/>
          <w:sz w:val="18"/>
          <w:szCs w:val="18"/>
        </w:rPr>
        <w:footnoteRef/>
      </w:r>
      <w:r w:rsidRPr="00186348">
        <w:rPr>
          <w:rFonts w:ascii="Arial Narrow" w:hAnsi="Arial Narrow"/>
          <w:sz w:val="18"/>
          <w:szCs w:val="18"/>
        </w:rPr>
        <w:t xml:space="preserve"> Joint report A/HRC/31/66, </w:t>
      </w:r>
      <w:r w:rsidRPr="00186348">
        <w:rPr>
          <w:rFonts w:ascii="Arial Narrow" w:hAnsi="Arial Narrow"/>
          <w:i/>
          <w:sz w:val="18"/>
          <w:szCs w:val="18"/>
        </w:rPr>
        <w:t>op. cit.</w:t>
      </w:r>
      <w:r w:rsidRPr="00186348">
        <w:rPr>
          <w:rFonts w:ascii="Arial Narrow" w:hAnsi="Arial Narrow"/>
          <w:sz w:val="18"/>
          <w:szCs w:val="18"/>
        </w:rPr>
        <w:t>, at para. 10.</w:t>
      </w:r>
    </w:p>
  </w:footnote>
  <w:footnote w:id="77">
    <w:p w14:paraId="2AFAEBC8" w14:textId="77777777" w:rsidR="00917BB5" w:rsidRPr="00186348" w:rsidRDefault="00917BB5" w:rsidP="00EB5CFE">
      <w:pPr>
        <w:pStyle w:val="FootnoteText"/>
        <w:rPr>
          <w:rFonts w:ascii="Arial Narrow" w:hAnsi="Arial Narrow"/>
          <w:sz w:val="18"/>
          <w:szCs w:val="18"/>
        </w:rPr>
      </w:pPr>
      <w:r w:rsidRPr="00186348">
        <w:rPr>
          <w:rStyle w:val="FootnoteReference"/>
          <w:rFonts w:ascii="Arial Narrow" w:hAnsi="Arial Narrow"/>
          <w:sz w:val="18"/>
          <w:szCs w:val="18"/>
        </w:rPr>
        <w:footnoteRef/>
      </w:r>
      <w:r w:rsidRPr="00186348">
        <w:rPr>
          <w:rFonts w:ascii="Arial Narrow" w:hAnsi="Arial Narrow"/>
          <w:sz w:val="18"/>
          <w:szCs w:val="18"/>
        </w:rPr>
        <w:t xml:space="preserve"> Most cases pertaining to direct action or civil disobedience have been dismissed at the stage of admissibility. See ARTICLE 19’s Protest Principles Background Paper, </w:t>
      </w:r>
      <w:r w:rsidRPr="00186348">
        <w:rPr>
          <w:rFonts w:ascii="Arial Narrow" w:hAnsi="Arial Narrow"/>
          <w:i/>
          <w:sz w:val="18"/>
          <w:szCs w:val="18"/>
        </w:rPr>
        <w:t>op. cit.</w:t>
      </w:r>
      <w:r w:rsidRPr="00186348">
        <w:rPr>
          <w:rFonts w:ascii="Arial Narrow" w:hAnsi="Arial Narrow"/>
          <w:sz w:val="18"/>
          <w:szCs w:val="18"/>
        </w:rPr>
        <w:t>, at note 82.</w:t>
      </w:r>
    </w:p>
  </w:footnote>
  <w:footnote w:id="78">
    <w:p w14:paraId="773431B8" w14:textId="77777777" w:rsidR="00917BB5" w:rsidRPr="00186348" w:rsidRDefault="00917BB5" w:rsidP="00EB5CFE">
      <w:pPr>
        <w:pStyle w:val="FootnoteText"/>
        <w:rPr>
          <w:i/>
        </w:rPr>
      </w:pPr>
      <w:r w:rsidRPr="00186348">
        <w:rPr>
          <w:rStyle w:val="FootnoteReference"/>
          <w:rFonts w:ascii="Arial Narrow" w:hAnsi="Arial Narrow"/>
          <w:sz w:val="18"/>
          <w:szCs w:val="18"/>
        </w:rPr>
        <w:footnoteRef/>
      </w:r>
      <w:r w:rsidRPr="00186348">
        <w:rPr>
          <w:rFonts w:ascii="Arial Narrow" w:hAnsi="Arial Narrow"/>
          <w:sz w:val="18"/>
          <w:szCs w:val="18"/>
        </w:rPr>
        <w:t xml:space="preserve"> </w:t>
      </w:r>
      <w:r w:rsidRPr="00186348">
        <w:rPr>
          <w:rFonts w:ascii="Arial Narrow" w:hAnsi="Arial Narrow"/>
          <w:i/>
          <w:sz w:val="18"/>
          <w:szCs w:val="18"/>
        </w:rPr>
        <w:t>Op. cit.</w:t>
      </w:r>
    </w:p>
  </w:footnote>
  <w:footnote w:id="79">
    <w:p w14:paraId="2864466C" w14:textId="77777777" w:rsidR="00917BB5" w:rsidRPr="00186348" w:rsidRDefault="00917BB5" w:rsidP="00EB5CFE">
      <w:pPr>
        <w:pStyle w:val="FootnoteText"/>
        <w:rPr>
          <w:rFonts w:ascii="Arial Narrow" w:hAnsi="Arial Narrow"/>
          <w:sz w:val="18"/>
          <w:szCs w:val="18"/>
        </w:rPr>
      </w:pPr>
      <w:r w:rsidRPr="00186348">
        <w:rPr>
          <w:rStyle w:val="FootnoteReference"/>
          <w:rFonts w:ascii="Arial Narrow" w:hAnsi="Arial Narrow"/>
          <w:sz w:val="18"/>
          <w:szCs w:val="18"/>
        </w:rPr>
        <w:footnoteRef/>
      </w:r>
      <w:r w:rsidRPr="00186348">
        <w:rPr>
          <w:rFonts w:ascii="Arial Narrow" w:hAnsi="Arial Narrow"/>
          <w:sz w:val="18"/>
          <w:szCs w:val="18"/>
        </w:rPr>
        <w:t xml:space="preserve"> See, for example, District Court of Amsterdam, </w:t>
      </w:r>
      <w:r w:rsidRPr="00186348">
        <w:rPr>
          <w:rFonts w:ascii="Arial Narrow" w:hAnsi="Arial Narrow"/>
          <w:i/>
          <w:sz w:val="18"/>
          <w:szCs w:val="18"/>
        </w:rPr>
        <w:t xml:space="preserve">Shell (various entities) vs. Greenpeace Netherlands and Greenpeace International, </w:t>
      </w:r>
      <w:r w:rsidRPr="00186348">
        <w:rPr>
          <w:rFonts w:ascii="Arial Narrow" w:hAnsi="Arial Narrow"/>
          <w:sz w:val="18"/>
          <w:szCs w:val="18"/>
        </w:rPr>
        <w:t xml:space="preserve">LJN: BX9310, 5 October 2012. </w:t>
      </w:r>
    </w:p>
  </w:footnote>
  <w:footnote w:id="80">
    <w:p w14:paraId="29EE6A56" w14:textId="77777777" w:rsidR="00917BB5" w:rsidRPr="00186348" w:rsidRDefault="00917BB5" w:rsidP="00EB5CFE">
      <w:pPr>
        <w:pStyle w:val="FootnoteText"/>
        <w:rPr>
          <w:rFonts w:ascii="Arial Narrow" w:hAnsi="Arial Narrow"/>
          <w:sz w:val="18"/>
          <w:szCs w:val="18"/>
        </w:rPr>
      </w:pPr>
      <w:r w:rsidRPr="00186348">
        <w:rPr>
          <w:rStyle w:val="FootnoteReference"/>
          <w:rFonts w:ascii="Arial Narrow" w:hAnsi="Arial Narrow"/>
          <w:sz w:val="18"/>
          <w:szCs w:val="18"/>
        </w:rPr>
        <w:footnoteRef/>
      </w:r>
      <w:r w:rsidRPr="00186348">
        <w:rPr>
          <w:rFonts w:ascii="Arial Narrow" w:hAnsi="Arial Narrow"/>
          <w:sz w:val="18"/>
          <w:szCs w:val="18"/>
        </w:rPr>
        <w:t xml:space="preserve"> See, for </w:t>
      </w:r>
      <w:r>
        <w:rPr>
          <w:rFonts w:ascii="Arial Narrow" w:hAnsi="Arial Narrow"/>
          <w:sz w:val="18"/>
          <w:szCs w:val="18"/>
        </w:rPr>
        <w:t xml:space="preserve">an </w:t>
      </w:r>
      <w:r w:rsidRPr="00186348">
        <w:rPr>
          <w:rFonts w:ascii="Arial Narrow" w:hAnsi="Arial Narrow"/>
          <w:sz w:val="18"/>
          <w:szCs w:val="18"/>
        </w:rPr>
        <w:t>example</w:t>
      </w:r>
      <w:r>
        <w:rPr>
          <w:rFonts w:ascii="Arial Narrow" w:hAnsi="Arial Narrow"/>
          <w:sz w:val="18"/>
          <w:szCs w:val="18"/>
        </w:rPr>
        <w:t xml:space="preserve"> of this approach</w:t>
      </w:r>
      <w:r w:rsidRPr="00186348">
        <w:rPr>
          <w:rFonts w:ascii="Arial Narrow" w:hAnsi="Arial Narrow"/>
          <w:sz w:val="18"/>
          <w:szCs w:val="18"/>
        </w:rPr>
        <w:t xml:space="preserve">, </w:t>
      </w:r>
      <w:r w:rsidRPr="00186348">
        <w:rPr>
          <w:rFonts w:ascii="Arial Narrow" w:hAnsi="Arial Narrow"/>
          <w:i/>
          <w:sz w:val="18"/>
          <w:szCs w:val="18"/>
        </w:rPr>
        <w:t xml:space="preserve">R v. Jones, </w:t>
      </w:r>
      <w:r w:rsidRPr="00186348">
        <w:rPr>
          <w:rFonts w:ascii="Arial Narrow" w:hAnsi="Arial Narrow"/>
          <w:sz w:val="18"/>
          <w:szCs w:val="18"/>
        </w:rPr>
        <w:t xml:space="preserve">[2006] UKHL 16, at para 89. </w:t>
      </w:r>
    </w:p>
  </w:footnote>
  <w:footnote w:id="81">
    <w:p w14:paraId="67CBFF7E" w14:textId="17450DC7" w:rsidR="00917BB5" w:rsidRPr="00E76A5E" w:rsidRDefault="00917BB5">
      <w:pPr>
        <w:pStyle w:val="FootnoteText"/>
        <w:rPr>
          <w:rFonts w:ascii="Arial Narrow" w:hAnsi="Arial Narrow"/>
          <w:sz w:val="18"/>
          <w:szCs w:val="18"/>
        </w:rPr>
      </w:pPr>
      <w:r w:rsidRPr="00E76A5E">
        <w:rPr>
          <w:rStyle w:val="FootnoteReference"/>
          <w:rFonts w:ascii="Arial Narrow" w:hAnsi="Arial Narrow"/>
          <w:sz w:val="18"/>
          <w:szCs w:val="18"/>
        </w:rPr>
        <w:footnoteRef/>
      </w:r>
      <w:r w:rsidRPr="00E76A5E">
        <w:rPr>
          <w:rFonts w:ascii="Arial Narrow" w:hAnsi="Arial Narrow"/>
          <w:sz w:val="18"/>
          <w:szCs w:val="18"/>
        </w:rPr>
        <w:t xml:space="preserve"> Protest Principles, </w:t>
      </w:r>
      <w:r w:rsidRPr="00E76A5E">
        <w:rPr>
          <w:rFonts w:ascii="Arial Narrow" w:hAnsi="Arial Narrow"/>
          <w:i/>
          <w:sz w:val="18"/>
          <w:szCs w:val="18"/>
        </w:rPr>
        <w:t>op. cit.</w:t>
      </w:r>
      <w:r w:rsidRPr="00E76A5E">
        <w:rPr>
          <w:rFonts w:ascii="Arial Narrow" w:hAnsi="Arial Narrow"/>
          <w:sz w:val="18"/>
          <w:szCs w:val="18"/>
        </w:rPr>
        <w:t xml:space="preserve">, at Principle 10. </w:t>
      </w:r>
    </w:p>
  </w:footnote>
  <w:footnote w:id="82">
    <w:p w14:paraId="74C112A9" w14:textId="1FD39A61" w:rsidR="00917BB5" w:rsidRPr="00A83C19" w:rsidRDefault="00917BB5" w:rsidP="00715B9E">
      <w:pPr>
        <w:pStyle w:val="HMG"/>
        <w:tabs>
          <w:tab w:val="clear" w:pos="851"/>
          <w:tab w:val="right" w:pos="57"/>
        </w:tabs>
        <w:spacing w:before="0" w:after="0" w:line="240" w:lineRule="auto"/>
        <w:ind w:left="0" w:right="-34" w:firstLine="0"/>
        <w:rPr>
          <w:rFonts w:ascii="Arial Narrow" w:hAnsi="Arial Narrow"/>
          <w:b w:val="0"/>
          <w:sz w:val="18"/>
          <w:szCs w:val="18"/>
        </w:rPr>
      </w:pPr>
      <w:r w:rsidRPr="00A83C19">
        <w:rPr>
          <w:rStyle w:val="FootnoteReference"/>
          <w:rFonts w:ascii="Arial Narrow" w:hAnsi="Arial Narrow"/>
          <w:b w:val="0"/>
          <w:sz w:val="18"/>
          <w:szCs w:val="18"/>
        </w:rPr>
        <w:footnoteRef/>
      </w:r>
      <w:r w:rsidRPr="00A83C19">
        <w:rPr>
          <w:rFonts w:ascii="Arial Narrow" w:hAnsi="Arial Narrow"/>
          <w:b w:val="0"/>
          <w:sz w:val="18"/>
          <w:szCs w:val="18"/>
        </w:rPr>
        <w:t xml:space="preserve"> Note of the Rapporteur, </w:t>
      </w:r>
      <w:r w:rsidRPr="00A83C19">
        <w:rPr>
          <w:rFonts w:ascii="Arial Narrow" w:hAnsi="Arial Narrow"/>
          <w:b w:val="0"/>
          <w:i/>
          <w:sz w:val="18"/>
          <w:szCs w:val="18"/>
        </w:rPr>
        <w:t>op. cit.</w:t>
      </w:r>
      <w:r w:rsidRPr="00A83C19">
        <w:rPr>
          <w:rFonts w:ascii="Arial Narrow" w:hAnsi="Arial Narrow"/>
          <w:b w:val="0"/>
          <w:sz w:val="18"/>
          <w:szCs w:val="18"/>
        </w:rPr>
        <w:t>, at Question 19: “</w:t>
      </w:r>
      <w:r w:rsidRPr="00A83C19">
        <w:rPr>
          <w:rFonts w:ascii="Arial Narrow" w:eastAsia="Calibri" w:hAnsi="Arial Narrow"/>
          <w:b w:val="0"/>
          <w:sz w:val="18"/>
          <w:szCs w:val="18"/>
        </w:rPr>
        <w:t>[...] Moreover, to what extent does the right of peaceful assembly apply in the digital space? Can ‘gathering’ online impose obligations on States and other actors to facilitate it?”</w:t>
      </w:r>
    </w:p>
  </w:footnote>
  <w:footnote w:id="83">
    <w:p w14:paraId="3AB52E30" w14:textId="0732F14E" w:rsidR="00917BB5" w:rsidRPr="00B76AB1" w:rsidRDefault="00917BB5" w:rsidP="00715B9E">
      <w:pPr>
        <w:pStyle w:val="FootnoteText"/>
        <w:tabs>
          <w:tab w:val="right" w:pos="57"/>
        </w:tabs>
        <w:rPr>
          <w:rFonts w:ascii="Arial Narrow" w:hAnsi="Arial Narrow"/>
          <w:sz w:val="18"/>
          <w:szCs w:val="18"/>
        </w:rPr>
      </w:pPr>
      <w:r w:rsidRPr="00A83C19">
        <w:rPr>
          <w:rStyle w:val="FootnoteReference"/>
          <w:rFonts w:ascii="Arial Narrow" w:hAnsi="Arial Narrow"/>
          <w:sz w:val="18"/>
          <w:szCs w:val="18"/>
        </w:rPr>
        <w:footnoteRef/>
      </w:r>
      <w:r w:rsidRPr="00A83C19">
        <w:rPr>
          <w:rFonts w:ascii="Arial Narrow" w:hAnsi="Arial Narrow"/>
          <w:sz w:val="18"/>
          <w:szCs w:val="18"/>
        </w:rPr>
        <w:t xml:space="preserve"> Protest Principles, </w:t>
      </w:r>
      <w:r w:rsidRPr="00A83C19">
        <w:rPr>
          <w:rFonts w:ascii="Arial Narrow" w:hAnsi="Arial Narrow"/>
          <w:i/>
          <w:sz w:val="18"/>
          <w:szCs w:val="18"/>
        </w:rPr>
        <w:t>op. cit.</w:t>
      </w:r>
      <w:r w:rsidRPr="00A83C19">
        <w:rPr>
          <w:rFonts w:ascii="Arial Narrow" w:hAnsi="Arial Narrow"/>
          <w:sz w:val="18"/>
          <w:szCs w:val="18"/>
        </w:rPr>
        <w:t>, at Principle</w:t>
      </w:r>
      <w:r w:rsidRPr="00B76AB1">
        <w:rPr>
          <w:rFonts w:ascii="Arial Narrow" w:hAnsi="Arial Narrow"/>
          <w:sz w:val="18"/>
          <w:szCs w:val="18"/>
        </w:rPr>
        <w:t xml:space="preserve"> 8. </w:t>
      </w:r>
      <w:r>
        <w:rPr>
          <w:rFonts w:ascii="Arial Narrow" w:hAnsi="Arial Narrow"/>
          <w:sz w:val="18"/>
          <w:szCs w:val="18"/>
        </w:rPr>
        <w:t xml:space="preserve">See also: HRC Res 38/11, </w:t>
      </w:r>
      <w:r>
        <w:rPr>
          <w:rFonts w:ascii="Arial Narrow" w:hAnsi="Arial Narrow"/>
          <w:i/>
          <w:sz w:val="18"/>
          <w:szCs w:val="18"/>
        </w:rPr>
        <w:t>op. cit.</w:t>
      </w:r>
      <w:r>
        <w:rPr>
          <w:rFonts w:ascii="Arial Narrow" w:hAnsi="Arial Narrow"/>
          <w:sz w:val="18"/>
          <w:szCs w:val="18"/>
        </w:rPr>
        <w:t xml:space="preserve">; </w:t>
      </w:r>
      <w:r w:rsidRPr="005E0098">
        <w:rPr>
          <w:rFonts w:ascii="Arial Narrow" w:hAnsi="Arial Narrow"/>
          <w:sz w:val="18"/>
          <w:szCs w:val="18"/>
        </w:rPr>
        <w:t xml:space="preserve">Joint report A/HRC/31/66, </w:t>
      </w:r>
      <w:r w:rsidRPr="005E0098">
        <w:rPr>
          <w:rFonts w:ascii="Arial Narrow" w:hAnsi="Arial Narrow"/>
          <w:i/>
          <w:sz w:val="18"/>
          <w:szCs w:val="18"/>
        </w:rPr>
        <w:t>op. cit.</w:t>
      </w:r>
      <w:r w:rsidRPr="005E0098">
        <w:rPr>
          <w:rFonts w:ascii="Arial Narrow" w:hAnsi="Arial Narrow"/>
          <w:sz w:val="18"/>
          <w:szCs w:val="18"/>
        </w:rPr>
        <w:t>, at para. 10.</w:t>
      </w:r>
    </w:p>
  </w:footnote>
  <w:footnote w:id="84">
    <w:p w14:paraId="11510DBF" w14:textId="5DD18D97" w:rsidR="00917BB5" w:rsidRPr="001169FE" w:rsidRDefault="00917BB5" w:rsidP="00715B9E">
      <w:pPr>
        <w:pStyle w:val="FootnoteText"/>
        <w:tabs>
          <w:tab w:val="right" w:pos="57"/>
        </w:tabs>
        <w:rPr>
          <w:rFonts w:ascii="Arial Narrow" w:hAnsi="Arial Narrow"/>
          <w:sz w:val="18"/>
          <w:szCs w:val="18"/>
        </w:rPr>
      </w:pPr>
      <w:r w:rsidRPr="001169FE">
        <w:rPr>
          <w:rStyle w:val="FootnoteReference"/>
          <w:rFonts w:ascii="Arial Narrow" w:hAnsi="Arial Narrow"/>
          <w:sz w:val="18"/>
          <w:szCs w:val="18"/>
        </w:rPr>
        <w:footnoteRef/>
      </w:r>
      <w:r w:rsidRPr="001169FE">
        <w:rPr>
          <w:rFonts w:ascii="Arial Narrow" w:hAnsi="Arial Narrow"/>
          <w:sz w:val="18"/>
          <w:szCs w:val="18"/>
        </w:rPr>
        <w:t xml:space="preserve"> See, for example, the List of Issues Prior to Review of Russia, August 2014, in relation to Fed Law 398-FZ.</w:t>
      </w:r>
    </w:p>
  </w:footnote>
  <w:footnote w:id="85">
    <w:p w14:paraId="68F84612" w14:textId="29DC0B22" w:rsidR="00917BB5" w:rsidRPr="001169FE" w:rsidRDefault="00917BB5" w:rsidP="00715B9E">
      <w:pPr>
        <w:pStyle w:val="FootnoteText"/>
        <w:tabs>
          <w:tab w:val="right" w:pos="0"/>
          <w:tab w:val="right" w:pos="57"/>
        </w:tabs>
      </w:pPr>
      <w:r w:rsidRPr="001169FE">
        <w:rPr>
          <w:rStyle w:val="FootnoteReference"/>
          <w:rFonts w:ascii="Arial Narrow" w:hAnsi="Arial Narrow"/>
          <w:sz w:val="18"/>
          <w:szCs w:val="18"/>
        </w:rPr>
        <w:footnoteRef/>
      </w:r>
      <w:r w:rsidRPr="001169FE">
        <w:rPr>
          <w:rFonts w:ascii="Arial Narrow" w:hAnsi="Arial Narrow"/>
          <w:sz w:val="18"/>
          <w:szCs w:val="18"/>
        </w:rPr>
        <w:t xml:space="preserve"> HR Committee, General Comment No. 34, </w:t>
      </w:r>
      <w:r w:rsidRPr="001169FE">
        <w:rPr>
          <w:rFonts w:ascii="Arial Narrow" w:hAnsi="Arial Narrow"/>
          <w:i/>
          <w:sz w:val="18"/>
          <w:szCs w:val="18"/>
        </w:rPr>
        <w:t>op. cit.</w:t>
      </w:r>
      <w:r w:rsidRPr="001169FE">
        <w:rPr>
          <w:rFonts w:ascii="Arial Narrow" w:hAnsi="Arial Narrow"/>
          <w:sz w:val="18"/>
          <w:szCs w:val="18"/>
        </w:rPr>
        <w:t>, at para 43.</w:t>
      </w:r>
      <w:r>
        <w:t xml:space="preserve"> </w:t>
      </w:r>
    </w:p>
  </w:footnote>
  <w:footnote w:id="86">
    <w:p w14:paraId="3B25AC05" w14:textId="475D43F9" w:rsidR="00917BB5" w:rsidRPr="00AA56A8" w:rsidRDefault="00917BB5">
      <w:pPr>
        <w:pStyle w:val="FootnoteText"/>
        <w:rPr>
          <w:rFonts w:ascii="Arial Narrow" w:hAnsi="Arial Narrow"/>
          <w:sz w:val="18"/>
          <w:szCs w:val="18"/>
        </w:rPr>
      </w:pPr>
      <w:r w:rsidRPr="00AA56A8">
        <w:rPr>
          <w:rStyle w:val="FootnoteReference"/>
          <w:rFonts w:ascii="Arial Narrow" w:hAnsi="Arial Narrow"/>
          <w:sz w:val="18"/>
          <w:szCs w:val="18"/>
        </w:rPr>
        <w:footnoteRef/>
      </w:r>
      <w:r w:rsidRPr="00AA56A8">
        <w:rPr>
          <w:rFonts w:ascii="Arial Narrow" w:hAnsi="Arial Narrow"/>
          <w:sz w:val="18"/>
          <w:szCs w:val="18"/>
        </w:rPr>
        <w:t xml:space="preserve"> ARTICLE 19 submits that, by analogy, many of these same principles can be a</w:t>
      </w:r>
      <w:r>
        <w:rPr>
          <w:rFonts w:ascii="Arial Narrow" w:hAnsi="Arial Narrow"/>
          <w:sz w:val="18"/>
          <w:szCs w:val="18"/>
        </w:rPr>
        <w:t>pplied to the rights to freedom</w:t>
      </w:r>
      <w:r w:rsidRPr="00AA56A8">
        <w:rPr>
          <w:rFonts w:ascii="Arial Narrow" w:hAnsi="Arial Narrow"/>
          <w:sz w:val="18"/>
          <w:szCs w:val="18"/>
        </w:rPr>
        <w:t xml:space="preserve"> of opinion and expression</w:t>
      </w:r>
      <w:r>
        <w:rPr>
          <w:rFonts w:ascii="Arial Narrow" w:hAnsi="Arial Narrow"/>
          <w:sz w:val="18"/>
          <w:szCs w:val="18"/>
        </w:rPr>
        <w:t xml:space="preserve"> (Article 19 ICCPR)</w:t>
      </w:r>
      <w:r w:rsidRPr="00AA56A8">
        <w:rPr>
          <w:rFonts w:ascii="Arial Narrow" w:hAnsi="Arial Narrow"/>
          <w:sz w:val="18"/>
          <w:szCs w:val="18"/>
        </w:rPr>
        <w:t>, freedom of association</w:t>
      </w:r>
      <w:r>
        <w:rPr>
          <w:rFonts w:ascii="Arial Narrow" w:hAnsi="Arial Narrow"/>
          <w:sz w:val="18"/>
          <w:szCs w:val="18"/>
        </w:rPr>
        <w:t xml:space="preserve"> (Article 22 ICCPR)</w:t>
      </w:r>
      <w:r w:rsidRPr="00AA56A8">
        <w:rPr>
          <w:rFonts w:ascii="Arial Narrow" w:hAnsi="Arial Narrow"/>
          <w:sz w:val="18"/>
          <w:szCs w:val="18"/>
        </w:rPr>
        <w:t>, and privacy</w:t>
      </w:r>
      <w:r>
        <w:rPr>
          <w:rFonts w:ascii="Arial Narrow" w:hAnsi="Arial Narrow"/>
          <w:sz w:val="18"/>
          <w:szCs w:val="18"/>
        </w:rPr>
        <w:t xml:space="preserve"> (Article 17 ICCPR)</w:t>
      </w:r>
      <w:r w:rsidRPr="00AA56A8">
        <w:rPr>
          <w:rFonts w:ascii="Arial Narrow" w:hAnsi="Arial Narrow"/>
          <w:sz w:val="18"/>
          <w:szCs w:val="18"/>
        </w:rPr>
        <w:t xml:space="preserve">. </w:t>
      </w:r>
    </w:p>
  </w:footnote>
  <w:footnote w:id="87">
    <w:p w14:paraId="4F00B97E" w14:textId="66E24ACE" w:rsidR="00917BB5" w:rsidRPr="00AA56A8" w:rsidRDefault="00917BB5">
      <w:pPr>
        <w:pStyle w:val="FootnoteText"/>
        <w:rPr>
          <w:rFonts w:ascii="Arial Narrow" w:hAnsi="Arial Narrow"/>
          <w:sz w:val="18"/>
          <w:szCs w:val="18"/>
        </w:rPr>
      </w:pPr>
      <w:r w:rsidRPr="00AA56A8">
        <w:rPr>
          <w:rStyle w:val="FootnoteReference"/>
          <w:rFonts w:ascii="Arial Narrow" w:hAnsi="Arial Narrow"/>
          <w:sz w:val="18"/>
          <w:szCs w:val="18"/>
        </w:rPr>
        <w:footnoteRef/>
      </w:r>
      <w:r w:rsidRPr="00AA56A8">
        <w:rPr>
          <w:rFonts w:ascii="Arial Narrow" w:hAnsi="Arial Narrow"/>
          <w:sz w:val="18"/>
          <w:szCs w:val="18"/>
        </w:rPr>
        <w:t xml:space="preserve"> In particular, HRC Resolution 38/7 on “the promotion, protection and enjoyment of human rights on the Internet”, 5 July 2018, and HRC Resolution 38/11 on “the promotion and protection of human rights in the context of peaceful protests”, 6 July 2018. </w:t>
      </w:r>
    </w:p>
  </w:footnote>
  <w:footnote w:id="88">
    <w:p w14:paraId="4BA0ED30" w14:textId="6921E955" w:rsidR="00917BB5" w:rsidRPr="00AA56A8" w:rsidRDefault="00917BB5">
      <w:pPr>
        <w:pStyle w:val="FootnoteText"/>
        <w:rPr>
          <w:rFonts w:ascii="Arial Narrow" w:hAnsi="Arial Narrow"/>
          <w:sz w:val="18"/>
          <w:szCs w:val="18"/>
        </w:rPr>
      </w:pPr>
      <w:r w:rsidRPr="00AA56A8">
        <w:rPr>
          <w:rStyle w:val="FootnoteReference"/>
          <w:rFonts w:ascii="Arial Narrow" w:hAnsi="Arial Narrow"/>
          <w:sz w:val="18"/>
          <w:szCs w:val="18"/>
        </w:rPr>
        <w:footnoteRef/>
      </w:r>
      <w:r w:rsidRPr="00AA56A8">
        <w:rPr>
          <w:rFonts w:ascii="Arial Narrow" w:hAnsi="Arial Narrow"/>
          <w:sz w:val="18"/>
          <w:szCs w:val="18"/>
        </w:rPr>
        <w:t xml:space="preserve"> In particular the annual reports of the UN Special Rapporteur on the right to freedom of opinion and expression; available at: </w:t>
      </w:r>
      <w:hyperlink r:id="rId8" w:history="1">
        <w:r w:rsidRPr="00AA56A8">
          <w:rPr>
            <w:rStyle w:val="Hyperlink"/>
            <w:rFonts w:ascii="Arial Narrow" w:hAnsi="Arial Narrow"/>
            <w:sz w:val="18"/>
            <w:szCs w:val="18"/>
          </w:rPr>
          <w:t>https://freedex.org/resources/annual-reports/</w:t>
        </w:r>
      </w:hyperlink>
      <w:r w:rsidRPr="00AA56A8">
        <w:rPr>
          <w:rFonts w:ascii="Arial Narrow" w:hAnsi="Arial Narrow"/>
          <w:sz w:val="18"/>
          <w:szCs w:val="18"/>
        </w:rPr>
        <w:t xml:space="preserve"> </w:t>
      </w:r>
    </w:p>
  </w:footnote>
  <w:footnote w:id="89">
    <w:p w14:paraId="52FBF9BD" w14:textId="371BEB03" w:rsidR="00917BB5" w:rsidRPr="009911CD" w:rsidRDefault="00917BB5" w:rsidP="00153E6D">
      <w:pPr>
        <w:pStyle w:val="FootnoteText"/>
        <w:jc w:val="both"/>
        <w:rPr>
          <w:rFonts w:ascii="Arial Narrow" w:hAnsi="Arial Narrow"/>
          <w:sz w:val="18"/>
          <w:szCs w:val="18"/>
        </w:rPr>
      </w:pPr>
      <w:r w:rsidRPr="00153E6D">
        <w:rPr>
          <w:rStyle w:val="FootnoteReference"/>
          <w:rFonts w:ascii="Arial Narrow" w:hAnsi="Arial Narrow"/>
          <w:sz w:val="18"/>
          <w:szCs w:val="18"/>
        </w:rPr>
        <w:footnoteRef/>
      </w:r>
      <w:r w:rsidRPr="00153E6D">
        <w:rPr>
          <w:rFonts w:ascii="Arial Narrow" w:hAnsi="Arial Narrow"/>
          <w:sz w:val="18"/>
          <w:szCs w:val="18"/>
        </w:rPr>
        <w:t xml:space="preserve"> Protest Principles, </w:t>
      </w:r>
      <w:r w:rsidRPr="00153E6D">
        <w:rPr>
          <w:rFonts w:ascii="Arial Narrow" w:hAnsi="Arial Narrow"/>
          <w:i/>
          <w:sz w:val="18"/>
          <w:szCs w:val="18"/>
        </w:rPr>
        <w:t>op. cit.</w:t>
      </w:r>
      <w:r w:rsidRPr="00153E6D">
        <w:rPr>
          <w:rFonts w:ascii="Arial Narrow" w:hAnsi="Arial Narrow"/>
          <w:sz w:val="18"/>
          <w:szCs w:val="18"/>
        </w:rPr>
        <w:t>, at Principle 9.4, and Principles 19.1 and 19.3. HRC resolution 38/11</w:t>
      </w:r>
      <w:r>
        <w:rPr>
          <w:rFonts w:ascii="Arial Narrow" w:hAnsi="Arial Narrow"/>
          <w:sz w:val="18"/>
          <w:szCs w:val="18"/>
        </w:rPr>
        <w:t xml:space="preserve"> on human rights in the context of peaceful protests</w:t>
      </w:r>
      <w:r w:rsidRPr="00153E6D">
        <w:rPr>
          <w:rFonts w:ascii="Arial Narrow" w:hAnsi="Arial Narrow"/>
          <w:sz w:val="18"/>
          <w:szCs w:val="18"/>
        </w:rPr>
        <w:t xml:space="preserve"> notes that “</w:t>
      </w:r>
      <w:r w:rsidRPr="00153E6D">
        <w:rPr>
          <w:rFonts w:ascii="Arial Narrow" w:hAnsi="Arial Narrow" w:cs="Arial"/>
          <w:sz w:val="18"/>
          <w:szCs w:val="18"/>
        </w:rPr>
        <w:t xml:space="preserve">that the possibility of using communications technology securely and privately, in accordance with international human rights law, is important for the organization and conduct of assemblies,” and “that, although an assembly has generally been understood as a physical gathering of people, human rights protections, including for the rights to freedom of peaceful assembly, of expression and of association, may apply to analogous </w:t>
      </w:r>
      <w:r w:rsidRPr="009911CD">
        <w:rPr>
          <w:rFonts w:ascii="Arial Narrow" w:hAnsi="Arial Narrow" w:cs="Arial"/>
          <w:sz w:val="18"/>
          <w:szCs w:val="18"/>
        </w:rPr>
        <w:t>interactions taking place online”.</w:t>
      </w:r>
    </w:p>
  </w:footnote>
  <w:footnote w:id="90">
    <w:p w14:paraId="3A9C5472" w14:textId="0C81EFF6" w:rsidR="00917BB5" w:rsidRPr="00DE7DAA" w:rsidRDefault="00917BB5" w:rsidP="00DE7DAA">
      <w:pPr>
        <w:pStyle w:val="FootnoteText"/>
        <w:jc w:val="both"/>
        <w:rPr>
          <w:rFonts w:ascii="Arial Narrow" w:hAnsi="Arial Narrow"/>
          <w:sz w:val="18"/>
          <w:szCs w:val="18"/>
        </w:rPr>
      </w:pPr>
      <w:r w:rsidRPr="00DE7DAA">
        <w:rPr>
          <w:rStyle w:val="FootnoteReference"/>
          <w:rFonts w:ascii="Arial Narrow" w:hAnsi="Arial Narrow"/>
          <w:sz w:val="18"/>
          <w:szCs w:val="18"/>
        </w:rPr>
        <w:footnoteRef/>
      </w:r>
      <w:r w:rsidRPr="00DE7DAA">
        <w:rPr>
          <w:rFonts w:ascii="Arial Narrow" w:hAnsi="Arial Narrow"/>
          <w:sz w:val="18"/>
          <w:szCs w:val="18"/>
        </w:rPr>
        <w:t xml:space="preserve"> </w:t>
      </w:r>
      <w:r>
        <w:rPr>
          <w:rFonts w:ascii="Arial Narrow" w:hAnsi="Arial Narrow"/>
          <w:sz w:val="18"/>
          <w:szCs w:val="18"/>
        </w:rPr>
        <w:t>2018</w:t>
      </w:r>
      <w:r w:rsidRPr="00DE7DAA">
        <w:rPr>
          <w:rFonts w:ascii="Arial Narrow" w:hAnsi="Arial Narrow"/>
          <w:sz w:val="18"/>
          <w:szCs w:val="18"/>
        </w:rPr>
        <w:t xml:space="preserve"> </w:t>
      </w:r>
      <w:r w:rsidRPr="00DE7DAA">
        <w:rPr>
          <w:rFonts w:ascii="Arial Narrow" w:hAnsi="Arial Narrow" w:cs="Arial"/>
          <w:sz w:val="18"/>
          <w:szCs w:val="18"/>
        </w:rPr>
        <w:t>Joint Declaration on Media Independence and Diversity in the Digital Age</w:t>
      </w:r>
      <w:r>
        <w:rPr>
          <w:rFonts w:ascii="Arial Narrow" w:hAnsi="Arial Narrow" w:cs="Arial"/>
          <w:sz w:val="18"/>
          <w:szCs w:val="18"/>
        </w:rPr>
        <w:t xml:space="preserve"> of the UN</w:t>
      </w:r>
      <w:r w:rsidRPr="00DE7DAA">
        <w:rPr>
          <w:rFonts w:ascii="Arial Narrow" w:hAnsi="Arial Narrow" w:cs="Arial"/>
          <w:sz w:val="18"/>
          <w:szCs w:val="18"/>
        </w:rPr>
        <w:t xml:space="preserve"> Special Rapporteur on Freedom of Opinion and Expression, the Organization for Security and Co-operation in Europe (OSCE) Representative on Freedom</w:t>
      </w:r>
      <w:r>
        <w:rPr>
          <w:rFonts w:ascii="Arial Narrow" w:hAnsi="Arial Narrow" w:cs="Arial"/>
          <w:sz w:val="18"/>
          <w:szCs w:val="18"/>
        </w:rPr>
        <w:t xml:space="preserve"> </w:t>
      </w:r>
      <w:r w:rsidRPr="00DE7DAA">
        <w:rPr>
          <w:rFonts w:ascii="Arial Narrow" w:hAnsi="Arial Narrow" w:cs="Arial"/>
          <w:sz w:val="18"/>
          <w:szCs w:val="18"/>
        </w:rPr>
        <w:t xml:space="preserve">of the Media, the Organization of American States (OAS) Special Rapporteur on Freedom of Expression and the African Commission on Human and Peoples’ Rights (ACHPR) Special Rapporteur on Freedom of Expression and </w:t>
      </w:r>
      <w:r w:rsidRPr="00DE7DAA">
        <w:rPr>
          <w:rStyle w:val="highlight"/>
          <w:rFonts w:ascii="Arial Narrow" w:hAnsi="Arial Narrow" w:cs="Arial"/>
          <w:sz w:val="18"/>
          <w:szCs w:val="18"/>
        </w:rPr>
        <w:t>Access</w:t>
      </w:r>
      <w:r w:rsidRPr="00DE7DAA">
        <w:rPr>
          <w:rFonts w:ascii="Arial Narrow" w:hAnsi="Arial Narrow" w:cs="Arial"/>
          <w:sz w:val="18"/>
          <w:szCs w:val="18"/>
        </w:rPr>
        <w:t xml:space="preserve"> to Information,</w:t>
      </w:r>
      <w:r>
        <w:rPr>
          <w:rFonts w:ascii="Arial Narrow" w:hAnsi="Arial Narrow" w:cs="Arial"/>
          <w:sz w:val="18"/>
          <w:szCs w:val="18"/>
        </w:rPr>
        <w:t xml:space="preserve"> at 1(a)(ii). </w:t>
      </w:r>
    </w:p>
  </w:footnote>
  <w:footnote w:id="91">
    <w:p w14:paraId="6A47EFBA" w14:textId="70C18B43" w:rsidR="00917BB5" w:rsidRPr="00DE7DAA" w:rsidRDefault="00917BB5">
      <w:pPr>
        <w:pStyle w:val="FootnoteText"/>
        <w:rPr>
          <w:rFonts w:ascii="Arial Narrow" w:hAnsi="Arial Narrow"/>
          <w:sz w:val="18"/>
          <w:szCs w:val="18"/>
        </w:rPr>
      </w:pPr>
      <w:r w:rsidRPr="00DE7DAA">
        <w:rPr>
          <w:rStyle w:val="FootnoteReference"/>
          <w:rFonts w:ascii="Arial Narrow" w:hAnsi="Arial Narrow"/>
          <w:sz w:val="18"/>
          <w:szCs w:val="18"/>
        </w:rPr>
        <w:footnoteRef/>
      </w:r>
      <w:r w:rsidRPr="00DE7DAA">
        <w:rPr>
          <w:rFonts w:ascii="Arial Narrow" w:hAnsi="Arial Narrow"/>
          <w:sz w:val="18"/>
          <w:szCs w:val="18"/>
        </w:rPr>
        <w:t xml:space="preserve"> Report of the Special Rapporteur on the promotion and protection of the right to freedom of opinion and expression, A/HRC/38/35, at para</w:t>
      </w:r>
      <w:r>
        <w:rPr>
          <w:rFonts w:ascii="Arial Narrow" w:hAnsi="Arial Narrow"/>
          <w:sz w:val="18"/>
          <w:szCs w:val="18"/>
        </w:rPr>
        <w:t>s</w:t>
      </w:r>
      <w:r w:rsidRPr="00DE7DAA">
        <w:rPr>
          <w:rFonts w:ascii="Arial Narrow" w:hAnsi="Arial Narrow"/>
          <w:sz w:val="18"/>
          <w:szCs w:val="18"/>
        </w:rPr>
        <w:t>.</w:t>
      </w:r>
      <w:r>
        <w:rPr>
          <w:rFonts w:ascii="Arial Narrow" w:hAnsi="Arial Narrow"/>
          <w:sz w:val="18"/>
          <w:szCs w:val="18"/>
        </w:rPr>
        <w:t xml:space="preserve"> 13 and</w:t>
      </w:r>
      <w:r w:rsidRPr="00DE7DAA">
        <w:rPr>
          <w:rFonts w:ascii="Arial Narrow" w:hAnsi="Arial Narrow"/>
          <w:sz w:val="18"/>
          <w:szCs w:val="18"/>
        </w:rPr>
        <w:t xml:space="preserve"> 65.</w:t>
      </w:r>
    </w:p>
  </w:footnote>
  <w:footnote w:id="92">
    <w:p w14:paraId="44B3F958" w14:textId="77777777" w:rsidR="00917BB5" w:rsidRPr="004E2C93" w:rsidRDefault="00917BB5" w:rsidP="004E2C93">
      <w:pPr>
        <w:pStyle w:val="FootnoteText"/>
        <w:rPr>
          <w:rFonts w:ascii="Arial Narrow" w:hAnsi="Arial Narrow"/>
          <w:sz w:val="18"/>
          <w:szCs w:val="18"/>
        </w:rPr>
      </w:pPr>
      <w:r w:rsidRPr="004E2C93">
        <w:rPr>
          <w:rStyle w:val="FootnoteReference"/>
          <w:rFonts w:ascii="Arial Narrow" w:hAnsi="Arial Narrow"/>
          <w:sz w:val="18"/>
          <w:szCs w:val="18"/>
        </w:rPr>
        <w:footnoteRef/>
      </w:r>
      <w:r w:rsidRPr="004E2C93">
        <w:rPr>
          <w:rFonts w:ascii="Arial Narrow" w:hAnsi="Arial Narrow"/>
          <w:sz w:val="18"/>
          <w:szCs w:val="18"/>
        </w:rPr>
        <w:t xml:space="preserve"> Protest Principles, </w:t>
      </w:r>
      <w:r w:rsidRPr="004E2C93">
        <w:rPr>
          <w:rFonts w:ascii="Arial Narrow" w:hAnsi="Arial Narrow"/>
          <w:i/>
          <w:sz w:val="18"/>
          <w:szCs w:val="18"/>
        </w:rPr>
        <w:t>op. cit.</w:t>
      </w:r>
      <w:r w:rsidRPr="004E2C93">
        <w:rPr>
          <w:rFonts w:ascii="Arial Narrow" w:hAnsi="Arial Narrow"/>
          <w:sz w:val="18"/>
          <w:szCs w:val="18"/>
        </w:rPr>
        <w:t>, Principle 9.4</w:t>
      </w:r>
    </w:p>
  </w:footnote>
  <w:footnote w:id="93">
    <w:p w14:paraId="5478AF31" w14:textId="77777777" w:rsidR="00917BB5" w:rsidRPr="0025156F" w:rsidRDefault="00917BB5" w:rsidP="002D7501">
      <w:pPr>
        <w:pStyle w:val="FootnoteText"/>
        <w:rPr>
          <w:rFonts w:ascii="Arial Narrow" w:hAnsi="Arial Narrow"/>
          <w:sz w:val="18"/>
          <w:szCs w:val="18"/>
        </w:rPr>
      </w:pPr>
      <w:r w:rsidRPr="0025156F">
        <w:rPr>
          <w:rStyle w:val="FootnoteReference"/>
          <w:rFonts w:ascii="Arial Narrow" w:hAnsi="Arial Narrow"/>
          <w:sz w:val="18"/>
          <w:szCs w:val="18"/>
        </w:rPr>
        <w:footnoteRef/>
      </w:r>
      <w:r w:rsidRPr="0025156F">
        <w:rPr>
          <w:rFonts w:ascii="Arial Narrow" w:hAnsi="Arial Narrow"/>
          <w:sz w:val="18"/>
          <w:szCs w:val="18"/>
        </w:rPr>
        <w:t xml:space="preserve"> HRC resolution 38/11 on human rights in the context of peaceful protests, </w:t>
      </w:r>
      <w:r w:rsidRPr="0025156F">
        <w:rPr>
          <w:rFonts w:ascii="Arial Narrow" w:hAnsi="Arial Narrow"/>
          <w:i/>
          <w:sz w:val="18"/>
          <w:szCs w:val="18"/>
        </w:rPr>
        <w:t>op. cit</w:t>
      </w:r>
      <w:r w:rsidRPr="0025156F">
        <w:rPr>
          <w:rFonts w:ascii="Arial Narrow" w:hAnsi="Arial Narrow"/>
          <w:sz w:val="18"/>
          <w:szCs w:val="18"/>
        </w:rPr>
        <w:t>.,</w:t>
      </w:r>
      <w:r w:rsidRPr="0025156F">
        <w:rPr>
          <w:rFonts w:ascii="Arial Narrow" w:hAnsi="Arial Narrow" w:cs="Arial"/>
          <w:sz w:val="18"/>
          <w:szCs w:val="18"/>
        </w:rPr>
        <w:t xml:space="preserve"> “calls upon all States to refrain from and cease measures, when in violation of international human rights law, seeking to block Internet users from gaining access to or disseminating information online”; HRC resolution 38/7 on human rights and the internet, </w:t>
      </w:r>
      <w:r w:rsidRPr="0025156F">
        <w:rPr>
          <w:rFonts w:ascii="Arial Narrow" w:hAnsi="Arial Narrow" w:cs="Arial"/>
          <w:i/>
          <w:sz w:val="18"/>
          <w:szCs w:val="18"/>
        </w:rPr>
        <w:t>op. cit.</w:t>
      </w:r>
      <w:r w:rsidRPr="0025156F">
        <w:rPr>
          <w:rFonts w:ascii="Arial Narrow" w:hAnsi="Arial Narrow" w:cs="Arial"/>
          <w:sz w:val="18"/>
          <w:szCs w:val="18"/>
        </w:rPr>
        <w:t>, “condemns unequivocally measures in violation of international human rights law that prevent or disrupt an individual’s ability to seek, receive or impart information online, calls upon all States to refrain from and to cease such measures, and also calls upon States to ensure that all domestic laws, policies and practices are consistent with their international human rights obligations with regard to freedom of opinion and expression online”.</w:t>
      </w:r>
    </w:p>
  </w:footnote>
  <w:footnote w:id="94">
    <w:p w14:paraId="0881B402" w14:textId="37871FE5" w:rsidR="00917BB5" w:rsidRPr="005A34CA" w:rsidRDefault="00917BB5">
      <w:pPr>
        <w:pStyle w:val="FootnoteText"/>
        <w:rPr>
          <w:rFonts w:ascii="Arial Narrow" w:hAnsi="Arial Narrow"/>
          <w:sz w:val="18"/>
          <w:szCs w:val="18"/>
        </w:rPr>
      </w:pPr>
      <w:r w:rsidRPr="005A34CA">
        <w:rPr>
          <w:rStyle w:val="FootnoteReference"/>
          <w:rFonts w:ascii="Arial Narrow" w:hAnsi="Arial Narrow"/>
          <w:sz w:val="18"/>
          <w:szCs w:val="18"/>
        </w:rPr>
        <w:footnoteRef/>
      </w:r>
      <w:r w:rsidRPr="005A34CA">
        <w:rPr>
          <w:rFonts w:ascii="Arial Narrow" w:hAnsi="Arial Narrow"/>
          <w:sz w:val="18"/>
          <w:szCs w:val="18"/>
        </w:rPr>
        <w:t xml:space="preserve"> Report of the Special Rapporteur on the promotion and protection of the right to freedom of opinion and expression, A/HRC/35/22, 30 March 2017, at paras 9 – 10. </w:t>
      </w:r>
    </w:p>
  </w:footnote>
  <w:footnote w:id="95">
    <w:p w14:paraId="529728A2" w14:textId="6B43C5F9" w:rsidR="00917BB5" w:rsidRDefault="00917BB5">
      <w:pPr>
        <w:pStyle w:val="FootnoteText"/>
      </w:pPr>
      <w:r w:rsidRPr="005A34CA">
        <w:rPr>
          <w:rStyle w:val="FootnoteReference"/>
          <w:rFonts w:ascii="Arial Narrow" w:hAnsi="Arial Narrow"/>
          <w:sz w:val="18"/>
          <w:szCs w:val="18"/>
        </w:rPr>
        <w:footnoteRef/>
      </w:r>
      <w:r w:rsidRPr="005A34CA">
        <w:rPr>
          <w:rFonts w:ascii="Arial Narrow" w:hAnsi="Arial Narrow"/>
          <w:sz w:val="18"/>
          <w:szCs w:val="18"/>
        </w:rPr>
        <w:t xml:space="preserve"> </w:t>
      </w:r>
      <w:r w:rsidRPr="005A34CA">
        <w:rPr>
          <w:rFonts w:ascii="Arial Narrow" w:hAnsi="Arial Narrow"/>
          <w:i/>
          <w:sz w:val="18"/>
          <w:szCs w:val="18"/>
        </w:rPr>
        <w:t>Ibid.</w:t>
      </w:r>
      <w:r w:rsidRPr="005A34CA">
        <w:rPr>
          <w:rFonts w:ascii="Arial Narrow" w:hAnsi="Arial Narrow"/>
          <w:sz w:val="18"/>
          <w:szCs w:val="18"/>
        </w:rPr>
        <w:t>,</w:t>
      </w:r>
      <w:r w:rsidRPr="005A34CA">
        <w:rPr>
          <w:rFonts w:ascii="Arial Narrow" w:hAnsi="Arial Narrow"/>
          <w:i/>
          <w:sz w:val="18"/>
          <w:szCs w:val="18"/>
        </w:rPr>
        <w:t xml:space="preserve"> </w:t>
      </w:r>
      <w:r w:rsidRPr="005A34CA">
        <w:rPr>
          <w:rFonts w:ascii="Arial Narrow" w:hAnsi="Arial Narrow"/>
          <w:sz w:val="18"/>
          <w:szCs w:val="18"/>
        </w:rPr>
        <w:t>at 14 and 15.</w:t>
      </w:r>
      <w:r>
        <w:t xml:space="preserve"> </w:t>
      </w:r>
    </w:p>
  </w:footnote>
  <w:footnote w:id="96">
    <w:p w14:paraId="36199D32" w14:textId="131DA156" w:rsidR="00917BB5" w:rsidRPr="005A34CA" w:rsidRDefault="00917BB5" w:rsidP="005A34CA">
      <w:pPr>
        <w:pStyle w:val="FootnoteText"/>
        <w:jc w:val="both"/>
        <w:rPr>
          <w:rFonts w:ascii="Arial Narrow" w:hAnsi="Arial Narrow"/>
          <w:sz w:val="18"/>
          <w:szCs w:val="18"/>
        </w:rPr>
      </w:pPr>
      <w:r w:rsidRPr="005A34CA">
        <w:rPr>
          <w:rStyle w:val="FootnoteReference"/>
          <w:rFonts w:ascii="Arial Narrow" w:hAnsi="Arial Narrow"/>
          <w:sz w:val="18"/>
          <w:szCs w:val="18"/>
        </w:rPr>
        <w:footnoteRef/>
      </w:r>
      <w:r w:rsidRPr="005A34CA">
        <w:rPr>
          <w:rFonts w:ascii="Arial Narrow" w:hAnsi="Arial Narrow"/>
          <w:sz w:val="18"/>
          <w:szCs w:val="18"/>
        </w:rPr>
        <w:t xml:space="preserve"> 2011 JOINT DECLARATION ON FREEDOM OF EXPRESSION AND THE INTERNET</w:t>
      </w:r>
      <w:r>
        <w:rPr>
          <w:rFonts w:ascii="Arial Narrow" w:hAnsi="Arial Narrow"/>
          <w:sz w:val="18"/>
          <w:szCs w:val="18"/>
        </w:rPr>
        <w:t>, by t</w:t>
      </w:r>
      <w:r w:rsidRPr="005A34CA">
        <w:rPr>
          <w:rFonts w:ascii="Arial Narrow" w:hAnsi="Arial Narrow"/>
          <w:sz w:val="18"/>
          <w:szCs w:val="18"/>
        </w:rPr>
        <w:t xml:space="preserve">he United Nations (UN) Special Rapporteur on Freedom of Opinion and Expression, the Organization for Security and Co-operation in Europe (OSCE) Representative on Freedom of the Media, the Organization of American States (OAS) Special Rapporteur on Freedom of Expression and the African Commission on Human and Peoples’ Rights (ACHPR) Special Rapporteur on Freedom of Expression and Access to Information, at </w:t>
      </w:r>
      <w:r>
        <w:rPr>
          <w:rFonts w:ascii="Arial Narrow" w:hAnsi="Arial Narrow"/>
          <w:sz w:val="18"/>
          <w:szCs w:val="18"/>
        </w:rPr>
        <w:t xml:space="preserve">para. </w:t>
      </w:r>
      <w:r w:rsidRPr="005A34CA">
        <w:rPr>
          <w:rFonts w:ascii="Arial Narrow" w:hAnsi="Arial Narrow"/>
          <w:sz w:val="18"/>
          <w:szCs w:val="18"/>
        </w:rPr>
        <w:t>6b: “Cutting off access to the Internet, or parts of the Internet, for whole populations or segments of the public (shutting down the Internet) can never be justified, including on public order or national security grounds. The same applies to slow-downs imposed on the Internet or parts of the Internet.”</w:t>
      </w:r>
    </w:p>
  </w:footnote>
  <w:footnote w:id="97">
    <w:p w14:paraId="575C975C" w14:textId="601E7D87" w:rsidR="00917BB5" w:rsidRPr="00D75C24" w:rsidRDefault="00917BB5">
      <w:pPr>
        <w:pStyle w:val="FootnoteText"/>
        <w:rPr>
          <w:rFonts w:ascii="Arial Narrow" w:hAnsi="Arial Narrow"/>
          <w:sz w:val="18"/>
          <w:szCs w:val="18"/>
        </w:rPr>
      </w:pPr>
      <w:r w:rsidRPr="00D75C24">
        <w:rPr>
          <w:rStyle w:val="FootnoteReference"/>
          <w:rFonts w:ascii="Arial Narrow" w:hAnsi="Arial Narrow"/>
          <w:sz w:val="18"/>
          <w:szCs w:val="18"/>
        </w:rPr>
        <w:footnoteRef/>
      </w:r>
      <w:r w:rsidRPr="00D75C24">
        <w:rPr>
          <w:rFonts w:ascii="Arial Narrow" w:hAnsi="Arial Narrow"/>
          <w:sz w:val="18"/>
          <w:szCs w:val="18"/>
        </w:rPr>
        <w:t xml:space="preserve"> 2017 Joint Declaration on freedom of expression and “fake news”, disinformation and propaganda, by the United Nations (UN) Special Rapporteur on Freedom of Opinion and Expression, the Organization for Security and Co-operation in Europe (OSCE) Representative on Freedom of the Media, the Organization of American States (OAS) Special Rapporteur on Freedom of Expression and the African Commission on Human and Peoples’ Rights (ACHPR) Special Rapporteur on Freedom of Expression and Access to Information, at para. 1.f. </w:t>
      </w:r>
    </w:p>
  </w:footnote>
  <w:footnote w:id="98">
    <w:p w14:paraId="1E3244DC" w14:textId="0184D722" w:rsidR="00917BB5" w:rsidRPr="00D75C24" w:rsidRDefault="00917BB5">
      <w:pPr>
        <w:pStyle w:val="FootnoteText"/>
        <w:rPr>
          <w:rFonts w:ascii="Arial Narrow" w:hAnsi="Arial Narrow"/>
          <w:sz w:val="18"/>
          <w:szCs w:val="18"/>
        </w:rPr>
      </w:pPr>
      <w:r w:rsidRPr="00D75C24">
        <w:rPr>
          <w:rStyle w:val="FootnoteReference"/>
          <w:rFonts w:ascii="Arial Narrow" w:hAnsi="Arial Narrow"/>
          <w:sz w:val="18"/>
          <w:szCs w:val="18"/>
        </w:rPr>
        <w:footnoteRef/>
      </w:r>
      <w:r w:rsidRPr="00D75C24">
        <w:rPr>
          <w:rFonts w:ascii="Arial Narrow" w:hAnsi="Arial Narrow"/>
          <w:sz w:val="18"/>
          <w:szCs w:val="18"/>
        </w:rPr>
        <w:t xml:space="preserve"> HR Committee, General Comment No. 34, </w:t>
      </w:r>
      <w:r w:rsidRPr="00D75C24">
        <w:rPr>
          <w:rFonts w:ascii="Arial Narrow" w:hAnsi="Arial Narrow"/>
          <w:i/>
          <w:sz w:val="18"/>
          <w:szCs w:val="18"/>
        </w:rPr>
        <w:t>op cit.</w:t>
      </w:r>
      <w:r w:rsidRPr="00D75C24">
        <w:rPr>
          <w:rFonts w:ascii="Arial Narrow" w:hAnsi="Arial Narrow"/>
          <w:sz w:val="18"/>
          <w:szCs w:val="18"/>
        </w:rPr>
        <w:t>, at para. 43.</w:t>
      </w:r>
    </w:p>
  </w:footnote>
  <w:footnote w:id="99">
    <w:p w14:paraId="26F12165" w14:textId="4B639D74" w:rsidR="00917BB5" w:rsidRPr="00F42CDA" w:rsidRDefault="00917BB5">
      <w:pPr>
        <w:pStyle w:val="FootnoteText"/>
        <w:rPr>
          <w:rFonts w:ascii="Arial Narrow" w:hAnsi="Arial Narrow"/>
          <w:sz w:val="18"/>
          <w:szCs w:val="18"/>
        </w:rPr>
      </w:pPr>
      <w:r w:rsidRPr="00F42CDA">
        <w:rPr>
          <w:rStyle w:val="FootnoteReference"/>
          <w:rFonts w:ascii="Arial Narrow" w:hAnsi="Arial Narrow"/>
          <w:sz w:val="18"/>
          <w:szCs w:val="18"/>
        </w:rPr>
        <w:footnoteRef/>
      </w:r>
      <w:r w:rsidRPr="00F42CDA">
        <w:rPr>
          <w:rFonts w:ascii="Arial Narrow" w:hAnsi="Arial Narrow"/>
          <w:sz w:val="18"/>
          <w:szCs w:val="18"/>
        </w:rPr>
        <w:t xml:space="preserve"> 2017 Joint Declaration, </w:t>
      </w:r>
      <w:r w:rsidRPr="00F42CDA">
        <w:rPr>
          <w:rFonts w:ascii="Arial Narrow" w:hAnsi="Arial Narrow"/>
          <w:i/>
          <w:sz w:val="18"/>
          <w:szCs w:val="18"/>
        </w:rPr>
        <w:t>op. cit.</w:t>
      </w:r>
      <w:r w:rsidRPr="00F42CDA">
        <w:rPr>
          <w:rFonts w:ascii="Arial Narrow" w:hAnsi="Arial Narrow"/>
          <w:sz w:val="18"/>
          <w:szCs w:val="18"/>
        </w:rPr>
        <w:t xml:space="preserve">, at para. 1.g. </w:t>
      </w:r>
    </w:p>
  </w:footnote>
  <w:footnote w:id="100">
    <w:p w14:paraId="32C8C1AA" w14:textId="630F5E24" w:rsidR="00917BB5" w:rsidRPr="00715B9E" w:rsidRDefault="00917BB5" w:rsidP="00715B9E">
      <w:pPr>
        <w:pStyle w:val="FootnoteText"/>
        <w:rPr>
          <w:rFonts w:ascii="Arial Narrow" w:hAnsi="Arial Narrow"/>
          <w:sz w:val="18"/>
          <w:szCs w:val="18"/>
        </w:rPr>
      </w:pPr>
      <w:r w:rsidRPr="00715B9E">
        <w:rPr>
          <w:rStyle w:val="FootnoteReference"/>
          <w:rFonts w:ascii="Arial Narrow" w:hAnsi="Arial Narrow"/>
          <w:sz w:val="18"/>
          <w:szCs w:val="18"/>
        </w:rPr>
        <w:footnoteRef/>
      </w:r>
      <w:r w:rsidRPr="00715B9E">
        <w:rPr>
          <w:rFonts w:ascii="Arial Narrow" w:hAnsi="Arial Narrow"/>
          <w:sz w:val="18"/>
          <w:szCs w:val="18"/>
        </w:rPr>
        <w:t xml:space="preserve"> </w:t>
      </w:r>
      <w:r>
        <w:rPr>
          <w:rFonts w:ascii="Arial Narrow" w:hAnsi="Arial Narrow"/>
          <w:sz w:val="18"/>
          <w:szCs w:val="18"/>
        </w:rPr>
        <w:t>Report of the Special Rapporteur on the promotion and protection of the right to freedom of opinion and expression, 22 May 2015, A/HRC/29/32</w:t>
      </w:r>
      <w:r w:rsidRPr="00715B9E">
        <w:rPr>
          <w:rFonts w:ascii="Arial Narrow" w:hAnsi="Arial Narrow"/>
          <w:sz w:val="18"/>
          <w:szCs w:val="18"/>
        </w:rPr>
        <w:t>, at para. 56: “</w:t>
      </w:r>
      <w:r w:rsidRPr="00715B9E">
        <w:rPr>
          <w:rFonts w:ascii="Arial Narrow" w:hAnsi="Arial Narrow" w:cs="Arial"/>
          <w:sz w:val="18"/>
          <w:szCs w:val="18"/>
        </w:rPr>
        <w:t xml:space="preserve">Encryption and anonymity, and the security concepts behind them, provide the privacy and security necessary for the exercise of the right to freedom of opinion and expression in the digital age. Such security may be essential for the exercise of other rights, including economic rights, privacy, due process, freedom of peaceful </w:t>
      </w:r>
      <w:r w:rsidRPr="00715B9E">
        <w:rPr>
          <w:rStyle w:val="highlight"/>
          <w:rFonts w:ascii="Arial Narrow" w:hAnsi="Arial Narrow" w:cs="Arial"/>
          <w:sz w:val="18"/>
          <w:szCs w:val="18"/>
        </w:rPr>
        <w:t>assembly</w:t>
      </w:r>
      <w:r w:rsidRPr="00715B9E">
        <w:rPr>
          <w:rFonts w:ascii="Arial Narrow" w:hAnsi="Arial Narrow" w:cs="Arial"/>
          <w:sz w:val="18"/>
          <w:szCs w:val="18"/>
        </w:rPr>
        <w:t xml:space="preserve"> and association, and the right to life and bodily integrity. Because of their importance to the rights to freedom of opinion and expression, restrictions on encryption and anonymity must be strictly limited according to principles of legality, necessity, proportionality and legitimacy in objective.”</w:t>
      </w:r>
    </w:p>
  </w:footnote>
  <w:footnote w:id="101">
    <w:p w14:paraId="0531F06C" w14:textId="7E0C4C6C" w:rsidR="00917BB5" w:rsidRDefault="00917BB5" w:rsidP="009911CD">
      <w:pPr>
        <w:pStyle w:val="FootnoteText"/>
      </w:pPr>
      <w:r w:rsidRPr="0025156F">
        <w:rPr>
          <w:rStyle w:val="FootnoteReference"/>
          <w:rFonts w:ascii="Arial Narrow" w:hAnsi="Arial Narrow"/>
          <w:sz w:val="18"/>
          <w:szCs w:val="18"/>
        </w:rPr>
        <w:footnoteRef/>
      </w:r>
      <w:r w:rsidRPr="0025156F">
        <w:rPr>
          <w:rFonts w:ascii="Arial Narrow" w:hAnsi="Arial Narrow"/>
          <w:sz w:val="18"/>
          <w:szCs w:val="18"/>
        </w:rPr>
        <w:t xml:space="preserve"> HRC resolution 38/7 on human rights and the Internet, </w:t>
      </w:r>
      <w:r w:rsidRPr="0025156F">
        <w:rPr>
          <w:rFonts w:ascii="Arial Narrow" w:hAnsi="Arial Narrow"/>
          <w:i/>
          <w:sz w:val="18"/>
          <w:szCs w:val="18"/>
        </w:rPr>
        <w:t>op. cit.</w:t>
      </w:r>
      <w:r w:rsidRPr="0025156F">
        <w:rPr>
          <w:rFonts w:ascii="Arial Narrow" w:hAnsi="Arial Narrow"/>
          <w:sz w:val="18"/>
          <w:szCs w:val="18"/>
        </w:rPr>
        <w:t xml:space="preserve">, emphasises that </w:t>
      </w:r>
      <w:r w:rsidRPr="0025156F">
        <w:rPr>
          <w:rFonts w:ascii="Arial Narrow" w:hAnsi="Arial Narrow" w:cs="Arial"/>
          <w:sz w:val="18"/>
          <w:szCs w:val="18"/>
        </w:rPr>
        <w:t>“in the digital age, technical solutions to secure and protect the confidentiality</w:t>
      </w:r>
      <w:r w:rsidRPr="009911CD">
        <w:rPr>
          <w:rFonts w:ascii="Arial Narrow" w:hAnsi="Arial Narrow" w:cs="Arial"/>
          <w:sz w:val="18"/>
          <w:szCs w:val="18"/>
        </w:rPr>
        <w:t xml:space="preserve"> of digital communications, including measures for encryption and</w:t>
      </w:r>
      <w:r>
        <w:rPr>
          <w:rFonts w:ascii="Arial" w:hAnsi="Arial" w:cs="Arial"/>
          <w:sz w:val="25"/>
          <w:szCs w:val="25"/>
        </w:rPr>
        <w:t xml:space="preserve"> </w:t>
      </w:r>
      <w:r w:rsidRPr="009911CD">
        <w:rPr>
          <w:rFonts w:ascii="Arial Narrow" w:hAnsi="Arial Narrow" w:cs="Arial"/>
          <w:sz w:val="18"/>
          <w:szCs w:val="18"/>
        </w:rPr>
        <w:t xml:space="preserve">anonymity, can be important to ensure the enjoyment of human rights, in particular the rights to privacy, to freedom of expression and to freedom of peaceful </w:t>
      </w:r>
      <w:r w:rsidRPr="009911CD">
        <w:rPr>
          <w:rStyle w:val="highlight"/>
          <w:rFonts w:ascii="Arial Narrow" w:hAnsi="Arial Narrow" w:cs="Arial"/>
          <w:sz w:val="18"/>
          <w:szCs w:val="18"/>
        </w:rPr>
        <w:t>assembly</w:t>
      </w:r>
      <w:r w:rsidRPr="009911CD">
        <w:rPr>
          <w:rFonts w:ascii="Arial Narrow" w:hAnsi="Arial Narrow" w:cs="Arial"/>
          <w:sz w:val="18"/>
          <w:szCs w:val="18"/>
        </w:rPr>
        <w:t xml:space="preserve"> and association</w:t>
      </w:r>
      <w:r>
        <w:rPr>
          <w:rFonts w:ascii="Arial Narrow" w:hAnsi="Arial Narrow" w:cs="Arial"/>
          <w:sz w:val="18"/>
          <w:szCs w:val="18"/>
        </w:rPr>
        <w:t xml:space="preserve">”. </w:t>
      </w:r>
      <w:r w:rsidRPr="00153E6D">
        <w:rPr>
          <w:rFonts w:ascii="Arial Narrow" w:hAnsi="Arial Narrow"/>
          <w:sz w:val="18"/>
          <w:szCs w:val="18"/>
        </w:rPr>
        <w:t>HRC resolution 38/11</w:t>
      </w:r>
      <w:r>
        <w:rPr>
          <w:rFonts w:ascii="Arial Narrow" w:hAnsi="Arial Narrow"/>
          <w:sz w:val="18"/>
          <w:szCs w:val="18"/>
        </w:rPr>
        <w:t xml:space="preserve"> on human rights in the context of peaceful protests, </w:t>
      </w:r>
      <w:r w:rsidRPr="009911CD">
        <w:rPr>
          <w:rFonts w:ascii="Arial Narrow" w:hAnsi="Arial Narrow"/>
          <w:sz w:val="18"/>
          <w:szCs w:val="18"/>
        </w:rPr>
        <w:t>op. cit., notes</w:t>
      </w:r>
      <w:r w:rsidRPr="009911CD">
        <w:rPr>
          <w:rFonts w:ascii="Arial Narrow" w:hAnsi="Arial Narrow" w:cs="Arial"/>
          <w:sz w:val="18"/>
          <w:szCs w:val="18"/>
        </w:rPr>
        <w:t xml:space="preserve"> “that the possibility of using communications technology </w:t>
      </w:r>
      <w:r w:rsidRPr="009911CD">
        <w:rPr>
          <w:rStyle w:val="highlight"/>
          <w:rFonts w:ascii="Arial Narrow" w:hAnsi="Arial Narrow" w:cs="Arial"/>
          <w:sz w:val="18"/>
          <w:szCs w:val="18"/>
        </w:rPr>
        <w:t>secure</w:t>
      </w:r>
      <w:r w:rsidRPr="009911CD">
        <w:rPr>
          <w:rFonts w:ascii="Arial Narrow" w:hAnsi="Arial Narrow" w:cs="Arial"/>
          <w:sz w:val="18"/>
          <w:szCs w:val="18"/>
        </w:rPr>
        <w:t>ly and privately, in accordance with international human rights law, is important for the organization and conduct of assemblies”.</w:t>
      </w:r>
    </w:p>
  </w:footnote>
  <w:footnote w:id="102">
    <w:p w14:paraId="3CB18FB6" w14:textId="3C463022" w:rsidR="00917BB5" w:rsidRPr="00F42CDA" w:rsidRDefault="00917BB5">
      <w:pPr>
        <w:pStyle w:val="FootnoteText"/>
        <w:rPr>
          <w:rFonts w:ascii="Arial Narrow" w:hAnsi="Arial Narrow"/>
          <w:sz w:val="18"/>
          <w:szCs w:val="18"/>
        </w:rPr>
      </w:pPr>
      <w:r w:rsidRPr="00F42CDA">
        <w:rPr>
          <w:rStyle w:val="FootnoteReference"/>
          <w:rFonts w:ascii="Arial Narrow" w:hAnsi="Arial Narrow"/>
          <w:sz w:val="18"/>
          <w:szCs w:val="18"/>
        </w:rPr>
        <w:footnoteRef/>
      </w:r>
      <w:r w:rsidRPr="00F42CDA">
        <w:rPr>
          <w:rFonts w:ascii="Arial Narrow" w:hAnsi="Arial Narrow"/>
          <w:sz w:val="18"/>
          <w:szCs w:val="18"/>
        </w:rPr>
        <w:t xml:space="preserve"> HRC resolution 38/7, </w:t>
      </w:r>
      <w:r w:rsidRPr="00F42CDA">
        <w:rPr>
          <w:rFonts w:ascii="Arial Narrow" w:hAnsi="Arial Narrow"/>
          <w:i/>
          <w:sz w:val="18"/>
          <w:szCs w:val="18"/>
        </w:rPr>
        <w:t>op. cit.</w:t>
      </w:r>
      <w:r w:rsidRPr="00F42CDA">
        <w:rPr>
          <w:rFonts w:ascii="Arial Narrow" w:hAnsi="Arial Narrow"/>
          <w:sz w:val="18"/>
          <w:szCs w:val="18"/>
        </w:rPr>
        <w:t>, at operative paragraph 9.</w:t>
      </w:r>
    </w:p>
  </w:footnote>
  <w:footnote w:id="103">
    <w:p w14:paraId="6E707F1C" w14:textId="1E350DA2" w:rsidR="00917BB5" w:rsidRPr="00715B9E" w:rsidRDefault="00917BB5">
      <w:pPr>
        <w:pStyle w:val="FootnoteText"/>
        <w:rPr>
          <w:rFonts w:ascii="Arial Narrow" w:hAnsi="Arial Narrow"/>
          <w:sz w:val="18"/>
          <w:szCs w:val="18"/>
        </w:rPr>
      </w:pPr>
      <w:r w:rsidRPr="007F2B82">
        <w:rPr>
          <w:rStyle w:val="FootnoteReference"/>
          <w:rFonts w:ascii="Arial Narrow" w:hAnsi="Arial Narrow"/>
          <w:sz w:val="18"/>
          <w:szCs w:val="18"/>
        </w:rPr>
        <w:footnoteRef/>
      </w:r>
      <w:r w:rsidRPr="007F2B82">
        <w:rPr>
          <w:rFonts w:ascii="Arial Narrow" w:hAnsi="Arial Narrow"/>
          <w:sz w:val="18"/>
          <w:szCs w:val="18"/>
        </w:rPr>
        <w:t xml:space="preserve"> Mandate of the Special Rapporteur on the promotion and protection of the right to freedom of opinion and expression, “Encryption and anonymity </w:t>
      </w:r>
      <w:r w:rsidRPr="00715B9E">
        <w:rPr>
          <w:rFonts w:ascii="Arial Narrow" w:hAnsi="Arial Narrow"/>
          <w:sz w:val="18"/>
          <w:szCs w:val="18"/>
        </w:rPr>
        <w:t xml:space="preserve">follow-up report”, June 2018, at page 20. </w:t>
      </w:r>
    </w:p>
  </w:footnote>
  <w:footnote w:id="104">
    <w:p w14:paraId="345BAD2C" w14:textId="64C6AD92" w:rsidR="00917BB5" w:rsidRDefault="00917BB5">
      <w:pPr>
        <w:pStyle w:val="FootnoteText"/>
      </w:pPr>
      <w:r w:rsidRPr="00715B9E">
        <w:rPr>
          <w:rStyle w:val="FootnoteReference"/>
          <w:rFonts w:ascii="Arial Narrow" w:hAnsi="Arial Narrow"/>
          <w:sz w:val="18"/>
          <w:szCs w:val="18"/>
        </w:rPr>
        <w:footnoteRef/>
      </w:r>
      <w:r w:rsidRPr="00715B9E">
        <w:rPr>
          <w:rFonts w:ascii="Arial Narrow" w:hAnsi="Arial Narrow"/>
          <w:sz w:val="18"/>
          <w:szCs w:val="18"/>
        </w:rPr>
        <w:t xml:space="preserve"> Report A/HRC/29/32, at para. 12.</w:t>
      </w:r>
      <w:r>
        <w:t xml:space="preserve"> </w:t>
      </w:r>
    </w:p>
  </w:footnote>
  <w:footnote w:id="105">
    <w:p w14:paraId="1CC6E790" w14:textId="25D8F866" w:rsidR="00917BB5" w:rsidRPr="00E76A5E" w:rsidRDefault="00917BB5">
      <w:pPr>
        <w:pStyle w:val="FootnoteText"/>
        <w:rPr>
          <w:rFonts w:ascii="Arial Narrow" w:hAnsi="Arial Narrow"/>
          <w:sz w:val="18"/>
          <w:szCs w:val="18"/>
        </w:rPr>
      </w:pPr>
      <w:r w:rsidRPr="00E76A5E">
        <w:rPr>
          <w:rStyle w:val="FootnoteReference"/>
          <w:rFonts w:ascii="Arial Narrow" w:hAnsi="Arial Narrow"/>
          <w:sz w:val="18"/>
          <w:szCs w:val="18"/>
        </w:rPr>
        <w:footnoteRef/>
      </w:r>
      <w:r w:rsidRPr="00E76A5E">
        <w:rPr>
          <w:rFonts w:ascii="Arial Narrow" w:hAnsi="Arial Narrow"/>
          <w:sz w:val="18"/>
          <w:szCs w:val="18"/>
        </w:rPr>
        <w:t xml:space="preserve"> Protest Principles, </w:t>
      </w:r>
      <w:r w:rsidRPr="00E76A5E">
        <w:rPr>
          <w:rFonts w:ascii="Arial Narrow" w:hAnsi="Arial Narrow"/>
          <w:i/>
          <w:sz w:val="18"/>
          <w:szCs w:val="18"/>
        </w:rPr>
        <w:t>op. cit.</w:t>
      </w:r>
      <w:r w:rsidRPr="00E76A5E">
        <w:rPr>
          <w:rFonts w:ascii="Arial Narrow" w:hAnsi="Arial Narrow"/>
          <w:sz w:val="18"/>
          <w:szCs w:val="18"/>
        </w:rPr>
        <w:t xml:space="preserve">, Principle 9.3(d). </w:t>
      </w:r>
    </w:p>
  </w:footnote>
  <w:footnote w:id="106">
    <w:p w14:paraId="14191D37" w14:textId="1356C3C0" w:rsidR="00917BB5" w:rsidRPr="00A55D6A" w:rsidRDefault="00917BB5">
      <w:pPr>
        <w:pStyle w:val="FootnoteText"/>
        <w:rPr>
          <w:rFonts w:ascii="Arial Narrow" w:hAnsi="Arial Narrow"/>
          <w:sz w:val="18"/>
          <w:szCs w:val="18"/>
        </w:rPr>
      </w:pPr>
      <w:r w:rsidRPr="00A55D6A">
        <w:rPr>
          <w:rStyle w:val="FootnoteReference"/>
          <w:rFonts w:ascii="Arial Narrow" w:hAnsi="Arial Narrow"/>
          <w:sz w:val="18"/>
          <w:szCs w:val="18"/>
        </w:rPr>
        <w:footnoteRef/>
      </w:r>
      <w:r w:rsidRPr="00A55D6A">
        <w:rPr>
          <w:rFonts w:ascii="Arial Narrow" w:hAnsi="Arial Narrow"/>
          <w:sz w:val="18"/>
          <w:szCs w:val="18"/>
        </w:rPr>
        <w:t xml:space="preserve"> Report A/HRC/38/35, at paras. 15 - 17.</w:t>
      </w:r>
    </w:p>
  </w:footnote>
  <w:footnote w:id="107">
    <w:p w14:paraId="1A75F69C" w14:textId="36EF5AB1" w:rsidR="00917BB5" w:rsidRDefault="00917BB5">
      <w:pPr>
        <w:pStyle w:val="FootnoteText"/>
      </w:pPr>
      <w:r w:rsidRPr="00A55D6A">
        <w:rPr>
          <w:rStyle w:val="FootnoteReference"/>
          <w:rFonts w:ascii="Arial Narrow" w:hAnsi="Arial Narrow"/>
          <w:sz w:val="18"/>
          <w:szCs w:val="18"/>
        </w:rPr>
        <w:footnoteRef/>
      </w:r>
      <w:r w:rsidRPr="00A55D6A">
        <w:rPr>
          <w:rFonts w:ascii="Arial Narrow" w:hAnsi="Arial Narrow"/>
          <w:sz w:val="18"/>
          <w:szCs w:val="18"/>
        </w:rPr>
        <w:t xml:space="preserve"> 2017 </w:t>
      </w:r>
      <w:r w:rsidRPr="00A55D6A">
        <w:rPr>
          <w:rFonts w:ascii="Arial Narrow" w:hAnsi="Arial Narrow" w:cs="Arial"/>
          <w:sz w:val="18"/>
          <w:szCs w:val="18"/>
        </w:rPr>
        <w:t>JOINT DECLARATION ON FREEDOM OF EXPRESSION AND “FAKE NEWS”, DISINFORMATION AND PROPAGANDA, by the United Nations (UN) Special Rapporteur on Freedom of Opinion and Expression, the Organization for Security and Co-operation in Europe (OSCE) Representative on Freedom of the Media, the Organization of American States (OAS) Special Rapporteur on Freedom of Expression and the African Commission on Human and Peoples’ Rights (ACHPR) Special Rapporteur on Freedom of Expression and Access to Information,</w:t>
      </w:r>
      <w:r>
        <w:rPr>
          <w:rFonts w:ascii="Arial Narrow" w:hAnsi="Arial Narrow" w:cs="Arial"/>
          <w:sz w:val="18"/>
          <w:szCs w:val="18"/>
        </w:rPr>
        <w:t xml:space="preserve"> at para. 1(d). See also: </w:t>
      </w:r>
      <w:r w:rsidRPr="00A55D6A">
        <w:rPr>
          <w:rFonts w:ascii="Arial Narrow" w:hAnsi="Arial Narrow"/>
          <w:sz w:val="18"/>
          <w:szCs w:val="18"/>
        </w:rPr>
        <w:t>Report A/HRC/38/35, at paras.</w:t>
      </w:r>
      <w:r>
        <w:rPr>
          <w:rFonts w:ascii="Arial Narrow" w:hAnsi="Arial Narrow"/>
          <w:sz w:val="18"/>
          <w:szCs w:val="18"/>
        </w:rPr>
        <w:t xml:space="preserve"> 66 – 69. </w:t>
      </w:r>
    </w:p>
  </w:footnote>
  <w:footnote w:id="108">
    <w:p w14:paraId="4590CF9E" w14:textId="77777777" w:rsidR="00917BB5" w:rsidRPr="005E0098" w:rsidRDefault="00917BB5" w:rsidP="00A55D6A">
      <w:pPr>
        <w:pStyle w:val="FootnoteText"/>
        <w:rPr>
          <w:rFonts w:ascii="Arial Narrow" w:hAnsi="Arial Narrow"/>
          <w:sz w:val="18"/>
          <w:szCs w:val="18"/>
        </w:rPr>
      </w:pPr>
      <w:r w:rsidRPr="005E0098">
        <w:rPr>
          <w:rStyle w:val="FootnoteReference"/>
          <w:rFonts w:ascii="Arial Narrow" w:hAnsi="Arial Narrow"/>
          <w:sz w:val="18"/>
          <w:szCs w:val="18"/>
        </w:rPr>
        <w:footnoteRef/>
      </w:r>
      <w:r w:rsidRPr="005E0098">
        <w:rPr>
          <w:rFonts w:ascii="Arial Narrow" w:hAnsi="Arial Narrow"/>
          <w:sz w:val="18"/>
          <w:szCs w:val="18"/>
        </w:rPr>
        <w:t xml:space="preserve"> </w:t>
      </w:r>
      <w:r>
        <w:rPr>
          <w:rFonts w:ascii="Arial Narrow" w:hAnsi="Arial Narrow"/>
          <w:sz w:val="18"/>
          <w:szCs w:val="18"/>
        </w:rPr>
        <w:t xml:space="preserve">In relation to owners of online platforms, see: </w:t>
      </w:r>
      <w:r w:rsidRPr="005E0098">
        <w:rPr>
          <w:rFonts w:ascii="Arial Narrow" w:hAnsi="Arial Narrow"/>
          <w:sz w:val="18"/>
          <w:szCs w:val="18"/>
        </w:rPr>
        <w:t xml:space="preserve">UN Special Rapporteur on the promotion and protection of the right to freedom of opinion and expression, A/HRC/38/35, 6 April 2018, at para. 70; available online at: </w:t>
      </w:r>
      <w:hyperlink r:id="rId9" w:history="1">
        <w:r w:rsidRPr="005E0098">
          <w:rPr>
            <w:rStyle w:val="Hyperlink"/>
            <w:rFonts w:ascii="Arial Narrow" w:hAnsi="Arial Narrow"/>
            <w:sz w:val="18"/>
            <w:szCs w:val="18"/>
          </w:rPr>
          <w:t>https://freedex.org/a-human-rights-approach-to-platform-content-regulation/</w:t>
        </w:r>
      </w:hyperlink>
      <w:r w:rsidRPr="005E0098">
        <w:rPr>
          <w:rFonts w:ascii="Arial Narrow" w:hAnsi="Arial Narrow"/>
          <w:sz w:val="18"/>
          <w:szCs w:val="18"/>
        </w:rPr>
        <w:t xml:space="preserve">. </w:t>
      </w:r>
      <w:r>
        <w:rPr>
          <w:rFonts w:ascii="Arial Narrow" w:hAnsi="Arial Narrow"/>
          <w:sz w:val="18"/>
          <w:szCs w:val="18"/>
        </w:rPr>
        <w:t xml:space="preserve">In relation to owners of infrastructure, see: </w:t>
      </w:r>
      <w:r w:rsidRPr="005E0098">
        <w:rPr>
          <w:rFonts w:ascii="Arial Narrow" w:hAnsi="Arial Narrow"/>
          <w:sz w:val="18"/>
          <w:szCs w:val="18"/>
        </w:rPr>
        <w:t>UN Special Rapporteur on the promotion and protection of the right to freedom of opinion and expression,</w:t>
      </w:r>
      <w:r>
        <w:rPr>
          <w:rFonts w:ascii="Arial Narrow" w:hAnsi="Arial Narrow"/>
          <w:sz w:val="18"/>
          <w:szCs w:val="18"/>
        </w:rPr>
        <w:t xml:space="preserve"> A/HRC/35/22</w:t>
      </w:r>
      <w:r w:rsidRPr="005E0098">
        <w:rPr>
          <w:rFonts w:ascii="Arial Narrow" w:hAnsi="Arial Narrow"/>
          <w:sz w:val="18"/>
          <w:szCs w:val="18"/>
        </w:rPr>
        <w:t>,</w:t>
      </w:r>
      <w:r>
        <w:rPr>
          <w:rFonts w:ascii="Arial Narrow" w:hAnsi="Arial Narrow"/>
          <w:sz w:val="18"/>
          <w:szCs w:val="18"/>
        </w:rPr>
        <w:t xml:space="preserve"> 30 March 2017, at para. 82 – 83. </w:t>
      </w:r>
    </w:p>
  </w:footnote>
  <w:footnote w:id="109">
    <w:p w14:paraId="5F79BC2F" w14:textId="77777777" w:rsidR="00917BB5" w:rsidRPr="005E0098" w:rsidRDefault="00917BB5" w:rsidP="00A55D6A">
      <w:pPr>
        <w:pStyle w:val="FootnoteText"/>
        <w:rPr>
          <w:rFonts w:ascii="Arial Narrow" w:hAnsi="Arial Narrow"/>
          <w:sz w:val="18"/>
          <w:szCs w:val="18"/>
        </w:rPr>
      </w:pPr>
      <w:r w:rsidRPr="005E0098">
        <w:rPr>
          <w:rStyle w:val="FootnoteReference"/>
          <w:rFonts w:ascii="Arial Narrow" w:hAnsi="Arial Narrow"/>
          <w:sz w:val="18"/>
          <w:szCs w:val="18"/>
        </w:rPr>
        <w:footnoteRef/>
      </w:r>
      <w:r w:rsidRPr="005E0098">
        <w:rPr>
          <w:rFonts w:ascii="Arial Narrow" w:hAnsi="Arial Narrow"/>
          <w:sz w:val="18"/>
          <w:szCs w:val="18"/>
        </w:rPr>
        <w:t xml:space="preserve"> Human Rights Council Resolution 38/7 on “the promotion, protection and enjoyment of human rights on the Internet”, A/HRC/Res/38/7,</w:t>
      </w:r>
      <w:r>
        <w:rPr>
          <w:rFonts w:ascii="Arial Narrow" w:hAnsi="Arial Narrow"/>
          <w:sz w:val="18"/>
          <w:szCs w:val="18"/>
        </w:rPr>
        <w:t xml:space="preserve"> 5 July 2018;</w:t>
      </w:r>
      <w:r w:rsidRPr="005E0098">
        <w:rPr>
          <w:rFonts w:ascii="Arial Narrow" w:hAnsi="Arial Narrow"/>
          <w:sz w:val="18"/>
          <w:szCs w:val="18"/>
        </w:rPr>
        <w:t xml:space="preserve"> available at: </w:t>
      </w:r>
      <w:hyperlink r:id="rId10" w:history="1">
        <w:r w:rsidRPr="005E0098">
          <w:rPr>
            <w:rStyle w:val="Hyperlink"/>
            <w:rFonts w:ascii="Arial Narrow" w:hAnsi="Arial Narrow"/>
            <w:sz w:val="18"/>
            <w:szCs w:val="18"/>
          </w:rPr>
          <w:t>http://ap.ohchr.org/documents/dpage_e.aspx?si=A/HRC/RES/38/7</w:t>
        </w:r>
      </w:hyperlink>
      <w:r>
        <w:rPr>
          <w:rFonts w:ascii="Arial Narrow" w:hAnsi="Arial Narrow"/>
          <w:sz w:val="18"/>
          <w:szCs w:val="18"/>
        </w:rPr>
        <w:t xml:space="preserve">. The resolution also recognises the Ruggie Principles as the appropriate framework for assessing the human rights responsibilities of internet companies. </w:t>
      </w:r>
    </w:p>
  </w:footnote>
  <w:footnote w:id="110">
    <w:p w14:paraId="5C354478" w14:textId="77777777" w:rsidR="00917BB5" w:rsidRDefault="00917BB5" w:rsidP="00A55D6A">
      <w:pPr>
        <w:pStyle w:val="FootnoteText"/>
      </w:pPr>
      <w:r w:rsidRPr="005E0098">
        <w:rPr>
          <w:rStyle w:val="FootnoteReference"/>
          <w:rFonts w:ascii="Arial Narrow" w:hAnsi="Arial Narrow"/>
          <w:sz w:val="18"/>
          <w:szCs w:val="18"/>
        </w:rPr>
        <w:footnoteRef/>
      </w:r>
      <w:r w:rsidRPr="005E0098">
        <w:rPr>
          <w:rFonts w:ascii="Arial Narrow" w:hAnsi="Arial Narrow"/>
          <w:sz w:val="18"/>
          <w:szCs w:val="18"/>
        </w:rPr>
        <w:t xml:space="preserve"> A/HRC/38/35, at para. 71 – 72.</w:t>
      </w:r>
    </w:p>
  </w:footnote>
  <w:footnote w:id="111">
    <w:p w14:paraId="22F530A8" w14:textId="3324FC77" w:rsidR="00917BB5" w:rsidRPr="008354F1" w:rsidRDefault="00917BB5" w:rsidP="00F0057E">
      <w:pPr>
        <w:pStyle w:val="HMG"/>
        <w:tabs>
          <w:tab w:val="clear" w:pos="851"/>
          <w:tab w:val="right" w:pos="54"/>
        </w:tabs>
        <w:spacing w:before="0" w:after="0" w:line="240" w:lineRule="auto"/>
        <w:ind w:left="0" w:right="0" w:firstLine="0"/>
        <w:jc w:val="both"/>
        <w:rPr>
          <w:rFonts w:ascii="Arial Narrow" w:hAnsi="Arial Narrow"/>
          <w:b w:val="0"/>
          <w:sz w:val="18"/>
          <w:szCs w:val="18"/>
        </w:rPr>
      </w:pPr>
      <w:r w:rsidRPr="00AA56A8">
        <w:rPr>
          <w:rStyle w:val="FootnoteReference"/>
          <w:rFonts w:ascii="Arial Narrow" w:hAnsi="Arial Narrow"/>
          <w:b w:val="0"/>
          <w:sz w:val="18"/>
          <w:szCs w:val="18"/>
        </w:rPr>
        <w:footnoteRef/>
      </w:r>
      <w:r w:rsidRPr="00AA56A8">
        <w:rPr>
          <w:rFonts w:ascii="Arial Narrow" w:hAnsi="Arial Narrow"/>
          <w:b w:val="0"/>
          <w:sz w:val="18"/>
          <w:szCs w:val="18"/>
        </w:rPr>
        <w:t xml:space="preserve"> Note by the Rapporteur, Question 7: </w:t>
      </w:r>
      <w:r w:rsidRPr="00AA56A8">
        <w:rPr>
          <w:rFonts w:ascii="Arial Narrow" w:eastAsia="Calibri" w:hAnsi="Arial Narrow"/>
          <w:b w:val="0"/>
          <w:sz w:val="18"/>
          <w:szCs w:val="18"/>
        </w:rPr>
        <w:t>Do particular obligations arise for organisers where participants in an assembly (including counter-demonstrations) intentionally advocate hatred, seek to intimidate others or call for or use force?</w:t>
      </w:r>
      <w:r w:rsidRPr="00AA56A8">
        <w:rPr>
          <w:rFonts w:ascii="Arial Narrow" w:hAnsi="Arial Narrow"/>
          <w:b w:val="0"/>
          <w:sz w:val="18"/>
          <w:szCs w:val="18"/>
        </w:rPr>
        <w:t xml:space="preserve">; Question 9: </w:t>
      </w:r>
      <w:r w:rsidRPr="00AA56A8">
        <w:rPr>
          <w:rFonts w:ascii="Arial Narrow" w:eastAsia="Calibri" w:hAnsi="Arial Narrow"/>
          <w:b w:val="0"/>
          <w:sz w:val="18"/>
          <w:szCs w:val="18"/>
        </w:rPr>
        <w:t>What sort of limitations may be placed on assemblies as far as their form (e.g. place, manner and time) or their contents (e.g. promotion of violence) is concerned?</w:t>
      </w:r>
      <w:r w:rsidRPr="00AA56A8">
        <w:rPr>
          <w:rFonts w:ascii="Arial Narrow" w:hAnsi="Arial Narrow"/>
          <w:b w:val="0"/>
          <w:sz w:val="18"/>
          <w:szCs w:val="18"/>
        </w:rPr>
        <w:t xml:space="preserve">; and Question 17: </w:t>
      </w:r>
      <w:r w:rsidRPr="00AA56A8">
        <w:rPr>
          <w:rFonts w:ascii="Arial Narrow" w:eastAsia="Calibri" w:hAnsi="Arial Narrow"/>
          <w:b w:val="0"/>
          <w:sz w:val="18"/>
          <w:szCs w:val="18"/>
        </w:rPr>
        <w:t>What is the relationship between article</w:t>
      </w:r>
      <w:r w:rsidRPr="008354F1">
        <w:rPr>
          <w:rFonts w:ascii="Arial Narrow" w:eastAsia="Calibri" w:hAnsi="Arial Narrow"/>
          <w:b w:val="0"/>
          <w:sz w:val="18"/>
          <w:szCs w:val="18"/>
        </w:rPr>
        <w:t xml:space="preserve"> 21 and other rights in the ICCPR, such as </w:t>
      </w:r>
      <w:r>
        <w:rPr>
          <w:rFonts w:ascii="Arial Narrow" w:eastAsia="Calibri" w:hAnsi="Arial Narrow"/>
          <w:b w:val="0"/>
          <w:sz w:val="18"/>
          <w:szCs w:val="18"/>
        </w:rPr>
        <w:t>[…]</w:t>
      </w:r>
      <w:r w:rsidRPr="008354F1">
        <w:rPr>
          <w:rFonts w:ascii="Arial Narrow" w:eastAsia="Calibri" w:hAnsi="Arial Narrow"/>
          <w:b w:val="0"/>
          <w:sz w:val="18"/>
          <w:szCs w:val="18"/>
        </w:rPr>
        <w:t xml:space="preserve"> freedom of expression and access to information (article 19); advocacy of hatred etc. (article 20); </w:t>
      </w:r>
      <w:r>
        <w:rPr>
          <w:rFonts w:ascii="Arial Narrow" w:eastAsia="Calibri" w:hAnsi="Arial Narrow"/>
          <w:b w:val="0"/>
          <w:sz w:val="18"/>
          <w:szCs w:val="18"/>
        </w:rPr>
        <w:t xml:space="preserve">[…] </w:t>
      </w:r>
      <w:r w:rsidRPr="008354F1">
        <w:rPr>
          <w:rFonts w:ascii="Arial Narrow" w:eastAsia="Calibri" w:hAnsi="Arial Narrow"/>
          <w:b w:val="0"/>
          <w:sz w:val="18"/>
          <w:szCs w:val="18"/>
        </w:rPr>
        <w:t>and equality and non-discrimination (articles 2 (1); 3; 26) (e.g. people who are frequently targeted, or in positions of vulnerability).</w:t>
      </w:r>
    </w:p>
  </w:footnote>
  <w:footnote w:id="112">
    <w:p w14:paraId="5E2C4DAD" w14:textId="6434228D" w:rsidR="00917BB5" w:rsidRPr="00BD43BF" w:rsidRDefault="00917BB5">
      <w:pPr>
        <w:pStyle w:val="FootnoteText"/>
        <w:rPr>
          <w:rFonts w:ascii="Arial Narrow" w:hAnsi="Arial Narrow"/>
          <w:sz w:val="18"/>
          <w:szCs w:val="18"/>
        </w:rPr>
      </w:pPr>
      <w:r w:rsidRPr="00BD43BF">
        <w:rPr>
          <w:rStyle w:val="FootnoteReference"/>
          <w:rFonts w:ascii="Arial Narrow" w:hAnsi="Arial Narrow"/>
          <w:sz w:val="18"/>
          <w:szCs w:val="18"/>
        </w:rPr>
        <w:footnoteRef/>
      </w:r>
      <w:r w:rsidRPr="00BD43BF">
        <w:rPr>
          <w:rFonts w:ascii="Arial Narrow" w:hAnsi="Arial Narrow"/>
          <w:sz w:val="18"/>
          <w:szCs w:val="18"/>
        </w:rPr>
        <w:t xml:space="preserve"> The Protest Principles, </w:t>
      </w:r>
      <w:r w:rsidRPr="00BD43BF">
        <w:rPr>
          <w:rFonts w:ascii="Arial Narrow" w:hAnsi="Arial Narrow"/>
          <w:i/>
          <w:sz w:val="18"/>
          <w:szCs w:val="18"/>
        </w:rPr>
        <w:t>op. cit.</w:t>
      </w:r>
      <w:r w:rsidRPr="00BD43BF">
        <w:rPr>
          <w:rFonts w:ascii="Arial Narrow" w:hAnsi="Arial Narrow"/>
          <w:sz w:val="18"/>
          <w:szCs w:val="18"/>
        </w:rPr>
        <w:t>, at Principle 10.1 – 10.2</w:t>
      </w:r>
    </w:p>
  </w:footnote>
  <w:footnote w:id="113">
    <w:p w14:paraId="44F2A151" w14:textId="77777777" w:rsidR="00917BB5" w:rsidRPr="007623F2" w:rsidRDefault="00917BB5" w:rsidP="0077637E">
      <w:pPr>
        <w:pStyle w:val="FootnoteText"/>
        <w:rPr>
          <w:rFonts w:ascii="Arial Narrow" w:hAnsi="Arial Narrow"/>
          <w:sz w:val="18"/>
          <w:szCs w:val="18"/>
        </w:rPr>
      </w:pPr>
      <w:r w:rsidRPr="00793430">
        <w:rPr>
          <w:rStyle w:val="FootnoteReference"/>
          <w:rFonts w:ascii="Arial Narrow" w:hAnsi="Arial Narrow"/>
          <w:sz w:val="18"/>
          <w:szCs w:val="18"/>
        </w:rPr>
        <w:footnoteRef/>
      </w:r>
      <w:r w:rsidRPr="00793430">
        <w:rPr>
          <w:rFonts w:ascii="Arial Narrow" w:hAnsi="Arial Narrow"/>
          <w:sz w:val="18"/>
          <w:szCs w:val="18"/>
        </w:rPr>
        <w:t xml:space="preserve"> The</w:t>
      </w:r>
      <w:r w:rsidRPr="007623F2">
        <w:rPr>
          <w:rFonts w:ascii="Arial Narrow" w:hAnsi="Arial Narrow"/>
          <w:sz w:val="18"/>
          <w:szCs w:val="18"/>
        </w:rPr>
        <w:t xml:space="preserve"> Rabat Plan of Action on the prohibition of advocacy of national, racial or religious hatred that constitutes incitement to discrimination, hostility, or violence, A/HRC/22/17/Add.4, 5 October 2012. </w:t>
      </w:r>
    </w:p>
  </w:footnote>
  <w:footnote w:id="114">
    <w:p w14:paraId="2B237C11" w14:textId="77777777" w:rsidR="00917BB5" w:rsidRPr="00151066" w:rsidRDefault="00917BB5" w:rsidP="0077637E">
      <w:pPr>
        <w:pStyle w:val="FootnoteText"/>
        <w:jc w:val="both"/>
        <w:rPr>
          <w:rFonts w:ascii="Arial Narrow" w:hAnsi="Arial Narrow"/>
        </w:rPr>
      </w:pPr>
      <w:r w:rsidRPr="00151066">
        <w:rPr>
          <w:rStyle w:val="FootnoteReference"/>
          <w:rFonts w:ascii="Arial Narrow" w:hAnsi="Arial Narrow"/>
          <w:sz w:val="18"/>
        </w:rPr>
        <w:footnoteRef/>
      </w:r>
      <w:r w:rsidRPr="00151066">
        <w:rPr>
          <w:rFonts w:ascii="Arial Narrow" w:hAnsi="Arial Narrow"/>
          <w:sz w:val="18"/>
        </w:rPr>
        <w:t xml:space="preserve"> </w:t>
      </w:r>
      <w:r>
        <w:rPr>
          <w:rFonts w:ascii="Arial Narrow" w:hAnsi="Arial Narrow"/>
          <w:sz w:val="18"/>
        </w:rPr>
        <w:t xml:space="preserve">The Committee on the Elimination of Racial Discrimination, General Recommendation No. 35 on “combating racists hate speech”, CERD/C/GC/35, 26 September 2013. The scope of the General Recommendation includes collective expressions of racist hate speech at “public gatherings” (see paragraph 7). Notable is the high threshold the Committee places for criminal restrictions on expression (and by extension, collective acts of expression), at paragraph 12, and the caution it advises on “hate speech” laws, given the potential for States to abuse them against the very minorities they should protect, at paragraph 20.  </w:t>
      </w:r>
    </w:p>
  </w:footnote>
  <w:footnote w:id="115">
    <w:p w14:paraId="0B5B5146" w14:textId="77777777" w:rsidR="00917BB5" w:rsidRPr="009E0876" w:rsidRDefault="00917BB5" w:rsidP="0077637E">
      <w:pPr>
        <w:pStyle w:val="FootnoteText"/>
        <w:rPr>
          <w:rFonts w:ascii="Arial Narrow" w:hAnsi="Arial Narrow"/>
        </w:rPr>
      </w:pPr>
      <w:r w:rsidRPr="009E0876">
        <w:rPr>
          <w:rStyle w:val="FootnoteReference"/>
          <w:rFonts w:ascii="Arial Narrow" w:hAnsi="Arial Narrow"/>
          <w:sz w:val="18"/>
        </w:rPr>
        <w:footnoteRef/>
      </w:r>
      <w:r w:rsidRPr="009E0876">
        <w:rPr>
          <w:rFonts w:ascii="Arial Narrow" w:hAnsi="Arial Narrow"/>
          <w:sz w:val="18"/>
        </w:rPr>
        <w:t xml:space="preserve"> HRC Resolution 16/18 on “Combating intolerance, negative stereotyping and stigmatisation of, and discrimination, incitement to violence and violence against, persons based on religion or belief”</w:t>
      </w:r>
      <w:r>
        <w:rPr>
          <w:rFonts w:ascii="Arial Narrow" w:hAnsi="Arial Narrow"/>
          <w:sz w:val="18"/>
        </w:rPr>
        <w:t>, adopted by</w:t>
      </w:r>
      <w:r w:rsidRPr="009E0876">
        <w:rPr>
          <w:rFonts w:ascii="Arial Narrow" w:hAnsi="Arial Narrow"/>
          <w:sz w:val="18"/>
        </w:rPr>
        <w:t xml:space="preserve"> consensus on 24 March 2011. </w:t>
      </w:r>
      <w:r>
        <w:rPr>
          <w:rFonts w:ascii="Arial Narrow" w:hAnsi="Arial Narrow"/>
          <w:sz w:val="18"/>
        </w:rPr>
        <w:t>The only limitations on expression, and by extension collective forms of expression, is “adopting measures to criminalize incitement to imminent violence based on religion or belief.”</w:t>
      </w:r>
    </w:p>
  </w:footnote>
  <w:footnote w:id="116">
    <w:p w14:paraId="1B8A0561" w14:textId="77777777" w:rsidR="00917BB5" w:rsidRPr="003C52E6" w:rsidRDefault="00917BB5" w:rsidP="00BD43BF">
      <w:pPr>
        <w:pStyle w:val="FootnoteText"/>
        <w:rPr>
          <w:rFonts w:ascii="Arial Narrow" w:hAnsi="Arial Narrow"/>
          <w:sz w:val="18"/>
          <w:szCs w:val="18"/>
        </w:rPr>
      </w:pPr>
      <w:r w:rsidRPr="003C52E6">
        <w:rPr>
          <w:rStyle w:val="FootnoteReference"/>
          <w:rFonts w:ascii="Arial Narrow" w:hAnsi="Arial Narrow"/>
          <w:sz w:val="18"/>
          <w:szCs w:val="18"/>
        </w:rPr>
        <w:footnoteRef/>
      </w:r>
      <w:r w:rsidRPr="003C52E6">
        <w:rPr>
          <w:rFonts w:ascii="Arial Narrow" w:hAnsi="Arial Narrow"/>
          <w:sz w:val="18"/>
          <w:szCs w:val="18"/>
        </w:rPr>
        <w:t xml:space="preserve"> The Protest Principles, </w:t>
      </w:r>
      <w:r w:rsidRPr="003C52E6">
        <w:rPr>
          <w:rFonts w:ascii="Arial Narrow" w:hAnsi="Arial Narrow"/>
          <w:i/>
          <w:sz w:val="18"/>
          <w:szCs w:val="18"/>
        </w:rPr>
        <w:t>op. cit.</w:t>
      </w:r>
      <w:r w:rsidRPr="003C52E6">
        <w:rPr>
          <w:rFonts w:ascii="Arial Narrow" w:hAnsi="Arial Narrow"/>
          <w:sz w:val="18"/>
          <w:szCs w:val="18"/>
        </w:rPr>
        <w:t>, at Principle 4.3</w:t>
      </w:r>
    </w:p>
  </w:footnote>
  <w:footnote w:id="117">
    <w:p w14:paraId="23E9DED0" w14:textId="060310CB" w:rsidR="00917BB5" w:rsidRPr="00764E2E" w:rsidRDefault="00917BB5">
      <w:pPr>
        <w:pStyle w:val="FootnoteText"/>
        <w:rPr>
          <w:rFonts w:ascii="Arial Narrow" w:hAnsi="Arial Narrow"/>
          <w:sz w:val="18"/>
          <w:szCs w:val="18"/>
        </w:rPr>
      </w:pPr>
      <w:r w:rsidRPr="00764E2E">
        <w:rPr>
          <w:rStyle w:val="FootnoteReference"/>
          <w:rFonts w:ascii="Arial Narrow" w:hAnsi="Arial Narrow"/>
          <w:sz w:val="18"/>
          <w:szCs w:val="18"/>
        </w:rPr>
        <w:footnoteRef/>
      </w:r>
      <w:r w:rsidRPr="00764E2E">
        <w:rPr>
          <w:rFonts w:ascii="Arial Narrow" w:hAnsi="Arial Narrow"/>
          <w:sz w:val="18"/>
          <w:szCs w:val="18"/>
        </w:rPr>
        <w:t xml:space="preserve"> HR Committee, General Comment No. 34, </w:t>
      </w:r>
      <w:r w:rsidRPr="00764E2E">
        <w:rPr>
          <w:rFonts w:ascii="Arial Narrow" w:hAnsi="Arial Narrow"/>
          <w:i/>
          <w:sz w:val="18"/>
          <w:szCs w:val="18"/>
        </w:rPr>
        <w:t>op. cit.</w:t>
      </w:r>
      <w:r w:rsidRPr="00764E2E">
        <w:rPr>
          <w:rFonts w:ascii="Arial Narrow" w:hAnsi="Arial Narrow"/>
          <w:sz w:val="18"/>
          <w:szCs w:val="18"/>
        </w:rPr>
        <w:t xml:space="preserve">, at paras 50 – 52. </w:t>
      </w:r>
    </w:p>
  </w:footnote>
  <w:footnote w:id="118">
    <w:p w14:paraId="468273D5" w14:textId="337C60ED" w:rsidR="00917BB5" w:rsidRPr="006D5DD2" w:rsidRDefault="00917BB5">
      <w:pPr>
        <w:pStyle w:val="FootnoteText"/>
        <w:rPr>
          <w:rFonts w:ascii="Arial Narrow" w:hAnsi="Arial Narrow"/>
          <w:sz w:val="18"/>
          <w:szCs w:val="18"/>
        </w:rPr>
      </w:pPr>
      <w:r w:rsidRPr="006D5DD2">
        <w:rPr>
          <w:rStyle w:val="FootnoteReference"/>
          <w:rFonts w:ascii="Arial Narrow" w:hAnsi="Arial Narrow"/>
          <w:sz w:val="18"/>
          <w:szCs w:val="18"/>
        </w:rPr>
        <w:footnoteRef/>
      </w:r>
      <w:r w:rsidRPr="006D5DD2">
        <w:rPr>
          <w:rFonts w:ascii="Arial Narrow" w:hAnsi="Arial Narrow"/>
          <w:sz w:val="18"/>
          <w:szCs w:val="18"/>
        </w:rPr>
        <w:t xml:space="preserve"> </w:t>
      </w:r>
      <w:r w:rsidRPr="006D5DD2">
        <w:rPr>
          <w:rFonts w:ascii="Arial Narrow" w:hAnsi="Arial Narrow"/>
          <w:i/>
          <w:sz w:val="18"/>
          <w:szCs w:val="18"/>
        </w:rPr>
        <w:t>Ibid.</w:t>
      </w:r>
      <w:r w:rsidRPr="006D5DD2">
        <w:rPr>
          <w:rFonts w:ascii="Arial Narrow" w:hAnsi="Arial Narrow"/>
          <w:sz w:val="18"/>
          <w:szCs w:val="18"/>
        </w:rPr>
        <w:t xml:space="preserve">, at paras 48 – 49. </w:t>
      </w:r>
    </w:p>
  </w:footnote>
  <w:footnote w:id="119">
    <w:p w14:paraId="79B69DB5" w14:textId="0A9DB7F3" w:rsidR="00917BB5" w:rsidRPr="006D5DD2" w:rsidRDefault="00917BB5" w:rsidP="005A319A">
      <w:pPr>
        <w:pStyle w:val="FootnoteText"/>
        <w:rPr>
          <w:rFonts w:ascii="Arial Narrow" w:hAnsi="Arial Narrow"/>
          <w:sz w:val="18"/>
          <w:szCs w:val="18"/>
        </w:rPr>
      </w:pPr>
      <w:r w:rsidRPr="006D5DD2">
        <w:rPr>
          <w:rStyle w:val="FootnoteReference"/>
          <w:rFonts w:ascii="Arial Narrow" w:hAnsi="Arial Narrow"/>
          <w:sz w:val="18"/>
          <w:szCs w:val="18"/>
        </w:rPr>
        <w:footnoteRef/>
      </w:r>
      <w:r w:rsidRPr="006D5DD2">
        <w:rPr>
          <w:rFonts w:ascii="Arial Narrow" w:hAnsi="Arial Narrow"/>
          <w:sz w:val="18"/>
          <w:szCs w:val="18"/>
        </w:rPr>
        <w:t xml:space="preserve"> No decisions by the HR Committee involve facts engaging both Articles 20(2) of the ICCPR and Article 21. </w:t>
      </w:r>
    </w:p>
  </w:footnote>
  <w:footnote w:id="120">
    <w:p w14:paraId="6F33A66B" w14:textId="57840EEF" w:rsidR="00917BB5" w:rsidRPr="006D5DD2" w:rsidRDefault="00917BB5" w:rsidP="00055D00">
      <w:pPr>
        <w:pStyle w:val="FootnoteText"/>
        <w:rPr>
          <w:rFonts w:ascii="Arial Narrow" w:hAnsi="Arial Narrow"/>
          <w:sz w:val="18"/>
          <w:szCs w:val="18"/>
        </w:rPr>
      </w:pPr>
      <w:r w:rsidRPr="006D5DD2">
        <w:rPr>
          <w:rStyle w:val="FootnoteReference"/>
          <w:rFonts w:ascii="Arial Narrow" w:hAnsi="Arial Narrow"/>
          <w:sz w:val="18"/>
          <w:szCs w:val="18"/>
        </w:rPr>
        <w:footnoteRef/>
      </w:r>
      <w:r w:rsidRPr="006D5DD2">
        <w:rPr>
          <w:rFonts w:ascii="Arial Narrow" w:hAnsi="Arial Narrow"/>
          <w:sz w:val="18"/>
          <w:szCs w:val="18"/>
        </w:rPr>
        <w:t xml:space="preserve"> </w:t>
      </w:r>
      <w:r>
        <w:rPr>
          <w:rFonts w:ascii="Arial Narrow" w:hAnsi="Arial Narrow"/>
          <w:sz w:val="18"/>
          <w:szCs w:val="18"/>
        </w:rPr>
        <w:t xml:space="preserve">See, for example: HR Committee, Concluding Observations </w:t>
      </w:r>
      <w:r w:rsidRPr="00055D00">
        <w:rPr>
          <w:rFonts w:ascii="Arial Narrow" w:hAnsi="Arial Narrow"/>
          <w:sz w:val="18"/>
          <w:szCs w:val="18"/>
        </w:rPr>
        <w:t xml:space="preserve">on Lithuania, </w:t>
      </w:r>
      <w:r w:rsidRPr="00055D00">
        <w:rPr>
          <w:rFonts w:ascii="Arial Narrow" w:hAnsi="Arial Narrow" w:cs="Times New Roman"/>
          <w:sz w:val="18"/>
          <w:szCs w:val="18"/>
        </w:rPr>
        <w:t>CCPR/C/LTU/CO/3, 31 August 2012</w:t>
      </w:r>
      <w:r>
        <w:rPr>
          <w:rFonts w:ascii="Arial Narrow" w:hAnsi="Arial Narrow" w:cs="Times New Roman"/>
          <w:sz w:val="18"/>
          <w:szCs w:val="18"/>
        </w:rPr>
        <w:t xml:space="preserve">; Concluding Observation on Belgium, November 2010. </w:t>
      </w:r>
    </w:p>
  </w:footnote>
  <w:footnote w:id="121">
    <w:p w14:paraId="7213A0EA" w14:textId="23958B1D" w:rsidR="00917BB5" w:rsidRPr="00793430" w:rsidRDefault="00917BB5" w:rsidP="006D5DD2">
      <w:pPr>
        <w:autoSpaceDE w:val="0"/>
        <w:autoSpaceDN w:val="0"/>
        <w:adjustRightInd w:val="0"/>
        <w:spacing w:after="0" w:line="240" w:lineRule="auto"/>
        <w:jc w:val="both"/>
        <w:rPr>
          <w:rFonts w:ascii="Arial Narrow" w:hAnsi="Arial Narrow" w:cstheme="minorHAnsi"/>
          <w:sz w:val="18"/>
          <w:szCs w:val="18"/>
        </w:rPr>
      </w:pPr>
      <w:r w:rsidRPr="006D5DD2">
        <w:rPr>
          <w:rStyle w:val="FootnoteReference"/>
          <w:rFonts w:ascii="Arial Narrow" w:hAnsi="Arial Narrow" w:cstheme="minorHAnsi"/>
          <w:sz w:val="18"/>
          <w:szCs w:val="18"/>
        </w:rPr>
        <w:footnoteRef/>
      </w:r>
      <w:r w:rsidRPr="006D5DD2">
        <w:rPr>
          <w:rFonts w:ascii="Arial Narrow" w:hAnsi="Arial Narrow" w:cstheme="minorHAnsi"/>
          <w:sz w:val="18"/>
          <w:szCs w:val="18"/>
        </w:rPr>
        <w:t xml:space="preserve"> </w:t>
      </w:r>
      <w:r>
        <w:rPr>
          <w:rFonts w:ascii="Arial Narrow" w:hAnsi="Arial Narrow" w:cstheme="minorHAnsi"/>
          <w:sz w:val="18"/>
          <w:szCs w:val="18"/>
        </w:rPr>
        <w:t xml:space="preserve">See: </w:t>
      </w:r>
      <w:r w:rsidRPr="006D5DD2">
        <w:rPr>
          <w:rFonts w:ascii="Arial Narrow" w:hAnsi="Arial Narrow"/>
          <w:sz w:val="18"/>
          <w:szCs w:val="18"/>
        </w:rPr>
        <w:t xml:space="preserve">HR Committee, </w:t>
      </w:r>
      <w:r w:rsidRPr="006D5DD2">
        <w:rPr>
          <w:rFonts w:ascii="Arial Narrow" w:hAnsi="Arial Narrow" w:cstheme="minorHAnsi"/>
          <w:i/>
          <w:sz w:val="18"/>
          <w:szCs w:val="18"/>
        </w:rPr>
        <w:t>Nikolai Alekseev vs Russian Federation,</w:t>
      </w:r>
      <w:r w:rsidRPr="006D5DD2">
        <w:rPr>
          <w:rFonts w:ascii="Arial Narrow" w:hAnsi="Arial Narrow" w:cstheme="minorHAnsi"/>
          <w:sz w:val="18"/>
          <w:szCs w:val="18"/>
        </w:rPr>
        <w:t xml:space="preserve"> </w:t>
      </w:r>
      <w:r>
        <w:rPr>
          <w:rFonts w:ascii="Arial Narrow" w:hAnsi="Arial Narrow" w:cstheme="minorHAnsi"/>
          <w:i/>
          <w:sz w:val="18"/>
          <w:szCs w:val="18"/>
        </w:rPr>
        <w:t>op. cit</w:t>
      </w:r>
      <w:r>
        <w:rPr>
          <w:rFonts w:ascii="Arial Narrow" w:hAnsi="Arial Narrow" w:cstheme="minorHAnsi"/>
          <w:sz w:val="18"/>
          <w:szCs w:val="18"/>
        </w:rPr>
        <w:t xml:space="preserve">. </w:t>
      </w:r>
    </w:p>
  </w:footnote>
  <w:footnote w:id="122">
    <w:p w14:paraId="47FB95B4" w14:textId="77777777" w:rsidR="00917BB5" w:rsidRPr="006D5DD2" w:rsidRDefault="00917BB5" w:rsidP="00793430">
      <w:pPr>
        <w:pStyle w:val="FootnoteText"/>
        <w:rPr>
          <w:rFonts w:ascii="Arial Narrow" w:hAnsi="Arial Narrow"/>
          <w:sz w:val="18"/>
          <w:szCs w:val="18"/>
        </w:rPr>
      </w:pPr>
      <w:r w:rsidRPr="006D5DD2">
        <w:rPr>
          <w:rStyle w:val="FootnoteReference"/>
          <w:rFonts w:ascii="Arial Narrow" w:hAnsi="Arial Narrow"/>
          <w:sz w:val="18"/>
          <w:szCs w:val="18"/>
        </w:rPr>
        <w:footnoteRef/>
      </w:r>
      <w:r w:rsidRPr="006D5DD2">
        <w:rPr>
          <w:rFonts w:ascii="Arial Narrow" w:hAnsi="Arial Narrow"/>
          <w:sz w:val="18"/>
          <w:szCs w:val="18"/>
        </w:rPr>
        <w:t xml:space="preserve"> The Rabat Plan of Action, </w:t>
      </w:r>
      <w:r w:rsidRPr="006D5DD2">
        <w:rPr>
          <w:rFonts w:ascii="Arial Narrow" w:hAnsi="Arial Narrow"/>
          <w:i/>
          <w:sz w:val="18"/>
          <w:szCs w:val="18"/>
        </w:rPr>
        <w:t>op. cit.</w:t>
      </w:r>
      <w:r w:rsidRPr="006D5DD2">
        <w:rPr>
          <w:rFonts w:ascii="Arial Narrow" w:hAnsi="Arial Narrow"/>
          <w:sz w:val="18"/>
          <w:szCs w:val="18"/>
        </w:rPr>
        <w:t>, at para. 29(c), explains how “incitement requires the activation of a triangular relationship between the object and subject of the speech act as well as the audience”</w:t>
      </w:r>
    </w:p>
  </w:footnote>
  <w:footnote w:id="123">
    <w:p w14:paraId="13F4EAB3" w14:textId="75BCB244" w:rsidR="00917BB5" w:rsidRPr="00793430" w:rsidRDefault="00917BB5" w:rsidP="00793430">
      <w:pPr>
        <w:pStyle w:val="FootnoteText"/>
        <w:rPr>
          <w:rFonts w:ascii="Arial Narrow" w:hAnsi="Arial Narrow"/>
          <w:sz w:val="18"/>
          <w:szCs w:val="18"/>
        </w:rPr>
      </w:pPr>
      <w:r w:rsidRPr="00793430">
        <w:rPr>
          <w:rStyle w:val="FootnoteReference"/>
          <w:rFonts w:ascii="Arial Narrow" w:hAnsi="Arial Narrow"/>
          <w:sz w:val="18"/>
          <w:szCs w:val="18"/>
        </w:rPr>
        <w:footnoteRef/>
      </w:r>
      <w:r w:rsidRPr="00793430">
        <w:rPr>
          <w:rFonts w:ascii="Arial Narrow" w:hAnsi="Arial Narrow"/>
          <w:sz w:val="18"/>
          <w:szCs w:val="18"/>
        </w:rPr>
        <w:t xml:space="preserve"> </w:t>
      </w:r>
      <w:r>
        <w:rPr>
          <w:rFonts w:ascii="Arial Narrow" w:hAnsi="Arial Narrow"/>
          <w:sz w:val="18"/>
          <w:szCs w:val="18"/>
        </w:rPr>
        <w:t xml:space="preserve">See, for example: Concluding </w:t>
      </w:r>
      <w:r w:rsidRPr="00793430">
        <w:rPr>
          <w:rFonts w:ascii="Arial Narrow" w:hAnsi="Arial Narrow" w:cstheme="minorHAnsi"/>
          <w:sz w:val="18"/>
          <w:szCs w:val="18"/>
        </w:rPr>
        <w:t>Observation</w:t>
      </w:r>
      <w:r>
        <w:rPr>
          <w:rFonts w:ascii="Arial Narrow" w:hAnsi="Arial Narrow" w:cstheme="minorHAnsi"/>
          <w:sz w:val="18"/>
          <w:szCs w:val="18"/>
        </w:rPr>
        <w:t>s</w:t>
      </w:r>
      <w:r w:rsidRPr="00793430">
        <w:rPr>
          <w:rFonts w:ascii="Arial Narrow" w:hAnsi="Arial Narrow" w:cstheme="minorHAnsi"/>
          <w:sz w:val="18"/>
          <w:szCs w:val="18"/>
        </w:rPr>
        <w:t xml:space="preserve"> on Georgia, CCPR/C/GEO/CO/4, 19 August 2014, at</w:t>
      </w:r>
      <w:r>
        <w:rPr>
          <w:rFonts w:ascii="Arial Narrow" w:hAnsi="Arial Narrow" w:cstheme="minorHAnsi"/>
          <w:sz w:val="18"/>
          <w:szCs w:val="18"/>
        </w:rPr>
        <w:t xml:space="preserve"> para 8; Concluding Observations on Ukraine, CCPR/C/UKR/CO/7, 22 August 2013, paragraph 10. </w:t>
      </w:r>
    </w:p>
  </w:footnote>
  <w:footnote w:id="124">
    <w:p w14:paraId="654A9781" w14:textId="13E83D09" w:rsidR="00917BB5" w:rsidRPr="00602B9F" w:rsidRDefault="00917BB5">
      <w:pPr>
        <w:pStyle w:val="FootnoteText"/>
        <w:rPr>
          <w:rFonts w:ascii="Arial Narrow" w:hAnsi="Arial Narrow"/>
          <w:sz w:val="18"/>
          <w:szCs w:val="18"/>
        </w:rPr>
      </w:pPr>
      <w:r w:rsidRPr="00602B9F">
        <w:rPr>
          <w:rStyle w:val="FootnoteReference"/>
          <w:rFonts w:ascii="Arial Narrow" w:hAnsi="Arial Narrow"/>
          <w:sz w:val="18"/>
          <w:szCs w:val="18"/>
        </w:rPr>
        <w:footnoteRef/>
      </w:r>
      <w:r w:rsidRPr="00602B9F">
        <w:rPr>
          <w:rFonts w:ascii="Arial Narrow" w:hAnsi="Arial Narrow"/>
          <w:sz w:val="18"/>
          <w:szCs w:val="18"/>
        </w:rPr>
        <w:t xml:space="preserve"> Rabat Plan of Action, </w:t>
      </w:r>
      <w:r w:rsidRPr="00602B9F">
        <w:rPr>
          <w:rFonts w:ascii="Arial Narrow" w:hAnsi="Arial Narrow"/>
          <w:i/>
          <w:sz w:val="18"/>
          <w:szCs w:val="18"/>
        </w:rPr>
        <w:t>op. cit.,</w:t>
      </w:r>
      <w:r w:rsidRPr="00602B9F">
        <w:rPr>
          <w:rFonts w:ascii="Arial Narrow" w:hAnsi="Arial Narrow"/>
          <w:sz w:val="18"/>
          <w:szCs w:val="18"/>
        </w:rPr>
        <w:t xml:space="preserve"> at para. 20: “In terms of general principles, a clear distinction should be made between three types of expression:</w:t>
      </w:r>
      <w:r>
        <w:rPr>
          <w:rFonts w:ascii="Arial Narrow" w:hAnsi="Arial Narrow"/>
          <w:sz w:val="18"/>
          <w:szCs w:val="18"/>
        </w:rPr>
        <w:t xml:space="preserve"> </w:t>
      </w:r>
      <w:r w:rsidRPr="00602B9F">
        <w:rPr>
          <w:rFonts w:ascii="Arial Narrow" w:hAnsi="Arial Narrow"/>
          <w:sz w:val="18"/>
          <w:szCs w:val="18"/>
        </w:rPr>
        <w:t>expression that constitutes a criminal offence; expression that is not criminally punishable, but may justify a civil suit or administrative sanctions; expression that does not give rise to criminal, civil or administrative sanctions, but still raises concern in terms of tolerance, civility and respect for the rights of others.”</w:t>
      </w:r>
    </w:p>
  </w:footnote>
  <w:footnote w:id="125">
    <w:p w14:paraId="2E3E487A" w14:textId="60D81A1D" w:rsidR="00917BB5" w:rsidRPr="008778D6" w:rsidRDefault="00917BB5">
      <w:pPr>
        <w:pStyle w:val="FootnoteText"/>
        <w:rPr>
          <w:rFonts w:ascii="Arial Narrow" w:hAnsi="Arial Narrow"/>
          <w:sz w:val="18"/>
          <w:szCs w:val="18"/>
        </w:rPr>
      </w:pPr>
      <w:r w:rsidRPr="008778D6">
        <w:rPr>
          <w:rStyle w:val="FootnoteReference"/>
          <w:rFonts w:ascii="Arial Narrow" w:hAnsi="Arial Narrow"/>
          <w:sz w:val="18"/>
          <w:szCs w:val="18"/>
        </w:rPr>
        <w:footnoteRef/>
      </w:r>
      <w:r w:rsidRPr="008778D6">
        <w:rPr>
          <w:rFonts w:ascii="Arial Narrow" w:hAnsi="Arial Narrow"/>
          <w:sz w:val="18"/>
          <w:szCs w:val="18"/>
        </w:rPr>
        <w:t xml:space="preserve"> Hate Speech Toolkit, </w:t>
      </w:r>
      <w:r w:rsidRPr="008778D6">
        <w:rPr>
          <w:rFonts w:ascii="Arial Narrow" w:hAnsi="Arial Narrow"/>
          <w:i/>
          <w:sz w:val="18"/>
          <w:szCs w:val="18"/>
        </w:rPr>
        <w:t>op. cit.</w:t>
      </w:r>
      <w:r w:rsidRPr="008778D6">
        <w:rPr>
          <w:rFonts w:ascii="Arial Narrow" w:hAnsi="Arial Narrow"/>
          <w:sz w:val="18"/>
          <w:szCs w:val="18"/>
        </w:rPr>
        <w:t xml:space="preserve">, at pages 13 – 15. </w:t>
      </w:r>
    </w:p>
  </w:footnote>
  <w:footnote w:id="126">
    <w:p w14:paraId="014583CC" w14:textId="74D77DF9" w:rsidR="00917BB5" w:rsidRPr="00751351" w:rsidRDefault="00917BB5">
      <w:pPr>
        <w:pStyle w:val="FootnoteText"/>
        <w:rPr>
          <w:rFonts w:ascii="Arial Narrow" w:hAnsi="Arial Narrow"/>
          <w:sz w:val="18"/>
          <w:szCs w:val="18"/>
        </w:rPr>
      </w:pPr>
      <w:r w:rsidRPr="003C52E6">
        <w:rPr>
          <w:rStyle w:val="FootnoteReference"/>
          <w:rFonts w:ascii="Arial Narrow" w:hAnsi="Arial Narrow"/>
          <w:sz w:val="18"/>
          <w:szCs w:val="18"/>
        </w:rPr>
        <w:footnoteRef/>
      </w:r>
      <w:r w:rsidRPr="003C52E6">
        <w:rPr>
          <w:rFonts w:ascii="Arial Narrow" w:hAnsi="Arial Narrow"/>
          <w:sz w:val="18"/>
          <w:szCs w:val="18"/>
        </w:rPr>
        <w:t xml:space="preserve"> </w:t>
      </w:r>
      <w:r>
        <w:rPr>
          <w:rFonts w:ascii="Arial Narrow" w:hAnsi="Arial Narrow"/>
          <w:sz w:val="18"/>
          <w:szCs w:val="18"/>
        </w:rPr>
        <w:t>This follows from the fact that there</w:t>
      </w:r>
      <w:r w:rsidRPr="003C52E6">
        <w:rPr>
          <w:rFonts w:ascii="Arial Narrow" w:hAnsi="Arial Narrow"/>
          <w:sz w:val="18"/>
          <w:szCs w:val="18"/>
        </w:rPr>
        <w:t xml:space="preserve"> is no requirement that expression protected by Article 19(2) of the ICCPR be “peaceful”. </w:t>
      </w:r>
      <w:r>
        <w:rPr>
          <w:rFonts w:ascii="Arial Narrow" w:hAnsi="Arial Narrow"/>
          <w:sz w:val="18"/>
          <w:szCs w:val="18"/>
        </w:rPr>
        <w:t xml:space="preserve">ARTICLE 19 does not consider Article 21 to be </w:t>
      </w:r>
      <w:r>
        <w:rPr>
          <w:rFonts w:ascii="Arial Narrow" w:hAnsi="Arial Narrow"/>
          <w:i/>
          <w:sz w:val="18"/>
          <w:szCs w:val="18"/>
        </w:rPr>
        <w:t>lex specialis</w:t>
      </w:r>
      <w:r>
        <w:rPr>
          <w:rFonts w:ascii="Arial Narrow" w:hAnsi="Arial Narrow"/>
          <w:sz w:val="18"/>
          <w:szCs w:val="18"/>
        </w:rPr>
        <w:t xml:space="preserve"> or a subset of the right to freedom of expression. Rather, both rights are often both engaged concurrently. </w:t>
      </w:r>
    </w:p>
  </w:footnote>
  <w:footnote w:id="127">
    <w:p w14:paraId="1503EBEF" w14:textId="0CC9EED6" w:rsidR="00917BB5" w:rsidRPr="00602B9F" w:rsidRDefault="00917BB5" w:rsidP="00602B9F">
      <w:pPr>
        <w:pStyle w:val="FootnoteText"/>
        <w:rPr>
          <w:rFonts w:ascii="Arial Narrow" w:hAnsi="Arial Narrow"/>
          <w:sz w:val="18"/>
          <w:szCs w:val="18"/>
        </w:rPr>
      </w:pPr>
      <w:r w:rsidRPr="00602B9F">
        <w:rPr>
          <w:rStyle w:val="FootnoteReference"/>
          <w:rFonts w:ascii="Arial Narrow" w:hAnsi="Arial Narrow"/>
          <w:sz w:val="18"/>
          <w:szCs w:val="18"/>
        </w:rPr>
        <w:footnoteRef/>
      </w:r>
      <w:r w:rsidRPr="00602B9F">
        <w:rPr>
          <w:rFonts w:ascii="Arial Narrow" w:hAnsi="Arial Narrow"/>
          <w:sz w:val="18"/>
          <w:szCs w:val="18"/>
        </w:rPr>
        <w:t xml:space="preserve"> Rabat Plan of Action, </w:t>
      </w:r>
      <w:r w:rsidRPr="00602B9F">
        <w:rPr>
          <w:rFonts w:ascii="Arial Narrow" w:hAnsi="Arial Narrow"/>
          <w:i/>
          <w:sz w:val="18"/>
          <w:szCs w:val="18"/>
        </w:rPr>
        <w:t>op. cit.,</w:t>
      </w:r>
      <w:r w:rsidRPr="00602B9F">
        <w:rPr>
          <w:rFonts w:ascii="Arial Narrow" w:hAnsi="Arial Narrow"/>
          <w:sz w:val="18"/>
          <w:szCs w:val="18"/>
        </w:rPr>
        <w:t xml:space="preserve"> at para. 29(c). </w:t>
      </w:r>
    </w:p>
  </w:footnote>
  <w:footnote w:id="128">
    <w:p w14:paraId="1DE50AED" w14:textId="2CF1752F" w:rsidR="00917BB5" w:rsidRPr="00A00C4F" w:rsidRDefault="00917BB5">
      <w:pPr>
        <w:pStyle w:val="FootnoteText"/>
        <w:rPr>
          <w:rFonts w:ascii="Arial Narrow" w:hAnsi="Arial Narrow"/>
          <w:sz w:val="18"/>
          <w:szCs w:val="18"/>
        </w:rPr>
      </w:pPr>
      <w:r w:rsidRPr="00A00C4F">
        <w:rPr>
          <w:rStyle w:val="FootnoteReference"/>
          <w:rFonts w:ascii="Arial Narrow" w:hAnsi="Arial Narrow"/>
          <w:sz w:val="18"/>
          <w:szCs w:val="18"/>
        </w:rPr>
        <w:footnoteRef/>
      </w:r>
      <w:r w:rsidRPr="00A00C4F">
        <w:rPr>
          <w:rFonts w:ascii="Arial Narrow" w:hAnsi="Arial Narrow"/>
          <w:sz w:val="18"/>
          <w:szCs w:val="18"/>
        </w:rPr>
        <w:t xml:space="preserve"> Rabat Plan of Action, </w:t>
      </w:r>
      <w:r w:rsidRPr="00A00C4F">
        <w:rPr>
          <w:rFonts w:ascii="Arial Narrow" w:hAnsi="Arial Narrow"/>
          <w:i/>
          <w:sz w:val="18"/>
          <w:szCs w:val="18"/>
        </w:rPr>
        <w:t>op. cit.</w:t>
      </w:r>
      <w:r w:rsidRPr="00A00C4F">
        <w:rPr>
          <w:rFonts w:ascii="Arial Narrow" w:hAnsi="Arial Narrow"/>
          <w:sz w:val="18"/>
          <w:szCs w:val="18"/>
        </w:rPr>
        <w:t>, at para 29, sets out the six-</w:t>
      </w:r>
      <w:r>
        <w:rPr>
          <w:rFonts w:ascii="Arial Narrow" w:hAnsi="Arial Narrow"/>
          <w:sz w:val="18"/>
          <w:szCs w:val="18"/>
        </w:rPr>
        <w:t xml:space="preserve">factor test, including reference to: context; speaker; intent; content and form; extent of the speech act; and, likelihood including imminence. </w:t>
      </w:r>
    </w:p>
  </w:footnote>
  <w:footnote w:id="129">
    <w:p w14:paraId="2400D1F9" w14:textId="4A18AB62" w:rsidR="00917BB5" w:rsidRPr="00932C4D" w:rsidRDefault="00917BB5">
      <w:pPr>
        <w:pStyle w:val="FootnoteText"/>
        <w:rPr>
          <w:rFonts w:ascii="Arial Narrow" w:hAnsi="Arial Narrow"/>
          <w:sz w:val="18"/>
          <w:szCs w:val="18"/>
        </w:rPr>
      </w:pPr>
      <w:r w:rsidRPr="00DC1FFC">
        <w:rPr>
          <w:rStyle w:val="FootnoteReference"/>
          <w:rFonts w:ascii="Arial Narrow" w:hAnsi="Arial Narrow"/>
          <w:sz w:val="18"/>
          <w:szCs w:val="18"/>
        </w:rPr>
        <w:footnoteRef/>
      </w:r>
      <w:r w:rsidRPr="00DC1FFC">
        <w:rPr>
          <w:rFonts w:ascii="Arial Narrow" w:hAnsi="Arial Narrow"/>
          <w:sz w:val="18"/>
          <w:szCs w:val="18"/>
        </w:rPr>
        <w:t xml:space="preserve"> The rationale for this principle is consistent with and follows from the Committee’s view of blasphemy laws and historical denial laws, as set out in General Comment No. 34, notwithstanding the Committee has criticised States over the occurrence of assemblies displaying insignia or symbols historically associated with discrimination. </w:t>
      </w:r>
      <w:r>
        <w:rPr>
          <w:rFonts w:ascii="Arial Narrow" w:hAnsi="Arial Narrow"/>
          <w:sz w:val="18"/>
          <w:szCs w:val="18"/>
        </w:rPr>
        <w:t xml:space="preserve">By comparison, see ECtHR, </w:t>
      </w:r>
      <w:r>
        <w:rPr>
          <w:rFonts w:ascii="Arial Narrow" w:hAnsi="Arial Narrow"/>
          <w:i/>
          <w:sz w:val="18"/>
          <w:szCs w:val="18"/>
        </w:rPr>
        <w:t>Vajnai v. Hungary</w:t>
      </w:r>
      <w:r>
        <w:rPr>
          <w:rFonts w:ascii="Arial Narrow" w:hAnsi="Arial Narrow"/>
          <w:sz w:val="18"/>
          <w:szCs w:val="18"/>
        </w:rPr>
        <w:t xml:space="preserve">, 2008, at para 49. </w:t>
      </w:r>
    </w:p>
  </w:footnote>
  <w:footnote w:id="130">
    <w:p w14:paraId="162776D8" w14:textId="24987B68" w:rsidR="00917BB5" w:rsidRPr="00642CA8" w:rsidRDefault="00917BB5">
      <w:pPr>
        <w:pStyle w:val="FootnoteText"/>
        <w:rPr>
          <w:rFonts w:ascii="Arial Narrow" w:hAnsi="Arial Narrow"/>
          <w:sz w:val="18"/>
          <w:szCs w:val="18"/>
        </w:rPr>
      </w:pPr>
      <w:r w:rsidRPr="00642CA8">
        <w:rPr>
          <w:rStyle w:val="FootnoteReference"/>
          <w:rFonts w:ascii="Arial Narrow" w:hAnsi="Arial Narrow"/>
          <w:sz w:val="18"/>
          <w:szCs w:val="18"/>
        </w:rPr>
        <w:footnoteRef/>
      </w:r>
      <w:r w:rsidRPr="00642CA8">
        <w:rPr>
          <w:rFonts w:ascii="Arial Narrow" w:hAnsi="Arial Narrow"/>
          <w:sz w:val="18"/>
          <w:szCs w:val="18"/>
        </w:rPr>
        <w:t xml:space="preserve"> Rabat Plan of Action, </w:t>
      </w:r>
      <w:r w:rsidRPr="00642CA8">
        <w:rPr>
          <w:rFonts w:ascii="Arial Narrow" w:hAnsi="Arial Narrow"/>
          <w:i/>
          <w:sz w:val="18"/>
          <w:szCs w:val="18"/>
        </w:rPr>
        <w:t>op. cit.</w:t>
      </w:r>
      <w:r w:rsidRPr="00642CA8">
        <w:rPr>
          <w:rFonts w:ascii="Arial Narrow" w:hAnsi="Arial Narrow"/>
          <w:sz w:val="18"/>
          <w:szCs w:val="18"/>
        </w:rPr>
        <w:t xml:space="preserve">, at para. 11. </w:t>
      </w:r>
    </w:p>
  </w:footnote>
  <w:footnote w:id="131">
    <w:p w14:paraId="28B3F39C" w14:textId="6D4F0A13" w:rsidR="00917BB5" w:rsidRPr="00A00C4F" w:rsidRDefault="00917BB5">
      <w:pPr>
        <w:pStyle w:val="FootnoteText"/>
        <w:rPr>
          <w:rFonts w:ascii="Arial Narrow" w:hAnsi="Arial Narrow"/>
          <w:sz w:val="18"/>
          <w:szCs w:val="18"/>
        </w:rPr>
      </w:pPr>
      <w:r w:rsidRPr="00A00C4F">
        <w:rPr>
          <w:rStyle w:val="FootnoteReference"/>
          <w:rFonts w:ascii="Arial Narrow" w:hAnsi="Arial Narrow"/>
          <w:sz w:val="18"/>
          <w:szCs w:val="18"/>
        </w:rPr>
        <w:footnoteRef/>
      </w:r>
      <w:r w:rsidRPr="00A00C4F">
        <w:rPr>
          <w:rFonts w:ascii="Arial Narrow" w:hAnsi="Arial Narrow"/>
          <w:sz w:val="18"/>
          <w:szCs w:val="18"/>
        </w:rPr>
        <w:t xml:space="preserve"> Rabat Plan of Action, </w:t>
      </w:r>
      <w:r w:rsidRPr="00A00C4F">
        <w:rPr>
          <w:rFonts w:ascii="Arial Narrow" w:hAnsi="Arial Narrow"/>
          <w:i/>
          <w:sz w:val="18"/>
          <w:szCs w:val="18"/>
        </w:rPr>
        <w:t>op. cit.</w:t>
      </w:r>
      <w:r w:rsidRPr="00A00C4F">
        <w:rPr>
          <w:rFonts w:ascii="Arial Narrow" w:hAnsi="Arial Narrow"/>
          <w:sz w:val="18"/>
          <w:szCs w:val="18"/>
        </w:rPr>
        <w:t xml:space="preserve">, at paras. 35 – 59; HRC Resolution 16/18, </w:t>
      </w:r>
      <w:r w:rsidRPr="00A00C4F">
        <w:rPr>
          <w:rFonts w:ascii="Arial Narrow" w:hAnsi="Arial Narrow"/>
          <w:i/>
          <w:sz w:val="18"/>
          <w:szCs w:val="18"/>
        </w:rPr>
        <w:t>op. cit.</w:t>
      </w:r>
      <w:r w:rsidRPr="00A00C4F">
        <w:rPr>
          <w:rFonts w:ascii="Arial Narrow" w:hAnsi="Arial Narrow"/>
          <w:sz w:val="18"/>
          <w:szCs w:val="18"/>
        </w:rPr>
        <w:t xml:space="preserve">, at para 5.(a) – (e), (g) – (h). </w:t>
      </w:r>
    </w:p>
  </w:footnote>
  <w:footnote w:id="132">
    <w:p w14:paraId="50BC574F" w14:textId="01290C7C" w:rsidR="00917BB5" w:rsidRPr="00A00C4F" w:rsidRDefault="00917BB5">
      <w:pPr>
        <w:pStyle w:val="FootnoteText"/>
      </w:pPr>
      <w:r w:rsidRPr="00A00C4F">
        <w:rPr>
          <w:rStyle w:val="FootnoteReference"/>
          <w:rFonts w:ascii="Arial Narrow" w:hAnsi="Arial Narrow"/>
          <w:sz w:val="18"/>
          <w:szCs w:val="18"/>
        </w:rPr>
        <w:footnoteRef/>
      </w:r>
      <w:r w:rsidRPr="00A00C4F">
        <w:rPr>
          <w:rFonts w:ascii="Arial Narrow" w:hAnsi="Arial Narrow"/>
          <w:sz w:val="18"/>
          <w:szCs w:val="18"/>
        </w:rPr>
        <w:t xml:space="preserve"> See, by way of comparison, ECtHR, </w:t>
      </w:r>
      <w:r w:rsidRPr="00A00C4F">
        <w:rPr>
          <w:rFonts w:ascii="Arial Narrow" w:hAnsi="Arial Narrow"/>
          <w:i/>
          <w:sz w:val="18"/>
          <w:szCs w:val="18"/>
        </w:rPr>
        <w:t>Jersild v. Denmark</w:t>
      </w:r>
      <w:r w:rsidRPr="00A00C4F">
        <w:rPr>
          <w:rFonts w:ascii="Arial Narrow" w:hAnsi="Arial Narrow"/>
          <w:sz w:val="18"/>
          <w:szCs w:val="18"/>
        </w:rPr>
        <w:t>, Application No. 15890/89, 23 September 1994.</w:t>
      </w:r>
      <w:r>
        <w:t xml:space="preserve"> </w:t>
      </w:r>
    </w:p>
  </w:footnote>
  <w:footnote w:id="133">
    <w:p w14:paraId="20397DF3" w14:textId="2073E49F" w:rsidR="00917BB5" w:rsidRPr="00642CA8" w:rsidRDefault="00917BB5">
      <w:pPr>
        <w:pStyle w:val="FootnoteText"/>
        <w:rPr>
          <w:rFonts w:ascii="Arial Narrow" w:hAnsi="Arial Narrow"/>
          <w:sz w:val="18"/>
          <w:szCs w:val="18"/>
        </w:rPr>
      </w:pPr>
      <w:r w:rsidRPr="00642CA8">
        <w:rPr>
          <w:rStyle w:val="FootnoteReference"/>
          <w:rFonts w:ascii="Arial Narrow" w:hAnsi="Arial Narrow"/>
          <w:sz w:val="18"/>
          <w:szCs w:val="18"/>
        </w:rPr>
        <w:footnoteRef/>
      </w:r>
      <w:r w:rsidRPr="00642CA8">
        <w:rPr>
          <w:rFonts w:ascii="Arial Narrow" w:hAnsi="Arial Narrow"/>
          <w:sz w:val="18"/>
          <w:szCs w:val="18"/>
        </w:rPr>
        <w:t xml:space="preserve"> ARTICLE 19, “Hate Speech Explained: A Tool Kit”, 2015 edition, at pages 22 and 84 –</w:t>
      </w:r>
      <w:r>
        <w:rPr>
          <w:rFonts w:ascii="Arial Narrow" w:hAnsi="Arial Narrow"/>
          <w:sz w:val="18"/>
          <w:szCs w:val="18"/>
        </w:rPr>
        <w:t xml:space="preserve"> 85; available at: </w:t>
      </w:r>
      <w:hyperlink r:id="rId11" w:history="1">
        <w:r w:rsidRPr="006C2084">
          <w:rPr>
            <w:rStyle w:val="Hyperlink"/>
            <w:rFonts w:ascii="Arial Narrow" w:hAnsi="Arial Narrow"/>
            <w:sz w:val="18"/>
            <w:szCs w:val="18"/>
          </w:rPr>
          <w:t>https://www.article19.org/resources/hate-speech-explained-a-toolkit/</w:t>
        </w:r>
      </w:hyperlink>
      <w:r>
        <w:rPr>
          <w:rFonts w:ascii="Arial Narrow" w:hAnsi="Arial Narrow"/>
          <w:sz w:val="18"/>
          <w:szCs w:val="18"/>
        </w:rPr>
        <w:t xml:space="preserve">. See also, Nowak, UN Covenant on Civil and Political Rights: CCPR Commentary, note 29, p. 487. </w:t>
      </w:r>
    </w:p>
  </w:footnote>
  <w:footnote w:id="134">
    <w:p w14:paraId="44640770" w14:textId="78C3B0C9" w:rsidR="00917BB5" w:rsidRPr="00932C4D" w:rsidRDefault="00917BB5">
      <w:pPr>
        <w:pStyle w:val="FootnoteText"/>
        <w:rPr>
          <w:rFonts w:ascii="Arial Narrow" w:hAnsi="Arial Narrow"/>
          <w:sz w:val="18"/>
          <w:szCs w:val="18"/>
        </w:rPr>
      </w:pPr>
      <w:r w:rsidRPr="00932C4D">
        <w:rPr>
          <w:rStyle w:val="FootnoteReference"/>
          <w:rFonts w:ascii="Arial Narrow" w:hAnsi="Arial Narrow"/>
          <w:sz w:val="18"/>
          <w:szCs w:val="18"/>
        </w:rPr>
        <w:footnoteRef/>
      </w:r>
      <w:r w:rsidRPr="00932C4D">
        <w:rPr>
          <w:rFonts w:ascii="Arial Narrow" w:hAnsi="Arial Narrow"/>
          <w:sz w:val="18"/>
          <w:szCs w:val="18"/>
        </w:rPr>
        <w:t xml:space="preserve"> ARTICLE 19 cautions against adopting subjective language from regional bodies that implies degrees of “offensiveness” of “insult” are the appropriate measure for determining the harmful impact of expression and therefore imposing limitations. </w:t>
      </w:r>
    </w:p>
  </w:footnote>
  <w:footnote w:id="135">
    <w:p w14:paraId="2039B2F1" w14:textId="13FF7ABB" w:rsidR="00917BB5" w:rsidRPr="00D53BF8" w:rsidRDefault="00917BB5" w:rsidP="00D53BF8">
      <w:pPr>
        <w:pStyle w:val="SingleTxtG"/>
        <w:spacing w:after="0" w:line="240" w:lineRule="auto"/>
        <w:ind w:left="0" w:right="-35"/>
        <w:rPr>
          <w:rFonts w:ascii="Arial Narrow" w:eastAsia="Calibri" w:hAnsi="Arial Narrow"/>
          <w:sz w:val="18"/>
          <w:szCs w:val="18"/>
        </w:rPr>
      </w:pPr>
      <w:r w:rsidRPr="00D53BF8">
        <w:rPr>
          <w:rStyle w:val="FootnoteReference"/>
          <w:rFonts w:ascii="Arial Narrow" w:hAnsi="Arial Narrow"/>
          <w:sz w:val="18"/>
          <w:szCs w:val="18"/>
        </w:rPr>
        <w:footnoteRef/>
      </w:r>
      <w:r w:rsidRPr="00D53BF8">
        <w:rPr>
          <w:rFonts w:ascii="Arial Narrow" w:hAnsi="Arial Narrow"/>
          <w:sz w:val="18"/>
          <w:szCs w:val="18"/>
        </w:rPr>
        <w:t xml:space="preserve"> </w:t>
      </w:r>
      <w:r w:rsidRPr="00D53BF8">
        <w:rPr>
          <w:rFonts w:ascii="Arial Narrow" w:eastAsia="Calibri" w:hAnsi="Arial Narrow"/>
          <w:sz w:val="18"/>
          <w:szCs w:val="18"/>
        </w:rPr>
        <w:t>Note of the Rapporteur, at question 4: “Does this in general terms mean that there is a duty on the State to ‘facilitate’ peaceful assembly, and what does such a duty to ‘facilitate’ entail? Does it mean that, while people exercise this right, the focus of law enforcement officials should be primarily on protecting the rights of all concerned rather than upholding law and order? (Are States thus required to show a certain level of tolerance to conduct when engaged in as part of peaceful assembly, and not meet it with the same force of the law as it would otherwise do?) How should the obligation to allow assemblies to take place within ‘sight and sound’ of its target audience be interpreted?”</w:t>
      </w:r>
    </w:p>
  </w:footnote>
  <w:footnote w:id="136">
    <w:p w14:paraId="00F60339" w14:textId="280B0A9B" w:rsidR="00917BB5" w:rsidRDefault="00917BB5" w:rsidP="00D53BF8">
      <w:pPr>
        <w:pStyle w:val="FootnoteText"/>
      </w:pPr>
      <w:r w:rsidRPr="00D53BF8">
        <w:rPr>
          <w:rStyle w:val="FootnoteReference"/>
          <w:rFonts w:ascii="Arial Narrow" w:hAnsi="Arial Narrow"/>
          <w:sz w:val="18"/>
          <w:szCs w:val="18"/>
        </w:rPr>
        <w:footnoteRef/>
      </w:r>
      <w:r w:rsidRPr="00D53BF8">
        <w:rPr>
          <w:rFonts w:ascii="Arial Narrow" w:hAnsi="Arial Narrow"/>
          <w:sz w:val="18"/>
          <w:szCs w:val="18"/>
        </w:rPr>
        <w:t xml:space="preserve"> </w:t>
      </w:r>
      <w:r>
        <w:rPr>
          <w:rFonts w:ascii="Arial Narrow" w:hAnsi="Arial Narrow"/>
          <w:sz w:val="18"/>
          <w:szCs w:val="18"/>
        </w:rPr>
        <w:t xml:space="preserve">In its Concluding Observations on the Republic of Korea, CCPR/C/KOR/CO/4, 3 December 2015, the Committee proclaimed, at para. 53, that “the State party should ensure that all persons enjoy the right to peaceful assembly.” </w:t>
      </w:r>
      <w:r w:rsidRPr="00D53BF8">
        <w:rPr>
          <w:rFonts w:ascii="Arial Narrow" w:hAnsi="Arial Narrow"/>
          <w:sz w:val="18"/>
          <w:szCs w:val="18"/>
        </w:rPr>
        <w:t>See</w:t>
      </w:r>
      <w:r>
        <w:rPr>
          <w:rFonts w:ascii="Arial Narrow" w:hAnsi="Arial Narrow"/>
          <w:sz w:val="18"/>
          <w:szCs w:val="18"/>
        </w:rPr>
        <w:t>, also</w:t>
      </w:r>
      <w:r w:rsidRPr="00D53BF8">
        <w:rPr>
          <w:rFonts w:ascii="Arial Narrow" w:hAnsi="Arial Narrow"/>
          <w:sz w:val="18"/>
          <w:szCs w:val="18"/>
        </w:rPr>
        <w:t>: Concluding Observations on Benin (2015): “the State party should promote freedom of peaceful assembly and association”; Concluding Observations on Serbia (2017), in which the Committee expressed concern “about aspects of the Public Assembly Act … that might hinder, not facilitate, protection of the right to freedom of assembly.”</w:t>
      </w:r>
    </w:p>
  </w:footnote>
  <w:footnote w:id="137">
    <w:p w14:paraId="6973213A" w14:textId="43BCEA37" w:rsidR="00917BB5" w:rsidRPr="00D53BF8" w:rsidRDefault="00917BB5">
      <w:pPr>
        <w:pStyle w:val="FootnoteText"/>
        <w:rPr>
          <w:rFonts w:ascii="Arial Narrow" w:hAnsi="Arial Narrow"/>
          <w:sz w:val="18"/>
          <w:szCs w:val="18"/>
        </w:rPr>
      </w:pPr>
      <w:r w:rsidRPr="00D53BF8">
        <w:rPr>
          <w:rStyle w:val="FootnoteReference"/>
          <w:rFonts w:ascii="Arial Narrow" w:hAnsi="Arial Narrow"/>
          <w:sz w:val="18"/>
          <w:szCs w:val="18"/>
        </w:rPr>
        <w:footnoteRef/>
      </w:r>
      <w:r w:rsidRPr="00D53BF8">
        <w:rPr>
          <w:rFonts w:ascii="Arial Narrow" w:hAnsi="Arial Narrow"/>
          <w:sz w:val="18"/>
          <w:szCs w:val="18"/>
        </w:rPr>
        <w:t xml:space="preserve"> Concluding Observations on Haiti, CCPR/C/HTI/CO/1, 21 November 2014, at para 19. </w:t>
      </w:r>
    </w:p>
  </w:footnote>
  <w:footnote w:id="138">
    <w:p w14:paraId="166AE819" w14:textId="26A574F0" w:rsidR="00917BB5" w:rsidRPr="00BA0317" w:rsidRDefault="00917BB5">
      <w:pPr>
        <w:pStyle w:val="FootnoteText"/>
        <w:rPr>
          <w:rFonts w:ascii="Arial Narrow" w:hAnsi="Arial Narrow"/>
          <w:sz w:val="18"/>
          <w:szCs w:val="18"/>
        </w:rPr>
      </w:pPr>
      <w:r w:rsidRPr="00BA0317">
        <w:rPr>
          <w:rStyle w:val="FootnoteReference"/>
          <w:rFonts w:ascii="Arial Narrow" w:hAnsi="Arial Narrow"/>
          <w:sz w:val="18"/>
          <w:szCs w:val="18"/>
        </w:rPr>
        <w:footnoteRef/>
      </w:r>
      <w:r w:rsidRPr="00BA0317">
        <w:rPr>
          <w:rFonts w:ascii="Arial Narrow" w:hAnsi="Arial Narrow"/>
          <w:sz w:val="18"/>
          <w:szCs w:val="18"/>
        </w:rPr>
        <w:t xml:space="preserve"> See, for example: Concluding Observations on China (Hong Kong), CCPR/C/CHN-HKG/CO/3, 29 April 2013, at para. 10 (the impact of mass arrests); Concluding Observations on China (Macau), CCPR/C/CHN-MAC/CO/1, 29 April 2013, at para. 16 (on the impact of authorities’ use of video cameras.)</w:t>
      </w:r>
    </w:p>
  </w:footnote>
  <w:footnote w:id="139">
    <w:p w14:paraId="45B6A640" w14:textId="19D2AB2D" w:rsidR="00917BB5" w:rsidRPr="00917BB5" w:rsidRDefault="00917BB5" w:rsidP="00917BB5">
      <w:pPr>
        <w:pStyle w:val="FootnoteText"/>
        <w:jc w:val="both"/>
        <w:rPr>
          <w:rFonts w:ascii="Arial Narrow" w:hAnsi="Arial Narrow"/>
          <w:sz w:val="18"/>
          <w:szCs w:val="18"/>
        </w:rPr>
      </w:pPr>
      <w:r w:rsidRPr="00917BB5">
        <w:rPr>
          <w:rStyle w:val="FootnoteReference"/>
          <w:rFonts w:ascii="Arial Narrow" w:hAnsi="Arial Narrow"/>
          <w:sz w:val="18"/>
          <w:szCs w:val="18"/>
        </w:rPr>
        <w:footnoteRef/>
      </w:r>
      <w:r w:rsidRPr="00917BB5">
        <w:rPr>
          <w:rFonts w:ascii="Arial Narrow" w:hAnsi="Arial Narrow"/>
          <w:sz w:val="18"/>
          <w:szCs w:val="18"/>
        </w:rPr>
        <w:t xml:space="preserve"> </w:t>
      </w:r>
      <w:r w:rsidRPr="00917BB5">
        <w:rPr>
          <w:rFonts w:ascii="Arial Narrow" w:hAnsi="Arial Narrow" w:cs="Arial"/>
          <w:sz w:val="18"/>
          <w:szCs w:val="18"/>
        </w:rPr>
        <w:t>Principle 11, State duties to facilitate the right to protest: States have a positive duty to ensure that everyone in their jurisdiction may exercise their right to protest. In particular, they should: a) Affirm that human rights protections apply in all protests, even where there are individual, sporadic or widespread acts of violence, or where circumstances necessitate specific and temporary restrictions on some aspects of the right to protest; b) Facilitate protests by taking reasonable and appropriate measures to enable protests to take place without participants fearing physical violence or violations of their human rights, while minimising disruption and the risk to the safety of those affected by a particular protest. States should be mindful that in some circumstances where a protest occurs in violation of applicable laws, law enforcement powers do not always have to be exercised and non-intervention might be the best approach; c) Actively protect protesters, alongside other people, against any form of threats and violence by those who wish to prevent, disrupt or obstruct protests, including agents provocateurs and counter-demonstrators; d) Ensure that groups at risk, given their particular vulnerabilities during certain protests, including women, children, members of minorities or persons with disabilities, as well as those monitoring or reporting on protests, are protected. The measures adopted in this respect, however, should not be misused to confirm harmful stereotypes, maintain discriminatory norms, values and practices, or restrict the ability of these groups to exercise their right to protest. Such measures should include, but not be limited to: i. holistic approaches to tackling discrimination against groups at risk, addressing the sources of discrimination and the comprehensive reform of applicable laws and procedures ii. immediate means of accessing redress and protection, including legal aid, for all individuals who suffer discrimination and violence; iii. public condemnation by officials of all form of harassment and violence committed against protesters who are members of groups at risk, and an express commitment to protect and respect the right to protest of these groups; iv. effective training for all officials and law enforcement officers in non-discrimination; this should be adequately resourced and include rigorous enforcement and monitoring.</w:t>
      </w:r>
    </w:p>
  </w:footnote>
  <w:footnote w:id="140">
    <w:p w14:paraId="17288B55" w14:textId="1DF803F3" w:rsidR="00B94EAE" w:rsidRDefault="00B94EAE">
      <w:pPr>
        <w:pStyle w:val="FootnoteText"/>
      </w:pPr>
      <w:r w:rsidRPr="00B94EAE">
        <w:rPr>
          <w:rStyle w:val="FootnoteReference"/>
          <w:rFonts w:ascii="Arial Narrow" w:hAnsi="Arial Narrow"/>
          <w:sz w:val="18"/>
          <w:szCs w:val="18"/>
        </w:rPr>
        <w:footnoteRef/>
      </w:r>
      <w:r w:rsidRPr="00B94EAE">
        <w:rPr>
          <w:rFonts w:ascii="Arial Narrow" w:hAnsi="Arial Narrow"/>
          <w:sz w:val="18"/>
          <w:szCs w:val="18"/>
        </w:rPr>
        <w:t xml:space="preserve"> </w:t>
      </w:r>
      <w:r>
        <w:rPr>
          <w:rFonts w:ascii="Arial Narrow" w:hAnsi="Arial Narrow"/>
          <w:sz w:val="18"/>
          <w:szCs w:val="18"/>
        </w:rPr>
        <w:t>Note of the Rapporteur, at Question 10: “</w:t>
      </w:r>
      <w:r w:rsidRPr="00B94EAE">
        <w:rPr>
          <w:rFonts w:ascii="Arial Narrow" w:eastAsia="Calibri" w:hAnsi="Arial Narrow"/>
          <w:sz w:val="18"/>
          <w:szCs w:val="18"/>
        </w:rPr>
        <w:t>To what extent have general rules and good practices emerged on the facilitation of assemblies, to prevent an escalation of the situation, for example by not taking measures that might increase tensions, requiring law enforcement</w:t>
      </w:r>
      <w:r w:rsidRPr="00D97D97">
        <w:rPr>
          <w:rFonts w:eastAsia="Calibri"/>
        </w:rPr>
        <w:t xml:space="preserve"> </w:t>
      </w:r>
      <w:r w:rsidRPr="00B94EAE">
        <w:rPr>
          <w:rFonts w:ascii="Arial Narrow" w:eastAsia="Calibri" w:hAnsi="Arial Narrow"/>
          <w:sz w:val="18"/>
          <w:szCs w:val="18"/>
        </w:rPr>
        <w:t>officials to be identifiable, etc.? How should the division of labour between the pol</w:t>
      </w:r>
      <w:r>
        <w:rPr>
          <w:rFonts w:ascii="Arial Narrow" w:eastAsia="Calibri" w:hAnsi="Arial Narrow"/>
          <w:sz w:val="18"/>
          <w:szCs w:val="18"/>
        </w:rPr>
        <w:t>ice and marshals be determined?”</w:t>
      </w:r>
    </w:p>
  </w:footnote>
  <w:footnote w:id="141">
    <w:p w14:paraId="367964F0" w14:textId="1E659211" w:rsidR="00917BB5" w:rsidRPr="00441D7C" w:rsidRDefault="00917BB5">
      <w:pPr>
        <w:pStyle w:val="FootnoteText"/>
        <w:rPr>
          <w:rFonts w:ascii="Arial Narrow" w:hAnsi="Arial Narrow"/>
          <w:sz w:val="18"/>
          <w:szCs w:val="18"/>
        </w:rPr>
      </w:pPr>
      <w:r w:rsidRPr="00441D7C">
        <w:rPr>
          <w:rStyle w:val="FootnoteReference"/>
          <w:rFonts w:ascii="Arial Narrow" w:hAnsi="Arial Narrow"/>
          <w:sz w:val="18"/>
          <w:szCs w:val="18"/>
        </w:rPr>
        <w:footnoteRef/>
      </w:r>
      <w:r w:rsidRPr="00441D7C">
        <w:rPr>
          <w:rFonts w:ascii="Arial Narrow" w:hAnsi="Arial Narrow"/>
          <w:sz w:val="18"/>
          <w:szCs w:val="18"/>
        </w:rPr>
        <w:t xml:space="preserve"> Protest Principles, </w:t>
      </w:r>
      <w:r w:rsidRPr="00441D7C">
        <w:rPr>
          <w:rFonts w:ascii="Arial Narrow" w:hAnsi="Arial Narrow"/>
          <w:i/>
          <w:sz w:val="18"/>
          <w:szCs w:val="18"/>
        </w:rPr>
        <w:t>op. cit.</w:t>
      </w:r>
      <w:r w:rsidRPr="00441D7C">
        <w:rPr>
          <w:rFonts w:ascii="Arial Narrow" w:hAnsi="Arial Narrow"/>
          <w:sz w:val="18"/>
          <w:szCs w:val="18"/>
        </w:rPr>
        <w:t xml:space="preserve">, at Principle 12. 1. </w:t>
      </w:r>
    </w:p>
  </w:footnote>
  <w:footnote w:id="142">
    <w:p w14:paraId="14411092" w14:textId="41DC204D" w:rsidR="00A11D38" w:rsidRPr="00441D7C" w:rsidRDefault="00A11D38">
      <w:pPr>
        <w:pStyle w:val="FootnoteText"/>
        <w:rPr>
          <w:rFonts w:ascii="Arial Narrow" w:hAnsi="Arial Narrow"/>
          <w:sz w:val="18"/>
          <w:szCs w:val="18"/>
        </w:rPr>
      </w:pPr>
      <w:r w:rsidRPr="00441D7C">
        <w:rPr>
          <w:rStyle w:val="FootnoteReference"/>
          <w:rFonts w:ascii="Arial Narrow" w:hAnsi="Arial Narrow"/>
          <w:sz w:val="18"/>
          <w:szCs w:val="18"/>
        </w:rPr>
        <w:footnoteRef/>
      </w:r>
      <w:r w:rsidRPr="00441D7C">
        <w:rPr>
          <w:rFonts w:ascii="Arial Narrow" w:hAnsi="Arial Narrow"/>
          <w:sz w:val="18"/>
          <w:szCs w:val="18"/>
        </w:rPr>
        <w:t xml:space="preserve"> Protest Principles, </w:t>
      </w:r>
      <w:r w:rsidRPr="00441D7C">
        <w:rPr>
          <w:rFonts w:ascii="Arial Narrow" w:hAnsi="Arial Narrow"/>
          <w:i/>
          <w:sz w:val="18"/>
          <w:szCs w:val="18"/>
        </w:rPr>
        <w:t>op. cit.</w:t>
      </w:r>
      <w:r w:rsidRPr="00441D7C">
        <w:rPr>
          <w:rFonts w:ascii="Arial Narrow" w:hAnsi="Arial Narrow"/>
          <w:sz w:val="18"/>
          <w:szCs w:val="18"/>
        </w:rPr>
        <w:t>, at Principle 12.3</w:t>
      </w:r>
      <w:r w:rsidR="00B94EAE" w:rsidRPr="00441D7C">
        <w:rPr>
          <w:rFonts w:ascii="Arial Narrow" w:hAnsi="Arial Narrow"/>
          <w:sz w:val="18"/>
          <w:szCs w:val="18"/>
        </w:rPr>
        <w:t xml:space="preserve"> </w:t>
      </w:r>
      <w:r w:rsidRPr="00441D7C">
        <w:rPr>
          <w:rFonts w:ascii="Arial Narrow" w:hAnsi="Arial Narrow"/>
          <w:sz w:val="18"/>
          <w:szCs w:val="18"/>
        </w:rPr>
        <w:t>(b)</w:t>
      </w:r>
      <w:r w:rsidR="003272B1" w:rsidRPr="00441D7C">
        <w:rPr>
          <w:rFonts w:ascii="Arial Narrow" w:hAnsi="Arial Narrow"/>
          <w:sz w:val="18"/>
          <w:szCs w:val="18"/>
        </w:rPr>
        <w:t xml:space="preserve">. See also: HR Committee, Concluding Observations on Kenya (August 2012), including specific directions for trainings on understanding crowd behaviour, and methods of persuasion and negotiation </w:t>
      </w:r>
      <w:r w:rsidR="00441D7C" w:rsidRPr="00441D7C">
        <w:rPr>
          <w:rFonts w:ascii="Arial Narrow" w:hAnsi="Arial Narrow"/>
          <w:sz w:val="18"/>
          <w:szCs w:val="18"/>
        </w:rPr>
        <w:t xml:space="preserve">to minimize the use of force; HR Committee, Concluding Observations on Greece, CCPR/C/GRC/CO/2, 3 December 2015, at paras 41 </w:t>
      </w:r>
      <w:r w:rsidR="00441D7C">
        <w:rPr>
          <w:rFonts w:ascii="Arial Narrow" w:hAnsi="Arial Narrow"/>
          <w:sz w:val="18"/>
          <w:szCs w:val="18"/>
        </w:rPr>
        <w:t>–</w:t>
      </w:r>
      <w:r w:rsidR="00441D7C" w:rsidRPr="00441D7C">
        <w:rPr>
          <w:rFonts w:ascii="Arial Narrow" w:hAnsi="Arial Narrow"/>
          <w:sz w:val="18"/>
          <w:szCs w:val="18"/>
        </w:rPr>
        <w:t xml:space="preserve"> </w:t>
      </w:r>
      <w:r w:rsidR="00441D7C">
        <w:rPr>
          <w:rFonts w:ascii="Arial Narrow" w:hAnsi="Arial Narrow"/>
          <w:sz w:val="18"/>
          <w:szCs w:val="18"/>
        </w:rPr>
        <w:t xml:space="preserve">42; HR Committee, Concluding Observations on Venezuela, CCPR/C/VEN/CO/4, 14 August 2015, at para. 14. </w:t>
      </w:r>
    </w:p>
  </w:footnote>
  <w:footnote w:id="143">
    <w:p w14:paraId="3133C15B" w14:textId="3EB21C16" w:rsidR="00A11D38" w:rsidRPr="00441D7C" w:rsidRDefault="00A11D38" w:rsidP="00A11D38">
      <w:pPr>
        <w:pStyle w:val="FootnoteText"/>
        <w:rPr>
          <w:rFonts w:ascii="Arial Narrow" w:hAnsi="Arial Narrow"/>
          <w:sz w:val="18"/>
          <w:szCs w:val="18"/>
        </w:rPr>
      </w:pPr>
      <w:r w:rsidRPr="00441D7C">
        <w:rPr>
          <w:rStyle w:val="FootnoteReference"/>
          <w:rFonts w:ascii="Arial Narrow" w:hAnsi="Arial Narrow"/>
          <w:sz w:val="18"/>
          <w:szCs w:val="18"/>
        </w:rPr>
        <w:footnoteRef/>
      </w:r>
      <w:r w:rsidRPr="00441D7C">
        <w:rPr>
          <w:rFonts w:ascii="Arial Narrow" w:hAnsi="Arial Narrow"/>
          <w:sz w:val="18"/>
          <w:szCs w:val="18"/>
        </w:rPr>
        <w:t xml:space="preserve"> </w:t>
      </w:r>
      <w:r w:rsidRPr="00441D7C">
        <w:rPr>
          <w:rFonts w:ascii="Arial Narrow" w:hAnsi="Arial Narrow"/>
          <w:sz w:val="18"/>
          <w:szCs w:val="18"/>
        </w:rPr>
        <w:t xml:space="preserve">Protest Principles, </w:t>
      </w:r>
      <w:r w:rsidRPr="00441D7C">
        <w:rPr>
          <w:rFonts w:ascii="Arial Narrow" w:hAnsi="Arial Narrow"/>
          <w:i/>
          <w:sz w:val="18"/>
          <w:szCs w:val="18"/>
        </w:rPr>
        <w:t>op. cit.</w:t>
      </w:r>
      <w:r w:rsidRPr="00441D7C">
        <w:rPr>
          <w:rFonts w:ascii="Arial Narrow" w:hAnsi="Arial Narrow"/>
          <w:sz w:val="18"/>
          <w:szCs w:val="18"/>
        </w:rPr>
        <w:t>, at</w:t>
      </w:r>
      <w:r w:rsidRPr="00441D7C">
        <w:rPr>
          <w:rFonts w:ascii="Arial Narrow" w:hAnsi="Arial Narrow"/>
          <w:sz w:val="18"/>
          <w:szCs w:val="18"/>
        </w:rPr>
        <w:t xml:space="preserve"> Principle 12.3</w:t>
      </w:r>
      <w:r w:rsidR="00B94EAE" w:rsidRPr="00441D7C">
        <w:rPr>
          <w:rFonts w:ascii="Arial Narrow" w:hAnsi="Arial Narrow"/>
          <w:sz w:val="18"/>
          <w:szCs w:val="18"/>
        </w:rPr>
        <w:t xml:space="preserve"> </w:t>
      </w:r>
      <w:r w:rsidRPr="00441D7C">
        <w:rPr>
          <w:rFonts w:ascii="Arial Narrow" w:hAnsi="Arial Narrow"/>
          <w:sz w:val="18"/>
          <w:szCs w:val="18"/>
        </w:rPr>
        <w:t>(c)</w:t>
      </w:r>
    </w:p>
  </w:footnote>
  <w:footnote w:id="144">
    <w:p w14:paraId="4469C27C" w14:textId="1216249F" w:rsidR="00A11D38" w:rsidRPr="00441D7C" w:rsidRDefault="00A11D38">
      <w:pPr>
        <w:pStyle w:val="FootnoteText"/>
        <w:rPr>
          <w:rFonts w:ascii="Arial Narrow" w:hAnsi="Arial Narrow"/>
          <w:sz w:val="18"/>
          <w:szCs w:val="18"/>
        </w:rPr>
      </w:pPr>
      <w:r w:rsidRPr="00441D7C">
        <w:rPr>
          <w:rStyle w:val="FootnoteReference"/>
          <w:rFonts w:ascii="Arial Narrow" w:hAnsi="Arial Narrow"/>
          <w:sz w:val="18"/>
          <w:szCs w:val="18"/>
        </w:rPr>
        <w:footnoteRef/>
      </w:r>
      <w:r w:rsidRPr="00441D7C">
        <w:rPr>
          <w:rFonts w:ascii="Arial Narrow" w:hAnsi="Arial Narrow"/>
          <w:sz w:val="18"/>
          <w:szCs w:val="18"/>
        </w:rPr>
        <w:t xml:space="preserve"> Protest Principles, </w:t>
      </w:r>
      <w:r w:rsidRPr="00441D7C">
        <w:rPr>
          <w:rFonts w:ascii="Arial Narrow" w:hAnsi="Arial Narrow"/>
          <w:i/>
          <w:sz w:val="18"/>
          <w:szCs w:val="18"/>
        </w:rPr>
        <w:t>op. cit.</w:t>
      </w:r>
      <w:r w:rsidRPr="00441D7C">
        <w:rPr>
          <w:rFonts w:ascii="Arial Narrow" w:hAnsi="Arial Narrow"/>
          <w:sz w:val="18"/>
          <w:szCs w:val="18"/>
        </w:rPr>
        <w:t>, at Principle 12.3</w:t>
      </w:r>
      <w:r w:rsidR="00B94EAE" w:rsidRPr="00441D7C">
        <w:rPr>
          <w:rFonts w:ascii="Arial Narrow" w:hAnsi="Arial Narrow"/>
          <w:sz w:val="18"/>
          <w:szCs w:val="18"/>
        </w:rPr>
        <w:t xml:space="preserve"> (e)</w:t>
      </w:r>
      <w:r w:rsidR="00F7596D">
        <w:rPr>
          <w:rFonts w:ascii="Arial Narrow" w:hAnsi="Arial Narrow"/>
          <w:sz w:val="18"/>
          <w:szCs w:val="18"/>
        </w:rPr>
        <w:t xml:space="preserve">. See also HRC Resolution 38/11, </w:t>
      </w:r>
      <w:r w:rsidR="00F7596D">
        <w:rPr>
          <w:rFonts w:ascii="Arial Narrow" w:hAnsi="Arial Narrow"/>
          <w:i/>
          <w:sz w:val="18"/>
          <w:szCs w:val="18"/>
        </w:rPr>
        <w:t>op. cit.</w:t>
      </w:r>
      <w:r w:rsidR="00F7596D">
        <w:rPr>
          <w:rFonts w:ascii="Arial Narrow" w:hAnsi="Arial Narrow"/>
          <w:sz w:val="18"/>
          <w:szCs w:val="18"/>
        </w:rPr>
        <w:t xml:space="preserve">, at operative paragraph 5. </w:t>
      </w:r>
    </w:p>
  </w:footnote>
  <w:footnote w:id="145">
    <w:p w14:paraId="27479725" w14:textId="7598F065" w:rsidR="00A11D38" w:rsidRPr="00441D7C" w:rsidRDefault="00A11D38" w:rsidP="00A11D38">
      <w:pPr>
        <w:pStyle w:val="FootnoteText"/>
        <w:rPr>
          <w:rFonts w:ascii="Arial Narrow" w:hAnsi="Arial Narrow"/>
          <w:sz w:val="18"/>
          <w:szCs w:val="18"/>
        </w:rPr>
      </w:pPr>
      <w:r w:rsidRPr="00441D7C">
        <w:rPr>
          <w:rStyle w:val="FootnoteReference"/>
          <w:rFonts w:ascii="Arial Narrow" w:hAnsi="Arial Narrow"/>
          <w:sz w:val="18"/>
          <w:szCs w:val="18"/>
        </w:rPr>
        <w:footnoteRef/>
      </w:r>
      <w:r w:rsidRPr="00441D7C">
        <w:rPr>
          <w:rFonts w:ascii="Arial Narrow" w:hAnsi="Arial Narrow"/>
          <w:sz w:val="18"/>
          <w:szCs w:val="18"/>
        </w:rPr>
        <w:t xml:space="preserve"> </w:t>
      </w:r>
      <w:r w:rsidRPr="00441D7C">
        <w:rPr>
          <w:rFonts w:ascii="Arial Narrow" w:hAnsi="Arial Narrow"/>
          <w:sz w:val="18"/>
          <w:szCs w:val="18"/>
        </w:rPr>
        <w:t xml:space="preserve">Protest Principles, </w:t>
      </w:r>
      <w:r w:rsidRPr="00441D7C">
        <w:rPr>
          <w:rFonts w:ascii="Arial Narrow" w:hAnsi="Arial Narrow"/>
          <w:i/>
          <w:sz w:val="18"/>
          <w:szCs w:val="18"/>
        </w:rPr>
        <w:t>op. cit.</w:t>
      </w:r>
      <w:r w:rsidRPr="00441D7C">
        <w:rPr>
          <w:rFonts w:ascii="Arial Narrow" w:hAnsi="Arial Narrow"/>
          <w:sz w:val="18"/>
          <w:szCs w:val="18"/>
        </w:rPr>
        <w:t>, at</w:t>
      </w:r>
      <w:r w:rsidRPr="00441D7C">
        <w:rPr>
          <w:rFonts w:ascii="Arial Narrow" w:hAnsi="Arial Narrow"/>
          <w:sz w:val="18"/>
          <w:szCs w:val="18"/>
        </w:rPr>
        <w:t xml:space="preserve"> Principle 12.3</w:t>
      </w:r>
      <w:r w:rsidR="00B94EAE" w:rsidRPr="00441D7C">
        <w:rPr>
          <w:rFonts w:ascii="Arial Narrow" w:hAnsi="Arial Narrow"/>
          <w:sz w:val="18"/>
          <w:szCs w:val="18"/>
        </w:rPr>
        <w:t xml:space="preserve"> </w:t>
      </w:r>
      <w:r w:rsidRPr="00441D7C">
        <w:rPr>
          <w:rFonts w:ascii="Arial Narrow" w:hAnsi="Arial Narrow"/>
          <w:sz w:val="18"/>
          <w:szCs w:val="18"/>
        </w:rPr>
        <w:t>(d)</w:t>
      </w:r>
    </w:p>
  </w:footnote>
  <w:footnote w:id="146">
    <w:p w14:paraId="14914B27" w14:textId="51441EE1" w:rsidR="00A11D38" w:rsidRPr="00441D7C" w:rsidRDefault="00A11D38">
      <w:pPr>
        <w:pStyle w:val="FootnoteText"/>
        <w:rPr>
          <w:rFonts w:ascii="Arial Narrow" w:hAnsi="Arial Narrow"/>
          <w:sz w:val="18"/>
          <w:szCs w:val="18"/>
        </w:rPr>
      </w:pPr>
      <w:r w:rsidRPr="00441D7C">
        <w:rPr>
          <w:rStyle w:val="FootnoteReference"/>
          <w:rFonts w:ascii="Arial Narrow" w:hAnsi="Arial Narrow"/>
          <w:sz w:val="18"/>
          <w:szCs w:val="18"/>
        </w:rPr>
        <w:footnoteRef/>
      </w:r>
      <w:r w:rsidRPr="00441D7C">
        <w:rPr>
          <w:rFonts w:ascii="Arial Narrow" w:hAnsi="Arial Narrow"/>
          <w:sz w:val="18"/>
          <w:szCs w:val="18"/>
        </w:rPr>
        <w:t xml:space="preserve"> Protest Principles, </w:t>
      </w:r>
      <w:r w:rsidRPr="00441D7C">
        <w:rPr>
          <w:rFonts w:ascii="Arial Narrow" w:hAnsi="Arial Narrow"/>
          <w:i/>
          <w:sz w:val="18"/>
          <w:szCs w:val="18"/>
        </w:rPr>
        <w:t>op. cit.</w:t>
      </w:r>
      <w:r w:rsidRPr="00441D7C">
        <w:rPr>
          <w:rFonts w:ascii="Arial Narrow" w:hAnsi="Arial Narrow"/>
          <w:sz w:val="18"/>
          <w:szCs w:val="18"/>
        </w:rPr>
        <w:t>, at Principle 12.3</w:t>
      </w:r>
      <w:r w:rsidR="00B94EAE" w:rsidRPr="00441D7C">
        <w:rPr>
          <w:rFonts w:ascii="Arial Narrow" w:hAnsi="Arial Narrow"/>
          <w:sz w:val="18"/>
          <w:szCs w:val="18"/>
        </w:rPr>
        <w:t xml:space="preserve"> </w:t>
      </w:r>
      <w:r w:rsidRPr="00441D7C">
        <w:rPr>
          <w:rFonts w:ascii="Arial Narrow" w:hAnsi="Arial Narrow"/>
          <w:sz w:val="18"/>
          <w:szCs w:val="18"/>
        </w:rPr>
        <w:t>(f)</w:t>
      </w:r>
      <w:r w:rsidR="00B94EAE" w:rsidRPr="00441D7C">
        <w:rPr>
          <w:rFonts w:ascii="Arial Narrow" w:hAnsi="Arial Narrow"/>
          <w:sz w:val="18"/>
          <w:szCs w:val="18"/>
        </w:rPr>
        <w:t xml:space="preserve"> and (g)</w:t>
      </w:r>
      <w:r w:rsidR="003272B1" w:rsidRPr="00441D7C">
        <w:rPr>
          <w:rFonts w:ascii="Arial Narrow" w:hAnsi="Arial Narrow"/>
          <w:sz w:val="18"/>
          <w:szCs w:val="18"/>
        </w:rPr>
        <w:t>. On the visibility of police identification, see also, HR Committee, List of Issues Prior to the Review of Spain, November 2014.</w:t>
      </w:r>
    </w:p>
  </w:footnote>
  <w:footnote w:id="147">
    <w:p w14:paraId="17FA5FE1" w14:textId="708B2AA2" w:rsidR="003272B1" w:rsidRPr="00441D7C" w:rsidRDefault="003272B1">
      <w:pPr>
        <w:pStyle w:val="FootnoteText"/>
        <w:rPr>
          <w:rFonts w:ascii="Arial Narrow" w:hAnsi="Arial Narrow"/>
          <w:sz w:val="18"/>
          <w:szCs w:val="18"/>
        </w:rPr>
      </w:pPr>
      <w:r w:rsidRPr="00441D7C">
        <w:rPr>
          <w:rStyle w:val="FootnoteReference"/>
          <w:rFonts w:ascii="Arial Narrow" w:hAnsi="Arial Narrow"/>
          <w:sz w:val="18"/>
          <w:szCs w:val="18"/>
        </w:rPr>
        <w:footnoteRef/>
      </w:r>
      <w:r w:rsidRPr="00441D7C">
        <w:rPr>
          <w:rFonts w:ascii="Arial Narrow" w:hAnsi="Arial Narrow"/>
          <w:sz w:val="18"/>
          <w:szCs w:val="18"/>
        </w:rPr>
        <w:t xml:space="preserve"> Note by the Rapporteur, at question 11: “</w:t>
      </w:r>
      <w:r w:rsidRPr="00441D7C">
        <w:rPr>
          <w:rFonts w:ascii="Arial Narrow" w:eastAsia="Calibri" w:hAnsi="Arial Narrow"/>
          <w:sz w:val="18"/>
          <w:szCs w:val="18"/>
        </w:rPr>
        <w:t>Can dispersal ever be justified where an assembly is entirely peaceful/non-coercive? What are the alternatives to dispersal?</w:t>
      </w:r>
      <w:r w:rsidRPr="00441D7C">
        <w:rPr>
          <w:rFonts w:ascii="Arial Narrow" w:eastAsia="Calibri" w:hAnsi="Arial Narrow"/>
          <w:sz w:val="18"/>
          <w:szCs w:val="18"/>
        </w:rPr>
        <w:t>”</w:t>
      </w:r>
    </w:p>
  </w:footnote>
  <w:footnote w:id="148">
    <w:p w14:paraId="444D8446" w14:textId="17CDCF78" w:rsidR="00200AAD" w:rsidRPr="00441D7C" w:rsidRDefault="00200AAD">
      <w:pPr>
        <w:pStyle w:val="FootnoteText"/>
        <w:rPr>
          <w:rFonts w:ascii="Arial Narrow" w:hAnsi="Arial Narrow"/>
          <w:sz w:val="18"/>
          <w:szCs w:val="18"/>
        </w:rPr>
      </w:pPr>
      <w:r w:rsidRPr="00441D7C">
        <w:rPr>
          <w:rStyle w:val="FootnoteReference"/>
          <w:rFonts w:ascii="Arial Narrow" w:hAnsi="Arial Narrow"/>
          <w:sz w:val="18"/>
          <w:szCs w:val="18"/>
        </w:rPr>
        <w:footnoteRef/>
      </w:r>
      <w:r w:rsidRPr="00441D7C">
        <w:rPr>
          <w:rFonts w:ascii="Arial Narrow" w:hAnsi="Arial Narrow"/>
          <w:sz w:val="18"/>
          <w:szCs w:val="18"/>
        </w:rPr>
        <w:t xml:space="preserve"> See, for example, HR Committee, Concluding Observations on Iraq, CCPR/C/IRQ/CO/5, 3 December 2015, at para 41. </w:t>
      </w:r>
    </w:p>
  </w:footnote>
  <w:footnote w:id="149">
    <w:p w14:paraId="0F98EA45" w14:textId="78E8812B" w:rsidR="00B603CB" w:rsidRPr="00B603CB" w:rsidRDefault="00B603CB">
      <w:pPr>
        <w:pStyle w:val="FootnoteText"/>
        <w:rPr>
          <w:rFonts w:ascii="Arial Narrow" w:hAnsi="Arial Narrow"/>
          <w:sz w:val="18"/>
          <w:szCs w:val="18"/>
        </w:rPr>
      </w:pPr>
      <w:r w:rsidRPr="00B603CB">
        <w:rPr>
          <w:rStyle w:val="FootnoteReference"/>
          <w:rFonts w:ascii="Arial Narrow" w:hAnsi="Arial Narrow"/>
          <w:sz w:val="18"/>
          <w:szCs w:val="18"/>
        </w:rPr>
        <w:footnoteRef/>
      </w:r>
      <w:r w:rsidRPr="00B603CB">
        <w:rPr>
          <w:rFonts w:ascii="Arial Narrow" w:hAnsi="Arial Narrow"/>
          <w:sz w:val="18"/>
          <w:szCs w:val="18"/>
        </w:rPr>
        <w:t xml:space="preserve"> HRC Resolution 38/11 on the promotion and protection of human rights in the context of peaceful protest</w:t>
      </w:r>
    </w:p>
  </w:footnote>
  <w:footnote w:id="150">
    <w:p w14:paraId="03EE3B21" w14:textId="3FBB3EFE" w:rsidR="00B94EAE" w:rsidRPr="00441D7C" w:rsidRDefault="00B94EAE">
      <w:pPr>
        <w:pStyle w:val="FootnoteText"/>
        <w:rPr>
          <w:rFonts w:ascii="Arial Narrow" w:hAnsi="Arial Narrow"/>
          <w:sz w:val="18"/>
          <w:szCs w:val="18"/>
        </w:rPr>
      </w:pPr>
      <w:r w:rsidRPr="00441D7C">
        <w:rPr>
          <w:rStyle w:val="FootnoteReference"/>
          <w:rFonts w:ascii="Arial Narrow" w:hAnsi="Arial Narrow"/>
          <w:sz w:val="18"/>
          <w:szCs w:val="18"/>
        </w:rPr>
        <w:footnoteRef/>
      </w:r>
      <w:r w:rsidRPr="00441D7C">
        <w:rPr>
          <w:rFonts w:ascii="Arial Narrow" w:hAnsi="Arial Narrow"/>
          <w:sz w:val="18"/>
          <w:szCs w:val="18"/>
        </w:rPr>
        <w:t xml:space="preserve"> </w:t>
      </w:r>
      <w:r w:rsidRPr="00441D7C">
        <w:rPr>
          <w:rFonts w:ascii="Arial Narrow" w:hAnsi="Arial Narrow"/>
          <w:sz w:val="18"/>
          <w:szCs w:val="18"/>
        </w:rPr>
        <w:t xml:space="preserve">Protest Principles, </w:t>
      </w:r>
      <w:r w:rsidRPr="00441D7C">
        <w:rPr>
          <w:rFonts w:ascii="Arial Narrow" w:hAnsi="Arial Narrow"/>
          <w:i/>
          <w:sz w:val="18"/>
          <w:szCs w:val="18"/>
        </w:rPr>
        <w:t>op. cit.</w:t>
      </w:r>
      <w:r w:rsidRPr="00441D7C">
        <w:rPr>
          <w:rFonts w:ascii="Arial Narrow" w:hAnsi="Arial Narrow"/>
          <w:sz w:val="18"/>
          <w:szCs w:val="18"/>
        </w:rPr>
        <w:t>, at Principle 12.4</w:t>
      </w:r>
    </w:p>
  </w:footnote>
  <w:footnote w:id="151">
    <w:p w14:paraId="594C9496" w14:textId="33A9B167" w:rsidR="00200AAD" w:rsidRPr="00441D7C" w:rsidRDefault="00200AAD">
      <w:pPr>
        <w:pStyle w:val="FootnoteText"/>
        <w:rPr>
          <w:rFonts w:ascii="Arial Narrow" w:hAnsi="Arial Narrow"/>
          <w:sz w:val="18"/>
          <w:szCs w:val="18"/>
        </w:rPr>
      </w:pPr>
      <w:r w:rsidRPr="00441D7C">
        <w:rPr>
          <w:rStyle w:val="FootnoteReference"/>
          <w:rFonts w:ascii="Arial Narrow" w:hAnsi="Arial Narrow"/>
          <w:sz w:val="18"/>
          <w:szCs w:val="18"/>
        </w:rPr>
        <w:footnoteRef/>
      </w:r>
      <w:r w:rsidRPr="00441D7C">
        <w:rPr>
          <w:rFonts w:ascii="Arial Narrow" w:hAnsi="Arial Narrow"/>
          <w:sz w:val="18"/>
          <w:szCs w:val="18"/>
        </w:rPr>
        <w:t xml:space="preserve"> HR Committee, Concluding Observations on Yemen, CCPR/C/YEM/CO/5, 23 April 2012</w:t>
      </w:r>
      <w:r w:rsidR="00441D7C">
        <w:rPr>
          <w:rFonts w:ascii="Arial Narrow" w:hAnsi="Arial Narrow"/>
          <w:sz w:val="18"/>
          <w:szCs w:val="18"/>
        </w:rPr>
        <w:t xml:space="preserve">, at para. 26; HR Committee, Concluding Observations on Uzbekistan, CCPR/C/UZB/CO/4, 17 August 2015. </w:t>
      </w:r>
      <w:r w:rsidRPr="00441D7C">
        <w:rPr>
          <w:rFonts w:ascii="Arial Narrow" w:hAnsi="Arial Narrow"/>
          <w:sz w:val="18"/>
          <w:szCs w:val="18"/>
        </w:rPr>
        <w:t xml:space="preserve">See also: ECtHR, </w:t>
      </w:r>
      <w:r w:rsidRPr="00441D7C">
        <w:rPr>
          <w:rFonts w:ascii="Arial Narrow" w:hAnsi="Arial Narrow"/>
          <w:i/>
          <w:sz w:val="18"/>
          <w:szCs w:val="18"/>
        </w:rPr>
        <w:t>Bukta and others v. Hungary</w:t>
      </w:r>
      <w:r w:rsidRPr="00441D7C">
        <w:rPr>
          <w:rFonts w:ascii="Arial Narrow" w:hAnsi="Arial Narrow"/>
          <w:sz w:val="18"/>
          <w:szCs w:val="18"/>
        </w:rPr>
        <w:t>, op. cit.</w:t>
      </w:r>
    </w:p>
  </w:footnote>
  <w:footnote w:id="152">
    <w:p w14:paraId="7C330DF3" w14:textId="561F50FF" w:rsidR="00200AAD" w:rsidRPr="00200AAD" w:rsidRDefault="00200AAD">
      <w:pPr>
        <w:pStyle w:val="FootnoteText"/>
        <w:rPr>
          <w:rFonts w:ascii="Arial Narrow" w:hAnsi="Arial Narrow"/>
          <w:sz w:val="18"/>
          <w:szCs w:val="18"/>
        </w:rPr>
      </w:pPr>
      <w:r w:rsidRPr="00441D7C">
        <w:rPr>
          <w:rStyle w:val="FootnoteReference"/>
          <w:rFonts w:ascii="Arial Narrow" w:hAnsi="Arial Narrow"/>
          <w:sz w:val="18"/>
          <w:szCs w:val="18"/>
        </w:rPr>
        <w:footnoteRef/>
      </w:r>
      <w:r w:rsidRPr="00441D7C">
        <w:rPr>
          <w:rFonts w:ascii="Arial Narrow" w:hAnsi="Arial Narrow"/>
          <w:sz w:val="18"/>
          <w:szCs w:val="18"/>
        </w:rPr>
        <w:t xml:space="preserve"> </w:t>
      </w:r>
      <w:r w:rsidRPr="00441D7C">
        <w:rPr>
          <w:rFonts w:ascii="Arial Narrow" w:hAnsi="Arial Narrow"/>
          <w:sz w:val="18"/>
          <w:szCs w:val="18"/>
        </w:rPr>
        <w:t xml:space="preserve">Joint report A/HRC/31/66, </w:t>
      </w:r>
      <w:r w:rsidRPr="00441D7C">
        <w:rPr>
          <w:rFonts w:ascii="Arial Narrow" w:hAnsi="Arial Narrow"/>
          <w:i/>
          <w:sz w:val="18"/>
          <w:szCs w:val="18"/>
        </w:rPr>
        <w:t>op. cit.</w:t>
      </w:r>
      <w:r w:rsidRPr="00441D7C">
        <w:rPr>
          <w:rFonts w:ascii="Arial Narrow" w:hAnsi="Arial Narrow"/>
          <w:sz w:val="18"/>
          <w:szCs w:val="18"/>
        </w:rPr>
        <w:t>, at para. 63.</w:t>
      </w:r>
    </w:p>
  </w:footnote>
  <w:footnote w:id="153">
    <w:p w14:paraId="7E8551FD" w14:textId="2FF2CCD4" w:rsidR="00D5409F" w:rsidRPr="00B603CB" w:rsidRDefault="00D5409F">
      <w:pPr>
        <w:pStyle w:val="FootnoteText"/>
        <w:rPr>
          <w:rFonts w:ascii="Arial Narrow" w:hAnsi="Arial Narrow"/>
          <w:sz w:val="18"/>
          <w:szCs w:val="18"/>
        </w:rPr>
      </w:pPr>
      <w:r w:rsidRPr="00B603CB">
        <w:rPr>
          <w:rStyle w:val="FootnoteReference"/>
          <w:rFonts w:ascii="Arial Narrow" w:hAnsi="Arial Narrow"/>
          <w:sz w:val="18"/>
          <w:szCs w:val="18"/>
        </w:rPr>
        <w:footnoteRef/>
      </w:r>
      <w:r w:rsidRPr="00B603CB">
        <w:rPr>
          <w:rFonts w:ascii="Arial Narrow" w:hAnsi="Arial Narrow"/>
          <w:sz w:val="18"/>
          <w:szCs w:val="18"/>
        </w:rPr>
        <w:t xml:space="preserve"> </w:t>
      </w:r>
      <w:r w:rsidR="00B603CB" w:rsidRPr="00B603CB">
        <w:rPr>
          <w:rFonts w:ascii="Arial Narrow" w:hAnsi="Arial Narrow"/>
          <w:sz w:val="18"/>
          <w:szCs w:val="18"/>
        </w:rPr>
        <w:t xml:space="preserve">Special Rapporteur on freedom of peaceful assembly and of association, country visit to the United Kingdom, A/HRC/23/39/Add.1, paras 36 – 38, and 93. Contrast ECtHR </w:t>
      </w:r>
      <w:r w:rsidR="00B603CB" w:rsidRPr="00B603CB">
        <w:rPr>
          <w:rFonts w:ascii="Arial Narrow" w:hAnsi="Arial Narrow"/>
          <w:i/>
          <w:sz w:val="18"/>
          <w:szCs w:val="18"/>
        </w:rPr>
        <w:t>Austin v. United Kingdom</w:t>
      </w:r>
      <w:r w:rsidR="00B603CB" w:rsidRPr="00B603CB">
        <w:rPr>
          <w:rFonts w:ascii="Arial Narrow" w:hAnsi="Arial Narrow"/>
          <w:sz w:val="18"/>
          <w:szCs w:val="18"/>
        </w:rPr>
        <w:t xml:space="preserve"> (2012). </w:t>
      </w:r>
    </w:p>
  </w:footnote>
  <w:footnote w:id="154">
    <w:p w14:paraId="162752AF" w14:textId="5A7A64B2" w:rsidR="003272B1" w:rsidRPr="00D5409F" w:rsidRDefault="003272B1">
      <w:pPr>
        <w:pStyle w:val="FootnoteText"/>
        <w:rPr>
          <w:rFonts w:ascii="Arial Narrow" w:hAnsi="Arial Narrow"/>
          <w:sz w:val="18"/>
          <w:szCs w:val="18"/>
        </w:rPr>
      </w:pPr>
      <w:r w:rsidRPr="00D5409F">
        <w:rPr>
          <w:rStyle w:val="FootnoteReference"/>
          <w:rFonts w:ascii="Arial Narrow" w:hAnsi="Arial Narrow"/>
          <w:sz w:val="18"/>
          <w:szCs w:val="18"/>
        </w:rPr>
        <w:footnoteRef/>
      </w:r>
      <w:r w:rsidRPr="00D5409F">
        <w:rPr>
          <w:rFonts w:ascii="Arial Narrow" w:hAnsi="Arial Narrow"/>
          <w:sz w:val="18"/>
          <w:szCs w:val="18"/>
        </w:rPr>
        <w:t xml:space="preserve"> </w:t>
      </w:r>
      <w:r w:rsidR="00D5409F" w:rsidRPr="00D5409F">
        <w:rPr>
          <w:rFonts w:ascii="Arial Narrow" w:hAnsi="Arial Narrow"/>
          <w:sz w:val="18"/>
          <w:szCs w:val="18"/>
        </w:rPr>
        <w:t>Protest Principle</w:t>
      </w:r>
      <w:r w:rsidRPr="00D5409F">
        <w:rPr>
          <w:rFonts w:ascii="Arial Narrow" w:hAnsi="Arial Narrow"/>
          <w:sz w:val="18"/>
          <w:szCs w:val="18"/>
        </w:rPr>
        <w:t xml:space="preserve">s, </w:t>
      </w:r>
      <w:r w:rsidRPr="00D5409F">
        <w:rPr>
          <w:rFonts w:ascii="Arial Narrow" w:hAnsi="Arial Narrow"/>
          <w:i/>
          <w:sz w:val="18"/>
          <w:szCs w:val="18"/>
        </w:rPr>
        <w:t>op. cit.</w:t>
      </w:r>
      <w:r w:rsidRPr="00D5409F">
        <w:rPr>
          <w:rFonts w:ascii="Arial Narrow" w:hAnsi="Arial Narrow"/>
          <w:sz w:val="18"/>
          <w:szCs w:val="18"/>
        </w:rPr>
        <w:t>, at Principle 12.5</w:t>
      </w:r>
    </w:p>
  </w:footnote>
  <w:footnote w:id="155">
    <w:p w14:paraId="79C8D987" w14:textId="38ABE9EB" w:rsidR="00D5409F" w:rsidRPr="00D5409F" w:rsidRDefault="00D5409F" w:rsidP="00D5409F">
      <w:pPr>
        <w:pStyle w:val="FootnoteText"/>
      </w:pPr>
      <w:r w:rsidRPr="00D5409F">
        <w:rPr>
          <w:rFonts w:ascii="Arial Narrow" w:hAnsi="Arial Narrow" w:cs="Calibri"/>
          <w:sz w:val="18"/>
          <w:szCs w:val="18"/>
          <w:vertAlign w:val="superscript"/>
        </w:rPr>
        <w:footnoteRef/>
      </w:r>
      <w:r w:rsidRPr="00D5409F">
        <w:rPr>
          <w:rFonts w:ascii="Arial Narrow" w:hAnsi="Arial Narrow" w:cs="Calibri"/>
          <w:sz w:val="18"/>
          <w:szCs w:val="18"/>
        </w:rPr>
        <w:t xml:space="preserve"> Adopted by the 8</w:t>
      </w:r>
      <w:r w:rsidRPr="00D5409F">
        <w:rPr>
          <w:rFonts w:ascii="Arial Narrow" w:hAnsi="Arial Narrow" w:cs="Calibri"/>
          <w:sz w:val="18"/>
          <w:szCs w:val="18"/>
          <w:vertAlign w:val="superscript"/>
        </w:rPr>
        <w:t>th</w:t>
      </w:r>
      <w:r w:rsidRPr="00D5409F">
        <w:rPr>
          <w:rFonts w:ascii="Arial Narrow" w:hAnsi="Arial Narrow" w:cs="Calibri"/>
          <w:sz w:val="18"/>
          <w:szCs w:val="18"/>
        </w:rPr>
        <w:t xml:space="preserve"> UN Congress on the Prevention of Crime and the Treatment of Offenders Havana, Cuba, 27 August to 7 September 1990; in particular: Principles 5, 9, and 12 – 14. </w:t>
      </w:r>
      <w:r>
        <w:rPr>
          <w:rFonts w:ascii="Arial Narrow" w:hAnsi="Arial Narrow" w:cs="Calibri"/>
          <w:sz w:val="18"/>
          <w:szCs w:val="18"/>
        </w:rPr>
        <w:t xml:space="preserve">See reference to these, for example, in HR Committee, </w:t>
      </w:r>
      <w:r w:rsidRPr="00D5409F">
        <w:rPr>
          <w:rFonts w:ascii="Arial Narrow" w:hAnsi="Arial Narrow"/>
          <w:sz w:val="18"/>
          <w:szCs w:val="18"/>
        </w:rPr>
        <w:t xml:space="preserve">Concluding Observations on Sudan, </w:t>
      </w:r>
      <w:r w:rsidRPr="00D5409F">
        <w:rPr>
          <w:rFonts w:ascii="Arial Narrow" w:hAnsi="Arial Narrow" w:cs="Times New Roman"/>
          <w:sz w:val="18"/>
          <w:szCs w:val="18"/>
        </w:rPr>
        <w:t>CCPR/C/SDN/CO/4, 19 August 2014, at para. 22</w:t>
      </w:r>
      <w:r>
        <w:rPr>
          <w:rFonts w:ascii="Arial Narrow" w:hAnsi="Arial Narrow" w:cs="Times New Roman"/>
          <w:sz w:val="18"/>
          <w:szCs w:val="18"/>
        </w:rPr>
        <w:t>.</w:t>
      </w:r>
    </w:p>
  </w:footnote>
  <w:footnote w:id="156">
    <w:p w14:paraId="294DF815" w14:textId="77777777" w:rsidR="00D5409F" w:rsidRPr="00D5409F" w:rsidRDefault="00D5409F" w:rsidP="00D5409F">
      <w:pPr>
        <w:pStyle w:val="FootnoteText"/>
        <w:jc w:val="both"/>
        <w:rPr>
          <w:rFonts w:ascii="Arial Narrow" w:hAnsi="Arial Narrow" w:cs="Calibri"/>
          <w:sz w:val="18"/>
          <w:szCs w:val="18"/>
        </w:rPr>
      </w:pPr>
      <w:r w:rsidRPr="00D5409F">
        <w:rPr>
          <w:rFonts w:ascii="Arial Narrow" w:hAnsi="Arial Narrow" w:cs="Calibri"/>
          <w:sz w:val="18"/>
          <w:szCs w:val="18"/>
          <w:vertAlign w:val="superscript"/>
        </w:rPr>
        <w:footnoteRef/>
      </w:r>
      <w:r w:rsidRPr="00D5409F">
        <w:rPr>
          <w:rFonts w:ascii="Arial Narrow" w:hAnsi="Arial Narrow" w:cs="Calibri"/>
          <w:sz w:val="18"/>
          <w:szCs w:val="18"/>
        </w:rPr>
        <w:t xml:space="preserve"> Adopted by the UN General Assembly in resolution 34/169 of 17 December 1979.</w:t>
      </w:r>
    </w:p>
  </w:footnote>
  <w:footnote w:id="157">
    <w:p w14:paraId="1984E7F4" w14:textId="1C1FE8B1" w:rsidR="00D5409F" w:rsidRPr="00D5409F" w:rsidRDefault="00D5409F">
      <w:pPr>
        <w:pStyle w:val="FootnoteText"/>
        <w:rPr>
          <w:rFonts w:ascii="Arial Narrow" w:hAnsi="Arial Narrow"/>
          <w:sz w:val="18"/>
          <w:szCs w:val="18"/>
        </w:rPr>
      </w:pPr>
      <w:r w:rsidRPr="00D5409F">
        <w:rPr>
          <w:rStyle w:val="FootnoteReference"/>
          <w:rFonts w:ascii="Arial Narrow" w:hAnsi="Arial Narrow"/>
          <w:sz w:val="18"/>
          <w:szCs w:val="18"/>
        </w:rPr>
        <w:footnoteRef/>
      </w:r>
      <w:r w:rsidRPr="00D5409F">
        <w:rPr>
          <w:rFonts w:ascii="Arial Narrow" w:hAnsi="Arial Narrow"/>
          <w:sz w:val="18"/>
          <w:szCs w:val="18"/>
        </w:rPr>
        <w:t xml:space="preserve"> </w:t>
      </w:r>
      <w:r w:rsidRPr="00D5409F">
        <w:rPr>
          <w:rFonts w:ascii="Arial Narrow" w:hAnsi="Arial Narrow"/>
          <w:sz w:val="18"/>
          <w:szCs w:val="18"/>
        </w:rPr>
        <w:t xml:space="preserve">Joint report A/HRC/31/66, </w:t>
      </w:r>
      <w:r w:rsidRPr="00D5409F">
        <w:rPr>
          <w:rFonts w:ascii="Arial Narrow" w:hAnsi="Arial Narrow"/>
          <w:i/>
          <w:sz w:val="18"/>
          <w:szCs w:val="18"/>
        </w:rPr>
        <w:t>op. cit.</w:t>
      </w:r>
      <w:r w:rsidRPr="00D5409F">
        <w:rPr>
          <w:rFonts w:ascii="Arial Narrow" w:hAnsi="Arial Narrow"/>
          <w:sz w:val="18"/>
          <w:szCs w:val="18"/>
        </w:rPr>
        <w:t>, at para</w:t>
      </w:r>
      <w:r w:rsidRPr="00D5409F">
        <w:rPr>
          <w:rFonts w:ascii="Arial Narrow" w:hAnsi="Arial Narrow"/>
          <w:sz w:val="18"/>
          <w:szCs w:val="18"/>
        </w:rPr>
        <w:t>s. 50 – 67.</w:t>
      </w:r>
    </w:p>
  </w:footnote>
  <w:footnote w:id="158">
    <w:p w14:paraId="53DFF637" w14:textId="6EBF8DE1" w:rsidR="00B603CB" w:rsidRPr="00F7596D" w:rsidRDefault="00B603CB">
      <w:pPr>
        <w:pStyle w:val="FootnoteText"/>
        <w:rPr>
          <w:rFonts w:ascii="Arial Narrow" w:hAnsi="Arial Narrow"/>
          <w:i/>
          <w:sz w:val="18"/>
          <w:szCs w:val="18"/>
        </w:rPr>
      </w:pPr>
      <w:r w:rsidRPr="00F7596D">
        <w:rPr>
          <w:rStyle w:val="FootnoteReference"/>
          <w:rFonts w:ascii="Arial Narrow" w:hAnsi="Arial Narrow"/>
          <w:sz w:val="18"/>
          <w:szCs w:val="18"/>
        </w:rPr>
        <w:footnoteRef/>
      </w:r>
      <w:r w:rsidRPr="00F7596D">
        <w:rPr>
          <w:rFonts w:ascii="Arial Narrow" w:hAnsi="Arial Narrow"/>
          <w:sz w:val="18"/>
          <w:szCs w:val="18"/>
        </w:rPr>
        <w:t xml:space="preserve"> See positive reference to these materials in </w:t>
      </w:r>
      <w:r w:rsidR="00D96FEC">
        <w:rPr>
          <w:rFonts w:ascii="Arial Narrow" w:hAnsi="Arial Narrow"/>
          <w:sz w:val="18"/>
          <w:szCs w:val="18"/>
        </w:rPr>
        <w:t xml:space="preserve">the preamble to </w:t>
      </w:r>
      <w:r w:rsidRPr="00F7596D">
        <w:rPr>
          <w:rFonts w:ascii="Arial Narrow" w:hAnsi="Arial Narrow"/>
          <w:sz w:val="18"/>
          <w:szCs w:val="18"/>
        </w:rPr>
        <w:t xml:space="preserve">Human Rights Council resolution 38/11, </w:t>
      </w:r>
      <w:r w:rsidR="00F7596D" w:rsidRPr="00F7596D">
        <w:rPr>
          <w:rFonts w:ascii="Arial Narrow" w:hAnsi="Arial Narrow"/>
          <w:i/>
          <w:sz w:val="18"/>
          <w:szCs w:val="18"/>
        </w:rPr>
        <w:t>op. cit.</w:t>
      </w:r>
    </w:p>
  </w:footnote>
  <w:footnote w:id="159">
    <w:p w14:paraId="29F8FC95" w14:textId="77777777" w:rsidR="00D96FEC" w:rsidRDefault="00D96FEC" w:rsidP="00D96FEC">
      <w:pPr>
        <w:pStyle w:val="FootnoteText"/>
        <w:jc w:val="both"/>
      </w:pPr>
      <w:r w:rsidRPr="00D5409F">
        <w:rPr>
          <w:rStyle w:val="FootnoteReference"/>
          <w:rFonts w:ascii="Arial Narrow" w:hAnsi="Arial Narrow"/>
          <w:sz w:val="18"/>
          <w:szCs w:val="18"/>
        </w:rPr>
        <w:footnoteRef/>
      </w:r>
      <w:r w:rsidRPr="00D5409F">
        <w:rPr>
          <w:rFonts w:ascii="Arial Narrow" w:hAnsi="Arial Narrow"/>
          <w:sz w:val="18"/>
          <w:szCs w:val="18"/>
        </w:rPr>
        <w:t xml:space="preserve"> Concluding Observations on Sudan, </w:t>
      </w:r>
      <w:r w:rsidRPr="00D5409F">
        <w:rPr>
          <w:rFonts w:ascii="Arial Narrow" w:hAnsi="Arial Narrow" w:cs="Times New Roman"/>
          <w:sz w:val="18"/>
          <w:szCs w:val="18"/>
        </w:rPr>
        <w:t xml:space="preserve">CCPR/C/SDN/CO/4, 19 </w:t>
      </w:r>
      <w:r w:rsidRPr="00AB4658">
        <w:rPr>
          <w:rFonts w:ascii="Arial Narrow" w:hAnsi="Arial Narrow" w:cs="Times New Roman"/>
          <w:sz w:val="18"/>
          <w:szCs w:val="18"/>
        </w:rPr>
        <w:t>August 2014, at para. 22; Concluding Observations on Cambodia, CCPR/C/KHM/CO/2, 27 April 2015, at para. 12.</w:t>
      </w:r>
    </w:p>
  </w:footnote>
  <w:footnote w:id="160">
    <w:p w14:paraId="4FFE9A6C" w14:textId="77777777" w:rsidR="00D96FEC" w:rsidRPr="00AB4658" w:rsidRDefault="00D96FEC" w:rsidP="00D96FEC">
      <w:pPr>
        <w:pStyle w:val="FootnoteText"/>
        <w:rPr>
          <w:rFonts w:ascii="Arial Narrow" w:hAnsi="Arial Narrow"/>
          <w:sz w:val="18"/>
          <w:szCs w:val="18"/>
        </w:rPr>
      </w:pPr>
      <w:r w:rsidRPr="00AB4658">
        <w:rPr>
          <w:rStyle w:val="FootnoteReference"/>
          <w:rFonts w:ascii="Arial Narrow" w:hAnsi="Arial Narrow"/>
          <w:sz w:val="18"/>
          <w:szCs w:val="18"/>
        </w:rPr>
        <w:footnoteRef/>
      </w:r>
      <w:r w:rsidRPr="00AB4658">
        <w:rPr>
          <w:rFonts w:ascii="Arial Narrow" w:hAnsi="Arial Narrow"/>
          <w:sz w:val="18"/>
          <w:szCs w:val="18"/>
        </w:rPr>
        <w:t xml:space="preserve"> Concluding Observations on </w:t>
      </w:r>
      <w:r w:rsidRPr="00AB4658">
        <w:rPr>
          <w:rFonts w:ascii="Arial Narrow" w:hAnsi="Arial Narrow" w:cs="Times New Roman"/>
          <w:sz w:val="18"/>
          <w:szCs w:val="18"/>
        </w:rPr>
        <w:t>Russia, CCPR/C/RUS/CO/7, 28 April 2015, at</w:t>
      </w:r>
      <w:r>
        <w:rPr>
          <w:rFonts w:ascii="Arial Narrow" w:hAnsi="Arial Narrow" w:cs="Times New Roman"/>
          <w:sz w:val="18"/>
          <w:szCs w:val="18"/>
        </w:rPr>
        <w:t xml:space="preserve"> para. 25; </w:t>
      </w:r>
      <w:r w:rsidRPr="00D5409F">
        <w:rPr>
          <w:rFonts w:ascii="Arial Narrow" w:hAnsi="Arial Narrow"/>
          <w:sz w:val="18"/>
          <w:szCs w:val="18"/>
        </w:rPr>
        <w:t xml:space="preserve">Concluding Observations on Sudan, </w:t>
      </w:r>
      <w:r w:rsidRPr="00D5409F">
        <w:rPr>
          <w:rFonts w:ascii="Arial Narrow" w:hAnsi="Arial Narrow" w:cs="Times New Roman"/>
          <w:sz w:val="18"/>
          <w:szCs w:val="18"/>
        </w:rPr>
        <w:t>CCPR/C/SDN/CO/4, 19 August 2014, at para. 22</w:t>
      </w:r>
    </w:p>
  </w:footnote>
  <w:footnote w:id="161">
    <w:p w14:paraId="725C849F" w14:textId="74F2BD5D" w:rsidR="00D96FEC" w:rsidRPr="00D96FEC" w:rsidRDefault="00D96FEC" w:rsidP="00D96FEC">
      <w:pPr>
        <w:spacing w:after="0"/>
        <w:rPr>
          <w:rFonts w:ascii="Arial Narrow" w:hAnsi="Arial Narrow" w:cs="Times New Roman"/>
          <w:sz w:val="18"/>
          <w:szCs w:val="18"/>
        </w:rPr>
      </w:pPr>
      <w:r w:rsidRPr="00D96FEC">
        <w:rPr>
          <w:rStyle w:val="FootnoteReference"/>
          <w:rFonts w:ascii="Arial Narrow" w:hAnsi="Arial Narrow"/>
          <w:sz w:val="18"/>
          <w:szCs w:val="18"/>
        </w:rPr>
        <w:footnoteRef/>
      </w:r>
      <w:r w:rsidRPr="00D96FEC">
        <w:rPr>
          <w:rFonts w:ascii="Arial Narrow" w:hAnsi="Arial Narrow"/>
          <w:sz w:val="18"/>
          <w:szCs w:val="18"/>
        </w:rPr>
        <w:t xml:space="preserve"> Concluding Observations on Canada, </w:t>
      </w:r>
      <w:r w:rsidRPr="00D96FEC">
        <w:rPr>
          <w:rFonts w:ascii="Arial Narrow" w:hAnsi="Arial Narrow" w:cs="Times New Roman"/>
          <w:sz w:val="18"/>
          <w:szCs w:val="18"/>
        </w:rPr>
        <w:t>CCPR/C/CAN/CO/6, 13 Aug 2015, at para. 11.</w:t>
      </w:r>
      <w:r w:rsidRPr="001162CD">
        <w:rPr>
          <w:rFonts w:ascii="Times New Roman" w:hAnsi="Times New Roman" w:cs="Times New Roman"/>
          <w:sz w:val="24"/>
          <w:szCs w:val="24"/>
        </w:rPr>
        <w:t xml:space="preserve"> </w:t>
      </w:r>
      <w:r w:rsidRPr="00AB4658">
        <w:rPr>
          <w:rFonts w:ascii="Arial Narrow" w:hAnsi="Arial Narrow"/>
          <w:sz w:val="18"/>
          <w:szCs w:val="18"/>
        </w:rPr>
        <w:t xml:space="preserve">Concluding Observations on Malawi, </w:t>
      </w:r>
      <w:r w:rsidRPr="00AB4658">
        <w:rPr>
          <w:rFonts w:ascii="Arial Narrow" w:hAnsi="Arial Narrow" w:cs="Times New Roman"/>
          <w:sz w:val="18"/>
          <w:szCs w:val="18"/>
        </w:rPr>
        <w:t>CCPR/C/MWI/CO/1/Add.1, 19 August 2014, at para. 23.</w:t>
      </w:r>
    </w:p>
  </w:footnote>
  <w:footnote w:id="162">
    <w:p w14:paraId="5B5A07DE" w14:textId="2C8C8F6C" w:rsidR="00AB4658" w:rsidRPr="00D96FEC" w:rsidRDefault="00AB4658">
      <w:pPr>
        <w:pStyle w:val="FootnoteText"/>
        <w:rPr>
          <w:rFonts w:ascii="Arial Narrow" w:hAnsi="Arial Narrow"/>
          <w:sz w:val="18"/>
          <w:szCs w:val="18"/>
        </w:rPr>
      </w:pPr>
      <w:r w:rsidRPr="00D96FEC">
        <w:rPr>
          <w:rStyle w:val="FootnoteReference"/>
          <w:rFonts w:ascii="Arial Narrow" w:hAnsi="Arial Narrow"/>
          <w:sz w:val="18"/>
          <w:szCs w:val="18"/>
        </w:rPr>
        <w:footnoteRef/>
      </w:r>
      <w:r w:rsidRPr="00D96FEC">
        <w:rPr>
          <w:rFonts w:ascii="Arial Narrow" w:hAnsi="Arial Narrow"/>
          <w:sz w:val="18"/>
          <w:szCs w:val="18"/>
        </w:rPr>
        <w:t xml:space="preserve"> </w:t>
      </w:r>
      <w:r w:rsidRPr="00D96FEC">
        <w:rPr>
          <w:rFonts w:ascii="Arial Narrow" w:hAnsi="Arial Narrow"/>
          <w:i/>
          <w:sz w:val="18"/>
          <w:szCs w:val="18"/>
        </w:rPr>
        <w:t xml:space="preserve">Op. Cit. </w:t>
      </w:r>
      <w:r w:rsidRPr="00D96FEC">
        <w:rPr>
          <w:rFonts w:ascii="Arial Narrow" w:hAnsi="Arial Narrow"/>
          <w:sz w:val="18"/>
          <w:szCs w:val="18"/>
        </w:rPr>
        <w:t>See, in particular, operative paragraphs 10 – 16.</w:t>
      </w:r>
    </w:p>
  </w:footnote>
  <w:footnote w:id="163">
    <w:p w14:paraId="058802F9" w14:textId="4059BD6E" w:rsidR="00D96FEC" w:rsidRPr="00D96FEC" w:rsidRDefault="00D96FEC">
      <w:pPr>
        <w:pStyle w:val="FootnoteText"/>
        <w:rPr>
          <w:rFonts w:ascii="Arial Narrow" w:hAnsi="Arial Narrow"/>
          <w:sz w:val="18"/>
          <w:szCs w:val="18"/>
        </w:rPr>
      </w:pPr>
      <w:r w:rsidRPr="00D96FEC">
        <w:rPr>
          <w:rStyle w:val="FootnoteReference"/>
          <w:rFonts w:ascii="Arial Narrow" w:hAnsi="Arial Narrow"/>
          <w:sz w:val="18"/>
          <w:szCs w:val="18"/>
        </w:rPr>
        <w:footnoteRef/>
      </w:r>
      <w:r w:rsidRPr="00D96FEC">
        <w:rPr>
          <w:rFonts w:ascii="Arial Narrow" w:hAnsi="Arial Narrow"/>
          <w:sz w:val="18"/>
          <w:szCs w:val="18"/>
        </w:rPr>
        <w:t xml:space="preserve"> Concluding Observations on the Republic of Korea, CCPR/C/KOR/CO/4, 3 December 2015, at para. 52. </w:t>
      </w:r>
    </w:p>
  </w:footnote>
  <w:footnote w:id="164">
    <w:p w14:paraId="4975A734" w14:textId="507E29DA" w:rsidR="00D96FEC" w:rsidRPr="00EA33A6" w:rsidRDefault="00D96FEC" w:rsidP="004E680C">
      <w:pPr>
        <w:spacing w:after="0"/>
        <w:rPr>
          <w:rFonts w:ascii="Arial Narrow" w:hAnsi="Arial Narrow" w:cs="Times New Roman"/>
          <w:sz w:val="18"/>
          <w:szCs w:val="18"/>
        </w:rPr>
      </w:pPr>
      <w:r w:rsidRPr="00D96FEC">
        <w:rPr>
          <w:rStyle w:val="FootnoteReference"/>
          <w:rFonts w:ascii="Arial Narrow" w:hAnsi="Arial Narrow"/>
          <w:sz w:val="18"/>
          <w:szCs w:val="18"/>
        </w:rPr>
        <w:footnoteRef/>
      </w:r>
      <w:r w:rsidRPr="00D96FEC">
        <w:rPr>
          <w:rFonts w:ascii="Arial Narrow" w:hAnsi="Arial Narrow"/>
          <w:sz w:val="18"/>
          <w:szCs w:val="18"/>
        </w:rPr>
        <w:t xml:space="preserve"> Concluding Observations on </w:t>
      </w:r>
      <w:r w:rsidRPr="00D96FEC">
        <w:rPr>
          <w:rFonts w:ascii="Arial Narrow" w:hAnsi="Arial Narrow" w:cs="Times New Roman"/>
          <w:sz w:val="18"/>
          <w:szCs w:val="18"/>
        </w:rPr>
        <w:t>China (</w:t>
      </w:r>
      <w:r w:rsidRPr="00D96FEC">
        <w:rPr>
          <w:rFonts w:ascii="Arial Narrow" w:hAnsi="Arial Narrow" w:cs="Times New Roman"/>
          <w:sz w:val="18"/>
          <w:szCs w:val="18"/>
        </w:rPr>
        <w:t>Macao</w:t>
      </w:r>
      <w:r w:rsidRPr="00D96FEC">
        <w:rPr>
          <w:rFonts w:ascii="Arial Narrow" w:hAnsi="Arial Narrow" w:cs="Times New Roman"/>
          <w:sz w:val="18"/>
          <w:szCs w:val="18"/>
        </w:rPr>
        <w:t xml:space="preserve">), </w:t>
      </w:r>
      <w:r w:rsidRPr="00D96FEC">
        <w:rPr>
          <w:rFonts w:ascii="Arial Narrow" w:hAnsi="Arial Narrow" w:cs="Times New Roman"/>
          <w:sz w:val="18"/>
          <w:szCs w:val="18"/>
        </w:rPr>
        <w:t>CCPR/</w:t>
      </w:r>
      <w:r w:rsidRPr="00D96FEC">
        <w:rPr>
          <w:rFonts w:ascii="Arial Narrow" w:hAnsi="Arial Narrow" w:cs="Times New Roman"/>
          <w:sz w:val="18"/>
          <w:szCs w:val="18"/>
        </w:rPr>
        <w:t>C/CHN-MAC/CO/1, 29 April 2013,</w:t>
      </w:r>
      <w:r w:rsidRPr="00D96FEC">
        <w:rPr>
          <w:rFonts w:ascii="Arial Narrow" w:hAnsi="Arial Narrow" w:cs="Times New Roman"/>
          <w:sz w:val="18"/>
          <w:szCs w:val="18"/>
        </w:rPr>
        <w:t xml:space="preserve"> </w:t>
      </w:r>
      <w:r w:rsidRPr="00D96FEC">
        <w:rPr>
          <w:rFonts w:ascii="Arial Narrow" w:hAnsi="Arial Narrow" w:cs="Times New Roman"/>
          <w:sz w:val="18"/>
          <w:szCs w:val="18"/>
        </w:rPr>
        <w:t xml:space="preserve">Macao, at </w:t>
      </w:r>
      <w:r w:rsidRPr="00D96FEC">
        <w:rPr>
          <w:rFonts w:ascii="Arial Narrow" w:hAnsi="Arial Narrow" w:cs="Times New Roman"/>
          <w:sz w:val="18"/>
          <w:szCs w:val="18"/>
        </w:rPr>
        <w:t>para 16.;</w:t>
      </w:r>
      <w:r w:rsidRPr="00D96FEC">
        <w:rPr>
          <w:rFonts w:ascii="Arial Narrow" w:hAnsi="Arial Narrow" w:cs="Times New Roman"/>
          <w:sz w:val="18"/>
          <w:szCs w:val="18"/>
        </w:rPr>
        <w:t xml:space="preserve"> Concluding Observations on China </w:t>
      </w:r>
      <w:r w:rsidRPr="00EA33A6">
        <w:rPr>
          <w:rFonts w:ascii="Arial Narrow" w:hAnsi="Arial Narrow" w:cs="Times New Roman"/>
          <w:sz w:val="18"/>
          <w:szCs w:val="18"/>
        </w:rPr>
        <w:t>(Hong Kong),</w:t>
      </w:r>
      <w:r w:rsidRPr="00EA33A6">
        <w:rPr>
          <w:rFonts w:ascii="Arial Narrow" w:hAnsi="Arial Narrow" w:cs="Times New Roman"/>
          <w:sz w:val="18"/>
          <w:szCs w:val="18"/>
        </w:rPr>
        <w:t xml:space="preserve"> CCPR</w:t>
      </w:r>
      <w:r w:rsidRPr="00EA33A6">
        <w:rPr>
          <w:rFonts w:ascii="Arial Narrow" w:hAnsi="Arial Narrow" w:cs="Times New Roman"/>
          <w:sz w:val="18"/>
          <w:szCs w:val="18"/>
        </w:rPr>
        <w:t>/C/CHN-HKG/CO/3, 29 April 2013, at p</w:t>
      </w:r>
      <w:r w:rsidRPr="00EA33A6">
        <w:rPr>
          <w:rFonts w:ascii="Arial Narrow" w:hAnsi="Arial Narrow" w:cs="Times New Roman"/>
          <w:sz w:val="18"/>
          <w:szCs w:val="18"/>
        </w:rPr>
        <w:t>ara. 10;</w:t>
      </w:r>
      <w:r w:rsidRPr="00EA33A6">
        <w:rPr>
          <w:rFonts w:ascii="Arial Narrow" w:hAnsi="Arial Narrow"/>
          <w:sz w:val="18"/>
          <w:szCs w:val="18"/>
        </w:rPr>
        <w:t xml:space="preserve"> </w:t>
      </w:r>
      <w:r w:rsidRPr="00EA33A6">
        <w:rPr>
          <w:rFonts w:ascii="Arial Narrow" w:hAnsi="Arial Narrow" w:cs="Times New Roman"/>
          <w:sz w:val="18"/>
          <w:szCs w:val="18"/>
        </w:rPr>
        <w:t>CCPR/</w:t>
      </w:r>
      <w:r w:rsidR="004E680C" w:rsidRPr="00EA33A6">
        <w:rPr>
          <w:rFonts w:ascii="Arial Narrow" w:hAnsi="Arial Narrow" w:cs="Times New Roman"/>
          <w:sz w:val="18"/>
          <w:szCs w:val="18"/>
        </w:rPr>
        <w:t>C/CHN-MAC/CO/1 (29 April 2013)</w:t>
      </w:r>
    </w:p>
  </w:footnote>
  <w:footnote w:id="165">
    <w:p w14:paraId="235FB482" w14:textId="2B234E63" w:rsidR="005757BE" w:rsidRPr="00EA33A6" w:rsidRDefault="005757BE">
      <w:pPr>
        <w:pStyle w:val="FootnoteText"/>
        <w:rPr>
          <w:rFonts w:ascii="Arial Narrow" w:hAnsi="Arial Narrow"/>
          <w:sz w:val="18"/>
          <w:szCs w:val="18"/>
        </w:rPr>
      </w:pPr>
      <w:r w:rsidRPr="00EA33A6">
        <w:rPr>
          <w:rStyle w:val="FootnoteReference"/>
          <w:rFonts w:ascii="Arial Narrow" w:hAnsi="Arial Narrow"/>
          <w:sz w:val="18"/>
          <w:szCs w:val="18"/>
        </w:rPr>
        <w:footnoteRef/>
      </w:r>
      <w:r w:rsidRPr="00EA33A6">
        <w:rPr>
          <w:rFonts w:ascii="Arial Narrow" w:hAnsi="Arial Narrow"/>
          <w:sz w:val="18"/>
          <w:szCs w:val="18"/>
        </w:rPr>
        <w:t xml:space="preserve"> </w:t>
      </w:r>
      <w:r w:rsidR="00EA33A6" w:rsidRPr="00EA33A6">
        <w:rPr>
          <w:rFonts w:ascii="Arial Narrow" w:hAnsi="Arial Narrow"/>
          <w:sz w:val="18"/>
          <w:szCs w:val="18"/>
        </w:rPr>
        <w:t xml:space="preserve">Promotion and protection of the right to freedom of peaceful assembly, </w:t>
      </w:r>
      <w:r w:rsidRPr="00EA33A6">
        <w:rPr>
          <w:rFonts w:ascii="Arial Narrow" w:hAnsi="Arial Narrow"/>
          <w:sz w:val="18"/>
          <w:szCs w:val="18"/>
        </w:rPr>
        <w:t>A/73/348</w:t>
      </w:r>
      <w:r w:rsidR="00EA33A6" w:rsidRPr="00EA33A6">
        <w:rPr>
          <w:rFonts w:ascii="Arial Narrow" w:hAnsi="Arial Narrow"/>
          <w:sz w:val="18"/>
          <w:szCs w:val="18"/>
        </w:rPr>
        <w:t>, 29 August 2018; at para 38.</w:t>
      </w:r>
    </w:p>
  </w:footnote>
  <w:footnote w:id="166">
    <w:p w14:paraId="7C430431" w14:textId="792110D0" w:rsidR="00EA33A6" w:rsidRPr="00EA33A6" w:rsidRDefault="00EA33A6">
      <w:pPr>
        <w:pStyle w:val="FootnoteText"/>
      </w:pPr>
      <w:r w:rsidRPr="00EA33A6">
        <w:rPr>
          <w:rStyle w:val="FootnoteReference"/>
          <w:rFonts w:ascii="Arial Narrow" w:hAnsi="Arial Narrow"/>
          <w:sz w:val="18"/>
          <w:szCs w:val="18"/>
        </w:rPr>
        <w:footnoteRef/>
      </w:r>
      <w:r w:rsidRPr="00EA33A6">
        <w:rPr>
          <w:rFonts w:ascii="Arial Narrow" w:hAnsi="Arial Narrow"/>
          <w:sz w:val="18"/>
          <w:szCs w:val="18"/>
        </w:rPr>
        <w:t xml:space="preserve"> </w:t>
      </w:r>
      <w:r w:rsidRPr="00EA33A6">
        <w:rPr>
          <w:rFonts w:ascii="Arial Narrow" w:hAnsi="Arial Narrow"/>
          <w:i/>
          <w:sz w:val="18"/>
          <w:szCs w:val="18"/>
        </w:rPr>
        <w:t>Ibid.</w:t>
      </w:r>
      <w:r w:rsidRPr="00EA33A6">
        <w:rPr>
          <w:rFonts w:ascii="Arial Narrow" w:hAnsi="Arial Narrow"/>
          <w:sz w:val="18"/>
          <w:szCs w:val="18"/>
        </w:rPr>
        <w:t>, at para 63.</w:t>
      </w:r>
    </w:p>
  </w:footnote>
  <w:footnote w:id="167">
    <w:p w14:paraId="29863039" w14:textId="606CFBB9" w:rsidR="004E680C" w:rsidRPr="005757BE" w:rsidRDefault="004E680C" w:rsidP="004E680C">
      <w:pPr>
        <w:pStyle w:val="FootnoteText"/>
        <w:rPr>
          <w:rFonts w:ascii="Arial Narrow" w:hAnsi="Arial Narrow"/>
          <w:sz w:val="18"/>
          <w:szCs w:val="18"/>
        </w:rPr>
      </w:pPr>
      <w:r w:rsidRPr="004E680C">
        <w:rPr>
          <w:rStyle w:val="FootnoteReference"/>
          <w:rFonts w:ascii="Arial Narrow" w:hAnsi="Arial Narrow"/>
          <w:sz w:val="18"/>
          <w:szCs w:val="18"/>
        </w:rPr>
        <w:footnoteRef/>
      </w:r>
      <w:r w:rsidRPr="004E680C">
        <w:rPr>
          <w:rFonts w:ascii="Arial Narrow" w:hAnsi="Arial Narrow"/>
          <w:sz w:val="18"/>
          <w:szCs w:val="18"/>
        </w:rPr>
        <w:t xml:space="preserve"> HRC Resolution </w:t>
      </w:r>
      <w:r>
        <w:rPr>
          <w:rFonts w:ascii="Arial Narrow" w:hAnsi="Arial Narrow"/>
          <w:sz w:val="18"/>
          <w:szCs w:val="18"/>
        </w:rPr>
        <w:t>34/7</w:t>
      </w:r>
      <w:r w:rsidRPr="004E680C">
        <w:rPr>
          <w:rFonts w:ascii="Arial Narrow" w:hAnsi="Arial Narrow"/>
          <w:sz w:val="18"/>
          <w:szCs w:val="18"/>
        </w:rPr>
        <w:t xml:space="preserve"> on “the right to privacy in the digital age”</w:t>
      </w:r>
      <w:r>
        <w:rPr>
          <w:rFonts w:ascii="Arial Narrow" w:hAnsi="Arial Narrow"/>
          <w:sz w:val="18"/>
          <w:szCs w:val="18"/>
        </w:rPr>
        <w:t xml:space="preserve">, A/HRC/Res/37/2, 4 April 2018, at operational paragraph 2. </w:t>
      </w:r>
      <w:r>
        <w:rPr>
          <w:rFonts w:ascii="Arial Narrow" w:hAnsi="Arial Narrow"/>
          <w:sz w:val="18"/>
          <w:szCs w:val="18"/>
        </w:rPr>
        <w:t xml:space="preserve">Numerous preambular paragraphs connect the right to privacy to the right of peaceful </w:t>
      </w:r>
      <w:r w:rsidRPr="005757BE">
        <w:rPr>
          <w:rFonts w:ascii="Arial Narrow" w:hAnsi="Arial Narrow"/>
          <w:sz w:val="18"/>
          <w:szCs w:val="18"/>
        </w:rPr>
        <w:t>assembly.</w:t>
      </w:r>
    </w:p>
  </w:footnote>
  <w:footnote w:id="168">
    <w:p w14:paraId="18022801" w14:textId="67923D89" w:rsidR="005757BE" w:rsidRPr="005757BE" w:rsidRDefault="005757BE">
      <w:pPr>
        <w:pStyle w:val="FootnoteText"/>
        <w:rPr>
          <w:rFonts w:ascii="Arial Narrow" w:hAnsi="Arial Narrow"/>
          <w:sz w:val="18"/>
          <w:szCs w:val="18"/>
        </w:rPr>
      </w:pPr>
      <w:r w:rsidRPr="005757BE">
        <w:rPr>
          <w:rStyle w:val="FootnoteReference"/>
          <w:rFonts w:ascii="Arial Narrow" w:hAnsi="Arial Narrow"/>
          <w:sz w:val="18"/>
          <w:szCs w:val="18"/>
        </w:rPr>
        <w:footnoteRef/>
      </w:r>
      <w:r w:rsidRPr="005757BE">
        <w:rPr>
          <w:rFonts w:ascii="Arial Narrow" w:hAnsi="Arial Narrow"/>
          <w:sz w:val="18"/>
          <w:szCs w:val="18"/>
        </w:rPr>
        <w:t xml:space="preserve"> Joint Declaration on Freedom of Expression and “Fake News”, disinformation, and propaganda, </w:t>
      </w:r>
      <w:r w:rsidRPr="005757BE">
        <w:rPr>
          <w:rFonts w:ascii="Arial Narrow" w:hAnsi="Arial Narrow"/>
          <w:i/>
          <w:sz w:val="18"/>
          <w:szCs w:val="18"/>
        </w:rPr>
        <w:t>op. cit.</w:t>
      </w:r>
      <w:r w:rsidRPr="005757BE">
        <w:rPr>
          <w:rFonts w:ascii="Arial Narrow" w:hAnsi="Arial Narrow"/>
          <w:sz w:val="18"/>
          <w:szCs w:val="18"/>
        </w:rPr>
        <w:t xml:space="preserve">, at 2(c) – (d). </w:t>
      </w:r>
      <w:r w:rsidR="00EA33A6">
        <w:rPr>
          <w:rFonts w:ascii="Arial Narrow" w:hAnsi="Arial Narrow"/>
          <w:sz w:val="18"/>
          <w:szCs w:val="18"/>
        </w:rPr>
        <w:t xml:space="preserve">See also, Protest Principles, at Principle 18. </w:t>
      </w:r>
    </w:p>
  </w:footnote>
  <w:footnote w:id="169">
    <w:p w14:paraId="18693B6A" w14:textId="784BF8BA" w:rsidR="007E7D4F" w:rsidRPr="005757BE" w:rsidRDefault="007E7D4F">
      <w:pPr>
        <w:pStyle w:val="FootnoteText"/>
        <w:rPr>
          <w:rFonts w:ascii="Arial Narrow" w:hAnsi="Arial Narrow"/>
          <w:sz w:val="18"/>
          <w:szCs w:val="18"/>
        </w:rPr>
      </w:pPr>
      <w:r w:rsidRPr="005757BE">
        <w:rPr>
          <w:rStyle w:val="FootnoteReference"/>
          <w:rFonts w:ascii="Arial Narrow" w:hAnsi="Arial Narrow"/>
          <w:sz w:val="18"/>
          <w:szCs w:val="18"/>
        </w:rPr>
        <w:footnoteRef/>
      </w:r>
      <w:r w:rsidRPr="005757BE">
        <w:rPr>
          <w:rFonts w:ascii="Arial Narrow" w:hAnsi="Arial Narrow"/>
          <w:sz w:val="18"/>
          <w:szCs w:val="18"/>
        </w:rPr>
        <w:t xml:space="preserve"> </w:t>
      </w:r>
      <w:r w:rsidRPr="005757BE">
        <w:rPr>
          <w:rFonts w:ascii="Arial Narrow" w:hAnsi="Arial Narrow"/>
          <w:sz w:val="18"/>
          <w:szCs w:val="18"/>
        </w:rPr>
        <w:t xml:space="preserve">Joint report A/HRC/31/66, </w:t>
      </w:r>
      <w:r w:rsidRPr="005757BE">
        <w:rPr>
          <w:rFonts w:ascii="Arial Narrow" w:hAnsi="Arial Narrow"/>
          <w:i/>
          <w:sz w:val="18"/>
          <w:szCs w:val="18"/>
        </w:rPr>
        <w:t>op. cit.</w:t>
      </w:r>
      <w:r w:rsidRPr="005757BE">
        <w:rPr>
          <w:rFonts w:ascii="Arial Narrow" w:hAnsi="Arial Narrow"/>
          <w:sz w:val="18"/>
          <w:szCs w:val="18"/>
        </w:rPr>
        <w:t xml:space="preserve">, at paras. </w:t>
      </w:r>
      <w:r w:rsidRPr="005757BE">
        <w:rPr>
          <w:rFonts w:ascii="Arial Narrow" w:hAnsi="Arial Narrow"/>
          <w:sz w:val="18"/>
          <w:szCs w:val="18"/>
        </w:rPr>
        <w:t>86 and 88</w:t>
      </w:r>
      <w:r w:rsidRPr="005757BE">
        <w:rPr>
          <w:rFonts w:ascii="Arial Narrow" w:hAnsi="Arial Narrow"/>
          <w:sz w:val="18"/>
          <w:szCs w:val="18"/>
        </w:rPr>
        <w:t>.</w:t>
      </w:r>
    </w:p>
  </w:footnote>
  <w:footnote w:id="170">
    <w:p w14:paraId="695E4C39" w14:textId="5B4001C4" w:rsidR="005757BE" w:rsidRPr="009401CF" w:rsidRDefault="005757BE">
      <w:pPr>
        <w:pStyle w:val="FootnoteText"/>
        <w:rPr>
          <w:rFonts w:ascii="Arial Narrow" w:hAnsi="Arial Narrow"/>
          <w:sz w:val="18"/>
          <w:szCs w:val="18"/>
        </w:rPr>
      </w:pPr>
      <w:r w:rsidRPr="009401CF">
        <w:rPr>
          <w:rStyle w:val="FootnoteReference"/>
          <w:rFonts w:ascii="Arial Narrow" w:hAnsi="Arial Narrow"/>
          <w:sz w:val="18"/>
          <w:szCs w:val="18"/>
        </w:rPr>
        <w:footnoteRef/>
      </w:r>
      <w:r w:rsidRPr="009401CF">
        <w:rPr>
          <w:rFonts w:ascii="Arial Narrow" w:hAnsi="Arial Narrow"/>
          <w:sz w:val="18"/>
          <w:szCs w:val="18"/>
        </w:rPr>
        <w:t xml:space="preserve"> HRC Resolution 38/11, </w:t>
      </w:r>
      <w:r w:rsidRPr="009401CF">
        <w:rPr>
          <w:rFonts w:ascii="Arial Narrow" w:hAnsi="Arial Narrow"/>
          <w:i/>
          <w:sz w:val="18"/>
          <w:szCs w:val="18"/>
        </w:rPr>
        <w:t>op. cit.</w:t>
      </w:r>
      <w:r w:rsidRPr="009401CF">
        <w:rPr>
          <w:rFonts w:ascii="Arial Narrow" w:hAnsi="Arial Narrow"/>
          <w:sz w:val="18"/>
          <w:szCs w:val="18"/>
        </w:rPr>
        <w:t xml:space="preserve">, at operative paragraph 1. </w:t>
      </w:r>
    </w:p>
  </w:footnote>
  <w:footnote w:id="171">
    <w:p w14:paraId="72F53B8D" w14:textId="6795E406" w:rsidR="007E7D4F" w:rsidRPr="00011DC6" w:rsidRDefault="007E7D4F" w:rsidP="00011DC6">
      <w:pPr>
        <w:pStyle w:val="FootnoteText"/>
        <w:rPr>
          <w:rFonts w:ascii="Arial Narrow" w:hAnsi="Arial Narrow"/>
          <w:sz w:val="18"/>
          <w:szCs w:val="18"/>
        </w:rPr>
      </w:pPr>
      <w:r w:rsidRPr="00011DC6">
        <w:rPr>
          <w:rStyle w:val="FootnoteReference"/>
          <w:rFonts w:ascii="Arial Narrow" w:hAnsi="Arial Narrow"/>
          <w:sz w:val="18"/>
          <w:szCs w:val="18"/>
        </w:rPr>
        <w:footnoteRef/>
      </w:r>
      <w:r w:rsidRPr="00011DC6">
        <w:rPr>
          <w:rFonts w:ascii="Arial Narrow" w:hAnsi="Arial Narrow"/>
          <w:sz w:val="18"/>
          <w:szCs w:val="18"/>
        </w:rPr>
        <w:t xml:space="preserve"> Protest Principles, </w:t>
      </w:r>
      <w:r w:rsidRPr="00011DC6">
        <w:rPr>
          <w:rFonts w:ascii="Arial Narrow" w:hAnsi="Arial Narrow"/>
          <w:i/>
          <w:sz w:val="18"/>
          <w:szCs w:val="18"/>
        </w:rPr>
        <w:t>op. cit.</w:t>
      </w:r>
      <w:r w:rsidRPr="00011DC6">
        <w:rPr>
          <w:rFonts w:ascii="Arial Narrow" w:hAnsi="Arial Narrow"/>
          <w:sz w:val="18"/>
          <w:szCs w:val="18"/>
        </w:rPr>
        <w:t xml:space="preserve">, at Principle 16. </w:t>
      </w:r>
    </w:p>
  </w:footnote>
  <w:footnote w:id="172">
    <w:p w14:paraId="081627D2" w14:textId="7C9BDEEB" w:rsidR="00011DC6" w:rsidRPr="00011DC6" w:rsidRDefault="00011DC6" w:rsidP="00011DC6">
      <w:pPr>
        <w:pStyle w:val="SingleTxtG"/>
        <w:spacing w:after="0"/>
        <w:ind w:left="0"/>
        <w:rPr>
          <w:rFonts w:ascii="Arial Narrow" w:eastAsia="Calibri" w:hAnsi="Arial Narrow"/>
          <w:sz w:val="18"/>
          <w:szCs w:val="18"/>
        </w:rPr>
      </w:pPr>
      <w:r w:rsidRPr="00011DC6">
        <w:rPr>
          <w:rStyle w:val="FootnoteReference"/>
          <w:rFonts w:ascii="Arial Narrow" w:hAnsi="Arial Narrow"/>
          <w:sz w:val="18"/>
          <w:szCs w:val="18"/>
        </w:rPr>
        <w:footnoteRef/>
      </w:r>
      <w:r w:rsidRPr="00011DC6">
        <w:rPr>
          <w:rFonts w:ascii="Arial Narrow" w:hAnsi="Arial Narrow"/>
          <w:sz w:val="18"/>
          <w:szCs w:val="18"/>
        </w:rPr>
        <w:t xml:space="preserve"> Note by the Rapporteur, at Question 12: “</w:t>
      </w:r>
      <w:r w:rsidRPr="00011DC6">
        <w:rPr>
          <w:rFonts w:ascii="Arial Narrow" w:eastAsia="Calibri" w:hAnsi="Arial Narrow"/>
          <w:sz w:val="18"/>
          <w:szCs w:val="18"/>
        </w:rPr>
        <w:t>What are the rights of those who wish to observe and record assemblies and how they are policed, including participants, bystanders and the media?</w:t>
      </w:r>
      <w:r w:rsidRPr="00011DC6">
        <w:rPr>
          <w:rFonts w:ascii="Arial Narrow" w:eastAsia="Calibri" w:hAnsi="Arial Narrow"/>
          <w:sz w:val="18"/>
          <w:szCs w:val="18"/>
        </w:rPr>
        <w:t>”</w:t>
      </w:r>
    </w:p>
  </w:footnote>
  <w:footnote w:id="173">
    <w:p w14:paraId="3ADC1EBD" w14:textId="07C481E1" w:rsidR="00EA33A6" w:rsidRPr="00011DC6" w:rsidRDefault="00EA33A6" w:rsidP="00011DC6">
      <w:pPr>
        <w:pStyle w:val="FootnoteText"/>
        <w:rPr>
          <w:rFonts w:ascii="Arial Narrow" w:hAnsi="Arial Narrow"/>
          <w:sz w:val="18"/>
          <w:szCs w:val="18"/>
        </w:rPr>
      </w:pPr>
      <w:r w:rsidRPr="00011DC6">
        <w:rPr>
          <w:rStyle w:val="FootnoteReference"/>
          <w:rFonts w:ascii="Arial Narrow" w:hAnsi="Arial Narrow"/>
          <w:sz w:val="18"/>
          <w:szCs w:val="18"/>
        </w:rPr>
        <w:footnoteRef/>
      </w:r>
      <w:r w:rsidRPr="00011DC6">
        <w:rPr>
          <w:rFonts w:ascii="Arial Narrow" w:hAnsi="Arial Narrow"/>
          <w:sz w:val="18"/>
          <w:szCs w:val="18"/>
        </w:rPr>
        <w:t xml:space="preserve"> </w:t>
      </w:r>
      <w:r w:rsidRPr="00011DC6">
        <w:rPr>
          <w:rFonts w:ascii="Arial Narrow" w:hAnsi="Arial Narrow"/>
          <w:sz w:val="18"/>
          <w:szCs w:val="18"/>
        </w:rPr>
        <w:t xml:space="preserve">Protest Principles, </w:t>
      </w:r>
      <w:r w:rsidRPr="00011DC6">
        <w:rPr>
          <w:rFonts w:ascii="Arial Narrow" w:hAnsi="Arial Narrow"/>
          <w:i/>
          <w:sz w:val="18"/>
          <w:szCs w:val="18"/>
        </w:rPr>
        <w:t>op. cit.</w:t>
      </w:r>
      <w:r w:rsidRPr="00011DC6">
        <w:rPr>
          <w:rFonts w:ascii="Arial Narrow" w:hAnsi="Arial Narrow"/>
          <w:sz w:val="18"/>
          <w:szCs w:val="18"/>
        </w:rPr>
        <w:t>, at Principle 17.</w:t>
      </w:r>
    </w:p>
  </w:footnote>
  <w:footnote w:id="174">
    <w:p w14:paraId="5060EFED" w14:textId="28F02682" w:rsidR="009401CF" w:rsidRPr="00011DC6" w:rsidRDefault="009401CF" w:rsidP="00011DC6">
      <w:pPr>
        <w:pStyle w:val="FootnoteText"/>
        <w:rPr>
          <w:rFonts w:ascii="Arial Narrow" w:hAnsi="Arial Narrow"/>
          <w:sz w:val="18"/>
          <w:szCs w:val="18"/>
        </w:rPr>
      </w:pPr>
      <w:r w:rsidRPr="00011DC6">
        <w:rPr>
          <w:rStyle w:val="FootnoteReference"/>
          <w:rFonts w:ascii="Arial Narrow" w:hAnsi="Arial Narrow"/>
          <w:sz w:val="18"/>
          <w:szCs w:val="18"/>
        </w:rPr>
        <w:footnoteRef/>
      </w:r>
      <w:r w:rsidRPr="00011DC6">
        <w:rPr>
          <w:rFonts w:ascii="Arial Narrow" w:hAnsi="Arial Narrow"/>
          <w:sz w:val="18"/>
          <w:szCs w:val="18"/>
        </w:rPr>
        <w:t xml:space="preserve"> </w:t>
      </w:r>
      <w:r w:rsidRPr="00011DC6">
        <w:rPr>
          <w:rFonts w:ascii="Arial Narrow" w:hAnsi="Arial Narrow"/>
          <w:sz w:val="18"/>
          <w:szCs w:val="18"/>
        </w:rPr>
        <w:t xml:space="preserve">Protest Principles, </w:t>
      </w:r>
      <w:r w:rsidRPr="00011DC6">
        <w:rPr>
          <w:rFonts w:ascii="Arial Narrow" w:hAnsi="Arial Narrow"/>
          <w:i/>
          <w:sz w:val="18"/>
          <w:szCs w:val="18"/>
        </w:rPr>
        <w:t>op. cit.</w:t>
      </w:r>
      <w:r w:rsidRPr="00011DC6">
        <w:rPr>
          <w:rFonts w:ascii="Arial Narrow" w:hAnsi="Arial Narrow"/>
          <w:sz w:val="18"/>
          <w:szCs w:val="18"/>
        </w:rPr>
        <w:t xml:space="preserve">, at Principle 18. </w:t>
      </w:r>
    </w:p>
  </w:footnote>
  <w:footnote w:id="175">
    <w:p w14:paraId="72D44AE6" w14:textId="41A1D2D7" w:rsidR="009401CF" w:rsidRPr="009401CF" w:rsidRDefault="009401CF" w:rsidP="00011DC6">
      <w:pPr>
        <w:pStyle w:val="FootnoteText"/>
        <w:rPr>
          <w:rFonts w:ascii="Arial Narrow" w:hAnsi="Arial Narrow"/>
          <w:sz w:val="18"/>
          <w:szCs w:val="18"/>
        </w:rPr>
      </w:pPr>
      <w:r w:rsidRPr="00011DC6">
        <w:rPr>
          <w:rStyle w:val="FootnoteReference"/>
          <w:rFonts w:ascii="Arial Narrow" w:hAnsi="Arial Narrow"/>
          <w:sz w:val="18"/>
          <w:szCs w:val="18"/>
        </w:rPr>
        <w:footnoteRef/>
      </w:r>
      <w:r w:rsidRPr="00011DC6">
        <w:rPr>
          <w:rFonts w:ascii="Arial Narrow" w:hAnsi="Arial Narrow"/>
          <w:sz w:val="18"/>
          <w:szCs w:val="18"/>
        </w:rPr>
        <w:t xml:space="preserve"> HR</w:t>
      </w:r>
      <w:r w:rsidRPr="009401CF">
        <w:rPr>
          <w:rFonts w:ascii="Arial Narrow" w:hAnsi="Arial Narrow"/>
          <w:sz w:val="18"/>
          <w:szCs w:val="18"/>
        </w:rPr>
        <w:t xml:space="preserve"> Committee, Concluding Observations on the Republic of Korea, CCPR/C/KOR/CO/4, 3 December 2015, at para. 52; </w:t>
      </w:r>
      <w:r w:rsidRPr="009401CF">
        <w:rPr>
          <w:rFonts w:ascii="Arial Narrow" w:hAnsi="Arial Narrow"/>
          <w:sz w:val="18"/>
          <w:szCs w:val="18"/>
        </w:rPr>
        <w:t xml:space="preserve">HR Committee, Concluding Observations on </w:t>
      </w:r>
      <w:r w:rsidRPr="009401CF">
        <w:rPr>
          <w:rFonts w:ascii="Arial Narrow" w:hAnsi="Arial Narrow"/>
          <w:sz w:val="18"/>
          <w:szCs w:val="18"/>
        </w:rPr>
        <w:t>Djibouti</w:t>
      </w:r>
      <w:r w:rsidRPr="009401CF">
        <w:rPr>
          <w:rFonts w:ascii="Arial Narrow" w:hAnsi="Arial Narrow"/>
          <w:sz w:val="18"/>
          <w:szCs w:val="18"/>
        </w:rPr>
        <w:t>, CCPR/C/</w:t>
      </w:r>
      <w:r w:rsidRPr="009401CF">
        <w:rPr>
          <w:rFonts w:ascii="Arial Narrow" w:hAnsi="Arial Narrow"/>
          <w:sz w:val="18"/>
          <w:szCs w:val="18"/>
        </w:rPr>
        <w:t xml:space="preserve">CJI/CO/1, 19 November 2013, at para. 12; </w:t>
      </w:r>
      <w:r w:rsidRPr="009401CF">
        <w:rPr>
          <w:rFonts w:ascii="Arial Narrow" w:hAnsi="Arial Narrow"/>
          <w:sz w:val="18"/>
          <w:szCs w:val="18"/>
        </w:rPr>
        <w:t xml:space="preserve">HR Committee, Concluding Observations on </w:t>
      </w:r>
      <w:r w:rsidRPr="009401CF">
        <w:rPr>
          <w:rFonts w:ascii="Arial Narrow" w:hAnsi="Arial Narrow"/>
          <w:sz w:val="18"/>
          <w:szCs w:val="18"/>
        </w:rPr>
        <w:t>Haiti, CCPR/C/HTI/CO/1, 21 November 2014, at para. 19</w:t>
      </w:r>
    </w:p>
  </w:footnote>
  <w:footnote w:id="176">
    <w:p w14:paraId="5561F911" w14:textId="65831649" w:rsidR="009401CF" w:rsidRPr="009401CF" w:rsidRDefault="009401CF">
      <w:pPr>
        <w:pStyle w:val="FootnoteText"/>
        <w:rPr>
          <w:rFonts w:ascii="Arial Narrow" w:hAnsi="Arial Narrow"/>
          <w:sz w:val="18"/>
          <w:szCs w:val="18"/>
        </w:rPr>
      </w:pPr>
      <w:r w:rsidRPr="009401CF">
        <w:rPr>
          <w:rStyle w:val="FootnoteReference"/>
          <w:rFonts w:ascii="Arial Narrow" w:hAnsi="Arial Narrow"/>
          <w:sz w:val="18"/>
          <w:szCs w:val="18"/>
        </w:rPr>
        <w:footnoteRef/>
      </w:r>
      <w:r w:rsidRPr="009401CF">
        <w:rPr>
          <w:rFonts w:ascii="Arial Narrow" w:hAnsi="Arial Narrow"/>
          <w:sz w:val="18"/>
          <w:szCs w:val="18"/>
        </w:rPr>
        <w:t xml:space="preserve"> </w:t>
      </w:r>
      <w:r w:rsidRPr="009401CF">
        <w:rPr>
          <w:rFonts w:ascii="Arial Narrow" w:hAnsi="Arial Narrow"/>
          <w:sz w:val="18"/>
          <w:szCs w:val="18"/>
        </w:rPr>
        <w:t xml:space="preserve">Joint report A/HRC/31/66, </w:t>
      </w:r>
      <w:r w:rsidRPr="009401CF">
        <w:rPr>
          <w:rFonts w:ascii="Arial Narrow" w:hAnsi="Arial Narrow"/>
          <w:i/>
          <w:sz w:val="18"/>
          <w:szCs w:val="18"/>
        </w:rPr>
        <w:t>op. cit.</w:t>
      </w:r>
      <w:r w:rsidRPr="009401CF">
        <w:rPr>
          <w:rFonts w:ascii="Arial Narrow" w:hAnsi="Arial Narrow"/>
          <w:sz w:val="18"/>
          <w:szCs w:val="18"/>
        </w:rPr>
        <w:t xml:space="preserve">, at paras. </w:t>
      </w:r>
      <w:r w:rsidRPr="009401CF">
        <w:rPr>
          <w:rFonts w:ascii="Arial Narrow" w:hAnsi="Arial Narrow"/>
          <w:sz w:val="18"/>
          <w:szCs w:val="18"/>
        </w:rPr>
        <w:t xml:space="preserve">68 – 72. </w:t>
      </w:r>
    </w:p>
  </w:footnote>
  <w:footnote w:id="177">
    <w:p w14:paraId="0ACB9021" w14:textId="2EDCD1AC" w:rsidR="009401CF" w:rsidRPr="009401CF" w:rsidRDefault="009401CF" w:rsidP="009401CF">
      <w:pPr>
        <w:pStyle w:val="FootnoteText"/>
        <w:rPr>
          <w:rFonts w:ascii="Arial Narrow" w:hAnsi="Arial Narrow"/>
          <w:sz w:val="18"/>
          <w:szCs w:val="18"/>
        </w:rPr>
      </w:pPr>
      <w:r w:rsidRPr="009401CF">
        <w:rPr>
          <w:rStyle w:val="FootnoteReference"/>
          <w:rFonts w:ascii="Arial Narrow" w:hAnsi="Arial Narrow"/>
          <w:sz w:val="18"/>
          <w:szCs w:val="18"/>
        </w:rPr>
        <w:footnoteRef/>
      </w:r>
      <w:r w:rsidRPr="009401CF">
        <w:rPr>
          <w:rFonts w:ascii="Arial Narrow" w:hAnsi="Arial Narrow"/>
          <w:sz w:val="18"/>
          <w:szCs w:val="18"/>
        </w:rPr>
        <w:t xml:space="preserve"> </w:t>
      </w:r>
      <w:r w:rsidRPr="009401CF">
        <w:rPr>
          <w:rFonts w:ascii="Arial Narrow" w:hAnsi="Arial Narrow"/>
          <w:sz w:val="18"/>
          <w:szCs w:val="18"/>
        </w:rPr>
        <w:t xml:space="preserve">HRC Resolution 38/11, </w:t>
      </w:r>
      <w:r w:rsidRPr="009401CF">
        <w:rPr>
          <w:rFonts w:ascii="Arial Narrow" w:hAnsi="Arial Narrow"/>
          <w:i/>
          <w:sz w:val="18"/>
          <w:szCs w:val="18"/>
        </w:rPr>
        <w:t>op. cit.</w:t>
      </w:r>
      <w:r w:rsidRPr="009401CF">
        <w:rPr>
          <w:rFonts w:ascii="Arial Narrow" w:hAnsi="Arial Narrow"/>
          <w:sz w:val="18"/>
          <w:szCs w:val="18"/>
        </w:rPr>
        <w:t>, at operative paragraph 8</w:t>
      </w:r>
      <w:r>
        <w:rPr>
          <w:rFonts w:ascii="Arial Narrow" w:hAnsi="Arial Narrow"/>
          <w:sz w:val="18"/>
          <w:szCs w:val="18"/>
        </w:rPr>
        <w:t xml:space="preserve">, bearing in mind the HRC recognizes the right to monitor assemblies as integral to the right of peaceful assembly. </w:t>
      </w:r>
    </w:p>
  </w:footnote>
  <w:footnote w:id="178">
    <w:p w14:paraId="453E1F51" w14:textId="77777777" w:rsidR="009401CF" w:rsidRPr="009401CF" w:rsidRDefault="009401CF" w:rsidP="009401CF">
      <w:pPr>
        <w:pStyle w:val="FootnoteText"/>
        <w:rPr>
          <w:rFonts w:ascii="Arial Narrow" w:hAnsi="Arial Narrow"/>
        </w:rPr>
      </w:pPr>
      <w:r w:rsidRPr="009401CF">
        <w:rPr>
          <w:rStyle w:val="FootnoteReference"/>
          <w:rFonts w:ascii="Arial Narrow" w:hAnsi="Arial Narrow"/>
          <w:sz w:val="18"/>
          <w:szCs w:val="18"/>
        </w:rPr>
        <w:footnoteRef/>
      </w:r>
      <w:r w:rsidRPr="009401CF">
        <w:rPr>
          <w:rFonts w:ascii="Arial Narrow" w:hAnsi="Arial Narrow"/>
          <w:sz w:val="18"/>
          <w:szCs w:val="18"/>
        </w:rPr>
        <w:t xml:space="preserve"> Protest Principles, </w:t>
      </w:r>
      <w:r w:rsidRPr="009401CF">
        <w:rPr>
          <w:rFonts w:ascii="Arial Narrow" w:hAnsi="Arial Narrow"/>
          <w:i/>
          <w:sz w:val="18"/>
          <w:szCs w:val="18"/>
        </w:rPr>
        <w:t>op. cit.</w:t>
      </w:r>
      <w:r w:rsidRPr="009401CF">
        <w:rPr>
          <w:rFonts w:ascii="Arial Narrow" w:hAnsi="Arial Narrow"/>
          <w:sz w:val="18"/>
          <w:szCs w:val="18"/>
        </w:rPr>
        <w:t xml:space="preserve">, at Principle 19.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E347D" w14:textId="77777777" w:rsidR="00917BB5" w:rsidRDefault="00917B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122A6"/>
    <w:multiLevelType w:val="hybridMultilevel"/>
    <w:tmpl w:val="D616C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DA772D"/>
    <w:multiLevelType w:val="hybridMultilevel"/>
    <w:tmpl w:val="39BEBE96"/>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4047E"/>
    <w:multiLevelType w:val="hybridMultilevel"/>
    <w:tmpl w:val="3BEAE8D2"/>
    <w:lvl w:ilvl="0" w:tplc="63ECC4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FB7310"/>
    <w:multiLevelType w:val="multilevel"/>
    <w:tmpl w:val="AED476C6"/>
    <w:styleLink w:val="List54"/>
    <w:lvl w:ilvl="0">
      <w:start w:val="1"/>
      <w:numFmt w:val="decimal"/>
      <w:lvlText w:val="%1)"/>
      <w:lvlJc w:val="left"/>
      <w:pPr>
        <w:tabs>
          <w:tab w:val="num" w:pos="675"/>
        </w:tabs>
        <w:ind w:left="675" w:hanging="315"/>
      </w:pPr>
      <w:rPr>
        <w:rFonts w:ascii="Trade Gothic LT Std" w:eastAsia="Trade Gothic LT Std" w:hAnsi="Trade Gothic LT Std" w:cs="Trade Gothic LT Std"/>
        <w:position w:val="0"/>
        <w:sz w:val="21"/>
        <w:szCs w:val="21"/>
      </w:rPr>
    </w:lvl>
    <w:lvl w:ilvl="1">
      <w:start w:val="1"/>
      <w:numFmt w:val="lowerLetter"/>
      <w:lvlText w:val="%2."/>
      <w:lvlJc w:val="left"/>
      <w:pPr>
        <w:tabs>
          <w:tab w:val="num" w:pos="1395"/>
        </w:tabs>
        <w:ind w:left="1395" w:hanging="315"/>
      </w:pPr>
      <w:rPr>
        <w:rFonts w:ascii="Trade Gothic LT Std" w:eastAsia="Trade Gothic LT Std" w:hAnsi="Trade Gothic LT Std" w:cs="Trade Gothic LT Std"/>
        <w:position w:val="0"/>
        <w:sz w:val="21"/>
        <w:szCs w:val="21"/>
      </w:rPr>
    </w:lvl>
    <w:lvl w:ilvl="2">
      <w:start w:val="1"/>
      <w:numFmt w:val="lowerRoman"/>
      <w:lvlText w:val="%3."/>
      <w:lvlJc w:val="left"/>
      <w:pPr>
        <w:tabs>
          <w:tab w:val="num" w:pos="2123"/>
        </w:tabs>
        <w:ind w:left="2123" w:hanging="259"/>
      </w:pPr>
      <w:rPr>
        <w:rFonts w:ascii="Trade Gothic LT Std" w:eastAsia="Trade Gothic LT Std" w:hAnsi="Trade Gothic LT Std" w:cs="Trade Gothic LT Std"/>
        <w:position w:val="0"/>
        <w:sz w:val="21"/>
        <w:szCs w:val="21"/>
      </w:rPr>
    </w:lvl>
    <w:lvl w:ilvl="3">
      <w:start w:val="1"/>
      <w:numFmt w:val="decimal"/>
      <w:lvlText w:val="%4."/>
      <w:lvlJc w:val="left"/>
      <w:pPr>
        <w:tabs>
          <w:tab w:val="num" w:pos="284"/>
        </w:tabs>
        <w:ind w:left="284" w:hanging="284"/>
      </w:pPr>
      <w:rPr>
        <w:rFonts w:ascii="Courier" w:eastAsia="Courier" w:hAnsi="Courier" w:cs="Courier"/>
        <w:position w:val="0"/>
        <w:sz w:val="21"/>
        <w:szCs w:val="21"/>
      </w:rPr>
    </w:lvl>
    <w:lvl w:ilvl="4">
      <w:start w:val="1"/>
      <w:numFmt w:val="lowerLetter"/>
      <w:lvlText w:val="%5."/>
      <w:lvlJc w:val="left"/>
      <w:pPr>
        <w:tabs>
          <w:tab w:val="num" w:pos="3555"/>
        </w:tabs>
        <w:ind w:left="3555" w:hanging="315"/>
      </w:pPr>
      <w:rPr>
        <w:rFonts w:ascii="Trade Gothic LT Std" w:eastAsia="Trade Gothic LT Std" w:hAnsi="Trade Gothic LT Std" w:cs="Trade Gothic LT Std"/>
        <w:position w:val="0"/>
        <w:sz w:val="21"/>
        <w:szCs w:val="21"/>
      </w:rPr>
    </w:lvl>
    <w:lvl w:ilvl="5">
      <w:start w:val="1"/>
      <w:numFmt w:val="lowerRoman"/>
      <w:lvlText w:val="%6."/>
      <w:lvlJc w:val="left"/>
      <w:pPr>
        <w:tabs>
          <w:tab w:val="num" w:pos="4283"/>
        </w:tabs>
        <w:ind w:left="4283" w:hanging="259"/>
      </w:pPr>
      <w:rPr>
        <w:rFonts w:ascii="Trade Gothic LT Std" w:eastAsia="Trade Gothic LT Std" w:hAnsi="Trade Gothic LT Std" w:cs="Trade Gothic LT Std"/>
        <w:position w:val="0"/>
        <w:sz w:val="21"/>
        <w:szCs w:val="21"/>
      </w:rPr>
    </w:lvl>
    <w:lvl w:ilvl="6">
      <w:start w:val="1"/>
      <w:numFmt w:val="decimal"/>
      <w:lvlText w:val="%7."/>
      <w:lvlJc w:val="left"/>
      <w:pPr>
        <w:tabs>
          <w:tab w:val="num" w:pos="4995"/>
        </w:tabs>
        <w:ind w:left="4995" w:hanging="315"/>
      </w:pPr>
      <w:rPr>
        <w:rFonts w:ascii="Trade Gothic LT Std" w:eastAsia="Trade Gothic LT Std" w:hAnsi="Trade Gothic LT Std" w:cs="Trade Gothic LT Std"/>
        <w:position w:val="0"/>
        <w:sz w:val="21"/>
        <w:szCs w:val="21"/>
      </w:rPr>
    </w:lvl>
    <w:lvl w:ilvl="7">
      <w:start w:val="1"/>
      <w:numFmt w:val="lowerLetter"/>
      <w:lvlText w:val="%8."/>
      <w:lvlJc w:val="left"/>
      <w:pPr>
        <w:tabs>
          <w:tab w:val="num" w:pos="5715"/>
        </w:tabs>
        <w:ind w:left="5715" w:hanging="315"/>
      </w:pPr>
      <w:rPr>
        <w:rFonts w:ascii="Trade Gothic LT Std" w:eastAsia="Trade Gothic LT Std" w:hAnsi="Trade Gothic LT Std" w:cs="Trade Gothic LT Std"/>
        <w:position w:val="0"/>
        <w:sz w:val="21"/>
        <w:szCs w:val="21"/>
      </w:rPr>
    </w:lvl>
    <w:lvl w:ilvl="8">
      <w:start w:val="1"/>
      <w:numFmt w:val="lowerRoman"/>
      <w:lvlText w:val="%9."/>
      <w:lvlJc w:val="left"/>
      <w:pPr>
        <w:tabs>
          <w:tab w:val="num" w:pos="6443"/>
        </w:tabs>
        <w:ind w:left="6443" w:hanging="259"/>
      </w:pPr>
      <w:rPr>
        <w:rFonts w:ascii="Trade Gothic LT Std" w:eastAsia="Trade Gothic LT Std" w:hAnsi="Trade Gothic LT Std" w:cs="Trade Gothic LT Std"/>
        <w:position w:val="0"/>
        <w:sz w:val="21"/>
        <w:szCs w:val="21"/>
      </w:rPr>
    </w:lvl>
  </w:abstractNum>
  <w:abstractNum w:abstractNumId="5" w15:restartNumberingAfterBreak="0">
    <w:nsid w:val="164463EB"/>
    <w:multiLevelType w:val="hybridMultilevel"/>
    <w:tmpl w:val="C2E66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487346"/>
    <w:multiLevelType w:val="hybridMultilevel"/>
    <w:tmpl w:val="8BA4A9E8"/>
    <w:lvl w:ilvl="0" w:tplc="B212D512">
      <w:start w:val="1"/>
      <w:numFmt w:val="decimal"/>
      <w:lvlText w:val="%1."/>
      <w:lvlJc w:val="left"/>
      <w:pPr>
        <w:ind w:left="360" w:hanging="360"/>
      </w:pPr>
      <w:rPr>
        <w:rFonts w:asciiTheme="minorHAnsi" w:hAnsiTheme="minorHAnsi" w:cstheme="minorHAnsi"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9730F9"/>
    <w:multiLevelType w:val="multilevel"/>
    <w:tmpl w:val="9F3C5256"/>
    <w:styleLink w:val="List56"/>
    <w:lvl w:ilvl="0">
      <w:start w:val="1"/>
      <w:numFmt w:val="lowerRoman"/>
      <w:lvlText w:val="%1."/>
      <w:lvlJc w:val="left"/>
      <w:pPr>
        <w:tabs>
          <w:tab w:val="num" w:pos="1461"/>
        </w:tabs>
        <w:ind w:left="1461" w:hanging="315"/>
      </w:pPr>
      <w:rPr>
        <w:rFonts w:ascii="Trade Gothic LT Std" w:eastAsia="Trade Gothic LT Std" w:hAnsi="Trade Gothic LT Std" w:cs="Trade Gothic LT Std"/>
        <w:color w:val="000000"/>
        <w:position w:val="0"/>
        <w:sz w:val="21"/>
        <w:szCs w:val="21"/>
        <w:u w:color="000000"/>
      </w:rPr>
    </w:lvl>
    <w:lvl w:ilvl="1">
      <w:start w:val="1"/>
      <w:numFmt w:val="lowerLetter"/>
      <w:lvlText w:val="%2."/>
      <w:lvlJc w:val="left"/>
      <w:pPr>
        <w:tabs>
          <w:tab w:val="num" w:pos="1395"/>
        </w:tabs>
        <w:ind w:left="1395" w:hanging="315"/>
      </w:pPr>
      <w:rPr>
        <w:rFonts w:ascii="Trade Gothic LT Std" w:eastAsia="Trade Gothic LT Std" w:hAnsi="Trade Gothic LT Std" w:cs="Trade Gothic LT Std"/>
        <w:color w:val="000000"/>
        <w:position w:val="0"/>
        <w:sz w:val="21"/>
        <w:szCs w:val="21"/>
        <w:u w:color="000000"/>
      </w:rPr>
    </w:lvl>
    <w:lvl w:ilvl="2">
      <w:start w:val="1"/>
      <w:numFmt w:val="lowerRoman"/>
      <w:lvlText w:val="%3."/>
      <w:lvlJc w:val="left"/>
      <w:pPr>
        <w:tabs>
          <w:tab w:val="num" w:pos="993"/>
        </w:tabs>
        <w:ind w:left="993" w:hanging="261"/>
      </w:pPr>
      <w:rPr>
        <w:rFonts w:ascii="Courier" w:eastAsia="Courier" w:hAnsi="Courier" w:cs="Courier"/>
        <w:color w:val="000000"/>
        <w:position w:val="0"/>
        <w:sz w:val="21"/>
        <w:szCs w:val="21"/>
        <w:u w:color="000000"/>
      </w:rPr>
    </w:lvl>
    <w:lvl w:ilvl="3">
      <w:start w:val="1"/>
      <w:numFmt w:val="decimal"/>
      <w:lvlText w:val="%4."/>
      <w:lvlJc w:val="left"/>
      <w:pPr>
        <w:tabs>
          <w:tab w:val="num" w:pos="2835"/>
        </w:tabs>
        <w:ind w:left="2835" w:hanging="315"/>
      </w:pPr>
      <w:rPr>
        <w:rFonts w:ascii="Trade Gothic LT Std" w:eastAsia="Trade Gothic LT Std" w:hAnsi="Trade Gothic LT Std" w:cs="Trade Gothic LT Std"/>
        <w:color w:val="000000"/>
        <w:position w:val="0"/>
        <w:sz w:val="21"/>
        <w:szCs w:val="21"/>
        <w:u w:color="000000"/>
      </w:rPr>
    </w:lvl>
    <w:lvl w:ilvl="4">
      <w:start w:val="1"/>
      <w:numFmt w:val="lowerLetter"/>
      <w:lvlText w:val="%5."/>
      <w:lvlJc w:val="left"/>
      <w:pPr>
        <w:tabs>
          <w:tab w:val="num" w:pos="3555"/>
        </w:tabs>
        <w:ind w:left="3555" w:hanging="315"/>
      </w:pPr>
      <w:rPr>
        <w:rFonts w:ascii="Trade Gothic LT Std" w:eastAsia="Trade Gothic LT Std" w:hAnsi="Trade Gothic LT Std" w:cs="Trade Gothic LT Std"/>
        <w:color w:val="000000"/>
        <w:position w:val="0"/>
        <w:sz w:val="21"/>
        <w:szCs w:val="21"/>
        <w:u w:color="000000"/>
      </w:rPr>
    </w:lvl>
    <w:lvl w:ilvl="5">
      <w:start w:val="1"/>
      <w:numFmt w:val="lowerRoman"/>
      <w:lvlText w:val="%6."/>
      <w:lvlJc w:val="left"/>
      <w:pPr>
        <w:tabs>
          <w:tab w:val="num" w:pos="4283"/>
        </w:tabs>
        <w:ind w:left="4283" w:hanging="259"/>
      </w:pPr>
      <w:rPr>
        <w:rFonts w:ascii="Trade Gothic LT Std" w:eastAsia="Trade Gothic LT Std" w:hAnsi="Trade Gothic LT Std" w:cs="Trade Gothic LT Std"/>
        <w:color w:val="000000"/>
        <w:position w:val="0"/>
        <w:sz w:val="21"/>
        <w:szCs w:val="21"/>
        <w:u w:color="000000"/>
      </w:rPr>
    </w:lvl>
    <w:lvl w:ilvl="6">
      <w:start w:val="1"/>
      <w:numFmt w:val="decimal"/>
      <w:lvlText w:val="%7."/>
      <w:lvlJc w:val="left"/>
      <w:pPr>
        <w:tabs>
          <w:tab w:val="num" w:pos="4995"/>
        </w:tabs>
        <w:ind w:left="4995" w:hanging="315"/>
      </w:pPr>
      <w:rPr>
        <w:rFonts w:ascii="Trade Gothic LT Std" w:eastAsia="Trade Gothic LT Std" w:hAnsi="Trade Gothic LT Std" w:cs="Trade Gothic LT Std"/>
        <w:color w:val="000000"/>
        <w:position w:val="0"/>
        <w:sz w:val="21"/>
        <w:szCs w:val="21"/>
        <w:u w:color="000000"/>
      </w:rPr>
    </w:lvl>
    <w:lvl w:ilvl="7">
      <w:start w:val="1"/>
      <w:numFmt w:val="lowerLetter"/>
      <w:lvlText w:val="%8."/>
      <w:lvlJc w:val="left"/>
      <w:pPr>
        <w:tabs>
          <w:tab w:val="num" w:pos="5715"/>
        </w:tabs>
        <w:ind w:left="5715" w:hanging="315"/>
      </w:pPr>
      <w:rPr>
        <w:rFonts w:ascii="Trade Gothic LT Std" w:eastAsia="Trade Gothic LT Std" w:hAnsi="Trade Gothic LT Std" w:cs="Trade Gothic LT Std"/>
        <w:color w:val="000000"/>
        <w:position w:val="0"/>
        <w:sz w:val="21"/>
        <w:szCs w:val="21"/>
        <w:u w:color="000000"/>
      </w:rPr>
    </w:lvl>
    <w:lvl w:ilvl="8">
      <w:start w:val="1"/>
      <w:numFmt w:val="lowerRoman"/>
      <w:lvlText w:val="%9."/>
      <w:lvlJc w:val="left"/>
      <w:pPr>
        <w:tabs>
          <w:tab w:val="num" w:pos="6443"/>
        </w:tabs>
        <w:ind w:left="6443" w:hanging="259"/>
      </w:pPr>
      <w:rPr>
        <w:rFonts w:ascii="Trade Gothic LT Std" w:eastAsia="Trade Gothic LT Std" w:hAnsi="Trade Gothic LT Std" w:cs="Trade Gothic LT Std"/>
        <w:color w:val="000000"/>
        <w:position w:val="0"/>
        <w:sz w:val="21"/>
        <w:szCs w:val="21"/>
        <w:u w:color="000000"/>
      </w:rPr>
    </w:lvl>
  </w:abstractNum>
  <w:abstractNum w:abstractNumId="8" w15:restartNumberingAfterBreak="0">
    <w:nsid w:val="18EA758D"/>
    <w:multiLevelType w:val="hybridMultilevel"/>
    <w:tmpl w:val="B8DA1FAE"/>
    <w:lvl w:ilvl="0" w:tplc="97A63974">
      <w:start w:val="1"/>
      <w:numFmt w:val="decimal"/>
      <w:lvlText w:val="%1."/>
      <w:lvlJc w:val="left"/>
      <w:pPr>
        <w:ind w:left="360" w:hanging="360"/>
      </w:pPr>
      <w:rPr>
        <w:rFonts w:ascii="Arial Narrow" w:hAnsi="Arial Narrow" w:cstheme="minorBidi" w:hint="default"/>
        <w:b w:val="0"/>
        <w:color w:val="auto"/>
        <w:sz w:val="22"/>
        <w:szCs w:val="22"/>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641E67"/>
    <w:multiLevelType w:val="hybridMultilevel"/>
    <w:tmpl w:val="E3CA589E"/>
    <w:lvl w:ilvl="0" w:tplc="10504524">
      <w:start w:val="1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6554"/>
    <w:multiLevelType w:val="multilevel"/>
    <w:tmpl w:val="14123D6E"/>
    <w:styleLink w:val="List55"/>
    <w:lvl w:ilvl="0">
      <w:start w:val="1"/>
      <w:numFmt w:val="lowerLetter"/>
      <w:lvlText w:val="%1)"/>
      <w:lvlJc w:val="left"/>
      <w:pPr>
        <w:tabs>
          <w:tab w:val="num" w:pos="567"/>
        </w:tabs>
        <w:ind w:left="567" w:hanging="283"/>
      </w:pPr>
      <w:rPr>
        <w:rFonts w:ascii="Courier" w:eastAsia="Courier" w:hAnsi="Courier" w:cs="Courier"/>
        <w:position w:val="0"/>
        <w:sz w:val="21"/>
        <w:szCs w:val="21"/>
      </w:rPr>
    </w:lvl>
    <w:lvl w:ilvl="1">
      <w:start w:val="1"/>
      <w:numFmt w:val="lowerLetter"/>
      <w:lvlText w:val="%2."/>
      <w:lvlJc w:val="left"/>
      <w:pPr>
        <w:tabs>
          <w:tab w:val="num" w:pos="1679"/>
        </w:tabs>
        <w:ind w:left="1679" w:hanging="315"/>
      </w:pPr>
      <w:rPr>
        <w:rFonts w:ascii="Trade Gothic LT Std" w:eastAsia="Trade Gothic LT Std" w:hAnsi="Trade Gothic LT Std" w:cs="Trade Gothic LT Std"/>
        <w:position w:val="0"/>
        <w:sz w:val="21"/>
        <w:szCs w:val="21"/>
      </w:rPr>
    </w:lvl>
    <w:lvl w:ilvl="2">
      <w:start w:val="1"/>
      <w:numFmt w:val="lowerRoman"/>
      <w:lvlText w:val="%3."/>
      <w:lvlJc w:val="left"/>
      <w:pPr>
        <w:tabs>
          <w:tab w:val="num" w:pos="2407"/>
        </w:tabs>
        <w:ind w:left="2407" w:hanging="259"/>
      </w:pPr>
      <w:rPr>
        <w:rFonts w:ascii="Trade Gothic LT Std" w:eastAsia="Trade Gothic LT Std" w:hAnsi="Trade Gothic LT Std" w:cs="Trade Gothic LT Std"/>
        <w:position w:val="0"/>
        <w:sz w:val="21"/>
        <w:szCs w:val="21"/>
      </w:rPr>
    </w:lvl>
    <w:lvl w:ilvl="3">
      <w:start w:val="1"/>
      <w:numFmt w:val="decimal"/>
      <w:lvlText w:val="%4."/>
      <w:lvlJc w:val="left"/>
      <w:pPr>
        <w:tabs>
          <w:tab w:val="num" w:pos="3119"/>
        </w:tabs>
        <w:ind w:left="3119" w:hanging="315"/>
      </w:pPr>
      <w:rPr>
        <w:rFonts w:ascii="Trade Gothic LT Std" w:eastAsia="Trade Gothic LT Std" w:hAnsi="Trade Gothic LT Std" w:cs="Trade Gothic LT Std"/>
        <w:position w:val="0"/>
        <w:sz w:val="21"/>
        <w:szCs w:val="21"/>
      </w:rPr>
    </w:lvl>
    <w:lvl w:ilvl="4">
      <w:start w:val="1"/>
      <w:numFmt w:val="lowerLetter"/>
      <w:lvlText w:val="%5."/>
      <w:lvlJc w:val="left"/>
      <w:pPr>
        <w:tabs>
          <w:tab w:val="num" w:pos="3839"/>
        </w:tabs>
        <w:ind w:left="3839" w:hanging="315"/>
      </w:pPr>
      <w:rPr>
        <w:rFonts w:ascii="Trade Gothic LT Std" w:eastAsia="Trade Gothic LT Std" w:hAnsi="Trade Gothic LT Std" w:cs="Trade Gothic LT Std"/>
        <w:position w:val="0"/>
        <w:sz w:val="21"/>
        <w:szCs w:val="21"/>
      </w:rPr>
    </w:lvl>
    <w:lvl w:ilvl="5">
      <w:start w:val="1"/>
      <w:numFmt w:val="lowerRoman"/>
      <w:lvlText w:val="%6."/>
      <w:lvlJc w:val="left"/>
      <w:pPr>
        <w:tabs>
          <w:tab w:val="num" w:pos="4567"/>
        </w:tabs>
        <w:ind w:left="4567" w:hanging="259"/>
      </w:pPr>
      <w:rPr>
        <w:rFonts w:ascii="Trade Gothic LT Std" w:eastAsia="Trade Gothic LT Std" w:hAnsi="Trade Gothic LT Std" w:cs="Trade Gothic LT Std"/>
        <w:position w:val="0"/>
        <w:sz w:val="21"/>
        <w:szCs w:val="21"/>
      </w:rPr>
    </w:lvl>
    <w:lvl w:ilvl="6">
      <w:start w:val="1"/>
      <w:numFmt w:val="decimal"/>
      <w:lvlText w:val="%7."/>
      <w:lvlJc w:val="left"/>
      <w:pPr>
        <w:tabs>
          <w:tab w:val="num" w:pos="5279"/>
        </w:tabs>
        <w:ind w:left="5279" w:hanging="315"/>
      </w:pPr>
      <w:rPr>
        <w:rFonts w:ascii="Trade Gothic LT Std" w:eastAsia="Trade Gothic LT Std" w:hAnsi="Trade Gothic LT Std" w:cs="Trade Gothic LT Std"/>
        <w:position w:val="0"/>
        <w:sz w:val="21"/>
        <w:szCs w:val="21"/>
      </w:rPr>
    </w:lvl>
    <w:lvl w:ilvl="7">
      <w:start w:val="1"/>
      <w:numFmt w:val="lowerLetter"/>
      <w:lvlText w:val="%8."/>
      <w:lvlJc w:val="left"/>
      <w:pPr>
        <w:tabs>
          <w:tab w:val="num" w:pos="5999"/>
        </w:tabs>
        <w:ind w:left="5999" w:hanging="315"/>
      </w:pPr>
      <w:rPr>
        <w:rFonts w:ascii="Trade Gothic LT Std" w:eastAsia="Trade Gothic LT Std" w:hAnsi="Trade Gothic LT Std" w:cs="Trade Gothic LT Std"/>
        <w:position w:val="0"/>
        <w:sz w:val="21"/>
        <w:szCs w:val="21"/>
      </w:rPr>
    </w:lvl>
    <w:lvl w:ilvl="8">
      <w:start w:val="1"/>
      <w:numFmt w:val="lowerRoman"/>
      <w:lvlText w:val="%9."/>
      <w:lvlJc w:val="left"/>
      <w:pPr>
        <w:tabs>
          <w:tab w:val="num" w:pos="6727"/>
        </w:tabs>
        <w:ind w:left="6727" w:hanging="259"/>
      </w:pPr>
      <w:rPr>
        <w:rFonts w:ascii="Trade Gothic LT Std" w:eastAsia="Trade Gothic LT Std" w:hAnsi="Trade Gothic LT Std" w:cs="Trade Gothic LT Std"/>
        <w:position w:val="0"/>
        <w:sz w:val="21"/>
        <w:szCs w:val="21"/>
      </w:rPr>
    </w:lvl>
  </w:abstractNum>
  <w:abstractNum w:abstractNumId="11" w15:restartNumberingAfterBreak="0">
    <w:nsid w:val="213B1DA1"/>
    <w:multiLevelType w:val="hybridMultilevel"/>
    <w:tmpl w:val="95C40642"/>
    <w:lvl w:ilvl="0" w:tplc="DD328AAE">
      <w:start w:val="6"/>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71460"/>
    <w:multiLevelType w:val="hybridMultilevel"/>
    <w:tmpl w:val="C8FAA3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0B7BF6"/>
    <w:multiLevelType w:val="hybridMultilevel"/>
    <w:tmpl w:val="BBF64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B70FF8"/>
    <w:multiLevelType w:val="hybridMultilevel"/>
    <w:tmpl w:val="8E04CE1A"/>
    <w:lvl w:ilvl="0" w:tplc="7340B6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A14DD3"/>
    <w:multiLevelType w:val="hybridMultilevel"/>
    <w:tmpl w:val="97484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3203F7"/>
    <w:multiLevelType w:val="hybridMultilevel"/>
    <w:tmpl w:val="8174E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6935EF"/>
    <w:multiLevelType w:val="hybridMultilevel"/>
    <w:tmpl w:val="8E78FA22"/>
    <w:lvl w:ilvl="0" w:tplc="C256F1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FF6BEA"/>
    <w:multiLevelType w:val="hybridMultilevel"/>
    <w:tmpl w:val="84C85620"/>
    <w:lvl w:ilvl="0" w:tplc="DD328AAE">
      <w:start w:val="6"/>
      <w:numFmt w:val="bullet"/>
      <w:lvlText w:val="-"/>
      <w:lvlJc w:val="left"/>
      <w:pPr>
        <w:ind w:left="360" w:hanging="360"/>
      </w:pPr>
      <w:rPr>
        <w:rFonts w:ascii="Arial Narrow" w:eastAsiaTheme="minorHAnsi" w:hAnsi="Arial Narrow"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57789C"/>
    <w:multiLevelType w:val="hybridMultilevel"/>
    <w:tmpl w:val="A4247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1BF0260"/>
    <w:multiLevelType w:val="hybridMultilevel"/>
    <w:tmpl w:val="94FAD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200368"/>
    <w:multiLevelType w:val="hybridMultilevel"/>
    <w:tmpl w:val="D4C07D98"/>
    <w:lvl w:ilvl="0" w:tplc="7C7E60E6">
      <w:start w:val="12"/>
      <w:numFmt w:val="bullet"/>
      <w:lvlText w:val=""/>
      <w:lvlJc w:val="left"/>
      <w:pPr>
        <w:ind w:left="720" w:hanging="360"/>
      </w:pPr>
      <w:rPr>
        <w:rFonts w:ascii="Symbol" w:eastAsiaTheme="minorHAnsi"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54CC8"/>
    <w:multiLevelType w:val="multilevel"/>
    <w:tmpl w:val="736A43C2"/>
    <w:styleLink w:val="List59"/>
    <w:lvl w:ilvl="0">
      <w:start w:val="1"/>
      <w:numFmt w:val="decimal"/>
      <w:lvlText w:val="%1."/>
      <w:lvlJc w:val="left"/>
      <w:pPr>
        <w:tabs>
          <w:tab w:val="num" w:pos="284"/>
        </w:tabs>
        <w:ind w:left="284" w:hanging="284"/>
      </w:pPr>
      <w:rPr>
        <w:color w:val="000000"/>
        <w:position w:val="0"/>
        <w:sz w:val="21"/>
        <w:szCs w:val="21"/>
        <w:u w:color="000000"/>
        <w:rtl w:val="0"/>
      </w:rPr>
    </w:lvl>
    <w:lvl w:ilvl="1">
      <w:start w:val="1"/>
      <w:numFmt w:val="lowerRoman"/>
      <w:lvlText w:val="%2."/>
      <w:lvlJc w:val="left"/>
      <w:pPr>
        <w:tabs>
          <w:tab w:val="num" w:pos="1461"/>
        </w:tabs>
        <w:ind w:left="1461" w:hanging="315"/>
      </w:pPr>
      <w:rPr>
        <w:color w:val="000000"/>
        <w:position w:val="0"/>
        <w:sz w:val="21"/>
        <w:szCs w:val="21"/>
        <w:u w:color="000000"/>
        <w:rtl w:val="0"/>
      </w:rPr>
    </w:lvl>
    <w:lvl w:ilvl="2">
      <w:start w:val="1"/>
      <w:numFmt w:val="lowerLetter"/>
      <w:lvlText w:val="%3)"/>
      <w:lvlJc w:val="left"/>
      <w:pPr>
        <w:tabs>
          <w:tab w:val="num" w:pos="2300"/>
        </w:tabs>
        <w:ind w:left="2300" w:hanging="315"/>
      </w:pPr>
      <w:rPr>
        <w:color w:val="000000"/>
        <w:position w:val="0"/>
        <w:sz w:val="21"/>
        <w:szCs w:val="21"/>
        <w:u w:color="000000"/>
        <w:rtl w:val="0"/>
      </w:rPr>
    </w:lvl>
    <w:lvl w:ilvl="3">
      <w:start w:val="1"/>
      <w:numFmt w:val="decimal"/>
      <w:lvlText w:val="%4."/>
      <w:lvlJc w:val="left"/>
      <w:pPr>
        <w:tabs>
          <w:tab w:val="num" w:pos="2901"/>
        </w:tabs>
        <w:ind w:left="2901" w:hanging="315"/>
      </w:pPr>
      <w:rPr>
        <w:color w:val="000000"/>
        <w:position w:val="0"/>
        <w:sz w:val="21"/>
        <w:szCs w:val="21"/>
        <w:u w:color="000000"/>
        <w:rtl w:val="0"/>
      </w:rPr>
    </w:lvl>
    <w:lvl w:ilvl="4">
      <w:start w:val="1"/>
      <w:numFmt w:val="lowerLetter"/>
      <w:lvlText w:val="%5."/>
      <w:lvlJc w:val="left"/>
      <w:pPr>
        <w:tabs>
          <w:tab w:val="num" w:pos="3621"/>
        </w:tabs>
        <w:ind w:left="3621" w:hanging="315"/>
      </w:pPr>
      <w:rPr>
        <w:color w:val="000000"/>
        <w:position w:val="0"/>
        <w:sz w:val="21"/>
        <w:szCs w:val="21"/>
        <w:u w:color="000000"/>
        <w:rtl w:val="0"/>
      </w:rPr>
    </w:lvl>
    <w:lvl w:ilvl="5">
      <w:start w:val="1"/>
      <w:numFmt w:val="lowerRoman"/>
      <w:lvlText w:val="%6."/>
      <w:lvlJc w:val="left"/>
      <w:pPr>
        <w:tabs>
          <w:tab w:val="num" w:pos="4349"/>
        </w:tabs>
        <w:ind w:left="4349" w:hanging="259"/>
      </w:pPr>
      <w:rPr>
        <w:color w:val="000000"/>
        <w:position w:val="0"/>
        <w:sz w:val="21"/>
        <w:szCs w:val="21"/>
        <w:u w:color="000000"/>
        <w:rtl w:val="0"/>
      </w:rPr>
    </w:lvl>
    <w:lvl w:ilvl="6">
      <w:start w:val="1"/>
      <w:numFmt w:val="decimal"/>
      <w:lvlText w:val="%7."/>
      <w:lvlJc w:val="left"/>
      <w:pPr>
        <w:tabs>
          <w:tab w:val="num" w:pos="5061"/>
        </w:tabs>
        <w:ind w:left="5061" w:hanging="315"/>
      </w:pPr>
      <w:rPr>
        <w:color w:val="000000"/>
        <w:position w:val="0"/>
        <w:sz w:val="21"/>
        <w:szCs w:val="21"/>
        <w:u w:color="000000"/>
        <w:rtl w:val="0"/>
      </w:rPr>
    </w:lvl>
    <w:lvl w:ilvl="7">
      <w:start w:val="1"/>
      <w:numFmt w:val="lowerLetter"/>
      <w:lvlText w:val="%8."/>
      <w:lvlJc w:val="left"/>
      <w:pPr>
        <w:tabs>
          <w:tab w:val="num" w:pos="5781"/>
        </w:tabs>
        <w:ind w:left="5781" w:hanging="315"/>
      </w:pPr>
      <w:rPr>
        <w:color w:val="000000"/>
        <w:position w:val="0"/>
        <w:sz w:val="21"/>
        <w:szCs w:val="21"/>
        <w:u w:color="000000"/>
        <w:rtl w:val="0"/>
      </w:rPr>
    </w:lvl>
    <w:lvl w:ilvl="8">
      <w:start w:val="1"/>
      <w:numFmt w:val="lowerRoman"/>
      <w:lvlText w:val="%9."/>
      <w:lvlJc w:val="left"/>
      <w:pPr>
        <w:tabs>
          <w:tab w:val="num" w:pos="6509"/>
        </w:tabs>
        <w:ind w:left="6509" w:hanging="259"/>
      </w:pPr>
      <w:rPr>
        <w:color w:val="000000"/>
        <w:position w:val="0"/>
        <w:sz w:val="21"/>
        <w:szCs w:val="21"/>
        <w:u w:color="000000"/>
        <w:rtl w:val="0"/>
      </w:rPr>
    </w:lvl>
  </w:abstractNum>
  <w:abstractNum w:abstractNumId="23" w15:restartNumberingAfterBreak="0">
    <w:nsid w:val="44C45CD3"/>
    <w:multiLevelType w:val="hybridMultilevel"/>
    <w:tmpl w:val="34C86436"/>
    <w:lvl w:ilvl="0" w:tplc="D592DF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DE4BDE"/>
    <w:multiLevelType w:val="hybridMultilevel"/>
    <w:tmpl w:val="808A8F22"/>
    <w:lvl w:ilvl="0" w:tplc="EB1415B0">
      <w:start w:val="33"/>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502482"/>
    <w:multiLevelType w:val="hybridMultilevel"/>
    <w:tmpl w:val="318C3CD0"/>
    <w:lvl w:ilvl="0" w:tplc="C2F830E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50EF0"/>
    <w:multiLevelType w:val="hybridMultilevel"/>
    <w:tmpl w:val="64AEED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9F2871"/>
    <w:multiLevelType w:val="hybridMultilevel"/>
    <w:tmpl w:val="687CF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882B95"/>
    <w:multiLevelType w:val="hybridMultilevel"/>
    <w:tmpl w:val="8E78FA22"/>
    <w:lvl w:ilvl="0" w:tplc="C256F1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3827D2"/>
    <w:multiLevelType w:val="hybridMultilevel"/>
    <w:tmpl w:val="D4E6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975E1"/>
    <w:multiLevelType w:val="hybridMultilevel"/>
    <w:tmpl w:val="EC46FCD6"/>
    <w:lvl w:ilvl="0" w:tplc="6B4A7F7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54021"/>
    <w:multiLevelType w:val="hybridMultilevel"/>
    <w:tmpl w:val="253CF190"/>
    <w:lvl w:ilvl="0" w:tplc="3052432A">
      <w:start w:val="35"/>
      <w:numFmt w:val="bullet"/>
      <w:lvlText w:val="-"/>
      <w:lvlJc w:val="left"/>
      <w:pPr>
        <w:ind w:left="720" w:hanging="360"/>
      </w:pPr>
      <w:rPr>
        <w:rFonts w:ascii="Arial Narrow" w:eastAsiaTheme="minorHAnsi" w:hAnsi="Arial Narrow"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BA6A9B"/>
    <w:multiLevelType w:val="hybridMultilevel"/>
    <w:tmpl w:val="17CA01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5B80950"/>
    <w:multiLevelType w:val="hybridMultilevel"/>
    <w:tmpl w:val="FE280100"/>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4" w15:restartNumberingAfterBreak="0">
    <w:nsid w:val="6D4E136D"/>
    <w:multiLevelType w:val="hybridMultilevel"/>
    <w:tmpl w:val="0264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D23905"/>
    <w:multiLevelType w:val="multilevel"/>
    <w:tmpl w:val="3DCC4758"/>
    <w:lvl w:ilvl="0">
      <w:start w:val="1"/>
      <w:numFmt w:val="decimal"/>
      <w:lvlText w:val="%1."/>
      <w:lvlJc w:val="left"/>
      <w:pPr>
        <w:tabs>
          <w:tab w:val="num" w:pos="284"/>
        </w:tabs>
        <w:ind w:left="284" w:hanging="284"/>
      </w:pPr>
      <w:rPr>
        <w:rFonts w:ascii="Trade Gothic LT Std" w:eastAsia="Courier" w:hAnsi="Trade Gothic LT Std" w:cs="Courier" w:hint="default"/>
        <w:position w:val="0"/>
        <w:sz w:val="22"/>
        <w:szCs w:val="22"/>
      </w:rPr>
    </w:lvl>
    <w:lvl w:ilvl="1">
      <w:start w:val="1"/>
      <w:numFmt w:val="lowerRoman"/>
      <w:lvlText w:val="%2."/>
      <w:lvlJc w:val="left"/>
      <w:pPr>
        <w:tabs>
          <w:tab w:val="num" w:pos="1461"/>
        </w:tabs>
        <w:ind w:left="1461" w:hanging="315"/>
      </w:pPr>
      <w:rPr>
        <w:rFonts w:ascii="Trade Gothic LT Std" w:eastAsia="Trade Gothic LT Std" w:hAnsi="Trade Gothic LT Std" w:cs="Trade Gothic LT Std"/>
        <w:position w:val="0"/>
        <w:sz w:val="21"/>
        <w:szCs w:val="21"/>
      </w:rPr>
    </w:lvl>
    <w:lvl w:ilvl="2">
      <w:start w:val="1"/>
      <w:numFmt w:val="lowerLetter"/>
      <w:lvlText w:val="%3)"/>
      <w:lvlJc w:val="left"/>
      <w:pPr>
        <w:tabs>
          <w:tab w:val="num" w:pos="2300"/>
        </w:tabs>
        <w:ind w:left="2300" w:hanging="315"/>
      </w:pPr>
      <w:rPr>
        <w:rFonts w:ascii="Trade Gothic LT Std" w:eastAsia="Trade Gothic LT Std" w:hAnsi="Trade Gothic LT Std" w:cs="Trade Gothic LT Std"/>
        <w:position w:val="0"/>
        <w:sz w:val="21"/>
        <w:szCs w:val="21"/>
      </w:rPr>
    </w:lvl>
    <w:lvl w:ilvl="3">
      <w:start w:val="1"/>
      <w:numFmt w:val="decimal"/>
      <w:lvlText w:val="%4."/>
      <w:lvlJc w:val="left"/>
      <w:pPr>
        <w:tabs>
          <w:tab w:val="num" w:pos="2901"/>
        </w:tabs>
        <w:ind w:left="2901" w:hanging="315"/>
      </w:pPr>
      <w:rPr>
        <w:rFonts w:ascii="Trade Gothic LT Std" w:eastAsia="Trade Gothic LT Std" w:hAnsi="Trade Gothic LT Std" w:cs="Trade Gothic LT Std"/>
        <w:position w:val="0"/>
        <w:sz w:val="21"/>
        <w:szCs w:val="21"/>
      </w:rPr>
    </w:lvl>
    <w:lvl w:ilvl="4">
      <w:start w:val="1"/>
      <w:numFmt w:val="lowerLetter"/>
      <w:lvlText w:val="%5."/>
      <w:lvlJc w:val="left"/>
      <w:pPr>
        <w:tabs>
          <w:tab w:val="num" w:pos="3621"/>
        </w:tabs>
        <w:ind w:left="3621" w:hanging="315"/>
      </w:pPr>
      <w:rPr>
        <w:rFonts w:ascii="Trade Gothic LT Std" w:eastAsia="Trade Gothic LT Std" w:hAnsi="Trade Gothic LT Std" w:cs="Trade Gothic LT Std"/>
        <w:position w:val="0"/>
        <w:sz w:val="21"/>
        <w:szCs w:val="21"/>
      </w:rPr>
    </w:lvl>
    <w:lvl w:ilvl="5">
      <w:start w:val="1"/>
      <w:numFmt w:val="lowerRoman"/>
      <w:lvlText w:val="%6."/>
      <w:lvlJc w:val="left"/>
      <w:pPr>
        <w:tabs>
          <w:tab w:val="num" w:pos="4349"/>
        </w:tabs>
        <w:ind w:left="4349" w:hanging="259"/>
      </w:pPr>
      <w:rPr>
        <w:rFonts w:ascii="Trade Gothic LT Std" w:eastAsia="Trade Gothic LT Std" w:hAnsi="Trade Gothic LT Std" w:cs="Trade Gothic LT Std"/>
        <w:position w:val="0"/>
        <w:sz w:val="21"/>
        <w:szCs w:val="21"/>
      </w:rPr>
    </w:lvl>
    <w:lvl w:ilvl="6">
      <w:start w:val="1"/>
      <w:numFmt w:val="decimal"/>
      <w:lvlText w:val="%7."/>
      <w:lvlJc w:val="left"/>
      <w:pPr>
        <w:tabs>
          <w:tab w:val="num" w:pos="5061"/>
        </w:tabs>
        <w:ind w:left="5061" w:hanging="315"/>
      </w:pPr>
      <w:rPr>
        <w:rFonts w:ascii="Trade Gothic LT Std" w:eastAsia="Trade Gothic LT Std" w:hAnsi="Trade Gothic LT Std" w:cs="Trade Gothic LT Std"/>
        <w:position w:val="0"/>
        <w:sz w:val="21"/>
        <w:szCs w:val="21"/>
      </w:rPr>
    </w:lvl>
    <w:lvl w:ilvl="7">
      <w:start w:val="1"/>
      <w:numFmt w:val="lowerLetter"/>
      <w:lvlText w:val="%8."/>
      <w:lvlJc w:val="left"/>
      <w:pPr>
        <w:tabs>
          <w:tab w:val="num" w:pos="5781"/>
        </w:tabs>
        <w:ind w:left="5781" w:hanging="315"/>
      </w:pPr>
      <w:rPr>
        <w:rFonts w:ascii="Trade Gothic LT Std" w:eastAsia="Trade Gothic LT Std" w:hAnsi="Trade Gothic LT Std" w:cs="Trade Gothic LT Std"/>
        <w:position w:val="0"/>
        <w:sz w:val="21"/>
        <w:szCs w:val="21"/>
      </w:rPr>
    </w:lvl>
    <w:lvl w:ilvl="8">
      <w:start w:val="1"/>
      <w:numFmt w:val="lowerRoman"/>
      <w:lvlText w:val="%9."/>
      <w:lvlJc w:val="left"/>
      <w:pPr>
        <w:tabs>
          <w:tab w:val="num" w:pos="6509"/>
        </w:tabs>
        <w:ind w:left="6509" w:hanging="259"/>
      </w:pPr>
      <w:rPr>
        <w:rFonts w:ascii="Trade Gothic LT Std" w:eastAsia="Trade Gothic LT Std" w:hAnsi="Trade Gothic LT Std" w:cs="Trade Gothic LT Std"/>
        <w:position w:val="0"/>
        <w:sz w:val="21"/>
        <w:szCs w:val="21"/>
      </w:rPr>
    </w:lvl>
  </w:abstractNum>
  <w:abstractNum w:abstractNumId="36" w15:restartNumberingAfterBreak="0">
    <w:nsid w:val="73722667"/>
    <w:multiLevelType w:val="hybridMultilevel"/>
    <w:tmpl w:val="D2CEBE92"/>
    <w:lvl w:ilvl="0" w:tplc="FFB8FE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159FE"/>
    <w:multiLevelType w:val="hybridMultilevel"/>
    <w:tmpl w:val="493283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6975A74"/>
    <w:multiLevelType w:val="hybridMultilevel"/>
    <w:tmpl w:val="8E78FA22"/>
    <w:lvl w:ilvl="0" w:tplc="C256F1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8"/>
  </w:num>
  <w:num w:numId="3">
    <w:abstractNumId w:val="26"/>
  </w:num>
  <w:num w:numId="4">
    <w:abstractNumId w:val="20"/>
  </w:num>
  <w:num w:numId="5">
    <w:abstractNumId w:val="37"/>
  </w:num>
  <w:num w:numId="6">
    <w:abstractNumId w:val="16"/>
  </w:num>
  <w:num w:numId="7">
    <w:abstractNumId w:val="29"/>
  </w:num>
  <w:num w:numId="8">
    <w:abstractNumId w:val="0"/>
  </w:num>
  <w:num w:numId="9">
    <w:abstractNumId w:val="6"/>
  </w:num>
  <w:num w:numId="10">
    <w:abstractNumId w:val="11"/>
  </w:num>
  <w:num w:numId="11">
    <w:abstractNumId w:val="3"/>
  </w:num>
  <w:num w:numId="12">
    <w:abstractNumId w:val="12"/>
  </w:num>
  <w:num w:numId="13">
    <w:abstractNumId w:val="38"/>
  </w:num>
  <w:num w:numId="14">
    <w:abstractNumId w:val="34"/>
  </w:num>
  <w:num w:numId="15">
    <w:abstractNumId w:val="14"/>
  </w:num>
  <w:num w:numId="16">
    <w:abstractNumId w:val="33"/>
  </w:num>
  <w:num w:numId="17">
    <w:abstractNumId w:val="24"/>
  </w:num>
  <w:num w:numId="18">
    <w:abstractNumId w:val="31"/>
  </w:num>
  <w:num w:numId="19">
    <w:abstractNumId w:val="36"/>
  </w:num>
  <w:num w:numId="20">
    <w:abstractNumId w:val="25"/>
  </w:num>
  <w:num w:numId="21">
    <w:abstractNumId w:val="30"/>
  </w:num>
  <w:num w:numId="22">
    <w:abstractNumId w:val="5"/>
  </w:num>
  <w:num w:numId="23">
    <w:abstractNumId w:val="27"/>
  </w:num>
  <w:num w:numId="24">
    <w:abstractNumId w:val="19"/>
  </w:num>
  <w:num w:numId="25">
    <w:abstractNumId w:val="28"/>
  </w:num>
  <w:num w:numId="26">
    <w:abstractNumId w:val="23"/>
  </w:num>
  <w:num w:numId="27">
    <w:abstractNumId w:val="2"/>
  </w:num>
  <w:num w:numId="28">
    <w:abstractNumId w:val="17"/>
  </w:num>
  <w:num w:numId="29">
    <w:abstractNumId w:val="35"/>
  </w:num>
  <w:num w:numId="30">
    <w:abstractNumId w:val="9"/>
  </w:num>
  <w:num w:numId="31">
    <w:abstractNumId w:val="21"/>
  </w:num>
  <w:num w:numId="32">
    <w:abstractNumId w:val="13"/>
  </w:num>
  <w:num w:numId="33">
    <w:abstractNumId w:val="32"/>
  </w:num>
  <w:num w:numId="34">
    <w:abstractNumId w:val="1"/>
  </w:num>
  <w:num w:numId="35">
    <w:abstractNumId w:val="15"/>
  </w:num>
  <w:num w:numId="3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4"/>
          </w:tabs>
          <w:ind w:left="284" w:hanging="284"/>
        </w:pPr>
        <w:rPr>
          <w:rFonts w:ascii="Trade Gothic LT Std" w:eastAsia="Courier" w:hAnsi="Trade Gothic LT Std" w:cs="Courier" w:hint="default"/>
          <w:position w:val="0"/>
          <w:sz w:val="21"/>
          <w:szCs w:val="21"/>
        </w:rPr>
      </w:lvl>
    </w:lvlOverride>
  </w:num>
  <w:num w:numId="37">
    <w:abstractNumId w:val="10"/>
    <w:lvlOverride w:ilvl="0">
      <w:lvl w:ilvl="0">
        <w:start w:val="1"/>
        <w:numFmt w:val="lowerLetter"/>
        <w:lvlText w:val="%1)"/>
        <w:lvlJc w:val="left"/>
        <w:pPr>
          <w:tabs>
            <w:tab w:val="num" w:pos="567"/>
          </w:tabs>
          <w:ind w:left="567" w:hanging="283"/>
        </w:pPr>
        <w:rPr>
          <w:rFonts w:ascii="Trade Gothic LT Std" w:eastAsia="Courier" w:hAnsi="Trade Gothic LT Std" w:cs="Courier" w:hint="default"/>
          <w:position w:val="0"/>
          <w:sz w:val="22"/>
          <w:szCs w:val="22"/>
        </w:rPr>
      </w:lvl>
    </w:lvlOverride>
  </w:num>
  <w:num w:numId="38">
    <w:abstractNumId w:val="7"/>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3."/>
        <w:lvlJc w:val="left"/>
        <w:pPr>
          <w:tabs>
            <w:tab w:val="num" w:pos="993"/>
          </w:tabs>
          <w:ind w:left="993" w:hanging="261"/>
        </w:pPr>
        <w:rPr>
          <w:rFonts w:ascii="Trade Gothic LT Std" w:eastAsia="Courier" w:hAnsi="Trade Gothic LT Std" w:cs="Courier" w:hint="default"/>
          <w:color w:val="000000"/>
          <w:position w:val="0"/>
          <w:sz w:val="21"/>
          <w:szCs w:val="21"/>
          <w:u w:color="000000"/>
        </w:rPr>
      </w:lvl>
    </w:lvlOverride>
    <w:lvlOverride w:ilvl="3">
      <w:lvl w:ilvl="3">
        <w:numFmt w:val="decimal"/>
        <w:lvlText w:val=""/>
        <w:lvlJc w:val="left"/>
      </w:lvl>
    </w:lvlOverride>
    <w:lvlOverride w:ilvl="4">
      <w:lvl w:ilvl="4">
        <w:numFmt w:val="decimal"/>
        <w:lvlText w:val=""/>
        <w:lvlJc w:val="left"/>
      </w:lvl>
    </w:lvlOverride>
    <w:lvlOverride w:ilvl="5">
      <w:lvl w:ilvl="5">
        <w:start w:val="1"/>
        <w:numFmt w:val="lowerRoman"/>
        <w:lvlText w:val="%6."/>
        <w:lvlJc w:val="left"/>
        <w:pPr>
          <w:tabs>
            <w:tab w:val="num" w:pos="4283"/>
          </w:tabs>
          <w:ind w:left="4283" w:hanging="259"/>
        </w:pPr>
        <w:rPr>
          <w:rFonts w:ascii="Trade Gothic LT Std" w:eastAsia="Trade Gothic LT Std" w:hAnsi="Trade Gothic LT Std" w:cs="Trade Gothic LT Std"/>
          <w:color w:val="000000"/>
          <w:position w:val="0"/>
          <w:sz w:val="22"/>
          <w:szCs w:val="22"/>
          <w:u w:color="000000"/>
        </w:rPr>
      </w:lvl>
    </w:lvlOverride>
  </w:num>
  <w:num w:numId="39">
    <w:abstractNumId w:val="4"/>
  </w:num>
  <w:num w:numId="40">
    <w:abstractNumId w:val="7"/>
  </w:num>
  <w:num w:numId="41">
    <w:abstractNumId w:val="10"/>
  </w:num>
  <w:num w:numId="42">
    <w:abstractNumId w:val="22"/>
    <w:lvlOverride w:ilvl="0">
      <w:lvl w:ilvl="0">
        <w:start w:val="1"/>
        <w:numFmt w:val="decimal"/>
        <w:lvlText w:val="%1."/>
        <w:lvlJc w:val="left"/>
        <w:pPr>
          <w:tabs>
            <w:tab w:val="num" w:pos="284"/>
          </w:tabs>
          <w:ind w:left="284" w:hanging="284"/>
        </w:pPr>
        <w:rPr>
          <w:color w:val="000000"/>
          <w:position w:val="0"/>
          <w:sz w:val="22"/>
          <w:szCs w:val="22"/>
          <w:u w:color="000000"/>
          <w:rtl w:val="0"/>
        </w:rPr>
      </w:lvl>
    </w:lvlOverride>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98"/>
    <w:rsid w:val="00003165"/>
    <w:rsid w:val="0000409D"/>
    <w:rsid w:val="00011DC6"/>
    <w:rsid w:val="000125C6"/>
    <w:rsid w:val="00021F53"/>
    <w:rsid w:val="00030DC0"/>
    <w:rsid w:val="000314FA"/>
    <w:rsid w:val="00035E5E"/>
    <w:rsid w:val="000364B7"/>
    <w:rsid w:val="00036C48"/>
    <w:rsid w:val="00053380"/>
    <w:rsid w:val="000552BA"/>
    <w:rsid w:val="00055382"/>
    <w:rsid w:val="00055D00"/>
    <w:rsid w:val="00057E42"/>
    <w:rsid w:val="00066FA9"/>
    <w:rsid w:val="00092E48"/>
    <w:rsid w:val="00094B10"/>
    <w:rsid w:val="000A6095"/>
    <w:rsid w:val="000B3C5F"/>
    <w:rsid w:val="000B6F53"/>
    <w:rsid w:val="000D4B10"/>
    <w:rsid w:val="000D4E53"/>
    <w:rsid w:val="000D5FD1"/>
    <w:rsid w:val="000F6938"/>
    <w:rsid w:val="00103D53"/>
    <w:rsid w:val="001063D4"/>
    <w:rsid w:val="0010667E"/>
    <w:rsid w:val="0011109D"/>
    <w:rsid w:val="00114B8C"/>
    <w:rsid w:val="001169FE"/>
    <w:rsid w:val="00126411"/>
    <w:rsid w:val="001360E8"/>
    <w:rsid w:val="00143307"/>
    <w:rsid w:val="00151066"/>
    <w:rsid w:val="00153CF7"/>
    <w:rsid w:val="00153E6D"/>
    <w:rsid w:val="00172308"/>
    <w:rsid w:val="00186348"/>
    <w:rsid w:val="0019712B"/>
    <w:rsid w:val="001A3D24"/>
    <w:rsid w:val="001E19D4"/>
    <w:rsid w:val="001E4B9C"/>
    <w:rsid w:val="00200AAD"/>
    <w:rsid w:val="00211198"/>
    <w:rsid w:val="00231667"/>
    <w:rsid w:val="00231F8D"/>
    <w:rsid w:val="00237CB1"/>
    <w:rsid w:val="00250487"/>
    <w:rsid w:val="0025156F"/>
    <w:rsid w:val="00277984"/>
    <w:rsid w:val="00290DFB"/>
    <w:rsid w:val="002A48F9"/>
    <w:rsid w:val="002D1B5D"/>
    <w:rsid w:val="002D7501"/>
    <w:rsid w:val="002E5150"/>
    <w:rsid w:val="002F2AF1"/>
    <w:rsid w:val="002F4D0C"/>
    <w:rsid w:val="00312743"/>
    <w:rsid w:val="00313A19"/>
    <w:rsid w:val="003272B1"/>
    <w:rsid w:val="00351B2F"/>
    <w:rsid w:val="003540AE"/>
    <w:rsid w:val="00377281"/>
    <w:rsid w:val="0039352D"/>
    <w:rsid w:val="003A0F4F"/>
    <w:rsid w:val="003A4F8D"/>
    <w:rsid w:val="003B0807"/>
    <w:rsid w:val="003C1F5D"/>
    <w:rsid w:val="003C52E6"/>
    <w:rsid w:val="003D285D"/>
    <w:rsid w:val="003D3218"/>
    <w:rsid w:val="003D3A52"/>
    <w:rsid w:val="003D569B"/>
    <w:rsid w:val="003D7A09"/>
    <w:rsid w:val="00400E32"/>
    <w:rsid w:val="00406E66"/>
    <w:rsid w:val="00416213"/>
    <w:rsid w:val="004205ED"/>
    <w:rsid w:val="00425DD2"/>
    <w:rsid w:val="00434E83"/>
    <w:rsid w:val="00441D7C"/>
    <w:rsid w:val="004465C6"/>
    <w:rsid w:val="004515F4"/>
    <w:rsid w:val="00463B8B"/>
    <w:rsid w:val="00490B58"/>
    <w:rsid w:val="004A00EE"/>
    <w:rsid w:val="004B0A4D"/>
    <w:rsid w:val="004D0FF9"/>
    <w:rsid w:val="004D68D7"/>
    <w:rsid w:val="004E2C93"/>
    <w:rsid w:val="004E680C"/>
    <w:rsid w:val="004E68AA"/>
    <w:rsid w:val="0050721C"/>
    <w:rsid w:val="0052269E"/>
    <w:rsid w:val="005249FE"/>
    <w:rsid w:val="00530B2A"/>
    <w:rsid w:val="0053313F"/>
    <w:rsid w:val="00550BCF"/>
    <w:rsid w:val="005513A4"/>
    <w:rsid w:val="00552303"/>
    <w:rsid w:val="00552DE7"/>
    <w:rsid w:val="00556ED8"/>
    <w:rsid w:val="00574859"/>
    <w:rsid w:val="005757BE"/>
    <w:rsid w:val="005770F2"/>
    <w:rsid w:val="0058459F"/>
    <w:rsid w:val="00584A94"/>
    <w:rsid w:val="00592606"/>
    <w:rsid w:val="0059425A"/>
    <w:rsid w:val="005973C3"/>
    <w:rsid w:val="005A319A"/>
    <w:rsid w:val="005A34CA"/>
    <w:rsid w:val="005A7BAD"/>
    <w:rsid w:val="005D5F07"/>
    <w:rsid w:val="005E0098"/>
    <w:rsid w:val="005F0601"/>
    <w:rsid w:val="00602B9F"/>
    <w:rsid w:val="00610DEE"/>
    <w:rsid w:val="00620E7D"/>
    <w:rsid w:val="00642CA8"/>
    <w:rsid w:val="00647A69"/>
    <w:rsid w:val="00667BD8"/>
    <w:rsid w:val="00675FF2"/>
    <w:rsid w:val="00686F83"/>
    <w:rsid w:val="0069723C"/>
    <w:rsid w:val="006C114E"/>
    <w:rsid w:val="006D5DD2"/>
    <w:rsid w:val="006E12CB"/>
    <w:rsid w:val="006E7426"/>
    <w:rsid w:val="006F5193"/>
    <w:rsid w:val="00701024"/>
    <w:rsid w:val="0070244D"/>
    <w:rsid w:val="0071262D"/>
    <w:rsid w:val="00715B9E"/>
    <w:rsid w:val="0073258E"/>
    <w:rsid w:val="00737551"/>
    <w:rsid w:val="007452F7"/>
    <w:rsid w:val="00747C47"/>
    <w:rsid w:val="00751351"/>
    <w:rsid w:val="00751EA2"/>
    <w:rsid w:val="007623F2"/>
    <w:rsid w:val="0076317E"/>
    <w:rsid w:val="00764E2E"/>
    <w:rsid w:val="00764EE0"/>
    <w:rsid w:val="007669C8"/>
    <w:rsid w:val="00767412"/>
    <w:rsid w:val="007708D9"/>
    <w:rsid w:val="0077437D"/>
    <w:rsid w:val="0077637E"/>
    <w:rsid w:val="00783900"/>
    <w:rsid w:val="00793430"/>
    <w:rsid w:val="007A0B5B"/>
    <w:rsid w:val="007A0E66"/>
    <w:rsid w:val="007A3CBA"/>
    <w:rsid w:val="007B1150"/>
    <w:rsid w:val="007B2F30"/>
    <w:rsid w:val="007B5C06"/>
    <w:rsid w:val="007B5FD8"/>
    <w:rsid w:val="007D490D"/>
    <w:rsid w:val="007E7D4F"/>
    <w:rsid w:val="007F2B82"/>
    <w:rsid w:val="007F32BE"/>
    <w:rsid w:val="007F5211"/>
    <w:rsid w:val="007F766F"/>
    <w:rsid w:val="0080432B"/>
    <w:rsid w:val="0081067C"/>
    <w:rsid w:val="00831C9F"/>
    <w:rsid w:val="00833AFB"/>
    <w:rsid w:val="00834715"/>
    <w:rsid w:val="008354F1"/>
    <w:rsid w:val="0085373B"/>
    <w:rsid w:val="00860079"/>
    <w:rsid w:val="008778D6"/>
    <w:rsid w:val="00890F7E"/>
    <w:rsid w:val="0089568A"/>
    <w:rsid w:val="008B363A"/>
    <w:rsid w:val="008B3B53"/>
    <w:rsid w:val="008C3EE4"/>
    <w:rsid w:val="008C40D2"/>
    <w:rsid w:val="008D21C0"/>
    <w:rsid w:val="008E07DC"/>
    <w:rsid w:val="008F2C84"/>
    <w:rsid w:val="008F39C3"/>
    <w:rsid w:val="008F3FEB"/>
    <w:rsid w:val="00917BB5"/>
    <w:rsid w:val="009220A3"/>
    <w:rsid w:val="00932332"/>
    <w:rsid w:val="00932C4D"/>
    <w:rsid w:val="009401CF"/>
    <w:rsid w:val="00943405"/>
    <w:rsid w:val="00945034"/>
    <w:rsid w:val="0096322F"/>
    <w:rsid w:val="009656C7"/>
    <w:rsid w:val="00966452"/>
    <w:rsid w:val="00974AC1"/>
    <w:rsid w:val="009772BD"/>
    <w:rsid w:val="009800A6"/>
    <w:rsid w:val="00987482"/>
    <w:rsid w:val="009911CD"/>
    <w:rsid w:val="009A6508"/>
    <w:rsid w:val="009C4C27"/>
    <w:rsid w:val="009E0876"/>
    <w:rsid w:val="009E3018"/>
    <w:rsid w:val="009F02B2"/>
    <w:rsid w:val="009F2EFE"/>
    <w:rsid w:val="00A00C4F"/>
    <w:rsid w:val="00A11D38"/>
    <w:rsid w:val="00A20983"/>
    <w:rsid w:val="00A37FC8"/>
    <w:rsid w:val="00A50D17"/>
    <w:rsid w:val="00A556AA"/>
    <w:rsid w:val="00A55D6A"/>
    <w:rsid w:val="00A8292C"/>
    <w:rsid w:val="00A83C19"/>
    <w:rsid w:val="00AA56A8"/>
    <w:rsid w:val="00AB4658"/>
    <w:rsid w:val="00AC5253"/>
    <w:rsid w:val="00AC60E9"/>
    <w:rsid w:val="00AC6C7A"/>
    <w:rsid w:val="00AE5CD1"/>
    <w:rsid w:val="00AF068F"/>
    <w:rsid w:val="00AF6D30"/>
    <w:rsid w:val="00B2305D"/>
    <w:rsid w:val="00B401A4"/>
    <w:rsid w:val="00B44974"/>
    <w:rsid w:val="00B44B21"/>
    <w:rsid w:val="00B603CB"/>
    <w:rsid w:val="00B64FEE"/>
    <w:rsid w:val="00B76AB1"/>
    <w:rsid w:val="00B83FDF"/>
    <w:rsid w:val="00B84826"/>
    <w:rsid w:val="00B85F92"/>
    <w:rsid w:val="00B94EAE"/>
    <w:rsid w:val="00BA0317"/>
    <w:rsid w:val="00BB76CB"/>
    <w:rsid w:val="00BC38FA"/>
    <w:rsid w:val="00BD046E"/>
    <w:rsid w:val="00BD3047"/>
    <w:rsid w:val="00BD43BF"/>
    <w:rsid w:val="00BF2830"/>
    <w:rsid w:val="00C232C5"/>
    <w:rsid w:val="00C33BA0"/>
    <w:rsid w:val="00C55387"/>
    <w:rsid w:val="00C646FE"/>
    <w:rsid w:val="00C753AE"/>
    <w:rsid w:val="00CB751B"/>
    <w:rsid w:val="00CC3759"/>
    <w:rsid w:val="00CE3A2B"/>
    <w:rsid w:val="00CE5B17"/>
    <w:rsid w:val="00CE64B8"/>
    <w:rsid w:val="00CF0473"/>
    <w:rsid w:val="00D0196B"/>
    <w:rsid w:val="00D402ED"/>
    <w:rsid w:val="00D50E2E"/>
    <w:rsid w:val="00D529D9"/>
    <w:rsid w:val="00D53BF8"/>
    <w:rsid w:val="00D5409F"/>
    <w:rsid w:val="00D578FD"/>
    <w:rsid w:val="00D660E9"/>
    <w:rsid w:val="00D73AFF"/>
    <w:rsid w:val="00D75C24"/>
    <w:rsid w:val="00D76787"/>
    <w:rsid w:val="00D96FEC"/>
    <w:rsid w:val="00DB12CC"/>
    <w:rsid w:val="00DB4468"/>
    <w:rsid w:val="00DC1FFC"/>
    <w:rsid w:val="00DE7DAA"/>
    <w:rsid w:val="00E0591F"/>
    <w:rsid w:val="00E21AB4"/>
    <w:rsid w:val="00E23B9D"/>
    <w:rsid w:val="00E3540E"/>
    <w:rsid w:val="00E36AF9"/>
    <w:rsid w:val="00E37361"/>
    <w:rsid w:val="00E44307"/>
    <w:rsid w:val="00E475C7"/>
    <w:rsid w:val="00E57B0B"/>
    <w:rsid w:val="00E62905"/>
    <w:rsid w:val="00E64F67"/>
    <w:rsid w:val="00E76A5E"/>
    <w:rsid w:val="00E828DB"/>
    <w:rsid w:val="00E8614A"/>
    <w:rsid w:val="00E90861"/>
    <w:rsid w:val="00E92281"/>
    <w:rsid w:val="00E95016"/>
    <w:rsid w:val="00EA2D6F"/>
    <w:rsid w:val="00EA33A6"/>
    <w:rsid w:val="00EA6F76"/>
    <w:rsid w:val="00EB5CFE"/>
    <w:rsid w:val="00ED2FCB"/>
    <w:rsid w:val="00ED4DD9"/>
    <w:rsid w:val="00EF18D4"/>
    <w:rsid w:val="00EF250C"/>
    <w:rsid w:val="00F0057E"/>
    <w:rsid w:val="00F02908"/>
    <w:rsid w:val="00F34F02"/>
    <w:rsid w:val="00F42CDA"/>
    <w:rsid w:val="00F537EB"/>
    <w:rsid w:val="00F56C2D"/>
    <w:rsid w:val="00F60EB3"/>
    <w:rsid w:val="00F65D0F"/>
    <w:rsid w:val="00F71850"/>
    <w:rsid w:val="00F7596D"/>
    <w:rsid w:val="00F778B8"/>
    <w:rsid w:val="00F9495E"/>
    <w:rsid w:val="00FA3D19"/>
    <w:rsid w:val="00FA65E9"/>
    <w:rsid w:val="00FB3BD8"/>
    <w:rsid w:val="00FC7334"/>
    <w:rsid w:val="00FF02F2"/>
    <w:rsid w:val="00FF034C"/>
    <w:rsid w:val="00FF6086"/>
    <w:rsid w:val="00FF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A4D6"/>
  <w15:chartTrackingRefBased/>
  <w15:docId w15:val="{0410EC33-5553-4F2F-A1FC-8A529D83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autoRedefine/>
    <w:uiPriority w:val="9"/>
    <w:qFormat/>
    <w:rsid w:val="003D3A52"/>
    <w:pPr>
      <w:keepNext/>
      <w:spacing w:before="240" w:after="60" w:line="240" w:lineRule="auto"/>
      <w:outlineLvl w:val="2"/>
    </w:pPr>
    <w:rPr>
      <w:rFonts w:ascii="Trade Gothic LT Std" w:eastAsia="Times New Roman" w:hAnsi="Trade Gothic LT Std" w:cs="Times New Roman"/>
      <w:b/>
      <w:bCs/>
      <w:sz w:val="20"/>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olumn">
    <w:name w:val="textcolumn"/>
    <w:basedOn w:val="DefaultParagraphFont"/>
    <w:rsid w:val="00211198"/>
  </w:style>
  <w:style w:type="character" w:customStyle="1" w:styleId="summarytext">
    <w:name w:val="summarytext"/>
    <w:basedOn w:val="DefaultParagraphFont"/>
    <w:rsid w:val="00211198"/>
  </w:style>
  <w:style w:type="paragraph" w:styleId="ListParagraph">
    <w:name w:val="List Paragraph"/>
    <w:basedOn w:val="Normal"/>
    <w:link w:val="ListParagraphChar"/>
    <w:uiPriority w:val="34"/>
    <w:qFormat/>
    <w:rsid w:val="00211198"/>
    <w:pPr>
      <w:ind w:left="720"/>
      <w:contextualSpacing/>
    </w:pPr>
  </w:style>
  <w:style w:type="table" w:styleId="TableGrid">
    <w:name w:val="Table Grid"/>
    <w:basedOn w:val="TableNormal"/>
    <w:uiPriority w:val="39"/>
    <w:rsid w:val="00A82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Char,FA Fu,Thesis Footnote Text,Footnote Text Char Char,Footnote Text Char1 Char Char,Footnote Text Char Char Char Char,Footnote Text Char Char1,Footnote Text Char Char1 Char Char, Char"/>
    <w:basedOn w:val="Normal"/>
    <w:link w:val="FootnoteTextChar"/>
    <w:uiPriority w:val="99"/>
    <w:unhideWhenUsed/>
    <w:qFormat/>
    <w:rsid w:val="00290DFB"/>
    <w:pPr>
      <w:spacing w:after="0" w:line="240" w:lineRule="auto"/>
    </w:pPr>
    <w:rPr>
      <w:sz w:val="20"/>
      <w:szCs w:val="20"/>
    </w:rPr>
  </w:style>
  <w:style w:type="character" w:customStyle="1" w:styleId="FootnoteTextChar">
    <w:name w:val="Footnote Text Char"/>
    <w:aliases w:val="5_G Char,Char Char,FA Fu Char,Thesis Footnote Text Char,Footnote Text Char Char Char,Footnote Text Char1 Char Char Char,Footnote Text Char Char Char Char Char,Footnote Text Char Char1 Char,Footnote Text Char Char1 Char Char Char"/>
    <w:basedOn w:val="DefaultParagraphFont"/>
    <w:link w:val="FootnoteText"/>
    <w:uiPriority w:val="99"/>
    <w:rsid w:val="00290DFB"/>
    <w:rPr>
      <w:sz w:val="20"/>
      <w:szCs w:val="20"/>
    </w:rPr>
  </w:style>
  <w:style w:type="character" w:styleId="FootnoteReference">
    <w:name w:val="footnote reference"/>
    <w:aliases w:val="4_G,Footnotes refss,Footnote Reference Superscript,BVI fnr,Footnote symbol,Footnote reference number,note TESI,Appel note de bas de p,Nota,SUPERS,Footnote number,EN Footnote Reference,-E Fußnotenzeichen,number Char Char,number,Ref"/>
    <w:basedOn w:val="DefaultParagraphFont"/>
    <w:uiPriority w:val="99"/>
    <w:unhideWhenUsed/>
    <w:qFormat/>
    <w:rsid w:val="00290DFB"/>
    <w:rPr>
      <w:vertAlign w:val="superscript"/>
    </w:rPr>
  </w:style>
  <w:style w:type="paragraph" w:styleId="NormalWeb">
    <w:name w:val="Normal (Web)"/>
    <w:basedOn w:val="Normal"/>
    <w:unhideWhenUsed/>
    <w:rsid w:val="00E950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B7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CB"/>
  </w:style>
  <w:style w:type="paragraph" w:styleId="Footer">
    <w:name w:val="footer"/>
    <w:basedOn w:val="Normal"/>
    <w:link w:val="FooterChar"/>
    <w:uiPriority w:val="99"/>
    <w:unhideWhenUsed/>
    <w:rsid w:val="00BB7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CB"/>
  </w:style>
  <w:style w:type="paragraph" w:styleId="BalloonText">
    <w:name w:val="Balloon Text"/>
    <w:basedOn w:val="Normal"/>
    <w:link w:val="BalloonTextChar"/>
    <w:uiPriority w:val="99"/>
    <w:semiHidden/>
    <w:unhideWhenUsed/>
    <w:rsid w:val="00FF6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1EA"/>
    <w:rPr>
      <w:rFonts w:ascii="Segoe UI" w:hAnsi="Segoe UI" w:cs="Segoe UI"/>
      <w:sz w:val="18"/>
      <w:szCs w:val="18"/>
    </w:rPr>
  </w:style>
  <w:style w:type="paragraph" w:customStyle="1" w:styleId="HChG">
    <w:name w:val="_ H _Ch_G"/>
    <w:basedOn w:val="Normal"/>
    <w:next w:val="Normal"/>
    <w:rsid w:val="00B84826"/>
    <w:pPr>
      <w:keepNext/>
      <w:keepLines/>
      <w:tabs>
        <w:tab w:val="right" w:pos="851"/>
      </w:tabs>
      <w:suppressAutoHyphens/>
      <w:spacing w:before="360" w:after="240" w:line="300" w:lineRule="exact"/>
      <w:ind w:left="1134" w:right="1134" w:hanging="1134"/>
    </w:pPr>
    <w:rPr>
      <w:rFonts w:ascii="Times New Roman" w:eastAsia="PMingLiU" w:hAnsi="Times New Roman" w:cs="Times New Roman"/>
      <w:b/>
      <w:sz w:val="28"/>
      <w:szCs w:val="20"/>
    </w:rPr>
  </w:style>
  <w:style w:type="paragraph" w:customStyle="1" w:styleId="Bullet1G">
    <w:name w:val="_Bullet 1_G"/>
    <w:basedOn w:val="Normal"/>
    <w:rsid w:val="00B84826"/>
    <w:pPr>
      <w:numPr>
        <w:numId w:val="8"/>
      </w:numPr>
      <w:suppressAutoHyphens/>
      <w:spacing w:after="120" w:line="240" w:lineRule="atLeast"/>
      <w:ind w:right="1134"/>
      <w:jc w:val="both"/>
    </w:pPr>
    <w:rPr>
      <w:rFonts w:ascii="Times New Roman" w:eastAsia="PMingLiU" w:hAnsi="Times New Roman" w:cs="Times New Roman"/>
      <w:sz w:val="20"/>
      <w:szCs w:val="20"/>
    </w:rPr>
  </w:style>
  <w:style w:type="paragraph" w:styleId="Revision">
    <w:name w:val="Revision"/>
    <w:hidden/>
    <w:uiPriority w:val="99"/>
    <w:semiHidden/>
    <w:rsid w:val="00966452"/>
    <w:pPr>
      <w:spacing w:after="0" w:line="240" w:lineRule="auto"/>
    </w:pPr>
  </w:style>
  <w:style w:type="character" w:styleId="CommentReference">
    <w:name w:val="annotation reference"/>
    <w:basedOn w:val="DefaultParagraphFont"/>
    <w:uiPriority w:val="99"/>
    <w:semiHidden/>
    <w:unhideWhenUsed/>
    <w:rsid w:val="00463B8B"/>
    <w:rPr>
      <w:sz w:val="16"/>
      <w:szCs w:val="16"/>
    </w:rPr>
  </w:style>
  <w:style w:type="paragraph" w:styleId="CommentText">
    <w:name w:val="annotation text"/>
    <w:basedOn w:val="Normal"/>
    <w:link w:val="CommentTextChar"/>
    <w:uiPriority w:val="99"/>
    <w:semiHidden/>
    <w:unhideWhenUsed/>
    <w:rsid w:val="00463B8B"/>
    <w:pPr>
      <w:spacing w:line="240" w:lineRule="auto"/>
    </w:pPr>
    <w:rPr>
      <w:sz w:val="20"/>
      <w:szCs w:val="20"/>
    </w:rPr>
  </w:style>
  <w:style w:type="character" w:customStyle="1" w:styleId="CommentTextChar">
    <w:name w:val="Comment Text Char"/>
    <w:basedOn w:val="DefaultParagraphFont"/>
    <w:link w:val="CommentText"/>
    <w:uiPriority w:val="99"/>
    <w:semiHidden/>
    <w:rsid w:val="00463B8B"/>
    <w:rPr>
      <w:sz w:val="20"/>
      <w:szCs w:val="20"/>
    </w:rPr>
  </w:style>
  <w:style w:type="paragraph" w:styleId="CommentSubject">
    <w:name w:val="annotation subject"/>
    <w:basedOn w:val="CommentText"/>
    <w:next w:val="CommentText"/>
    <w:link w:val="CommentSubjectChar"/>
    <w:uiPriority w:val="99"/>
    <w:semiHidden/>
    <w:unhideWhenUsed/>
    <w:rsid w:val="00463B8B"/>
    <w:rPr>
      <w:b/>
      <w:bCs/>
    </w:rPr>
  </w:style>
  <w:style w:type="character" w:customStyle="1" w:styleId="CommentSubjectChar">
    <w:name w:val="Comment Subject Char"/>
    <w:basedOn w:val="CommentTextChar"/>
    <w:link w:val="CommentSubject"/>
    <w:uiPriority w:val="99"/>
    <w:semiHidden/>
    <w:rsid w:val="00463B8B"/>
    <w:rPr>
      <w:b/>
      <w:bCs/>
      <w:sz w:val="20"/>
      <w:szCs w:val="20"/>
    </w:rPr>
  </w:style>
  <w:style w:type="character" w:styleId="Hyperlink">
    <w:name w:val="Hyperlink"/>
    <w:basedOn w:val="DefaultParagraphFont"/>
    <w:uiPriority w:val="99"/>
    <w:unhideWhenUsed/>
    <w:rsid w:val="000D4E53"/>
    <w:rPr>
      <w:color w:val="0563C1" w:themeColor="hyperlink"/>
      <w:u w:val="single"/>
    </w:rPr>
  </w:style>
  <w:style w:type="paragraph" w:customStyle="1" w:styleId="SingleTxtG">
    <w:name w:val="_ Single Txt_G"/>
    <w:basedOn w:val="Normal"/>
    <w:link w:val="SingleTxtGChar"/>
    <w:qFormat/>
    <w:rsid w:val="000364B7"/>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0364B7"/>
    <w:rPr>
      <w:rFonts w:ascii="Times New Roman" w:eastAsia="Times New Roman" w:hAnsi="Times New Roman" w:cs="Times New Roman"/>
      <w:sz w:val="20"/>
      <w:szCs w:val="20"/>
    </w:rPr>
  </w:style>
  <w:style w:type="character" w:customStyle="1" w:styleId="lblnewsfulltext">
    <w:name w:val="lblnewsfulltext"/>
    <w:basedOn w:val="DefaultParagraphFont"/>
    <w:rsid w:val="005E0098"/>
  </w:style>
  <w:style w:type="character" w:styleId="Strong">
    <w:name w:val="Strong"/>
    <w:basedOn w:val="DefaultParagraphFont"/>
    <w:uiPriority w:val="22"/>
    <w:qFormat/>
    <w:rsid w:val="005E0098"/>
    <w:rPr>
      <w:b/>
      <w:bCs/>
    </w:rPr>
  </w:style>
  <w:style w:type="character" w:customStyle="1" w:styleId="highlight">
    <w:name w:val="highlight"/>
    <w:basedOn w:val="DefaultParagraphFont"/>
    <w:rsid w:val="005E0098"/>
  </w:style>
  <w:style w:type="paragraph" w:styleId="EndnoteText">
    <w:name w:val="endnote text"/>
    <w:basedOn w:val="Normal"/>
    <w:link w:val="EndnoteTextChar"/>
    <w:uiPriority w:val="99"/>
    <w:unhideWhenUsed/>
    <w:rsid w:val="0096322F"/>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rsid w:val="0096322F"/>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96322F"/>
    <w:rPr>
      <w:vertAlign w:val="superscript"/>
    </w:rPr>
  </w:style>
  <w:style w:type="paragraph" w:customStyle="1" w:styleId="HMG">
    <w:name w:val="_ H __M_G"/>
    <w:basedOn w:val="Normal"/>
    <w:next w:val="Normal"/>
    <w:qFormat/>
    <w:rsid w:val="008354F1"/>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rPr>
  </w:style>
  <w:style w:type="paragraph" w:customStyle="1" w:styleId="ColorfulList-Accent11">
    <w:name w:val="Colorful List - Accent 11"/>
    <w:basedOn w:val="Normal"/>
    <w:qFormat/>
    <w:rsid w:val="00126411"/>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126411"/>
  </w:style>
  <w:style w:type="character" w:customStyle="1" w:styleId="Hyperlink0">
    <w:name w:val="Hyperlink.0"/>
    <w:rsid w:val="00126411"/>
    <w:rPr>
      <w:rFonts w:ascii="Calibri" w:eastAsia="Calibri" w:hAnsi="Calibri" w:cs="Calibri"/>
      <w:color w:val="0000FF"/>
      <w:sz w:val="16"/>
      <w:szCs w:val="16"/>
      <w:u w:val="single" w:color="0000FF"/>
      <w:lang w:val="en-US"/>
    </w:rPr>
  </w:style>
  <w:style w:type="paragraph" w:customStyle="1" w:styleId="RTBodyText">
    <w:name w:val="RT Body Text"/>
    <w:basedOn w:val="Normal"/>
    <w:uiPriority w:val="9"/>
    <w:qFormat/>
    <w:rsid w:val="006C114E"/>
    <w:pPr>
      <w:suppressAutoHyphens/>
      <w:spacing w:after="120" w:line="240" w:lineRule="auto"/>
    </w:pPr>
    <w:rPr>
      <w:rFonts w:eastAsiaTheme="minorEastAsia" w:cs="Arial"/>
      <w:color w:val="000000" w:themeColor="text1"/>
      <w:sz w:val="18"/>
      <w:szCs w:val="24"/>
    </w:rPr>
  </w:style>
  <w:style w:type="paragraph" w:customStyle="1" w:styleId="RTFootnotetext">
    <w:name w:val="RT Footnote text"/>
    <w:basedOn w:val="FootnoteText"/>
    <w:link w:val="RTFootnotetextChar"/>
    <w:uiPriority w:val="97"/>
    <w:qFormat/>
    <w:rsid w:val="006C114E"/>
    <w:rPr>
      <w:rFonts w:ascii="Amnesty Trade Gothic Light" w:eastAsiaTheme="minorEastAsia" w:hAnsi="Amnesty Trade Gothic Light" w:cs="Arial"/>
      <w:color w:val="000000" w:themeColor="text1"/>
      <w:sz w:val="14"/>
      <w:szCs w:val="24"/>
      <w:lang w:val="en-US"/>
    </w:rPr>
  </w:style>
  <w:style w:type="character" w:customStyle="1" w:styleId="RTFootnotetextChar">
    <w:name w:val="RT Footnote text Char"/>
    <w:basedOn w:val="FootnoteTextChar"/>
    <w:link w:val="RTFootnotetext"/>
    <w:uiPriority w:val="97"/>
    <w:rsid w:val="006C114E"/>
    <w:rPr>
      <w:rFonts w:ascii="Amnesty Trade Gothic Light" w:eastAsiaTheme="minorEastAsia" w:hAnsi="Amnesty Trade Gothic Light" w:cs="Arial"/>
      <w:color w:val="000000" w:themeColor="text1"/>
      <w:sz w:val="14"/>
      <w:szCs w:val="24"/>
      <w:lang w:val="en-US"/>
    </w:rPr>
  </w:style>
  <w:style w:type="character" w:customStyle="1" w:styleId="Heading3Char">
    <w:name w:val="Heading 3 Char"/>
    <w:basedOn w:val="DefaultParagraphFont"/>
    <w:link w:val="Heading3"/>
    <w:uiPriority w:val="9"/>
    <w:rsid w:val="003D3A52"/>
    <w:rPr>
      <w:rFonts w:ascii="Trade Gothic LT Std" w:eastAsia="Times New Roman" w:hAnsi="Trade Gothic LT Std" w:cs="Times New Roman"/>
      <w:b/>
      <w:bCs/>
      <w:sz w:val="20"/>
      <w:szCs w:val="26"/>
      <w:lang w:val="x-none"/>
    </w:rPr>
  </w:style>
  <w:style w:type="numbering" w:customStyle="1" w:styleId="List54">
    <w:name w:val="List 54"/>
    <w:basedOn w:val="NoList"/>
    <w:rsid w:val="00EA33A6"/>
    <w:pPr>
      <w:numPr>
        <w:numId w:val="36"/>
      </w:numPr>
    </w:pPr>
  </w:style>
  <w:style w:type="numbering" w:customStyle="1" w:styleId="List55">
    <w:name w:val="List 55"/>
    <w:basedOn w:val="NoList"/>
    <w:rsid w:val="00EA33A6"/>
    <w:pPr>
      <w:numPr>
        <w:numId w:val="37"/>
      </w:numPr>
    </w:pPr>
  </w:style>
  <w:style w:type="numbering" w:customStyle="1" w:styleId="List56">
    <w:name w:val="List 56"/>
    <w:basedOn w:val="NoList"/>
    <w:rsid w:val="00EA33A6"/>
    <w:pPr>
      <w:numPr>
        <w:numId w:val="38"/>
      </w:numPr>
    </w:pPr>
  </w:style>
  <w:style w:type="numbering" w:customStyle="1" w:styleId="List59">
    <w:name w:val="List 59"/>
    <w:basedOn w:val="NoList"/>
    <w:rsid w:val="009401CF"/>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4704">
      <w:bodyDiv w:val="1"/>
      <w:marLeft w:val="0"/>
      <w:marRight w:val="0"/>
      <w:marTop w:val="0"/>
      <w:marBottom w:val="0"/>
      <w:divBdr>
        <w:top w:val="none" w:sz="0" w:space="0" w:color="auto"/>
        <w:left w:val="none" w:sz="0" w:space="0" w:color="auto"/>
        <w:bottom w:val="none" w:sz="0" w:space="0" w:color="auto"/>
        <w:right w:val="none" w:sz="0" w:space="0" w:color="auto"/>
      </w:divBdr>
    </w:div>
    <w:div w:id="415177819">
      <w:bodyDiv w:val="1"/>
      <w:marLeft w:val="0"/>
      <w:marRight w:val="0"/>
      <w:marTop w:val="0"/>
      <w:marBottom w:val="0"/>
      <w:divBdr>
        <w:top w:val="none" w:sz="0" w:space="0" w:color="auto"/>
        <w:left w:val="none" w:sz="0" w:space="0" w:color="auto"/>
        <w:bottom w:val="none" w:sz="0" w:space="0" w:color="auto"/>
        <w:right w:val="none" w:sz="0" w:space="0" w:color="auto"/>
      </w:divBdr>
    </w:div>
    <w:div w:id="764813075">
      <w:bodyDiv w:val="1"/>
      <w:marLeft w:val="0"/>
      <w:marRight w:val="0"/>
      <w:marTop w:val="0"/>
      <w:marBottom w:val="0"/>
      <w:divBdr>
        <w:top w:val="none" w:sz="0" w:space="0" w:color="auto"/>
        <w:left w:val="none" w:sz="0" w:space="0" w:color="auto"/>
        <w:bottom w:val="none" w:sz="0" w:space="0" w:color="auto"/>
        <w:right w:val="none" w:sz="0" w:space="0" w:color="auto"/>
      </w:divBdr>
    </w:div>
    <w:div w:id="865676933">
      <w:bodyDiv w:val="1"/>
      <w:marLeft w:val="0"/>
      <w:marRight w:val="0"/>
      <w:marTop w:val="0"/>
      <w:marBottom w:val="0"/>
      <w:divBdr>
        <w:top w:val="none" w:sz="0" w:space="0" w:color="auto"/>
        <w:left w:val="none" w:sz="0" w:space="0" w:color="auto"/>
        <w:bottom w:val="none" w:sz="0" w:space="0" w:color="auto"/>
        <w:right w:val="none" w:sz="0" w:space="0" w:color="auto"/>
      </w:divBdr>
    </w:div>
    <w:div w:id="17618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freedex.org/resources/annual-reports/" TargetMode="External"/><Relationship Id="rId3" Type="http://schemas.openxmlformats.org/officeDocument/2006/relationships/hyperlink" Target="https://www.ohchr.org/EN/NewsEvents/Pages/DisplayNews.aspx?NewsID=24265&amp;LangID=E" TargetMode="External"/><Relationship Id="rId7" Type="http://schemas.openxmlformats.org/officeDocument/2006/relationships/hyperlink" Target="https://freedex.org/a-human-rights-approach-to-platform-content-regulation/" TargetMode="External"/><Relationship Id="rId2" Type="http://schemas.openxmlformats.org/officeDocument/2006/relationships/hyperlink" Target="https://www.ohchr.org/EN/HRBodies/CCPR/Pages/GC37.aspx" TargetMode="External"/><Relationship Id="rId1" Type="http://schemas.openxmlformats.org/officeDocument/2006/relationships/hyperlink" Target="https://www.article19.org/data/files/medialibrary/38581/Right_to_protest_principles_final.pdf" TargetMode="External"/><Relationship Id="rId6" Type="http://schemas.openxmlformats.org/officeDocument/2006/relationships/hyperlink" Target="http://ap.ohchr.org/documents/dpage_e.aspx?si=A/HRC/RES/38/11" TargetMode="External"/><Relationship Id="rId11" Type="http://schemas.openxmlformats.org/officeDocument/2006/relationships/hyperlink" Target="https://www.article19.org/resources/hate-speech-explained-a-toolkit/" TargetMode="External"/><Relationship Id="rId5" Type="http://schemas.openxmlformats.org/officeDocument/2006/relationships/hyperlink" Target="http://ap.ohchr.org/documents/dpage_e.aspx?si=A/HRC/31/66" TargetMode="External"/><Relationship Id="rId10" Type="http://schemas.openxmlformats.org/officeDocument/2006/relationships/hyperlink" Target="http://ap.ohchr.org/documents/dpage_e.aspx?si=A/HRC/RES/38/7" TargetMode="External"/><Relationship Id="rId4" Type="http://schemas.openxmlformats.org/officeDocument/2006/relationships/hyperlink" Target="https://undocs.org/A/73/279" TargetMode="External"/><Relationship Id="rId9" Type="http://schemas.openxmlformats.org/officeDocument/2006/relationships/hyperlink" Target="https://freedex.org/a-human-rights-approach-to-platform-content-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DF9A07E-A556-4E16-A8C5-BCAB52FB7162}">
  <ds:schemaRefs>
    <ds:schemaRef ds:uri="http://schemas.openxmlformats.org/officeDocument/2006/bibliography"/>
  </ds:schemaRefs>
</ds:datastoreItem>
</file>

<file path=customXml/itemProps2.xml><?xml version="1.0" encoding="utf-8"?>
<ds:datastoreItem xmlns:ds="http://schemas.openxmlformats.org/officeDocument/2006/customXml" ds:itemID="{9FE9A300-00FF-4CBC-8F4C-209F8293F0EF}"/>
</file>

<file path=customXml/itemProps3.xml><?xml version="1.0" encoding="utf-8"?>
<ds:datastoreItem xmlns:ds="http://schemas.openxmlformats.org/officeDocument/2006/customXml" ds:itemID="{D796ECD9-86BC-4A26-9927-CF0E2E6EBC73}"/>
</file>

<file path=customXml/itemProps4.xml><?xml version="1.0" encoding="utf-8"?>
<ds:datastoreItem xmlns:ds="http://schemas.openxmlformats.org/officeDocument/2006/customXml" ds:itemID="{91B816F7-8B2C-40B3-9651-1D3236E4A126}"/>
</file>

<file path=docProps/app.xml><?xml version="1.0" encoding="utf-8"?>
<Properties xmlns="http://schemas.openxmlformats.org/officeDocument/2006/extended-properties" xmlns:vt="http://schemas.openxmlformats.org/officeDocument/2006/docPropsVTypes">
  <Template>Normal</Template>
  <TotalTime>259</TotalTime>
  <Pages>25</Pages>
  <Words>10851</Words>
  <Characters>61854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ARTICLE19</dc:title>
  <dc:subject/>
  <dc:creator>user</dc:creator>
  <cp:keywords/>
  <dc:description/>
  <cp:lastModifiedBy>user</cp:lastModifiedBy>
  <cp:revision>4</cp:revision>
  <cp:lastPrinted>2018-04-04T10:16:00Z</cp:lastPrinted>
  <dcterms:created xsi:type="dcterms:W3CDTF">2019-03-13T22:11:00Z</dcterms:created>
  <dcterms:modified xsi:type="dcterms:W3CDTF">2019-03-14T03:03:00Z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