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FB59" w14:textId="77777777" w:rsidR="00D76A73" w:rsidRPr="00D76A73" w:rsidRDefault="002C517A" w:rsidP="00D76A73">
      <w:pPr>
        <w:jc w:val="both"/>
        <w:rPr>
          <w:rFonts w:cstheme="minorHAnsi"/>
          <w:sz w:val="24"/>
          <w:szCs w:val="24"/>
        </w:rPr>
      </w:pPr>
      <w:r w:rsidRPr="00D76A73">
        <w:rPr>
          <w:rFonts w:cstheme="minorHAnsi"/>
          <w:b/>
          <w:sz w:val="24"/>
          <w:szCs w:val="24"/>
        </w:rPr>
        <w:t>To</w:t>
      </w:r>
      <w:r w:rsidR="00BE16F5" w:rsidRPr="00D76A73">
        <w:rPr>
          <w:rFonts w:cstheme="minorHAnsi"/>
          <w:b/>
          <w:sz w:val="24"/>
          <w:szCs w:val="24"/>
        </w:rPr>
        <w:t>:</w:t>
      </w:r>
      <w:r w:rsidR="00BE16F5" w:rsidRPr="00D76A73">
        <w:rPr>
          <w:rFonts w:cstheme="minorHAnsi"/>
          <w:i/>
          <w:sz w:val="24"/>
          <w:szCs w:val="24"/>
        </w:rPr>
        <w:t xml:space="preserve"> The United Nations Human Rights Committee</w:t>
      </w:r>
      <w:r w:rsidR="00D76A73" w:rsidRPr="00D76A73">
        <w:rPr>
          <w:rFonts w:cstheme="minorHAnsi"/>
          <w:i/>
          <w:sz w:val="24"/>
          <w:szCs w:val="24"/>
        </w:rPr>
        <w:t xml:space="preserve">, </w:t>
      </w:r>
      <w:hyperlink r:id="rId8" w:history="1">
        <w:r w:rsidR="00D76A73" w:rsidRPr="00D76A73">
          <w:rPr>
            <w:rStyle w:val="Hyperlink"/>
            <w:rFonts w:cstheme="minorHAnsi"/>
            <w:sz w:val="24"/>
            <w:szCs w:val="24"/>
            <w:shd w:val="clear" w:color="auto" w:fill="FFFFFF"/>
          </w:rPr>
          <w:t>ccpr@ohchr.org</w:t>
        </w:r>
      </w:hyperlink>
    </w:p>
    <w:p w14:paraId="38B1E097" w14:textId="2F17DB6F" w:rsidR="00AC46E5" w:rsidRPr="00413657" w:rsidRDefault="00AC46E5" w:rsidP="00D76A73">
      <w:pPr>
        <w:jc w:val="both"/>
        <w:rPr>
          <w:rFonts w:cstheme="minorHAnsi"/>
          <w:sz w:val="24"/>
          <w:szCs w:val="24"/>
        </w:rPr>
      </w:pPr>
      <w:r w:rsidRPr="00D76A73">
        <w:rPr>
          <w:rFonts w:cstheme="minorHAnsi"/>
          <w:b/>
          <w:sz w:val="24"/>
          <w:szCs w:val="24"/>
        </w:rPr>
        <w:t xml:space="preserve">From: </w:t>
      </w:r>
      <w:r w:rsidRPr="00D76A73">
        <w:rPr>
          <w:rFonts w:cstheme="minorHAnsi"/>
          <w:i/>
          <w:sz w:val="24"/>
          <w:szCs w:val="24"/>
        </w:rPr>
        <w:t>Centre for Human Rights, Faculty of Law, University of Pretoria, South Africa</w:t>
      </w:r>
      <w:r w:rsidR="00413657">
        <w:rPr>
          <w:rFonts w:cstheme="minorHAnsi"/>
          <w:i/>
          <w:sz w:val="24"/>
          <w:szCs w:val="24"/>
        </w:rPr>
        <w:t xml:space="preserve"> </w:t>
      </w:r>
      <w:bookmarkStart w:id="0" w:name="_GoBack"/>
      <w:bookmarkEnd w:id="0"/>
    </w:p>
    <w:p w14:paraId="0BBE7FCF" w14:textId="285196BA" w:rsidR="00F50260" w:rsidRPr="00D76A73" w:rsidRDefault="00FF6CCE" w:rsidP="00D76A73">
      <w:pPr>
        <w:jc w:val="both"/>
        <w:rPr>
          <w:rFonts w:cstheme="minorHAnsi"/>
          <w:i/>
          <w:sz w:val="24"/>
          <w:szCs w:val="24"/>
        </w:rPr>
      </w:pPr>
      <w:r w:rsidRPr="00D76A73">
        <w:rPr>
          <w:rFonts w:cstheme="minorHAnsi"/>
          <w:b/>
          <w:sz w:val="24"/>
          <w:szCs w:val="24"/>
        </w:rPr>
        <w:t>Subject</w:t>
      </w:r>
      <w:r w:rsidRPr="00D76A73">
        <w:rPr>
          <w:rFonts w:cstheme="minorHAnsi"/>
          <w:sz w:val="24"/>
          <w:szCs w:val="24"/>
        </w:rPr>
        <w:t xml:space="preserve">: </w:t>
      </w:r>
      <w:r w:rsidR="00D76A73" w:rsidRPr="00D76A73">
        <w:rPr>
          <w:rFonts w:cstheme="minorHAnsi"/>
          <w:sz w:val="24"/>
          <w:szCs w:val="24"/>
        </w:rPr>
        <w:t xml:space="preserve">Written contribution to the </w:t>
      </w:r>
      <w:r w:rsidR="00D76A73" w:rsidRPr="00D76A73">
        <w:rPr>
          <w:rFonts w:eastAsia="Times New Roman" w:cstheme="minorHAnsi"/>
          <w:color w:val="000000"/>
          <w:sz w:val="24"/>
          <w:szCs w:val="24"/>
          <w:shd w:val="clear" w:color="auto" w:fill="FFFFFF"/>
          <w:lang w:val="en-ZA"/>
        </w:rPr>
        <w:t xml:space="preserve">Half-Day General Discussion on Article 21, in view of the </w:t>
      </w:r>
      <w:r w:rsidR="003A4B5B" w:rsidRPr="00D76A73">
        <w:rPr>
          <w:rFonts w:cstheme="minorHAnsi"/>
          <w:i/>
          <w:sz w:val="24"/>
          <w:szCs w:val="24"/>
        </w:rPr>
        <w:t xml:space="preserve">Human Rights Committee’s Preparation of General Comment </w:t>
      </w:r>
      <w:r w:rsidR="00DB1E31" w:rsidRPr="00D76A73">
        <w:rPr>
          <w:rFonts w:cstheme="minorHAnsi"/>
          <w:i/>
          <w:sz w:val="24"/>
          <w:szCs w:val="24"/>
        </w:rPr>
        <w:t xml:space="preserve">37 </w:t>
      </w:r>
      <w:r w:rsidR="003A4B5B" w:rsidRPr="00D76A73">
        <w:rPr>
          <w:rFonts w:cstheme="minorHAnsi"/>
          <w:i/>
          <w:sz w:val="24"/>
          <w:szCs w:val="24"/>
        </w:rPr>
        <w:t>on Article 21 (Right of Peaceful Assembly) of the International Covenant on Civil and Political Rights</w:t>
      </w:r>
      <w:r w:rsidR="002C517A" w:rsidRPr="00D76A73">
        <w:rPr>
          <w:rFonts w:cstheme="minorHAnsi"/>
          <w:i/>
          <w:sz w:val="24"/>
          <w:szCs w:val="24"/>
        </w:rPr>
        <w:t>.</w:t>
      </w:r>
      <w:r w:rsidR="003A4B5B" w:rsidRPr="00D76A73">
        <w:rPr>
          <w:rFonts w:cstheme="minorHAnsi"/>
          <w:i/>
          <w:sz w:val="24"/>
          <w:szCs w:val="24"/>
        </w:rPr>
        <w:t xml:space="preserve"> </w:t>
      </w:r>
    </w:p>
    <w:p w14:paraId="2639E545" w14:textId="2FA5B308" w:rsidR="00D77F6F" w:rsidRPr="00D76A73" w:rsidRDefault="00580D46" w:rsidP="00D76A73">
      <w:pPr>
        <w:pBdr>
          <w:bottom w:val="single" w:sz="4" w:space="1" w:color="auto"/>
        </w:pBdr>
        <w:jc w:val="both"/>
        <w:rPr>
          <w:rFonts w:cstheme="minorHAnsi"/>
          <w:sz w:val="24"/>
          <w:szCs w:val="24"/>
        </w:rPr>
      </w:pPr>
      <w:r w:rsidRPr="00D76A73">
        <w:rPr>
          <w:rFonts w:cstheme="minorHAnsi"/>
          <w:b/>
          <w:sz w:val="24"/>
          <w:szCs w:val="24"/>
        </w:rPr>
        <w:t xml:space="preserve">Date: </w:t>
      </w:r>
      <w:r w:rsidR="003F2B9F" w:rsidRPr="00D76A73">
        <w:rPr>
          <w:rFonts w:cstheme="minorHAnsi"/>
          <w:sz w:val="24"/>
          <w:szCs w:val="24"/>
        </w:rPr>
        <w:t>11</w:t>
      </w:r>
      <w:r w:rsidR="00865C32" w:rsidRPr="00D76A73">
        <w:rPr>
          <w:rFonts w:cstheme="minorHAnsi"/>
          <w:sz w:val="24"/>
          <w:szCs w:val="24"/>
        </w:rPr>
        <w:t xml:space="preserve"> </w:t>
      </w:r>
      <w:r w:rsidR="003A4B5B" w:rsidRPr="00D76A73">
        <w:rPr>
          <w:rFonts w:cstheme="minorHAnsi"/>
          <w:sz w:val="24"/>
          <w:szCs w:val="24"/>
        </w:rPr>
        <w:t>March 2019</w:t>
      </w:r>
    </w:p>
    <w:p w14:paraId="161D3CF8" w14:textId="77777777" w:rsidR="00580D46" w:rsidRPr="00D76A73" w:rsidRDefault="00026662" w:rsidP="00D76A73">
      <w:pPr>
        <w:jc w:val="both"/>
        <w:rPr>
          <w:rFonts w:cstheme="minorHAnsi"/>
          <w:b/>
          <w:sz w:val="24"/>
          <w:szCs w:val="24"/>
        </w:rPr>
      </w:pPr>
      <w:r w:rsidRPr="00D76A73">
        <w:rPr>
          <w:rFonts w:cstheme="minorHAnsi"/>
          <w:b/>
          <w:sz w:val="24"/>
          <w:szCs w:val="24"/>
        </w:rPr>
        <w:t>Introduction</w:t>
      </w:r>
    </w:p>
    <w:p w14:paraId="7AB8B2B5" w14:textId="77777777" w:rsidR="00026662" w:rsidRPr="00D76A73" w:rsidRDefault="00E77012" w:rsidP="00D76A73">
      <w:pPr>
        <w:pStyle w:val="ListParagraph"/>
        <w:numPr>
          <w:ilvl w:val="0"/>
          <w:numId w:val="1"/>
        </w:numPr>
        <w:jc w:val="both"/>
        <w:rPr>
          <w:rFonts w:cstheme="minorHAnsi"/>
          <w:sz w:val="24"/>
          <w:szCs w:val="24"/>
        </w:rPr>
      </w:pPr>
      <w:r w:rsidRPr="00D76A73">
        <w:rPr>
          <w:rFonts w:cstheme="minorHAnsi"/>
          <w:sz w:val="24"/>
          <w:szCs w:val="24"/>
        </w:rPr>
        <w:t>The</w:t>
      </w:r>
      <w:r w:rsidR="00AD5B82" w:rsidRPr="00D76A73">
        <w:rPr>
          <w:rFonts w:cstheme="minorHAnsi"/>
          <w:sz w:val="24"/>
          <w:szCs w:val="24"/>
        </w:rPr>
        <w:t xml:space="preserve"> Centre for Human Rights (the Centre)</w:t>
      </w:r>
      <w:r w:rsidRPr="00D76A73">
        <w:rPr>
          <w:rFonts w:cstheme="minorHAnsi"/>
          <w:sz w:val="24"/>
          <w:szCs w:val="24"/>
        </w:rPr>
        <w:t xml:space="preserve"> is</w:t>
      </w:r>
      <w:r w:rsidR="003C7EC5" w:rsidRPr="00D76A73">
        <w:rPr>
          <w:rFonts w:cstheme="minorHAnsi"/>
          <w:sz w:val="24"/>
          <w:szCs w:val="24"/>
        </w:rPr>
        <w:t xml:space="preserve"> an institution </w:t>
      </w:r>
      <w:r w:rsidRPr="00D76A73">
        <w:rPr>
          <w:rFonts w:cstheme="minorHAnsi"/>
          <w:sz w:val="24"/>
          <w:szCs w:val="24"/>
        </w:rPr>
        <w:t>located in the Faculty of Law of the University of Pretoria</w:t>
      </w:r>
      <w:r w:rsidR="007013DD" w:rsidRPr="00D76A73">
        <w:rPr>
          <w:rFonts w:cstheme="minorHAnsi"/>
          <w:sz w:val="24"/>
          <w:szCs w:val="24"/>
        </w:rPr>
        <w:t xml:space="preserve">, South </w:t>
      </w:r>
      <w:r w:rsidR="003C7EC5" w:rsidRPr="00D76A73">
        <w:rPr>
          <w:rFonts w:cstheme="minorHAnsi"/>
          <w:sz w:val="24"/>
          <w:szCs w:val="24"/>
        </w:rPr>
        <w:t>Africa and dedicated to the protection of human rights in Africa</w:t>
      </w:r>
      <w:r w:rsidRPr="00D76A73">
        <w:rPr>
          <w:rFonts w:cstheme="minorHAnsi"/>
          <w:sz w:val="24"/>
          <w:szCs w:val="24"/>
        </w:rPr>
        <w:t>.</w:t>
      </w:r>
    </w:p>
    <w:p w14:paraId="1AACC7F0" w14:textId="77777777" w:rsidR="00406373" w:rsidRPr="00D76A73" w:rsidRDefault="00AD5B82" w:rsidP="00D76A73">
      <w:pPr>
        <w:pStyle w:val="ListParagraph"/>
        <w:numPr>
          <w:ilvl w:val="0"/>
          <w:numId w:val="1"/>
        </w:numPr>
        <w:jc w:val="both"/>
        <w:rPr>
          <w:rFonts w:cstheme="minorHAnsi"/>
          <w:sz w:val="24"/>
          <w:szCs w:val="24"/>
        </w:rPr>
      </w:pPr>
      <w:r w:rsidRPr="00D76A73">
        <w:rPr>
          <w:rFonts w:cstheme="minorHAnsi"/>
          <w:sz w:val="24"/>
          <w:szCs w:val="24"/>
        </w:rPr>
        <w:t xml:space="preserve">The Centre </w:t>
      </w:r>
      <w:r w:rsidR="00406373" w:rsidRPr="00D76A73">
        <w:rPr>
          <w:rFonts w:cstheme="minorHAnsi"/>
          <w:sz w:val="24"/>
          <w:szCs w:val="24"/>
        </w:rPr>
        <w:t>welcomes the opportunity to provide</w:t>
      </w:r>
      <w:r w:rsidR="00D53569" w:rsidRPr="00D76A73">
        <w:rPr>
          <w:rFonts w:cstheme="minorHAnsi"/>
          <w:sz w:val="24"/>
          <w:szCs w:val="24"/>
        </w:rPr>
        <w:t xml:space="preserve"> </w:t>
      </w:r>
      <w:r w:rsidR="00406373" w:rsidRPr="00D76A73">
        <w:rPr>
          <w:rFonts w:cstheme="minorHAnsi"/>
          <w:sz w:val="24"/>
          <w:szCs w:val="24"/>
        </w:rPr>
        <w:t>the following comments to the Human Rights Committee (the Committee) in</w:t>
      </w:r>
      <w:r w:rsidR="00D53569" w:rsidRPr="00D76A73">
        <w:rPr>
          <w:rFonts w:cstheme="minorHAnsi"/>
          <w:sz w:val="24"/>
          <w:szCs w:val="24"/>
        </w:rPr>
        <w:t xml:space="preserve"> </w:t>
      </w:r>
      <w:r w:rsidR="00406373" w:rsidRPr="00D76A73">
        <w:rPr>
          <w:rFonts w:cstheme="minorHAnsi"/>
          <w:sz w:val="24"/>
          <w:szCs w:val="24"/>
        </w:rPr>
        <w:t xml:space="preserve">view of the Committee’s </w:t>
      </w:r>
      <w:r w:rsidR="00D53569" w:rsidRPr="00D76A73">
        <w:rPr>
          <w:rFonts w:cstheme="minorHAnsi"/>
          <w:sz w:val="24"/>
          <w:szCs w:val="24"/>
        </w:rPr>
        <w:t xml:space="preserve">planned </w:t>
      </w:r>
      <w:r w:rsidR="00406373" w:rsidRPr="00D76A73">
        <w:rPr>
          <w:rFonts w:cstheme="minorHAnsi"/>
          <w:sz w:val="24"/>
          <w:szCs w:val="24"/>
        </w:rPr>
        <w:t xml:space="preserve">General Comment on Article </w:t>
      </w:r>
      <w:r w:rsidR="00D53569" w:rsidRPr="00D76A73">
        <w:rPr>
          <w:rFonts w:cstheme="minorHAnsi"/>
          <w:sz w:val="24"/>
          <w:szCs w:val="24"/>
        </w:rPr>
        <w:t>21</w:t>
      </w:r>
      <w:r w:rsidR="00406373" w:rsidRPr="00D76A73">
        <w:rPr>
          <w:rFonts w:cstheme="minorHAnsi"/>
          <w:sz w:val="24"/>
          <w:szCs w:val="24"/>
        </w:rPr>
        <w:t xml:space="preserve"> of the</w:t>
      </w:r>
      <w:r w:rsidR="00D53569" w:rsidRPr="00D76A73">
        <w:rPr>
          <w:rFonts w:cstheme="minorHAnsi"/>
          <w:sz w:val="24"/>
          <w:szCs w:val="24"/>
        </w:rPr>
        <w:t xml:space="preserve"> </w:t>
      </w:r>
      <w:r w:rsidR="00406373" w:rsidRPr="00D76A73">
        <w:rPr>
          <w:rFonts w:cstheme="minorHAnsi"/>
          <w:sz w:val="24"/>
          <w:szCs w:val="24"/>
        </w:rPr>
        <w:t>International Covenant on Civil and Political Rights</w:t>
      </w:r>
      <w:r w:rsidR="00D53569" w:rsidRPr="00D76A73">
        <w:rPr>
          <w:rFonts w:cstheme="minorHAnsi"/>
          <w:sz w:val="24"/>
          <w:szCs w:val="24"/>
        </w:rPr>
        <w:t>.</w:t>
      </w:r>
    </w:p>
    <w:p w14:paraId="717EF12A" w14:textId="77777777" w:rsidR="0077767D" w:rsidRPr="00D76A73" w:rsidRDefault="0077767D" w:rsidP="00D76A73">
      <w:pPr>
        <w:pStyle w:val="ListParagraph"/>
        <w:numPr>
          <w:ilvl w:val="0"/>
          <w:numId w:val="1"/>
        </w:numPr>
        <w:jc w:val="both"/>
        <w:rPr>
          <w:rFonts w:cstheme="minorHAnsi"/>
          <w:sz w:val="24"/>
          <w:szCs w:val="24"/>
        </w:rPr>
      </w:pPr>
      <w:r w:rsidRPr="00D76A73">
        <w:rPr>
          <w:rFonts w:cstheme="minorHAnsi"/>
          <w:sz w:val="24"/>
          <w:szCs w:val="24"/>
        </w:rPr>
        <w:t>This submission</w:t>
      </w:r>
      <w:r w:rsidR="008B0977" w:rsidRPr="00D76A73">
        <w:rPr>
          <w:rFonts w:cstheme="minorHAnsi"/>
          <w:sz w:val="24"/>
          <w:szCs w:val="24"/>
        </w:rPr>
        <w:t xml:space="preserve"> draws on the jurisprudence of the African Commission on Human and Peoples</w:t>
      </w:r>
      <w:r w:rsidR="00321EFD" w:rsidRPr="00D76A73">
        <w:rPr>
          <w:rFonts w:cstheme="minorHAnsi"/>
          <w:sz w:val="24"/>
          <w:szCs w:val="24"/>
        </w:rPr>
        <w:t>’</w:t>
      </w:r>
      <w:r w:rsidR="008B0977" w:rsidRPr="00D76A73">
        <w:rPr>
          <w:rFonts w:cstheme="minorHAnsi"/>
          <w:sz w:val="24"/>
          <w:szCs w:val="24"/>
        </w:rPr>
        <w:t xml:space="preserve"> Rights </w:t>
      </w:r>
      <w:r w:rsidR="00D33C1F" w:rsidRPr="00D76A73">
        <w:rPr>
          <w:rFonts w:cstheme="minorHAnsi"/>
          <w:sz w:val="24"/>
          <w:szCs w:val="24"/>
        </w:rPr>
        <w:t xml:space="preserve">(ACHPR) </w:t>
      </w:r>
      <w:r w:rsidR="008B0977" w:rsidRPr="00D76A73">
        <w:rPr>
          <w:rFonts w:cstheme="minorHAnsi"/>
          <w:sz w:val="24"/>
          <w:szCs w:val="24"/>
        </w:rPr>
        <w:t xml:space="preserve">and the case law of South Africa in particular with respect to </w:t>
      </w:r>
      <w:r w:rsidRPr="00D76A73">
        <w:rPr>
          <w:rFonts w:cstheme="minorHAnsi"/>
          <w:sz w:val="24"/>
          <w:szCs w:val="24"/>
        </w:rPr>
        <w:t>the following two key questions:</w:t>
      </w:r>
    </w:p>
    <w:p w14:paraId="2DF6D431" w14:textId="5BB3D401" w:rsidR="00634080" w:rsidRPr="00D76A73" w:rsidRDefault="00634080" w:rsidP="00D76A73">
      <w:pPr>
        <w:pStyle w:val="ListParagraph"/>
        <w:numPr>
          <w:ilvl w:val="1"/>
          <w:numId w:val="1"/>
        </w:numPr>
        <w:jc w:val="both"/>
        <w:rPr>
          <w:rFonts w:cstheme="minorHAnsi"/>
          <w:sz w:val="24"/>
          <w:szCs w:val="24"/>
        </w:rPr>
      </w:pPr>
      <w:r w:rsidRPr="00D76A73">
        <w:rPr>
          <w:rFonts w:cstheme="minorHAnsi"/>
          <w:sz w:val="24"/>
          <w:szCs w:val="24"/>
        </w:rPr>
        <w:t xml:space="preserve">The question of organizer </w:t>
      </w:r>
      <w:r w:rsidR="009C773F" w:rsidRPr="00D76A73">
        <w:rPr>
          <w:rFonts w:cstheme="minorHAnsi"/>
          <w:sz w:val="24"/>
          <w:szCs w:val="24"/>
        </w:rPr>
        <w:t>liabi</w:t>
      </w:r>
      <w:r w:rsidRPr="00D76A73">
        <w:rPr>
          <w:rFonts w:cstheme="minorHAnsi"/>
          <w:sz w:val="24"/>
          <w:szCs w:val="24"/>
        </w:rPr>
        <w:t>lity; and</w:t>
      </w:r>
    </w:p>
    <w:p w14:paraId="7137200F" w14:textId="67E672F5" w:rsidR="00D53569" w:rsidRPr="00D76A73" w:rsidRDefault="00634080" w:rsidP="00D76A73">
      <w:pPr>
        <w:pStyle w:val="ListParagraph"/>
        <w:numPr>
          <w:ilvl w:val="1"/>
          <w:numId w:val="1"/>
        </w:numPr>
        <w:jc w:val="both"/>
        <w:rPr>
          <w:rFonts w:cstheme="minorHAnsi"/>
          <w:sz w:val="24"/>
          <w:szCs w:val="24"/>
        </w:rPr>
      </w:pPr>
      <w:r w:rsidRPr="00D76A73">
        <w:rPr>
          <w:rFonts w:cstheme="minorHAnsi"/>
          <w:sz w:val="24"/>
          <w:szCs w:val="24"/>
        </w:rPr>
        <w:t xml:space="preserve">The </w:t>
      </w:r>
      <w:r w:rsidR="007B5930" w:rsidRPr="00D76A73">
        <w:rPr>
          <w:rFonts w:cstheme="minorHAnsi"/>
          <w:sz w:val="24"/>
          <w:szCs w:val="24"/>
        </w:rPr>
        <w:t>criminalization of the failure to notify authorities</w:t>
      </w:r>
      <w:r w:rsidRPr="00D76A73">
        <w:rPr>
          <w:rFonts w:cstheme="minorHAnsi"/>
          <w:sz w:val="24"/>
          <w:szCs w:val="24"/>
        </w:rPr>
        <w:t xml:space="preserve">. </w:t>
      </w:r>
      <w:r w:rsidR="0077767D" w:rsidRPr="00D76A73">
        <w:rPr>
          <w:rFonts w:cstheme="minorHAnsi"/>
          <w:sz w:val="24"/>
          <w:szCs w:val="24"/>
        </w:rPr>
        <w:t xml:space="preserve">  </w:t>
      </w:r>
    </w:p>
    <w:p w14:paraId="6AD5CB7E" w14:textId="77777777" w:rsidR="00AE0CFD" w:rsidRPr="00D76A73" w:rsidRDefault="00AE0CFD" w:rsidP="00D76A73">
      <w:pPr>
        <w:jc w:val="both"/>
        <w:rPr>
          <w:rFonts w:cstheme="minorHAnsi"/>
          <w:b/>
          <w:sz w:val="24"/>
          <w:szCs w:val="24"/>
        </w:rPr>
      </w:pPr>
      <w:r w:rsidRPr="00D76A73">
        <w:rPr>
          <w:rFonts w:cstheme="minorHAnsi"/>
          <w:b/>
          <w:sz w:val="24"/>
          <w:szCs w:val="24"/>
        </w:rPr>
        <w:t xml:space="preserve">Submissions on the two questions </w:t>
      </w:r>
    </w:p>
    <w:p w14:paraId="26EC9E48" w14:textId="7257D19A" w:rsidR="00634080" w:rsidRPr="00D76A73" w:rsidRDefault="00634080" w:rsidP="00D76A73">
      <w:pPr>
        <w:pStyle w:val="ListParagraph"/>
        <w:numPr>
          <w:ilvl w:val="0"/>
          <w:numId w:val="2"/>
        </w:numPr>
        <w:jc w:val="both"/>
        <w:rPr>
          <w:rFonts w:cstheme="minorHAnsi"/>
          <w:b/>
          <w:sz w:val="24"/>
          <w:szCs w:val="24"/>
        </w:rPr>
      </w:pPr>
      <w:r w:rsidRPr="00D76A73">
        <w:rPr>
          <w:rFonts w:cstheme="minorHAnsi"/>
          <w:b/>
          <w:sz w:val="24"/>
          <w:szCs w:val="24"/>
        </w:rPr>
        <w:t>Organizer</w:t>
      </w:r>
      <w:r w:rsidR="009C773F" w:rsidRPr="00D76A73">
        <w:rPr>
          <w:rFonts w:cstheme="minorHAnsi"/>
          <w:b/>
          <w:sz w:val="24"/>
          <w:szCs w:val="24"/>
        </w:rPr>
        <w:t xml:space="preserve"> Liability</w:t>
      </w:r>
      <w:r w:rsidRPr="00D76A73">
        <w:rPr>
          <w:rFonts w:cstheme="minorHAnsi"/>
          <w:b/>
          <w:sz w:val="24"/>
          <w:szCs w:val="24"/>
        </w:rPr>
        <w:t xml:space="preserve"> </w:t>
      </w:r>
    </w:p>
    <w:p w14:paraId="5E80ED39" w14:textId="77777777" w:rsidR="00AD7E5F" w:rsidRPr="00D76A73" w:rsidRDefault="008B0977" w:rsidP="00D76A73">
      <w:pPr>
        <w:pStyle w:val="ListParagraph"/>
        <w:numPr>
          <w:ilvl w:val="0"/>
          <w:numId w:val="1"/>
        </w:numPr>
        <w:jc w:val="both"/>
        <w:rPr>
          <w:rFonts w:cstheme="minorHAnsi"/>
          <w:sz w:val="24"/>
          <w:szCs w:val="24"/>
        </w:rPr>
      </w:pPr>
      <w:r w:rsidRPr="00D76A73">
        <w:rPr>
          <w:rFonts w:cstheme="minorHAnsi"/>
          <w:sz w:val="24"/>
          <w:szCs w:val="24"/>
        </w:rPr>
        <w:t>T</w:t>
      </w:r>
      <w:r w:rsidR="003E114E" w:rsidRPr="00D76A73">
        <w:rPr>
          <w:rFonts w:cstheme="minorHAnsi"/>
          <w:sz w:val="24"/>
          <w:szCs w:val="24"/>
        </w:rPr>
        <w:t>he right</w:t>
      </w:r>
      <w:r w:rsidRPr="00D76A73">
        <w:rPr>
          <w:rFonts w:cstheme="minorHAnsi"/>
          <w:sz w:val="24"/>
          <w:szCs w:val="24"/>
        </w:rPr>
        <w:t xml:space="preserve"> to freedom of Assembly is </w:t>
      </w:r>
      <w:r w:rsidR="003E114E" w:rsidRPr="00D76A73">
        <w:rPr>
          <w:rFonts w:cstheme="minorHAnsi"/>
          <w:sz w:val="24"/>
          <w:szCs w:val="24"/>
        </w:rPr>
        <w:t>guaranteed in Article 11</w:t>
      </w:r>
      <w:r w:rsidR="003E114E" w:rsidRPr="00D76A73">
        <w:rPr>
          <w:rStyle w:val="FootnoteReference"/>
          <w:rFonts w:cstheme="minorHAnsi"/>
          <w:sz w:val="24"/>
          <w:szCs w:val="24"/>
        </w:rPr>
        <w:footnoteReference w:id="1"/>
      </w:r>
      <w:r w:rsidR="003E114E" w:rsidRPr="00D76A73">
        <w:rPr>
          <w:rFonts w:cstheme="minorHAnsi"/>
          <w:sz w:val="24"/>
          <w:szCs w:val="24"/>
        </w:rPr>
        <w:t xml:space="preserve"> of the African Charter on Human and Peoples</w:t>
      </w:r>
      <w:r w:rsidR="00321EFD" w:rsidRPr="00D76A73">
        <w:rPr>
          <w:rFonts w:cstheme="minorHAnsi"/>
          <w:sz w:val="24"/>
          <w:szCs w:val="24"/>
        </w:rPr>
        <w:t>’</w:t>
      </w:r>
      <w:r w:rsidR="003E114E" w:rsidRPr="00D76A73">
        <w:rPr>
          <w:rFonts w:cstheme="minorHAnsi"/>
          <w:sz w:val="24"/>
          <w:szCs w:val="24"/>
        </w:rPr>
        <w:t xml:space="preserve"> Rights (the African Charter) and in most national constitutions</w:t>
      </w:r>
      <w:r w:rsidRPr="00D76A73">
        <w:rPr>
          <w:rFonts w:cstheme="minorHAnsi"/>
          <w:sz w:val="24"/>
          <w:szCs w:val="24"/>
        </w:rPr>
        <w:t>, including South Africa</w:t>
      </w:r>
      <w:r w:rsidR="003E114E" w:rsidRPr="00D76A73">
        <w:rPr>
          <w:rFonts w:cstheme="minorHAnsi"/>
          <w:sz w:val="24"/>
          <w:szCs w:val="24"/>
        </w:rPr>
        <w:t xml:space="preserve">. </w:t>
      </w:r>
    </w:p>
    <w:p w14:paraId="13197EF9" w14:textId="77777777" w:rsidR="00B418E5" w:rsidRPr="00D76A73" w:rsidRDefault="00B418E5" w:rsidP="00D76A73">
      <w:pPr>
        <w:pStyle w:val="ListParagraph"/>
        <w:jc w:val="both"/>
        <w:rPr>
          <w:rFonts w:cstheme="minorHAnsi"/>
          <w:sz w:val="24"/>
          <w:szCs w:val="24"/>
        </w:rPr>
      </w:pPr>
    </w:p>
    <w:p w14:paraId="5428D313" w14:textId="77777777" w:rsidR="00AE0CFD" w:rsidRPr="00D76A73" w:rsidRDefault="00AE0CFD" w:rsidP="00D76A73">
      <w:pPr>
        <w:pStyle w:val="ListParagraph"/>
        <w:numPr>
          <w:ilvl w:val="0"/>
          <w:numId w:val="1"/>
        </w:numPr>
        <w:jc w:val="both"/>
        <w:rPr>
          <w:rFonts w:cstheme="minorHAnsi"/>
          <w:sz w:val="24"/>
          <w:szCs w:val="24"/>
        </w:rPr>
      </w:pPr>
      <w:r w:rsidRPr="00D76A73">
        <w:rPr>
          <w:rFonts w:cstheme="minorHAnsi"/>
          <w:sz w:val="24"/>
          <w:szCs w:val="24"/>
        </w:rPr>
        <w:t xml:space="preserve">The Centre recognizes that although the freedom of assembly is a crucial tool for enhancing democracy, not all assemblies are peaceful and some assemblies could descend to chaos that lead to the infringement of the rights of others. As such, there is a need to strike a balance between the right of members of the public to participate in assemblies and the rights of non-participants. </w:t>
      </w:r>
      <w:r w:rsidR="00863052" w:rsidRPr="00D76A73">
        <w:rPr>
          <w:rFonts w:cstheme="minorHAnsi"/>
          <w:sz w:val="24"/>
          <w:szCs w:val="24"/>
        </w:rPr>
        <w:t>South Africa’s Regulation of Gatherings Act</w:t>
      </w:r>
      <w:r w:rsidR="00CB4478" w:rsidRPr="00D76A73">
        <w:rPr>
          <w:rFonts w:cstheme="minorHAnsi"/>
          <w:sz w:val="24"/>
          <w:szCs w:val="24"/>
        </w:rPr>
        <w:t xml:space="preserve"> 205 of 1993 provides for</w:t>
      </w:r>
      <w:r w:rsidR="006429D4" w:rsidRPr="00D76A73">
        <w:rPr>
          <w:rFonts w:cstheme="minorHAnsi"/>
          <w:sz w:val="24"/>
          <w:szCs w:val="24"/>
        </w:rPr>
        <w:t xml:space="preserve"> civil</w:t>
      </w:r>
      <w:r w:rsidR="00CB4478" w:rsidRPr="00D76A73">
        <w:rPr>
          <w:rFonts w:cstheme="minorHAnsi"/>
          <w:sz w:val="24"/>
          <w:szCs w:val="24"/>
        </w:rPr>
        <w:t xml:space="preserve"> liability of organizers or conveners of gatherings for</w:t>
      </w:r>
      <w:r w:rsidR="002A4CB6" w:rsidRPr="00D76A73">
        <w:rPr>
          <w:rFonts w:cstheme="minorHAnsi"/>
          <w:sz w:val="24"/>
          <w:szCs w:val="24"/>
        </w:rPr>
        <w:t xml:space="preserve"> reasonably foreseeable</w:t>
      </w:r>
      <w:r w:rsidR="00CB4478" w:rsidRPr="00D76A73">
        <w:rPr>
          <w:rFonts w:cstheme="minorHAnsi"/>
          <w:sz w:val="24"/>
          <w:szCs w:val="24"/>
        </w:rPr>
        <w:t xml:space="preserve"> damage arising from gatherings or demonstrations.</w:t>
      </w:r>
      <w:r w:rsidR="00CB4478" w:rsidRPr="00D76A73">
        <w:rPr>
          <w:rStyle w:val="FootnoteReference"/>
          <w:rFonts w:cstheme="minorHAnsi"/>
          <w:sz w:val="24"/>
          <w:szCs w:val="24"/>
        </w:rPr>
        <w:footnoteReference w:id="2"/>
      </w:r>
      <w:r w:rsidR="00CB4478" w:rsidRPr="00D76A73">
        <w:rPr>
          <w:rFonts w:cstheme="minorHAnsi"/>
          <w:sz w:val="24"/>
          <w:szCs w:val="24"/>
        </w:rPr>
        <w:t xml:space="preserve">  </w:t>
      </w:r>
    </w:p>
    <w:p w14:paraId="3D3657B8" w14:textId="77777777" w:rsidR="00AE0CFD" w:rsidRPr="00D76A73" w:rsidRDefault="00AE0CFD" w:rsidP="00D76A73">
      <w:pPr>
        <w:pStyle w:val="ListParagraph"/>
        <w:jc w:val="both"/>
        <w:rPr>
          <w:rFonts w:cstheme="minorHAnsi"/>
          <w:sz w:val="24"/>
          <w:szCs w:val="24"/>
        </w:rPr>
      </w:pPr>
    </w:p>
    <w:p w14:paraId="0F171E02" w14:textId="0B915641" w:rsidR="00144A9E" w:rsidRPr="00D76A73" w:rsidRDefault="001166D2" w:rsidP="00D76A73">
      <w:pPr>
        <w:pStyle w:val="ListParagraph"/>
        <w:numPr>
          <w:ilvl w:val="0"/>
          <w:numId w:val="1"/>
        </w:numPr>
        <w:jc w:val="both"/>
        <w:rPr>
          <w:rFonts w:cstheme="minorHAnsi"/>
          <w:sz w:val="24"/>
          <w:szCs w:val="24"/>
        </w:rPr>
      </w:pPr>
      <w:r w:rsidRPr="00D76A73">
        <w:rPr>
          <w:rFonts w:cstheme="minorHAnsi"/>
          <w:sz w:val="24"/>
          <w:szCs w:val="24"/>
        </w:rPr>
        <w:lastRenderedPageBreak/>
        <w:t xml:space="preserve">While organizers of assemblies should be conscious of the possibility of </w:t>
      </w:r>
      <w:r w:rsidR="00C9131A" w:rsidRPr="00D76A73">
        <w:rPr>
          <w:rFonts w:cstheme="minorHAnsi"/>
          <w:sz w:val="24"/>
          <w:szCs w:val="24"/>
        </w:rPr>
        <w:t xml:space="preserve">damage resulting from the actions of participants in assemblies, care should be taken to ensure that the prospects of being made to pay for damages does not discourage the exercise of the right of peaceful assembly. In </w:t>
      </w:r>
      <w:r w:rsidR="000B3723" w:rsidRPr="00D76A73">
        <w:rPr>
          <w:rFonts w:cstheme="minorHAnsi"/>
          <w:b/>
          <w:i/>
          <w:sz w:val="24"/>
          <w:szCs w:val="24"/>
        </w:rPr>
        <w:t>South African Transport and Allied Workers Union</w:t>
      </w:r>
      <w:r w:rsidR="00C9131A" w:rsidRPr="00D76A73">
        <w:rPr>
          <w:rFonts w:cstheme="minorHAnsi"/>
          <w:b/>
          <w:i/>
          <w:sz w:val="24"/>
          <w:szCs w:val="24"/>
        </w:rPr>
        <w:t xml:space="preserve"> v </w:t>
      </w:r>
      <w:proofErr w:type="spellStart"/>
      <w:r w:rsidR="00C9131A" w:rsidRPr="00D76A73">
        <w:rPr>
          <w:rFonts w:cstheme="minorHAnsi"/>
          <w:b/>
          <w:i/>
          <w:sz w:val="24"/>
          <w:szCs w:val="24"/>
        </w:rPr>
        <w:t>Garvas</w:t>
      </w:r>
      <w:proofErr w:type="spellEnd"/>
      <w:r w:rsidR="000B3723" w:rsidRPr="00D76A73">
        <w:rPr>
          <w:rStyle w:val="FootnoteReference"/>
          <w:rFonts w:cstheme="minorHAnsi"/>
          <w:sz w:val="24"/>
          <w:szCs w:val="24"/>
        </w:rPr>
        <w:footnoteReference w:id="3"/>
      </w:r>
      <w:r w:rsidR="00AC46E5" w:rsidRPr="00D76A73">
        <w:rPr>
          <w:rFonts w:cstheme="minorHAnsi"/>
          <w:b/>
          <w:i/>
          <w:sz w:val="24"/>
          <w:szCs w:val="24"/>
        </w:rPr>
        <w:t xml:space="preserve"> </w:t>
      </w:r>
      <w:r w:rsidR="000B3723" w:rsidRPr="00D76A73">
        <w:rPr>
          <w:rFonts w:cstheme="minorHAnsi"/>
          <w:sz w:val="24"/>
          <w:szCs w:val="24"/>
        </w:rPr>
        <w:t>where</w:t>
      </w:r>
      <w:r w:rsidR="00C9131A" w:rsidRPr="00D76A73">
        <w:rPr>
          <w:rFonts w:cstheme="minorHAnsi"/>
          <w:sz w:val="24"/>
          <w:szCs w:val="24"/>
        </w:rPr>
        <w:t xml:space="preserve"> the Constitutional Court of South </w:t>
      </w:r>
      <w:r w:rsidR="000B3723" w:rsidRPr="00D76A73">
        <w:rPr>
          <w:rFonts w:cstheme="minorHAnsi"/>
          <w:sz w:val="24"/>
          <w:szCs w:val="24"/>
        </w:rPr>
        <w:t>Africa considered the question of liability of a trade union for damages</w:t>
      </w:r>
      <w:r w:rsidR="00C75A0F" w:rsidRPr="00D76A73">
        <w:rPr>
          <w:rFonts w:cstheme="minorHAnsi"/>
          <w:sz w:val="24"/>
          <w:szCs w:val="24"/>
        </w:rPr>
        <w:t xml:space="preserve"> to private property</w:t>
      </w:r>
      <w:r w:rsidR="000B3723" w:rsidRPr="00D76A73">
        <w:rPr>
          <w:rFonts w:cstheme="minorHAnsi"/>
          <w:sz w:val="24"/>
          <w:szCs w:val="24"/>
        </w:rPr>
        <w:t xml:space="preserve"> resulting from chaotic industrial action, the Court observed that owing to the possibility of organizers of assemblies being made to pay for damages caused by assembly participants, “poorly resourced organizations that wish to organise protest action about controversial causes that are nonetheless vital to society could be inhibited from doing so.”</w:t>
      </w:r>
      <w:r w:rsidR="000B3723" w:rsidRPr="00D76A73">
        <w:rPr>
          <w:rStyle w:val="FootnoteReference"/>
          <w:rFonts w:cstheme="minorHAnsi"/>
          <w:sz w:val="24"/>
          <w:szCs w:val="24"/>
        </w:rPr>
        <w:footnoteReference w:id="4"/>
      </w:r>
      <w:r w:rsidR="000B3723" w:rsidRPr="00D76A73">
        <w:rPr>
          <w:rFonts w:cstheme="minorHAnsi"/>
          <w:sz w:val="24"/>
          <w:szCs w:val="24"/>
        </w:rPr>
        <w:t xml:space="preserve"> According to the Court, this could then amount to a limitation on the right to gather and protest. Nevertheless, the Court also recognised that organizers of an assembly </w:t>
      </w:r>
      <w:r w:rsidR="00C75A0F" w:rsidRPr="00D76A73">
        <w:rPr>
          <w:rFonts w:cstheme="minorHAnsi"/>
          <w:sz w:val="24"/>
          <w:szCs w:val="24"/>
        </w:rPr>
        <w:t>that leads to personal injuries,</w:t>
      </w:r>
      <w:r w:rsidR="00AC357A" w:rsidRPr="00D76A73">
        <w:rPr>
          <w:rFonts w:cstheme="minorHAnsi"/>
          <w:sz w:val="24"/>
          <w:szCs w:val="24"/>
        </w:rPr>
        <w:t xml:space="preserve"> deaths and </w:t>
      </w:r>
      <w:r w:rsidR="00C75A0F" w:rsidRPr="00D76A73">
        <w:rPr>
          <w:rFonts w:cstheme="minorHAnsi"/>
          <w:sz w:val="24"/>
          <w:szCs w:val="24"/>
        </w:rPr>
        <w:t>damage to property</w:t>
      </w:r>
      <w:r w:rsidR="00AC357A" w:rsidRPr="00D76A73">
        <w:rPr>
          <w:rFonts w:cstheme="minorHAnsi"/>
          <w:sz w:val="24"/>
          <w:szCs w:val="24"/>
        </w:rPr>
        <w:t xml:space="preserve"> might be held liable</w:t>
      </w:r>
      <w:r w:rsidR="002F36C3" w:rsidRPr="00D76A73">
        <w:rPr>
          <w:rFonts w:cstheme="minorHAnsi"/>
          <w:sz w:val="24"/>
          <w:szCs w:val="24"/>
        </w:rPr>
        <w:t xml:space="preserve"> if they choose to hold a gathering in spite of the foreseeable damage that may befall others in the course of the gathering</w:t>
      </w:r>
      <w:r w:rsidR="00AC357A" w:rsidRPr="00D76A73">
        <w:rPr>
          <w:rFonts w:cstheme="minorHAnsi"/>
          <w:sz w:val="24"/>
          <w:szCs w:val="24"/>
        </w:rPr>
        <w:t>.</w:t>
      </w:r>
      <w:r w:rsidR="00B418E5" w:rsidRPr="00D76A73">
        <w:rPr>
          <w:rStyle w:val="FootnoteReference"/>
          <w:rFonts w:cstheme="minorHAnsi"/>
          <w:sz w:val="24"/>
          <w:szCs w:val="24"/>
        </w:rPr>
        <w:footnoteReference w:id="5"/>
      </w:r>
      <w:r w:rsidR="00AC357A" w:rsidRPr="00D76A73">
        <w:rPr>
          <w:rFonts w:cstheme="minorHAnsi"/>
          <w:sz w:val="24"/>
          <w:szCs w:val="24"/>
        </w:rPr>
        <w:t xml:space="preserve"> </w:t>
      </w:r>
      <w:r w:rsidR="00446E1A" w:rsidRPr="00D76A73">
        <w:rPr>
          <w:rFonts w:cstheme="minorHAnsi"/>
          <w:sz w:val="24"/>
          <w:szCs w:val="24"/>
        </w:rPr>
        <w:t xml:space="preserve">The Court stated that </w:t>
      </w:r>
      <w:r w:rsidR="00431724" w:rsidRPr="00D76A73">
        <w:rPr>
          <w:rFonts w:cstheme="minorHAnsi"/>
          <w:sz w:val="24"/>
          <w:szCs w:val="24"/>
        </w:rPr>
        <w:t>“when a gathering imperils the physical integrity, the lives and the sources of livelihood of the vulnerable, liability for damages arising therefrom must be borne by the organizations that are responsible for setting in motion the events which gave rise to the suffered loss.”</w:t>
      </w:r>
      <w:r w:rsidR="00431724" w:rsidRPr="00D76A73">
        <w:rPr>
          <w:rStyle w:val="FootnoteReference"/>
          <w:rFonts w:cstheme="minorHAnsi"/>
          <w:sz w:val="24"/>
          <w:szCs w:val="24"/>
        </w:rPr>
        <w:footnoteReference w:id="6"/>
      </w:r>
      <w:r w:rsidR="00431724" w:rsidRPr="00D76A73">
        <w:rPr>
          <w:rFonts w:cstheme="minorHAnsi"/>
          <w:sz w:val="24"/>
          <w:szCs w:val="24"/>
        </w:rPr>
        <w:t xml:space="preserve"> </w:t>
      </w:r>
      <w:r w:rsidR="00B34DCE" w:rsidRPr="00D76A73">
        <w:rPr>
          <w:rFonts w:cstheme="minorHAnsi"/>
          <w:sz w:val="24"/>
          <w:szCs w:val="24"/>
        </w:rPr>
        <w:t xml:space="preserve">With this pronouncement, the Court </w:t>
      </w:r>
      <w:r w:rsidR="00A82FE8" w:rsidRPr="00D76A73">
        <w:rPr>
          <w:rFonts w:cstheme="minorHAnsi"/>
          <w:sz w:val="24"/>
          <w:szCs w:val="24"/>
        </w:rPr>
        <w:t xml:space="preserve">may </w:t>
      </w:r>
      <w:r w:rsidR="00B34DCE" w:rsidRPr="00D76A73">
        <w:rPr>
          <w:rFonts w:cstheme="minorHAnsi"/>
          <w:sz w:val="24"/>
          <w:szCs w:val="24"/>
        </w:rPr>
        <w:t>seem to have placed the burden of ensuring that an assembly is conducted peacefully entirely on the organi</w:t>
      </w:r>
      <w:r w:rsidR="00111ED5" w:rsidRPr="00D76A73">
        <w:rPr>
          <w:rFonts w:cstheme="minorHAnsi"/>
          <w:sz w:val="24"/>
          <w:szCs w:val="24"/>
        </w:rPr>
        <w:t>s</w:t>
      </w:r>
      <w:r w:rsidR="00B34DCE" w:rsidRPr="00D76A73">
        <w:rPr>
          <w:rFonts w:cstheme="minorHAnsi"/>
          <w:sz w:val="24"/>
          <w:szCs w:val="24"/>
        </w:rPr>
        <w:t>ers.</w:t>
      </w:r>
      <w:r w:rsidR="00111ED5" w:rsidRPr="00D76A73">
        <w:rPr>
          <w:rFonts w:cstheme="minorHAnsi"/>
          <w:sz w:val="24"/>
          <w:szCs w:val="24"/>
        </w:rPr>
        <w:t xml:space="preserve"> However, the court also explained that the question of what </w:t>
      </w:r>
      <w:r w:rsidR="00AE6F60" w:rsidRPr="00D76A73">
        <w:rPr>
          <w:rFonts w:cstheme="minorHAnsi"/>
          <w:sz w:val="24"/>
          <w:szCs w:val="24"/>
        </w:rPr>
        <w:t xml:space="preserve">damage </w:t>
      </w:r>
      <w:r w:rsidR="00111ED5" w:rsidRPr="00D76A73">
        <w:rPr>
          <w:rFonts w:cstheme="minorHAnsi"/>
          <w:sz w:val="24"/>
          <w:szCs w:val="24"/>
        </w:rPr>
        <w:t>was foreseeable is interlinked with the question of what steps an organisation took to prevent harm. The steps an organisation is required to take must be within the powers of that organisation</w:t>
      </w:r>
      <w:r w:rsidR="00111ED5" w:rsidRPr="00D76A73">
        <w:rPr>
          <w:rStyle w:val="FootnoteReference"/>
          <w:rFonts w:cstheme="minorHAnsi"/>
          <w:sz w:val="24"/>
          <w:szCs w:val="24"/>
        </w:rPr>
        <w:footnoteReference w:id="7"/>
      </w:r>
      <w:r w:rsidR="00111ED5" w:rsidRPr="00D76A73">
        <w:rPr>
          <w:rFonts w:cstheme="minorHAnsi"/>
          <w:sz w:val="24"/>
          <w:szCs w:val="24"/>
        </w:rPr>
        <w:t xml:space="preserve"> and where the preventive measures needed to be taken are beyond the powers of an organiser, then the organiser must notify the authorities that have a duty to take steps.</w:t>
      </w:r>
      <w:r w:rsidR="00111ED5" w:rsidRPr="00D76A73">
        <w:rPr>
          <w:rStyle w:val="FootnoteReference"/>
          <w:rFonts w:cstheme="minorHAnsi"/>
          <w:sz w:val="24"/>
          <w:szCs w:val="24"/>
        </w:rPr>
        <w:footnoteReference w:id="8"/>
      </w:r>
      <w:r w:rsidR="00111ED5" w:rsidRPr="00D76A73">
        <w:rPr>
          <w:rFonts w:cstheme="minorHAnsi"/>
          <w:sz w:val="24"/>
          <w:szCs w:val="24"/>
        </w:rPr>
        <w:t xml:space="preserve"> </w:t>
      </w:r>
      <w:r w:rsidR="00687A5C" w:rsidRPr="00D76A73">
        <w:rPr>
          <w:rFonts w:cstheme="minorHAnsi"/>
          <w:sz w:val="24"/>
          <w:szCs w:val="24"/>
        </w:rPr>
        <w:t xml:space="preserve">Failure to do so could give rise to liability. </w:t>
      </w:r>
      <w:r w:rsidR="00AE6F60" w:rsidRPr="00D76A73">
        <w:rPr>
          <w:rFonts w:cstheme="minorHAnsi"/>
          <w:sz w:val="24"/>
          <w:szCs w:val="24"/>
        </w:rPr>
        <w:t>The message the Court was sending is that o</w:t>
      </w:r>
      <w:r w:rsidR="00924F69" w:rsidRPr="00D76A73">
        <w:rPr>
          <w:rFonts w:cstheme="minorHAnsi"/>
          <w:sz w:val="24"/>
          <w:szCs w:val="24"/>
        </w:rPr>
        <w:t>rganizers</w:t>
      </w:r>
      <w:r w:rsidR="00F70D75" w:rsidRPr="00D76A73">
        <w:rPr>
          <w:rFonts w:cstheme="minorHAnsi"/>
          <w:sz w:val="24"/>
          <w:szCs w:val="24"/>
        </w:rPr>
        <w:t xml:space="preserve"> </w:t>
      </w:r>
      <w:r w:rsidR="00924F69" w:rsidRPr="00D76A73">
        <w:rPr>
          <w:rFonts w:cstheme="minorHAnsi"/>
          <w:sz w:val="24"/>
          <w:szCs w:val="24"/>
        </w:rPr>
        <w:t xml:space="preserve">of assemblies </w:t>
      </w:r>
      <w:r w:rsidR="00F70D75" w:rsidRPr="00D76A73">
        <w:rPr>
          <w:rFonts w:cstheme="minorHAnsi"/>
          <w:sz w:val="24"/>
          <w:szCs w:val="24"/>
        </w:rPr>
        <w:t>are required to</w:t>
      </w:r>
      <w:r w:rsidR="00924F69" w:rsidRPr="00D76A73">
        <w:rPr>
          <w:rFonts w:cstheme="minorHAnsi"/>
          <w:sz w:val="24"/>
          <w:szCs w:val="24"/>
        </w:rPr>
        <w:t xml:space="preserve"> be conscious of any foreseeable harm that innocent bystanders may suffer as a result of the assemblies</w:t>
      </w:r>
      <w:r w:rsidR="00F70D75" w:rsidRPr="00D76A73">
        <w:rPr>
          <w:rFonts w:cstheme="minorHAnsi"/>
          <w:sz w:val="24"/>
          <w:szCs w:val="24"/>
        </w:rPr>
        <w:t xml:space="preserve">, and </w:t>
      </w:r>
      <w:r w:rsidR="00AE6F60" w:rsidRPr="00D76A73">
        <w:rPr>
          <w:rFonts w:cstheme="minorHAnsi"/>
          <w:sz w:val="24"/>
          <w:szCs w:val="24"/>
        </w:rPr>
        <w:t xml:space="preserve">they must </w:t>
      </w:r>
      <w:r w:rsidR="00F70D75" w:rsidRPr="00D76A73">
        <w:rPr>
          <w:rFonts w:cstheme="minorHAnsi"/>
          <w:sz w:val="24"/>
          <w:szCs w:val="24"/>
        </w:rPr>
        <w:t>take reasonable steps to prevent the harm from occurring.</w:t>
      </w:r>
      <w:r w:rsidR="003D573E" w:rsidRPr="00D76A73">
        <w:rPr>
          <w:rFonts w:cstheme="minorHAnsi"/>
          <w:sz w:val="24"/>
          <w:szCs w:val="24"/>
        </w:rPr>
        <w:t xml:space="preserve"> This is important because a balance has to be struck between the rights of participants in an assembly and the rights of innocent bystanders. </w:t>
      </w:r>
    </w:p>
    <w:p w14:paraId="0AD4DF2B" w14:textId="77777777" w:rsidR="003D573E" w:rsidRPr="00D76A73" w:rsidRDefault="003D573E" w:rsidP="00D76A73">
      <w:pPr>
        <w:pStyle w:val="ListParagraph"/>
        <w:jc w:val="both"/>
        <w:rPr>
          <w:rFonts w:cstheme="minorHAnsi"/>
          <w:sz w:val="24"/>
          <w:szCs w:val="24"/>
        </w:rPr>
      </w:pPr>
    </w:p>
    <w:p w14:paraId="4D0FD183" w14:textId="71308762" w:rsidR="003A05DE" w:rsidRPr="00D76A73" w:rsidRDefault="00366365" w:rsidP="00D76A73">
      <w:pPr>
        <w:pStyle w:val="ListParagraph"/>
        <w:numPr>
          <w:ilvl w:val="0"/>
          <w:numId w:val="1"/>
        </w:numPr>
        <w:jc w:val="both"/>
        <w:rPr>
          <w:rFonts w:cstheme="minorHAnsi"/>
          <w:b/>
          <w:bCs/>
          <w:sz w:val="24"/>
          <w:szCs w:val="24"/>
        </w:rPr>
      </w:pPr>
      <w:r w:rsidRPr="00D76A73">
        <w:rPr>
          <w:rFonts w:cstheme="minorHAnsi"/>
          <w:sz w:val="24"/>
          <w:szCs w:val="24"/>
        </w:rPr>
        <w:t xml:space="preserve">The position in the above-mentioned case is </w:t>
      </w:r>
      <w:r w:rsidR="00D23CB2" w:rsidRPr="00D76A73">
        <w:rPr>
          <w:rFonts w:cstheme="minorHAnsi"/>
          <w:sz w:val="24"/>
          <w:szCs w:val="24"/>
        </w:rPr>
        <w:t xml:space="preserve">largely </w:t>
      </w:r>
      <w:r w:rsidRPr="00D76A73">
        <w:rPr>
          <w:rFonts w:cstheme="minorHAnsi"/>
          <w:sz w:val="24"/>
          <w:szCs w:val="24"/>
        </w:rPr>
        <w:t>consistent with t</w:t>
      </w:r>
      <w:r w:rsidR="008443E0" w:rsidRPr="00D76A73">
        <w:rPr>
          <w:rFonts w:cstheme="minorHAnsi"/>
          <w:sz w:val="24"/>
          <w:szCs w:val="24"/>
        </w:rPr>
        <w:t>he ACHPR</w:t>
      </w:r>
      <w:r w:rsidR="00D33C1F" w:rsidRPr="00D76A73">
        <w:rPr>
          <w:rFonts w:cstheme="minorHAnsi"/>
          <w:sz w:val="24"/>
          <w:szCs w:val="24"/>
        </w:rPr>
        <w:t>’s</w:t>
      </w:r>
      <w:r w:rsidR="008443E0" w:rsidRPr="00D76A73">
        <w:rPr>
          <w:rFonts w:cstheme="minorHAnsi"/>
          <w:sz w:val="24"/>
          <w:szCs w:val="24"/>
        </w:rPr>
        <w:t xml:space="preserve"> </w:t>
      </w:r>
      <w:r w:rsidR="00A95BDA" w:rsidRPr="00D76A73">
        <w:rPr>
          <w:rFonts w:cstheme="minorHAnsi"/>
          <w:sz w:val="24"/>
          <w:szCs w:val="24"/>
        </w:rPr>
        <w:t xml:space="preserve">Guidelines on </w:t>
      </w:r>
      <w:r w:rsidR="007F4439" w:rsidRPr="00D76A73">
        <w:rPr>
          <w:rFonts w:cstheme="minorHAnsi"/>
          <w:sz w:val="24"/>
          <w:szCs w:val="24"/>
        </w:rPr>
        <w:t>Freedom of Association and Freedom of Assembly in Africa (</w:t>
      </w:r>
      <w:r w:rsidRPr="00D76A73">
        <w:rPr>
          <w:rFonts w:cstheme="minorHAnsi"/>
          <w:sz w:val="24"/>
          <w:szCs w:val="24"/>
        </w:rPr>
        <w:t xml:space="preserve">the </w:t>
      </w:r>
      <w:r w:rsidR="007F4439" w:rsidRPr="00D76A73">
        <w:rPr>
          <w:rFonts w:cstheme="minorHAnsi"/>
          <w:sz w:val="24"/>
          <w:szCs w:val="24"/>
        </w:rPr>
        <w:t>Guidelines)</w:t>
      </w:r>
      <w:r w:rsidR="00A95BDA" w:rsidRPr="00D76A73">
        <w:rPr>
          <w:rFonts w:cstheme="minorHAnsi"/>
          <w:sz w:val="24"/>
          <w:szCs w:val="24"/>
        </w:rPr>
        <w:t xml:space="preserve"> </w:t>
      </w:r>
      <w:r w:rsidRPr="00D76A73">
        <w:rPr>
          <w:rFonts w:cstheme="minorHAnsi"/>
          <w:sz w:val="24"/>
          <w:szCs w:val="24"/>
        </w:rPr>
        <w:t xml:space="preserve">which provide for circumstances under which liability may be imposed on organizers of </w:t>
      </w:r>
      <w:r w:rsidRPr="00D76A73">
        <w:rPr>
          <w:rFonts w:cstheme="minorHAnsi"/>
          <w:sz w:val="24"/>
          <w:szCs w:val="24"/>
        </w:rPr>
        <w:lastRenderedPageBreak/>
        <w:t>assemblies. The Guidelines provide that</w:t>
      </w:r>
      <w:r w:rsidR="00A93867" w:rsidRPr="00D76A73">
        <w:rPr>
          <w:rFonts w:cstheme="minorHAnsi"/>
          <w:sz w:val="24"/>
          <w:szCs w:val="24"/>
        </w:rPr>
        <w:t xml:space="preserve"> </w:t>
      </w:r>
      <w:r w:rsidRPr="00D76A73">
        <w:rPr>
          <w:rFonts w:cstheme="minorHAnsi"/>
          <w:sz w:val="24"/>
          <w:szCs w:val="24"/>
        </w:rPr>
        <w:t>“organizers may only be subject to monetary sanction where all four of the following conditions are met: they fail to notify;</w:t>
      </w:r>
      <w:r w:rsidR="00207C7F" w:rsidRPr="00D76A73">
        <w:rPr>
          <w:rFonts w:cstheme="minorHAnsi"/>
          <w:sz w:val="24"/>
          <w:szCs w:val="24"/>
        </w:rPr>
        <w:t xml:space="preserve"> </w:t>
      </w:r>
      <w:r w:rsidRPr="00D76A73">
        <w:rPr>
          <w:rFonts w:cstheme="minorHAnsi"/>
          <w:sz w:val="24"/>
          <w:szCs w:val="24"/>
        </w:rPr>
        <w:t>there is harm caused by the assembly;</w:t>
      </w:r>
      <w:r w:rsidR="00207C7F" w:rsidRPr="00D76A73">
        <w:rPr>
          <w:rFonts w:cstheme="minorHAnsi"/>
          <w:sz w:val="24"/>
          <w:szCs w:val="24"/>
        </w:rPr>
        <w:t xml:space="preserve"> </w:t>
      </w:r>
      <w:r w:rsidRPr="00D76A73">
        <w:rPr>
          <w:rFonts w:cstheme="minorHAnsi"/>
          <w:sz w:val="24"/>
          <w:szCs w:val="24"/>
        </w:rPr>
        <w:t>that harm was reasonably foreseeable; and they fail to take reasonable steps within their power to prevent the act or omission in question.</w:t>
      </w:r>
      <w:r w:rsidR="00207C7F" w:rsidRPr="00D76A73">
        <w:rPr>
          <w:rFonts w:cstheme="minorHAnsi"/>
          <w:sz w:val="24"/>
          <w:szCs w:val="24"/>
        </w:rPr>
        <w:t>”</w:t>
      </w:r>
      <w:r w:rsidR="00207C7F" w:rsidRPr="00D76A73">
        <w:rPr>
          <w:rStyle w:val="FootnoteReference"/>
          <w:rFonts w:cstheme="minorHAnsi"/>
          <w:sz w:val="24"/>
          <w:szCs w:val="24"/>
        </w:rPr>
        <w:footnoteReference w:id="9"/>
      </w:r>
      <w:r w:rsidR="007B3E20" w:rsidRPr="00D76A73">
        <w:rPr>
          <w:rFonts w:cstheme="minorHAnsi"/>
          <w:sz w:val="24"/>
          <w:szCs w:val="24"/>
        </w:rPr>
        <w:t xml:space="preserve"> </w:t>
      </w:r>
      <w:r w:rsidR="003A05DE" w:rsidRPr="00D76A73">
        <w:rPr>
          <w:rFonts w:cstheme="minorHAnsi"/>
          <w:sz w:val="24"/>
          <w:szCs w:val="24"/>
        </w:rPr>
        <w:t xml:space="preserve">As per the Guidelines, it seems that provided that an assembly organizer has notified the authorities about a planned assembly, the organizer cannot later be held financially liable for any damages caused in the course of the assembly. This is a more protective standard than that of the South African Constitutional Court in the </w:t>
      </w:r>
      <w:r w:rsidR="003A05DE" w:rsidRPr="00D76A73">
        <w:rPr>
          <w:rFonts w:cstheme="minorHAnsi"/>
          <w:b/>
          <w:i/>
          <w:sz w:val="24"/>
          <w:szCs w:val="24"/>
        </w:rPr>
        <w:t>Garvas</w:t>
      </w:r>
      <w:r w:rsidR="003A05DE" w:rsidRPr="00D76A73">
        <w:rPr>
          <w:rFonts w:cstheme="minorHAnsi"/>
          <w:sz w:val="24"/>
          <w:szCs w:val="24"/>
        </w:rPr>
        <w:t xml:space="preserve"> case where apart from the notification about an assembly, organizers are also under an obligation to notify authorities about the need for them to take steps to prevent harm from occurring during an assembly if the harm is foreseeable and the reasonable steps needed to be taken to prevent the harm are outside the powers of the organizers. </w:t>
      </w:r>
    </w:p>
    <w:p w14:paraId="68709846" w14:textId="77777777" w:rsidR="003A05DE" w:rsidRPr="00D76A73" w:rsidRDefault="003A05DE" w:rsidP="00D76A73">
      <w:pPr>
        <w:pStyle w:val="ListParagraph"/>
        <w:jc w:val="both"/>
        <w:rPr>
          <w:rFonts w:cstheme="minorHAnsi"/>
          <w:b/>
          <w:bCs/>
          <w:sz w:val="24"/>
          <w:szCs w:val="24"/>
        </w:rPr>
      </w:pPr>
    </w:p>
    <w:p w14:paraId="04E6F6D7" w14:textId="40EC26E3" w:rsidR="001E2E97" w:rsidRPr="00D76A73" w:rsidRDefault="001E2E97" w:rsidP="00D76A73">
      <w:pPr>
        <w:pStyle w:val="ListParagraph"/>
        <w:numPr>
          <w:ilvl w:val="0"/>
          <w:numId w:val="1"/>
        </w:numPr>
        <w:jc w:val="both"/>
        <w:rPr>
          <w:rFonts w:cstheme="minorHAnsi"/>
          <w:b/>
          <w:bCs/>
          <w:sz w:val="24"/>
          <w:szCs w:val="24"/>
        </w:rPr>
      </w:pPr>
      <w:r w:rsidRPr="00D76A73">
        <w:rPr>
          <w:rFonts w:cstheme="minorHAnsi"/>
          <w:sz w:val="24"/>
          <w:szCs w:val="24"/>
        </w:rPr>
        <w:t xml:space="preserve">Aside from financial liability of organizers for foreseeable damages caused during assemblies, </w:t>
      </w:r>
      <w:r w:rsidR="00A93867" w:rsidRPr="00D76A73">
        <w:rPr>
          <w:rFonts w:cstheme="minorHAnsi"/>
          <w:sz w:val="24"/>
          <w:szCs w:val="24"/>
        </w:rPr>
        <w:t xml:space="preserve">organizers or participants in an </w:t>
      </w:r>
      <w:r w:rsidR="00161CF0" w:rsidRPr="00D76A73">
        <w:rPr>
          <w:rFonts w:cstheme="minorHAnsi"/>
          <w:sz w:val="24"/>
          <w:szCs w:val="24"/>
        </w:rPr>
        <w:t>a</w:t>
      </w:r>
      <w:r w:rsidR="00A93867" w:rsidRPr="00D76A73">
        <w:rPr>
          <w:rFonts w:cstheme="minorHAnsi"/>
          <w:sz w:val="24"/>
          <w:szCs w:val="24"/>
        </w:rPr>
        <w:t xml:space="preserve">ssembly </w:t>
      </w:r>
      <w:r w:rsidRPr="00D76A73">
        <w:rPr>
          <w:rFonts w:cstheme="minorHAnsi"/>
          <w:sz w:val="24"/>
          <w:szCs w:val="24"/>
        </w:rPr>
        <w:t>should not be subjected</w:t>
      </w:r>
      <w:r w:rsidR="00A93867" w:rsidRPr="00D76A73">
        <w:rPr>
          <w:rFonts w:cstheme="minorHAnsi"/>
          <w:sz w:val="24"/>
          <w:szCs w:val="24"/>
        </w:rPr>
        <w:t xml:space="preserve"> to sanctions of any kind for acts committed by others.</w:t>
      </w:r>
      <w:r w:rsidRPr="00D76A73">
        <w:rPr>
          <w:rStyle w:val="FootnoteReference"/>
          <w:rFonts w:cstheme="minorHAnsi"/>
          <w:sz w:val="24"/>
          <w:szCs w:val="24"/>
        </w:rPr>
        <w:footnoteReference w:id="10"/>
      </w:r>
      <w:r w:rsidRPr="00D76A73">
        <w:rPr>
          <w:rFonts w:cstheme="minorHAnsi"/>
          <w:sz w:val="24"/>
          <w:szCs w:val="24"/>
        </w:rPr>
        <w:t xml:space="preserve"> This is the position the ACHPR took in </w:t>
      </w:r>
      <w:r w:rsidRPr="00D76A73">
        <w:rPr>
          <w:rFonts w:cstheme="minorHAnsi"/>
          <w:b/>
          <w:bCs/>
          <w:i/>
          <w:sz w:val="24"/>
          <w:szCs w:val="24"/>
        </w:rPr>
        <w:t xml:space="preserve">International Pen and Others on Behalf of </w:t>
      </w:r>
      <w:proofErr w:type="spellStart"/>
      <w:r w:rsidRPr="00D76A73">
        <w:rPr>
          <w:rFonts w:cstheme="minorHAnsi"/>
          <w:b/>
          <w:bCs/>
          <w:i/>
          <w:sz w:val="24"/>
          <w:szCs w:val="24"/>
        </w:rPr>
        <w:t>Saro</w:t>
      </w:r>
      <w:proofErr w:type="spellEnd"/>
      <w:r w:rsidRPr="00D76A73">
        <w:rPr>
          <w:rFonts w:cstheme="minorHAnsi"/>
          <w:b/>
          <w:bCs/>
          <w:i/>
          <w:sz w:val="24"/>
          <w:szCs w:val="24"/>
        </w:rPr>
        <w:t xml:space="preserve"> </w:t>
      </w:r>
      <w:proofErr w:type="spellStart"/>
      <w:r w:rsidRPr="00D76A73">
        <w:rPr>
          <w:rFonts w:cstheme="minorHAnsi"/>
          <w:b/>
          <w:bCs/>
          <w:i/>
          <w:sz w:val="24"/>
          <w:szCs w:val="24"/>
        </w:rPr>
        <w:t>Wiwa</w:t>
      </w:r>
      <w:proofErr w:type="spellEnd"/>
      <w:r w:rsidRPr="00D76A73">
        <w:rPr>
          <w:rFonts w:cstheme="minorHAnsi"/>
          <w:b/>
          <w:bCs/>
          <w:i/>
          <w:sz w:val="24"/>
          <w:szCs w:val="24"/>
        </w:rPr>
        <w:t xml:space="preserve"> v Nigeria</w:t>
      </w:r>
      <w:r w:rsidR="00F83402" w:rsidRPr="00D76A73">
        <w:rPr>
          <w:rFonts w:cstheme="minorHAnsi"/>
          <w:bCs/>
          <w:sz w:val="24"/>
          <w:szCs w:val="24"/>
        </w:rPr>
        <w:t>.</w:t>
      </w:r>
      <w:r w:rsidR="00D2525F" w:rsidRPr="00D76A73">
        <w:rPr>
          <w:rStyle w:val="FootnoteReference"/>
          <w:rFonts w:cstheme="minorHAnsi"/>
          <w:bCs/>
          <w:sz w:val="24"/>
          <w:szCs w:val="24"/>
        </w:rPr>
        <w:footnoteReference w:id="11"/>
      </w:r>
      <w:r w:rsidR="00F83402" w:rsidRPr="00D76A73">
        <w:rPr>
          <w:rFonts w:cstheme="minorHAnsi"/>
          <w:b/>
          <w:bCs/>
          <w:i/>
          <w:sz w:val="24"/>
          <w:szCs w:val="24"/>
        </w:rPr>
        <w:t xml:space="preserve"> </w:t>
      </w:r>
      <w:r w:rsidR="00F83402" w:rsidRPr="00D76A73">
        <w:rPr>
          <w:rFonts w:cstheme="minorHAnsi"/>
          <w:bCs/>
          <w:sz w:val="24"/>
          <w:szCs w:val="24"/>
        </w:rPr>
        <w:t xml:space="preserve">The brief facts of the case were that </w:t>
      </w:r>
      <w:r w:rsidR="00253FAF" w:rsidRPr="00D76A73">
        <w:rPr>
          <w:rFonts w:cstheme="minorHAnsi"/>
          <w:bCs/>
          <w:sz w:val="24"/>
          <w:szCs w:val="24"/>
        </w:rPr>
        <w:t>four</w:t>
      </w:r>
      <w:r w:rsidR="00F83402" w:rsidRPr="00D76A73">
        <w:rPr>
          <w:rFonts w:cstheme="minorHAnsi"/>
          <w:bCs/>
          <w:sz w:val="24"/>
          <w:szCs w:val="24"/>
        </w:rPr>
        <w:t xml:space="preserve"> Ogoni chiefs were killed f</w:t>
      </w:r>
      <w:r w:rsidR="00036CCC" w:rsidRPr="00D76A73">
        <w:rPr>
          <w:rFonts w:cstheme="minorHAnsi"/>
          <w:bCs/>
          <w:sz w:val="24"/>
          <w:szCs w:val="24"/>
        </w:rPr>
        <w:t>ollowing a riot during a public meeting organised by the Movement for the Survival of the Ogoni Peoples</w:t>
      </w:r>
      <w:r w:rsidR="00752156" w:rsidRPr="00D76A73">
        <w:rPr>
          <w:rFonts w:cstheme="minorHAnsi"/>
          <w:bCs/>
          <w:sz w:val="24"/>
          <w:szCs w:val="24"/>
        </w:rPr>
        <w:t xml:space="preserve"> (MOSOP</w:t>
      </w:r>
      <w:r w:rsidR="006F1FF7" w:rsidRPr="00D76A73">
        <w:rPr>
          <w:rFonts w:cstheme="minorHAnsi"/>
          <w:bCs/>
          <w:sz w:val="24"/>
          <w:szCs w:val="24"/>
        </w:rPr>
        <w:t xml:space="preserve"> or the Movement</w:t>
      </w:r>
      <w:r w:rsidR="00752156" w:rsidRPr="00D76A73">
        <w:rPr>
          <w:rFonts w:cstheme="minorHAnsi"/>
          <w:bCs/>
          <w:sz w:val="24"/>
          <w:szCs w:val="24"/>
        </w:rPr>
        <w:t>)</w:t>
      </w:r>
      <w:r w:rsidR="00036CCC" w:rsidRPr="00D76A73">
        <w:rPr>
          <w:rFonts w:cstheme="minorHAnsi"/>
          <w:bCs/>
          <w:sz w:val="24"/>
          <w:szCs w:val="24"/>
        </w:rPr>
        <w:t xml:space="preserve"> whose president </w:t>
      </w:r>
      <w:r w:rsidR="00F83402" w:rsidRPr="00D76A73">
        <w:rPr>
          <w:rFonts w:cstheme="minorHAnsi"/>
          <w:bCs/>
          <w:sz w:val="24"/>
          <w:szCs w:val="24"/>
        </w:rPr>
        <w:t>was Kenule Saro Wiwa.</w:t>
      </w:r>
      <w:r w:rsidR="00EC1ED2" w:rsidRPr="00D76A73">
        <w:rPr>
          <w:rStyle w:val="FootnoteReference"/>
          <w:rFonts w:cstheme="minorHAnsi"/>
          <w:bCs/>
          <w:sz w:val="24"/>
          <w:szCs w:val="24"/>
        </w:rPr>
        <w:footnoteReference w:id="12"/>
      </w:r>
      <w:r w:rsidR="00EC1ED2" w:rsidRPr="00D76A73">
        <w:rPr>
          <w:rFonts w:cstheme="minorHAnsi"/>
          <w:bCs/>
          <w:sz w:val="24"/>
          <w:szCs w:val="24"/>
        </w:rPr>
        <w:t xml:space="preserve"> </w:t>
      </w:r>
      <w:proofErr w:type="spellStart"/>
      <w:r w:rsidR="00EC1ED2" w:rsidRPr="00D76A73">
        <w:rPr>
          <w:rFonts w:cstheme="minorHAnsi"/>
          <w:bCs/>
          <w:sz w:val="24"/>
          <w:szCs w:val="24"/>
        </w:rPr>
        <w:t>Mr</w:t>
      </w:r>
      <w:proofErr w:type="spellEnd"/>
      <w:r w:rsidR="00EC1ED2" w:rsidRPr="00D76A73">
        <w:rPr>
          <w:rFonts w:cstheme="minorHAnsi"/>
          <w:bCs/>
          <w:sz w:val="24"/>
          <w:szCs w:val="24"/>
        </w:rPr>
        <w:t xml:space="preserve"> </w:t>
      </w:r>
      <w:proofErr w:type="spellStart"/>
      <w:r w:rsidR="00EC1ED2" w:rsidRPr="00D76A73">
        <w:rPr>
          <w:rFonts w:cstheme="minorHAnsi"/>
          <w:bCs/>
          <w:sz w:val="24"/>
          <w:szCs w:val="24"/>
        </w:rPr>
        <w:t>Saro</w:t>
      </w:r>
      <w:proofErr w:type="spellEnd"/>
      <w:r w:rsidR="00EC1ED2" w:rsidRPr="00D76A73">
        <w:rPr>
          <w:rFonts w:cstheme="minorHAnsi"/>
          <w:bCs/>
          <w:sz w:val="24"/>
          <w:szCs w:val="24"/>
        </w:rPr>
        <w:t xml:space="preserve"> </w:t>
      </w:r>
      <w:proofErr w:type="spellStart"/>
      <w:r w:rsidR="00EC1ED2" w:rsidRPr="00D76A73">
        <w:rPr>
          <w:rFonts w:cstheme="minorHAnsi"/>
          <w:bCs/>
          <w:sz w:val="24"/>
          <w:szCs w:val="24"/>
        </w:rPr>
        <w:t>Wiwa</w:t>
      </w:r>
      <w:proofErr w:type="spellEnd"/>
      <w:r w:rsidR="00EC1ED2" w:rsidRPr="00D76A73">
        <w:rPr>
          <w:rFonts w:cstheme="minorHAnsi"/>
          <w:bCs/>
          <w:sz w:val="24"/>
          <w:szCs w:val="24"/>
        </w:rPr>
        <w:t xml:space="preserve"> and other leaders of the Movement were arrested on </w:t>
      </w:r>
      <w:r w:rsidR="008B6DCF" w:rsidRPr="00D76A73">
        <w:rPr>
          <w:rFonts w:cstheme="minorHAnsi"/>
          <w:bCs/>
          <w:sz w:val="24"/>
          <w:szCs w:val="24"/>
        </w:rPr>
        <w:t>allegations</w:t>
      </w:r>
      <w:r w:rsidR="00EC1ED2" w:rsidRPr="00D76A73">
        <w:rPr>
          <w:rFonts w:cstheme="minorHAnsi"/>
          <w:bCs/>
          <w:sz w:val="24"/>
          <w:szCs w:val="24"/>
        </w:rPr>
        <w:t xml:space="preserve"> that they had incited members of their Movement to murder the </w:t>
      </w:r>
      <w:r w:rsidR="00253FAF" w:rsidRPr="00D76A73">
        <w:rPr>
          <w:rFonts w:cstheme="minorHAnsi"/>
          <w:bCs/>
          <w:sz w:val="24"/>
          <w:szCs w:val="24"/>
        </w:rPr>
        <w:t>four</w:t>
      </w:r>
      <w:r w:rsidR="00EC1ED2" w:rsidRPr="00D76A73">
        <w:rPr>
          <w:rFonts w:cstheme="minorHAnsi"/>
          <w:bCs/>
          <w:sz w:val="24"/>
          <w:szCs w:val="24"/>
        </w:rPr>
        <w:t xml:space="preserve"> rival Ogoni leaders.</w:t>
      </w:r>
      <w:r w:rsidR="00CB1422" w:rsidRPr="00D76A73">
        <w:rPr>
          <w:rStyle w:val="FootnoteReference"/>
          <w:rFonts w:cstheme="minorHAnsi"/>
          <w:bCs/>
          <w:sz w:val="24"/>
          <w:szCs w:val="24"/>
        </w:rPr>
        <w:footnoteReference w:id="13"/>
      </w:r>
      <w:r w:rsidR="00EC1ED2" w:rsidRPr="00D76A73">
        <w:rPr>
          <w:rFonts w:cstheme="minorHAnsi"/>
          <w:bCs/>
          <w:sz w:val="24"/>
          <w:szCs w:val="24"/>
        </w:rPr>
        <w:t xml:space="preserve"> </w:t>
      </w:r>
      <w:r w:rsidR="008B6DCF" w:rsidRPr="00D76A73">
        <w:rPr>
          <w:rFonts w:cstheme="minorHAnsi"/>
          <w:bCs/>
          <w:sz w:val="24"/>
          <w:szCs w:val="24"/>
        </w:rPr>
        <w:t xml:space="preserve">These accusations stemmed from the fact that </w:t>
      </w:r>
      <w:r w:rsidR="00752156" w:rsidRPr="00D76A73">
        <w:rPr>
          <w:rFonts w:cstheme="minorHAnsi"/>
          <w:bCs/>
          <w:sz w:val="24"/>
          <w:szCs w:val="24"/>
        </w:rPr>
        <w:t xml:space="preserve">the four chiefs were killed in the course of a rally that turned chaotic. </w:t>
      </w:r>
      <w:r w:rsidR="00EC1ED2" w:rsidRPr="00D76A73">
        <w:rPr>
          <w:rFonts w:cstheme="minorHAnsi"/>
          <w:bCs/>
          <w:sz w:val="24"/>
          <w:szCs w:val="24"/>
        </w:rPr>
        <w:t xml:space="preserve">A Nigerian tribunal that tried the leaders of the Movement </w:t>
      </w:r>
      <w:r w:rsidR="005F3612" w:rsidRPr="00D76A73">
        <w:rPr>
          <w:rFonts w:cstheme="minorHAnsi"/>
          <w:bCs/>
          <w:sz w:val="24"/>
          <w:szCs w:val="24"/>
        </w:rPr>
        <w:t xml:space="preserve">held that </w:t>
      </w:r>
      <w:r w:rsidR="00F575DA" w:rsidRPr="00D76A73">
        <w:rPr>
          <w:rFonts w:cstheme="minorHAnsi"/>
          <w:bCs/>
          <w:sz w:val="24"/>
          <w:szCs w:val="24"/>
        </w:rPr>
        <w:t>they</w:t>
      </w:r>
      <w:r w:rsidR="005F3612" w:rsidRPr="00D76A73">
        <w:rPr>
          <w:rFonts w:cstheme="minorHAnsi"/>
          <w:bCs/>
          <w:sz w:val="24"/>
          <w:szCs w:val="24"/>
        </w:rPr>
        <w:t xml:space="preserve"> had caused the death of the </w:t>
      </w:r>
      <w:r w:rsidR="00253FAF" w:rsidRPr="00D76A73">
        <w:rPr>
          <w:rFonts w:cstheme="minorHAnsi"/>
          <w:bCs/>
          <w:sz w:val="24"/>
          <w:szCs w:val="24"/>
        </w:rPr>
        <w:t>four</w:t>
      </w:r>
      <w:r w:rsidR="005F3612" w:rsidRPr="00D76A73">
        <w:rPr>
          <w:rFonts w:cstheme="minorHAnsi"/>
          <w:bCs/>
          <w:sz w:val="24"/>
          <w:szCs w:val="24"/>
        </w:rPr>
        <w:t xml:space="preserve"> chiefs “by wrongfully organising election campaign rallies and permitting a large crowd of fanatical MOSOP…</w:t>
      </w:r>
      <w:r w:rsidR="00F575DA" w:rsidRPr="00D76A73">
        <w:rPr>
          <w:rFonts w:cstheme="minorHAnsi"/>
          <w:bCs/>
          <w:sz w:val="24"/>
          <w:szCs w:val="24"/>
        </w:rPr>
        <w:t xml:space="preserve"> youth</w:t>
      </w:r>
      <w:r w:rsidR="005F3612" w:rsidRPr="00D76A73">
        <w:rPr>
          <w:rFonts w:cstheme="minorHAnsi"/>
          <w:bCs/>
          <w:sz w:val="24"/>
          <w:szCs w:val="24"/>
        </w:rPr>
        <w:t xml:space="preserve"> to congregate.”</w:t>
      </w:r>
      <w:r w:rsidR="00CB1422" w:rsidRPr="00D76A73">
        <w:rPr>
          <w:rStyle w:val="FootnoteReference"/>
          <w:rFonts w:cstheme="minorHAnsi"/>
          <w:bCs/>
          <w:sz w:val="24"/>
          <w:szCs w:val="24"/>
        </w:rPr>
        <w:footnoteReference w:id="14"/>
      </w:r>
      <w:r w:rsidR="00EC1ED2" w:rsidRPr="00D76A73">
        <w:rPr>
          <w:rFonts w:cstheme="minorHAnsi"/>
          <w:bCs/>
          <w:sz w:val="24"/>
          <w:szCs w:val="24"/>
        </w:rPr>
        <w:t xml:space="preserve"> </w:t>
      </w:r>
      <w:r w:rsidR="006F1FF7" w:rsidRPr="00D76A73">
        <w:rPr>
          <w:rFonts w:cstheme="minorHAnsi"/>
          <w:bCs/>
          <w:sz w:val="24"/>
          <w:szCs w:val="24"/>
        </w:rPr>
        <w:t xml:space="preserve">From the Tribunal’s reasoning, the MOSOP leaders were found guilty only because they had organized the rally in question. </w:t>
      </w:r>
      <w:r w:rsidR="00EC1ED2" w:rsidRPr="00D76A73">
        <w:rPr>
          <w:rFonts w:cstheme="minorHAnsi"/>
          <w:bCs/>
          <w:sz w:val="24"/>
          <w:szCs w:val="24"/>
        </w:rPr>
        <w:t>The ACHPR expressed its reservations with this position and noted that it could adversely affect the right to assembly.</w:t>
      </w:r>
      <w:r w:rsidR="00EC1ED2" w:rsidRPr="00D76A73">
        <w:rPr>
          <w:rStyle w:val="FootnoteReference"/>
          <w:rFonts w:cstheme="minorHAnsi"/>
          <w:bCs/>
          <w:sz w:val="24"/>
          <w:szCs w:val="24"/>
        </w:rPr>
        <w:footnoteReference w:id="15"/>
      </w:r>
      <w:r w:rsidR="00EC1ED2" w:rsidRPr="00D76A73">
        <w:rPr>
          <w:rFonts w:cstheme="minorHAnsi"/>
          <w:bCs/>
          <w:sz w:val="24"/>
          <w:szCs w:val="24"/>
        </w:rPr>
        <w:t xml:space="preserve">   </w:t>
      </w:r>
    </w:p>
    <w:p w14:paraId="2B984DDB" w14:textId="77777777" w:rsidR="00366365" w:rsidRPr="00D76A73" w:rsidRDefault="00366365" w:rsidP="00D76A73">
      <w:pPr>
        <w:pStyle w:val="ListParagraph"/>
        <w:jc w:val="both"/>
        <w:rPr>
          <w:rFonts w:cstheme="minorHAnsi"/>
          <w:sz w:val="24"/>
          <w:szCs w:val="24"/>
        </w:rPr>
      </w:pPr>
    </w:p>
    <w:p w14:paraId="0CEF836F" w14:textId="733B293A" w:rsidR="00F419C2" w:rsidRPr="00D76A73" w:rsidRDefault="007F4439" w:rsidP="00D76A73">
      <w:pPr>
        <w:pStyle w:val="ListParagraph"/>
        <w:numPr>
          <w:ilvl w:val="0"/>
          <w:numId w:val="1"/>
        </w:numPr>
        <w:jc w:val="both"/>
        <w:rPr>
          <w:rFonts w:cstheme="minorHAnsi"/>
          <w:sz w:val="24"/>
          <w:szCs w:val="24"/>
        </w:rPr>
      </w:pPr>
      <w:r w:rsidRPr="00D76A73">
        <w:rPr>
          <w:rFonts w:cstheme="minorHAnsi"/>
          <w:sz w:val="24"/>
          <w:szCs w:val="24"/>
        </w:rPr>
        <w:lastRenderedPageBreak/>
        <w:t xml:space="preserve">In light of the position taken by the South African Constitutional Court in the above-mentioned cases and the ACHPR Guidelines, the Centre recommends that the Committee should emphasise that the State has a positive obligation to protect members of the public, including those participating in assemblies. The State, through law enforcement officials, ought to work hand in hand with the organizers of assemblies to ensure that peace and order is maintained before, during and after the assemblies. </w:t>
      </w:r>
      <w:r w:rsidR="00C97EB6" w:rsidRPr="00D76A73">
        <w:rPr>
          <w:rFonts w:cstheme="minorHAnsi"/>
          <w:sz w:val="24"/>
          <w:szCs w:val="24"/>
        </w:rPr>
        <w:t xml:space="preserve">Liability should then only be attached if the organizers engage in or overtly encourage </w:t>
      </w:r>
      <w:r w:rsidR="00924F69" w:rsidRPr="00D76A73">
        <w:rPr>
          <w:rFonts w:cstheme="minorHAnsi"/>
          <w:sz w:val="24"/>
          <w:szCs w:val="24"/>
        </w:rPr>
        <w:t xml:space="preserve">or condone </w:t>
      </w:r>
      <w:r w:rsidR="00C97EB6" w:rsidRPr="00D76A73">
        <w:rPr>
          <w:rFonts w:cstheme="minorHAnsi"/>
          <w:sz w:val="24"/>
          <w:szCs w:val="24"/>
        </w:rPr>
        <w:t>the commission of offences during assemblies</w:t>
      </w:r>
      <w:r w:rsidR="003D573E" w:rsidRPr="00D76A73">
        <w:rPr>
          <w:rFonts w:cstheme="minorHAnsi"/>
          <w:sz w:val="24"/>
          <w:szCs w:val="24"/>
        </w:rPr>
        <w:t xml:space="preserve">, or if they ought to have foreseen the possibility of damages being caused but they failed to take reasonable steps to prevent the damage. Again, the responsibility of organizers to take reasonable steps must not be so onerous as to discourage less financially endowed organizations from organizing assemblies. </w:t>
      </w:r>
      <w:r w:rsidR="006C769C" w:rsidRPr="00D76A73">
        <w:rPr>
          <w:rFonts w:cstheme="minorHAnsi"/>
          <w:sz w:val="24"/>
          <w:szCs w:val="24"/>
        </w:rPr>
        <w:t xml:space="preserve">Further, criminal liability should be personal and organizers should not be sanctioned for wrongful acts committed by others. </w:t>
      </w:r>
    </w:p>
    <w:p w14:paraId="5B91E7A1" w14:textId="77777777" w:rsidR="00C97EB6" w:rsidRPr="00D76A73" w:rsidRDefault="00C97EB6" w:rsidP="00D76A73">
      <w:pPr>
        <w:pStyle w:val="ListParagraph"/>
        <w:jc w:val="both"/>
        <w:rPr>
          <w:rFonts w:cstheme="minorHAnsi"/>
          <w:sz w:val="24"/>
          <w:szCs w:val="24"/>
        </w:rPr>
      </w:pPr>
    </w:p>
    <w:p w14:paraId="076FEF12" w14:textId="6971FDC4" w:rsidR="00F419C2" w:rsidRPr="00D76A73" w:rsidRDefault="00F419C2" w:rsidP="00D76A73">
      <w:pPr>
        <w:pStyle w:val="ListParagraph"/>
        <w:numPr>
          <w:ilvl w:val="0"/>
          <w:numId w:val="2"/>
        </w:numPr>
        <w:jc w:val="both"/>
        <w:rPr>
          <w:rFonts w:cstheme="minorHAnsi"/>
          <w:b/>
          <w:sz w:val="24"/>
          <w:szCs w:val="24"/>
        </w:rPr>
      </w:pPr>
      <w:r w:rsidRPr="00D76A73">
        <w:rPr>
          <w:rFonts w:cstheme="minorHAnsi"/>
          <w:b/>
          <w:sz w:val="24"/>
          <w:szCs w:val="24"/>
        </w:rPr>
        <w:t>The</w:t>
      </w:r>
      <w:r w:rsidR="0019024F" w:rsidRPr="00D76A73">
        <w:rPr>
          <w:rFonts w:cstheme="minorHAnsi"/>
          <w:b/>
          <w:sz w:val="24"/>
          <w:szCs w:val="24"/>
        </w:rPr>
        <w:t xml:space="preserve"> criminalization of the failure to notify</w:t>
      </w:r>
      <w:r w:rsidR="00197BBC" w:rsidRPr="00D76A73">
        <w:rPr>
          <w:rFonts w:cstheme="minorHAnsi"/>
          <w:b/>
          <w:sz w:val="24"/>
          <w:szCs w:val="24"/>
        </w:rPr>
        <w:t xml:space="preserve"> authorities</w:t>
      </w:r>
    </w:p>
    <w:p w14:paraId="6C33485F" w14:textId="77777777" w:rsidR="00FF45A2" w:rsidRPr="00D76A73" w:rsidRDefault="00CA3B76" w:rsidP="00D76A73">
      <w:pPr>
        <w:pStyle w:val="ListParagraph"/>
        <w:numPr>
          <w:ilvl w:val="0"/>
          <w:numId w:val="1"/>
        </w:numPr>
        <w:jc w:val="both"/>
        <w:rPr>
          <w:rFonts w:cstheme="minorHAnsi"/>
          <w:sz w:val="24"/>
          <w:szCs w:val="24"/>
        </w:rPr>
      </w:pPr>
      <w:r w:rsidRPr="00D76A73">
        <w:rPr>
          <w:rFonts w:cstheme="minorHAnsi"/>
          <w:sz w:val="24"/>
          <w:szCs w:val="24"/>
        </w:rPr>
        <w:t xml:space="preserve">In relation to the requirement that organizers of assemblies give prior notification to authorities, the Centre </w:t>
      </w:r>
      <w:r w:rsidR="00F41C45" w:rsidRPr="00D76A73">
        <w:rPr>
          <w:rFonts w:cstheme="minorHAnsi"/>
          <w:sz w:val="24"/>
          <w:szCs w:val="24"/>
        </w:rPr>
        <w:t>notes that there are a number of national statutory laws</w:t>
      </w:r>
      <w:r w:rsidR="00F91C29" w:rsidRPr="00D76A73">
        <w:rPr>
          <w:rStyle w:val="FootnoteReference"/>
          <w:rFonts w:cstheme="minorHAnsi"/>
          <w:sz w:val="24"/>
          <w:szCs w:val="24"/>
        </w:rPr>
        <w:footnoteReference w:id="16"/>
      </w:r>
      <w:r w:rsidR="00F41C45" w:rsidRPr="00D76A73">
        <w:rPr>
          <w:rFonts w:cstheme="minorHAnsi"/>
          <w:sz w:val="24"/>
          <w:szCs w:val="24"/>
        </w:rPr>
        <w:t xml:space="preserve"> which</w:t>
      </w:r>
      <w:r w:rsidR="003E1E5F" w:rsidRPr="00D76A73">
        <w:rPr>
          <w:rFonts w:cstheme="minorHAnsi"/>
          <w:sz w:val="24"/>
          <w:szCs w:val="24"/>
        </w:rPr>
        <w:t xml:space="preserve"> </w:t>
      </w:r>
      <w:r w:rsidR="00483FB4" w:rsidRPr="00D76A73">
        <w:rPr>
          <w:rFonts w:cstheme="minorHAnsi"/>
          <w:sz w:val="24"/>
          <w:szCs w:val="24"/>
        </w:rPr>
        <w:t>require organizers of assemblies to notify authorities about their intention to hold an assembly.</w:t>
      </w:r>
      <w:r w:rsidR="00347D05" w:rsidRPr="00D76A73">
        <w:rPr>
          <w:rFonts w:cstheme="minorHAnsi"/>
          <w:sz w:val="24"/>
          <w:szCs w:val="24"/>
        </w:rPr>
        <w:t xml:space="preserve"> A notification regime should only serve to give organisers and authorities a chance to plan for the peaceful conduct of an assembly. The provision of notice should not be seen as a request for permission to hold an assembly. </w:t>
      </w:r>
      <w:r w:rsidR="00F7710D" w:rsidRPr="00D76A73">
        <w:rPr>
          <w:rFonts w:cstheme="minorHAnsi"/>
          <w:sz w:val="24"/>
          <w:szCs w:val="24"/>
        </w:rPr>
        <w:t xml:space="preserve">As noted by the </w:t>
      </w:r>
      <w:r w:rsidR="009F227A" w:rsidRPr="00D76A73">
        <w:rPr>
          <w:rFonts w:cstheme="minorHAnsi"/>
          <w:sz w:val="24"/>
          <w:szCs w:val="24"/>
        </w:rPr>
        <w:t>ACHPR</w:t>
      </w:r>
      <w:r w:rsidR="00F7710D" w:rsidRPr="00D76A73">
        <w:rPr>
          <w:rFonts w:cstheme="minorHAnsi"/>
          <w:sz w:val="24"/>
          <w:szCs w:val="24"/>
        </w:rPr>
        <w:t xml:space="preserve">, </w:t>
      </w:r>
      <w:r w:rsidR="00347D05" w:rsidRPr="00D76A73">
        <w:rPr>
          <w:rFonts w:cstheme="minorHAnsi"/>
          <w:sz w:val="24"/>
          <w:szCs w:val="24"/>
        </w:rPr>
        <w:t>“</w:t>
      </w:r>
      <w:r w:rsidR="00F7710D" w:rsidRPr="00D76A73">
        <w:rPr>
          <w:rFonts w:cstheme="minorHAnsi"/>
          <w:sz w:val="24"/>
          <w:szCs w:val="24"/>
        </w:rPr>
        <w:t>p</w:t>
      </w:r>
      <w:r w:rsidR="00AB5B3E" w:rsidRPr="00D76A73">
        <w:rPr>
          <w:rFonts w:cstheme="minorHAnsi"/>
          <w:sz w:val="24"/>
          <w:szCs w:val="24"/>
        </w:rPr>
        <w:t>articipating in and organizing assemblies is a right and not a privilege, and thus its exercise does not require the authorization of the state. A system of prior notification may be put in place to allow states to facilitate the exercise of this right and to take the necessary measures to protect public safety and rights of other citizens.</w:t>
      </w:r>
      <w:r w:rsidR="00347D05" w:rsidRPr="00D76A73">
        <w:rPr>
          <w:rFonts w:cstheme="minorHAnsi"/>
          <w:sz w:val="24"/>
          <w:szCs w:val="24"/>
        </w:rPr>
        <w:t>”</w:t>
      </w:r>
      <w:r w:rsidR="00347D05" w:rsidRPr="00D76A73">
        <w:rPr>
          <w:rStyle w:val="FootnoteReference"/>
          <w:rFonts w:cstheme="minorHAnsi"/>
          <w:sz w:val="24"/>
          <w:szCs w:val="24"/>
        </w:rPr>
        <w:footnoteReference w:id="17"/>
      </w:r>
      <w:r w:rsidR="00FF45A2" w:rsidRPr="00D76A73">
        <w:rPr>
          <w:rFonts w:cstheme="minorHAnsi"/>
          <w:sz w:val="24"/>
          <w:szCs w:val="24"/>
        </w:rPr>
        <w:t xml:space="preserve"> </w:t>
      </w:r>
      <w:r w:rsidR="009F227A" w:rsidRPr="00D76A73">
        <w:rPr>
          <w:rFonts w:cstheme="minorHAnsi"/>
          <w:sz w:val="24"/>
          <w:szCs w:val="24"/>
        </w:rPr>
        <w:t xml:space="preserve">It is also important to note that it is not in all cases that prior notification will be required. According to the ACHPR, notices do not need to be issued </w:t>
      </w:r>
      <w:r w:rsidR="000931C0" w:rsidRPr="00D76A73">
        <w:rPr>
          <w:rFonts w:cstheme="minorHAnsi"/>
          <w:sz w:val="24"/>
          <w:szCs w:val="24"/>
        </w:rPr>
        <w:t>“</w:t>
      </w:r>
      <w:r w:rsidR="009F227A" w:rsidRPr="00D76A73">
        <w:rPr>
          <w:rFonts w:cstheme="minorHAnsi"/>
          <w:sz w:val="24"/>
          <w:szCs w:val="24"/>
        </w:rPr>
        <w:t>for small assemblies, assemblies unlikely to generate disturbance or spontaneous assemblies.</w:t>
      </w:r>
      <w:r w:rsidR="000931C0" w:rsidRPr="00D76A73">
        <w:rPr>
          <w:rFonts w:cstheme="minorHAnsi"/>
          <w:sz w:val="24"/>
          <w:szCs w:val="24"/>
        </w:rPr>
        <w:t>”</w:t>
      </w:r>
      <w:r w:rsidR="009F227A" w:rsidRPr="00D76A73">
        <w:rPr>
          <w:rStyle w:val="FootnoteReference"/>
          <w:rFonts w:cstheme="minorHAnsi"/>
          <w:sz w:val="24"/>
          <w:szCs w:val="24"/>
        </w:rPr>
        <w:footnoteReference w:id="18"/>
      </w:r>
    </w:p>
    <w:p w14:paraId="066C659E" w14:textId="77777777" w:rsidR="00FF45A2" w:rsidRPr="00D76A73" w:rsidRDefault="00FF45A2" w:rsidP="00D76A73">
      <w:pPr>
        <w:pStyle w:val="ListParagraph"/>
        <w:jc w:val="both"/>
        <w:rPr>
          <w:rFonts w:cstheme="minorHAnsi"/>
          <w:sz w:val="24"/>
          <w:szCs w:val="24"/>
        </w:rPr>
      </w:pPr>
    </w:p>
    <w:p w14:paraId="078310AE" w14:textId="77777777" w:rsidR="00F419C2" w:rsidRPr="00D76A73" w:rsidRDefault="00150AD0" w:rsidP="00D76A73">
      <w:pPr>
        <w:pStyle w:val="ListParagraph"/>
        <w:numPr>
          <w:ilvl w:val="0"/>
          <w:numId w:val="1"/>
        </w:numPr>
        <w:jc w:val="both"/>
        <w:rPr>
          <w:rFonts w:cstheme="minorHAnsi"/>
          <w:sz w:val="24"/>
          <w:szCs w:val="24"/>
        </w:rPr>
      </w:pPr>
      <w:r w:rsidRPr="00D76A73">
        <w:rPr>
          <w:rFonts w:cstheme="minorHAnsi"/>
          <w:sz w:val="24"/>
          <w:szCs w:val="24"/>
        </w:rPr>
        <w:t>Importantly, the Guidelines also state that “states shall not impose criminal sanctions in the context of laws governing assemblies.”</w:t>
      </w:r>
      <w:r w:rsidR="00AF7DDE" w:rsidRPr="00D76A73">
        <w:rPr>
          <w:rStyle w:val="FootnoteReference"/>
          <w:rFonts w:cstheme="minorHAnsi"/>
          <w:sz w:val="24"/>
          <w:szCs w:val="24"/>
        </w:rPr>
        <w:footnoteReference w:id="19"/>
      </w:r>
      <w:r w:rsidR="00323535" w:rsidRPr="00D76A73">
        <w:rPr>
          <w:rFonts w:cstheme="minorHAnsi"/>
          <w:sz w:val="24"/>
          <w:szCs w:val="24"/>
        </w:rPr>
        <w:t xml:space="preserve"> Contrary to this provision, a number of national laws</w:t>
      </w:r>
      <w:r w:rsidR="00323535" w:rsidRPr="00D76A73">
        <w:rPr>
          <w:rStyle w:val="FootnoteReference"/>
          <w:rFonts w:cstheme="minorHAnsi"/>
          <w:sz w:val="24"/>
          <w:szCs w:val="24"/>
        </w:rPr>
        <w:footnoteReference w:id="20"/>
      </w:r>
      <w:r w:rsidR="00323535" w:rsidRPr="00D76A73">
        <w:rPr>
          <w:rFonts w:cstheme="minorHAnsi"/>
          <w:sz w:val="24"/>
          <w:szCs w:val="24"/>
        </w:rPr>
        <w:t xml:space="preserve"> criminalize the failure of conveners of gatherings to give notice to </w:t>
      </w:r>
      <w:r w:rsidR="00323535" w:rsidRPr="00D76A73">
        <w:rPr>
          <w:rFonts w:cstheme="minorHAnsi"/>
          <w:sz w:val="24"/>
          <w:szCs w:val="24"/>
        </w:rPr>
        <w:lastRenderedPageBreak/>
        <w:t>authorities of planned gatherings or demonstrations.</w:t>
      </w:r>
      <w:r w:rsidR="00201E0E" w:rsidRPr="00D76A73">
        <w:rPr>
          <w:rFonts w:cstheme="minorHAnsi"/>
          <w:sz w:val="24"/>
          <w:szCs w:val="24"/>
        </w:rPr>
        <w:t xml:space="preserve"> </w:t>
      </w:r>
      <w:r w:rsidR="00405EDC" w:rsidRPr="00D76A73">
        <w:rPr>
          <w:rFonts w:cstheme="minorHAnsi"/>
          <w:sz w:val="24"/>
          <w:szCs w:val="24"/>
        </w:rPr>
        <w:t>Such provisions have been interpreted as unjustifiable limitations on the right to freedom of assembly.</w:t>
      </w:r>
      <w:r w:rsidR="002E0D19" w:rsidRPr="00D76A73">
        <w:rPr>
          <w:rFonts w:cstheme="minorHAnsi"/>
          <w:sz w:val="24"/>
          <w:szCs w:val="24"/>
        </w:rPr>
        <w:t xml:space="preserve"> </w:t>
      </w:r>
    </w:p>
    <w:p w14:paraId="4A23921E" w14:textId="77777777" w:rsidR="00CA3B76" w:rsidRPr="00D76A73" w:rsidRDefault="00CA3B76" w:rsidP="00D76A73">
      <w:pPr>
        <w:pStyle w:val="ListParagraph"/>
        <w:jc w:val="both"/>
        <w:rPr>
          <w:rFonts w:cstheme="minorHAnsi"/>
          <w:sz w:val="24"/>
          <w:szCs w:val="24"/>
        </w:rPr>
      </w:pPr>
    </w:p>
    <w:p w14:paraId="51A9577F" w14:textId="1D6FB89E" w:rsidR="00CA3B76" w:rsidRPr="00D76A73" w:rsidRDefault="00CA3B76" w:rsidP="00D76A73">
      <w:pPr>
        <w:pStyle w:val="ListParagraph"/>
        <w:numPr>
          <w:ilvl w:val="0"/>
          <w:numId w:val="1"/>
        </w:numPr>
        <w:jc w:val="both"/>
        <w:rPr>
          <w:rFonts w:cstheme="minorHAnsi"/>
          <w:sz w:val="24"/>
          <w:szCs w:val="24"/>
        </w:rPr>
      </w:pPr>
      <w:r w:rsidRPr="00D76A73">
        <w:rPr>
          <w:rFonts w:cstheme="minorHAnsi"/>
          <w:sz w:val="24"/>
          <w:szCs w:val="24"/>
        </w:rPr>
        <w:t xml:space="preserve">In the </w:t>
      </w:r>
      <w:r w:rsidR="009A5364" w:rsidRPr="00D76A73">
        <w:rPr>
          <w:rFonts w:cstheme="minorHAnsi"/>
          <w:sz w:val="24"/>
          <w:szCs w:val="24"/>
        </w:rPr>
        <w:t xml:space="preserve">very recent </w:t>
      </w:r>
      <w:r w:rsidRPr="00D76A73">
        <w:rPr>
          <w:rFonts w:cstheme="minorHAnsi"/>
          <w:sz w:val="24"/>
          <w:szCs w:val="24"/>
        </w:rPr>
        <w:t xml:space="preserve">case of </w:t>
      </w:r>
      <w:proofErr w:type="spellStart"/>
      <w:r w:rsidRPr="00D76A73">
        <w:rPr>
          <w:rFonts w:cstheme="minorHAnsi"/>
          <w:b/>
          <w:i/>
          <w:sz w:val="24"/>
          <w:szCs w:val="24"/>
        </w:rPr>
        <w:t>Mlung</w:t>
      </w:r>
      <w:r w:rsidR="00C37723" w:rsidRPr="00D76A73">
        <w:rPr>
          <w:rFonts w:cstheme="minorHAnsi"/>
          <w:b/>
          <w:i/>
          <w:sz w:val="24"/>
          <w:szCs w:val="24"/>
        </w:rPr>
        <w:t>wa</w:t>
      </w:r>
      <w:r w:rsidRPr="00D76A73">
        <w:rPr>
          <w:rFonts w:cstheme="minorHAnsi"/>
          <w:b/>
          <w:i/>
          <w:sz w:val="24"/>
          <w:szCs w:val="24"/>
        </w:rPr>
        <w:t>na</w:t>
      </w:r>
      <w:proofErr w:type="spellEnd"/>
      <w:r w:rsidRPr="00D76A73">
        <w:rPr>
          <w:rFonts w:cstheme="minorHAnsi"/>
          <w:b/>
          <w:i/>
          <w:sz w:val="24"/>
          <w:szCs w:val="24"/>
        </w:rPr>
        <w:t xml:space="preserve"> and Others v the State and the Minister of Police</w:t>
      </w:r>
      <w:r w:rsidRPr="00D76A73">
        <w:rPr>
          <w:rStyle w:val="FootnoteReference"/>
          <w:rFonts w:cstheme="minorHAnsi"/>
          <w:sz w:val="24"/>
          <w:szCs w:val="24"/>
        </w:rPr>
        <w:footnoteReference w:id="21"/>
      </w:r>
      <w:r w:rsidRPr="00D76A73">
        <w:rPr>
          <w:rFonts w:cstheme="minorHAnsi"/>
          <w:sz w:val="24"/>
          <w:szCs w:val="24"/>
        </w:rPr>
        <w:t>, the South African Constitutional Court ruled against Section 12(1)(a) of the Regulation of Gatherings Act which provided for criminal penalties</w:t>
      </w:r>
      <w:r w:rsidR="008D74B5" w:rsidRPr="00D76A73">
        <w:rPr>
          <w:rFonts w:cstheme="minorHAnsi"/>
          <w:sz w:val="24"/>
          <w:szCs w:val="24"/>
        </w:rPr>
        <w:t xml:space="preserve"> (fines, imprisonment, or </w:t>
      </w:r>
      <w:r w:rsidR="00776CB3" w:rsidRPr="00D76A73">
        <w:rPr>
          <w:rFonts w:cstheme="minorHAnsi"/>
          <w:sz w:val="24"/>
          <w:szCs w:val="24"/>
        </w:rPr>
        <w:t>both) against</w:t>
      </w:r>
      <w:r w:rsidRPr="00D76A73">
        <w:rPr>
          <w:rFonts w:cstheme="minorHAnsi"/>
          <w:sz w:val="24"/>
          <w:szCs w:val="24"/>
        </w:rPr>
        <w:t xml:space="preserve"> </w:t>
      </w:r>
      <w:r w:rsidR="00F41C45" w:rsidRPr="00D76A73">
        <w:rPr>
          <w:rFonts w:cstheme="minorHAnsi"/>
          <w:sz w:val="24"/>
          <w:szCs w:val="24"/>
        </w:rPr>
        <w:t>conven</w:t>
      </w:r>
      <w:r w:rsidRPr="00D76A73">
        <w:rPr>
          <w:rFonts w:cstheme="minorHAnsi"/>
          <w:sz w:val="24"/>
          <w:szCs w:val="24"/>
        </w:rPr>
        <w:t xml:space="preserve">ers of gatherings for failure to notify authorities of planned gatherings of 15 or more people. </w:t>
      </w:r>
      <w:r w:rsidR="00E228B3" w:rsidRPr="00D76A73">
        <w:rPr>
          <w:rFonts w:cstheme="minorHAnsi"/>
          <w:sz w:val="24"/>
          <w:szCs w:val="24"/>
        </w:rPr>
        <w:t xml:space="preserve">The Court considered, first, whether the criminalization of the failure to give notice was a limitation on the right of peaceful assembly, and secondly it considered whether the limitation (if it was one) was reasonable and justifiable in an open and democratic society. The Constitutional Court found that section 12(1)(a) of the Regulation of Gatherings Act was an unjustifiable limitation of the right of peaceful assembly. </w:t>
      </w:r>
      <w:r w:rsidR="00F31DF7" w:rsidRPr="00D76A73">
        <w:rPr>
          <w:rFonts w:cstheme="minorHAnsi"/>
          <w:sz w:val="24"/>
          <w:szCs w:val="24"/>
        </w:rPr>
        <w:t xml:space="preserve">This decision </w:t>
      </w:r>
      <w:r w:rsidR="001746FE" w:rsidRPr="00D76A73">
        <w:rPr>
          <w:rFonts w:cstheme="minorHAnsi"/>
          <w:sz w:val="24"/>
          <w:szCs w:val="24"/>
        </w:rPr>
        <w:t>is</w:t>
      </w:r>
      <w:r w:rsidR="00F31DF7" w:rsidRPr="00D76A73">
        <w:rPr>
          <w:rFonts w:cstheme="minorHAnsi"/>
          <w:sz w:val="24"/>
          <w:szCs w:val="24"/>
        </w:rPr>
        <w:t xml:space="preserve"> consistent with the Human Rights Committee’s decision in </w:t>
      </w:r>
      <w:proofErr w:type="spellStart"/>
      <w:r w:rsidR="00F31DF7" w:rsidRPr="00D76A73">
        <w:rPr>
          <w:rFonts w:cstheme="minorHAnsi"/>
          <w:b/>
          <w:sz w:val="24"/>
          <w:szCs w:val="24"/>
        </w:rPr>
        <w:t>Kivenmaa</w:t>
      </w:r>
      <w:proofErr w:type="spellEnd"/>
      <w:r w:rsidR="00F31DF7" w:rsidRPr="00D76A73">
        <w:rPr>
          <w:rFonts w:cstheme="minorHAnsi"/>
          <w:b/>
          <w:sz w:val="24"/>
          <w:szCs w:val="24"/>
        </w:rPr>
        <w:t xml:space="preserve"> v Finland</w:t>
      </w:r>
      <w:r w:rsidR="00A82FE8" w:rsidRPr="00D76A73">
        <w:rPr>
          <w:rFonts w:cstheme="minorHAnsi"/>
          <w:b/>
          <w:sz w:val="24"/>
          <w:szCs w:val="24"/>
        </w:rPr>
        <w:t>,</w:t>
      </w:r>
      <w:r w:rsidR="00063138" w:rsidRPr="00D76A73">
        <w:rPr>
          <w:rStyle w:val="FootnoteReference"/>
          <w:rFonts w:cstheme="minorHAnsi"/>
          <w:b/>
          <w:sz w:val="24"/>
          <w:szCs w:val="24"/>
        </w:rPr>
        <w:footnoteReference w:id="22"/>
      </w:r>
      <w:r w:rsidR="00A82FE8" w:rsidRPr="00D76A73">
        <w:rPr>
          <w:rFonts w:cstheme="minorHAnsi"/>
          <w:sz w:val="24"/>
          <w:szCs w:val="24"/>
        </w:rPr>
        <w:t xml:space="preserve"> at least insofar as it related to criminalization.</w:t>
      </w:r>
      <w:r w:rsidR="00F31DF7" w:rsidRPr="00D76A73">
        <w:rPr>
          <w:rFonts w:cstheme="minorHAnsi"/>
          <w:sz w:val="24"/>
          <w:szCs w:val="24"/>
        </w:rPr>
        <w:t xml:space="preserve"> </w:t>
      </w:r>
    </w:p>
    <w:p w14:paraId="688E91BB" w14:textId="77777777" w:rsidR="00E228B3" w:rsidRPr="00D76A73" w:rsidRDefault="00E228B3" w:rsidP="00D76A73">
      <w:pPr>
        <w:pStyle w:val="ListParagraph"/>
        <w:jc w:val="both"/>
        <w:rPr>
          <w:rFonts w:cstheme="minorHAnsi"/>
          <w:sz w:val="24"/>
          <w:szCs w:val="24"/>
        </w:rPr>
      </w:pPr>
    </w:p>
    <w:p w14:paraId="407990AB" w14:textId="34ADF9FE" w:rsidR="000F101D" w:rsidRPr="00D76A73" w:rsidRDefault="00E228B3" w:rsidP="00D76A73">
      <w:pPr>
        <w:pStyle w:val="ListParagraph"/>
        <w:numPr>
          <w:ilvl w:val="0"/>
          <w:numId w:val="1"/>
        </w:numPr>
        <w:jc w:val="both"/>
        <w:rPr>
          <w:rFonts w:cstheme="minorHAnsi"/>
          <w:sz w:val="24"/>
          <w:szCs w:val="24"/>
        </w:rPr>
      </w:pPr>
      <w:r w:rsidRPr="00D76A73">
        <w:rPr>
          <w:rFonts w:cstheme="minorHAnsi"/>
          <w:sz w:val="24"/>
          <w:szCs w:val="24"/>
        </w:rPr>
        <w:t xml:space="preserve">In light of the above, the Centre recommends that the Committee </w:t>
      </w:r>
      <w:r w:rsidR="00063138" w:rsidRPr="00D76A73">
        <w:rPr>
          <w:rFonts w:cstheme="minorHAnsi"/>
          <w:sz w:val="24"/>
          <w:szCs w:val="24"/>
        </w:rPr>
        <w:t xml:space="preserve">affirms its position in the </w:t>
      </w:r>
      <w:proofErr w:type="spellStart"/>
      <w:r w:rsidR="00063138" w:rsidRPr="00D76A73">
        <w:rPr>
          <w:rFonts w:cstheme="minorHAnsi"/>
          <w:b/>
          <w:i/>
          <w:sz w:val="24"/>
          <w:szCs w:val="24"/>
        </w:rPr>
        <w:t>Kivenmaa</w:t>
      </w:r>
      <w:proofErr w:type="spellEnd"/>
      <w:r w:rsidR="00063138" w:rsidRPr="00D76A73">
        <w:rPr>
          <w:rFonts w:cstheme="minorHAnsi"/>
          <w:b/>
          <w:i/>
          <w:sz w:val="24"/>
          <w:szCs w:val="24"/>
        </w:rPr>
        <w:t xml:space="preserve"> </w:t>
      </w:r>
      <w:r w:rsidR="001746FE" w:rsidRPr="00D76A73">
        <w:rPr>
          <w:rFonts w:cstheme="minorHAnsi"/>
          <w:sz w:val="24"/>
          <w:szCs w:val="24"/>
        </w:rPr>
        <w:t>c</w:t>
      </w:r>
      <w:r w:rsidR="00063138" w:rsidRPr="00D76A73">
        <w:rPr>
          <w:rFonts w:cstheme="minorHAnsi"/>
          <w:sz w:val="24"/>
          <w:szCs w:val="24"/>
        </w:rPr>
        <w:t>ase and the position of t</w:t>
      </w:r>
      <w:r w:rsidRPr="00D76A73">
        <w:rPr>
          <w:rFonts w:cstheme="minorHAnsi"/>
          <w:sz w:val="24"/>
          <w:szCs w:val="24"/>
        </w:rPr>
        <w:t xml:space="preserve">he South African Constitutional Court in the </w:t>
      </w:r>
      <w:proofErr w:type="spellStart"/>
      <w:r w:rsidRPr="00D76A73">
        <w:rPr>
          <w:rFonts w:cstheme="minorHAnsi"/>
          <w:b/>
          <w:i/>
          <w:sz w:val="24"/>
          <w:szCs w:val="24"/>
        </w:rPr>
        <w:t>Mlung</w:t>
      </w:r>
      <w:r w:rsidR="00123E44" w:rsidRPr="00D76A73">
        <w:rPr>
          <w:rFonts w:cstheme="minorHAnsi"/>
          <w:b/>
          <w:i/>
          <w:sz w:val="24"/>
          <w:szCs w:val="24"/>
        </w:rPr>
        <w:t>w</w:t>
      </w:r>
      <w:r w:rsidRPr="00D76A73">
        <w:rPr>
          <w:rFonts w:cstheme="minorHAnsi"/>
          <w:b/>
          <w:i/>
          <w:sz w:val="24"/>
          <w:szCs w:val="24"/>
        </w:rPr>
        <w:t>ana</w:t>
      </w:r>
      <w:proofErr w:type="spellEnd"/>
      <w:r w:rsidRPr="00D76A73">
        <w:rPr>
          <w:rFonts w:cstheme="minorHAnsi"/>
          <w:b/>
          <w:i/>
          <w:sz w:val="24"/>
          <w:szCs w:val="24"/>
        </w:rPr>
        <w:t xml:space="preserve"> </w:t>
      </w:r>
      <w:r w:rsidR="001746FE" w:rsidRPr="00D76A73">
        <w:rPr>
          <w:rFonts w:cstheme="minorHAnsi"/>
          <w:sz w:val="24"/>
          <w:szCs w:val="24"/>
        </w:rPr>
        <w:t>c</w:t>
      </w:r>
      <w:r w:rsidRPr="00D76A73">
        <w:rPr>
          <w:rFonts w:cstheme="minorHAnsi"/>
          <w:sz w:val="24"/>
          <w:szCs w:val="24"/>
        </w:rPr>
        <w:t xml:space="preserve">ase and </w:t>
      </w:r>
      <w:r w:rsidR="00F31DF7" w:rsidRPr="00D76A73">
        <w:rPr>
          <w:rFonts w:cstheme="minorHAnsi"/>
          <w:sz w:val="24"/>
          <w:szCs w:val="24"/>
        </w:rPr>
        <w:t xml:space="preserve">urges it to make it clear in General Comment 37 that national laws that criminalize the failure by conveners of gatherings to notify authorities or the participation of the public in gatherings for which notices were not issued have a chilling effect on the exercise of the right to freedom of assembly and are inconsistent with international standards. </w:t>
      </w:r>
    </w:p>
    <w:p w14:paraId="12AFD2E1" w14:textId="77777777" w:rsidR="00405EDC" w:rsidRPr="00D76A73" w:rsidRDefault="00405EDC" w:rsidP="00D76A73">
      <w:pPr>
        <w:pStyle w:val="ListParagraph"/>
        <w:jc w:val="both"/>
        <w:rPr>
          <w:rFonts w:cstheme="minorHAnsi"/>
          <w:sz w:val="24"/>
          <w:szCs w:val="24"/>
        </w:rPr>
      </w:pPr>
    </w:p>
    <w:p w14:paraId="7E39C4A5" w14:textId="77777777" w:rsidR="00405EDC" w:rsidRPr="00D76A73" w:rsidRDefault="00405EDC" w:rsidP="00D76A73">
      <w:pPr>
        <w:pStyle w:val="ListParagraph"/>
        <w:numPr>
          <w:ilvl w:val="0"/>
          <w:numId w:val="1"/>
        </w:numPr>
        <w:jc w:val="both"/>
        <w:rPr>
          <w:rFonts w:cstheme="minorHAnsi"/>
          <w:sz w:val="24"/>
          <w:szCs w:val="24"/>
        </w:rPr>
      </w:pPr>
      <w:r w:rsidRPr="00D76A73">
        <w:rPr>
          <w:rFonts w:cstheme="minorHAnsi"/>
          <w:sz w:val="24"/>
          <w:szCs w:val="24"/>
        </w:rPr>
        <w:t>The Centre also recommends that</w:t>
      </w:r>
      <w:r w:rsidR="00BC2F64" w:rsidRPr="00D76A73">
        <w:rPr>
          <w:rFonts w:cstheme="minorHAnsi"/>
          <w:sz w:val="24"/>
          <w:szCs w:val="24"/>
        </w:rPr>
        <w:t>,</w:t>
      </w:r>
      <w:r w:rsidR="00815579" w:rsidRPr="00D76A73">
        <w:rPr>
          <w:rFonts w:cstheme="minorHAnsi"/>
          <w:sz w:val="24"/>
          <w:szCs w:val="24"/>
        </w:rPr>
        <w:t xml:space="preserve"> in line with the ACHPR Guidelines on the Freedom of Association and Freedom of Assembly, </w:t>
      </w:r>
      <w:r w:rsidRPr="00D76A73">
        <w:rPr>
          <w:rFonts w:cstheme="minorHAnsi"/>
          <w:sz w:val="24"/>
          <w:szCs w:val="24"/>
        </w:rPr>
        <w:t xml:space="preserve">the Committee </w:t>
      </w:r>
      <w:r w:rsidR="00815579" w:rsidRPr="00D76A73">
        <w:rPr>
          <w:rFonts w:cstheme="minorHAnsi"/>
          <w:sz w:val="24"/>
          <w:szCs w:val="24"/>
        </w:rPr>
        <w:t>should</w:t>
      </w:r>
      <w:r w:rsidRPr="00D76A73">
        <w:rPr>
          <w:rFonts w:cstheme="minorHAnsi"/>
          <w:sz w:val="24"/>
          <w:szCs w:val="24"/>
        </w:rPr>
        <w:t xml:space="preserve"> emphasise that the requirement of notification is subject to a proportionality assessment and should only apply for assemblies expected to attract large numbers or cause a lot of disruption.  </w:t>
      </w:r>
    </w:p>
    <w:p w14:paraId="76FB5550" w14:textId="2304E576" w:rsidR="005E0832" w:rsidRPr="00D76A73" w:rsidRDefault="005E0832" w:rsidP="00D76A73">
      <w:pPr>
        <w:ind w:left="360"/>
        <w:jc w:val="both"/>
        <w:rPr>
          <w:rFonts w:cstheme="minorHAnsi"/>
          <w:sz w:val="24"/>
          <w:szCs w:val="24"/>
        </w:rPr>
      </w:pPr>
    </w:p>
    <w:p w14:paraId="0DE39C0A" w14:textId="40FD401C" w:rsidR="005E0832" w:rsidRPr="00D76A73" w:rsidRDefault="005E0832" w:rsidP="00D76A73">
      <w:pPr>
        <w:ind w:left="360"/>
        <w:jc w:val="both"/>
        <w:rPr>
          <w:rFonts w:cstheme="minorHAnsi"/>
          <w:sz w:val="24"/>
          <w:szCs w:val="24"/>
        </w:rPr>
      </w:pPr>
    </w:p>
    <w:sectPr w:rsidR="005E0832" w:rsidRPr="00D76A7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B3156" w14:textId="77777777" w:rsidR="0063263C" w:rsidRDefault="0063263C" w:rsidP="00FF6CCE">
      <w:pPr>
        <w:spacing w:after="0" w:line="240" w:lineRule="auto"/>
      </w:pPr>
      <w:r>
        <w:separator/>
      </w:r>
    </w:p>
  </w:endnote>
  <w:endnote w:type="continuationSeparator" w:id="0">
    <w:p w14:paraId="1BE26E50" w14:textId="77777777" w:rsidR="0063263C" w:rsidRDefault="0063263C" w:rsidP="00FF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9255548"/>
      <w:docPartObj>
        <w:docPartGallery w:val="Page Numbers (Bottom of Page)"/>
        <w:docPartUnique/>
      </w:docPartObj>
    </w:sdtPr>
    <w:sdtEndPr>
      <w:rPr>
        <w:rStyle w:val="PageNumber"/>
      </w:rPr>
    </w:sdtEndPr>
    <w:sdtContent>
      <w:p w14:paraId="6539FA4C" w14:textId="5E642EA8" w:rsidR="00253FAF" w:rsidRDefault="00253FAF" w:rsidP="004C48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BCAF12" w14:textId="77777777" w:rsidR="00253FAF" w:rsidRDefault="00253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8683173"/>
      <w:docPartObj>
        <w:docPartGallery w:val="Page Numbers (Bottom of Page)"/>
        <w:docPartUnique/>
      </w:docPartObj>
    </w:sdtPr>
    <w:sdtEndPr>
      <w:rPr>
        <w:rStyle w:val="PageNumber"/>
      </w:rPr>
    </w:sdtEndPr>
    <w:sdtContent>
      <w:p w14:paraId="7BAB25F2" w14:textId="3D7F8BAC" w:rsidR="00253FAF" w:rsidRDefault="00253FAF" w:rsidP="004C48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B59DAA" w14:textId="2EEBBA5D" w:rsidR="002321E2" w:rsidRDefault="002321E2">
    <w:pPr>
      <w:pStyle w:val="Footer"/>
    </w:pPr>
  </w:p>
  <w:p w14:paraId="7E6E437E" w14:textId="77777777" w:rsidR="002321E2" w:rsidRDefault="00232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0A37" w14:textId="77777777" w:rsidR="0063263C" w:rsidRDefault="0063263C" w:rsidP="00FF6CCE">
      <w:pPr>
        <w:spacing w:after="0" w:line="240" w:lineRule="auto"/>
      </w:pPr>
      <w:r>
        <w:separator/>
      </w:r>
    </w:p>
  </w:footnote>
  <w:footnote w:type="continuationSeparator" w:id="0">
    <w:p w14:paraId="31CC6F63" w14:textId="77777777" w:rsidR="0063263C" w:rsidRDefault="0063263C" w:rsidP="00FF6CCE">
      <w:pPr>
        <w:spacing w:after="0" w:line="240" w:lineRule="auto"/>
      </w:pPr>
      <w:r>
        <w:continuationSeparator/>
      </w:r>
    </w:p>
  </w:footnote>
  <w:footnote w:id="1">
    <w:p w14:paraId="33ED7E89" w14:textId="34F1FFD7" w:rsidR="003E114E" w:rsidRPr="003E114E" w:rsidRDefault="003E114E">
      <w:pPr>
        <w:pStyle w:val="FootnoteText"/>
        <w:rPr>
          <w:lang w:val="en-US"/>
        </w:rPr>
      </w:pPr>
      <w:r>
        <w:rPr>
          <w:rStyle w:val="FootnoteReference"/>
        </w:rPr>
        <w:footnoteRef/>
      </w:r>
      <w:r>
        <w:t xml:space="preserve"> </w:t>
      </w:r>
      <w:r>
        <w:rPr>
          <w:lang w:val="en-US"/>
        </w:rPr>
        <w:t>Art 11 of the African Charter states that “every individual shall have the right to assemble freely with others.”</w:t>
      </w:r>
    </w:p>
  </w:footnote>
  <w:footnote w:id="2">
    <w:p w14:paraId="391C0BE3" w14:textId="3572C305" w:rsidR="007B0152" w:rsidRPr="00035004" w:rsidRDefault="00CB4478" w:rsidP="00D9474D">
      <w:pPr>
        <w:pStyle w:val="FootnoteText"/>
        <w:rPr>
          <w:rStyle w:val="Hyperlink"/>
          <w:lang w:val="en-US"/>
        </w:rPr>
      </w:pPr>
      <w:r>
        <w:rPr>
          <w:rStyle w:val="FootnoteReference"/>
        </w:rPr>
        <w:footnoteRef/>
      </w:r>
      <w:r>
        <w:t xml:space="preserve"> </w:t>
      </w:r>
      <w:r>
        <w:t xml:space="preserve">S 11 of the Regulation of Gatherings Act, No. 205 of 1993. </w:t>
      </w:r>
      <w:r w:rsidRPr="007B0152">
        <w:t>Available at</w:t>
      </w:r>
      <w:r w:rsidR="00D9474D">
        <w:t xml:space="preserve"> </w:t>
      </w:r>
      <w:r w:rsidR="007B0152">
        <w:rPr>
          <w:lang w:val="en-US"/>
        </w:rPr>
        <w:fldChar w:fldCharType="begin"/>
      </w:r>
      <w:r w:rsidR="00865C32">
        <w:rPr>
          <w:lang w:val="en-US"/>
        </w:rPr>
        <w:instrText>HYPERLINK "C:\\Users\\ThomasProbert\\Library\\Containers\\com.apple.mail\\Data\\Library\\Mail Downloads\\48D6CD97-6A14-462E-8E7D-BD05B03399C4\\</w:instrText>
      </w:r>
      <w:r w:rsidR="00865C32">
        <w:rPr>
          <w:lang w:val="en-US"/>
        </w:rPr>
        <w:cr/>
        <w:instrText>https:\\www.saps.gov.za\\resource_centre\\acts\\downloads\\juta\\a205of1993.pdf</w:instrText>
      </w:r>
      <w:r w:rsidR="00865C32">
        <w:rPr>
          <w:lang w:val="en-US"/>
        </w:rPr>
        <w:cr/>
        <w:instrText>"</w:instrText>
      </w:r>
      <w:r w:rsidR="007B0152">
        <w:rPr>
          <w:lang w:val="en-US"/>
        </w:rPr>
        <w:fldChar w:fldCharType="separate"/>
      </w:r>
      <w:bookmarkStart w:id="1" w:name="_Hlk2498997"/>
    </w:p>
    <w:p w14:paraId="0400CD33" w14:textId="77777777" w:rsidR="007B0152" w:rsidRPr="00D9474D" w:rsidRDefault="007B0152" w:rsidP="00D9474D">
      <w:pPr>
        <w:pStyle w:val="FootnoteText"/>
        <w:rPr>
          <w:rStyle w:val="Hyperlink"/>
          <w:lang w:val="en-US"/>
        </w:rPr>
      </w:pPr>
      <w:r w:rsidRPr="00D9474D">
        <w:rPr>
          <w:rStyle w:val="Hyperlink"/>
          <w:lang w:val="en-US"/>
        </w:rPr>
        <w:t>https://www.saps.gov.za/resource_centre/acts/downloads/juta/a205of1993.pdf</w:t>
      </w:r>
    </w:p>
    <w:bookmarkEnd w:id="1"/>
    <w:p w14:paraId="2DCCC6D0" w14:textId="77777777" w:rsidR="00CB4478" w:rsidRPr="00CB4478" w:rsidRDefault="007B0152" w:rsidP="00D9474D">
      <w:pPr>
        <w:pStyle w:val="FootnoteText"/>
        <w:rPr>
          <w:lang w:val="en-US"/>
        </w:rPr>
      </w:pPr>
      <w:r>
        <w:rPr>
          <w:lang w:val="en-US"/>
        </w:rPr>
        <w:fldChar w:fldCharType="end"/>
      </w:r>
    </w:p>
  </w:footnote>
  <w:footnote w:id="3">
    <w:p w14:paraId="23F3F6A0" w14:textId="3886F282" w:rsidR="000B3723" w:rsidRPr="000B3723" w:rsidRDefault="000B3723">
      <w:pPr>
        <w:pStyle w:val="FootnoteText"/>
        <w:rPr>
          <w:lang w:val="en-US"/>
        </w:rPr>
      </w:pPr>
      <w:r>
        <w:rPr>
          <w:rStyle w:val="FootnoteReference"/>
        </w:rPr>
        <w:footnoteRef/>
      </w:r>
      <w:r>
        <w:t xml:space="preserve"> </w:t>
      </w:r>
      <w:r w:rsidR="002F196D" w:rsidRPr="007B0152">
        <w:rPr>
          <w:i/>
          <w:lang w:val="en-US"/>
        </w:rPr>
        <w:t>South African Transport and Allied Workers Union and Another v Garvas and Others</w:t>
      </w:r>
      <w:r w:rsidR="002F196D" w:rsidRPr="002F196D">
        <w:rPr>
          <w:lang w:val="en-US"/>
        </w:rPr>
        <w:t xml:space="preserve"> (CCT 112/11) [2012] ZACC 13</w:t>
      </w:r>
      <w:r w:rsidR="002F196D">
        <w:rPr>
          <w:lang w:val="en-US"/>
        </w:rPr>
        <w:t xml:space="preserve">. </w:t>
      </w:r>
      <w:r>
        <w:t xml:space="preserve">Available at </w:t>
      </w:r>
      <w:hyperlink r:id="rId1" w:history="1">
        <w:r w:rsidRPr="00035004">
          <w:rPr>
            <w:rStyle w:val="Hyperlink"/>
          </w:rPr>
          <w:t>http://www.saflii.org/za/cases/ZACC/2012/13.pdf</w:t>
        </w:r>
      </w:hyperlink>
      <w:r>
        <w:t xml:space="preserve"> Accessed on 26 February 2019.</w:t>
      </w:r>
    </w:p>
  </w:footnote>
  <w:footnote w:id="4">
    <w:p w14:paraId="61492287" w14:textId="77777777" w:rsidR="000B3723" w:rsidRPr="000B3723" w:rsidRDefault="000B3723">
      <w:pPr>
        <w:pStyle w:val="FootnoteText"/>
        <w:rPr>
          <w:lang w:val="en-US"/>
        </w:rPr>
      </w:pPr>
      <w:r>
        <w:rPr>
          <w:rStyle w:val="FootnoteReference"/>
        </w:rPr>
        <w:footnoteRef/>
      </w:r>
      <w:r>
        <w:t xml:space="preserve"> </w:t>
      </w:r>
      <w:r>
        <w:rPr>
          <w:lang w:val="en-US"/>
        </w:rPr>
        <w:t xml:space="preserve">Ibid, para 57. </w:t>
      </w:r>
    </w:p>
  </w:footnote>
  <w:footnote w:id="5">
    <w:p w14:paraId="4DBE7D0B" w14:textId="77777777" w:rsidR="00B418E5" w:rsidRPr="00B418E5" w:rsidRDefault="00B418E5">
      <w:pPr>
        <w:pStyle w:val="FootnoteText"/>
        <w:rPr>
          <w:lang w:val="en-US"/>
        </w:rPr>
      </w:pPr>
      <w:r>
        <w:rPr>
          <w:rStyle w:val="FootnoteReference"/>
        </w:rPr>
        <w:footnoteRef/>
      </w:r>
      <w:r>
        <w:t xml:space="preserve"> </w:t>
      </w:r>
      <w:r w:rsidR="007B0152">
        <w:t xml:space="preserve">Ibid, para </w:t>
      </w:r>
      <w:r w:rsidR="002F36C3">
        <w:t>68</w:t>
      </w:r>
      <w:r w:rsidR="007B0152">
        <w:t>.</w:t>
      </w:r>
    </w:p>
  </w:footnote>
  <w:footnote w:id="6">
    <w:p w14:paraId="1FCFED55" w14:textId="77777777" w:rsidR="00431724" w:rsidRPr="00431724" w:rsidRDefault="00431724">
      <w:pPr>
        <w:pStyle w:val="FootnoteText"/>
        <w:rPr>
          <w:lang w:val="en-US"/>
        </w:rPr>
      </w:pPr>
      <w:r>
        <w:rPr>
          <w:rStyle w:val="FootnoteReference"/>
        </w:rPr>
        <w:footnoteRef/>
      </w:r>
      <w:r>
        <w:t xml:space="preserve"> </w:t>
      </w:r>
      <w:r>
        <w:rPr>
          <w:lang w:val="en-US"/>
        </w:rPr>
        <w:t>Ibid, para 6</w:t>
      </w:r>
      <w:r w:rsidR="002F36C3">
        <w:rPr>
          <w:lang w:val="en-US"/>
        </w:rPr>
        <w:t>7</w:t>
      </w:r>
      <w:r>
        <w:rPr>
          <w:lang w:val="en-US"/>
        </w:rPr>
        <w:t>.</w:t>
      </w:r>
    </w:p>
  </w:footnote>
  <w:footnote w:id="7">
    <w:p w14:paraId="1A506D16" w14:textId="43ECE4CB" w:rsidR="00111ED5" w:rsidRPr="00111ED5" w:rsidRDefault="00111ED5">
      <w:pPr>
        <w:pStyle w:val="FootnoteText"/>
        <w:rPr>
          <w:lang w:val="en-US"/>
        </w:rPr>
      </w:pPr>
      <w:r>
        <w:rPr>
          <w:rStyle w:val="FootnoteReference"/>
        </w:rPr>
        <w:footnoteRef/>
      </w:r>
      <w:r>
        <w:t xml:space="preserve"> </w:t>
      </w:r>
      <w:r>
        <w:rPr>
          <w:lang w:val="en-US"/>
        </w:rPr>
        <w:t>Ibid, para 45</w:t>
      </w:r>
      <w:r w:rsidR="00AC46E5">
        <w:rPr>
          <w:lang w:val="en-US"/>
        </w:rPr>
        <w:t>.</w:t>
      </w:r>
    </w:p>
  </w:footnote>
  <w:footnote w:id="8">
    <w:p w14:paraId="05AE191F" w14:textId="1628E4FA" w:rsidR="00111ED5" w:rsidRPr="00111ED5" w:rsidRDefault="00111ED5">
      <w:pPr>
        <w:pStyle w:val="FootnoteText"/>
        <w:rPr>
          <w:lang w:val="en-US"/>
        </w:rPr>
      </w:pPr>
      <w:r>
        <w:rPr>
          <w:rStyle w:val="FootnoteReference"/>
        </w:rPr>
        <w:footnoteRef/>
      </w:r>
      <w:r>
        <w:t xml:space="preserve"> </w:t>
      </w:r>
      <w:r>
        <w:rPr>
          <w:lang w:val="en-US"/>
        </w:rPr>
        <w:t>Ibid.</w:t>
      </w:r>
    </w:p>
  </w:footnote>
  <w:footnote w:id="9">
    <w:p w14:paraId="06D0A3A9" w14:textId="26F2FE3E" w:rsidR="00207C7F" w:rsidRPr="00207C7F" w:rsidRDefault="00207C7F">
      <w:pPr>
        <w:pStyle w:val="FootnoteText"/>
        <w:rPr>
          <w:lang w:val="en-US"/>
        </w:rPr>
      </w:pPr>
      <w:r>
        <w:rPr>
          <w:rStyle w:val="FootnoteReference"/>
        </w:rPr>
        <w:footnoteRef/>
      </w:r>
      <w:r>
        <w:t xml:space="preserve"> </w:t>
      </w:r>
      <w:r w:rsidRPr="00207C7F">
        <w:rPr>
          <w:lang w:val="en-US"/>
        </w:rPr>
        <w:t xml:space="preserve">ACHPR Guidelines on Freedom of Association and Freedom of Assembly in Africa, para </w:t>
      </w:r>
      <w:r>
        <w:rPr>
          <w:lang w:val="en-US"/>
        </w:rPr>
        <w:t xml:space="preserve">102(c). </w:t>
      </w:r>
      <w:r w:rsidRPr="00207C7F">
        <w:rPr>
          <w:lang w:val="en-US"/>
        </w:rPr>
        <w:t xml:space="preserve">Available at </w:t>
      </w:r>
      <w:hyperlink r:id="rId2" w:history="1">
        <w:r w:rsidRPr="00207C7F">
          <w:rPr>
            <w:rStyle w:val="Hyperlink"/>
            <w:lang w:val="en-US"/>
          </w:rPr>
          <w:t>http://www.achpr.org/files/instruments/freedom-association-assembly/guidelines_on_freedom_of_association_and_assembly_in_africa_eng.pdf</w:t>
        </w:r>
      </w:hyperlink>
      <w:r w:rsidRPr="00207C7F">
        <w:rPr>
          <w:lang w:val="en-US"/>
        </w:rPr>
        <w:t xml:space="preserve"> Accessed on 2 March 2019.</w:t>
      </w:r>
    </w:p>
  </w:footnote>
  <w:footnote w:id="10">
    <w:p w14:paraId="0D232C57" w14:textId="77777777" w:rsidR="001E2E97" w:rsidRPr="001E2E97" w:rsidRDefault="001E2E97">
      <w:pPr>
        <w:pStyle w:val="FootnoteText"/>
        <w:rPr>
          <w:lang w:val="en-US"/>
        </w:rPr>
      </w:pPr>
      <w:r>
        <w:rPr>
          <w:rStyle w:val="FootnoteReference"/>
        </w:rPr>
        <w:footnoteRef/>
      </w:r>
      <w:r>
        <w:t xml:space="preserve"> </w:t>
      </w:r>
      <w:r>
        <w:rPr>
          <w:lang w:val="en-US"/>
        </w:rPr>
        <w:t xml:space="preserve">Ibid, para 101. </w:t>
      </w:r>
    </w:p>
  </w:footnote>
  <w:footnote w:id="11">
    <w:p w14:paraId="1968C3F3" w14:textId="36F88D07" w:rsidR="00D2525F" w:rsidRPr="00D2525F" w:rsidRDefault="00D2525F">
      <w:pPr>
        <w:pStyle w:val="FootnoteText"/>
        <w:rPr>
          <w:lang w:val="en-US"/>
        </w:rPr>
      </w:pPr>
      <w:r>
        <w:rPr>
          <w:rStyle w:val="FootnoteReference"/>
        </w:rPr>
        <w:footnoteRef/>
      </w:r>
      <w:r>
        <w:t xml:space="preserve"> </w:t>
      </w:r>
      <w:r w:rsidRPr="00D2525F">
        <w:rPr>
          <w:i/>
          <w:lang w:val="en-US"/>
        </w:rPr>
        <w:t>International Pen and Others (on behalf of Ken Saro-Wi</w:t>
      </w:r>
      <w:r>
        <w:rPr>
          <w:i/>
          <w:lang w:val="en-US"/>
        </w:rPr>
        <w:t>w</w:t>
      </w:r>
      <w:r w:rsidRPr="00D2525F">
        <w:rPr>
          <w:i/>
          <w:lang w:val="en-US"/>
        </w:rPr>
        <w:t>a) v. Nigeria</w:t>
      </w:r>
      <w:r w:rsidRPr="00D2525F">
        <w:rPr>
          <w:lang w:val="en-US"/>
        </w:rPr>
        <w:t xml:space="preserve">, </w:t>
      </w:r>
      <w:proofErr w:type="spellStart"/>
      <w:r w:rsidRPr="00D2525F">
        <w:rPr>
          <w:lang w:val="en-US"/>
        </w:rPr>
        <w:t>Comm</w:t>
      </w:r>
      <w:proofErr w:type="spellEnd"/>
      <w:r w:rsidRPr="00D2525F">
        <w:rPr>
          <w:lang w:val="en-US"/>
        </w:rPr>
        <w:t xml:space="preserve"> Nos 137/94, 139/94, 154/96 and 161/97 (1998)</w:t>
      </w:r>
      <w:r w:rsidR="00EC1ED2">
        <w:rPr>
          <w:lang w:val="en-US"/>
        </w:rPr>
        <w:t xml:space="preserve">. Available at </w:t>
      </w:r>
      <w:hyperlink r:id="rId3" w:history="1">
        <w:r w:rsidR="00EC1ED2" w:rsidRPr="00A2102D">
          <w:rPr>
            <w:rStyle w:val="Hyperlink"/>
            <w:lang w:val="en-US"/>
          </w:rPr>
          <w:t>http://www.achpr.org/files/sessions/24th/comunications/137.94-139.94-154.96-161.97/achpr24_137.94_139.94_154.96_161.97_eng.pdf</w:t>
        </w:r>
      </w:hyperlink>
      <w:r w:rsidR="00EC1ED2">
        <w:rPr>
          <w:lang w:val="en-US"/>
        </w:rPr>
        <w:t xml:space="preserve"> . Accessed on 2 March 2019.</w:t>
      </w:r>
    </w:p>
  </w:footnote>
  <w:footnote w:id="12">
    <w:p w14:paraId="6331F98C" w14:textId="3E9CA81C" w:rsidR="00EC1ED2" w:rsidRPr="00EC1ED2" w:rsidRDefault="00EC1ED2">
      <w:pPr>
        <w:pStyle w:val="FootnoteText"/>
        <w:rPr>
          <w:lang w:val="en-US"/>
        </w:rPr>
      </w:pPr>
      <w:r>
        <w:rPr>
          <w:rStyle w:val="FootnoteReference"/>
        </w:rPr>
        <w:footnoteRef/>
      </w:r>
      <w:r>
        <w:t xml:space="preserve"> </w:t>
      </w:r>
      <w:r w:rsidR="00CB1422">
        <w:t>Ibid, para 2.</w:t>
      </w:r>
    </w:p>
  </w:footnote>
  <w:footnote w:id="13">
    <w:p w14:paraId="0F3F5983" w14:textId="77777777" w:rsidR="00CB1422" w:rsidRPr="00CB1422" w:rsidRDefault="00CB1422">
      <w:pPr>
        <w:pStyle w:val="FootnoteText"/>
        <w:rPr>
          <w:lang w:val="en-US"/>
        </w:rPr>
      </w:pPr>
      <w:r>
        <w:rPr>
          <w:rStyle w:val="FootnoteReference"/>
        </w:rPr>
        <w:footnoteRef/>
      </w:r>
      <w:r>
        <w:t xml:space="preserve"> Ibid. </w:t>
      </w:r>
    </w:p>
  </w:footnote>
  <w:footnote w:id="14">
    <w:p w14:paraId="0C59AE6A" w14:textId="1AEA0541" w:rsidR="00CB1422" w:rsidRPr="00CB1422" w:rsidRDefault="00CB1422">
      <w:pPr>
        <w:pStyle w:val="FootnoteText"/>
        <w:rPr>
          <w:lang w:val="en-US"/>
        </w:rPr>
      </w:pPr>
      <w:r>
        <w:rPr>
          <w:rStyle w:val="FootnoteReference"/>
        </w:rPr>
        <w:footnoteRef/>
      </w:r>
      <w:r>
        <w:t xml:space="preserve"> </w:t>
      </w:r>
      <w:r>
        <w:rPr>
          <w:lang w:val="en-US"/>
        </w:rPr>
        <w:t>Ibid, para 106.</w:t>
      </w:r>
    </w:p>
  </w:footnote>
  <w:footnote w:id="15">
    <w:p w14:paraId="6784D858" w14:textId="77777777" w:rsidR="00EC1ED2" w:rsidRPr="00EC1ED2" w:rsidRDefault="00EC1ED2">
      <w:pPr>
        <w:pStyle w:val="FootnoteText"/>
        <w:rPr>
          <w:lang w:val="en-US"/>
        </w:rPr>
      </w:pPr>
      <w:r>
        <w:rPr>
          <w:rStyle w:val="FootnoteReference"/>
        </w:rPr>
        <w:footnoteRef/>
      </w:r>
      <w:r>
        <w:t xml:space="preserve"> </w:t>
      </w:r>
      <w:r>
        <w:rPr>
          <w:lang w:val="en-US"/>
        </w:rPr>
        <w:t>Ibid</w:t>
      </w:r>
      <w:r w:rsidR="00CB1422">
        <w:rPr>
          <w:lang w:val="en-US"/>
        </w:rPr>
        <w:t xml:space="preserve">. </w:t>
      </w:r>
      <w:r>
        <w:rPr>
          <w:lang w:val="en-US"/>
        </w:rPr>
        <w:t xml:space="preserve">  </w:t>
      </w:r>
    </w:p>
  </w:footnote>
  <w:footnote w:id="16">
    <w:p w14:paraId="6E6C9EE1" w14:textId="6CA71962" w:rsidR="00F91C29" w:rsidRPr="00F91C29" w:rsidRDefault="00F91C29">
      <w:pPr>
        <w:pStyle w:val="FootnoteText"/>
        <w:rPr>
          <w:lang w:val="en-US"/>
        </w:rPr>
      </w:pPr>
      <w:r>
        <w:rPr>
          <w:rStyle w:val="FootnoteReference"/>
        </w:rPr>
        <w:footnoteRef/>
      </w:r>
      <w:r>
        <w:t xml:space="preserve"> </w:t>
      </w:r>
      <w:bookmarkStart w:id="2" w:name="_Hlk2505630"/>
      <w:r>
        <w:t>See, f</w:t>
      </w:r>
      <w:r>
        <w:rPr>
          <w:lang w:val="en-US"/>
        </w:rPr>
        <w:t xml:space="preserve">or instance, </w:t>
      </w:r>
      <w:r w:rsidR="00253FAF">
        <w:rPr>
          <w:lang w:val="en-US"/>
        </w:rPr>
        <w:t>s</w:t>
      </w:r>
      <w:r>
        <w:rPr>
          <w:lang w:val="en-US"/>
        </w:rPr>
        <w:t xml:space="preserve"> </w:t>
      </w:r>
      <w:r w:rsidR="001A2DB0">
        <w:rPr>
          <w:lang w:val="en-US"/>
        </w:rPr>
        <w:t>3</w:t>
      </w:r>
      <w:r>
        <w:rPr>
          <w:lang w:val="en-US"/>
        </w:rPr>
        <w:t xml:space="preserve"> of the South African Regulation of Gatherings Act</w:t>
      </w:r>
      <w:r w:rsidR="00387F34">
        <w:rPr>
          <w:lang w:val="en-US"/>
        </w:rPr>
        <w:t xml:space="preserve"> (</w:t>
      </w:r>
      <w:r w:rsidR="00253FAF">
        <w:rPr>
          <w:lang w:val="en-US"/>
        </w:rPr>
        <w:t xml:space="preserve">n </w:t>
      </w:r>
      <w:r w:rsidR="00387F34">
        <w:rPr>
          <w:lang w:val="en-US"/>
        </w:rPr>
        <w:t xml:space="preserve">2) </w:t>
      </w:r>
      <w:r>
        <w:rPr>
          <w:lang w:val="en-US"/>
        </w:rPr>
        <w:t xml:space="preserve">and </w:t>
      </w:r>
      <w:r w:rsidR="00253FAF">
        <w:rPr>
          <w:lang w:val="en-US"/>
        </w:rPr>
        <w:t>s</w:t>
      </w:r>
      <w:r w:rsidR="00146D7D">
        <w:rPr>
          <w:lang w:val="en-US"/>
        </w:rPr>
        <w:t xml:space="preserve"> 5(2) </w:t>
      </w:r>
      <w:r>
        <w:rPr>
          <w:lang w:val="en-US"/>
        </w:rPr>
        <w:t xml:space="preserve">of the Kenyan Public Order Act </w:t>
      </w:r>
      <w:bookmarkEnd w:id="2"/>
      <w:r>
        <w:rPr>
          <w:lang w:val="en-US"/>
        </w:rPr>
        <w:t>(</w:t>
      </w:r>
      <w:r w:rsidRPr="007B0152">
        <w:rPr>
          <w:lang w:val="en-US"/>
        </w:rPr>
        <w:t>available a</w:t>
      </w:r>
      <w:r>
        <w:rPr>
          <w:lang w:val="en-US"/>
        </w:rPr>
        <w:t xml:space="preserve">t </w:t>
      </w:r>
      <w:hyperlink r:id="rId4" w:history="1">
        <w:r w:rsidR="007B0152" w:rsidRPr="00035004">
          <w:rPr>
            <w:rStyle w:val="Hyperlink"/>
            <w:lang w:val="en-US"/>
          </w:rPr>
          <w:t>http://www.kenyalaw.org/lex/actview.xql?actid=CAP.%2056</w:t>
        </w:r>
      </w:hyperlink>
      <w:r>
        <w:rPr>
          <w:lang w:val="en-US"/>
        </w:rPr>
        <w:t>)</w:t>
      </w:r>
    </w:p>
  </w:footnote>
  <w:footnote w:id="17">
    <w:p w14:paraId="581801B1" w14:textId="6185B3F1" w:rsidR="00347D05" w:rsidRPr="00347D05" w:rsidRDefault="00347D05">
      <w:pPr>
        <w:pStyle w:val="FootnoteText"/>
        <w:rPr>
          <w:lang w:val="en-US"/>
        </w:rPr>
      </w:pPr>
      <w:bookmarkStart w:id="3" w:name="_Hlk2501858"/>
      <w:r>
        <w:rPr>
          <w:rStyle w:val="FootnoteReference"/>
        </w:rPr>
        <w:footnoteRef/>
      </w:r>
      <w:r>
        <w:t xml:space="preserve"> ACHPR </w:t>
      </w:r>
      <w:r w:rsidRPr="00347D05">
        <w:rPr>
          <w:lang w:val="en-US"/>
        </w:rPr>
        <w:t xml:space="preserve">Guidelines on Freedom of Association and Freedom of Assembly in </w:t>
      </w:r>
      <w:r>
        <w:rPr>
          <w:lang w:val="en-US"/>
        </w:rPr>
        <w:t>Africa, para 71. Available at</w:t>
      </w:r>
      <w:r w:rsidRPr="00F7710D">
        <w:t xml:space="preserve"> </w:t>
      </w:r>
      <w:hyperlink r:id="rId5" w:history="1">
        <w:r w:rsidRPr="00A2102D">
          <w:rPr>
            <w:rStyle w:val="Hyperlink"/>
            <w:lang w:val="en-US"/>
          </w:rPr>
          <w:t>http://www.achpr.org/files/instruments/freedom-association-assembly/guidelines_on_freedom_of_association_and_assembly_in_africa_eng.pdf</w:t>
        </w:r>
      </w:hyperlink>
      <w:r>
        <w:rPr>
          <w:lang w:val="en-US"/>
        </w:rPr>
        <w:t>. Accessed on 2 March 2019.</w:t>
      </w:r>
    </w:p>
    <w:bookmarkEnd w:id="3"/>
  </w:footnote>
  <w:footnote w:id="18">
    <w:p w14:paraId="2C05C921" w14:textId="615521C1" w:rsidR="009F227A" w:rsidRPr="009F227A" w:rsidRDefault="009F227A">
      <w:pPr>
        <w:pStyle w:val="FootnoteText"/>
        <w:rPr>
          <w:lang w:val="en-US"/>
        </w:rPr>
      </w:pPr>
      <w:r>
        <w:rPr>
          <w:rStyle w:val="FootnoteReference"/>
        </w:rPr>
        <w:footnoteRef/>
      </w:r>
      <w:r>
        <w:t xml:space="preserve"> </w:t>
      </w:r>
      <w:r>
        <w:rPr>
          <w:lang w:val="en-US"/>
        </w:rPr>
        <w:t xml:space="preserve">Ibid, para 75.  </w:t>
      </w:r>
    </w:p>
  </w:footnote>
  <w:footnote w:id="19">
    <w:p w14:paraId="7501CB0E" w14:textId="19FCD6F6" w:rsidR="00AF7DDE" w:rsidRPr="00AF7DDE" w:rsidRDefault="00AF7DDE">
      <w:pPr>
        <w:pStyle w:val="FootnoteText"/>
        <w:rPr>
          <w:lang w:val="en-US"/>
        </w:rPr>
      </w:pPr>
      <w:r>
        <w:rPr>
          <w:rStyle w:val="FootnoteReference"/>
        </w:rPr>
        <w:footnoteRef/>
      </w:r>
      <w:r>
        <w:t xml:space="preserve"> </w:t>
      </w:r>
      <w:r>
        <w:rPr>
          <w:lang w:val="en-US"/>
        </w:rPr>
        <w:t>Ibid, para 99.</w:t>
      </w:r>
    </w:p>
  </w:footnote>
  <w:footnote w:id="20">
    <w:p w14:paraId="60D7D0A5" w14:textId="7B973E58" w:rsidR="00323535" w:rsidRPr="00323535" w:rsidRDefault="00323535">
      <w:pPr>
        <w:pStyle w:val="FootnoteText"/>
        <w:rPr>
          <w:lang w:val="en-US"/>
        </w:rPr>
      </w:pPr>
      <w:r>
        <w:rPr>
          <w:rStyle w:val="FootnoteReference"/>
        </w:rPr>
        <w:footnoteRef/>
      </w:r>
      <w:r>
        <w:t xml:space="preserve"> </w:t>
      </w:r>
      <w:r w:rsidRPr="00323535">
        <w:rPr>
          <w:lang w:val="en-US"/>
        </w:rPr>
        <w:t xml:space="preserve">See, for instance, </w:t>
      </w:r>
      <w:r w:rsidR="00253FAF">
        <w:rPr>
          <w:lang w:val="en-US"/>
        </w:rPr>
        <w:t>s</w:t>
      </w:r>
      <w:r w:rsidRPr="00323535">
        <w:rPr>
          <w:lang w:val="en-US"/>
        </w:rPr>
        <w:t xml:space="preserve"> </w:t>
      </w:r>
      <w:r>
        <w:rPr>
          <w:lang w:val="en-US"/>
        </w:rPr>
        <w:t>12(1)(a)</w:t>
      </w:r>
      <w:r w:rsidRPr="00323535">
        <w:rPr>
          <w:lang w:val="en-US"/>
        </w:rPr>
        <w:t xml:space="preserve"> of the South African Regulation of Gatherings Act (n 2)</w:t>
      </w:r>
      <w:r>
        <w:rPr>
          <w:lang w:val="en-US"/>
        </w:rPr>
        <w:t>.</w:t>
      </w:r>
      <w:r w:rsidRPr="00323535">
        <w:rPr>
          <w:lang w:val="en-US"/>
        </w:rPr>
        <w:t xml:space="preserve"> </w:t>
      </w:r>
    </w:p>
  </w:footnote>
  <w:footnote w:id="21">
    <w:p w14:paraId="526C2DD2" w14:textId="77777777" w:rsidR="00CA3B76" w:rsidRPr="00CA3B76" w:rsidRDefault="00CA3B76">
      <w:pPr>
        <w:pStyle w:val="FootnoteText"/>
        <w:rPr>
          <w:lang w:val="en-US"/>
        </w:rPr>
      </w:pPr>
      <w:r>
        <w:rPr>
          <w:rStyle w:val="FootnoteReference"/>
        </w:rPr>
        <w:footnoteRef/>
      </w:r>
      <w:r>
        <w:t xml:space="preserve"> </w:t>
      </w:r>
      <w:r w:rsidR="00776CB3" w:rsidRPr="00776CB3">
        <w:rPr>
          <w:i/>
          <w:lang w:val="en-US"/>
        </w:rPr>
        <w:t>Mlung</w:t>
      </w:r>
      <w:r w:rsidR="00123E44">
        <w:rPr>
          <w:i/>
          <w:lang w:val="en-US"/>
        </w:rPr>
        <w:t>w</w:t>
      </w:r>
      <w:r w:rsidR="00776CB3" w:rsidRPr="00776CB3">
        <w:rPr>
          <w:i/>
          <w:lang w:val="en-US"/>
        </w:rPr>
        <w:t>ana</w:t>
      </w:r>
      <w:r w:rsidR="00936FDA" w:rsidRPr="00776CB3">
        <w:rPr>
          <w:i/>
          <w:lang w:val="en-US"/>
        </w:rPr>
        <w:t xml:space="preserve"> and Others v S and Another</w:t>
      </w:r>
      <w:r w:rsidR="00936FDA" w:rsidRPr="00936FDA">
        <w:rPr>
          <w:lang w:val="en-US"/>
        </w:rPr>
        <w:t xml:space="preserve"> (CCT32/18) [2018] ZACC 45; </w:t>
      </w:r>
      <w:r w:rsidR="00776CB3">
        <w:rPr>
          <w:lang w:val="en-US"/>
        </w:rPr>
        <w:t xml:space="preserve">Available at </w:t>
      </w:r>
      <w:hyperlink r:id="rId6" w:history="1">
        <w:r w:rsidR="00776CB3" w:rsidRPr="00035004">
          <w:rPr>
            <w:rStyle w:val="Hyperlink"/>
            <w:lang w:val="en-US"/>
          </w:rPr>
          <w:t>http://www.saflii.org/za/cases/ZACC/2018/45.html</w:t>
        </w:r>
      </w:hyperlink>
      <w:r w:rsidR="00776CB3">
        <w:rPr>
          <w:lang w:val="en-US"/>
        </w:rPr>
        <w:t xml:space="preserve"> . Accessed on 26 February 2019.</w:t>
      </w:r>
    </w:p>
  </w:footnote>
  <w:footnote w:id="22">
    <w:p w14:paraId="1B26B000" w14:textId="77777777" w:rsidR="00063138" w:rsidRPr="00063138" w:rsidRDefault="00063138">
      <w:pPr>
        <w:pStyle w:val="FootnoteText"/>
        <w:rPr>
          <w:lang w:val="en-US"/>
        </w:rPr>
      </w:pPr>
      <w:r>
        <w:rPr>
          <w:rStyle w:val="FootnoteReference"/>
        </w:rPr>
        <w:footnoteRef/>
      </w:r>
      <w:r>
        <w:t xml:space="preserve"> </w:t>
      </w:r>
      <w:r w:rsidRPr="00063138">
        <w:t>Communication No. 412/1990 UN Doc CCPR/C/50/D/412/1990 (1994) at para 9.2.</w:t>
      </w:r>
      <w:r>
        <w:t xml:space="preserve"> Available at </w:t>
      </w:r>
      <w:hyperlink r:id="rId7" w:history="1">
        <w:r w:rsidR="00A477B7" w:rsidRPr="00035004">
          <w:rPr>
            <w:rStyle w:val="Hyperlink"/>
          </w:rPr>
          <w:t>https://www.ohchr.org/Documents/Publications/SDecisionsVol5en.pdf</w:t>
        </w:r>
      </w:hyperlink>
      <w:r w:rsidR="00A477B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C4443"/>
    <w:multiLevelType w:val="hybridMultilevel"/>
    <w:tmpl w:val="21AAE50E"/>
    <w:lvl w:ilvl="0" w:tplc="CA28127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62406"/>
    <w:multiLevelType w:val="hybridMultilevel"/>
    <w:tmpl w:val="8B969484"/>
    <w:lvl w:ilvl="0" w:tplc="AECE96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66"/>
    <w:rsid w:val="00006073"/>
    <w:rsid w:val="00026662"/>
    <w:rsid w:val="00036166"/>
    <w:rsid w:val="00036CCC"/>
    <w:rsid w:val="00041985"/>
    <w:rsid w:val="0004206B"/>
    <w:rsid w:val="00063138"/>
    <w:rsid w:val="00074AD4"/>
    <w:rsid w:val="000800AF"/>
    <w:rsid w:val="000931C0"/>
    <w:rsid w:val="000B3723"/>
    <w:rsid w:val="000F101D"/>
    <w:rsid w:val="0010763E"/>
    <w:rsid w:val="00111ED5"/>
    <w:rsid w:val="001166D2"/>
    <w:rsid w:val="00123E44"/>
    <w:rsid w:val="00144A9E"/>
    <w:rsid w:val="00146D7D"/>
    <w:rsid w:val="00150AD0"/>
    <w:rsid w:val="00154707"/>
    <w:rsid w:val="00155068"/>
    <w:rsid w:val="00161CF0"/>
    <w:rsid w:val="001746FE"/>
    <w:rsid w:val="0018615C"/>
    <w:rsid w:val="0019024F"/>
    <w:rsid w:val="00197069"/>
    <w:rsid w:val="00197BBC"/>
    <w:rsid w:val="001A1B15"/>
    <w:rsid w:val="001A2DB0"/>
    <w:rsid w:val="001A6E24"/>
    <w:rsid w:val="001D2BFF"/>
    <w:rsid w:val="001E26A3"/>
    <w:rsid w:val="001E2E97"/>
    <w:rsid w:val="001E328A"/>
    <w:rsid w:val="001E75A2"/>
    <w:rsid w:val="00201E0E"/>
    <w:rsid w:val="00207C7F"/>
    <w:rsid w:val="00217A8F"/>
    <w:rsid w:val="002321E2"/>
    <w:rsid w:val="00253FAF"/>
    <w:rsid w:val="00283DC7"/>
    <w:rsid w:val="002A4CB6"/>
    <w:rsid w:val="002B2210"/>
    <w:rsid w:val="002C517A"/>
    <w:rsid w:val="002E0D19"/>
    <w:rsid w:val="002E5BD2"/>
    <w:rsid w:val="002F196D"/>
    <w:rsid w:val="002F36C3"/>
    <w:rsid w:val="002F63F8"/>
    <w:rsid w:val="00304912"/>
    <w:rsid w:val="00321EFD"/>
    <w:rsid w:val="00323535"/>
    <w:rsid w:val="00347D05"/>
    <w:rsid w:val="003611AD"/>
    <w:rsid w:val="00366365"/>
    <w:rsid w:val="00387F34"/>
    <w:rsid w:val="003A05DE"/>
    <w:rsid w:val="003A4B5B"/>
    <w:rsid w:val="003B5CB2"/>
    <w:rsid w:val="003C7EC5"/>
    <w:rsid w:val="003D573E"/>
    <w:rsid w:val="003E114E"/>
    <w:rsid w:val="003E1E5F"/>
    <w:rsid w:val="003F2B9F"/>
    <w:rsid w:val="0040399B"/>
    <w:rsid w:val="00405EDC"/>
    <w:rsid w:val="00406373"/>
    <w:rsid w:val="00413657"/>
    <w:rsid w:val="00431724"/>
    <w:rsid w:val="00446E1A"/>
    <w:rsid w:val="0046022C"/>
    <w:rsid w:val="00474995"/>
    <w:rsid w:val="00483FB4"/>
    <w:rsid w:val="004B3CF5"/>
    <w:rsid w:val="005466E0"/>
    <w:rsid w:val="005559E9"/>
    <w:rsid w:val="00580D46"/>
    <w:rsid w:val="005E0832"/>
    <w:rsid w:val="005F3612"/>
    <w:rsid w:val="00604CAD"/>
    <w:rsid w:val="00623686"/>
    <w:rsid w:val="0063263C"/>
    <w:rsid w:val="00634080"/>
    <w:rsid w:val="006429D4"/>
    <w:rsid w:val="00654286"/>
    <w:rsid w:val="00687A5C"/>
    <w:rsid w:val="006B55EC"/>
    <w:rsid w:val="006C095C"/>
    <w:rsid w:val="006C769C"/>
    <w:rsid w:val="006F1FF7"/>
    <w:rsid w:val="007013DD"/>
    <w:rsid w:val="00727040"/>
    <w:rsid w:val="00752156"/>
    <w:rsid w:val="0076682E"/>
    <w:rsid w:val="00776CB3"/>
    <w:rsid w:val="0077767D"/>
    <w:rsid w:val="007B0152"/>
    <w:rsid w:val="007B3E20"/>
    <w:rsid w:val="007B54A6"/>
    <w:rsid w:val="007B5930"/>
    <w:rsid w:val="007C3A5F"/>
    <w:rsid w:val="007F4439"/>
    <w:rsid w:val="008142E5"/>
    <w:rsid w:val="00815579"/>
    <w:rsid w:val="008443E0"/>
    <w:rsid w:val="00850E9B"/>
    <w:rsid w:val="00863052"/>
    <w:rsid w:val="00865C32"/>
    <w:rsid w:val="008B0977"/>
    <w:rsid w:val="008B6DCF"/>
    <w:rsid w:val="008D74B5"/>
    <w:rsid w:val="0091604C"/>
    <w:rsid w:val="00924F69"/>
    <w:rsid w:val="00936FDA"/>
    <w:rsid w:val="00973586"/>
    <w:rsid w:val="00997411"/>
    <w:rsid w:val="009A5364"/>
    <w:rsid w:val="009B7162"/>
    <w:rsid w:val="009C773F"/>
    <w:rsid w:val="009E6342"/>
    <w:rsid w:val="009F227A"/>
    <w:rsid w:val="00A00053"/>
    <w:rsid w:val="00A01894"/>
    <w:rsid w:val="00A01C4E"/>
    <w:rsid w:val="00A33A5E"/>
    <w:rsid w:val="00A409A1"/>
    <w:rsid w:val="00A477B7"/>
    <w:rsid w:val="00A81AF9"/>
    <w:rsid w:val="00A82FE8"/>
    <w:rsid w:val="00A93867"/>
    <w:rsid w:val="00A95BDA"/>
    <w:rsid w:val="00AB5B3E"/>
    <w:rsid w:val="00AC357A"/>
    <w:rsid w:val="00AC46E5"/>
    <w:rsid w:val="00AD5B82"/>
    <w:rsid w:val="00AD7E5F"/>
    <w:rsid w:val="00AE0CFD"/>
    <w:rsid w:val="00AE6F60"/>
    <w:rsid w:val="00AF7DDE"/>
    <w:rsid w:val="00B10990"/>
    <w:rsid w:val="00B34DCE"/>
    <w:rsid w:val="00B418E5"/>
    <w:rsid w:val="00B46BE4"/>
    <w:rsid w:val="00B73811"/>
    <w:rsid w:val="00B978E0"/>
    <w:rsid w:val="00BC2F64"/>
    <w:rsid w:val="00BE16F5"/>
    <w:rsid w:val="00C0727E"/>
    <w:rsid w:val="00C21E35"/>
    <w:rsid w:val="00C37723"/>
    <w:rsid w:val="00C46487"/>
    <w:rsid w:val="00C65052"/>
    <w:rsid w:val="00C75A0F"/>
    <w:rsid w:val="00C90DF7"/>
    <w:rsid w:val="00C9131A"/>
    <w:rsid w:val="00C97EB6"/>
    <w:rsid w:val="00CA3B76"/>
    <w:rsid w:val="00CB1422"/>
    <w:rsid w:val="00CB4478"/>
    <w:rsid w:val="00CD4CA9"/>
    <w:rsid w:val="00D1058E"/>
    <w:rsid w:val="00D23CB2"/>
    <w:rsid w:val="00D2525F"/>
    <w:rsid w:val="00D33C1F"/>
    <w:rsid w:val="00D37130"/>
    <w:rsid w:val="00D43335"/>
    <w:rsid w:val="00D53569"/>
    <w:rsid w:val="00D66DB8"/>
    <w:rsid w:val="00D75815"/>
    <w:rsid w:val="00D76A73"/>
    <w:rsid w:val="00D77F6F"/>
    <w:rsid w:val="00D9474D"/>
    <w:rsid w:val="00D97586"/>
    <w:rsid w:val="00DB1169"/>
    <w:rsid w:val="00DB1E31"/>
    <w:rsid w:val="00DC3D22"/>
    <w:rsid w:val="00DC53BE"/>
    <w:rsid w:val="00DF3DAA"/>
    <w:rsid w:val="00E228B3"/>
    <w:rsid w:val="00E619B5"/>
    <w:rsid w:val="00E77012"/>
    <w:rsid w:val="00EC1ED2"/>
    <w:rsid w:val="00F068A1"/>
    <w:rsid w:val="00F169DC"/>
    <w:rsid w:val="00F31DF7"/>
    <w:rsid w:val="00F419C2"/>
    <w:rsid w:val="00F41C45"/>
    <w:rsid w:val="00F50260"/>
    <w:rsid w:val="00F506E7"/>
    <w:rsid w:val="00F575DA"/>
    <w:rsid w:val="00F70D75"/>
    <w:rsid w:val="00F73B4B"/>
    <w:rsid w:val="00F7710D"/>
    <w:rsid w:val="00F83402"/>
    <w:rsid w:val="00F85D53"/>
    <w:rsid w:val="00F91C29"/>
    <w:rsid w:val="00FC3B34"/>
    <w:rsid w:val="00FD0430"/>
    <w:rsid w:val="00FD6D35"/>
    <w:rsid w:val="00FF45A2"/>
    <w:rsid w:val="00FF64D5"/>
    <w:rsid w:val="00FF6CCE"/>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B86E"/>
  <w15:chartTrackingRefBased/>
  <w15:docId w15:val="{F0B9C3D9-10F4-4B68-91D3-5103D4CA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E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36F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CCE"/>
  </w:style>
  <w:style w:type="paragraph" w:styleId="Footer">
    <w:name w:val="footer"/>
    <w:basedOn w:val="Normal"/>
    <w:link w:val="FooterChar"/>
    <w:uiPriority w:val="99"/>
    <w:unhideWhenUsed/>
    <w:rsid w:val="00FF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CCE"/>
  </w:style>
  <w:style w:type="paragraph" w:styleId="ListParagraph">
    <w:name w:val="List Paragraph"/>
    <w:basedOn w:val="Normal"/>
    <w:uiPriority w:val="34"/>
    <w:qFormat/>
    <w:rsid w:val="00406373"/>
    <w:pPr>
      <w:ind w:left="720"/>
      <w:contextualSpacing/>
    </w:pPr>
  </w:style>
  <w:style w:type="character" w:styleId="Hyperlink">
    <w:name w:val="Hyperlink"/>
    <w:basedOn w:val="DefaultParagraphFont"/>
    <w:uiPriority w:val="99"/>
    <w:unhideWhenUsed/>
    <w:rsid w:val="000F101D"/>
    <w:rPr>
      <w:color w:val="0563C1" w:themeColor="hyperlink"/>
      <w:u w:val="single"/>
    </w:rPr>
  </w:style>
  <w:style w:type="character" w:customStyle="1" w:styleId="UnresolvedMention1">
    <w:name w:val="Unresolved Mention1"/>
    <w:basedOn w:val="DefaultParagraphFont"/>
    <w:uiPriority w:val="99"/>
    <w:semiHidden/>
    <w:unhideWhenUsed/>
    <w:rsid w:val="000F101D"/>
    <w:rPr>
      <w:color w:val="605E5C"/>
      <w:shd w:val="clear" w:color="auto" w:fill="E1DFDD"/>
    </w:rPr>
  </w:style>
  <w:style w:type="paragraph" w:styleId="FootnoteText">
    <w:name w:val="footnote text"/>
    <w:basedOn w:val="Normal"/>
    <w:link w:val="FootnoteTextChar"/>
    <w:uiPriority w:val="99"/>
    <w:semiHidden/>
    <w:unhideWhenUsed/>
    <w:rsid w:val="00B73811"/>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B73811"/>
    <w:rPr>
      <w:sz w:val="20"/>
      <w:szCs w:val="20"/>
      <w:lang w:val="en-ZA"/>
    </w:rPr>
  </w:style>
  <w:style w:type="character" w:styleId="FootnoteReference">
    <w:name w:val="footnote reference"/>
    <w:basedOn w:val="DefaultParagraphFont"/>
    <w:uiPriority w:val="99"/>
    <w:semiHidden/>
    <w:unhideWhenUsed/>
    <w:rsid w:val="00B73811"/>
    <w:rPr>
      <w:vertAlign w:val="superscript"/>
    </w:rPr>
  </w:style>
  <w:style w:type="character" w:styleId="FollowedHyperlink">
    <w:name w:val="FollowedHyperlink"/>
    <w:basedOn w:val="DefaultParagraphFont"/>
    <w:uiPriority w:val="99"/>
    <w:semiHidden/>
    <w:unhideWhenUsed/>
    <w:rsid w:val="004B3CF5"/>
    <w:rPr>
      <w:color w:val="954F72" w:themeColor="followedHyperlink"/>
      <w:u w:val="single"/>
    </w:rPr>
  </w:style>
  <w:style w:type="character" w:customStyle="1" w:styleId="Heading2Char">
    <w:name w:val="Heading 2 Char"/>
    <w:basedOn w:val="DefaultParagraphFont"/>
    <w:link w:val="Heading2"/>
    <w:uiPriority w:val="9"/>
    <w:semiHidden/>
    <w:rsid w:val="00936FD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1604C"/>
    <w:rPr>
      <w:sz w:val="16"/>
      <w:szCs w:val="16"/>
    </w:rPr>
  </w:style>
  <w:style w:type="paragraph" w:styleId="CommentText">
    <w:name w:val="annotation text"/>
    <w:basedOn w:val="Normal"/>
    <w:link w:val="CommentTextChar"/>
    <w:uiPriority w:val="99"/>
    <w:semiHidden/>
    <w:unhideWhenUsed/>
    <w:rsid w:val="0091604C"/>
    <w:pPr>
      <w:spacing w:line="240" w:lineRule="auto"/>
    </w:pPr>
    <w:rPr>
      <w:sz w:val="20"/>
      <w:szCs w:val="20"/>
    </w:rPr>
  </w:style>
  <w:style w:type="character" w:customStyle="1" w:styleId="CommentTextChar">
    <w:name w:val="Comment Text Char"/>
    <w:basedOn w:val="DefaultParagraphFont"/>
    <w:link w:val="CommentText"/>
    <w:uiPriority w:val="99"/>
    <w:semiHidden/>
    <w:rsid w:val="0091604C"/>
    <w:rPr>
      <w:sz w:val="20"/>
      <w:szCs w:val="20"/>
    </w:rPr>
  </w:style>
  <w:style w:type="paragraph" w:styleId="CommentSubject">
    <w:name w:val="annotation subject"/>
    <w:basedOn w:val="CommentText"/>
    <w:next w:val="CommentText"/>
    <w:link w:val="CommentSubjectChar"/>
    <w:uiPriority w:val="99"/>
    <w:semiHidden/>
    <w:unhideWhenUsed/>
    <w:rsid w:val="0091604C"/>
    <w:rPr>
      <w:b/>
      <w:bCs/>
    </w:rPr>
  </w:style>
  <w:style w:type="character" w:customStyle="1" w:styleId="CommentSubjectChar">
    <w:name w:val="Comment Subject Char"/>
    <w:basedOn w:val="CommentTextChar"/>
    <w:link w:val="CommentSubject"/>
    <w:uiPriority w:val="99"/>
    <w:semiHidden/>
    <w:rsid w:val="0091604C"/>
    <w:rPr>
      <w:b/>
      <w:bCs/>
      <w:sz w:val="20"/>
      <w:szCs w:val="20"/>
    </w:rPr>
  </w:style>
  <w:style w:type="paragraph" w:styleId="BalloonText">
    <w:name w:val="Balloon Text"/>
    <w:basedOn w:val="Normal"/>
    <w:link w:val="BalloonTextChar"/>
    <w:uiPriority w:val="99"/>
    <w:semiHidden/>
    <w:unhideWhenUsed/>
    <w:rsid w:val="0091604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04C"/>
    <w:rPr>
      <w:rFonts w:ascii="Times New Roman" w:hAnsi="Times New Roman" w:cs="Times New Roman"/>
      <w:sz w:val="18"/>
      <w:szCs w:val="18"/>
    </w:rPr>
  </w:style>
  <w:style w:type="character" w:customStyle="1" w:styleId="Heading1Char">
    <w:name w:val="Heading 1 Char"/>
    <w:basedOn w:val="DefaultParagraphFont"/>
    <w:link w:val="Heading1"/>
    <w:uiPriority w:val="9"/>
    <w:rsid w:val="001E2E97"/>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25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0330">
      <w:bodyDiv w:val="1"/>
      <w:marLeft w:val="0"/>
      <w:marRight w:val="0"/>
      <w:marTop w:val="0"/>
      <w:marBottom w:val="0"/>
      <w:divBdr>
        <w:top w:val="none" w:sz="0" w:space="0" w:color="auto"/>
        <w:left w:val="none" w:sz="0" w:space="0" w:color="auto"/>
        <w:bottom w:val="none" w:sz="0" w:space="0" w:color="auto"/>
        <w:right w:val="none" w:sz="0" w:space="0" w:color="auto"/>
      </w:divBdr>
    </w:div>
    <w:div w:id="232206446">
      <w:bodyDiv w:val="1"/>
      <w:marLeft w:val="0"/>
      <w:marRight w:val="0"/>
      <w:marTop w:val="0"/>
      <w:marBottom w:val="0"/>
      <w:divBdr>
        <w:top w:val="none" w:sz="0" w:space="0" w:color="auto"/>
        <w:left w:val="none" w:sz="0" w:space="0" w:color="auto"/>
        <w:bottom w:val="none" w:sz="0" w:space="0" w:color="auto"/>
        <w:right w:val="none" w:sz="0" w:space="0" w:color="auto"/>
      </w:divBdr>
    </w:div>
    <w:div w:id="245767676">
      <w:bodyDiv w:val="1"/>
      <w:marLeft w:val="0"/>
      <w:marRight w:val="0"/>
      <w:marTop w:val="0"/>
      <w:marBottom w:val="0"/>
      <w:divBdr>
        <w:top w:val="none" w:sz="0" w:space="0" w:color="auto"/>
        <w:left w:val="none" w:sz="0" w:space="0" w:color="auto"/>
        <w:bottom w:val="none" w:sz="0" w:space="0" w:color="auto"/>
        <w:right w:val="none" w:sz="0" w:space="0" w:color="auto"/>
      </w:divBdr>
    </w:div>
    <w:div w:id="265040960">
      <w:bodyDiv w:val="1"/>
      <w:marLeft w:val="0"/>
      <w:marRight w:val="0"/>
      <w:marTop w:val="0"/>
      <w:marBottom w:val="0"/>
      <w:divBdr>
        <w:top w:val="none" w:sz="0" w:space="0" w:color="auto"/>
        <w:left w:val="none" w:sz="0" w:space="0" w:color="auto"/>
        <w:bottom w:val="none" w:sz="0" w:space="0" w:color="auto"/>
        <w:right w:val="none" w:sz="0" w:space="0" w:color="auto"/>
      </w:divBdr>
    </w:div>
    <w:div w:id="338310659">
      <w:bodyDiv w:val="1"/>
      <w:marLeft w:val="0"/>
      <w:marRight w:val="0"/>
      <w:marTop w:val="0"/>
      <w:marBottom w:val="0"/>
      <w:divBdr>
        <w:top w:val="none" w:sz="0" w:space="0" w:color="auto"/>
        <w:left w:val="none" w:sz="0" w:space="0" w:color="auto"/>
        <w:bottom w:val="none" w:sz="0" w:space="0" w:color="auto"/>
        <w:right w:val="none" w:sz="0" w:space="0" w:color="auto"/>
      </w:divBdr>
    </w:div>
    <w:div w:id="521282781">
      <w:bodyDiv w:val="1"/>
      <w:marLeft w:val="0"/>
      <w:marRight w:val="0"/>
      <w:marTop w:val="0"/>
      <w:marBottom w:val="0"/>
      <w:divBdr>
        <w:top w:val="none" w:sz="0" w:space="0" w:color="auto"/>
        <w:left w:val="none" w:sz="0" w:space="0" w:color="auto"/>
        <w:bottom w:val="none" w:sz="0" w:space="0" w:color="auto"/>
        <w:right w:val="none" w:sz="0" w:space="0" w:color="auto"/>
      </w:divBdr>
      <w:divsChild>
        <w:div w:id="1928922233">
          <w:marLeft w:val="0"/>
          <w:marRight w:val="0"/>
          <w:marTop w:val="0"/>
          <w:marBottom w:val="0"/>
          <w:divBdr>
            <w:top w:val="none" w:sz="0" w:space="0" w:color="auto"/>
            <w:left w:val="none" w:sz="0" w:space="0" w:color="auto"/>
            <w:bottom w:val="none" w:sz="0" w:space="0" w:color="auto"/>
            <w:right w:val="none" w:sz="0" w:space="0" w:color="auto"/>
          </w:divBdr>
        </w:div>
      </w:divsChild>
    </w:div>
    <w:div w:id="1193108277">
      <w:bodyDiv w:val="1"/>
      <w:marLeft w:val="0"/>
      <w:marRight w:val="0"/>
      <w:marTop w:val="0"/>
      <w:marBottom w:val="0"/>
      <w:divBdr>
        <w:top w:val="none" w:sz="0" w:space="0" w:color="auto"/>
        <w:left w:val="none" w:sz="0" w:space="0" w:color="auto"/>
        <w:bottom w:val="none" w:sz="0" w:space="0" w:color="auto"/>
        <w:right w:val="none" w:sz="0" w:space="0" w:color="auto"/>
      </w:divBdr>
    </w:div>
    <w:div w:id="1291476465">
      <w:bodyDiv w:val="1"/>
      <w:marLeft w:val="0"/>
      <w:marRight w:val="0"/>
      <w:marTop w:val="0"/>
      <w:marBottom w:val="0"/>
      <w:divBdr>
        <w:top w:val="none" w:sz="0" w:space="0" w:color="auto"/>
        <w:left w:val="none" w:sz="0" w:space="0" w:color="auto"/>
        <w:bottom w:val="none" w:sz="0" w:space="0" w:color="auto"/>
        <w:right w:val="none" w:sz="0" w:space="0" w:color="auto"/>
      </w:divBdr>
    </w:div>
    <w:div w:id="208896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pr@ohchr.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chpr.org/files/sessions/24th/comunications/137.94-139.94-154.96-161.97/achpr24_137.94_139.94_154.96_161.97_eng.pdf" TargetMode="External"/><Relationship Id="rId7" Type="http://schemas.openxmlformats.org/officeDocument/2006/relationships/hyperlink" Target="https://www.ohchr.org/Documents/Publications/SDecisionsVol5en.pdf" TargetMode="External"/><Relationship Id="rId2" Type="http://schemas.openxmlformats.org/officeDocument/2006/relationships/hyperlink" Target="http://www.achpr.org/files/instruments/freedom-association-assembly/guidelines_on_freedom_of_association_and_assembly_in_africa_eng.pdf" TargetMode="External"/><Relationship Id="rId1" Type="http://schemas.openxmlformats.org/officeDocument/2006/relationships/hyperlink" Target="http://www.saflii.org/za/cases/ZACC/2012/13.pdf" TargetMode="External"/><Relationship Id="rId6" Type="http://schemas.openxmlformats.org/officeDocument/2006/relationships/hyperlink" Target="http://www.saflii.org/za/cases/ZACC/2018/45.html" TargetMode="External"/><Relationship Id="rId5" Type="http://schemas.openxmlformats.org/officeDocument/2006/relationships/hyperlink" Target="http://www.achpr.org/files/instruments/freedom-association-assembly/guidelines_on_freedom_of_association_and_assembly_in_africa_eng.pdf" TargetMode="External"/><Relationship Id="rId4" Type="http://schemas.openxmlformats.org/officeDocument/2006/relationships/hyperlink" Target="http://www.kenyalaw.org/lex/actview.xql?actid=CAP.%2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C7F42B-9D79-5644-B557-5DB7E3E2F0FF}">
  <ds:schemaRefs>
    <ds:schemaRef ds:uri="http://schemas.openxmlformats.org/officeDocument/2006/bibliography"/>
  </ds:schemaRefs>
</ds:datastoreItem>
</file>

<file path=customXml/itemProps2.xml><?xml version="1.0" encoding="utf-8"?>
<ds:datastoreItem xmlns:ds="http://schemas.openxmlformats.org/officeDocument/2006/customXml" ds:itemID="{4DBA93D0-E65B-479A-A10F-500202B8F364}"/>
</file>

<file path=customXml/itemProps3.xml><?xml version="1.0" encoding="utf-8"?>
<ds:datastoreItem xmlns:ds="http://schemas.openxmlformats.org/officeDocument/2006/customXml" ds:itemID="{9D5DC003-8B1C-4001-A43B-9B196F42A6AF}"/>
</file>

<file path=customXml/itemProps4.xml><?xml version="1.0" encoding="utf-8"?>
<ds:datastoreItem xmlns:ds="http://schemas.openxmlformats.org/officeDocument/2006/customXml" ds:itemID="{84CB2D08-6723-4053-8F79-BA8699EFADD2}"/>
</file>

<file path=docProps/app.xml><?xml version="1.0" encoding="utf-8"?>
<Properties xmlns="http://schemas.openxmlformats.org/officeDocument/2006/extended-properties" xmlns:vt="http://schemas.openxmlformats.org/officeDocument/2006/docPropsVTypes">
  <Template>Normal.dotm</Template>
  <TotalTime>18</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dc:creator>
  <cp:keywords/>
  <dc:description/>
  <cp:lastModifiedBy>Microsoft Office User</cp:lastModifiedBy>
  <cp:revision>8</cp:revision>
  <cp:lastPrinted>2019-03-05T14:39:00Z</cp:lastPrinted>
  <dcterms:created xsi:type="dcterms:W3CDTF">2019-03-11T07:47:00Z</dcterms:created>
  <dcterms:modified xsi:type="dcterms:W3CDTF">2019-03-11T08:11:00Z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