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E4F57" w14:textId="00CC4A42" w:rsidR="004D030A" w:rsidRPr="00B46D91" w:rsidRDefault="004D030A" w:rsidP="00125584">
      <w:pPr>
        <w:pStyle w:val="NormalWeb"/>
        <w:jc w:val="center"/>
        <w:rPr>
          <w:rFonts w:ascii="Calibri" w:hAnsi="Calibri" w:cs="Arial"/>
          <w:b/>
          <w:sz w:val="26"/>
          <w:szCs w:val="26"/>
          <w:lang w:val="en-GB"/>
        </w:rPr>
      </w:pPr>
      <w:r w:rsidRPr="00B46D91">
        <w:rPr>
          <w:rFonts w:ascii="Calibri" w:hAnsi="Calibri" w:cs="Arial"/>
          <w:b/>
          <w:sz w:val="26"/>
          <w:szCs w:val="26"/>
          <w:lang w:val="en-GB"/>
        </w:rPr>
        <w:t>Written comme</w:t>
      </w:r>
      <w:r w:rsidR="00125584">
        <w:rPr>
          <w:rFonts w:ascii="Calibri" w:hAnsi="Calibri" w:cs="Arial"/>
          <w:b/>
          <w:sz w:val="26"/>
          <w:szCs w:val="26"/>
          <w:lang w:val="en-GB"/>
        </w:rPr>
        <w:t xml:space="preserve">nts of Greenpeace International </w:t>
      </w:r>
      <w:r w:rsidRPr="00B46D91">
        <w:rPr>
          <w:rFonts w:ascii="Calibri" w:hAnsi="Calibri" w:cs="Arial"/>
          <w:b/>
          <w:sz w:val="26"/>
          <w:szCs w:val="26"/>
          <w:lang w:val="en-GB"/>
        </w:rPr>
        <w:t xml:space="preserve">regarding a future </w:t>
      </w:r>
      <w:r w:rsidR="00125584">
        <w:rPr>
          <w:rFonts w:ascii="Calibri" w:hAnsi="Calibri" w:cs="Arial"/>
          <w:b/>
          <w:sz w:val="26"/>
          <w:szCs w:val="26"/>
          <w:lang w:val="en-GB"/>
        </w:rPr>
        <w:br/>
      </w:r>
      <w:r w:rsidRPr="00B46D91">
        <w:rPr>
          <w:rFonts w:ascii="Calibri" w:hAnsi="Calibri" w:cs="Arial"/>
          <w:b/>
          <w:sz w:val="26"/>
          <w:szCs w:val="26"/>
          <w:lang w:val="en-GB"/>
        </w:rPr>
        <w:t>General Comment on Article 21 of the ICCPR</w:t>
      </w:r>
      <w:r w:rsidR="00C07D20" w:rsidRPr="00B46D91">
        <w:rPr>
          <w:rFonts w:ascii="Calibri" w:hAnsi="Calibri" w:cs="Arial"/>
          <w:b/>
          <w:sz w:val="26"/>
          <w:szCs w:val="26"/>
          <w:lang w:val="en-GB"/>
        </w:rPr>
        <w:t xml:space="preserve"> (freedom of peaceful assembly)</w:t>
      </w:r>
    </w:p>
    <w:p w14:paraId="73AE367A" w14:textId="7DF01374" w:rsidR="00F75CE1" w:rsidRPr="00B46D91" w:rsidRDefault="00F75CE1" w:rsidP="004B1527">
      <w:pPr>
        <w:pStyle w:val="NormalWeb"/>
        <w:jc w:val="center"/>
        <w:rPr>
          <w:rFonts w:asciiTheme="majorHAnsi" w:hAnsiTheme="majorHAnsi" w:cs="Arial"/>
          <w:b/>
          <w:sz w:val="22"/>
          <w:szCs w:val="22"/>
          <w:lang w:val="en-GB"/>
        </w:rPr>
      </w:pPr>
      <w:r w:rsidRPr="00B46D91">
        <w:rPr>
          <w:rFonts w:asciiTheme="majorHAnsi" w:hAnsiTheme="majorHAnsi" w:cs="Arial"/>
          <w:b/>
          <w:sz w:val="22"/>
          <w:szCs w:val="22"/>
          <w:lang w:val="en-GB"/>
        </w:rPr>
        <w:t>4 March 2019</w:t>
      </w:r>
    </w:p>
    <w:p w14:paraId="56296706" w14:textId="42EA9383" w:rsidR="002C311D" w:rsidRPr="00B46D91" w:rsidRDefault="00E63DB4" w:rsidP="000842C6">
      <w:pPr>
        <w:pStyle w:val="NormalWeb"/>
        <w:rPr>
          <w:rFonts w:asciiTheme="majorHAnsi" w:hAnsiTheme="majorHAnsi" w:cs="Arial"/>
          <w:sz w:val="22"/>
          <w:szCs w:val="22"/>
          <w:lang w:val="en-GB"/>
        </w:rPr>
      </w:pPr>
      <w:r>
        <w:rPr>
          <w:rFonts w:asciiTheme="majorHAnsi" w:hAnsiTheme="majorHAnsi" w:cs="Arial"/>
          <w:i/>
          <w:sz w:val="22"/>
          <w:szCs w:val="22"/>
          <w:lang w:val="en-GB"/>
        </w:rPr>
        <w:t>Contact person: Daniel Simons, Legal Counsel, daniel.simons@greenpeace.org</w:t>
      </w:r>
      <w:r>
        <w:rPr>
          <w:rFonts w:asciiTheme="majorHAnsi" w:hAnsiTheme="majorHAnsi" w:cs="Arial"/>
          <w:sz w:val="22"/>
          <w:szCs w:val="22"/>
          <w:lang w:val="en-GB"/>
        </w:rPr>
        <w:br/>
      </w:r>
      <w:r>
        <w:rPr>
          <w:rFonts w:asciiTheme="majorHAnsi" w:hAnsiTheme="majorHAnsi" w:cs="Arial"/>
          <w:sz w:val="22"/>
          <w:szCs w:val="22"/>
          <w:lang w:val="en-GB"/>
        </w:rPr>
        <w:br/>
      </w:r>
      <w:r w:rsidR="00F75CE1" w:rsidRPr="00B46D91">
        <w:rPr>
          <w:rFonts w:asciiTheme="majorHAnsi" w:hAnsiTheme="majorHAnsi" w:cs="Arial"/>
          <w:sz w:val="22"/>
          <w:szCs w:val="22"/>
          <w:lang w:val="en-GB"/>
        </w:rPr>
        <w:t>Greenpeace International</w:t>
      </w:r>
      <w:r w:rsidR="00975FDD" w:rsidRPr="00B46D91">
        <w:rPr>
          <w:rFonts w:asciiTheme="majorHAnsi" w:hAnsiTheme="majorHAnsi" w:cs="Arial"/>
          <w:sz w:val="22"/>
          <w:szCs w:val="22"/>
          <w:lang w:val="en-GB"/>
        </w:rPr>
        <w:t xml:space="preserve"> (GPI)</w:t>
      </w:r>
      <w:r w:rsidR="007502ED" w:rsidRPr="00B46D91">
        <w:rPr>
          <w:rFonts w:asciiTheme="majorHAnsi" w:hAnsiTheme="majorHAnsi" w:cs="Arial"/>
          <w:sz w:val="22"/>
          <w:szCs w:val="22"/>
          <w:lang w:val="en-GB"/>
        </w:rPr>
        <w:t xml:space="preserve"> </w:t>
      </w:r>
      <w:r w:rsidR="00F75CE1" w:rsidRPr="00B46D91">
        <w:rPr>
          <w:rFonts w:asciiTheme="majorHAnsi" w:hAnsiTheme="majorHAnsi" w:cs="Arial"/>
          <w:sz w:val="22"/>
          <w:szCs w:val="22"/>
          <w:lang w:val="en-GB"/>
        </w:rPr>
        <w:t xml:space="preserve">welcomes the UN Human Rights Committee’s </w:t>
      </w:r>
      <w:r w:rsidR="004B1527" w:rsidRPr="00B46D91">
        <w:rPr>
          <w:rFonts w:asciiTheme="majorHAnsi" w:hAnsiTheme="majorHAnsi" w:cs="Arial"/>
          <w:sz w:val="22"/>
          <w:szCs w:val="22"/>
          <w:lang w:val="en-GB"/>
        </w:rPr>
        <w:t xml:space="preserve">decision to develop </w:t>
      </w:r>
      <w:r w:rsidR="004D030A" w:rsidRPr="00B46D91">
        <w:rPr>
          <w:rFonts w:asciiTheme="majorHAnsi" w:hAnsiTheme="majorHAnsi" w:cs="Arial"/>
          <w:sz w:val="22"/>
          <w:szCs w:val="22"/>
          <w:lang w:val="en-GB"/>
        </w:rPr>
        <w:t>a General C</w:t>
      </w:r>
      <w:r w:rsidR="004B1527" w:rsidRPr="00B46D91">
        <w:rPr>
          <w:rFonts w:asciiTheme="majorHAnsi" w:hAnsiTheme="majorHAnsi" w:cs="Arial"/>
          <w:sz w:val="22"/>
          <w:szCs w:val="22"/>
          <w:lang w:val="en-GB"/>
        </w:rPr>
        <w:t>omment on A</w:t>
      </w:r>
      <w:r w:rsidR="004D030A" w:rsidRPr="00B46D91">
        <w:rPr>
          <w:rFonts w:asciiTheme="majorHAnsi" w:hAnsiTheme="majorHAnsi" w:cs="Arial"/>
          <w:sz w:val="22"/>
          <w:szCs w:val="22"/>
          <w:lang w:val="en-GB"/>
        </w:rPr>
        <w:t>rticle 21 of the International Covenant on Civil and Political Rights</w:t>
      </w:r>
      <w:r w:rsidR="004B1527" w:rsidRPr="00B46D91">
        <w:rPr>
          <w:rFonts w:asciiTheme="majorHAnsi" w:hAnsiTheme="majorHAnsi" w:cs="Arial"/>
          <w:sz w:val="22"/>
          <w:szCs w:val="22"/>
          <w:lang w:val="en-GB"/>
        </w:rPr>
        <w:t xml:space="preserve"> (ICCPR</w:t>
      </w:r>
      <w:r w:rsidR="002C311D" w:rsidRPr="00B46D91">
        <w:rPr>
          <w:rFonts w:asciiTheme="majorHAnsi" w:hAnsiTheme="majorHAnsi" w:cs="Arial"/>
          <w:sz w:val="22"/>
          <w:szCs w:val="22"/>
          <w:lang w:val="en-GB"/>
        </w:rPr>
        <w:t>), as well as the helpful preparatory Note prepared by the Rapporteur.</w:t>
      </w:r>
    </w:p>
    <w:p w14:paraId="780B4F9E" w14:textId="259D932E" w:rsidR="008E7F19" w:rsidRPr="00B46D91" w:rsidRDefault="00C55B07" w:rsidP="00C956F3">
      <w:pPr>
        <w:pStyle w:val="NormalWeb"/>
        <w:rPr>
          <w:rFonts w:asciiTheme="majorHAnsi" w:hAnsiTheme="majorHAnsi" w:cs="Arial"/>
          <w:sz w:val="22"/>
          <w:szCs w:val="22"/>
          <w:lang w:val="en-GB"/>
        </w:rPr>
      </w:pPr>
      <w:r w:rsidRPr="00B46D91">
        <w:rPr>
          <w:rFonts w:asciiTheme="majorHAnsi" w:hAnsiTheme="majorHAnsi" w:cs="Arial"/>
          <w:sz w:val="22"/>
          <w:szCs w:val="22"/>
          <w:lang w:val="en-GB"/>
        </w:rPr>
        <w:t>In this submission</w:t>
      </w:r>
      <w:r w:rsidR="007502ED" w:rsidRPr="00B46D91">
        <w:rPr>
          <w:rFonts w:asciiTheme="majorHAnsi" w:hAnsiTheme="majorHAnsi" w:cs="Arial"/>
          <w:sz w:val="22"/>
          <w:szCs w:val="22"/>
          <w:lang w:val="en-GB"/>
        </w:rPr>
        <w:t xml:space="preserve">, we </w:t>
      </w:r>
      <w:r w:rsidR="008E7F19" w:rsidRPr="00B46D91">
        <w:rPr>
          <w:rFonts w:asciiTheme="majorHAnsi" w:hAnsiTheme="majorHAnsi" w:cs="Arial"/>
          <w:sz w:val="22"/>
          <w:szCs w:val="22"/>
          <w:lang w:val="en-GB"/>
        </w:rPr>
        <w:t>respond to</w:t>
      </w:r>
      <w:r w:rsidRPr="00B46D91">
        <w:rPr>
          <w:rFonts w:asciiTheme="majorHAnsi" w:hAnsiTheme="majorHAnsi" w:cs="Arial"/>
          <w:sz w:val="22"/>
          <w:szCs w:val="22"/>
          <w:lang w:val="en-GB"/>
        </w:rPr>
        <w:t xml:space="preserve"> a number of </w:t>
      </w:r>
      <w:r w:rsidR="00EC3516" w:rsidRPr="00B46D91">
        <w:rPr>
          <w:rFonts w:asciiTheme="majorHAnsi" w:hAnsiTheme="majorHAnsi" w:cs="Arial"/>
          <w:sz w:val="22"/>
          <w:szCs w:val="22"/>
          <w:lang w:val="en-GB"/>
        </w:rPr>
        <w:t xml:space="preserve">the </w:t>
      </w:r>
      <w:r w:rsidRPr="00B46D91">
        <w:rPr>
          <w:rFonts w:asciiTheme="majorHAnsi" w:hAnsiTheme="majorHAnsi" w:cs="Arial"/>
          <w:sz w:val="22"/>
          <w:szCs w:val="22"/>
          <w:lang w:val="en-GB"/>
        </w:rPr>
        <w:t xml:space="preserve">questions raised in the </w:t>
      </w:r>
      <w:r w:rsidR="00BD3A48" w:rsidRPr="00B46D91">
        <w:rPr>
          <w:rFonts w:asciiTheme="majorHAnsi" w:hAnsiTheme="majorHAnsi" w:cs="Arial"/>
          <w:sz w:val="22"/>
          <w:szCs w:val="22"/>
          <w:lang w:val="en-GB"/>
        </w:rPr>
        <w:t xml:space="preserve">Note. </w:t>
      </w:r>
      <w:r w:rsidR="00645041" w:rsidRPr="00B46D91">
        <w:rPr>
          <w:rFonts w:asciiTheme="majorHAnsi" w:hAnsiTheme="majorHAnsi" w:cs="Arial"/>
          <w:sz w:val="22"/>
          <w:szCs w:val="22"/>
          <w:lang w:val="en-GB"/>
        </w:rPr>
        <w:t xml:space="preserve">Furthermore, </w:t>
      </w:r>
      <w:r w:rsidR="00BD3A48" w:rsidRPr="00B46D91">
        <w:rPr>
          <w:rFonts w:asciiTheme="majorHAnsi" w:hAnsiTheme="majorHAnsi" w:cs="Arial"/>
          <w:sz w:val="22"/>
          <w:szCs w:val="22"/>
          <w:lang w:val="en-GB"/>
        </w:rPr>
        <w:t>we act</w:t>
      </w:r>
      <w:r w:rsidR="00C956F3" w:rsidRPr="00B46D91">
        <w:rPr>
          <w:rFonts w:asciiTheme="majorHAnsi" w:hAnsiTheme="majorHAnsi" w:cs="Arial"/>
          <w:sz w:val="22"/>
          <w:szCs w:val="22"/>
          <w:lang w:val="en-GB"/>
        </w:rPr>
        <w:t xml:space="preserve"> on the Committee’s invitation to draw attention to aspects not listed in the Note</w:t>
      </w:r>
      <w:r w:rsidR="008E7F19" w:rsidRPr="00B46D91">
        <w:rPr>
          <w:rFonts w:asciiTheme="majorHAnsi" w:hAnsiTheme="majorHAnsi" w:cs="Arial"/>
          <w:sz w:val="22"/>
          <w:szCs w:val="22"/>
          <w:lang w:val="en-GB"/>
        </w:rPr>
        <w:t xml:space="preserve">. </w:t>
      </w:r>
    </w:p>
    <w:p w14:paraId="216DFC5B" w14:textId="64CD21FB" w:rsidR="00F344E1" w:rsidRPr="00B46D91" w:rsidRDefault="00F344E1" w:rsidP="00F344E1">
      <w:pPr>
        <w:pStyle w:val="NormalWeb"/>
        <w:pBdr>
          <w:top w:val="single" w:sz="4" w:space="1" w:color="auto"/>
          <w:left w:val="single" w:sz="4" w:space="4" w:color="auto"/>
          <w:bottom w:val="single" w:sz="4" w:space="1" w:color="auto"/>
          <w:right w:val="single" w:sz="4" w:space="4" w:color="auto"/>
        </w:pBdr>
        <w:jc w:val="center"/>
        <w:rPr>
          <w:rFonts w:asciiTheme="majorHAnsi" w:hAnsiTheme="majorHAnsi" w:cs="Arial"/>
          <w:b/>
          <w:sz w:val="22"/>
          <w:szCs w:val="22"/>
          <w:lang w:val="en-GB"/>
        </w:rPr>
      </w:pPr>
      <w:r w:rsidRPr="00B46D91">
        <w:rPr>
          <w:rFonts w:asciiTheme="majorHAnsi" w:hAnsiTheme="majorHAnsi" w:cs="Arial"/>
          <w:b/>
          <w:sz w:val="22"/>
          <w:szCs w:val="22"/>
          <w:lang w:val="en-GB"/>
        </w:rPr>
        <w:t>Summary of submissions</w:t>
      </w:r>
    </w:p>
    <w:p w14:paraId="564D0BDE" w14:textId="55379281" w:rsidR="00F344E1" w:rsidRPr="00B46D91" w:rsidRDefault="000769C7" w:rsidP="00F344E1">
      <w:pPr>
        <w:pStyle w:val="NormalWeb"/>
        <w:numPr>
          <w:ilvl w:val="0"/>
          <w:numId w:val="5"/>
        </w:numPr>
        <w:pBdr>
          <w:top w:val="single" w:sz="4" w:space="1" w:color="auto"/>
          <w:left w:val="single" w:sz="4" w:space="4" w:color="auto"/>
          <w:bottom w:val="single" w:sz="4" w:space="1" w:color="auto"/>
          <w:right w:val="single" w:sz="4" w:space="4" w:color="auto"/>
        </w:pBdr>
        <w:rPr>
          <w:rFonts w:asciiTheme="majorHAnsi" w:hAnsiTheme="majorHAnsi" w:cs="Arial"/>
          <w:b/>
          <w:sz w:val="22"/>
          <w:szCs w:val="22"/>
          <w:lang w:val="en-GB"/>
        </w:rPr>
      </w:pPr>
      <w:r>
        <w:rPr>
          <w:rFonts w:asciiTheme="majorHAnsi" w:hAnsiTheme="majorHAnsi" w:cs="Arial"/>
          <w:sz w:val="22"/>
          <w:szCs w:val="22"/>
          <w:lang w:val="en-GB"/>
        </w:rPr>
        <w:t>The right should extend to peace</w:t>
      </w:r>
      <w:r w:rsidR="00552974">
        <w:rPr>
          <w:rFonts w:asciiTheme="majorHAnsi" w:hAnsiTheme="majorHAnsi" w:cs="Arial"/>
          <w:sz w:val="22"/>
          <w:szCs w:val="22"/>
          <w:lang w:val="en-GB"/>
        </w:rPr>
        <w:t>ful assemblies that take place i</w:t>
      </w:r>
      <w:r>
        <w:rPr>
          <w:rFonts w:asciiTheme="majorHAnsi" w:hAnsiTheme="majorHAnsi" w:cs="Arial"/>
          <w:sz w:val="22"/>
          <w:szCs w:val="22"/>
          <w:lang w:val="en-GB"/>
        </w:rPr>
        <w:t xml:space="preserve">n private as well as </w:t>
      </w:r>
      <w:r w:rsidR="00552974">
        <w:rPr>
          <w:rFonts w:asciiTheme="majorHAnsi" w:hAnsiTheme="majorHAnsi" w:cs="Arial"/>
          <w:sz w:val="22"/>
          <w:szCs w:val="22"/>
          <w:lang w:val="en-GB"/>
        </w:rPr>
        <w:t>in public</w:t>
      </w:r>
      <w:r>
        <w:rPr>
          <w:rFonts w:asciiTheme="majorHAnsi" w:hAnsiTheme="majorHAnsi" w:cs="Arial"/>
          <w:sz w:val="22"/>
          <w:szCs w:val="22"/>
          <w:lang w:val="en-GB"/>
        </w:rPr>
        <w:t>.</w:t>
      </w:r>
      <w:r w:rsidR="001260AB">
        <w:rPr>
          <w:rFonts w:asciiTheme="majorHAnsi" w:hAnsiTheme="majorHAnsi" w:cs="Arial"/>
          <w:sz w:val="22"/>
          <w:szCs w:val="22"/>
          <w:lang w:val="en-GB"/>
        </w:rPr>
        <w:br/>
      </w:r>
    </w:p>
    <w:p w14:paraId="1376F977" w14:textId="4FFC509B" w:rsidR="00F344E1" w:rsidRPr="002352B6" w:rsidRDefault="001A2139" w:rsidP="00C956F3">
      <w:pPr>
        <w:pStyle w:val="NormalWeb"/>
        <w:numPr>
          <w:ilvl w:val="0"/>
          <w:numId w:val="5"/>
        </w:numPr>
        <w:pBdr>
          <w:top w:val="single" w:sz="4" w:space="1" w:color="auto"/>
          <w:left w:val="single" w:sz="4" w:space="4" w:color="auto"/>
          <w:bottom w:val="single" w:sz="4" w:space="1" w:color="auto"/>
          <w:right w:val="single" w:sz="4" w:space="4" w:color="auto"/>
        </w:pBdr>
        <w:rPr>
          <w:rFonts w:asciiTheme="majorHAnsi" w:hAnsiTheme="majorHAnsi" w:cs="Arial"/>
          <w:b/>
          <w:sz w:val="22"/>
          <w:szCs w:val="22"/>
          <w:lang w:val="en-GB"/>
        </w:rPr>
      </w:pPr>
      <w:r>
        <w:rPr>
          <w:rFonts w:asciiTheme="majorHAnsi" w:hAnsiTheme="majorHAnsi" w:cs="Arial"/>
          <w:sz w:val="22"/>
          <w:szCs w:val="22"/>
          <w:lang w:val="en-GB"/>
        </w:rPr>
        <w:t xml:space="preserve">The right should also extend to assemblies taking place online, with the proviso that legislation governing ‘offline’ assemblies should not automatically be mapped onto those on the </w:t>
      </w:r>
      <w:proofErr w:type="gramStart"/>
      <w:r>
        <w:rPr>
          <w:rFonts w:asciiTheme="majorHAnsi" w:hAnsiTheme="majorHAnsi" w:cs="Arial"/>
          <w:sz w:val="22"/>
          <w:szCs w:val="22"/>
          <w:lang w:val="en-GB"/>
        </w:rPr>
        <w:t>internet</w:t>
      </w:r>
      <w:proofErr w:type="gramEnd"/>
      <w:r>
        <w:rPr>
          <w:rFonts w:asciiTheme="majorHAnsi" w:hAnsiTheme="majorHAnsi" w:cs="Arial"/>
          <w:sz w:val="22"/>
          <w:szCs w:val="22"/>
          <w:lang w:val="en-GB"/>
        </w:rPr>
        <w:t>.</w:t>
      </w:r>
      <w:r w:rsidR="001260AB">
        <w:rPr>
          <w:rFonts w:asciiTheme="majorHAnsi" w:hAnsiTheme="majorHAnsi" w:cs="Arial"/>
          <w:sz w:val="22"/>
          <w:szCs w:val="22"/>
          <w:lang w:val="en-GB"/>
        </w:rPr>
        <w:br/>
      </w:r>
    </w:p>
    <w:p w14:paraId="5D5DB14C" w14:textId="1DAD19CF" w:rsidR="002352B6" w:rsidRPr="00556B82" w:rsidRDefault="00E01979" w:rsidP="00C956F3">
      <w:pPr>
        <w:pStyle w:val="NormalWeb"/>
        <w:numPr>
          <w:ilvl w:val="0"/>
          <w:numId w:val="5"/>
        </w:numPr>
        <w:pBdr>
          <w:top w:val="single" w:sz="4" w:space="1" w:color="auto"/>
          <w:left w:val="single" w:sz="4" w:space="4" w:color="auto"/>
          <w:bottom w:val="single" w:sz="4" w:space="1" w:color="auto"/>
          <w:right w:val="single" w:sz="4" w:space="4" w:color="auto"/>
        </w:pBdr>
        <w:rPr>
          <w:rFonts w:asciiTheme="majorHAnsi" w:hAnsiTheme="majorHAnsi" w:cs="Arial"/>
          <w:b/>
          <w:sz w:val="22"/>
          <w:szCs w:val="22"/>
          <w:lang w:val="en-GB"/>
        </w:rPr>
      </w:pPr>
      <w:r>
        <w:rPr>
          <w:rFonts w:asciiTheme="majorHAnsi" w:hAnsiTheme="majorHAnsi" w:cs="Arial"/>
          <w:sz w:val="22"/>
          <w:szCs w:val="22"/>
          <w:lang w:val="en-GB"/>
        </w:rPr>
        <w:t>Non-violent d</w:t>
      </w:r>
      <w:r w:rsidR="002352B6">
        <w:rPr>
          <w:rFonts w:asciiTheme="majorHAnsi" w:hAnsiTheme="majorHAnsi" w:cs="Arial"/>
          <w:sz w:val="22"/>
          <w:szCs w:val="22"/>
          <w:lang w:val="en-GB"/>
        </w:rPr>
        <w:t xml:space="preserve">isruption, whether caused incidentally or deliberately, </w:t>
      </w:r>
      <w:r w:rsidR="00C67FF4">
        <w:rPr>
          <w:rFonts w:asciiTheme="majorHAnsi" w:hAnsiTheme="majorHAnsi" w:cs="Arial"/>
          <w:sz w:val="22"/>
          <w:szCs w:val="22"/>
          <w:lang w:val="en-GB"/>
        </w:rPr>
        <w:t>should not remove a gathering from the scope of ‘peaceful assembly’.</w:t>
      </w:r>
      <w:r w:rsidR="001260AB">
        <w:rPr>
          <w:rFonts w:asciiTheme="majorHAnsi" w:hAnsiTheme="majorHAnsi" w:cs="Arial"/>
          <w:sz w:val="22"/>
          <w:szCs w:val="22"/>
          <w:lang w:val="en-GB"/>
        </w:rPr>
        <w:br/>
      </w:r>
    </w:p>
    <w:p w14:paraId="2CB27096" w14:textId="75ABBA82" w:rsidR="00556B82" w:rsidRPr="00CD0E35" w:rsidRDefault="00A2773D" w:rsidP="00C956F3">
      <w:pPr>
        <w:pStyle w:val="NormalWeb"/>
        <w:numPr>
          <w:ilvl w:val="0"/>
          <w:numId w:val="5"/>
        </w:numPr>
        <w:pBdr>
          <w:top w:val="single" w:sz="4" w:space="1" w:color="auto"/>
          <w:left w:val="single" w:sz="4" w:space="4" w:color="auto"/>
          <w:bottom w:val="single" w:sz="4" w:space="1" w:color="auto"/>
          <w:right w:val="single" w:sz="4" w:space="4" w:color="auto"/>
        </w:pBdr>
        <w:rPr>
          <w:rFonts w:asciiTheme="majorHAnsi" w:hAnsiTheme="majorHAnsi" w:cs="Arial"/>
          <w:b/>
          <w:sz w:val="22"/>
          <w:szCs w:val="22"/>
          <w:lang w:val="en-GB"/>
        </w:rPr>
      </w:pPr>
      <w:r>
        <w:rPr>
          <w:rFonts w:asciiTheme="majorHAnsi" w:hAnsiTheme="majorHAnsi" w:cs="Arial"/>
          <w:sz w:val="22"/>
          <w:szCs w:val="22"/>
          <w:lang w:val="en-GB"/>
        </w:rPr>
        <w:t>The requirement for States to show tolerance towards peaceful assemblies should also apply in full during the pre-trial process,</w:t>
      </w:r>
      <w:r w:rsidRPr="00B46D91">
        <w:rPr>
          <w:rFonts w:asciiTheme="majorHAnsi" w:hAnsiTheme="majorHAnsi" w:cs="Arial"/>
          <w:sz w:val="22"/>
          <w:szCs w:val="22"/>
          <w:lang w:val="en-GB"/>
        </w:rPr>
        <w:t xml:space="preserve"> </w:t>
      </w:r>
      <w:r w:rsidR="00452DE5">
        <w:rPr>
          <w:rFonts w:asciiTheme="majorHAnsi" w:hAnsiTheme="majorHAnsi" w:cs="Arial"/>
          <w:sz w:val="22"/>
          <w:szCs w:val="22"/>
          <w:lang w:val="en-GB"/>
        </w:rPr>
        <w:t xml:space="preserve">including </w:t>
      </w:r>
      <w:r>
        <w:rPr>
          <w:rFonts w:asciiTheme="majorHAnsi" w:hAnsiTheme="majorHAnsi" w:cs="Arial"/>
          <w:sz w:val="22"/>
          <w:szCs w:val="22"/>
          <w:lang w:val="en-GB"/>
        </w:rPr>
        <w:t>when deciding</w:t>
      </w:r>
      <w:r w:rsidRPr="00B46D91">
        <w:rPr>
          <w:rFonts w:asciiTheme="majorHAnsi" w:hAnsiTheme="majorHAnsi" w:cs="Arial"/>
          <w:sz w:val="22"/>
          <w:szCs w:val="22"/>
          <w:lang w:val="en-GB"/>
        </w:rPr>
        <w:t xml:space="preserve"> whether to bring </w:t>
      </w:r>
      <w:r w:rsidRPr="00CD0E35">
        <w:rPr>
          <w:rFonts w:asciiTheme="majorHAnsi" w:hAnsiTheme="majorHAnsi" w:cs="Arial"/>
          <w:sz w:val="22"/>
          <w:szCs w:val="22"/>
          <w:lang w:val="en-GB"/>
        </w:rPr>
        <w:t>charges, what charges to bring, and whether to seek and impose pre-trial detention.</w:t>
      </w:r>
      <w:r w:rsidR="001260AB" w:rsidRPr="00CD0E35">
        <w:rPr>
          <w:rFonts w:asciiTheme="majorHAnsi" w:hAnsiTheme="majorHAnsi" w:cs="Arial"/>
          <w:sz w:val="22"/>
          <w:szCs w:val="22"/>
          <w:lang w:val="en-GB"/>
        </w:rPr>
        <w:br/>
      </w:r>
    </w:p>
    <w:p w14:paraId="34F7527B" w14:textId="2512F101" w:rsidR="002E6565" w:rsidRPr="00CD0E35" w:rsidRDefault="00681785" w:rsidP="002E6565">
      <w:pPr>
        <w:pStyle w:val="NormalWeb"/>
        <w:numPr>
          <w:ilvl w:val="0"/>
          <w:numId w:val="5"/>
        </w:numPr>
        <w:pBdr>
          <w:top w:val="single" w:sz="4" w:space="1" w:color="auto"/>
          <w:left w:val="single" w:sz="4" w:space="4" w:color="auto"/>
          <w:bottom w:val="single" w:sz="4" w:space="1" w:color="auto"/>
          <w:right w:val="single" w:sz="4" w:space="4" w:color="auto"/>
        </w:pBdr>
        <w:rPr>
          <w:rFonts w:asciiTheme="majorHAnsi" w:hAnsiTheme="majorHAnsi" w:cs="Arial"/>
          <w:b/>
          <w:sz w:val="22"/>
          <w:szCs w:val="22"/>
          <w:lang w:val="en-GB"/>
        </w:rPr>
      </w:pPr>
      <w:r w:rsidRPr="00CD0E35">
        <w:rPr>
          <w:rFonts w:asciiTheme="majorHAnsi" w:hAnsiTheme="majorHAnsi" w:cs="Arial"/>
          <w:sz w:val="22"/>
          <w:szCs w:val="22"/>
          <w:lang w:val="en-GB"/>
        </w:rPr>
        <w:t xml:space="preserve">Tolerance should also be shown to assemblies that cause disruption to a corporation or other private party. The appropriate degree of tolerance should depend on factors such as </w:t>
      </w:r>
      <w:r w:rsidR="0019150C" w:rsidRPr="00CD0E35">
        <w:rPr>
          <w:rFonts w:asciiTheme="majorHAnsi" w:hAnsiTheme="majorHAnsi" w:cs="Arial"/>
          <w:sz w:val="22"/>
          <w:szCs w:val="22"/>
          <w:lang w:val="en-GB"/>
        </w:rPr>
        <w:t xml:space="preserve">whether the assembly concerns an issue of public interest, whether it targets a public figure (including major corporations) and </w:t>
      </w:r>
      <w:r w:rsidR="00355328" w:rsidRPr="00CD0E35">
        <w:rPr>
          <w:rFonts w:asciiTheme="majorHAnsi" w:hAnsiTheme="majorHAnsi" w:cs="Arial"/>
          <w:sz w:val="22"/>
          <w:szCs w:val="22"/>
          <w:lang w:val="en-GB"/>
        </w:rPr>
        <w:t>the degree of disruption caused.</w:t>
      </w:r>
      <w:r w:rsidR="002E6565" w:rsidRPr="00CD0E35">
        <w:rPr>
          <w:rFonts w:asciiTheme="majorHAnsi" w:hAnsiTheme="majorHAnsi" w:cs="Arial"/>
          <w:b/>
          <w:sz w:val="22"/>
          <w:szCs w:val="22"/>
          <w:lang w:val="en-GB"/>
        </w:rPr>
        <w:br/>
      </w:r>
    </w:p>
    <w:p w14:paraId="0EAA43CA" w14:textId="76F0804E" w:rsidR="002E6565" w:rsidRPr="00482944" w:rsidRDefault="00CD0E35" w:rsidP="00C956F3">
      <w:pPr>
        <w:pStyle w:val="NormalWeb"/>
        <w:numPr>
          <w:ilvl w:val="0"/>
          <w:numId w:val="5"/>
        </w:numPr>
        <w:pBdr>
          <w:top w:val="single" w:sz="4" w:space="1" w:color="auto"/>
          <w:left w:val="single" w:sz="4" w:space="4" w:color="auto"/>
          <w:bottom w:val="single" w:sz="4" w:space="1" w:color="auto"/>
          <w:right w:val="single" w:sz="4" w:space="4" w:color="auto"/>
        </w:pBdr>
        <w:rPr>
          <w:rFonts w:asciiTheme="majorHAnsi" w:hAnsiTheme="majorHAnsi" w:cs="Arial"/>
          <w:sz w:val="22"/>
          <w:szCs w:val="22"/>
          <w:lang w:val="en-GB"/>
        </w:rPr>
      </w:pPr>
      <w:r w:rsidRPr="00CD0E35">
        <w:rPr>
          <w:rFonts w:asciiTheme="majorHAnsi" w:hAnsiTheme="majorHAnsi" w:cs="Arial"/>
          <w:sz w:val="22"/>
          <w:szCs w:val="22"/>
          <w:lang w:val="en-GB"/>
        </w:rPr>
        <w:t xml:space="preserve">Organisers of and participants in assemblies should be protected against </w:t>
      </w:r>
      <w:r w:rsidR="006C066D" w:rsidRPr="006C066D">
        <w:rPr>
          <w:rFonts w:asciiTheme="majorHAnsi" w:eastAsia="Times New Roman" w:hAnsiTheme="majorHAnsi"/>
          <w:color w:val="000000"/>
          <w:sz w:val="22"/>
          <w:szCs w:val="22"/>
          <w:lang w:val="en-GB"/>
        </w:rPr>
        <w:t>Strategic Lawsuits Against Public Participation</w:t>
      </w:r>
      <w:r w:rsidR="006C066D" w:rsidRPr="00B46D91">
        <w:rPr>
          <w:rFonts w:asciiTheme="majorHAnsi" w:eastAsia="Times New Roman" w:hAnsiTheme="majorHAnsi"/>
          <w:i/>
          <w:color w:val="000000"/>
          <w:sz w:val="22"/>
          <w:szCs w:val="22"/>
          <w:lang w:val="en-GB"/>
        </w:rPr>
        <w:t xml:space="preserve"> </w:t>
      </w:r>
      <w:r w:rsidR="006C066D">
        <w:rPr>
          <w:rFonts w:asciiTheme="majorHAnsi" w:hAnsiTheme="majorHAnsi" w:cs="Arial"/>
          <w:sz w:val="22"/>
          <w:szCs w:val="22"/>
          <w:lang w:val="en-GB"/>
        </w:rPr>
        <w:t>(</w:t>
      </w:r>
      <w:r w:rsidRPr="00CD0E35">
        <w:rPr>
          <w:rFonts w:asciiTheme="majorHAnsi" w:hAnsiTheme="majorHAnsi" w:cs="Arial"/>
          <w:sz w:val="22"/>
          <w:szCs w:val="22"/>
          <w:lang w:val="en-GB"/>
        </w:rPr>
        <w:t>SLAPP suits</w:t>
      </w:r>
      <w:r w:rsidR="00AF3765">
        <w:rPr>
          <w:rFonts w:asciiTheme="majorHAnsi" w:hAnsiTheme="majorHAnsi" w:cs="Arial"/>
          <w:sz w:val="22"/>
          <w:szCs w:val="22"/>
          <w:lang w:val="en-GB"/>
        </w:rPr>
        <w:t>)</w:t>
      </w:r>
      <w:r w:rsidRPr="00CD0E35">
        <w:rPr>
          <w:rFonts w:asciiTheme="majorHAnsi" w:hAnsiTheme="majorHAnsi" w:cs="Arial"/>
          <w:sz w:val="22"/>
          <w:szCs w:val="22"/>
          <w:lang w:val="en-GB"/>
        </w:rPr>
        <w:t xml:space="preserve"> through the </w:t>
      </w:r>
      <w:r w:rsidRPr="00CD0E35">
        <w:rPr>
          <w:rFonts w:asciiTheme="majorHAnsi" w:hAnsiTheme="majorHAnsi"/>
          <w:bCs/>
          <w:sz w:val="22"/>
          <w:szCs w:val="22"/>
          <w:lang w:val="en-GB"/>
        </w:rPr>
        <w:t>enactment of legislation that allows an early dismissal (with an award of costs) of such suits and penalises abuse.</w:t>
      </w:r>
      <w:r w:rsidR="00482944">
        <w:rPr>
          <w:rFonts w:asciiTheme="majorHAnsi" w:hAnsiTheme="majorHAnsi"/>
          <w:bCs/>
          <w:sz w:val="22"/>
          <w:szCs w:val="22"/>
          <w:lang w:val="en-GB"/>
        </w:rPr>
        <w:br/>
      </w:r>
    </w:p>
    <w:p w14:paraId="573C2CB5" w14:textId="22C23115" w:rsidR="00482944" w:rsidRDefault="00482944" w:rsidP="00C956F3">
      <w:pPr>
        <w:pStyle w:val="NormalWeb"/>
        <w:numPr>
          <w:ilvl w:val="0"/>
          <w:numId w:val="5"/>
        </w:numPr>
        <w:pBdr>
          <w:top w:val="single" w:sz="4" w:space="1" w:color="auto"/>
          <w:left w:val="single" w:sz="4" w:space="4" w:color="auto"/>
          <w:bottom w:val="single" w:sz="4" w:space="1" w:color="auto"/>
          <w:right w:val="single" w:sz="4" w:space="4" w:color="auto"/>
        </w:pBdr>
        <w:rPr>
          <w:rFonts w:asciiTheme="majorHAnsi" w:hAnsiTheme="majorHAnsi" w:cs="Arial"/>
          <w:sz w:val="22"/>
          <w:szCs w:val="22"/>
          <w:lang w:val="en-GB"/>
        </w:rPr>
      </w:pPr>
      <w:r>
        <w:rPr>
          <w:rFonts w:asciiTheme="majorHAnsi" w:hAnsiTheme="majorHAnsi" w:cs="Arial"/>
          <w:sz w:val="22"/>
          <w:szCs w:val="22"/>
          <w:lang w:val="en-GB"/>
        </w:rPr>
        <w:t>Blanket bans on assemblies in certain locations should be avoided in favour of a case-by-case assessment, wherever feasible.</w:t>
      </w:r>
      <w:r w:rsidR="00973944">
        <w:rPr>
          <w:rFonts w:asciiTheme="majorHAnsi" w:hAnsiTheme="majorHAnsi" w:cs="Arial"/>
          <w:sz w:val="22"/>
          <w:szCs w:val="22"/>
          <w:lang w:val="en-GB"/>
        </w:rPr>
        <w:br/>
      </w:r>
    </w:p>
    <w:p w14:paraId="1406EA3E" w14:textId="6189D496" w:rsidR="00973944" w:rsidRDefault="00FB6D0B" w:rsidP="00973944">
      <w:pPr>
        <w:pStyle w:val="NormalWeb"/>
        <w:numPr>
          <w:ilvl w:val="0"/>
          <w:numId w:val="5"/>
        </w:numPr>
        <w:pBdr>
          <w:top w:val="single" w:sz="4" w:space="1" w:color="auto"/>
          <w:left w:val="single" w:sz="4" w:space="4" w:color="auto"/>
          <w:bottom w:val="single" w:sz="4" w:space="1" w:color="auto"/>
          <w:right w:val="single" w:sz="4" w:space="4" w:color="auto"/>
        </w:pBdr>
        <w:rPr>
          <w:rFonts w:asciiTheme="majorHAnsi" w:hAnsiTheme="majorHAnsi" w:cs="Arial"/>
          <w:sz w:val="22"/>
          <w:szCs w:val="22"/>
          <w:lang w:val="en-GB"/>
        </w:rPr>
      </w:pPr>
      <w:r w:rsidRPr="00B46D91">
        <w:rPr>
          <w:rFonts w:asciiTheme="majorHAnsi" w:hAnsiTheme="majorHAnsi" w:cs="Arial"/>
          <w:sz w:val="22"/>
          <w:szCs w:val="22"/>
          <w:lang w:val="en-GB"/>
        </w:rPr>
        <w:t>Freedom to choose the manner of an assembly is an im</w:t>
      </w:r>
      <w:r>
        <w:rPr>
          <w:rFonts w:asciiTheme="majorHAnsi" w:hAnsiTheme="majorHAnsi" w:cs="Arial"/>
          <w:sz w:val="22"/>
          <w:szCs w:val="22"/>
          <w:lang w:val="en-GB"/>
        </w:rPr>
        <w:t>portant aspect of the right</w:t>
      </w:r>
      <w:r w:rsidR="00B1154F">
        <w:rPr>
          <w:rFonts w:asciiTheme="majorHAnsi" w:hAnsiTheme="majorHAnsi" w:cs="Arial"/>
          <w:sz w:val="22"/>
          <w:szCs w:val="22"/>
          <w:lang w:val="en-GB"/>
        </w:rPr>
        <w:t>,</w:t>
      </w:r>
      <w:r>
        <w:rPr>
          <w:rFonts w:asciiTheme="majorHAnsi" w:hAnsiTheme="majorHAnsi" w:cs="Arial"/>
          <w:sz w:val="22"/>
          <w:szCs w:val="22"/>
          <w:lang w:val="en-GB"/>
        </w:rPr>
        <w:t xml:space="preserve"> and limitations on this freedom should meet the test of justification set out by Article 21 ICCPR in full.</w:t>
      </w:r>
      <w:r w:rsidR="00B1154F">
        <w:rPr>
          <w:rFonts w:asciiTheme="majorHAnsi" w:hAnsiTheme="majorHAnsi" w:cs="Arial"/>
          <w:sz w:val="22"/>
          <w:szCs w:val="22"/>
          <w:lang w:val="en-GB"/>
        </w:rPr>
        <w:br/>
      </w:r>
    </w:p>
    <w:p w14:paraId="3BFE42C8" w14:textId="2C43BD3A" w:rsidR="00B1154F" w:rsidRDefault="007F127E" w:rsidP="00973944">
      <w:pPr>
        <w:pStyle w:val="NormalWeb"/>
        <w:numPr>
          <w:ilvl w:val="0"/>
          <w:numId w:val="5"/>
        </w:numPr>
        <w:pBdr>
          <w:top w:val="single" w:sz="4" w:space="1" w:color="auto"/>
          <w:left w:val="single" w:sz="4" w:space="4" w:color="auto"/>
          <w:bottom w:val="single" w:sz="4" w:space="1" w:color="auto"/>
          <w:right w:val="single" w:sz="4" w:space="4" w:color="auto"/>
        </w:pBdr>
        <w:rPr>
          <w:rFonts w:asciiTheme="majorHAnsi" w:hAnsiTheme="majorHAnsi" w:cs="Arial"/>
          <w:sz w:val="22"/>
          <w:szCs w:val="22"/>
          <w:lang w:val="en-GB"/>
        </w:rPr>
      </w:pPr>
      <w:r>
        <w:rPr>
          <w:rFonts w:asciiTheme="majorHAnsi" w:hAnsiTheme="majorHAnsi" w:cs="Arial"/>
          <w:sz w:val="22"/>
          <w:szCs w:val="22"/>
          <w:lang w:val="en-GB"/>
        </w:rPr>
        <w:lastRenderedPageBreak/>
        <w:t>Preventing</w:t>
      </w:r>
      <w:r w:rsidR="00AD344F">
        <w:rPr>
          <w:rFonts w:asciiTheme="majorHAnsi" w:hAnsiTheme="majorHAnsi" w:cs="Arial"/>
          <w:sz w:val="22"/>
          <w:szCs w:val="22"/>
          <w:lang w:val="en-GB"/>
        </w:rPr>
        <w:t xml:space="preserve"> </w:t>
      </w:r>
      <w:r w:rsidR="003C7FB4">
        <w:rPr>
          <w:rFonts w:asciiTheme="majorHAnsi" w:hAnsiTheme="majorHAnsi" w:cs="Arial"/>
          <w:sz w:val="22"/>
          <w:szCs w:val="22"/>
          <w:lang w:val="en-GB"/>
        </w:rPr>
        <w:t>the</w:t>
      </w:r>
      <w:r w:rsidR="00AD344F">
        <w:rPr>
          <w:rFonts w:asciiTheme="majorHAnsi" w:hAnsiTheme="majorHAnsi" w:cs="Arial"/>
          <w:sz w:val="22"/>
          <w:szCs w:val="22"/>
          <w:lang w:val="en-GB"/>
        </w:rPr>
        <w:t xml:space="preserve"> non-disruptive </w:t>
      </w:r>
      <w:r w:rsidR="00A322AE">
        <w:rPr>
          <w:rFonts w:asciiTheme="majorHAnsi" w:hAnsiTheme="majorHAnsi" w:cs="Arial"/>
          <w:sz w:val="22"/>
          <w:szCs w:val="22"/>
          <w:lang w:val="en-GB"/>
        </w:rPr>
        <w:t>recording</w:t>
      </w:r>
      <w:r w:rsidR="00AD344F">
        <w:rPr>
          <w:rFonts w:asciiTheme="majorHAnsi" w:hAnsiTheme="majorHAnsi" w:cs="Arial"/>
          <w:sz w:val="22"/>
          <w:szCs w:val="22"/>
          <w:lang w:val="en-GB"/>
        </w:rPr>
        <w:t xml:space="preserve"> of law enforcement </w:t>
      </w:r>
      <w:r w:rsidR="00BF1136">
        <w:rPr>
          <w:rFonts w:asciiTheme="majorHAnsi" w:hAnsiTheme="majorHAnsi" w:cs="Arial"/>
          <w:sz w:val="22"/>
          <w:szCs w:val="22"/>
          <w:lang w:val="en-GB"/>
        </w:rPr>
        <w:t>officials</w:t>
      </w:r>
      <w:r w:rsidR="00AD344F">
        <w:rPr>
          <w:rFonts w:asciiTheme="majorHAnsi" w:hAnsiTheme="majorHAnsi" w:cs="Arial"/>
          <w:sz w:val="22"/>
          <w:szCs w:val="22"/>
          <w:lang w:val="en-GB"/>
        </w:rPr>
        <w:t xml:space="preserve"> during assemblies should be considered an</w:t>
      </w:r>
      <w:r w:rsidR="00AD344F" w:rsidRPr="00B46D91">
        <w:rPr>
          <w:rFonts w:asciiTheme="majorHAnsi" w:hAnsiTheme="majorHAnsi" w:cs="Arial"/>
          <w:sz w:val="22"/>
          <w:szCs w:val="22"/>
          <w:lang w:val="en-GB"/>
        </w:rPr>
        <w:t xml:space="preserve"> unjustifiable interference </w:t>
      </w:r>
      <w:r w:rsidR="00390473">
        <w:rPr>
          <w:rFonts w:asciiTheme="majorHAnsi" w:hAnsiTheme="majorHAnsi" w:cs="Arial"/>
          <w:sz w:val="22"/>
          <w:szCs w:val="22"/>
          <w:lang w:val="en-GB"/>
        </w:rPr>
        <w:t xml:space="preserve">with </w:t>
      </w:r>
      <w:r w:rsidR="00AD344F">
        <w:rPr>
          <w:rFonts w:asciiTheme="majorHAnsi" w:hAnsiTheme="majorHAnsi" w:cs="Arial"/>
          <w:sz w:val="22"/>
          <w:szCs w:val="22"/>
          <w:lang w:val="en-GB"/>
        </w:rPr>
        <w:t xml:space="preserve">freedom of peaceful assembly and freedom of expression. </w:t>
      </w:r>
      <w:r w:rsidR="00C27FC7">
        <w:rPr>
          <w:rFonts w:asciiTheme="majorHAnsi" w:hAnsiTheme="majorHAnsi" w:cs="Arial"/>
          <w:sz w:val="22"/>
          <w:szCs w:val="22"/>
          <w:lang w:val="en-GB"/>
        </w:rPr>
        <w:br/>
      </w:r>
    </w:p>
    <w:p w14:paraId="20625811" w14:textId="5D4D1CA4" w:rsidR="008808D9" w:rsidRPr="008808D9" w:rsidRDefault="00A00569" w:rsidP="008808D9">
      <w:pPr>
        <w:pStyle w:val="NormalWeb"/>
        <w:numPr>
          <w:ilvl w:val="0"/>
          <w:numId w:val="5"/>
        </w:numPr>
        <w:pBdr>
          <w:top w:val="single" w:sz="4" w:space="1" w:color="auto"/>
          <w:left w:val="single" w:sz="4" w:space="4" w:color="auto"/>
          <w:bottom w:val="single" w:sz="4" w:space="1" w:color="auto"/>
          <w:right w:val="single" w:sz="4" w:space="4" w:color="auto"/>
        </w:pBdr>
        <w:rPr>
          <w:rFonts w:asciiTheme="majorHAnsi" w:hAnsiTheme="majorHAnsi" w:cs="Arial"/>
          <w:sz w:val="22"/>
          <w:szCs w:val="22"/>
          <w:lang w:val="en-GB"/>
        </w:rPr>
      </w:pPr>
      <w:r>
        <w:rPr>
          <w:rFonts w:asciiTheme="majorHAnsi" w:hAnsiTheme="majorHAnsi" w:cs="Arial"/>
          <w:sz w:val="22"/>
          <w:szCs w:val="22"/>
          <w:lang w:val="en-GB"/>
        </w:rPr>
        <w:t>States should clearly distingu</w:t>
      </w:r>
      <w:r w:rsidR="00851BA4">
        <w:rPr>
          <w:rFonts w:asciiTheme="majorHAnsi" w:hAnsiTheme="majorHAnsi" w:cs="Arial"/>
          <w:sz w:val="22"/>
          <w:szCs w:val="22"/>
          <w:lang w:val="en-GB"/>
        </w:rPr>
        <w:t xml:space="preserve">ish between participation in an </w:t>
      </w:r>
      <w:r>
        <w:rPr>
          <w:rFonts w:asciiTheme="majorHAnsi" w:hAnsiTheme="majorHAnsi" w:cs="Arial"/>
          <w:sz w:val="22"/>
          <w:szCs w:val="22"/>
          <w:lang w:val="en-GB"/>
        </w:rPr>
        <w:t>assembly</w:t>
      </w:r>
      <w:r w:rsidR="00851BA4">
        <w:rPr>
          <w:rFonts w:asciiTheme="majorHAnsi" w:hAnsiTheme="majorHAnsi" w:cs="Arial"/>
          <w:sz w:val="22"/>
          <w:szCs w:val="22"/>
          <w:lang w:val="en-GB"/>
        </w:rPr>
        <w:t xml:space="preserve"> that is deemed unlawful,</w:t>
      </w:r>
      <w:r>
        <w:rPr>
          <w:rFonts w:asciiTheme="majorHAnsi" w:hAnsiTheme="majorHAnsi" w:cs="Arial"/>
          <w:sz w:val="22"/>
          <w:szCs w:val="22"/>
          <w:lang w:val="en-GB"/>
        </w:rPr>
        <w:t xml:space="preserve"> and presence for the purposes of observing and recording</w:t>
      </w:r>
      <w:r w:rsidR="00375480">
        <w:rPr>
          <w:rFonts w:asciiTheme="majorHAnsi" w:hAnsiTheme="majorHAnsi" w:cs="Arial"/>
          <w:sz w:val="22"/>
          <w:szCs w:val="22"/>
          <w:lang w:val="en-GB"/>
        </w:rPr>
        <w:t xml:space="preserve"> (</w:t>
      </w:r>
      <w:r w:rsidR="003F3C2C">
        <w:rPr>
          <w:rFonts w:asciiTheme="majorHAnsi" w:hAnsiTheme="majorHAnsi" w:cs="Arial"/>
          <w:sz w:val="22"/>
          <w:szCs w:val="22"/>
          <w:lang w:val="en-GB"/>
        </w:rPr>
        <w:t>whether the person is a professional reporter or not</w:t>
      </w:r>
      <w:r w:rsidR="00375480">
        <w:rPr>
          <w:rFonts w:asciiTheme="majorHAnsi" w:hAnsiTheme="majorHAnsi" w:cs="Arial"/>
          <w:sz w:val="22"/>
          <w:szCs w:val="22"/>
          <w:lang w:val="en-GB"/>
        </w:rPr>
        <w:t>)</w:t>
      </w:r>
      <w:r w:rsidR="00D01EB6">
        <w:rPr>
          <w:rFonts w:asciiTheme="majorHAnsi" w:hAnsiTheme="majorHAnsi" w:cs="Arial"/>
          <w:sz w:val="22"/>
          <w:szCs w:val="22"/>
          <w:lang w:val="en-GB"/>
        </w:rPr>
        <w:t>.</w:t>
      </w:r>
      <w:r w:rsidR="003F3C2C">
        <w:rPr>
          <w:rFonts w:asciiTheme="majorHAnsi" w:hAnsiTheme="majorHAnsi" w:cs="Arial"/>
          <w:sz w:val="22"/>
          <w:szCs w:val="22"/>
          <w:lang w:val="en-GB"/>
        </w:rPr>
        <w:t xml:space="preserve"> </w:t>
      </w:r>
      <w:r w:rsidR="00AD4A6D">
        <w:rPr>
          <w:rFonts w:asciiTheme="majorHAnsi" w:hAnsiTheme="majorHAnsi" w:cs="Arial"/>
          <w:sz w:val="22"/>
          <w:szCs w:val="22"/>
          <w:lang w:val="en-GB"/>
        </w:rPr>
        <w:t>S</w:t>
      </w:r>
      <w:r w:rsidR="008808D9">
        <w:rPr>
          <w:rFonts w:asciiTheme="majorHAnsi" w:hAnsiTheme="majorHAnsi" w:cs="Arial"/>
          <w:sz w:val="22"/>
          <w:szCs w:val="22"/>
          <w:lang w:val="en-GB"/>
        </w:rPr>
        <w:t>uch a distinction</w:t>
      </w:r>
      <w:r w:rsidR="00AD4A6D">
        <w:rPr>
          <w:rFonts w:asciiTheme="majorHAnsi" w:hAnsiTheme="majorHAnsi" w:cs="Arial"/>
          <w:sz w:val="22"/>
          <w:szCs w:val="22"/>
          <w:lang w:val="en-GB"/>
        </w:rPr>
        <w:t xml:space="preserve"> </w:t>
      </w:r>
      <w:r w:rsidR="00375480">
        <w:rPr>
          <w:rFonts w:asciiTheme="majorHAnsi" w:hAnsiTheme="majorHAnsi" w:cs="Arial"/>
          <w:sz w:val="22"/>
          <w:szCs w:val="22"/>
          <w:lang w:val="en-GB"/>
        </w:rPr>
        <w:t>where possible</w:t>
      </w:r>
      <w:r w:rsidR="008808D9">
        <w:rPr>
          <w:rFonts w:asciiTheme="majorHAnsi" w:hAnsiTheme="majorHAnsi" w:cs="Arial"/>
          <w:sz w:val="22"/>
          <w:szCs w:val="22"/>
          <w:lang w:val="en-GB"/>
        </w:rPr>
        <w:t xml:space="preserve"> </w:t>
      </w:r>
      <w:r w:rsidR="00361B1B">
        <w:rPr>
          <w:rFonts w:asciiTheme="majorHAnsi" w:hAnsiTheme="majorHAnsi" w:cs="Arial"/>
          <w:sz w:val="22"/>
          <w:szCs w:val="22"/>
          <w:lang w:val="en-GB"/>
        </w:rPr>
        <w:t xml:space="preserve">be made </w:t>
      </w:r>
      <w:r w:rsidR="008808D9">
        <w:rPr>
          <w:rFonts w:asciiTheme="majorHAnsi" w:hAnsiTheme="majorHAnsi" w:cs="Arial"/>
          <w:sz w:val="22"/>
          <w:szCs w:val="22"/>
          <w:lang w:val="en-GB"/>
        </w:rPr>
        <w:t xml:space="preserve">on the spot, </w:t>
      </w:r>
      <w:r w:rsidR="00375480">
        <w:rPr>
          <w:rFonts w:asciiTheme="majorHAnsi" w:hAnsiTheme="majorHAnsi" w:cs="Arial"/>
          <w:sz w:val="22"/>
          <w:szCs w:val="22"/>
          <w:lang w:val="en-GB"/>
        </w:rPr>
        <w:t xml:space="preserve">or else promptly in </w:t>
      </w:r>
      <w:r w:rsidR="00375480" w:rsidRPr="00B46D91">
        <w:rPr>
          <w:rFonts w:asciiTheme="majorHAnsi" w:hAnsiTheme="majorHAnsi" w:cs="Arial"/>
          <w:sz w:val="22"/>
          <w:szCs w:val="22"/>
          <w:lang w:val="en-GB"/>
        </w:rPr>
        <w:t xml:space="preserve">the pre-trial stage of </w:t>
      </w:r>
      <w:r w:rsidR="00DD2E5A">
        <w:rPr>
          <w:rFonts w:asciiTheme="majorHAnsi" w:hAnsiTheme="majorHAnsi" w:cs="Arial"/>
          <w:sz w:val="22"/>
          <w:szCs w:val="22"/>
          <w:lang w:val="en-GB"/>
        </w:rPr>
        <w:t>any further</w:t>
      </w:r>
      <w:r w:rsidR="00375480" w:rsidRPr="00B46D91">
        <w:rPr>
          <w:rFonts w:asciiTheme="majorHAnsi" w:hAnsiTheme="majorHAnsi" w:cs="Arial"/>
          <w:sz w:val="22"/>
          <w:szCs w:val="22"/>
          <w:lang w:val="en-GB"/>
        </w:rPr>
        <w:t xml:space="preserve"> proceedings</w:t>
      </w:r>
      <w:r w:rsidR="00375480">
        <w:rPr>
          <w:rFonts w:asciiTheme="majorHAnsi" w:hAnsiTheme="majorHAnsi" w:cs="Arial"/>
          <w:sz w:val="22"/>
          <w:szCs w:val="22"/>
          <w:lang w:val="en-GB"/>
        </w:rPr>
        <w:t>.</w:t>
      </w:r>
    </w:p>
    <w:p w14:paraId="10FEAA78" w14:textId="43062506" w:rsidR="00D91916" w:rsidRPr="00B46D91" w:rsidRDefault="000D359D" w:rsidP="000842C6">
      <w:pPr>
        <w:pStyle w:val="NormalWeb"/>
        <w:rPr>
          <w:rFonts w:asciiTheme="majorHAnsi" w:hAnsiTheme="majorHAnsi" w:cs="Arial"/>
          <w:b/>
          <w:sz w:val="22"/>
          <w:szCs w:val="22"/>
          <w:u w:val="single"/>
          <w:lang w:val="en-GB"/>
        </w:rPr>
      </w:pPr>
      <w:r>
        <w:rPr>
          <w:rFonts w:asciiTheme="majorHAnsi" w:hAnsiTheme="majorHAnsi" w:cs="Arial"/>
          <w:b/>
          <w:sz w:val="22"/>
          <w:szCs w:val="22"/>
          <w:u w:val="single"/>
          <w:lang w:val="en-GB"/>
        </w:rPr>
        <w:br/>
      </w:r>
      <w:r w:rsidR="00A41EC9" w:rsidRPr="00B46D91">
        <w:rPr>
          <w:rFonts w:asciiTheme="majorHAnsi" w:hAnsiTheme="majorHAnsi" w:cs="Arial"/>
          <w:b/>
          <w:sz w:val="22"/>
          <w:szCs w:val="22"/>
          <w:u w:val="single"/>
          <w:lang w:val="en-GB"/>
        </w:rPr>
        <w:t>Question</w:t>
      </w:r>
      <w:r w:rsidR="00D91916" w:rsidRPr="00B46D91">
        <w:rPr>
          <w:rFonts w:asciiTheme="majorHAnsi" w:hAnsiTheme="majorHAnsi" w:cs="Arial"/>
          <w:b/>
          <w:sz w:val="22"/>
          <w:szCs w:val="22"/>
          <w:u w:val="single"/>
          <w:lang w:val="en-GB"/>
        </w:rPr>
        <w:t xml:space="preserve"> 1: </w:t>
      </w:r>
      <w:r w:rsidR="00B820AC" w:rsidRPr="00B46D91">
        <w:rPr>
          <w:rFonts w:asciiTheme="majorHAnsi" w:hAnsiTheme="majorHAnsi" w:cs="Arial"/>
          <w:b/>
          <w:sz w:val="22"/>
          <w:szCs w:val="22"/>
          <w:u w:val="single"/>
          <w:lang w:val="en-GB"/>
        </w:rPr>
        <w:t xml:space="preserve">the </w:t>
      </w:r>
      <w:r w:rsidR="00D91916" w:rsidRPr="00B46D91">
        <w:rPr>
          <w:rFonts w:asciiTheme="majorHAnsi" w:hAnsiTheme="majorHAnsi" w:cs="Arial"/>
          <w:b/>
          <w:sz w:val="22"/>
          <w:szCs w:val="22"/>
          <w:u w:val="single"/>
          <w:lang w:val="en-GB"/>
        </w:rPr>
        <w:t>scope of ‘peaceful assembly’</w:t>
      </w:r>
    </w:p>
    <w:p w14:paraId="2EE1AB10" w14:textId="58BBACE4" w:rsidR="00E764D8" w:rsidRPr="00B46D91" w:rsidRDefault="0072347F" w:rsidP="0072347F">
      <w:pPr>
        <w:pStyle w:val="NormalWeb"/>
        <w:rPr>
          <w:rFonts w:asciiTheme="majorHAnsi" w:hAnsiTheme="majorHAnsi" w:cs="Arial"/>
          <w:sz w:val="22"/>
          <w:szCs w:val="22"/>
          <w:lang w:val="en-GB"/>
        </w:rPr>
      </w:pPr>
      <w:r w:rsidRPr="00B46D91">
        <w:rPr>
          <w:rFonts w:asciiTheme="majorHAnsi" w:hAnsiTheme="majorHAnsi" w:cs="Arial"/>
          <w:sz w:val="22"/>
          <w:szCs w:val="22"/>
          <w:lang w:val="en-GB"/>
        </w:rPr>
        <w:t>The</w:t>
      </w:r>
      <w:r w:rsidR="00D35658" w:rsidRPr="00B46D91">
        <w:rPr>
          <w:rFonts w:asciiTheme="majorHAnsi" w:hAnsiTheme="majorHAnsi" w:cs="Arial"/>
          <w:sz w:val="22"/>
          <w:szCs w:val="22"/>
          <w:lang w:val="en-GB"/>
        </w:rPr>
        <w:t xml:space="preserve"> R</w:t>
      </w:r>
      <w:r w:rsidRPr="00B46D91">
        <w:rPr>
          <w:rFonts w:asciiTheme="majorHAnsi" w:hAnsiTheme="majorHAnsi" w:cs="Arial"/>
          <w:sz w:val="22"/>
          <w:szCs w:val="22"/>
          <w:lang w:val="en-GB"/>
        </w:rPr>
        <w:t>apporteur</w:t>
      </w:r>
      <w:r w:rsidR="00DB423F" w:rsidRPr="00B46D91">
        <w:rPr>
          <w:rFonts w:asciiTheme="majorHAnsi" w:hAnsiTheme="majorHAnsi" w:cs="Arial"/>
          <w:sz w:val="22"/>
          <w:szCs w:val="22"/>
          <w:lang w:val="en-GB"/>
        </w:rPr>
        <w:t>’s first set of questions</w:t>
      </w:r>
      <w:r w:rsidR="00D35658" w:rsidRPr="00B46D91">
        <w:rPr>
          <w:rFonts w:asciiTheme="majorHAnsi" w:hAnsiTheme="majorHAnsi" w:cs="Arial"/>
          <w:sz w:val="22"/>
          <w:szCs w:val="22"/>
          <w:lang w:val="en-GB"/>
        </w:rPr>
        <w:t xml:space="preserve"> </w:t>
      </w:r>
      <w:r w:rsidR="00A9393C" w:rsidRPr="00B46D91">
        <w:rPr>
          <w:rFonts w:asciiTheme="majorHAnsi" w:hAnsiTheme="majorHAnsi" w:cs="Arial"/>
          <w:sz w:val="22"/>
          <w:szCs w:val="22"/>
          <w:lang w:val="en-GB"/>
        </w:rPr>
        <w:t>is concerned with which activities come</w:t>
      </w:r>
      <w:r w:rsidR="00DB423F" w:rsidRPr="00B46D91">
        <w:rPr>
          <w:rFonts w:asciiTheme="majorHAnsi" w:hAnsiTheme="majorHAnsi" w:cs="Arial"/>
          <w:sz w:val="22"/>
          <w:szCs w:val="22"/>
          <w:lang w:val="en-GB"/>
        </w:rPr>
        <w:t xml:space="preserve"> under the right to assemble</w:t>
      </w:r>
      <w:r w:rsidR="00B820AC" w:rsidRPr="00B46D91">
        <w:rPr>
          <w:rFonts w:asciiTheme="majorHAnsi" w:hAnsiTheme="majorHAnsi" w:cs="Arial"/>
          <w:sz w:val="22"/>
          <w:szCs w:val="22"/>
          <w:lang w:val="en-GB"/>
        </w:rPr>
        <w:t>.</w:t>
      </w:r>
    </w:p>
    <w:p w14:paraId="566BDDF4" w14:textId="48A5649F" w:rsidR="00CE4A08" w:rsidRPr="00B46D91" w:rsidRDefault="00CE4A08" w:rsidP="008D3B2C">
      <w:pPr>
        <w:shd w:val="clear" w:color="auto" w:fill="FFFFFF"/>
        <w:rPr>
          <w:rFonts w:asciiTheme="majorHAnsi" w:hAnsiTheme="majorHAnsi" w:cs="Arial"/>
          <w:i/>
          <w:sz w:val="22"/>
          <w:szCs w:val="22"/>
          <w:lang w:val="en-GB"/>
        </w:rPr>
      </w:pPr>
      <w:r w:rsidRPr="00B46D91">
        <w:rPr>
          <w:rFonts w:asciiTheme="majorHAnsi" w:hAnsiTheme="majorHAnsi" w:cs="Arial"/>
          <w:i/>
          <w:sz w:val="22"/>
          <w:szCs w:val="22"/>
          <w:lang w:val="en-GB"/>
        </w:rPr>
        <w:t>Only in public places or also private ones?</w:t>
      </w:r>
    </w:p>
    <w:p w14:paraId="707ABB63" w14:textId="5160D5B5" w:rsidR="00D42B1B" w:rsidRPr="00B46D91" w:rsidRDefault="00566B23" w:rsidP="006C19C9">
      <w:pPr>
        <w:shd w:val="clear" w:color="auto" w:fill="FFFFFF"/>
        <w:spacing w:before="240"/>
        <w:rPr>
          <w:rFonts w:asciiTheme="majorHAnsi" w:hAnsiTheme="majorHAnsi" w:cs="Arial"/>
          <w:sz w:val="22"/>
          <w:szCs w:val="22"/>
          <w:lang w:val="en-GB"/>
        </w:rPr>
      </w:pPr>
      <w:r w:rsidRPr="00B46D91">
        <w:rPr>
          <w:rFonts w:asciiTheme="majorHAnsi" w:hAnsiTheme="majorHAnsi" w:cs="Arial"/>
          <w:sz w:val="22"/>
          <w:szCs w:val="22"/>
          <w:lang w:val="en-GB"/>
        </w:rPr>
        <w:t xml:space="preserve">Existing international standards </w:t>
      </w:r>
      <w:r w:rsidR="00596009" w:rsidRPr="00B46D91">
        <w:rPr>
          <w:rFonts w:asciiTheme="majorHAnsi" w:hAnsiTheme="majorHAnsi" w:cs="Arial"/>
          <w:sz w:val="22"/>
          <w:szCs w:val="22"/>
          <w:lang w:val="en-GB"/>
        </w:rPr>
        <w:t>seem to differ on whether</w:t>
      </w:r>
      <w:r w:rsidRPr="00B46D91">
        <w:rPr>
          <w:rFonts w:asciiTheme="majorHAnsi" w:hAnsiTheme="majorHAnsi" w:cs="Arial"/>
          <w:sz w:val="22"/>
          <w:szCs w:val="22"/>
          <w:lang w:val="en-GB"/>
        </w:rPr>
        <w:t xml:space="preserve"> an assembly is necessarily </w:t>
      </w:r>
      <w:r w:rsidR="00591CF0" w:rsidRPr="00B46D91">
        <w:rPr>
          <w:rFonts w:asciiTheme="majorHAnsi" w:hAnsiTheme="majorHAnsi" w:cs="Arial"/>
          <w:sz w:val="22"/>
          <w:szCs w:val="22"/>
          <w:lang w:val="en-GB"/>
        </w:rPr>
        <w:t>a gathering in a public place</w:t>
      </w:r>
      <w:r w:rsidR="00835AF8" w:rsidRPr="00B46D91">
        <w:rPr>
          <w:rFonts w:asciiTheme="majorHAnsi" w:hAnsiTheme="majorHAnsi" w:cs="Arial"/>
          <w:sz w:val="22"/>
          <w:szCs w:val="22"/>
          <w:lang w:val="en-GB"/>
        </w:rPr>
        <w:t>,</w:t>
      </w:r>
      <w:r w:rsidR="001E235B" w:rsidRPr="00B46D91">
        <w:rPr>
          <w:rFonts w:asciiTheme="majorHAnsi" w:hAnsiTheme="majorHAnsi" w:cs="Arial"/>
          <w:sz w:val="22"/>
          <w:szCs w:val="22"/>
          <w:lang w:val="en-GB"/>
        </w:rPr>
        <w:t xml:space="preserve"> or may also take place in private</w:t>
      </w:r>
      <w:r w:rsidR="00591CF0" w:rsidRPr="00B46D91">
        <w:rPr>
          <w:rFonts w:asciiTheme="majorHAnsi" w:hAnsiTheme="majorHAnsi" w:cs="Arial"/>
          <w:sz w:val="22"/>
          <w:szCs w:val="22"/>
          <w:lang w:val="en-GB"/>
        </w:rPr>
        <w:t xml:space="preserve">. The </w:t>
      </w:r>
      <w:r w:rsidR="00591CF0" w:rsidRPr="00B46D91">
        <w:rPr>
          <w:rFonts w:asciiTheme="majorHAnsi" w:hAnsiTheme="majorHAnsi" w:cs="Arial"/>
          <w:i/>
          <w:sz w:val="22"/>
          <w:szCs w:val="22"/>
          <w:lang w:val="en-GB"/>
        </w:rPr>
        <w:t>OSCE-ODIHR and Venice Commission Guidelines on Freedom of Peaceful Assembly</w:t>
      </w:r>
      <w:r w:rsidR="00591CF0" w:rsidRPr="00B46D91">
        <w:rPr>
          <w:rFonts w:asciiTheme="majorHAnsi" w:hAnsiTheme="majorHAnsi" w:cs="Arial"/>
          <w:sz w:val="22"/>
          <w:szCs w:val="22"/>
          <w:lang w:val="en-GB"/>
        </w:rPr>
        <w:t xml:space="preserve"> (hereinaf</w:t>
      </w:r>
      <w:r w:rsidR="006C19C9" w:rsidRPr="00B46D91">
        <w:rPr>
          <w:rFonts w:asciiTheme="majorHAnsi" w:hAnsiTheme="majorHAnsi" w:cs="Arial"/>
          <w:sz w:val="22"/>
          <w:szCs w:val="22"/>
          <w:lang w:val="en-GB"/>
        </w:rPr>
        <w:t>ter the OSCE Guidelines) diverge from</w:t>
      </w:r>
      <w:r w:rsidR="00F12411" w:rsidRPr="00B46D91">
        <w:rPr>
          <w:rFonts w:asciiTheme="majorHAnsi" w:hAnsiTheme="majorHAnsi" w:cs="Arial"/>
          <w:sz w:val="22"/>
          <w:szCs w:val="22"/>
          <w:lang w:val="en-GB"/>
        </w:rPr>
        <w:t xml:space="preserve"> the otherwise similar</w:t>
      </w:r>
      <w:r w:rsidR="006C19C9" w:rsidRPr="00B46D91">
        <w:rPr>
          <w:rFonts w:asciiTheme="majorHAnsi" w:hAnsiTheme="majorHAnsi" w:cs="Arial"/>
          <w:sz w:val="22"/>
          <w:szCs w:val="22"/>
          <w:lang w:val="en-GB"/>
        </w:rPr>
        <w:t xml:space="preserve"> definitions embraced </w:t>
      </w:r>
      <w:r w:rsidR="00F12411" w:rsidRPr="00B46D91">
        <w:rPr>
          <w:rFonts w:asciiTheme="majorHAnsi" w:hAnsiTheme="majorHAnsi" w:cs="Arial"/>
          <w:sz w:val="22"/>
          <w:szCs w:val="22"/>
          <w:lang w:val="en-GB"/>
        </w:rPr>
        <w:t>by</w:t>
      </w:r>
      <w:r w:rsidR="00596009" w:rsidRPr="00B46D91">
        <w:rPr>
          <w:rFonts w:asciiTheme="majorHAnsi" w:hAnsiTheme="majorHAnsi" w:cs="Arial"/>
          <w:sz w:val="22"/>
          <w:szCs w:val="22"/>
          <w:lang w:val="en-GB"/>
        </w:rPr>
        <w:t xml:space="preserve"> UN special mechanisms and the African system</w:t>
      </w:r>
      <w:r w:rsidR="006C19C9" w:rsidRPr="00B46D91">
        <w:rPr>
          <w:rFonts w:asciiTheme="majorHAnsi" w:hAnsiTheme="majorHAnsi" w:cs="Arial"/>
          <w:sz w:val="22"/>
          <w:szCs w:val="22"/>
          <w:lang w:val="en-GB"/>
        </w:rPr>
        <w:t xml:space="preserve">, </w:t>
      </w:r>
      <w:r w:rsidR="00F12411" w:rsidRPr="00B46D91">
        <w:rPr>
          <w:rFonts w:asciiTheme="majorHAnsi" w:hAnsiTheme="majorHAnsi" w:cs="Arial"/>
          <w:sz w:val="22"/>
          <w:szCs w:val="22"/>
          <w:lang w:val="en-GB"/>
        </w:rPr>
        <w:t>by</w:t>
      </w:r>
      <w:r w:rsidR="006C19C9" w:rsidRPr="00B46D91">
        <w:rPr>
          <w:rFonts w:asciiTheme="majorHAnsi" w:hAnsiTheme="majorHAnsi" w:cs="Arial"/>
          <w:sz w:val="22"/>
          <w:szCs w:val="22"/>
          <w:lang w:val="en-GB"/>
        </w:rPr>
        <w:t xml:space="preserve"> </w:t>
      </w:r>
      <w:r w:rsidR="00385F87" w:rsidRPr="00B46D91">
        <w:rPr>
          <w:rFonts w:asciiTheme="majorHAnsi" w:hAnsiTheme="majorHAnsi" w:cs="Arial"/>
          <w:sz w:val="22"/>
          <w:szCs w:val="22"/>
          <w:lang w:val="en-GB"/>
        </w:rPr>
        <w:t>stating that</w:t>
      </w:r>
      <w:r w:rsidR="00591CF0" w:rsidRPr="00B46D91">
        <w:rPr>
          <w:rFonts w:asciiTheme="majorHAnsi" w:hAnsiTheme="majorHAnsi" w:cs="Arial"/>
          <w:sz w:val="22"/>
          <w:szCs w:val="22"/>
          <w:lang w:val="en-GB"/>
        </w:rPr>
        <w:t xml:space="preserve"> an assembly </w:t>
      </w:r>
      <w:r w:rsidR="00385F87" w:rsidRPr="00B46D91">
        <w:rPr>
          <w:rFonts w:asciiTheme="majorHAnsi" w:hAnsiTheme="majorHAnsi" w:cs="Arial"/>
          <w:sz w:val="22"/>
          <w:szCs w:val="22"/>
          <w:lang w:val="en-GB"/>
        </w:rPr>
        <w:t>i</w:t>
      </w:r>
      <w:r w:rsidR="00591CF0" w:rsidRPr="00B46D91">
        <w:rPr>
          <w:rFonts w:asciiTheme="majorHAnsi" w:hAnsiTheme="majorHAnsi" w:cs="Arial"/>
          <w:sz w:val="22"/>
          <w:szCs w:val="22"/>
          <w:lang w:val="en-GB"/>
        </w:rPr>
        <w:t xml:space="preserve">s “the intentional and temporary presence of a number of individuals </w:t>
      </w:r>
      <w:r w:rsidR="00591CF0" w:rsidRPr="00B46D91">
        <w:rPr>
          <w:rFonts w:asciiTheme="majorHAnsi" w:hAnsiTheme="majorHAnsi" w:cs="Arial"/>
          <w:sz w:val="22"/>
          <w:szCs w:val="22"/>
          <w:u w:val="single"/>
          <w:lang w:val="en-GB"/>
        </w:rPr>
        <w:t>in a public place</w:t>
      </w:r>
      <w:r w:rsidR="00591CF0" w:rsidRPr="00B46D91">
        <w:rPr>
          <w:rFonts w:asciiTheme="majorHAnsi" w:hAnsiTheme="majorHAnsi" w:cs="Arial"/>
          <w:sz w:val="22"/>
          <w:szCs w:val="22"/>
          <w:lang w:val="en-GB"/>
        </w:rPr>
        <w:t xml:space="preserve"> </w:t>
      </w:r>
      <w:r w:rsidR="00FB011F" w:rsidRPr="00B46D91">
        <w:rPr>
          <w:rFonts w:asciiTheme="majorHAnsi" w:hAnsiTheme="majorHAnsi" w:cs="Arial"/>
          <w:sz w:val="22"/>
          <w:szCs w:val="22"/>
          <w:lang w:val="en-GB"/>
        </w:rPr>
        <w:t>…</w:t>
      </w:r>
      <w:r w:rsidR="00591CF0" w:rsidRPr="00B46D91">
        <w:rPr>
          <w:rFonts w:asciiTheme="majorHAnsi" w:hAnsiTheme="majorHAnsi" w:cs="Arial"/>
          <w:sz w:val="22"/>
          <w:szCs w:val="22"/>
          <w:lang w:val="en-GB"/>
        </w:rPr>
        <w:t>” (emphasis added</w:t>
      </w:r>
      <w:r w:rsidR="008D3B2C" w:rsidRPr="00B46D91">
        <w:rPr>
          <w:rFonts w:asciiTheme="majorHAnsi" w:hAnsiTheme="majorHAnsi" w:cs="Arial"/>
          <w:sz w:val="22"/>
          <w:szCs w:val="22"/>
          <w:lang w:val="en-GB"/>
        </w:rPr>
        <w:t>).</w:t>
      </w:r>
      <w:r w:rsidR="00E877DA" w:rsidRPr="00B46D91">
        <w:rPr>
          <w:rStyle w:val="FootnoteReference"/>
          <w:rFonts w:asciiTheme="majorHAnsi" w:hAnsiTheme="majorHAnsi" w:cs="Arial"/>
          <w:sz w:val="22"/>
          <w:szCs w:val="22"/>
          <w:lang w:val="en-GB"/>
        </w:rPr>
        <w:footnoteReference w:id="1"/>
      </w:r>
      <w:r w:rsidR="008D3B2C" w:rsidRPr="00B46D91">
        <w:rPr>
          <w:rFonts w:asciiTheme="majorHAnsi" w:hAnsiTheme="majorHAnsi" w:cs="Arial"/>
          <w:sz w:val="22"/>
          <w:szCs w:val="22"/>
          <w:lang w:val="en-GB"/>
        </w:rPr>
        <w:t xml:space="preserve"> </w:t>
      </w:r>
    </w:p>
    <w:p w14:paraId="46CEDB65" w14:textId="03C4C73C" w:rsidR="0072347F" w:rsidRPr="00B46D91" w:rsidRDefault="00183BA3" w:rsidP="005201FC">
      <w:pPr>
        <w:shd w:val="clear" w:color="auto" w:fill="FFFFFF"/>
        <w:spacing w:before="240"/>
        <w:rPr>
          <w:rFonts w:asciiTheme="majorHAnsi" w:eastAsia="Times New Roman" w:hAnsiTheme="majorHAnsi" w:cs="Times New Roman"/>
          <w:sz w:val="22"/>
          <w:szCs w:val="22"/>
          <w:lang w:val="en-GB"/>
        </w:rPr>
      </w:pPr>
      <w:r w:rsidRPr="00B46D91">
        <w:rPr>
          <w:rFonts w:asciiTheme="majorHAnsi" w:hAnsiTheme="majorHAnsi" w:cs="Arial"/>
          <w:sz w:val="22"/>
          <w:szCs w:val="22"/>
          <w:lang w:val="en-GB"/>
        </w:rPr>
        <w:t>But d</w:t>
      </w:r>
      <w:r w:rsidR="00DC2C8E" w:rsidRPr="00B46D91">
        <w:rPr>
          <w:rFonts w:asciiTheme="majorHAnsi" w:hAnsiTheme="majorHAnsi" w:cs="Arial"/>
          <w:sz w:val="22"/>
          <w:szCs w:val="22"/>
          <w:lang w:val="en-GB"/>
        </w:rPr>
        <w:t>espite</w:t>
      </w:r>
      <w:r w:rsidR="008D3B2C" w:rsidRPr="00B46D91">
        <w:rPr>
          <w:rFonts w:asciiTheme="majorHAnsi" w:hAnsiTheme="majorHAnsi" w:cs="Arial"/>
          <w:sz w:val="22"/>
          <w:szCs w:val="22"/>
          <w:lang w:val="en-GB"/>
        </w:rPr>
        <w:t xml:space="preserve"> first impressions, </w:t>
      </w:r>
      <w:r w:rsidR="00D721D4" w:rsidRPr="00B46D91">
        <w:rPr>
          <w:rFonts w:asciiTheme="majorHAnsi" w:hAnsiTheme="majorHAnsi" w:cs="Arial"/>
          <w:sz w:val="22"/>
          <w:szCs w:val="22"/>
          <w:lang w:val="en-GB"/>
        </w:rPr>
        <w:t xml:space="preserve">the drafters do not </w:t>
      </w:r>
      <w:r w:rsidRPr="00B46D91">
        <w:rPr>
          <w:rFonts w:asciiTheme="majorHAnsi" w:hAnsiTheme="majorHAnsi" w:cs="Arial"/>
          <w:sz w:val="22"/>
          <w:szCs w:val="22"/>
          <w:lang w:val="en-GB"/>
        </w:rPr>
        <w:t>seem to have meant to</w:t>
      </w:r>
      <w:r w:rsidR="009C0F95" w:rsidRPr="00B46D91">
        <w:rPr>
          <w:rFonts w:asciiTheme="majorHAnsi" w:hAnsiTheme="majorHAnsi" w:cs="Arial"/>
          <w:sz w:val="22"/>
          <w:szCs w:val="22"/>
          <w:lang w:val="en-GB"/>
        </w:rPr>
        <w:t xml:space="preserve"> exclude</w:t>
      </w:r>
      <w:r w:rsidR="00D721D4" w:rsidRPr="00B46D91">
        <w:rPr>
          <w:rFonts w:asciiTheme="majorHAnsi" w:hAnsiTheme="majorHAnsi" w:cs="Arial"/>
          <w:sz w:val="22"/>
          <w:szCs w:val="22"/>
          <w:lang w:val="en-GB"/>
        </w:rPr>
        <w:t xml:space="preserve"> gatherings in private places</w:t>
      </w:r>
      <w:r w:rsidR="008D3B2C" w:rsidRPr="00B46D91">
        <w:rPr>
          <w:rFonts w:asciiTheme="majorHAnsi" w:hAnsiTheme="majorHAnsi" w:cs="Arial"/>
          <w:sz w:val="22"/>
          <w:szCs w:val="22"/>
          <w:lang w:val="en-GB"/>
        </w:rPr>
        <w:t xml:space="preserve">. </w:t>
      </w:r>
      <w:r w:rsidR="00870873" w:rsidRPr="00B46D91">
        <w:rPr>
          <w:rFonts w:asciiTheme="majorHAnsi" w:hAnsiTheme="majorHAnsi" w:cs="Arial"/>
          <w:sz w:val="22"/>
          <w:szCs w:val="22"/>
          <w:lang w:val="en-GB"/>
        </w:rPr>
        <w:t>T</w:t>
      </w:r>
      <w:r w:rsidR="008D3B2C" w:rsidRPr="00B46D91">
        <w:rPr>
          <w:rFonts w:asciiTheme="majorHAnsi" w:hAnsiTheme="majorHAnsi" w:cs="Arial"/>
          <w:sz w:val="22"/>
          <w:szCs w:val="22"/>
          <w:lang w:val="en-GB"/>
        </w:rPr>
        <w:t xml:space="preserve">he same paragraph goes on to </w:t>
      </w:r>
      <w:proofErr w:type="gramStart"/>
      <w:r w:rsidR="008D3B2C" w:rsidRPr="00B46D91">
        <w:rPr>
          <w:rFonts w:asciiTheme="majorHAnsi" w:hAnsiTheme="majorHAnsi" w:cs="Arial"/>
          <w:sz w:val="22"/>
          <w:szCs w:val="22"/>
          <w:lang w:val="en-GB"/>
        </w:rPr>
        <w:t>say that</w:t>
      </w:r>
      <w:proofErr w:type="gramEnd"/>
      <w:r w:rsidR="008D3B2C" w:rsidRPr="00B46D91">
        <w:rPr>
          <w:rFonts w:asciiTheme="majorHAnsi" w:hAnsiTheme="majorHAnsi" w:cs="Arial"/>
          <w:sz w:val="22"/>
          <w:szCs w:val="22"/>
          <w:lang w:val="en-GB"/>
        </w:rPr>
        <w:t xml:space="preserve"> “</w:t>
      </w:r>
      <w:r w:rsidR="008D3B2C" w:rsidRPr="00B46D91">
        <w:rPr>
          <w:rFonts w:asciiTheme="majorHAnsi" w:eastAsia="Times New Roman" w:hAnsiTheme="majorHAnsi" w:cs="Times New Roman"/>
          <w:sz w:val="22"/>
          <w:szCs w:val="22"/>
          <w:lang w:val="en-GB"/>
        </w:rPr>
        <w:t>all types of peaceful assembly – both static and moving assemblies, as well as those that take place on publicly</w:t>
      </w:r>
      <w:r w:rsidR="008D3B2C" w:rsidRPr="00B46D91">
        <w:rPr>
          <w:rFonts w:asciiTheme="majorHAnsi" w:eastAsia="Times New Roman" w:hAnsiTheme="majorHAnsi" w:cs="Times New Roman"/>
          <w:sz w:val="22"/>
          <w:szCs w:val="22"/>
          <w:u w:val="single"/>
          <w:lang w:val="en-GB"/>
        </w:rPr>
        <w:t xml:space="preserve"> or</w:t>
      </w:r>
      <w:r w:rsidR="00B00C60" w:rsidRPr="00B46D91">
        <w:rPr>
          <w:rFonts w:asciiTheme="majorHAnsi" w:eastAsia="Times New Roman" w:hAnsiTheme="majorHAnsi" w:cs="Times New Roman"/>
          <w:sz w:val="22"/>
          <w:szCs w:val="22"/>
          <w:u w:val="single"/>
          <w:lang w:val="en-GB"/>
        </w:rPr>
        <w:t xml:space="preserve"> privatel</w:t>
      </w:r>
      <w:r w:rsidR="008D3B2C" w:rsidRPr="00B46D91">
        <w:rPr>
          <w:rFonts w:asciiTheme="majorHAnsi" w:eastAsia="Times New Roman" w:hAnsiTheme="majorHAnsi" w:cs="Times New Roman"/>
          <w:sz w:val="22"/>
          <w:szCs w:val="22"/>
          <w:u w:val="single"/>
          <w:lang w:val="en-GB"/>
        </w:rPr>
        <w:t>y owned premises or in enclosed structures</w:t>
      </w:r>
      <w:r w:rsidR="008D3B2C" w:rsidRPr="00B46D91">
        <w:rPr>
          <w:rFonts w:asciiTheme="majorHAnsi" w:eastAsia="Times New Roman" w:hAnsiTheme="majorHAnsi" w:cs="Times New Roman"/>
          <w:sz w:val="22"/>
          <w:szCs w:val="22"/>
          <w:lang w:val="en-GB"/>
        </w:rPr>
        <w:t xml:space="preserve"> – deserve protection”</w:t>
      </w:r>
      <w:r w:rsidR="00207F93" w:rsidRPr="00B46D91">
        <w:rPr>
          <w:rFonts w:asciiTheme="majorHAnsi" w:eastAsia="Times New Roman" w:hAnsiTheme="majorHAnsi" w:cs="Times New Roman"/>
          <w:sz w:val="22"/>
          <w:szCs w:val="22"/>
          <w:lang w:val="en-GB"/>
        </w:rPr>
        <w:t xml:space="preserve"> </w:t>
      </w:r>
      <w:r w:rsidR="00870873" w:rsidRPr="00B46D91">
        <w:rPr>
          <w:rFonts w:asciiTheme="majorHAnsi" w:eastAsia="Times New Roman" w:hAnsiTheme="majorHAnsi" w:cs="Times New Roman"/>
          <w:sz w:val="22"/>
          <w:szCs w:val="22"/>
          <w:lang w:val="en-GB"/>
        </w:rPr>
        <w:t>(emphasis added).</w:t>
      </w:r>
      <w:r w:rsidR="00091F48" w:rsidRPr="00B46D91">
        <w:rPr>
          <w:rStyle w:val="FootnoteReference"/>
          <w:rFonts w:asciiTheme="majorHAnsi" w:eastAsia="Times New Roman" w:hAnsiTheme="majorHAnsi" w:cs="Times New Roman"/>
          <w:sz w:val="22"/>
          <w:szCs w:val="22"/>
          <w:lang w:val="en-GB"/>
        </w:rPr>
        <w:footnoteReference w:id="2"/>
      </w:r>
      <w:r w:rsidR="00870873" w:rsidRPr="00B46D91">
        <w:rPr>
          <w:rFonts w:asciiTheme="majorHAnsi" w:eastAsia="Times New Roman" w:hAnsiTheme="majorHAnsi" w:cs="Times New Roman"/>
          <w:sz w:val="22"/>
          <w:szCs w:val="22"/>
          <w:lang w:val="en-GB"/>
        </w:rPr>
        <w:t xml:space="preserve"> </w:t>
      </w:r>
      <w:r w:rsidR="00340239" w:rsidRPr="00B46D91">
        <w:rPr>
          <w:rFonts w:asciiTheme="majorHAnsi" w:eastAsia="Times New Roman" w:hAnsiTheme="majorHAnsi" w:cs="Times New Roman"/>
          <w:sz w:val="22"/>
          <w:szCs w:val="22"/>
          <w:lang w:val="en-GB"/>
        </w:rPr>
        <w:t>Thi</w:t>
      </w:r>
      <w:r w:rsidR="00A424F0" w:rsidRPr="00B46D91">
        <w:rPr>
          <w:rFonts w:asciiTheme="majorHAnsi" w:eastAsia="Times New Roman" w:hAnsiTheme="majorHAnsi" w:cs="Times New Roman"/>
          <w:sz w:val="22"/>
          <w:szCs w:val="22"/>
          <w:lang w:val="en-GB"/>
        </w:rPr>
        <w:t>s position appears correct to us</w:t>
      </w:r>
      <w:r w:rsidR="00E111A8" w:rsidRPr="00B46D91">
        <w:rPr>
          <w:rFonts w:asciiTheme="majorHAnsi" w:eastAsia="Times New Roman" w:hAnsiTheme="majorHAnsi" w:cs="Times New Roman"/>
          <w:sz w:val="22"/>
          <w:szCs w:val="22"/>
          <w:lang w:val="en-GB"/>
        </w:rPr>
        <w:t>.</w:t>
      </w:r>
      <w:r w:rsidR="00A424F0" w:rsidRPr="00B46D91">
        <w:rPr>
          <w:rFonts w:asciiTheme="majorHAnsi" w:eastAsia="Times New Roman" w:hAnsiTheme="majorHAnsi" w:cs="Times New Roman"/>
          <w:sz w:val="22"/>
          <w:szCs w:val="22"/>
          <w:lang w:val="en-GB"/>
        </w:rPr>
        <w:t xml:space="preserve"> </w:t>
      </w:r>
      <w:r w:rsidR="0095560A" w:rsidRPr="00B46D91">
        <w:rPr>
          <w:rFonts w:asciiTheme="majorHAnsi" w:eastAsia="Times New Roman" w:hAnsiTheme="majorHAnsi" w:cs="Times New Roman"/>
          <w:sz w:val="22"/>
          <w:szCs w:val="22"/>
          <w:lang w:val="en-GB"/>
        </w:rPr>
        <w:t xml:space="preserve">The rationales underlying the right, such as protecting the </w:t>
      </w:r>
      <w:r w:rsidR="003A0785" w:rsidRPr="00B46D91">
        <w:rPr>
          <w:rFonts w:asciiTheme="majorHAnsi" w:eastAsia="Times New Roman" w:hAnsiTheme="majorHAnsi" w:cs="Times New Roman"/>
          <w:sz w:val="22"/>
          <w:szCs w:val="22"/>
          <w:lang w:val="en-GB"/>
        </w:rPr>
        <w:t>airing of views</w:t>
      </w:r>
      <w:r w:rsidR="0095560A" w:rsidRPr="00B46D91">
        <w:rPr>
          <w:rFonts w:asciiTheme="majorHAnsi" w:eastAsia="Times New Roman" w:hAnsiTheme="majorHAnsi" w:cs="Times New Roman"/>
          <w:sz w:val="22"/>
          <w:szCs w:val="22"/>
          <w:lang w:val="en-GB"/>
        </w:rPr>
        <w:t xml:space="preserve"> against unreasonable interference by public authorities, apply with equal force whe</w:t>
      </w:r>
      <w:r w:rsidR="003F12D3" w:rsidRPr="00B46D91">
        <w:rPr>
          <w:rFonts w:asciiTheme="majorHAnsi" w:eastAsia="Times New Roman" w:hAnsiTheme="majorHAnsi" w:cs="Times New Roman"/>
          <w:sz w:val="22"/>
          <w:szCs w:val="22"/>
          <w:lang w:val="en-GB"/>
        </w:rPr>
        <w:t>ther</w:t>
      </w:r>
      <w:r w:rsidR="0095560A" w:rsidRPr="00B46D91">
        <w:rPr>
          <w:rFonts w:asciiTheme="majorHAnsi" w:eastAsia="Times New Roman" w:hAnsiTheme="majorHAnsi" w:cs="Times New Roman"/>
          <w:sz w:val="22"/>
          <w:szCs w:val="22"/>
          <w:lang w:val="en-GB"/>
        </w:rPr>
        <w:t xml:space="preserve"> an assembly takes place on privately </w:t>
      </w:r>
      <w:r w:rsidR="003F12D3" w:rsidRPr="00B46D91">
        <w:rPr>
          <w:rFonts w:asciiTheme="majorHAnsi" w:eastAsia="Times New Roman" w:hAnsiTheme="majorHAnsi" w:cs="Times New Roman"/>
          <w:sz w:val="22"/>
          <w:szCs w:val="22"/>
          <w:lang w:val="en-GB"/>
        </w:rPr>
        <w:t>or public</w:t>
      </w:r>
      <w:r w:rsidR="00667310" w:rsidRPr="00B46D91">
        <w:rPr>
          <w:rFonts w:asciiTheme="majorHAnsi" w:eastAsia="Times New Roman" w:hAnsiTheme="majorHAnsi" w:cs="Times New Roman"/>
          <w:sz w:val="22"/>
          <w:szCs w:val="22"/>
          <w:lang w:val="en-GB"/>
        </w:rPr>
        <w:t>ly owned</w:t>
      </w:r>
      <w:r w:rsidR="000D569E" w:rsidRPr="00B46D91">
        <w:rPr>
          <w:rFonts w:asciiTheme="majorHAnsi" w:eastAsia="Times New Roman" w:hAnsiTheme="majorHAnsi" w:cs="Times New Roman"/>
          <w:sz w:val="22"/>
          <w:szCs w:val="22"/>
          <w:lang w:val="en-GB"/>
        </w:rPr>
        <w:t xml:space="preserve"> property</w:t>
      </w:r>
      <w:r w:rsidR="00E7715B" w:rsidRPr="00B46D91">
        <w:rPr>
          <w:rFonts w:asciiTheme="majorHAnsi" w:eastAsia="Times New Roman" w:hAnsiTheme="majorHAnsi" w:cs="Times New Roman"/>
          <w:sz w:val="22"/>
          <w:szCs w:val="22"/>
          <w:lang w:val="en-GB"/>
        </w:rPr>
        <w:t>.</w:t>
      </w:r>
      <w:r w:rsidR="00D42B1B" w:rsidRPr="00B46D91">
        <w:rPr>
          <w:rFonts w:asciiTheme="majorHAnsi" w:eastAsia="Times New Roman" w:hAnsiTheme="majorHAnsi" w:cs="Times New Roman"/>
          <w:sz w:val="22"/>
          <w:szCs w:val="22"/>
          <w:lang w:val="en-GB"/>
        </w:rPr>
        <w:t xml:space="preserve"> </w:t>
      </w:r>
      <w:r w:rsidR="00D42B1B" w:rsidRPr="00B46D91">
        <w:rPr>
          <w:rFonts w:asciiTheme="majorHAnsi" w:hAnsiTheme="majorHAnsi" w:cs="Arial"/>
          <w:sz w:val="22"/>
          <w:szCs w:val="22"/>
          <w:lang w:val="en-GB"/>
        </w:rPr>
        <w:t>We also note that the European Court of Human Rights (</w:t>
      </w:r>
      <w:proofErr w:type="spellStart"/>
      <w:r w:rsidR="00D42B1B" w:rsidRPr="00B46D91">
        <w:rPr>
          <w:rFonts w:asciiTheme="majorHAnsi" w:hAnsiTheme="majorHAnsi" w:cs="Arial"/>
          <w:sz w:val="22"/>
          <w:szCs w:val="22"/>
          <w:lang w:val="en-GB"/>
        </w:rPr>
        <w:t>ECtHR</w:t>
      </w:r>
      <w:proofErr w:type="spellEnd"/>
      <w:r w:rsidR="00D42B1B" w:rsidRPr="00B46D91">
        <w:rPr>
          <w:rFonts w:asciiTheme="majorHAnsi" w:hAnsiTheme="majorHAnsi" w:cs="Arial"/>
          <w:sz w:val="22"/>
          <w:szCs w:val="22"/>
          <w:lang w:val="en-GB"/>
        </w:rPr>
        <w:t xml:space="preserve">) has found </w:t>
      </w:r>
      <w:r w:rsidR="005201FC" w:rsidRPr="00B46D91">
        <w:rPr>
          <w:rFonts w:asciiTheme="majorHAnsi" w:hAnsiTheme="majorHAnsi" w:cs="Arial"/>
          <w:sz w:val="22"/>
          <w:szCs w:val="22"/>
          <w:lang w:val="en-GB"/>
        </w:rPr>
        <w:t>interferences with the right to assemble in cases involving enforcement on private premises, such as</w:t>
      </w:r>
      <w:r w:rsidR="00D42B1B" w:rsidRPr="00B46D91">
        <w:rPr>
          <w:rFonts w:asciiTheme="majorHAnsi" w:hAnsiTheme="majorHAnsi" w:cs="Arial"/>
          <w:sz w:val="22"/>
          <w:szCs w:val="22"/>
          <w:lang w:val="en-GB"/>
        </w:rPr>
        <w:t xml:space="preserve"> a police raid on a gathering in a café to </w:t>
      </w:r>
      <w:r w:rsidR="005201FC" w:rsidRPr="00B46D91">
        <w:rPr>
          <w:rFonts w:asciiTheme="majorHAnsi" w:hAnsiTheme="majorHAnsi" w:cs="Arial"/>
          <w:sz w:val="22"/>
          <w:szCs w:val="22"/>
          <w:lang w:val="en-GB"/>
        </w:rPr>
        <w:t>celebrate</w:t>
      </w:r>
      <w:r w:rsidR="00D42B1B" w:rsidRPr="00B46D91">
        <w:rPr>
          <w:rFonts w:asciiTheme="majorHAnsi" w:hAnsiTheme="majorHAnsi" w:cs="Arial"/>
          <w:sz w:val="22"/>
          <w:szCs w:val="22"/>
          <w:lang w:val="en-GB"/>
        </w:rPr>
        <w:t xml:space="preserve"> </w:t>
      </w:r>
      <w:proofErr w:type="spellStart"/>
      <w:r w:rsidR="00D42B1B" w:rsidRPr="00B46D91">
        <w:rPr>
          <w:rFonts w:asciiTheme="majorHAnsi" w:hAnsiTheme="majorHAnsi" w:cs="Arial"/>
          <w:sz w:val="22"/>
          <w:szCs w:val="22"/>
          <w:lang w:val="en-GB"/>
        </w:rPr>
        <w:t>Che</w:t>
      </w:r>
      <w:proofErr w:type="spellEnd"/>
      <w:r w:rsidR="00D42B1B" w:rsidRPr="00B46D91">
        <w:rPr>
          <w:rFonts w:asciiTheme="majorHAnsi" w:hAnsiTheme="majorHAnsi" w:cs="Arial"/>
          <w:sz w:val="22"/>
          <w:szCs w:val="22"/>
          <w:lang w:val="en-GB"/>
        </w:rPr>
        <w:t xml:space="preserve"> Guevara’s birthday</w:t>
      </w:r>
      <w:r w:rsidR="005201FC" w:rsidRPr="00B46D91">
        <w:rPr>
          <w:rFonts w:asciiTheme="majorHAnsi" w:hAnsiTheme="majorHAnsi" w:cs="Arial"/>
          <w:sz w:val="22"/>
          <w:szCs w:val="22"/>
          <w:lang w:val="en-GB"/>
        </w:rPr>
        <w:t>.</w:t>
      </w:r>
      <w:r w:rsidR="00D42B1B" w:rsidRPr="00B46D91">
        <w:rPr>
          <w:rStyle w:val="FootnoteReference"/>
          <w:rFonts w:asciiTheme="majorHAnsi" w:hAnsiTheme="majorHAnsi" w:cs="Arial"/>
          <w:sz w:val="22"/>
          <w:szCs w:val="22"/>
          <w:lang w:val="en-GB"/>
        </w:rPr>
        <w:footnoteReference w:id="3"/>
      </w:r>
      <w:r w:rsidR="00D42B1B" w:rsidRPr="00B46D91">
        <w:rPr>
          <w:rFonts w:asciiTheme="majorHAnsi" w:hAnsiTheme="majorHAnsi" w:cs="Arial"/>
          <w:sz w:val="22"/>
          <w:szCs w:val="22"/>
          <w:lang w:val="en-GB"/>
        </w:rPr>
        <w:t xml:space="preserve"> </w:t>
      </w:r>
    </w:p>
    <w:p w14:paraId="2BBFCC81" w14:textId="175C6F9A" w:rsidR="00711A72" w:rsidRPr="00B46D91" w:rsidRDefault="00711A72" w:rsidP="00E949E4">
      <w:pPr>
        <w:shd w:val="clear" w:color="auto" w:fill="FFFFFF"/>
        <w:spacing w:before="240"/>
        <w:rPr>
          <w:rFonts w:asciiTheme="majorHAnsi" w:eastAsia="Times New Roman" w:hAnsiTheme="majorHAnsi" w:cs="Times New Roman"/>
          <w:i/>
          <w:sz w:val="22"/>
          <w:szCs w:val="22"/>
          <w:lang w:val="en-GB"/>
        </w:rPr>
      </w:pPr>
      <w:r w:rsidRPr="00B46D91">
        <w:rPr>
          <w:rFonts w:asciiTheme="majorHAnsi" w:eastAsia="Times New Roman" w:hAnsiTheme="majorHAnsi" w:cs="Times New Roman"/>
          <w:i/>
          <w:sz w:val="22"/>
          <w:szCs w:val="22"/>
          <w:lang w:val="en-GB"/>
        </w:rPr>
        <w:t>Online assemblies</w:t>
      </w:r>
    </w:p>
    <w:p w14:paraId="7DAE332B" w14:textId="29051CFB" w:rsidR="00372B13" w:rsidRPr="00B46D91" w:rsidRDefault="00F560C2" w:rsidP="00E949E4">
      <w:pPr>
        <w:shd w:val="clear" w:color="auto" w:fill="FFFFFF"/>
        <w:spacing w:before="240"/>
        <w:rPr>
          <w:rFonts w:asciiTheme="majorHAnsi" w:eastAsia="Times New Roman" w:hAnsiTheme="majorHAnsi" w:cs="Times New Roman"/>
          <w:sz w:val="22"/>
          <w:szCs w:val="22"/>
          <w:lang w:val="en-GB"/>
        </w:rPr>
      </w:pPr>
      <w:r w:rsidRPr="00B46D91">
        <w:rPr>
          <w:rFonts w:asciiTheme="majorHAnsi" w:eastAsia="Times New Roman" w:hAnsiTheme="majorHAnsi" w:cs="Times New Roman"/>
          <w:sz w:val="22"/>
          <w:szCs w:val="22"/>
          <w:lang w:val="en-GB"/>
        </w:rPr>
        <w:t xml:space="preserve">As regards the </w:t>
      </w:r>
      <w:r w:rsidR="00C11972" w:rsidRPr="00B46D91">
        <w:rPr>
          <w:rFonts w:asciiTheme="majorHAnsi" w:eastAsia="Times New Roman" w:hAnsiTheme="majorHAnsi" w:cs="Times New Roman"/>
          <w:sz w:val="22"/>
          <w:szCs w:val="22"/>
          <w:lang w:val="en-GB"/>
        </w:rPr>
        <w:t>digital</w:t>
      </w:r>
      <w:r w:rsidRPr="00B46D91">
        <w:rPr>
          <w:rFonts w:asciiTheme="majorHAnsi" w:eastAsia="Times New Roman" w:hAnsiTheme="majorHAnsi" w:cs="Times New Roman"/>
          <w:sz w:val="22"/>
          <w:szCs w:val="22"/>
          <w:lang w:val="en-GB"/>
        </w:rPr>
        <w:t xml:space="preserve"> sphere, there can be little doubt that measures taken online in order to frustrate assemblies offline, such as </w:t>
      </w:r>
      <w:r w:rsidR="00FC647B" w:rsidRPr="00B46D91">
        <w:rPr>
          <w:rFonts w:asciiTheme="majorHAnsi" w:eastAsia="Times New Roman" w:hAnsiTheme="majorHAnsi" w:cs="Times New Roman"/>
          <w:sz w:val="22"/>
          <w:szCs w:val="22"/>
          <w:lang w:val="en-GB"/>
        </w:rPr>
        <w:t>blocking</w:t>
      </w:r>
      <w:r w:rsidR="00372B13" w:rsidRPr="00B46D91">
        <w:rPr>
          <w:rFonts w:asciiTheme="majorHAnsi" w:eastAsia="Times New Roman" w:hAnsiTheme="majorHAnsi" w:cs="Times New Roman"/>
          <w:sz w:val="22"/>
          <w:szCs w:val="22"/>
          <w:lang w:val="en-GB"/>
        </w:rPr>
        <w:t xml:space="preserve"> organisers’</w:t>
      </w:r>
      <w:r w:rsidRPr="00B46D91">
        <w:rPr>
          <w:rFonts w:asciiTheme="majorHAnsi" w:eastAsia="Times New Roman" w:hAnsiTheme="majorHAnsi" w:cs="Times New Roman"/>
          <w:sz w:val="22"/>
          <w:szCs w:val="22"/>
          <w:lang w:val="en-GB"/>
        </w:rPr>
        <w:t xml:space="preserve"> accounts</w:t>
      </w:r>
      <w:r w:rsidR="00662A43">
        <w:rPr>
          <w:rFonts w:asciiTheme="majorHAnsi" w:eastAsia="Times New Roman" w:hAnsiTheme="majorHAnsi" w:cs="Times New Roman"/>
          <w:sz w:val="22"/>
          <w:szCs w:val="22"/>
          <w:lang w:val="en-GB"/>
        </w:rPr>
        <w:t>,</w:t>
      </w:r>
      <w:r w:rsidR="00FC647B" w:rsidRPr="00B46D91">
        <w:rPr>
          <w:rFonts w:asciiTheme="majorHAnsi" w:eastAsia="Times New Roman" w:hAnsiTheme="majorHAnsi" w:cs="Times New Roman"/>
          <w:sz w:val="22"/>
          <w:szCs w:val="22"/>
          <w:lang w:val="en-GB"/>
        </w:rPr>
        <w:t xml:space="preserve"> jamming </w:t>
      </w:r>
      <w:r w:rsidR="00B75795" w:rsidRPr="00B46D91">
        <w:rPr>
          <w:rFonts w:asciiTheme="majorHAnsi" w:eastAsia="Times New Roman" w:hAnsiTheme="majorHAnsi" w:cs="Times New Roman"/>
          <w:sz w:val="22"/>
          <w:szCs w:val="22"/>
          <w:lang w:val="en-GB"/>
        </w:rPr>
        <w:t>cell phone signals</w:t>
      </w:r>
      <w:r w:rsidR="00662A43">
        <w:rPr>
          <w:rFonts w:asciiTheme="majorHAnsi" w:eastAsia="Times New Roman" w:hAnsiTheme="majorHAnsi" w:cs="Times New Roman"/>
          <w:sz w:val="22"/>
          <w:szCs w:val="22"/>
          <w:lang w:val="en-GB"/>
        </w:rPr>
        <w:t xml:space="preserve"> or even shutting the internet down</w:t>
      </w:r>
      <w:r w:rsidR="00BA548B">
        <w:rPr>
          <w:rStyle w:val="FootnoteReference"/>
          <w:rFonts w:asciiTheme="majorHAnsi" w:eastAsia="Times New Roman" w:hAnsiTheme="majorHAnsi" w:cs="Times New Roman"/>
          <w:sz w:val="22"/>
          <w:szCs w:val="22"/>
          <w:lang w:val="en-GB"/>
        </w:rPr>
        <w:footnoteReference w:id="4"/>
      </w:r>
      <w:r w:rsidRPr="00B46D91">
        <w:rPr>
          <w:rFonts w:asciiTheme="majorHAnsi" w:eastAsia="Times New Roman" w:hAnsiTheme="majorHAnsi" w:cs="Times New Roman"/>
          <w:sz w:val="22"/>
          <w:szCs w:val="22"/>
          <w:lang w:val="en-GB"/>
        </w:rPr>
        <w:t xml:space="preserve"> </w:t>
      </w:r>
      <w:r w:rsidR="00D64B78" w:rsidRPr="00B46D91">
        <w:rPr>
          <w:rFonts w:asciiTheme="majorHAnsi" w:eastAsia="Times New Roman" w:hAnsiTheme="majorHAnsi" w:cs="Times New Roman"/>
          <w:sz w:val="22"/>
          <w:szCs w:val="22"/>
          <w:lang w:val="en-GB"/>
        </w:rPr>
        <w:t>represent a limitation on</w:t>
      </w:r>
      <w:r w:rsidRPr="00B46D91">
        <w:rPr>
          <w:rFonts w:asciiTheme="majorHAnsi" w:eastAsia="Times New Roman" w:hAnsiTheme="majorHAnsi" w:cs="Times New Roman"/>
          <w:sz w:val="22"/>
          <w:szCs w:val="22"/>
          <w:lang w:val="en-GB"/>
        </w:rPr>
        <w:t xml:space="preserve"> </w:t>
      </w:r>
      <w:r w:rsidR="00C611CB" w:rsidRPr="00B46D91">
        <w:rPr>
          <w:rFonts w:asciiTheme="majorHAnsi" w:eastAsia="Times New Roman" w:hAnsiTheme="majorHAnsi" w:cs="Times New Roman"/>
          <w:sz w:val="22"/>
          <w:szCs w:val="22"/>
          <w:lang w:val="en-GB"/>
        </w:rPr>
        <w:t xml:space="preserve">freedom of </w:t>
      </w:r>
      <w:r w:rsidRPr="00B46D91">
        <w:rPr>
          <w:rFonts w:asciiTheme="majorHAnsi" w:eastAsia="Times New Roman" w:hAnsiTheme="majorHAnsi" w:cs="Times New Roman"/>
          <w:sz w:val="22"/>
          <w:szCs w:val="22"/>
          <w:lang w:val="en-GB"/>
        </w:rPr>
        <w:t>assembly.</w:t>
      </w:r>
      <w:r w:rsidR="00D64B78" w:rsidRPr="00B46D91">
        <w:rPr>
          <w:rFonts w:asciiTheme="majorHAnsi" w:eastAsia="Times New Roman" w:hAnsiTheme="majorHAnsi" w:cs="Times New Roman"/>
          <w:sz w:val="22"/>
          <w:szCs w:val="22"/>
          <w:lang w:val="en-GB"/>
        </w:rPr>
        <w:t xml:space="preserve"> These are analogous to the physical roadblocks, flight bans and similar measures that have been</w:t>
      </w:r>
      <w:r w:rsidR="00F35731" w:rsidRPr="00B46D91">
        <w:rPr>
          <w:rFonts w:asciiTheme="majorHAnsi" w:eastAsia="Times New Roman" w:hAnsiTheme="majorHAnsi" w:cs="Times New Roman"/>
          <w:sz w:val="22"/>
          <w:szCs w:val="22"/>
          <w:lang w:val="en-GB"/>
        </w:rPr>
        <w:t xml:space="preserve"> found to constitute interferences with the right.</w:t>
      </w:r>
      <w:r w:rsidR="009D2C34" w:rsidRPr="00B46D91">
        <w:rPr>
          <w:rStyle w:val="FootnoteReference"/>
          <w:rFonts w:asciiTheme="majorHAnsi" w:eastAsia="Times New Roman" w:hAnsiTheme="majorHAnsi" w:cs="Times New Roman"/>
          <w:sz w:val="22"/>
          <w:szCs w:val="22"/>
          <w:lang w:val="en-GB"/>
        </w:rPr>
        <w:footnoteReference w:id="5"/>
      </w:r>
    </w:p>
    <w:p w14:paraId="27C992A8" w14:textId="7077CD43" w:rsidR="00C81EF0" w:rsidRPr="00B46D91" w:rsidRDefault="00D10BAA" w:rsidP="00E949E4">
      <w:pPr>
        <w:shd w:val="clear" w:color="auto" w:fill="FFFFFF"/>
        <w:spacing w:before="240"/>
        <w:rPr>
          <w:rFonts w:asciiTheme="majorHAnsi" w:eastAsia="Times New Roman" w:hAnsiTheme="majorHAnsi" w:cs="Times New Roman"/>
          <w:sz w:val="22"/>
          <w:szCs w:val="22"/>
          <w:lang w:val="en-GB"/>
        </w:rPr>
      </w:pPr>
      <w:r w:rsidRPr="00B46D91">
        <w:rPr>
          <w:rFonts w:asciiTheme="majorHAnsi" w:eastAsia="Times New Roman" w:hAnsiTheme="majorHAnsi" w:cs="Times New Roman"/>
          <w:sz w:val="22"/>
          <w:szCs w:val="22"/>
          <w:lang w:val="en-GB"/>
        </w:rPr>
        <w:t>T</w:t>
      </w:r>
      <w:r w:rsidR="00372B13" w:rsidRPr="00B46D91">
        <w:rPr>
          <w:rFonts w:asciiTheme="majorHAnsi" w:eastAsia="Times New Roman" w:hAnsiTheme="majorHAnsi" w:cs="Times New Roman"/>
          <w:sz w:val="22"/>
          <w:szCs w:val="22"/>
          <w:lang w:val="en-GB"/>
        </w:rPr>
        <w:t>hat freedom of assembly</w:t>
      </w:r>
      <w:r w:rsidR="00B75795" w:rsidRPr="00B46D91">
        <w:rPr>
          <w:rFonts w:asciiTheme="majorHAnsi" w:eastAsia="Times New Roman" w:hAnsiTheme="majorHAnsi" w:cs="Times New Roman"/>
          <w:sz w:val="22"/>
          <w:szCs w:val="22"/>
          <w:lang w:val="en-GB"/>
        </w:rPr>
        <w:t xml:space="preserve"> </w:t>
      </w:r>
      <w:r w:rsidR="00372B13" w:rsidRPr="00B46D91">
        <w:rPr>
          <w:rFonts w:asciiTheme="majorHAnsi" w:eastAsia="Times New Roman" w:hAnsiTheme="majorHAnsi" w:cs="Times New Roman"/>
          <w:sz w:val="22"/>
          <w:szCs w:val="22"/>
          <w:lang w:val="en-GB"/>
        </w:rPr>
        <w:t>also</w:t>
      </w:r>
      <w:r w:rsidR="00B75795" w:rsidRPr="00B46D91">
        <w:rPr>
          <w:rFonts w:asciiTheme="majorHAnsi" w:eastAsia="Times New Roman" w:hAnsiTheme="majorHAnsi" w:cs="Times New Roman"/>
          <w:sz w:val="22"/>
          <w:szCs w:val="22"/>
          <w:lang w:val="en-GB"/>
        </w:rPr>
        <w:t xml:space="preserve"> protects gatherings that </w:t>
      </w:r>
      <w:r w:rsidR="00B823A2" w:rsidRPr="00B46D91">
        <w:rPr>
          <w:rFonts w:asciiTheme="majorHAnsi" w:eastAsia="Times New Roman" w:hAnsiTheme="majorHAnsi" w:cs="Times New Roman"/>
          <w:sz w:val="22"/>
          <w:szCs w:val="22"/>
          <w:lang w:val="en-GB"/>
        </w:rPr>
        <w:t xml:space="preserve">themselves </w:t>
      </w:r>
      <w:r w:rsidR="00B75795" w:rsidRPr="00B46D91">
        <w:rPr>
          <w:rFonts w:asciiTheme="majorHAnsi" w:eastAsia="Times New Roman" w:hAnsiTheme="majorHAnsi" w:cs="Times New Roman"/>
          <w:sz w:val="22"/>
          <w:szCs w:val="22"/>
          <w:lang w:val="en-GB"/>
        </w:rPr>
        <w:t>take place on</w:t>
      </w:r>
      <w:r w:rsidR="002B4F29" w:rsidRPr="00B46D91">
        <w:rPr>
          <w:rFonts w:asciiTheme="majorHAnsi" w:eastAsia="Times New Roman" w:hAnsiTheme="majorHAnsi" w:cs="Times New Roman"/>
          <w:sz w:val="22"/>
          <w:szCs w:val="22"/>
          <w:lang w:val="en-GB"/>
        </w:rPr>
        <w:t>line, for example in a chat room, is a compelling proposition</w:t>
      </w:r>
      <w:r w:rsidR="00105078" w:rsidRPr="00B46D91">
        <w:rPr>
          <w:rFonts w:asciiTheme="majorHAnsi" w:eastAsia="Times New Roman" w:hAnsiTheme="majorHAnsi" w:cs="Times New Roman"/>
          <w:sz w:val="22"/>
          <w:szCs w:val="22"/>
          <w:lang w:val="en-GB"/>
        </w:rPr>
        <w:t xml:space="preserve">. </w:t>
      </w:r>
      <w:r w:rsidR="00F95F04" w:rsidRPr="00B46D91">
        <w:rPr>
          <w:rFonts w:asciiTheme="majorHAnsi" w:eastAsia="Times New Roman" w:hAnsiTheme="majorHAnsi" w:cs="Times New Roman"/>
          <w:sz w:val="22"/>
          <w:szCs w:val="22"/>
          <w:lang w:val="en-GB"/>
        </w:rPr>
        <w:t>Here too</w:t>
      </w:r>
      <w:r w:rsidR="00AB3879" w:rsidRPr="00B46D91">
        <w:rPr>
          <w:rFonts w:asciiTheme="majorHAnsi" w:eastAsia="Times New Roman" w:hAnsiTheme="majorHAnsi" w:cs="Times New Roman"/>
          <w:sz w:val="22"/>
          <w:szCs w:val="22"/>
          <w:lang w:val="en-GB"/>
        </w:rPr>
        <w:t>, the rationale</w:t>
      </w:r>
      <w:r w:rsidR="00BD1C19" w:rsidRPr="00B46D91">
        <w:rPr>
          <w:rFonts w:asciiTheme="majorHAnsi" w:eastAsia="Times New Roman" w:hAnsiTheme="majorHAnsi" w:cs="Times New Roman"/>
          <w:sz w:val="22"/>
          <w:szCs w:val="22"/>
          <w:lang w:val="en-GB"/>
        </w:rPr>
        <w:t>s</w:t>
      </w:r>
      <w:r w:rsidR="00AB3879" w:rsidRPr="00B46D91">
        <w:rPr>
          <w:rFonts w:asciiTheme="majorHAnsi" w:eastAsia="Times New Roman" w:hAnsiTheme="majorHAnsi" w:cs="Times New Roman"/>
          <w:sz w:val="22"/>
          <w:szCs w:val="22"/>
          <w:lang w:val="en-GB"/>
        </w:rPr>
        <w:t xml:space="preserve"> </w:t>
      </w:r>
      <w:r w:rsidR="00F95F04" w:rsidRPr="00B46D91">
        <w:rPr>
          <w:rFonts w:asciiTheme="majorHAnsi" w:eastAsia="Times New Roman" w:hAnsiTheme="majorHAnsi" w:cs="Times New Roman"/>
          <w:sz w:val="22"/>
          <w:szCs w:val="22"/>
          <w:lang w:val="en-GB"/>
        </w:rPr>
        <w:t xml:space="preserve">for </w:t>
      </w:r>
      <w:r w:rsidR="00AB3879" w:rsidRPr="00B46D91">
        <w:rPr>
          <w:rFonts w:asciiTheme="majorHAnsi" w:eastAsia="Times New Roman" w:hAnsiTheme="majorHAnsi" w:cs="Times New Roman"/>
          <w:sz w:val="22"/>
          <w:szCs w:val="22"/>
          <w:lang w:val="en-GB"/>
        </w:rPr>
        <w:t xml:space="preserve">protection of assemblies </w:t>
      </w:r>
      <w:r w:rsidR="00105078" w:rsidRPr="00B46D91">
        <w:rPr>
          <w:rFonts w:asciiTheme="majorHAnsi" w:eastAsia="Times New Roman" w:hAnsiTheme="majorHAnsi" w:cs="Times New Roman"/>
          <w:sz w:val="22"/>
          <w:szCs w:val="22"/>
          <w:lang w:val="en-GB"/>
        </w:rPr>
        <w:t xml:space="preserve">apply </w:t>
      </w:r>
      <w:r w:rsidR="00AD3BB4" w:rsidRPr="00B46D91">
        <w:rPr>
          <w:rFonts w:asciiTheme="majorHAnsi" w:eastAsia="Times New Roman" w:hAnsiTheme="majorHAnsi" w:cs="Times New Roman"/>
          <w:sz w:val="22"/>
          <w:szCs w:val="22"/>
          <w:lang w:val="en-GB"/>
        </w:rPr>
        <w:t xml:space="preserve">whether persons </w:t>
      </w:r>
      <w:r w:rsidR="002D0265" w:rsidRPr="00B46D91">
        <w:rPr>
          <w:rFonts w:asciiTheme="majorHAnsi" w:eastAsia="Times New Roman" w:hAnsiTheme="majorHAnsi" w:cs="Times New Roman"/>
          <w:sz w:val="22"/>
          <w:szCs w:val="22"/>
          <w:lang w:val="en-GB"/>
        </w:rPr>
        <w:t>gather</w:t>
      </w:r>
      <w:r w:rsidR="00AD3BB4" w:rsidRPr="00B46D91">
        <w:rPr>
          <w:rFonts w:asciiTheme="majorHAnsi" w:eastAsia="Times New Roman" w:hAnsiTheme="majorHAnsi" w:cs="Times New Roman"/>
          <w:sz w:val="22"/>
          <w:szCs w:val="22"/>
          <w:lang w:val="en-GB"/>
        </w:rPr>
        <w:t xml:space="preserve"> in the flesh</w:t>
      </w:r>
      <w:r w:rsidR="00B823A2" w:rsidRPr="00B46D91">
        <w:rPr>
          <w:rFonts w:asciiTheme="majorHAnsi" w:eastAsia="Times New Roman" w:hAnsiTheme="majorHAnsi" w:cs="Times New Roman"/>
          <w:sz w:val="22"/>
          <w:szCs w:val="22"/>
          <w:lang w:val="en-GB"/>
        </w:rPr>
        <w:t xml:space="preserve"> or </w:t>
      </w:r>
      <w:r w:rsidR="00AD3BB4" w:rsidRPr="00B46D91">
        <w:rPr>
          <w:rFonts w:asciiTheme="majorHAnsi" w:eastAsia="Times New Roman" w:hAnsiTheme="majorHAnsi" w:cs="Times New Roman"/>
          <w:sz w:val="22"/>
          <w:szCs w:val="22"/>
          <w:lang w:val="en-GB"/>
        </w:rPr>
        <w:t>online</w:t>
      </w:r>
      <w:r w:rsidR="00B823A2" w:rsidRPr="00B46D91">
        <w:rPr>
          <w:rFonts w:asciiTheme="majorHAnsi" w:eastAsia="Times New Roman" w:hAnsiTheme="majorHAnsi" w:cs="Times New Roman"/>
          <w:sz w:val="22"/>
          <w:szCs w:val="22"/>
          <w:lang w:val="en-GB"/>
        </w:rPr>
        <w:t>.</w:t>
      </w:r>
      <w:r w:rsidR="00142495" w:rsidRPr="00B46D91">
        <w:rPr>
          <w:rFonts w:asciiTheme="majorHAnsi" w:eastAsia="Times New Roman" w:hAnsiTheme="majorHAnsi" w:cs="Times New Roman"/>
          <w:sz w:val="22"/>
          <w:szCs w:val="22"/>
          <w:lang w:val="en-GB"/>
        </w:rPr>
        <w:t xml:space="preserve"> At the same time, it is important for the Committee to</w:t>
      </w:r>
      <w:r w:rsidR="00B823A2" w:rsidRPr="00B46D91">
        <w:rPr>
          <w:rFonts w:asciiTheme="majorHAnsi" w:eastAsia="Times New Roman" w:hAnsiTheme="majorHAnsi" w:cs="Times New Roman"/>
          <w:sz w:val="22"/>
          <w:szCs w:val="22"/>
          <w:lang w:val="en-GB"/>
        </w:rPr>
        <w:t xml:space="preserve"> couple such recognition with a warning </w:t>
      </w:r>
      <w:r w:rsidR="00C81EF0" w:rsidRPr="00B46D91">
        <w:rPr>
          <w:rFonts w:asciiTheme="majorHAnsi" w:eastAsia="Times New Roman" w:hAnsiTheme="majorHAnsi" w:cs="Times New Roman"/>
          <w:sz w:val="22"/>
          <w:szCs w:val="22"/>
          <w:lang w:val="en-GB"/>
        </w:rPr>
        <w:t>that regulation that is appropriate offline may not be justifiable online. The Committee has for example held that “a requirement to notify the police of an intended demonstration in a public place six hours before its commencement may be compatible with the permitted limitations laid down in article 21 of the Covenant.”</w:t>
      </w:r>
      <w:r w:rsidR="001B37B6" w:rsidRPr="00B46D91">
        <w:rPr>
          <w:rStyle w:val="FootnoteReference"/>
          <w:rFonts w:asciiTheme="majorHAnsi" w:eastAsia="Times New Roman" w:hAnsiTheme="majorHAnsi" w:cs="Times New Roman"/>
          <w:sz w:val="22"/>
          <w:szCs w:val="22"/>
          <w:lang w:val="en-GB"/>
        </w:rPr>
        <w:footnoteReference w:id="6"/>
      </w:r>
      <w:r w:rsidR="00C81EF0" w:rsidRPr="00B46D91">
        <w:rPr>
          <w:rFonts w:asciiTheme="majorHAnsi" w:eastAsia="Times New Roman" w:hAnsiTheme="majorHAnsi" w:cs="Times New Roman"/>
          <w:sz w:val="22"/>
          <w:szCs w:val="22"/>
          <w:lang w:val="en-GB"/>
        </w:rPr>
        <w:t xml:space="preserve"> In our </w:t>
      </w:r>
      <w:r w:rsidR="002335F1" w:rsidRPr="00B46D91">
        <w:rPr>
          <w:rFonts w:asciiTheme="majorHAnsi" w:eastAsia="Times New Roman" w:hAnsiTheme="majorHAnsi" w:cs="Times New Roman"/>
          <w:sz w:val="22"/>
          <w:szCs w:val="22"/>
          <w:lang w:val="en-GB"/>
        </w:rPr>
        <w:t>view</w:t>
      </w:r>
      <w:r w:rsidR="00C81EF0" w:rsidRPr="00B46D91">
        <w:rPr>
          <w:rFonts w:asciiTheme="majorHAnsi" w:eastAsia="Times New Roman" w:hAnsiTheme="majorHAnsi" w:cs="Times New Roman"/>
          <w:sz w:val="22"/>
          <w:szCs w:val="22"/>
          <w:lang w:val="en-GB"/>
        </w:rPr>
        <w:t xml:space="preserve">, </w:t>
      </w:r>
      <w:r w:rsidR="00A80659" w:rsidRPr="00B46D91">
        <w:rPr>
          <w:rFonts w:asciiTheme="majorHAnsi" w:eastAsia="Times New Roman" w:hAnsiTheme="majorHAnsi" w:cs="Times New Roman"/>
          <w:sz w:val="22"/>
          <w:szCs w:val="22"/>
          <w:lang w:val="en-GB"/>
        </w:rPr>
        <w:t>a notice requirement would not be justifiable</w:t>
      </w:r>
      <w:r w:rsidR="00C81EF0" w:rsidRPr="00B46D91">
        <w:rPr>
          <w:rFonts w:asciiTheme="majorHAnsi" w:eastAsia="Times New Roman" w:hAnsiTheme="majorHAnsi" w:cs="Times New Roman"/>
          <w:sz w:val="22"/>
          <w:szCs w:val="22"/>
          <w:lang w:val="en-GB"/>
        </w:rPr>
        <w:t xml:space="preserve"> for an online assembly</w:t>
      </w:r>
      <w:r w:rsidR="002335F1" w:rsidRPr="00B46D91">
        <w:rPr>
          <w:rFonts w:asciiTheme="majorHAnsi" w:eastAsia="Times New Roman" w:hAnsiTheme="majorHAnsi" w:cs="Times New Roman"/>
          <w:sz w:val="22"/>
          <w:szCs w:val="22"/>
          <w:lang w:val="en-GB"/>
        </w:rPr>
        <w:t xml:space="preserve">, given the absence of any need to </w:t>
      </w:r>
      <w:r w:rsidR="0088757B" w:rsidRPr="00B46D91">
        <w:rPr>
          <w:rFonts w:asciiTheme="majorHAnsi" w:eastAsia="Times New Roman" w:hAnsiTheme="majorHAnsi" w:cs="Times New Roman"/>
          <w:sz w:val="22"/>
          <w:szCs w:val="22"/>
          <w:lang w:val="en-GB"/>
        </w:rPr>
        <w:t>reroute traffic or deploy police.</w:t>
      </w:r>
    </w:p>
    <w:p w14:paraId="0F326513" w14:textId="0E230C38" w:rsidR="00AD37EF" w:rsidRPr="00B46D91" w:rsidRDefault="002649BC" w:rsidP="00E949E4">
      <w:pPr>
        <w:shd w:val="clear" w:color="auto" w:fill="FFFFFF"/>
        <w:spacing w:before="240"/>
        <w:rPr>
          <w:rFonts w:asciiTheme="majorHAnsi" w:eastAsia="Times New Roman" w:hAnsiTheme="majorHAnsi" w:cs="Times New Roman"/>
          <w:i/>
          <w:sz w:val="22"/>
          <w:szCs w:val="22"/>
          <w:lang w:val="en-GB"/>
        </w:rPr>
      </w:pPr>
      <w:r w:rsidRPr="00B46D91">
        <w:rPr>
          <w:rFonts w:asciiTheme="majorHAnsi" w:eastAsia="Times New Roman" w:hAnsiTheme="majorHAnsi" w:cs="Times New Roman"/>
          <w:i/>
          <w:sz w:val="22"/>
          <w:szCs w:val="22"/>
          <w:lang w:val="en-GB"/>
        </w:rPr>
        <w:t>Peacefulness and disruptive protest</w:t>
      </w:r>
    </w:p>
    <w:p w14:paraId="220E6359" w14:textId="6B91A4CE" w:rsidR="00FF1DB2" w:rsidRPr="00B46D91" w:rsidRDefault="002649BC" w:rsidP="00E949E4">
      <w:pPr>
        <w:shd w:val="clear" w:color="auto" w:fill="FFFFFF"/>
        <w:spacing w:before="240"/>
        <w:rPr>
          <w:rFonts w:asciiTheme="majorHAnsi" w:eastAsia="Times New Roman" w:hAnsiTheme="majorHAnsi" w:cs="Times New Roman"/>
          <w:sz w:val="22"/>
          <w:szCs w:val="22"/>
          <w:lang w:val="en-GB"/>
        </w:rPr>
      </w:pPr>
      <w:r w:rsidRPr="00B46D91">
        <w:rPr>
          <w:rFonts w:asciiTheme="majorHAnsi" w:eastAsia="Times New Roman" w:hAnsiTheme="majorHAnsi" w:cs="Times New Roman"/>
          <w:sz w:val="22"/>
          <w:szCs w:val="22"/>
          <w:lang w:val="en-GB"/>
        </w:rPr>
        <w:t>The Rapporteur raises the question</w:t>
      </w:r>
      <w:r w:rsidR="004E4964" w:rsidRPr="00B46D91">
        <w:rPr>
          <w:rFonts w:asciiTheme="majorHAnsi" w:eastAsia="Times New Roman" w:hAnsiTheme="majorHAnsi" w:cs="Times New Roman"/>
          <w:sz w:val="22"/>
          <w:szCs w:val="22"/>
          <w:lang w:val="en-GB"/>
        </w:rPr>
        <w:t xml:space="preserve"> </w:t>
      </w:r>
      <w:r w:rsidRPr="00B46D91">
        <w:rPr>
          <w:rFonts w:asciiTheme="majorHAnsi" w:eastAsia="Times New Roman" w:hAnsiTheme="majorHAnsi" w:cs="Times New Roman"/>
          <w:sz w:val="22"/>
          <w:szCs w:val="22"/>
          <w:lang w:val="en-GB"/>
        </w:rPr>
        <w:t>whether disrup</w:t>
      </w:r>
      <w:r w:rsidR="004E4964" w:rsidRPr="00B46D91">
        <w:rPr>
          <w:rFonts w:asciiTheme="majorHAnsi" w:eastAsia="Times New Roman" w:hAnsiTheme="majorHAnsi" w:cs="Times New Roman"/>
          <w:sz w:val="22"/>
          <w:szCs w:val="22"/>
          <w:lang w:val="en-GB"/>
        </w:rPr>
        <w:t>tion may be enough to deprive an assembly of its peaceful character.</w:t>
      </w:r>
      <w:r w:rsidR="00B127B1" w:rsidRPr="00B46D91">
        <w:rPr>
          <w:rFonts w:asciiTheme="majorHAnsi" w:eastAsia="Times New Roman" w:hAnsiTheme="majorHAnsi" w:cs="Times New Roman"/>
          <w:sz w:val="22"/>
          <w:szCs w:val="22"/>
          <w:lang w:val="en-GB"/>
        </w:rPr>
        <w:t xml:space="preserve"> </w:t>
      </w:r>
    </w:p>
    <w:p w14:paraId="3CE855DB" w14:textId="6BF9144E" w:rsidR="004861DE" w:rsidRPr="00B46D91" w:rsidRDefault="00C301FC" w:rsidP="00E949E4">
      <w:pPr>
        <w:shd w:val="clear" w:color="auto" w:fill="FFFFFF"/>
        <w:spacing w:before="240"/>
        <w:rPr>
          <w:rFonts w:asciiTheme="majorHAnsi" w:eastAsia="Times New Roman" w:hAnsiTheme="majorHAnsi" w:cs="Times New Roman"/>
          <w:sz w:val="22"/>
          <w:szCs w:val="22"/>
          <w:lang w:val="en-GB"/>
        </w:rPr>
      </w:pPr>
      <w:r w:rsidRPr="00B46D91">
        <w:rPr>
          <w:rFonts w:asciiTheme="majorHAnsi" w:eastAsia="Times New Roman" w:hAnsiTheme="majorHAnsi" w:cs="Times New Roman"/>
          <w:sz w:val="22"/>
          <w:szCs w:val="22"/>
          <w:lang w:val="en-GB"/>
        </w:rPr>
        <w:t>By</w:t>
      </w:r>
      <w:r w:rsidR="009F623E" w:rsidRPr="00B46D91">
        <w:rPr>
          <w:rFonts w:asciiTheme="majorHAnsi" w:eastAsia="Times New Roman" w:hAnsiTheme="majorHAnsi" w:cs="Times New Roman"/>
          <w:sz w:val="22"/>
          <w:szCs w:val="22"/>
          <w:lang w:val="en-GB"/>
        </w:rPr>
        <w:t xml:space="preserve"> its ordinary meaning, </w:t>
      </w:r>
      <w:r w:rsidRPr="00B46D91">
        <w:rPr>
          <w:rFonts w:asciiTheme="majorHAnsi" w:eastAsia="Times New Roman" w:hAnsiTheme="majorHAnsi" w:cs="Times New Roman"/>
          <w:sz w:val="22"/>
          <w:szCs w:val="22"/>
          <w:lang w:val="en-GB"/>
        </w:rPr>
        <w:t xml:space="preserve">‘peaceful’ </w:t>
      </w:r>
      <w:r w:rsidR="009F623E" w:rsidRPr="00B46D91">
        <w:rPr>
          <w:rFonts w:asciiTheme="majorHAnsi" w:eastAsia="Times New Roman" w:hAnsiTheme="majorHAnsi" w:cs="Times New Roman"/>
          <w:sz w:val="22"/>
          <w:szCs w:val="22"/>
          <w:lang w:val="en-GB"/>
        </w:rPr>
        <w:t xml:space="preserve">implies </w:t>
      </w:r>
      <w:r w:rsidR="00B40E3C" w:rsidRPr="00B46D91">
        <w:rPr>
          <w:rFonts w:asciiTheme="majorHAnsi" w:eastAsia="Times New Roman" w:hAnsiTheme="majorHAnsi" w:cs="Times New Roman"/>
          <w:sz w:val="22"/>
          <w:szCs w:val="22"/>
          <w:lang w:val="en-GB"/>
        </w:rPr>
        <w:t>an</w:t>
      </w:r>
      <w:r w:rsidR="006F702B" w:rsidRPr="00B46D91">
        <w:rPr>
          <w:rFonts w:asciiTheme="majorHAnsi" w:eastAsia="Times New Roman" w:hAnsiTheme="majorHAnsi" w:cs="Times New Roman"/>
          <w:sz w:val="22"/>
          <w:szCs w:val="22"/>
          <w:lang w:val="en-GB"/>
        </w:rPr>
        <w:t xml:space="preserve"> absence of violence</w:t>
      </w:r>
      <w:r w:rsidR="00A104E2" w:rsidRPr="00B46D91">
        <w:rPr>
          <w:rFonts w:asciiTheme="majorHAnsi" w:eastAsia="Times New Roman" w:hAnsiTheme="majorHAnsi" w:cs="Times New Roman"/>
          <w:sz w:val="22"/>
          <w:szCs w:val="22"/>
          <w:lang w:val="en-GB"/>
        </w:rPr>
        <w:t>,</w:t>
      </w:r>
      <w:r w:rsidR="006F702B" w:rsidRPr="00B46D91">
        <w:rPr>
          <w:rFonts w:asciiTheme="majorHAnsi" w:eastAsia="Times New Roman" w:hAnsiTheme="majorHAnsi" w:cs="Times New Roman"/>
          <w:sz w:val="22"/>
          <w:szCs w:val="22"/>
          <w:lang w:val="en-GB"/>
        </w:rPr>
        <w:t xml:space="preserve"> </w:t>
      </w:r>
      <w:r w:rsidR="00756D92" w:rsidRPr="00B46D91">
        <w:rPr>
          <w:rFonts w:asciiTheme="majorHAnsi" w:eastAsia="Times New Roman" w:hAnsiTheme="majorHAnsi" w:cs="Times New Roman"/>
          <w:sz w:val="22"/>
          <w:szCs w:val="22"/>
          <w:lang w:val="en-GB"/>
        </w:rPr>
        <w:t>not</w:t>
      </w:r>
      <w:r w:rsidR="006C390D" w:rsidRPr="00B46D91">
        <w:rPr>
          <w:rFonts w:asciiTheme="majorHAnsi" w:eastAsia="Times New Roman" w:hAnsiTheme="majorHAnsi" w:cs="Times New Roman"/>
          <w:sz w:val="22"/>
          <w:szCs w:val="22"/>
          <w:lang w:val="en-GB"/>
        </w:rPr>
        <w:t xml:space="preserve"> of</w:t>
      </w:r>
      <w:r w:rsidR="006F702B" w:rsidRPr="00B46D91">
        <w:rPr>
          <w:rFonts w:asciiTheme="majorHAnsi" w:eastAsia="Times New Roman" w:hAnsiTheme="majorHAnsi" w:cs="Times New Roman"/>
          <w:sz w:val="22"/>
          <w:szCs w:val="22"/>
          <w:lang w:val="en-GB"/>
        </w:rPr>
        <w:t xml:space="preserve"> </w:t>
      </w:r>
      <w:r w:rsidR="00865664" w:rsidRPr="00B46D91">
        <w:rPr>
          <w:rFonts w:asciiTheme="majorHAnsi" w:eastAsia="Times New Roman" w:hAnsiTheme="majorHAnsi" w:cs="Times New Roman"/>
          <w:sz w:val="22"/>
          <w:szCs w:val="22"/>
          <w:lang w:val="en-GB"/>
        </w:rPr>
        <w:t>disruption</w:t>
      </w:r>
      <w:r w:rsidR="005071F1" w:rsidRPr="00B46D91">
        <w:rPr>
          <w:rFonts w:asciiTheme="majorHAnsi" w:eastAsia="Times New Roman" w:hAnsiTheme="majorHAnsi" w:cs="Times New Roman"/>
          <w:sz w:val="22"/>
          <w:szCs w:val="22"/>
          <w:lang w:val="en-GB"/>
        </w:rPr>
        <w:t xml:space="preserve">. </w:t>
      </w:r>
      <w:r w:rsidR="004861DE" w:rsidRPr="00B46D91">
        <w:rPr>
          <w:rFonts w:asciiTheme="majorHAnsi" w:eastAsia="Times New Roman" w:hAnsiTheme="majorHAnsi" w:cs="Times New Roman"/>
          <w:sz w:val="22"/>
          <w:szCs w:val="22"/>
          <w:lang w:val="en-GB"/>
        </w:rPr>
        <w:t xml:space="preserve">As </w:t>
      </w:r>
      <w:proofErr w:type="spellStart"/>
      <w:r w:rsidR="004861DE" w:rsidRPr="00B46D91">
        <w:rPr>
          <w:rFonts w:asciiTheme="majorHAnsi" w:eastAsia="Times New Roman" w:hAnsiTheme="majorHAnsi" w:cs="Times New Roman"/>
          <w:sz w:val="22"/>
          <w:szCs w:val="22"/>
          <w:lang w:val="en-GB"/>
        </w:rPr>
        <w:t>ECtHR</w:t>
      </w:r>
      <w:proofErr w:type="spellEnd"/>
      <w:r w:rsidR="004861DE" w:rsidRPr="00B46D91">
        <w:rPr>
          <w:rFonts w:asciiTheme="majorHAnsi" w:eastAsia="Times New Roman" w:hAnsiTheme="majorHAnsi" w:cs="Times New Roman"/>
          <w:sz w:val="22"/>
          <w:szCs w:val="22"/>
          <w:lang w:val="en-GB"/>
        </w:rPr>
        <w:t xml:space="preserve"> has </w:t>
      </w:r>
      <w:r w:rsidR="00D80AB9" w:rsidRPr="00B46D91">
        <w:rPr>
          <w:rFonts w:asciiTheme="majorHAnsi" w:eastAsia="Times New Roman" w:hAnsiTheme="majorHAnsi" w:cs="Times New Roman"/>
          <w:sz w:val="22"/>
          <w:szCs w:val="22"/>
          <w:lang w:val="en-GB"/>
        </w:rPr>
        <w:t>repeatedly</w:t>
      </w:r>
      <w:r w:rsidR="004861DE" w:rsidRPr="00B46D91">
        <w:rPr>
          <w:rFonts w:asciiTheme="majorHAnsi" w:eastAsia="Times New Roman" w:hAnsiTheme="majorHAnsi" w:cs="Times New Roman"/>
          <w:sz w:val="22"/>
          <w:szCs w:val="22"/>
          <w:lang w:val="en-GB"/>
        </w:rPr>
        <w:t xml:space="preserve"> stressed,</w:t>
      </w:r>
    </w:p>
    <w:p w14:paraId="064C607E" w14:textId="3B49A7CA" w:rsidR="009C7AE4" w:rsidRPr="00B46D91" w:rsidRDefault="004861DE" w:rsidP="009C7AE4">
      <w:pPr>
        <w:shd w:val="clear" w:color="auto" w:fill="FFFFFF"/>
        <w:spacing w:before="240"/>
        <w:ind w:left="720" w:right="503"/>
        <w:rPr>
          <w:rFonts w:asciiTheme="majorHAnsi" w:eastAsia="Times New Roman" w:hAnsiTheme="majorHAnsi" w:cs="Times New Roman"/>
          <w:sz w:val="22"/>
          <w:szCs w:val="22"/>
          <w:lang w:val="en-GB"/>
        </w:rPr>
      </w:pPr>
      <w:r w:rsidRPr="00B46D91">
        <w:rPr>
          <w:rFonts w:asciiTheme="majorHAnsi" w:eastAsia="Times New Roman" w:hAnsiTheme="majorHAnsi" w:cs="Times New Roman"/>
          <w:sz w:val="22"/>
          <w:szCs w:val="22"/>
          <w:lang w:val="en-GB"/>
        </w:rPr>
        <w:t>“Any demonstration in a public place may cause a certain level of disruption to ordinary life … This fact in itself does not justify an interference with the right to freedom of assembly, as it is important for the public authorities to show a certain degree of tolerance.”</w:t>
      </w:r>
      <w:bookmarkStart w:id="1" w:name="_Ref413201267"/>
      <w:r w:rsidRPr="00B46D91">
        <w:rPr>
          <w:rStyle w:val="FootnoteReference"/>
          <w:rFonts w:asciiTheme="majorHAnsi" w:eastAsia="Times New Roman" w:hAnsiTheme="majorHAnsi" w:cs="Times New Roman"/>
          <w:sz w:val="22"/>
          <w:szCs w:val="22"/>
          <w:lang w:val="en-GB"/>
        </w:rPr>
        <w:footnoteReference w:id="7"/>
      </w:r>
      <w:bookmarkEnd w:id="1"/>
      <w:r w:rsidRPr="00B46D91">
        <w:rPr>
          <w:rFonts w:asciiTheme="majorHAnsi" w:eastAsia="Times New Roman" w:hAnsiTheme="majorHAnsi" w:cs="Times New Roman"/>
          <w:sz w:val="22"/>
          <w:szCs w:val="22"/>
          <w:lang w:val="en-GB"/>
        </w:rPr>
        <w:t xml:space="preserve"> </w:t>
      </w:r>
    </w:p>
    <w:p w14:paraId="4FF66DD9" w14:textId="246B5074" w:rsidR="000D6E65" w:rsidRPr="00B46D91" w:rsidRDefault="00011ED8" w:rsidP="000D6E65">
      <w:pPr>
        <w:shd w:val="clear" w:color="auto" w:fill="FFFFFF"/>
        <w:spacing w:before="240"/>
        <w:rPr>
          <w:rFonts w:asciiTheme="majorHAnsi" w:eastAsia="Times New Roman" w:hAnsiTheme="majorHAnsi" w:cs="Times New Roman"/>
          <w:sz w:val="22"/>
          <w:szCs w:val="22"/>
          <w:lang w:val="en-GB"/>
        </w:rPr>
      </w:pPr>
      <w:r w:rsidRPr="00B46D91">
        <w:rPr>
          <w:rFonts w:asciiTheme="majorHAnsi" w:eastAsia="Times New Roman" w:hAnsiTheme="majorHAnsi" w:cs="Times New Roman"/>
          <w:sz w:val="22"/>
          <w:szCs w:val="22"/>
          <w:lang w:val="en-GB"/>
        </w:rPr>
        <w:t xml:space="preserve">Beyond the incidental disturbance assemblies may cause, the </w:t>
      </w:r>
      <w:proofErr w:type="spellStart"/>
      <w:r w:rsidRPr="00B46D91">
        <w:rPr>
          <w:rFonts w:asciiTheme="majorHAnsi" w:eastAsia="Times New Roman" w:hAnsiTheme="majorHAnsi" w:cs="Times New Roman"/>
          <w:sz w:val="22"/>
          <w:szCs w:val="22"/>
          <w:lang w:val="en-GB"/>
        </w:rPr>
        <w:t>ECtHR</w:t>
      </w:r>
      <w:proofErr w:type="spellEnd"/>
      <w:r w:rsidRPr="00B46D91">
        <w:rPr>
          <w:rFonts w:asciiTheme="majorHAnsi" w:eastAsia="Times New Roman" w:hAnsiTheme="majorHAnsi" w:cs="Times New Roman"/>
          <w:sz w:val="22"/>
          <w:szCs w:val="22"/>
          <w:lang w:val="en-GB"/>
        </w:rPr>
        <w:t xml:space="preserve"> has also held that deliberate hindrance of activities of which demonstrators disapprove, such as disrupting a hunt by walking in the line of fire, does not depri</w:t>
      </w:r>
      <w:r w:rsidR="0009717A" w:rsidRPr="00B46D91">
        <w:rPr>
          <w:rFonts w:asciiTheme="majorHAnsi" w:eastAsia="Times New Roman" w:hAnsiTheme="majorHAnsi" w:cs="Times New Roman"/>
          <w:sz w:val="22"/>
          <w:szCs w:val="22"/>
          <w:lang w:val="en-GB"/>
        </w:rPr>
        <w:t>ve a protest of its peaceful nature</w:t>
      </w:r>
      <w:r w:rsidR="00294913" w:rsidRPr="00B46D91">
        <w:rPr>
          <w:rFonts w:asciiTheme="majorHAnsi" w:eastAsia="Times New Roman" w:hAnsiTheme="majorHAnsi" w:cs="Times New Roman"/>
          <w:sz w:val="22"/>
          <w:szCs w:val="22"/>
          <w:lang w:val="en-GB"/>
        </w:rPr>
        <w:t>.</w:t>
      </w:r>
      <w:r w:rsidRPr="00B46D91">
        <w:rPr>
          <w:rStyle w:val="FootnoteReference"/>
          <w:rFonts w:asciiTheme="majorHAnsi" w:eastAsia="Times New Roman" w:hAnsiTheme="majorHAnsi" w:cs="Times New Roman"/>
          <w:sz w:val="22"/>
          <w:szCs w:val="22"/>
          <w:lang w:val="en-GB"/>
        </w:rPr>
        <w:footnoteReference w:id="8"/>
      </w:r>
      <w:r w:rsidRPr="00B46D91">
        <w:rPr>
          <w:rFonts w:asciiTheme="majorHAnsi" w:eastAsia="Times New Roman" w:hAnsiTheme="majorHAnsi" w:cs="Times New Roman"/>
          <w:sz w:val="22"/>
          <w:szCs w:val="22"/>
          <w:lang w:val="en-GB"/>
        </w:rPr>
        <w:t xml:space="preserve"> </w:t>
      </w:r>
      <w:r w:rsidR="000D6E65" w:rsidRPr="00B46D91">
        <w:rPr>
          <w:rFonts w:asciiTheme="majorHAnsi" w:eastAsia="Times New Roman" w:hAnsiTheme="majorHAnsi" w:cs="Times New Roman"/>
          <w:sz w:val="22"/>
          <w:szCs w:val="22"/>
          <w:lang w:val="en-GB"/>
        </w:rPr>
        <w:t xml:space="preserve">In </w:t>
      </w:r>
      <w:proofErr w:type="spellStart"/>
      <w:r w:rsidR="000D6E65" w:rsidRPr="00B46D91">
        <w:rPr>
          <w:rFonts w:asciiTheme="majorHAnsi" w:hAnsiTheme="majorHAnsi"/>
          <w:i/>
          <w:sz w:val="22"/>
          <w:szCs w:val="22"/>
          <w:lang w:val="en-GB"/>
        </w:rPr>
        <w:t>Kudrevičius</w:t>
      </w:r>
      <w:proofErr w:type="spellEnd"/>
      <w:r w:rsidR="000D6E65" w:rsidRPr="00B46D91">
        <w:rPr>
          <w:rFonts w:asciiTheme="majorHAnsi" w:hAnsiTheme="majorHAnsi"/>
          <w:i/>
          <w:sz w:val="22"/>
          <w:szCs w:val="22"/>
          <w:lang w:val="en-GB"/>
        </w:rPr>
        <w:t xml:space="preserve"> and Others v. Lithuania</w:t>
      </w:r>
      <w:r w:rsidR="000D6E65" w:rsidRPr="00B46D91">
        <w:rPr>
          <w:rFonts w:asciiTheme="majorHAnsi" w:eastAsia="Times New Roman" w:hAnsiTheme="majorHAnsi" w:cs="Times New Roman"/>
          <w:sz w:val="22"/>
          <w:szCs w:val="22"/>
          <w:lang w:val="en-GB"/>
        </w:rPr>
        <w:t xml:space="preserve">, </w:t>
      </w:r>
      <w:r w:rsidR="00DA5B71" w:rsidRPr="00B46D91">
        <w:rPr>
          <w:rFonts w:asciiTheme="majorHAnsi" w:eastAsia="Times New Roman" w:hAnsiTheme="majorHAnsi" w:cs="Times New Roman"/>
          <w:sz w:val="22"/>
          <w:szCs w:val="22"/>
          <w:lang w:val="en-GB"/>
        </w:rPr>
        <w:t xml:space="preserve">the </w:t>
      </w:r>
      <w:r w:rsidR="005D3D58" w:rsidRPr="00B46D91">
        <w:rPr>
          <w:rFonts w:asciiTheme="majorHAnsi" w:eastAsia="Times New Roman" w:hAnsiTheme="majorHAnsi" w:cs="Times New Roman"/>
          <w:sz w:val="22"/>
          <w:szCs w:val="22"/>
          <w:lang w:val="en-GB"/>
        </w:rPr>
        <w:t>Grand Chamber</w:t>
      </w:r>
      <w:r w:rsidR="00ED76DE" w:rsidRPr="00B46D91">
        <w:rPr>
          <w:rFonts w:asciiTheme="majorHAnsi" w:eastAsia="Times New Roman" w:hAnsiTheme="majorHAnsi" w:cs="Times New Roman"/>
          <w:sz w:val="22"/>
          <w:szCs w:val="22"/>
          <w:lang w:val="en-GB"/>
        </w:rPr>
        <w:t xml:space="preserve"> </w:t>
      </w:r>
      <w:r w:rsidR="005A4D51" w:rsidRPr="00B46D91">
        <w:rPr>
          <w:rFonts w:asciiTheme="majorHAnsi" w:eastAsia="Times New Roman" w:hAnsiTheme="majorHAnsi" w:cs="Times New Roman"/>
          <w:sz w:val="22"/>
          <w:szCs w:val="22"/>
          <w:lang w:val="en-GB"/>
        </w:rPr>
        <w:t>did express</w:t>
      </w:r>
      <w:r w:rsidR="00ED76DE" w:rsidRPr="00B46D91">
        <w:rPr>
          <w:rFonts w:asciiTheme="majorHAnsi" w:eastAsia="Times New Roman" w:hAnsiTheme="majorHAnsi" w:cs="Times New Roman"/>
          <w:sz w:val="22"/>
          <w:szCs w:val="22"/>
          <w:lang w:val="en-GB"/>
        </w:rPr>
        <w:t xml:space="preserve"> </w:t>
      </w:r>
      <w:r w:rsidR="002E1113" w:rsidRPr="00B46D91">
        <w:rPr>
          <w:rFonts w:asciiTheme="majorHAnsi" w:eastAsia="Times New Roman" w:hAnsiTheme="majorHAnsi" w:cs="Times New Roman"/>
          <w:sz w:val="22"/>
          <w:szCs w:val="22"/>
          <w:lang w:val="en-GB"/>
        </w:rPr>
        <w:t>some</w:t>
      </w:r>
      <w:r w:rsidR="00ED76DE" w:rsidRPr="00B46D91">
        <w:rPr>
          <w:rFonts w:asciiTheme="majorHAnsi" w:eastAsia="Times New Roman" w:hAnsiTheme="majorHAnsi" w:cs="Times New Roman"/>
          <w:sz w:val="22"/>
          <w:szCs w:val="22"/>
          <w:lang w:val="en-GB"/>
        </w:rPr>
        <w:t xml:space="preserve"> reservations about the deliberate obstruction of</w:t>
      </w:r>
      <w:r w:rsidR="00286308" w:rsidRPr="00B46D91">
        <w:rPr>
          <w:rFonts w:asciiTheme="majorHAnsi" w:eastAsia="Times New Roman" w:hAnsiTheme="majorHAnsi" w:cs="Times New Roman"/>
          <w:sz w:val="22"/>
          <w:szCs w:val="22"/>
          <w:lang w:val="en-GB"/>
        </w:rPr>
        <w:t xml:space="preserve"> the activities of</w:t>
      </w:r>
      <w:r w:rsidR="00ED76DE" w:rsidRPr="00B46D91">
        <w:rPr>
          <w:rFonts w:asciiTheme="majorHAnsi" w:eastAsia="Times New Roman" w:hAnsiTheme="majorHAnsi" w:cs="Times New Roman"/>
          <w:sz w:val="22"/>
          <w:szCs w:val="22"/>
          <w:lang w:val="en-GB"/>
        </w:rPr>
        <w:t xml:space="preserve"> </w:t>
      </w:r>
      <w:r w:rsidR="005A4D51" w:rsidRPr="00B46D91">
        <w:rPr>
          <w:rFonts w:asciiTheme="majorHAnsi" w:eastAsia="Times New Roman" w:hAnsiTheme="majorHAnsi" w:cs="Times New Roman"/>
          <w:sz w:val="22"/>
          <w:szCs w:val="22"/>
          <w:lang w:val="en-GB"/>
        </w:rPr>
        <w:t>‘innocent’</w:t>
      </w:r>
      <w:r w:rsidR="00ED76DE" w:rsidRPr="00B46D91">
        <w:rPr>
          <w:rFonts w:asciiTheme="majorHAnsi" w:eastAsia="Times New Roman" w:hAnsiTheme="majorHAnsi" w:cs="Times New Roman"/>
          <w:sz w:val="22"/>
          <w:szCs w:val="22"/>
          <w:lang w:val="en-GB"/>
        </w:rPr>
        <w:t xml:space="preserve"> third parties –</w:t>
      </w:r>
      <w:r w:rsidR="000D6E65" w:rsidRPr="00B46D91">
        <w:rPr>
          <w:rFonts w:asciiTheme="majorHAnsi" w:eastAsia="Times New Roman" w:hAnsiTheme="majorHAnsi" w:cs="Times New Roman"/>
          <w:sz w:val="22"/>
          <w:szCs w:val="22"/>
          <w:lang w:val="en-GB"/>
        </w:rPr>
        <w:t xml:space="preserve"> in </w:t>
      </w:r>
      <w:r w:rsidR="00A86DFB" w:rsidRPr="00B46D91">
        <w:rPr>
          <w:rFonts w:asciiTheme="majorHAnsi" w:eastAsia="Times New Roman" w:hAnsiTheme="majorHAnsi" w:cs="Times New Roman"/>
          <w:sz w:val="22"/>
          <w:szCs w:val="22"/>
          <w:lang w:val="en-GB"/>
        </w:rPr>
        <w:t>this particular</w:t>
      </w:r>
      <w:r w:rsidR="000D6E65" w:rsidRPr="00B46D91">
        <w:rPr>
          <w:rFonts w:asciiTheme="majorHAnsi" w:eastAsia="Times New Roman" w:hAnsiTheme="majorHAnsi" w:cs="Times New Roman"/>
          <w:sz w:val="22"/>
          <w:szCs w:val="22"/>
          <w:lang w:val="en-GB"/>
        </w:rPr>
        <w:t xml:space="preserve"> case</w:t>
      </w:r>
      <w:r w:rsidR="00ED76DE" w:rsidRPr="00B46D91">
        <w:rPr>
          <w:rFonts w:asciiTheme="majorHAnsi" w:eastAsia="Times New Roman" w:hAnsiTheme="majorHAnsi" w:cs="Times New Roman"/>
          <w:sz w:val="22"/>
          <w:szCs w:val="22"/>
          <w:lang w:val="en-GB"/>
        </w:rPr>
        <w:t xml:space="preserve">, </w:t>
      </w:r>
      <w:r w:rsidR="00286308" w:rsidRPr="00B46D91">
        <w:rPr>
          <w:rFonts w:asciiTheme="majorHAnsi" w:eastAsia="Times New Roman" w:hAnsiTheme="majorHAnsi" w:cs="Times New Roman"/>
          <w:sz w:val="22"/>
          <w:szCs w:val="22"/>
          <w:lang w:val="en-GB"/>
        </w:rPr>
        <w:t>by</w:t>
      </w:r>
      <w:r w:rsidR="00ED76DE" w:rsidRPr="00B46D91">
        <w:rPr>
          <w:rFonts w:asciiTheme="majorHAnsi" w:eastAsia="Times New Roman" w:hAnsiTheme="majorHAnsi" w:cs="Times New Roman"/>
          <w:sz w:val="22"/>
          <w:szCs w:val="22"/>
          <w:lang w:val="en-GB"/>
        </w:rPr>
        <w:t xml:space="preserve"> blocking </w:t>
      </w:r>
      <w:r w:rsidR="00286308" w:rsidRPr="00B46D91">
        <w:rPr>
          <w:rFonts w:asciiTheme="majorHAnsi" w:eastAsia="Times New Roman" w:hAnsiTheme="majorHAnsi" w:cs="Times New Roman"/>
          <w:sz w:val="22"/>
          <w:szCs w:val="22"/>
          <w:lang w:val="en-GB"/>
        </w:rPr>
        <w:t>three</w:t>
      </w:r>
      <w:r w:rsidR="00ED76DE" w:rsidRPr="00B46D91">
        <w:rPr>
          <w:rFonts w:asciiTheme="majorHAnsi" w:eastAsia="Times New Roman" w:hAnsiTheme="majorHAnsi" w:cs="Times New Roman"/>
          <w:sz w:val="22"/>
          <w:szCs w:val="22"/>
          <w:lang w:val="en-GB"/>
        </w:rPr>
        <w:t xml:space="preserve"> motorway</w:t>
      </w:r>
      <w:r w:rsidR="00286308" w:rsidRPr="00B46D91">
        <w:rPr>
          <w:rFonts w:asciiTheme="majorHAnsi" w:eastAsia="Times New Roman" w:hAnsiTheme="majorHAnsi" w:cs="Times New Roman"/>
          <w:sz w:val="22"/>
          <w:szCs w:val="22"/>
          <w:lang w:val="en-GB"/>
        </w:rPr>
        <w:t>s</w:t>
      </w:r>
      <w:r w:rsidR="00ED76DE" w:rsidRPr="00B46D91">
        <w:rPr>
          <w:rFonts w:asciiTheme="majorHAnsi" w:eastAsia="Times New Roman" w:hAnsiTheme="majorHAnsi" w:cs="Times New Roman"/>
          <w:sz w:val="22"/>
          <w:szCs w:val="22"/>
          <w:lang w:val="en-GB"/>
        </w:rPr>
        <w:t xml:space="preserve"> </w:t>
      </w:r>
      <w:r w:rsidR="00286308" w:rsidRPr="00B46D91">
        <w:rPr>
          <w:rFonts w:asciiTheme="majorHAnsi" w:eastAsia="Times New Roman" w:hAnsiTheme="majorHAnsi" w:cs="Times New Roman"/>
          <w:sz w:val="22"/>
          <w:szCs w:val="22"/>
          <w:lang w:val="en-GB"/>
        </w:rPr>
        <w:t xml:space="preserve">for two days </w:t>
      </w:r>
      <w:r w:rsidR="00ED76DE" w:rsidRPr="00B46D91">
        <w:rPr>
          <w:rFonts w:asciiTheme="majorHAnsi" w:eastAsia="Times New Roman" w:hAnsiTheme="majorHAnsi" w:cs="Times New Roman"/>
          <w:sz w:val="22"/>
          <w:szCs w:val="22"/>
          <w:lang w:val="en-GB"/>
        </w:rPr>
        <w:t xml:space="preserve">– </w:t>
      </w:r>
      <w:r w:rsidR="000D6E65" w:rsidRPr="00B46D91">
        <w:rPr>
          <w:rFonts w:asciiTheme="majorHAnsi" w:eastAsia="Times New Roman" w:hAnsiTheme="majorHAnsi" w:cs="Times New Roman"/>
          <w:sz w:val="22"/>
          <w:szCs w:val="22"/>
          <w:lang w:val="en-GB"/>
        </w:rPr>
        <w:t>but</w:t>
      </w:r>
      <w:r w:rsidR="00147A37" w:rsidRPr="00B46D91">
        <w:rPr>
          <w:rFonts w:asciiTheme="majorHAnsi" w:eastAsia="Times New Roman" w:hAnsiTheme="majorHAnsi" w:cs="Times New Roman"/>
          <w:sz w:val="22"/>
          <w:szCs w:val="22"/>
          <w:lang w:val="en-GB"/>
        </w:rPr>
        <w:t xml:space="preserve"> ultimately</w:t>
      </w:r>
      <w:r w:rsidR="000D6E65" w:rsidRPr="00B46D91">
        <w:rPr>
          <w:rFonts w:asciiTheme="majorHAnsi" w:eastAsia="Times New Roman" w:hAnsiTheme="majorHAnsi" w:cs="Times New Roman"/>
          <w:sz w:val="22"/>
          <w:szCs w:val="22"/>
          <w:lang w:val="en-GB"/>
        </w:rPr>
        <w:t xml:space="preserve"> found that the conduct was not “of such a nature and degree as to remove … the demonstration from the scope of protection of the right to freedom of peaceful assembly.”</w:t>
      </w:r>
      <w:r w:rsidR="002E2436" w:rsidRPr="00B46D91">
        <w:rPr>
          <w:rStyle w:val="FootnoteReference"/>
          <w:rFonts w:asciiTheme="majorHAnsi" w:eastAsia="Times New Roman" w:hAnsiTheme="majorHAnsi" w:cs="Times New Roman"/>
          <w:sz w:val="22"/>
          <w:szCs w:val="22"/>
          <w:lang w:val="en-GB"/>
        </w:rPr>
        <w:footnoteReference w:id="9"/>
      </w:r>
    </w:p>
    <w:p w14:paraId="13B6C3EE" w14:textId="3153682A" w:rsidR="009C7AE4" w:rsidRPr="00B46D91" w:rsidRDefault="009C7AE4" w:rsidP="000D6E65">
      <w:pPr>
        <w:shd w:val="clear" w:color="auto" w:fill="FFFFFF"/>
        <w:spacing w:before="240"/>
        <w:rPr>
          <w:rFonts w:asciiTheme="majorHAnsi" w:eastAsia="Times New Roman" w:hAnsiTheme="majorHAnsi" w:cs="Times New Roman"/>
          <w:sz w:val="22"/>
          <w:szCs w:val="22"/>
          <w:lang w:val="en-GB"/>
        </w:rPr>
      </w:pPr>
      <w:r w:rsidRPr="00B46D91">
        <w:rPr>
          <w:rFonts w:asciiTheme="majorHAnsi" w:eastAsia="Times New Roman" w:hAnsiTheme="majorHAnsi" w:cs="Times New Roman"/>
          <w:sz w:val="22"/>
          <w:szCs w:val="22"/>
          <w:lang w:val="en-GB"/>
        </w:rPr>
        <w:t>The Inter-American Commission on Human Rights</w:t>
      </w:r>
      <w:r w:rsidR="00276EA4" w:rsidRPr="00B46D91">
        <w:rPr>
          <w:rFonts w:asciiTheme="majorHAnsi" w:eastAsia="Times New Roman" w:hAnsiTheme="majorHAnsi" w:cs="Times New Roman"/>
          <w:sz w:val="22"/>
          <w:szCs w:val="22"/>
          <w:lang w:val="en-GB"/>
        </w:rPr>
        <w:t xml:space="preserve"> (IACHR)</w:t>
      </w:r>
      <w:r w:rsidRPr="00B46D91">
        <w:rPr>
          <w:rFonts w:asciiTheme="majorHAnsi" w:eastAsia="Times New Roman" w:hAnsiTheme="majorHAnsi" w:cs="Times New Roman"/>
          <w:sz w:val="22"/>
          <w:szCs w:val="22"/>
          <w:lang w:val="en-GB"/>
        </w:rPr>
        <w:t xml:space="preserve"> takes a similar view:</w:t>
      </w:r>
    </w:p>
    <w:p w14:paraId="1211A9D1" w14:textId="327105A3" w:rsidR="009C7AE4" w:rsidRPr="00B46D91" w:rsidRDefault="009C7AE4" w:rsidP="00CF3FC9">
      <w:pPr>
        <w:shd w:val="clear" w:color="auto" w:fill="FFFFFF"/>
        <w:spacing w:before="240"/>
        <w:ind w:left="720" w:right="645"/>
        <w:rPr>
          <w:rFonts w:asciiTheme="majorHAnsi" w:eastAsia="Times New Roman" w:hAnsiTheme="majorHAnsi" w:cs="Times New Roman"/>
          <w:bCs/>
          <w:iCs/>
          <w:sz w:val="22"/>
          <w:szCs w:val="22"/>
          <w:lang w:val="en-GB"/>
        </w:rPr>
      </w:pPr>
      <w:r w:rsidRPr="00B46D91">
        <w:rPr>
          <w:rFonts w:asciiTheme="majorHAnsi" w:eastAsia="Times New Roman" w:hAnsiTheme="majorHAnsi" w:cs="Times New Roman"/>
          <w:bCs/>
          <w:iCs/>
          <w:sz w:val="22"/>
          <w:szCs w:val="22"/>
          <w:lang w:val="en-GB"/>
        </w:rPr>
        <w:t>“Strikes, road blockages, the occupation of public space, and even the disturbances that might occur during social protests may naturally cause annoyances or even damages … Nevertheless, disproportionate restrictions to protest, in particular in cases of groups that have no other way to express themselves publicly, seriously jeopardize the right to freedom of expression.”</w:t>
      </w:r>
      <w:r w:rsidRPr="00B46D91">
        <w:rPr>
          <w:rFonts w:asciiTheme="majorHAnsi" w:eastAsia="Times New Roman" w:hAnsiTheme="majorHAnsi" w:cs="Times New Roman"/>
          <w:bCs/>
          <w:iCs/>
          <w:sz w:val="22"/>
          <w:szCs w:val="22"/>
          <w:vertAlign w:val="superscript"/>
          <w:lang w:val="en-GB"/>
        </w:rPr>
        <w:footnoteReference w:id="10"/>
      </w:r>
    </w:p>
    <w:p w14:paraId="2089660C" w14:textId="5C2A156F" w:rsidR="008A6327" w:rsidRPr="00B46D91" w:rsidRDefault="00982697" w:rsidP="00E949E4">
      <w:pPr>
        <w:shd w:val="clear" w:color="auto" w:fill="FFFFFF"/>
        <w:spacing w:before="240"/>
        <w:rPr>
          <w:rFonts w:asciiTheme="majorHAnsi" w:eastAsia="Times New Roman" w:hAnsiTheme="majorHAnsi" w:cs="Times New Roman"/>
          <w:sz w:val="22"/>
          <w:szCs w:val="22"/>
          <w:lang w:val="en-GB"/>
        </w:rPr>
      </w:pPr>
      <w:r w:rsidRPr="00B46D91">
        <w:rPr>
          <w:rFonts w:asciiTheme="majorHAnsi" w:eastAsia="Times New Roman" w:hAnsiTheme="majorHAnsi" w:cs="Times New Roman"/>
          <w:sz w:val="22"/>
          <w:szCs w:val="22"/>
          <w:lang w:val="en-GB"/>
        </w:rPr>
        <w:t>We consider this view correct</w:t>
      </w:r>
      <w:r w:rsidR="008A6327" w:rsidRPr="00B46D91">
        <w:rPr>
          <w:rFonts w:asciiTheme="majorHAnsi" w:eastAsia="Times New Roman" w:hAnsiTheme="majorHAnsi" w:cs="Times New Roman"/>
          <w:sz w:val="22"/>
          <w:szCs w:val="22"/>
          <w:lang w:val="en-GB"/>
        </w:rPr>
        <w:t xml:space="preserve">. </w:t>
      </w:r>
      <w:r w:rsidR="00E255DA" w:rsidRPr="00B46D91">
        <w:rPr>
          <w:rFonts w:asciiTheme="majorHAnsi" w:eastAsia="Times New Roman" w:hAnsiTheme="majorHAnsi" w:cs="Times New Roman"/>
          <w:sz w:val="22"/>
          <w:szCs w:val="22"/>
          <w:lang w:val="en-GB"/>
        </w:rPr>
        <w:t>Assemblies</w:t>
      </w:r>
      <w:r w:rsidR="00257475" w:rsidRPr="00B46D91">
        <w:rPr>
          <w:rFonts w:asciiTheme="majorHAnsi" w:eastAsia="Times New Roman" w:hAnsiTheme="majorHAnsi" w:cs="Times New Roman"/>
          <w:sz w:val="22"/>
          <w:szCs w:val="22"/>
          <w:lang w:val="en-GB"/>
        </w:rPr>
        <w:t xml:space="preserve"> are</w:t>
      </w:r>
      <w:r w:rsidR="00E255DA" w:rsidRPr="00B46D91">
        <w:rPr>
          <w:rFonts w:asciiTheme="majorHAnsi" w:eastAsia="Times New Roman" w:hAnsiTheme="majorHAnsi" w:cs="Times New Roman"/>
          <w:sz w:val="22"/>
          <w:szCs w:val="22"/>
          <w:lang w:val="en-GB"/>
        </w:rPr>
        <w:t xml:space="preserve"> </w:t>
      </w:r>
      <w:r w:rsidR="00A40F80" w:rsidRPr="00B46D91">
        <w:rPr>
          <w:rFonts w:asciiTheme="majorHAnsi" w:eastAsia="Times New Roman" w:hAnsiTheme="majorHAnsi" w:cs="Times New Roman"/>
          <w:sz w:val="22"/>
          <w:szCs w:val="22"/>
          <w:lang w:val="en-GB"/>
        </w:rPr>
        <w:t>typically</w:t>
      </w:r>
      <w:r w:rsidR="00257475" w:rsidRPr="00B46D91">
        <w:rPr>
          <w:rFonts w:asciiTheme="majorHAnsi" w:eastAsia="Times New Roman" w:hAnsiTheme="majorHAnsi" w:cs="Times New Roman"/>
          <w:sz w:val="22"/>
          <w:szCs w:val="22"/>
          <w:lang w:val="en-GB"/>
        </w:rPr>
        <w:t xml:space="preserve"> intended </w:t>
      </w:r>
      <w:r w:rsidR="008D4ED3">
        <w:rPr>
          <w:rFonts w:asciiTheme="majorHAnsi" w:eastAsia="Times New Roman" w:hAnsiTheme="majorHAnsi" w:cs="Times New Roman"/>
          <w:sz w:val="22"/>
          <w:szCs w:val="22"/>
          <w:lang w:val="en-GB"/>
        </w:rPr>
        <w:t xml:space="preserve">to </w:t>
      </w:r>
      <w:r w:rsidR="00FD64B1" w:rsidRPr="00B46D91">
        <w:rPr>
          <w:rFonts w:asciiTheme="majorHAnsi" w:eastAsia="Times New Roman" w:hAnsiTheme="majorHAnsi" w:cs="Times New Roman"/>
          <w:sz w:val="22"/>
          <w:szCs w:val="22"/>
          <w:lang w:val="en-GB"/>
        </w:rPr>
        <w:t>call attention to</w:t>
      </w:r>
      <w:r w:rsidR="00257475" w:rsidRPr="00B46D91">
        <w:rPr>
          <w:rFonts w:asciiTheme="majorHAnsi" w:eastAsia="Times New Roman" w:hAnsiTheme="majorHAnsi" w:cs="Times New Roman"/>
          <w:sz w:val="22"/>
          <w:szCs w:val="22"/>
          <w:lang w:val="en-GB"/>
        </w:rPr>
        <w:t xml:space="preserve"> issue</w:t>
      </w:r>
      <w:r w:rsidR="00CF3FC9" w:rsidRPr="00B46D91">
        <w:rPr>
          <w:rFonts w:asciiTheme="majorHAnsi" w:eastAsia="Times New Roman" w:hAnsiTheme="majorHAnsi" w:cs="Times New Roman"/>
          <w:sz w:val="22"/>
          <w:szCs w:val="22"/>
          <w:lang w:val="en-GB"/>
        </w:rPr>
        <w:t>s</w:t>
      </w:r>
      <w:r w:rsidR="00257475" w:rsidRPr="00B46D91">
        <w:rPr>
          <w:rFonts w:asciiTheme="majorHAnsi" w:eastAsia="Times New Roman" w:hAnsiTheme="majorHAnsi" w:cs="Times New Roman"/>
          <w:sz w:val="22"/>
          <w:szCs w:val="22"/>
          <w:lang w:val="en-GB"/>
        </w:rPr>
        <w:t xml:space="preserve"> </w:t>
      </w:r>
      <w:r w:rsidR="00A40F80" w:rsidRPr="00B46D91">
        <w:rPr>
          <w:rFonts w:asciiTheme="majorHAnsi" w:eastAsia="Times New Roman" w:hAnsiTheme="majorHAnsi" w:cs="Times New Roman"/>
          <w:sz w:val="22"/>
          <w:szCs w:val="22"/>
          <w:lang w:val="en-GB"/>
        </w:rPr>
        <w:t xml:space="preserve">or grievances </w:t>
      </w:r>
      <w:r w:rsidR="00257475" w:rsidRPr="00B46D91">
        <w:rPr>
          <w:rFonts w:asciiTheme="majorHAnsi" w:eastAsia="Times New Roman" w:hAnsiTheme="majorHAnsi" w:cs="Times New Roman"/>
          <w:sz w:val="22"/>
          <w:szCs w:val="22"/>
          <w:lang w:val="en-GB"/>
        </w:rPr>
        <w:t xml:space="preserve">that participants feel </w:t>
      </w:r>
      <w:r w:rsidR="00CF3FC9" w:rsidRPr="00B46D91">
        <w:rPr>
          <w:rFonts w:asciiTheme="majorHAnsi" w:eastAsia="Times New Roman" w:hAnsiTheme="majorHAnsi" w:cs="Times New Roman"/>
          <w:sz w:val="22"/>
          <w:szCs w:val="22"/>
          <w:lang w:val="en-GB"/>
        </w:rPr>
        <w:t>are</w:t>
      </w:r>
      <w:r w:rsidR="00257475" w:rsidRPr="00B46D91">
        <w:rPr>
          <w:rFonts w:asciiTheme="majorHAnsi" w:eastAsia="Times New Roman" w:hAnsiTheme="majorHAnsi" w:cs="Times New Roman"/>
          <w:sz w:val="22"/>
          <w:szCs w:val="22"/>
          <w:lang w:val="en-GB"/>
        </w:rPr>
        <w:t xml:space="preserve"> being </w:t>
      </w:r>
      <w:r w:rsidR="000F7578" w:rsidRPr="00B46D91">
        <w:rPr>
          <w:rFonts w:asciiTheme="majorHAnsi" w:eastAsia="Times New Roman" w:hAnsiTheme="majorHAnsi" w:cs="Times New Roman"/>
          <w:sz w:val="22"/>
          <w:szCs w:val="22"/>
          <w:lang w:val="en-GB"/>
        </w:rPr>
        <w:t>ignored</w:t>
      </w:r>
      <w:r w:rsidR="00257475" w:rsidRPr="00B46D91">
        <w:rPr>
          <w:rFonts w:asciiTheme="majorHAnsi" w:eastAsia="Times New Roman" w:hAnsiTheme="majorHAnsi" w:cs="Times New Roman"/>
          <w:sz w:val="22"/>
          <w:szCs w:val="22"/>
          <w:lang w:val="en-GB"/>
        </w:rPr>
        <w:t xml:space="preserve">. </w:t>
      </w:r>
      <w:r w:rsidR="00A40F80" w:rsidRPr="00B46D91">
        <w:rPr>
          <w:rFonts w:asciiTheme="majorHAnsi" w:eastAsia="Times New Roman" w:hAnsiTheme="majorHAnsi" w:cs="Times New Roman"/>
          <w:sz w:val="22"/>
          <w:szCs w:val="22"/>
          <w:lang w:val="en-GB"/>
        </w:rPr>
        <w:t xml:space="preserve">A certain degree of discomfort for the target is </w:t>
      </w:r>
      <w:r w:rsidR="00AF03C3" w:rsidRPr="00B46D91">
        <w:rPr>
          <w:rFonts w:asciiTheme="majorHAnsi" w:eastAsia="Times New Roman" w:hAnsiTheme="majorHAnsi" w:cs="Times New Roman"/>
          <w:sz w:val="22"/>
          <w:szCs w:val="22"/>
          <w:lang w:val="en-GB"/>
        </w:rPr>
        <w:t>part and parcel of that process</w:t>
      </w:r>
      <w:r w:rsidR="002E5B1D" w:rsidRPr="00B46D91">
        <w:rPr>
          <w:rFonts w:asciiTheme="majorHAnsi" w:eastAsia="Times New Roman" w:hAnsiTheme="majorHAnsi" w:cs="Times New Roman"/>
          <w:sz w:val="22"/>
          <w:szCs w:val="22"/>
          <w:lang w:val="en-GB"/>
        </w:rPr>
        <w:t>.</w:t>
      </w:r>
      <w:r w:rsidR="002A2CDD" w:rsidRPr="00B46D91">
        <w:rPr>
          <w:rFonts w:asciiTheme="majorHAnsi" w:eastAsia="Times New Roman" w:hAnsiTheme="majorHAnsi" w:cs="Times New Roman"/>
          <w:sz w:val="22"/>
          <w:szCs w:val="22"/>
          <w:lang w:val="en-GB"/>
        </w:rPr>
        <w:t xml:space="preserve"> </w:t>
      </w:r>
      <w:r w:rsidR="003070C6" w:rsidRPr="00B46D91">
        <w:rPr>
          <w:rFonts w:asciiTheme="majorHAnsi" w:eastAsia="Times New Roman" w:hAnsiTheme="majorHAnsi" w:cs="Times New Roman"/>
          <w:sz w:val="22"/>
          <w:szCs w:val="22"/>
          <w:lang w:val="en-GB"/>
        </w:rPr>
        <w:t xml:space="preserve">The relevant question (which we address further below) is </w:t>
      </w:r>
      <w:r w:rsidR="00072D37" w:rsidRPr="00B46D91">
        <w:rPr>
          <w:rFonts w:asciiTheme="majorHAnsi" w:eastAsia="Times New Roman" w:hAnsiTheme="majorHAnsi" w:cs="Times New Roman"/>
          <w:sz w:val="22"/>
          <w:szCs w:val="22"/>
          <w:lang w:val="en-GB"/>
        </w:rPr>
        <w:t xml:space="preserve">not </w:t>
      </w:r>
      <w:r w:rsidR="003070C6" w:rsidRPr="00B46D91">
        <w:rPr>
          <w:rFonts w:asciiTheme="majorHAnsi" w:eastAsia="Times New Roman" w:hAnsiTheme="majorHAnsi" w:cs="Times New Roman"/>
          <w:sz w:val="22"/>
          <w:szCs w:val="22"/>
          <w:lang w:val="en-GB"/>
        </w:rPr>
        <w:t>whether the</w:t>
      </w:r>
      <w:r w:rsidR="00072D37" w:rsidRPr="00B46D91">
        <w:rPr>
          <w:rFonts w:asciiTheme="majorHAnsi" w:eastAsia="Times New Roman" w:hAnsiTheme="majorHAnsi" w:cs="Times New Roman"/>
          <w:sz w:val="22"/>
          <w:szCs w:val="22"/>
          <w:lang w:val="en-GB"/>
        </w:rPr>
        <w:t xml:space="preserve"> right continues to apply, but whether </w:t>
      </w:r>
      <w:r w:rsidR="005F0B70" w:rsidRPr="00B46D91">
        <w:rPr>
          <w:rFonts w:asciiTheme="majorHAnsi" w:eastAsia="Times New Roman" w:hAnsiTheme="majorHAnsi" w:cs="Times New Roman"/>
          <w:sz w:val="22"/>
          <w:szCs w:val="22"/>
          <w:lang w:val="en-GB"/>
        </w:rPr>
        <w:t xml:space="preserve">the disruption reaches a level where a restriction </w:t>
      </w:r>
      <w:r w:rsidR="005776A3">
        <w:rPr>
          <w:rFonts w:asciiTheme="majorHAnsi" w:eastAsia="Times New Roman" w:hAnsiTheme="majorHAnsi" w:cs="Times New Roman"/>
          <w:sz w:val="22"/>
          <w:szCs w:val="22"/>
          <w:lang w:val="en-GB"/>
        </w:rPr>
        <w:t xml:space="preserve">may </w:t>
      </w:r>
      <w:r w:rsidR="005F0B70" w:rsidRPr="00B46D91">
        <w:rPr>
          <w:rFonts w:asciiTheme="majorHAnsi" w:eastAsia="Times New Roman" w:hAnsiTheme="majorHAnsi" w:cs="Times New Roman"/>
          <w:sz w:val="22"/>
          <w:szCs w:val="22"/>
          <w:lang w:val="en-GB"/>
        </w:rPr>
        <w:t>be</w:t>
      </w:r>
      <w:r w:rsidR="00C012B3" w:rsidRPr="00B46D91">
        <w:rPr>
          <w:rFonts w:asciiTheme="majorHAnsi" w:eastAsia="Times New Roman" w:hAnsiTheme="majorHAnsi" w:cs="Times New Roman"/>
          <w:sz w:val="22"/>
          <w:szCs w:val="22"/>
          <w:lang w:val="en-GB"/>
        </w:rPr>
        <w:t xml:space="preserve"> imposed</w:t>
      </w:r>
      <w:r w:rsidR="005F0B70" w:rsidRPr="00B46D91">
        <w:rPr>
          <w:rFonts w:asciiTheme="majorHAnsi" w:eastAsia="Times New Roman" w:hAnsiTheme="majorHAnsi" w:cs="Times New Roman"/>
          <w:sz w:val="22"/>
          <w:szCs w:val="22"/>
          <w:lang w:val="en-GB"/>
        </w:rPr>
        <w:t xml:space="preserve">, and importantly, whether that restriction respects </w:t>
      </w:r>
      <w:r w:rsidR="00805779" w:rsidRPr="00B46D91">
        <w:rPr>
          <w:rFonts w:asciiTheme="majorHAnsi" w:eastAsia="Times New Roman" w:hAnsiTheme="majorHAnsi" w:cs="Times New Roman"/>
          <w:sz w:val="22"/>
          <w:szCs w:val="22"/>
          <w:lang w:val="en-GB"/>
        </w:rPr>
        <w:t xml:space="preserve">the </w:t>
      </w:r>
      <w:r w:rsidR="00124854" w:rsidRPr="00B46D91">
        <w:rPr>
          <w:rFonts w:asciiTheme="majorHAnsi" w:eastAsia="Times New Roman" w:hAnsiTheme="majorHAnsi" w:cs="Times New Roman"/>
          <w:sz w:val="22"/>
          <w:szCs w:val="22"/>
          <w:lang w:val="en-GB"/>
        </w:rPr>
        <w:t>relevant conditions</w:t>
      </w:r>
      <w:r w:rsidR="00DC2A4F" w:rsidRPr="00B46D91">
        <w:rPr>
          <w:rFonts w:asciiTheme="majorHAnsi" w:eastAsia="Times New Roman" w:hAnsiTheme="majorHAnsi" w:cs="Times New Roman"/>
          <w:sz w:val="22"/>
          <w:szCs w:val="22"/>
          <w:lang w:val="en-GB"/>
        </w:rPr>
        <w:t xml:space="preserve"> set out in Article 21 ICCPR</w:t>
      </w:r>
      <w:r w:rsidR="00A1280C" w:rsidRPr="00B46D91">
        <w:rPr>
          <w:rFonts w:asciiTheme="majorHAnsi" w:eastAsia="Times New Roman" w:hAnsiTheme="majorHAnsi" w:cs="Times New Roman"/>
          <w:sz w:val="22"/>
          <w:szCs w:val="22"/>
          <w:lang w:val="en-GB"/>
        </w:rPr>
        <w:t xml:space="preserve">, such as </w:t>
      </w:r>
      <w:r w:rsidR="007B1E6A" w:rsidRPr="00B46D91">
        <w:rPr>
          <w:rFonts w:asciiTheme="majorHAnsi" w:eastAsia="Times New Roman" w:hAnsiTheme="majorHAnsi" w:cs="Times New Roman"/>
          <w:sz w:val="22"/>
          <w:szCs w:val="22"/>
          <w:lang w:val="en-GB"/>
        </w:rPr>
        <w:t>lawfulness</w:t>
      </w:r>
      <w:r w:rsidR="00A1280C" w:rsidRPr="00B46D91">
        <w:rPr>
          <w:rFonts w:asciiTheme="majorHAnsi" w:eastAsia="Times New Roman" w:hAnsiTheme="majorHAnsi" w:cs="Times New Roman"/>
          <w:sz w:val="22"/>
          <w:szCs w:val="22"/>
          <w:lang w:val="en-GB"/>
        </w:rPr>
        <w:t xml:space="preserve"> and proportionality</w:t>
      </w:r>
      <w:r w:rsidR="005F0B70" w:rsidRPr="00B46D91">
        <w:rPr>
          <w:rFonts w:asciiTheme="majorHAnsi" w:eastAsia="Times New Roman" w:hAnsiTheme="majorHAnsi" w:cs="Times New Roman"/>
          <w:sz w:val="22"/>
          <w:szCs w:val="22"/>
          <w:lang w:val="en-GB"/>
        </w:rPr>
        <w:t>.</w:t>
      </w:r>
    </w:p>
    <w:p w14:paraId="2C1A0C9D" w14:textId="77777777" w:rsidR="00A41EC9" w:rsidRPr="00B46D91" w:rsidRDefault="00A41EC9" w:rsidP="000842C6">
      <w:pPr>
        <w:pStyle w:val="NormalWeb"/>
        <w:rPr>
          <w:rFonts w:asciiTheme="majorHAnsi" w:hAnsiTheme="majorHAnsi" w:cs="Arial"/>
          <w:b/>
          <w:sz w:val="22"/>
          <w:szCs w:val="22"/>
          <w:lang w:val="en-GB"/>
        </w:rPr>
      </w:pPr>
      <w:r w:rsidRPr="00B46D91">
        <w:rPr>
          <w:rFonts w:asciiTheme="majorHAnsi" w:hAnsiTheme="majorHAnsi" w:cs="Arial"/>
          <w:b/>
          <w:sz w:val="22"/>
          <w:szCs w:val="22"/>
          <w:u w:val="single"/>
          <w:lang w:val="en-GB"/>
        </w:rPr>
        <w:t>Question 4: the duty to ‘respect and ensure’ and the required level of tolerance</w:t>
      </w:r>
    </w:p>
    <w:p w14:paraId="7492B82A" w14:textId="77777777" w:rsidR="00312846" w:rsidRPr="00B46D91" w:rsidRDefault="00A41EC9" w:rsidP="005A4BF8">
      <w:pPr>
        <w:pStyle w:val="NormalWeb"/>
        <w:rPr>
          <w:rFonts w:asciiTheme="majorHAnsi" w:hAnsiTheme="majorHAnsi" w:cs="Arial"/>
          <w:sz w:val="22"/>
          <w:szCs w:val="22"/>
          <w:lang w:val="en-GB"/>
        </w:rPr>
      </w:pPr>
      <w:r w:rsidRPr="00B46D91">
        <w:rPr>
          <w:rFonts w:asciiTheme="majorHAnsi" w:hAnsiTheme="majorHAnsi" w:cs="Arial"/>
          <w:sz w:val="22"/>
          <w:szCs w:val="22"/>
          <w:lang w:val="en-GB"/>
        </w:rPr>
        <w:t>Under Question 4, Rapp</w:t>
      </w:r>
      <w:r w:rsidR="00B63993" w:rsidRPr="00B46D91">
        <w:rPr>
          <w:rFonts w:asciiTheme="majorHAnsi" w:hAnsiTheme="majorHAnsi" w:cs="Arial"/>
          <w:sz w:val="22"/>
          <w:szCs w:val="22"/>
          <w:lang w:val="en-GB"/>
        </w:rPr>
        <w:t xml:space="preserve">orteur enquires whether States </w:t>
      </w:r>
      <w:r w:rsidR="00506CFC" w:rsidRPr="00B46D91">
        <w:rPr>
          <w:rFonts w:asciiTheme="majorHAnsi" w:hAnsiTheme="majorHAnsi" w:cs="Arial"/>
          <w:sz w:val="22"/>
          <w:szCs w:val="22"/>
          <w:lang w:val="en-GB"/>
        </w:rPr>
        <w:t>“</w:t>
      </w:r>
      <w:r w:rsidRPr="00B46D91">
        <w:rPr>
          <w:rFonts w:asciiTheme="majorHAnsi" w:hAnsiTheme="majorHAnsi" w:cs="Arial"/>
          <w:sz w:val="22"/>
          <w:szCs w:val="22"/>
          <w:lang w:val="en-GB"/>
        </w:rPr>
        <w:t>are required to show a certain level of tolerance to conduct when engaged in as part of peaceful assembly, and not meet it with the same force of the law as it would otherwise do</w:t>
      </w:r>
      <w:r w:rsidR="00506CFC" w:rsidRPr="00B46D91">
        <w:rPr>
          <w:rFonts w:asciiTheme="majorHAnsi" w:hAnsiTheme="majorHAnsi" w:cs="Arial"/>
          <w:sz w:val="22"/>
          <w:szCs w:val="22"/>
          <w:lang w:val="en-GB"/>
        </w:rPr>
        <w:t>.”</w:t>
      </w:r>
      <w:r w:rsidR="004354E2" w:rsidRPr="00B46D91">
        <w:rPr>
          <w:rFonts w:asciiTheme="majorHAnsi" w:hAnsiTheme="majorHAnsi" w:cs="Arial"/>
          <w:sz w:val="22"/>
          <w:szCs w:val="22"/>
          <w:lang w:val="en-GB"/>
        </w:rPr>
        <w:t xml:space="preserve"> </w:t>
      </w:r>
    </w:p>
    <w:p w14:paraId="308431A4" w14:textId="13B34280" w:rsidR="005F128F" w:rsidRPr="00B46D91" w:rsidRDefault="004354E2" w:rsidP="005A4BF8">
      <w:pPr>
        <w:pStyle w:val="NormalWeb"/>
        <w:rPr>
          <w:rFonts w:asciiTheme="majorHAnsi" w:hAnsiTheme="majorHAnsi" w:cs="Arial"/>
          <w:sz w:val="22"/>
          <w:szCs w:val="22"/>
          <w:lang w:val="en-GB"/>
        </w:rPr>
      </w:pPr>
      <w:r w:rsidRPr="00B46D91">
        <w:rPr>
          <w:rFonts w:asciiTheme="majorHAnsi" w:hAnsiTheme="majorHAnsi" w:cs="Arial"/>
          <w:sz w:val="22"/>
          <w:szCs w:val="22"/>
          <w:lang w:val="en-GB"/>
        </w:rPr>
        <w:t>The existence of such a duty is well recognised in</w:t>
      </w:r>
      <w:r w:rsidR="00B63993" w:rsidRPr="00B46D91">
        <w:rPr>
          <w:rFonts w:asciiTheme="majorHAnsi" w:hAnsiTheme="majorHAnsi" w:cs="Arial"/>
          <w:sz w:val="22"/>
          <w:szCs w:val="22"/>
          <w:lang w:val="en-GB"/>
        </w:rPr>
        <w:t xml:space="preserve"> existing</w:t>
      </w:r>
      <w:r w:rsidRPr="00B46D91">
        <w:rPr>
          <w:rFonts w:asciiTheme="majorHAnsi" w:hAnsiTheme="majorHAnsi" w:cs="Arial"/>
          <w:sz w:val="22"/>
          <w:szCs w:val="22"/>
          <w:lang w:val="en-GB"/>
        </w:rPr>
        <w:t xml:space="preserve"> </w:t>
      </w:r>
      <w:r w:rsidR="00BD56E5">
        <w:rPr>
          <w:rFonts w:asciiTheme="majorHAnsi" w:hAnsiTheme="majorHAnsi" w:cs="Arial"/>
          <w:sz w:val="22"/>
          <w:szCs w:val="22"/>
          <w:lang w:val="en-GB"/>
        </w:rPr>
        <w:t xml:space="preserve">international </w:t>
      </w:r>
      <w:r w:rsidRPr="00B46D91">
        <w:rPr>
          <w:rFonts w:asciiTheme="majorHAnsi" w:hAnsiTheme="majorHAnsi" w:cs="Arial"/>
          <w:sz w:val="22"/>
          <w:szCs w:val="22"/>
          <w:lang w:val="en-GB"/>
        </w:rPr>
        <w:t xml:space="preserve">standards and regional </w:t>
      </w:r>
      <w:r w:rsidR="00312846" w:rsidRPr="00B46D91">
        <w:rPr>
          <w:rFonts w:asciiTheme="majorHAnsi" w:hAnsiTheme="majorHAnsi" w:cs="Arial"/>
          <w:sz w:val="22"/>
          <w:szCs w:val="22"/>
          <w:lang w:val="en-GB"/>
        </w:rPr>
        <w:t>jurisprudence (some of which were</w:t>
      </w:r>
      <w:r w:rsidRPr="00B46D91">
        <w:rPr>
          <w:rFonts w:asciiTheme="majorHAnsi" w:hAnsiTheme="majorHAnsi" w:cs="Arial"/>
          <w:sz w:val="22"/>
          <w:szCs w:val="22"/>
          <w:lang w:val="en-GB"/>
        </w:rPr>
        <w:t xml:space="preserve"> quoted above).</w:t>
      </w:r>
      <w:r w:rsidR="005F128F" w:rsidRPr="00B46D91">
        <w:rPr>
          <w:rFonts w:asciiTheme="majorHAnsi" w:hAnsiTheme="majorHAnsi" w:cs="Arial"/>
          <w:sz w:val="22"/>
          <w:szCs w:val="22"/>
          <w:lang w:val="en-GB"/>
        </w:rPr>
        <w:t xml:space="preserve"> </w:t>
      </w:r>
      <w:r w:rsidR="00B16958" w:rsidRPr="00B46D91">
        <w:rPr>
          <w:rFonts w:asciiTheme="majorHAnsi" w:hAnsiTheme="majorHAnsi" w:cs="Arial"/>
          <w:sz w:val="22"/>
          <w:szCs w:val="22"/>
          <w:lang w:val="en-GB"/>
        </w:rPr>
        <w:t>Tolerance has been held to imply, among others,</w:t>
      </w:r>
      <w:r w:rsidR="005F128F" w:rsidRPr="00B46D91">
        <w:rPr>
          <w:rFonts w:asciiTheme="majorHAnsi" w:hAnsiTheme="majorHAnsi" w:cs="Arial"/>
          <w:sz w:val="22"/>
          <w:szCs w:val="22"/>
          <w:lang w:val="en-GB"/>
        </w:rPr>
        <w:t xml:space="preserve"> that </w:t>
      </w:r>
      <w:r w:rsidR="00BA7689" w:rsidRPr="00B46D91">
        <w:rPr>
          <w:rFonts w:asciiTheme="majorHAnsi" w:hAnsiTheme="majorHAnsi" w:cs="Arial"/>
          <w:sz w:val="22"/>
          <w:szCs w:val="22"/>
          <w:lang w:val="en-GB"/>
        </w:rPr>
        <w:t>assemblies should not be dispersed merely because formalities such as a notification requirement were not complied with</w:t>
      </w:r>
      <w:r w:rsidR="00276FB7" w:rsidRPr="00B46D91">
        <w:rPr>
          <w:rFonts w:asciiTheme="majorHAnsi" w:hAnsiTheme="majorHAnsi" w:cs="Arial"/>
          <w:sz w:val="22"/>
          <w:szCs w:val="22"/>
          <w:lang w:val="en-GB"/>
        </w:rPr>
        <w:t>;</w:t>
      </w:r>
      <w:r w:rsidR="008E706F" w:rsidRPr="00B46D91">
        <w:rPr>
          <w:rStyle w:val="FootnoteReference"/>
          <w:rFonts w:asciiTheme="majorHAnsi" w:hAnsiTheme="majorHAnsi" w:cs="Arial"/>
          <w:sz w:val="22"/>
          <w:szCs w:val="22"/>
          <w:lang w:val="en-GB"/>
        </w:rPr>
        <w:footnoteReference w:id="11"/>
      </w:r>
      <w:r w:rsidR="00276FB7" w:rsidRPr="00B46D91">
        <w:rPr>
          <w:rFonts w:asciiTheme="majorHAnsi" w:hAnsiTheme="majorHAnsi" w:cs="Arial"/>
          <w:sz w:val="22"/>
          <w:szCs w:val="22"/>
          <w:lang w:val="en-GB"/>
        </w:rPr>
        <w:t xml:space="preserve"> that </w:t>
      </w:r>
      <w:r w:rsidR="00B16958" w:rsidRPr="00B46D91">
        <w:rPr>
          <w:rFonts w:asciiTheme="majorHAnsi" w:hAnsiTheme="majorHAnsi" w:cs="Arial"/>
          <w:sz w:val="22"/>
          <w:szCs w:val="22"/>
          <w:lang w:val="en-GB"/>
        </w:rPr>
        <w:t xml:space="preserve">where dispersal is </w:t>
      </w:r>
      <w:r w:rsidR="00664C79" w:rsidRPr="00B46D91">
        <w:rPr>
          <w:rFonts w:asciiTheme="majorHAnsi" w:hAnsiTheme="majorHAnsi" w:cs="Arial"/>
          <w:sz w:val="22"/>
          <w:szCs w:val="22"/>
          <w:lang w:val="en-GB"/>
        </w:rPr>
        <w:t xml:space="preserve">in principle </w:t>
      </w:r>
      <w:r w:rsidR="00B16958" w:rsidRPr="00B46D91">
        <w:rPr>
          <w:rFonts w:asciiTheme="majorHAnsi" w:hAnsiTheme="majorHAnsi" w:cs="Arial"/>
          <w:sz w:val="22"/>
          <w:szCs w:val="22"/>
          <w:lang w:val="en-GB"/>
        </w:rPr>
        <w:t xml:space="preserve">justified, public authorities should nevertheless act with patience and </w:t>
      </w:r>
      <w:r w:rsidR="009E5701" w:rsidRPr="00B46D91">
        <w:rPr>
          <w:rFonts w:asciiTheme="majorHAnsi" w:hAnsiTheme="majorHAnsi" w:cs="Arial"/>
          <w:sz w:val="22"/>
          <w:szCs w:val="22"/>
          <w:lang w:val="en-GB"/>
        </w:rPr>
        <w:t xml:space="preserve">ordinarily </w:t>
      </w:r>
      <w:r w:rsidR="00B16958" w:rsidRPr="00B46D91">
        <w:rPr>
          <w:rFonts w:asciiTheme="majorHAnsi" w:hAnsiTheme="majorHAnsi" w:cs="Arial"/>
          <w:sz w:val="22"/>
          <w:szCs w:val="22"/>
          <w:lang w:val="en-GB"/>
        </w:rPr>
        <w:t xml:space="preserve">allow demonstrators </w:t>
      </w:r>
      <w:r w:rsidR="00F267A2" w:rsidRPr="00B46D91">
        <w:rPr>
          <w:rFonts w:asciiTheme="majorHAnsi" w:hAnsiTheme="majorHAnsi" w:cs="Arial"/>
          <w:sz w:val="22"/>
          <w:szCs w:val="22"/>
          <w:lang w:val="en-GB"/>
        </w:rPr>
        <w:t>an opportunity</w:t>
      </w:r>
      <w:r w:rsidR="00B16958" w:rsidRPr="00B46D91">
        <w:rPr>
          <w:rFonts w:asciiTheme="majorHAnsi" w:hAnsiTheme="majorHAnsi" w:cs="Arial"/>
          <w:sz w:val="22"/>
          <w:szCs w:val="22"/>
          <w:lang w:val="en-GB"/>
        </w:rPr>
        <w:t xml:space="preserve"> to make their point;</w:t>
      </w:r>
      <w:r w:rsidR="00740DAB" w:rsidRPr="00B46D91">
        <w:rPr>
          <w:rStyle w:val="FootnoteReference"/>
          <w:rFonts w:asciiTheme="majorHAnsi" w:hAnsiTheme="majorHAnsi" w:cs="Arial"/>
          <w:sz w:val="22"/>
          <w:szCs w:val="22"/>
          <w:lang w:val="en-GB"/>
        </w:rPr>
        <w:footnoteReference w:id="12"/>
      </w:r>
      <w:r w:rsidR="00B16958" w:rsidRPr="00B46D91">
        <w:rPr>
          <w:rFonts w:asciiTheme="majorHAnsi" w:hAnsiTheme="majorHAnsi" w:cs="Arial"/>
          <w:sz w:val="22"/>
          <w:szCs w:val="22"/>
          <w:lang w:val="en-GB"/>
        </w:rPr>
        <w:t xml:space="preserve"> and that sanctions should be proportionate, </w:t>
      </w:r>
      <w:r w:rsidR="00E516B3" w:rsidRPr="00B46D91">
        <w:rPr>
          <w:rFonts w:asciiTheme="majorHAnsi" w:hAnsiTheme="majorHAnsi" w:cs="Arial"/>
          <w:sz w:val="22"/>
          <w:szCs w:val="22"/>
          <w:lang w:val="en-GB"/>
        </w:rPr>
        <w:t xml:space="preserve">with criminal sanctions </w:t>
      </w:r>
      <w:r w:rsidR="004E5F56" w:rsidRPr="00B46D91">
        <w:rPr>
          <w:rFonts w:asciiTheme="majorHAnsi" w:hAnsiTheme="majorHAnsi" w:cs="Arial"/>
          <w:sz w:val="22"/>
          <w:szCs w:val="22"/>
          <w:lang w:val="en-GB"/>
        </w:rPr>
        <w:t xml:space="preserve">and in particular imprisonment </w:t>
      </w:r>
      <w:r w:rsidR="00E516B3" w:rsidRPr="00B46D91">
        <w:rPr>
          <w:rFonts w:asciiTheme="majorHAnsi" w:hAnsiTheme="majorHAnsi" w:cs="Arial"/>
          <w:sz w:val="22"/>
          <w:szCs w:val="22"/>
          <w:lang w:val="en-GB"/>
        </w:rPr>
        <w:t>discouraged</w:t>
      </w:r>
      <w:r w:rsidR="00B16958" w:rsidRPr="00B46D91">
        <w:rPr>
          <w:rFonts w:asciiTheme="majorHAnsi" w:hAnsiTheme="majorHAnsi" w:cs="Arial"/>
          <w:sz w:val="22"/>
          <w:szCs w:val="22"/>
          <w:lang w:val="en-GB"/>
        </w:rPr>
        <w:t xml:space="preserve"> where a </w:t>
      </w:r>
      <w:r w:rsidR="00250976" w:rsidRPr="00B46D91">
        <w:rPr>
          <w:rFonts w:asciiTheme="majorHAnsi" w:hAnsiTheme="majorHAnsi" w:cs="Arial"/>
          <w:sz w:val="22"/>
          <w:szCs w:val="22"/>
          <w:lang w:val="en-GB"/>
        </w:rPr>
        <w:t>peaceful assembly is concerned.</w:t>
      </w:r>
      <w:r w:rsidR="00250976" w:rsidRPr="00B46D91">
        <w:rPr>
          <w:rStyle w:val="FootnoteReference"/>
          <w:rFonts w:asciiTheme="majorHAnsi" w:hAnsiTheme="majorHAnsi" w:cs="Arial"/>
          <w:sz w:val="22"/>
          <w:szCs w:val="22"/>
          <w:lang w:val="en-GB"/>
        </w:rPr>
        <w:footnoteReference w:id="13"/>
      </w:r>
      <w:r w:rsidR="00B16958" w:rsidRPr="00B46D91">
        <w:rPr>
          <w:rFonts w:asciiTheme="majorHAnsi" w:hAnsiTheme="majorHAnsi" w:cs="Arial"/>
          <w:sz w:val="22"/>
          <w:szCs w:val="22"/>
          <w:lang w:val="en-GB"/>
        </w:rPr>
        <w:t xml:space="preserve"> </w:t>
      </w:r>
    </w:p>
    <w:p w14:paraId="5F889C6F" w14:textId="741C7F37" w:rsidR="00506CFC" w:rsidRPr="00B46D91" w:rsidRDefault="004354E2" w:rsidP="000842C6">
      <w:pPr>
        <w:pStyle w:val="NormalWeb"/>
        <w:rPr>
          <w:rFonts w:asciiTheme="majorHAnsi" w:hAnsiTheme="majorHAnsi" w:cs="Arial"/>
          <w:sz w:val="22"/>
          <w:szCs w:val="22"/>
          <w:lang w:val="en-GB"/>
        </w:rPr>
      </w:pPr>
      <w:r w:rsidRPr="00B46D91">
        <w:rPr>
          <w:rFonts w:asciiTheme="majorHAnsi" w:hAnsiTheme="majorHAnsi" w:cs="Arial"/>
          <w:sz w:val="22"/>
          <w:szCs w:val="22"/>
          <w:lang w:val="en-GB"/>
        </w:rPr>
        <w:t>We would like to draw the Committee’s attention to two</w:t>
      </w:r>
      <w:r w:rsidR="009423FF" w:rsidRPr="00B46D91">
        <w:rPr>
          <w:rFonts w:asciiTheme="majorHAnsi" w:hAnsiTheme="majorHAnsi" w:cs="Arial"/>
          <w:sz w:val="22"/>
          <w:szCs w:val="22"/>
          <w:lang w:val="en-GB"/>
        </w:rPr>
        <w:t xml:space="preserve"> important</w:t>
      </w:r>
      <w:r w:rsidRPr="00B46D91">
        <w:rPr>
          <w:rFonts w:asciiTheme="majorHAnsi" w:hAnsiTheme="majorHAnsi" w:cs="Arial"/>
          <w:sz w:val="22"/>
          <w:szCs w:val="22"/>
          <w:lang w:val="en-GB"/>
        </w:rPr>
        <w:t xml:space="preserve"> </w:t>
      </w:r>
      <w:r w:rsidR="005A4BF8" w:rsidRPr="00B46D91">
        <w:rPr>
          <w:rFonts w:asciiTheme="majorHAnsi" w:hAnsiTheme="majorHAnsi" w:cs="Arial"/>
          <w:sz w:val="22"/>
          <w:szCs w:val="22"/>
          <w:lang w:val="en-GB"/>
        </w:rPr>
        <w:t xml:space="preserve">additional aspects of tolerance that, in our view, </w:t>
      </w:r>
      <w:r w:rsidR="00053B16" w:rsidRPr="00B46D91">
        <w:rPr>
          <w:rFonts w:asciiTheme="majorHAnsi" w:hAnsiTheme="majorHAnsi" w:cs="Arial"/>
          <w:sz w:val="22"/>
          <w:szCs w:val="22"/>
          <w:lang w:val="en-GB"/>
        </w:rPr>
        <w:t xml:space="preserve">have not received sufficient attention in existing standards and </w:t>
      </w:r>
      <w:r w:rsidR="00D4304E" w:rsidRPr="00B46D91">
        <w:rPr>
          <w:rFonts w:asciiTheme="majorHAnsi" w:hAnsiTheme="majorHAnsi" w:cs="Arial"/>
          <w:sz w:val="22"/>
          <w:szCs w:val="22"/>
          <w:lang w:val="en-GB"/>
        </w:rPr>
        <w:t xml:space="preserve">deserve </w:t>
      </w:r>
      <w:r w:rsidR="00B600C9" w:rsidRPr="00B46D91">
        <w:rPr>
          <w:rFonts w:asciiTheme="majorHAnsi" w:hAnsiTheme="majorHAnsi" w:cs="Arial"/>
          <w:sz w:val="22"/>
          <w:szCs w:val="22"/>
          <w:lang w:val="en-GB"/>
        </w:rPr>
        <w:t>discussion</w:t>
      </w:r>
      <w:r w:rsidR="00D4304E" w:rsidRPr="00B46D91">
        <w:rPr>
          <w:rFonts w:asciiTheme="majorHAnsi" w:hAnsiTheme="majorHAnsi" w:cs="Arial"/>
          <w:sz w:val="22"/>
          <w:szCs w:val="22"/>
          <w:lang w:val="en-GB"/>
        </w:rPr>
        <w:t xml:space="preserve"> in the General Comment</w:t>
      </w:r>
      <w:r w:rsidR="005A4BF8" w:rsidRPr="00B46D91">
        <w:rPr>
          <w:rFonts w:asciiTheme="majorHAnsi" w:hAnsiTheme="majorHAnsi" w:cs="Arial"/>
          <w:sz w:val="22"/>
          <w:szCs w:val="22"/>
          <w:lang w:val="en-GB"/>
        </w:rPr>
        <w:t>.</w:t>
      </w:r>
    </w:p>
    <w:p w14:paraId="3228C589" w14:textId="4B3B770A" w:rsidR="006D07D0" w:rsidRPr="00B46D91" w:rsidRDefault="00FA4AFB" w:rsidP="000842C6">
      <w:pPr>
        <w:pStyle w:val="NormalWeb"/>
        <w:rPr>
          <w:rFonts w:asciiTheme="majorHAnsi" w:hAnsiTheme="majorHAnsi" w:cs="Arial"/>
          <w:i/>
          <w:sz w:val="22"/>
          <w:szCs w:val="22"/>
          <w:lang w:val="en-GB"/>
        </w:rPr>
      </w:pPr>
      <w:r w:rsidRPr="00B46D91">
        <w:rPr>
          <w:rFonts w:asciiTheme="majorHAnsi" w:hAnsiTheme="majorHAnsi" w:cs="Arial"/>
          <w:i/>
          <w:sz w:val="22"/>
          <w:szCs w:val="22"/>
          <w:lang w:val="en-GB"/>
        </w:rPr>
        <w:t>T</w:t>
      </w:r>
      <w:r w:rsidR="00A640D4" w:rsidRPr="00B46D91">
        <w:rPr>
          <w:rFonts w:asciiTheme="majorHAnsi" w:hAnsiTheme="majorHAnsi" w:cs="Arial"/>
          <w:i/>
          <w:sz w:val="22"/>
          <w:szCs w:val="22"/>
          <w:lang w:val="en-GB"/>
        </w:rPr>
        <w:t>olerance</w:t>
      </w:r>
      <w:r w:rsidR="00AE43D4" w:rsidRPr="00B46D91">
        <w:rPr>
          <w:rFonts w:asciiTheme="majorHAnsi" w:hAnsiTheme="majorHAnsi" w:cs="Arial"/>
          <w:i/>
          <w:sz w:val="22"/>
          <w:szCs w:val="22"/>
          <w:lang w:val="en-GB"/>
        </w:rPr>
        <w:t xml:space="preserve"> in the pre-trial </w:t>
      </w:r>
      <w:r w:rsidRPr="00B46D91">
        <w:rPr>
          <w:rFonts w:asciiTheme="majorHAnsi" w:hAnsiTheme="majorHAnsi" w:cs="Arial"/>
          <w:i/>
          <w:sz w:val="22"/>
          <w:szCs w:val="22"/>
          <w:lang w:val="en-GB"/>
        </w:rPr>
        <w:t>process</w:t>
      </w:r>
    </w:p>
    <w:p w14:paraId="2E9F75B6" w14:textId="1054C359" w:rsidR="002F40C2" w:rsidRPr="00B46D91" w:rsidRDefault="006D07D0" w:rsidP="002F2D02">
      <w:pPr>
        <w:pStyle w:val="NormalWeb"/>
        <w:rPr>
          <w:rFonts w:asciiTheme="majorHAnsi" w:hAnsiTheme="majorHAnsi" w:cs="Arial"/>
          <w:sz w:val="22"/>
          <w:szCs w:val="22"/>
          <w:lang w:val="en-GB"/>
        </w:rPr>
      </w:pPr>
      <w:r w:rsidRPr="00B46D91">
        <w:rPr>
          <w:rFonts w:asciiTheme="majorHAnsi" w:hAnsiTheme="majorHAnsi" w:cs="Arial"/>
          <w:sz w:val="22"/>
          <w:szCs w:val="22"/>
          <w:lang w:val="en-GB"/>
        </w:rPr>
        <w:t>An acquittal or modest sanction may create a misleading faç</w:t>
      </w:r>
      <w:r w:rsidR="000D3DA6" w:rsidRPr="00B46D91">
        <w:rPr>
          <w:rFonts w:asciiTheme="majorHAnsi" w:hAnsiTheme="majorHAnsi" w:cs="Arial"/>
          <w:sz w:val="22"/>
          <w:szCs w:val="22"/>
          <w:lang w:val="en-GB"/>
        </w:rPr>
        <w:t>ade of t</w:t>
      </w:r>
      <w:r w:rsidR="001823BB" w:rsidRPr="00B46D91">
        <w:rPr>
          <w:rFonts w:asciiTheme="majorHAnsi" w:hAnsiTheme="majorHAnsi" w:cs="Arial"/>
          <w:sz w:val="22"/>
          <w:szCs w:val="22"/>
          <w:lang w:val="en-GB"/>
        </w:rPr>
        <w:t>olerance, if it foll</w:t>
      </w:r>
      <w:r w:rsidR="00376C59" w:rsidRPr="00B46D91">
        <w:rPr>
          <w:rFonts w:asciiTheme="majorHAnsi" w:hAnsiTheme="majorHAnsi" w:cs="Arial"/>
          <w:sz w:val="22"/>
          <w:szCs w:val="22"/>
          <w:lang w:val="en-GB"/>
        </w:rPr>
        <w:t>ows aggressive steps in the pre-trial process</w:t>
      </w:r>
      <w:r w:rsidR="00417045" w:rsidRPr="00B46D91">
        <w:rPr>
          <w:rFonts w:asciiTheme="majorHAnsi" w:hAnsiTheme="majorHAnsi" w:cs="Arial"/>
          <w:sz w:val="22"/>
          <w:szCs w:val="22"/>
          <w:lang w:val="en-GB"/>
        </w:rPr>
        <w:t>, which can have a considerable chilling effect.</w:t>
      </w:r>
      <w:r w:rsidR="00090DD2" w:rsidRPr="00B46D91">
        <w:rPr>
          <w:rFonts w:asciiTheme="majorHAnsi" w:hAnsiTheme="majorHAnsi" w:cs="Arial"/>
          <w:sz w:val="22"/>
          <w:szCs w:val="22"/>
          <w:lang w:val="en-GB"/>
        </w:rPr>
        <w:t xml:space="preserve"> There </w:t>
      </w:r>
      <w:r w:rsidR="00D4304E" w:rsidRPr="00B46D91">
        <w:rPr>
          <w:rFonts w:asciiTheme="majorHAnsi" w:hAnsiTheme="majorHAnsi" w:cs="Arial"/>
          <w:sz w:val="22"/>
          <w:szCs w:val="22"/>
          <w:lang w:val="en-GB"/>
        </w:rPr>
        <w:t xml:space="preserve">is a </w:t>
      </w:r>
      <w:r w:rsidR="006455FE" w:rsidRPr="00B46D91">
        <w:rPr>
          <w:rFonts w:asciiTheme="majorHAnsi" w:hAnsiTheme="majorHAnsi" w:cs="Arial"/>
          <w:sz w:val="22"/>
          <w:szCs w:val="22"/>
          <w:lang w:val="en-GB"/>
        </w:rPr>
        <w:t>practice</w:t>
      </w:r>
      <w:r w:rsidR="00090DD2" w:rsidRPr="00B46D91">
        <w:rPr>
          <w:rFonts w:asciiTheme="majorHAnsi" w:hAnsiTheme="majorHAnsi" w:cs="Arial"/>
          <w:sz w:val="22"/>
          <w:szCs w:val="22"/>
          <w:lang w:val="en-GB"/>
        </w:rPr>
        <w:t xml:space="preserve"> in </w:t>
      </w:r>
      <w:r w:rsidR="00CD1CBC" w:rsidRPr="00B46D91">
        <w:rPr>
          <w:rFonts w:asciiTheme="majorHAnsi" w:hAnsiTheme="majorHAnsi" w:cs="Arial"/>
          <w:sz w:val="22"/>
          <w:szCs w:val="22"/>
          <w:lang w:val="en-GB"/>
        </w:rPr>
        <w:t>many</w:t>
      </w:r>
      <w:r w:rsidR="00D4304E" w:rsidRPr="00B46D91">
        <w:rPr>
          <w:rFonts w:asciiTheme="majorHAnsi" w:hAnsiTheme="majorHAnsi" w:cs="Arial"/>
          <w:sz w:val="22"/>
          <w:szCs w:val="22"/>
          <w:lang w:val="en-GB"/>
        </w:rPr>
        <w:t xml:space="preserve"> jurisdictions </w:t>
      </w:r>
      <w:r w:rsidR="006455FE" w:rsidRPr="00B46D91">
        <w:rPr>
          <w:rFonts w:asciiTheme="majorHAnsi" w:hAnsiTheme="majorHAnsi" w:cs="Arial"/>
          <w:sz w:val="22"/>
          <w:szCs w:val="22"/>
          <w:lang w:val="en-GB"/>
        </w:rPr>
        <w:t>of</w:t>
      </w:r>
      <w:r w:rsidR="00D4304E" w:rsidRPr="00B46D91">
        <w:rPr>
          <w:rFonts w:asciiTheme="majorHAnsi" w:hAnsiTheme="majorHAnsi" w:cs="Arial"/>
          <w:sz w:val="22"/>
          <w:szCs w:val="22"/>
          <w:lang w:val="en-GB"/>
        </w:rPr>
        <w:t xml:space="preserve"> bring</w:t>
      </w:r>
      <w:r w:rsidR="006455FE" w:rsidRPr="00B46D91">
        <w:rPr>
          <w:rFonts w:asciiTheme="majorHAnsi" w:hAnsiTheme="majorHAnsi" w:cs="Arial"/>
          <w:sz w:val="22"/>
          <w:szCs w:val="22"/>
          <w:lang w:val="en-GB"/>
        </w:rPr>
        <w:t>ing</w:t>
      </w:r>
      <w:r w:rsidR="0021698D" w:rsidRPr="00B46D91">
        <w:rPr>
          <w:rFonts w:asciiTheme="majorHAnsi" w:hAnsiTheme="majorHAnsi" w:cs="Arial"/>
          <w:sz w:val="22"/>
          <w:szCs w:val="22"/>
          <w:lang w:val="en-GB"/>
        </w:rPr>
        <w:t xml:space="preserve"> heavy</w:t>
      </w:r>
      <w:r w:rsidR="00D4304E" w:rsidRPr="00B46D91">
        <w:rPr>
          <w:rFonts w:asciiTheme="majorHAnsi" w:hAnsiTheme="majorHAnsi" w:cs="Arial"/>
          <w:sz w:val="22"/>
          <w:szCs w:val="22"/>
          <w:lang w:val="en-GB"/>
        </w:rPr>
        <w:t xml:space="preserve"> </w:t>
      </w:r>
      <w:r w:rsidR="0021698D" w:rsidRPr="00B46D91">
        <w:rPr>
          <w:rFonts w:asciiTheme="majorHAnsi" w:hAnsiTheme="majorHAnsi" w:cs="Arial"/>
          <w:sz w:val="22"/>
          <w:szCs w:val="22"/>
          <w:lang w:val="en-GB"/>
        </w:rPr>
        <w:t xml:space="preserve">charges such as terrorism or </w:t>
      </w:r>
      <w:r w:rsidR="00E374EB" w:rsidRPr="00B46D91">
        <w:rPr>
          <w:rFonts w:asciiTheme="majorHAnsi" w:hAnsiTheme="majorHAnsi" w:cs="Arial"/>
          <w:sz w:val="22"/>
          <w:szCs w:val="22"/>
          <w:lang w:val="en-GB"/>
        </w:rPr>
        <w:t>rebellion</w:t>
      </w:r>
      <w:r w:rsidR="0021698D" w:rsidRPr="00B46D91">
        <w:rPr>
          <w:rFonts w:asciiTheme="majorHAnsi" w:hAnsiTheme="majorHAnsi" w:cs="Arial"/>
          <w:sz w:val="22"/>
          <w:szCs w:val="22"/>
          <w:lang w:val="en-GB"/>
        </w:rPr>
        <w:t xml:space="preserve"> </w:t>
      </w:r>
      <w:r w:rsidR="00E63798" w:rsidRPr="00B46D91">
        <w:rPr>
          <w:rFonts w:asciiTheme="majorHAnsi" w:hAnsiTheme="majorHAnsi" w:cs="Arial"/>
          <w:sz w:val="22"/>
          <w:szCs w:val="22"/>
          <w:lang w:val="en-GB"/>
        </w:rPr>
        <w:t>in response to</w:t>
      </w:r>
      <w:r w:rsidR="0021698D" w:rsidRPr="00B46D91">
        <w:rPr>
          <w:rFonts w:asciiTheme="majorHAnsi" w:hAnsiTheme="majorHAnsi" w:cs="Arial"/>
          <w:sz w:val="22"/>
          <w:szCs w:val="22"/>
          <w:lang w:val="en-GB"/>
        </w:rPr>
        <w:t xml:space="preserve"> assemblies</w:t>
      </w:r>
      <w:r w:rsidR="00902079" w:rsidRPr="00B46D91">
        <w:rPr>
          <w:rFonts w:asciiTheme="majorHAnsi" w:hAnsiTheme="majorHAnsi" w:cs="Arial"/>
          <w:sz w:val="22"/>
          <w:szCs w:val="22"/>
          <w:lang w:val="en-GB"/>
        </w:rPr>
        <w:t xml:space="preserve"> and holding </w:t>
      </w:r>
      <w:r w:rsidR="00E63798" w:rsidRPr="00B46D91">
        <w:rPr>
          <w:rFonts w:asciiTheme="majorHAnsi" w:hAnsiTheme="majorHAnsi" w:cs="Arial"/>
          <w:sz w:val="22"/>
          <w:szCs w:val="22"/>
          <w:lang w:val="en-GB"/>
        </w:rPr>
        <w:t>the suspects</w:t>
      </w:r>
      <w:r w:rsidR="00902079" w:rsidRPr="00B46D91">
        <w:rPr>
          <w:rFonts w:asciiTheme="majorHAnsi" w:hAnsiTheme="majorHAnsi" w:cs="Arial"/>
          <w:sz w:val="22"/>
          <w:szCs w:val="22"/>
          <w:lang w:val="en-GB"/>
        </w:rPr>
        <w:t xml:space="preserve"> in</w:t>
      </w:r>
      <w:r w:rsidR="00E63798" w:rsidRPr="00B46D91">
        <w:rPr>
          <w:rFonts w:asciiTheme="majorHAnsi" w:hAnsiTheme="majorHAnsi" w:cs="Arial"/>
          <w:sz w:val="22"/>
          <w:szCs w:val="22"/>
          <w:lang w:val="en-GB"/>
        </w:rPr>
        <w:t xml:space="preserve"> prolonged</w:t>
      </w:r>
      <w:r w:rsidR="00902079" w:rsidRPr="00B46D91">
        <w:rPr>
          <w:rFonts w:asciiTheme="majorHAnsi" w:hAnsiTheme="majorHAnsi" w:cs="Arial"/>
          <w:sz w:val="22"/>
          <w:szCs w:val="22"/>
          <w:lang w:val="en-GB"/>
        </w:rPr>
        <w:t xml:space="preserve"> pre-trial detention</w:t>
      </w:r>
      <w:r w:rsidR="006455FE" w:rsidRPr="00B46D91">
        <w:rPr>
          <w:rFonts w:asciiTheme="majorHAnsi" w:hAnsiTheme="majorHAnsi" w:cs="Arial"/>
          <w:sz w:val="22"/>
          <w:szCs w:val="22"/>
          <w:lang w:val="en-GB"/>
        </w:rPr>
        <w:t xml:space="preserve">. </w:t>
      </w:r>
      <w:r w:rsidR="00D74D6E" w:rsidRPr="00B46D91">
        <w:rPr>
          <w:rFonts w:asciiTheme="majorHAnsi" w:hAnsiTheme="majorHAnsi" w:cs="Arial"/>
          <w:sz w:val="22"/>
          <w:szCs w:val="22"/>
          <w:lang w:val="en-GB"/>
        </w:rPr>
        <w:t>An overview of such</w:t>
      </w:r>
      <w:r w:rsidR="00276EA4" w:rsidRPr="00B46D91">
        <w:rPr>
          <w:rFonts w:asciiTheme="majorHAnsi" w:hAnsiTheme="majorHAnsi" w:cs="Arial"/>
          <w:sz w:val="22"/>
          <w:szCs w:val="22"/>
          <w:lang w:val="en-GB"/>
        </w:rPr>
        <w:t xml:space="preserve"> practices in the Americas is </w:t>
      </w:r>
      <w:r w:rsidR="00D74D6E" w:rsidRPr="00B46D91">
        <w:rPr>
          <w:rFonts w:asciiTheme="majorHAnsi" w:hAnsiTheme="majorHAnsi" w:cs="Arial"/>
          <w:sz w:val="22"/>
          <w:szCs w:val="22"/>
          <w:lang w:val="en-GB"/>
        </w:rPr>
        <w:t>presented</w:t>
      </w:r>
      <w:r w:rsidR="00276EA4" w:rsidRPr="00B46D91">
        <w:rPr>
          <w:rFonts w:asciiTheme="majorHAnsi" w:hAnsiTheme="majorHAnsi" w:cs="Arial"/>
          <w:sz w:val="22"/>
          <w:szCs w:val="22"/>
          <w:lang w:val="en-GB"/>
        </w:rPr>
        <w:t xml:space="preserve"> in the IACHR’s 2015 Report on the Criminalization of the Work of Human Rights Defenders.</w:t>
      </w:r>
      <w:r w:rsidR="00276EA4" w:rsidRPr="00B46D91">
        <w:rPr>
          <w:rStyle w:val="FootnoteReference"/>
          <w:rFonts w:asciiTheme="majorHAnsi" w:hAnsiTheme="majorHAnsi" w:cs="Arial"/>
          <w:sz w:val="22"/>
          <w:szCs w:val="22"/>
          <w:lang w:val="en-GB"/>
        </w:rPr>
        <w:footnoteReference w:id="14"/>
      </w:r>
      <w:r w:rsidR="005A5313" w:rsidRPr="00B46D91">
        <w:rPr>
          <w:rFonts w:asciiTheme="majorHAnsi" w:hAnsiTheme="majorHAnsi" w:cs="Arial"/>
          <w:sz w:val="22"/>
          <w:szCs w:val="22"/>
          <w:lang w:val="en-GB"/>
        </w:rPr>
        <w:t xml:space="preserve"> GPI has also been confronted with disproportionate prosecutions, most notably</w:t>
      </w:r>
      <w:r w:rsidR="002F2D02" w:rsidRPr="00B46D91">
        <w:rPr>
          <w:rFonts w:asciiTheme="majorHAnsi" w:hAnsiTheme="majorHAnsi" w:cs="Arial"/>
          <w:sz w:val="22"/>
          <w:szCs w:val="22"/>
          <w:lang w:val="en-GB"/>
        </w:rPr>
        <w:t xml:space="preserve"> in 2013, </w:t>
      </w:r>
      <w:r w:rsidR="005A5313" w:rsidRPr="00B46D91">
        <w:rPr>
          <w:rFonts w:asciiTheme="majorHAnsi" w:hAnsiTheme="majorHAnsi" w:cs="Arial"/>
          <w:sz w:val="22"/>
          <w:szCs w:val="22"/>
          <w:lang w:val="en-GB"/>
        </w:rPr>
        <w:t>when</w:t>
      </w:r>
      <w:r w:rsidR="002F2D02" w:rsidRPr="00B46D91">
        <w:rPr>
          <w:rFonts w:asciiTheme="majorHAnsi" w:hAnsiTheme="majorHAnsi" w:cs="Arial"/>
          <w:sz w:val="22"/>
          <w:szCs w:val="22"/>
          <w:lang w:val="en-GB"/>
        </w:rPr>
        <w:t xml:space="preserve"> the </w:t>
      </w:r>
      <w:r w:rsidR="00C848B7" w:rsidRPr="00B46D91">
        <w:rPr>
          <w:rFonts w:asciiTheme="majorHAnsi" w:hAnsiTheme="majorHAnsi" w:cs="Arial"/>
          <w:sz w:val="22"/>
          <w:szCs w:val="22"/>
          <w:lang w:val="en-GB"/>
        </w:rPr>
        <w:t xml:space="preserve">entire crew of the </w:t>
      </w:r>
      <w:r w:rsidR="00607316" w:rsidRPr="00B46D91">
        <w:rPr>
          <w:rFonts w:asciiTheme="majorHAnsi" w:hAnsiTheme="majorHAnsi" w:cs="Arial"/>
          <w:sz w:val="22"/>
          <w:szCs w:val="22"/>
          <w:lang w:val="en-GB"/>
        </w:rPr>
        <w:t xml:space="preserve">Greenpeace </w:t>
      </w:r>
      <w:r w:rsidR="00C848B7" w:rsidRPr="00B46D91">
        <w:rPr>
          <w:rFonts w:asciiTheme="majorHAnsi" w:hAnsiTheme="majorHAnsi" w:cs="Arial"/>
          <w:sz w:val="22"/>
          <w:szCs w:val="22"/>
          <w:lang w:val="en-GB"/>
        </w:rPr>
        <w:t xml:space="preserve">vessel </w:t>
      </w:r>
      <w:r w:rsidR="00C848B7" w:rsidRPr="00B46D91">
        <w:rPr>
          <w:rFonts w:asciiTheme="majorHAnsi" w:hAnsiTheme="majorHAnsi" w:cs="Arial"/>
          <w:i/>
          <w:sz w:val="22"/>
          <w:szCs w:val="22"/>
          <w:lang w:val="en-GB"/>
        </w:rPr>
        <w:t>Arctic Sunrise</w:t>
      </w:r>
      <w:r w:rsidR="00C848B7" w:rsidRPr="00B46D91">
        <w:rPr>
          <w:rFonts w:asciiTheme="majorHAnsi" w:hAnsiTheme="majorHAnsi" w:cs="Arial"/>
          <w:sz w:val="22"/>
          <w:szCs w:val="22"/>
          <w:lang w:val="en-GB"/>
        </w:rPr>
        <w:t xml:space="preserve"> </w:t>
      </w:r>
      <w:r w:rsidR="005A5313" w:rsidRPr="00B46D91">
        <w:rPr>
          <w:rFonts w:asciiTheme="majorHAnsi" w:hAnsiTheme="majorHAnsi" w:cs="Arial"/>
          <w:sz w:val="22"/>
          <w:szCs w:val="22"/>
          <w:lang w:val="en-GB"/>
        </w:rPr>
        <w:t>was held on</w:t>
      </w:r>
      <w:r w:rsidR="002F2D02" w:rsidRPr="00B46D91">
        <w:rPr>
          <w:rFonts w:asciiTheme="majorHAnsi" w:hAnsiTheme="majorHAnsi" w:cs="Arial"/>
          <w:sz w:val="22"/>
          <w:szCs w:val="22"/>
          <w:lang w:val="en-GB"/>
        </w:rPr>
        <w:t xml:space="preserve"> charges of</w:t>
      </w:r>
      <w:r w:rsidR="00C848B7" w:rsidRPr="00B46D91">
        <w:rPr>
          <w:rFonts w:asciiTheme="majorHAnsi" w:hAnsiTheme="majorHAnsi" w:cs="Arial"/>
          <w:sz w:val="22"/>
          <w:szCs w:val="22"/>
          <w:lang w:val="en-GB"/>
        </w:rPr>
        <w:t xml:space="preserve"> piracy</w:t>
      </w:r>
      <w:r w:rsidR="005A5313" w:rsidRPr="00B46D91">
        <w:rPr>
          <w:rFonts w:asciiTheme="majorHAnsi" w:hAnsiTheme="majorHAnsi" w:cs="Arial"/>
          <w:sz w:val="22"/>
          <w:szCs w:val="22"/>
          <w:lang w:val="en-GB"/>
        </w:rPr>
        <w:t xml:space="preserve"> after </w:t>
      </w:r>
      <w:r w:rsidR="00C848B7" w:rsidRPr="00B46D91">
        <w:rPr>
          <w:rFonts w:asciiTheme="majorHAnsi" w:hAnsiTheme="majorHAnsi" w:cs="Arial"/>
          <w:sz w:val="22"/>
          <w:szCs w:val="22"/>
          <w:lang w:val="en-GB"/>
        </w:rPr>
        <w:t xml:space="preserve">a peaceful protest </w:t>
      </w:r>
      <w:r w:rsidR="005867D8" w:rsidRPr="00B46D91">
        <w:rPr>
          <w:rFonts w:asciiTheme="majorHAnsi" w:hAnsiTheme="majorHAnsi" w:cs="Arial"/>
          <w:sz w:val="22"/>
          <w:szCs w:val="22"/>
          <w:lang w:val="en-GB"/>
        </w:rPr>
        <w:t>against oil production in the Arctic</w:t>
      </w:r>
      <w:r w:rsidR="00AC2E9F" w:rsidRPr="00B46D91">
        <w:rPr>
          <w:rFonts w:asciiTheme="majorHAnsi" w:hAnsiTheme="majorHAnsi" w:cs="Arial"/>
          <w:sz w:val="22"/>
          <w:szCs w:val="22"/>
          <w:lang w:val="en-GB"/>
        </w:rPr>
        <w:t>.</w:t>
      </w:r>
      <w:r w:rsidR="005F0422" w:rsidRPr="00B46D91">
        <w:rPr>
          <w:rStyle w:val="FootnoteReference"/>
          <w:rFonts w:asciiTheme="majorHAnsi" w:hAnsiTheme="majorHAnsi" w:cs="Arial"/>
          <w:sz w:val="22"/>
          <w:szCs w:val="22"/>
          <w:lang w:val="en-GB"/>
        </w:rPr>
        <w:footnoteReference w:id="15"/>
      </w:r>
      <w:r w:rsidR="00AC2E9F" w:rsidRPr="00B46D91">
        <w:rPr>
          <w:rFonts w:asciiTheme="majorHAnsi" w:hAnsiTheme="majorHAnsi" w:cs="Arial"/>
          <w:sz w:val="22"/>
          <w:szCs w:val="22"/>
          <w:lang w:val="en-GB"/>
        </w:rPr>
        <w:t xml:space="preserve"> While the </w:t>
      </w:r>
      <w:r w:rsidR="000D6CA4" w:rsidRPr="00B46D91">
        <w:rPr>
          <w:rFonts w:asciiTheme="majorHAnsi" w:hAnsiTheme="majorHAnsi" w:cs="Arial"/>
          <w:sz w:val="22"/>
          <w:szCs w:val="22"/>
          <w:lang w:val="en-GB"/>
        </w:rPr>
        <w:t xml:space="preserve">charges </w:t>
      </w:r>
      <w:r w:rsidR="00AC2E9F" w:rsidRPr="00B46D91">
        <w:rPr>
          <w:rFonts w:asciiTheme="majorHAnsi" w:hAnsiTheme="majorHAnsi" w:cs="Arial"/>
          <w:sz w:val="22"/>
          <w:szCs w:val="22"/>
          <w:lang w:val="en-GB"/>
        </w:rPr>
        <w:t>were</w:t>
      </w:r>
      <w:r w:rsidR="002F40C2" w:rsidRPr="00B46D91">
        <w:rPr>
          <w:rFonts w:asciiTheme="majorHAnsi" w:hAnsiTheme="majorHAnsi" w:cs="Arial"/>
          <w:sz w:val="22"/>
          <w:szCs w:val="22"/>
          <w:lang w:val="en-GB"/>
        </w:rPr>
        <w:t xml:space="preserve"> eventually</w:t>
      </w:r>
      <w:r w:rsidR="00AC2E9F" w:rsidRPr="00B46D91">
        <w:rPr>
          <w:rFonts w:asciiTheme="majorHAnsi" w:hAnsiTheme="majorHAnsi" w:cs="Arial"/>
          <w:sz w:val="22"/>
          <w:szCs w:val="22"/>
          <w:lang w:val="en-GB"/>
        </w:rPr>
        <w:t xml:space="preserve"> </w:t>
      </w:r>
      <w:r w:rsidR="008A003B" w:rsidRPr="00B46D91">
        <w:rPr>
          <w:rFonts w:asciiTheme="majorHAnsi" w:hAnsiTheme="majorHAnsi" w:cs="Arial"/>
          <w:sz w:val="22"/>
          <w:szCs w:val="22"/>
          <w:lang w:val="en-GB"/>
        </w:rPr>
        <w:t>lifted</w:t>
      </w:r>
      <w:r w:rsidR="00D91615" w:rsidRPr="00B46D91">
        <w:rPr>
          <w:rFonts w:asciiTheme="majorHAnsi" w:hAnsiTheme="majorHAnsi" w:cs="Arial"/>
          <w:sz w:val="22"/>
          <w:szCs w:val="22"/>
          <w:lang w:val="en-GB"/>
        </w:rPr>
        <w:t>,</w:t>
      </w:r>
      <w:r w:rsidR="00095E7D" w:rsidRPr="00B46D91">
        <w:rPr>
          <w:rStyle w:val="FootnoteReference"/>
          <w:rFonts w:asciiTheme="majorHAnsi" w:hAnsiTheme="majorHAnsi" w:cs="Arial"/>
          <w:sz w:val="22"/>
          <w:szCs w:val="22"/>
          <w:lang w:val="en-GB"/>
        </w:rPr>
        <w:footnoteReference w:id="16"/>
      </w:r>
      <w:r w:rsidR="00D91615" w:rsidRPr="00B46D91">
        <w:rPr>
          <w:rFonts w:asciiTheme="majorHAnsi" w:hAnsiTheme="majorHAnsi" w:cs="Arial"/>
          <w:sz w:val="22"/>
          <w:szCs w:val="22"/>
          <w:lang w:val="en-GB"/>
        </w:rPr>
        <w:t xml:space="preserve"> </w:t>
      </w:r>
      <w:r w:rsidR="002F40C2" w:rsidRPr="00B46D91">
        <w:rPr>
          <w:rFonts w:asciiTheme="majorHAnsi" w:hAnsiTheme="majorHAnsi" w:cs="Arial"/>
          <w:sz w:val="22"/>
          <w:szCs w:val="22"/>
          <w:lang w:val="en-GB"/>
        </w:rPr>
        <w:t xml:space="preserve">two months in pre-trial detention </w:t>
      </w:r>
      <w:r w:rsidR="00D14893" w:rsidRPr="00B46D91">
        <w:rPr>
          <w:rFonts w:asciiTheme="majorHAnsi" w:hAnsiTheme="majorHAnsi" w:cs="Arial"/>
          <w:sz w:val="22"/>
          <w:szCs w:val="22"/>
          <w:lang w:val="en-GB"/>
        </w:rPr>
        <w:t>and the threat</w:t>
      </w:r>
      <w:r w:rsidR="006C1D41" w:rsidRPr="00B46D91">
        <w:rPr>
          <w:rFonts w:asciiTheme="majorHAnsi" w:hAnsiTheme="majorHAnsi" w:cs="Arial"/>
          <w:sz w:val="22"/>
          <w:szCs w:val="22"/>
          <w:lang w:val="en-GB"/>
        </w:rPr>
        <w:t xml:space="preserve"> of</w:t>
      </w:r>
      <w:r w:rsidR="002F40C2" w:rsidRPr="00B46D91">
        <w:rPr>
          <w:rFonts w:asciiTheme="majorHAnsi" w:hAnsiTheme="majorHAnsi" w:cs="Arial"/>
          <w:sz w:val="22"/>
          <w:szCs w:val="22"/>
          <w:lang w:val="en-GB"/>
        </w:rPr>
        <w:t xml:space="preserve"> a much longer sentence</w:t>
      </w:r>
      <w:r w:rsidR="00C65AA9" w:rsidRPr="00B46D91">
        <w:rPr>
          <w:rFonts w:asciiTheme="majorHAnsi" w:hAnsiTheme="majorHAnsi" w:cs="Arial"/>
          <w:sz w:val="22"/>
          <w:szCs w:val="22"/>
          <w:lang w:val="en-GB"/>
        </w:rPr>
        <w:t xml:space="preserve"> unsurprisingly</w:t>
      </w:r>
      <w:r w:rsidR="002F40C2" w:rsidRPr="00B46D91">
        <w:rPr>
          <w:rFonts w:asciiTheme="majorHAnsi" w:hAnsiTheme="majorHAnsi" w:cs="Arial"/>
          <w:sz w:val="22"/>
          <w:szCs w:val="22"/>
          <w:lang w:val="en-GB"/>
        </w:rPr>
        <w:t xml:space="preserve"> </w:t>
      </w:r>
      <w:r w:rsidR="00D02FA2" w:rsidRPr="00B46D91">
        <w:rPr>
          <w:rFonts w:asciiTheme="majorHAnsi" w:hAnsiTheme="majorHAnsi" w:cs="Arial"/>
          <w:sz w:val="22"/>
          <w:szCs w:val="22"/>
          <w:lang w:val="en-GB"/>
        </w:rPr>
        <w:t>ha</w:t>
      </w:r>
      <w:r w:rsidR="00C65AA9" w:rsidRPr="00B46D91">
        <w:rPr>
          <w:rFonts w:asciiTheme="majorHAnsi" w:hAnsiTheme="majorHAnsi" w:cs="Arial"/>
          <w:sz w:val="22"/>
          <w:szCs w:val="22"/>
          <w:lang w:val="en-GB"/>
        </w:rPr>
        <w:t xml:space="preserve">d a </w:t>
      </w:r>
      <w:r w:rsidR="002160CB" w:rsidRPr="00B46D91">
        <w:rPr>
          <w:rFonts w:asciiTheme="majorHAnsi" w:hAnsiTheme="majorHAnsi" w:cs="Arial"/>
          <w:sz w:val="22"/>
          <w:szCs w:val="22"/>
          <w:lang w:val="en-GB"/>
        </w:rPr>
        <w:t>major</w:t>
      </w:r>
      <w:r w:rsidR="00D02FA2" w:rsidRPr="00B46D91">
        <w:rPr>
          <w:rFonts w:asciiTheme="majorHAnsi" w:hAnsiTheme="majorHAnsi" w:cs="Arial"/>
          <w:sz w:val="22"/>
          <w:szCs w:val="22"/>
          <w:lang w:val="en-GB"/>
        </w:rPr>
        <w:t xml:space="preserve"> </w:t>
      </w:r>
      <w:r w:rsidR="00C65AA9" w:rsidRPr="00B46D91">
        <w:rPr>
          <w:rFonts w:asciiTheme="majorHAnsi" w:hAnsiTheme="majorHAnsi" w:cs="Arial"/>
          <w:sz w:val="22"/>
          <w:szCs w:val="22"/>
          <w:lang w:val="en-GB"/>
        </w:rPr>
        <w:t xml:space="preserve">impact on </w:t>
      </w:r>
      <w:r w:rsidR="001E3FBC" w:rsidRPr="00B46D91">
        <w:rPr>
          <w:rFonts w:asciiTheme="majorHAnsi" w:hAnsiTheme="majorHAnsi" w:cs="Arial"/>
          <w:sz w:val="22"/>
          <w:szCs w:val="22"/>
          <w:lang w:val="en-GB"/>
        </w:rPr>
        <w:t>those</w:t>
      </w:r>
      <w:r w:rsidR="00C65AA9" w:rsidRPr="00B46D91">
        <w:rPr>
          <w:rFonts w:asciiTheme="majorHAnsi" w:hAnsiTheme="majorHAnsi" w:cs="Arial"/>
          <w:sz w:val="22"/>
          <w:szCs w:val="22"/>
          <w:lang w:val="en-GB"/>
        </w:rPr>
        <w:t xml:space="preserve"> involved.</w:t>
      </w:r>
    </w:p>
    <w:p w14:paraId="1B2C7751" w14:textId="63DDC9AE" w:rsidR="000C2E56" w:rsidRPr="00B46D91" w:rsidRDefault="00BA299E" w:rsidP="002F2D02">
      <w:pPr>
        <w:pStyle w:val="NormalWeb"/>
        <w:rPr>
          <w:rFonts w:asciiTheme="majorHAnsi" w:hAnsiTheme="majorHAnsi" w:cs="Arial"/>
          <w:sz w:val="22"/>
          <w:szCs w:val="22"/>
          <w:lang w:val="en-GB"/>
        </w:rPr>
      </w:pPr>
      <w:r w:rsidRPr="00B46D91">
        <w:rPr>
          <w:rFonts w:asciiTheme="majorHAnsi" w:hAnsiTheme="majorHAnsi" w:cs="Arial"/>
          <w:sz w:val="22"/>
          <w:szCs w:val="22"/>
          <w:lang w:val="en-GB"/>
        </w:rPr>
        <w:t>It would</w:t>
      </w:r>
      <w:r w:rsidR="000C2E56" w:rsidRPr="00B46D91">
        <w:rPr>
          <w:rFonts w:asciiTheme="majorHAnsi" w:hAnsiTheme="majorHAnsi" w:cs="Arial"/>
          <w:sz w:val="22"/>
          <w:szCs w:val="22"/>
          <w:lang w:val="en-GB"/>
        </w:rPr>
        <w:t xml:space="preserve"> therefore</w:t>
      </w:r>
      <w:r w:rsidRPr="00B46D91">
        <w:rPr>
          <w:rFonts w:asciiTheme="majorHAnsi" w:hAnsiTheme="majorHAnsi" w:cs="Arial"/>
          <w:sz w:val="22"/>
          <w:szCs w:val="22"/>
          <w:lang w:val="en-GB"/>
        </w:rPr>
        <w:t xml:space="preserve"> be </w:t>
      </w:r>
      <w:r w:rsidR="004E6710">
        <w:rPr>
          <w:rFonts w:asciiTheme="majorHAnsi" w:hAnsiTheme="majorHAnsi" w:cs="Arial"/>
          <w:sz w:val="22"/>
          <w:szCs w:val="22"/>
          <w:lang w:val="en-GB"/>
        </w:rPr>
        <w:t xml:space="preserve">very </w:t>
      </w:r>
      <w:r w:rsidRPr="00B46D91">
        <w:rPr>
          <w:rFonts w:asciiTheme="majorHAnsi" w:hAnsiTheme="majorHAnsi" w:cs="Arial"/>
          <w:sz w:val="22"/>
          <w:szCs w:val="22"/>
          <w:lang w:val="en-GB"/>
        </w:rPr>
        <w:t xml:space="preserve">useful if the General Comment clarified that </w:t>
      </w:r>
      <w:r w:rsidR="000C2E56" w:rsidRPr="00B46D91">
        <w:rPr>
          <w:rFonts w:asciiTheme="majorHAnsi" w:hAnsiTheme="majorHAnsi" w:cs="Arial"/>
          <w:sz w:val="22"/>
          <w:szCs w:val="22"/>
          <w:lang w:val="en-GB"/>
        </w:rPr>
        <w:t xml:space="preserve">the duty of tolerance applies </w:t>
      </w:r>
      <w:r w:rsidR="007E6755" w:rsidRPr="00B46D91">
        <w:rPr>
          <w:rFonts w:asciiTheme="majorHAnsi" w:hAnsiTheme="majorHAnsi" w:cs="Arial"/>
          <w:sz w:val="22"/>
          <w:szCs w:val="22"/>
          <w:lang w:val="en-GB"/>
        </w:rPr>
        <w:t xml:space="preserve">with </w:t>
      </w:r>
      <w:r w:rsidR="00E65B35" w:rsidRPr="00B46D91">
        <w:rPr>
          <w:rFonts w:asciiTheme="majorHAnsi" w:hAnsiTheme="majorHAnsi" w:cs="Arial"/>
          <w:sz w:val="22"/>
          <w:szCs w:val="22"/>
          <w:lang w:val="en-GB"/>
        </w:rPr>
        <w:t>full force during the pre-trial process,</w:t>
      </w:r>
      <w:r w:rsidR="0052349F" w:rsidRPr="00B46D91">
        <w:rPr>
          <w:rFonts w:asciiTheme="majorHAnsi" w:hAnsiTheme="majorHAnsi" w:cs="Arial"/>
          <w:i/>
          <w:sz w:val="22"/>
          <w:szCs w:val="22"/>
          <w:lang w:val="en-GB"/>
        </w:rPr>
        <w:t xml:space="preserve"> </w:t>
      </w:r>
      <w:r w:rsidR="0052349F" w:rsidRPr="00B46D91">
        <w:rPr>
          <w:rFonts w:asciiTheme="majorHAnsi" w:hAnsiTheme="majorHAnsi" w:cs="Arial"/>
          <w:sz w:val="22"/>
          <w:szCs w:val="22"/>
          <w:lang w:val="en-GB"/>
        </w:rPr>
        <w:t>in particular</w:t>
      </w:r>
      <w:r w:rsidR="00E65B35" w:rsidRPr="00B46D91">
        <w:rPr>
          <w:rFonts w:asciiTheme="majorHAnsi" w:hAnsiTheme="majorHAnsi" w:cs="Arial"/>
          <w:i/>
          <w:sz w:val="22"/>
          <w:szCs w:val="22"/>
          <w:lang w:val="en-GB"/>
        </w:rPr>
        <w:t xml:space="preserve"> </w:t>
      </w:r>
      <w:r w:rsidR="00E65B35" w:rsidRPr="00B46D91">
        <w:rPr>
          <w:rFonts w:asciiTheme="majorHAnsi" w:hAnsiTheme="majorHAnsi" w:cs="Arial"/>
          <w:sz w:val="22"/>
          <w:szCs w:val="22"/>
          <w:lang w:val="en-GB"/>
        </w:rPr>
        <w:t xml:space="preserve">to </w:t>
      </w:r>
      <w:r w:rsidR="000C2E56" w:rsidRPr="00B46D91">
        <w:rPr>
          <w:rFonts w:asciiTheme="majorHAnsi" w:hAnsiTheme="majorHAnsi" w:cs="Arial"/>
          <w:sz w:val="22"/>
          <w:szCs w:val="22"/>
          <w:lang w:val="en-GB"/>
        </w:rPr>
        <w:t xml:space="preserve">decisions whether to bring charges, what charges to bring, and whether to seek and impose pre-trial detention on </w:t>
      </w:r>
      <w:r w:rsidR="00FE44C5" w:rsidRPr="00B46D91">
        <w:rPr>
          <w:rFonts w:asciiTheme="majorHAnsi" w:hAnsiTheme="majorHAnsi" w:cs="Arial"/>
          <w:sz w:val="22"/>
          <w:szCs w:val="22"/>
          <w:lang w:val="en-GB"/>
        </w:rPr>
        <w:t xml:space="preserve">organisers of or </w:t>
      </w:r>
      <w:r w:rsidR="000C2E56" w:rsidRPr="00B46D91">
        <w:rPr>
          <w:rFonts w:asciiTheme="majorHAnsi" w:hAnsiTheme="majorHAnsi" w:cs="Arial"/>
          <w:sz w:val="22"/>
          <w:szCs w:val="22"/>
          <w:lang w:val="en-GB"/>
        </w:rPr>
        <w:t>participants in an assembly.</w:t>
      </w:r>
      <w:r w:rsidR="009F49B8">
        <w:rPr>
          <w:rFonts w:asciiTheme="majorHAnsi" w:hAnsiTheme="majorHAnsi" w:cs="Arial"/>
          <w:sz w:val="22"/>
          <w:szCs w:val="22"/>
          <w:lang w:val="en-GB"/>
        </w:rPr>
        <w:t xml:space="preserve"> </w:t>
      </w:r>
    </w:p>
    <w:p w14:paraId="6F54ED43" w14:textId="57A1F60D" w:rsidR="000B44EA" w:rsidRPr="00B46D91" w:rsidRDefault="009227C5" w:rsidP="002F2D02">
      <w:pPr>
        <w:pStyle w:val="NormalWeb"/>
        <w:rPr>
          <w:rFonts w:asciiTheme="majorHAnsi" w:hAnsiTheme="majorHAnsi" w:cs="Arial"/>
          <w:sz w:val="22"/>
          <w:szCs w:val="22"/>
          <w:lang w:val="en-GB"/>
        </w:rPr>
      </w:pPr>
      <w:r w:rsidRPr="00B46D91">
        <w:rPr>
          <w:rFonts w:asciiTheme="majorHAnsi" w:hAnsiTheme="majorHAnsi" w:cs="Arial"/>
          <w:sz w:val="22"/>
          <w:szCs w:val="22"/>
          <w:lang w:val="en-GB"/>
        </w:rPr>
        <w:t xml:space="preserve">Support for </w:t>
      </w:r>
      <w:r w:rsidR="007869A7" w:rsidRPr="00B46D91">
        <w:rPr>
          <w:rFonts w:asciiTheme="majorHAnsi" w:hAnsiTheme="majorHAnsi" w:cs="Arial"/>
          <w:sz w:val="22"/>
          <w:szCs w:val="22"/>
          <w:lang w:val="en-GB"/>
        </w:rPr>
        <w:t>each of these elements</w:t>
      </w:r>
      <w:r w:rsidRPr="00B46D91">
        <w:rPr>
          <w:rFonts w:asciiTheme="majorHAnsi" w:hAnsiTheme="majorHAnsi" w:cs="Arial"/>
          <w:sz w:val="22"/>
          <w:szCs w:val="22"/>
          <w:lang w:val="en-GB"/>
        </w:rPr>
        <w:t xml:space="preserve"> can be found in the </w:t>
      </w:r>
      <w:proofErr w:type="spellStart"/>
      <w:r w:rsidRPr="00B46D91">
        <w:rPr>
          <w:rFonts w:asciiTheme="majorHAnsi" w:hAnsiTheme="majorHAnsi" w:cs="Arial"/>
          <w:sz w:val="22"/>
          <w:szCs w:val="22"/>
          <w:lang w:val="en-GB"/>
        </w:rPr>
        <w:t>ECtHR’s</w:t>
      </w:r>
      <w:proofErr w:type="spellEnd"/>
      <w:r w:rsidRPr="00B46D91">
        <w:rPr>
          <w:rFonts w:asciiTheme="majorHAnsi" w:hAnsiTheme="majorHAnsi" w:cs="Arial"/>
          <w:sz w:val="22"/>
          <w:szCs w:val="22"/>
          <w:lang w:val="en-GB"/>
        </w:rPr>
        <w:t xml:space="preserve"> jurisprudence. </w:t>
      </w:r>
      <w:r w:rsidR="001E428E" w:rsidRPr="00B46D91">
        <w:rPr>
          <w:rFonts w:asciiTheme="majorHAnsi" w:hAnsiTheme="majorHAnsi" w:cs="Arial"/>
          <w:sz w:val="22"/>
          <w:szCs w:val="22"/>
          <w:lang w:val="en-GB"/>
        </w:rPr>
        <w:t xml:space="preserve">In </w:t>
      </w:r>
      <w:proofErr w:type="spellStart"/>
      <w:r w:rsidR="001E428E" w:rsidRPr="00B46D91">
        <w:rPr>
          <w:rFonts w:asciiTheme="majorHAnsi" w:hAnsiTheme="majorHAnsi" w:cs="Arial"/>
          <w:i/>
          <w:sz w:val="22"/>
          <w:szCs w:val="22"/>
          <w:lang w:val="en-GB"/>
        </w:rPr>
        <w:t>Pekaslan</w:t>
      </w:r>
      <w:proofErr w:type="spellEnd"/>
      <w:r w:rsidR="001E428E" w:rsidRPr="00B46D91">
        <w:rPr>
          <w:rFonts w:asciiTheme="majorHAnsi" w:hAnsiTheme="majorHAnsi" w:cs="Arial"/>
          <w:i/>
          <w:sz w:val="22"/>
          <w:szCs w:val="22"/>
          <w:lang w:val="en-GB"/>
        </w:rPr>
        <w:t xml:space="preserve"> and Others v. Turkey</w:t>
      </w:r>
      <w:r w:rsidR="001E428E" w:rsidRPr="00B46D91">
        <w:rPr>
          <w:rFonts w:asciiTheme="majorHAnsi" w:hAnsiTheme="majorHAnsi" w:cs="Arial"/>
          <w:sz w:val="22"/>
          <w:szCs w:val="22"/>
          <w:lang w:val="en-GB"/>
        </w:rPr>
        <w:t>, the Court held that “prosecution of the applicants for their participation in a peaceful demonstration, was disproportionate and not necessary for preventing disorder”</w:t>
      </w:r>
      <w:r w:rsidR="00F42460" w:rsidRPr="00B46D91">
        <w:rPr>
          <w:rStyle w:val="FootnoteReference"/>
          <w:rFonts w:asciiTheme="majorHAnsi" w:hAnsiTheme="majorHAnsi" w:cs="Arial"/>
          <w:sz w:val="22"/>
          <w:szCs w:val="22"/>
          <w:lang w:val="en-GB"/>
        </w:rPr>
        <w:footnoteReference w:id="17"/>
      </w:r>
      <w:r w:rsidR="001E428E" w:rsidRPr="00B46D91">
        <w:rPr>
          <w:rFonts w:asciiTheme="majorHAnsi" w:hAnsiTheme="majorHAnsi" w:cs="Arial"/>
          <w:sz w:val="22"/>
          <w:szCs w:val="22"/>
          <w:lang w:val="en-GB"/>
        </w:rPr>
        <w:t xml:space="preserve"> and found </w:t>
      </w:r>
      <w:r w:rsidR="006F0E53" w:rsidRPr="00B46D91">
        <w:rPr>
          <w:rFonts w:asciiTheme="majorHAnsi" w:hAnsiTheme="majorHAnsi" w:cs="Arial"/>
          <w:sz w:val="22"/>
          <w:szCs w:val="22"/>
          <w:lang w:val="en-GB"/>
        </w:rPr>
        <w:t xml:space="preserve">a violation of Article 11 ECHR – </w:t>
      </w:r>
      <w:r w:rsidR="001E428E" w:rsidRPr="00B46D91">
        <w:rPr>
          <w:rFonts w:asciiTheme="majorHAnsi" w:hAnsiTheme="majorHAnsi" w:cs="Arial"/>
          <w:sz w:val="22"/>
          <w:szCs w:val="22"/>
          <w:lang w:val="en-GB"/>
        </w:rPr>
        <w:t xml:space="preserve">notwithstanding the fact that the applicants </w:t>
      </w:r>
      <w:r w:rsidR="00903B79" w:rsidRPr="00B46D91">
        <w:rPr>
          <w:rFonts w:asciiTheme="majorHAnsi" w:hAnsiTheme="majorHAnsi" w:cs="Arial"/>
          <w:sz w:val="22"/>
          <w:szCs w:val="22"/>
          <w:lang w:val="en-GB"/>
        </w:rPr>
        <w:t xml:space="preserve">had been acquitted </w:t>
      </w:r>
      <w:r w:rsidR="009D1964" w:rsidRPr="00B46D91">
        <w:rPr>
          <w:rFonts w:asciiTheme="majorHAnsi" w:hAnsiTheme="majorHAnsi" w:cs="Arial"/>
          <w:sz w:val="22"/>
          <w:szCs w:val="22"/>
          <w:lang w:val="en-GB"/>
        </w:rPr>
        <w:t>of the charge</w:t>
      </w:r>
      <w:r w:rsidR="00903B79" w:rsidRPr="00B46D91">
        <w:rPr>
          <w:rFonts w:asciiTheme="majorHAnsi" w:hAnsiTheme="majorHAnsi" w:cs="Arial"/>
          <w:sz w:val="22"/>
          <w:szCs w:val="22"/>
          <w:lang w:val="en-GB"/>
        </w:rPr>
        <w:t xml:space="preserve"> by the domestic court</w:t>
      </w:r>
      <w:r w:rsidR="009D1964" w:rsidRPr="00B46D91">
        <w:rPr>
          <w:rFonts w:asciiTheme="majorHAnsi" w:hAnsiTheme="majorHAnsi" w:cs="Arial"/>
          <w:sz w:val="22"/>
          <w:szCs w:val="22"/>
          <w:lang w:val="en-GB"/>
        </w:rPr>
        <w:t>.</w:t>
      </w:r>
      <w:r w:rsidR="001F163B" w:rsidRPr="00B46D91">
        <w:rPr>
          <w:rFonts w:asciiTheme="majorHAnsi" w:hAnsiTheme="majorHAnsi" w:cs="Arial"/>
          <w:sz w:val="22"/>
          <w:szCs w:val="22"/>
          <w:lang w:val="en-GB"/>
        </w:rPr>
        <w:t xml:space="preserve"> In a recent decision, </w:t>
      </w:r>
      <w:proofErr w:type="spellStart"/>
      <w:r w:rsidR="001F163B" w:rsidRPr="00B46D91">
        <w:rPr>
          <w:rFonts w:asciiTheme="majorHAnsi" w:hAnsiTheme="majorHAnsi" w:cs="Arial"/>
          <w:i/>
          <w:sz w:val="22"/>
          <w:szCs w:val="22"/>
          <w:lang w:val="en-GB"/>
        </w:rPr>
        <w:t>Mătăsaru</w:t>
      </w:r>
      <w:proofErr w:type="spellEnd"/>
      <w:r w:rsidR="001F163B" w:rsidRPr="00B46D91">
        <w:rPr>
          <w:rFonts w:asciiTheme="majorHAnsi" w:hAnsiTheme="majorHAnsi" w:cs="Arial"/>
          <w:i/>
          <w:sz w:val="22"/>
          <w:szCs w:val="22"/>
          <w:lang w:val="en-GB"/>
        </w:rPr>
        <w:t xml:space="preserve"> v. the Republic of Moldova,</w:t>
      </w:r>
      <w:r w:rsidR="001F163B" w:rsidRPr="00B46D91">
        <w:rPr>
          <w:rFonts w:asciiTheme="majorHAnsi" w:hAnsiTheme="majorHAnsi" w:cs="Arial"/>
          <w:sz w:val="22"/>
          <w:szCs w:val="22"/>
          <w:lang w:val="en-GB"/>
        </w:rPr>
        <w:t xml:space="preserve"> the </w:t>
      </w:r>
      <w:r w:rsidR="001D565D" w:rsidRPr="00B46D91">
        <w:rPr>
          <w:rFonts w:asciiTheme="majorHAnsi" w:hAnsiTheme="majorHAnsi" w:cs="Arial"/>
          <w:sz w:val="22"/>
          <w:szCs w:val="22"/>
          <w:lang w:val="en-GB"/>
        </w:rPr>
        <w:t>Court</w:t>
      </w:r>
      <w:r w:rsidR="001F163B" w:rsidRPr="00B46D91">
        <w:rPr>
          <w:rFonts w:asciiTheme="majorHAnsi" w:hAnsiTheme="majorHAnsi" w:cs="Arial"/>
          <w:sz w:val="22"/>
          <w:szCs w:val="22"/>
          <w:lang w:val="en-GB"/>
        </w:rPr>
        <w:t xml:space="preserve"> </w:t>
      </w:r>
      <w:r w:rsidR="001C2002" w:rsidRPr="00B46D91">
        <w:rPr>
          <w:rFonts w:asciiTheme="majorHAnsi" w:hAnsiTheme="majorHAnsi" w:cs="Arial"/>
          <w:sz w:val="22"/>
          <w:szCs w:val="22"/>
          <w:lang w:val="en-GB"/>
        </w:rPr>
        <w:t>considered</w:t>
      </w:r>
      <w:r w:rsidR="001F163B" w:rsidRPr="00B46D91">
        <w:rPr>
          <w:rFonts w:asciiTheme="majorHAnsi" w:hAnsiTheme="majorHAnsi" w:cs="Arial"/>
          <w:sz w:val="22"/>
          <w:szCs w:val="22"/>
          <w:lang w:val="en-GB"/>
        </w:rPr>
        <w:t xml:space="preserve"> that “the domestic courts failed to explain in a satisfactory manner why they opted for the criminal sanction </w:t>
      </w:r>
      <w:r w:rsidR="001C2002" w:rsidRPr="00B46D91">
        <w:rPr>
          <w:rFonts w:asciiTheme="majorHAnsi" w:hAnsiTheme="majorHAnsi" w:cs="Arial"/>
          <w:sz w:val="22"/>
          <w:szCs w:val="22"/>
          <w:lang w:val="en-GB"/>
        </w:rPr>
        <w:t>…</w:t>
      </w:r>
      <w:r w:rsidR="001F163B" w:rsidRPr="00B46D91">
        <w:rPr>
          <w:rFonts w:asciiTheme="majorHAnsi" w:hAnsiTheme="majorHAnsi" w:cs="Arial"/>
          <w:sz w:val="22"/>
          <w:szCs w:val="22"/>
          <w:lang w:val="en-GB"/>
        </w:rPr>
        <w:t xml:space="preserve"> </w:t>
      </w:r>
      <w:r w:rsidR="001C2002" w:rsidRPr="00B46D91">
        <w:rPr>
          <w:rFonts w:asciiTheme="majorHAnsi" w:hAnsiTheme="majorHAnsi" w:cs="Arial"/>
          <w:sz w:val="22"/>
          <w:szCs w:val="22"/>
          <w:lang w:val="en-GB"/>
        </w:rPr>
        <w:t xml:space="preserve">and </w:t>
      </w:r>
      <w:r w:rsidR="001F163B" w:rsidRPr="00B46D91">
        <w:rPr>
          <w:rFonts w:asciiTheme="majorHAnsi" w:hAnsiTheme="majorHAnsi" w:cs="Arial"/>
          <w:sz w:val="22"/>
          <w:szCs w:val="22"/>
          <w:lang w:val="en-GB"/>
        </w:rPr>
        <w:t xml:space="preserve">not for that provided for by </w:t>
      </w:r>
      <w:r w:rsidR="001C2002" w:rsidRPr="00B46D91">
        <w:rPr>
          <w:rFonts w:asciiTheme="majorHAnsi" w:hAnsiTheme="majorHAnsi" w:cs="Arial"/>
          <w:sz w:val="22"/>
          <w:szCs w:val="22"/>
          <w:lang w:val="en-GB"/>
        </w:rPr>
        <w:t>…</w:t>
      </w:r>
      <w:r w:rsidR="001F163B" w:rsidRPr="00B46D91">
        <w:rPr>
          <w:rFonts w:asciiTheme="majorHAnsi" w:hAnsiTheme="majorHAnsi" w:cs="Arial"/>
          <w:sz w:val="22"/>
          <w:szCs w:val="22"/>
          <w:lang w:val="en-GB"/>
        </w:rPr>
        <w:t xml:space="preserve"> the Code of Administrative Offences</w:t>
      </w:r>
      <w:r w:rsidR="00921149">
        <w:rPr>
          <w:rFonts w:asciiTheme="majorHAnsi" w:hAnsiTheme="majorHAnsi" w:cs="Arial"/>
          <w:sz w:val="22"/>
          <w:szCs w:val="22"/>
          <w:lang w:val="en-GB"/>
        </w:rPr>
        <w:t>,</w:t>
      </w:r>
      <w:r w:rsidR="001F163B" w:rsidRPr="00B46D91">
        <w:rPr>
          <w:rFonts w:asciiTheme="majorHAnsi" w:hAnsiTheme="majorHAnsi" w:cs="Arial"/>
          <w:sz w:val="22"/>
          <w:szCs w:val="22"/>
          <w:lang w:val="en-GB"/>
        </w:rPr>
        <w:t>”</w:t>
      </w:r>
      <w:r w:rsidR="00921149">
        <w:rPr>
          <w:rFonts w:asciiTheme="majorHAnsi" w:hAnsiTheme="majorHAnsi" w:cs="Arial"/>
          <w:sz w:val="22"/>
          <w:szCs w:val="22"/>
          <w:lang w:val="en-GB"/>
        </w:rPr>
        <w:t xml:space="preserve"> in re</w:t>
      </w:r>
      <w:r w:rsidR="00E92474">
        <w:rPr>
          <w:rFonts w:asciiTheme="majorHAnsi" w:hAnsiTheme="majorHAnsi" w:cs="Arial"/>
          <w:sz w:val="22"/>
          <w:szCs w:val="22"/>
          <w:lang w:val="en-GB"/>
        </w:rPr>
        <w:t>sponse to an assembly involving</w:t>
      </w:r>
      <w:r w:rsidR="00921149">
        <w:rPr>
          <w:rFonts w:asciiTheme="majorHAnsi" w:hAnsiTheme="majorHAnsi" w:cs="Arial"/>
          <w:sz w:val="22"/>
          <w:szCs w:val="22"/>
          <w:lang w:val="en-GB"/>
        </w:rPr>
        <w:t xml:space="preserve"> sculptures</w:t>
      </w:r>
      <w:r w:rsidR="00E92474">
        <w:rPr>
          <w:rFonts w:asciiTheme="majorHAnsi" w:hAnsiTheme="majorHAnsi" w:cs="Arial"/>
          <w:sz w:val="22"/>
          <w:szCs w:val="22"/>
          <w:lang w:val="en-GB"/>
        </w:rPr>
        <w:t xml:space="preserve"> deemed obscene</w:t>
      </w:r>
      <w:r w:rsidR="00921149">
        <w:rPr>
          <w:rFonts w:asciiTheme="majorHAnsi" w:hAnsiTheme="majorHAnsi" w:cs="Arial"/>
          <w:sz w:val="22"/>
          <w:szCs w:val="22"/>
          <w:lang w:val="en-GB"/>
        </w:rPr>
        <w:t>.</w:t>
      </w:r>
      <w:r w:rsidR="004360D4" w:rsidRPr="00B46D91">
        <w:rPr>
          <w:rStyle w:val="FootnoteReference"/>
          <w:rFonts w:asciiTheme="majorHAnsi" w:hAnsiTheme="majorHAnsi" w:cs="Arial"/>
          <w:sz w:val="22"/>
          <w:szCs w:val="22"/>
          <w:lang w:val="en-GB"/>
        </w:rPr>
        <w:footnoteReference w:id="18"/>
      </w:r>
      <w:r w:rsidR="00452379" w:rsidRPr="00B46D91">
        <w:rPr>
          <w:rFonts w:asciiTheme="majorHAnsi" w:hAnsiTheme="majorHAnsi" w:cs="Arial"/>
          <w:sz w:val="22"/>
          <w:szCs w:val="22"/>
          <w:lang w:val="en-GB"/>
        </w:rPr>
        <w:t xml:space="preserve"> </w:t>
      </w:r>
      <w:r w:rsidR="0069411D" w:rsidRPr="00B46D91">
        <w:rPr>
          <w:rFonts w:asciiTheme="majorHAnsi" w:hAnsiTheme="majorHAnsi" w:cs="Arial"/>
          <w:sz w:val="22"/>
          <w:szCs w:val="22"/>
          <w:lang w:val="en-GB"/>
        </w:rPr>
        <w:t>And i</w:t>
      </w:r>
      <w:r w:rsidR="00CA2C00" w:rsidRPr="00B46D91">
        <w:rPr>
          <w:rFonts w:asciiTheme="majorHAnsi" w:hAnsiTheme="majorHAnsi" w:cs="Arial"/>
          <w:sz w:val="22"/>
          <w:szCs w:val="22"/>
          <w:lang w:val="en-GB"/>
        </w:rPr>
        <w:t xml:space="preserve">n </w:t>
      </w:r>
      <w:proofErr w:type="spellStart"/>
      <w:r w:rsidR="00CA2C00" w:rsidRPr="00B46D91">
        <w:rPr>
          <w:rFonts w:asciiTheme="majorHAnsi" w:hAnsiTheme="majorHAnsi" w:cs="Arial"/>
          <w:i/>
          <w:sz w:val="22"/>
          <w:szCs w:val="22"/>
          <w:lang w:val="en-GB"/>
        </w:rPr>
        <w:t>Taranenko</w:t>
      </w:r>
      <w:proofErr w:type="spellEnd"/>
      <w:r w:rsidR="00CA2C00" w:rsidRPr="00B46D91">
        <w:rPr>
          <w:rFonts w:asciiTheme="majorHAnsi" w:hAnsiTheme="majorHAnsi" w:cs="Arial"/>
          <w:i/>
          <w:sz w:val="22"/>
          <w:szCs w:val="22"/>
          <w:lang w:val="en-GB"/>
        </w:rPr>
        <w:t xml:space="preserve"> v. Russia</w:t>
      </w:r>
      <w:r w:rsidR="00CA2C00" w:rsidRPr="00B46D91">
        <w:rPr>
          <w:rFonts w:asciiTheme="majorHAnsi" w:hAnsiTheme="majorHAnsi" w:cs="Arial"/>
          <w:sz w:val="22"/>
          <w:szCs w:val="22"/>
          <w:lang w:val="en-GB"/>
        </w:rPr>
        <w:t>, in which the applicant had been remanded in custody for a ye</w:t>
      </w:r>
      <w:r w:rsidR="0008520E" w:rsidRPr="00B46D91">
        <w:rPr>
          <w:rFonts w:asciiTheme="majorHAnsi" w:hAnsiTheme="majorHAnsi" w:cs="Arial"/>
          <w:sz w:val="22"/>
          <w:szCs w:val="22"/>
          <w:lang w:val="en-GB"/>
        </w:rPr>
        <w:t>ar and handed a suspended three-</w:t>
      </w:r>
      <w:r w:rsidR="00CA2C00" w:rsidRPr="00B46D91">
        <w:rPr>
          <w:rFonts w:asciiTheme="majorHAnsi" w:hAnsiTheme="majorHAnsi" w:cs="Arial"/>
          <w:sz w:val="22"/>
          <w:szCs w:val="22"/>
          <w:lang w:val="en-GB"/>
        </w:rPr>
        <w:t>year sentence after joining a direct action inside the President’s Administration building</w:t>
      </w:r>
      <w:r w:rsidR="00DB44A2" w:rsidRPr="00B46D91">
        <w:rPr>
          <w:rFonts w:asciiTheme="majorHAnsi" w:hAnsiTheme="majorHAnsi" w:cs="Arial"/>
          <w:sz w:val="22"/>
          <w:szCs w:val="22"/>
          <w:lang w:val="en-GB"/>
        </w:rPr>
        <w:t xml:space="preserve">, the Court considered the “lengthy period of detention pending trial </w:t>
      </w:r>
      <w:r w:rsidR="00655BE8" w:rsidRPr="00B46D91">
        <w:rPr>
          <w:rFonts w:asciiTheme="majorHAnsi" w:hAnsiTheme="majorHAnsi" w:cs="Arial"/>
          <w:sz w:val="22"/>
          <w:szCs w:val="22"/>
          <w:lang w:val="en-GB"/>
        </w:rPr>
        <w:t>…</w:t>
      </w:r>
      <w:r w:rsidR="00DB44A2" w:rsidRPr="00B46D91">
        <w:rPr>
          <w:rFonts w:asciiTheme="majorHAnsi" w:hAnsiTheme="majorHAnsi" w:cs="Arial"/>
          <w:sz w:val="22"/>
          <w:szCs w:val="22"/>
          <w:lang w:val="en-GB"/>
        </w:rPr>
        <w:t xml:space="preserve"> not proportionate to the legitimate aim pursued</w:t>
      </w:r>
      <w:r w:rsidR="007D507D" w:rsidRPr="00B46D91">
        <w:rPr>
          <w:rFonts w:asciiTheme="majorHAnsi" w:hAnsiTheme="majorHAnsi" w:cs="Arial"/>
          <w:sz w:val="22"/>
          <w:szCs w:val="22"/>
          <w:lang w:val="en-GB"/>
        </w:rPr>
        <w:t>.</w:t>
      </w:r>
      <w:r w:rsidR="00655BE8" w:rsidRPr="00B46D91">
        <w:rPr>
          <w:rFonts w:asciiTheme="majorHAnsi" w:hAnsiTheme="majorHAnsi" w:cs="Arial"/>
          <w:sz w:val="22"/>
          <w:szCs w:val="22"/>
          <w:lang w:val="en-GB"/>
        </w:rPr>
        <w:t>”</w:t>
      </w:r>
      <w:r w:rsidR="00B217F7" w:rsidRPr="00B46D91">
        <w:rPr>
          <w:rStyle w:val="FootnoteReference"/>
          <w:rFonts w:asciiTheme="majorHAnsi" w:hAnsiTheme="majorHAnsi" w:cs="Arial"/>
          <w:sz w:val="22"/>
          <w:szCs w:val="22"/>
          <w:lang w:val="en-GB"/>
        </w:rPr>
        <w:footnoteReference w:id="19"/>
      </w:r>
    </w:p>
    <w:p w14:paraId="19887078" w14:textId="77777777" w:rsidR="00F03534" w:rsidRPr="00B46D91" w:rsidRDefault="00F03534" w:rsidP="00F03534">
      <w:pPr>
        <w:pStyle w:val="NormalWeb"/>
        <w:rPr>
          <w:rFonts w:asciiTheme="majorHAnsi" w:hAnsiTheme="majorHAnsi" w:cs="Arial"/>
          <w:i/>
          <w:sz w:val="22"/>
          <w:szCs w:val="22"/>
          <w:lang w:val="en-GB"/>
        </w:rPr>
      </w:pPr>
      <w:r w:rsidRPr="00B46D91">
        <w:rPr>
          <w:rFonts w:asciiTheme="majorHAnsi" w:hAnsiTheme="majorHAnsi" w:cs="Arial"/>
          <w:i/>
          <w:sz w:val="22"/>
          <w:szCs w:val="22"/>
          <w:lang w:val="en-GB"/>
        </w:rPr>
        <w:t>Tolerance in relation to assemblies that inconvenience private parties</w:t>
      </w:r>
    </w:p>
    <w:p w14:paraId="224F6212" w14:textId="2EE2C15D" w:rsidR="00F03534" w:rsidRPr="00B46D91" w:rsidRDefault="00F03534" w:rsidP="00F03534">
      <w:pPr>
        <w:pStyle w:val="NormalWeb"/>
        <w:rPr>
          <w:rFonts w:asciiTheme="majorHAnsi" w:hAnsiTheme="majorHAnsi" w:cs="Arial"/>
          <w:sz w:val="22"/>
          <w:szCs w:val="22"/>
          <w:lang w:val="en-GB"/>
        </w:rPr>
      </w:pPr>
      <w:r w:rsidRPr="00B46D91">
        <w:rPr>
          <w:rFonts w:asciiTheme="majorHAnsi" w:hAnsiTheme="majorHAnsi" w:cs="Arial"/>
          <w:sz w:val="22"/>
          <w:szCs w:val="22"/>
          <w:lang w:val="en-GB"/>
        </w:rPr>
        <w:t>It is GPI’s observation that many jurisdictions</w:t>
      </w:r>
      <w:r w:rsidR="00F46F84" w:rsidRPr="00B46D91">
        <w:rPr>
          <w:rFonts w:asciiTheme="majorHAnsi" w:hAnsiTheme="majorHAnsi" w:cs="Arial"/>
          <w:sz w:val="22"/>
          <w:szCs w:val="22"/>
          <w:lang w:val="en-GB"/>
        </w:rPr>
        <w:t xml:space="preserve"> display</w:t>
      </w:r>
      <w:r w:rsidRPr="00B46D91">
        <w:rPr>
          <w:rFonts w:asciiTheme="majorHAnsi" w:hAnsiTheme="majorHAnsi" w:cs="Arial"/>
          <w:sz w:val="22"/>
          <w:szCs w:val="22"/>
          <w:lang w:val="en-GB"/>
        </w:rPr>
        <w:t xml:space="preserve"> low or zero tolerance </w:t>
      </w:r>
      <w:r w:rsidR="00F9613C" w:rsidRPr="00B46D91">
        <w:rPr>
          <w:rFonts w:asciiTheme="majorHAnsi" w:hAnsiTheme="majorHAnsi" w:cs="Arial"/>
          <w:sz w:val="22"/>
          <w:szCs w:val="22"/>
          <w:lang w:val="en-GB"/>
        </w:rPr>
        <w:t>towards</w:t>
      </w:r>
      <w:r w:rsidRPr="00B46D91">
        <w:rPr>
          <w:rFonts w:asciiTheme="majorHAnsi" w:hAnsiTheme="majorHAnsi" w:cs="Arial"/>
          <w:sz w:val="22"/>
          <w:szCs w:val="22"/>
          <w:lang w:val="en-GB"/>
        </w:rPr>
        <w:t xml:space="preserve"> assemblies that cause disruption to a corporation or other private party. Such protests are often promptly dispersed, and courts seem to set a low threshold for the issuance of injunctions or compensation orders.</w:t>
      </w:r>
    </w:p>
    <w:p w14:paraId="5A720209" w14:textId="614056A1" w:rsidR="00F03534" w:rsidRPr="00B46D91" w:rsidRDefault="00F03534" w:rsidP="00F03534">
      <w:pPr>
        <w:pStyle w:val="NormalWeb"/>
        <w:rPr>
          <w:rFonts w:asciiTheme="majorHAnsi" w:hAnsiTheme="majorHAnsi" w:cs="Arial"/>
          <w:sz w:val="22"/>
          <w:szCs w:val="22"/>
          <w:lang w:val="en-GB"/>
        </w:rPr>
      </w:pPr>
      <w:r w:rsidRPr="00B46D91">
        <w:rPr>
          <w:rFonts w:asciiTheme="majorHAnsi" w:hAnsiTheme="majorHAnsi" w:cs="Arial"/>
          <w:sz w:val="22"/>
          <w:szCs w:val="22"/>
          <w:lang w:val="en-GB"/>
        </w:rPr>
        <w:t xml:space="preserve">The notion that private actors may need to absorb a certain degree of loss as a result of the airing of grievances against them is </w:t>
      </w:r>
      <w:proofErr w:type="gramStart"/>
      <w:r w:rsidRPr="00B46D91">
        <w:rPr>
          <w:rFonts w:asciiTheme="majorHAnsi" w:hAnsiTheme="majorHAnsi" w:cs="Arial"/>
          <w:sz w:val="22"/>
          <w:szCs w:val="22"/>
          <w:lang w:val="en-GB"/>
        </w:rPr>
        <w:t>well-established</w:t>
      </w:r>
      <w:proofErr w:type="gramEnd"/>
      <w:r w:rsidRPr="00B46D91">
        <w:rPr>
          <w:rFonts w:asciiTheme="majorHAnsi" w:hAnsiTheme="majorHAnsi" w:cs="Arial"/>
          <w:sz w:val="22"/>
          <w:szCs w:val="22"/>
          <w:lang w:val="en-GB"/>
        </w:rPr>
        <w:t xml:space="preserve"> in other areas. A corporation or public figure </w:t>
      </w:r>
      <w:proofErr w:type="gramStart"/>
      <w:r w:rsidRPr="00B46D91">
        <w:rPr>
          <w:rFonts w:asciiTheme="majorHAnsi" w:hAnsiTheme="majorHAnsi" w:cs="Arial"/>
          <w:sz w:val="22"/>
          <w:szCs w:val="22"/>
          <w:lang w:val="en-GB"/>
        </w:rPr>
        <w:t>who</w:t>
      </w:r>
      <w:proofErr w:type="gramEnd"/>
      <w:r w:rsidRPr="00B46D91">
        <w:rPr>
          <w:rFonts w:asciiTheme="majorHAnsi" w:hAnsiTheme="majorHAnsi" w:cs="Arial"/>
          <w:sz w:val="22"/>
          <w:szCs w:val="22"/>
          <w:lang w:val="en-GB"/>
        </w:rPr>
        <w:t xml:space="preserve"> suffers loss of income as a result of a critical publication has no recourse against the author or publisher if the allegations were sufficiently justified. Workers have the right, if certain conditions are met, to strike for better conditions, notwithstanding the resulting loss to their employer</w:t>
      </w:r>
      <w:r w:rsidR="002C03F5">
        <w:rPr>
          <w:rFonts w:asciiTheme="majorHAnsi" w:hAnsiTheme="majorHAnsi" w:cs="Arial"/>
          <w:sz w:val="22"/>
          <w:szCs w:val="22"/>
          <w:lang w:val="en-GB"/>
        </w:rPr>
        <w:t>.</w:t>
      </w:r>
      <w:r w:rsidR="009D2872">
        <w:rPr>
          <w:rFonts w:asciiTheme="majorHAnsi" w:hAnsiTheme="majorHAnsi" w:cs="Arial"/>
          <w:sz w:val="22"/>
          <w:szCs w:val="22"/>
          <w:lang w:val="en-GB"/>
        </w:rPr>
        <w:t xml:space="preserve"> </w:t>
      </w:r>
      <w:r w:rsidR="002C03F5">
        <w:rPr>
          <w:rFonts w:asciiTheme="majorHAnsi" w:hAnsiTheme="majorHAnsi" w:cs="Arial"/>
          <w:sz w:val="22"/>
          <w:szCs w:val="22"/>
          <w:lang w:val="en-GB"/>
        </w:rPr>
        <w:t>I</w:t>
      </w:r>
      <w:r w:rsidR="009D2872">
        <w:rPr>
          <w:rFonts w:asciiTheme="majorHAnsi" w:hAnsiTheme="majorHAnsi" w:cs="Arial"/>
          <w:sz w:val="22"/>
          <w:szCs w:val="22"/>
          <w:lang w:val="en-GB"/>
        </w:rPr>
        <w:t xml:space="preserve">n some jurisdictions </w:t>
      </w:r>
      <w:r w:rsidR="001C0772">
        <w:rPr>
          <w:rFonts w:asciiTheme="majorHAnsi" w:hAnsiTheme="majorHAnsi" w:cs="Arial"/>
          <w:sz w:val="22"/>
          <w:szCs w:val="22"/>
          <w:lang w:val="en-GB"/>
        </w:rPr>
        <w:t>trade unions</w:t>
      </w:r>
      <w:r w:rsidR="002C03F5">
        <w:rPr>
          <w:rFonts w:asciiTheme="majorHAnsi" w:hAnsiTheme="majorHAnsi" w:cs="Arial"/>
          <w:sz w:val="22"/>
          <w:szCs w:val="22"/>
          <w:lang w:val="en-GB"/>
        </w:rPr>
        <w:t xml:space="preserve"> – which could be compared to the organiser of an assembly –</w:t>
      </w:r>
      <w:r w:rsidR="00626149">
        <w:rPr>
          <w:rFonts w:asciiTheme="majorHAnsi" w:hAnsiTheme="majorHAnsi" w:cs="Arial"/>
          <w:sz w:val="22"/>
          <w:szCs w:val="22"/>
          <w:lang w:val="en-GB"/>
        </w:rPr>
        <w:t xml:space="preserve"> enjoy </w:t>
      </w:r>
      <w:r w:rsidR="00D65053">
        <w:rPr>
          <w:rFonts w:asciiTheme="majorHAnsi" w:hAnsiTheme="majorHAnsi" w:cs="Arial"/>
          <w:sz w:val="22"/>
          <w:szCs w:val="22"/>
          <w:lang w:val="en-GB"/>
        </w:rPr>
        <w:t xml:space="preserve">a degree of </w:t>
      </w:r>
      <w:r w:rsidR="00626149">
        <w:rPr>
          <w:rFonts w:asciiTheme="majorHAnsi" w:hAnsiTheme="majorHAnsi" w:cs="Arial"/>
          <w:sz w:val="22"/>
          <w:szCs w:val="22"/>
          <w:lang w:val="en-GB"/>
        </w:rPr>
        <w:t>protection</w:t>
      </w:r>
      <w:r w:rsidR="009D2872">
        <w:rPr>
          <w:rFonts w:asciiTheme="majorHAnsi" w:hAnsiTheme="majorHAnsi" w:cs="Arial"/>
          <w:sz w:val="22"/>
          <w:szCs w:val="22"/>
          <w:lang w:val="en-GB"/>
        </w:rPr>
        <w:t xml:space="preserve"> from damage claims.</w:t>
      </w:r>
      <w:r w:rsidR="00CE4879">
        <w:rPr>
          <w:rStyle w:val="FootnoteReference"/>
          <w:rFonts w:asciiTheme="majorHAnsi" w:hAnsiTheme="majorHAnsi" w:cs="Arial"/>
          <w:sz w:val="22"/>
          <w:szCs w:val="22"/>
          <w:lang w:val="en-GB"/>
        </w:rPr>
        <w:footnoteReference w:id="20"/>
      </w:r>
      <w:r w:rsidRPr="00B46D91">
        <w:rPr>
          <w:rFonts w:asciiTheme="majorHAnsi" w:hAnsiTheme="majorHAnsi" w:cs="Arial"/>
          <w:sz w:val="22"/>
          <w:szCs w:val="22"/>
          <w:lang w:val="en-GB"/>
        </w:rPr>
        <w:t xml:space="preserve"> </w:t>
      </w:r>
      <w:r w:rsidR="009D75C3" w:rsidRPr="00B46D91">
        <w:rPr>
          <w:rFonts w:asciiTheme="majorHAnsi" w:hAnsiTheme="majorHAnsi" w:cs="Arial"/>
          <w:sz w:val="22"/>
          <w:szCs w:val="22"/>
          <w:lang w:val="en-GB"/>
        </w:rPr>
        <w:t xml:space="preserve">There is no cogent reason why </w:t>
      </w:r>
      <w:r w:rsidRPr="00B46D91">
        <w:rPr>
          <w:rFonts w:asciiTheme="majorHAnsi" w:hAnsiTheme="majorHAnsi" w:cs="Arial"/>
          <w:sz w:val="22"/>
          <w:szCs w:val="22"/>
          <w:lang w:val="en-GB"/>
        </w:rPr>
        <w:t>losses occur</w:t>
      </w:r>
      <w:r w:rsidR="009D75C3" w:rsidRPr="00B46D91">
        <w:rPr>
          <w:rFonts w:asciiTheme="majorHAnsi" w:hAnsiTheme="majorHAnsi" w:cs="Arial"/>
          <w:sz w:val="22"/>
          <w:szCs w:val="22"/>
          <w:lang w:val="en-GB"/>
        </w:rPr>
        <w:t>ring</w:t>
      </w:r>
      <w:r w:rsidR="00FF49CF" w:rsidRPr="00B46D91">
        <w:rPr>
          <w:rFonts w:asciiTheme="majorHAnsi" w:hAnsiTheme="majorHAnsi" w:cs="Arial"/>
          <w:sz w:val="22"/>
          <w:szCs w:val="22"/>
          <w:lang w:val="en-GB"/>
        </w:rPr>
        <w:t xml:space="preserve"> as a result of a peaceful</w:t>
      </w:r>
      <w:r w:rsidRPr="00B46D91">
        <w:rPr>
          <w:rFonts w:asciiTheme="majorHAnsi" w:hAnsiTheme="majorHAnsi" w:cs="Arial"/>
          <w:sz w:val="22"/>
          <w:szCs w:val="22"/>
          <w:lang w:val="en-GB"/>
        </w:rPr>
        <w:t xml:space="preserve"> assembly</w:t>
      </w:r>
      <w:r w:rsidR="00E34B8E">
        <w:rPr>
          <w:rFonts w:asciiTheme="majorHAnsi" w:hAnsiTheme="majorHAnsi" w:cs="Arial"/>
          <w:sz w:val="22"/>
          <w:szCs w:val="22"/>
          <w:lang w:val="en-GB"/>
        </w:rPr>
        <w:t xml:space="preserve"> </w:t>
      </w:r>
      <w:r w:rsidR="001F0977">
        <w:rPr>
          <w:rFonts w:asciiTheme="majorHAnsi" w:hAnsiTheme="majorHAnsi" w:cs="Arial"/>
          <w:sz w:val="22"/>
          <w:szCs w:val="22"/>
          <w:lang w:val="en-GB"/>
        </w:rPr>
        <w:t xml:space="preserve">– </w:t>
      </w:r>
      <w:r w:rsidR="00E34B8E">
        <w:rPr>
          <w:rFonts w:asciiTheme="majorHAnsi" w:hAnsiTheme="majorHAnsi" w:cs="Arial"/>
          <w:sz w:val="22"/>
          <w:szCs w:val="22"/>
          <w:lang w:val="en-GB"/>
        </w:rPr>
        <w:t xml:space="preserve">organised, </w:t>
      </w:r>
      <w:r w:rsidR="001F0977">
        <w:rPr>
          <w:rFonts w:asciiTheme="majorHAnsi" w:hAnsiTheme="majorHAnsi" w:cs="Arial"/>
          <w:sz w:val="22"/>
          <w:szCs w:val="22"/>
          <w:lang w:val="en-GB"/>
        </w:rPr>
        <w:t>for example, neighbours of a factory rather than</w:t>
      </w:r>
      <w:r w:rsidR="00B95FE1">
        <w:rPr>
          <w:rFonts w:asciiTheme="majorHAnsi" w:hAnsiTheme="majorHAnsi" w:cs="Arial"/>
          <w:sz w:val="22"/>
          <w:szCs w:val="22"/>
          <w:lang w:val="en-GB"/>
        </w:rPr>
        <w:t xml:space="preserve"> its</w:t>
      </w:r>
      <w:r w:rsidR="001F0977">
        <w:rPr>
          <w:rFonts w:asciiTheme="majorHAnsi" w:hAnsiTheme="majorHAnsi" w:cs="Arial"/>
          <w:sz w:val="22"/>
          <w:szCs w:val="22"/>
          <w:lang w:val="en-GB"/>
        </w:rPr>
        <w:t xml:space="preserve"> employees –</w:t>
      </w:r>
      <w:r w:rsidR="00991F30">
        <w:rPr>
          <w:rFonts w:asciiTheme="majorHAnsi" w:hAnsiTheme="majorHAnsi" w:cs="Arial"/>
          <w:sz w:val="22"/>
          <w:szCs w:val="22"/>
          <w:lang w:val="en-GB"/>
        </w:rPr>
        <w:t xml:space="preserve"> </w:t>
      </w:r>
      <w:r w:rsidR="009D75C3" w:rsidRPr="00B46D91">
        <w:rPr>
          <w:rFonts w:asciiTheme="majorHAnsi" w:hAnsiTheme="majorHAnsi" w:cs="Arial"/>
          <w:sz w:val="22"/>
          <w:szCs w:val="22"/>
          <w:lang w:val="en-GB"/>
        </w:rPr>
        <w:t xml:space="preserve">should be treated </w:t>
      </w:r>
      <w:r w:rsidR="002E308E" w:rsidRPr="00B46D91">
        <w:rPr>
          <w:rFonts w:asciiTheme="majorHAnsi" w:hAnsiTheme="majorHAnsi" w:cs="Arial"/>
          <w:sz w:val="22"/>
          <w:szCs w:val="22"/>
          <w:lang w:val="en-GB"/>
        </w:rPr>
        <w:t>any</w:t>
      </w:r>
      <w:r w:rsidR="009D75C3" w:rsidRPr="00B46D91">
        <w:rPr>
          <w:rFonts w:asciiTheme="majorHAnsi" w:hAnsiTheme="majorHAnsi" w:cs="Arial"/>
          <w:sz w:val="22"/>
          <w:szCs w:val="22"/>
          <w:lang w:val="en-GB"/>
        </w:rPr>
        <w:t xml:space="preserve"> </w:t>
      </w:r>
      <w:r w:rsidR="00963474" w:rsidRPr="00B46D91">
        <w:rPr>
          <w:rFonts w:asciiTheme="majorHAnsi" w:hAnsiTheme="majorHAnsi" w:cs="Arial"/>
          <w:sz w:val="22"/>
          <w:szCs w:val="22"/>
          <w:lang w:val="en-GB"/>
        </w:rPr>
        <w:t>differently.</w:t>
      </w:r>
      <w:r w:rsidR="009F0512" w:rsidRPr="00B46D91">
        <w:rPr>
          <w:rFonts w:asciiTheme="majorHAnsi" w:hAnsiTheme="majorHAnsi" w:cs="Arial"/>
          <w:sz w:val="22"/>
          <w:szCs w:val="22"/>
          <w:lang w:val="en-GB"/>
        </w:rPr>
        <w:t xml:space="preserve"> </w:t>
      </w:r>
    </w:p>
    <w:p w14:paraId="62C507A2" w14:textId="0DE8DF14" w:rsidR="00F03534" w:rsidRPr="00B46D91" w:rsidRDefault="00F03534" w:rsidP="00F03534">
      <w:pPr>
        <w:pStyle w:val="NormalWeb"/>
        <w:rPr>
          <w:rFonts w:asciiTheme="majorHAnsi" w:hAnsiTheme="majorHAnsi" w:cs="Arial"/>
          <w:sz w:val="22"/>
          <w:szCs w:val="22"/>
          <w:lang w:val="en-GB"/>
        </w:rPr>
      </w:pPr>
      <w:r w:rsidRPr="00B46D91">
        <w:rPr>
          <w:rFonts w:asciiTheme="majorHAnsi" w:hAnsiTheme="majorHAnsi" w:cs="Arial"/>
          <w:sz w:val="22"/>
          <w:szCs w:val="22"/>
          <w:lang w:val="en-GB"/>
        </w:rPr>
        <w:t xml:space="preserve">Undoubtedly, the degree of tolerance required is not unlimited. The </w:t>
      </w:r>
      <w:proofErr w:type="spellStart"/>
      <w:r w:rsidRPr="00B46D91">
        <w:rPr>
          <w:rFonts w:asciiTheme="majorHAnsi" w:hAnsiTheme="majorHAnsi" w:cs="Arial"/>
          <w:sz w:val="22"/>
          <w:szCs w:val="22"/>
          <w:lang w:val="en-GB"/>
        </w:rPr>
        <w:t>ECtHR</w:t>
      </w:r>
      <w:proofErr w:type="spellEnd"/>
      <w:r w:rsidRPr="00B46D91">
        <w:rPr>
          <w:rFonts w:asciiTheme="majorHAnsi" w:hAnsiTheme="majorHAnsi" w:cs="Arial"/>
          <w:sz w:val="22"/>
          <w:szCs w:val="22"/>
          <w:lang w:val="en-GB"/>
        </w:rPr>
        <w:t xml:space="preserve"> has repeatedly held that “[</w:t>
      </w:r>
      <w:proofErr w:type="gramStart"/>
      <w:r w:rsidRPr="00B46D91">
        <w:rPr>
          <w:rFonts w:asciiTheme="majorHAnsi" w:hAnsiTheme="majorHAnsi" w:cs="Arial"/>
          <w:sz w:val="22"/>
          <w:szCs w:val="22"/>
          <w:lang w:val="en-GB"/>
        </w:rPr>
        <w:t>t]he</w:t>
      </w:r>
      <w:proofErr w:type="gramEnd"/>
      <w:r w:rsidRPr="00B46D91">
        <w:rPr>
          <w:rFonts w:asciiTheme="majorHAnsi" w:hAnsiTheme="majorHAnsi" w:cs="Arial"/>
          <w:sz w:val="22"/>
          <w:szCs w:val="22"/>
          <w:lang w:val="en-GB"/>
        </w:rPr>
        <w:t xml:space="preserve"> a</w:t>
      </w:r>
      <w:r w:rsidR="00377D77" w:rsidRPr="00B46D91">
        <w:rPr>
          <w:rFonts w:asciiTheme="majorHAnsi" w:hAnsiTheme="majorHAnsi" w:cs="Arial"/>
          <w:sz w:val="22"/>
          <w:szCs w:val="22"/>
          <w:lang w:val="en-GB"/>
        </w:rPr>
        <w:t>ppropriate ‘degree of tolerance’</w:t>
      </w:r>
      <w:r w:rsidRPr="00B46D91">
        <w:rPr>
          <w:rFonts w:asciiTheme="majorHAnsi" w:hAnsiTheme="majorHAnsi" w:cs="Arial"/>
          <w:sz w:val="22"/>
          <w:szCs w:val="22"/>
          <w:lang w:val="en-GB"/>
        </w:rPr>
        <w:t xml:space="preserve"> cannot be defined </w:t>
      </w:r>
      <w:r w:rsidRPr="00B46D91">
        <w:rPr>
          <w:rFonts w:asciiTheme="majorHAnsi" w:hAnsiTheme="majorHAnsi" w:cs="Arial"/>
          <w:i/>
          <w:sz w:val="22"/>
          <w:szCs w:val="22"/>
          <w:lang w:val="en-GB"/>
        </w:rPr>
        <w:t xml:space="preserve">in </w:t>
      </w:r>
      <w:proofErr w:type="spellStart"/>
      <w:r w:rsidRPr="00B46D91">
        <w:rPr>
          <w:rFonts w:asciiTheme="majorHAnsi" w:hAnsiTheme="majorHAnsi" w:cs="Arial"/>
          <w:i/>
          <w:sz w:val="22"/>
          <w:szCs w:val="22"/>
          <w:lang w:val="en-GB"/>
        </w:rPr>
        <w:t>abstracto</w:t>
      </w:r>
      <w:proofErr w:type="spellEnd"/>
      <w:r w:rsidRPr="00B46D91">
        <w:rPr>
          <w:rFonts w:asciiTheme="majorHAnsi" w:hAnsiTheme="majorHAnsi" w:cs="Arial"/>
          <w:sz w:val="22"/>
          <w:szCs w:val="22"/>
          <w:lang w:val="en-GB"/>
        </w:rPr>
        <w:t>” but depends on “the particular circumstances of the case and particularly at the extent of the ‘disruption to ordinary life’.”</w:t>
      </w:r>
      <w:r w:rsidR="0052394C" w:rsidRPr="00B46D91">
        <w:rPr>
          <w:rStyle w:val="FootnoteReference"/>
          <w:rFonts w:asciiTheme="majorHAnsi" w:hAnsiTheme="majorHAnsi" w:cs="Arial"/>
          <w:sz w:val="22"/>
          <w:szCs w:val="22"/>
          <w:lang w:val="en-GB"/>
        </w:rPr>
        <w:footnoteReference w:id="21"/>
      </w:r>
      <w:r w:rsidRPr="00B46D91">
        <w:rPr>
          <w:rFonts w:asciiTheme="majorHAnsi" w:hAnsiTheme="majorHAnsi" w:cs="Arial"/>
          <w:sz w:val="22"/>
          <w:szCs w:val="22"/>
          <w:lang w:val="en-GB"/>
        </w:rPr>
        <w:t xml:space="preserve"> This would seem to be </w:t>
      </w:r>
      <w:r w:rsidR="000F0146" w:rsidRPr="00B46D91">
        <w:rPr>
          <w:rFonts w:asciiTheme="majorHAnsi" w:hAnsiTheme="majorHAnsi" w:cs="Arial"/>
          <w:sz w:val="22"/>
          <w:szCs w:val="22"/>
          <w:lang w:val="en-GB"/>
        </w:rPr>
        <w:t>sensible</w:t>
      </w:r>
      <w:r w:rsidRPr="00B46D91">
        <w:rPr>
          <w:rFonts w:asciiTheme="majorHAnsi" w:hAnsiTheme="majorHAnsi" w:cs="Arial"/>
          <w:sz w:val="22"/>
          <w:szCs w:val="22"/>
          <w:lang w:val="en-GB"/>
        </w:rPr>
        <w:t xml:space="preserve"> guidance for all assemblies, whether directed at</w:t>
      </w:r>
      <w:r w:rsidR="00CE0A8E" w:rsidRPr="00B46D91">
        <w:rPr>
          <w:rFonts w:asciiTheme="majorHAnsi" w:hAnsiTheme="majorHAnsi" w:cs="Arial"/>
          <w:sz w:val="22"/>
          <w:szCs w:val="22"/>
          <w:lang w:val="en-GB"/>
        </w:rPr>
        <w:t xml:space="preserve"> a</w:t>
      </w:r>
      <w:r w:rsidRPr="00B46D91">
        <w:rPr>
          <w:rFonts w:asciiTheme="majorHAnsi" w:hAnsiTheme="majorHAnsi" w:cs="Arial"/>
          <w:sz w:val="22"/>
          <w:szCs w:val="22"/>
          <w:lang w:val="en-GB"/>
        </w:rPr>
        <w:t xml:space="preserve"> private or public </w:t>
      </w:r>
      <w:r w:rsidR="00CE0A8E" w:rsidRPr="00B46D91">
        <w:rPr>
          <w:rFonts w:asciiTheme="majorHAnsi" w:hAnsiTheme="majorHAnsi" w:cs="Arial"/>
          <w:sz w:val="22"/>
          <w:szCs w:val="22"/>
          <w:lang w:val="en-GB"/>
        </w:rPr>
        <w:t>target</w:t>
      </w:r>
      <w:r w:rsidRPr="00B46D91">
        <w:rPr>
          <w:rFonts w:asciiTheme="majorHAnsi" w:hAnsiTheme="majorHAnsi" w:cs="Arial"/>
          <w:sz w:val="22"/>
          <w:szCs w:val="22"/>
          <w:lang w:val="en-GB"/>
        </w:rPr>
        <w:t>.</w:t>
      </w:r>
    </w:p>
    <w:p w14:paraId="3BC2AF10" w14:textId="1EFD33B1" w:rsidR="00F03534" w:rsidRPr="00B46D91" w:rsidRDefault="00F03534" w:rsidP="00F03534">
      <w:pPr>
        <w:pStyle w:val="NormalWeb"/>
        <w:rPr>
          <w:rFonts w:asciiTheme="majorHAnsi" w:hAnsiTheme="majorHAnsi" w:cs="Arial"/>
          <w:sz w:val="22"/>
          <w:szCs w:val="22"/>
          <w:lang w:val="en-GB"/>
        </w:rPr>
      </w:pPr>
      <w:r w:rsidRPr="00B46D91">
        <w:rPr>
          <w:rFonts w:asciiTheme="majorHAnsi" w:hAnsiTheme="majorHAnsi" w:cs="Arial"/>
          <w:sz w:val="22"/>
          <w:szCs w:val="22"/>
          <w:lang w:val="en-GB"/>
        </w:rPr>
        <w:t xml:space="preserve">The </w:t>
      </w:r>
      <w:r w:rsidR="00377D77" w:rsidRPr="00B46D91">
        <w:rPr>
          <w:rFonts w:asciiTheme="majorHAnsi" w:hAnsiTheme="majorHAnsi" w:cs="Arial"/>
          <w:sz w:val="22"/>
          <w:szCs w:val="22"/>
          <w:lang w:val="en-GB"/>
        </w:rPr>
        <w:t>circumstances</w:t>
      </w:r>
      <w:r w:rsidRPr="00B46D91">
        <w:rPr>
          <w:rFonts w:asciiTheme="majorHAnsi" w:hAnsiTheme="majorHAnsi" w:cs="Arial"/>
          <w:sz w:val="22"/>
          <w:szCs w:val="22"/>
          <w:lang w:val="en-GB"/>
        </w:rPr>
        <w:t xml:space="preserve"> that are relevant are, </w:t>
      </w:r>
      <w:r w:rsidR="004F1FB7" w:rsidRPr="00B46D91">
        <w:rPr>
          <w:rFonts w:asciiTheme="majorHAnsi" w:hAnsiTheme="majorHAnsi" w:cs="Arial"/>
          <w:sz w:val="22"/>
          <w:szCs w:val="22"/>
          <w:lang w:val="en-GB"/>
        </w:rPr>
        <w:t>in our view</w:t>
      </w:r>
      <w:r w:rsidRPr="00B46D91">
        <w:rPr>
          <w:rFonts w:asciiTheme="majorHAnsi" w:hAnsiTheme="majorHAnsi" w:cs="Arial"/>
          <w:sz w:val="22"/>
          <w:szCs w:val="22"/>
          <w:lang w:val="en-GB"/>
        </w:rPr>
        <w:t xml:space="preserve">, much the same as those apply when balancing freedom of expression against </w:t>
      </w:r>
      <w:r w:rsidR="00377D77" w:rsidRPr="00B46D91">
        <w:rPr>
          <w:rFonts w:asciiTheme="majorHAnsi" w:hAnsiTheme="majorHAnsi" w:cs="Arial"/>
          <w:sz w:val="22"/>
          <w:szCs w:val="22"/>
          <w:lang w:val="en-GB"/>
        </w:rPr>
        <w:t>the rights of others</w:t>
      </w:r>
      <w:r w:rsidRPr="00B46D91">
        <w:rPr>
          <w:rFonts w:asciiTheme="majorHAnsi" w:hAnsiTheme="majorHAnsi" w:cs="Arial"/>
          <w:sz w:val="22"/>
          <w:szCs w:val="22"/>
          <w:lang w:val="en-GB"/>
        </w:rPr>
        <w:t xml:space="preserve">, such as the right to private life or reputation. In General Comment No. 34, the Committee indicated that </w:t>
      </w:r>
      <w:r w:rsidR="005B4386" w:rsidRPr="00B46D91">
        <w:rPr>
          <w:rFonts w:asciiTheme="majorHAnsi" w:hAnsiTheme="majorHAnsi" w:cs="Arial"/>
          <w:sz w:val="22"/>
          <w:szCs w:val="22"/>
          <w:lang w:val="en-GB"/>
        </w:rPr>
        <w:t xml:space="preserve">a greater degree of </w:t>
      </w:r>
      <w:r w:rsidR="00C454B4" w:rsidRPr="00B46D91">
        <w:rPr>
          <w:rFonts w:asciiTheme="majorHAnsi" w:hAnsiTheme="majorHAnsi" w:cs="Arial"/>
          <w:sz w:val="22"/>
          <w:szCs w:val="22"/>
          <w:lang w:val="en-GB"/>
        </w:rPr>
        <w:t>protection</w:t>
      </w:r>
      <w:r w:rsidR="005B4386" w:rsidRPr="00B46D91">
        <w:rPr>
          <w:rFonts w:asciiTheme="majorHAnsi" w:hAnsiTheme="majorHAnsi" w:cs="Arial"/>
          <w:sz w:val="22"/>
          <w:szCs w:val="22"/>
          <w:lang w:val="en-GB"/>
        </w:rPr>
        <w:t xml:space="preserve"> is required</w:t>
      </w:r>
      <w:r w:rsidRPr="00B46D91">
        <w:rPr>
          <w:rFonts w:asciiTheme="majorHAnsi" w:hAnsiTheme="majorHAnsi" w:cs="Arial"/>
          <w:sz w:val="22"/>
          <w:szCs w:val="22"/>
          <w:lang w:val="en-GB"/>
        </w:rPr>
        <w:t xml:space="preserve"> </w:t>
      </w:r>
      <w:r w:rsidR="00C454B4" w:rsidRPr="00B46D91">
        <w:rPr>
          <w:rFonts w:asciiTheme="majorHAnsi" w:hAnsiTheme="majorHAnsi" w:cs="Arial"/>
          <w:sz w:val="22"/>
          <w:szCs w:val="22"/>
          <w:lang w:val="en-GB"/>
        </w:rPr>
        <w:t xml:space="preserve">for speech </w:t>
      </w:r>
      <w:r w:rsidRPr="00B46D91">
        <w:rPr>
          <w:rFonts w:asciiTheme="majorHAnsi" w:hAnsiTheme="majorHAnsi" w:cs="Arial"/>
          <w:sz w:val="22"/>
          <w:szCs w:val="22"/>
          <w:lang w:val="en-GB"/>
        </w:rPr>
        <w:t>where there is “a public interest in the subj</w:t>
      </w:r>
      <w:r w:rsidR="005B4386" w:rsidRPr="00B46D91">
        <w:rPr>
          <w:rFonts w:asciiTheme="majorHAnsi" w:hAnsiTheme="majorHAnsi" w:cs="Arial"/>
          <w:sz w:val="22"/>
          <w:szCs w:val="22"/>
          <w:lang w:val="en-GB"/>
        </w:rPr>
        <w:t>ect matter of the criticism”,</w:t>
      </w:r>
      <w:r w:rsidR="003A59CD" w:rsidRPr="00B46D91">
        <w:rPr>
          <w:rStyle w:val="FootnoteReference"/>
          <w:rFonts w:asciiTheme="majorHAnsi" w:hAnsiTheme="majorHAnsi" w:cs="Arial"/>
          <w:sz w:val="22"/>
          <w:szCs w:val="22"/>
          <w:lang w:val="en-GB"/>
        </w:rPr>
        <w:footnoteReference w:id="22"/>
      </w:r>
      <w:r w:rsidR="005B4386" w:rsidRPr="00B46D91">
        <w:rPr>
          <w:rFonts w:asciiTheme="majorHAnsi" w:hAnsiTheme="majorHAnsi" w:cs="Arial"/>
          <w:sz w:val="22"/>
          <w:szCs w:val="22"/>
          <w:lang w:val="en-GB"/>
        </w:rPr>
        <w:t xml:space="preserve"> or</w:t>
      </w:r>
      <w:r w:rsidRPr="00B46D91">
        <w:rPr>
          <w:rFonts w:asciiTheme="majorHAnsi" w:hAnsiTheme="majorHAnsi" w:cs="Arial"/>
          <w:sz w:val="22"/>
          <w:szCs w:val="22"/>
          <w:lang w:val="en-GB"/>
        </w:rPr>
        <w:t xml:space="preserve"> where it relates to public figures.</w:t>
      </w:r>
      <w:r w:rsidR="00035406" w:rsidRPr="00B46D91">
        <w:rPr>
          <w:rStyle w:val="FootnoteReference"/>
          <w:rFonts w:asciiTheme="majorHAnsi" w:hAnsiTheme="majorHAnsi" w:cs="Arial"/>
          <w:sz w:val="22"/>
          <w:szCs w:val="22"/>
          <w:lang w:val="en-GB"/>
        </w:rPr>
        <w:footnoteReference w:id="23"/>
      </w:r>
      <w:r w:rsidRPr="00B46D91">
        <w:rPr>
          <w:rFonts w:asciiTheme="majorHAnsi" w:hAnsiTheme="majorHAnsi" w:cs="Arial"/>
          <w:sz w:val="22"/>
          <w:szCs w:val="22"/>
          <w:lang w:val="en-GB"/>
        </w:rPr>
        <w:t xml:space="preserve"> </w:t>
      </w:r>
      <w:r w:rsidR="004F1FB7" w:rsidRPr="00B46D91">
        <w:rPr>
          <w:rFonts w:asciiTheme="majorHAnsi" w:hAnsiTheme="majorHAnsi" w:cs="Arial"/>
          <w:sz w:val="22"/>
          <w:szCs w:val="22"/>
          <w:lang w:val="en-GB"/>
        </w:rPr>
        <w:t>By analogy, a greater degree of tolerance should be shown where any assembly</w:t>
      </w:r>
      <w:r w:rsidR="002A5058">
        <w:rPr>
          <w:rFonts w:asciiTheme="majorHAnsi" w:hAnsiTheme="majorHAnsi" w:cs="Arial"/>
          <w:sz w:val="22"/>
          <w:szCs w:val="22"/>
          <w:lang w:val="en-GB"/>
        </w:rPr>
        <w:t xml:space="preserve"> addressed to a private party</w:t>
      </w:r>
      <w:r w:rsidR="004F1FB7" w:rsidRPr="00B46D91">
        <w:rPr>
          <w:rFonts w:asciiTheme="majorHAnsi" w:hAnsiTheme="majorHAnsi" w:cs="Arial"/>
          <w:sz w:val="22"/>
          <w:szCs w:val="22"/>
          <w:lang w:val="en-GB"/>
        </w:rPr>
        <w:t xml:space="preserve"> relates to a matter of public interest or where </w:t>
      </w:r>
      <w:r w:rsidR="002A5058">
        <w:rPr>
          <w:rFonts w:asciiTheme="majorHAnsi" w:hAnsiTheme="majorHAnsi" w:cs="Arial"/>
          <w:sz w:val="22"/>
          <w:szCs w:val="22"/>
          <w:lang w:val="en-GB"/>
        </w:rPr>
        <w:t xml:space="preserve">the target is a </w:t>
      </w:r>
      <w:r w:rsidR="004F1FB7" w:rsidRPr="00B46D91">
        <w:rPr>
          <w:rFonts w:asciiTheme="majorHAnsi" w:hAnsiTheme="majorHAnsi" w:cs="Arial"/>
          <w:sz w:val="22"/>
          <w:szCs w:val="22"/>
          <w:lang w:val="en-GB"/>
        </w:rPr>
        <w:t xml:space="preserve">public figure – a term that, under </w:t>
      </w:r>
      <w:proofErr w:type="spellStart"/>
      <w:r w:rsidR="004F1FB7" w:rsidRPr="00B46D91">
        <w:rPr>
          <w:rFonts w:asciiTheme="majorHAnsi" w:hAnsiTheme="majorHAnsi" w:cs="Arial"/>
          <w:sz w:val="22"/>
          <w:szCs w:val="22"/>
          <w:lang w:val="en-GB"/>
        </w:rPr>
        <w:t>ECtHR</w:t>
      </w:r>
      <w:proofErr w:type="spellEnd"/>
      <w:r w:rsidR="004F1FB7" w:rsidRPr="00B46D91">
        <w:rPr>
          <w:rFonts w:asciiTheme="majorHAnsi" w:hAnsiTheme="majorHAnsi" w:cs="Arial"/>
          <w:sz w:val="22"/>
          <w:szCs w:val="22"/>
          <w:lang w:val="en-GB"/>
        </w:rPr>
        <w:t xml:space="preserve"> jurisprudence, includes major </w:t>
      </w:r>
      <w:r w:rsidR="007D132B">
        <w:rPr>
          <w:rFonts w:asciiTheme="majorHAnsi" w:hAnsiTheme="majorHAnsi" w:cs="Arial"/>
          <w:sz w:val="22"/>
          <w:szCs w:val="22"/>
          <w:lang w:val="en-GB"/>
        </w:rPr>
        <w:t>companies</w:t>
      </w:r>
      <w:r w:rsidR="004F1FB7" w:rsidRPr="00B46D91">
        <w:rPr>
          <w:rFonts w:asciiTheme="majorHAnsi" w:hAnsiTheme="majorHAnsi" w:cs="Arial"/>
          <w:sz w:val="22"/>
          <w:szCs w:val="22"/>
          <w:lang w:val="en-GB"/>
        </w:rPr>
        <w:t xml:space="preserve"> and the persons responsible for them.</w:t>
      </w:r>
      <w:r w:rsidR="00EF1B70" w:rsidRPr="00B46D91">
        <w:rPr>
          <w:rStyle w:val="FootnoteReference"/>
          <w:rFonts w:asciiTheme="majorHAnsi" w:hAnsiTheme="majorHAnsi" w:cs="Arial"/>
          <w:sz w:val="22"/>
          <w:szCs w:val="22"/>
          <w:lang w:val="en-GB"/>
        </w:rPr>
        <w:footnoteReference w:id="24"/>
      </w:r>
    </w:p>
    <w:p w14:paraId="36C2D127" w14:textId="7097AD61" w:rsidR="00F03534" w:rsidRPr="00B46D91" w:rsidRDefault="00F03534" w:rsidP="00F03534">
      <w:pPr>
        <w:pStyle w:val="NormalWeb"/>
        <w:rPr>
          <w:rFonts w:asciiTheme="majorHAnsi" w:hAnsiTheme="majorHAnsi" w:cs="Arial"/>
          <w:sz w:val="22"/>
          <w:szCs w:val="22"/>
          <w:lang w:val="en-GB"/>
        </w:rPr>
      </w:pPr>
      <w:r w:rsidRPr="00B46D91">
        <w:rPr>
          <w:rFonts w:asciiTheme="majorHAnsi" w:hAnsiTheme="majorHAnsi" w:cs="Arial"/>
          <w:sz w:val="22"/>
          <w:szCs w:val="22"/>
          <w:lang w:val="en-GB"/>
        </w:rPr>
        <w:t>Courts in the Netherlands – where GPI is headquartered – have developed an approach to disruptive assembly that may be seen as an example of good practice</w:t>
      </w:r>
      <w:r w:rsidR="004972AA" w:rsidRPr="00B46D91">
        <w:rPr>
          <w:rFonts w:asciiTheme="majorHAnsi" w:hAnsiTheme="majorHAnsi" w:cs="Arial"/>
          <w:sz w:val="22"/>
          <w:szCs w:val="22"/>
          <w:lang w:val="en-GB"/>
        </w:rPr>
        <w:t xml:space="preserve"> in this regard</w:t>
      </w:r>
      <w:r w:rsidRPr="00B46D91">
        <w:rPr>
          <w:rFonts w:asciiTheme="majorHAnsi" w:hAnsiTheme="majorHAnsi" w:cs="Arial"/>
          <w:sz w:val="22"/>
          <w:szCs w:val="22"/>
          <w:lang w:val="en-GB"/>
        </w:rPr>
        <w:t>.</w:t>
      </w:r>
      <w:r w:rsidR="00DE6C60" w:rsidRPr="00B46D91">
        <w:rPr>
          <w:rStyle w:val="FootnoteReference"/>
          <w:rFonts w:asciiTheme="majorHAnsi" w:hAnsiTheme="majorHAnsi" w:cs="Arial"/>
          <w:sz w:val="22"/>
          <w:szCs w:val="22"/>
          <w:lang w:val="en-GB"/>
        </w:rPr>
        <w:footnoteReference w:id="25"/>
      </w:r>
      <w:r w:rsidRPr="00B46D91">
        <w:rPr>
          <w:rFonts w:asciiTheme="majorHAnsi" w:hAnsiTheme="majorHAnsi" w:cs="Arial"/>
          <w:sz w:val="22"/>
          <w:szCs w:val="22"/>
          <w:lang w:val="en-GB"/>
        </w:rPr>
        <w:t xml:space="preserve"> </w:t>
      </w:r>
      <w:r w:rsidR="003C3BA3" w:rsidRPr="00B46D91">
        <w:rPr>
          <w:rFonts w:asciiTheme="majorHAnsi" w:hAnsiTheme="majorHAnsi" w:cs="Arial"/>
          <w:sz w:val="22"/>
          <w:szCs w:val="22"/>
          <w:lang w:val="en-GB"/>
        </w:rPr>
        <w:t>Peaceful a</w:t>
      </w:r>
      <w:r w:rsidRPr="00B46D91">
        <w:rPr>
          <w:rFonts w:asciiTheme="majorHAnsi" w:hAnsiTheme="majorHAnsi" w:cs="Arial"/>
          <w:sz w:val="22"/>
          <w:szCs w:val="22"/>
          <w:lang w:val="en-GB"/>
        </w:rPr>
        <w:t xml:space="preserve">ssemblies that cause deliberate hindrance to private parties are deemed lawful (and damages non-recoverable) if </w:t>
      </w:r>
      <w:r w:rsidR="00905734" w:rsidRPr="00B46D91">
        <w:rPr>
          <w:rFonts w:asciiTheme="majorHAnsi" w:hAnsiTheme="majorHAnsi" w:cs="Arial"/>
          <w:sz w:val="22"/>
          <w:szCs w:val="22"/>
          <w:lang w:val="en-GB"/>
        </w:rPr>
        <w:t>the organisers have complied</w:t>
      </w:r>
      <w:r w:rsidR="00916756" w:rsidRPr="00B46D91">
        <w:rPr>
          <w:rFonts w:asciiTheme="majorHAnsi" w:hAnsiTheme="majorHAnsi" w:cs="Arial"/>
          <w:sz w:val="22"/>
          <w:szCs w:val="22"/>
          <w:lang w:val="en-GB"/>
        </w:rPr>
        <w:t xml:space="preserve"> with</w:t>
      </w:r>
      <w:r w:rsidRPr="00B46D91">
        <w:rPr>
          <w:rFonts w:asciiTheme="majorHAnsi" w:hAnsiTheme="majorHAnsi" w:cs="Arial"/>
          <w:sz w:val="22"/>
          <w:szCs w:val="22"/>
          <w:lang w:val="en-GB"/>
        </w:rPr>
        <w:t xml:space="preserve"> requirements of subsidiary and proport</w:t>
      </w:r>
      <w:r w:rsidR="0027080E" w:rsidRPr="00B46D91">
        <w:rPr>
          <w:rFonts w:asciiTheme="majorHAnsi" w:hAnsiTheme="majorHAnsi" w:cs="Arial"/>
          <w:sz w:val="22"/>
          <w:szCs w:val="22"/>
          <w:lang w:val="en-GB"/>
        </w:rPr>
        <w:t>ionality.</w:t>
      </w:r>
      <w:r w:rsidR="003C1168" w:rsidRPr="00B46D91">
        <w:rPr>
          <w:rStyle w:val="FootnoteReference"/>
          <w:rFonts w:asciiTheme="majorHAnsi" w:hAnsiTheme="majorHAnsi" w:cs="Arial"/>
          <w:sz w:val="22"/>
          <w:szCs w:val="22"/>
          <w:lang w:val="en-GB"/>
        </w:rPr>
        <w:footnoteReference w:id="26"/>
      </w:r>
      <w:r w:rsidR="0027080E" w:rsidRPr="00B46D91">
        <w:rPr>
          <w:rFonts w:asciiTheme="majorHAnsi" w:hAnsiTheme="majorHAnsi" w:cs="Arial"/>
          <w:sz w:val="22"/>
          <w:szCs w:val="22"/>
          <w:lang w:val="en-GB"/>
        </w:rPr>
        <w:t xml:space="preserve"> ‘Subsidiarity’ means </w:t>
      </w:r>
      <w:r w:rsidRPr="00B46D91">
        <w:rPr>
          <w:rFonts w:asciiTheme="majorHAnsi" w:hAnsiTheme="majorHAnsi" w:cs="Arial"/>
          <w:sz w:val="22"/>
          <w:szCs w:val="22"/>
          <w:lang w:val="en-GB"/>
        </w:rPr>
        <w:t>that less far-reaching means to convey the grievance have been attempted unsuccessfully.</w:t>
      </w:r>
      <w:r w:rsidR="00820473" w:rsidRPr="00B46D91">
        <w:rPr>
          <w:rStyle w:val="FootnoteReference"/>
          <w:rFonts w:asciiTheme="majorHAnsi" w:hAnsiTheme="majorHAnsi" w:cs="Arial"/>
          <w:sz w:val="22"/>
          <w:szCs w:val="22"/>
          <w:lang w:val="en-GB"/>
        </w:rPr>
        <w:footnoteReference w:id="27"/>
      </w:r>
      <w:r w:rsidRPr="00B46D91">
        <w:rPr>
          <w:rFonts w:asciiTheme="majorHAnsi" w:hAnsiTheme="majorHAnsi" w:cs="Arial"/>
          <w:sz w:val="22"/>
          <w:szCs w:val="22"/>
          <w:lang w:val="en-GB"/>
        </w:rPr>
        <w:t xml:space="preserve"> ‘Proportionality’ means that the damage caused does not exceed what is necessary to achieve the intended objective.</w:t>
      </w:r>
      <w:r w:rsidR="00086AD9" w:rsidRPr="00B46D91">
        <w:rPr>
          <w:rStyle w:val="FootnoteReference"/>
          <w:rFonts w:asciiTheme="majorHAnsi" w:hAnsiTheme="majorHAnsi" w:cs="Arial"/>
          <w:sz w:val="22"/>
          <w:szCs w:val="22"/>
          <w:lang w:val="en-GB"/>
        </w:rPr>
        <w:t xml:space="preserve"> </w:t>
      </w:r>
      <w:r w:rsidR="00086AD9" w:rsidRPr="00B46D91">
        <w:rPr>
          <w:rStyle w:val="FootnoteReference"/>
          <w:rFonts w:asciiTheme="majorHAnsi" w:hAnsiTheme="majorHAnsi" w:cs="Arial"/>
          <w:sz w:val="22"/>
          <w:szCs w:val="22"/>
          <w:lang w:val="en-GB"/>
        </w:rPr>
        <w:footnoteReference w:id="28"/>
      </w:r>
      <w:r w:rsidRPr="00B46D91">
        <w:rPr>
          <w:rFonts w:asciiTheme="majorHAnsi" w:hAnsiTheme="majorHAnsi" w:cs="Arial"/>
          <w:sz w:val="22"/>
          <w:szCs w:val="22"/>
          <w:lang w:val="en-GB"/>
        </w:rPr>
        <w:t xml:space="preserve"> Whether the target is a major corporation has been deemed relevant to the proportionality assessment</w:t>
      </w:r>
      <w:r w:rsidR="00457510" w:rsidRPr="00B46D91">
        <w:rPr>
          <w:rFonts w:asciiTheme="majorHAnsi" w:hAnsiTheme="majorHAnsi" w:cs="Arial"/>
          <w:sz w:val="22"/>
          <w:szCs w:val="22"/>
          <w:lang w:val="en-GB"/>
        </w:rPr>
        <w:t>.</w:t>
      </w:r>
      <w:r w:rsidR="00A36A5C" w:rsidRPr="00B46D91">
        <w:rPr>
          <w:rStyle w:val="FootnoteReference"/>
          <w:rFonts w:asciiTheme="majorHAnsi" w:hAnsiTheme="majorHAnsi" w:cs="Arial"/>
          <w:sz w:val="22"/>
          <w:szCs w:val="22"/>
          <w:lang w:val="en-GB"/>
        </w:rPr>
        <w:footnoteReference w:id="29"/>
      </w:r>
    </w:p>
    <w:p w14:paraId="6BB1982A" w14:textId="74031898" w:rsidR="0016539B" w:rsidRPr="00B46D91" w:rsidRDefault="003B03F5" w:rsidP="000842C6">
      <w:pPr>
        <w:pStyle w:val="NormalWeb"/>
        <w:rPr>
          <w:rFonts w:asciiTheme="majorHAnsi" w:hAnsiTheme="majorHAnsi" w:cs="Arial"/>
          <w:sz w:val="22"/>
          <w:szCs w:val="22"/>
          <w:lang w:val="en-GB"/>
        </w:rPr>
      </w:pPr>
      <w:r w:rsidRPr="00B46D91">
        <w:rPr>
          <w:rFonts w:asciiTheme="majorHAnsi" w:hAnsiTheme="majorHAnsi" w:cs="Arial"/>
          <w:b/>
          <w:sz w:val="22"/>
          <w:szCs w:val="22"/>
          <w:u w:val="single"/>
          <w:lang w:val="en-GB"/>
        </w:rPr>
        <w:t>Question 5: the duty to protect those engaged in peaceful assembly</w:t>
      </w:r>
    </w:p>
    <w:p w14:paraId="35D36679" w14:textId="6A17CE80" w:rsidR="003B03F5" w:rsidRPr="00B46D91" w:rsidRDefault="003B03F5" w:rsidP="000842C6">
      <w:pPr>
        <w:pStyle w:val="NormalWeb"/>
        <w:rPr>
          <w:rFonts w:asciiTheme="majorHAnsi" w:hAnsiTheme="majorHAnsi" w:cs="Arial"/>
          <w:sz w:val="22"/>
          <w:szCs w:val="22"/>
          <w:lang w:val="en-GB"/>
        </w:rPr>
      </w:pPr>
      <w:r w:rsidRPr="00B46D91">
        <w:rPr>
          <w:rFonts w:asciiTheme="majorHAnsi" w:hAnsiTheme="majorHAnsi" w:cs="Arial"/>
          <w:sz w:val="22"/>
          <w:szCs w:val="22"/>
          <w:lang w:val="en-GB"/>
        </w:rPr>
        <w:t xml:space="preserve">The fifth question posed in the Note raises many important issues, but in this submission we limit ourselves to the importance of protecting assembly participants and organisers </w:t>
      </w:r>
      <w:r w:rsidR="00B64CF0" w:rsidRPr="00B46D91">
        <w:rPr>
          <w:rFonts w:asciiTheme="majorHAnsi" w:hAnsiTheme="majorHAnsi" w:cs="Arial"/>
          <w:sz w:val="22"/>
          <w:szCs w:val="22"/>
          <w:lang w:val="en-GB"/>
        </w:rPr>
        <w:t>from civil actions that lack merit</w:t>
      </w:r>
      <w:r w:rsidRPr="00B46D91">
        <w:rPr>
          <w:rFonts w:asciiTheme="majorHAnsi" w:hAnsiTheme="majorHAnsi" w:cs="Arial"/>
          <w:sz w:val="22"/>
          <w:szCs w:val="22"/>
          <w:lang w:val="en-GB"/>
        </w:rPr>
        <w:t>.</w:t>
      </w:r>
    </w:p>
    <w:p w14:paraId="7B247029" w14:textId="20A1AD9C" w:rsidR="00E43AD0" w:rsidRPr="00B46D91" w:rsidRDefault="00E43AD0" w:rsidP="000842C6">
      <w:pPr>
        <w:pStyle w:val="NormalWeb"/>
        <w:rPr>
          <w:rFonts w:asciiTheme="majorHAnsi" w:hAnsiTheme="majorHAnsi" w:cs="Arial"/>
          <w:i/>
          <w:sz w:val="22"/>
          <w:szCs w:val="22"/>
          <w:lang w:val="en-GB"/>
        </w:rPr>
      </w:pPr>
      <w:r w:rsidRPr="00B46D91">
        <w:rPr>
          <w:rFonts w:asciiTheme="majorHAnsi" w:eastAsia="Times New Roman" w:hAnsiTheme="majorHAnsi"/>
          <w:i/>
          <w:color w:val="000000"/>
          <w:sz w:val="22"/>
          <w:szCs w:val="22"/>
          <w:lang w:val="en-GB"/>
        </w:rPr>
        <w:t>The duty to protect against Strategic Lawsuits Against Public Participation (SLAPPs)</w:t>
      </w:r>
    </w:p>
    <w:p w14:paraId="686FF94E" w14:textId="5FC2BE41" w:rsidR="00AA6218" w:rsidRPr="00B46D91" w:rsidRDefault="00E43AD0" w:rsidP="00403B74">
      <w:pPr>
        <w:rPr>
          <w:rFonts w:asciiTheme="majorHAnsi" w:eastAsia="Times New Roman" w:hAnsiTheme="majorHAnsi" w:cs="Times New Roman"/>
          <w:color w:val="000000"/>
          <w:sz w:val="22"/>
          <w:szCs w:val="22"/>
          <w:lang w:val="en-GB"/>
        </w:rPr>
      </w:pPr>
      <w:r w:rsidRPr="00B46D91">
        <w:rPr>
          <w:rFonts w:asciiTheme="majorHAnsi" w:eastAsia="Times New Roman" w:hAnsiTheme="majorHAnsi" w:cs="Times New Roman"/>
          <w:color w:val="000000"/>
          <w:sz w:val="22"/>
          <w:szCs w:val="22"/>
          <w:lang w:val="en-GB"/>
        </w:rPr>
        <w:t xml:space="preserve">In recent years there has been a discernible growth in </w:t>
      </w:r>
      <w:r w:rsidR="00795DB2" w:rsidRPr="00B46D91">
        <w:rPr>
          <w:rFonts w:asciiTheme="majorHAnsi" w:eastAsia="Times New Roman" w:hAnsiTheme="majorHAnsi" w:cs="Times New Roman"/>
          <w:color w:val="000000"/>
          <w:sz w:val="22"/>
          <w:szCs w:val="22"/>
          <w:lang w:val="en-GB"/>
        </w:rPr>
        <w:t>SLAPPs</w:t>
      </w:r>
      <w:r w:rsidRPr="00B46D91">
        <w:rPr>
          <w:rFonts w:asciiTheme="majorHAnsi" w:eastAsia="Times New Roman" w:hAnsiTheme="majorHAnsi" w:cs="Times New Roman"/>
          <w:color w:val="000000"/>
          <w:sz w:val="22"/>
          <w:szCs w:val="22"/>
          <w:lang w:val="en-GB"/>
        </w:rPr>
        <w:t xml:space="preserve"> </w:t>
      </w:r>
      <w:r w:rsidR="00795DB2" w:rsidRPr="00B46D91">
        <w:rPr>
          <w:rFonts w:asciiTheme="majorHAnsi" w:eastAsia="Times New Roman" w:hAnsiTheme="majorHAnsi" w:cs="Times New Roman"/>
          <w:color w:val="000000"/>
          <w:sz w:val="22"/>
          <w:szCs w:val="22"/>
          <w:lang w:val="en-GB"/>
        </w:rPr>
        <w:t>– civil lawsuits</w:t>
      </w:r>
      <w:r w:rsidR="00403B74" w:rsidRPr="00B46D91">
        <w:rPr>
          <w:rFonts w:asciiTheme="majorHAnsi" w:eastAsia="Times New Roman" w:hAnsiTheme="majorHAnsi" w:cs="Times New Roman"/>
          <w:color w:val="000000"/>
          <w:sz w:val="22"/>
          <w:szCs w:val="22"/>
          <w:lang w:val="en-GB"/>
        </w:rPr>
        <w:t xml:space="preserve">, typically brought by corporations or rich individuals, </w:t>
      </w:r>
      <w:proofErr w:type="gramStart"/>
      <w:r w:rsidR="00403B74" w:rsidRPr="00B46D91">
        <w:rPr>
          <w:rFonts w:asciiTheme="majorHAnsi" w:eastAsia="Times New Roman" w:hAnsiTheme="majorHAnsi" w:cs="Times New Roman"/>
          <w:color w:val="000000"/>
          <w:sz w:val="22"/>
          <w:szCs w:val="22"/>
          <w:lang w:val="en-GB"/>
        </w:rPr>
        <w:t>which</w:t>
      </w:r>
      <w:proofErr w:type="gramEnd"/>
      <w:r w:rsidR="00403B74" w:rsidRPr="00B46D91">
        <w:rPr>
          <w:rFonts w:asciiTheme="majorHAnsi" w:eastAsia="Times New Roman" w:hAnsiTheme="majorHAnsi" w:cs="Times New Roman"/>
          <w:color w:val="000000"/>
          <w:sz w:val="22"/>
          <w:szCs w:val="22"/>
          <w:lang w:val="en-GB"/>
        </w:rPr>
        <w:t xml:space="preserve"> are</w:t>
      </w:r>
      <w:r w:rsidR="00795DB2" w:rsidRPr="00B46D91">
        <w:rPr>
          <w:rFonts w:asciiTheme="majorHAnsi" w:eastAsia="Times New Roman" w:hAnsiTheme="majorHAnsi" w:cs="Times New Roman"/>
          <w:color w:val="000000"/>
          <w:sz w:val="22"/>
          <w:szCs w:val="22"/>
          <w:lang w:val="en-GB"/>
        </w:rPr>
        <w:t xml:space="preserve"> designed </w:t>
      </w:r>
      <w:r w:rsidRPr="00B46D91">
        <w:rPr>
          <w:rFonts w:asciiTheme="majorHAnsi" w:eastAsia="Times New Roman" w:hAnsiTheme="majorHAnsi" w:cs="Times New Roman"/>
          <w:color w:val="000000"/>
          <w:sz w:val="22"/>
          <w:szCs w:val="22"/>
          <w:lang w:val="en-GB"/>
        </w:rPr>
        <w:t xml:space="preserve">to shut down </w:t>
      </w:r>
      <w:r w:rsidR="00795DB2" w:rsidRPr="00B46D91">
        <w:rPr>
          <w:rFonts w:asciiTheme="majorHAnsi" w:eastAsia="Times New Roman" w:hAnsiTheme="majorHAnsi" w:cs="Times New Roman"/>
          <w:color w:val="000000"/>
          <w:sz w:val="22"/>
          <w:szCs w:val="22"/>
          <w:lang w:val="en-GB"/>
        </w:rPr>
        <w:t xml:space="preserve">assemblies or other </w:t>
      </w:r>
      <w:r w:rsidR="00403B74" w:rsidRPr="00B46D91">
        <w:rPr>
          <w:rFonts w:asciiTheme="majorHAnsi" w:eastAsia="Times New Roman" w:hAnsiTheme="majorHAnsi" w:cs="Times New Roman"/>
          <w:color w:val="000000"/>
          <w:sz w:val="22"/>
          <w:szCs w:val="22"/>
          <w:lang w:val="en-GB"/>
        </w:rPr>
        <w:t>critical expression</w:t>
      </w:r>
      <w:r w:rsidRPr="00B46D91">
        <w:rPr>
          <w:rFonts w:asciiTheme="majorHAnsi" w:eastAsia="Times New Roman" w:hAnsiTheme="majorHAnsi" w:cs="Times New Roman"/>
          <w:color w:val="000000"/>
          <w:sz w:val="22"/>
          <w:szCs w:val="22"/>
          <w:lang w:val="en-GB"/>
        </w:rPr>
        <w:t xml:space="preserve"> by intimidating, harassing and draining the resources of those targeted</w:t>
      </w:r>
      <w:r w:rsidR="00AA6218" w:rsidRPr="00B46D91">
        <w:rPr>
          <w:rFonts w:asciiTheme="majorHAnsi" w:eastAsia="Times New Roman" w:hAnsiTheme="majorHAnsi" w:cs="Times New Roman"/>
          <w:color w:val="000000"/>
          <w:sz w:val="22"/>
          <w:szCs w:val="22"/>
          <w:lang w:val="en-GB"/>
        </w:rPr>
        <w:t>.</w:t>
      </w:r>
      <w:r w:rsidR="008E3FE6" w:rsidRPr="00B46D91">
        <w:rPr>
          <w:rFonts w:asciiTheme="majorHAnsi" w:eastAsia="Times New Roman" w:hAnsiTheme="majorHAnsi" w:cs="Times New Roman"/>
          <w:color w:val="000000"/>
          <w:sz w:val="22"/>
          <w:szCs w:val="22"/>
          <w:lang w:val="en-GB"/>
        </w:rPr>
        <w:t xml:space="preserve"> A </w:t>
      </w:r>
      <w:r w:rsidR="009C29D5" w:rsidRPr="00B46D91">
        <w:rPr>
          <w:rFonts w:asciiTheme="majorHAnsi" w:eastAsia="Times New Roman" w:hAnsiTheme="majorHAnsi" w:cs="Times New Roman"/>
          <w:color w:val="000000"/>
          <w:sz w:val="22"/>
          <w:szCs w:val="22"/>
          <w:lang w:val="en-GB"/>
        </w:rPr>
        <w:t>good</w:t>
      </w:r>
      <w:r w:rsidR="008E3FE6" w:rsidRPr="00B46D91">
        <w:rPr>
          <w:rFonts w:asciiTheme="majorHAnsi" w:eastAsia="Times New Roman" w:hAnsiTheme="majorHAnsi" w:cs="Times New Roman"/>
          <w:color w:val="000000"/>
          <w:sz w:val="22"/>
          <w:szCs w:val="22"/>
          <w:lang w:val="en-GB"/>
        </w:rPr>
        <w:t xml:space="preserve"> example of such a SLAPP is a US $900 million claim </w:t>
      </w:r>
      <w:r w:rsidR="00616D6E" w:rsidRPr="00B46D91">
        <w:rPr>
          <w:rFonts w:asciiTheme="majorHAnsi" w:eastAsia="Times New Roman" w:hAnsiTheme="majorHAnsi" w:cs="Times New Roman"/>
          <w:color w:val="000000"/>
          <w:sz w:val="22"/>
          <w:szCs w:val="22"/>
          <w:lang w:val="en-GB"/>
        </w:rPr>
        <w:t>brought under an anti-mafia statute</w:t>
      </w:r>
      <w:r w:rsidR="008E3FE6" w:rsidRPr="00B46D91">
        <w:rPr>
          <w:rFonts w:asciiTheme="majorHAnsi" w:eastAsia="Times New Roman" w:hAnsiTheme="majorHAnsi" w:cs="Times New Roman"/>
          <w:color w:val="000000"/>
          <w:sz w:val="22"/>
          <w:szCs w:val="22"/>
          <w:lang w:val="en-GB"/>
        </w:rPr>
        <w:t xml:space="preserve"> </w:t>
      </w:r>
      <w:r w:rsidR="009C29D5" w:rsidRPr="00B46D91">
        <w:rPr>
          <w:rFonts w:asciiTheme="majorHAnsi" w:eastAsia="Times New Roman" w:hAnsiTheme="majorHAnsi" w:cs="Times New Roman"/>
          <w:color w:val="000000"/>
          <w:sz w:val="22"/>
          <w:szCs w:val="22"/>
          <w:lang w:val="en-GB"/>
        </w:rPr>
        <w:t xml:space="preserve">by Energy Transfer Partners (ETP) </w:t>
      </w:r>
      <w:r w:rsidR="000431E1" w:rsidRPr="00B46D91">
        <w:rPr>
          <w:rFonts w:asciiTheme="majorHAnsi" w:eastAsia="Times New Roman" w:hAnsiTheme="majorHAnsi" w:cs="Times New Roman"/>
          <w:color w:val="000000"/>
          <w:sz w:val="22"/>
          <w:szCs w:val="22"/>
          <w:lang w:val="en-GB"/>
        </w:rPr>
        <w:t xml:space="preserve">in 2017 </w:t>
      </w:r>
      <w:r w:rsidR="00E50F91" w:rsidRPr="00B46D91">
        <w:rPr>
          <w:rFonts w:asciiTheme="majorHAnsi" w:eastAsia="Times New Roman" w:hAnsiTheme="majorHAnsi" w:cs="Times New Roman"/>
          <w:color w:val="000000"/>
          <w:sz w:val="22"/>
          <w:szCs w:val="22"/>
          <w:lang w:val="en-GB"/>
        </w:rPr>
        <w:t xml:space="preserve">against </w:t>
      </w:r>
      <w:r w:rsidR="009C29D5" w:rsidRPr="00B46D91">
        <w:rPr>
          <w:rFonts w:asciiTheme="majorHAnsi" w:eastAsia="Times New Roman" w:hAnsiTheme="majorHAnsi" w:cs="Times New Roman"/>
          <w:color w:val="000000"/>
          <w:sz w:val="22"/>
          <w:szCs w:val="22"/>
          <w:lang w:val="en-GB"/>
        </w:rPr>
        <w:t>a number of defendants, including</w:t>
      </w:r>
      <w:r w:rsidR="00E50F91" w:rsidRPr="00B46D91">
        <w:rPr>
          <w:rFonts w:asciiTheme="majorHAnsi" w:eastAsia="Times New Roman" w:hAnsiTheme="majorHAnsi" w:cs="Times New Roman"/>
          <w:color w:val="000000"/>
          <w:sz w:val="22"/>
          <w:szCs w:val="22"/>
          <w:lang w:val="en-GB"/>
        </w:rPr>
        <w:t xml:space="preserve"> </w:t>
      </w:r>
      <w:r w:rsidR="008E3FE6" w:rsidRPr="00B46D91">
        <w:rPr>
          <w:rFonts w:asciiTheme="majorHAnsi" w:eastAsia="Times New Roman" w:hAnsiTheme="majorHAnsi" w:cs="Times New Roman"/>
          <w:color w:val="000000"/>
          <w:sz w:val="22"/>
          <w:szCs w:val="22"/>
          <w:lang w:val="en-GB"/>
        </w:rPr>
        <w:t>GPI.</w:t>
      </w:r>
      <w:r w:rsidR="00F254BF" w:rsidRPr="00B46D91">
        <w:rPr>
          <w:rStyle w:val="FootnoteReference"/>
          <w:rFonts w:asciiTheme="majorHAnsi" w:eastAsia="Times New Roman" w:hAnsiTheme="majorHAnsi" w:cs="Times New Roman"/>
          <w:color w:val="000000"/>
          <w:sz w:val="22"/>
          <w:szCs w:val="22"/>
          <w:lang w:val="en-GB"/>
        </w:rPr>
        <w:footnoteReference w:id="30"/>
      </w:r>
      <w:r w:rsidR="008E3FE6" w:rsidRPr="00B46D91">
        <w:rPr>
          <w:rFonts w:asciiTheme="majorHAnsi" w:eastAsia="Times New Roman" w:hAnsiTheme="majorHAnsi" w:cs="Times New Roman"/>
          <w:color w:val="000000"/>
          <w:sz w:val="22"/>
          <w:szCs w:val="22"/>
          <w:lang w:val="en-GB"/>
        </w:rPr>
        <w:t xml:space="preserve"> </w:t>
      </w:r>
      <w:r w:rsidR="000431E1" w:rsidRPr="00B46D91">
        <w:rPr>
          <w:rFonts w:asciiTheme="majorHAnsi" w:eastAsia="Times New Roman" w:hAnsiTheme="majorHAnsi" w:cs="Times New Roman"/>
          <w:color w:val="000000"/>
          <w:sz w:val="22"/>
          <w:szCs w:val="22"/>
          <w:lang w:val="en-GB"/>
        </w:rPr>
        <w:t>The suit</w:t>
      </w:r>
      <w:r w:rsidR="00E50F91" w:rsidRPr="00B46D91">
        <w:rPr>
          <w:rFonts w:asciiTheme="majorHAnsi" w:eastAsia="Times New Roman" w:hAnsiTheme="majorHAnsi" w:cs="Times New Roman"/>
          <w:color w:val="000000"/>
          <w:sz w:val="22"/>
          <w:szCs w:val="22"/>
          <w:lang w:val="en-GB"/>
        </w:rPr>
        <w:t>,</w:t>
      </w:r>
      <w:r w:rsidR="008277D0" w:rsidRPr="00B46D91">
        <w:rPr>
          <w:rFonts w:asciiTheme="majorHAnsi" w:eastAsia="Times New Roman" w:hAnsiTheme="majorHAnsi" w:cs="Times New Roman"/>
          <w:color w:val="000000"/>
          <w:sz w:val="22"/>
          <w:szCs w:val="22"/>
          <w:lang w:val="en-GB"/>
        </w:rPr>
        <w:t xml:space="preserve"> </w:t>
      </w:r>
      <w:r w:rsidR="000E307A" w:rsidRPr="00B46D91">
        <w:rPr>
          <w:rFonts w:asciiTheme="majorHAnsi" w:eastAsia="Times New Roman" w:hAnsiTheme="majorHAnsi" w:cs="Times New Roman"/>
          <w:color w:val="000000"/>
          <w:sz w:val="22"/>
          <w:szCs w:val="22"/>
          <w:lang w:val="en-GB"/>
        </w:rPr>
        <w:t>which was recently dismissed in its entirety,</w:t>
      </w:r>
      <w:r w:rsidR="008277D0" w:rsidRPr="00B46D91">
        <w:rPr>
          <w:rFonts w:asciiTheme="majorHAnsi" w:eastAsia="Times New Roman" w:hAnsiTheme="majorHAnsi" w:cs="Times New Roman"/>
          <w:color w:val="000000"/>
          <w:sz w:val="22"/>
          <w:szCs w:val="22"/>
          <w:lang w:val="en-GB"/>
        </w:rPr>
        <w:t xml:space="preserve"> alleged that </w:t>
      </w:r>
      <w:r w:rsidR="00217063" w:rsidRPr="00B46D91">
        <w:rPr>
          <w:rFonts w:asciiTheme="majorHAnsi" w:eastAsia="Times New Roman" w:hAnsiTheme="majorHAnsi" w:cs="Times New Roman"/>
          <w:color w:val="000000"/>
          <w:sz w:val="22"/>
          <w:szCs w:val="22"/>
          <w:lang w:val="en-GB"/>
        </w:rPr>
        <w:t>the</w:t>
      </w:r>
      <w:r w:rsidR="00A000A6" w:rsidRPr="00B46D91">
        <w:rPr>
          <w:rFonts w:asciiTheme="majorHAnsi" w:eastAsia="Times New Roman" w:hAnsiTheme="majorHAnsi" w:cs="Times New Roman"/>
          <w:color w:val="000000"/>
          <w:sz w:val="22"/>
          <w:szCs w:val="22"/>
          <w:lang w:val="en-GB"/>
        </w:rPr>
        <w:t xml:space="preserve"> Indigenous-led</w:t>
      </w:r>
      <w:r w:rsidR="00217063" w:rsidRPr="00B46D91">
        <w:rPr>
          <w:rFonts w:asciiTheme="majorHAnsi" w:eastAsia="Times New Roman" w:hAnsiTheme="majorHAnsi" w:cs="Times New Roman"/>
          <w:color w:val="000000"/>
          <w:sz w:val="22"/>
          <w:szCs w:val="22"/>
          <w:lang w:val="en-GB"/>
        </w:rPr>
        <w:t xml:space="preserve"> protests against </w:t>
      </w:r>
      <w:r w:rsidR="00D40309" w:rsidRPr="00B46D91">
        <w:rPr>
          <w:rFonts w:asciiTheme="majorHAnsi" w:eastAsia="Times New Roman" w:hAnsiTheme="majorHAnsi" w:cs="Times New Roman"/>
          <w:color w:val="000000"/>
          <w:sz w:val="22"/>
          <w:szCs w:val="22"/>
          <w:lang w:val="en-GB"/>
        </w:rPr>
        <w:t>a</w:t>
      </w:r>
      <w:r w:rsidR="000E307A" w:rsidRPr="00B46D91">
        <w:rPr>
          <w:rFonts w:asciiTheme="majorHAnsi" w:eastAsia="Times New Roman" w:hAnsiTheme="majorHAnsi" w:cs="Times New Roman"/>
          <w:color w:val="000000"/>
          <w:sz w:val="22"/>
          <w:szCs w:val="22"/>
          <w:lang w:val="en-GB"/>
        </w:rPr>
        <w:t>n ETP</w:t>
      </w:r>
      <w:r w:rsidR="00D40309" w:rsidRPr="00B46D91">
        <w:rPr>
          <w:rFonts w:asciiTheme="majorHAnsi" w:eastAsia="Times New Roman" w:hAnsiTheme="majorHAnsi" w:cs="Times New Roman"/>
          <w:color w:val="000000"/>
          <w:sz w:val="22"/>
          <w:szCs w:val="22"/>
          <w:lang w:val="en-GB"/>
        </w:rPr>
        <w:t xml:space="preserve"> pipeline</w:t>
      </w:r>
      <w:r w:rsidR="008277D0" w:rsidRPr="00B46D91">
        <w:rPr>
          <w:rFonts w:asciiTheme="majorHAnsi" w:eastAsia="Times New Roman" w:hAnsiTheme="majorHAnsi" w:cs="Times New Roman"/>
          <w:color w:val="000000"/>
          <w:sz w:val="22"/>
          <w:szCs w:val="22"/>
          <w:lang w:val="en-GB"/>
        </w:rPr>
        <w:t xml:space="preserve"> project</w:t>
      </w:r>
      <w:r w:rsidR="00217063" w:rsidRPr="00B46D91">
        <w:rPr>
          <w:rFonts w:asciiTheme="majorHAnsi" w:eastAsia="Times New Roman" w:hAnsiTheme="majorHAnsi" w:cs="Times New Roman"/>
          <w:color w:val="000000"/>
          <w:sz w:val="22"/>
          <w:szCs w:val="22"/>
          <w:lang w:val="en-GB"/>
        </w:rPr>
        <w:t xml:space="preserve"> </w:t>
      </w:r>
      <w:r w:rsidR="00E50F91" w:rsidRPr="00B46D91">
        <w:rPr>
          <w:rFonts w:asciiTheme="majorHAnsi" w:eastAsia="Times New Roman" w:hAnsiTheme="majorHAnsi" w:cs="Times New Roman"/>
          <w:color w:val="000000"/>
          <w:sz w:val="22"/>
          <w:szCs w:val="22"/>
          <w:lang w:val="en-GB"/>
        </w:rPr>
        <w:t xml:space="preserve">were </w:t>
      </w:r>
      <w:r w:rsidR="00A000A6" w:rsidRPr="00B46D91">
        <w:rPr>
          <w:rFonts w:asciiTheme="majorHAnsi" w:eastAsia="Times New Roman" w:hAnsiTheme="majorHAnsi" w:cs="Times New Roman"/>
          <w:color w:val="000000"/>
          <w:sz w:val="22"/>
          <w:szCs w:val="22"/>
          <w:lang w:val="en-GB"/>
        </w:rPr>
        <w:t xml:space="preserve">in reality </w:t>
      </w:r>
      <w:r w:rsidR="008277D0" w:rsidRPr="00B46D91">
        <w:rPr>
          <w:rFonts w:asciiTheme="majorHAnsi" w:eastAsia="Times New Roman" w:hAnsiTheme="majorHAnsi" w:cs="Times New Roman"/>
          <w:color w:val="000000"/>
          <w:sz w:val="22"/>
          <w:szCs w:val="22"/>
          <w:lang w:val="en-GB"/>
        </w:rPr>
        <w:t>manufactured</w:t>
      </w:r>
      <w:r w:rsidR="00E50F91" w:rsidRPr="00B46D91">
        <w:rPr>
          <w:rFonts w:asciiTheme="majorHAnsi" w:eastAsia="Times New Roman" w:hAnsiTheme="majorHAnsi" w:cs="Times New Roman"/>
          <w:color w:val="000000"/>
          <w:sz w:val="22"/>
          <w:szCs w:val="22"/>
          <w:lang w:val="en-GB"/>
        </w:rPr>
        <w:t xml:space="preserve"> </w:t>
      </w:r>
      <w:r w:rsidR="008277D0" w:rsidRPr="00B46D91">
        <w:rPr>
          <w:rFonts w:asciiTheme="majorHAnsi" w:eastAsia="Times New Roman" w:hAnsiTheme="majorHAnsi" w:cs="Times New Roman"/>
          <w:color w:val="000000"/>
          <w:sz w:val="22"/>
          <w:szCs w:val="22"/>
          <w:lang w:val="en-GB"/>
        </w:rPr>
        <w:t>by the defendants</w:t>
      </w:r>
      <w:r w:rsidR="00A000A6" w:rsidRPr="00B46D91">
        <w:rPr>
          <w:rFonts w:asciiTheme="majorHAnsi" w:eastAsia="Times New Roman" w:hAnsiTheme="majorHAnsi" w:cs="Times New Roman"/>
          <w:color w:val="000000"/>
          <w:sz w:val="22"/>
          <w:szCs w:val="22"/>
          <w:lang w:val="en-GB"/>
        </w:rPr>
        <w:t xml:space="preserve"> in order to</w:t>
      </w:r>
      <w:r w:rsidR="004863C0" w:rsidRPr="00B46D91">
        <w:rPr>
          <w:rFonts w:asciiTheme="majorHAnsi" w:eastAsia="Times New Roman" w:hAnsiTheme="majorHAnsi" w:cs="Times New Roman"/>
          <w:color w:val="000000"/>
          <w:sz w:val="22"/>
          <w:szCs w:val="22"/>
          <w:lang w:val="en-GB"/>
        </w:rPr>
        <w:t xml:space="preserve"> raise funds.</w:t>
      </w:r>
      <w:r w:rsidR="004863C0" w:rsidRPr="00B46D91">
        <w:rPr>
          <w:rStyle w:val="FootnoteReference"/>
          <w:rFonts w:asciiTheme="majorHAnsi" w:eastAsia="Times New Roman" w:hAnsiTheme="majorHAnsi" w:cs="Times New Roman"/>
          <w:color w:val="000000"/>
          <w:sz w:val="22"/>
          <w:szCs w:val="22"/>
          <w:lang w:val="en-GB"/>
        </w:rPr>
        <w:footnoteReference w:id="31"/>
      </w:r>
    </w:p>
    <w:p w14:paraId="0BCB7568" w14:textId="77777777" w:rsidR="00AA6218" w:rsidRPr="00B46D91" w:rsidRDefault="00AA6218" w:rsidP="00403B74">
      <w:pPr>
        <w:rPr>
          <w:rFonts w:asciiTheme="majorHAnsi" w:eastAsia="Times New Roman" w:hAnsiTheme="majorHAnsi" w:cs="Times New Roman"/>
          <w:color w:val="000000"/>
          <w:sz w:val="22"/>
          <w:szCs w:val="22"/>
          <w:lang w:val="en-GB"/>
        </w:rPr>
      </w:pPr>
    </w:p>
    <w:p w14:paraId="703602F4" w14:textId="43C23740" w:rsidR="00AA6218" w:rsidRPr="00B46D91" w:rsidRDefault="00AA6218" w:rsidP="00403B74">
      <w:pPr>
        <w:rPr>
          <w:rFonts w:asciiTheme="majorHAnsi" w:eastAsia="Times New Roman" w:hAnsiTheme="majorHAnsi" w:cs="Times New Roman"/>
          <w:color w:val="000000"/>
          <w:sz w:val="22"/>
          <w:szCs w:val="22"/>
          <w:lang w:val="en-GB"/>
        </w:rPr>
      </w:pPr>
      <w:r w:rsidRPr="00B46D91">
        <w:rPr>
          <w:rFonts w:asciiTheme="majorHAnsi" w:eastAsia="Times New Roman" w:hAnsiTheme="majorHAnsi" w:cs="Times New Roman"/>
          <w:color w:val="000000"/>
          <w:sz w:val="22"/>
          <w:szCs w:val="22"/>
          <w:lang w:val="en-GB"/>
        </w:rPr>
        <w:t xml:space="preserve">In his previous capacity as </w:t>
      </w:r>
      <w:r w:rsidR="002B7AE1" w:rsidRPr="00B46D91">
        <w:rPr>
          <w:rFonts w:asciiTheme="majorHAnsi" w:eastAsia="Times New Roman" w:hAnsiTheme="majorHAnsi" w:cs="Times New Roman"/>
          <w:color w:val="000000"/>
          <w:sz w:val="22"/>
          <w:szCs w:val="22"/>
          <w:lang w:val="en-GB"/>
        </w:rPr>
        <w:t xml:space="preserve">UN </w:t>
      </w:r>
      <w:r w:rsidRPr="00B46D91">
        <w:rPr>
          <w:rFonts w:asciiTheme="majorHAnsi" w:eastAsia="Times New Roman" w:hAnsiTheme="majorHAnsi" w:cs="Times New Roman"/>
          <w:color w:val="000000"/>
          <w:sz w:val="22"/>
          <w:szCs w:val="22"/>
          <w:lang w:val="en-GB"/>
        </w:rPr>
        <w:t xml:space="preserve">Special Rapporteur on extrajudicial, summary or arbitrary executions, Mr </w:t>
      </w:r>
      <w:proofErr w:type="spellStart"/>
      <w:r w:rsidRPr="00B46D91">
        <w:rPr>
          <w:rFonts w:asciiTheme="majorHAnsi" w:eastAsia="Times New Roman" w:hAnsiTheme="majorHAnsi" w:cs="Times New Roman"/>
          <w:color w:val="000000"/>
          <w:sz w:val="22"/>
          <w:szCs w:val="22"/>
          <w:lang w:val="en-GB"/>
        </w:rPr>
        <w:t>Christof</w:t>
      </w:r>
      <w:proofErr w:type="spellEnd"/>
      <w:r w:rsidRPr="00B46D91">
        <w:rPr>
          <w:rFonts w:asciiTheme="majorHAnsi" w:eastAsia="Times New Roman" w:hAnsiTheme="majorHAnsi" w:cs="Times New Roman"/>
          <w:color w:val="000000"/>
          <w:sz w:val="22"/>
          <w:szCs w:val="22"/>
          <w:lang w:val="en-GB"/>
        </w:rPr>
        <w:t xml:space="preserve"> </w:t>
      </w:r>
      <w:proofErr w:type="spellStart"/>
      <w:r w:rsidRPr="00B46D91">
        <w:rPr>
          <w:rFonts w:asciiTheme="majorHAnsi" w:eastAsia="Times New Roman" w:hAnsiTheme="majorHAnsi" w:cs="Times New Roman"/>
          <w:color w:val="000000"/>
          <w:sz w:val="22"/>
          <w:szCs w:val="22"/>
          <w:lang w:val="en-GB"/>
        </w:rPr>
        <w:t>Heyns</w:t>
      </w:r>
      <w:proofErr w:type="spellEnd"/>
      <w:r w:rsidRPr="00B46D91">
        <w:rPr>
          <w:rFonts w:asciiTheme="majorHAnsi" w:eastAsia="Times New Roman" w:hAnsiTheme="majorHAnsi" w:cs="Times New Roman"/>
          <w:color w:val="000000"/>
          <w:sz w:val="22"/>
          <w:szCs w:val="22"/>
          <w:lang w:val="en-GB"/>
        </w:rPr>
        <w:t xml:space="preserve"> highlighted the threat</w:t>
      </w:r>
      <w:r w:rsidR="009F5DC9" w:rsidRPr="00B46D91">
        <w:rPr>
          <w:rFonts w:asciiTheme="majorHAnsi" w:eastAsia="Times New Roman" w:hAnsiTheme="majorHAnsi" w:cs="Times New Roman"/>
          <w:color w:val="000000"/>
          <w:sz w:val="22"/>
          <w:szCs w:val="22"/>
          <w:lang w:val="en-GB"/>
        </w:rPr>
        <w:t xml:space="preserve"> </w:t>
      </w:r>
      <w:r w:rsidR="00FB02E0" w:rsidRPr="00B46D91">
        <w:rPr>
          <w:rFonts w:asciiTheme="majorHAnsi" w:eastAsia="Times New Roman" w:hAnsiTheme="majorHAnsi" w:cs="Times New Roman"/>
          <w:color w:val="000000"/>
          <w:sz w:val="22"/>
          <w:szCs w:val="22"/>
          <w:lang w:val="en-GB"/>
        </w:rPr>
        <w:t xml:space="preserve">such SLAPPs pose </w:t>
      </w:r>
      <w:r w:rsidR="009F5DC9" w:rsidRPr="00B46D91">
        <w:rPr>
          <w:rFonts w:asciiTheme="majorHAnsi" w:eastAsia="Times New Roman" w:hAnsiTheme="majorHAnsi" w:cs="Times New Roman"/>
          <w:color w:val="000000"/>
          <w:sz w:val="22"/>
          <w:szCs w:val="22"/>
          <w:lang w:val="en-GB"/>
        </w:rPr>
        <w:t>to freedom of assembly.</w:t>
      </w:r>
      <w:r w:rsidRPr="00B46D91">
        <w:rPr>
          <w:rFonts w:asciiTheme="majorHAnsi" w:eastAsia="Times New Roman" w:hAnsiTheme="majorHAnsi" w:cs="Times New Roman"/>
          <w:color w:val="000000"/>
          <w:sz w:val="22"/>
          <w:szCs w:val="22"/>
          <w:lang w:val="en-GB"/>
        </w:rPr>
        <w:t xml:space="preserve"> </w:t>
      </w:r>
      <w:r w:rsidR="0012167B" w:rsidRPr="00B46D91">
        <w:rPr>
          <w:rFonts w:asciiTheme="majorHAnsi" w:eastAsia="Times New Roman" w:hAnsiTheme="majorHAnsi" w:cs="Times New Roman"/>
          <w:color w:val="000000"/>
          <w:sz w:val="22"/>
          <w:szCs w:val="22"/>
          <w:lang w:val="en-GB"/>
        </w:rPr>
        <w:t>A</w:t>
      </w:r>
      <w:r w:rsidRPr="00B46D91">
        <w:rPr>
          <w:rFonts w:asciiTheme="majorHAnsi" w:eastAsia="Times New Roman" w:hAnsiTheme="majorHAnsi" w:cs="Times New Roman"/>
          <w:color w:val="000000"/>
          <w:sz w:val="22"/>
          <w:szCs w:val="22"/>
          <w:lang w:val="en-GB"/>
        </w:rPr>
        <w:t xml:space="preserve"> report issued jo</w:t>
      </w:r>
      <w:r w:rsidR="002B7AE1" w:rsidRPr="00B46D91">
        <w:rPr>
          <w:rFonts w:asciiTheme="majorHAnsi" w:eastAsia="Times New Roman" w:hAnsiTheme="majorHAnsi" w:cs="Times New Roman"/>
          <w:color w:val="000000"/>
          <w:sz w:val="22"/>
          <w:szCs w:val="22"/>
          <w:lang w:val="en-GB"/>
        </w:rPr>
        <w:t xml:space="preserve">intly with </w:t>
      </w:r>
      <w:proofErr w:type="spellStart"/>
      <w:r w:rsidR="002B7AE1" w:rsidRPr="00B46D91">
        <w:rPr>
          <w:rFonts w:asciiTheme="majorHAnsi" w:eastAsia="Times New Roman" w:hAnsiTheme="majorHAnsi" w:cs="Times New Roman"/>
          <w:color w:val="000000"/>
          <w:sz w:val="22"/>
          <w:szCs w:val="22"/>
          <w:lang w:val="en-GB"/>
        </w:rPr>
        <w:t>Maina</w:t>
      </w:r>
      <w:proofErr w:type="spellEnd"/>
      <w:r w:rsidR="002B7AE1" w:rsidRPr="00B46D91">
        <w:rPr>
          <w:rFonts w:asciiTheme="majorHAnsi" w:eastAsia="Times New Roman" w:hAnsiTheme="majorHAnsi" w:cs="Times New Roman"/>
          <w:color w:val="000000"/>
          <w:sz w:val="22"/>
          <w:szCs w:val="22"/>
          <w:lang w:val="en-GB"/>
        </w:rPr>
        <w:t xml:space="preserve"> </w:t>
      </w:r>
      <w:proofErr w:type="spellStart"/>
      <w:r w:rsidR="002B7AE1" w:rsidRPr="00B46D91">
        <w:rPr>
          <w:rFonts w:asciiTheme="majorHAnsi" w:eastAsia="Times New Roman" w:hAnsiTheme="majorHAnsi" w:cs="Times New Roman"/>
          <w:color w:val="000000"/>
          <w:sz w:val="22"/>
          <w:szCs w:val="22"/>
          <w:lang w:val="en-GB"/>
        </w:rPr>
        <w:t>Kiai</w:t>
      </w:r>
      <w:proofErr w:type="spellEnd"/>
      <w:r w:rsidR="002B7AE1" w:rsidRPr="00B46D91">
        <w:rPr>
          <w:rFonts w:asciiTheme="majorHAnsi" w:eastAsia="Times New Roman" w:hAnsiTheme="majorHAnsi" w:cs="Times New Roman"/>
          <w:color w:val="000000"/>
          <w:sz w:val="22"/>
          <w:szCs w:val="22"/>
          <w:lang w:val="en-GB"/>
        </w:rPr>
        <w:t xml:space="preserve">, the then </w:t>
      </w:r>
      <w:r w:rsidR="00CC7EED" w:rsidRPr="00B46D91">
        <w:rPr>
          <w:rFonts w:asciiTheme="majorHAnsi" w:eastAsia="Times New Roman" w:hAnsiTheme="majorHAnsi" w:cs="Times New Roman"/>
          <w:color w:val="000000"/>
          <w:sz w:val="22"/>
          <w:szCs w:val="22"/>
          <w:lang w:val="en-GB"/>
        </w:rPr>
        <w:t>Special Rapporteur</w:t>
      </w:r>
      <w:r w:rsidRPr="00B46D91">
        <w:rPr>
          <w:rFonts w:asciiTheme="majorHAnsi" w:eastAsia="Times New Roman" w:hAnsiTheme="majorHAnsi" w:cs="Times New Roman"/>
          <w:color w:val="000000"/>
          <w:sz w:val="22"/>
          <w:szCs w:val="22"/>
          <w:lang w:val="en-GB"/>
        </w:rPr>
        <w:t xml:space="preserve"> on the rights to freedom of peaceful assembly and of association</w:t>
      </w:r>
      <w:r w:rsidR="00CC7EED" w:rsidRPr="00B46D91">
        <w:rPr>
          <w:rFonts w:asciiTheme="majorHAnsi" w:eastAsia="Times New Roman" w:hAnsiTheme="majorHAnsi" w:cs="Times New Roman"/>
          <w:color w:val="000000"/>
          <w:sz w:val="22"/>
          <w:szCs w:val="22"/>
          <w:lang w:val="en-GB"/>
        </w:rPr>
        <w:t xml:space="preserve"> (FOAA)</w:t>
      </w:r>
      <w:r w:rsidR="0012167B" w:rsidRPr="00B46D91">
        <w:rPr>
          <w:rFonts w:asciiTheme="majorHAnsi" w:eastAsia="Times New Roman" w:hAnsiTheme="majorHAnsi" w:cs="Times New Roman"/>
          <w:color w:val="000000"/>
          <w:sz w:val="22"/>
          <w:szCs w:val="22"/>
          <w:lang w:val="en-GB"/>
        </w:rPr>
        <w:t>, states</w:t>
      </w:r>
      <w:r w:rsidRPr="00B46D91">
        <w:rPr>
          <w:rFonts w:asciiTheme="majorHAnsi" w:eastAsia="Times New Roman" w:hAnsiTheme="majorHAnsi" w:cs="Times New Roman"/>
          <w:color w:val="000000"/>
          <w:sz w:val="22"/>
          <w:szCs w:val="22"/>
          <w:lang w:val="en-GB"/>
        </w:rPr>
        <w:t>:</w:t>
      </w:r>
    </w:p>
    <w:p w14:paraId="103E62F5" w14:textId="77777777" w:rsidR="00AA6218" w:rsidRPr="00B46D91" w:rsidRDefault="00AA6218" w:rsidP="00403B74">
      <w:pPr>
        <w:rPr>
          <w:rFonts w:asciiTheme="majorHAnsi" w:eastAsia="Times New Roman" w:hAnsiTheme="majorHAnsi" w:cs="Times New Roman"/>
          <w:color w:val="000000"/>
          <w:sz w:val="22"/>
          <w:szCs w:val="22"/>
          <w:lang w:val="en-GB"/>
        </w:rPr>
      </w:pPr>
    </w:p>
    <w:p w14:paraId="59F8435A" w14:textId="060BE7B2" w:rsidR="00AA6218" w:rsidRPr="00B46D91" w:rsidRDefault="00AA6218" w:rsidP="00AA6218">
      <w:pPr>
        <w:ind w:left="426" w:right="362"/>
        <w:rPr>
          <w:rFonts w:asciiTheme="majorHAnsi" w:eastAsia="Times New Roman" w:hAnsiTheme="majorHAnsi" w:cs="Times New Roman"/>
          <w:sz w:val="22"/>
          <w:szCs w:val="22"/>
          <w:lang w:val="en-GB"/>
        </w:rPr>
      </w:pPr>
      <w:r w:rsidRPr="00B46D91">
        <w:rPr>
          <w:rFonts w:asciiTheme="majorHAnsi" w:eastAsia="Times New Roman" w:hAnsiTheme="majorHAnsi" w:cs="Times New Roman"/>
          <w:sz w:val="22"/>
          <w:szCs w:val="22"/>
          <w:lang w:val="en-GB"/>
        </w:rPr>
        <w:t xml:space="preserve">“Business entities commonly seek injunctions and other civil remedies against assembly organizers and participants on the basis, for example, of anti-harassment, trespass or defamation laws, sometimes referred to as strategic lawsuits against public participation. </w:t>
      </w:r>
      <w:r w:rsidRPr="00B46D91">
        <w:rPr>
          <w:rFonts w:asciiTheme="majorHAnsi" w:eastAsia="Times New Roman" w:hAnsiTheme="majorHAnsi" w:cs="Times New Roman"/>
          <w:bCs/>
          <w:sz w:val="22"/>
          <w:szCs w:val="22"/>
          <w:u w:val="single"/>
          <w:lang w:val="en-GB"/>
        </w:rPr>
        <w:t>States have an obligation to ensure due process and to protect people from civil actions that lack merit</w:t>
      </w:r>
      <w:r w:rsidRPr="00B46D91">
        <w:rPr>
          <w:rFonts w:asciiTheme="majorHAnsi" w:eastAsia="Times New Roman" w:hAnsiTheme="majorHAnsi" w:cs="Times New Roman"/>
          <w:sz w:val="22"/>
          <w:szCs w:val="22"/>
          <w:lang w:val="en-GB"/>
        </w:rPr>
        <w:t>”</w:t>
      </w:r>
      <w:r w:rsidRPr="00B46D91">
        <w:rPr>
          <w:rFonts w:asciiTheme="majorHAnsi" w:eastAsia="Times New Roman" w:hAnsiTheme="majorHAnsi" w:cs="Times New Roman"/>
          <w:sz w:val="22"/>
          <w:szCs w:val="22"/>
          <w:vertAlign w:val="superscript"/>
          <w:lang w:val="en-GB"/>
        </w:rPr>
        <w:footnoteReference w:id="32"/>
      </w:r>
      <w:r w:rsidR="00FC0123" w:rsidRPr="00B46D91">
        <w:rPr>
          <w:rFonts w:asciiTheme="majorHAnsi" w:eastAsia="Times New Roman" w:hAnsiTheme="majorHAnsi" w:cs="Times New Roman"/>
          <w:sz w:val="22"/>
          <w:szCs w:val="22"/>
          <w:lang w:val="en-GB"/>
        </w:rPr>
        <w:t xml:space="preserve"> (emphasis added).</w:t>
      </w:r>
    </w:p>
    <w:p w14:paraId="631C3E07" w14:textId="77777777" w:rsidR="00AA6218" w:rsidRPr="00B46D91" w:rsidRDefault="00AA6218" w:rsidP="00403B74">
      <w:pPr>
        <w:rPr>
          <w:rFonts w:asciiTheme="majorHAnsi" w:eastAsia="Times New Roman" w:hAnsiTheme="majorHAnsi" w:cs="Times New Roman"/>
          <w:sz w:val="22"/>
          <w:szCs w:val="22"/>
          <w:lang w:val="en-GB"/>
        </w:rPr>
      </w:pPr>
    </w:p>
    <w:p w14:paraId="53122BBA" w14:textId="63C5443E" w:rsidR="00E43AD0" w:rsidRPr="00B46D91" w:rsidRDefault="00CC7EED" w:rsidP="00E43AD0">
      <w:pPr>
        <w:rPr>
          <w:rFonts w:asciiTheme="majorHAnsi" w:eastAsia="Times New Roman" w:hAnsiTheme="majorHAnsi" w:cs="Times New Roman"/>
          <w:sz w:val="22"/>
          <w:szCs w:val="22"/>
          <w:lang w:val="en-GB"/>
        </w:rPr>
      </w:pPr>
      <w:r w:rsidRPr="00B46D91">
        <w:rPr>
          <w:rFonts w:asciiTheme="majorHAnsi" w:eastAsia="Times New Roman" w:hAnsiTheme="majorHAnsi" w:cs="Times New Roman"/>
          <w:sz w:val="22"/>
          <w:szCs w:val="22"/>
          <w:lang w:val="en-GB"/>
        </w:rPr>
        <w:t>It would be helpful if the General Comment were to provide guidance to States on the content of th</w:t>
      </w:r>
      <w:r w:rsidR="00A0638F" w:rsidRPr="00B46D91">
        <w:rPr>
          <w:rFonts w:asciiTheme="majorHAnsi" w:eastAsia="Times New Roman" w:hAnsiTheme="majorHAnsi" w:cs="Times New Roman"/>
          <w:sz w:val="22"/>
          <w:szCs w:val="22"/>
          <w:lang w:val="en-GB"/>
        </w:rPr>
        <w:t>e</w:t>
      </w:r>
      <w:r w:rsidRPr="00B46D91">
        <w:rPr>
          <w:rFonts w:asciiTheme="majorHAnsi" w:eastAsia="Times New Roman" w:hAnsiTheme="majorHAnsi" w:cs="Times New Roman"/>
          <w:sz w:val="22"/>
          <w:szCs w:val="22"/>
          <w:lang w:val="en-GB"/>
        </w:rPr>
        <w:t xml:space="preserve"> obligation to</w:t>
      </w:r>
      <w:r w:rsidR="00775E07" w:rsidRPr="00B46D91">
        <w:rPr>
          <w:rFonts w:asciiTheme="majorHAnsi" w:eastAsia="Times New Roman" w:hAnsiTheme="majorHAnsi" w:cs="Times New Roman"/>
          <w:sz w:val="22"/>
          <w:szCs w:val="22"/>
          <w:lang w:val="en-GB"/>
        </w:rPr>
        <w:t xml:space="preserve"> </w:t>
      </w:r>
      <w:r w:rsidRPr="00B46D91">
        <w:rPr>
          <w:rFonts w:asciiTheme="majorHAnsi" w:eastAsia="Times New Roman" w:hAnsiTheme="majorHAnsi" w:cs="Times New Roman"/>
          <w:sz w:val="22"/>
          <w:szCs w:val="22"/>
          <w:lang w:val="en-GB"/>
        </w:rPr>
        <w:t xml:space="preserve">protect people from SLAPPs. In this regard, the Committee may wish to draw on the Information Note on SLAPPs and FOAA Rights published by </w:t>
      </w:r>
      <w:r w:rsidR="002B7AE1" w:rsidRPr="00B46D91">
        <w:rPr>
          <w:rFonts w:asciiTheme="majorHAnsi" w:eastAsia="Times New Roman" w:hAnsiTheme="majorHAnsi" w:cs="Times New Roman"/>
          <w:sz w:val="22"/>
          <w:szCs w:val="22"/>
          <w:lang w:val="en-GB"/>
        </w:rPr>
        <w:t xml:space="preserve">Mr </w:t>
      </w:r>
      <w:proofErr w:type="spellStart"/>
      <w:r w:rsidR="002B7AE1" w:rsidRPr="00B46D91">
        <w:rPr>
          <w:rFonts w:asciiTheme="majorHAnsi" w:eastAsia="Times New Roman" w:hAnsiTheme="majorHAnsi" w:cs="Times New Roman"/>
          <w:sz w:val="22"/>
          <w:szCs w:val="22"/>
          <w:lang w:val="en-GB"/>
        </w:rPr>
        <w:t>Kiai’s</w:t>
      </w:r>
      <w:proofErr w:type="spellEnd"/>
      <w:r w:rsidR="002B7AE1" w:rsidRPr="00B46D91">
        <w:rPr>
          <w:rFonts w:asciiTheme="majorHAnsi" w:eastAsia="Times New Roman" w:hAnsiTheme="majorHAnsi" w:cs="Times New Roman"/>
          <w:sz w:val="22"/>
          <w:szCs w:val="22"/>
          <w:lang w:val="en-GB"/>
        </w:rPr>
        <w:t xml:space="preserve"> successor</w:t>
      </w:r>
      <w:r w:rsidRPr="00B46D91">
        <w:rPr>
          <w:rFonts w:asciiTheme="majorHAnsi" w:eastAsia="Times New Roman" w:hAnsiTheme="majorHAnsi" w:cs="Times New Roman"/>
          <w:sz w:val="22"/>
          <w:szCs w:val="22"/>
          <w:lang w:val="en-GB"/>
        </w:rPr>
        <w:t xml:space="preserve"> in the </w:t>
      </w:r>
      <w:r w:rsidR="00067CAD" w:rsidRPr="00B46D91">
        <w:rPr>
          <w:rFonts w:asciiTheme="majorHAnsi" w:eastAsia="Times New Roman" w:hAnsiTheme="majorHAnsi" w:cs="Times New Roman"/>
          <w:sz w:val="22"/>
          <w:szCs w:val="22"/>
          <w:lang w:val="en-GB"/>
        </w:rPr>
        <w:t xml:space="preserve">FOAA </w:t>
      </w:r>
      <w:r w:rsidRPr="00B46D91">
        <w:rPr>
          <w:rFonts w:asciiTheme="majorHAnsi" w:eastAsia="Times New Roman" w:hAnsiTheme="majorHAnsi" w:cs="Times New Roman"/>
          <w:sz w:val="22"/>
          <w:szCs w:val="22"/>
          <w:lang w:val="en-GB"/>
        </w:rPr>
        <w:t xml:space="preserve">Special </w:t>
      </w:r>
      <w:proofErr w:type="spellStart"/>
      <w:r w:rsidRPr="00B46D91">
        <w:rPr>
          <w:rFonts w:asciiTheme="majorHAnsi" w:eastAsia="Times New Roman" w:hAnsiTheme="majorHAnsi" w:cs="Times New Roman"/>
          <w:sz w:val="22"/>
          <w:szCs w:val="22"/>
          <w:lang w:val="en-GB"/>
        </w:rPr>
        <w:t>Rapporteurship</w:t>
      </w:r>
      <w:proofErr w:type="spellEnd"/>
      <w:r w:rsidR="002B7AE1" w:rsidRPr="00B46D91">
        <w:rPr>
          <w:rFonts w:asciiTheme="majorHAnsi" w:eastAsia="Times New Roman" w:hAnsiTheme="majorHAnsi" w:cs="Times New Roman"/>
          <w:sz w:val="22"/>
          <w:szCs w:val="22"/>
          <w:lang w:val="en-GB"/>
        </w:rPr>
        <w:t xml:space="preserve">, </w:t>
      </w:r>
      <w:proofErr w:type="spellStart"/>
      <w:r w:rsidR="002B7AE1" w:rsidRPr="00B46D91">
        <w:rPr>
          <w:rFonts w:asciiTheme="majorHAnsi" w:eastAsia="Times New Roman" w:hAnsiTheme="majorHAnsi" w:cs="Times New Roman"/>
          <w:sz w:val="22"/>
          <w:szCs w:val="22"/>
          <w:lang w:val="en-GB"/>
        </w:rPr>
        <w:t>Ms.</w:t>
      </w:r>
      <w:proofErr w:type="spellEnd"/>
      <w:r w:rsidR="002B7AE1" w:rsidRPr="00B46D91">
        <w:rPr>
          <w:rFonts w:asciiTheme="majorHAnsi" w:eastAsia="Times New Roman" w:hAnsiTheme="majorHAnsi" w:cs="Times New Roman"/>
          <w:sz w:val="22"/>
          <w:szCs w:val="22"/>
          <w:lang w:val="en-GB"/>
        </w:rPr>
        <w:t xml:space="preserve"> Ann</w:t>
      </w:r>
      <w:r w:rsidR="00BA7248" w:rsidRPr="00B46D91">
        <w:rPr>
          <w:rFonts w:asciiTheme="majorHAnsi" w:eastAsia="Times New Roman" w:hAnsiTheme="majorHAnsi" w:cs="Times New Roman"/>
          <w:sz w:val="22"/>
          <w:szCs w:val="22"/>
          <w:lang w:val="en-GB"/>
        </w:rPr>
        <w:t xml:space="preserve">alisa </w:t>
      </w:r>
      <w:proofErr w:type="spellStart"/>
      <w:r w:rsidR="00BA7248" w:rsidRPr="00B46D91">
        <w:rPr>
          <w:rFonts w:asciiTheme="majorHAnsi" w:eastAsia="Times New Roman" w:hAnsiTheme="majorHAnsi" w:cs="Times New Roman"/>
          <w:sz w:val="22"/>
          <w:szCs w:val="22"/>
          <w:lang w:val="en-GB"/>
        </w:rPr>
        <w:t>Ciampi</w:t>
      </w:r>
      <w:proofErr w:type="spellEnd"/>
      <w:r w:rsidR="00BA7248" w:rsidRPr="00B46D91">
        <w:rPr>
          <w:rFonts w:asciiTheme="majorHAnsi" w:eastAsia="Times New Roman" w:hAnsiTheme="majorHAnsi" w:cs="Times New Roman"/>
          <w:sz w:val="22"/>
          <w:szCs w:val="22"/>
          <w:lang w:val="en-GB"/>
        </w:rPr>
        <w:t>. The Note recommends that:</w:t>
      </w:r>
    </w:p>
    <w:p w14:paraId="49C76D78" w14:textId="77777777" w:rsidR="00BA7248" w:rsidRPr="00B46D91" w:rsidRDefault="00BA7248" w:rsidP="00E43AD0">
      <w:pPr>
        <w:rPr>
          <w:rFonts w:asciiTheme="majorHAnsi" w:eastAsia="Times New Roman" w:hAnsiTheme="majorHAnsi" w:cs="Times New Roman"/>
          <w:sz w:val="22"/>
          <w:szCs w:val="22"/>
          <w:lang w:val="en-GB"/>
        </w:rPr>
      </w:pPr>
    </w:p>
    <w:p w14:paraId="67E9D965" w14:textId="442EB6DD" w:rsidR="00F52223" w:rsidRPr="00B46D91" w:rsidRDefault="00BA7248" w:rsidP="00F52223">
      <w:pPr>
        <w:pStyle w:val="ListParagraph"/>
        <w:spacing w:after="0" w:line="240" w:lineRule="auto"/>
        <w:rPr>
          <w:rFonts w:asciiTheme="majorHAnsi" w:hAnsiTheme="majorHAnsi" w:cs="Times New Roman"/>
          <w:bCs/>
          <w:lang w:val="en-GB"/>
        </w:rPr>
      </w:pPr>
      <w:r w:rsidRPr="00B46D91">
        <w:rPr>
          <w:rFonts w:asciiTheme="majorHAnsi" w:hAnsiTheme="majorHAnsi" w:cs="Times New Roman"/>
          <w:bCs/>
          <w:lang w:val="en-GB"/>
        </w:rPr>
        <w:t xml:space="preserve">“States should protect and facilitate the rights to freedom of expression, assembly and association to ensure that these rights are enjoyed by everyone by, </w:t>
      </w:r>
      <w:r w:rsidRPr="00B46D91">
        <w:rPr>
          <w:rFonts w:asciiTheme="majorHAnsi" w:hAnsiTheme="majorHAnsi" w:cs="Times New Roman"/>
          <w:bCs/>
          <w:i/>
          <w:iCs/>
          <w:lang w:val="en-GB"/>
        </w:rPr>
        <w:t>inter alia</w:t>
      </w:r>
      <w:r w:rsidRPr="00B46D91">
        <w:rPr>
          <w:rFonts w:asciiTheme="majorHAnsi" w:hAnsiTheme="majorHAnsi" w:cs="Times New Roman"/>
          <w:bCs/>
          <w:lang w:val="en-GB"/>
        </w:rPr>
        <w:t xml:space="preserve">, </w:t>
      </w:r>
      <w:r w:rsidRPr="00B46D91">
        <w:rPr>
          <w:rFonts w:asciiTheme="majorHAnsi" w:hAnsiTheme="majorHAnsi" w:cs="Times New Roman"/>
          <w:bCs/>
          <w:u w:val="single"/>
          <w:lang w:val="en-GB"/>
        </w:rPr>
        <w:t>enacting anti-SLAPPs legislation, allowing an early dismissal (with an award of costs) of such suits and the use of measures to penalize abuse.”</w:t>
      </w:r>
      <w:r w:rsidR="007F12B4" w:rsidRPr="00B46D91">
        <w:rPr>
          <w:rStyle w:val="FootnoteReference"/>
          <w:rFonts w:asciiTheme="majorHAnsi" w:hAnsiTheme="majorHAnsi" w:cs="Times New Roman"/>
          <w:bCs/>
          <w:lang w:val="en-GB"/>
        </w:rPr>
        <w:footnoteReference w:id="33"/>
      </w:r>
      <w:r w:rsidRPr="00B46D91">
        <w:rPr>
          <w:rFonts w:asciiTheme="majorHAnsi" w:hAnsiTheme="majorHAnsi" w:cs="Times New Roman"/>
          <w:bCs/>
          <w:lang w:val="en-GB"/>
        </w:rPr>
        <w:t xml:space="preserve"> (</w:t>
      </w:r>
      <w:proofErr w:type="gramStart"/>
      <w:r w:rsidRPr="00B46D91">
        <w:rPr>
          <w:rFonts w:asciiTheme="majorHAnsi" w:hAnsiTheme="majorHAnsi" w:cs="Times New Roman"/>
          <w:bCs/>
          <w:lang w:val="en-GB"/>
        </w:rPr>
        <w:t>emphasis</w:t>
      </w:r>
      <w:proofErr w:type="gramEnd"/>
      <w:r w:rsidRPr="00B46D91">
        <w:rPr>
          <w:rFonts w:asciiTheme="majorHAnsi" w:hAnsiTheme="majorHAnsi" w:cs="Times New Roman"/>
          <w:bCs/>
          <w:lang w:val="en-GB"/>
        </w:rPr>
        <w:t xml:space="preserve"> added)</w:t>
      </w:r>
    </w:p>
    <w:p w14:paraId="18FD3E90" w14:textId="71873BCF" w:rsidR="00BA7248" w:rsidRPr="00B46D91" w:rsidRDefault="00F52223" w:rsidP="00F52223">
      <w:pPr>
        <w:rPr>
          <w:rFonts w:asciiTheme="majorHAnsi" w:eastAsia="Times New Roman" w:hAnsiTheme="majorHAnsi" w:cs="Times New Roman"/>
          <w:bCs/>
          <w:sz w:val="22"/>
          <w:szCs w:val="22"/>
          <w:lang w:val="en-GB"/>
        </w:rPr>
      </w:pPr>
      <w:r w:rsidRPr="00B46D91">
        <w:rPr>
          <w:rFonts w:asciiTheme="majorHAnsi" w:eastAsia="Times New Roman" w:hAnsiTheme="majorHAnsi" w:cs="Times New Roman"/>
          <w:sz w:val="22"/>
          <w:szCs w:val="22"/>
          <w:lang w:val="en-GB"/>
        </w:rPr>
        <w:br/>
        <w:t xml:space="preserve">The possibility of early dismissal is an important safeguard, as </w:t>
      </w:r>
      <w:r w:rsidR="00811E5B" w:rsidRPr="00B46D91">
        <w:rPr>
          <w:rFonts w:asciiTheme="majorHAnsi" w:eastAsia="Times New Roman" w:hAnsiTheme="majorHAnsi" w:cs="Times New Roman"/>
          <w:sz w:val="22"/>
          <w:szCs w:val="22"/>
          <w:lang w:val="en-GB"/>
        </w:rPr>
        <w:t>poorly resourced defendants will often be forced to settle</w:t>
      </w:r>
      <w:r w:rsidR="00642057">
        <w:rPr>
          <w:rFonts w:asciiTheme="majorHAnsi" w:eastAsia="Times New Roman" w:hAnsiTheme="majorHAnsi" w:cs="Times New Roman"/>
          <w:sz w:val="22"/>
          <w:szCs w:val="22"/>
          <w:lang w:val="en-GB"/>
        </w:rPr>
        <w:t>,</w:t>
      </w:r>
      <w:r w:rsidR="00811E5B" w:rsidRPr="00B46D91">
        <w:rPr>
          <w:rFonts w:asciiTheme="majorHAnsi" w:eastAsia="Times New Roman" w:hAnsiTheme="majorHAnsi" w:cs="Times New Roman"/>
          <w:sz w:val="22"/>
          <w:szCs w:val="22"/>
          <w:lang w:val="en-GB"/>
        </w:rPr>
        <w:t xml:space="preserve"> faced with the prospect of lengthy litigation. </w:t>
      </w:r>
      <w:r w:rsidR="0078230F" w:rsidRPr="00B46D91">
        <w:rPr>
          <w:rFonts w:asciiTheme="majorHAnsi" w:eastAsia="Times New Roman" w:hAnsiTheme="majorHAnsi" w:cs="Times New Roman"/>
          <w:sz w:val="22"/>
          <w:szCs w:val="22"/>
          <w:lang w:val="en-GB"/>
        </w:rPr>
        <w:t xml:space="preserve">Penalties for abusive plaintiffs are necessary to ensure a real deterrent beyond the cost of litigation itself, which </w:t>
      </w:r>
      <w:r w:rsidR="00642057">
        <w:rPr>
          <w:rFonts w:asciiTheme="majorHAnsi" w:eastAsia="Times New Roman" w:hAnsiTheme="majorHAnsi" w:cs="Times New Roman"/>
          <w:sz w:val="22"/>
          <w:szCs w:val="22"/>
          <w:lang w:val="en-GB"/>
        </w:rPr>
        <w:t>will often be</w:t>
      </w:r>
      <w:r w:rsidR="008705D7" w:rsidRPr="00B46D91">
        <w:rPr>
          <w:rFonts w:asciiTheme="majorHAnsi" w:eastAsia="Times New Roman" w:hAnsiTheme="majorHAnsi" w:cs="Times New Roman"/>
          <w:sz w:val="22"/>
          <w:szCs w:val="22"/>
          <w:lang w:val="en-GB"/>
        </w:rPr>
        <w:t xml:space="preserve"> insignificant for a major corporation. </w:t>
      </w:r>
    </w:p>
    <w:p w14:paraId="328B413D" w14:textId="03266638" w:rsidR="00B17CE0" w:rsidRPr="00B46D91" w:rsidRDefault="00B17CE0" w:rsidP="00B17CE0">
      <w:pPr>
        <w:pStyle w:val="NormalWeb"/>
        <w:rPr>
          <w:rFonts w:asciiTheme="majorHAnsi" w:hAnsiTheme="majorHAnsi" w:cs="Arial"/>
          <w:sz w:val="22"/>
          <w:szCs w:val="22"/>
          <w:lang w:val="en-GB"/>
        </w:rPr>
      </w:pPr>
      <w:r w:rsidRPr="00B46D91">
        <w:rPr>
          <w:rFonts w:asciiTheme="majorHAnsi" w:hAnsiTheme="majorHAnsi" w:cs="Arial"/>
          <w:b/>
          <w:sz w:val="22"/>
          <w:szCs w:val="22"/>
          <w:u w:val="single"/>
          <w:lang w:val="en-GB"/>
        </w:rPr>
        <w:t>Question 9: time, place and manner restrictions</w:t>
      </w:r>
    </w:p>
    <w:p w14:paraId="14B2DA00" w14:textId="64B27A2A" w:rsidR="007A346E" w:rsidRPr="00B46D91" w:rsidRDefault="00EA7852" w:rsidP="00B17CE0">
      <w:pPr>
        <w:pStyle w:val="NormalWeb"/>
        <w:rPr>
          <w:rFonts w:asciiTheme="majorHAnsi" w:hAnsiTheme="majorHAnsi" w:cs="Arial"/>
          <w:sz w:val="22"/>
          <w:szCs w:val="22"/>
          <w:lang w:val="en-GB"/>
        </w:rPr>
      </w:pPr>
      <w:r w:rsidRPr="00B46D91">
        <w:rPr>
          <w:rFonts w:asciiTheme="majorHAnsi" w:hAnsiTheme="majorHAnsi" w:cs="Arial"/>
          <w:i/>
          <w:sz w:val="22"/>
          <w:szCs w:val="22"/>
          <w:lang w:val="en-GB"/>
        </w:rPr>
        <w:t>Limitations on the manner of assemblies</w:t>
      </w:r>
    </w:p>
    <w:p w14:paraId="4D226890" w14:textId="17FD4F4E" w:rsidR="00D21364" w:rsidRPr="00B46D91" w:rsidRDefault="000A3A06" w:rsidP="00D21364">
      <w:pPr>
        <w:pStyle w:val="NormalWeb"/>
        <w:rPr>
          <w:rFonts w:asciiTheme="majorHAnsi" w:hAnsiTheme="majorHAnsi" w:cs="Arial"/>
          <w:sz w:val="22"/>
          <w:szCs w:val="22"/>
          <w:lang w:val="en-GB"/>
        </w:rPr>
      </w:pPr>
      <w:r w:rsidRPr="00B46D91">
        <w:rPr>
          <w:rFonts w:asciiTheme="majorHAnsi" w:hAnsiTheme="majorHAnsi" w:cs="Arial"/>
          <w:sz w:val="22"/>
          <w:szCs w:val="22"/>
          <w:lang w:val="en-GB"/>
        </w:rPr>
        <w:t xml:space="preserve">Freedom to choose the </w:t>
      </w:r>
      <w:r w:rsidR="00095941" w:rsidRPr="00B46D91">
        <w:rPr>
          <w:rFonts w:asciiTheme="majorHAnsi" w:hAnsiTheme="majorHAnsi" w:cs="Arial"/>
          <w:sz w:val="22"/>
          <w:szCs w:val="22"/>
          <w:lang w:val="en-GB"/>
        </w:rPr>
        <w:t>manner</w:t>
      </w:r>
      <w:r w:rsidRPr="00B46D91">
        <w:rPr>
          <w:rFonts w:asciiTheme="majorHAnsi" w:hAnsiTheme="majorHAnsi" w:cs="Arial"/>
          <w:sz w:val="22"/>
          <w:szCs w:val="22"/>
          <w:lang w:val="en-GB"/>
        </w:rPr>
        <w:t xml:space="preserve"> of an assembly is an im</w:t>
      </w:r>
      <w:r w:rsidR="000B1122" w:rsidRPr="00B46D91">
        <w:rPr>
          <w:rFonts w:asciiTheme="majorHAnsi" w:hAnsiTheme="majorHAnsi" w:cs="Arial"/>
          <w:sz w:val="22"/>
          <w:szCs w:val="22"/>
          <w:lang w:val="en-GB"/>
        </w:rPr>
        <w:t xml:space="preserve">portant aspect of the right, as </w:t>
      </w:r>
      <w:r w:rsidR="00095941" w:rsidRPr="00B46D91">
        <w:rPr>
          <w:rFonts w:asciiTheme="majorHAnsi" w:hAnsiTheme="majorHAnsi" w:cs="Arial"/>
          <w:sz w:val="22"/>
          <w:szCs w:val="22"/>
          <w:lang w:val="en-GB"/>
        </w:rPr>
        <w:t>its</w:t>
      </w:r>
      <w:r w:rsidR="000B1122" w:rsidRPr="00B46D91">
        <w:rPr>
          <w:rFonts w:asciiTheme="majorHAnsi" w:hAnsiTheme="majorHAnsi" w:cs="Arial"/>
          <w:sz w:val="22"/>
          <w:szCs w:val="22"/>
          <w:lang w:val="en-GB"/>
        </w:rPr>
        <w:t xml:space="preserve"> form</w:t>
      </w:r>
      <w:r w:rsidR="009F6F25" w:rsidRPr="00B46D91">
        <w:rPr>
          <w:rFonts w:asciiTheme="majorHAnsi" w:hAnsiTheme="majorHAnsi" w:cs="Arial"/>
          <w:sz w:val="22"/>
          <w:szCs w:val="22"/>
          <w:lang w:val="en-GB"/>
        </w:rPr>
        <w:t xml:space="preserve"> </w:t>
      </w:r>
      <w:r w:rsidR="000B1122" w:rsidRPr="00B46D91">
        <w:rPr>
          <w:rFonts w:asciiTheme="majorHAnsi" w:hAnsiTheme="majorHAnsi" w:cs="Arial"/>
          <w:sz w:val="22"/>
          <w:szCs w:val="22"/>
          <w:lang w:val="en-GB"/>
        </w:rPr>
        <w:t xml:space="preserve">is often an integral part of </w:t>
      </w:r>
      <w:r w:rsidR="007135F7" w:rsidRPr="00B46D91">
        <w:rPr>
          <w:rFonts w:asciiTheme="majorHAnsi" w:hAnsiTheme="majorHAnsi" w:cs="Arial"/>
          <w:sz w:val="22"/>
          <w:szCs w:val="22"/>
          <w:lang w:val="en-GB"/>
        </w:rPr>
        <w:t>its</w:t>
      </w:r>
      <w:r w:rsidR="000B1122" w:rsidRPr="00B46D91">
        <w:rPr>
          <w:rFonts w:asciiTheme="majorHAnsi" w:hAnsiTheme="majorHAnsi" w:cs="Arial"/>
          <w:sz w:val="22"/>
          <w:szCs w:val="22"/>
          <w:lang w:val="en-GB"/>
        </w:rPr>
        <w:t xml:space="preserve"> message</w:t>
      </w:r>
      <w:r w:rsidR="00D37EF8" w:rsidRPr="00B46D91">
        <w:rPr>
          <w:rFonts w:asciiTheme="majorHAnsi" w:hAnsiTheme="majorHAnsi" w:cs="Arial"/>
          <w:sz w:val="22"/>
          <w:szCs w:val="22"/>
          <w:lang w:val="en-GB"/>
        </w:rPr>
        <w:t>, particularly in the case of symbolic protest</w:t>
      </w:r>
      <w:r w:rsidR="000B1122" w:rsidRPr="00B46D91">
        <w:rPr>
          <w:rFonts w:asciiTheme="majorHAnsi" w:hAnsiTheme="majorHAnsi" w:cs="Arial"/>
          <w:sz w:val="22"/>
          <w:szCs w:val="22"/>
          <w:lang w:val="en-GB"/>
        </w:rPr>
        <w:t xml:space="preserve">. </w:t>
      </w:r>
      <w:r w:rsidR="00D21364" w:rsidRPr="00B46D91">
        <w:rPr>
          <w:rFonts w:asciiTheme="majorHAnsi" w:hAnsiTheme="majorHAnsi" w:cs="Arial"/>
          <w:sz w:val="22"/>
          <w:szCs w:val="22"/>
          <w:lang w:val="en-GB"/>
        </w:rPr>
        <w:t xml:space="preserve">A </w:t>
      </w:r>
      <w:r w:rsidR="00C876D7" w:rsidRPr="00B46D91">
        <w:rPr>
          <w:rFonts w:asciiTheme="majorHAnsi" w:hAnsiTheme="majorHAnsi" w:cs="Arial"/>
          <w:sz w:val="22"/>
          <w:szCs w:val="22"/>
          <w:lang w:val="en-GB"/>
        </w:rPr>
        <w:t>relevant precedent</w:t>
      </w:r>
      <w:r w:rsidR="00D21364" w:rsidRPr="00B46D91">
        <w:rPr>
          <w:rFonts w:asciiTheme="majorHAnsi" w:hAnsiTheme="majorHAnsi" w:cs="Arial"/>
          <w:sz w:val="22"/>
          <w:szCs w:val="22"/>
          <w:lang w:val="en-GB"/>
        </w:rPr>
        <w:t xml:space="preserve"> is the </w:t>
      </w:r>
      <w:proofErr w:type="spellStart"/>
      <w:r w:rsidR="00D21364" w:rsidRPr="00B46D91">
        <w:rPr>
          <w:rFonts w:asciiTheme="majorHAnsi" w:hAnsiTheme="majorHAnsi" w:cs="Arial"/>
          <w:sz w:val="22"/>
          <w:szCs w:val="22"/>
          <w:lang w:val="en-GB"/>
        </w:rPr>
        <w:t>ECtHR</w:t>
      </w:r>
      <w:proofErr w:type="spellEnd"/>
      <w:r w:rsidR="00D21364" w:rsidRPr="00B46D91">
        <w:rPr>
          <w:rFonts w:asciiTheme="majorHAnsi" w:hAnsiTheme="majorHAnsi" w:cs="Arial"/>
          <w:sz w:val="22"/>
          <w:szCs w:val="22"/>
          <w:lang w:val="en-GB"/>
        </w:rPr>
        <w:t xml:space="preserve"> case </w:t>
      </w:r>
      <w:r w:rsidR="00D21364" w:rsidRPr="00B46D91">
        <w:rPr>
          <w:rFonts w:asciiTheme="majorHAnsi" w:hAnsiTheme="majorHAnsi" w:cs="Arial"/>
          <w:i/>
          <w:sz w:val="22"/>
          <w:szCs w:val="22"/>
          <w:lang w:val="en-GB"/>
        </w:rPr>
        <w:t>Women on Waves and Others v. Portugal</w:t>
      </w:r>
      <w:r w:rsidR="00D21364" w:rsidRPr="00B46D91">
        <w:rPr>
          <w:rFonts w:asciiTheme="majorHAnsi" w:hAnsiTheme="majorHAnsi" w:cs="Arial"/>
          <w:sz w:val="22"/>
          <w:szCs w:val="22"/>
          <w:lang w:val="en-GB"/>
        </w:rPr>
        <w:t xml:space="preserve">, where the Court rejected the Government’s argument that the applicant NGO could just as well carry out its </w:t>
      </w:r>
      <w:r w:rsidR="001378F6" w:rsidRPr="00B46D91">
        <w:rPr>
          <w:rFonts w:asciiTheme="majorHAnsi" w:hAnsiTheme="majorHAnsi" w:cs="Arial"/>
          <w:sz w:val="22"/>
          <w:szCs w:val="22"/>
          <w:lang w:val="en-GB"/>
        </w:rPr>
        <w:t>advocacy for reproductive rights</w:t>
      </w:r>
      <w:r w:rsidR="00D21364" w:rsidRPr="00B46D91">
        <w:rPr>
          <w:rFonts w:asciiTheme="majorHAnsi" w:hAnsiTheme="majorHAnsi" w:cs="Arial"/>
          <w:sz w:val="22"/>
          <w:szCs w:val="22"/>
          <w:lang w:val="en-GB"/>
        </w:rPr>
        <w:t xml:space="preserve"> on land as</w:t>
      </w:r>
      <w:r w:rsidR="001378F6" w:rsidRPr="00B46D91">
        <w:rPr>
          <w:rFonts w:asciiTheme="majorHAnsi" w:hAnsiTheme="majorHAnsi" w:cs="Arial"/>
          <w:sz w:val="22"/>
          <w:szCs w:val="22"/>
          <w:lang w:val="en-GB"/>
        </w:rPr>
        <w:t xml:space="preserve"> on its</w:t>
      </w:r>
      <w:r w:rsidR="00D21364" w:rsidRPr="00B46D91">
        <w:rPr>
          <w:rFonts w:asciiTheme="majorHAnsi" w:hAnsiTheme="majorHAnsi" w:cs="Arial"/>
          <w:sz w:val="22"/>
          <w:szCs w:val="22"/>
          <w:lang w:val="en-GB"/>
        </w:rPr>
        <w:t xml:space="preserve"> </w:t>
      </w:r>
      <w:r w:rsidR="003A675F" w:rsidRPr="00B46D91">
        <w:rPr>
          <w:rFonts w:asciiTheme="majorHAnsi" w:hAnsiTheme="majorHAnsi" w:cs="Arial"/>
          <w:sz w:val="22"/>
          <w:szCs w:val="22"/>
          <w:lang w:val="en-GB"/>
        </w:rPr>
        <w:t>vessel</w:t>
      </w:r>
      <w:r w:rsidR="001378F6" w:rsidRPr="00B46D91">
        <w:rPr>
          <w:rFonts w:asciiTheme="majorHAnsi" w:hAnsiTheme="majorHAnsi" w:cs="Arial"/>
          <w:sz w:val="22"/>
          <w:szCs w:val="22"/>
          <w:lang w:val="en-GB"/>
        </w:rPr>
        <w:t>, whi</w:t>
      </w:r>
      <w:r w:rsidR="00495A47" w:rsidRPr="00B46D91">
        <w:rPr>
          <w:rFonts w:asciiTheme="majorHAnsi" w:hAnsiTheme="majorHAnsi" w:cs="Arial"/>
          <w:sz w:val="22"/>
          <w:szCs w:val="22"/>
          <w:lang w:val="en-GB"/>
        </w:rPr>
        <w:t>ch had been denied entry to territorial waters</w:t>
      </w:r>
      <w:r w:rsidR="001378F6" w:rsidRPr="00B46D91">
        <w:rPr>
          <w:rFonts w:asciiTheme="majorHAnsi" w:hAnsiTheme="majorHAnsi" w:cs="Arial"/>
          <w:sz w:val="22"/>
          <w:szCs w:val="22"/>
          <w:lang w:val="en-GB"/>
        </w:rPr>
        <w:t>:</w:t>
      </w:r>
      <w:r w:rsidR="00D21364" w:rsidRPr="00B46D91">
        <w:rPr>
          <w:rFonts w:asciiTheme="majorHAnsi" w:hAnsiTheme="majorHAnsi" w:cs="Arial"/>
          <w:sz w:val="22"/>
          <w:szCs w:val="22"/>
          <w:lang w:val="en-GB"/>
        </w:rPr>
        <w:t xml:space="preserve"> </w:t>
      </w:r>
    </w:p>
    <w:p w14:paraId="3C123F98" w14:textId="77777777" w:rsidR="00D21364" w:rsidRPr="00B46D91" w:rsidRDefault="00D21364" w:rsidP="00D21364">
      <w:pPr>
        <w:pStyle w:val="NormalWeb"/>
        <w:ind w:left="567" w:right="503"/>
        <w:rPr>
          <w:rFonts w:asciiTheme="majorHAnsi" w:hAnsiTheme="majorHAnsi" w:cs="Arial"/>
          <w:sz w:val="22"/>
          <w:szCs w:val="22"/>
          <w:lang w:val="en-GB"/>
        </w:rPr>
      </w:pPr>
      <w:r w:rsidRPr="00B46D91">
        <w:rPr>
          <w:rFonts w:asciiTheme="majorHAnsi" w:hAnsiTheme="majorHAnsi" w:cs="Arial"/>
          <w:sz w:val="22"/>
          <w:szCs w:val="22"/>
          <w:lang w:val="en-GB"/>
        </w:rPr>
        <w:t>[</w:t>
      </w:r>
      <w:proofErr w:type="gramStart"/>
      <w:r w:rsidRPr="00B46D91">
        <w:rPr>
          <w:rFonts w:asciiTheme="majorHAnsi" w:hAnsiTheme="majorHAnsi" w:cs="Arial"/>
          <w:sz w:val="22"/>
          <w:szCs w:val="22"/>
          <w:lang w:val="en-GB"/>
        </w:rPr>
        <w:t>D]</w:t>
      </w:r>
      <w:proofErr w:type="spellStart"/>
      <w:r w:rsidRPr="00B46D91">
        <w:rPr>
          <w:rFonts w:asciiTheme="majorHAnsi" w:hAnsiTheme="majorHAnsi" w:cs="Arial"/>
          <w:sz w:val="22"/>
          <w:szCs w:val="22"/>
          <w:lang w:val="en-GB"/>
        </w:rPr>
        <w:t>ans</w:t>
      </w:r>
      <w:proofErr w:type="spellEnd"/>
      <w:proofErr w:type="gramEnd"/>
      <w:r w:rsidRPr="00B46D91">
        <w:rPr>
          <w:rFonts w:asciiTheme="majorHAnsi" w:hAnsiTheme="majorHAnsi" w:cs="Arial"/>
          <w:sz w:val="22"/>
          <w:szCs w:val="22"/>
          <w:lang w:val="en-GB"/>
        </w:rPr>
        <w:t xml:space="preserve"> </w:t>
      </w:r>
      <w:proofErr w:type="spellStart"/>
      <w:r w:rsidRPr="00B46D91">
        <w:rPr>
          <w:rFonts w:asciiTheme="majorHAnsi" w:hAnsiTheme="majorHAnsi" w:cs="Arial"/>
          <w:sz w:val="22"/>
          <w:szCs w:val="22"/>
          <w:lang w:val="en-GB"/>
        </w:rPr>
        <w:t>certaines</w:t>
      </w:r>
      <w:proofErr w:type="spellEnd"/>
      <w:r w:rsidRPr="00B46D91">
        <w:rPr>
          <w:rFonts w:asciiTheme="majorHAnsi" w:hAnsiTheme="majorHAnsi" w:cs="Arial"/>
          <w:sz w:val="22"/>
          <w:szCs w:val="22"/>
          <w:lang w:val="en-GB"/>
        </w:rPr>
        <w:t xml:space="preserve"> situations le mode de diffusion des </w:t>
      </w:r>
      <w:proofErr w:type="spellStart"/>
      <w:r w:rsidRPr="00B46D91">
        <w:rPr>
          <w:rFonts w:asciiTheme="majorHAnsi" w:hAnsiTheme="majorHAnsi" w:cs="Arial"/>
          <w:sz w:val="22"/>
          <w:szCs w:val="22"/>
          <w:lang w:val="en-GB"/>
        </w:rPr>
        <w:t>informations</w:t>
      </w:r>
      <w:proofErr w:type="spellEnd"/>
      <w:r w:rsidRPr="00B46D91">
        <w:rPr>
          <w:rFonts w:asciiTheme="majorHAnsi" w:hAnsiTheme="majorHAnsi" w:cs="Arial"/>
          <w:sz w:val="22"/>
          <w:szCs w:val="22"/>
          <w:lang w:val="en-GB"/>
        </w:rPr>
        <w:t xml:space="preserve"> et </w:t>
      </w:r>
      <w:proofErr w:type="spellStart"/>
      <w:r w:rsidRPr="00B46D91">
        <w:rPr>
          <w:rFonts w:asciiTheme="majorHAnsi" w:hAnsiTheme="majorHAnsi" w:cs="Arial"/>
          <w:sz w:val="22"/>
          <w:szCs w:val="22"/>
          <w:lang w:val="en-GB"/>
        </w:rPr>
        <w:t>idées</w:t>
      </w:r>
      <w:proofErr w:type="spellEnd"/>
      <w:r w:rsidRPr="00B46D91">
        <w:rPr>
          <w:rFonts w:asciiTheme="majorHAnsi" w:hAnsiTheme="majorHAnsi" w:cs="Arial"/>
          <w:sz w:val="22"/>
          <w:szCs w:val="22"/>
          <w:lang w:val="en-GB"/>
        </w:rPr>
        <w:t xml:space="preserve"> </w:t>
      </w:r>
      <w:proofErr w:type="spellStart"/>
      <w:r w:rsidRPr="00B46D91">
        <w:rPr>
          <w:rFonts w:asciiTheme="majorHAnsi" w:hAnsiTheme="majorHAnsi" w:cs="Arial"/>
          <w:sz w:val="22"/>
          <w:szCs w:val="22"/>
          <w:lang w:val="en-GB"/>
        </w:rPr>
        <w:t>que</w:t>
      </w:r>
      <w:proofErr w:type="spellEnd"/>
      <w:r w:rsidRPr="00B46D91">
        <w:rPr>
          <w:rFonts w:asciiTheme="majorHAnsi" w:hAnsiTheme="majorHAnsi" w:cs="Arial"/>
          <w:sz w:val="22"/>
          <w:szCs w:val="22"/>
          <w:lang w:val="en-GB"/>
        </w:rPr>
        <w:t xml:space="preserve"> </w:t>
      </w:r>
      <w:proofErr w:type="spellStart"/>
      <w:r w:rsidRPr="00B46D91">
        <w:rPr>
          <w:rFonts w:asciiTheme="majorHAnsi" w:hAnsiTheme="majorHAnsi" w:cs="Arial"/>
          <w:sz w:val="22"/>
          <w:szCs w:val="22"/>
          <w:lang w:val="en-GB"/>
        </w:rPr>
        <w:t>l’on</w:t>
      </w:r>
      <w:proofErr w:type="spellEnd"/>
      <w:r w:rsidRPr="00B46D91">
        <w:rPr>
          <w:rFonts w:asciiTheme="majorHAnsi" w:hAnsiTheme="majorHAnsi" w:cs="Arial"/>
          <w:sz w:val="22"/>
          <w:szCs w:val="22"/>
          <w:lang w:val="en-GB"/>
        </w:rPr>
        <w:t xml:space="preserve"> </w:t>
      </w:r>
      <w:proofErr w:type="spellStart"/>
      <w:r w:rsidRPr="00B46D91">
        <w:rPr>
          <w:rFonts w:asciiTheme="majorHAnsi" w:hAnsiTheme="majorHAnsi" w:cs="Arial"/>
          <w:sz w:val="22"/>
          <w:szCs w:val="22"/>
          <w:lang w:val="en-GB"/>
        </w:rPr>
        <w:t>entend</w:t>
      </w:r>
      <w:proofErr w:type="spellEnd"/>
      <w:r w:rsidRPr="00B46D91">
        <w:rPr>
          <w:rFonts w:asciiTheme="majorHAnsi" w:hAnsiTheme="majorHAnsi" w:cs="Arial"/>
          <w:sz w:val="22"/>
          <w:szCs w:val="22"/>
          <w:lang w:val="en-GB"/>
        </w:rPr>
        <w:t xml:space="preserve"> </w:t>
      </w:r>
      <w:proofErr w:type="spellStart"/>
      <w:r w:rsidRPr="00B46D91">
        <w:rPr>
          <w:rFonts w:asciiTheme="majorHAnsi" w:hAnsiTheme="majorHAnsi" w:cs="Arial"/>
          <w:sz w:val="22"/>
          <w:szCs w:val="22"/>
          <w:lang w:val="en-GB"/>
        </w:rPr>
        <w:t>communiquer</w:t>
      </w:r>
      <w:proofErr w:type="spellEnd"/>
      <w:r w:rsidRPr="00B46D91">
        <w:rPr>
          <w:rFonts w:asciiTheme="majorHAnsi" w:hAnsiTheme="majorHAnsi" w:cs="Arial"/>
          <w:sz w:val="22"/>
          <w:szCs w:val="22"/>
          <w:lang w:val="en-GB"/>
        </w:rPr>
        <w:t xml:space="preserve"> </w:t>
      </w:r>
      <w:proofErr w:type="spellStart"/>
      <w:r w:rsidRPr="00B46D91">
        <w:rPr>
          <w:rFonts w:asciiTheme="majorHAnsi" w:hAnsiTheme="majorHAnsi" w:cs="Arial"/>
          <w:sz w:val="22"/>
          <w:szCs w:val="22"/>
          <w:lang w:val="en-GB"/>
        </w:rPr>
        <w:t>revêt</w:t>
      </w:r>
      <w:proofErr w:type="spellEnd"/>
      <w:r w:rsidRPr="00B46D91">
        <w:rPr>
          <w:rFonts w:asciiTheme="majorHAnsi" w:hAnsiTheme="majorHAnsi" w:cs="Arial"/>
          <w:sz w:val="22"/>
          <w:szCs w:val="22"/>
          <w:lang w:val="en-GB"/>
        </w:rPr>
        <w:t xml:space="preserve"> </w:t>
      </w:r>
      <w:proofErr w:type="spellStart"/>
      <w:r w:rsidRPr="00B46D91">
        <w:rPr>
          <w:rFonts w:asciiTheme="majorHAnsi" w:hAnsiTheme="majorHAnsi" w:cs="Arial"/>
          <w:sz w:val="22"/>
          <w:szCs w:val="22"/>
          <w:lang w:val="en-GB"/>
        </w:rPr>
        <w:t>une</w:t>
      </w:r>
      <w:proofErr w:type="spellEnd"/>
      <w:r w:rsidRPr="00B46D91">
        <w:rPr>
          <w:rFonts w:asciiTheme="majorHAnsi" w:hAnsiTheme="majorHAnsi" w:cs="Arial"/>
          <w:sz w:val="22"/>
          <w:szCs w:val="22"/>
          <w:lang w:val="en-GB"/>
        </w:rPr>
        <w:t xml:space="preserve"> importance </w:t>
      </w:r>
      <w:proofErr w:type="spellStart"/>
      <w:r w:rsidRPr="00B46D91">
        <w:rPr>
          <w:rFonts w:asciiTheme="majorHAnsi" w:hAnsiTheme="majorHAnsi" w:cs="Arial"/>
          <w:sz w:val="22"/>
          <w:szCs w:val="22"/>
          <w:lang w:val="en-GB"/>
        </w:rPr>
        <w:t>telle</w:t>
      </w:r>
      <w:proofErr w:type="spellEnd"/>
      <w:r w:rsidRPr="00B46D91">
        <w:rPr>
          <w:rFonts w:asciiTheme="majorHAnsi" w:hAnsiTheme="majorHAnsi" w:cs="Arial"/>
          <w:sz w:val="22"/>
          <w:szCs w:val="22"/>
          <w:lang w:val="en-GB"/>
        </w:rPr>
        <w:t xml:space="preserve"> </w:t>
      </w:r>
      <w:proofErr w:type="spellStart"/>
      <w:r w:rsidRPr="00B46D91">
        <w:rPr>
          <w:rFonts w:asciiTheme="majorHAnsi" w:hAnsiTheme="majorHAnsi" w:cs="Arial"/>
          <w:sz w:val="22"/>
          <w:szCs w:val="22"/>
          <w:lang w:val="en-GB"/>
        </w:rPr>
        <w:t>que</w:t>
      </w:r>
      <w:proofErr w:type="spellEnd"/>
      <w:r w:rsidRPr="00B46D91">
        <w:rPr>
          <w:rFonts w:asciiTheme="majorHAnsi" w:hAnsiTheme="majorHAnsi" w:cs="Arial"/>
          <w:sz w:val="22"/>
          <w:szCs w:val="22"/>
          <w:lang w:val="en-GB"/>
        </w:rPr>
        <w:t xml:space="preserve"> des restrictions … </w:t>
      </w:r>
      <w:proofErr w:type="spellStart"/>
      <w:r w:rsidRPr="00B46D91">
        <w:rPr>
          <w:rFonts w:asciiTheme="majorHAnsi" w:hAnsiTheme="majorHAnsi" w:cs="Arial"/>
          <w:sz w:val="22"/>
          <w:szCs w:val="22"/>
          <w:lang w:val="en-GB"/>
        </w:rPr>
        <w:t>peuvent</w:t>
      </w:r>
      <w:proofErr w:type="spellEnd"/>
      <w:r w:rsidRPr="00B46D91">
        <w:rPr>
          <w:rFonts w:asciiTheme="majorHAnsi" w:hAnsiTheme="majorHAnsi" w:cs="Arial"/>
          <w:sz w:val="22"/>
          <w:szCs w:val="22"/>
          <w:lang w:val="en-GB"/>
        </w:rPr>
        <w:t xml:space="preserve"> affecter de </w:t>
      </w:r>
      <w:proofErr w:type="spellStart"/>
      <w:r w:rsidRPr="00B46D91">
        <w:rPr>
          <w:rFonts w:asciiTheme="majorHAnsi" w:hAnsiTheme="majorHAnsi" w:cs="Arial"/>
          <w:sz w:val="22"/>
          <w:szCs w:val="22"/>
          <w:lang w:val="en-GB"/>
        </w:rPr>
        <w:t>manière</w:t>
      </w:r>
      <w:proofErr w:type="spellEnd"/>
      <w:r w:rsidRPr="00B46D91">
        <w:rPr>
          <w:rFonts w:asciiTheme="majorHAnsi" w:hAnsiTheme="majorHAnsi" w:cs="Arial"/>
          <w:sz w:val="22"/>
          <w:szCs w:val="22"/>
          <w:lang w:val="en-GB"/>
        </w:rPr>
        <w:t xml:space="preserve"> </w:t>
      </w:r>
      <w:proofErr w:type="spellStart"/>
      <w:r w:rsidRPr="00B46D91">
        <w:rPr>
          <w:rFonts w:asciiTheme="majorHAnsi" w:hAnsiTheme="majorHAnsi" w:cs="Arial"/>
          <w:sz w:val="22"/>
          <w:szCs w:val="22"/>
          <w:lang w:val="en-GB"/>
        </w:rPr>
        <w:t>essentielle</w:t>
      </w:r>
      <w:proofErr w:type="spellEnd"/>
      <w:r w:rsidRPr="00B46D91">
        <w:rPr>
          <w:rFonts w:asciiTheme="majorHAnsi" w:hAnsiTheme="majorHAnsi" w:cs="Arial"/>
          <w:sz w:val="22"/>
          <w:szCs w:val="22"/>
          <w:lang w:val="en-GB"/>
        </w:rPr>
        <w:t xml:space="preserve"> la substance des </w:t>
      </w:r>
      <w:proofErr w:type="spellStart"/>
      <w:r w:rsidRPr="00B46D91">
        <w:rPr>
          <w:rFonts w:asciiTheme="majorHAnsi" w:hAnsiTheme="majorHAnsi" w:cs="Arial"/>
          <w:sz w:val="22"/>
          <w:szCs w:val="22"/>
          <w:lang w:val="en-GB"/>
        </w:rPr>
        <w:t>idées</w:t>
      </w:r>
      <w:proofErr w:type="spellEnd"/>
      <w:r w:rsidRPr="00B46D91">
        <w:rPr>
          <w:rFonts w:asciiTheme="majorHAnsi" w:hAnsiTheme="majorHAnsi" w:cs="Arial"/>
          <w:sz w:val="22"/>
          <w:szCs w:val="22"/>
          <w:lang w:val="en-GB"/>
        </w:rPr>
        <w:t xml:space="preserve"> et </w:t>
      </w:r>
      <w:proofErr w:type="spellStart"/>
      <w:r w:rsidRPr="00B46D91">
        <w:rPr>
          <w:rFonts w:asciiTheme="majorHAnsi" w:hAnsiTheme="majorHAnsi" w:cs="Arial"/>
          <w:sz w:val="22"/>
          <w:szCs w:val="22"/>
          <w:lang w:val="en-GB"/>
        </w:rPr>
        <w:t>informations</w:t>
      </w:r>
      <w:proofErr w:type="spellEnd"/>
      <w:r w:rsidRPr="00B46D91">
        <w:rPr>
          <w:rFonts w:asciiTheme="majorHAnsi" w:hAnsiTheme="majorHAnsi" w:cs="Arial"/>
          <w:sz w:val="22"/>
          <w:szCs w:val="22"/>
          <w:lang w:val="en-GB"/>
        </w:rPr>
        <w:t xml:space="preserve"> en cause. Tel </w:t>
      </w:r>
      <w:proofErr w:type="spellStart"/>
      <w:proofErr w:type="gramStart"/>
      <w:r w:rsidRPr="00B46D91">
        <w:rPr>
          <w:rFonts w:asciiTheme="majorHAnsi" w:hAnsiTheme="majorHAnsi" w:cs="Arial"/>
          <w:sz w:val="22"/>
          <w:szCs w:val="22"/>
          <w:lang w:val="en-GB"/>
        </w:rPr>
        <w:t>est</w:t>
      </w:r>
      <w:proofErr w:type="spellEnd"/>
      <w:proofErr w:type="gramEnd"/>
      <w:r w:rsidRPr="00B46D91">
        <w:rPr>
          <w:rFonts w:asciiTheme="majorHAnsi" w:hAnsiTheme="majorHAnsi" w:cs="Arial"/>
          <w:sz w:val="22"/>
          <w:szCs w:val="22"/>
          <w:lang w:val="en-GB"/>
        </w:rPr>
        <w:t xml:space="preserve"> </w:t>
      </w:r>
      <w:proofErr w:type="spellStart"/>
      <w:r w:rsidRPr="00B46D91">
        <w:rPr>
          <w:rFonts w:asciiTheme="majorHAnsi" w:hAnsiTheme="majorHAnsi" w:cs="Arial"/>
          <w:sz w:val="22"/>
          <w:szCs w:val="22"/>
          <w:lang w:val="en-GB"/>
        </w:rPr>
        <w:t>notamment</w:t>
      </w:r>
      <w:proofErr w:type="spellEnd"/>
      <w:r w:rsidRPr="00B46D91">
        <w:rPr>
          <w:rFonts w:asciiTheme="majorHAnsi" w:hAnsiTheme="majorHAnsi" w:cs="Arial"/>
          <w:sz w:val="22"/>
          <w:szCs w:val="22"/>
          <w:lang w:val="en-GB"/>
        </w:rPr>
        <w:t xml:space="preserve"> le </w:t>
      </w:r>
      <w:proofErr w:type="spellStart"/>
      <w:r w:rsidRPr="00B46D91">
        <w:rPr>
          <w:rFonts w:asciiTheme="majorHAnsi" w:hAnsiTheme="majorHAnsi" w:cs="Arial"/>
          <w:sz w:val="22"/>
          <w:szCs w:val="22"/>
          <w:lang w:val="en-GB"/>
        </w:rPr>
        <w:t>cas</w:t>
      </w:r>
      <w:proofErr w:type="spellEnd"/>
      <w:r w:rsidRPr="00B46D91">
        <w:rPr>
          <w:rFonts w:asciiTheme="majorHAnsi" w:hAnsiTheme="majorHAnsi" w:cs="Arial"/>
          <w:sz w:val="22"/>
          <w:szCs w:val="22"/>
          <w:lang w:val="en-GB"/>
        </w:rPr>
        <w:t xml:space="preserve"> </w:t>
      </w:r>
      <w:proofErr w:type="spellStart"/>
      <w:r w:rsidRPr="00B46D91">
        <w:rPr>
          <w:rFonts w:asciiTheme="majorHAnsi" w:hAnsiTheme="majorHAnsi" w:cs="Arial"/>
          <w:sz w:val="22"/>
          <w:szCs w:val="22"/>
          <w:lang w:val="en-GB"/>
        </w:rPr>
        <w:t>lorsque</w:t>
      </w:r>
      <w:proofErr w:type="spellEnd"/>
      <w:r w:rsidRPr="00B46D91">
        <w:rPr>
          <w:rFonts w:asciiTheme="majorHAnsi" w:hAnsiTheme="majorHAnsi" w:cs="Arial"/>
          <w:sz w:val="22"/>
          <w:szCs w:val="22"/>
          <w:lang w:val="en-GB"/>
        </w:rPr>
        <w:t xml:space="preserve"> les </w:t>
      </w:r>
      <w:proofErr w:type="spellStart"/>
      <w:r w:rsidRPr="00B46D91">
        <w:rPr>
          <w:rFonts w:asciiTheme="majorHAnsi" w:hAnsiTheme="majorHAnsi" w:cs="Arial"/>
          <w:sz w:val="22"/>
          <w:szCs w:val="22"/>
          <w:lang w:val="en-GB"/>
        </w:rPr>
        <w:t>intéressés</w:t>
      </w:r>
      <w:proofErr w:type="spellEnd"/>
      <w:r w:rsidRPr="00B46D91">
        <w:rPr>
          <w:rFonts w:asciiTheme="majorHAnsi" w:hAnsiTheme="majorHAnsi" w:cs="Arial"/>
          <w:sz w:val="22"/>
          <w:szCs w:val="22"/>
          <w:lang w:val="en-GB"/>
        </w:rPr>
        <w:t xml:space="preserve"> </w:t>
      </w:r>
      <w:proofErr w:type="spellStart"/>
      <w:r w:rsidRPr="00B46D91">
        <w:rPr>
          <w:rFonts w:asciiTheme="majorHAnsi" w:hAnsiTheme="majorHAnsi" w:cs="Arial"/>
          <w:sz w:val="22"/>
          <w:szCs w:val="22"/>
          <w:lang w:val="en-GB"/>
        </w:rPr>
        <w:t>entendent</w:t>
      </w:r>
      <w:proofErr w:type="spellEnd"/>
      <w:r w:rsidRPr="00B46D91">
        <w:rPr>
          <w:rFonts w:asciiTheme="majorHAnsi" w:hAnsiTheme="majorHAnsi" w:cs="Arial"/>
          <w:sz w:val="22"/>
          <w:szCs w:val="22"/>
          <w:lang w:val="en-GB"/>
        </w:rPr>
        <w:t xml:space="preserve"> </w:t>
      </w:r>
      <w:proofErr w:type="spellStart"/>
      <w:r w:rsidRPr="00B46D91">
        <w:rPr>
          <w:rFonts w:asciiTheme="majorHAnsi" w:hAnsiTheme="majorHAnsi" w:cs="Arial"/>
          <w:sz w:val="22"/>
          <w:szCs w:val="22"/>
          <w:lang w:val="en-GB"/>
        </w:rPr>
        <w:t>mener</w:t>
      </w:r>
      <w:proofErr w:type="spellEnd"/>
      <w:r w:rsidRPr="00B46D91">
        <w:rPr>
          <w:rFonts w:asciiTheme="majorHAnsi" w:hAnsiTheme="majorHAnsi" w:cs="Arial"/>
          <w:sz w:val="22"/>
          <w:szCs w:val="22"/>
          <w:lang w:val="en-GB"/>
        </w:rPr>
        <w:t xml:space="preserve"> des </w:t>
      </w:r>
      <w:proofErr w:type="spellStart"/>
      <w:r w:rsidRPr="00B46D91">
        <w:rPr>
          <w:rFonts w:asciiTheme="majorHAnsi" w:hAnsiTheme="majorHAnsi" w:cs="Arial"/>
          <w:sz w:val="22"/>
          <w:szCs w:val="22"/>
          <w:lang w:val="en-GB"/>
        </w:rPr>
        <w:t>activités</w:t>
      </w:r>
      <w:proofErr w:type="spellEnd"/>
      <w:r w:rsidRPr="00B46D91">
        <w:rPr>
          <w:rFonts w:asciiTheme="majorHAnsi" w:hAnsiTheme="majorHAnsi" w:cs="Arial"/>
          <w:sz w:val="22"/>
          <w:szCs w:val="22"/>
          <w:lang w:val="en-GB"/>
        </w:rPr>
        <w:t xml:space="preserve"> </w:t>
      </w:r>
      <w:proofErr w:type="spellStart"/>
      <w:r w:rsidRPr="00B46D91">
        <w:rPr>
          <w:rFonts w:asciiTheme="majorHAnsi" w:hAnsiTheme="majorHAnsi" w:cs="Arial"/>
          <w:sz w:val="22"/>
          <w:szCs w:val="22"/>
          <w:lang w:val="en-GB"/>
        </w:rPr>
        <w:t>symboliques</w:t>
      </w:r>
      <w:proofErr w:type="spellEnd"/>
      <w:r w:rsidRPr="00B46D91">
        <w:rPr>
          <w:rFonts w:asciiTheme="majorHAnsi" w:hAnsiTheme="majorHAnsi" w:cs="Arial"/>
          <w:sz w:val="22"/>
          <w:szCs w:val="22"/>
          <w:lang w:val="en-GB"/>
        </w:rPr>
        <w:t xml:space="preserve"> de contestation à </w:t>
      </w:r>
      <w:proofErr w:type="spellStart"/>
      <w:r w:rsidRPr="00B46D91">
        <w:rPr>
          <w:rFonts w:asciiTheme="majorHAnsi" w:hAnsiTheme="majorHAnsi" w:cs="Arial"/>
          <w:sz w:val="22"/>
          <w:szCs w:val="22"/>
          <w:lang w:val="en-GB"/>
        </w:rPr>
        <w:t>une</w:t>
      </w:r>
      <w:proofErr w:type="spellEnd"/>
      <w:r w:rsidRPr="00B46D91">
        <w:rPr>
          <w:rFonts w:asciiTheme="majorHAnsi" w:hAnsiTheme="majorHAnsi" w:cs="Arial"/>
          <w:sz w:val="22"/>
          <w:szCs w:val="22"/>
          <w:lang w:val="en-GB"/>
        </w:rPr>
        <w:t xml:space="preserve"> </w:t>
      </w:r>
      <w:proofErr w:type="spellStart"/>
      <w:r w:rsidRPr="00B46D91">
        <w:rPr>
          <w:rFonts w:asciiTheme="majorHAnsi" w:hAnsiTheme="majorHAnsi" w:cs="Arial"/>
          <w:sz w:val="22"/>
          <w:szCs w:val="22"/>
          <w:lang w:val="en-GB"/>
        </w:rPr>
        <w:t>législation</w:t>
      </w:r>
      <w:proofErr w:type="spellEnd"/>
      <w:r w:rsidRPr="00B46D91">
        <w:rPr>
          <w:rFonts w:asciiTheme="majorHAnsi" w:hAnsiTheme="majorHAnsi" w:cs="Arial"/>
          <w:sz w:val="22"/>
          <w:szCs w:val="22"/>
          <w:lang w:val="en-GB"/>
        </w:rPr>
        <w:t xml:space="preserve"> </w:t>
      </w:r>
      <w:proofErr w:type="spellStart"/>
      <w:r w:rsidRPr="00B46D91">
        <w:rPr>
          <w:rFonts w:asciiTheme="majorHAnsi" w:hAnsiTheme="majorHAnsi" w:cs="Arial"/>
          <w:sz w:val="22"/>
          <w:szCs w:val="22"/>
          <w:lang w:val="en-GB"/>
        </w:rPr>
        <w:t>qu’ils</w:t>
      </w:r>
      <w:proofErr w:type="spellEnd"/>
      <w:r w:rsidRPr="00B46D91">
        <w:rPr>
          <w:rFonts w:asciiTheme="majorHAnsi" w:hAnsiTheme="majorHAnsi" w:cs="Arial"/>
          <w:sz w:val="22"/>
          <w:szCs w:val="22"/>
          <w:lang w:val="en-GB"/>
        </w:rPr>
        <w:t xml:space="preserve"> </w:t>
      </w:r>
      <w:proofErr w:type="spellStart"/>
      <w:r w:rsidRPr="00B46D91">
        <w:rPr>
          <w:rFonts w:asciiTheme="majorHAnsi" w:hAnsiTheme="majorHAnsi" w:cs="Arial"/>
          <w:sz w:val="22"/>
          <w:szCs w:val="22"/>
          <w:lang w:val="en-GB"/>
        </w:rPr>
        <w:t>considèrent</w:t>
      </w:r>
      <w:proofErr w:type="spellEnd"/>
      <w:r w:rsidRPr="00B46D91">
        <w:rPr>
          <w:rFonts w:asciiTheme="majorHAnsi" w:hAnsiTheme="majorHAnsi" w:cs="Arial"/>
          <w:sz w:val="22"/>
          <w:szCs w:val="22"/>
          <w:lang w:val="en-GB"/>
        </w:rPr>
        <w:t xml:space="preserve"> </w:t>
      </w:r>
      <w:proofErr w:type="spellStart"/>
      <w:r w:rsidRPr="00B46D91">
        <w:rPr>
          <w:rFonts w:asciiTheme="majorHAnsi" w:hAnsiTheme="majorHAnsi" w:cs="Arial"/>
          <w:sz w:val="22"/>
          <w:szCs w:val="22"/>
          <w:lang w:val="en-GB"/>
        </w:rPr>
        <w:t>injuste</w:t>
      </w:r>
      <w:proofErr w:type="spellEnd"/>
      <w:r w:rsidRPr="00B46D91">
        <w:rPr>
          <w:rFonts w:asciiTheme="majorHAnsi" w:hAnsiTheme="majorHAnsi" w:cs="Arial"/>
          <w:sz w:val="22"/>
          <w:szCs w:val="22"/>
          <w:lang w:val="en-GB"/>
        </w:rPr>
        <w:t>.</w:t>
      </w:r>
      <w:r w:rsidRPr="00B46D91">
        <w:rPr>
          <w:rFonts w:asciiTheme="majorHAnsi" w:hAnsiTheme="majorHAnsi" w:cs="Arial"/>
          <w:sz w:val="22"/>
          <w:szCs w:val="22"/>
          <w:vertAlign w:val="superscript"/>
          <w:lang w:val="en-GB"/>
        </w:rPr>
        <w:footnoteReference w:id="34"/>
      </w:r>
      <w:r w:rsidRPr="00B46D91">
        <w:rPr>
          <w:rFonts w:asciiTheme="majorHAnsi" w:hAnsiTheme="majorHAnsi" w:cs="Arial"/>
          <w:sz w:val="22"/>
          <w:szCs w:val="22"/>
          <w:lang w:val="en-GB"/>
        </w:rPr>
        <w:t xml:space="preserve"> </w:t>
      </w:r>
    </w:p>
    <w:p w14:paraId="231E778C" w14:textId="62DB58B4" w:rsidR="00D21364" w:rsidRPr="00B46D91" w:rsidRDefault="00193628" w:rsidP="00D21364">
      <w:pPr>
        <w:pStyle w:val="NormalWeb"/>
        <w:rPr>
          <w:rFonts w:asciiTheme="majorHAnsi" w:hAnsiTheme="majorHAnsi" w:cs="Arial"/>
          <w:sz w:val="22"/>
          <w:szCs w:val="22"/>
          <w:lang w:val="en-GB"/>
        </w:rPr>
      </w:pPr>
      <w:r>
        <w:rPr>
          <w:rFonts w:asciiTheme="majorHAnsi" w:hAnsiTheme="majorHAnsi" w:cs="Arial"/>
          <w:sz w:val="22"/>
          <w:szCs w:val="22"/>
          <w:lang w:val="en-GB"/>
        </w:rPr>
        <w:t>It would be very welcome i</w:t>
      </w:r>
      <w:r w:rsidR="006324AC" w:rsidRPr="00B46D91">
        <w:rPr>
          <w:rFonts w:asciiTheme="majorHAnsi" w:hAnsiTheme="majorHAnsi" w:cs="Arial"/>
          <w:sz w:val="22"/>
          <w:szCs w:val="22"/>
          <w:lang w:val="en-GB"/>
        </w:rPr>
        <w:t xml:space="preserve">f the General Comment would underline </w:t>
      </w:r>
      <w:r w:rsidR="000074E7" w:rsidRPr="00B46D91">
        <w:rPr>
          <w:rFonts w:asciiTheme="majorHAnsi" w:hAnsiTheme="majorHAnsi" w:cs="Arial"/>
          <w:sz w:val="22"/>
          <w:szCs w:val="22"/>
          <w:lang w:val="en-GB"/>
        </w:rPr>
        <w:t>that a</w:t>
      </w:r>
      <w:r w:rsidR="00190186" w:rsidRPr="00B46D91">
        <w:rPr>
          <w:rFonts w:asciiTheme="majorHAnsi" w:hAnsiTheme="majorHAnsi" w:cs="Arial"/>
          <w:sz w:val="22"/>
          <w:szCs w:val="22"/>
          <w:lang w:val="en-GB"/>
        </w:rPr>
        <w:t>ny</w:t>
      </w:r>
      <w:r w:rsidR="000074E7" w:rsidRPr="00B46D91">
        <w:rPr>
          <w:rFonts w:asciiTheme="majorHAnsi" w:hAnsiTheme="majorHAnsi" w:cs="Arial"/>
          <w:sz w:val="22"/>
          <w:szCs w:val="22"/>
          <w:lang w:val="en-GB"/>
        </w:rPr>
        <w:t xml:space="preserve"> ban on </w:t>
      </w:r>
      <w:r w:rsidR="000D1761" w:rsidRPr="00B46D91">
        <w:rPr>
          <w:rFonts w:asciiTheme="majorHAnsi" w:hAnsiTheme="majorHAnsi" w:cs="Arial"/>
          <w:sz w:val="22"/>
          <w:szCs w:val="22"/>
          <w:lang w:val="en-GB"/>
        </w:rPr>
        <w:t xml:space="preserve">a particular form </w:t>
      </w:r>
      <w:r w:rsidR="00190186" w:rsidRPr="00B46D91">
        <w:rPr>
          <w:rFonts w:asciiTheme="majorHAnsi" w:hAnsiTheme="majorHAnsi" w:cs="Arial"/>
          <w:sz w:val="22"/>
          <w:szCs w:val="22"/>
          <w:lang w:val="en-GB"/>
        </w:rPr>
        <w:t>of assembly must meet the three-part test for restrictions under Article 21 ICCPR, the availability of alternatives notwithstanding.</w:t>
      </w:r>
    </w:p>
    <w:p w14:paraId="2803BB5C" w14:textId="19800C96" w:rsidR="00956955" w:rsidRPr="00B46D91" w:rsidRDefault="007611FE" w:rsidP="00D21364">
      <w:pPr>
        <w:pStyle w:val="NormalWeb"/>
        <w:rPr>
          <w:rFonts w:asciiTheme="majorHAnsi" w:hAnsiTheme="majorHAnsi" w:cs="Arial"/>
          <w:sz w:val="22"/>
          <w:szCs w:val="22"/>
          <w:lang w:val="en-GB"/>
        </w:rPr>
      </w:pPr>
      <w:r w:rsidRPr="00B46D91">
        <w:rPr>
          <w:rFonts w:asciiTheme="majorHAnsi" w:hAnsiTheme="majorHAnsi" w:cs="Arial"/>
          <w:i/>
          <w:sz w:val="22"/>
          <w:szCs w:val="22"/>
          <w:lang w:val="en-GB"/>
        </w:rPr>
        <w:t>Bans on assemblies in particular places</w:t>
      </w:r>
    </w:p>
    <w:p w14:paraId="606F89F7" w14:textId="43532F86" w:rsidR="007611FE" w:rsidRPr="00B46D91" w:rsidRDefault="00D11E27" w:rsidP="00D21364">
      <w:pPr>
        <w:pStyle w:val="NormalWeb"/>
        <w:rPr>
          <w:rFonts w:asciiTheme="majorHAnsi" w:hAnsiTheme="majorHAnsi" w:cs="Arial"/>
          <w:sz w:val="22"/>
          <w:szCs w:val="22"/>
          <w:lang w:val="en-GB"/>
        </w:rPr>
      </w:pPr>
      <w:r w:rsidRPr="00B46D91">
        <w:rPr>
          <w:rFonts w:asciiTheme="majorHAnsi" w:hAnsiTheme="majorHAnsi" w:cs="Arial"/>
          <w:sz w:val="22"/>
          <w:szCs w:val="22"/>
          <w:lang w:val="en-GB"/>
        </w:rPr>
        <w:t xml:space="preserve">GPI is frequently confronted with attempts to frustrate peaceful </w:t>
      </w:r>
      <w:r w:rsidR="00F44C29" w:rsidRPr="00B46D91">
        <w:rPr>
          <w:rFonts w:asciiTheme="majorHAnsi" w:hAnsiTheme="majorHAnsi" w:cs="Arial"/>
          <w:sz w:val="22"/>
          <w:szCs w:val="22"/>
          <w:lang w:val="en-GB"/>
        </w:rPr>
        <w:t>assembly</w:t>
      </w:r>
      <w:r w:rsidRPr="00B46D91">
        <w:rPr>
          <w:rFonts w:asciiTheme="majorHAnsi" w:hAnsiTheme="majorHAnsi" w:cs="Arial"/>
          <w:sz w:val="22"/>
          <w:szCs w:val="22"/>
          <w:lang w:val="en-GB"/>
        </w:rPr>
        <w:t xml:space="preserve"> by creating ‘safety zones’ around controversial infrastructure</w:t>
      </w:r>
      <w:r w:rsidR="00653344" w:rsidRPr="00B46D91">
        <w:rPr>
          <w:rFonts w:asciiTheme="majorHAnsi" w:hAnsiTheme="majorHAnsi" w:cs="Arial"/>
          <w:sz w:val="22"/>
          <w:szCs w:val="22"/>
          <w:lang w:val="en-GB"/>
        </w:rPr>
        <w:t>.</w:t>
      </w:r>
      <w:r w:rsidR="00EC3A12" w:rsidRPr="00B46D91">
        <w:rPr>
          <w:rFonts w:asciiTheme="majorHAnsi" w:hAnsiTheme="majorHAnsi" w:cs="Arial"/>
          <w:sz w:val="22"/>
          <w:szCs w:val="22"/>
          <w:lang w:val="en-GB"/>
        </w:rPr>
        <w:t xml:space="preserve"> </w:t>
      </w:r>
      <w:r w:rsidR="00653344" w:rsidRPr="00B46D91">
        <w:rPr>
          <w:rFonts w:asciiTheme="majorHAnsi" w:hAnsiTheme="majorHAnsi" w:cs="Arial"/>
          <w:sz w:val="22"/>
          <w:szCs w:val="22"/>
          <w:lang w:val="en-GB"/>
        </w:rPr>
        <w:t xml:space="preserve">This is true </w:t>
      </w:r>
      <w:r w:rsidR="00EC3A12" w:rsidRPr="00B46D91">
        <w:rPr>
          <w:rFonts w:asciiTheme="majorHAnsi" w:hAnsiTheme="majorHAnsi" w:cs="Arial"/>
          <w:sz w:val="22"/>
          <w:szCs w:val="22"/>
          <w:lang w:val="en-GB"/>
        </w:rPr>
        <w:t xml:space="preserve">in particular </w:t>
      </w:r>
      <w:r w:rsidR="0026312E" w:rsidRPr="00B46D91">
        <w:rPr>
          <w:rFonts w:asciiTheme="majorHAnsi" w:hAnsiTheme="majorHAnsi" w:cs="Arial"/>
          <w:sz w:val="22"/>
          <w:szCs w:val="22"/>
          <w:lang w:val="en-GB"/>
        </w:rPr>
        <w:t xml:space="preserve">of </w:t>
      </w:r>
      <w:r w:rsidR="00EC3A12" w:rsidRPr="00B46D91">
        <w:rPr>
          <w:rFonts w:asciiTheme="majorHAnsi" w:hAnsiTheme="majorHAnsi" w:cs="Arial"/>
          <w:sz w:val="22"/>
          <w:szCs w:val="22"/>
          <w:lang w:val="en-GB"/>
        </w:rPr>
        <w:t xml:space="preserve">offshore </w:t>
      </w:r>
      <w:proofErr w:type="gramStart"/>
      <w:r w:rsidR="00EC3A12" w:rsidRPr="00B46D91">
        <w:rPr>
          <w:rFonts w:asciiTheme="majorHAnsi" w:hAnsiTheme="majorHAnsi" w:cs="Arial"/>
          <w:sz w:val="22"/>
          <w:szCs w:val="22"/>
          <w:lang w:val="en-GB"/>
        </w:rPr>
        <w:t>oil rigs</w:t>
      </w:r>
      <w:proofErr w:type="gramEnd"/>
      <w:r w:rsidR="00EC3A12" w:rsidRPr="00B46D91">
        <w:rPr>
          <w:rFonts w:asciiTheme="majorHAnsi" w:hAnsiTheme="majorHAnsi" w:cs="Arial"/>
          <w:sz w:val="22"/>
          <w:szCs w:val="22"/>
          <w:lang w:val="en-GB"/>
        </w:rPr>
        <w:t>.</w:t>
      </w:r>
      <w:r w:rsidR="0035178A" w:rsidRPr="00B46D91">
        <w:rPr>
          <w:rFonts w:asciiTheme="majorHAnsi" w:hAnsiTheme="majorHAnsi" w:cs="Arial"/>
          <w:sz w:val="22"/>
          <w:szCs w:val="22"/>
          <w:lang w:val="en-GB"/>
        </w:rPr>
        <w:t xml:space="preserve"> Article 60 of the UN Convention on the Law of the Sea</w:t>
      </w:r>
      <w:r w:rsidR="000716EE" w:rsidRPr="00B46D91">
        <w:rPr>
          <w:rFonts w:asciiTheme="majorHAnsi" w:hAnsiTheme="majorHAnsi" w:cs="Arial"/>
          <w:sz w:val="22"/>
          <w:szCs w:val="22"/>
          <w:lang w:val="en-GB"/>
        </w:rPr>
        <w:t xml:space="preserve"> permits the creation of a safety zone of up to 500 metres around a rig</w:t>
      </w:r>
      <w:r w:rsidR="008B648C" w:rsidRPr="00B46D91">
        <w:rPr>
          <w:rFonts w:asciiTheme="majorHAnsi" w:hAnsiTheme="majorHAnsi" w:cs="Arial"/>
          <w:sz w:val="22"/>
          <w:szCs w:val="22"/>
          <w:lang w:val="en-GB"/>
        </w:rPr>
        <w:t>.</w:t>
      </w:r>
      <w:r w:rsidR="000716EE" w:rsidRPr="00B46D91">
        <w:rPr>
          <w:rFonts w:asciiTheme="majorHAnsi" w:hAnsiTheme="majorHAnsi" w:cs="Arial"/>
          <w:sz w:val="22"/>
          <w:szCs w:val="22"/>
          <w:lang w:val="en-GB"/>
        </w:rPr>
        <w:t xml:space="preserve"> States routinely impose (or even exceed) this maximum extent and </w:t>
      </w:r>
      <w:r w:rsidR="004767DC" w:rsidRPr="00B46D91">
        <w:rPr>
          <w:rFonts w:asciiTheme="majorHAnsi" w:hAnsiTheme="majorHAnsi" w:cs="Arial"/>
          <w:sz w:val="22"/>
          <w:szCs w:val="22"/>
          <w:lang w:val="en-GB"/>
        </w:rPr>
        <w:t>proceed to</w:t>
      </w:r>
      <w:r w:rsidR="00746ED3" w:rsidRPr="00B46D91">
        <w:rPr>
          <w:rFonts w:asciiTheme="majorHAnsi" w:hAnsiTheme="majorHAnsi" w:cs="Arial"/>
          <w:sz w:val="22"/>
          <w:szCs w:val="22"/>
          <w:lang w:val="en-GB"/>
        </w:rPr>
        <w:t xml:space="preserve"> </w:t>
      </w:r>
      <w:r w:rsidR="000716EE" w:rsidRPr="00B46D91">
        <w:rPr>
          <w:rFonts w:asciiTheme="majorHAnsi" w:hAnsiTheme="majorHAnsi" w:cs="Arial"/>
          <w:sz w:val="22"/>
          <w:szCs w:val="22"/>
          <w:lang w:val="en-GB"/>
        </w:rPr>
        <w:t xml:space="preserve">enforce the zone </w:t>
      </w:r>
      <w:r w:rsidR="0035178A" w:rsidRPr="00B46D91">
        <w:rPr>
          <w:rFonts w:asciiTheme="majorHAnsi" w:hAnsiTheme="majorHAnsi" w:cs="Arial"/>
          <w:sz w:val="22"/>
          <w:szCs w:val="22"/>
          <w:lang w:val="en-GB"/>
        </w:rPr>
        <w:t>inflexibly</w:t>
      </w:r>
      <w:r w:rsidR="000716EE" w:rsidRPr="00B46D91">
        <w:rPr>
          <w:rFonts w:asciiTheme="majorHAnsi" w:hAnsiTheme="majorHAnsi" w:cs="Arial"/>
          <w:sz w:val="22"/>
          <w:szCs w:val="22"/>
          <w:lang w:val="en-GB"/>
        </w:rPr>
        <w:t>,</w:t>
      </w:r>
      <w:r w:rsidR="0035178A" w:rsidRPr="00B46D91">
        <w:rPr>
          <w:rFonts w:asciiTheme="majorHAnsi" w:hAnsiTheme="majorHAnsi" w:cs="Arial"/>
          <w:sz w:val="22"/>
          <w:szCs w:val="22"/>
          <w:lang w:val="en-GB"/>
        </w:rPr>
        <w:t xml:space="preserve"> </w:t>
      </w:r>
      <w:r w:rsidR="00031817" w:rsidRPr="00B46D91">
        <w:rPr>
          <w:rFonts w:asciiTheme="majorHAnsi" w:hAnsiTheme="majorHAnsi" w:cs="Arial"/>
          <w:sz w:val="22"/>
          <w:szCs w:val="22"/>
          <w:lang w:val="en-GB"/>
        </w:rPr>
        <w:t xml:space="preserve">without </w:t>
      </w:r>
      <w:r w:rsidR="0035178A" w:rsidRPr="00B46D91">
        <w:rPr>
          <w:rFonts w:asciiTheme="majorHAnsi" w:hAnsiTheme="majorHAnsi" w:cs="Arial"/>
          <w:sz w:val="22"/>
          <w:szCs w:val="22"/>
          <w:lang w:val="en-GB"/>
        </w:rPr>
        <w:t xml:space="preserve">regard </w:t>
      </w:r>
      <w:r w:rsidR="006634DA" w:rsidRPr="00B46D91">
        <w:rPr>
          <w:rFonts w:asciiTheme="majorHAnsi" w:hAnsiTheme="majorHAnsi" w:cs="Arial"/>
          <w:sz w:val="22"/>
          <w:szCs w:val="22"/>
          <w:lang w:val="en-GB"/>
        </w:rPr>
        <w:t>to</w:t>
      </w:r>
      <w:r w:rsidR="0035178A" w:rsidRPr="00B46D91">
        <w:rPr>
          <w:rFonts w:asciiTheme="majorHAnsi" w:hAnsiTheme="majorHAnsi" w:cs="Arial"/>
          <w:sz w:val="22"/>
          <w:szCs w:val="22"/>
          <w:lang w:val="en-GB"/>
        </w:rPr>
        <w:t xml:space="preserve"> the right to </w:t>
      </w:r>
      <w:r w:rsidR="000716EE" w:rsidRPr="00B46D91">
        <w:rPr>
          <w:rFonts w:asciiTheme="majorHAnsi" w:hAnsiTheme="majorHAnsi" w:cs="Arial"/>
          <w:sz w:val="22"/>
          <w:szCs w:val="22"/>
          <w:lang w:val="en-GB"/>
        </w:rPr>
        <w:t>assemble</w:t>
      </w:r>
      <w:r w:rsidR="0035178A" w:rsidRPr="00B46D91">
        <w:rPr>
          <w:rFonts w:asciiTheme="majorHAnsi" w:hAnsiTheme="majorHAnsi" w:cs="Arial"/>
          <w:sz w:val="22"/>
          <w:szCs w:val="22"/>
          <w:lang w:val="en-GB"/>
        </w:rPr>
        <w:t xml:space="preserve"> “within sight and sound”</w:t>
      </w:r>
      <w:r w:rsidR="00031817" w:rsidRPr="00B46D91">
        <w:rPr>
          <w:rFonts w:asciiTheme="majorHAnsi" w:hAnsiTheme="majorHAnsi" w:cs="Arial"/>
          <w:sz w:val="22"/>
          <w:szCs w:val="22"/>
          <w:lang w:val="en-GB"/>
        </w:rPr>
        <w:t xml:space="preserve"> of the target</w:t>
      </w:r>
      <w:r w:rsidR="00BE4A17" w:rsidRPr="00B46D91">
        <w:rPr>
          <w:rStyle w:val="FootnoteReference"/>
          <w:rFonts w:asciiTheme="majorHAnsi" w:hAnsiTheme="majorHAnsi" w:cs="Arial"/>
          <w:sz w:val="22"/>
          <w:szCs w:val="22"/>
          <w:lang w:val="en-GB"/>
        </w:rPr>
        <w:footnoteReference w:id="35"/>
      </w:r>
      <w:r w:rsidR="00031817" w:rsidRPr="00B46D91">
        <w:rPr>
          <w:rFonts w:asciiTheme="majorHAnsi" w:hAnsiTheme="majorHAnsi" w:cs="Arial"/>
          <w:sz w:val="22"/>
          <w:szCs w:val="22"/>
          <w:lang w:val="en-GB"/>
        </w:rPr>
        <w:t xml:space="preserve"> and without </w:t>
      </w:r>
      <w:r w:rsidR="006634DA" w:rsidRPr="00B46D91">
        <w:rPr>
          <w:rFonts w:asciiTheme="majorHAnsi" w:hAnsiTheme="majorHAnsi" w:cs="Arial"/>
          <w:sz w:val="22"/>
          <w:szCs w:val="22"/>
          <w:lang w:val="en-GB"/>
        </w:rPr>
        <w:t>reference to</w:t>
      </w:r>
      <w:r w:rsidR="00031817" w:rsidRPr="00B46D91">
        <w:rPr>
          <w:rFonts w:asciiTheme="majorHAnsi" w:hAnsiTheme="majorHAnsi" w:cs="Arial"/>
          <w:sz w:val="22"/>
          <w:szCs w:val="22"/>
          <w:lang w:val="en-GB"/>
        </w:rPr>
        <w:t xml:space="preserve"> any </w:t>
      </w:r>
      <w:r w:rsidR="00006D54" w:rsidRPr="00B46D91">
        <w:rPr>
          <w:rFonts w:asciiTheme="majorHAnsi" w:hAnsiTheme="majorHAnsi" w:cs="Arial"/>
          <w:sz w:val="22"/>
          <w:szCs w:val="22"/>
          <w:lang w:val="en-GB"/>
        </w:rPr>
        <w:t>genuine</w:t>
      </w:r>
      <w:r w:rsidR="00031817" w:rsidRPr="00B46D91">
        <w:rPr>
          <w:rFonts w:asciiTheme="majorHAnsi" w:hAnsiTheme="majorHAnsi" w:cs="Arial"/>
          <w:sz w:val="22"/>
          <w:szCs w:val="22"/>
          <w:lang w:val="en-GB"/>
        </w:rPr>
        <w:t xml:space="preserve"> safety </w:t>
      </w:r>
      <w:r w:rsidR="00006D54" w:rsidRPr="00B46D91">
        <w:rPr>
          <w:rFonts w:asciiTheme="majorHAnsi" w:hAnsiTheme="majorHAnsi" w:cs="Arial"/>
          <w:sz w:val="22"/>
          <w:szCs w:val="22"/>
          <w:lang w:val="en-GB"/>
        </w:rPr>
        <w:t>concern</w:t>
      </w:r>
      <w:r w:rsidR="00031817" w:rsidRPr="00B46D91">
        <w:rPr>
          <w:rFonts w:asciiTheme="majorHAnsi" w:hAnsiTheme="majorHAnsi" w:cs="Arial"/>
          <w:sz w:val="22"/>
          <w:szCs w:val="22"/>
          <w:lang w:val="en-GB"/>
        </w:rPr>
        <w:t xml:space="preserve">. </w:t>
      </w:r>
    </w:p>
    <w:p w14:paraId="02A0CCBD" w14:textId="02903D1F" w:rsidR="007F2B14" w:rsidRPr="00B46D91" w:rsidRDefault="00E8482F" w:rsidP="000842C6">
      <w:pPr>
        <w:pStyle w:val="NormalWeb"/>
        <w:rPr>
          <w:rFonts w:asciiTheme="majorHAnsi" w:hAnsiTheme="majorHAnsi" w:cs="Arial"/>
          <w:sz w:val="22"/>
          <w:szCs w:val="22"/>
          <w:lang w:val="en-GB"/>
        </w:rPr>
      </w:pPr>
      <w:r w:rsidRPr="00B46D91">
        <w:rPr>
          <w:rFonts w:asciiTheme="majorHAnsi" w:hAnsiTheme="majorHAnsi" w:cs="Arial"/>
          <w:sz w:val="22"/>
          <w:szCs w:val="22"/>
          <w:lang w:val="en-GB"/>
        </w:rPr>
        <w:t xml:space="preserve">We would accordingly welcome </w:t>
      </w:r>
      <w:r w:rsidR="00670D11" w:rsidRPr="00B46D91">
        <w:rPr>
          <w:rFonts w:asciiTheme="majorHAnsi" w:hAnsiTheme="majorHAnsi" w:cs="Arial"/>
          <w:sz w:val="22"/>
          <w:szCs w:val="22"/>
          <w:lang w:val="en-GB"/>
        </w:rPr>
        <w:t xml:space="preserve">a statement in the General Comment </w:t>
      </w:r>
      <w:r w:rsidR="00053EBF" w:rsidRPr="00B46D91">
        <w:rPr>
          <w:rFonts w:asciiTheme="majorHAnsi" w:hAnsiTheme="majorHAnsi" w:cs="Arial"/>
          <w:sz w:val="22"/>
          <w:szCs w:val="22"/>
          <w:lang w:val="en-GB"/>
        </w:rPr>
        <w:t>along the lines of</w:t>
      </w:r>
      <w:r w:rsidR="007F2B14" w:rsidRPr="00B46D91">
        <w:rPr>
          <w:rFonts w:asciiTheme="majorHAnsi" w:hAnsiTheme="majorHAnsi" w:cs="Arial"/>
          <w:sz w:val="22"/>
          <w:szCs w:val="22"/>
          <w:lang w:val="en-GB"/>
        </w:rPr>
        <w:t xml:space="preserve"> the OSCE Guidelines, which state:</w:t>
      </w:r>
    </w:p>
    <w:p w14:paraId="4A73E34B" w14:textId="25A87763" w:rsidR="003B03F5" w:rsidRPr="00B46D91" w:rsidRDefault="008B04E9" w:rsidP="007F2B14">
      <w:pPr>
        <w:pStyle w:val="NormalWeb"/>
        <w:ind w:left="720" w:right="645"/>
        <w:rPr>
          <w:rFonts w:asciiTheme="majorHAnsi" w:hAnsiTheme="majorHAnsi" w:cs="Arial"/>
          <w:i/>
          <w:sz w:val="22"/>
          <w:szCs w:val="22"/>
          <w:lang w:val="en-GB"/>
        </w:rPr>
      </w:pPr>
      <w:r w:rsidRPr="00B46D91">
        <w:rPr>
          <w:rFonts w:asciiTheme="majorHAnsi" w:hAnsiTheme="majorHAnsi" w:cs="Arial"/>
          <w:sz w:val="22"/>
          <w:szCs w:val="22"/>
          <w:lang w:val="en-GB"/>
        </w:rPr>
        <w:t>“</w:t>
      </w:r>
      <w:r w:rsidR="007F2B14" w:rsidRPr="00B46D91">
        <w:rPr>
          <w:rFonts w:asciiTheme="majorHAnsi" w:hAnsiTheme="majorHAnsi" w:cs="Arial"/>
          <w:sz w:val="22"/>
          <w:szCs w:val="22"/>
          <w:lang w:val="en-GB"/>
        </w:rPr>
        <w:t>Consequently, the blanket application of legal restrictions – for exam</w:t>
      </w:r>
      <w:r w:rsidRPr="00B46D91">
        <w:rPr>
          <w:rFonts w:asciiTheme="majorHAnsi" w:hAnsiTheme="majorHAnsi" w:cs="Arial"/>
          <w:sz w:val="22"/>
          <w:szCs w:val="22"/>
          <w:lang w:val="en-GB"/>
        </w:rPr>
        <w:t>ple, banning all demonstrations …</w:t>
      </w:r>
      <w:r w:rsidR="007F2B14" w:rsidRPr="00B46D91">
        <w:rPr>
          <w:rFonts w:asciiTheme="majorHAnsi" w:hAnsiTheme="majorHAnsi" w:cs="Arial"/>
          <w:sz w:val="22"/>
          <w:szCs w:val="22"/>
          <w:lang w:val="en-GB"/>
        </w:rPr>
        <w:t xml:space="preserve"> in particular locations or public places that are suitable for holding assemblies – tends to be over-inclusive. Thus, they will fail the proportionality test, because no consideration has been given to the specific circumstances in each case.</w:t>
      </w:r>
      <w:r w:rsidRPr="00B46D91">
        <w:rPr>
          <w:rFonts w:asciiTheme="majorHAnsi" w:hAnsiTheme="majorHAnsi" w:cs="Arial"/>
          <w:sz w:val="22"/>
          <w:szCs w:val="22"/>
          <w:lang w:val="en-GB"/>
        </w:rPr>
        <w:t>”</w:t>
      </w:r>
      <w:r w:rsidR="00C837B0" w:rsidRPr="00B46D91">
        <w:rPr>
          <w:rStyle w:val="FootnoteReference"/>
          <w:rFonts w:asciiTheme="majorHAnsi" w:hAnsiTheme="majorHAnsi" w:cs="Arial"/>
          <w:sz w:val="22"/>
          <w:szCs w:val="22"/>
          <w:lang w:val="en-GB"/>
        </w:rPr>
        <w:footnoteReference w:id="36"/>
      </w:r>
    </w:p>
    <w:p w14:paraId="6E15FF7D" w14:textId="37B0AE86" w:rsidR="003B03F5" w:rsidRPr="00B46D91" w:rsidRDefault="00AF2BF7" w:rsidP="000842C6">
      <w:pPr>
        <w:pStyle w:val="NormalWeb"/>
        <w:rPr>
          <w:rFonts w:asciiTheme="majorHAnsi" w:hAnsiTheme="majorHAnsi" w:cs="Arial"/>
          <w:bCs/>
          <w:sz w:val="22"/>
          <w:szCs w:val="22"/>
          <w:lang w:val="en-GB"/>
        </w:rPr>
      </w:pPr>
      <w:r w:rsidRPr="00B46D91">
        <w:rPr>
          <w:rFonts w:asciiTheme="majorHAnsi" w:hAnsiTheme="majorHAnsi" w:cs="Arial"/>
          <w:bCs/>
          <w:sz w:val="22"/>
          <w:szCs w:val="22"/>
          <w:lang w:val="en-GB"/>
        </w:rPr>
        <w:t xml:space="preserve">In addition, the Committee may wish to take note of the </w:t>
      </w:r>
      <w:proofErr w:type="spellStart"/>
      <w:r w:rsidRPr="00B46D91">
        <w:rPr>
          <w:rFonts w:asciiTheme="majorHAnsi" w:hAnsiTheme="majorHAnsi" w:cs="Arial"/>
          <w:bCs/>
          <w:sz w:val="22"/>
          <w:szCs w:val="22"/>
          <w:lang w:val="en-GB"/>
        </w:rPr>
        <w:t>ECtHR’s</w:t>
      </w:r>
      <w:proofErr w:type="spellEnd"/>
      <w:r w:rsidRPr="00B46D91">
        <w:rPr>
          <w:rFonts w:asciiTheme="majorHAnsi" w:hAnsiTheme="majorHAnsi" w:cs="Arial"/>
          <w:bCs/>
          <w:sz w:val="22"/>
          <w:szCs w:val="22"/>
          <w:lang w:val="en-GB"/>
        </w:rPr>
        <w:t xml:space="preserve"> </w:t>
      </w:r>
      <w:r w:rsidR="00B51A1E" w:rsidRPr="00B46D91">
        <w:rPr>
          <w:rFonts w:asciiTheme="majorHAnsi" w:hAnsiTheme="majorHAnsi" w:cs="Arial"/>
          <w:bCs/>
          <w:sz w:val="22"/>
          <w:szCs w:val="22"/>
          <w:lang w:val="en-GB"/>
        </w:rPr>
        <w:t>rejection,</w:t>
      </w:r>
      <w:r w:rsidRPr="00B46D91">
        <w:rPr>
          <w:rFonts w:asciiTheme="majorHAnsi" w:hAnsiTheme="majorHAnsi" w:cs="Arial"/>
          <w:bCs/>
          <w:sz w:val="22"/>
          <w:szCs w:val="22"/>
          <w:lang w:val="en-GB"/>
        </w:rPr>
        <w:t xml:space="preserve"> in </w:t>
      </w:r>
      <w:proofErr w:type="spellStart"/>
      <w:r w:rsidRPr="00B46D91">
        <w:rPr>
          <w:rFonts w:asciiTheme="majorHAnsi" w:hAnsiTheme="majorHAnsi" w:cs="Arial"/>
          <w:bCs/>
          <w:i/>
          <w:sz w:val="22"/>
          <w:szCs w:val="22"/>
          <w:lang w:val="en-GB"/>
        </w:rPr>
        <w:t>Lashmankin</w:t>
      </w:r>
      <w:proofErr w:type="spellEnd"/>
      <w:r w:rsidRPr="00B46D91">
        <w:rPr>
          <w:rFonts w:asciiTheme="majorHAnsi" w:hAnsiTheme="majorHAnsi" w:cs="Arial"/>
          <w:bCs/>
          <w:i/>
          <w:sz w:val="22"/>
          <w:szCs w:val="22"/>
          <w:lang w:val="en-GB"/>
        </w:rPr>
        <w:t xml:space="preserve"> and Others v. Russia</w:t>
      </w:r>
      <w:r w:rsidR="00B51A1E" w:rsidRPr="00B46D91">
        <w:rPr>
          <w:rFonts w:asciiTheme="majorHAnsi" w:hAnsiTheme="majorHAnsi" w:cs="Arial"/>
          <w:bCs/>
          <w:i/>
          <w:sz w:val="22"/>
          <w:szCs w:val="22"/>
          <w:lang w:val="en-GB"/>
        </w:rPr>
        <w:t>,</w:t>
      </w:r>
      <w:r w:rsidRPr="00B46D91">
        <w:rPr>
          <w:rFonts w:asciiTheme="majorHAnsi" w:hAnsiTheme="majorHAnsi" w:cs="Arial"/>
          <w:bCs/>
          <w:sz w:val="22"/>
          <w:szCs w:val="22"/>
          <w:lang w:val="en-GB"/>
        </w:rPr>
        <w:t xml:space="preserve"> </w:t>
      </w:r>
      <w:r w:rsidR="00B51A1E" w:rsidRPr="00B46D91">
        <w:rPr>
          <w:rFonts w:asciiTheme="majorHAnsi" w:hAnsiTheme="majorHAnsi" w:cs="Arial"/>
          <w:bCs/>
          <w:sz w:val="22"/>
          <w:szCs w:val="22"/>
          <w:lang w:val="en-GB"/>
        </w:rPr>
        <w:t>of</w:t>
      </w:r>
      <w:r w:rsidRPr="00B46D91">
        <w:rPr>
          <w:rFonts w:asciiTheme="majorHAnsi" w:hAnsiTheme="majorHAnsi" w:cs="Arial"/>
          <w:bCs/>
          <w:sz w:val="22"/>
          <w:szCs w:val="22"/>
          <w:lang w:val="en-GB"/>
        </w:rPr>
        <w:t xml:space="preserve"> a law </w:t>
      </w:r>
      <w:r w:rsidR="00567C01">
        <w:rPr>
          <w:rFonts w:asciiTheme="majorHAnsi" w:hAnsiTheme="majorHAnsi" w:cs="Arial"/>
          <w:bCs/>
          <w:sz w:val="22"/>
          <w:szCs w:val="22"/>
          <w:lang w:val="en-GB"/>
        </w:rPr>
        <w:t>that prohibited</w:t>
      </w:r>
      <w:r w:rsidRPr="00B46D91">
        <w:rPr>
          <w:rFonts w:asciiTheme="majorHAnsi" w:hAnsiTheme="majorHAnsi" w:cs="Arial"/>
          <w:bCs/>
          <w:sz w:val="22"/>
          <w:szCs w:val="22"/>
          <w:lang w:val="en-GB"/>
        </w:rPr>
        <w:t xml:space="preserve"> the holding</w:t>
      </w:r>
      <w:r w:rsidR="00567C01">
        <w:rPr>
          <w:rFonts w:asciiTheme="majorHAnsi" w:hAnsiTheme="majorHAnsi" w:cs="Arial"/>
          <w:bCs/>
          <w:sz w:val="22"/>
          <w:szCs w:val="22"/>
          <w:lang w:val="en-GB"/>
        </w:rPr>
        <w:t xml:space="preserve"> of</w:t>
      </w:r>
      <w:r w:rsidRPr="00B46D91">
        <w:rPr>
          <w:rFonts w:asciiTheme="majorHAnsi" w:hAnsiTheme="majorHAnsi" w:cs="Arial"/>
          <w:bCs/>
          <w:sz w:val="22"/>
          <w:szCs w:val="22"/>
          <w:lang w:val="en-GB"/>
        </w:rPr>
        <w:t xml:space="preserve"> public events </w:t>
      </w:r>
      <w:r w:rsidR="00567C01">
        <w:rPr>
          <w:rFonts w:asciiTheme="majorHAnsi" w:hAnsiTheme="majorHAnsi" w:cs="Arial"/>
          <w:bCs/>
          <w:sz w:val="22"/>
          <w:szCs w:val="22"/>
          <w:lang w:val="en-GB"/>
        </w:rPr>
        <w:t>in the vicinity of</w:t>
      </w:r>
      <w:r w:rsidRPr="00B46D91">
        <w:rPr>
          <w:rFonts w:asciiTheme="majorHAnsi" w:hAnsiTheme="majorHAnsi" w:cs="Arial"/>
          <w:bCs/>
          <w:sz w:val="22"/>
          <w:szCs w:val="22"/>
          <w:lang w:val="en-GB"/>
        </w:rPr>
        <w:t xml:space="preserve"> certain locations, including </w:t>
      </w:r>
      <w:r w:rsidR="00E07F54" w:rsidRPr="00B46D91">
        <w:rPr>
          <w:rFonts w:asciiTheme="majorHAnsi" w:hAnsiTheme="majorHAnsi" w:cs="Arial"/>
          <w:bCs/>
          <w:sz w:val="22"/>
          <w:szCs w:val="22"/>
          <w:lang w:val="en-GB"/>
        </w:rPr>
        <w:t xml:space="preserve">courts, </w:t>
      </w:r>
      <w:r w:rsidRPr="00B46D91">
        <w:rPr>
          <w:rFonts w:asciiTheme="majorHAnsi" w:hAnsiTheme="majorHAnsi" w:cs="Arial"/>
          <w:bCs/>
          <w:sz w:val="22"/>
          <w:szCs w:val="22"/>
          <w:lang w:val="en-GB"/>
        </w:rPr>
        <w:t>railway lines and pipelines</w:t>
      </w:r>
      <w:r w:rsidR="003F0E1E">
        <w:rPr>
          <w:rFonts w:asciiTheme="majorHAnsi" w:hAnsiTheme="majorHAnsi" w:cs="Arial"/>
          <w:bCs/>
          <w:sz w:val="22"/>
          <w:szCs w:val="22"/>
          <w:lang w:val="en-GB"/>
        </w:rPr>
        <w:t xml:space="preserve">. The Court deemed this provision </w:t>
      </w:r>
      <w:r w:rsidR="00B51A1E" w:rsidRPr="00B46D91">
        <w:rPr>
          <w:rFonts w:asciiTheme="majorHAnsi" w:hAnsiTheme="majorHAnsi" w:cs="Arial"/>
          <w:bCs/>
          <w:sz w:val="22"/>
          <w:szCs w:val="22"/>
          <w:lang w:val="en-GB"/>
        </w:rPr>
        <w:t>dis</w:t>
      </w:r>
      <w:r w:rsidR="002C75EB" w:rsidRPr="00B46D91">
        <w:rPr>
          <w:rFonts w:asciiTheme="majorHAnsi" w:hAnsiTheme="majorHAnsi" w:cs="Arial"/>
          <w:bCs/>
          <w:sz w:val="22"/>
          <w:szCs w:val="22"/>
          <w:lang w:val="en-GB"/>
        </w:rPr>
        <w:t>proportionate and h</w:t>
      </w:r>
      <w:r w:rsidR="00B51A1E" w:rsidRPr="00B46D91">
        <w:rPr>
          <w:rFonts w:asciiTheme="majorHAnsi" w:hAnsiTheme="majorHAnsi" w:cs="Arial"/>
          <w:bCs/>
          <w:sz w:val="22"/>
          <w:szCs w:val="22"/>
          <w:lang w:val="en-GB"/>
        </w:rPr>
        <w:t>eld</w:t>
      </w:r>
      <w:r w:rsidR="002C75EB" w:rsidRPr="00B46D91">
        <w:rPr>
          <w:rFonts w:asciiTheme="majorHAnsi" w:hAnsiTheme="majorHAnsi" w:cs="Arial"/>
          <w:bCs/>
          <w:sz w:val="22"/>
          <w:szCs w:val="22"/>
          <w:lang w:val="en-GB"/>
        </w:rPr>
        <w:t xml:space="preserve"> that such a </w:t>
      </w:r>
      <w:r w:rsidR="00B51A1E" w:rsidRPr="00B46D91">
        <w:rPr>
          <w:rFonts w:asciiTheme="majorHAnsi" w:hAnsiTheme="majorHAnsi" w:cs="Arial"/>
          <w:bCs/>
          <w:sz w:val="22"/>
          <w:szCs w:val="22"/>
          <w:lang w:val="en-GB"/>
        </w:rPr>
        <w:t xml:space="preserve">general location-based </w:t>
      </w:r>
      <w:r w:rsidR="002C75EB" w:rsidRPr="00B46D91">
        <w:rPr>
          <w:rFonts w:asciiTheme="majorHAnsi" w:hAnsiTheme="majorHAnsi" w:cs="Arial"/>
          <w:bCs/>
          <w:sz w:val="22"/>
          <w:szCs w:val="22"/>
          <w:lang w:val="en-GB"/>
        </w:rPr>
        <w:t>ban “can only be justified if there is a real danger of [assemblies] resulting in disorder which cannot be prevented by other less stringent measures.”</w:t>
      </w:r>
      <w:r w:rsidR="00E10DE9" w:rsidRPr="00B46D91">
        <w:rPr>
          <w:rStyle w:val="FootnoteReference"/>
          <w:rFonts w:asciiTheme="majorHAnsi" w:hAnsiTheme="majorHAnsi" w:cs="Arial"/>
          <w:bCs/>
          <w:sz w:val="22"/>
          <w:szCs w:val="22"/>
          <w:lang w:val="en-GB"/>
        </w:rPr>
        <w:footnoteReference w:id="37"/>
      </w:r>
    </w:p>
    <w:p w14:paraId="7A445FCC" w14:textId="07B20C0B" w:rsidR="00EF33F5" w:rsidRPr="00B46D91" w:rsidRDefault="00EF33F5" w:rsidP="000842C6">
      <w:pPr>
        <w:pStyle w:val="NormalWeb"/>
        <w:rPr>
          <w:rFonts w:asciiTheme="majorHAnsi" w:hAnsiTheme="majorHAnsi" w:cs="Arial"/>
          <w:sz w:val="22"/>
          <w:szCs w:val="22"/>
          <w:u w:val="single"/>
          <w:lang w:val="en-GB"/>
        </w:rPr>
      </w:pPr>
      <w:r w:rsidRPr="00B46D91">
        <w:rPr>
          <w:rFonts w:asciiTheme="majorHAnsi" w:hAnsiTheme="majorHAnsi" w:cs="Arial"/>
          <w:b/>
          <w:bCs/>
          <w:sz w:val="22"/>
          <w:szCs w:val="22"/>
          <w:u w:val="single"/>
          <w:lang w:val="en-GB"/>
        </w:rPr>
        <w:t xml:space="preserve">Question 12: </w:t>
      </w:r>
      <w:r w:rsidRPr="00B46D91">
        <w:rPr>
          <w:rFonts w:asciiTheme="majorHAnsi" w:hAnsiTheme="majorHAnsi" w:cs="Arial"/>
          <w:b/>
          <w:sz w:val="22"/>
          <w:szCs w:val="22"/>
          <w:u w:val="single"/>
          <w:lang w:val="en-GB"/>
        </w:rPr>
        <w:t>the rights of those who wish to observe and record assemblies</w:t>
      </w:r>
      <w:r w:rsidRPr="00B46D91">
        <w:rPr>
          <w:rFonts w:asciiTheme="majorHAnsi" w:hAnsiTheme="majorHAnsi" w:cs="Arial"/>
          <w:sz w:val="22"/>
          <w:szCs w:val="22"/>
          <w:u w:val="single"/>
          <w:lang w:val="en-GB"/>
        </w:rPr>
        <w:t xml:space="preserve"> </w:t>
      </w:r>
    </w:p>
    <w:p w14:paraId="715A318E" w14:textId="1F0DF3A9" w:rsidR="00F67E9F" w:rsidRPr="00B46D91" w:rsidRDefault="00753C88" w:rsidP="00E47034">
      <w:pPr>
        <w:pStyle w:val="NormalWeb"/>
        <w:rPr>
          <w:rFonts w:asciiTheme="majorHAnsi" w:hAnsiTheme="majorHAnsi" w:cs="Arial"/>
          <w:sz w:val="22"/>
          <w:szCs w:val="22"/>
          <w:lang w:val="en-GB"/>
        </w:rPr>
      </w:pPr>
      <w:r w:rsidRPr="00B46D91">
        <w:rPr>
          <w:rFonts w:asciiTheme="majorHAnsi" w:hAnsiTheme="majorHAnsi" w:cs="Arial"/>
          <w:sz w:val="22"/>
          <w:szCs w:val="22"/>
          <w:lang w:val="en-GB"/>
        </w:rPr>
        <w:t xml:space="preserve">The right to observe and record assemblies, raised in question 12, </w:t>
      </w:r>
      <w:r w:rsidR="00E47034" w:rsidRPr="00B46D91">
        <w:rPr>
          <w:rFonts w:asciiTheme="majorHAnsi" w:hAnsiTheme="majorHAnsi" w:cs="Arial"/>
          <w:sz w:val="22"/>
          <w:szCs w:val="22"/>
          <w:lang w:val="en-GB"/>
        </w:rPr>
        <w:t>is an issue of high importance. Assemblies that go unreported are incapable of informing public opinion</w:t>
      </w:r>
      <w:r w:rsidR="00F67E9F" w:rsidRPr="00B46D91">
        <w:rPr>
          <w:rFonts w:asciiTheme="majorHAnsi" w:hAnsiTheme="majorHAnsi" w:cs="Arial"/>
          <w:sz w:val="22"/>
          <w:szCs w:val="22"/>
          <w:lang w:val="en-GB"/>
        </w:rPr>
        <w:t xml:space="preserve"> beyond the</w:t>
      </w:r>
      <w:r w:rsidR="004A059F" w:rsidRPr="00B46D91">
        <w:rPr>
          <w:rFonts w:asciiTheme="majorHAnsi" w:hAnsiTheme="majorHAnsi" w:cs="Arial"/>
          <w:sz w:val="22"/>
          <w:szCs w:val="22"/>
          <w:lang w:val="en-GB"/>
        </w:rPr>
        <w:t xml:space="preserve"> immediate su</w:t>
      </w:r>
      <w:r w:rsidR="004C1B49" w:rsidRPr="00B46D91">
        <w:rPr>
          <w:rFonts w:asciiTheme="majorHAnsi" w:hAnsiTheme="majorHAnsi" w:cs="Arial"/>
          <w:sz w:val="22"/>
          <w:szCs w:val="22"/>
          <w:lang w:val="en-GB"/>
        </w:rPr>
        <w:t>rround</w:t>
      </w:r>
      <w:r w:rsidR="004A059F" w:rsidRPr="00B46D91">
        <w:rPr>
          <w:rFonts w:asciiTheme="majorHAnsi" w:hAnsiTheme="majorHAnsi" w:cs="Arial"/>
          <w:sz w:val="22"/>
          <w:szCs w:val="22"/>
          <w:lang w:val="en-GB"/>
        </w:rPr>
        <w:t>s</w:t>
      </w:r>
      <w:r w:rsidR="00F67E9F" w:rsidRPr="00B46D91">
        <w:rPr>
          <w:rFonts w:asciiTheme="majorHAnsi" w:hAnsiTheme="majorHAnsi" w:cs="Arial"/>
          <w:sz w:val="22"/>
          <w:szCs w:val="22"/>
          <w:lang w:val="en-GB"/>
        </w:rPr>
        <w:t>.</w:t>
      </w:r>
      <w:r w:rsidR="00E47034" w:rsidRPr="00B46D91">
        <w:rPr>
          <w:rFonts w:asciiTheme="majorHAnsi" w:hAnsiTheme="majorHAnsi" w:cs="Arial"/>
          <w:sz w:val="22"/>
          <w:szCs w:val="22"/>
          <w:lang w:val="en-GB"/>
        </w:rPr>
        <w:t xml:space="preserve"> </w:t>
      </w:r>
      <w:r w:rsidR="00F67E9F" w:rsidRPr="00B46D91">
        <w:rPr>
          <w:rFonts w:asciiTheme="majorHAnsi" w:hAnsiTheme="majorHAnsi" w:cs="Arial"/>
          <w:sz w:val="22"/>
          <w:szCs w:val="22"/>
          <w:lang w:val="en-GB"/>
        </w:rPr>
        <w:t>Moreover, recording</w:t>
      </w:r>
      <w:r w:rsidR="00E47034" w:rsidRPr="00B46D91">
        <w:rPr>
          <w:rFonts w:asciiTheme="majorHAnsi" w:hAnsiTheme="majorHAnsi" w:cs="Arial"/>
          <w:sz w:val="22"/>
          <w:szCs w:val="22"/>
          <w:lang w:val="en-GB"/>
        </w:rPr>
        <w:t xml:space="preserve"> introduce</w:t>
      </w:r>
      <w:r w:rsidR="00F67E9F" w:rsidRPr="00B46D91">
        <w:rPr>
          <w:rFonts w:asciiTheme="majorHAnsi" w:hAnsiTheme="majorHAnsi" w:cs="Arial"/>
          <w:sz w:val="22"/>
          <w:szCs w:val="22"/>
          <w:lang w:val="en-GB"/>
        </w:rPr>
        <w:t>s</w:t>
      </w:r>
      <w:r w:rsidR="00E47034" w:rsidRPr="00B46D91">
        <w:rPr>
          <w:rFonts w:asciiTheme="majorHAnsi" w:hAnsiTheme="majorHAnsi" w:cs="Arial"/>
          <w:sz w:val="22"/>
          <w:szCs w:val="22"/>
          <w:lang w:val="en-GB"/>
        </w:rPr>
        <w:t xml:space="preserve"> an important element of accountability</w:t>
      </w:r>
      <w:r w:rsidR="00F67E9F" w:rsidRPr="00B46D91">
        <w:rPr>
          <w:rFonts w:asciiTheme="majorHAnsi" w:hAnsiTheme="majorHAnsi" w:cs="Arial"/>
          <w:sz w:val="22"/>
          <w:szCs w:val="22"/>
          <w:lang w:val="en-GB"/>
        </w:rPr>
        <w:t xml:space="preserve"> both for participants and </w:t>
      </w:r>
      <w:r w:rsidR="004C1B49" w:rsidRPr="00B46D91">
        <w:rPr>
          <w:rFonts w:asciiTheme="majorHAnsi" w:hAnsiTheme="majorHAnsi" w:cs="Arial"/>
          <w:sz w:val="22"/>
          <w:szCs w:val="22"/>
          <w:lang w:val="en-GB"/>
        </w:rPr>
        <w:t>law enforcers.</w:t>
      </w:r>
    </w:p>
    <w:p w14:paraId="7782AA71" w14:textId="228A138B" w:rsidR="000C7C3D" w:rsidRPr="00B46D91" w:rsidRDefault="000C7C3D" w:rsidP="00E47034">
      <w:pPr>
        <w:pStyle w:val="NormalWeb"/>
        <w:rPr>
          <w:rFonts w:asciiTheme="majorHAnsi" w:hAnsiTheme="majorHAnsi" w:cs="Arial"/>
          <w:i/>
          <w:sz w:val="22"/>
          <w:szCs w:val="22"/>
          <w:lang w:val="en-GB"/>
        </w:rPr>
      </w:pPr>
      <w:r w:rsidRPr="00B46D91">
        <w:rPr>
          <w:rFonts w:asciiTheme="majorHAnsi" w:hAnsiTheme="majorHAnsi" w:cs="Arial"/>
          <w:i/>
          <w:sz w:val="22"/>
          <w:szCs w:val="22"/>
          <w:lang w:val="en-GB"/>
        </w:rPr>
        <w:t>The right of participants to record</w:t>
      </w:r>
    </w:p>
    <w:p w14:paraId="0F105E98" w14:textId="7504D9FE" w:rsidR="00F37594" w:rsidRPr="00B46D91" w:rsidRDefault="00F37594" w:rsidP="00E47034">
      <w:pPr>
        <w:pStyle w:val="NormalWeb"/>
        <w:rPr>
          <w:rFonts w:asciiTheme="majorHAnsi" w:hAnsiTheme="majorHAnsi" w:cs="Arial"/>
          <w:sz w:val="22"/>
          <w:szCs w:val="22"/>
          <w:lang w:val="en-GB"/>
        </w:rPr>
      </w:pPr>
      <w:r w:rsidRPr="00B46D91">
        <w:rPr>
          <w:rFonts w:asciiTheme="majorHAnsi" w:hAnsiTheme="majorHAnsi" w:cs="Arial"/>
          <w:sz w:val="22"/>
          <w:szCs w:val="22"/>
          <w:lang w:val="en-GB"/>
        </w:rPr>
        <w:t xml:space="preserve">There are frequent reports from around the world about police attempting to prevent </w:t>
      </w:r>
      <w:r w:rsidR="00587A11" w:rsidRPr="00B46D91">
        <w:rPr>
          <w:rFonts w:asciiTheme="majorHAnsi" w:hAnsiTheme="majorHAnsi" w:cs="Arial"/>
          <w:sz w:val="22"/>
          <w:szCs w:val="22"/>
          <w:lang w:val="en-GB"/>
        </w:rPr>
        <w:t>participants in assemblies from</w:t>
      </w:r>
      <w:r w:rsidRPr="00B46D91">
        <w:rPr>
          <w:rFonts w:asciiTheme="majorHAnsi" w:hAnsiTheme="majorHAnsi" w:cs="Arial"/>
          <w:sz w:val="22"/>
          <w:szCs w:val="22"/>
          <w:lang w:val="en-GB"/>
        </w:rPr>
        <w:t xml:space="preserve"> recording </w:t>
      </w:r>
      <w:r w:rsidR="00587A11" w:rsidRPr="00B46D91">
        <w:rPr>
          <w:rFonts w:asciiTheme="majorHAnsi" w:hAnsiTheme="majorHAnsi" w:cs="Arial"/>
          <w:sz w:val="22"/>
          <w:szCs w:val="22"/>
          <w:lang w:val="en-GB"/>
        </w:rPr>
        <w:t xml:space="preserve">their actions, </w:t>
      </w:r>
      <w:r w:rsidR="00276B61" w:rsidRPr="00B46D91">
        <w:rPr>
          <w:rFonts w:asciiTheme="majorHAnsi" w:hAnsiTheme="majorHAnsi" w:cs="Arial"/>
          <w:sz w:val="22"/>
          <w:szCs w:val="22"/>
          <w:lang w:val="en-GB"/>
        </w:rPr>
        <w:t xml:space="preserve">by seizing the </w:t>
      </w:r>
      <w:r w:rsidR="006065A3" w:rsidRPr="00B46D91">
        <w:rPr>
          <w:rFonts w:asciiTheme="majorHAnsi" w:hAnsiTheme="majorHAnsi" w:cs="Arial"/>
          <w:sz w:val="22"/>
          <w:szCs w:val="22"/>
          <w:lang w:val="en-GB"/>
        </w:rPr>
        <w:t xml:space="preserve">relevant </w:t>
      </w:r>
      <w:r w:rsidR="00237823" w:rsidRPr="00B46D91">
        <w:rPr>
          <w:rFonts w:asciiTheme="majorHAnsi" w:hAnsiTheme="majorHAnsi" w:cs="Arial"/>
          <w:sz w:val="22"/>
          <w:szCs w:val="22"/>
          <w:lang w:val="en-GB"/>
        </w:rPr>
        <w:t xml:space="preserve">equipment, </w:t>
      </w:r>
      <w:r w:rsidR="00276B61" w:rsidRPr="00B46D91">
        <w:rPr>
          <w:rFonts w:asciiTheme="majorHAnsi" w:hAnsiTheme="majorHAnsi" w:cs="Arial"/>
          <w:sz w:val="22"/>
          <w:szCs w:val="22"/>
          <w:lang w:val="en-GB"/>
        </w:rPr>
        <w:t>ordering it to be turned off</w:t>
      </w:r>
      <w:r w:rsidR="00237823" w:rsidRPr="00B46D91">
        <w:rPr>
          <w:rFonts w:asciiTheme="majorHAnsi" w:hAnsiTheme="majorHAnsi" w:cs="Arial"/>
          <w:sz w:val="22"/>
          <w:szCs w:val="22"/>
          <w:lang w:val="en-GB"/>
        </w:rPr>
        <w:t xml:space="preserve"> or arresting those responsible</w:t>
      </w:r>
      <w:r w:rsidR="00BE4259" w:rsidRPr="00B46D91">
        <w:rPr>
          <w:rFonts w:asciiTheme="majorHAnsi" w:hAnsiTheme="majorHAnsi" w:cs="Arial"/>
          <w:sz w:val="22"/>
          <w:szCs w:val="22"/>
          <w:lang w:val="en-GB"/>
        </w:rPr>
        <w:t>.</w:t>
      </w:r>
      <w:r w:rsidR="00FD5C63" w:rsidRPr="00B46D91">
        <w:rPr>
          <w:rStyle w:val="FootnoteReference"/>
          <w:rFonts w:asciiTheme="majorHAnsi" w:hAnsiTheme="majorHAnsi" w:cs="Arial"/>
          <w:sz w:val="22"/>
          <w:szCs w:val="22"/>
          <w:lang w:val="en-GB"/>
        </w:rPr>
        <w:footnoteReference w:id="38"/>
      </w:r>
      <w:r w:rsidR="00BE4259" w:rsidRPr="00B46D91">
        <w:rPr>
          <w:rFonts w:asciiTheme="majorHAnsi" w:hAnsiTheme="majorHAnsi" w:cs="Arial"/>
          <w:sz w:val="22"/>
          <w:szCs w:val="22"/>
          <w:lang w:val="en-GB"/>
        </w:rPr>
        <w:t xml:space="preserve"> This practice </w:t>
      </w:r>
      <w:r w:rsidR="0055620C" w:rsidRPr="00B46D91">
        <w:rPr>
          <w:rFonts w:asciiTheme="majorHAnsi" w:hAnsiTheme="majorHAnsi" w:cs="Arial"/>
          <w:sz w:val="22"/>
          <w:szCs w:val="22"/>
          <w:lang w:val="en-GB"/>
        </w:rPr>
        <w:t>will</w:t>
      </w:r>
      <w:r w:rsidR="00BE4259" w:rsidRPr="00B46D91">
        <w:rPr>
          <w:rFonts w:asciiTheme="majorHAnsi" w:hAnsiTheme="majorHAnsi" w:cs="Arial"/>
          <w:sz w:val="22"/>
          <w:szCs w:val="22"/>
          <w:lang w:val="en-GB"/>
        </w:rPr>
        <w:t xml:space="preserve"> often</w:t>
      </w:r>
      <w:r w:rsidR="0055620C" w:rsidRPr="00B46D91">
        <w:rPr>
          <w:rFonts w:asciiTheme="majorHAnsi" w:hAnsiTheme="majorHAnsi" w:cs="Arial"/>
          <w:sz w:val="22"/>
          <w:szCs w:val="22"/>
          <w:lang w:val="en-GB"/>
        </w:rPr>
        <w:t xml:space="preserve"> be</w:t>
      </w:r>
      <w:r w:rsidR="00BE4259" w:rsidRPr="00B46D91">
        <w:rPr>
          <w:rFonts w:asciiTheme="majorHAnsi" w:hAnsiTheme="majorHAnsi" w:cs="Arial"/>
          <w:sz w:val="22"/>
          <w:szCs w:val="22"/>
          <w:lang w:val="en-GB"/>
        </w:rPr>
        <w:t xml:space="preserve"> contrary to d</w:t>
      </w:r>
      <w:r w:rsidR="00AB2D44" w:rsidRPr="00B46D91">
        <w:rPr>
          <w:rFonts w:asciiTheme="majorHAnsi" w:hAnsiTheme="majorHAnsi" w:cs="Arial"/>
          <w:sz w:val="22"/>
          <w:szCs w:val="22"/>
          <w:lang w:val="en-GB"/>
        </w:rPr>
        <w:t xml:space="preserve">omestic law, and to our mind </w:t>
      </w:r>
      <w:r w:rsidR="00BE4259" w:rsidRPr="00B46D91">
        <w:rPr>
          <w:rFonts w:asciiTheme="majorHAnsi" w:hAnsiTheme="majorHAnsi" w:cs="Arial"/>
          <w:sz w:val="22"/>
          <w:szCs w:val="22"/>
          <w:lang w:val="en-GB"/>
        </w:rPr>
        <w:t>is</w:t>
      </w:r>
      <w:r w:rsidRPr="00B46D91">
        <w:rPr>
          <w:rFonts w:asciiTheme="majorHAnsi" w:hAnsiTheme="majorHAnsi" w:cs="Arial"/>
          <w:sz w:val="22"/>
          <w:szCs w:val="22"/>
          <w:lang w:val="en-GB"/>
        </w:rPr>
        <w:t xml:space="preserve"> </w:t>
      </w:r>
      <w:r w:rsidR="00BE4259" w:rsidRPr="00B46D91">
        <w:rPr>
          <w:rFonts w:asciiTheme="majorHAnsi" w:hAnsiTheme="majorHAnsi" w:cs="Arial"/>
          <w:sz w:val="22"/>
          <w:szCs w:val="22"/>
          <w:lang w:val="en-GB"/>
        </w:rPr>
        <w:t xml:space="preserve">an </w:t>
      </w:r>
      <w:r w:rsidRPr="00B46D91">
        <w:rPr>
          <w:rFonts w:asciiTheme="majorHAnsi" w:hAnsiTheme="majorHAnsi" w:cs="Arial"/>
          <w:sz w:val="22"/>
          <w:szCs w:val="22"/>
          <w:lang w:val="en-GB"/>
        </w:rPr>
        <w:t xml:space="preserve">unjustifiable </w:t>
      </w:r>
      <w:r w:rsidR="00BE4259" w:rsidRPr="00B46D91">
        <w:rPr>
          <w:rFonts w:asciiTheme="majorHAnsi" w:hAnsiTheme="majorHAnsi" w:cs="Arial"/>
          <w:sz w:val="22"/>
          <w:szCs w:val="22"/>
          <w:lang w:val="en-GB"/>
        </w:rPr>
        <w:t>interference in the rights guaranteed by Article</w:t>
      </w:r>
      <w:r w:rsidR="00DA0FFC">
        <w:rPr>
          <w:rFonts w:asciiTheme="majorHAnsi" w:hAnsiTheme="majorHAnsi" w:cs="Arial"/>
          <w:sz w:val="22"/>
          <w:szCs w:val="22"/>
          <w:lang w:val="en-GB"/>
        </w:rPr>
        <w:t>s</w:t>
      </w:r>
      <w:r w:rsidR="00BE4259" w:rsidRPr="00B46D91">
        <w:rPr>
          <w:rFonts w:asciiTheme="majorHAnsi" w:hAnsiTheme="majorHAnsi" w:cs="Arial"/>
          <w:sz w:val="22"/>
          <w:szCs w:val="22"/>
          <w:lang w:val="en-GB"/>
        </w:rPr>
        <w:t xml:space="preserve"> 19 and 21 ICCPR, </w:t>
      </w:r>
      <w:r w:rsidR="004D3924" w:rsidRPr="00B46D91">
        <w:rPr>
          <w:rFonts w:asciiTheme="majorHAnsi" w:hAnsiTheme="majorHAnsi" w:cs="Arial"/>
          <w:sz w:val="22"/>
          <w:szCs w:val="22"/>
          <w:lang w:val="en-GB"/>
        </w:rPr>
        <w:t xml:space="preserve">provided there is no </w:t>
      </w:r>
      <w:r w:rsidR="000B43A5" w:rsidRPr="00B46D91">
        <w:rPr>
          <w:rFonts w:asciiTheme="majorHAnsi" w:hAnsiTheme="majorHAnsi" w:cs="Arial"/>
          <w:sz w:val="22"/>
          <w:szCs w:val="22"/>
          <w:lang w:val="en-GB"/>
        </w:rPr>
        <w:t>active</w:t>
      </w:r>
      <w:r w:rsidRPr="00B46D91">
        <w:rPr>
          <w:rFonts w:asciiTheme="majorHAnsi" w:hAnsiTheme="majorHAnsi" w:cs="Arial"/>
          <w:sz w:val="22"/>
          <w:szCs w:val="22"/>
          <w:lang w:val="en-GB"/>
        </w:rPr>
        <w:t xml:space="preserve"> hindrance of </w:t>
      </w:r>
      <w:r w:rsidR="004D3924" w:rsidRPr="00B46D91">
        <w:rPr>
          <w:rFonts w:asciiTheme="majorHAnsi" w:hAnsiTheme="majorHAnsi" w:cs="Arial"/>
          <w:sz w:val="22"/>
          <w:szCs w:val="22"/>
          <w:lang w:val="en-GB"/>
        </w:rPr>
        <w:t>law enforcers’</w:t>
      </w:r>
      <w:r w:rsidR="005608B6" w:rsidRPr="00B46D91">
        <w:rPr>
          <w:rFonts w:asciiTheme="majorHAnsi" w:hAnsiTheme="majorHAnsi" w:cs="Arial"/>
          <w:sz w:val="22"/>
          <w:szCs w:val="22"/>
          <w:lang w:val="en-GB"/>
        </w:rPr>
        <w:t xml:space="preserve"> work.</w:t>
      </w:r>
    </w:p>
    <w:p w14:paraId="261C7917" w14:textId="0FFE5A9F" w:rsidR="000C7C3D" w:rsidRPr="00B46D91" w:rsidRDefault="000C7C3D" w:rsidP="00E44352">
      <w:pPr>
        <w:pStyle w:val="NormalWeb"/>
        <w:rPr>
          <w:rFonts w:asciiTheme="majorHAnsi" w:hAnsiTheme="majorHAnsi" w:cs="Arial"/>
          <w:i/>
          <w:sz w:val="22"/>
          <w:szCs w:val="22"/>
          <w:lang w:val="en-GB"/>
        </w:rPr>
      </w:pPr>
      <w:r w:rsidRPr="00B46D91">
        <w:rPr>
          <w:rFonts w:asciiTheme="majorHAnsi" w:hAnsiTheme="majorHAnsi" w:cs="Arial"/>
          <w:i/>
          <w:sz w:val="22"/>
          <w:szCs w:val="22"/>
          <w:lang w:val="en-GB"/>
        </w:rPr>
        <w:t>The right of journalists to observe and record</w:t>
      </w:r>
    </w:p>
    <w:p w14:paraId="1A05A77D" w14:textId="7A4D11FC" w:rsidR="00E44352" w:rsidRPr="00B46D91" w:rsidRDefault="006270A6" w:rsidP="00E44352">
      <w:pPr>
        <w:pStyle w:val="NormalWeb"/>
        <w:rPr>
          <w:rFonts w:asciiTheme="majorHAnsi" w:hAnsiTheme="majorHAnsi" w:cs="Arial"/>
          <w:sz w:val="22"/>
          <w:szCs w:val="22"/>
          <w:lang w:val="en-GB"/>
        </w:rPr>
      </w:pPr>
      <w:r w:rsidRPr="00B46D91">
        <w:rPr>
          <w:rFonts w:asciiTheme="majorHAnsi" w:hAnsiTheme="majorHAnsi" w:cs="Arial"/>
          <w:sz w:val="22"/>
          <w:szCs w:val="22"/>
          <w:lang w:val="en-GB"/>
        </w:rPr>
        <w:t>Another problematic practice is the equating of journalists</w:t>
      </w:r>
      <w:r w:rsidR="00D56631" w:rsidRPr="00B46D91">
        <w:rPr>
          <w:rFonts w:asciiTheme="majorHAnsi" w:hAnsiTheme="majorHAnsi" w:cs="Arial"/>
          <w:sz w:val="22"/>
          <w:szCs w:val="22"/>
          <w:lang w:val="en-GB"/>
        </w:rPr>
        <w:t xml:space="preserve"> and monitors with participants, charging them with </w:t>
      </w:r>
      <w:r w:rsidR="00014E16" w:rsidRPr="00B46D91">
        <w:rPr>
          <w:rFonts w:asciiTheme="majorHAnsi" w:hAnsiTheme="majorHAnsi" w:cs="Arial"/>
          <w:sz w:val="22"/>
          <w:szCs w:val="22"/>
          <w:lang w:val="en-GB"/>
        </w:rPr>
        <w:t>the same offences (such as trespass or refusal to obey a dispersal order) based on their presence at the scene</w:t>
      </w:r>
      <w:r w:rsidR="005846E0" w:rsidRPr="00B46D91">
        <w:rPr>
          <w:rFonts w:asciiTheme="majorHAnsi" w:hAnsiTheme="majorHAnsi" w:cs="Arial"/>
          <w:sz w:val="22"/>
          <w:szCs w:val="22"/>
          <w:lang w:val="en-GB"/>
        </w:rPr>
        <w:t>.</w:t>
      </w:r>
      <w:r w:rsidR="00E44352" w:rsidRPr="00B46D91">
        <w:rPr>
          <w:rFonts w:asciiTheme="majorHAnsi" w:hAnsiTheme="majorHAnsi" w:cs="Arial"/>
          <w:sz w:val="22"/>
          <w:szCs w:val="22"/>
          <w:lang w:val="en-GB"/>
        </w:rPr>
        <w:t xml:space="preserve"> </w:t>
      </w:r>
      <w:r w:rsidRPr="00B46D91">
        <w:rPr>
          <w:rFonts w:asciiTheme="majorHAnsi" w:hAnsiTheme="majorHAnsi" w:cs="Arial"/>
          <w:sz w:val="22"/>
          <w:szCs w:val="22"/>
          <w:lang w:val="en-GB"/>
        </w:rPr>
        <w:t xml:space="preserve">An example of this </w:t>
      </w:r>
      <w:r w:rsidR="00E44352" w:rsidRPr="00B46D91">
        <w:rPr>
          <w:rFonts w:asciiTheme="majorHAnsi" w:hAnsiTheme="majorHAnsi" w:cs="Arial"/>
          <w:sz w:val="22"/>
          <w:szCs w:val="22"/>
          <w:lang w:val="en-GB"/>
        </w:rPr>
        <w:t>occurred in connection with</w:t>
      </w:r>
      <w:r w:rsidRPr="00B46D91">
        <w:rPr>
          <w:rFonts w:asciiTheme="majorHAnsi" w:hAnsiTheme="majorHAnsi" w:cs="Arial"/>
          <w:sz w:val="22"/>
          <w:szCs w:val="22"/>
          <w:lang w:val="en-GB"/>
        </w:rPr>
        <w:t xml:space="preserve"> the above-mentioned seizure of the Greenpeace vessel </w:t>
      </w:r>
      <w:r w:rsidRPr="00B46D91">
        <w:rPr>
          <w:rFonts w:asciiTheme="majorHAnsi" w:hAnsiTheme="majorHAnsi" w:cs="Arial"/>
          <w:i/>
          <w:sz w:val="22"/>
          <w:szCs w:val="22"/>
          <w:lang w:val="en-GB"/>
        </w:rPr>
        <w:t>Arctic Sunrise</w:t>
      </w:r>
      <w:r w:rsidR="00E44352" w:rsidRPr="00B46D91">
        <w:rPr>
          <w:rFonts w:asciiTheme="majorHAnsi" w:hAnsiTheme="majorHAnsi" w:cs="Arial"/>
          <w:sz w:val="22"/>
          <w:szCs w:val="22"/>
          <w:lang w:val="en-GB"/>
        </w:rPr>
        <w:t>. The two freelance journalists on board faced the same charges</w:t>
      </w:r>
      <w:r w:rsidR="008B7AF1" w:rsidRPr="00B46D91">
        <w:rPr>
          <w:rFonts w:asciiTheme="majorHAnsi" w:hAnsiTheme="majorHAnsi" w:cs="Arial"/>
          <w:sz w:val="22"/>
          <w:szCs w:val="22"/>
          <w:lang w:val="en-GB"/>
        </w:rPr>
        <w:t xml:space="preserve"> of piracy </w:t>
      </w:r>
      <w:r w:rsidR="00E44352" w:rsidRPr="00B46D91">
        <w:rPr>
          <w:rFonts w:asciiTheme="majorHAnsi" w:hAnsiTheme="majorHAnsi" w:cs="Arial"/>
          <w:sz w:val="22"/>
          <w:szCs w:val="22"/>
          <w:lang w:val="en-GB"/>
        </w:rPr>
        <w:t xml:space="preserve">as </w:t>
      </w:r>
      <w:r w:rsidR="000E521F" w:rsidRPr="00B46D91">
        <w:rPr>
          <w:rFonts w:asciiTheme="majorHAnsi" w:hAnsiTheme="majorHAnsi" w:cs="Arial"/>
          <w:sz w:val="22"/>
          <w:szCs w:val="22"/>
          <w:lang w:val="en-GB"/>
        </w:rPr>
        <w:t>the activists whos</w:t>
      </w:r>
      <w:r w:rsidR="00A65EAC" w:rsidRPr="00B46D91">
        <w:rPr>
          <w:rFonts w:asciiTheme="majorHAnsi" w:hAnsiTheme="majorHAnsi" w:cs="Arial"/>
          <w:sz w:val="22"/>
          <w:szCs w:val="22"/>
          <w:lang w:val="en-GB"/>
        </w:rPr>
        <w:t>e protest they came to document.</w:t>
      </w:r>
      <w:r w:rsidR="0072049D" w:rsidRPr="00B46D91">
        <w:rPr>
          <w:rStyle w:val="FootnoteReference"/>
          <w:rFonts w:asciiTheme="majorHAnsi" w:hAnsiTheme="majorHAnsi" w:cs="Arial"/>
          <w:sz w:val="22"/>
          <w:szCs w:val="22"/>
          <w:lang w:val="en-GB"/>
        </w:rPr>
        <w:footnoteReference w:id="39"/>
      </w:r>
    </w:p>
    <w:p w14:paraId="42D8119E" w14:textId="0F8CEB66" w:rsidR="00BB077B" w:rsidRPr="00B46D91" w:rsidRDefault="00647016" w:rsidP="00E47034">
      <w:pPr>
        <w:pStyle w:val="NormalWeb"/>
        <w:rPr>
          <w:rFonts w:asciiTheme="majorHAnsi" w:hAnsiTheme="majorHAnsi" w:cs="Arial"/>
          <w:sz w:val="22"/>
          <w:szCs w:val="22"/>
          <w:lang w:val="en-GB"/>
        </w:rPr>
      </w:pPr>
      <w:r w:rsidRPr="00B46D91">
        <w:rPr>
          <w:rFonts w:asciiTheme="majorHAnsi" w:hAnsiTheme="majorHAnsi" w:cs="Arial"/>
          <w:sz w:val="22"/>
          <w:szCs w:val="22"/>
          <w:lang w:val="en-GB"/>
        </w:rPr>
        <w:t xml:space="preserve">The Grand Chamber of the </w:t>
      </w:r>
      <w:proofErr w:type="spellStart"/>
      <w:r w:rsidRPr="00B46D91">
        <w:rPr>
          <w:rFonts w:asciiTheme="majorHAnsi" w:hAnsiTheme="majorHAnsi" w:cs="Arial"/>
          <w:sz w:val="22"/>
          <w:szCs w:val="22"/>
          <w:lang w:val="en-GB"/>
        </w:rPr>
        <w:t>ECtHR</w:t>
      </w:r>
      <w:proofErr w:type="spellEnd"/>
      <w:r w:rsidRPr="00B46D91">
        <w:rPr>
          <w:rFonts w:asciiTheme="majorHAnsi" w:hAnsiTheme="majorHAnsi" w:cs="Arial"/>
          <w:sz w:val="22"/>
          <w:szCs w:val="22"/>
          <w:lang w:val="en-GB"/>
        </w:rPr>
        <w:t xml:space="preserve"> issued a muc</w:t>
      </w:r>
      <w:r w:rsidR="002D5F9D" w:rsidRPr="00B46D91">
        <w:rPr>
          <w:rFonts w:asciiTheme="majorHAnsi" w:hAnsiTheme="majorHAnsi" w:cs="Arial"/>
          <w:sz w:val="22"/>
          <w:szCs w:val="22"/>
          <w:lang w:val="en-GB"/>
        </w:rPr>
        <w:t>h-criticised</w:t>
      </w:r>
      <w:r w:rsidR="00E23FF7" w:rsidRPr="00B46D91">
        <w:rPr>
          <w:rFonts w:asciiTheme="majorHAnsi" w:hAnsiTheme="majorHAnsi" w:cs="Arial"/>
          <w:sz w:val="22"/>
          <w:szCs w:val="22"/>
          <w:lang w:val="en-GB"/>
        </w:rPr>
        <w:t xml:space="preserve"> precedent on </w:t>
      </w:r>
      <w:r w:rsidR="000C4F47" w:rsidRPr="00B46D91">
        <w:rPr>
          <w:rFonts w:asciiTheme="majorHAnsi" w:hAnsiTheme="majorHAnsi" w:cs="Arial"/>
          <w:sz w:val="22"/>
          <w:szCs w:val="22"/>
          <w:lang w:val="en-GB"/>
        </w:rPr>
        <w:t>the rights of journalists at assemblies in</w:t>
      </w:r>
      <w:r w:rsidRPr="00B46D91">
        <w:rPr>
          <w:rFonts w:asciiTheme="majorHAnsi" w:hAnsiTheme="majorHAnsi" w:cs="Arial"/>
          <w:sz w:val="22"/>
          <w:szCs w:val="22"/>
          <w:lang w:val="en-GB"/>
        </w:rPr>
        <w:t xml:space="preserve"> </w:t>
      </w:r>
      <w:proofErr w:type="spellStart"/>
      <w:r w:rsidRPr="00B46D91">
        <w:rPr>
          <w:rFonts w:asciiTheme="majorHAnsi" w:hAnsiTheme="majorHAnsi" w:cs="Arial"/>
          <w:i/>
          <w:sz w:val="22"/>
          <w:szCs w:val="22"/>
          <w:lang w:val="en-GB"/>
        </w:rPr>
        <w:t>Pentikäinen</w:t>
      </w:r>
      <w:proofErr w:type="spellEnd"/>
      <w:r w:rsidRPr="00B46D91">
        <w:rPr>
          <w:rFonts w:asciiTheme="majorHAnsi" w:hAnsiTheme="majorHAnsi" w:cs="Arial"/>
          <w:i/>
          <w:sz w:val="22"/>
          <w:szCs w:val="22"/>
          <w:lang w:val="en-GB"/>
        </w:rPr>
        <w:t xml:space="preserve"> v. Finland</w:t>
      </w:r>
      <w:r w:rsidR="00BD28F2" w:rsidRPr="00B46D91">
        <w:rPr>
          <w:rFonts w:asciiTheme="majorHAnsi" w:hAnsiTheme="majorHAnsi" w:cs="Arial"/>
          <w:sz w:val="22"/>
          <w:szCs w:val="22"/>
          <w:lang w:val="en-GB"/>
        </w:rPr>
        <w:t>.</w:t>
      </w:r>
      <w:r w:rsidR="008E505D">
        <w:rPr>
          <w:rStyle w:val="FootnoteReference"/>
          <w:rFonts w:asciiTheme="majorHAnsi" w:hAnsiTheme="majorHAnsi" w:cs="Arial"/>
          <w:sz w:val="22"/>
          <w:szCs w:val="22"/>
          <w:lang w:val="en-GB"/>
        </w:rPr>
        <w:footnoteReference w:id="40"/>
      </w:r>
      <w:r w:rsidRPr="00B46D91">
        <w:rPr>
          <w:rFonts w:asciiTheme="majorHAnsi" w:hAnsiTheme="majorHAnsi" w:cs="Arial"/>
          <w:sz w:val="22"/>
          <w:szCs w:val="22"/>
          <w:lang w:val="en-GB"/>
        </w:rPr>
        <w:t xml:space="preserve"> </w:t>
      </w:r>
      <w:r w:rsidR="0006658B" w:rsidRPr="00B46D91">
        <w:rPr>
          <w:rFonts w:asciiTheme="majorHAnsi" w:hAnsiTheme="majorHAnsi" w:cs="Arial"/>
          <w:sz w:val="22"/>
          <w:szCs w:val="22"/>
          <w:lang w:val="en-GB"/>
        </w:rPr>
        <w:t xml:space="preserve">While </w:t>
      </w:r>
      <w:r w:rsidR="0061759E" w:rsidRPr="00B46D91">
        <w:rPr>
          <w:rFonts w:asciiTheme="majorHAnsi" w:hAnsiTheme="majorHAnsi" w:cs="Arial"/>
          <w:sz w:val="22"/>
          <w:szCs w:val="22"/>
          <w:lang w:val="en-GB"/>
        </w:rPr>
        <w:t>it</w:t>
      </w:r>
      <w:r w:rsidR="0006658B" w:rsidRPr="00B46D91">
        <w:rPr>
          <w:rFonts w:asciiTheme="majorHAnsi" w:hAnsiTheme="majorHAnsi" w:cs="Arial"/>
          <w:sz w:val="22"/>
          <w:szCs w:val="22"/>
          <w:lang w:val="en-GB"/>
        </w:rPr>
        <w:t xml:space="preserve"> recognised that </w:t>
      </w:r>
      <w:r w:rsidR="006E1AD8" w:rsidRPr="00B46D91">
        <w:rPr>
          <w:rFonts w:asciiTheme="majorHAnsi" w:hAnsiTheme="majorHAnsi" w:cs="Arial"/>
          <w:sz w:val="22"/>
          <w:szCs w:val="22"/>
          <w:lang w:val="en-GB"/>
        </w:rPr>
        <w:t xml:space="preserve">the presence of </w:t>
      </w:r>
      <w:r w:rsidR="005F1F8D" w:rsidRPr="00B46D91">
        <w:rPr>
          <w:rFonts w:asciiTheme="majorHAnsi" w:hAnsiTheme="majorHAnsi" w:cs="Arial"/>
          <w:sz w:val="22"/>
          <w:szCs w:val="22"/>
          <w:lang w:val="en-GB"/>
        </w:rPr>
        <w:t xml:space="preserve">journalists </w:t>
      </w:r>
      <w:r w:rsidR="006E1AD8" w:rsidRPr="00B46D91">
        <w:rPr>
          <w:rFonts w:asciiTheme="majorHAnsi" w:hAnsiTheme="majorHAnsi" w:cs="Arial"/>
          <w:sz w:val="22"/>
          <w:szCs w:val="22"/>
          <w:lang w:val="en-GB"/>
        </w:rPr>
        <w:t xml:space="preserve">“is a guarantee that the authorities can be held to account for their conduct </w:t>
      </w:r>
      <w:r w:rsidR="006E1AD8" w:rsidRPr="00B46D91">
        <w:rPr>
          <w:rFonts w:asciiTheme="majorHAnsi" w:hAnsiTheme="majorHAnsi" w:cs="Arial"/>
          <w:i/>
          <w:sz w:val="22"/>
          <w:szCs w:val="22"/>
          <w:lang w:val="en-GB"/>
        </w:rPr>
        <w:t xml:space="preserve">vis-à-vis </w:t>
      </w:r>
      <w:r w:rsidR="006E1AD8" w:rsidRPr="00B46D91">
        <w:rPr>
          <w:rFonts w:asciiTheme="majorHAnsi" w:hAnsiTheme="majorHAnsi" w:cs="Arial"/>
          <w:sz w:val="22"/>
          <w:szCs w:val="22"/>
          <w:lang w:val="en-GB"/>
        </w:rPr>
        <w:t>the demonstrators</w:t>
      </w:r>
      <w:r w:rsidR="00EF665D">
        <w:rPr>
          <w:rFonts w:asciiTheme="majorHAnsi" w:hAnsiTheme="majorHAnsi" w:cs="Arial"/>
          <w:sz w:val="22"/>
          <w:szCs w:val="22"/>
          <w:lang w:val="en-GB"/>
        </w:rPr>
        <w:t>.</w:t>
      </w:r>
      <w:r w:rsidR="006E1AD8" w:rsidRPr="00B46D91">
        <w:rPr>
          <w:rFonts w:asciiTheme="majorHAnsi" w:hAnsiTheme="majorHAnsi" w:cs="Arial"/>
          <w:sz w:val="22"/>
          <w:szCs w:val="22"/>
          <w:lang w:val="en-GB"/>
        </w:rPr>
        <w:t>”</w:t>
      </w:r>
      <w:r w:rsidR="00D526F0">
        <w:rPr>
          <w:rStyle w:val="FootnoteReference"/>
          <w:rFonts w:asciiTheme="majorHAnsi" w:hAnsiTheme="majorHAnsi" w:cs="Arial"/>
          <w:sz w:val="22"/>
          <w:szCs w:val="22"/>
          <w:lang w:val="en-GB"/>
        </w:rPr>
        <w:footnoteReference w:id="41"/>
      </w:r>
      <w:r w:rsidR="00BB7E20" w:rsidRPr="00B46D91">
        <w:rPr>
          <w:rFonts w:asciiTheme="majorHAnsi" w:hAnsiTheme="majorHAnsi" w:cs="Arial"/>
          <w:sz w:val="22"/>
          <w:szCs w:val="22"/>
          <w:lang w:val="en-GB"/>
        </w:rPr>
        <w:t xml:space="preserve"> </w:t>
      </w:r>
      <w:proofErr w:type="gramStart"/>
      <w:r w:rsidR="00BB7E20" w:rsidRPr="00B46D91">
        <w:rPr>
          <w:rFonts w:asciiTheme="majorHAnsi" w:hAnsiTheme="majorHAnsi" w:cs="Arial"/>
          <w:sz w:val="22"/>
          <w:szCs w:val="22"/>
          <w:lang w:val="en-GB"/>
        </w:rPr>
        <w:t>and</w:t>
      </w:r>
      <w:proofErr w:type="gramEnd"/>
      <w:r w:rsidR="00BB7E20" w:rsidRPr="00B46D91">
        <w:rPr>
          <w:rFonts w:asciiTheme="majorHAnsi" w:hAnsiTheme="majorHAnsi" w:cs="Arial"/>
          <w:sz w:val="22"/>
          <w:szCs w:val="22"/>
          <w:lang w:val="en-GB"/>
        </w:rPr>
        <w:t xml:space="preserve"> that the media </w:t>
      </w:r>
      <w:r w:rsidR="00AA5915" w:rsidRPr="00B46D91">
        <w:rPr>
          <w:rFonts w:asciiTheme="majorHAnsi" w:hAnsiTheme="majorHAnsi" w:cs="Arial"/>
          <w:sz w:val="22"/>
          <w:szCs w:val="22"/>
          <w:lang w:val="en-GB"/>
        </w:rPr>
        <w:t>have a “professional duty to obt</w:t>
      </w:r>
      <w:r w:rsidR="00EF665D">
        <w:rPr>
          <w:rFonts w:asciiTheme="majorHAnsi" w:hAnsiTheme="majorHAnsi" w:cs="Arial"/>
          <w:sz w:val="22"/>
          <w:szCs w:val="22"/>
          <w:lang w:val="en-GB"/>
        </w:rPr>
        <w:t>ain and disseminate information</w:t>
      </w:r>
      <w:r w:rsidR="005F1F8D" w:rsidRPr="00B46D91">
        <w:rPr>
          <w:rFonts w:asciiTheme="majorHAnsi" w:hAnsiTheme="majorHAnsi" w:cs="Arial"/>
          <w:sz w:val="22"/>
          <w:szCs w:val="22"/>
          <w:lang w:val="en-GB"/>
        </w:rPr>
        <w:t>,</w:t>
      </w:r>
      <w:r w:rsidR="00EF665D">
        <w:rPr>
          <w:rFonts w:asciiTheme="majorHAnsi" w:hAnsiTheme="majorHAnsi" w:cs="Arial"/>
          <w:sz w:val="22"/>
          <w:szCs w:val="22"/>
          <w:lang w:val="en-GB"/>
        </w:rPr>
        <w:t>”</w:t>
      </w:r>
      <w:r w:rsidR="00EF665D" w:rsidRPr="00EF665D">
        <w:rPr>
          <w:rStyle w:val="FootnoteReference"/>
          <w:rFonts w:asciiTheme="majorHAnsi" w:hAnsiTheme="majorHAnsi" w:cs="Arial"/>
          <w:sz w:val="22"/>
          <w:szCs w:val="22"/>
          <w:lang w:val="en-GB"/>
        </w:rPr>
        <w:t xml:space="preserve"> </w:t>
      </w:r>
      <w:r w:rsidR="00EF665D">
        <w:rPr>
          <w:rStyle w:val="FootnoteReference"/>
          <w:rFonts w:asciiTheme="majorHAnsi" w:hAnsiTheme="majorHAnsi" w:cs="Arial"/>
          <w:sz w:val="22"/>
          <w:szCs w:val="22"/>
          <w:lang w:val="en-GB"/>
        </w:rPr>
        <w:footnoteReference w:id="42"/>
      </w:r>
      <w:r w:rsidR="005F1F8D" w:rsidRPr="00B46D91">
        <w:rPr>
          <w:rFonts w:asciiTheme="majorHAnsi" w:hAnsiTheme="majorHAnsi" w:cs="Arial"/>
          <w:sz w:val="22"/>
          <w:szCs w:val="22"/>
          <w:lang w:val="en-GB"/>
        </w:rPr>
        <w:t xml:space="preserve"> </w:t>
      </w:r>
      <w:r w:rsidR="00A350B5" w:rsidRPr="00B46D91">
        <w:rPr>
          <w:rFonts w:asciiTheme="majorHAnsi" w:hAnsiTheme="majorHAnsi" w:cs="Arial"/>
          <w:sz w:val="22"/>
          <w:szCs w:val="22"/>
          <w:lang w:val="en-GB"/>
        </w:rPr>
        <w:t xml:space="preserve">it agreed with the Government </w:t>
      </w:r>
      <w:r w:rsidR="00683C17" w:rsidRPr="00B46D91">
        <w:rPr>
          <w:rFonts w:asciiTheme="majorHAnsi" w:hAnsiTheme="majorHAnsi" w:cs="Arial"/>
          <w:sz w:val="22"/>
          <w:szCs w:val="22"/>
          <w:lang w:val="en-GB"/>
        </w:rPr>
        <w:t xml:space="preserve">that </w:t>
      </w:r>
      <w:r w:rsidR="00BB7E20" w:rsidRPr="00B46D91">
        <w:rPr>
          <w:rFonts w:asciiTheme="majorHAnsi" w:hAnsiTheme="majorHAnsi" w:cs="Arial"/>
          <w:sz w:val="22"/>
          <w:szCs w:val="22"/>
          <w:lang w:val="en-GB"/>
        </w:rPr>
        <w:t>journalists</w:t>
      </w:r>
      <w:r w:rsidR="00AF48BF" w:rsidRPr="00B46D91">
        <w:rPr>
          <w:rFonts w:asciiTheme="majorHAnsi" w:hAnsiTheme="majorHAnsi" w:cs="Arial"/>
          <w:sz w:val="22"/>
          <w:szCs w:val="22"/>
          <w:lang w:val="en-GB"/>
        </w:rPr>
        <w:t xml:space="preserve"> are not entitled to </w:t>
      </w:r>
      <w:r w:rsidR="00683C17" w:rsidRPr="00B46D91">
        <w:rPr>
          <w:rFonts w:asciiTheme="majorHAnsi" w:hAnsiTheme="majorHAnsi" w:cs="Arial"/>
          <w:sz w:val="22"/>
          <w:szCs w:val="22"/>
          <w:lang w:val="en-GB"/>
        </w:rPr>
        <w:t xml:space="preserve">“preferential or different treatment in comparison to the other people </w:t>
      </w:r>
      <w:r w:rsidR="003F36C4" w:rsidRPr="00B46D91">
        <w:rPr>
          <w:rFonts w:asciiTheme="majorHAnsi" w:hAnsiTheme="majorHAnsi" w:cs="Arial"/>
          <w:sz w:val="22"/>
          <w:szCs w:val="22"/>
          <w:lang w:val="en-GB"/>
        </w:rPr>
        <w:t>…</w:t>
      </w:r>
      <w:r w:rsidR="00683C17" w:rsidRPr="00B46D91">
        <w:rPr>
          <w:rFonts w:asciiTheme="majorHAnsi" w:hAnsiTheme="majorHAnsi" w:cs="Arial"/>
          <w:sz w:val="22"/>
          <w:szCs w:val="22"/>
          <w:lang w:val="en-GB"/>
        </w:rPr>
        <w:t xml:space="preserve"> at the scene.”</w:t>
      </w:r>
      <w:r w:rsidR="004357E8">
        <w:rPr>
          <w:rStyle w:val="FootnoteReference"/>
          <w:rFonts w:asciiTheme="majorHAnsi" w:hAnsiTheme="majorHAnsi" w:cs="Arial"/>
          <w:sz w:val="22"/>
          <w:szCs w:val="22"/>
          <w:lang w:val="en-GB"/>
        </w:rPr>
        <w:footnoteReference w:id="43"/>
      </w:r>
      <w:r w:rsidR="00683C17" w:rsidRPr="00B46D91">
        <w:rPr>
          <w:rFonts w:asciiTheme="majorHAnsi" w:hAnsiTheme="majorHAnsi" w:cs="Arial"/>
          <w:sz w:val="22"/>
          <w:szCs w:val="22"/>
          <w:lang w:val="en-GB"/>
        </w:rPr>
        <w:t xml:space="preserve">  </w:t>
      </w:r>
      <w:r w:rsidR="00DB45D9" w:rsidRPr="00B46D91">
        <w:rPr>
          <w:rFonts w:asciiTheme="majorHAnsi" w:hAnsiTheme="majorHAnsi" w:cs="Arial"/>
          <w:sz w:val="22"/>
          <w:szCs w:val="22"/>
          <w:lang w:val="en-GB"/>
        </w:rPr>
        <w:t>It is</w:t>
      </w:r>
      <w:r w:rsidR="00B208D9" w:rsidRPr="00B46D91">
        <w:rPr>
          <w:rFonts w:asciiTheme="majorHAnsi" w:hAnsiTheme="majorHAnsi" w:cs="Arial"/>
          <w:sz w:val="22"/>
          <w:szCs w:val="22"/>
          <w:lang w:val="en-GB"/>
        </w:rPr>
        <w:t xml:space="preserve"> therefore</w:t>
      </w:r>
      <w:r w:rsidR="00DB45D9" w:rsidRPr="00B46D91">
        <w:rPr>
          <w:rFonts w:asciiTheme="majorHAnsi" w:hAnsiTheme="majorHAnsi" w:cs="Arial"/>
          <w:sz w:val="22"/>
          <w:szCs w:val="22"/>
          <w:lang w:val="en-GB"/>
        </w:rPr>
        <w:t xml:space="preserve"> up to a journalist to</w:t>
      </w:r>
      <w:r w:rsidR="00AA5915" w:rsidRPr="00B46D91">
        <w:rPr>
          <w:rFonts w:asciiTheme="majorHAnsi" w:hAnsiTheme="majorHAnsi" w:cs="Arial"/>
          <w:sz w:val="22"/>
          <w:szCs w:val="22"/>
          <w:lang w:val="en-GB"/>
        </w:rPr>
        <w:t xml:space="preserve"> “make a choice between the two duties and … to be aware that he or she runs the risk of being subject to legal sanctions</w:t>
      </w:r>
      <w:r w:rsidR="00A50CD3" w:rsidRPr="00B46D91">
        <w:rPr>
          <w:rFonts w:asciiTheme="majorHAnsi" w:hAnsiTheme="majorHAnsi" w:cs="Arial"/>
          <w:sz w:val="22"/>
          <w:szCs w:val="22"/>
          <w:lang w:val="en-GB"/>
        </w:rPr>
        <w:t xml:space="preserve"> … </w:t>
      </w:r>
      <w:r w:rsidR="00AA5915" w:rsidRPr="00B46D91">
        <w:rPr>
          <w:rFonts w:asciiTheme="majorHAnsi" w:hAnsiTheme="majorHAnsi" w:cs="Arial"/>
          <w:sz w:val="22"/>
          <w:szCs w:val="22"/>
          <w:lang w:val="en-GB"/>
        </w:rPr>
        <w:t xml:space="preserve">by not obeying the lawful orders of, </w:t>
      </w:r>
      <w:r w:rsidR="00AA5915" w:rsidRPr="00B46D91">
        <w:rPr>
          <w:rFonts w:asciiTheme="majorHAnsi" w:hAnsiTheme="majorHAnsi" w:cs="Arial"/>
          <w:i/>
          <w:sz w:val="22"/>
          <w:szCs w:val="22"/>
          <w:lang w:val="en-GB"/>
        </w:rPr>
        <w:t>inter alia</w:t>
      </w:r>
      <w:r w:rsidR="00AA5915" w:rsidRPr="00B46D91">
        <w:rPr>
          <w:rFonts w:asciiTheme="majorHAnsi" w:hAnsiTheme="majorHAnsi" w:cs="Arial"/>
          <w:sz w:val="22"/>
          <w:szCs w:val="22"/>
          <w:lang w:val="en-GB"/>
        </w:rPr>
        <w:t>, the police.”</w:t>
      </w:r>
      <w:r w:rsidR="009E427C">
        <w:rPr>
          <w:rStyle w:val="FootnoteReference"/>
          <w:rFonts w:asciiTheme="majorHAnsi" w:hAnsiTheme="majorHAnsi" w:cs="Arial"/>
          <w:sz w:val="22"/>
          <w:szCs w:val="22"/>
          <w:lang w:val="en-GB"/>
        </w:rPr>
        <w:footnoteReference w:id="44"/>
      </w:r>
    </w:p>
    <w:p w14:paraId="72DFD4CA" w14:textId="7D539483" w:rsidR="00D56631" w:rsidRPr="00B46D91" w:rsidRDefault="00735D60" w:rsidP="00E47034">
      <w:pPr>
        <w:pStyle w:val="NormalWeb"/>
        <w:rPr>
          <w:rFonts w:asciiTheme="majorHAnsi" w:hAnsiTheme="majorHAnsi" w:cs="Arial"/>
          <w:sz w:val="22"/>
          <w:szCs w:val="22"/>
          <w:lang w:val="en-GB"/>
        </w:rPr>
      </w:pPr>
      <w:r w:rsidRPr="00B46D91">
        <w:rPr>
          <w:rFonts w:asciiTheme="majorHAnsi" w:hAnsiTheme="majorHAnsi" w:cs="Arial"/>
          <w:sz w:val="22"/>
          <w:szCs w:val="22"/>
          <w:lang w:val="en-GB"/>
        </w:rPr>
        <w:t>If</w:t>
      </w:r>
      <w:r w:rsidR="00D56631" w:rsidRPr="00B46D91">
        <w:rPr>
          <w:rFonts w:asciiTheme="majorHAnsi" w:hAnsiTheme="majorHAnsi" w:cs="Arial"/>
          <w:sz w:val="22"/>
          <w:szCs w:val="22"/>
          <w:lang w:val="en-GB"/>
        </w:rPr>
        <w:t xml:space="preserve"> journalists </w:t>
      </w:r>
      <w:r w:rsidR="00681BB7" w:rsidRPr="00B46D91">
        <w:rPr>
          <w:rFonts w:asciiTheme="majorHAnsi" w:hAnsiTheme="majorHAnsi" w:cs="Arial"/>
          <w:sz w:val="22"/>
          <w:szCs w:val="22"/>
          <w:lang w:val="en-GB"/>
        </w:rPr>
        <w:t xml:space="preserve">must </w:t>
      </w:r>
      <w:r w:rsidR="00B751CD" w:rsidRPr="00B46D91">
        <w:rPr>
          <w:rFonts w:asciiTheme="majorHAnsi" w:hAnsiTheme="majorHAnsi" w:cs="Arial"/>
          <w:sz w:val="22"/>
          <w:szCs w:val="22"/>
          <w:lang w:val="en-GB"/>
        </w:rPr>
        <w:t>engage</w:t>
      </w:r>
      <w:r w:rsidR="00D56631" w:rsidRPr="00B46D91">
        <w:rPr>
          <w:rFonts w:asciiTheme="majorHAnsi" w:hAnsiTheme="majorHAnsi" w:cs="Arial"/>
          <w:sz w:val="22"/>
          <w:szCs w:val="22"/>
          <w:lang w:val="en-GB"/>
        </w:rPr>
        <w:t xml:space="preserve"> in civil disobedience </w:t>
      </w:r>
      <w:r w:rsidR="007F5EE2" w:rsidRPr="00B46D91">
        <w:rPr>
          <w:rFonts w:asciiTheme="majorHAnsi" w:hAnsiTheme="majorHAnsi" w:cs="Arial"/>
          <w:sz w:val="22"/>
          <w:szCs w:val="22"/>
          <w:lang w:val="en-GB"/>
        </w:rPr>
        <w:t>to</w:t>
      </w:r>
      <w:r w:rsidR="00D56631" w:rsidRPr="00B46D91">
        <w:rPr>
          <w:rFonts w:asciiTheme="majorHAnsi" w:hAnsiTheme="majorHAnsi" w:cs="Arial"/>
          <w:sz w:val="22"/>
          <w:szCs w:val="22"/>
          <w:lang w:val="en-GB"/>
        </w:rPr>
        <w:t xml:space="preserve"> </w:t>
      </w:r>
      <w:r w:rsidR="00EA3BE2" w:rsidRPr="00B46D91">
        <w:rPr>
          <w:rFonts w:asciiTheme="majorHAnsi" w:hAnsiTheme="majorHAnsi" w:cs="Arial"/>
          <w:sz w:val="22"/>
          <w:szCs w:val="22"/>
          <w:lang w:val="en-GB"/>
        </w:rPr>
        <w:t xml:space="preserve">effectively </w:t>
      </w:r>
      <w:r w:rsidR="00D56631" w:rsidRPr="00B46D91">
        <w:rPr>
          <w:rFonts w:asciiTheme="majorHAnsi" w:hAnsiTheme="majorHAnsi" w:cs="Arial"/>
          <w:sz w:val="22"/>
          <w:szCs w:val="22"/>
          <w:lang w:val="en-GB"/>
        </w:rPr>
        <w:t xml:space="preserve">cover assemblies that the </w:t>
      </w:r>
      <w:r w:rsidR="00B751CD" w:rsidRPr="00B46D91">
        <w:rPr>
          <w:rFonts w:asciiTheme="majorHAnsi" w:hAnsiTheme="majorHAnsi" w:cs="Arial"/>
          <w:sz w:val="22"/>
          <w:szCs w:val="22"/>
          <w:lang w:val="en-GB"/>
        </w:rPr>
        <w:t xml:space="preserve">authorities consider </w:t>
      </w:r>
      <w:r w:rsidRPr="00B46D91">
        <w:rPr>
          <w:rFonts w:asciiTheme="majorHAnsi" w:hAnsiTheme="majorHAnsi" w:cs="Arial"/>
          <w:sz w:val="22"/>
          <w:szCs w:val="22"/>
          <w:lang w:val="en-GB"/>
        </w:rPr>
        <w:t xml:space="preserve">unlawful, there is a very real </w:t>
      </w:r>
      <w:r w:rsidR="00563353" w:rsidRPr="00B46D91">
        <w:rPr>
          <w:rFonts w:asciiTheme="majorHAnsi" w:hAnsiTheme="majorHAnsi" w:cs="Arial"/>
          <w:sz w:val="22"/>
          <w:szCs w:val="22"/>
          <w:lang w:val="en-GB"/>
        </w:rPr>
        <w:t>risk that none will</w:t>
      </w:r>
      <w:r w:rsidR="00F04D79" w:rsidRPr="00B46D91">
        <w:rPr>
          <w:rFonts w:asciiTheme="majorHAnsi" w:hAnsiTheme="majorHAnsi" w:cs="Arial"/>
          <w:sz w:val="22"/>
          <w:szCs w:val="22"/>
          <w:lang w:val="en-GB"/>
        </w:rPr>
        <w:t xml:space="preserve"> choose to</w:t>
      </w:r>
      <w:r w:rsidR="00563353" w:rsidRPr="00B46D91">
        <w:rPr>
          <w:rFonts w:asciiTheme="majorHAnsi" w:hAnsiTheme="majorHAnsi" w:cs="Arial"/>
          <w:sz w:val="22"/>
          <w:szCs w:val="22"/>
          <w:lang w:val="en-GB"/>
        </w:rPr>
        <w:t xml:space="preserve"> be present, thus r</w:t>
      </w:r>
      <w:r w:rsidR="00C47629" w:rsidRPr="00B46D91">
        <w:rPr>
          <w:rFonts w:asciiTheme="majorHAnsi" w:hAnsiTheme="majorHAnsi" w:cs="Arial"/>
          <w:sz w:val="22"/>
          <w:szCs w:val="22"/>
          <w:lang w:val="en-GB"/>
        </w:rPr>
        <w:t xml:space="preserve">emoving </w:t>
      </w:r>
      <w:r w:rsidR="00563353" w:rsidRPr="00B46D91">
        <w:rPr>
          <w:rFonts w:asciiTheme="majorHAnsi" w:hAnsiTheme="majorHAnsi" w:cs="Arial"/>
          <w:sz w:val="22"/>
          <w:szCs w:val="22"/>
          <w:lang w:val="en-GB"/>
        </w:rPr>
        <w:t>this</w:t>
      </w:r>
      <w:r w:rsidR="006F3A8B" w:rsidRPr="00B46D91">
        <w:rPr>
          <w:rFonts w:asciiTheme="majorHAnsi" w:hAnsiTheme="majorHAnsi" w:cs="Arial"/>
          <w:sz w:val="22"/>
          <w:szCs w:val="22"/>
          <w:lang w:val="en-GB"/>
        </w:rPr>
        <w:t xml:space="preserve"> </w:t>
      </w:r>
      <w:r w:rsidR="00C47629" w:rsidRPr="00B46D91">
        <w:rPr>
          <w:rFonts w:asciiTheme="majorHAnsi" w:hAnsiTheme="majorHAnsi" w:cs="Arial"/>
          <w:sz w:val="22"/>
          <w:szCs w:val="22"/>
          <w:lang w:val="en-GB"/>
        </w:rPr>
        <w:t>element of acc</w:t>
      </w:r>
      <w:r w:rsidR="00AA5325" w:rsidRPr="00B46D91">
        <w:rPr>
          <w:rFonts w:asciiTheme="majorHAnsi" w:hAnsiTheme="majorHAnsi" w:cs="Arial"/>
          <w:sz w:val="22"/>
          <w:szCs w:val="22"/>
          <w:lang w:val="en-GB"/>
        </w:rPr>
        <w:t>ountability pr</w:t>
      </w:r>
      <w:r w:rsidR="004C1B49" w:rsidRPr="00B46D91">
        <w:rPr>
          <w:rFonts w:asciiTheme="majorHAnsi" w:hAnsiTheme="majorHAnsi" w:cs="Arial"/>
          <w:sz w:val="22"/>
          <w:szCs w:val="22"/>
          <w:lang w:val="en-GB"/>
        </w:rPr>
        <w:t>ecisely at the moment it</w:t>
      </w:r>
      <w:r w:rsidR="00AA5325" w:rsidRPr="00B46D91">
        <w:rPr>
          <w:rFonts w:asciiTheme="majorHAnsi" w:hAnsiTheme="majorHAnsi" w:cs="Arial"/>
          <w:sz w:val="22"/>
          <w:szCs w:val="22"/>
          <w:lang w:val="en-GB"/>
        </w:rPr>
        <w:t xml:space="preserve"> becomes most important.</w:t>
      </w:r>
      <w:r w:rsidR="00055134" w:rsidRPr="00B46D91">
        <w:rPr>
          <w:rFonts w:asciiTheme="majorHAnsi" w:hAnsiTheme="majorHAnsi" w:cs="Arial"/>
          <w:sz w:val="22"/>
          <w:szCs w:val="22"/>
          <w:lang w:val="en-GB"/>
        </w:rPr>
        <w:t xml:space="preserve"> The </w:t>
      </w:r>
      <w:proofErr w:type="spellStart"/>
      <w:r w:rsidR="00055134" w:rsidRPr="00B46D91">
        <w:rPr>
          <w:rFonts w:asciiTheme="majorHAnsi" w:hAnsiTheme="majorHAnsi" w:cs="Arial"/>
          <w:sz w:val="22"/>
          <w:szCs w:val="22"/>
          <w:lang w:val="en-GB"/>
        </w:rPr>
        <w:t>ECtHR</w:t>
      </w:r>
      <w:proofErr w:type="spellEnd"/>
      <w:r w:rsidR="00055134" w:rsidRPr="00B46D91">
        <w:rPr>
          <w:rFonts w:asciiTheme="majorHAnsi" w:hAnsiTheme="majorHAnsi" w:cs="Arial"/>
          <w:sz w:val="22"/>
          <w:szCs w:val="22"/>
          <w:lang w:val="en-GB"/>
        </w:rPr>
        <w:t xml:space="preserve"> </w:t>
      </w:r>
      <w:r w:rsidR="003C0F6F" w:rsidRPr="00B46D91">
        <w:rPr>
          <w:rFonts w:asciiTheme="majorHAnsi" w:hAnsiTheme="majorHAnsi" w:cs="Arial"/>
          <w:sz w:val="22"/>
          <w:szCs w:val="22"/>
          <w:lang w:val="en-GB"/>
        </w:rPr>
        <w:t>appears</w:t>
      </w:r>
      <w:r w:rsidR="00055134" w:rsidRPr="00B46D91">
        <w:rPr>
          <w:rFonts w:asciiTheme="majorHAnsi" w:hAnsiTheme="majorHAnsi" w:cs="Arial"/>
          <w:sz w:val="22"/>
          <w:szCs w:val="22"/>
          <w:lang w:val="en-GB"/>
        </w:rPr>
        <w:t xml:space="preserve"> to</w:t>
      </w:r>
      <w:r w:rsidR="003C0F6F" w:rsidRPr="00B46D91">
        <w:rPr>
          <w:rFonts w:asciiTheme="majorHAnsi" w:hAnsiTheme="majorHAnsi" w:cs="Arial"/>
          <w:sz w:val="22"/>
          <w:szCs w:val="22"/>
          <w:lang w:val="en-GB"/>
        </w:rPr>
        <w:t xml:space="preserve"> be</w:t>
      </w:r>
      <w:r w:rsidR="00055134" w:rsidRPr="00B46D91">
        <w:rPr>
          <w:rFonts w:asciiTheme="majorHAnsi" w:hAnsiTheme="majorHAnsi" w:cs="Arial"/>
          <w:sz w:val="22"/>
          <w:szCs w:val="22"/>
          <w:lang w:val="en-GB"/>
        </w:rPr>
        <w:t xml:space="preserve"> </w:t>
      </w:r>
      <w:r w:rsidR="0088397B" w:rsidRPr="00B46D91">
        <w:rPr>
          <w:rFonts w:asciiTheme="majorHAnsi" w:hAnsiTheme="majorHAnsi" w:cs="Arial"/>
          <w:sz w:val="22"/>
          <w:szCs w:val="22"/>
          <w:lang w:val="en-GB"/>
        </w:rPr>
        <w:t>moderating</w:t>
      </w:r>
      <w:r w:rsidR="00055134" w:rsidRPr="00B46D91">
        <w:rPr>
          <w:rFonts w:asciiTheme="majorHAnsi" w:hAnsiTheme="majorHAnsi" w:cs="Arial"/>
          <w:sz w:val="22"/>
          <w:szCs w:val="22"/>
          <w:lang w:val="en-GB"/>
        </w:rPr>
        <w:t xml:space="preserve"> its position, </w:t>
      </w:r>
      <w:r w:rsidR="00AB03D1" w:rsidRPr="00B46D91">
        <w:rPr>
          <w:rFonts w:asciiTheme="majorHAnsi" w:hAnsiTheme="majorHAnsi" w:cs="Arial"/>
          <w:sz w:val="22"/>
          <w:szCs w:val="22"/>
          <w:lang w:val="en-GB"/>
        </w:rPr>
        <w:t>holding in</w:t>
      </w:r>
      <w:r w:rsidR="0051798D" w:rsidRPr="00B46D91">
        <w:rPr>
          <w:rFonts w:asciiTheme="majorHAnsi" w:hAnsiTheme="majorHAnsi" w:cs="Arial"/>
          <w:sz w:val="22"/>
          <w:szCs w:val="22"/>
          <w:lang w:val="en-GB"/>
        </w:rPr>
        <w:t xml:space="preserve"> the more recent ruling in</w:t>
      </w:r>
      <w:r w:rsidR="00AB03D1" w:rsidRPr="00B46D91">
        <w:rPr>
          <w:rFonts w:asciiTheme="majorHAnsi" w:hAnsiTheme="majorHAnsi" w:cs="Arial"/>
          <w:sz w:val="22"/>
          <w:szCs w:val="22"/>
          <w:lang w:val="en-GB"/>
        </w:rPr>
        <w:t xml:space="preserve"> </w:t>
      </w:r>
      <w:proofErr w:type="spellStart"/>
      <w:r w:rsidR="00AB03D1" w:rsidRPr="00B46D91">
        <w:rPr>
          <w:rFonts w:asciiTheme="majorHAnsi" w:hAnsiTheme="majorHAnsi" w:cs="Arial"/>
          <w:i/>
          <w:sz w:val="22"/>
          <w:szCs w:val="22"/>
          <w:lang w:val="en-GB"/>
        </w:rPr>
        <w:t>Butkevich</w:t>
      </w:r>
      <w:proofErr w:type="spellEnd"/>
      <w:r w:rsidR="00AB03D1" w:rsidRPr="00B46D91">
        <w:rPr>
          <w:rFonts w:asciiTheme="majorHAnsi" w:hAnsiTheme="majorHAnsi" w:cs="Arial"/>
          <w:i/>
          <w:sz w:val="22"/>
          <w:szCs w:val="22"/>
          <w:lang w:val="en-GB"/>
        </w:rPr>
        <w:t xml:space="preserve"> v. Russia</w:t>
      </w:r>
      <w:r w:rsidR="00AB03D1" w:rsidRPr="00B46D91">
        <w:rPr>
          <w:rFonts w:asciiTheme="majorHAnsi" w:hAnsiTheme="majorHAnsi" w:cs="Arial"/>
          <w:sz w:val="22"/>
          <w:szCs w:val="22"/>
          <w:lang w:val="en-GB"/>
        </w:rPr>
        <w:t xml:space="preserve"> that </w:t>
      </w:r>
      <w:r w:rsidR="00A867E4" w:rsidRPr="00B46D91">
        <w:rPr>
          <w:rFonts w:asciiTheme="majorHAnsi" w:hAnsiTheme="majorHAnsi" w:cs="Arial"/>
          <w:sz w:val="22"/>
          <w:szCs w:val="22"/>
          <w:lang w:val="en-GB"/>
        </w:rPr>
        <w:t xml:space="preserve">where a person detained at an assembly claims to have been there as a journalist, it becomes ”pertinent for the authorities at the pre-trial stage of the proceedings and, </w:t>
      </w:r>
      <w:r w:rsidR="00A867E4" w:rsidRPr="00B46D91">
        <w:rPr>
          <w:rFonts w:asciiTheme="majorHAnsi" w:hAnsiTheme="majorHAnsi" w:cs="Arial"/>
          <w:i/>
          <w:sz w:val="22"/>
          <w:szCs w:val="22"/>
          <w:lang w:val="en-GB"/>
        </w:rPr>
        <w:t>a fortiori</w:t>
      </w:r>
      <w:r w:rsidR="00A867E4" w:rsidRPr="00B46D91">
        <w:rPr>
          <w:rFonts w:asciiTheme="majorHAnsi" w:hAnsiTheme="majorHAnsi" w:cs="Arial"/>
          <w:sz w:val="22"/>
          <w:szCs w:val="22"/>
          <w:lang w:val="en-GB"/>
        </w:rPr>
        <w:t>, during the examination of the case … to delve into whether his alleged actions were excusable or otherwise mitigated.”</w:t>
      </w:r>
      <w:r w:rsidR="00121B40">
        <w:rPr>
          <w:rStyle w:val="FootnoteReference"/>
          <w:rFonts w:asciiTheme="majorHAnsi" w:hAnsiTheme="majorHAnsi" w:cs="Arial"/>
          <w:sz w:val="22"/>
          <w:szCs w:val="22"/>
          <w:lang w:val="en-GB"/>
        </w:rPr>
        <w:footnoteReference w:id="45"/>
      </w:r>
      <w:r w:rsidR="00651E60" w:rsidRPr="00B46D91">
        <w:rPr>
          <w:rFonts w:asciiTheme="majorHAnsi" w:hAnsiTheme="majorHAnsi" w:cs="Arial"/>
          <w:sz w:val="22"/>
          <w:szCs w:val="22"/>
          <w:lang w:val="en-GB"/>
        </w:rPr>
        <w:t xml:space="preserve"> </w:t>
      </w:r>
    </w:p>
    <w:p w14:paraId="266544C5" w14:textId="60A9ECCE" w:rsidR="00D6485C" w:rsidRPr="00B46D91" w:rsidRDefault="00D6485C" w:rsidP="00E47034">
      <w:pPr>
        <w:pStyle w:val="NormalWeb"/>
        <w:rPr>
          <w:rFonts w:asciiTheme="majorHAnsi" w:hAnsiTheme="majorHAnsi" w:cs="Arial"/>
          <w:sz w:val="22"/>
          <w:szCs w:val="22"/>
          <w:lang w:val="en-GB"/>
        </w:rPr>
      </w:pPr>
      <w:r w:rsidRPr="00B46D91">
        <w:rPr>
          <w:rFonts w:asciiTheme="majorHAnsi" w:hAnsiTheme="majorHAnsi" w:cs="Arial"/>
          <w:sz w:val="22"/>
          <w:szCs w:val="22"/>
          <w:lang w:val="en-GB"/>
        </w:rPr>
        <w:t>A s</w:t>
      </w:r>
      <w:r w:rsidR="002E27EC" w:rsidRPr="00B46D91">
        <w:rPr>
          <w:rFonts w:asciiTheme="majorHAnsi" w:hAnsiTheme="majorHAnsi" w:cs="Arial"/>
          <w:sz w:val="22"/>
          <w:szCs w:val="22"/>
          <w:lang w:val="en-GB"/>
        </w:rPr>
        <w:t xml:space="preserve">tatement from the Committee to similar </w:t>
      </w:r>
      <w:r w:rsidRPr="00B46D91">
        <w:rPr>
          <w:rFonts w:asciiTheme="majorHAnsi" w:hAnsiTheme="majorHAnsi" w:cs="Arial"/>
          <w:sz w:val="22"/>
          <w:szCs w:val="22"/>
          <w:lang w:val="en-GB"/>
        </w:rPr>
        <w:t xml:space="preserve">effect </w:t>
      </w:r>
      <w:r w:rsidR="0011182E" w:rsidRPr="00B46D91">
        <w:rPr>
          <w:rFonts w:asciiTheme="majorHAnsi" w:hAnsiTheme="majorHAnsi" w:cs="Arial"/>
          <w:sz w:val="22"/>
          <w:szCs w:val="22"/>
          <w:lang w:val="en-GB"/>
        </w:rPr>
        <w:t>would be of value to journalists covering assemblies worldwide, and by extension, to the participants in those assemblies.</w:t>
      </w:r>
    </w:p>
    <w:p w14:paraId="2EF5FFDC" w14:textId="3D82D638" w:rsidR="00F67E9F" w:rsidRPr="00B46D91" w:rsidRDefault="006F48E9" w:rsidP="00E47034">
      <w:pPr>
        <w:pStyle w:val="NormalWeb"/>
        <w:rPr>
          <w:rFonts w:asciiTheme="majorHAnsi" w:hAnsiTheme="majorHAnsi" w:cs="Arial"/>
          <w:i/>
          <w:sz w:val="22"/>
          <w:szCs w:val="22"/>
          <w:lang w:val="en-GB"/>
        </w:rPr>
      </w:pPr>
      <w:r w:rsidRPr="00B46D91">
        <w:rPr>
          <w:rFonts w:asciiTheme="majorHAnsi" w:hAnsiTheme="majorHAnsi" w:cs="Arial"/>
          <w:i/>
          <w:sz w:val="22"/>
          <w:szCs w:val="22"/>
          <w:lang w:val="en-GB"/>
        </w:rPr>
        <w:t xml:space="preserve">The position of other </w:t>
      </w:r>
      <w:r w:rsidR="00973450" w:rsidRPr="00B46D91">
        <w:rPr>
          <w:rFonts w:asciiTheme="majorHAnsi" w:hAnsiTheme="majorHAnsi" w:cs="Arial"/>
          <w:i/>
          <w:sz w:val="22"/>
          <w:szCs w:val="22"/>
          <w:lang w:val="en-GB"/>
        </w:rPr>
        <w:t>persons observing or recording assemblies</w:t>
      </w:r>
    </w:p>
    <w:p w14:paraId="5443D443" w14:textId="18971B92" w:rsidR="00A775B4" w:rsidRPr="00B46D91" w:rsidRDefault="000429E9" w:rsidP="000429E9">
      <w:pPr>
        <w:pStyle w:val="NormalWeb"/>
        <w:rPr>
          <w:rFonts w:asciiTheme="majorHAnsi" w:hAnsiTheme="majorHAnsi" w:cs="Arial"/>
          <w:sz w:val="22"/>
          <w:szCs w:val="22"/>
          <w:lang w:val="en-GB"/>
        </w:rPr>
      </w:pPr>
      <w:r w:rsidRPr="00B46D91">
        <w:rPr>
          <w:rFonts w:asciiTheme="majorHAnsi" w:hAnsiTheme="majorHAnsi" w:cs="Arial"/>
          <w:sz w:val="22"/>
          <w:szCs w:val="22"/>
          <w:lang w:val="en-GB"/>
        </w:rPr>
        <w:t xml:space="preserve">Recognition of a separate status for journalists </w:t>
      </w:r>
      <w:r w:rsidR="00A775B4" w:rsidRPr="00B46D91">
        <w:rPr>
          <w:rFonts w:asciiTheme="majorHAnsi" w:hAnsiTheme="majorHAnsi" w:cs="Arial"/>
          <w:sz w:val="22"/>
          <w:szCs w:val="22"/>
          <w:lang w:val="en-GB"/>
        </w:rPr>
        <w:t>raises</w:t>
      </w:r>
      <w:r w:rsidRPr="00B46D91">
        <w:rPr>
          <w:rFonts w:asciiTheme="majorHAnsi" w:hAnsiTheme="majorHAnsi" w:cs="Arial"/>
          <w:sz w:val="22"/>
          <w:szCs w:val="22"/>
          <w:lang w:val="en-GB"/>
        </w:rPr>
        <w:t xml:space="preserve"> the question </w:t>
      </w:r>
      <w:r w:rsidR="0064188A">
        <w:rPr>
          <w:rFonts w:asciiTheme="majorHAnsi" w:hAnsiTheme="majorHAnsi" w:cs="Arial"/>
          <w:sz w:val="22"/>
          <w:szCs w:val="22"/>
          <w:lang w:val="en-GB"/>
        </w:rPr>
        <w:t xml:space="preserve">to </w:t>
      </w:r>
      <w:proofErr w:type="gramStart"/>
      <w:r w:rsidR="0024595A" w:rsidRPr="00B46D91">
        <w:rPr>
          <w:rFonts w:asciiTheme="majorHAnsi" w:hAnsiTheme="majorHAnsi" w:cs="Arial"/>
          <w:sz w:val="22"/>
          <w:szCs w:val="22"/>
          <w:lang w:val="en-GB"/>
        </w:rPr>
        <w:t>whom</w:t>
      </w:r>
      <w:proofErr w:type="gramEnd"/>
      <w:r w:rsidR="0024595A" w:rsidRPr="00B46D91">
        <w:rPr>
          <w:rFonts w:asciiTheme="majorHAnsi" w:hAnsiTheme="majorHAnsi" w:cs="Arial"/>
          <w:sz w:val="22"/>
          <w:szCs w:val="22"/>
          <w:lang w:val="en-GB"/>
        </w:rPr>
        <w:t xml:space="preserve"> this protection should exte</w:t>
      </w:r>
      <w:r w:rsidR="0064188A">
        <w:rPr>
          <w:rFonts w:asciiTheme="majorHAnsi" w:hAnsiTheme="majorHAnsi" w:cs="Arial"/>
          <w:sz w:val="22"/>
          <w:szCs w:val="22"/>
          <w:lang w:val="en-GB"/>
        </w:rPr>
        <w:t>nd</w:t>
      </w:r>
      <w:r w:rsidR="0024595A" w:rsidRPr="00B46D91">
        <w:rPr>
          <w:rFonts w:asciiTheme="majorHAnsi" w:hAnsiTheme="majorHAnsi" w:cs="Arial"/>
          <w:sz w:val="22"/>
          <w:szCs w:val="22"/>
          <w:lang w:val="en-GB"/>
        </w:rPr>
        <w:t xml:space="preserve">, and how law enforcement authorities </w:t>
      </w:r>
      <w:r w:rsidR="00DB6BC0">
        <w:rPr>
          <w:rFonts w:asciiTheme="majorHAnsi" w:hAnsiTheme="majorHAnsi" w:cs="Arial"/>
          <w:sz w:val="22"/>
          <w:szCs w:val="22"/>
          <w:lang w:val="en-GB"/>
        </w:rPr>
        <w:t>should</w:t>
      </w:r>
      <w:r w:rsidR="0024595A" w:rsidRPr="00B46D91">
        <w:rPr>
          <w:rFonts w:asciiTheme="majorHAnsi" w:hAnsiTheme="majorHAnsi" w:cs="Arial"/>
          <w:sz w:val="22"/>
          <w:szCs w:val="22"/>
          <w:lang w:val="en-GB"/>
        </w:rPr>
        <w:t xml:space="preserve"> distinguish </w:t>
      </w:r>
      <w:r w:rsidR="002D47A6" w:rsidRPr="00B46D91">
        <w:rPr>
          <w:rFonts w:asciiTheme="majorHAnsi" w:hAnsiTheme="majorHAnsi" w:cs="Arial"/>
          <w:sz w:val="22"/>
          <w:szCs w:val="22"/>
          <w:lang w:val="en-GB"/>
        </w:rPr>
        <w:t xml:space="preserve">in practice </w:t>
      </w:r>
      <w:r w:rsidR="0024595A" w:rsidRPr="00B46D91">
        <w:rPr>
          <w:rFonts w:asciiTheme="majorHAnsi" w:hAnsiTheme="majorHAnsi" w:cs="Arial"/>
          <w:sz w:val="22"/>
          <w:szCs w:val="22"/>
          <w:lang w:val="en-GB"/>
        </w:rPr>
        <w:t xml:space="preserve">between </w:t>
      </w:r>
      <w:r w:rsidR="002D47A6" w:rsidRPr="00B46D91">
        <w:rPr>
          <w:rFonts w:asciiTheme="majorHAnsi" w:hAnsiTheme="majorHAnsi" w:cs="Arial"/>
          <w:sz w:val="22"/>
          <w:szCs w:val="22"/>
          <w:lang w:val="en-GB"/>
        </w:rPr>
        <w:t>observers</w:t>
      </w:r>
      <w:r w:rsidR="00013734" w:rsidRPr="00B46D91">
        <w:rPr>
          <w:rFonts w:asciiTheme="majorHAnsi" w:hAnsiTheme="majorHAnsi" w:cs="Arial"/>
          <w:sz w:val="22"/>
          <w:szCs w:val="22"/>
          <w:lang w:val="en-GB"/>
        </w:rPr>
        <w:t xml:space="preserve"> and </w:t>
      </w:r>
      <w:r w:rsidR="0024595A" w:rsidRPr="00B46D91">
        <w:rPr>
          <w:rFonts w:asciiTheme="majorHAnsi" w:hAnsiTheme="majorHAnsi" w:cs="Arial"/>
          <w:sz w:val="22"/>
          <w:szCs w:val="22"/>
          <w:lang w:val="en-GB"/>
        </w:rPr>
        <w:t>participants (who may themselves</w:t>
      </w:r>
      <w:r w:rsidR="00013734" w:rsidRPr="00B46D91">
        <w:rPr>
          <w:rFonts w:asciiTheme="majorHAnsi" w:hAnsiTheme="majorHAnsi" w:cs="Arial"/>
          <w:sz w:val="22"/>
          <w:szCs w:val="22"/>
          <w:lang w:val="en-GB"/>
        </w:rPr>
        <w:t xml:space="preserve"> be </w:t>
      </w:r>
      <w:r w:rsidR="00745C06" w:rsidRPr="00B46D91">
        <w:rPr>
          <w:rFonts w:asciiTheme="majorHAnsi" w:hAnsiTheme="majorHAnsi" w:cs="Arial"/>
          <w:sz w:val="22"/>
          <w:szCs w:val="22"/>
          <w:lang w:val="en-GB"/>
        </w:rPr>
        <w:t>recording</w:t>
      </w:r>
      <w:r w:rsidR="00013734" w:rsidRPr="00B46D91">
        <w:rPr>
          <w:rFonts w:asciiTheme="majorHAnsi" w:hAnsiTheme="majorHAnsi" w:cs="Arial"/>
          <w:sz w:val="22"/>
          <w:szCs w:val="22"/>
          <w:lang w:val="en-GB"/>
        </w:rPr>
        <w:t>).</w:t>
      </w:r>
    </w:p>
    <w:p w14:paraId="6603083B" w14:textId="40E147EB" w:rsidR="00B31DDA" w:rsidRPr="00B46D91" w:rsidRDefault="00E10CCF" w:rsidP="0004170C">
      <w:pPr>
        <w:pStyle w:val="NormalWeb"/>
        <w:rPr>
          <w:rFonts w:asciiTheme="majorHAnsi" w:hAnsiTheme="majorHAnsi" w:cs="Arial"/>
          <w:sz w:val="22"/>
          <w:szCs w:val="22"/>
          <w:lang w:val="en-GB"/>
        </w:rPr>
      </w:pPr>
      <w:r w:rsidRPr="00B46D91">
        <w:rPr>
          <w:rFonts w:asciiTheme="majorHAnsi" w:hAnsiTheme="majorHAnsi" w:cs="Arial"/>
          <w:sz w:val="22"/>
          <w:szCs w:val="22"/>
          <w:lang w:val="en-GB"/>
        </w:rPr>
        <w:t>In our view</w:t>
      </w:r>
      <w:r w:rsidR="0004170C" w:rsidRPr="00B46D91">
        <w:rPr>
          <w:rFonts w:asciiTheme="majorHAnsi" w:hAnsiTheme="majorHAnsi" w:cs="Arial"/>
          <w:sz w:val="22"/>
          <w:szCs w:val="22"/>
          <w:lang w:val="en-GB"/>
        </w:rPr>
        <w:t xml:space="preserve">, </w:t>
      </w:r>
      <w:r w:rsidRPr="00B46D91">
        <w:rPr>
          <w:rFonts w:asciiTheme="majorHAnsi" w:hAnsiTheme="majorHAnsi" w:cs="Arial"/>
          <w:sz w:val="22"/>
          <w:szCs w:val="22"/>
          <w:lang w:val="en-GB"/>
        </w:rPr>
        <w:t xml:space="preserve">persons who are present solely to document should not fear being treated as participants – </w:t>
      </w:r>
      <w:r w:rsidR="0004170C" w:rsidRPr="00B46D91">
        <w:rPr>
          <w:rFonts w:asciiTheme="majorHAnsi" w:hAnsiTheme="majorHAnsi" w:cs="Arial"/>
          <w:sz w:val="22"/>
          <w:szCs w:val="22"/>
          <w:lang w:val="en-GB"/>
        </w:rPr>
        <w:t xml:space="preserve">be </w:t>
      </w:r>
      <w:r w:rsidRPr="00B46D91">
        <w:rPr>
          <w:rFonts w:asciiTheme="majorHAnsi" w:hAnsiTheme="majorHAnsi" w:cs="Arial"/>
          <w:sz w:val="22"/>
          <w:szCs w:val="22"/>
          <w:lang w:val="en-GB"/>
        </w:rPr>
        <w:t>they</w:t>
      </w:r>
      <w:r w:rsidR="0004170C" w:rsidRPr="00B46D91">
        <w:rPr>
          <w:rFonts w:asciiTheme="majorHAnsi" w:hAnsiTheme="majorHAnsi" w:cs="Arial"/>
          <w:sz w:val="22"/>
          <w:szCs w:val="22"/>
          <w:lang w:val="en-GB"/>
        </w:rPr>
        <w:t xml:space="preserve"> professional reporter</w:t>
      </w:r>
      <w:r w:rsidRPr="00B46D91">
        <w:rPr>
          <w:rFonts w:asciiTheme="majorHAnsi" w:hAnsiTheme="majorHAnsi" w:cs="Arial"/>
          <w:sz w:val="22"/>
          <w:szCs w:val="22"/>
          <w:lang w:val="en-GB"/>
        </w:rPr>
        <w:t>s</w:t>
      </w:r>
      <w:r w:rsidR="0004170C" w:rsidRPr="00B46D91">
        <w:rPr>
          <w:rFonts w:asciiTheme="majorHAnsi" w:hAnsiTheme="majorHAnsi" w:cs="Arial"/>
          <w:sz w:val="22"/>
          <w:szCs w:val="22"/>
          <w:lang w:val="en-GB"/>
        </w:rPr>
        <w:t xml:space="preserve">, </w:t>
      </w:r>
      <w:r w:rsidR="0053242A">
        <w:rPr>
          <w:rFonts w:asciiTheme="majorHAnsi" w:hAnsiTheme="majorHAnsi" w:cs="Arial"/>
          <w:sz w:val="22"/>
          <w:szCs w:val="22"/>
          <w:lang w:val="en-GB"/>
        </w:rPr>
        <w:t>volunteer</w:t>
      </w:r>
      <w:r w:rsidR="0004170C" w:rsidRPr="00B46D91">
        <w:rPr>
          <w:rFonts w:asciiTheme="majorHAnsi" w:hAnsiTheme="majorHAnsi" w:cs="Arial"/>
          <w:sz w:val="22"/>
          <w:szCs w:val="22"/>
          <w:lang w:val="en-GB"/>
        </w:rPr>
        <w:t xml:space="preserve"> monitor</w:t>
      </w:r>
      <w:r w:rsidRPr="00B46D91">
        <w:rPr>
          <w:rFonts w:asciiTheme="majorHAnsi" w:hAnsiTheme="majorHAnsi" w:cs="Arial"/>
          <w:sz w:val="22"/>
          <w:szCs w:val="22"/>
          <w:lang w:val="en-GB"/>
        </w:rPr>
        <w:t>s</w:t>
      </w:r>
      <w:r w:rsidR="0004170C" w:rsidRPr="00B46D91">
        <w:rPr>
          <w:rFonts w:asciiTheme="majorHAnsi" w:hAnsiTheme="majorHAnsi" w:cs="Arial"/>
          <w:sz w:val="22"/>
          <w:szCs w:val="22"/>
          <w:lang w:val="en-GB"/>
        </w:rPr>
        <w:t xml:space="preserve"> or citizen journalist</w:t>
      </w:r>
      <w:r w:rsidRPr="00B46D91">
        <w:rPr>
          <w:rFonts w:asciiTheme="majorHAnsi" w:hAnsiTheme="majorHAnsi" w:cs="Arial"/>
          <w:sz w:val="22"/>
          <w:szCs w:val="22"/>
          <w:lang w:val="en-GB"/>
        </w:rPr>
        <w:t>s</w:t>
      </w:r>
      <w:r w:rsidR="0004170C" w:rsidRPr="00B46D91">
        <w:rPr>
          <w:rFonts w:asciiTheme="majorHAnsi" w:hAnsiTheme="majorHAnsi" w:cs="Arial"/>
          <w:sz w:val="22"/>
          <w:szCs w:val="22"/>
          <w:lang w:val="en-GB"/>
        </w:rPr>
        <w:t>. As t</w:t>
      </w:r>
      <w:r w:rsidR="00745B97" w:rsidRPr="00B46D91">
        <w:rPr>
          <w:rFonts w:asciiTheme="majorHAnsi" w:hAnsiTheme="majorHAnsi" w:cs="Arial"/>
          <w:sz w:val="22"/>
          <w:szCs w:val="22"/>
          <w:lang w:val="en-GB"/>
        </w:rPr>
        <w:t xml:space="preserve">he Committee </w:t>
      </w:r>
      <w:r w:rsidR="0004170C" w:rsidRPr="00B46D91">
        <w:rPr>
          <w:rFonts w:asciiTheme="majorHAnsi" w:hAnsiTheme="majorHAnsi" w:cs="Arial"/>
          <w:sz w:val="22"/>
          <w:szCs w:val="22"/>
          <w:lang w:val="en-GB"/>
        </w:rPr>
        <w:t>stated</w:t>
      </w:r>
      <w:r w:rsidR="00745B97" w:rsidRPr="00B46D91">
        <w:rPr>
          <w:rFonts w:asciiTheme="majorHAnsi" w:hAnsiTheme="majorHAnsi" w:cs="Arial"/>
          <w:sz w:val="22"/>
          <w:szCs w:val="22"/>
          <w:lang w:val="en-GB"/>
        </w:rPr>
        <w:t xml:space="preserve"> in General Comment No. 34</w:t>
      </w:r>
      <w:r w:rsidR="0004170C" w:rsidRPr="00B46D91">
        <w:rPr>
          <w:rFonts w:asciiTheme="majorHAnsi" w:hAnsiTheme="majorHAnsi" w:cs="Arial"/>
          <w:sz w:val="22"/>
          <w:szCs w:val="22"/>
          <w:lang w:val="en-GB"/>
        </w:rPr>
        <w:t>,</w:t>
      </w:r>
      <w:r w:rsidR="00745B97" w:rsidRPr="00B46D91">
        <w:rPr>
          <w:rFonts w:asciiTheme="majorHAnsi" w:hAnsiTheme="majorHAnsi" w:cs="Arial"/>
          <w:sz w:val="22"/>
          <w:szCs w:val="22"/>
          <w:lang w:val="en-GB"/>
        </w:rPr>
        <w:t xml:space="preserve"> journalism is</w:t>
      </w:r>
      <w:r w:rsidRPr="00B46D91">
        <w:rPr>
          <w:rFonts w:asciiTheme="majorHAnsi" w:hAnsiTheme="majorHAnsi" w:cs="Arial"/>
          <w:sz w:val="22"/>
          <w:szCs w:val="22"/>
          <w:lang w:val="en-GB"/>
        </w:rPr>
        <w:t xml:space="preserve"> nowadays</w:t>
      </w:r>
      <w:r w:rsidR="00745B97" w:rsidRPr="00B46D91">
        <w:rPr>
          <w:rFonts w:asciiTheme="majorHAnsi" w:hAnsiTheme="majorHAnsi" w:cs="Arial"/>
          <w:sz w:val="22"/>
          <w:szCs w:val="22"/>
          <w:lang w:val="en-GB"/>
        </w:rPr>
        <w:t xml:space="preserve"> </w:t>
      </w:r>
      <w:r w:rsidRPr="00B46D91">
        <w:rPr>
          <w:rFonts w:asciiTheme="majorHAnsi" w:hAnsiTheme="majorHAnsi" w:cs="Arial"/>
          <w:sz w:val="22"/>
          <w:szCs w:val="22"/>
          <w:lang w:val="en-GB"/>
        </w:rPr>
        <w:t>“</w:t>
      </w:r>
      <w:r w:rsidR="00745B97" w:rsidRPr="00B46D91">
        <w:rPr>
          <w:rFonts w:asciiTheme="majorHAnsi" w:hAnsiTheme="majorHAnsi" w:cs="Arial"/>
          <w:sz w:val="22"/>
          <w:szCs w:val="22"/>
          <w:lang w:val="en-GB"/>
        </w:rPr>
        <w:t>a function shared by a wide range of actors, including professional full-time reporters and analysts, as well as bloggers and others</w:t>
      </w:r>
      <w:r w:rsidR="00302103">
        <w:rPr>
          <w:rFonts w:asciiTheme="majorHAnsi" w:hAnsiTheme="majorHAnsi" w:cs="Arial"/>
          <w:sz w:val="22"/>
          <w:szCs w:val="22"/>
          <w:lang w:val="en-GB"/>
        </w:rPr>
        <w:t>”.</w:t>
      </w:r>
      <w:r w:rsidR="00302103">
        <w:rPr>
          <w:rStyle w:val="FootnoteReference"/>
          <w:rFonts w:asciiTheme="majorHAnsi" w:hAnsiTheme="majorHAnsi" w:cs="Arial"/>
          <w:sz w:val="22"/>
          <w:szCs w:val="22"/>
          <w:lang w:val="en-GB"/>
        </w:rPr>
        <w:footnoteReference w:id="46"/>
      </w:r>
    </w:p>
    <w:p w14:paraId="0F97394D" w14:textId="3A3DEF0C" w:rsidR="00C4767A" w:rsidRPr="00B46D91" w:rsidRDefault="00C4767A" w:rsidP="0004170C">
      <w:pPr>
        <w:pStyle w:val="NormalWeb"/>
        <w:rPr>
          <w:rFonts w:asciiTheme="majorHAnsi" w:hAnsiTheme="majorHAnsi" w:cs="Arial"/>
          <w:sz w:val="22"/>
          <w:szCs w:val="22"/>
          <w:lang w:val="en-GB"/>
        </w:rPr>
      </w:pPr>
      <w:r w:rsidRPr="00B46D91">
        <w:rPr>
          <w:rFonts w:asciiTheme="majorHAnsi" w:hAnsiTheme="majorHAnsi" w:cs="Arial"/>
          <w:sz w:val="22"/>
          <w:szCs w:val="22"/>
          <w:lang w:val="en-GB"/>
        </w:rPr>
        <w:t xml:space="preserve">It would be </w:t>
      </w:r>
      <w:r w:rsidR="00C837E0" w:rsidRPr="00B46D91">
        <w:rPr>
          <w:rFonts w:asciiTheme="majorHAnsi" w:hAnsiTheme="majorHAnsi" w:cs="Arial"/>
          <w:sz w:val="22"/>
          <w:szCs w:val="22"/>
          <w:lang w:val="en-GB"/>
        </w:rPr>
        <w:t>unrealistic</w:t>
      </w:r>
      <w:r w:rsidRPr="00B46D91">
        <w:rPr>
          <w:rFonts w:asciiTheme="majorHAnsi" w:hAnsiTheme="majorHAnsi" w:cs="Arial"/>
          <w:sz w:val="22"/>
          <w:szCs w:val="22"/>
          <w:lang w:val="en-GB"/>
        </w:rPr>
        <w:t xml:space="preserve"> to </w:t>
      </w:r>
      <w:r w:rsidR="0061126F" w:rsidRPr="00B46D91">
        <w:rPr>
          <w:rFonts w:asciiTheme="majorHAnsi" w:hAnsiTheme="majorHAnsi" w:cs="Arial"/>
          <w:sz w:val="22"/>
          <w:szCs w:val="22"/>
          <w:lang w:val="en-GB"/>
        </w:rPr>
        <w:t>expect</w:t>
      </w:r>
      <w:r w:rsidRPr="00B46D91">
        <w:rPr>
          <w:rFonts w:asciiTheme="majorHAnsi" w:hAnsiTheme="majorHAnsi" w:cs="Arial"/>
          <w:sz w:val="22"/>
          <w:szCs w:val="22"/>
          <w:lang w:val="en-GB"/>
        </w:rPr>
        <w:t xml:space="preserve"> law enforcement agents to engage in </w:t>
      </w:r>
      <w:r w:rsidR="00454988" w:rsidRPr="00B46D91">
        <w:rPr>
          <w:rFonts w:asciiTheme="majorHAnsi" w:hAnsiTheme="majorHAnsi" w:cs="Arial"/>
          <w:sz w:val="22"/>
          <w:szCs w:val="22"/>
          <w:lang w:val="en-GB"/>
        </w:rPr>
        <w:t>any significant</w:t>
      </w:r>
      <w:r w:rsidRPr="00B46D91">
        <w:rPr>
          <w:rFonts w:asciiTheme="majorHAnsi" w:hAnsiTheme="majorHAnsi" w:cs="Arial"/>
          <w:sz w:val="22"/>
          <w:szCs w:val="22"/>
          <w:lang w:val="en-GB"/>
        </w:rPr>
        <w:t xml:space="preserve"> verification of a person’s status in chaotic and fast-moving situation</w:t>
      </w:r>
      <w:r w:rsidR="00D722BC" w:rsidRPr="00B46D91">
        <w:rPr>
          <w:rFonts w:asciiTheme="majorHAnsi" w:hAnsiTheme="majorHAnsi" w:cs="Arial"/>
          <w:sz w:val="22"/>
          <w:szCs w:val="22"/>
          <w:lang w:val="en-GB"/>
        </w:rPr>
        <w:t>s</w:t>
      </w:r>
      <w:r w:rsidRPr="00B46D91">
        <w:rPr>
          <w:rFonts w:asciiTheme="majorHAnsi" w:hAnsiTheme="majorHAnsi" w:cs="Arial"/>
          <w:sz w:val="22"/>
          <w:szCs w:val="22"/>
          <w:lang w:val="en-GB"/>
        </w:rPr>
        <w:t xml:space="preserve">. </w:t>
      </w:r>
      <w:r w:rsidR="0054106F" w:rsidRPr="00B46D91">
        <w:rPr>
          <w:rFonts w:asciiTheme="majorHAnsi" w:hAnsiTheme="majorHAnsi" w:cs="Arial"/>
          <w:sz w:val="22"/>
          <w:szCs w:val="22"/>
          <w:lang w:val="en-GB"/>
        </w:rPr>
        <w:t xml:space="preserve">At the same time, it is reasonable to expect a basic distinction being made between persons who, by reason of their </w:t>
      </w:r>
      <w:r w:rsidR="006F0C1B" w:rsidRPr="00B46D91">
        <w:rPr>
          <w:rFonts w:asciiTheme="majorHAnsi" w:hAnsiTheme="majorHAnsi" w:cs="Arial"/>
          <w:sz w:val="22"/>
          <w:szCs w:val="22"/>
          <w:lang w:val="en-GB"/>
        </w:rPr>
        <w:t>clothing</w:t>
      </w:r>
      <w:r w:rsidR="0054106F" w:rsidRPr="00B46D91">
        <w:rPr>
          <w:rFonts w:asciiTheme="majorHAnsi" w:hAnsiTheme="majorHAnsi" w:cs="Arial"/>
          <w:sz w:val="22"/>
          <w:szCs w:val="22"/>
          <w:lang w:val="en-GB"/>
        </w:rPr>
        <w:t xml:space="preserve">, press card or positioning and behaviour, are </w:t>
      </w:r>
      <w:r w:rsidR="005805D9" w:rsidRPr="00B46D91">
        <w:rPr>
          <w:rFonts w:asciiTheme="majorHAnsi" w:hAnsiTheme="majorHAnsi" w:cs="Arial"/>
          <w:sz w:val="22"/>
          <w:szCs w:val="22"/>
          <w:lang w:val="en-GB"/>
        </w:rPr>
        <w:t>readily</w:t>
      </w:r>
      <w:r w:rsidR="0054106F" w:rsidRPr="00B46D91">
        <w:rPr>
          <w:rFonts w:asciiTheme="majorHAnsi" w:hAnsiTheme="majorHAnsi" w:cs="Arial"/>
          <w:sz w:val="22"/>
          <w:szCs w:val="22"/>
          <w:lang w:val="en-GB"/>
        </w:rPr>
        <w:t xml:space="preserve"> recognisable as observers, and </w:t>
      </w:r>
      <w:r w:rsidR="006F0C1B" w:rsidRPr="00B46D91">
        <w:rPr>
          <w:rFonts w:asciiTheme="majorHAnsi" w:hAnsiTheme="majorHAnsi" w:cs="Arial"/>
          <w:sz w:val="22"/>
          <w:szCs w:val="22"/>
          <w:lang w:val="en-GB"/>
        </w:rPr>
        <w:t>others</w:t>
      </w:r>
      <w:r w:rsidR="00B02BE8" w:rsidRPr="00B46D91">
        <w:rPr>
          <w:rFonts w:asciiTheme="majorHAnsi" w:hAnsiTheme="majorHAnsi" w:cs="Arial"/>
          <w:sz w:val="22"/>
          <w:szCs w:val="22"/>
          <w:lang w:val="en-GB"/>
        </w:rPr>
        <w:t xml:space="preserve"> who are not</w:t>
      </w:r>
      <w:r w:rsidR="006F0C1B" w:rsidRPr="00B46D91">
        <w:rPr>
          <w:rFonts w:asciiTheme="majorHAnsi" w:hAnsiTheme="majorHAnsi" w:cs="Arial"/>
          <w:sz w:val="22"/>
          <w:szCs w:val="22"/>
          <w:lang w:val="en-GB"/>
        </w:rPr>
        <w:t>.</w:t>
      </w:r>
      <w:r w:rsidR="001A7E1F" w:rsidRPr="00B46D91">
        <w:rPr>
          <w:rFonts w:asciiTheme="majorHAnsi" w:hAnsiTheme="majorHAnsi" w:cs="Arial"/>
          <w:sz w:val="22"/>
          <w:szCs w:val="22"/>
          <w:lang w:val="en-GB"/>
        </w:rPr>
        <w:t xml:space="preserve"> Moreover, </w:t>
      </w:r>
      <w:r w:rsidR="005F1511" w:rsidRPr="00B46D91">
        <w:rPr>
          <w:rFonts w:asciiTheme="majorHAnsi" w:hAnsiTheme="majorHAnsi" w:cs="Arial"/>
          <w:sz w:val="22"/>
          <w:szCs w:val="22"/>
          <w:lang w:val="en-GB"/>
        </w:rPr>
        <w:t xml:space="preserve">as the </w:t>
      </w:r>
      <w:proofErr w:type="spellStart"/>
      <w:r w:rsidR="005F1511" w:rsidRPr="00B46D91">
        <w:rPr>
          <w:rFonts w:asciiTheme="majorHAnsi" w:hAnsiTheme="majorHAnsi" w:cs="Arial"/>
          <w:sz w:val="22"/>
          <w:szCs w:val="22"/>
          <w:lang w:val="en-GB"/>
        </w:rPr>
        <w:t>ECtHR</w:t>
      </w:r>
      <w:proofErr w:type="spellEnd"/>
      <w:r w:rsidR="005F1511" w:rsidRPr="00B46D91">
        <w:rPr>
          <w:rFonts w:asciiTheme="majorHAnsi" w:hAnsiTheme="majorHAnsi" w:cs="Arial"/>
          <w:sz w:val="22"/>
          <w:szCs w:val="22"/>
          <w:lang w:val="en-GB"/>
        </w:rPr>
        <w:t xml:space="preserve"> notes, it becomes particularly pertinent</w:t>
      </w:r>
      <w:r w:rsidR="0046075F" w:rsidRPr="00B46D91">
        <w:rPr>
          <w:rFonts w:asciiTheme="majorHAnsi" w:hAnsiTheme="majorHAnsi" w:cs="Arial"/>
          <w:sz w:val="22"/>
          <w:szCs w:val="22"/>
          <w:lang w:val="en-GB"/>
        </w:rPr>
        <w:t xml:space="preserve"> </w:t>
      </w:r>
      <w:r w:rsidR="005F1511" w:rsidRPr="00B46D91">
        <w:rPr>
          <w:rFonts w:asciiTheme="majorHAnsi" w:hAnsiTheme="majorHAnsi" w:cs="Arial"/>
          <w:sz w:val="22"/>
          <w:szCs w:val="22"/>
          <w:lang w:val="en-GB"/>
        </w:rPr>
        <w:t xml:space="preserve">in the pre-trial stage </w:t>
      </w:r>
      <w:r w:rsidR="00136EC1" w:rsidRPr="00B46D91">
        <w:rPr>
          <w:rFonts w:asciiTheme="majorHAnsi" w:hAnsiTheme="majorHAnsi" w:cs="Arial"/>
          <w:sz w:val="22"/>
          <w:szCs w:val="22"/>
          <w:lang w:val="en-GB"/>
        </w:rPr>
        <w:t xml:space="preserve">for </w:t>
      </w:r>
      <w:r w:rsidR="007C3327" w:rsidRPr="00B46D91">
        <w:rPr>
          <w:rFonts w:asciiTheme="majorHAnsi" w:hAnsiTheme="majorHAnsi" w:cs="Arial"/>
          <w:sz w:val="22"/>
          <w:szCs w:val="22"/>
          <w:lang w:val="en-GB"/>
        </w:rPr>
        <w:t>prosecutorial autho</w:t>
      </w:r>
      <w:r w:rsidR="00C92056">
        <w:rPr>
          <w:rFonts w:asciiTheme="majorHAnsi" w:hAnsiTheme="majorHAnsi" w:cs="Arial"/>
          <w:sz w:val="22"/>
          <w:szCs w:val="22"/>
          <w:lang w:val="en-GB"/>
        </w:rPr>
        <w:t>rities</w:t>
      </w:r>
      <w:r w:rsidR="00320265" w:rsidRPr="00B46D91">
        <w:rPr>
          <w:rFonts w:asciiTheme="majorHAnsi" w:hAnsiTheme="majorHAnsi" w:cs="Arial"/>
          <w:sz w:val="22"/>
          <w:szCs w:val="22"/>
          <w:lang w:val="en-GB"/>
        </w:rPr>
        <w:t xml:space="preserve"> properly</w:t>
      </w:r>
      <w:r w:rsidR="00C92056">
        <w:rPr>
          <w:rFonts w:asciiTheme="majorHAnsi" w:hAnsiTheme="majorHAnsi" w:cs="Arial"/>
          <w:sz w:val="22"/>
          <w:szCs w:val="22"/>
          <w:lang w:val="en-GB"/>
        </w:rPr>
        <w:t xml:space="preserve"> to</w:t>
      </w:r>
      <w:r w:rsidR="007C3327" w:rsidRPr="00B46D91">
        <w:rPr>
          <w:rFonts w:asciiTheme="majorHAnsi" w:hAnsiTheme="majorHAnsi" w:cs="Arial"/>
          <w:sz w:val="22"/>
          <w:szCs w:val="22"/>
          <w:lang w:val="en-GB"/>
        </w:rPr>
        <w:t xml:space="preserve"> assess any claim that a person was not a participant but a monitor, </w:t>
      </w:r>
      <w:r w:rsidR="00C92056">
        <w:rPr>
          <w:rFonts w:asciiTheme="majorHAnsi" w:hAnsiTheme="majorHAnsi" w:cs="Arial"/>
          <w:sz w:val="22"/>
          <w:szCs w:val="22"/>
          <w:lang w:val="en-GB"/>
        </w:rPr>
        <w:t xml:space="preserve">and to assess whether </w:t>
      </w:r>
      <w:r w:rsidR="00671681">
        <w:rPr>
          <w:rFonts w:asciiTheme="majorHAnsi" w:hAnsiTheme="majorHAnsi" w:cs="Arial"/>
          <w:sz w:val="22"/>
          <w:szCs w:val="22"/>
          <w:lang w:val="en-GB"/>
        </w:rPr>
        <w:t>charges</w:t>
      </w:r>
      <w:r w:rsidR="00C92056">
        <w:rPr>
          <w:rFonts w:asciiTheme="majorHAnsi" w:hAnsiTheme="majorHAnsi" w:cs="Arial"/>
          <w:sz w:val="22"/>
          <w:szCs w:val="22"/>
          <w:lang w:val="en-GB"/>
        </w:rPr>
        <w:t xml:space="preserve"> are justified in this light</w:t>
      </w:r>
      <w:r w:rsidR="0046075F" w:rsidRPr="00B46D91">
        <w:rPr>
          <w:rFonts w:asciiTheme="majorHAnsi" w:hAnsiTheme="majorHAnsi" w:cs="Arial"/>
          <w:sz w:val="22"/>
          <w:szCs w:val="22"/>
          <w:lang w:val="en-GB"/>
        </w:rPr>
        <w:t>.</w:t>
      </w:r>
      <w:r w:rsidR="000375AF">
        <w:rPr>
          <w:rStyle w:val="FootnoteReference"/>
          <w:rFonts w:asciiTheme="majorHAnsi" w:hAnsiTheme="majorHAnsi" w:cs="Arial"/>
          <w:sz w:val="22"/>
          <w:szCs w:val="22"/>
          <w:lang w:val="en-GB"/>
        </w:rPr>
        <w:footnoteReference w:id="47"/>
      </w:r>
    </w:p>
    <w:p w14:paraId="095F972A" w14:textId="77777777" w:rsidR="00B538E4" w:rsidRPr="00B46D91" w:rsidRDefault="00B538E4">
      <w:pPr>
        <w:rPr>
          <w:rFonts w:asciiTheme="majorHAnsi" w:hAnsiTheme="majorHAnsi" w:cs="Arial"/>
          <w:sz w:val="22"/>
          <w:szCs w:val="22"/>
          <w:lang w:val="en-GB"/>
        </w:rPr>
      </w:pPr>
    </w:p>
    <w:sectPr w:rsidR="00B538E4" w:rsidRPr="00B46D91" w:rsidSect="009D2324">
      <w:headerReference w:type="first" r:id="rId8"/>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8018F" w14:textId="77777777" w:rsidR="00662A43" w:rsidRDefault="00662A43" w:rsidP="0072347F">
      <w:r>
        <w:separator/>
      </w:r>
    </w:p>
  </w:endnote>
  <w:endnote w:type="continuationSeparator" w:id="0">
    <w:p w14:paraId="562B561C" w14:textId="77777777" w:rsidR="00662A43" w:rsidRDefault="00662A43" w:rsidP="0072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CF77B" w14:textId="77777777" w:rsidR="00662A43" w:rsidRDefault="00662A43" w:rsidP="0072347F">
      <w:r>
        <w:separator/>
      </w:r>
    </w:p>
  </w:footnote>
  <w:footnote w:type="continuationSeparator" w:id="0">
    <w:p w14:paraId="28339630" w14:textId="77777777" w:rsidR="00662A43" w:rsidRDefault="00662A43" w:rsidP="0072347F">
      <w:r>
        <w:continuationSeparator/>
      </w:r>
    </w:p>
  </w:footnote>
  <w:footnote w:id="1">
    <w:p w14:paraId="45830DC3" w14:textId="51107CB0"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OSCE Guidelines, </w:t>
      </w:r>
      <w:proofErr w:type="spellStart"/>
      <w:r w:rsidRPr="00BA548B">
        <w:rPr>
          <w:rFonts w:ascii="Calibri" w:hAnsi="Calibri"/>
          <w:sz w:val="20"/>
          <w:szCs w:val="20"/>
        </w:rPr>
        <w:t>para</w:t>
      </w:r>
      <w:proofErr w:type="spellEnd"/>
      <w:r w:rsidRPr="00BA548B">
        <w:rPr>
          <w:rFonts w:ascii="Calibri" w:hAnsi="Calibri"/>
          <w:sz w:val="20"/>
          <w:szCs w:val="20"/>
        </w:rPr>
        <w:t>. 1.2.</w:t>
      </w:r>
    </w:p>
  </w:footnote>
  <w:footnote w:id="2">
    <w:p w14:paraId="2F1C0C15" w14:textId="0C67F3C1" w:rsidR="00662A43" w:rsidRPr="00BA548B" w:rsidRDefault="00662A43" w:rsidP="005C284E">
      <w:pPr>
        <w:pStyle w:val="FootnoteText"/>
        <w:rPr>
          <w:rFonts w:ascii="Calibri" w:hAnsi="Calibri"/>
          <w: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w:t>
      </w:r>
      <w:r w:rsidRPr="00BA548B">
        <w:rPr>
          <w:rFonts w:ascii="Calibri" w:hAnsi="Calibri"/>
          <w:i/>
          <w:sz w:val="20"/>
          <w:szCs w:val="20"/>
        </w:rPr>
        <w:t>Ibid.</w:t>
      </w:r>
    </w:p>
  </w:footnote>
  <w:footnote w:id="3">
    <w:p w14:paraId="4B5BDCBE" w14:textId="77777777"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w:t>
      </w:r>
      <w:proofErr w:type="spellStart"/>
      <w:r w:rsidRPr="00BA548B">
        <w:rPr>
          <w:rFonts w:ascii="Calibri" w:hAnsi="Calibri"/>
          <w:i/>
          <w:sz w:val="20"/>
          <w:szCs w:val="20"/>
        </w:rPr>
        <w:t>Emin</w:t>
      </w:r>
      <w:proofErr w:type="spellEnd"/>
      <w:r w:rsidRPr="00BA548B">
        <w:rPr>
          <w:rFonts w:ascii="Calibri" w:hAnsi="Calibri"/>
          <w:i/>
          <w:sz w:val="20"/>
          <w:szCs w:val="20"/>
        </w:rPr>
        <w:t xml:space="preserve"> </w:t>
      </w:r>
      <w:proofErr w:type="spellStart"/>
      <w:r w:rsidRPr="00BA548B">
        <w:rPr>
          <w:rFonts w:ascii="Calibri" w:hAnsi="Calibri"/>
          <w:i/>
          <w:sz w:val="20"/>
          <w:szCs w:val="20"/>
        </w:rPr>
        <w:t>Huseynov</w:t>
      </w:r>
      <w:proofErr w:type="spellEnd"/>
      <w:r w:rsidRPr="00BA548B">
        <w:rPr>
          <w:rFonts w:ascii="Calibri" w:hAnsi="Calibri"/>
          <w:i/>
          <w:sz w:val="20"/>
          <w:szCs w:val="20"/>
        </w:rPr>
        <w:t xml:space="preserve"> v. Azerbaijan,</w:t>
      </w:r>
      <w:r w:rsidRPr="00BA548B">
        <w:rPr>
          <w:rFonts w:ascii="Calibri" w:hAnsi="Calibri"/>
          <w:sz w:val="20"/>
          <w:szCs w:val="20"/>
        </w:rPr>
        <w:t xml:space="preserve"> </w:t>
      </w:r>
      <w:proofErr w:type="spellStart"/>
      <w:r w:rsidRPr="00BA548B">
        <w:rPr>
          <w:rFonts w:ascii="Calibri" w:hAnsi="Calibri"/>
          <w:sz w:val="20"/>
          <w:szCs w:val="20"/>
        </w:rPr>
        <w:t>ECtHR</w:t>
      </w:r>
      <w:proofErr w:type="spellEnd"/>
      <w:r w:rsidRPr="00BA548B">
        <w:rPr>
          <w:rFonts w:ascii="Calibri" w:hAnsi="Calibri"/>
          <w:sz w:val="20"/>
          <w:szCs w:val="20"/>
        </w:rPr>
        <w:t>, Judgment of 7 May 2015.</w:t>
      </w:r>
    </w:p>
  </w:footnote>
  <w:footnote w:id="4">
    <w:p w14:paraId="2A0D50C3" w14:textId="726E6F25" w:rsidR="00BA548B" w:rsidRPr="00BA548B" w:rsidRDefault="00BA548B">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According to one count, there were 188 </w:t>
      </w:r>
      <w:proofErr w:type="gramStart"/>
      <w:r w:rsidRPr="00BA548B">
        <w:rPr>
          <w:rFonts w:ascii="Calibri" w:hAnsi="Calibri"/>
          <w:sz w:val="20"/>
          <w:szCs w:val="20"/>
        </w:rPr>
        <w:t>internet</w:t>
      </w:r>
      <w:proofErr w:type="gramEnd"/>
      <w:r w:rsidRPr="00BA548B">
        <w:rPr>
          <w:rFonts w:ascii="Calibri" w:hAnsi="Calibri"/>
          <w:sz w:val="20"/>
          <w:szCs w:val="20"/>
        </w:rPr>
        <w:t xml:space="preserve"> shutdowns</w:t>
      </w:r>
      <w:r w:rsidR="00E10640">
        <w:rPr>
          <w:rFonts w:ascii="Calibri" w:hAnsi="Calibri"/>
          <w:sz w:val="20"/>
          <w:szCs w:val="20"/>
        </w:rPr>
        <w:t xml:space="preserve"> around the world</w:t>
      </w:r>
      <w:r w:rsidRPr="00BA548B">
        <w:rPr>
          <w:rFonts w:ascii="Calibri" w:hAnsi="Calibri"/>
          <w:sz w:val="20"/>
          <w:szCs w:val="20"/>
        </w:rPr>
        <w:t xml:space="preserve"> in 2018, with protest identified as the most common cause</w:t>
      </w:r>
      <w:r w:rsidR="00E10640">
        <w:rPr>
          <w:rFonts w:ascii="Calibri" w:hAnsi="Calibri"/>
          <w:sz w:val="20"/>
          <w:szCs w:val="20"/>
        </w:rPr>
        <w:t xml:space="preserve">. See the Shutdown </w:t>
      </w:r>
      <w:r w:rsidRPr="00BA548B">
        <w:rPr>
          <w:rFonts w:ascii="Calibri" w:hAnsi="Calibri"/>
          <w:sz w:val="20"/>
          <w:szCs w:val="20"/>
        </w:rPr>
        <w:t xml:space="preserve">Tracker Optimization Project by Access Now at https://www.accessnow.org/keepiton/. </w:t>
      </w:r>
      <w:r w:rsidR="00BB4610">
        <w:rPr>
          <w:rFonts w:ascii="Calibri" w:hAnsi="Calibri"/>
          <w:sz w:val="20"/>
          <w:szCs w:val="20"/>
        </w:rPr>
        <w:t xml:space="preserve"> The UN</w:t>
      </w:r>
      <w:r w:rsidR="00BB4610" w:rsidRPr="00BB4610">
        <w:rPr>
          <w:rFonts w:ascii="Calibri" w:hAnsi="Calibri"/>
          <w:sz w:val="20"/>
          <w:szCs w:val="20"/>
        </w:rPr>
        <w:t xml:space="preserve"> Special Rapporteur on Fre</w:t>
      </w:r>
      <w:r w:rsidR="00BB4610">
        <w:rPr>
          <w:rFonts w:ascii="Calibri" w:hAnsi="Calibri"/>
          <w:sz w:val="20"/>
          <w:szCs w:val="20"/>
        </w:rPr>
        <w:t>edom of Opinion and Expression has adopted a Joint Declaration together with regional special mandates in the area of freedom of expression</w:t>
      </w:r>
      <w:r w:rsidR="00BB4610" w:rsidRPr="00BB4610">
        <w:rPr>
          <w:rFonts w:ascii="Calibri" w:hAnsi="Calibri"/>
          <w:sz w:val="20"/>
          <w:szCs w:val="20"/>
        </w:rPr>
        <w:t xml:space="preserve"> </w:t>
      </w:r>
      <w:r w:rsidR="00BB4610">
        <w:rPr>
          <w:rFonts w:ascii="Calibri" w:hAnsi="Calibri"/>
          <w:sz w:val="20"/>
          <w:szCs w:val="20"/>
        </w:rPr>
        <w:t>stating that “</w:t>
      </w:r>
      <w:r w:rsidR="00BB4610" w:rsidRPr="00BB4610">
        <w:rPr>
          <w:rFonts w:ascii="Calibri" w:hAnsi="Calibri"/>
          <w:sz w:val="20"/>
          <w:szCs w:val="20"/>
        </w:rPr>
        <w:t>using communications ‘kill switches’ (i.e. shutting down entire parts of communications systems) and the physical takeover of broadcasting stations are measures which can never be justified under human rights law</w:t>
      </w:r>
      <w:r w:rsidR="00BB4610">
        <w:rPr>
          <w:rFonts w:ascii="Calibri" w:hAnsi="Calibri"/>
          <w:sz w:val="20"/>
          <w:szCs w:val="20"/>
        </w:rPr>
        <w:t xml:space="preserve">.” See </w:t>
      </w:r>
      <w:r w:rsidR="00BB4610" w:rsidRPr="00BB4610">
        <w:rPr>
          <w:rFonts w:ascii="Calibri" w:hAnsi="Calibri"/>
          <w:i/>
          <w:sz w:val="20"/>
          <w:szCs w:val="20"/>
        </w:rPr>
        <w:t>Joint Declaration on Freedom of Expression and responses to conflict situations</w:t>
      </w:r>
      <w:r w:rsidR="00BB4610">
        <w:rPr>
          <w:rFonts w:ascii="Calibri" w:hAnsi="Calibri"/>
          <w:sz w:val="20"/>
          <w:szCs w:val="20"/>
        </w:rPr>
        <w:t xml:space="preserve">, 4 May 2015, available online at </w:t>
      </w:r>
      <w:r w:rsidR="00BB4610">
        <w:rPr>
          <w:rFonts w:ascii="Calibri" w:hAnsi="Calibri"/>
          <w:sz w:val="20"/>
          <w:szCs w:val="20"/>
        </w:rPr>
        <w:fldChar w:fldCharType="begin"/>
      </w:r>
      <w:r w:rsidR="00BB4610">
        <w:rPr>
          <w:rFonts w:ascii="Calibri" w:hAnsi="Calibri"/>
          <w:sz w:val="20"/>
          <w:szCs w:val="20"/>
        </w:rPr>
        <w:instrText xml:space="preserve"> HYPERLINK "</w:instrText>
      </w:r>
      <w:r w:rsidR="00BB4610" w:rsidRPr="00BB4610">
        <w:rPr>
          <w:rFonts w:ascii="Calibri" w:hAnsi="Calibri"/>
          <w:sz w:val="20"/>
          <w:szCs w:val="20"/>
        </w:rPr>
        <w:instrText>https://www.ohchr.org/EN/NewsEvents/Pages/DisplayNews.aspx?NewsID=15921&amp;LangID=E</w:instrText>
      </w:r>
      <w:r w:rsidR="00BB4610">
        <w:rPr>
          <w:rFonts w:ascii="Calibri" w:hAnsi="Calibri"/>
          <w:sz w:val="20"/>
          <w:szCs w:val="20"/>
        </w:rPr>
        <w:instrText xml:space="preserve">" </w:instrText>
      </w:r>
      <w:r w:rsidR="00BB4610">
        <w:rPr>
          <w:rFonts w:ascii="Calibri" w:hAnsi="Calibri"/>
          <w:sz w:val="20"/>
          <w:szCs w:val="20"/>
        </w:rPr>
        <w:fldChar w:fldCharType="separate"/>
      </w:r>
      <w:r w:rsidR="00BB4610" w:rsidRPr="00CE49E0">
        <w:rPr>
          <w:rStyle w:val="Hyperlink"/>
          <w:rFonts w:ascii="Calibri" w:hAnsi="Calibri"/>
          <w:sz w:val="20"/>
          <w:szCs w:val="20"/>
        </w:rPr>
        <w:t>https://www.ohchr.org/EN/NewsEvents/Pages/DisplayNews.aspx?NewsID=15921&amp;LangID=E</w:t>
      </w:r>
      <w:r w:rsidR="00BB4610">
        <w:rPr>
          <w:rFonts w:ascii="Calibri" w:hAnsi="Calibri"/>
          <w:sz w:val="20"/>
          <w:szCs w:val="20"/>
        </w:rPr>
        <w:fldChar w:fldCharType="end"/>
      </w:r>
      <w:bookmarkStart w:id="0" w:name="_GoBack"/>
      <w:bookmarkEnd w:id="0"/>
      <w:r w:rsidR="00BB4610" w:rsidRPr="00BB4610">
        <w:rPr>
          <w:rFonts w:ascii="Calibri" w:hAnsi="Calibri"/>
          <w:sz w:val="20"/>
          <w:szCs w:val="20"/>
        </w:rPr>
        <w:t>.</w:t>
      </w:r>
    </w:p>
  </w:footnote>
  <w:footnote w:id="5">
    <w:p w14:paraId="51AC8D75" w14:textId="7F6268CE"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See, for example, </w:t>
      </w:r>
      <w:proofErr w:type="spellStart"/>
      <w:r w:rsidRPr="00BA548B">
        <w:rPr>
          <w:rFonts w:ascii="Calibri" w:hAnsi="Calibri"/>
          <w:i/>
          <w:sz w:val="20"/>
          <w:szCs w:val="20"/>
        </w:rPr>
        <w:t>Eğitim</w:t>
      </w:r>
      <w:proofErr w:type="spellEnd"/>
      <w:r w:rsidRPr="00BA548B">
        <w:rPr>
          <w:rFonts w:ascii="Calibri" w:hAnsi="Calibri"/>
          <w:i/>
          <w:sz w:val="20"/>
          <w:szCs w:val="20"/>
        </w:rPr>
        <w:t xml:space="preserve"> </w:t>
      </w:r>
      <w:proofErr w:type="spellStart"/>
      <w:r w:rsidRPr="00BA548B">
        <w:rPr>
          <w:rFonts w:ascii="Calibri" w:hAnsi="Calibri"/>
          <w:i/>
          <w:sz w:val="20"/>
          <w:szCs w:val="20"/>
        </w:rPr>
        <w:t>ve</w:t>
      </w:r>
      <w:proofErr w:type="spellEnd"/>
      <w:r w:rsidRPr="00BA548B">
        <w:rPr>
          <w:rFonts w:ascii="Calibri" w:hAnsi="Calibri"/>
          <w:i/>
          <w:sz w:val="20"/>
          <w:szCs w:val="20"/>
        </w:rPr>
        <w:t xml:space="preserve"> </w:t>
      </w:r>
      <w:proofErr w:type="spellStart"/>
      <w:r w:rsidRPr="00BA548B">
        <w:rPr>
          <w:rFonts w:ascii="Calibri" w:hAnsi="Calibri"/>
          <w:i/>
          <w:sz w:val="20"/>
          <w:szCs w:val="20"/>
        </w:rPr>
        <w:t>Bilim</w:t>
      </w:r>
      <w:proofErr w:type="spellEnd"/>
      <w:r w:rsidRPr="00BA548B">
        <w:rPr>
          <w:rFonts w:ascii="Calibri" w:hAnsi="Calibri"/>
          <w:i/>
          <w:sz w:val="20"/>
          <w:szCs w:val="20"/>
        </w:rPr>
        <w:t xml:space="preserve"> </w:t>
      </w:r>
      <w:proofErr w:type="spellStart"/>
      <w:r w:rsidRPr="00BA548B">
        <w:rPr>
          <w:rFonts w:ascii="Calibri" w:hAnsi="Calibri"/>
          <w:i/>
          <w:sz w:val="20"/>
          <w:szCs w:val="20"/>
        </w:rPr>
        <w:t>Emekçileri</w:t>
      </w:r>
      <w:proofErr w:type="spellEnd"/>
      <w:r w:rsidRPr="00BA548B">
        <w:rPr>
          <w:rFonts w:ascii="Calibri" w:hAnsi="Calibri"/>
          <w:i/>
          <w:sz w:val="20"/>
          <w:szCs w:val="20"/>
        </w:rPr>
        <w:t xml:space="preserve"> </w:t>
      </w:r>
      <w:proofErr w:type="spellStart"/>
      <w:r w:rsidRPr="00BA548B">
        <w:rPr>
          <w:rFonts w:ascii="Calibri" w:hAnsi="Calibri"/>
          <w:i/>
          <w:sz w:val="20"/>
          <w:szCs w:val="20"/>
        </w:rPr>
        <w:t>Sendikası</w:t>
      </w:r>
      <w:proofErr w:type="spellEnd"/>
      <w:r w:rsidRPr="00BA548B">
        <w:rPr>
          <w:rFonts w:ascii="Calibri" w:hAnsi="Calibri"/>
          <w:i/>
          <w:sz w:val="20"/>
          <w:szCs w:val="20"/>
        </w:rPr>
        <w:t xml:space="preserve"> v. Turkey</w:t>
      </w:r>
      <w:r w:rsidRPr="00BA548B">
        <w:rPr>
          <w:rFonts w:ascii="Calibri" w:hAnsi="Calibri"/>
          <w:sz w:val="20"/>
          <w:szCs w:val="20"/>
        </w:rPr>
        <w:t xml:space="preserve">, </w:t>
      </w:r>
      <w:proofErr w:type="spellStart"/>
      <w:r w:rsidRPr="00BA548B">
        <w:rPr>
          <w:rFonts w:ascii="Calibri" w:hAnsi="Calibri"/>
          <w:sz w:val="20"/>
          <w:szCs w:val="20"/>
        </w:rPr>
        <w:t>ECtHR</w:t>
      </w:r>
      <w:proofErr w:type="spellEnd"/>
      <w:r w:rsidRPr="00BA548B">
        <w:rPr>
          <w:rFonts w:ascii="Calibri" w:hAnsi="Calibri"/>
          <w:sz w:val="20"/>
          <w:szCs w:val="20"/>
        </w:rPr>
        <w:t xml:space="preserve">, Judgment of 5 July 2016 (the applicants were stopped on a highway on their way to a demonstration and held there for several hours) and </w:t>
      </w:r>
      <w:r w:rsidRPr="00BA548B">
        <w:rPr>
          <w:rFonts w:ascii="Calibri" w:hAnsi="Calibri"/>
          <w:i/>
          <w:sz w:val="20"/>
          <w:szCs w:val="20"/>
        </w:rPr>
        <w:t>Kasparov v. Russia</w:t>
      </w:r>
      <w:r w:rsidRPr="00BA548B">
        <w:rPr>
          <w:rFonts w:ascii="Calibri" w:hAnsi="Calibri"/>
          <w:sz w:val="20"/>
          <w:szCs w:val="20"/>
        </w:rPr>
        <w:t xml:space="preserve">, </w:t>
      </w:r>
      <w:proofErr w:type="spellStart"/>
      <w:r w:rsidRPr="00BA548B">
        <w:rPr>
          <w:rFonts w:ascii="Calibri" w:hAnsi="Calibri"/>
          <w:sz w:val="20"/>
          <w:szCs w:val="20"/>
        </w:rPr>
        <w:t>ECtHR</w:t>
      </w:r>
      <w:proofErr w:type="spellEnd"/>
      <w:r w:rsidRPr="00BA548B">
        <w:rPr>
          <w:rFonts w:ascii="Calibri" w:hAnsi="Calibri"/>
          <w:sz w:val="20"/>
          <w:szCs w:val="20"/>
        </w:rPr>
        <w:t xml:space="preserve">, Judgment of 11 October 2016 (the applicant’s flight ticket was seized for “forensic examination”, preventing him from reaching an opposition rally). </w:t>
      </w:r>
    </w:p>
  </w:footnote>
  <w:footnote w:id="6">
    <w:p w14:paraId="1EDA30BF" w14:textId="550792C6"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w:t>
      </w:r>
      <w:proofErr w:type="spellStart"/>
      <w:r w:rsidRPr="00BA548B">
        <w:rPr>
          <w:rFonts w:ascii="Calibri" w:hAnsi="Calibri"/>
          <w:i/>
          <w:sz w:val="20"/>
          <w:szCs w:val="20"/>
        </w:rPr>
        <w:t>Kivenmaa</w:t>
      </w:r>
      <w:proofErr w:type="spellEnd"/>
      <w:r w:rsidRPr="00BA548B">
        <w:rPr>
          <w:rFonts w:ascii="Calibri" w:hAnsi="Calibri"/>
          <w:i/>
          <w:sz w:val="20"/>
          <w:szCs w:val="20"/>
        </w:rPr>
        <w:t xml:space="preserve"> v. Finland</w:t>
      </w:r>
      <w:r w:rsidRPr="00BA548B">
        <w:rPr>
          <w:rFonts w:ascii="Calibri" w:hAnsi="Calibri"/>
          <w:sz w:val="20"/>
          <w:szCs w:val="20"/>
        </w:rPr>
        <w:t xml:space="preserve">, HRC, Views of 9 June 1994, UN Doc. CCPR/C/50/D/412/1990, </w:t>
      </w:r>
      <w:proofErr w:type="spellStart"/>
      <w:r w:rsidRPr="00BA548B">
        <w:rPr>
          <w:rFonts w:ascii="Calibri" w:hAnsi="Calibri"/>
          <w:sz w:val="20"/>
          <w:szCs w:val="20"/>
        </w:rPr>
        <w:t>para</w:t>
      </w:r>
      <w:proofErr w:type="spellEnd"/>
      <w:r w:rsidRPr="00BA548B">
        <w:rPr>
          <w:rFonts w:ascii="Calibri" w:hAnsi="Calibri"/>
          <w:sz w:val="20"/>
          <w:szCs w:val="20"/>
        </w:rPr>
        <w:t>. 9.2.</w:t>
      </w:r>
    </w:p>
  </w:footnote>
  <w:footnote w:id="7">
    <w:p w14:paraId="67C57910" w14:textId="77777777"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See </w:t>
      </w:r>
      <w:proofErr w:type="spellStart"/>
      <w:r w:rsidRPr="00BA548B">
        <w:rPr>
          <w:rFonts w:ascii="Calibri" w:hAnsi="Calibri"/>
          <w:i/>
          <w:sz w:val="20"/>
          <w:szCs w:val="20"/>
        </w:rPr>
        <w:t>Kudrevičius</w:t>
      </w:r>
      <w:proofErr w:type="spellEnd"/>
      <w:r w:rsidRPr="00BA548B">
        <w:rPr>
          <w:rFonts w:ascii="Calibri" w:hAnsi="Calibri"/>
          <w:i/>
          <w:sz w:val="20"/>
          <w:szCs w:val="20"/>
        </w:rPr>
        <w:t xml:space="preserve"> and Others v. Lithuania,</w:t>
      </w:r>
      <w:r w:rsidRPr="00BA548B">
        <w:rPr>
          <w:rFonts w:ascii="Calibri" w:hAnsi="Calibri"/>
          <w:sz w:val="20"/>
          <w:szCs w:val="20"/>
        </w:rPr>
        <w:t xml:space="preserve"> </w:t>
      </w:r>
      <w:proofErr w:type="spellStart"/>
      <w:r w:rsidRPr="00BA548B">
        <w:rPr>
          <w:rFonts w:ascii="Calibri" w:hAnsi="Calibri"/>
          <w:sz w:val="20"/>
          <w:szCs w:val="20"/>
        </w:rPr>
        <w:t>ECtHR</w:t>
      </w:r>
      <w:proofErr w:type="spellEnd"/>
      <w:r w:rsidRPr="00BA548B">
        <w:rPr>
          <w:rFonts w:ascii="Calibri" w:hAnsi="Calibri"/>
          <w:sz w:val="20"/>
          <w:szCs w:val="20"/>
        </w:rPr>
        <w:t xml:space="preserve">, </w:t>
      </w:r>
      <w:proofErr w:type="gramStart"/>
      <w:r w:rsidRPr="00BA548B">
        <w:rPr>
          <w:rFonts w:ascii="Calibri" w:hAnsi="Calibri"/>
          <w:sz w:val="20"/>
          <w:szCs w:val="20"/>
        </w:rPr>
        <w:t>Grand</w:t>
      </w:r>
      <w:proofErr w:type="gramEnd"/>
      <w:r w:rsidRPr="00BA548B">
        <w:rPr>
          <w:rFonts w:ascii="Calibri" w:hAnsi="Calibri"/>
          <w:sz w:val="20"/>
          <w:szCs w:val="20"/>
        </w:rPr>
        <w:t xml:space="preserve"> Chamber Judgment of 15 October 2015, </w:t>
      </w:r>
      <w:proofErr w:type="spellStart"/>
      <w:r w:rsidRPr="00BA548B">
        <w:rPr>
          <w:rFonts w:ascii="Calibri" w:hAnsi="Calibri"/>
          <w:sz w:val="20"/>
          <w:szCs w:val="20"/>
        </w:rPr>
        <w:t>para</w:t>
      </w:r>
      <w:proofErr w:type="spellEnd"/>
      <w:r w:rsidRPr="00BA548B">
        <w:rPr>
          <w:rFonts w:ascii="Calibri" w:hAnsi="Calibri"/>
          <w:sz w:val="20"/>
          <w:szCs w:val="20"/>
        </w:rPr>
        <w:t>. 155, and the cases referenced therein.</w:t>
      </w:r>
    </w:p>
  </w:footnote>
  <w:footnote w:id="8">
    <w:p w14:paraId="6235CA05" w14:textId="77777777"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See</w:t>
      </w:r>
      <w:r w:rsidRPr="00BA548B">
        <w:rPr>
          <w:rFonts w:ascii="Calibri" w:hAnsi="Calibri"/>
          <w:i/>
          <w:sz w:val="20"/>
          <w:szCs w:val="20"/>
        </w:rPr>
        <w:t xml:space="preserve"> Steel and Others v. the United Kingdom, </w:t>
      </w:r>
      <w:r w:rsidRPr="00BA548B">
        <w:rPr>
          <w:rFonts w:ascii="Calibri" w:hAnsi="Calibri"/>
          <w:sz w:val="20"/>
          <w:szCs w:val="20"/>
        </w:rPr>
        <w:t>Judgment of 23 September 1998</w:t>
      </w:r>
      <w:r w:rsidRPr="00BA548B">
        <w:rPr>
          <w:rFonts w:ascii="Calibri" w:hAnsi="Calibri"/>
          <w:i/>
          <w:sz w:val="20"/>
          <w:szCs w:val="20"/>
        </w:rPr>
        <w:t xml:space="preserve">, </w:t>
      </w:r>
      <w:proofErr w:type="spellStart"/>
      <w:r w:rsidRPr="00BA548B">
        <w:rPr>
          <w:rFonts w:ascii="Calibri" w:hAnsi="Calibri"/>
          <w:sz w:val="20"/>
          <w:szCs w:val="20"/>
        </w:rPr>
        <w:t>para</w:t>
      </w:r>
      <w:proofErr w:type="spellEnd"/>
      <w:r w:rsidRPr="00BA548B">
        <w:rPr>
          <w:rFonts w:ascii="Calibri" w:hAnsi="Calibri"/>
          <w:sz w:val="20"/>
          <w:szCs w:val="20"/>
        </w:rPr>
        <w:t xml:space="preserve">. </w:t>
      </w:r>
      <w:proofErr w:type="gramStart"/>
      <w:r w:rsidRPr="00BA548B">
        <w:rPr>
          <w:rFonts w:ascii="Calibri" w:hAnsi="Calibri"/>
          <w:sz w:val="20"/>
          <w:szCs w:val="20"/>
        </w:rPr>
        <w:t xml:space="preserve">92; </w:t>
      </w:r>
      <w:proofErr w:type="spellStart"/>
      <w:r w:rsidRPr="00BA548B">
        <w:rPr>
          <w:rFonts w:ascii="Calibri" w:hAnsi="Calibri"/>
          <w:i/>
          <w:sz w:val="20"/>
          <w:szCs w:val="20"/>
        </w:rPr>
        <w:t>Taranenko</w:t>
      </w:r>
      <w:proofErr w:type="spellEnd"/>
      <w:r w:rsidRPr="00BA548B">
        <w:rPr>
          <w:rFonts w:ascii="Calibri" w:hAnsi="Calibri"/>
          <w:i/>
          <w:sz w:val="20"/>
          <w:szCs w:val="20"/>
        </w:rPr>
        <w:t xml:space="preserve"> v. Russia, </w:t>
      </w:r>
      <w:r w:rsidRPr="00BA548B">
        <w:rPr>
          <w:rFonts w:ascii="Calibri" w:hAnsi="Calibri"/>
          <w:sz w:val="20"/>
          <w:szCs w:val="20"/>
        </w:rPr>
        <w:t xml:space="preserve">Judgment of 15 May 2014, </w:t>
      </w:r>
      <w:proofErr w:type="spellStart"/>
      <w:r w:rsidRPr="00BA548B">
        <w:rPr>
          <w:rFonts w:ascii="Calibri" w:hAnsi="Calibri"/>
          <w:sz w:val="20"/>
          <w:szCs w:val="20"/>
        </w:rPr>
        <w:t>paras</w:t>
      </w:r>
      <w:proofErr w:type="spellEnd"/>
      <w:r w:rsidRPr="00BA548B">
        <w:rPr>
          <w:rFonts w:ascii="Calibri" w:hAnsi="Calibri"/>
          <w:sz w:val="20"/>
          <w:szCs w:val="20"/>
        </w:rPr>
        <w:t>.</w:t>
      </w:r>
      <w:proofErr w:type="gramEnd"/>
      <w:r w:rsidRPr="00BA548B">
        <w:rPr>
          <w:rFonts w:ascii="Calibri" w:hAnsi="Calibri"/>
          <w:sz w:val="20"/>
          <w:szCs w:val="20"/>
        </w:rPr>
        <w:t xml:space="preserve"> 70-71.</w:t>
      </w:r>
    </w:p>
  </w:footnote>
  <w:footnote w:id="9">
    <w:p w14:paraId="43FA3DD1" w14:textId="6132DA7F"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w:t>
      </w:r>
      <w:proofErr w:type="spellStart"/>
      <w:r w:rsidRPr="00BA548B">
        <w:rPr>
          <w:rFonts w:ascii="Calibri" w:hAnsi="Calibri"/>
          <w:i/>
          <w:sz w:val="20"/>
          <w:szCs w:val="20"/>
        </w:rPr>
        <w:t>Kudrevičius</w:t>
      </w:r>
      <w:proofErr w:type="spellEnd"/>
      <w:r w:rsidRPr="00BA548B">
        <w:rPr>
          <w:rFonts w:ascii="Calibri" w:hAnsi="Calibri"/>
          <w:i/>
          <w:sz w:val="20"/>
          <w:szCs w:val="20"/>
        </w:rPr>
        <w:t xml:space="preserve"> and Others v. Lithuania, supra</w:t>
      </w:r>
      <w:r w:rsidRPr="00BA548B">
        <w:rPr>
          <w:rFonts w:ascii="Calibri" w:hAnsi="Calibri"/>
          <w:sz w:val="20"/>
          <w:szCs w:val="20"/>
        </w:rPr>
        <w:t xml:space="preserve"> note </w:t>
      </w:r>
      <w:r w:rsidRPr="00BA548B">
        <w:rPr>
          <w:rFonts w:ascii="Calibri" w:hAnsi="Calibri"/>
          <w:sz w:val="20"/>
          <w:szCs w:val="20"/>
        </w:rPr>
        <w:fldChar w:fldCharType="begin"/>
      </w:r>
      <w:r w:rsidRPr="00BA548B">
        <w:rPr>
          <w:rFonts w:ascii="Calibri" w:hAnsi="Calibri"/>
          <w:sz w:val="20"/>
          <w:szCs w:val="20"/>
        </w:rPr>
        <w:instrText xml:space="preserve"> NOTEREF _Ref413201267 \h </w:instrText>
      </w:r>
      <w:r w:rsidRPr="00BA548B">
        <w:rPr>
          <w:rFonts w:ascii="Calibri" w:hAnsi="Calibri"/>
          <w:sz w:val="20"/>
          <w:szCs w:val="20"/>
        </w:rPr>
      </w:r>
      <w:r w:rsidRPr="00BA548B">
        <w:rPr>
          <w:rFonts w:ascii="Calibri" w:hAnsi="Calibri"/>
          <w:sz w:val="20"/>
          <w:szCs w:val="20"/>
        </w:rPr>
        <w:fldChar w:fldCharType="separate"/>
      </w:r>
      <w:r w:rsidRPr="00BA548B">
        <w:rPr>
          <w:rFonts w:ascii="Calibri" w:hAnsi="Calibri"/>
          <w:sz w:val="20"/>
          <w:szCs w:val="20"/>
        </w:rPr>
        <w:t>6</w:t>
      </w:r>
      <w:r w:rsidRPr="00BA548B">
        <w:rPr>
          <w:rFonts w:ascii="Calibri" w:hAnsi="Calibri"/>
          <w:sz w:val="20"/>
          <w:szCs w:val="20"/>
        </w:rPr>
        <w:fldChar w:fldCharType="end"/>
      </w:r>
      <w:r w:rsidRPr="00BA548B">
        <w:rPr>
          <w:rFonts w:ascii="Calibri" w:hAnsi="Calibri"/>
          <w:sz w:val="20"/>
          <w:szCs w:val="20"/>
        </w:rPr>
        <w:t xml:space="preserve">, </w:t>
      </w:r>
      <w:proofErr w:type="spellStart"/>
      <w:r w:rsidRPr="00BA548B">
        <w:rPr>
          <w:rFonts w:ascii="Calibri" w:hAnsi="Calibri"/>
          <w:sz w:val="20"/>
          <w:szCs w:val="20"/>
        </w:rPr>
        <w:t>paras</w:t>
      </w:r>
      <w:proofErr w:type="spellEnd"/>
      <w:r w:rsidRPr="00BA548B">
        <w:rPr>
          <w:rFonts w:ascii="Calibri" w:hAnsi="Calibri"/>
          <w:sz w:val="20"/>
          <w:szCs w:val="20"/>
        </w:rPr>
        <w:t>. 97-98.</w:t>
      </w:r>
    </w:p>
  </w:footnote>
  <w:footnote w:id="10">
    <w:p w14:paraId="5BF129EF" w14:textId="1007C313"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IACHR, </w:t>
      </w:r>
      <w:r w:rsidRPr="00BA548B">
        <w:rPr>
          <w:rFonts w:ascii="Calibri" w:hAnsi="Calibri"/>
          <w:i/>
          <w:sz w:val="20"/>
          <w:szCs w:val="20"/>
        </w:rPr>
        <w:t>Report on the Criminalization of the Work of Human Rights Defenders,</w:t>
      </w:r>
      <w:r w:rsidRPr="00BA548B">
        <w:rPr>
          <w:rFonts w:ascii="Calibri" w:hAnsi="Calibri"/>
          <w:sz w:val="20"/>
          <w:szCs w:val="20"/>
        </w:rPr>
        <w:t xml:space="preserve"> OEA/</w:t>
      </w:r>
      <w:proofErr w:type="spellStart"/>
      <w:r w:rsidRPr="00BA548B">
        <w:rPr>
          <w:rFonts w:ascii="Calibri" w:hAnsi="Calibri"/>
          <w:sz w:val="20"/>
          <w:szCs w:val="20"/>
        </w:rPr>
        <w:t>Ser.L</w:t>
      </w:r>
      <w:proofErr w:type="spellEnd"/>
      <w:r w:rsidRPr="00BA548B">
        <w:rPr>
          <w:rFonts w:ascii="Calibri" w:hAnsi="Calibri"/>
          <w:sz w:val="20"/>
          <w:szCs w:val="20"/>
        </w:rPr>
        <w:t xml:space="preserve">/V/II, Doc.49/15, 31 December 2015, </w:t>
      </w:r>
      <w:proofErr w:type="spellStart"/>
      <w:r w:rsidRPr="00BA548B">
        <w:rPr>
          <w:rFonts w:ascii="Calibri" w:hAnsi="Calibri"/>
          <w:sz w:val="20"/>
          <w:szCs w:val="20"/>
        </w:rPr>
        <w:t>paras</w:t>
      </w:r>
      <w:proofErr w:type="spellEnd"/>
      <w:r w:rsidRPr="00BA548B">
        <w:rPr>
          <w:rFonts w:ascii="Calibri" w:hAnsi="Calibri"/>
          <w:sz w:val="20"/>
          <w:szCs w:val="20"/>
        </w:rPr>
        <w:t>. 126-127.</w:t>
      </w:r>
    </w:p>
  </w:footnote>
  <w:footnote w:id="11">
    <w:p w14:paraId="516ACAF3" w14:textId="2D96FEBF"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See UN Human Rights Council, </w:t>
      </w:r>
      <w:r w:rsidRPr="00BA548B">
        <w:rPr>
          <w:rFonts w:ascii="Calibri" w:hAnsi="Calibri"/>
          <w:i/>
          <w:sz w:val="20"/>
          <w:szCs w:val="20"/>
        </w:rPr>
        <w:t xml:space="preserve">Second Thematic Report of the Special Rapporteur on the rights to freedom of peaceful assembly and of association, </w:t>
      </w:r>
      <w:proofErr w:type="spellStart"/>
      <w:r w:rsidRPr="00BA548B">
        <w:rPr>
          <w:rFonts w:ascii="Calibri" w:hAnsi="Calibri"/>
          <w:i/>
          <w:sz w:val="20"/>
          <w:szCs w:val="20"/>
        </w:rPr>
        <w:t>Maina</w:t>
      </w:r>
      <w:proofErr w:type="spellEnd"/>
      <w:r w:rsidRPr="00BA548B">
        <w:rPr>
          <w:rFonts w:ascii="Calibri" w:hAnsi="Calibri"/>
          <w:i/>
          <w:sz w:val="20"/>
          <w:szCs w:val="20"/>
        </w:rPr>
        <w:t xml:space="preserve"> </w:t>
      </w:r>
      <w:proofErr w:type="spellStart"/>
      <w:r w:rsidRPr="00BA548B">
        <w:rPr>
          <w:rFonts w:ascii="Calibri" w:hAnsi="Calibri"/>
          <w:i/>
          <w:sz w:val="20"/>
          <w:szCs w:val="20"/>
        </w:rPr>
        <w:t>Kiai</w:t>
      </w:r>
      <w:proofErr w:type="spellEnd"/>
      <w:r w:rsidRPr="00BA548B">
        <w:rPr>
          <w:rFonts w:ascii="Calibri" w:hAnsi="Calibri"/>
          <w:sz w:val="20"/>
          <w:szCs w:val="20"/>
        </w:rPr>
        <w:t xml:space="preserve">, UN Doc. A/HRC/23/39, 24 April 2013, </w:t>
      </w:r>
      <w:proofErr w:type="spellStart"/>
      <w:r w:rsidRPr="00BA548B">
        <w:rPr>
          <w:rFonts w:ascii="Calibri" w:hAnsi="Calibri"/>
          <w:sz w:val="20"/>
          <w:szCs w:val="20"/>
        </w:rPr>
        <w:t>para</w:t>
      </w:r>
      <w:proofErr w:type="spellEnd"/>
      <w:r w:rsidRPr="00BA548B">
        <w:rPr>
          <w:rFonts w:ascii="Calibri" w:hAnsi="Calibri"/>
          <w:sz w:val="20"/>
          <w:szCs w:val="20"/>
        </w:rPr>
        <w:t>. 29 (“Should the organizers fail to notify the authorities, the assembly should not be dissolved automatically … and the organizers should not be subject to criminal sanctions, or administrative sanctions resulting in fines or imprisonment”)</w:t>
      </w:r>
      <w:proofErr w:type="gramStart"/>
      <w:r w:rsidRPr="00BA548B">
        <w:rPr>
          <w:rFonts w:ascii="Calibri" w:hAnsi="Calibri"/>
          <w:sz w:val="20"/>
          <w:szCs w:val="20"/>
        </w:rPr>
        <w:t xml:space="preserve">;  </w:t>
      </w:r>
      <w:proofErr w:type="spellStart"/>
      <w:r w:rsidRPr="00BA548B">
        <w:rPr>
          <w:rFonts w:ascii="Calibri" w:hAnsi="Calibri"/>
          <w:i/>
          <w:sz w:val="20"/>
          <w:szCs w:val="20"/>
        </w:rPr>
        <w:t>Kudrevičius</w:t>
      </w:r>
      <w:proofErr w:type="spellEnd"/>
      <w:proofErr w:type="gramEnd"/>
      <w:r w:rsidRPr="00BA548B">
        <w:rPr>
          <w:rFonts w:ascii="Calibri" w:hAnsi="Calibri"/>
          <w:i/>
          <w:sz w:val="20"/>
          <w:szCs w:val="20"/>
        </w:rPr>
        <w:t xml:space="preserve"> and Others v. Lithuania, supra</w:t>
      </w:r>
      <w:r w:rsidRPr="00BA548B">
        <w:rPr>
          <w:rFonts w:ascii="Calibri" w:hAnsi="Calibri"/>
          <w:sz w:val="20"/>
          <w:szCs w:val="20"/>
        </w:rPr>
        <w:t xml:space="preserve"> note </w:t>
      </w:r>
      <w:r w:rsidRPr="00BA548B">
        <w:rPr>
          <w:rFonts w:ascii="Calibri" w:hAnsi="Calibri"/>
          <w:sz w:val="20"/>
          <w:szCs w:val="20"/>
        </w:rPr>
        <w:fldChar w:fldCharType="begin"/>
      </w:r>
      <w:r w:rsidRPr="00BA548B">
        <w:rPr>
          <w:rFonts w:ascii="Calibri" w:hAnsi="Calibri"/>
          <w:sz w:val="20"/>
          <w:szCs w:val="20"/>
        </w:rPr>
        <w:instrText xml:space="preserve"> NOTEREF _Ref413201267 \h </w:instrText>
      </w:r>
      <w:r w:rsidRPr="00BA548B">
        <w:rPr>
          <w:rFonts w:ascii="Calibri" w:hAnsi="Calibri"/>
          <w:sz w:val="20"/>
          <w:szCs w:val="20"/>
        </w:rPr>
      </w:r>
      <w:r w:rsidRPr="00BA548B">
        <w:rPr>
          <w:rFonts w:ascii="Calibri" w:hAnsi="Calibri"/>
          <w:sz w:val="20"/>
          <w:szCs w:val="20"/>
        </w:rPr>
        <w:fldChar w:fldCharType="separate"/>
      </w:r>
      <w:r w:rsidRPr="00BA548B">
        <w:rPr>
          <w:rFonts w:ascii="Calibri" w:hAnsi="Calibri"/>
          <w:sz w:val="20"/>
          <w:szCs w:val="20"/>
        </w:rPr>
        <w:t>6</w:t>
      </w:r>
      <w:r w:rsidRPr="00BA548B">
        <w:rPr>
          <w:rFonts w:ascii="Calibri" w:hAnsi="Calibri"/>
          <w:sz w:val="20"/>
          <w:szCs w:val="20"/>
        </w:rPr>
        <w:fldChar w:fldCharType="end"/>
      </w:r>
      <w:r w:rsidRPr="00BA548B">
        <w:rPr>
          <w:rFonts w:ascii="Calibri" w:hAnsi="Calibri"/>
          <w:sz w:val="20"/>
          <w:szCs w:val="20"/>
        </w:rPr>
        <w:t xml:space="preserve">, </w:t>
      </w:r>
      <w:proofErr w:type="spellStart"/>
      <w:r w:rsidRPr="00BA548B">
        <w:rPr>
          <w:rFonts w:ascii="Calibri" w:hAnsi="Calibri"/>
          <w:sz w:val="20"/>
          <w:szCs w:val="20"/>
        </w:rPr>
        <w:t>para</w:t>
      </w:r>
      <w:proofErr w:type="spellEnd"/>
      <w:r w:rsidRPr="00BA548B">
        <w:rPr>
          <w:rFonts w:ascii="Calibri" w:hAnsi="Calibri"/>
          <w:sz w:val="20"/>
          <w:szCs w:val="20"/>
        </w:rPr>
        <w:t xml:space="preserve">. </w:t>
      </w:r>
      <w:proofErr w:type="gramStart"/>
      <w:r w:rsidRPr="00BA548B">
        <w:rPr>
          <w:rFonts w:ascii="Calibri" w:hAnsi="Calibri"/>
          <w:sz w:val="20"/>
          <w:szCs w:val="20"/>
        </w:rPr>
        <w:t xml:space="preserve">150 (“An unlawful situation, such as the staging of a demonstration without prior </w:t>
      </w:r>
      <w:proofErr w:type="spellStart"/>
      <w:r w:rsidRPr="00BA548B">
        <w:rPr>
          <w:rFonts w:ascii="Calibri" w:hAnsi="Calibri"/>
          <w:sz w:val="20"/>
          <w:szCs w:val="20"/>
        </w:rPr>
        <w:t>authorisation</w:t>
      </w:r>
      <w:proofErr w:type="spellEnd"/>
      <w:r w:rsidRPr="00BA548B">
        <w:rPr>
          <w:rFonts w:ascii="Calibri" w:hAnsi="Calibri"/>
          <w:sz w:val="20"/>
          <w:szCs w:val="20"/>
        </w:rPr>
        <w:t>, does not necessarily justify an interference with a person’s right to freedom of assembly”).</w:t>
      </w:r>
      <w:proofErr w:type="gramEnd"/>
    </w:p>
  </w:footnote>
  <w:footnote w:id="12">
    <w:p w14:paraId="79ED74F6" w14:textId="72AFE420"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See, for example, </w:t>
      </w:r>
      <w:proofErr w:type="spellStart"/>
      <w:r w:rsidRPr="00BA548B">
        <w:rPr>
          <w:rFonts w:ascii="Calibri" w:hAnsi="Calibri"/>
          <w:i/>
          <w:sz w:val="20"/>
          <w:szCs w:val="20"/>
        </w:rPr>
        <w:t>Oya</w:t>
      </w:r>
      <w:proofErr w:type="spellEnd"/>
      <w:r w:rsidRPr="00BA548B">
        <w:rPr>
          <w:rFonts w:ascii="Calibri" w:hAnsi="Calibri"/>
          <w:i/>
          <w:sz w:val="20"/>
          <w:szCs w:val="20"/>
        </w:rPr>
        <w:t xml:space="preserve"> Ataman v. Turkey</w:t>
      </w:r>
      <w:r w:rsidRPr="00BA548B">
        <w:rPr>
          <w:rFonts w:ascii="Calibri" w:hAnsi="Calibri"/>
          <w:sz w:val="20"/>
          <w:szCs w:val="20"/>
        </w:rPr>
        <w:t xml:space="preserve">, </w:t>
      </w:r>
      <w:proofErr w:type="spellStart"/>
      <w:r w:rsidRPr="00BA548B">
        <w:rPr>
          <w:rFonts w:ascii="Calibri" w:hAnsi="Calibri"/>
          <w:sz w:val="20"/>
          <w:szCs w:val="20"/>
        </w:rPr>
        <w:t>ECtHR</w:t>
      </w:r>
      <w:proofErr w:type="spellEnd"/>
      <w:r w:rsidRPr="00BA548B">
        <w:rPr>
          <w:rFonts w:ascii="Calibri" w:hAnsi="Calibri"/>
          <w:sz w:val="20"/>
          <w:szCs w:val="20"/>
        </w:rPr>
        <w:t xml:space="preserve">, </w:t>
      </w:r>
      <w:proofErr w:type="gramStart"/>
      <w:r w:rsidRPr="00BA548B">
        <w:rPr>
          <w:rFonts w:ascii="Calibri" w:hAnsi="Calibri"/>
          <w:sz w:val="20"/>
          <w:szCs w:val="20"/>
        </w:rPr>
        <w:t>Judgment</w:t>
      </w:r>
      <w:proofErr w:type="gramEnd"/>
      <w:r w:rsidRPr="00BA548B">
        <w:rPr>
          <w:rFonts w:ascii="Calibri" w:hAnsi="Calibri"/>
          <w:sz w:val="20"/>
          <w:szCs w:val="20"/>
        </w:rPr>
        <w:t xml:space="preserve"> of 5 December 2006, paras. 41-42 (“The Court … is particularly struck by the authorities’ impatience in seeking to end the demonstration … where demonstrators do not engage in acts of violence it is important for the public authorities to show a certain degree of tolerance”.)</w:t>
      </w:r>
    </w:p>
  </w:footnote>
  <w:footnote w:id="13">
    <w:p w14:paraId="235C6DCA" w14:textId="574149D7"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w:t>
      </w:r>
      <w:proofErr w:type="spellStart"/>
      <w:r w:rsidRPr="00BA548B">
        <w:rPr>
          <w:rFonts w:ascii="Calibri" w:hAnsi="Calibri"/>
          <w:i/>
          <w:sz w:val="20"/>
          <w:szCs w:val="20"/>
        </w:rPr>
        <w:t>Kudrevičius</w:t>
      </w:r>
      <w:proofErr w:type="spellEnd"/>
      <w:r w:rsidRPr="00BA548B">
        <w:rPr>
          <w:rFonts w:ascii="Calibri" w:hAnsi="Calibri"/>
          <w:i/>
          <w:sz w:val="20"/>
          <w:szCs w:val="20"/>
        </w:rPr>
        <w:t xml:space="preserve"> and Others v. Lithuania, supra</w:t>
      </w:r>
      <w:r w:rsidRPr="00BA548B">
        <w:rPr>
          <w:rFonts w:ascii="Calibri" w:hAnsi="Calibri"/>
          <w:sz w:val="20"/>
          <w:szCs w:val="20"/>
        </w:rPr>
        <w:t xml:space="preserve"> note </w:t>
      </w:r>
      <w:r w:rsidRPr="00BA548B">
        <w:rPr>
          <w:rFonts w:ascii="Calibri" w:hAnsi="Calibri"/>
          <w:sz w:val="20"/>
          <w:szCs w:val="20"/>
        </w:rPr>
        <w:fldChar w:fldCharType="begin"/>
      </w:r>
      <w:r w:rsidRPr="00BA548B">
        <w:rPr>
          <w:rFonts w:ascii="Calibri" w:hAnsi="Calibri"/>
          <w:sz w:val="20"/>
          <w:szCs w:val="20"/>
        </w:rPr>
        <w:instrText xml:space="preserve"> NOTEREF _Ref413201267 \h </w:instrText>
      </w:r>
      <w:r w:rsidRPr="00BA548B">
        <w:rPr>
          <w:rFonts w:ascii="Calibri" w:hAnsi="Calibri"/>
          <w:sz w:val="20"/>
          <w:szCs w:val="20"/>
        </w:rPr>
      </w:r>
      <w:r w:rsidRPr="00BA548B">
        <w:rPr>
          <w:rFonts w:ascii="Calibri" w:hAnsi="Calibri"/>
          <w:sz w:val="20"/>
          <w:szCs w:val="20"/>
        </w:rPr>
        <w:fldChar w:fldCharType="separate"/>
      </w:r>
      <w:r w:rsidRPr="00BA548B">
        <w:rPr>
          <w:rFonts w:ascii="Calibri" w:hAnsi="Calibri"/>
          <w:sz w:val="20"/>
          <w:szCs w:val="20"/>
        </w:rPr>
        <w:t>6</w:t>
      </w:r>
      <w:r w:rsidRPr="00BA548B">
        <w:rPr>
          <w:rFonts w:ascii="Calibri" w:hAnsi="Calibri"/>
          <w:sz w:val="20"/>
          <w:szCs w:val="20"/>
        </w:rPr>
        <w:fldChar w:fldCharType="end"/>
      </w:r>
      <w:r w:rsidRPr="00BA548B">
        <w:rPr>
          <w:rFonts w:ascii="Calibri" w:hAnsi="Calibri"/>
          <w:sz w:val="20"/>
          <w:szCs w:val="20"/>
        </w:rPr>
        <w:t xml:space="preserve">, </w:t>
      </w:r>
      <w:proofErr w:type="spellStart"/>
      <w:r w:rsidRPr="00BA548B">
        <w:rPr>
          <w:rFonts w:ascii="Calibri" w:hAnsi="Calibri"/>
          <w:sz w:val="20"/>
          <w:szCs w:val="20"/>
        </w:rPr>
        <w:t>para</w:t>
      </w:r>
      <w:proofErr w:type="spellEnd"/>
      <w:r w:rsidRPr="00BA548B">
        <w:rPr>
          <w:rFonts w:ascii="Calibri" w:hAnsi="Calibri"/>
          <w:sz w:val="20"/>
          <w:szCs w:val="20"/>
        </w:rPr>
        <w:t xml:space="preserve">. </w:t>
      </w:r>
      <w:proofErr w:type="gramStart"/>
      <w:r w:rsidRPr="00BA548B">
        <w:rPr>
          <w:rFonts w:ascii="Calibri" w:hAnsi="Calibri"/>
          <w:sz w:val="20"/>
          <w:szCs w:val="20"/>
        </w:rPr>
        <w:t>146 (“The nature and severity of the penalties imposed are also factors to be taken into account when assessing the proportionality of an interference  … A peaceful demonstration should not, in principle, be rendered subject to the threat of a criminal sanction, and notably to deprivation of liberty”).</w:t>
      </w:r>
      <w:proofErr w:type="gramEnd"/>
    </w:p>
  </w:footnote>
  <w:footnote w:id="14">
    <w:p w14:paraId="095FE137" w14:textId="65C44477"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IACHR, </w:t>
      </w:r>
      <w:r w:rsidRPr="00BA548B">
        <w:rPr>
          <w:rFonts w:ascii="Calibri" w:hAnsi="Calibri"/>
          <w:i/>
          <w:sz w:val="20"/>
          <w:szCs w:val="20"/>
        </w:rPr>
        <w:t>Report on the Criminalization of the Work of Human Rights Defenders,</w:t>
      </w:r>
      <w:r w:rsidRPr="00BA548B">
        <w:rPr>
          <w:rFonts w:ascii="Calibri" w:hAnsi="Calibri"/>
          <w:sz w:val="20"/>
          <w:szCs w:val="20"/>
        </w:rPr>
        <w:t xml:space="preserve"> OEA/</w:t>
      </w:r>
      <w:proofErr w:type="spellStart"/>
      <w:r w:rsidRPr="00BA548B">
        <w:rPr>
          <w:rFonts w:ascii="Calibri" w:hAnsi="Calibri"/>
          <w:sz w:val="20"/>
          <w:szCs w:val="20"/>
        </w:rPr>
        <w:t>Ser.L</w:t>
      </w:r>
      <w:proofErr w:type="spellEnd"/>
      <w:r w:rsidRPr="00BA548B">
        <w:rPr>
          <w:rFonts w:ascii="Calibri" w:hAnsi="Calibri"/>
          <w:sz w:val="20"/>
          <w:szCs w:val="20"/>
        </w:rPr>
        <w:t xml:space="preserve">/V/II, Doc.49/15, 31 December 2015. See in particular </w:t>
      </w:r>
      <w:proofErr w:type="spellStart"/>
      <w:r w:rsidRPr="00BA548B">
        <w:rPr>
          <w:rFonts w:ascii="Calibri" w:hAnsi="Calibri"/>
          <w:sz w:val="20"/>
          <w:szCs w:val="20"/>
        </w:rPr>
        <w:t>paras</w:t>
      </w:r>
      <w:proofErr w:type="spellEnd"/>
      <w:r w:rsidRPr="00BA548B">
        <w:rPr>
          <w:rFonts w:ascii="Calibri" w:hAnsi="Calibri"/>
          <w:sz w:val="20"/>
          <w:szCs w:val="20"/>
        </w:rPr>
        <w:t xml:space="preserve">. </w:t>
      </w:r>
      <w:proofErr w:type="gramStart"/>
      <w:r w:rsidRPr="00BA548B">
        <w:rPr>
          <w:rFonts w:ascii="Calibri" w:hAnsi="Calibri"/>
          <w:sz w:val="20"/>
          <w:szCs w:val="20"/>
        </w:rPr>
        <w:t>45-46, discussing excessive charges against people participating in protests.</w:t>
      </w:r>
      <w:proofErr w:type="gramEnd"/>
    </w:p>
  </w:footnote>
  <w:footnote w:id="15">
    <w:p w14:paraId="3A7E920B" w14:textId="2B472E13"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For an overview of the case, see the timeline at </w:t>
      </w:r>
      <w:hyperlink r:id="rId1" w:history="1">
        <w:r w:rsidRPr="00BA548B">
          <w:rPr>
            <w:rStyle w:val="Hyperlink"/>
            <w:rFonts w:ascii="Calibri" w:hAnsi="Calibri"/>
            <w:sz w:val="20"/>
            <w:szCs w:val="20"/>
          </w:rPr>
          <w:t>http://tinyurl.com/y272jmr2</w:t>
        </w:r>
      </w:hyperlink>
      <w:r w:rsidRPr="00BA548B">
        <w:rPr>
          <w:rFonts w:ascii="Calibri" w:hAnsi="Calibri"/>
          <w:sz w:val="20"/>
          <w:szCs w:val="20"/>
        </w:rPr>
        <w:t xml:space="preserve">. </w:t>
      </w:r>
    </w:p>
  </w:footnote>
  <w:footnote w:id="16">
    <w:p w14:paraId="0E287998" w14:textId="337DFD62"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The charges were lifted under the terms of an amnesty law adopted by the State Duma on 18 December 2013. An international arbitral tribunal constituted under Annex VII to the UN Convention on the Law of the Sea subsequently ruled that the actions taken against the crew, including prosecution, had violated various provisions of the Convention. See </w:t>
      </w:r>
      <w:hyperlink r:id="rId2" w:history="1">
        <w:r w:rsidRPr="00BA548B">
          <w:rPr>
            <w:rStyle w:val="Hyperlink"/>
            <w:rFonts w:ascii="Calibri" w:hAnsi="Calibri"/>
            <w:sz w:val="20"/>
            <w:szCs w:val="20"/>
          </w:rPr>
          <w:t>https://pca-cpa.org/en/cases/21/</w:t>
        </w:r>
      </w:hyperlink>
      <w:r w:rsidRPr="00BA548B">
        <w:rPr>
          <w:rFonts w:ascii="Calibri" w:hAnsi="Calibri"/>
          <w:sz w:val="20"/>
          <w:szCs w:val="20"/>
        </w:rPr>
        <w:t xml:space="preserve">. </w:t>
      </w:r>
    </w:p>
  </w:footnote>
  <w:footnote w:id="17">
    <w:p w14:paraId="5692888D" w14:textId="126707CF"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w:t>
      </w:r>
      <w:proofErr w:type="spellStart"/>
      <w:r w:rsidRPr="00BA548B">
        <w:rPr>
          <w:rFonts w:ascii="Calibri" w:hAnsi="Calibri"/>
          <w:i/>
          <w:sz w:val="20"/>
          <w:szCs w:val="20"/>
        </w:rPr>
        <w:t>Pekaslan</w:t>
      </w:r>
      <w:proofErr w:type="spellEnd"/>
      <w:r w:rsidRPr="00BA548B">
        <w:rPr>
          <w:rFonts w:ascii="Calibri" w:hAnsi="Calibri"/>
          <w:i/>
          <w:sz w:val="20"/>
          <w:szCs w:val="20"/>
        </w:rPr>
        <w:t xml:space="preserve"> and Others v. Turkey</w:t>
      </w:r>
      <w:r w:rsidRPr="00BA548B">
        <w:rPr>
          <w:rFonts w:ascii="Calibri" w:hAnsi="Calibri"/>
          <w:sz w:val="20"/>
          <w:szCs w:val="20"/>
        </w:rPr>
        <w:t xml:space="preserve">, </w:t>
      </w:r>
      <w:proofErr w:type="spellStart"/>
      <w:r w:rsidRPr="00BA548B">
        <w:rPr>
          <w:rFonts w:ascii="Calibri" w:hAnsi="Calibri"/>
          <w:sz w:val="20"/>
          <w:szCs w:val="20"/>
        </w:rPr>
        <w:t>ECtHR</w:t>
      </w:r>
      <w:proofErr w:type="spellEnd"/>
      <w:r w:rsidRPr="00BA548B">
        <w:rPr>
          <w:rFonts w:ascii="Calibri" w:hAnsi="Calibri"/>
          <w:sz w:val="20"/>
          <w:szCs w:val="20"/>
        </w:rPr>
        <w:t xml:space="preserve">, Judgment of 20 March 2012, </w:t>
      </w:r>
      <w:proofErr w:type="spellStart"/>
      <w:r w:rsidRPr="00BA548B">
        <w:rPr>
          <w:rFonts w:ascii="Calibri" w:hAnsi="Calibri"/>
          <w:sz w:val="20"/>
          <w:szCs w:val="20"/>
        </w:rPr>
        <w:t>para</w:t>
      </w:r>
      <w:proofErr w:type="spellEnd"/>
      <w:r w:rsidRPr="00BA548B">
        <w:rPr>
          <w:rFonts w:ascii="Calibri" w:hAnsi="Calibri"/>
          <w:sz w:val="20"/>
          <w:szCs w:val="20"/>
        </w:rPr>
        <w:t>. 82.</w:t>
      </w:r>
    </w:p>
  </w:footnote>
  <w:footnote w:id="18">
    <w:p w14:paraId="0A739D9B" w14:textId="60302AE4"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w:t>
      </w:r>
      <w:proofErr w:type="spellStart"/>
      <w:r w:rsidRPr="00BA548B">
        <w:rPr>
          <w:rFonts w:ascii="Calibri" w:hAnsi="Calibri"/>
          <w:i/>
          <w:sz w:val="20"/>
          <w:szCs w:val="20"/>
        </w:rPr>
        <w:t>Mătăsaru</w:t>
      </w:r>
      <w:proofErr w:type="spellEnd"/>
      <w:r w:rsidRPr="00BA548B">
        <w:rPr>
          <w:rFonts w:ascii="Calibri" w:hAnsi="Calibri"/>
          <w:i/>
          <w:sz w:val="20"/>
          <w:szCs w:val="20"/>
        </w:rPr>
        <w:t xml:space="preserve"> v. the Republic of Moldova,</w:t>
      </w:r>
      <w:r w:rsidRPr="00BA548B">
        <w:rPr>
          <w:rFonts w:ascii="Calibri" w:hAnsi="Calibri"/>
          <w:sz w:val="20"/>
          <w:szCs w:val="20"/>
        </w:rPr>
        <w:t xml:space="preserve"> </w:t>
      </w:r>
      <w:proofErr w:type="spellStart"/>
      <w:r w:rsidRPr="00BA548B">
        <w:rPr>
          <w:rFonts w:ascii="Calibri" w:hAnsi="Calibri"/>
          <w:sz w:val="20"/>
          <w:szCs w:val="20"/>
        </w:rPr>
        <w:t>ECtHR</w:t>
      </w:r>
      <w:proofErr w:type="spellEnd"/>
      <w:r w:rsidRPr="00BA548B">
        <w:rPr>
          <w:rFonts w:ascii="Calibri" w:hAnsi="Calibri"/>
          <w:sz w:val="20"/>
          <w:szCs w:val="20"/>
        </w:rPr>
        <w:t xml:space="preserve">, Judgment of 15 January 2019, </w:t>
      </w:r>
      <w:proofErr w:type="spellStart"/>
      <w:r w:rsidRPr="00BA548B">
        <w:rPr>
          <w:rFonts w:ascii="Calibri" w:hAnsi="Calibri"/>
          <w:sz w:val="20"/>
          <w:szCs w:val="20"/>
        </w:rPr>
        <w:t>para</w:t>
      </w:r>
      <w:proofErr w:type="spellEnd"/>
      <w:r w:rsidRPr="00BA548B">
        <w:rPr>
          <w:rFonts w:ascii="Calibri" w:hAnsi="Calibri"/>
          <w:sz w:val="20"/>
          <w:szCs w:val="20"/>
        </w:rPr>
        <w:t>. 32.</w:t>
      </w:r>
    </w:p>
  </w:footnote>
  <w:footnote w:id="19">
    <w:p w14:paraId="39197AC0" w14:textId="375E32CE"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w:t>
      </w:r>
      <w:proofErr w:type="spellStart"/>
      <w:r w:rsidRPr="00BA548B">
        <w:rPr>
          <w:rFonts w:ascii="Calibri" w:hAnsi="Calibri"/>
          <w:i/>
          <w:sz w:val="20"/>
          <w:szCs w:val="20"/>
        </w:rPr>
        <w:t>Taranenko</w:t>
      </w:r>
      <w:proofErr w:type="spellEnd"/>
      <w:r w:rsidRPr="00BA548B">
        <w:rPr>
          <w:rFonts w:ascii="Calibri" w:hAnsi="Calibri"/>
          <w:i/>
          <w:sz w:val="20"/>
          <w:szCs w:val="20"/>
        </w:rPr>
        <w:t xml:space="preserve"> v. Russia</w:t>
      </w:r>
      <w:r w:rsidRPr="00BA548B">
        <w:rPr>
          <w:rFonts w:ascii="Calibri" w:hAnsi="Calibri"/>
          <w:sz w:val="20"/>
          <w:szCs w:val="20"/>
        </w:rPr>
        <w:t xml:space="preserve">, </w:t>
      </w:r>
      <w:proofErr w:type="spellStart"/>
      <w:r w:rsidRPr="00BA548B">
        <w:rPr>
          <w:rFonts w:ascii="Calibri" w:hAnsi="Calibri"/>
          <w:sz w:val="20"/>
          <w:szCs w:val="20"/>
        </w:rPr>
        <w:t>ECtHR</w:t>
      </w:r>
      <w:proofErr w:type="spellEnd"/>
      <w:r w:rsidRPr="00BA548B">
        <w:rPr>
          <w:rFonts w:ascii="Calibri" w:hAnsi="Calibri"/>
          <w:sz w:val="20"/>
          <w:szCs w:val="20"/>
        </w:rPr>
        <w:t xml:space="preserve">, Judgment of 15 May 2014, </w:t>
      </w:r>
      <w:proofErr w:type="spellStart"/>
      <w:r w:rsidRPr="00BA548B">
        <w:rPr>
          <w:rFonts w:ascii="Calibri" w:hAnsi="Calibri"/>
          <w:sz w:val="20"/>
          <w:szCs w:val="20"/>
        </w:rPr>
        <w:t>para</w:t>
      </w:r>
      <w:proofErr w:type="spellEnd"/>
      <w:r w:rsidRPr="00BA548B">
        <w:rPr>
          <w:rFonts w:ascii="Calibri" w:hAnsi="Calibri"/>
          <w:sz w:val="20"/>
          <w:szCs w:val="20"/>
        </w:rPr>
        <w:t>. 95.</w:t>
      </w:r>
    </w:p>
  </w:footnote>
  <w:footnote w:id="20">
    <w:p w14:paraId="7C484DC1" w14:textId="171495E4" w:rsidR="00662A43" w:rsidRPr="00BA548B" w:rsidRDefault="00662A43">
      <w:pPr>
        <w:pStyle w:val="FootnoteText"/>
        <w:rPr>
          <w:rFonts w:ascii="Calibri" w:hAnsi="Calibri"/>
          <w: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See, for example, s. </w:t>
      </w:r>
      <w:r w:rsidRPr="00BA548B">
        <w:rPr>
          <w:rFonts w:ascii="Calibri" w:eastAsia="Times New Roman" w:hAnsi="Calibri"/>
          <w:sz w:val="20"/>
          <w:szCs w:val="20"/>
        </w:rPr>
        <w:t xml:space="preserve">219 of the UK‘s Trade Union and </w:t>
      </w:r>
      <w:proofErr w:type="spellStart"/>
      <w:r w:rsidRPr="00BA548B">
        <w:rPr>
          <w:rFonts w:ascii="Calibri" w:eastAsia="Times New Roman" w:hAnsi="Calibri"/>
          <w:sz w:val="20"/>
          <w:szCs w:val="20"/>
        </w:rPr>
        <w:t>Labour</w:t>
      </w:r>
      <w:proofErr w:type="spellEnd"/>
      <w:r w:rsidRPr="00BA548B">
        <w:rPr>
          <w:rFonts w:ascii="Calibri" w:eastAsia="Times New Roman" w:hAnsi="Calibri"/>
          <w:sz w:val="20"/>
          <w:szCs w:val="20"/>
        </w:rPr>
        <w:t xml:space="preserve"> Relations (Consolidation Act) 1992 and s. 67 of South Africa’s Amended </w:t>
      </w:r>
      <w:proofErr w:type="spellStart"/>
      <w:r w:rsidRPr="00BA548B">
        <w:rPr>
          <w:rFonts w:ascii="Calibri" w:eastAsia="Times New Roman" w:hAnsi="Calibri"/>
          <w:sz w:val="20"/>
          <w:szCs w:val="20"/>
        </w:rPr>
        <w:t>Labour</w:t>
      </w:r>
      <w:proofErr w:type="spellEnd"/>
      <w:r w:rsidRPr="00BA548B">
        <w:rPr>
          <w:rFonts w:ascii="Calibri" w:eastAsia="Times New Roman" w:hAnsi="Calibri"/>
          <w:sz w:val="20"/>
          <w:szCs w:val="20"/>
        </w:rPr>
        <w:t xml:space="preserve"> Relations Act (No. 66 of 1995).</w:t>
      </w:r>
    </w:p>
  </w:footnote>
  <w:footnote w:id="21">
    <w:p w14:paraId="39C2B3F2" w14:textId="167397FF"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w:t>
      </w:r>
      <w:proofErr w:type="gramStart"/>
      <w:r w:rsidRPr="00BA548B">
        <w:rPr>
          <w:rFonts w:ascii="Calibri" w:hAnsi="Calibri"/>
          <w:sz w:val="20"/>
          <w:szCs w:val="20"/>
        </w:rPr>
        <w:t xml:space="preserve">See </w:t>
      </w:r>
      <w:proofErr w:type="spellStart"/>
      <w:r w:rsidRPr="00BA548B">
        <w:rPr>
          <w:rFonts w:ascii="Calibri" w:hAnsi="Calibri"/>
          <w:i/>
          <w:sz w:val="20"/>
          <w:szCs w:val="20"/>
        </w:rPr>
        <w:t>Kudrevičius</w:t>
      </w:r>
      <w:proofErr w:type="spellEnd"/>
      <w:r w:rsidRPr="00BA548B">
        <w:rPr>
          <w:rFonts w:ascii="Calibri" w:hAnsi="Calibri"/>
          <w:i/>
          <w:sz w:val="20"/>
          <w:szCs w:val="20"/>
        </w:rPr>
        <w:t xml:space="preserve"> and Others v. Lithuania</w:t>
      </w:r>
      <w:proofErr w:type="gramEnd"/>
      <w:r w:rsidRPr="00BA548B">
        <w:rPr>
          <w:rFonts w:ascii="Calibri" w:hAnsi="Calibri"/>
          <w:i/>
          <w:sz w:val="20"/>
          <w:szCs w:val="20"/>
        </w:rPr>
        <w:t xml:space="preserve">, </w:t>
      </w:r>
      <w:proofErr w:type="gramStart"/>
      <w:r w:rsidRPr="00BA548B">
        <w:rPr>
          <w:rFonts w:ascii="Calibri" w:hAnsi="Calibri"/>
          <w:i/>
          <w:sz w:val="20"/>
          <w:szCs w:val="20"/>
        </w:rPr>
        <w:t>supra</w:t>
      </w:r>
      <w:r w:rsidRPr="00BA548B">
        <w:rPr>
          <w:rFonts w:ascii="Calibri" w:hAnsi="Calibri"/>
          <w:sz w:val="20"/>
          <w:szCs w:val="20"/>
        </w:rPr>
        <w:t xml:space="preserve"> note </w:t>
      </w:r>
      <w:r w:rsidRPr="00BA548B">
        <w:rPr>
          <w:rFonts w:ascii="Calibri" w:hAnsi="Calibri"/>
          <w:sz w:val="20"/>
          <w:szCs w:val="20"/>
        </w:rPr>
        <w:fldChar w:fldCharType="begin"/>
      </w:r>
      <w:r w:rsidRPr="00BA548B">
        <w:rPr>
          <w:rFonts w:ascii="Calibri" w:hAnsi="Calibri"/>
          <w:sz w:val="20"/>
          <w:szCs w:val="20"/>
        </w:rPr>
        <w:instrText xml:space="preserve"> NOTEREF _Ref413201267 \h </w:instrText>
      </w:r>
      <w:r w:rsidRPr="00BA548B">
        <w:rPr>
          <w:rFonts w:ascii="Calibri" w:hAnsi="Calibri"/>
          <w:sz w:val="20"/>
          <w:szCs w:val="20"/>
        </w:rPr>
      </w:r>
      <w:r w:rsidRPr="00BA548B">
        <w:rPr>
          <w:rFonts w:ascii="Calibri" w:hAnsi="Calibri"/>
          <w:sz w:val="20"/>
          <w:szCs w:val="20"/>
        </w:rPr>
        <w:fldChar w:fldCharType="separate"/>
      </w:r>
      <w:r w:rsidRPr="00BA548B">
        <w:rPr>
          <w:rFonts w:ascii="Calibri" w:hAnsi="Calibri"/>
          <w:sz w:val="20"/>
          <w:szCs w:val="20"/>
        </w:rPr>
        <w:t>6</w:t>
      </w:r>
      <w:r w:rsidRPr="00BA548B">
        <w:rPr>
          <w:rFonts w:ascii="Calibri" w:hAnsi="Calibri"/>
          <w:sz w:val="20"/>
          <w:szCs w:val="20"/>
        </w:rPr>
        <w:fldChar w:fldCharType="end"/>
      </w:r>
      <w:r w:rsidRPr="00BA548B">
        <w:rPr>
          <w:rFonts w:ascii="Calibri" w:hAnsi="Calibri"/>
          <w:sz w:val="20"/>
          <w:szCs w:val="20"/>
        </w:rPr>
        <w:t xml:space="preserve">, </w:t>
      </w:r>
      <w:proofErr w:type="spellStart"/>
      <w:r w:rsidRPr="00BA548B">
        <w:rPr>
          <w:rFonts w:ascii="Calibri" w:hAnsi="Calibri"/>
          <w:sz w:val="20"/>
          <w:szCs w:val="20"/>
        </w:rPr>
        <w:t>para</w:t>
      </w:r>
      <w:proofErr w:type="spellEnd"/>
      <w:proofErr w:type="gramEnd"/>
      <w:r w:rsidRPr="00BA548B">
        <w:rPr>
          <w:rFonts w:ascii="Calibri" w:hAnsi="Calibri"/>
          <w:sz w:val="20"/>
          <w:szCs w:val="20"/>
        </w:rPr>
        <w:t xml:space="preserve">. </w:t>
      </w:r>
      <w:proofErr w:type="gramStart"/>
      <w:r w:rsidRPr="00BA548B">
        <w:rPr>
          <w:rFonts w:ascii="Calibri" w:hAnsi="Calibri"/>
          <w:sz w:val="20"/>
          <w:szCs w:val="20"/>
        </w:rPr>
        <w:t>155, and references therein.</w:t>
      </w:r>
      <w:proofErr w:type="gramEnd"/>
    </w:p>
  </w:footnote>
  <w:footnote w:id="22">
    <w:p w14:paraId="623B0B8E" w14:textId="3BF60630"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HRC</w:t>
      </w:r>
      <w:r w:rsidRPr="00BA548B">
        <w:rPr>
          <w:rFonts w:ascii="Calibri" w:hAnsi="Calibri"/>
          <w:bCs/>
          <w:sz w:val="20"/>
          <w:szCs w:val="20"/>
        </w:rPr>
        <w:t xml:space="preserve">, </w:t>
      </w:r>
      <w:r w:rsidRPr="00BA548B">
        <w:rPr>
          <w:rFonts w:ascii="Calibri" w:hAnsi="Calibri"/>
          <w:i/>
          <w:sz w:val="20"/>
          <w:szCs w:val="20"/>
        </w:rPr>
        <w:t>General Comment 34: Article 19 (Freedoms of expression and opinion)</w:t>
      </w:r>
      <w:r w:rsidRPr="00BA548B">
        <w:rPr>
          <w:rFonts w:ascii="Calibri" w:hAnsi="Calibri"/>
          <w:sz w:val="20"/>
          <w:szCs w:val="20"/>
        </w:rPr>
        <w:t xml:space="preserve">, UN Doc. CCPR/C/GC/34 (2011), </w:t>
      </w:r>
      <w:proofErr w:type="spellStart"/>
      <w:proofErr w:type="gramStart"/>
      <w:r w:rsidRPr="00BA548B">
        <w:rPr>
          <w:rFonts w:ascii="Calibri" w:hAnsi="Calibri"/>
          <w:sz w:val="20"/>
          <w:szCs w:val="20"/>
        </w:rPr>
        <w:t>para</w:t>
      </w:r>
      <w:proofErr w:type="spellEnd"/>
      <w:proofErr w:type="gramEnd"/>
      <w:r w:rsidRPr="00BA548B">
        <w:rPr>
          <w:rFonts w:ascii="Calibri" w:hAnsi="Calibri"/>
          <w:bCs/>
          <w:sz w:val="20"/>
          <w:szCs w:val="20"/>
        </w:rPr>
        <w:t>. 47.</w:t>
      </w:r>
    </w:p>
  </w:footnote>
  <w:footnote w:id="23">
    <w:p w14:paraId="56F1ADD5" w14:textId="7B8B4CEE"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w:t>
      </w:r>
      <w:proofErr w:type="gramStart"/>
      <w:r w:rsidRPr="00BA548B">
        <w:rPr>
          <w:rFonts w:ascii="Calibri" w:hAnsi="Calibri"/>
          <w:i/>
          <w:sz w:val="20"/>
          <w:szCs w:val="20"/>
        </w:rPr>
        <w:t xml:space="preserve">Id., </w:t>
      </w:r>
      <w:proofErr w:type="spellStart"/>
      <w:r w:rsidRPr="00BA548B">
        <w:rPr>
          <w:rFonts w:ascii="Calibri" w:hAnsi="Calibri"/>
          <w:sz w:val="20"/>
          <w:szCs w:val="20"/>
        </w:rPr>
        <w:t>para</w:t>
      </w:r>
      <w:proofErr w:type="spellEnd"/>
      <w:r w:rsidRPr="00BA548B">
        <w:rPr>
          <w:rFonts w:ascii="Calibri" w:hAnsi="Calibri"/>
          <w:sz w:val="20"/>
          <w:szCs w:val="20"/>
        </w:rPr>
        <w:t>.</w:t>
      </w:r>
      <w:proofErr w:type="gramEnd"/>
      <w:r w:rsidRPr="00BA548B">
        <w:rPr>
          <w:rFonts w:ascii="Calibri" w:hAnsi="Calibri"/>
          <w:sz w:val="20"/>
          <w:szCs w:val="20"/>
        </w:rPr>
        <w:t xml:space="preserve"> 38.</w:t>
      </w:r>
    </w:p>
  </w:footnote>
  <w:footnote w:id="24">
    <w:p w14:paraId="715E33FF" w14:textId="3F00CE9C"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See, for example, </w:t>
      </w:r>
      <w:r w:rsidRPr="00BA548B">
        <w:rPr>
          <w:rFonts w:ascii="Calibri" w:hAnsi="Calibri"/>
          <w:i/>
          <w:sz w:val="20"/>
          <w:szCs w:val="20"/>
        </w:rPr>
        <w:t>Steel and Morris v. United Kingdom</w:t>
      </w:r>
      <w:r w:rsidRPr="00BA548B">
        <w:rPr>
          <w:rFonts w:ascii="Calibri" w:hAnsi="Calibri"/>
          <w:sz w:val="20"/>
          <w:szCs w:val="20"/>
        </w:rPr>
        <w:t xml:space="preserve">, </w:t>
      </w:r>
      <w:proofErr w:type="spellStart"/>
      <w:r w:rsidRPr="00BA548B">
        <w:rPr>
          <w:rFonts w:ascii="Calibri" w:hAnsi="Calibri"/>
          <w:sz w:val="20"/>
          <w:szCs w:val="20"/>
        </w:rPr>
        <w:t>ECtHR</w:t>
      </w:r>
      <w:proofErr w:type="spellEnd"/>
      <w:r w:rsidRPr="00BA548B">
        <w:rPr>
          <w:rFonts w:ascii="Calibri" w:hAnsi="Calibri"/>
          <w:sz w:val="20"/>
          <w:szCs w:val="20"/>
        </w:rPr>
        <w:t>, 15 February 2005,</w:t>
      </w:r>
      <w:r w:rsidRPr="00BA548B">
        <w:rPr>
          <w:rFonts w:ascii="Calibri" w:hAnsi="Calibri"/>
          <w:i/>
          <w:sz w:val="20"/>
          <w:szCs w:val="20"/>
        </w:rPr>
        <w:t xml:space="preserve"> </w:t>
      </w:r>
      <w:proofErr w:type="spellStart"/>
      <w:r w:rsidRPr="00BA548B">
        <w:rPr>
          <w:rFonts w:ascii="Calibri" w:hAnsi="Calibri"/>
          <w:sz w:val="20"/>
          <w:szCs w:val="20"/>
        </w:rPr>
        <w:t>para</w:t>
      </w:r>
      <w:proofErr w:type="spellEnd"/>
      <w:r w:rsidRPr="00BA548B">
        <w:rPr>
          <w:rFonts w:ascii="Calibri" w:hAnsi="Calibri"/>
          <w:sz w:val="20"/>
          <w:szCs w:val="20"/>
        </w:rPr>
        <w:t>. 94.</w:t>
      </w:r>
    </w:p>
  </w:footnote>
  <w:footnote w:id="25">
    <w:p w14:paraId="48394DD0" w14:textId="7E974F67"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This line of jurisprudence was established in </w:t>
      </w:r>
      <w:r w:rsidRPr="00BA548B">
        <w:rPr>
          <w:rFonts w:ascii="Calibri" w:hAnsi="Calibri"/>
          <w:i/>
          <w:sz w:val="20"/>
          <w:szCs w:val="20"/>
        </w:rPr>
        <w:t xml:space="preserve">Shell Nederland </w:t>
      </w:r>
      <w:proofErr w:type="spellStart"/>
      <w:r w:rsidRPr="00BA548B">
        <w:rPr>
          <w:rFonts w:ascii="Calibri" w:hAnsi="Calibri"/>
          <w:i/>
          <w:sz w:val="20"/>
          <w:szCs w:val="20"/>
        </w:rPr>
        <w:t>Verkoopmaatschappij</w:t>
      </w:r>
      <w:proofErr w:type="spellEnd"/>
      <w:r w:rsidRPr="00BA548B">
        <w:rPr>
          <w:rFonts w:ascii="Calibri" w:hAnsi="Calibri"/>
          <w:i/>
          <w:sz w:val="20"/>
          <w:szCs w:val="20"/>
        </w:rPr>
        <w:t xml:space="preserve"> B.V. v. Stichting Greenpeace Nederland and Stichting Greenpeace Council</w:t>
      </w:r>
      <w:r w:rsidRPr="00BA548B">
        <w:rPr>
          <w:rFonts w:ascii="Calibri" w:hAnsi="Calibri"/>
          <w:sz w:val="20"/>
          <w:szCs w:val="20"/>
        </w:rPr>
        <w:t>, Amsterdam District Court, Judgment in Summary Proceedings of 5 October 2012, ECLI</w:t>
      </w:r>
      <w:proofErr w:type="gramStart"/>
      <w:r w:rsidRPr="00BA548B">
        <w:rPr>
          <w:rFonts w:ascii="Calibri" w:hAnsi="Calibri"/>
          <w:sz w:val="20"/>
          <w:szCs w:val="20"/>
        </w:rPr>
        <w:t>:NL:RBAMS:2012:BX9310</w:t>
      </w:r>
      <w:proofErr w:type="gramEnd"/>
      <w:r w:rsidRPr="00BA548B">
        <w:rPr>
          <w:rFonts w:ascii="Calibri" w:hAnsi="Calibri"/>
          <w:sz w:val="20"/>
          <w:szCs w:val="20"/>
        </w:rPr>
        <w:t xml:space="preserve">. An unofficial English translation is available at </w:t>
      </w:r>
      <w:hyperlink r:id="rId3" w:history="1">
        <w:r w:rsidRPr="00BA548B">
          <w:rPr>
            <w:rStyle w:val="Hyperlink"/>
            <w:rFonts w:ascii="Calibri" w:hAnsi="Calibri"/>
            <w:sz w:val="20"/>
            <w:szCs w:val="20"/>
          </w:rPr>
          <w:t>http://tinyurl.com/bgmq7xp</w:t>
        </w:r>
      </w:hyperlink>
      <w:r w:rsidRPr="00BA548B">
        <w:rPr>
          <w:rFonts w:ascii="Calibri" w:hAnsi="Calibri"/>
          <w:sz w:val="20"/>
          <w:szCs w:val="20"/>
        </w:rPr>
        <w:t xml:space="preserve">. </w:t>
      </w:r>
    </w:p>
  </w:footnote>
  <w:footnote w:id="26">
    <w:p w14:paraId="3BFDE0B0" w14:textId="5C5729E3"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w:t>
      </w:r>
      <w:proofErr w:type="gramStart"/>
      <w:r w:rsidRPr="00BA548B">
        <w:rPr>
          <w:rFonts w:ascii="Calibri" w:hAnsi="Calibri"/>
          <w:i/>
          <w:sz w:val="20"/>
          <w:szCs w:val="20"/>
        </w:rPr>
        <w:t xml:space="preserve">Id., </w:t>
      </w:r>
      <w:proofErr w:type="spellStart"/>
      <w:r w:rsidRPr="00BA548B">
        <w:rPr>
          <w:rFonts w:ascii="Calibri" w:hAnsi="Calibri"/>
          <w:sz w:val="20"/>
          <w:szCs w:val="20"/>
        </w:rPr>
        <w:t>para</w:t>
      </w:r>
      <w:proofErr w:type="spellEnd"/>
      <w:r w:rsidRPr="00BA548B">
        <w:rPr>
          <w:rFonts w:ascii="Calibri" w:hAnsi="Calibri"/>
          <w:sz w:val="20"/>
          <w:szCs w:val="20"/>
        </w:rPr>
        <w:t>.</w:t>
      </w:r>
      <w:proofErr w:type="gramEnd"/>
      <w:r w:rsidRPr="00BA548B">
        <w:rPr>
          <w:rFonts w:ascii="Calibri" w:hAnsi="Calibri"/>
          <w:sz w:val="20"/>
          <w:szCs w:val="20"/>
        </w:rPr>
        <w:t xml:space="preserve"> 5.7.</w:t>
      </w:r>
    </w:p>
  </w:footnote>
  <w:footnote w:id="27">
    <w:p w14:paraId="64E3355E" w14:textId="76A492AA"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w:t>
      </w:r>
      <w:proofErr w:type="gramStart"/>
      <w:r w:rsidRPr="00BA548B">
        <w:rPr>
          <w:rFonts w:ascii="Calibri" w:hAnsi="Calibri"/>
          <w:i/>
          <w:sz w:val="20"/>
          <w:szCs w:val="20"/>
        </w:rPr>
        <w:t>Id.</w:t>
      </w:r>
      <w:r w:rsidRPr="00BA548B">
        <w:rPr>
          <w:rFonts w:ascii="Calibri" w:hAnsi="Calibri"/>
          <w:sz w:val="20"/>
          <w:szCs w:val="20"/>
        </w:rPr>
        <w:t xml:space="preserve">, </w:t>
      </w:r>
      <w:proofErr w:type="spellStart"/>
      <w:r w:rsidRPr="00BA548B">
        <w:rPr>
          <w:rFonts w:ascii="Calibri" w:hAnsi="Calibri"/>
          <w:sz w:val="20"/>
          <w:szCs w:val="20"/>
        </w:rPr>
        <w:t>para</w:t>
      </w:r>
      <w:proofErr w:type="spellEnd"/>
      <w:r w:rsidRPr="00BA548B">
        <w:rPr>
          <w:rFonts w:ascii="Calibri" w:hAnsi="Calibri"/>
          <w:sz w:val="20"/>
          <w:szCs w:val="20"/>
        </w:rPr>
        <w:t>.</w:t>
      </w:r>
      <w:proofErr w:type="gramEnd"/>
      <w:r w:rsidRPr="00BA548B">
        <w:rPr>
          <w:rFonts w:ascii="Calibri" w:hAnsi="Calibri"/>
          <w:sz w:val="20"/>
          <w:szCs w:val="20"/>
        </w:rPr>
        <w:t xml:space="preserve"> 5.8.</w:t>
      </w:r>
    </w:p>
  </w:footnote>
  <w:footnote w:id="28">
    <w:p w14:paraId="7E322510" w14:textId="25D024F2"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w:t>
      </w:r>
      <w:proofErr w:type="gramStart"/>
      <w:r w:rsidRPr="00BA548B">
        <w:rPr>
          <w:rFonts w:ascii="Calibri" w:hAnsi="Calibri"/>
          <w:i/>
          <w:sz w:val="20"/>
          <w:szCs w:val="20"/>
        </w:rPr>
        <w:t>Id.</w:t>
      </w:r>
      <w:r w:rsidRPr="00BA548B">
        <w:rPr>
          <w:rFonts w:ascii="Calibri" w:hAnsi="Calibri"/>
          <w:sz w:val="20"/>
          <w:szCs w:val="20"/>
        </w:rPr>
        <w:t xml:space="preserve">, </w:t>
      </w:r>
      <w:proofErr w:type="spellStart"/>
      <w:r w:rsidRPr="00BA548B">
        <w:rPr>
          <w:rFonts w:ascii="Calibri" w:hAnsi="Calibri"/>
          <w:sz w:val="20"/>
          <w:szCs w:val="20"/>
        </w:rPr>
        <w:t>para</w:t>
      </w:r>
      <w:proofErr w:type="spellEnd"/>
      <w:r w:rsidRPr="00BA548B">
        <w:rPr>
          <w:rFonts w:ascii="Calibri" w:hAnsi="Calibri"/>
          <w:sz w:val="20"/>
          <w:szCs w:val="20"/>
        </w:rPr>
        <w:t>.</w:t>
      </w:r>
      <w:proofErr w:type="gramEnd"/>
      <w:r w:rsidRPr="00BA548B">
        <w:rPr>
          <w:rFonts w:ascii="Calibri" w:hAnsi="Calibri"/>
          <w:sz w:val="20"/>
          <w:szCs w:val="20"/>
        </w:rPr>
        <w:t xml:space="preserve"> 5.9.</w:t>
      </w:r>
    </w:p>
  </w:footnote>
  <w:footnote w:id="29">
    <w:p w14:paraId="2865652B" w14:textId="6DD7B6F1"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w:t>
      </w:r>
      <w:r w:rsidRPr="00BA548B">
        <w:rPr>
          <w:rFonts w:ascii="Calibri" w:hAnsi="Calibri"/>
          <w:i/>
          <w:sz w:val="20"/>
          <w:szCs w:val="20"/>
        </w:rPr>
        <w:t xml:space="preserve">See </w:t>
      </w:r>
      <w:r w:rsidRPr="00BA548B">
        <w:rPr>
          <w:rFonts w:ascii="Calibri" w:hAnsi="Calibri"/>
          <w:sz w:val="20"/>
          <w:szCs w:val="20"/>
        </w:rPr>
        <w:t>The Hague District Court, Judgment of 23 August 2013, ECLI</w:t>
      </w:r>
      <w:proofErr w:type="gramStart"/>
      <w:r w:rsidRPr="00BA548B">
        <w:rPr>
          <w:rFonts w:ascii="Calibri" w:hAnsi="Calibri"/>
          <w:sz w:val="20"/>
          <w:szCs w:val="20"/>
        </w:rPr>
        <w:t>:NL:RBDHA:2013:10766</w:t>
      </w:r>
      <w:proofErr w:type="gramEnd"/>
      <w:r w:rsidRPr="00BA548B">
        <w:rPr>
          <w:rFonts w:ascii="Calibri" w:hAnsi="Calibri"/>
          <w:sz w:val="20"/>
          <w:szCs w:val="20"/>
        </w:rPr>
        <w:t xml:space="preserve">, </w:t>
      </w:r>
      <w:proofErr w:type="spellStart"/>
      <w:r w:rsidRPr="00BA548B">
        <w:rPr>
          <w:rFonts w:ascii="Calibri" w:hAnsi="Calibri"/>
          <w:sz w:val="20"/>
          <w:szCs w:val="20"/>
        </w:rPr>
        <w:t>para</w:t>
      </w:r>
      <w:proofErr w:type="spellEnd"/>
      <w:r w:rsidRPr="00BA548B">
        <w:rPr>
          <w:rFonts w:ascii="Calibri" w:hAnsi="Calibri"/>
          <w:sz w:val="20"/>
          <w:szCs w:val="20"/>
        </w:rPr>
        <w:t xml:space="preserve">. 4.4 (“Furthermore it is relevant that ‘tall trees catch much wind’, and a large </w:t>
      </w:r>
      <w:proofErr w:type="spellStart"/>
      <w:r w:rsidRPr="00BA548B">
        <w:rPr>
          <w:rFonts w:ascii="Calibri" w:hAnsi="Calibri"/>
          <w:sz w:val="20"/>
          <w:szCs w:val="20"/>
        </w:rPr>
        <w:t>organisation</w:t>
      </w:r>
      <w:proofErr w:type="spellEnd"/>
      <w:r w:rsidRPr="00BA548B">
        <w:rPr>
          <w:rFonts w:ascii="Calibri" w:hAnsi="Calibri"/>
          <w:sz w:val="20"/>
          <w:szCs w:val="20"/>
        </w:rPr>
        <w:t xml:space="preserve"> such as Shell, whose actions may have considerable social impact, must more readily count on being confronted with protest actions that infringe on its rights” (unofficial translation).)</w:t>
      </w:r>
    </w:p>
  </w:footnote>
  <w:footnote w:id="30">
    <w:p w14:paraId="5EB148B1" w14:textId="2AC2B580" w:rsidR="00662A43" w:rsidRPr="00BA548B" w:rsidRDefault="00662A43" w:rsidP="005C284E">
      <w:pPr>
        <w:pStyle w:val="NormalWeb"/>
        <w:spacing w:before="0" w:beforeAutospacing="0" w:after="0" w:afterAutospacing="0"/>
        <w:rPr>
          <w:rFonts w:ascii="Calibri" w:hAnsi="Calibri"/>
        </w:rPr>
      </w:pPr>
      <w:r w:rsidRPr="00BA548B">
        <w:rPr>
          <w:rStyle w:val="FootnoteReference"/>
          <w:rFonts w:ascii="Calibri" w:hAnsi="Calibri"/>
        </w:rPr>
        <w:footnoteRef/>
      </w:r>
      <w:r w:rsidRPr="00BA548B">
        <w:rPr>
          <w:rFonts w:ascii="Calibri" w:hAnsi="Calibri"/>
        </w:rPr>
        <w:t xml:space="preserve"> </w:t>
      </w:r>
      <w:r w:rsidRPr="00BA548B">
        <w:rPr>
          <w:rFonts w:ascii="Calibri" w:hAnsi="Calibri"/>
          <w:color w:val="000000"/>
          <w:shd w:val="clear" w:color="auto" w:fill="FFFFFF"/>
        </w:rPr>
        <w:t>Energy Transfer Equity L.P and Energy Transfer Partners L.P v Greenpeace International et al., Case 1:17-cv00173-CSM (D.N.D. 22 Aug. 2017).</w:t>
      </w:r>
    </w:p>
  </w:footnote>
  <w:footnote w:id="31">
    <w:p w14:paraId="4D09AEFC" w14:textId="11D01AFA" w:rsidR="00662A43" w:rsidRPr="00BA548B" w:rsidRDefault="00662A43">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The complaint and other documents from the case can be accessed at </w:t>
      </w:r>
      <w:hyperlink r:id="rId4" w:history="1">
        <w:r w:rsidRPr="00BA548B">
          <w:rPr>
            <w:rStyle w:val="Hyperlink"/>
            <w:rFonts w:ascii="Calibri" w:hAnsi="Calibri"/>
            <w:sz w:val="20"/>
            <w:szCs w:val="20"/>
          </w:rPr>
          <w:t>https://earthrights.org/case/energy-transfer-partners-v-greenpeace-banktrack-et-al/</w:t>
        </w:r>
      </w:hyperlink>
      <w:r w:rsidRPr="00BA548B">
        <w:rPr>
          <w:rFonts w:ascii="Calibri" w:hAnsi="Calibri"/>
          <w:sz w:val="20"/>
          <w:szCs w:val="20"/>
        </w:rPr>
        <w:t xml:space="preserve">. </w:t>
      </w:r>
    </w:p>
  </w:footnote>
  <w:footnote w:id="32">
    <w:p w14:paraId="243CC164" w14:textId="163A7437" w:rsidR="00662A43" w:rsidRPr="00BA548B" w:rsidRDefault="00662A43" w:rsidP="005C284E">
      <w:pPr>
        <w:pStyle w:val="FootnoteText"/>
        <w:rPr>
          <w:rFonts w:ascii="Calibri" w:hAnsi="Calibri"/>
          <w:sz w:val="20"/>
          <w:szCs w:val="20"/>
        </w:rPr>
      </w:pPr>
      <w:r w:rsidRPr="00BA548B">
        <w:rPr>
          <w:rFonts w:ascii="Calibri" w:eastAsia="Times New Roman" w:hAnsi="Calibri" w:cs="Times New Roman"/>
          <w:sz w:val="20"/>
          <w:szCs w:val="20"/>
          <w:vertAlign w:val="superscript"/>
        </w:rPr>
        <w:footnoteRef/>
      </w:r>
      <w:r w:rsidRPr="00BA548B">
        <w:rPr>
          <w:rFonts w:ascii="Calibri" w:hAnsi="Calibri"/>
          <w:sz w:val="20"/>
          <w:szCs w:val="20"/>
        </w:rPr>
        <w:t xml:space="preserve"> </w:t>
      </w:r>
      <w:r w:rsidRPr="00BA548B">
        <w:rPr>
          <w:rFonts w:ascii="Calibri" w:eastAsia="Calibri" w:hAnsi="Calibri"/>
          <w:i/>
          <w:sz w:val="20"/>
          <w:szCs w:val="20"/>
        </w:rPr>
        <w:t>Joint report of the Special Rapporteur on the rights to freedom of peaceful assembly and of association and the Special Rapporteur on extrajudicial, summary or arbitrary executions on the proper management of assemblies</w:t>
      </w:r>
      <w:r w:rsidRPr="00BA548B">
        <w:rPr>
          <w:rFonts w:ascii="Calibri" w:hAnsi="Calibri"/>
          <w:i/>
          <w:sz w:val="20"/>
          <w:szCs w:val="20"/>
        </w:rPr>
        <w:t>,</w:t>
      </w:r>
      <w:r w:rsidRPr="00BA548B">
        <w:rPr>
          <w:rFonts w:ascii="Calibri" w:hAnsi="Calibri"/>
          <w:sz w:val="20"/>
          <w:szCs w:val="20"/>
        </w:rPr>
        <w:t xml:space="preserve"> UN Doc. A/HRC/31/66, 4 February 2016, </w:t>
      </w:r>
      <w:proofErr w:type="spellStart"/>
      <w:r w:rsidRPr="00BA548B">
        <w:rPr>
          <w:rFonts w:ascii="Calibri" w:hAnsi="Calibri"/>
          <w:sz w:val="20"/>
          <w:szCs w:val="20"/>
        </w:rPr>
        <w:t>para</w:t>
      </w:r>
      <w:proofErr w:type="spellEnd"/>
      <w:r w:rsidRPr="00BA548B">
        <w:rPr>
          <w:rFonts w:ascii="Calibri" w:hAnsi="Calibri"/>
          <w:sz w:val="20"/>
          <w:szCs w:val="20"/>
        </w:rPr>
        <w:t>. 84.</w:t>
      </w:r>
    </w:p>
  </w:footnote>
  <w:footnote w:id="33">
    <w:p w14:paraId="4F2A118E" w14:textId="3422E58E" w:rsidR="00662A43" w:rsidRPr="00BA548B" w:rsidRDefault="00662A43">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w:t>
      </w:r>
      <w:proofErr w:type="gramStart"/>
      <w:r w:rsidRPr="00BA548B">
        <w:rPr>
          <w:rFonts w:ascii="Calibri" w:hAnsi="Calibri"/>
          <w:sz w:val="20"/>
          <w:szCs w:val="20"/>
        </w:rPr>
        <w:t xml:space="preserve">Info Note on SLAPPs and FOAA Rights, 2017, available online at </w:t>
      </w:r>
      <w:hyperlink r:id="rId5" w:history="1">
        <w:r w:rsidRPr="00BA548B">
          <w:rPr>
            <w:rStyle w:val="Hyperlink"/>
            <w:rFonts w:ascii="Calibri" w:hAnsi="Calibri"/>
            <w:sz w:val="20"/>
            <w:szCs w:val="20"/>
          </w:rPr>
          <w:t>https://www.ohchr.org/Documents/Issues/FAssociation/InfoNoteSLAPPsFoAA.docx</w:t>
        </w:r>
      </w:hyperlink>
      <w:r w:rsidRPr="00BA548B">
        <w:rPr>
          <w:rFonts w:ascii="Calibri" w:hAnsi="Calibri"/>
          <w:sz w:val="20"/>
          <w:szCs w:val="20"/>
        </w:rPr>
        <w:t>.</w:t>
      </w:r>
      <w:proofErr w:type="gramEnd"/>
      <w:r w:rsidRPr="00BA548B">
        <w:rPr>
          <w:rFonts w:ascii="Calibri" w:hAnsi="Calibri"/>
          <w:sz w:val="20"/>
          <w:szCs w:val="20"/>
        </w:rPr>
        <w:t xml:space="preserve"> </w:t>
      </w:r>
    </w:p>
  </w:footnote>
  <w:footnote w:id="34">
    <w:p w14:paraId="62DCFAB7" w14:textId="76CB89EB" w:rsidR="00662A43" w:rsidRPr="00BA548B" w:rsidRDefault="00662A43" w:rsidP="005C284E">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w:t>
      </w:r>
      <w:r w:rsidRPr="00BA548B">
        <w:rPr>
          <w:rFonts w:ascii="Calibri" w:hAnsi="Calibri" w:cs="Arial"/>
          <w:i/>
          <w:sz w:val="20"/>
          <w:szCs w:val="20"/>
        </w:rPr>
        <w:t>Women on Waves and Others v. Portugal</w:t>
      </w:r>
      <w:r w:rsidRPr="00BA548B">
        <w:rPr>
          <w:rFonts w:ascii="Calibri" w:hAnsi="Calibri"/>
          <w:sz w:val="20"/>
          <w:szCs w:val="20"/>
          <w:lang w:val="sq-AL"/>
        </w:rPr>
        <w:t xml:space="preserve">, </w:t>
      </w:r>
      <w:r w:rsidRPr="00BA548B">
        <w:rPr>
          <w:rFonts w:ascii="Calibri" w:hAnsi="Calibri"/>
          <w:sz w:val="20"/>
          <w:szCs w:val="20"/>
          <w:lang w:val="sq-AL"/>
        </w:rPr>
        <w:t xml:space="preserve">ECtHR, Judgment of 3 February 2009, para. </w:t>
      </w:r>
      <w:r w:rsidRPr="00BA548B">
        <w:rPr>
          <w:rFonts w:ascii="Calibri" w:hAnsi="Calibri"/>
          <w:sz w:val="20"/>
          <w:szCs w:val="20"/>
          <w:lang w:val="sq-AL"/>
        </w:rPr>
        <w:t>39. The quote could be translated into English as: “In certain situations the mode of dissemination of the information and ideas to be communicated is of importance such that restrictions … may substantially affect the substance of the ideas and information in question. This is particularly the case where the persons concerned intend to carry out symbolic activities in protest against legislation which they regard as unjust.”</w:t>
      </w:r>
    </w:p>
  </w:footnote>
  <w:footnote w:id="35">
    <w:p w14:paraId="6952EE09" w14:textId="54C58C59" w:rsidR="00662A43" w:rsidRPr="00BA548B" w:rsidRDefault="00662A43">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The right to assembly “within sight and sound” of the target is </w:t>
      </w:r>
      <w:proofErr w:type="spellStart"/>
      <w:r w:rsidRPr="00BA548B">
        <w:rPr>
          <w:rFonts w:ascii="Calibri" w:hAnsi="Calibri"/>
          <w:sz w:val="20"/>
          <w:szCs w:val="20"/>
        </w:rPr>
        <w:t>recognised</w:t>
      </w:r>
      <w:proofErr w:type="spellEnd"/>
      <w:r w:rsidRPr="00BA548B">
        <w:rPr>
          <w:rFonts w:ascii="Calibri" w:hAnsi="Calibri"/>
          <w:sz w:val="20"/>
          <w:szCs w:val="20"/>
        </w:rPr>
        <w:t xml:space="preserve">, among others, in </w:t>
      </w:r>
      <w:r w:rsidRPr="00BA548B">
        <w:rPr>
          <w:rFonts w:ascii="Calibri" w:hAnsi="Calibri"/>
          <w:i/>
          <w:sz w:val="20"/>
          <w:szCs w:val="20"/>
        </w:rPr>
        <w:t xml:space="preserve">Denis </w:t>
      </w:r>
      <w:proofErr w:type="spellStart"/>
      <w:r w:rsidRPr="00BA548B">
        <w:rPr>
          <w:rFonts w:ascii="Calibri" w:hAnsi="Calibri"/>
          <w:i/>
          <w:sz w:val="20"/>
          <w:szCs w:val="20"/>
        </w:rPr>
        <w:t>Turchenyak</w:t>
      </w:r>
      <w:proofErr w:type="spellEnd"/>
      <w:r w:rsidRPr="00BA548B">
        <w:rPr>
          <w:rFonts w:ascii="Calibri" w:hAnsi="Calibri"/>
          <w:i/>
          <w:sz w:val="20"/>
          <w:szCs w:val="20"/>
        </w:rPr>
        <w:t xml:space="preserve"> et al. v. Belarus</w:t>
      </w:r>
      <w:r w:rsidRPr="00BA548B">
        <w:rPr>
          <w:rFonts w:ascii="Calibri" w:hAnsi="Calibri"/>
          <w:sz w:val="20"/>
          <w:szCs w:val="20"/>
        </w:rPr>
        <w:t xml:space="preserve">, HRC, Views of 10 September 2013, UN Doc. CCPR/C/108/D/1948/2010, </w:t>
      </w:r>
      <w:proofErr w:type="spellStart"/>
      <w:r w:rsidRPr="00BA548B">
        <w:rPr>
          <w:rFonts w:ascii="Calibri" w:hAnsi="Calibri"/>
          <w:sz w:val="20"/>
          <w:szCs w:val="20"/>
        </w:rPr>
        <w:t>para</w:t>
      </w:r>
      <w:proofErr w:type="spellEnd"/>
      <w:r w:rsidRPr="00BA548B">
        <w:rPr>
          <w:rFonts w:ascii="Calibri" w:hAnsi="Calibri"/>
          <w:sz w:val="20"/>
          <w:szCs w:val="20"/>
        </w:rPr>
        <w:t>. 7.4</w:t>
      </w:r>
      <w:r w:rsidRPr="00BA548B">
        <w:rPr>
          <w:rFonts w:ascii="Calibri" w:hAnsi="Calibri"/>
          <w:i/>
          <w:sz w:val="20"/>
          <w:szCs w:val="20"/>
        </w:rPr>
        <w:t>;</w:t>
      </w:r>
      <w:r w:rsidRPr="00BA548B">
        <w:rPr>
          <w:rFonts w:ascii="Calibri" w:hAnsi="Calibri"/>
          <w:sz w:val="20"/>
          <w:szCs w:val="20"/>
        </w:rPr>
        <w:t xml:space="preserve"> </w:t>
      </w:r>
      <w:proofErr w:type="spellStart"/>
      <w:r w:rsidRPr="00BA548B">
        <w:rPr>
          <w:rFonts w:ascii="Calibri" w:hAnsi="Calibri"/>
          <w:i/>
          <w:sz w:val="20"/>
          <w:szCs w:val="20"/>
        </w:rPr>
        <w:t>Pavel</w:t>
      </w:r>
      <w:proofErr w:type="spellEnd"/>
      <w:r w:rsidRPr="00BA548B">
        <w:rPr>
          <w:rFonts w:ascii="Calibri" w:hAnsi="Calibri"/>
          <w:i/>
          <w:sz w:val="20"/>
          <w:szCs w:val="20"/>
        </w:rPr>
        <w:t xml:space="preserve"> </w:t>
      </w:r>
      <w:proofErr w:type="spellStart"/>
      <w:r w:rsidRPr="00BA548B">
        <w:rPr>
          <w:rFonts w:ascii="Calibri" w:hAnsi="Calibri"/>
          <w:i/>
          <w:sz w:val="20"/>
          <w:szCs w:val="20"/>
        </w:rPr>
        <w:t>Kozlov</w:t>
      </w:r>
      <w:proofErr w:type="spellEnd"/>
      <w:r w:rsidRPr="00BA548B">
        <w:rPr>
          <w:rFonts w:ascii="Calibri" w:hAnsi="Calibri"/>
          <w:i/>
          <w:sz w:val="20"/>
          <w:szCs w:val="20"/>
        </w:rPr>
        <w:t xml:space="preserve"> et al. v. Belarus</w:t>
      </w:r>
      <w:r w:rsidRPr="00BA548B">
        <w:rPr>
          <w:rFonts w:ascii="Calibri" w:hAnsi="Calibri"/>
          <w:sz w:val="20"/>
          <w:szCs w:val="20"/>
        </w:rPr>
        <w:t xml:space="preserve">, Human Rights Committee, Views of 7 May 2015, UN Doc. CCPR/C/113/D/1949/2010, </w:t>
      </w:r>
      <w:proofErr w:type="spellStart"/>
      <w:r w:rsidRPr="00BA548B">
        <w:rPr>
          <w:rFonts w:ascii="Calibri" w:hAnsi="Calibri"/>
          <w:sz w:val="20"/>
          <w:szCs w:val="20"/>
        </w:rPr>
        <w:t>para</w:t>
      </w:r>
      <w:proofErr w:type="spellEnd"/>
      <w:r w:rsidRPr="00BA548B">
        <w:rPr>
          <w:rFonts w:ascii="Calibri" w:hAnsi="Calibri"/>
          <w:sz w:val="20"/>
          <w:szCs w:val="20"/>
        </w:rPr>
        <w:t>. 7.4</w:t>
      </w:r>
      <w:r w:rsidRPr="00BA548B">
        <w:rPr>
          <w:rFonts w:ascii="Calibri" w:hAnsi="Calibri"/>
          <w:i/>
          <w:sz w:val="20"/>
          <w:szCs w:val="20"/>
        </w:rPr>
        <w:t xml:space="preserve">; Leonid </w:t>
      </w:r>
      <w:proofErr w:type="spellStart"/>
      <w:r w:rsidRPr="00BA548B">
        <w:rPr>
          <w:rFonts w:ascii="Calibri" w:hAnsi="Calibri"/>
          <w:i/>
          <w:sz w:val="20"/>
          <w:szCs w:val="20"/>
        </w:rPr>
        <w:t>Sudalenko</w:t>
      </w:r>
      <w:proofErr w:type="spellEnd"/>
      <w:r w:rsidRPr="00BA548B">
        <w:rPr>
          <w:rFonts w:ascii="Calibri" w:hAnsi="Calibri"/>
          <w:i/>
          <w:sz w:val="20"/>
          <w:szCs w:val="20"/>
        </w:rPr>
        <w:t xml:space="preserve"> v. Belarus</w:t>
      </w:r>
      <w:r w:rsidRPr="00BA548B">
        <w:rPr>
          <w:rFonts w:ascii="Calibri" w:hAnsi="Calibri"/>
          <w:sz w:val="20"/>
          <w:szCs w:val="20"/>
        </w:rPr>
        <w:t xml:space="preserve">, Human Rights Committee, Views of 28 December 2015, UN Doc. CCPR/C/115/D/2016/2010, </w:t>
      </w:r>
      <w:proofErr w:type="spellStart"/>
      <w:r w:rsidRPr="00BA548B">
        <w:rPr>
          <w:rFonts w:ascii="Calibri" w:hAnsi="Calibri"/>
          <w:sz w:val="20"/>
          <w:szCs w:val="20"/>
        </w:rPr>
        <w:t>para</w:t>
      </w:r>
      <w:proofErr w:type="spellEnd"/>
      <w:r w:rsidRPr="00BA548B">
        <w:rPr>
          <w:rFonts w:ascii="Calibri" w:hAnsi="Calibri"/>
          <w:sz w:val="20"/>
          <w:szCs w:val="20"/>
        </w:rPr>
        <w:t xml:space="preserve">. </w:t>
      </w:r>
      <w:proofErr w:type="gramStart"/>
      <w:r w:rsidRPr="00BA548B">
        <w:rPr>
          <w:rFonts w:ascii="Calibri" w:hAnsi="Calibri"/>
          <w:sz w:val="20"/>
          <w:szCs w:val="20"/>
        </w:rPr>
        <w:t xml:space="preserve">8.4; </w:t>
      </w:r>
      <w:proofErr w:type="spellStart"/>
      <w:r w:rsidRPr="00BA548B">
        <w:rPr>
          <w:rFonts w:ascii="Calibri" w:hAnsi="Calibri"/>
          <w:i/>
          <w:sz w:val="20"/>
          <w:szCs w:val="20"/>
        </w:rPr>
        <w:t>Lashmankin</w:t>
      </w:r>
      <w:proofErr w:type="spellEnd"/>
      <w:r w:rsidRPr="00BA548B">
        <w:rPr>
          <w:rFonts w:ascii="Calibri" w:hAnsi="Calibri"/>
          <w:i/>
          <w:sz w:val="20"/>
          <w:szCs w:val="20"/>
        </w:rPr>
        <w:t xml:space="preserve"> and Others v. Russia</w:t>
      </w:r>
      <w:r w:rsidRPr="00BA548B">
        <w:rPr>
          <w:rFonts w:ascii="Calibri" w:hAnsi="Calibri"/>
          <w:sz w:val="20"/>
          <w:szCs w:val="20"/>
        </w:rPr>
        <w:t xml:space="preserve">, </w:t>
      </w:r>
      <w:proofErr w:type="spellStart"/>
      <w:r w:rsidRPr="00BA548B">
        <w:rPr>
          <w:rFonts w:ascii="Calibri" w:hAnsi="Calibri"/>
          <w:sz w:val="20"/>
          <w:szCs w:val="20"/>
        </w:rPr>
        <w:t>ECtHR</w:t>
      </w:r>
      <w:proofErr w:type="spellEnd"/>
      <w:r w:rsidRPr="00BA548B">
        <w:rPr>
          <w:rFonts w:ascii="Calibri" w:hAnsi="Calibri"/>
          <w:sz w:val="20"/>
          <w:szCs w:val="20"/>
        </w:rPr>
        <w:t xml:space="preserve">, Judgment of 7 February 2017, </w:t>
      </w:r>
      <w:proofErr w:type="spellStart"/>
      <w:r w:rsidRPr="00BA548B">
        <w:rPr>
          <w:rFonts w:ascii="Calibri" w:hAnsi="Calibri"/>
          <w:sz w:val="20"/>
          <w:szCs w:val="20"/>
        </w:rPr>
        <w:t>paras</w:t>
      </w:r>
      <w:proofErr w:type="spellEnd"/>
      <w:r w:rsidRPr="00BA548B">
        <w:rPr>
          <w:rFonts w:ascii="Calibri" w:hAnsi="Calibri"/>
          <w:sz w:val="20"/>
          <w:szCs w:val="20"/>
        </w:rPr>
        <w:t>.</w:t>
      </w:r>
      <w:proofErr w:type="gramEnd"/>
      <w:r w:rsidRPr="00BA548B">
        <w:rPr>
          <w:rFonts w:ascii="Calibri" w:hAnsi="Calibri"/>
          <w:sz w:val="20"/>
          <w:szCs w:val="20"/>
        </w:rPr>
        <w:t xml:space="preserve"> 405 – 409.</w:t>
      </w:r>
    </w:p>
  </w:footnote>
  <w:footnote w:id="36">
    <w:p w14:paraId="4AF8DB25" w14:textId="158ACEC6" w:rsidR="00662A43" w:rsidRPr="00BA548B" w:rsidRDefault="00662A43">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OSCE Guidelines, Explanator</w:t>
      </w:r>
      <w:r w:rsidRPr="00BA548B">
        <w:rPr>
          <w:rFonts w:ascii="Calibri" w:hAnsi="Calibri"/>
          <w:sz w:val="20"/>
          <w:szCs w:val="20"/>
        </w:rPr>
        <w:t>y</w:t>
      </w:r>
      <w:r w:rsidRPr="00BA548B">
        <w:rPr>
          <w:rStyle w:val="Hyperlink"/>
          <w:rFonts w:ascii="Calibri" w:hAnsi="Calibri"/>
          <w:color w:val="auto"/>
          <w:sz w:val="20"/>
          <w:szCs w:val="20"/>
          <w:u w:val="none"/>
        </w:rPr>
        <w:t xml:space="preserve"> Notes, paras. 43 and 102</w:t>
      </w:r>
      <w:r w:rsidRPr="00BA548B">
        <w:rPr>
          <w:rFonts w:ascii="Calibri" w:hAnsi="Calibri"/>
          <w:sz w:val="20"/>
          <w:szCs w:val="20"/>
        </w:rPr>
        <w:t xml:space="preserve">; see also African Commission on Human and Peoples’ Rights, </w:t>
      </w:r>
      <w:r w:rsidRPr="00BA548B">
        <w:rPr>
          <w:rFonts w:ascii="Calibri" w:hAnsi="Calibri"/>
          <w:i/>
          <w:sz w:val="20"/>
          <w:szCs w:val="20"/>
        </w:rPr>
        <w:t>Report of the Study Group on Freedom of Association and Assembly in Africa</w:t>
      </w:r>
      <w:r w:rsidRPr="00BA548B">
        <w:rPr>
          <w:rFonts w:ascii="Calibri" w:hAnsi="Calibri"/>
          <w:sz w:val="20"/>
          <w:szCs w:val="20"/>
        </w:rPr>
        <w:t xml:space="preserve">, 2014, p. 20, </w:t>
      </w:r>
      <w:proofErr w:type="spellStart"/>
      <w:r w:rsidRPr="00BA548B">
        <w:rPr>
          <w:rFonts w:ascii="Calibri" w:hAnsi="Calibri"/>
          <w:sz w:val="20"/>
          <w:szCs w:val="20"/>
        </w:rPr>
        <w:t>para</w:t>
      </w:r>
      <w:proofErr w:type="spellEnd"/>
      <w:r w:rsidRPr="00BA548B">
        <w:rPr>
          <w:rFonts w:ascii="Calibri" w:hAnsi="Calibri"/>
          <w:sz w:val="20"/>
          <w:szCs w:val="20"/>
        </w:rPr>
        <w:t>. 25.</w:t>
      </w:r>
    </w:p>
  </w:footnote>
  <w:footnote w:id="37">
    <w:p w14:paraId="6DDE538E" w14:textId="66248383" w:rsidR="00662A43" w:rsidRPr="00BA548B" w:rsidRDefault="00662A43">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w:t>
      </w:r>
      <w:proofErr w:type="spellStart"/>
      <w:r w:rsidRPr="00BA548B">
        <w:rPr>
          <w:rFonts w:ascii="Calibri" w:hAnsi="Calibri"/>
          <w:i/>
          <w:sz w:val="20"/>
          <w:szCs w:val="20"/>
        </w:rPr>
        <w:t>Lashmankin</w:t>
      </w:r>
      <w:proofErr w:type="spellEnd"/>
      <w:r w:rsidRPr="00BA548B">
        <w:rPr>
          <w:rFonts w:ascii="Calibri" w:hAnsi="Calibri"/>
          <w:i/>
          <w:sz w:val="20"/>
          <w:szCs w:val="20"/>
        </w:rPr>
        <w:t xml:space="preserve"> and Others v. Russia</w:t>
      </w:r>
      <w:r w:rsidRPr="00BA548B">
        <w:rPr>
          <w:rFonts w:ascii="Calibri" w:hAnsi="Calibri"/>
          <w:sz w:val="20"/>
          <w:szCs w:val="20"/>
        </w:rPr>
        <w:t xml:space="preserve">, </w:t>
      </w:r>
      <w:proofErr w:type="spellStart"/>
      <w:r w:rsidRPr="00BA548B">
        <w:rPr>
          <w:rFonts w:ascii="Calibri" w:hAnsi="Calibri"/>
          <w:sz w:val="20"/>
          <w:szCs w:val="20"/>
        </w:rPr>
        <w:t>ECtHR</w:t>
      </w:r>
      <w:proofErr w:type="spellEnd"/>
      <w:r w:rsidRPr="00BA548B">
        <w:rPr>
          <w:rFonts w:ascii="Calibri" w:hAnsi="Calibri"/>
          <w:sz w:val="20"/>
          <w:szCs w:val="20"/>
        </w:rPr>
        <w:t xml:space="preserve">, Judgment of 7 February 2017, </w:t>
      </w:r>
      <w:proofErr w:type="spellStart"/>
      <w:r w:rsidRPr="00BA548B">
        <w:rPr>
          <w:rFonts w:ascii="Calibri" w:hAnsi="Calibri"/>
          <w:sz w:val="20"/>
          <w:szCs w:val="20"/>
        </w:rPr>
        <w:t>para</w:t>
      </w:r>
      <w:proofErr w:type="spellEnd"/>
      <w:r w:rsidRPr="00BA548B">
        <w:rPr>
          <w:rFonts w:ascii="Calibri" w:hAnsi="Calibri"/>
          <w:sz w:val="20"/>
          <w:szCs w:val="20"/>
        </w:rPr>
        <w:t xml:space="preserve"> 434.</w:t>
      </w:r>
    </w:p>
  </w:footnote>
  <w:footnote w:id="38">
    <w:p w14:paraId="6A70988F" w14:textId="0659EEFC" w:rsidR="00662A43" w:rsidRPr="00BA548B" w:rsidRDefault="00662A43">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See, for example,</w:t>
      </w:r>
      <w:r w:rsidRPr="00BA548B">
        <w:rPr>
          <w:rFonts w:ascii="Calibri" w:hAnsi="Calibri"/>
          <w:i/>
          <w:sz w:val="20"/>
          <w:szCs w:val="20"/>
        </w:rPr>
        <w:t xml:space="preserve"> Citizens filming police often find themselves arrested, </w:t>
      </w:r>
      <w:r w:rsidRPr="00BA548B">
        <w:rPr>
          <w:rFonts w:ascii="Calibri" w:hAnsi="Calibri"/>
          <w:sz w:val="20"/>
          <w:szCs w:val="20"/>
        </w:rPr>
        <w:t xml:space="preserve">Albuquerque Journal, 30 August 2015, available online at </w:t>
      </w:r>
      <w:hyperlink r:id="rId6" w:history="1">
        <w:r w:rsidRPr="00BA548B">
          <w:rPr>
            <w:rStyle w:val="Hyperlink"/>
            <w:rFonts w:ascii="Calibri" w:hAnsi="Calibri"/>
            <w:sz w:val="20"/>
            <w:szCs w:val="20"/>
          </w:rPr>
          <w:t>https://tinyurl.com/y29why9b</w:t>
        </w:r>
      </w:hyperlink>
      <w:r w:rsidRPr="00BA548B">
        <w:rPr>
          <w:rFonts w:ascii="Calibri" w:hAnsi="Calibri"/>
          <w:sz w:val="20"/>
          <w:szCs w:val="20"/>
        </w:rPr>
        <w:t xml:space="preserve">; </w:t>
      </w:r>
      <w:r w:rsidRPr="00BA548B">
        <w:rPr>
          <w:rFonts w:ascii="Calibri" w:hAnsi="Calibri"/>
          <w:i/>
          <w:sz w:val="20"/>
          <w:szCs w:val="20"/>
        </w:rPr>
        <w:t>"</w:t>
      </w:r>
      <w:proofErr w:type="spellStart"/>
      <w:r w:rsidRPr="00BA548B">
        <w:rPr>
          <w:rFonts w:ascii="Calibri" w:hAnsi="Calibri"/>
          <w:i/>
          <w:sz w:val="20"/>
          <w:szCs w:val="20"/>
        </w:rPr>
        <w:t>Fais</w:t>
      </w:r>
      <w:proofErr w:type="spellEnd"/>
      <w:r w:rsidRPr="00BA548B">
        <w:rPr>
          <w:rFonts w:ascii="Calibri" w:hAnsi="Calibri"/>
          <w:i/>
          <w:sz w:val="20"/>
          <w:szCs w:val="20"/>
        </w:rPr>
        <w:t xml:space="preserve"> </w:t>
      </w:r>
      <w:proofErr w:type="spellStart"/>
      <w:r w:rsidRPr="00BA548B">
        <w:rPr>
          <w:rFonts w:ascii="Calibri" w:hAnsi="Calibri"/>
          <w:i/>
          <w:sz w:val="20"/>
          <w:szCs w:val="20"/>
        </w:rPr>
        <w:t>voir</w:t>
      </w:r>
      <w:proofErr w:type="spellEnd"/>
      <w:r w:rsidRPr="00BA548B">
        <w:rPr>
          <w:rFonts w:ascii="Calibri" w:hAnsi="Calibri"/>
          <w:i/>
          <w:sz w:val="20"/>
          <w:szCs w:val="20"/>
        </w:rPr>
        <w:t xml:space="preserve"> ton </w:t>
      </w:r>
      <w:proofErr w:type="spellStart"/>
      <w:r w:rsidRPr="00BA548B">
        <w:rPr>
          <w:rFonts w:ascii="Calibri" w:hAnsi="Calibri"/>
          <w:i/>
          <w:sz w:val="20"/>
          <w:szCs w:val="20"/>
        </w:rPr>
        <w:t>téléphone</w:t>
      </w:r>
      <w:proofErr w:type="spellEnd"/>
      <w:r w:rsidRPr="00BA548B">
        <w:rPr>
          <w:rFonts w:ascii="Calibri" w:hAnsi="Calibri"/>
          <w:i/>
          <w:sz w:val="20"/>
          <w:szCs w:val="20"/>
        </w:rPr>
        <w:t xml:space="preserve"> </w:t>
      </w:r>
      <w:proofErr w:type="spellStart"/>
      <w:r w:rsidRPr="00BA548B">
        <w:rPr>
          <w:rFonts w:ascii="Calibri" w:hAnsi="Calibri"/>
          <w:i/>
          <w:sz w:val="20"/>
          <w:szCs w:val="20"/>
        </w:rPr>
        <w:t>ou</w:t>
      </w:r>
      <w:proofErr w:type="spellEnd"/>
      <w:r w:rsidRPr="00BA548B">
        <w:rPr>
          <w:rFonts w:ascii="Calibri" w:hAnsi="Calibri"/>
          <w:i/>
          <w:sz w:val="20"/>
          <w:szCs w:val="20"/>
        </w:rPr>
        <w:t xml:space="preserve"> je </w:t>
      </w:r>
      <w:proofErr w:type="spellStart"/>
      <w:r w:rsidRPr="00BA548B">
        <w:rPr>
          <w:rFonts w:ascii="Calibri" w:hAnsi="Calibri"/>
          <w:i/>
          <w:sz w:val="20"/>
          <w:szCs w:val="20"/>
        </w:rPr>
        <w:t>t'allume</w:t>
      </w:r>
      <w:proofErr w:type="spellEnd"/>
      <w:proofErr w:type="gramStart"/>
      <w:r w:rsidRPr="00BA548B">
        <w:rPr>
          <w:rFonts w:ascii="Calibri" w:hAnsi="Calibri"/>
          <w:i/>
          <w:sz w:val="20"/>
          <w:szCs w:val="20"/>
        </w:rPr>
        <w:t>" :</w:t>
      </w:r>
      <w:proofErr w:type="gramEnd"/>
      <w:r w:rsidRPr="00BA548B">
        <w:rPr>
          <w:rFonts w:ascii="Calibri" w:hAnsi="Calibri"/>
          <w:i/>
          <w:sz w:val="20"/>
          <w:szCs w:val="20"/>
        </w:rPr>
        <w:t xml:space="preserve"> </w:t>
      </w:r>
      <w:proofErr w:type="spellStart"/>
      <w:r w:rsidRPr="00BA548B">
        <w:rPr>
          <w:rFonts w:ascii="Calibri" w:hAnsi="Calibri"/>
          <w:i/>
          <w:sz w:val="20"/>
          <w:szCs w:val="20"/>
        </w:rPr>
        <w:t>peut</w:t>
      </w:r>
      <w:proofErr w:type="spellEnd"/>
      <w:r w:rsidRPr="00BA548B">
        <w:rPr>
          <w:rFonts w:ascii="Calibri" w:hAnsi="Calibri"/>
          <w:i/>
          <w:sz w:val="20"/>
          <w:szCs w:val="20"/>
        </w:rPr>
        <w:t xml:space="preserve">-on </w:t>
      </w:r>
      <w:proofErr w:type="spellStart"/>
      <w:r w:rsidRPr="00BA548B">
        <w:rPr>
          <w:rFonts w:ascii="Calibri" w:hAnsi="Calibri"/>
          <w:i/>
          <w:sz w:val="20"/>
          <w:szCs w:val="20"/>
        </w:rPr>
        <w:t>filmer</w:t>
      </w:r>
      <w:proofErr w:type="spellEnd"/>
      <w:r w:rsidRPr="00BA548B">
        <w:rPr>
          <w:rFonts w:ascii="Calibri" w:hAnsi="Calibri"/>
          <w:i/>
          <w:sz w:val="20"/>
          <w:szCs w:val="20"/>
        </w:rPr>
        <w:t xml:space="preserve"> la police ?</w:t>
      </w:r>
      <w:r w:rsidRPr="00BA548B">
        <w:rPr>
          <w:rFonts w:ascii="Calibri" w:hAnsi="Calibri"/>
          <w:sz w:val="20"/>
          <w:szCs w:val="20"/>
        </w:rPr>
        <w:t xml:space="preserve">, </w:t>
      </w:r>
      <w:proofErr w:type="spellStart"/>
      <w:r w:rsidRPr="00BA548B">
        <w:rPr>
          <w:rFonts w:ascii="Calibri" w:hAnsi="Calibri"/>
          <w:sz w:val="20"/>
          <w:szCs w:val="20"/>
        </w:rPr>
        <w:t>l’OBS</w:t>
      </w:r>
      <w:proofErr w:type="spellEnd"/>
      <w:r w:rsidRPr="00BA548B">
        <w:rPr>
          <w:rFonts w:ascii="Calibri" w:hAnsi="Calibri"/>
          <w:sz w:val="20"/>
          <w:szCs w:val="20"/>
        </w:rPr>
        <w:t xml:space="preserve">, 8 February 2017, available online at </w:t>
      </w:r>
      <w:hyperlink r:id="rId7" w:history="1">
        <w:r w:rsidRPr="00BA548B">
          <w:rPr>
            <w:rStyle w:val="Hyperlink"/>
            <w:rFonts w:ascii="Calibri" w:hAnsi="Calibri"/>
            <w:sz w:val="20"/>
            <w:szCs w:val="20"/>
          </w:rPr>
          <w:t>https://tinyurl.com/yxdk48aq</w:t>
        </w:r>
      </w:hyperlink>
      <w:r w:rsidRPr="00BA548B">
        <w:rPr>
          <w:rFonts w:ascii="Calibri" w:hAnsi="Calibri"/>
          <w:sz w:val="20"/>
          <w:szCs w:val="20"/>
        </w:rPr>
        <w:t xml:space="preserve">; </w:t>
      </w:r>
      <w:proofErr w:type="spellStart"/>
      <w:r w:rsidRPr="00BA548B">
        <w:rPr>
          <w:rFonts w:ascii="Calibri" w:hAnsi="Calibri"/>
          <w:i/>
          <w:sz w:val="20"/>
          <w:szCs w:val="20"/>
        </w:rPr>
        <w:t>Gericht</w:t>
      </w:r>
      <w:proofErr w:type="spellEnd"/>
      <w:r w:rsidRPr="00BA548B">
        <w:rPr>
          <w:rFonts w:ascii="Calibri" w:hAnsi="Calibri"/>
          <w:i/>
          <w:sz w:val="20"/>
          <w:szCs w:val="20"/>
        </w:rPr>
        <w:t xml:space="preserve">: Grazer </w:t>
      </w:r>
      <w:proofErr w:type="spellStart"/>
      <w:r w:rsidRPr="00BA548B">
        <w:rPr>
          <w:rFonts w:ascii="Calibri" w:hAnsi="Calibri"/>
          <w:i/>
          <w:sz w:val="20"/>
          <w:szCs w:val="20"/>
        </w:rPr>
        <w:t>Polizei</w:t>
      </w:r>
      <w:proofErr w:type="spellEnd"/>
      <w:r w:rsidRPr="00BA548B">
        <w:rPr>
          <w:rFonts w:ascii="Calibri" w:hAnsi="Calibri"/>
          <w:i/>
          <w:sz w:val="20"/>
          <w:szCs w:val="20"/>
        </w:rPr>
        <w:t xml:space="preserve"> </w:t>
      </w:r>
      <w:proofErr w:type="spellStart"/>
      <w:r w:rsidRPr="00BA548B">
        <w:rPr>
          <w:rFonts w:ascii="Calibri" w:hAnsi="Calibri"/>
          <w:i/>
          <w:sz w:val="20"/>
          <w:szCs w:val="20"/>
        </w:rPr>
        <w:t>handelte</w:t>
      </w:r>
      <w:proofErr w:type="spellEnd"/>
      <w:r w:rsidRPr="00BA548B">
        <w:rPr>
          <w:rFonts w:ascii="Calibri" w:hAnsi="Calibri"/>
          <w:i/>
          <w:sz w:val="20"/>
          <w:szCs w:val="20"/>
        </w:rPr>
        <w:t xml:space="preserve"> "</w:t>
      </w:r>
      <w:proofErr w:type="spellStart"/>
      <w:r w:rsidRPr="00BA548B">
        <w:rPr>
          <w:rFonts w:ascii="Calibri" w:hAnsi="Calibri"/>
          <w:i/>
          <w:sz w:val="20"/>
          <w:szCs w:val="20"/>
        </w:rPr>
        <w:t>rechtswidrig</w:t>
      </w:r>
      <w:proofErr w:type="spellEnd"/>
      <w:r w:rsidRPr="00BA548B">
        <w:rPr>
          <w:rFonts w:ascii="Calibri" w:hAnsi="Calibri"/>
          <w:i/>
          <w:sz w:val="20"/>
          <w:szCs w:val="20"/>
        </w:rPr>
        <w:t>"</w:t>
      </w:r>
      <w:r w:rsidRPr="00BA548B">
        <w:rPr>
          <w:rFonts w:ascii="Calibri" w:hAnsi="Calibri"/>
          <w:sz w:val="20"/>
          <w:szCs w:val="20"/>
        </w:rPr>
        <w:t>:</w:t>
      </w:r>
      <w:r w:rsidRPr="00BA548B">
        <w:rPr>
          <w:rFonts w:ascii="Calibri" w:hAnsi="Calibri"/>
          <w:i/>
          <w:sz w:val="20"/>
          <w:szCs w:val="20"/>
        </w:rPr>
        <w:t xml:space="preserve">  </w:t>
      </w:r>
      <w:proofErr w:type="spellStart"/>
      <w:r w:rsidRPr="00BA548B">
        <w:rPr>
          <w:rFonts w:ascii="Calibri" w:hAnsi="Calibri"/>
          <w:i/>
          <w:sz w:val="20"/>
          <w:szCs w:val="20"/>
        </w:rPr>
        <w:t>Löschen</w:t>
      </w:r>
      <w:proofErr w:type="spellEnd"/>
      <w:r w:rsidRPr="00BA548B">
        <w:rPr>
          <w:rFonts w:ascii="Calibri" w:hAnsi="Calibri"/>
          <w:i/>
          <w:sz w:val="20"/>
          <w:szCs w:val="20"/>
        </w:rPr>
        <w:t xml:space="preserve"> von </w:t>
      </w:r>
      <w:proofErr w:type="spellStart"/>
      <w:r w:rsidRPr="00BA548B">
        <w:rPr>
          <w:rFonts w:ascii="Calibri" w:hAnsi="Calibri"/>
          <w:i/>
          <w:sz w:val="20"/>
          <w:szCs w:val="20"/>
        </w:rPr>
        <w:t>Filmen</w:t>
      </w:r>
      <w:proofErr w:type="spellEnd"/>
      <w:r w:rsidRPr="00BA548B">
        <w:rPr>
          <w:rFonts w:ascii="Calibri" w:hAnsi="Calibri"/>
          <w:i/>
          <w:sz w:val="20"/>
          <w:szCs w:val="20"/>
        </w:rPr>
        <w:t xml:space="preserve"> auf </w:t>
      </w:r>
      <w:proofErr w:type="spellStart"/>
      <w:r w:rsidRPr="00BA548B">
        <w:rPr>
          <w:rFonts w:ascii="Calibri" w:hAnsi="Calibri"/>
          <w:i/>
          <w:sz w:val="20"/>
          <w:szCs w:val="20"/>
        </w:rPr>
        <w:t>Kamera</w:t>
      </w:r>
      <w:proofErr w:type="spellEnd"/>
      <w:r w:rsidRPr="00BA548B">
        <w:rPr>
          <w:rFonts w:ascii="Calibri" w:hAnsi="Calibri"/>
          <w:i/>
          <w:sz w:val="20"/>
          <w:szCs w:val="20"/>
        </w:rPr>
        <w:t xml:space="preserve"> </w:t>
      </w:r>
      <w:proofErr w:type="spellStart"/>
      <w:r w:rsidRPr="00BA548B">
        <w:rPr>
          <w:rFonts w:ascii="Calibri" w:hAnsi="Calibri"/>
          <w:i/>
          <w:sz w:val="20"/>
          <w:szCs w:val="20"/>
        </w:rPr>
        <w:t>eines</w:t>
      </w:r>
      <w:proofErr w:type="spellEnd"/>
      <w:r w:rsidRPr="00BA548B">
        <w:rPr>
          <w:rFonts w:ascii="Calibri" w:hAnsi="Calibri"/>
          <w:i/>
          <w:sz w:val="20"/>
          <w:szCs w:val="20"/>
        </w:rPr>
        <w:t xml:space="preserve"> </w:t>
      </w:r>
      <w:proofErr w:type="spellStart"/>
      <w:r w:rsidRPr="00BA548B">
        <w:rPr>
          <w:rFonts w:ascii="Calibri" w:hAnsi="Calibri"/>
          <w:i/>
          <w:sz w:val="20"/>
          <w:szCs w:val="20"/>
        </w:rPr>
        <w:t>Demonstranten</w:t>
      </w:r>
      <w:proofErr w:type="spellEnd"/>
      <w:r w:rsidRPr="00BA548B">
        <w:rPr>
          <w:rFonts w:ascii="Calibri" w:hAnsi="Calibri"/>
          <w:i/>
          <w:sz w:val="20"/>
          <w:szCs w:val="20"/>
        </w:rPr>
        <w:t xml:space="preserve"> </w:t>
      </w:r>
      <w:proofErr w:type="spellStart"/>
      <w:r w:rsidRPr="00BA548B">
        <w:rPr>
          <w:rFonts w:ascii="Calibri" w:hAnsi="Calibri"/>
          <w:i/>
          <w:sz w:val="20"/>
          <w:szCs w:val="20"/>
        </w:rPr>
        <w:t>ist</w:t>
      </w:r>
      <w:proofErr w:type="spellEnd"/>
      <w:r w:rsidRPr="00BA548B">
        <w:rPr>
          <w:rFonts w:ascii="Calibri" w:hAnsi="Calibri"/>
          <w:i/>
          <w:sz w:val="20"/>
          <w:szCs w:val="20"/>
        </w:rPr>
        <w:t xml:space="preserve"> </w:t>
      </w:r>
      <w:proofErr w:type="spellStart"/>
      <w:r w:rsidRPr="00BA548B">
        <w:rPr>
          <w:rFonts w:ascii="Calibri" w:hAnsi="Calibri"/>
          <w:i/>
          <w:sz w:val="20"/>
          <w:szCs w:val="20"/>
        </w:rPr>
        <w:t>laut</w:t>
      </w:r>
      <w:proofErr w:type="spellEnd"/>
      <w:r w:rsidRPr="00BA548B">
        <w:rPr>
          <w:rFonts w:ascii="Calibri" w:hAnsi="Calibri"/>
          <w:i/>
          <w:sz w:val="20"/>
          <w:szCs w:val="20"/>
        </w:rPr>
        <w:t xml:space="preserve"> </w:t>
      </w:r>
      <w:proofErr w:type="spellStart"/>
      <w:r w:rsidRPr="00BA548B">
        <w:rPr>
          <w:rFonts w:ascii="Calibri" w:hAnsi="Calibri"/>
          <w:i/>
          <w:sz w:val="20"/>
          <w:szCs w:val="20"/>
        </w:rPr>
        <w:t>Gericht</w:t>
      </w:r>
      <w:proofErr w:type="spellEnd"/>
      <w:r w:rsidRPr="00BA548B">
        <w:rPr>
          <w:rFonts w:ascii="Calibri" w:hAnsi="Calibri"/>
          <w:i/>
          <w:sz w:val="20"/>
          <w:szCs w:val="20"/>
        </w:rPr>
        <w:t xml:space="preserve"> "</w:t>
      </w:r>
      <w:proofErr w:type="spellStart"/>
      <w:r w:rsidRPr="00BA548B">
        <w:rPr>
          <w:rFonts w:ascii="Calibri" w:hAnsi="Calibri"/>
          <w:i/>
          <w:sz w:val="20"/>
          <w:szCs w:val="20"/>
        </w:rPr>
        <w:t>gröblicher</w:t>
      </w:r>
      <w:proofErr w:type="spellEnd"/>
      <w:r w:rsidRPr="00BA548B">
        <w:rPr>
          <w:rFonts w:ascii="Calibri" w:hAnsi="Calibri"/>
          <w:i/>
          <w:sz w:val="20"/>
          <w:szCs w:val="20"/>
        </w:rPr>
        <w:t xml:space="preserve"> </w:t>
      </w:r>
      <w:proofErr w:type="spellStart"/>
      <w:r w:rsidRPr="00BA548B">
        <w:rPr>
          <w:rFonts w:ascii="Calibri" w:hAnsi="Calibri"/>
          <w:i/>
          <w:sz w:val="20"/>
          <w:szCs w:val="20"/>
        </w:rPr>
        <w:t>Eingriff</w:t>
      </w:r>
      <w:proofErr w:type="spellEnd"/>
      <w:r w:rsidRPr="00BA548B">
        <w:rPr>
          <w:rFonts w:ascii="Calibri" w:hAnsi="Calibri"/>
          <w:i/>
          <w:sz w:val="20"/>
          <w:szCs w:val="20"/>
        </w:rPr>
        <w:t>”</w:t>
      </w:r>
      <w:r w:rsidRPr="00BA548B">
        <w:rPr>
          <w:rFonts w:ascii="Calibri" w:hAnsi="Calibri"/>
          <w:sz w:val="20"/>
          <w:szCs w:val="20"/>
        </w:rPr>
        <w:t xml:space="preserve">, Der Standard, 1 August 2014, available online at </w:t>
      </w:r>
      <w:hyperlink r:id="rId8" w:history="1">
        <w:r w:rsidRPr="00BA548B">
          <w:rPr>
            <w:rStyle w:val="Hyperlink"/>
            <w:rFonts w:ascii="Calibri" w:hAnsi="Calibri"/>
            <w:sz w:val="20"/>
            <w:szCs w:val="20"/>
          </w:rPr>
          <w:t>http://tinyurl.com/y55y7npf</w:t>
        </w:r>
      </w:hyperlink>
      <w:r w:rsidRPr="00BA548B">
        <w:rPr>
          <w:rFonts w:ascii="Calibri" w:hAnsi="Calibri"/>
          <w:sz w:val="20"/>
          <w:szCs w:val="20"/>
        </w:rPr>
        <w:t xml:space="preserve">. </w:t>
      </w:r>
    </w:p>
  </w:footnote>
  <w:footnote w:id="39">
    <w:p w14:paraId="79B7FCBC" w14:textId="2E839C3C" w:rsidR="00662A43" w:rsidRPr="00BA548B" w:rsidRDefault="00662A43">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See </w:t>
      </w:r>
      <w:r w:rsidRPr="00BA548B">
        <w:rPr>
          <w:rFonts w:ascii="Calibri" w:hAnsi="Calibri"/>
          <w:i/>
          <w:sz w:val="20"/>
          <w:szCs w:val="20"/>
        </w:rPr>
        <w:t>Second journalist charged by Russia over Greenpeace Arctic oil rig protest</w:t>
      </w:r>
      <w:r w:rsidRPr="00BA548B">
        <w:rPr>
          <w:rFonts w:ascii="Calibri" w:hAnsi="Calibri"/>
          <w:sz w:val="20"/>
          <w:szCs w:val="20"/>
        </w:rPr>
        <w:t xml:space="preserve">, The Telegraph, 3 October 2013, available online at </w:t>
      </w:r>
      <w:hyperlink r:id="rId9" w:history="1">
        <w:r w:rsidRPr="00BA548B">
          <w:rPr>
            <w:rStyle w:val="Hyperlink"/>
            <w:rFonts w:ascii="Calibri" w:hAnsi="Calibri"/>
            <w:sz w:val="20"/>
            <w:szCs w:val="20"/>
          </w:rPr>
          <w:t>https://tinyurl.com/y55wkzxy</w:t>
        </w:r>
      </w:hyperlink>
      <w:r w:rsidRPr="00BA548B">
        <w:rPr>
          <w:rFonts w:ascii="Calibri" w:hAnsi="Calibri"/>
          <w:sz w:val="20"/>
          <w:szCs w:val="20"/>
        </w:rPr>
        <w:t xml:space="preserve">. </w:t>
      </w:r>
    </w:p>
  </w:footnote>
  <w:footnote w:id="40">
    <w:p w14:paraId="3A64B1A4" w14:textId="2DA9F9DF" w:rsidR="00662A43" w:rsidRPr="00BA548B" w:rsidRDefault="00662A43">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w:t>
      </w:r>
      <w:proofErr w:type="spellStart"/>
      <w:r w:rsidRPr="00BA548B">
        <w:rPr>
          <w:rFonts w:ascii="Calibri" w:hAnsi="Calibri" w:cs="Arial"/>
          <w:i/>
          <w:sz w:val="20"/>
          <w:szCs w:val="20"/>
          <w:lang w:val="en-GB"/>
        </w:rPr>
        <w:t>Pentikäinen</w:t>
      </w:r>
      <w:proofErr w:type="spellEnd"/>
      <w:r w:rsidRPr="00BA548B">
        <w:rPr>
          <w:rFonts w:ascii="Calibri" w:hAnsi="Calibri" w:cs="Arial"/>
          <w:i/>
          <w:sz w:val="20"/>
          <w:szCs w:val="20"/>
          <w:lang w:val="en-GB"/>
        </w:rPr>
        <w:t xml:space="preserve"> v. Finland, </w:t>
      </w:r>
      <w:proofErr w:type="spellStart"/>
      <w:r w:rsidRPr="00BA548B">
        <w:rPr>
          <w:rFonts w:ascii="Calibri" w:hAnsi="Calibri" w:cs="Arial"/>
          <w:sz w:val="20"/>
          <w:szCs w:val="20"/>
          <w:lang w:val="en-GB"/>
        </w:rPr>
        <w:t>ECtHR</w:t>
      </w:r>
      <w:proofErr w:type="spellEnd"/>
      <w:r w:rsidRPr="00BA548B">
        <w:rPr>
          <w:rFonts w:ascii="Calibri" w:hAnsi="Calibri" w:cs="Arial"/>
          <w:sz w:val="20"/>
          <w:szCs w:val="20"/>
          <w:lang w:val="en-GB"/>
        </w:rPr>
        <w:t>, Grand Chamber Judgment of 20 October 2015.</w:t>
      </w:r>
    </w:p>
  </w:footnote>
  <w:footnote w:id="41">
    <w:p w14:paraId="7AE54D37" w14:textId="6E4774B8" w:rsidR="00662A43" w:rsidRPr="00BA548B" w:rsidRDefault="00662A43">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w:t>
      </w:r>
      <w:proofErr w:type="gramStart"/>
      <w:r w:rsidRPr="00BA548B">
        <w:rPr>
          <w:rFonts w:ascii="Calibri" w:hAnsi="Calibri"/>
          <w:i/>
          <w:sz w:val="20"/>
          <w:szCs w:val="20"/>
        </w:rPr>
        <w:t>Id.</w:t>
      </w:r>
      <w:r w:rsidRPr="00BA548B">
        <w:rPr>
          <w:rFonts w:ascii="Calibri" w:hAnsi="Calibri"/>
          <w:sz w:val="20"/>
          <w:szCs w:val="20"/>
        </w:rPr>
        <w:t xml:space="preserve">, </w:t>
      </w:r>
      <w:proofErr w:type="spellStart"/>
      <w:r w:rsidRPr="00BA548B">
        <w:rPr>
          <w:rFonts w:ascii="Calibri" w:hAnsi="Calibri"/>
          <w:sz w:val="20"/>
          <w:szCs w:val="20"/>
        </w:rPr>
        <w:t>para</w:t>
      </w:r>
      <w:proofErr w:type="spellEnd"/>
      <w:r w:rsidRPr="00BA548B">
        <w:rPr>
          <w:rFonts w:ascii="Calibri" w:hAnsi="Calibri"/>
          <w:sz w:val="20"/>
          <w:szCs w:val="20"/>
        </w:rPr>
        <w:t>.</w:t>
      </w:r>
      <w:proofErr w:type="gramEnd"/>
      <w:r w:rsidRPr="00BA548B">
        <w:rPr>
          <w:rFonts w:ascii="Calibri" w:hAnsi="Calibri"/>
          <w:sz w:val="20"/>
          <w:szCs w:val="20"/>
        </w:rPr>
        <w:t xml:space="preserve"> 89.</w:t>
      </w:r>
    </w:p>
  </w:footnote>
  <w:footnote w:id="42">
    <w:p w14:paraId="4DA0731E" w14:textId="6772A723" w:rsidR="00662A43" w:rsidRPr="00BA548B" w:rsidRDefault="00662A43" w:rsidP="00EF665D">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w:t>
      </w:r>
      <w:proofErr w:type="gramStart"/>
      <w:r w:rsidRPr="00BA548B">
        <w:rPr>
          <w:rFonts w:ascii="Calibri" w:hAnsi="Calibri"/>
          <w:i/>
          <w:sz w:val="20"/>
          <w:szCs w:val="20"/>
        </w:rPr>
        <w:t>Id.</w:t>
      </w:r>
      <w:r w:rsidRPr="00BA548B">
        <w:rPr>
          <w:rFonts w:ascii="Calibri" w:hAnsi="Calibri"/>
          <w:sz w:val="20"/>
          <w:szCs w:val="20"/>
        </w:rPr>
        <w:t xml:space="preserve">, </w:t>
      </w:r>
      <w:proofErr w:type="spellStart"/>
      <w:r w:rsidRPr="00BA548B">
        <w:rPr>
          <w:rFonts w:ascii="Calibri" w:hAnsi="Calibri"/>
          <w:sz w:val="20"/>
          <w:szCs w:val="20"/>
        </w:rPr>
        <w:t>para</w:t>
      </w:r>
      <w:proofErr w:type="spellEnd"/>
      <w:r w:rsidRPr="00BA548B">
        <w:rPr>
          <w:rFonts w:ascii="Calibri" w:hAnsi="Calibri"/>
          <w:sz w:val="20"/>
          <w:szCs w:val="20"/>
        </w:rPr>
        <w:t>.</w:t>
      </w:r>
      <w:proofErr w:type="gramEnd"/>
      <w:r w:rsidRPr="00BA548B">
        <w:rPr>
          <w:rFonts w:ascii="Calibri" w:hAnsi="Calibri"/>
          <w:sz w:val="20"/>
          <w:szCs w:val="20"/>
        </w:rPr>
        <w:t xml:space="preserve"> 110.</w:t>
      </w:r>
    </w:p>
  </w:footnote>
  <w:footnote w:id="43">
    <w:p w14:paraId="6D254C20" w14:textId="571A6907" w:rsidR="00662A43" w:rsidRPr="00BA548B" w:rsidRDefault="00662A43" w:rsidP="004357E8">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w:t>
      </w:r>
      <w:proofErr w:type="gramStart"/>
      <w:r w:rsidRPr="00BA548B">
        <w:rPr>
          <w:rFonts w:ascii="Calibri" w:hAnsi="Calibri"/>
          <w:i/>
          <w:sz w:val="20"/>
          <w:szCs w:val="20"/>
        </w:rPr>
        <w:t>Id.</w:t>
      </w:r>
      <w:r w:rsidRPr="00BA548B">
        <w:rPr>
          <w:rFonts w:ascii="Calibri" w:hAnsi="Calibri"/>
          <w:sz w:val="20"/>
          <w:szCs w:val="20"/>
        </w:rPr>
        <w:t xml:space="preserve">, </w:t>
      </w:r>
      <w:proofErr w:type="spellStart"/>
      <w:r w:rsidRPr="00BA548B">
        <w:rPr>
          <w:rFonts w:ascii="Calibri" w:hAnsi="Calibri"/>
          <w:sz w:val="20"/>
          <w:szCs w:val="20"/>
        </w:rPr>
        <w:t>para</w:t>
      </w:r>
      <w:proofErr w:type="spellEnd"/>
      <w:r w:rsidRPr="00BA548B">
        <w:rPr>
          <w:rFonts w:ascii="Calibri" w:hAnsi="Calibri"/>
          <w:sz w:val="20"/>
          <w:szCs w:val="20"/>
        </w:rPr>
        <w:t>.</w:t>
      </w:r>
      <w:proofErr w:type="gramEnd"/>
      <w:r w:rsidRPr="00BA548B">
        <w:rPr>
          <w:rFonts w:ascii="Calibri" w:hAnsi="Calibri"/>
          <w:sz w:val="20"/>
          <w:szCs w:val="20"/>
        </w:rPr>
        <w:t xml:space="preserve"> 109.</w:t>
      </w:r>
    </w:p>
  </w:footnote>
  <w:footnote w:id="44">
    <w:p w14:paraId="54577106" w14:textId="2DBACF5B" w:rsidR="00662A43" w:rsidRPr="00BA548B" w:rsidRDefault="00662A43" w:rsidP="009E427C">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w:t>
      </w:r>
      <w:proofErr w:type="gramStart"/>
      <w:r w:rsidRPr="00BA548B">
        <w:rPr>
          <w:rFonts w:ascii="Calibri" w:hAnsi="Calibri"/>
          <w:i/>
          <w:sz w:val="20"/>
          <w:szCs w:val="20"/>
        </w:rPr>
        <w:t>Id.</w:t>
      </w:r>
      <w:r w:rsidRPr="00BA548B">
        <w:rPr>
          <w:rFonts w:ascii="Calibri" w:hAnsi="Calibri"/>
          <w:sz w:val="20"/>
          <w:szCs w:val="20"/>
        </w:rPr>
        <w:t xml:space="preserve">, </w:t>
      </w:r>
      <w:proofErr w:type="spellStart"/>
      <w:r w:rsidRPr="00BA548B">
        <w:rPr>
          <w:rFonts w:ascii="Calibri" w:hAnsi="Calibri"/>
          <w:sz w:val="20"/>
          <w:szCs w:val="20"/>
        </w:rPr>
        <w:t>para</w:t>
      </w:r>
      <w:proofErr w:type="spellEnd"/>
      <w:r w:rsidRPr="00BA548B">
        <w:rPr>
          <w:rFonts w:ascii="Calibri" w:hAnsi="Calibri"/>
          <w:sz w:val="20"/>
          <w:szCs w:val="20"/>
        </w:rPr>
        <w:t>.</w:t>
      </w:r>
      <w:proofErr w:type="gramEnd"/>
      <w:r w:rsidRPr="00BA548B">
        <w:rPr>
          <w:rFonts w:ascii="Calibri" w:hAnsi="Calibri"/>
          <w:sz w:val="20"/>
          <w:szCs w:val="20"/>
        </w:rPr>
        <w:t xml:space="preserve"> 110.</w:t>
      </w:r>
    </w:p>
  </w:footnote>
  <w:footnote w:id="45">
    <w:p w14:paraId="0A757169" w14:textId="0650392F" w:rsidR="00662A43" w:rsidRPr="00BA548B" w:rsidRDefault="00662A43">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w:t>
      </w:r>
      <w:proofErr w:type="spellStart"/>
      <w:r w:rsidRPr="00BA548B">
        <w:rPr>
          <w:rFonts w:ascii="Calibri" w:hAnsi="Calibri"/>
          <w:i/>
          <w:sz w:val="20"/>
          <w:szCs w:val="20"/>
        </w:rPr>
        <w:t>Butkevich</w:t>
      </w:r>
      <w:proofErr w:type="spellEnd"/>
      <w:r w:rsidRPr="00BA548B">
        <w:rPr>
          <w:rFonts w:ascii="Calibri" w:hAnsi="Calibri"/>
          <w:i/>
          <w:sz w:val="20"/>
          <w:szCs w:val="20"/>
        </w:rPr>
        <w:t xml:space="preserve"> v. Russia</w:t>
      </w:r>
      <w:r w:rsidRPr="00BA548B">
        <w:rPr>
          <w:rFonts w:ascii="Calibri" w:hAnsi="Calibri"/>
          <w:sz w:val="20"/>
          <w:szCs w:val="20"/>
        </w:rPr>
        <w:t xml:space="preserve">, </w:t>
      </w:r>
      <w:proofErr w:type="spellStart"/>
      <w:r w:rsidRPr="00BA548B">
        <w:rPr>
          <w:rFonts w:ascii="Calibri" w:hAnsi="Calibri"/>
          <w:sz w:val="20"/>
          <w:szCs w:val="20"/>
        </w:rPr>
        <w:t>ECtHR</w:t>
      </w:r>
      <w:proofErr w:type="spellEnd"/>
      <w:r w:rsidRPr="00BA548B">
        <w:rPr>
          <w:rFonts w:ascii="Calibri" w:hAnsi="Calibri"/>
          <w:sz w:val="20"/>
          <w:szCs w:val="20"/>
        </w:rPr>
        <w:t xml:space="preserve">, Judgment of 13 February 2018, </w:t>
      </w:r>
      <w:proofErr w:type="spellStart"/>
      <w:r w:rsidRPr="00BA548B">
        <w:rPr>
          <w:rFonts w:ascii="Calibri" w:hAnsi="Calibri"/>
          <w:sz w:val="20"/>
          <w:szCs w:val="20"/>
        </w:rPr>
        <w:t>para</w:t>
      </w:r>
      <w:proofErr w:type="spellEnd"/>
      <w:r w:rsidRPr="00BA548B">
        <w:rPr>
          <w:rFonts w:ascii="Calibri" w:hAnsi="Calibri"/>
          <w:sz w:val="20"/>
          <w:szCs w:val="20"/>
        </w:rPr>
        <w:t>. 133.</w:t>
      </w:r>
    </w:p>
  </w:footnote>
  <w:footnote w:id="46">
    <w:p w14:paraId="5D6AD2F0" w14:textId="0D1DCAE3" w:rsidR="00662A43" w:rsidRPr="00BA548B" w:rsidRDefault="00662A43">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HRC</w:t>
      </w:r>
      <w:r w:rsidRPr="00BA548B">
        <w:rPr>
          <w:rFonts w:ascii="Calibri" w:hAnsi="Calibri"/>
          <w:bCs/>
          <w:sz w:val="20"/>
          <w:szCs w:val="20"/>
        </w:rPr>
        <w:t xml:space="preserve">, </w:t>
      </w:r>
      <w:r w:rsidRPr="00BA548B">
        <w:rPr>
          <w:rFonts w:ascii="Calibri" w:hAnsi="Calibri"/>
          <w:i/>
          <w:sz w:val="20"/>
          <w:szCs w:val="20"/>
        </w:rPr>
        <w:t>General Comment 34: Article 19 (Freedoms of expression and opinion)</w:t>
      </w:r>
      <w:r w:rsidRPr="00BA548B">
        <w:rPr>
          <w:rFonts w:ascii="Calibri" w:hAnsi="Calibri"/>
          <w:sz w:val="20"/>
          <w:szCs w:val="20"/>
        </w:rPr>
        <w:t xml:space="preserve">, UN Doc. CCPR/C/GC/34 (2011), </w:t>
      </w:r>
      <w:proofErr w:type="spellStart"/>
      <w:proofErr w:type="gramStart"/>
      <w:r w:rsidRPr="00BA548B">
        <w:rPr>
          <w:rFonts w:ascii="Calibri" w:hAnsi="Calibri"/>
          <w:sz w:val="20"/>
          <w:szCs w:val="20"/>
        </w:rPr>
        <w:t>para</w:t>
      </w:r>
      <w:proofErr w:type="spellEnd"/>
      <w:proofErr w:type="gramEnd"/>
      <w:r w:rsidRPr="00BA548B">
        <w:rPr>
          <w:rFonts w:ascii="Calibri" w:hAnsi="Calibri"/>
          <w:bCs/>
          <w:sz w:val="20"/>
          <w:szCs w:val="20"/>
        </w:rPr>
        <w:t>. 44.</w:t>
      </w:r>
    </w:p>
  </w:footnote>
  <w:footnote w:id="47">
    <w:p w14:paraId="5278152D" w14:textId="36CB9A76" w:rsidR="00662A43" w:rsidRPr="00BA548B" w:rsidRDefault="00662A43">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w:t>
      </w:r>
      <w:r w:rsidRPr="00BA548B">
        <w:rPr>
          <w:rFonts w:ascii="Calibri" w:hAnsi="Calibri"/>
          <w:i/>
          <w:sz w:val="20"/>
          <w:szCs w:val="20"/>
        </w:rPr>
        <w:t xml:space="preserve">Supra </w:t>
      </w:r>
      <w:r w:rsidRPr="00BA548B">
        <w:rPr>
          <w:rFonts w:ascii="Calibri" w:hAnsi="Calibri"/>
          <w:sz w:val="20"/>
          <w:szCs w:val="20"/>
        </w:rPr>
        <w:t>note 43.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CB0F5C" w14:textId="77777777" w:rsidR="00662A43" w:rsidRPr="00E550D2" w:rsidRDefault="00662A43" w:rsidP="009D2324">
    <w:pPr>
      <w:tabs>
        <w:tab w:val="left" w:pos="5529"/>
      </w:tabs>
      <w:ind w:left="4320" w:right="-914" w:firstLine="720"/>
      <w:rPr>
        <w:rFonts w:ascii="Arial" w:hAnsi="Arial" w:cs="Arial"/>
        <w:b/>
        <w:bCs/>
        <w:sz w:val="14"/>
        <w:szCs w:val="14"/>
      </w:rPr>
    </w:pPr>
    <w:r>
      <w:rPr>
        <w:noProof/>
        <w:sz w:val="20"/>
      </w:rPr>
      <w:pict w14:anchorId="63004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53pt;margin-top:9.6pt;width:108pt;height:19.8pt;z-index:251663360">
          <v:imagedata r:id="rId1" o:title=""/>
          <v:textbox style="mso-next-textbox:#_x0000_s2053"/>
          <w10:wrap type="square"/>
        </v:shape>
        <o:OLEObject Type="Embed" ProgID="Word.Picture.8" ShapeID="_x0000_s2053" DrawAspect="Content" ObjectID="_1487706230" r:id="rId2"/>
      </w:pict>
    </w:r>
    <w:r>
      <w:rPr>
        <w:noProof/>
        <w:sz w:val="20"/>
      </w:rPr>
      <mc:AlternateContent>
        <mc:Choice Requires="wps">
          <w:drawing>
            <wp:anchor distT="0" distB="0" distL="114300" distR="114300" simplePos="0" relativeHeight="251662336" behindDoc="0" locked="0" layoutInCell="1" allowOverlap="1" wp14:anchorId="7B014AC4" wp14:editId="7B9E344A">
              <wp:simplePos x="0" y="0"/>
              <wp:positionH relativeFrom="column">
                <wp:posOffset>3429000</wp:posOffset>
              </wp:positionH>
              <wp:positionV relativeFrom="paragraph">
                <wp:posOffset>7620</wp:posOffset>
              </wp:positionV>
              <wp:extent cx="0" cy="571500"/>
              <wp:effectExtent l="0" t="0" r="25400"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pt" to="270pt,4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"/>
          </w:pict>
        </mc:Fallback>
      </mc:AlternateContent>
    </w:r>
    <w:r>
      <w:tab/>
    </w:r>
    <w:proofErr w:type="spellStart"/>
    <w:proofErr w:type="gramStart"/>
    <w:r w:rsidRPr="00E550D2">
      <w:rPr>
        <w:rFonts w:ascii="Arial" w:hAnsi="Arial" w:cs="Arial"/>
        <w:b/>
        <w:bCs/>
        <w:sz w:val="14"/>
        <w:szCs w:val="14"/>
      </w:rPr>
      <w:t>greenpeace</w:t>
    </w:r>
    <w:proofErr w:type="spellEnd"/>
    <w:proofErr w:type="gramEnd"/>
    <w:r w:rsidRPr="00E550D2">
      <w:rPr>
        <w:rFonts w:ascii="Arial" w:hAnsi="Arial" w:cs="Arial"/>
        <w:b/>
        <w:bCs/>
        <w:sz w:val="14"/>
        <w:szCs w:val="14"/>
      </w:rPr>
      <w:t xml:space="preserve"> international</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proofErr w:type="spellStart"/>
    <w:r w:rsidRPr="00E550D2">
      <w:rPr>
        <w:rFonts w:ascii="Arial" w:hAnsi="Arial" w:cs="Arial"/>
        <w:sz w:val="14"/>
        <w:szCs w:val="14"/>
        <w:lang w:val="nl-NL"/>
      </w:rPr>
      <w:t>Ottho</w:t>
    </w:r>
    <w:proofErr w:type="spellEnd"/>
    <w:r w:rsidRPr="00E550D2">
      <w:rPr>
        <w:rFonts w:ascii="Arial" w:hAnsi="Arial" w:cs="Arial"/>
        <w:sz w:val="14"/>
        <w:szCs w:val="14"/>
        <w:lang w:val="nl-NL"/>
      </w:rPr>
      <w:t xml:space="preserve"> Heldringstraat 5, 1066 AZ, Amsterdam, Netherlands</w:t>
    </w:r>
  </w:p>
  <w:p w14:paraId="5A190207" w14:textId="77777777" w:rsidR="00662A43" w:rsidRPr="00E550D2" w:rsidRDefault="00662A43" w:rsidP="009D2324">
    <w:pPr>
      <w:tabs>
        <w:tab w:val="left" w:pos="5529"/>
      </w:tabs>
      <w:ind w:left="1440" w:right="-914" w:firstLine="720"/>
      <w:rPr>
        <w:rFonts w:ascii="Arial" w:hAnsi="Arial" w:cs="Arial"/>
        <w:sz w:val="14"/>
        <w:szCs w:val="14"/>
      </w:rPr>
    </w:pPr>
    <w:r>
      <w:rPr>
        <w:rFonts w:ascii="Arial" w:hAnsi="Arial" w:cs="Arial"/>
        <w:sz w:val="14"/>
        <w:szCs w:val="14"/>
        <w:lang w:val="nl-NL"/>
      </w:rPr>
      <w:tab/>
    </w:r>
    <w:proofErr w:type="gramStart"/>
    <w:r w:rsidRPr="00E550D2">
      <w:rPr>
        <w:rFonts w:ascii="Arial" w:hAnsi="Arial" w:cs="Arial"/>
        <w:sz w:val="14"/>
        <w:szCs w:val="14"/>
      </w:rPr>
      <w:t>t</w:t>
    </w:r>
    <w:proofErr w:type="gramEnd"/>
    <w:r w:rsidRPr="00E550D2">
      <w:rPr>
        <w:rFonts w:ascii="Arial" w:hAnsi="Arial" w:cs="Arial"/>
        <w:sz w:val="14"/>
        <w:szCs w:val="14"/>
      </w:rPr>
      <w:t xml:space="preserve"> +31 20 718 2000  f +31 20 514 8151</w:t>
    </w:r>
  </w:p>
  <w:p w14:paraId="0C6FBCEF" w14:textId="77777777" w:rsidR="00662A43" w:rsidRPr="00E550D2" w:rsidRDefault="00662A43" w:rsidP="009D2324">
    <w:pPr>
      <w:tabs>
        <w:tab w:val="left" w:pos="5529"/>
      </w:tabs>
      <w:ind w:left="1440" w:right="-914" w:firstLine="720"/>
      <w:rPr>
        <w:rFonts w:ascii="Arial" w:hAnsi="Arial" w:cs="Arial"/>
        <w:sz w:val="14"/>
        <w:szCs w:val="14"/>
      </w:rPr>
    </w:pPr>
    <w:r>
      <w:rPr>
        <w:rFonts w:ascii="Arial" w:hAnsi="Arial" w:cs="Arial"/>
        <w:sz w:val="14"/>
        <w:szCs w:val="14"/>
      </w:rPr>
      <w:tab/>
    </w:r>
    <w:proofErr w:type="spellStart"/>
    <w:r w:rsidRPr="00E550D2">
      <w:rPr>
        <w:rFonts w:ascii="Arial" w:hAnsi="Arial" w:cs="Arial"/>
        <w:sz w:val="14"/>
        <w:szCs w:val="14"/>
      </w:rPr>
      <w:t>k.v.k</w:t>
    </w:r>
    <w:proofErr w:type="spellEnd"/>
    <w:r w:rsidRPr="00E550D2">
      <w:rPr>
        <w:rFonts w:ascii="Arial" w:hAnsi="Arial" w:cs="Arial"/>
        <w:sz w:val="14"/>
        <w:szCs w:val="14"/>
      </w:rPr>
      <w:t xml:space="preserve">. </w:t>
    </w:r>
    <w:proofErr w:type="gramStart"/>
    <w:r w:rsidRPr="00E550D2">
      <w:rPr>
        <w:rFonts w:ascii="Arial" w:hAnsi="Arial" w:cs="Arial"/>
        <w:sz w:val="14"/>
        <w:szCs w:val="14"/>
      </w:rPr>
      <w:t>reg</w:t>
    </w:r>
    <w:proofErr w:type="gramEnd"/>
    <w:r w:rsidRPr="00E550D2">
      <w:rPr>
        <w:rFonts w:ascii="Arial" w:hAnsi="Arial" w:cs="Arial"/>
        <w:sz w:val="14"/>
        <w:szCs w:val="14"/>
      </w:rPr>
      <w:t xml:space="preserve">. 41200415 </w:t>
    </w:r>
    <w:proofErr w:type="spellStart"/>
    <w:r w:rsidRPr="00E550D2">
      <w:rPr>
        <w:rFonts w:ascii="Arial" w:hAnsi="Arial" w:cs="Arial"/>
        <w:sz w:val="14"/>
        <w:szCs w:val="14"/>
      </w:rPr>
      <w:t>stichting</w:t>
    </w:r>
    <w:proofErr w:type="spellEnd"/>
    <w:r w:rsidRPr="00E550D2">
      <w:rPr>
        <w:rFonts w:ascii="Arial" w:hAnsi="Arial" w:cs="Arial"/>
        <w:sz w:val="14"/>
        <w:szCs w:val="14"/>
      </w:rPr>
      <w:t xml:space="preserve"> </w:t>
    </w:r>
    <w:proofErr w:type="spellStart"/>
    <w:r w:rsidRPr="00E550D2">
      <w:rPr>
        <w:rFonts w:ascii="Arial" w:hAnsi="Arial" w:cs="Arial"/>
        <w:sz w:val="14"/>
        <w:szCs w:val="14"/>
      </w:rPr>
      <w:t>greenpeace</w:t>
    </w:r>
    <w:proofErr w:type="spellEnd"/>
    <w:r w:rsidRPr="00E550D2">
      <w:rPr>
        <w:rFonts w:ascii="Arial" w:hAnsi="Arial" w:cs="Arial"/>
        <w:sz w:val="14"/>
        <w:szCs w:val="14"/>
      </w:rPr>
      <w:t xml:space="preserve"> council</w:t>
    </w:r>
  </w:p>
  <w:p w14:paraId="35AFD000" w14:textId="77777777" w:rsidR="00662A43" w:rsidRPr="00E550D2" w:rsidRDefault="00662A43" w:rsidP="009D2324">
    <w:pPr>
      <w:tabs>
        <w:tab w:val="left" w:pos="5529"/>
      </w:tabs>
      <w:ind w:left="1440" w:right="-914" w:firstLine="720"/>
      <w:rPr>
        <w:rFonts w:ascii="Arial" w:hAnsi="Arial" w:cs="Arial"/>
        <w:b/>
        <w:bCs/>
        <w:sz w:val="14"/>
        <w:szCs w:val="14"/>
      </w:rPr>
    </w:pPr>
    <w:r>
      <w:rPr>
        <w:rFonts w:ascii="Arial" w:hAnsi="Arial" w:cs="Arial"/>
        <w:sz w:val="14"/>
        <w:szCs w:val="14"/>
      </w:rPr>
      <w:tab/>
    </w:r>
    <w:r w:rsidRPr="00E550D2">
      <w:rPr>
        <w:rFonts w:ascii="Arial" w:hAnsi="Arial" w:cs="Arial"/>
        <w:b/>
        <w:bCs/>
        <w:sz w:val="14"/>
        <w:szCs w:val="14"/>
      </w:rPr>
      <w:t>www.greenpeace.org</w:t>
    </w:r>
  </w:p>
  <w:p w14:paraId="34CB6C2A" w14:textId="77777777" w:rsidR="00662A43" w:rsidRDefault="00662A43" w:rsidP="009D2324">
    <w:pPr>
      <w:pStyle w:val="Header"/>
    </w:pPr>
  </w:p>
  <w:p w14:paraId="02AA8686" w14:textId="77777777" w:rsidR="00662A43" w:rsidRDefault="00662A4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E79DA"/>
    <w:multiLevelType w:val="hybridMultilevel"/>
    <w:tmpl w:val="5EEAC90E"/>
    <w:lvl w:ilvl="0" w:tplc="E82C87E8">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41C51"/>
    <w:multiLevelType w:val="hybridMultilevel"/>
    <w:tmpl w:val="5A107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5224B"/>
    <w:multiLevelType w:val="hybridMultilevel"/>
    <w:tmpl w:val="A8A2CDEA"/>
    <w:styleLink w:val="ImportedStyle3"/>
    <w:lvl w:ilvl="0" w:tplc="0568D52A">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0FFF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B89B08">
      <w:start w:val="1"/>
      <w:numFmt w:val="lowerRoman"/>
      <w:lvlText w:val="%3."/>
      <w:lvlJc w:val="left"/>
      <w:pPr>
        <w:ind w:left="216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E8F3D2">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0CAF2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82F1E2">
      <w:start w:val="1"/>
      <w:numFmt w:val="lowerRoman"/>
      <w:lvlText w:val="%6."/>
      <w:lvlJc w:val="left"/>
      <w:pPr>
        <w:ind w:left="432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5218C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D42DE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76CF5C">
      <w:start w:val="1"/>
      <w:numFmt w:val="lowerRoman"/>
      <w:lvlText w:val="%9."/>
      <w:lvlJc w:val="left"/>
      <w:pPr>
        <w:ind w:left="648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44DB4647"/>
    <w:multiLevelType w:val="hybridMultilevel"/>
    <w:tmpl w:val="A8A2CDEA"/>
    <w:numStyleLink w:val="ImportedStyle3"/>
  </w:abstractNum>
  <w:abstractNum w:abstractNumId="4">
    <w:nsid w:val="550D2BAF"/>
    <w:multiLevelType w:val="hybridMultilevel"/>
    <w:tmpl w:val="13620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E9D"/>
    <w:rsid w:val="00006D54"/>
    <w:rsid w:val="000074E7"/>
    <w:rsid w:val="00011ED8"/>
    <w:rsid w:val="00012BEA"/>
    <w:rsid w:val="00013734"/>
    <w:rsid w:val="00014E16"/>
    <w:rsid w:val="00020350"/>
    <w:rsid w:val="000216C0"/>
    <w:rsid w:val="00031817"/>
    <w:rsid w:val="00035406"/>
    <w:rsid w:val="00036970"/>
    <w:rsid w:val="000370E9"/>
    <w:rsid w:val="000375AF"/>
    <w:rsid w:val="00037AEB"/>
    <w:rsid w:val="0004170C"/>
    <w:rsid w:val="000429E9"/>
    <w:rsid w:val="000431E1"/>
    <w:rsid w:val="000475EA"/>
    <w:rsid w:val="00050EE6"/>
    <w:rsid w:val="00053B16"/>
    <w:rsid w:val="00053EBF"/>
    <w:rsid w:val="00055134"/>
    <w:rsid w:val="0006658B"/>
    <w:rsid w:val="00067CAD"/>
    <w:rsid w:val="00070F77"/>
    <w:rsid w:val="000716EE"/>
    <w:rsid w:val="00072D37"/>
    <w:rsid w:val="000763BE"/>
    <w:rsid w:val="000769C7"/>
    <w:rsid w:val="000842C6"/>
    <w:rsid w:val="0008520E"/>
    <w:rsid w:val="00086AD9"/>
    <w:rsid w:val="0008734E"/>
    <w:rsid w:val="00090DD2"/>
    <w:rsid w:val="00091F48"/>
    <w:rsid w:val="0009341B"/>
    <w:rsid w:val="00095941"/>
    <w:rsid w:val="00095E7D"/>
    <w:rsid w:val="0009717A"/>
    <w:rsid w:val="000A0339"/>
    <w:rsid w:val="000A06D4"/>
    <w:rsid w:val="000A3A06"/>
    <w:rsid w:val="000A574D"/>
    <w:rsid w:val="000B1122"/>
    <w:rsid w:val="000B43A5"/>
    <w:rsid w:val="000B44EA"/>
    <w:rsid w:val="000B467C"/>
    <w:rsid w:val="000C2E56"/>
    <w:rsid w:val="000C40FC"/>
    <w:rsid w:val="000C4F47"/>
    <w:rsid w:val="000C645C"/>
    <w:rsid w:val="000C7C3D"/>
    <w:rsid w:val="000C7E64"/>
    <w:rsid w:val="000D1761"/>
    <w:rsid w:val="000D359D"/>
    <w:rsid w:val="000D3D67"/>
    <w:rsid w:val="000D3DA6"/>
    <w:rsid w:val="000D569E"/>
    <w:rsid w:val="000D6CA4"/>
    <w:rsid w:val="000D6E65"/>
    <w:rsid w:val="000D74F1"/>
    <w:rsid w:val="000D7B7A"/>
    <w:rsid w:val="000E07D6"/>
    <w:rsid w:val="000E11BF"/>
    <w:rsid w:val="000E307A"/>
    <w:rsid w:val="000E42E3"/>
    <w:rsid w:val="000E521F"/>
    <w:rsid w:val="000E6E31"/>
    <w:rsid w:val="000F0146"/>
    <w:rsid w:val="000F3286"/>
    <w:rsid w:val="000F672A"/>
    <w:rsid w:val="000F6C8F"/>
    <w:rsid w:val="000F7578"/>
    <w:rsid w:val="00105078"/>
    <w:rsid w:val="0011182E"/>
    <w:rsid w:val="0012167B"/>
    <w:rsid w:val="00121B40"/>
    <w:rsid w:val="00124854"/>
    <w:rsid w:val="00125584"/>
    <w:rsid w:val="001260AB"/>
    <w:rsid w:val="00136EC1"/>
    <w:rsid w:val="001378F6"/>
    <w:rsid w:val="00142495"/>
    <w:rsid w:val="0014480E"/>
    <w:rsid w:val="00147A37"/>
    <w:rsid w:val="00150E2D"/>
    <w:rsid w:val="0015694B"/>
    <w:rsid w:val="0016539B"/>
    <w:rsid w:val="001658E3"/>
    <w:rsid w:val="001823BB"/>
    <w:rsid w:val="00183BA3"/>
    <w:rsid w:val="00187589"/>
    <w:rsid w:val="00190186"/>
    <w:rsid w:val="0019150C"/>
    <w:rsid w:val="001925D0"/>
    <w:rsid w:val="00193628"/>
    <w:rsid w:val="001A0D45"/>
    <w:rsid w:val="001A2139"/>
    <w:rsid w:val="001A7E1F"/>
    <w:rsid w:val="001B233C"/>
    <w:rsid w:val="001B37B6"/>
    <w:rsid w:val="001C0772"/>
    <w:rsid w:val="001C2002"/>
    <w:rsid w:val="001C5140"/>
    <w:rsid w:val="001D565D"/>
    <w:rsid w:val="001D589E"/>
    <w:rsid w:val="001E235B"/>
    <w:rsid w:val="001E3578"/>
    <w:rsid w:val="001E3FBC"/>
    <w:rsid w:val="001E428E"/>
    <w:rsid w:val="001F0977"/>
    <w:rsid w:val="001F163B"/>
    <w:rsid w:val="001F38EB"/>
    <w:rsid w:val="002041D3"/>
    <w:rsid w:val="00207F93"/>
    <w:rsid w:val="00212858"/>
    <w:rsid w:val="00212ED3"/>
    <w:rsid w:val="00215526"/>
    <w:rsid w:val="002160CB"/>
    <w:rsid w:val="0021698D"/>
    <w:rsid w:val="00217063"/>
    <w:rsid w:val="00223EEC"/>
    <w:rsid w:val="00230AEB"/>
    <w:rsid w:val="002332B4"/>
    <w:rsid w:val="002335F1"/>
    <w:rsid w:val="00234EE5"/>
    <w:rsid w:val="002352B6"/>
    <w:rsid w:val="00237823"/>
    <w:rsid w:val="0024366C"/>
    <w:rsid w:val="0024595A"/>
    <w:rsid w:val="00250976"/>
    <w:rsid w:val="00252F12"/>
    <w:rsid w:val="00254FD9"/>
    <w:rsid w:val="0025625E"/>
    <w:rsid w:val="00257475"/>
    <w:rsid w:val="00262A96"/>
    <w:rsid w:val="0026312E"/>
    <w:rsid w:val="002649BC"/>
    <w:rsid w:val="00265102"/>
    <w:rsid w:val="00265A51"/>
    <w:rsid w:val="0027080E"/>
    <w:rsid w:val="00276B61"/>
    <w:rsid w:val="00276D41"/>
    <w:rsid w:val="00276EA4"/>
    <w:rsid w:val="00276FB7"/>
    <w:rsid w:val="0028368D"/>
    <w:rsid w:val="00286308"/>
    <w:rsid w:val="00291A32"/>
    <w:rsid w:val="00291A84"/>
    <w:rsid w:val="002934F7"/>
    <w:rsid w:val="00294913"/>
    <w:rsid w:val="002975DD"/>
    <w:rsid w:val="002A2044"/>
    <w:rsid w:val="002A2B97"/>
    <w:rsid w:val="002A2CDD"/>
    <w:rsid w:val="002A3A4F"/>
    <w:rsid w:val="002A5058"/>
    <w:rsid w:val="002B4F29"/>
    <w:rsid w:val="002B7AE1"/>
    <w:rsid w:val="002C03F5"/>
    <w:rsid w:val="002C2DE0"/>
    <w:rsid w:val="002C311D"/>
    <w:rsid w:val="002C63F3"/>
    <w:rsid w:val="002C75EB"/>
    <w:rsid w:val="002D0265"/>
    <w:rsid w:val="002D47A6"/>
    <w:rsid w:val="002D54C7"/>
    <w:rsid w:val="002D5F9D"/>
    <w:rsid w:val="002E1113"/>
    <w:rsid w:val="002E2436"/>
    <w:rsid w:val="002E27EC"/>
    <w:rsid w:val="002E308E"/>
    <w:rsid w:val="002E3801"/>
    <w:rsid w:val="002E5B1D"/>
    <w:rsid w:val="002E6565"/>
    <w:rsid w:val="002E6713"/>
    <w:rsid w:val="002F2D02"/>
    <w:rsid w:val="002F40C2"/>
    <w:rsid w:val="002F544C"/>
    <w:rsid w:val="002F65DB"/>
    <w:rsid w:val="00302103"/>
    <w:rsid w:val="00303B08"/>
    <w:rsid w:val="003070C6"/>
    <w:rsid w:val="00312846"/>
    <w:rsid w:val="00317384"/>
    <w:rsid w:val="00320265"/>
    <w:rsid w:val="00340239"/>
    <w:rsid w:val="00341A1F"/>
    <w:rsid w:val="00347849"/>
    <w:rsid w:val="0034794E"/>
    <w:rsid w:val="0035178A"/>
    <w:rsid w:val="00355328"/>
    <w:rsid w:val="0035600A"/>
    <w:rsid w:val="00361B1B"/>
    <w:rsid w:val="0036231B"/>
    <w:rsid w:val="00362489"/>
    <w:rsid w:val="00363E87"/>
    <w:rsid w:val="00363F6F"/>
    <w:rsid w:val="003674FC"/>
    <w:rsid w:val="00370CA2"/>
    <w:rsid w:val="00372B13"/>
    <w:rsid w:val="00375480"/>
    <w:rsid w:val="00375747"/>
    <w:rsid w:val="00376C59"/>
    <w:rsid w:val="00377D77"/>
    <w:rsid w:val="00382067"/>
    <w:rsid w:val="00385180"/>
    <w:rsid w:val="00385F87"/>
    <w:rsid w:val="0038679C"/>
    <w:rsid w:val="00390473"/>
    <w:rsid w:val="00394C77"/>
    <w:rsid w:val="003A0785"/>
    <w:rsid w:val="003A24C2"/>
    <w:rsid w:val="003A59CD"/>
    <w:rsid w:val="003A617C"/>
    <w:rsid w:val="003A675F"/>
    <w:rsid w:val="003A7486"/>
    <w:rsid w:val="003B03F5"/>
    <w:rsid w:val="003B502C"/>
    <w:rsid w:val="003C03FC"/>
    <w:rsid w:val="003C0F6F"/>
    <w:rsid w:val="003C1168"/>
    <w:rsid w:val="003C3BA3"/>
    <w:rsid w:val="003C4117"/>
    <w:rsid w:val="003C5733"/>
    <w:rsid w:val="003C6400"/>
    <w:rsid w:val="003C68CB"/>
    <w:rsid w:val="003C7FB4"/>
    <w:rsid w:val="003D0F28"/>
    <w:rsid w:val="003D3912"/>
    <w:rsid w:val="003D5D76"/>
    <w:rsid w:val="003D61A0"/>
    <w:rsid w:val="003E4C27"/>
    <w:rsid w:val="003E52AC"/>
    <w:rsid w:val="003E541C"/>
    <w:rsid w:val="003E5D31"/>
    <w:rsid w:val="003E7757"/>
    <w:rsid w:val="003E7A60"/>
    <w:rsid w:val="003F0E1E"/>
    <w:rsid w:val="003F12D3"/>
    <w:rsid w:val="003F36C4"/>
    <w:rsid w:val="003F3C2C"/>
    <w:rsid w:val="003F69DD"/>
    <w:rsid w:val="003F76DE"/>
    <w:rsid w:val="00400B28"/>
    <w:rsid w:val="00403B74"/>
    <w:rsid w:val="00406282"/>
    <w:rsid w:val="00412FC4"/>
    <w:rsid w:val="004140BE"/>
    <w:rsid w:val="00415B42"/>
    <w:rsid w:val="00415BF3"/>
    <w:rsid w:val="00415FFA"/>
    <w:rsid w:val="00417045"/>
    <w:rsid w:val="00423CC6"/>
    <w:rsid w:val="00426538"/>
    <w:rsid w:val="00430E07"/>
    <w:rsid w:val="00433A01"/>
    <w:rsid w:val="004341F2"/>
    <w:rsid w:val="004354E2"/>
    <w:rsid w:val="004357E8"/>
    <w:rsid w:val="004360D4"/>
    <w:rsid w:val="004433E1"/>
    <w:rsid w:val="00444D70"/>
    <w:rsid w:val="00444DE9"/>
    <w:rsid w:val="004463F3"/>
    <w:rsid w:val="00450655"/>
    <w:rsid w:val="0045144D"/>
    <w:rsid w:val="00452379"/>
    <w:rsid w:val="00452DE5"/>
    <w:rsid w:val="00454988"/>
    <w:rsid w:val="0045684D"/>
    <w:rsid w:val="004574B0"/>
    <w:rsid w:val="00457510"/>
    <w:rsid w:val="0046075F"/>
    <w:rsid w:val="00464BA4"/>
    <w:rsid w:val="00474BB5"/>
    <w:rsid w:val="0047534E"/>
    <w:rsid w:val="004767DC"/>
    <w:rsid w:val="00477277"/>
    <w:rsid w:val="00480B06"/>
    <w:rsid w:val="0048272E"/>
    <w:rsid w:val="00482944"/>
    <w:rsid w:val="00484B4B"/>
    <w:rsid w:val="00485B55"/>
    <w:rsid w:val="004861DE"/>
    <w:rsid w:val="004863C0"/>
    <w:rsid w:val="00486981"/>
    <w:rsid w:val="004877F1"/>
    <w:rsid w:val="00492992"/>
    <w:rsid w:val="004940DF"/>
    <w:rsid w:val="00495A47"/>
    <w:rsid w:val="004969AC"/>
    <w:rsid w:val="00496CBC"/>
    <w:rsid w:val="004972AA"/>
    <w:rsid w:val="004A059F"/>
    <w:rsid w:val="004B1527"/>
    <w:rsid w:val="004C0864"/>
    <w:rsid w:val="004C1088"/>
    <w:rsid w:val="004C1B49"/>
    <w:rsid w:val="004C6E89"/>
    <w:rsid w:val="004D030A"/>
    <w:rsid w:val="004D1696"/>
    <w:rsid w:val="004D3924"/>
    <w:rsid w:val="004D4970"/>
    <w:rsid w:val="004E4964"/>
    <w:rsid w:val="004E4D08"/>
    <w:rsid w:val="004E5F56"/>
    <w:rsid w:val="004E6710"/>
    <w:rsid w:val="004E706B"/>
    <w:rsid w:val="004F1A88"/>
    <w:rsid w:val="004F1FB7"/>
    <w:rsid w:val="004F47F2"/>
    <w:rsid w:val="00505160"/>
    <w:rsid w:val="0050616E"/>
    <w:rsid w:val="00506CFC"/>
    <w:rsid w:val="005071F1"/>
    <w:rsid w:val="00510643"/>
    <w:rsid w:val="00514213"/>
    <w:rsid w:val="00516C58"/>
    <w:rsid w:val="00517585"/>
    <w:rsid w:val="0051798D"/>
    <w:rsid w:val="005201FC"/>
    <w:rsid w:val="0052349F"/>
    <w:rsid w:val="0052394C"/>
    <w:rsid w:val="0052522A"/>
    <w:rsid w:val="0053242A"/>
    <w:rsid w:val="0053564E"/>
    <w:rsid w:val="00536DDF"/>
    <w:rsid w:val="0054106F"/>
    <w:rsid w:val="00543494"/>
    <w:rsid w:val="00546C0E"/>
    <w:rsid w:val="005475EF"/>
    <w:rsid w:val="00552974"/>
    <w:rsid w:val="005551D3"/>
    <w:rsid w:val="0055620C"/>
    <w:rsid w:val="00556B82"/>
    <w:rsid w:val="0056000C"/>
    <w:rsid w:val="005608B6"/>
    <w:rsid w:val="00561373"/>
    <w:rsid w:val="00563353"/>
    <w:rsid w:val="00563617"/>
    <w:rsid w:val="005666E9"/>
    <w:rsid w:val="00566B23"/>
    <w:rsid w:val="00567C01"/>
    <w:rsid w:val="005776A3"/>
    <w:rsid w:val="005805D9"/>
    <w:rsid w:val="0058133B"/>
    <w:rsid w:val="005846E0"/>
    <w:rsid w:val="005867D8"/>
    <w:rsid w:val="00587A11"/>
    <w:rsid w:val="00591CF0"/>
    <w:rsid w:val="00594EDD"/>
    <w:rsid w:val="00594F23"/>
    <w:rsid w:val="00596009"/>
    <w:rsid w:val="005A092E"/>
    <w:rsid w:val="005A4BF8"/>
    <w:rsid w:val="005A4D51"/>
    <w:rsid w:val="005A4FB3"/>
    <w:rsid w:val="005A5313"/>
    <w:rsid w:val="005B4386"/>
    <w:rsid w:val="005B5DAC"/>
    <w:rsid w:val="005C284E"/>
    <w:rsid w:val="005C7202"/>
    <w:rsid w:val="005C7532"/>
    <w:rsid w:val="005D3D58"/>
    <w:rsid w:val="005D46E8"/>
    <w:rsid w:val="005E1DA7"/>
    <w:rsid w:val="005E4018"/>
    <w:rsid w:val="005F0422"/>
    <w:rsid w:val="005F0B70"/>
    <w:rsid w:val="005F128F"/>
    <w:rsid w:val="005F1511"/>
    <w:rsid w:val="005F1760"/>
    <w:rsid w:val="005F1F8D"/>
    <w:rsid w:val="005F71C1"/>
    <w:rsid w:val="00600516"/>
    <w:rsid w:val="006034C1"/>
    <w:rsid w:val="00604329"/>
    <w:rsid w:val="006065A3"/>
    <w:rsid w:val="00607316"/>
    <w:rsid w:val="0061126F"/>
    <w:rsid w:val="00611911"/>
    <w:rsid w:val="006153A9"/>
    <w:rsid w:val="00616D6E"/>
    <w:rsid w:val="0061759E"/>
    <w:rsid w:val="00626149"/>
    <w:rsid w:val="006266C4"/>
    <w:rsid w:val="006270A6"/>
    <w:rsid w:val="006324AC"/>
    <w:rsid w:val="00636099"/>
    <w:rsid w:val="0064188A"/>
    <w:rsid w:val="00642057"/>
    <w:rsid w:val="0064280D"/>
    <w:rsid w:val="00644231"/>
    <w:rsid w:val="00645041"/>
    <w:rsid w:val="006455FE"/>
    <w:rsid w:val="00647016"/>
    <w:rsid w:val="00650FC1"/>
    <w:rsid w:val="00651E60"/>
    <w:rsid w:val="00652733"/>
    <w:rsid w:val="00653344"/>
    <w:rsid w:val="00655BE8"/>
    <w:rsid w:val="00656359"/>
    <w:rsid w:val="00662816"/>
    <w:rsid w:val="00662A43"/>
    <w:rsid w:val="006634DA"/>
    <w:rsid w:val="00664C79"/>
    <w:rsid w:val="00666787"/>
    <w:rsid w:val="00667310"/>
    <w:rsid w:val="00670D11"/>
    <w:rsid w:val="00671681"/>
    <w:rsid w:val="006778C3"/>
    <w:rsid w:val="00681785"/>
    <w:rsid w:val="00681BB7"/>
    <w:rsid w:val="00683C17"/>
    <w:rsid w:val="0069411D"/>
    <w:rsid w:val="00697B88"/>
    <w:rsid w:val="006A0D76"/>
    <w:rsid w:val="006A6D7F"/>
    <w:rsid w:val="006B64D5"/>
    <w:rsid w:val="006B7A4E"/>
    <w:rsid w:val="006C066D"/>
    <w:rsid w:val="006C19C9"/>
    <w:rsid w:val="006C1D41"/>
    <w:rsid w:val="006C390D"/>
    <w:rsid w:val="006D07D0"/>
    <w:rsid w:val="006D0F0B"/>
    <w:rsid w:val="006E1AD8"/>
    <w:rsid w:val="006E4910"/>
    <w:rsid w:val="006E552B"/>
    <w:rsid w:val="006E74CC"/>
    <w:rsid w:val="006F0C1B"/>
    <w:rsid w:val="006F0E53"/>
    <w:rsid w:val="006F3A8B"/>
    <w:rsid w:val="006F48E9"/>
    <w:rsid w:val="006F702B"/>
    <w:rsid w:val="006F7D76"/>
    <w:rsid w:val="00701237"/>
    <w:rsid w:val="00702F36"/>
    <w:rsid w:val="00710B36"/>
    <w:rsid w:val="00711A72"/>
    <w:rsid w:val="0071256E"/>
    <w:rsid w:val="007135F7"/>
    <w:rsid w:val="007136D2"/>
    <w:rsid w:val="0072049D"/>
    <w:rsid w:val="00721091"/>
    <w:rsid w:val="00722ABF"/>
    <w:rsid w:val="0072347F"/>
    <w:rsid w:val="007238DE"/>
    <w:rsid w:val="0072454D"/>
    <w:rsid w:val="00724A8C"/>
    <w:rsid w:val="00725776"/>
    <w:rsid w:val="00735D60"/>
    <w:rsid w:val="00740DAB"/>
    <w:rsid w:val="00745B97"/>
    <w:rsid w:val="00745C06"/>
    <w:rsid w:val="00746ED3"/>
    <w:rsid w:val="007502ED"/>
    <w:rsid w:val="007538F7"/>
    <w:rsid w:val="00753C88"/>
    <w:rsid w:val="00756D92"/>
    <w:rsid w:val="007610B4"/>
    <w:rsid w:val="007611FE"/>
    <w:rsid w:val="0076301D"/>
    <w:rsid w:val="007662A6"/>
    <w:rsid w:val="00766A15"/>
    <w:rsid w:val="00767A56"/>
    <w:rsid w:val="00775E07"/>
    <w:rsid w:val="0078230F"/>
    <w:rsid w:val="00784377"/>
    <w:rsid w:val="007869A7"/>
    <w:rsid w:val="00791744"/>
    <w:rsid w:val="007944F6"/>
    <w:rsid w:val="00794D0E"/>
    <w:rsid w:val="00795DB2"/>
    <w:rsid w:val="007A346E"/>
    <w:rsid w:val="007B09AA"/>
    <w:rsid w:val="007B1680"/>
    <w:rsid w:val="007B1E6A"/>
    <w:rsid w:val="007B6A04"/>
    <w:rsid w:val="007C3327"/>
    <w:rsid w:val="007C4C4E"/>
    <w:rsid w:val="007C60FD"/>
    <w:rsid w:val="007D033E"/>
    <w:rsid w:val="007D132B"/>
    <w:rsid w:val="007D1A97"/>
    <w:rsid w:val="007D49F3"/>
    <w:rsid w:val="007D507D"/>
    <w:rsid w:val="007D6851"/>
    <w:rsid w:val="007E1120"/>
    <w:rsid w:val="007E6755"/>
    <w:rsid w:val="007E7A6E"/>
    <w:rsid w:val="007F000B"/>
    <w:rsid w:val="007F127E"/>
    <w:rsid w:val="007F12B4"/>
    <w:rsid w:val="007F2069"/>
    <w:rsid w:val="007F28D0"/>
    <w:rsid w:val="007F2B14"/>
    <w:rsid w:val="007F5EE2"/>
    <w:rsid w:val="007F6DAF"/>
    <w:rsid w:val="00805779"/>
    <w:rsid w:val="0080617F"/>
    <w:rsid w:val="00811024"/>
    <w:rsid w:val="00811E5B"/>
    <w:rsid w:val="00812894"/>
    <w:rsid w:val="0081734C"/>
    <w:rsid w:val="00817BD0"/>
    <w:rsid w:val="00820473"/>
    <w:rsid w:val="00821DCB"/>
    <w:rsid w:val="00822A9B"/>
    <w:rsid w:val="00826465"/>
    <w:rsid w:val="008277D0"/>
    <w:rsid w:val="00832316"/>
    <w:rsid w:val="00834CF9"/>
    <w:rsid w:val="00835AF8"/>
    <w:rsid w:val="00840420"/>
    <w:rsid w:val="00846A3F"/>
    <w:rsid w:val="00850C13"/>
    <w:rsid w:val="00851BA4"/>
    <w:rsid w:val="00861298"/>
    <w:rsid w:val="00865664"/>
    <w:rsid w:val="00865A16"/>
    <w:rsid w:val="00867EEF"/>
    <w:rsid w:val="008705D7"/>
    <w:rsid w:val="00870873"/>
    <w:rsid w:val="00873287"/>
    <w:rsid w:val="00880549"/>
    <w:rsid w:val="008808D9"/>
    <w:rsid w:val="0088135D"/>
    <w:rsid w:val="0088397B"/>
    <w:rsid w:val="00883E9D"/>
    <w:rsid w:val="008857CA"/>
    <w:rsid w:val="0088757B"/>
    <w:rsid w:val="00887DE3"/>
    <w:rsid w:val="00893A05"/>
    <w:rsid w:val="00894E95"/>
    <w:rsid w:val="008A003B"/>
    <w:rsid w:val="008A2196"/>
    <w:rsid w:val="008A6327"/>
    <w:rsid w:val="008A77EA"/>
    <w:rsid w:val="008B04E9"/>
    <w:rsid w:val="008B2B49"/>
    <w:rsid w:val="008B648C"/>
    <w:rsid w:val="008B7AF1"/>
    <w:rsid w:val="008C1633"/>
    <w:rsid w:val="008C36E6"/>
    <w:rsid w:val="008C4A1F"/>
    <w:rsid w:val="008D135D"/>
    <w:rsid w:val="008D3B2C"/>
    <w:rsid w:val="008D4ED3"/>
    <w:rsid w:val="008D6D33"/>
    <w:rsid w:val="008E2D97"/>
    <w:rsid w:val="008E3FE6"/>
    <w:rsid w:val="008E505D"/>
    <w:rsid w:val="008E51EF"/>
    <w:rsid w:val="008E706F"/>
    <w:rsid w:val="008E7F19"/>
    <w:rsid w:val="008F2552"/>
    <w:rsid w:val="008F6888"/>
    <w:rsid w:val="00900224"/>
    <w:rsid w:val="00902079"/>
    <w:rsid w:val="00903B79"/>
    <w:rsid w:val="00905734"/>
    <w:rsid w:val="00907682"/>
    <w:rsid w:val="0091078F"/>
    <w:rsid w:val="00913B2E"/>
    <w:rsid w:val="00914398"/>
    <w:rsid w:val="00916756"/>
    <w:rsid w:val="00921149"/>
    <w:rsid w:val="009227C5"/>
    <w:rsid w:val="00927385"/>
    <w:rsid w:val="00927647"/>
    <w:rsid w:val="0093098B"/>
    <w:rsid w:val="00930DBD"/>
    <w:rsid w:val="009356BA"/>
    <w:rsid w:val="009423FF"/>
    <w:rsid w:val="00944379"/>
    <w:rsid w:val="00947432"/>
    <w:rsid w:val="00947ECC"/>
    <w:rsid w:val="0095560A"/>
    <w:rsid w:val="00956955"/>
    <w:rsid w:val="00963474"/>
    <w:rsid w:val="00973450"/>
    <w:rsid w:val="00973944"/>
    <w:rsid w:val="00974178"/>
    <w:rsid w:val="00975FDD"/>
    <w:rsid w:val="00982265"/>
    <w:rsid w:val="00982697"/>
    <w:rsid w:val="009835F2"/>
    <w:rsid w:val="00987E4C"/>
    <w:rsid w:val="00991F30"/>
    <w:rsid w:val="009A254F"/>
    <w:rsid w:val="009A7446"/>
    <w:rsid w:val="009B0152"/>
    <w:rsid w:val="009B371D"/>
    <w:rsid w:val="009B4153"/>
    <w:rsid w:val="009C0F95"/>
    <w:rsid w:val="009C29D5"/>
    <w:rsid w:val="009C4406"/>
    <w:rsid w:val="009C7AE4"/>
    <w:rsid w:val="009D0164"/>
    <w:rsid w:val="009D1964"/>
    <w:rsid w:val="009D2324"/>
    <w:rsid w:val="009D2872"/>
    <w:rsid w:val="009D28F6"/>
    <w:rsid w:val="009D2C34"/>
    <w:rsid w:val="009D3225"/>
    <w:rsid w:val="009D34E7"/>
    <w:rsid w:val="009D45B7"/>
    <w:rsid w:val="009D75C3"/>
    <w:rsid w:val="009D7785"/>
    <w:rsid w:val="009E427C"/>
    <w:rsid w:val="009E5701"/>
    <w:rsid w:val="009E5A79"/>
    <w:rsid w:val="009F0512"/>
    <w:rsid w:val="009F3AC5"/>
    <w:rsid w:val="009F49B8"/>
    <w:rsid w:val="009F5DC9"/>
    <w:rsid w:val="009F623E"/>
    <w:rsid w:val="009F6F25"/>
    <w:rsid w:val="009F7BCA"/>
    <w:rsid w:val="00A000A6"/>
    <w:rsid w:val="00A00569"/>
    <w:rsid w:val="00A055C9"/>
    <w:rsid w:val="00A0638F"/>
    <w:rsid w:val="00A104E2"/>
    <w:rsid w:val="00A1280C"/>
    <w:rsid w:val="00A1388A"/>
    <w:rsid w:val="00A163C6"/>
    <w:rsid w:val="00A2190C"/>
    <w:rsid w:val="00A2773D"/>
    <w:rsid w:val="00A322AE"/>
    <w:rsid w:val="00A33268"/>
    <w:rsid w:val="00A350B5"/>
    <w:rsid w:val="00A35F60"/>
    <w:rsid w:val="00A36A5C"/>
    <w:rsid w:val="00A40F80"/>
    <w:rsid w:val="00A41EC9"/>
    <w:rsid w:val="00A424F0"/>
    <w:rsid w:val="00A50C62"/>
    <w:rsid w:val="00A50CD3"/>
    <w:rsid w:val="00A50D4E"/>
    <w:rsid w:val="00A52035"/>
    <w:rsid w:val="00A52313"/>
    <w:rsid w:val="00A56E2E"/>
    <w:rsid w:val="00A6000C"/>
    <w:rsid w:val="00A606D1"/>
    <w:rsid w:val="00A61A0B"/>
    <w:rsid w:val="00A61ACC"/>
    <w:rsid w:val="00A640D4"/>
    <w:rsid w:val="00A64C23"/>
    <w:rsid w:val="00A65EAC"/>
    <w:rsid w:val="00A67037"/>
    <w:rsid w:val="00A775B4"/>
    <w:rsid w:val="00A80659"/>
    <w:rsid w:val="00A81684"/>
    <w:rsid w:val="00A82BBB"/>
    <w:rsid w:val="00A867E4"/>
    <w:rsid w:val="00A86DFB"/>
    <w:rsid w:val="00A8781A"/>
    <w:rsid w:val="00A9393C"/>
    <w:rsid w:val="00A93F2B"/>
    <w:rsid w:val="00AA3660"/>
    <w:rsid w:val="00AA48A6"/>
    <w:rsid w:val="00AA5325"/>
    <w:rsid w:val="00AA5915"/>
    <w:rsid w:val="00AA6218"/>
    <w:rsid w:val="00AB03D1"/>
    <w:rsid w:val="00AB1303"/>
    <w:rsid w:val="00AB281D"/>
    <w:rsid w:val="00AB2D44"/>
    <w:rsid w:val="00AB3879"/>
    <w:rsid w:val="00AB44D0"/>
    <w:rsid w:val="00AB4573"/>
    <w:rsid w:val="00AB71C4"/>
    <w:rsid w:val="00AB7A53"/>
    <w:rsid w:val="00AC229B"/>
    <w:rsid w:val="00AC2E9F"/>
    <w:rsid w:val="00AC4007"/>
    <w:rsid w:val="00AC5392"/>
    <w:rsid w:val="00AC7FA7"/>
    <w:rsid w:val="00AD344F"/>
    <w:rsid w:val="00AD37EF"/>
    <w:rsid w:val="00AD3BB4"/>
    <w:rsid w:val="00AD4A6D"/>
    <w:rsid w:val="00AE1ECA"/>
    <w:rsid w:val="00AE287A"/>
    <w:rsid w:val="00AE3527"/>
    <w:rsid w:val="00AE43D4"/>
    <w:rsid w:val="00AE456D"/>
    <w:rsid w:val="00AE77AB"/>
    <w:rsid w:val="00AF03C3"/>
    <w:rsid w:val="00AF2BF7"/>
    <w:rsid w:val="00AF3765"/>
    <w:rsid w:val="00AF3A9F"/>
    <w:rsid w:val="00AF46E1"/>
    <w:rsid w:val="00AF48BF"/>
    <w:rsid w:val="00B00945"/>
    <w:rsid w:val="00B00C60"/>
    <w:rsid w:val="00B02766"/>
    <w:rsid w:val="00B02BE8"/>
    <w:rsid w:val="00B1154F"/>
    <w:rsid w:val="00B12472"/>
    <w:rsid w:val="00B127B1"/>
    <w:rsid w:val="00B15036"/>
    <w:rsid w:val="00B16958"/>
    <w:rsid w:val="00B17CE0"/>
    <w:rsid w:val="00B208D9"/>
    <w:rsid w:val="00B217F7"/>
    <w:rsid w:val="00B24148"/>
    <w:rsid w:val="00B30E24"/>
    <w:rsid w:val="00B31DDA"/>
    <w:rsid w:val="00B341F4"/>
    <w:rsid w:val="00B40BB8"/>
    <w:rsid w:val="00B40E3C"/>
    <w:rsid w:val="00B44B91"/>
    <w:rsid w:val="00B46D91"/>
    <w:rsid w:val="00B50B8F"/>
    <w:rsid w:val="00B510AD"/>
    <w:rsid w:val="00B51A1E"/>
    <w:rsid w:val="00B538E4"/>
    <w:rsid w:val="00B53D12"/>
    <w:rsid w:val="00B56225"/>
    <w:rsid w:val="00B600C9"/>
    <w:rsid w:val="00B63993"/>
    <w:rsid w:val="00B64CF0"/>
    <w:rsid w:val="00B67383"/>
    <w:rsid w:val="00B72B8A"/>
    <w:rsid w:val="00B751CD"/>
    <w:rsid w:val="00B756D3"/>
    <w:rsid w:val="00B75795"/>
    <w:rsid w:val="00B820AC"/>
    <w:rsid w:val="00B823A2"/>
    <w:rsid w:val="00B841DE"/>
    <w:rsid w:val="00B9051C"/>
    <w:rsid w:val="00B95FE1"/>
    <w:rsid w:val="00BA299E"/>
    <w:rsid w:val="00BA548B"/>
    <w:rsid w:val="00BA7248"/>
    <w:rsid w:val="00BA7689"/>
    <w:rsid w:val="00BB077B"/>
    <w:rsid w:val="00BB4610"/>
    <w:rsid w:val="00BB511C"/>
    <w:rsid w:val="00BB7E20"/>
    <w:rsid w:val="00BC2084"/>
    <w:rsid w:val="00BC2689"/>
    <w:rsid w:val="00BC2EAE"/>
    <w:rsid w:val="00BC47C8"/>
    <w:rsid w:val="00BC53FE"/>
    <w:rsid w:val="00BC7214"/>
    <w:rsid w:val="00BD1C19"/>
    <w:rsid w:val="00BD28F2"/>
    <w:rsid w:val="00BD3A48"/>
    <w:rsid w:val="00BD56E5"/>
    <w:rsid w:val="00BD5FFF"/>
    <w:rsid w:val="00BE1FF1"/>
    <w:rsid w:val="00BE41A3"/>
    <w:rsid w:val="00BE4259"/>
    <w:rsid w:val="00BE4A17"/>
    <w:rsid w:val="00BF1136"/>
    <w:rsid w:val="00C012B3"/>
    <w:rsid w:val="00C049DB"/>
    <w:rsid w:val="00C07D20"/>
    <w:rsid w:val="00C1153B"/>
    <w:rsid w:val="00C11972"/>
    <w:rsid w:val="00C141F9"/>
    <w:rsid w:val="00C23311"/>
    <w:rsid w:val="00C2401E"/>
    <w:rsid w:val="00C27FC7"/>
    <w:rsid w:val="00C301FC"/>
    <w:rsid w:val="00C3194A"/>
    <w:rsid w:val="00C34A3E"/>
    <w:rsid w:val="00C34DA2"/>
    <w:rsid w:val="00C35D1D"/>
    <w:rsid w:val="00C3744A"/>
    <w:rsid w:val="00C37F16"/>
    <w:rsid w:val="00C40848"/>
    <w:rsid w:val="00C43398"/>
    <w:rsid w:val="00C454B4"/>
    <w:rsid w:val="00C45F7D"/>
    <w:rsid w:val="00C47629"/>
    <w:rsid w:val="00C4767A"/>
    <w:rsid w:val="00C52DB8"/>
    <w:rsid w:val="00C55B07"/>
    <w:rsid w:val="00C611CB"/>
    <w:rsid w:val="00C6222B"/>
    <w:rsid w:val="00C65AA9"/>
    <w:rsid w:val="00C65FAF"/>
    <w:rsid w:val="00C67C91"/>
    <w:rsid w:val="00C67FF4"/>
    <w:rsid w:val="00C705CF"/>
    <w:rsid w:val="00C737F8"/>
    <w:rsid w:val="00C76F73"/>
    <w:rsid w:val="00C80E17"/>
    <w:rsid w:val="00C81EB4"/>
    <w:rsid w:val="00C81EF0"/>
    <w:rsid w:val="00C825BD"/>
    <w:rsid w:val="00C837B0"/>
    <w:rsid w:val="00C837E0"/>
    <w:rsid w:val="00C848B7"/>
    <w:rsid w:val="00C857B2"/>
    <w:rsid w:val="00C87608"/>
    <w:rsid w:val="00C876D7"/>
    <w:rsid w:val="00C90653"/>
    <w:rsid w:val="00C92056"/>
    <w:rsid w:val="00C932C1"/>
    <w:rsid w:val="00C956F3"/>
    <w:rsid w:val="00CA0204"/>
    <w:rsid w:val="00CA2C00"/>
    <w:rsid w:val="00CA4A19"/>
    <w:rsid w:val="00CA4DAE"/>
    <w:rsid w:val="00CC1FF6"/>
    <w:rsid w:val="00CC372B"/>
    <w:rsid w:val="00CC7EED"/>
    <w:rsid w:val="00CD0E35"/>
    <w:rsid w:val="00CD1C3D"/>
    <w:rsid w:val="00CD1CBC"/>
    <w:rsid w:val="00CD521F"/>
    <w:rsid w:val="00CE0A8E"/>
    <w:rsid w:val="00CE4879"/>
    <w:rsid w:val="00CE4A08"/>
    <w:rsid w:val="00CF3FC9"/>
    <w:rsid w:val="00CF6F98"/>
    <w:rsid w:val="00D01EB6"/>
    <w:rsid w:val="00D02FA2"/>
    <w:rsid w:val="00D03B6A"/>
    <w:rsid w:val="00D05BA1"/>
    <w:rsid w:val="00D10BAA"/>
    <w:rsid w:val="00D11722"/>
    <w:rsid w:val="00D11E27"/>
    <w:rsid w:val="00D14893"/>
    <w:rsid w:val="00D20749"/>
    <w:rsid w:val="00D21364"/>
    <w:rsid w:val="00D2487F"/>
    <w:rsid w:val="00D27AF2"/>
    <w:rsid w:val="00D32E2F"/>
    <w:rsid w:val="00D35658"/>
    <w:rsid w:val="00D372AE"/>
    <w:rsid w:val="00D37EF8"/>
    <w:rsid w:val="00D40309"/>
    <w:rsid w:val="00D42B1B"/>
    <w:rsid w:val="00D4304E"/>
    <w:rsid w:val="00D430AC"/>
    <w:rsid w:val="00D46978"/>
    <w:rsid w:val="00D47452"/>
    <w:rsid w:val="00D50321"/>
    <w:rsid w:val="00D524B4"/>
    <w:rsid w:val="00D526F0"/>
    <w:rsid w:val="00D56631"/>
    <w:rsid w:val="00D625F1"/>
    <w:rsid w:val="00D6485C"/>
    <w:rsid w:val="00D64B78"/>
    <w:rsid w:val="00D65053"/>
    <w:rsid w:val="00D721D4"/>
    <w:rsid w:val="00D722BC"/>
    <w:rsid w:val="00D7372F"/>
    <w:rsid w:val="00D74C76"/>
    <w:rsid w:val="00D74D6E"/>
    <w:rsid w:val="00D80AB9"/>
    <w:rsid w:val="00D84FF1"/>
    <w:rsid w:val="00D91615"/>
    <w:rsid w:val="00D9161F"/>
    <w:rsid w:val="00D91916"/>
    <w:rsid w:val="00D91BA2"/>
    <w:rsid w:val="00D95539"/>
    <w:rsid w:val="00DA0FFC"/>
    <w:rsid w:val="00DA1A06"/>
    <w:rsid w:val="00DA3D57"/>
    <w:rsid w:val="00DA5B71"/>
    <w:rsid w:val="00DB423F"/>
    <w:rsid w:val="00DB44A2"/>
    <w:rsid w:val="00DB45D9"/>
    <w:rsid w:val="00DB6BC0"/>
    <w:rsid w:val="00DB6CAD"/>
    <w:rsid w:val="00DC2A4F"/>
    <w:rsid w:val="00DC2C8E"/>
    <w:rsid w:val="00DC3324"/>
    <w:rsid w:val="00DC442D"/>
    <w:rsid w:val="00DD0464"/>
    <w:rsid w:val="00DD12FE"/>
    <w:rsid w:val="00DD2040"/>
    <w:rsid w:val="00DD2E5A"/>
    <w:rsid w:val="00DD740A"/>
    <w:rsid w:val="00DE2127"/>
    <w:rsid w:val="00DE6C60"/>
    <w:rsid w:val="00DF314B"/>
    <w:rsid w:val="00DF6526"/>
    <w:rsid w:val="00E01979"/>
    <w:rsid w:val="00E07F54"/>
    <w:rsid w:val="00E10640"/>
    <w:rsid w:val="00E10CCF"/>
    <w:rsid w:val="00E10DE9"/>
    <w:rsid w:val="00E111A8"/>
    <w:rsid w:val="00E21CB0"/>
    <w:rsid w:val="00E23FF7"/>
    <w:rsid w:val="00E255DA"/>
    <w:rsid w:val="00E30679"/>
    <w:rsid w:val="00E34B8E"/>
    <w:rsid w:val="00E374EB"/>
    <w:rsid w:val="00E43AD0"/>
    <w:rsid w:val="00E44352"/>
    <w:rsid w:val="00E45E15"/>
    <w:rsid w:val="00E47034"/>
    <w:rsid w:val="00E50F91"/>
    <w:rsid w:val="00E516B3"/>
    <w:rsid w:val="00E550D2"/>
    <w:rsid w:val="00E63798"/>
    <w:rsid w:val="00E6390C"/>
    <w:rsid w:val="00E63DB4"/>
    <w:rsid w:val="00E65B35"/>
    <w:rsid w:val="00E66647"/>
    <w:rsid w:val="00E66BD6"/>
    <w:rsid w:val="00E727AE"/>
    <w:rsid w:val="00E764D8"/>
    <w:rsid w:val="00E7715B"/>
    <w:rsid w:val="00E80FB0"/>
    <w:rsid w:val="00E8482F"/>
    <w:rsid w:val="00E877DA"/>
    <w:rsid w:val="00E9207C"/>
    <w:rsid w:val="00E92474"/>
    <w:rsid w:val="00E93C57"/>
    <w:rsid w:val="00E949E4"/>
    <w:rsid w:val="00E969C1"/>
    <w:rsid w:val="00E97E63"/>
    <w:rsid w:val="00EA3BE2"/>
    <w:rsid w:val="00EA5688"/>
    <w:rsid w:val="00EA5BCC"/>
    <w:rsid w:val="00EA7852"/>
    <w:rsid w:val="00EB4115"/>
    <w:rsid w:val="00EC07C7"/>
    <w:rsid w:val="00EC3516"/>
    <w:rsid w:val="00EC3A12"/>
    <w:rsid w:val="00ED76DE"/>
    <w:rsid w:val="00EE1076"/>
    <w:rsid w:val="00EE2466"/>
    <w:rsid w:val="00EE7BF9"/>
    <w:rsid w:val="00EF1B70"/>
    <w:rsid w:val="00EF2EC6"/>
    <w:rsid w:val="00EF33F5"/>
    <w:rsid w:val="00EF482B"/>
    <w:rsid w:val="00EF665D"/>
    <w:rsid w:val="00F03534"/>
    <w:rsid w:val="00F03BD0"/>
    <w:rsid w:val="00F04D79"/>
    <w:rsid w:val="00F12253"/>
    <w:rsid w:val="00F12411"/>
    <w:rsid w:val="00F20C64"/>
    <w:rsid w:val="00F22800"/>
    <w:rsid w:val="00F254BF"/>
    <w:rsid w:val="00F267A2"/>
    <w:rsid w:val="00F32757"/>
    <w:rsid w:val="00F335CA"/>
    <w:rsid w:val="00F344E1"/>
    <w:rsid w:val="00F346D3"/>
    <w:rsid w:val="00F35731"/>
    <w:rsid w:val="00F36A0A"/>
    <w:rsid w:val="00F37594"/>
    <w:rsid w:val="00F4109C"/>
    <w:rsid w:val="00F42460"/>
    <w:rsid w:val="00F44A3A"/>
    <w:rsid w:val="00F44C29"/>
    <w:rsid w:val="00F46F84"/>
    <w:rsid w:val="00F52223"/>
    <w:rsid w:val="00F53926"/>
    <w:rsid w:val="00F560C2"/>
    <w:rsid w:val="00F63F8A"/>
    <w:rsid w:val="00F67E9F"/>
    <w:rsid w:val="00F73D8A"/>
    <w:rsid w:val="00F75CE1"/>
    <w:rsid w:val="00F83FD8"/>
    <w:rsid w:val="00F85386"/>
    <w:rsid w:val="00F85E40"/>
    <w:rsid w:val="00F906C0"/>
    <w:rsid w:val="00F91EB8"/>
    <w:rsid w:val="00F958D2"/>
    <w:rsid w:val="00F95F04"/>
    <w:rsid w:val="00F9613C"/>
    <w:rsid w:val="00FA0BB3"/>
    <w:rsid w:val="00FA14D8"/>
    <w:rsid w:val="00FA1C5D"/>
    <w:rsid w:val="00FA4AFB"/>
    <w:rsid w:val="00FB011F"/>
    <w:rsid w:val="00FB02E0"/>
    <w:rsid w:val="00FB16D4"/>
    <w:rsid w:val="00FB64A5"/>
    <w:rsid w:val="00FB6D0B"/>
    <w:rsid w:val="00FC0123"/>
    <w:rsid w:val="00FC2148"/>
    <w:rsid w:val="00FC647B"/>
    <w:rsid w:val="00FD3E36"/>
    <w:rsid w:val="00FD5C63"/>
    <w:rsid w:val="00FD64B1"/>
    <w:rsid w:val="00FE44C5"/>
    <w:rsid w:val="00FF1DB2"/>
    <w:rsid w:val="00FF37AE"/>
    <w:rsid w:val="00FF49CF"/>
    <w:rsid w:val="00FF5AAE"/>
    <w:rsid w:val="00FF7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90FA1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42C6"/>
    <w:pPr>
      <w:spacing w:before="100" w:beforeAutospacing="1" w:after="100" w:afterAutospacing="1"/>
    </w:pPr>
    <w:rPr>
      <w:rFonts w:ascii="Times New Roman" w:hAnsi="Times New Roman" w:cs="Times New Roman"/>
      <w:sz w:val="20"/>
      <w:szCs w:val="20"/>
    </w:rPr>
  </w:style>
  <w:style w:type="paragraph" w:styleId="FootnoteText">
    <w:name w:val="footnote text"/>
    <w:aliases w:val="5_G,Footnote Text Char Char Char,Footnote Text Char Char Char Char,Footnote Text Char Char Char Char Char,Footnote Text Char Char Char Char Char Char,Footnote Text Char Char Char Char Char Char Char Char Char Char Char Char,FA Fu,FA,FA1,Ca"/>
    <w:basedOn w:val="Normal"/>
    <w:link w:val="FootnoteTextChar"/>
    <w:uiPriority w:val="99"/>
    <w:unhideWhenUsed/>
    <w:qFormat/>
    <w:rsid w:val="0072347F"/>
  </w:style>
  <w:style w:type="character" w:customStyle="1" w:styleId="FootnoteTextChar">
    <w:name w:val="Footnote Text Char"/>
    <w:aliases w:val="5_G Char,Footnote Text Char Char Char Char1,Footnote Text Char Char Char Char Char1,Footnote Text Char Char Char Char Char Char1,Footnote Text Char Char Char Char Char Char Char,FA Fu Char,FA Char,FA1 Char,Ca Char"/>
    <w:basedOn w:val="DefaultParagraphFont"/>
    <w:link w:val="FootnoteText"/>
    <w:uiPriority w:val="99"/>
    <w:rsid w:val="0072347F"/>
  </w:style>
  <w:style w:type="character" w:styleId="Hyperlink">
    <w:name w:val="Hyperlink"/>
    <w:basedOn w:val="DefaultParagraphFont"/>
    <w:uiPriority w:val="99"/>
    <w:unhideWhenUsed/>
    <w:rsid w:val="0072347F"/>
    <w:rPr>
      <w:color w:val="0000FF"/>
      <w:u w:val="single"/>
    </w:rPr>
  </w:style>
  <w:style w:type="character" w:styleId="FootnoteReference">
    <w:name w:val="footnote reference"/>
    <w:aliases w:val="Footnotes refss,Style 10,4_G,Appel note de bas de page,Fago Fu?notenzeichen,Fago Fußnotenzeichen,Footnote number,Fago Fuﬂnotenzeichen,Ref,de nota al pie,ftref,ftref1,ftref2,ftref11,Texto de nota al pie,referencia nota al pie,BVI fnr,f"/>
    <w:basedOn w:val="DefaultParagraphFont"/>
    <w:uiPriority w:val="99"/>
    <w:unhideWhenUsed/>
    <w:qFormat/>
    <w:rsid w:val="0072347F"/>
    <w:rPr>
      <w:vertAlign w:val="superscript"/>
    </w:rPr>
  </w:style>
  <w:style w:type="character" w:styleId="FollowedHyperlink">
    <w:name w:val="FollowedHyperlink"/>
    <w:basedOn w:val="DefaultParagraphFont"/>
    <w:uiPriority w:val="99"/>
    <w:semiHidden/>
    <w:unhideWhenUsed/>
    <w:rsid w:val="0048272E"/>
    <w:rPr>
      <w:color w:val="800080" w:themeColor="followedHyperlink"/>
      <w:u w:val="single"/>
    </w:rPr>
  </w:style>
  <w:style w:type="character" w:customStyle="1" w:styleId="highlight">
    <w:name w:val="highlight"/>
    <w:basedOn w:val="DefaultParagraphFont"/>
    <w:rsid w:val="008D3B2C"/>
  </w:style>
  <w:style w:type="paragraph" w:styleId="ListParagraph">
    <w:name w:val="List Paragraph"/>
    <w:rsid w:val="00BA7248"/>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eastAsia="it-IT"/>
    </w:rPr>
  </w:style>
  <w:style w:type="numbering" w:customStyle="1" w:styleId="ImportedStyle3">
    <w:name w:val="Imported Style 3"/>
    <w:rsid w:val="00BA7248"/>
    <w:pPr>
      <w:numPr>
        <w:numId w:val="2"/>
      </w:numPr>
    </w:pPr>
  </w:style>
  <w:style w:type="paragraph" w:styleId="Caption">
    <w:name w:val="caption"/>
    <w:basedOn w:val="Normal"/>
    <w:next w:val="Normal"/>
    <w:uiPriority w:val="35"/>
    <w:unhideWhenUsed/>
    <w:qFormat/>
    <w:rsid w:val="00EF1B70"/>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0375AF"/>
    <w:rPr>
      <w:sz w:val="18"/>
      <w:szCs w:val="18"/>
    </w:rPr>
  </w:style>
  <w:style w:type="paragraph" w:styleId="CommentText">
    <w:name w:val="annotation text"/>
    <w:basedOn w:val="Normal"/>
    <w:link w:val="CommentTextChar"/>
    <w:uiPriority w:val="99"/>
    <w:semiHidden/>
    <w:unhideWhenUsed/>
    <w:rsid w:val="000375AF"/>
  </w:style>
  <w:style w:type="character" w:customStyle="1" w:styleId="CommentTextChar">
    <w:name w:val="Comment Text Char"/>
    <w:basedOn w:val="DefaultParagraphFont"/>
    <w:link w:val="CommentText"/>
    <w:uiPriority w:val="99"/>
    <w:semiHidden/>
    <w:rsid w:val="000375AF"/>
  </w:style>
  <w:style w:type="paragraph" w:styleId="CommentSubject">
    <w:name w:val="annotation subject"/>
    <w:basedOn w:val="CommentText"/>
    <w:next w:val="CommentText"/>
    <w:link w:val="CommentSubjectChar"/>
    <w:uiPriority w:val="99"/>
    <w:semiHidden/>
    <w:unhideWhenUsed/>
    <w:rsid w:val="000375AF"/>
    <w:rPr>
      <w:b/>
      <w:bCs/>
      <w:sz w:val="20"/>
      <w:szCs w:val="20"/>
    </w:rPr>
  </w:style>
  <w:style w:type="character" w:customStyle="1" w:styleId="CommentSubjectChar">
    <w:name w:val="Comment Subject Char"/>
    <w:basedOn w:val="CommentTextChar"/>
    <w:link w:val="CommentSubject"/>
    <w:uiPriority w:val="99"/>
    <w:semiHidden/>
    <w:rsid w:val="000375AF"/>
    <w:rPr>
      <w:b/>
      <w:bCs/>
      <w:sz w:val="20"/>
      <w:szCs w:val="20"/>
    </w:rPr>
  </w:style>
  <w:style w:type="paragraph" w:styleId="BalloonText">
    <w:name w:val="Balloon Text"/>
    <w:basedOn w:val="Normal"/>
    <w:link w:val="BalloonTextChar"/>
    <w:uiPriority w:val="99"/>
    <w:semiHidden/>
    <w:unhideWhenUsed/>
    <w:rsid w:val="000375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5AF"/>
    <w:rPr>
      <w:rFonts w:ascii="Lucida Grande" w:hAnsi="Lucida Grande" w:cs="Lucida Grande"/>
      <w:sz w:val="18"/>
      <w:szCs w:val="18"/>
    </w:rPr>
  </w:style>
  <w:style w:type="paragraph" w:styleId="Header">
    <w:name w:val="header"/>
    <w:basedOn w:val="Normal"/>
    <w:link w:val="HeaderChar"/>
    <w:uiPriority w:val="99"/>
    <w:unhideWhenUsed/>
    <w:rsid w:val="00E550D2"/>
    <w:pPr>
      <w:tabs>
        <w:tab w:val="center" w:pos="4320"/>
        <w:tab w:val="right" w:pos="8640"/>
      </w:tabs>
    </w:pPr>
  </w:style>
  <w:style w:type="character" w:customStyle="1" w:styleId="HeaderChar">
    <w:name w:val="Header Char"/>
    <w:basedOn w:val="DefaultParagraphFont"/>
    <w:link w:val="Header"/>
    <w:uiPriority w:val="99"/>
    <w:rsid w:val="00E550D2"/>
  </w:style>
  <w:style w:type="paragraph" w:styleId="Footer">
    <w:name w:val="footer"/>
    <w:basedOn w:val="Normal"/>
    <w:link w:val="FooterChar"/>
    <w:uiPriority w:val="99"/>
    <w:unhideWhenUsed/>
    <w:rsid w:val="00E550D2"/>
    <w:pPr>
      <w:tabs>
        <w:tab w:val="center" w:pos="4320"/>
        <w:tab w:val="right" w:pos="8640"/>
      </w:tabs>
    </w:pPr>
  </w:style>
  <w:style w:type="character" w:customStyle="1" w:styleId="FooterChar">
    <w:name w:val="Footer Char"/>
    <w:basedOn w:val="DefaultParagraphFont"/>
    <w:link w:val="Footer"/>
    <w:uiPriority w:val="99"/>
    <w:rsid w:val="00E550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42C6"/>
    <w:pPr>
      <w:spacing w:before="100" w:beforeAutospacing="1" w:after="100" w:afterAutospacing="1"/>
    </w:pPr>
    <w:rPr>
      <w:rFonts w:ascii="Times New Roman" w:hAnsi="Times New Roman" w:cs="Times New Roman"/>
      <w:sz w:val="20"/>
      <w:szCs w:val="20"/>
    </w:rPr>
  </w:style>
  <w:style w:type="paragraph" w:styleId="FootnoteText">
    <w:name w:val="footnote text"/>
    <w:aliases w:val="5_G,Footnote Text Char Char Char,Footnote Text Char Char Char Char,Footnote Text Char Char Char Char Char,Footnote Text Char Char Char Char Char Char,Footnote Text Char Char Char Char Char Char Char Char Char Char Char Char,FA Fu,FA,FA1,Ca"/>
    <w:basedOn w:val="Normal"/>
    <w:link w:val="FootnoteTextChar"/>
    <w:uiPriority w:val="99"/>
    <w:unhideWhenUsed/>
    <w:qFormat/>
    <w:rsid w:val="0072347F"/>
  </w:style>
  <w:style w:type="character" w:customStyle="1" w:styleId="FootnoteTextChar">
    <w:name w:val="Footnote Text Char"/>
    <w:aliases w:val="5_G Char,Footnote Text Char Char Char Char1,Footnote Text Char Char Char Char Char1,Footnote Text Char Char Char Char Char Char1,Footnote Text Char Char Char Char Char Char Char,FA Fu Char,FA Char,FA1 Char,Ca Char"/>
    <w:basedOn w:val="DefaultParagraphFont"/>
    <w:link w:val="FootnoteText"/>
    <w:uiPriority w:val="99"/>
    <w:rsid w:val="0072347F"/>
  </w:style>
  <w:style w:type="character" w:styleId="Hyperlink">
    <w:name w:val="Hyperlink"/>
    <w:basedOn w:val="DefaultParagraphFont"/>
    <w:uiPriority w:val="99"/>
    <w:unhideWhenUsed/>
    <w:rsid w:val="0072347F"/>
    <w:rPr>
      <w:color w:val="0000FF"/>
      <w:u w:val="single"/>
    </w:rPr>
  </w:style>
  <w:style w:type="character" w:styleId="FootnoteReference">
    <w:name w:val="footnote reference"/>
    <w:aliases w:val="Footnotes refss,Style 10,4_G,Appel note de bas de page,Fago Fu?notenzeichen,Fago Fußnotenzeichen,Footnote number,Fago Fuﬂnotenzeichen,Ref,de nota al pie,ftref,ftref1,ftref2,ftref11,Texto de nota al pie,referencia nota al pie,BVI fnr,f"/>
    <w:basedOn w:val="DefaultParagraphFont"/>
    <w:uiPriority w:val="99"/>
    <w:unhideWhenUsed/>
    <w:qFormat/>
    <w:rsid w:val="0072347F"/>
    <w:rPr>
      <w:vertAlign w:val="superscript"/>
    </w:rPr>
  </w:style>
  <w:style w:type="character" w:styleId="FollowedHyperlink">
    <w:name w:val="FollowedHyperlink"/>
    <w:basedOn w:val="DefaultParagraphFont"/>
    <w:uiPriority w:val="99"/>
    <w:semiHidden/>
    <w:unhideWhenUsed/>
    <w:rsid w:val="0048272E"/>
    <w:rPr>
      <w:color w:val="800080" w:themeColor="followedHyperlink"/>
      <w:u w:val="single"/>
    </w:rPr>
  </w:style>
  <w:style w:type="character" w:customStyle="1" w:styleId="highlight">
    <w:name w:val="highlight"/>
    <w:basedOn w:val="DefaultParagraphFont"/>
    <w:rsid w:val="008D3B2C"/>
  </w:style>
  <w:style w:type="paragraph" w:styleId="ListParagraph">
    <w:name w:val="List Paragraph"/>
    <w:rsid w:val="00BA7248"/>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eastAsia="it-IT"/>
    </w:rPr>
  </w:style>
  <w:style w:type="numbering" w:customStyle="1" w:styleId="ImportedStyle3">
    <w:name w:val="Imported Style 3"/>
    <w:rsid w:val="00BA7248"/>
    <w:pPr>
      <w:numPr>
        <w:numId w:val="2"/>
      </w:numPr>
    </w:pPr>
  </w:style>
  <w:style w:type="paragraph" w:styleId="Caption">
    <w:name w:val="caption"/>
    <w:basedOn w:val="Normal"/>
    <w:next w:val="Normal"/>
    <w:uiPriority w:val="35"/>
    <w:unhideWhenUsed/>
    <w:qFormat/>
    <w:rsid w:val="00EF1B70"/>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0375AF"/>
    <w:rPr>
      <w:sz w:val="18"/>
      <w:szCs w:val="18"/>
    </w:rPr>
  </w:style>
  <w:style w:type="paragraph" w:styleId="CommentText">
    <w:name w:val="annotation text"/>
    <w:basedOn w:val="Normal"/>
    <w:link w:val="CommentTextChar"/>
    <w:uiPriority w:val="99"/>
    <w:semiHidden/>
    <w:unhideWhenUsed/>
    <w:rsid w:val="000375AF"/>
  </w:style>
  <w:style w:type="character" w:customStyle="1" w:styleId="CommentTextChar">
    <w:name w:val="Comment Text Char"/>
    <w:basedOn w:val="DefaultParagraphFont"/>
    <w:link w:val="CommentText"/>
    <w:uiPriority w:val="99"/>
    <w:semiHidden/>
    <w:rsid w:val="000375AF"/>
  </w:style>
  <w:style w:type="paragraph" w:styleId="CommentSubject">
    <w:name w:val="annotation subject"/>
    <w:basedOn w:val="CommentText"/>
    <w:next w:val="CommentText"/>
    <w:link w:val="CommentSubjectChar"/>
    <w:uiPriority w:val="99"/>
    <w:semiHidden/>
    <w:unhideWhenUsed/>
    <w:rsid w:val="000375AF"/>
    <w:rPr>
      <w:b/>
      <w:bCs/>
      <w:sz w:val="20"/>
      <w:szCs w:val="20"/>
    </w:rPr>
  </w:style>
  <w:style w:type="character" w:customStyle="1" w:styleId="CommentSubjectChar">
    <w:name w:val="Comment Subject Char"/>
    <w:basedOn w:val="CommentTextChar"/>
    <w:link w:val="CommentSubject"/>
    <w:uiPriority w:val="99"/>
    <w:semiHidden/>
    <w:rsid w:val="000375AF"/>
    <w:rPr>
      <w:b/>
      <w:bCs/>
      <w:sz w:val="20"/>
      <w:szCs w:val="20"/>
    </w:rPr>
  </w:style>
  <w:style w:type="paragraph" w:styleId="BalloonText">
    <w:name w:val="Balloon Text"/>
    <w:basedOn w:val="Normal"/>
    <w:link w:val="BalloonTextChar"/>
    <w:uiPriority w:val="99"/>
    <w:semiHidden/>
    <w:unhideWhenUsed/>
    <w:rsid w:val="000375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5AF"/>
    <w:rPr>
      <w:rFonts w:ascii="Lucida Grande" w:hAnsi="Lucida Grande" w:cs="Lucida Grande"/>
      <w:sz w:val="18"/>
      <w:szCs w:val="18"/>
    </w:rPr>
  </w:style>
  <w:style w:type="paragraph" w:styleId="Header">
    <w:name w:val="header"/>
    <w:basedOn w:val="Normal"/>
    <w:link w:val="HeaderChar"/>
    <w:uiPriority w:val="99"/>
    <w:unhideWhenUsed/>
    <w:rsid w:val="00E550D2"/>
    <w:pPr>
      <w:tabs>
        <w:tab w:val="center" w:pos="4320"/>
        <w:tab w:val="right" w:pos="8640"/>
      </w:tabs>
    </w:pPr>
  </w:style>
  <w:style w:type="character" w:customStyle="1" w:styleId="HeaderChar">
    <w:name w:val="Header Char"/>
    <w:basedOn w:val="DefaultParagraphFont"/>
    <w:link w:val="Header"/>
    <w:uiPriority w:val="99"/>
    <w:rsid w:val="00E550D2"/>
  </w:style>
  <w:style w:type="paragraph" w:styleId="Footer">
    <w:name w:val="footer"/>
    <w:basedOn w:val="Normal"/>
    <w:link w:val="FooterChar"/>
    <w:uiPriority w:val="99"/>
    <w:unhideWhenUsed/>
    <w:rsid w:val="00E550D2"/>
    <w:pPr>
      <w:tabs>
        <w:tab w:val="center" w:pos="4320"/>
        <w:tab w:val="right" w:pos="8640"/>
      </w:tabs>
    </w:pPr>
  </w:style>
  <w:style w:type="character" w:customStyle="1" w:styleId="FooterChar">
    <w:name w:val="Footer Char"/>
    <w:basedOn w:val="DefaultParagraphFont"/>
    <w:link w:val="Footer"/>
    <w:uiPriority w:val="99"/>
    <w:rsid w:val="00E5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4770">
      <w:bodyDiv w:val="1"/>
      <w:marLeft w:val="0"/>
      <w:marRight w:val="0"/>
      <w:marTop w:val="0"/>
      <w:marBottom w:val="0"/>
      <w:divBdr>
        <w:top w:val="none" w:sz="0" w:space="0" w:color="auto"/>
        <w:left w:val="none" w:sz="0" w:space="0" w:color="auto"/>
        <w:bottom w:val="none" w:sz="0" w:space="0" w:color="auto"/>
        <w:right w:val="none" w:sz="0" w:space="0" w:color="auto"/>
      </w:divBdr>
    </w:div>
    <w:div w:id="363293976">
      <w:bodyDiv w:val="1"/>
      <w:marLeft w:val="0"/>
      <w:marRight w:val="0"/>
      <w:marTop w:val="0"/>
      <w:marBottom w:val="0"/>
      <w:divBdr>
        <w:top w:val="none" w:sz="0" w:space="0" w:color="auto"/>
        <w:left w:val="none" w:sz="0" w:space="0" w:color="auto"/>
        <w:bottom w:val="none" w:sz="0" w:space="0" w:color="auto"/>
        <w:right w:val="none" w:sz="0" w:space="0" w:color="auto"/>
      </w:divBdr>
    </w:div>
    <w:div w:id="535968385">
      <w:bodyDiv w:val="1"/>
      <w:marLeft w:val="0"/>
      <w:marRight w:val="0"/>
      <w:marTop w:val="0"/>
      <w:marBottom w:val="0"/>
      <w:divBdr>
        <w:top w:val="none" w:sz="0" w:space="0" w:color="auto"/>
        <w:left w:val="none" w:sz="0" w:space="0" w:color="auto"/>
        <w:bottom w:val="none" w:sz="0" w:space="0" w:color="auto"/>
        <w:right w:val="none" w:sz="0" w:space="0" w:color="auto"/>
      </w:divBdr>
      <w:divsChild>
        <w:div w:id="1274554914">
          <w:marLeft w:val="0"/>
          <w:marRight w:val="0"/>
          <w:marTop w:val="0"/>
          <w:marBottom w:val="0"/>
          <w:divBdr>
            <w:top w:val="none" w:sz="0" w:space="0" w:color="auto"/>
            <w:left w:val="none" w:sz="0" w:space="0" w:color="auto"/>
            <w:bottom w:val="none" w:sz="0" w:space="0" w:color="auto"/>
            <w:right w:val="none" w:sz="0" w:space="0" w:color="auto"/>
          </w:divBdr>
        </w:div>
        <w:div w:id="2141999143">
          <w:marLeft w:val="0"/>
          <w:marRight w:val="0"/>
          <w:marTop w:val="0"/>
          <w:marBottom w:val="0"/>
          <w:divBdr>
            <w:top w:val="none" w:sz="0" w:space="0" w:color="auto"/>
            <w:left w:val="none" w:sz="0" w:space="0" w:color="auto"/>
            <w:bottom w:val="none" w:sz="0" w:space="0" w:color="auto"/>
            <w:right w:val="none" w:sz="0" w:space="0" w:color="auto"/>
          </w:divBdr>
        </w:div>
        <w:div w:id="2085056651">
          <w:marLeft w:val="0"/>
          <w:marRight w:val="0"/>
          <w:marTop w:val="0"/>
          <w:marBottom w:val="0"/>
          <w:divBdr>
            <w:top w:val="none" w:sz="0" w:space="0" w:color="auto"/>
            <w:left w:val="none" w:sz="0" w:space="0" w:color="auto"/>
            <w:bottom w:val="none" w:sz="0" w:space="0" w:color="auto"/>
            <w:right w:val="none" w:sz="0" w:space="0" w:color="auto"/>
          </w:divBdr>
        </w:div>
      </w:divsChild>
    </w:div>
    <w:div w:id="682703097">
      <w:bodyDiv w:val="1"/>
      <w:marLeft w:val="0"/>
      <w:marRight w:val="0"/>
      <w:marTop w:val="0"/>
      <w:marBottom w:val="0"/>
      <w:divBdr>
        <w:top w:val="none" w:sz="0" w:space="0" w:color="auto"/>
        <w:left w:val="none" w:sz="0" w:space="0" w:color="auto"/>
        <w:bottom w:val="none" w:sz="0" w:space="0" w:color="auto"/>
        <w:right w:val="none" w:sz="0" w:space="0" w:color="auto"/>
      </w:divBdr>
      <w:divsChild>
        <w:div w:id="1337347205">
          <w:marLeft w:val="0"/>
          <w:marRight w:val="0"/>
          <w:marTop w:val="0"/>
          <w:marBottom w:val="0"/>
          <w:divBdr>
            <w:top w:val="none" w:sz="0" w:space="0" w:color="auto"/>
            <w:left w:val="none" w:sz="0" w:space="0" w:color="auto"/>
            <w:bottom w:val="none" w:sz="0" w:space="0" w:color="auto"/>
            <w:right w:val="none" w:sz="0" w:space="0" w:color="auto"/>
          </w:divBdr>
        </w:div>
        <w:div w:id="485243209">
          <w:marLeft w:val="0"/>
          <w:marRight w:val="0"/>
          <w:marTop w:val="0"/>
          <w:marBottom w:val="0"/>
          <w:divBdr>
            <w:top w:val="none" w:sz="0" w:space="0" w:color="auto"/>
            <w:left w:val="none" w:sz="0" w:space="0" w:color="auto"/>
            <w:bottom w:val="none" w:sz="0" w:space="0" w:color="auto"/>
            <w:right w:val="none" w:sz="0" w:space="0" w:color="auto"/>
          </w:divBdr>
        </w:div>
        <w:div w:id="869295887">
          <w:marLeft w:val="0"/>
          <w:marRight w:val="0"/>
          <w:marTop w:val="0"/>
          <w:marBottom w:val="0"/>
          <w:divBdr>
            <w:top w:val="none" w:sz="0" w:space="0" w:color="auto"/>
            <w:left w:val="none" w:sz="0" w:space="0" w:color="auto"/>
            <w:bottom w:val="none" w:sz="0" w:space="0" w:color="auto"/>
            <w:right w:val="none" w:sz="0" w:space="0" w:color="auto"/>
          </w:divBdr>
        </w:div>
        <w:div w:id="1612399011">
          <w:marLeft w:val="0"/>
          <w:marRight w:val="0"/>
          <w:marTop w:val="0"/>
          <w:marBottom w:val="0"/>
          <w:divBdr>
            <w:top w:val="none" w:sz="0" w:space="0" w:color="auto"/>
            <w:left w:val="none" w:sz="0" w:space="0" w:color="auto"/>
            <w:bottom w:val="none" w:sz="0" w:space="0" w:color="auto"/>
            <w:right w:val="none" w:sz="0" w:space="0" w:color="auto"/>
          </w:divBdr>
        </w:div>
      </w:divsChild>
    </w:div>
    <w:div w:id="1184367074">
      <w:bodyDiv w:val="1"/>
      <w:marLeft w:val="0"/>
      <w:marRight w:val="0"/>
      <w:marTop w:val="0"/>
      <w:marBottom w:val="0"/>
      <w:divBdr>
        <w:top w:val="none" w:sz="0" w:space="0" w:color="auto"/>
        <w:left w:val="none" w:sz="0" w:space="0" w:color="auto"/>
        <w:bottom w:val="none" w:sz="0" w:space="0" w:color="auto"/>
        <w:right w:val="none" w:sz="0" w:space="0" w:color="auto"/>
      </w:divBdr>
    </w:div>
    <w:div w:id="1491946668">
      <w:bodyDiv w:val="1"/>
      <w:marLeft w:val="0"/>
      <w:marRight w:val="0"/>
      <w:marTop w:val="0"/>
      <w:marBottom w:val="0"/>
      <w:divBdr>
        <w:top w:val="none" w:sz="0" w:space="0" w:color="auto"/>
        <w:left w:val="none" w:sz="0" w:space="0" w:color="auto"/>
        <w:bottom w:val="none" w:sz="0" w:space="0" w:color="auto"/>
        <w:right w:val="none" w:sz="0" w:space="0" w:color="auto"/>
      </w:divBdr>
    </w:div>
    <w:div w:id="1572739427">
      <w:bodyDiv w:val="1"/>
      <w:marLeft w:val="0"/>
      <w:marRight w:val="0"/>
      <w:marTop w:val="0"/>
      <w:marBottom w:val="0"/>
      <w:divBdr>
        <w:top w:val="none" w:sz="0" w:space="0" w:color="auto"/>
        <w:left w:val="none" w:sz="0" w:space="0" w:color="auto"/>
        <w:bottom w:val="none" w:sz="0" w:space="0" w:color="auto"/>
        <w:right w:val="none" w:sz="0" w:space="0" w:color="auto"/>
      </w:divBdr>
    </w:div>
    <w:div w:id="1608463221">
      <w:bodyDiv w:val="1"/>
      <w:marLeft w:val="0"/>
      <w:marRight w:val="0"/>
      <w:marTop w:val="0"/>
      <w:marBottom w:val="0"/>
      <w:divBdr>
        <w:top w:val="none" w:sz="0" w:space="0" w:color="auto"/>
        <w:left w:val="none" w:sz="0" w:space="0" w:color="auto"/>
        <w:bottom w:val="none" w:sz="0" w:space="0" w:color="auto"/>
        <w:right w:val="none" w:sz="0" w:space="0" w:color="auto"/>
      </w:divBdr>
    </w:div>
    <w:div w:id="1853688790">
      <w:bodyDiv w:val="1"/>
      <w:marLeft w:val="0"/>
      <w:marRight w:val="0"/>
      <w:marTop w:val="0"/>
      <w:marBottom w:val="0"/>
      <w:divBdr>
        <w:top w:val="none" w:sz="0" w:space="0" w:color="auto"/>
        <w:left w:val="none" w:sz="0" w:space="0" w:color="auto"/>
        <w:bottom w:val="none" w:sz="0" w:space="0" w:color="auto"/>
        <w:right w:val="none" w:sz="0" w:space="0" w:color="auto"/>
      </w:divBdr>
    </w:div>
    <w:div w:id="1875196030">
      <w:bodyDiv w:val="1"/>
      <w:marLeft w:val="0"/>
      <w:marRight w:val="0"/>
      <w:marTop w:val="0"/>
      <w:marBottom w:val="0"/>
      <w:divBdr>
        <w:top w:val="none" w:sz="0" w:space="0" w:color="auto"/>
        <w:left w:val="none" w:sz="0" w:space="0" w:color="auto"/>
        <w:bottom w:val="none" w:sz="0" w:space="0" w:color="auto"/>
        <w:right w:val="none" w:sz="0" w:space="0" w:color="auto"/>
      </w:divBdr>
    </w:div>
    <w:div w:id="2035112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tinyurl.com/bgmq7xp" TargetMode="External"/><Relationship Id="rId4" Type="http://schemas.openxmlformats.org/officeDocument/2006/relationships/hyperlink" Target="https://earthrights.org/case/energy-transfer-partners-v-greenpeace-banktrack-et-al/" TargetMode="External"/><Relationship Id="rId5" Type="http://schemas.openxmlformats.org/officeDocument/2006/relationships/hyperlink" Target="https://www.ohchr.org/Documents/Issues/FAssociation/InfoNoteSLAPPsFoAA.docx" TargetMode="External"/><Relationship Id="rId6" Type="http://schemas.openxmlformats.org/officeDocument/2006/relationships/hyperlink" Target="https://tinyurl.com/y29why9b" TargetMode="External"/><Relationship Id="rId7" Type="http://schemas.openxmlformats.org/officeDocument/2006/relationships/hyperlink" Target="https://tinyurl.com/yxdk48aq" TargetMode="External"/><Relationship Id="rId8" Type="http://schemas.openxmlformats.org/officeDocument/2006/relationships/hyperlink" Target="http://tinyurl.com/y55y7npf" TargetMode="External"/><Relationship Id="rId9" Type="http://schemas.openxmlformats.org/officeDocument/2006/relationships/hyperlink" Target="https://tinyurl.com/y55wkzxy" TargetMode="External"/><Relationship Id="rId1" Type="http://schemas.openxmlformats.org/officeDocument/2006/relationships/hyperlink" Target="http://tinyurl.com/y272jmr2" TargetMode="External"/><Relationship Id="rId2" Type="http://schemas.openxmlformats.org/officeDocument/2006/relationships/hyperlink" Target="https://pca-cpa.org/en/cases/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CC400B-06C1-4D20-AA87-60D5B5E06F64}"/>
</file>

<file path=customXml/itemProps2.xml><?xml version="1.0" encoding="utf-8"?>
<ds:datastoreItem xmlns:ds="http://schemas.openxmlformats.org/officeDocument/2006/customXml" ds:itemID="{5612BA3B-E2D9-4E73-B734-24F8B090B995}"/>
</file>

<file path=customXml/itemProps3.xml><?xml version="1.0" encoding="utf-8"?>
<ds:datastoreItem xmlns:ds="http://schemas.openxmlformats.org/officeDocument/2006/customXml" ds:itemID="{72ABE02C-4DE7-47FA-AF87-6693113085A3}"/>
</file>

<file path=docProps/app.xml><?xml version="1.0" encoding="utf-8"?>
<Properties xmlns="http://schemas.openxmlformats.org/officeDocument/2006/extended-properties" xmlns:vt="http://schemas.openxmlformats.org/officeDocument/2006/docPropsVTypes">
  <Template>Normal.dotm</Template>
  <TotalTime>2329</TotalTime>
  <Pages>10</Pages>
  <Words>3647</Words>
  <Characters>20792</Characters>
  <Application>Microsoft Macintosh Word</Application>
  <DocSecurity>0</DocSecurity>
  <Lines>173</Lines>
  <Paragraphs>48</Paragraphs>
  <ScaleCrop>false</ScaleCrop>
  <Company>Stichting Greenpeace Council</Company>
  <LinksUpToDate>false</LinksUpToDate>
  <CharactersWithSpaces>24391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Simons</dc:creator>
  <cp:keywords/>
  <dc:description/>
  <cp:lastModifiedBy>Daniel Simons</cp:lastModifiedBy>
  <cp:revision>954</cp:revision>
  <dcterms:created xsi:type="dcterms:W3CDTF">2019-02-28T09:23:00Z</dcterms:created>
  <dcterms:modified xsi:type="dcterms:W3CDTF">2019-03-11T21:56:00Z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