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1C216" w14:textId="6680D102" w:rsidR="00583C17" w:rsidRPr="00B85D07" w:rsidRDefault="006F02C6" w:rsidP="00976528">
      <w:pPr>
        <w:pStyle w:val="Title"/>
      </w:pPr>
      <w:bookmarkStart w:id="0" w:name="_Toc511911733"/>
      <w:bookmarkStart w:id="1" w:name="_Toc511911845"/>
      <w:r>
        <w:t>General Comment on Article 21, ICCPR</w:t>
      </w:r>
    </w:p>
    <w:p w14:paraId="369FB93C" w14:textId="73E2EC50" w:rsidR="00854BCD" w:rsidRPr="00B85D07" w:rsidRDefault="006F02C6" w:rsidP="00976528">
      <w:pPr>
        <w:pStyle w:val="Subtitle"/>
      </w:pPr>
      <w:r>
        <w:t>Submission to the Human Rights Committee ahead of a new General Comment</w:t>
      </w:r>
    </w:p>
    <w:p w14:paraId="2891F45C" w14:textId="77777777" w:rsidR="00D976ED" w:rsidRPr="00B85D07" w:rsidRDefault="00D976ED" w:rsidP="00976528">
      <w:pPr>
        <w:pStyle w:val="Normaltext"/>
        <w:ind w:hanging="284"/>
      </w:pPr>
    </w:p>
    <w:p w14:paraId="025844CB" w14:textId="77777777" w:rsidR="00B10993" w:rsidRPr="00B85D07" w:rsidRDefault="00562A08" w:rsidP="00976528">
      <w:pPr>
        <w:pStyle w:val="Normaltext"/>
        <w:rPr>
          <w:sz w:val="22"/>
        </w:rPr>
      </w:pPr>
      <w:r w:rsidRPr="00B85D07">
        <w:rPr>
          <w:noProof/>
          <w:lang w:eastAsia="en-GB"/>
        </w:rPr>
        <w:drawing>
          <wp:inline distT="0" distB="0" distL="0" distR="0" wp14:anchorId="449B7D24" wp14:editId="1C1CA7EB">
            <wp:extent cx="825500" cy="6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oke.png"/>
                    <pic:cNvPicPr/>
                  </pic:nvPicPr>
                  <pic:blipFill>
                    <a:blip r:embed="rId8">
                      <a:extLst>
                        <a:ext uri="{28A0092B-C50C-407E-A947-70E740481C1C}">
                          <a14:useLocalDpi xmlns:a14="http://schemas.microsoft.com/office/drawing/2010/main" val="0"/>
                        </a:ext>
                      </a:extLst>
                    </a:blip>
                    <a:stretch>
                      <a:fillRect/>
                    </a:stretch>
                  </pic:blipFill>
                  <pic:spPr>
                    <a:xfrm>
                      <a:off x="0" y="0"/>
                      <a:ext cx="825500" cy="63500"/>
                    </a:xfrm>
                    <a:prstGeom prst="rect">
                      <a:avLst/>
                    </a:prstGeom>
                  </pic:spPr>
                </pic:pic>
              </a:graphicData>
            </a:graphic>
          </wp:inline>
        </w:drawing>
      </w:r>
    </w:p>
    <w:bookmarkEnd w:id="0"/>
    <w:bookmarkEnd w:id="1"/>
    <w:p w14:paraId="0F53CB48" w14:textId="77777777" w:rsidR="00455E81" w:rsidRPr="00B85D07" w:rsidRDefault="00455E81" w:rsidP="00976528">
      <w:pPr>
        <w:pStyle w:val="Normaltext"/>
        <w:ind w:hanging="284"/>
      </w:pPr>
    </w:p>
    <w:p w14:paraId="1CAA5118" w14:textId="3F177EAA" w:rsidR="006B1301" w:rsidRPr="00B85D07" w:rsidRDefault="001B0016" w:rsidP="00976528">
      <w:pPr>
        <w:pStyle w:val="Heading1"/>
      </w:pPr>
      <w:r w:rsidRPr="00B85D07">
        <w:t>Background</w:t>
      </w:r>
    </w:p>
    <w:p w14:paraId="39377E8E" w14:textId="77777777" w:rsidR="000B33B7" w:rsidRPr="00B85D07" w:rsidRDefault="000B33B7" w:rsidP="00976528">
      <w:pPr>
        <w:pStyle w:val="Normaltext"/>
        <w:ind w:hanging="284"/>
      </w:pPr>
    </w:p>
    <w:p w14:paraId="20FED6F1" w14:textId="096170B6" w:rsidR="000B33B7" w:rsidRPr="00B85D07" w:rsidRDefault="001B0016" w:rsidP="00976528">
      <w:pPr>
        <w:pStyle w:val="Heading2"/>
        <w:rPr>
          <w:lang w:val="en-GB"/>
        </w:rPr>
      </w:pPr>
      <w:r w:rsidRPr="00B85D07">
        <w:rPr>
          <w:lang w:val="en-GB"/>
        </w:rPr>
        <w:t>Human Rights House Foundation</w:t>
      </w:r>
    </w:p>
    <w:p w14:paraId="59CBE072" w14:textId="5236B75B" w:rsidR="001B0016" w:rsidRPr="00B85D07" w:rsidRDefault="001B0016" w:rsidP="00976528">
      <w:pPr>
        <w:pStyle w:val="Normaltext"/>
        <w:numPr>
          <w:ilvl w:val="0"/>
          <w:numId w:val="34"/>
        </w:numPr>
        <w:ind w:left="0" w:hanging="284"/>
      </w:pPr>
      <w:r w:rsidRPr="00B85D07">
        <w:t>Human Rights House Foundation (HRHF) protects, empowers and supports human rights defenders and their organisations, and unites them in an international network of Human Rights Houses. HRHF advocates with partner organisations to promote the freedoms of assembly, association, and expression, and the right to be a human rights defender at home and abroad.</w:t>
      </w:r>
    </w:p>
    <w:p w14:paraId="68559195" w14:textId="77777777" w:rsidR="001B0016" w:rsidRPr="00B85D07" w:rsidRDefault="001B0016" w:rsidP="00976528">
      <w:pPr>
        <w:pStyle w:val="Normaltext"/>
        <w:ind w:hanging="284"/>
      </w:pPr>
    </w:p>
    <w:p w14:paraId="79735587" w14:textId="62807402" w:rsidR="001B0016" w:rsidRPr="00B85D07" w:rsidRDefault="001B0016" w:rsidP="00976528">
      <w:pPr>
        <w:pStyle w:val="Heading2"/>
        <w:rPr>
          <w:lang w:val="en-GB"/>
        </w:rPr>
      </w:pPr>
      <w:r w:rsidRPr="00B85D07">
        <w:rPr>
          <w:lang w:val="en-GB"/>
        </w:rPr>
        <w:t>Submission</w:t>
      </w:r>
    </w:p>
    <w:p w14:paraId="5F045771" w14:textId="50317DBA" w:rsidR="008667AE" w:rsidRPr="00B85D07" w:rsidRDefault="008035C3" w:rsidP="00976528">
      <w:pPr>
        <w:pStyle w:val="Normaltext"/>
        <w:numPr>
          <w:ilvl w:val="0"/>
          <w:numId w:val="34"/>
        </w:numPr>
        <w:ind w:left="0" w:hanging="284"/>
      </w:pPr>
      <w:r>
        <w:t xml:space="preserve">This </w:t>
      </w:r>
      <w:r w:rsidR="00CA43CB">
        <w:t xml:space="preserve">short </w:t>
      </w:r>
      <w:r>
        <w:t>submission is made in response to</w:t>
      </w:r>
      <w:r w:rsidR="001B0016" w:rsidRPr="00B85D07">
        <w:t xml:space="preserve"> the Human Rights Committee’s invitation to provide written information </w:t>
      </w:r>
      <w:r>
        <w:t xml:space="preserve">ahead of the drafting of a new </w:t>
      </w:r>
      <w:r w:rsidR="001B0016" w:rsidRPr="00B85D07">
        <w:t>General Comment on article 21 of the International Covenant on Civil and Politi</w:t>
      </w:r>
      <w:r w:rsidR="009A1EB6">
        <w:t>cal Rights, relating to the freedom of peaceful assembly</w:t>
      </w:r>
      <w:r>
        <w:t>.</w:t>
      </w:r>
      <w:r w:rsidR="001B0016" w:rsidRPr="00B85D07">
        <w:t xml:space="preserve"> HRHF </w:t>
      </w:r>
      <w:r>
        <w:t>welcomes this opportunity, and</w:t>
      </w:r>
      <w:r w:rsidR="001B0016" w:rsidRPr="00B85D07">
        <w:t xml:space="preserve"> provide</w:t>
      </w:r>
      <w:r>
        <w:t>s</w:t>
      </w:r>
      <w:r w:rsidR="001B0016" w:rsidRPr="00B85D07">
        <w:t xml:space="preserve"> comments based </w:t>
      </w:r>
      <w:r>
        <w:t>on observations and serious</w:t>
      </w:r>
      <w:r w:rsidR="001B0016" w:rsidRPr="00B85D07">
        <w:t xml:space="preserve"> concerns identified by </w:t>
      </w:r>
      <w:r>
        <w:t xml:space="preserve">our partners in relation to the enjoyment of freedom of assembly. </w:t>
      </w:r>
    </w:p>
    <w:p w14:paraId="5A3EB462" w14:textId="77777777" w:rsidR="00EB493C" w:rsidRDefault="00EB493C" w:rsidP="00976528">
      <w:pPr>
        <w:pStyle w:val="Normaltext"/>
        <w:ind w:hanging="284"/>
      </w:pPr>
    </w:p>
    <w:p w14:paraId="0C74E286" w14:textId="77777777" w:rsidR="000C2A24" w:rsidRPr="00B85D07" w:rsidRDefault="000C2A24" w:rsidP="00976528">
      <w:pPr>
        <w:pStyle w:val="Normaltext"/>
        <w:ind w:hanging="284"/>
      </w:pPr>
    </w:p>
    <w:p w14:paraId="110DF500" w14:textId="6FC7ACD7" w:rsidR="00CA7526" w:rsidRPr="00B85D07" w:rsidRDefault="00EB493C" w:rsidP="00976528">
      <w:pPr>
        <w:pStyle w:val="Heading1"/>
      </w:pPr>
      <w:r w:rsidRPr="00B85D07">
        <w:t>Key issues</w:t>
      </w:r>
    </w:p>
    <w:p w14:paraId="5F7CC8DB" w14:textId="77777777" w:rsidR="00CA7526" w:rsidRPr="00B85D07" w:rsidRDefault="00CA7526" w:rsidP="00976528">
      <w:pPr>
        <w:pStyle w:val="Normaltext"/>
        <w:ind w:hanging="284"/>
      </w:pPr>
    </w:p>
    <w:p w14:paraId="51325AD1" w14:textId="070BAB8E" w:rsidR="00CA7526" w:rsidRPr="00B85D07" w:rsidRDefault="00AE412B" w:rsidP="00976528">
      <w:pPr>
        <w:pStyle w:val="Heading2"/>
        <w:rPr>
          <w:lang w:val="en-GB"/>
        </w:rPr>
      </w:pPr>
      <w:r>
        <w:rPr>
          <w:lang w:val="en-GB"/>
        </w:rPr>
        <w:t>Limited</w:t>
      </w:r>
      <w:r w:rsidR="002800D9" w:rsidRPr="00B85D07">
        <w:rPr>
          <w:lang w:val="en-GB"/>
        </w:rPr>
        <w:t xml:space="preserve"> basis for restriction on freedom of assembly</w:t>
      </w:r>
    </w:p>
    <w:p w14:paraId="776EC20F" w14:textId="798AA5A0" w:rsidR="001F7049" w:rsidRPr="00B85D07" w:rsidRDefault="005800B3" w:rsidP="00976528">
      <w:pPr>
        <w:pStyle w:val="Normaltext"/>
        <w:numPr>
          <w:ilvl w:val="0"/>
          <w:numId w:val="34"/>
        </w:numPr>
        <w:ind w:left="0" w:hanging="284"/>
      </w:pPr>
      <w:r>
        <w:t>The basis for limited restriction on the freedom of peaceful assembly is provided for in the ICCPR. However, interpretation of these restrictions on the part of State authorities</w:t>
      </w:r>
      <w:r w:rsidR="0078544F">
        <w:t xml:space="preserve"> is often overzealous, and implementation </w:t>
      </w:r>
      <w:r w:rsidR="0027685F">
        <w:t xml:space="preserve">can be </w:t>
      </w:r>
      <w:r w:rsidR="0078544F">
        <w:t xml:space="preserve">heavy-handed.  </w:t>
      </w:r>
      <w:r w:rsidR="00DA7083">
        <w:t xml:space="preserve">As a basis for </w:t>
      </w:r>
      <w:r w:rsidR="0078544F">
        <w:t xml:space="preserve">further </w:t>
      </w:r>
      <w:r w:rsidR="0027685F">
        <w:t>clarifying</w:t>
      </w:r>
      <w:r>
        <w:t xml:space="preserve"> the </w:t>
      </w:r>
      <w:r w:rsidR="0027685F">
        <w:t xml:space="preserve">possible </w:t>
      </w:r>
      <w:r>
        <w:t>legi</w:t>
      </w:r>
      <w:r w:rsidR="0078544F">
        <w:t>timate</w:t>
      </w:r>
      <w:r w:rsidR="0027685F">
        <w:t xml:space="preserve">, but limited </w:t>
      </w:r>
      <w:r w:rsidR="0078544F">
        <w:t>restriction</w:t>
      </w:r>
      <w:r w:rsidR="0027685F">
        <w:t xml:space="preserve"> of freedom of assembly</w:t>
      </w:r>
      <w:r w:rsidR="0078544F">
        <w:t xml:space="preserve">, </w:t>
      </w:r>
      <w:r w:rsidR="000D57E8">
        <w:t xml:space="preserve">language </w:t>
      </w:r>
      <w:r w:rsidR="0078544F">
        <w:t xml:space="preserve">elements similar to </w:t>
      </w:r>
      <w:r w:rsidR="000D57E8">
        <w:t xml:space="preserve">those in </w:t>
      </w:r>
      <w:r w:rsidR="0078544F">
        <w:t>the existing General Comment</w:t>
      </w:r>
      <w:r w:rsidR="001F7049" w:rsidRPr="00B85D07">
        <w:t xml:space="preserve"> on freedom of expression </w:t>
      </w:r>
      <w:r w:rsidR="0078544F">
        <w:t>should be incorporated, specifically</w:t>
      </w:r>
      <w:r w:rsidR="000D57E8">
        <w:t xml:space="preserve"> relating to</w:t>
      </w:r>
      <w:r w:rsidR="0078544F">
        <w:t>:</w:t>
      </w:r>
    </w:p>
    <w:p w14:paraId="2985578B" w14:textId="13FF9659" w:rsidR="001F7049" w:rsidRPr="00B85D07" w:rsidRDefault="001F7049" w:rsidP="00976528">
      <w:pPr>
        <w:pStyle w:val="Normaltext"/>
        <w:rPr>
          <w:i/>
        </w:rPr>
      </w:pPr>
      <w:r w:rsidRPr="00B85D07">
        <w:rPr>
          <w:i/>
        </w:rPr>
        <w:t>The principle of legality;</w:t>
      </w:r>
    </w:p>
    <w:p w14:paraId="6F17BA9F" w14:textId="7EB553C7" w:rsidR="001F7049" w:rsidRPr="00B85D07" w:rsidRDefault="000D57E8" w:rsidP="00976528">
      <w:pPr>
        <w:pStyle w:val="Normaltext"/>
        <w:rPr>
          <w:i/>
        </w:rPr>
      </w:pPr>
      <w:r>
        <w:rPr>
          <w:i/>
        </w:rPr>
        <w:t xml:space="preserve">Restrictions </w:t>
      </w:r>
      <w:r w:rsidR="001F7049" w:rsidRPr="00B85D07">
        <w:rPr>
          <w:i/>
        </w:rPr>
        <w:t>meet</w:t>
      </w:r>
      <w:r>
        <w:rPr>
          <w:i/>
        </w:rPr>
        <w:t>ing</w:t>
      </w:r>
      <w:r w:rsidR="001F7049" w:rsidRPr="00B85D07">
        <w:rPr>
          <w:i/>
        </w:rPr>
        <w:t xml:space="preserve"> the tests of proportionality and necessity;</w:t>
      </w:r>
    </w:p>
    <w:p w14:paraId="7C5F6BA8" w14:textId="199C9033" w:rsidR="001F7049" w:rsidRPr="00B85D07" w:rsidRDefault="000D57E8" w:rsidP="00976528">
      <w:pPr>
        <w:pStyle w:val="Normaltext"/>
        <w:rPr>
          <w:i/>
        </w:rPr>
      </w:pPr>
      <w:r>
        <w:rPr>
          <w:i/>
        </w:rPr>
        <w:t>Application of restrictions</w:t>
      </w:r>
      <w:r w:rsidR="001F7049" w:rsidRPr="00B85D07">
        <w:rPr>
          <w:i/>
        </w:rPr>
        <w:t xml:space="preserve"> only for the purposes for which it is prescribed;</w:t>
      </w:r>
    </w:p>
    <w:p w14:paraId="73B1FCA5" w14:textId="7D4AEEA2" w:rsidR="001F7049" w:rsidRDefault="000D57E8" w:rsidP="00976528">
      <w:pPr>
        <w:pStyle w:val="Normaltext"/>
        <w:rPr>
          <w:i/>
        </w:rPr>
      </w:pPr>
      <w:r>
        <w:rPr>
          <w:i/>
        </w:rPr>
        <w:t>The onus of the justification for</w:t>
      </w:r>
      <w:r w:rsidR="001F7049" w:rsidRPr="00B85D07">
        <w:rPr>
          <w:i/>
        </w:rPr>
        <w:t xml:space="preserve"> restric</w:t>
      </w:r>
      <w:r>
        <w:rPr>
          <w:i/>
        </w:rPr>
        <w:t>tions lying</w:t>
      </w:r>
      <w:r w:rsidR="001F7049" w:rsidRPr="00B85D07">
        <w:rPr>
          <w:i/>
        </w:rPr>
        <w:t xml:space="preserve"> with the authorities.</w:t>
      </w:r>
    </w:p>
    <w:p w14:paraId="3EB1AEF8" w14:textId="77777777" w:rsidR="00976528" w:rsidRPr="00B85D07" w:rsidRDefault="00976528" w:rsidP="00976528">
      <w:pPr>
        <w:pStyle w:val="Normaltext"/>
        <w:rPr>
          <w:i/>
        </w:rPr>
      </w:pPr>
    </w:p>
    <w:p w14:paraId="53394AAC" w14:textId="17023420" w:rsidR="001F7049" w:rsidRPr="00B85D07" w:rsidRDefault="001F7049" w:rsidP="00976528">
      <w:pPr>
        <w:pStyle w:val="Normaltext"/>
        <w:numPr>
          <w:ilvl w:val="0"/>
          <w:numId w:val="34"/>
        </w:numPr>
        <w:ind w:left="0" w:hanging="284"/>
      </w:pPr>
      <w:r w:rsidRPr="00B85D07">
        <w:t xml:space="preserve">Furthermore, the objective of restrictions and limitation should be to </w:t>
      </w:r>
      <w:r w:rsidR="0027685F">
        <w:t>“</w:t>
      </w:r>
      <w:r w:rsidRPr="00B85D07">
        <w:t>facilitate and protect</w:t>
      </w:r>
      <w:r w:rsidR="0027685F">
        <w:t>”,</w:t>
      </w:r>
      <w:r w:rsidRPr="00B85D07">
        <w:t xml:space="preserve"> as repeatedly stated by the Committee in its jurisprudence. Proposed restrictions should be justi</w:t>
      </w:r>
      <w:r w:rsidR="001C5168">
        <w:t>fied and communicated to the organis</w:t>
      </w:r>
      <w:r w:rsidRPr="00B85D07">
        <w:t>ers</w:t>
      </w:r>
      <w:r w:rsidR="001C5168">
        <w:t xml:space="preserve"> of an assembly</w:t>
      </w:r>
      <w:r w:rsidRPr="00B85D07">
        <w:t xml:space="preserve">, and </w:t>
      </w:r>
      <w:r w:rsidR="001C5168">
        <w:t xml:space="preserve">any decision should be </w:t>
      </w:r>
      <w:r w:rsidRPr="00B85D07">
        <w:t xml:space="preserve">open to appeal. </w:t>
      </w:r>
    </w:p>
    <w:p w14:paraId="11A3D3C1" w14:textId="77777777" w:rsidR="001F7049" w:rsidRPr="00B85D07" w:rsidRDefault="001F7049" w:rsidP="00976528">
      <w:pPr>
        <w:pStyle w:val="Normaltext"/>
        <w:ind w:hanging="284"/>
      </w:pPr>
    </w:p>
    <w:p w14:paraId="54FF465D" w14:textId="3F596A5B" w:rsidR="001F7049" w:rsidRPr="00B85D07" w:rsidRDefault="00AE412B" w:rsidP="00976528">
      <w:pPr>
        <w:pStyle w:val="Heading2"/>
        <w:rPr>
          <w:lang w:val="en-GB"/>
        </w:rPr>
      </w:pPr>
      <w:r>
        <w:rPr>
          <w:lang w:val="en-GB"/>
        </w:rPr>
        <w:t>Authorisation from authorities should not be required</w:t>
      </w:r>
    </w:p>
    <w:p w14:paraId="7F911904" w14:textId="2A0F75BB" w:rsidR="00300775" w:rsidRDefault="0068684E" w:rsidP="00976528">
      <w:pPr>
        <w:pStyle w:val="ListParagraph"/>
        <w:numPr>
          <w:ilvl w:val="0"/>
          <w:numId w:val="34"/>
        </w:numPr>
        <w:ind w:left="0" w:hanging="284"/>
      </w:pPr>
      <w:r>
        <w:t xml:space="preserve">As noted by the </w:t>
      </w:r>
      <w:r w:rsidRPr="0068684E">
        <w:t>Special Rapporteur on the rights to freedom of peaceful assembly and of association</w:t>
      </w:r>
      <w:r>
        <w:t xml:space="preserve">, obligations upon the organisers of public assemblies should be simply to notify authorities of their intention to hold an assembly, and not to request permission.  The Special Rapporteur says that </w:t>
      </w:r>
      <w:r w:rsidR="009F499B">
        <w:t>a permission or “authorisation-based” regime is</w:t>
      </w:r>
      <w:r w:rsidR="00300775">
        <w:t>:</w:t>
      </w:r>
      <w:r w:rsidR="009F499B">
        <w:t xml:space="preserve"> </w:t>
      </w:r>
    </w:p>
    <w:p w14:paraId="61C9C4D0" w14:textId="77777777" w:rsidR="00300775" w:rsidRDefault="00300775" w:rsidP="00976528">
      <w:pPr>
        <w:ind w:hanging="284"/>
      </w:pPr>
    </w:p>
    <w:p w14:paraId="56B24B10" w14:textId="1EFDA9CF" w:rsidR="009F499B" w:rsidRPr="00976528" w:rsidRDefault="009F499B" w:rsidP="00976528">
      <w:pPr>
        <w:pStyle w:val="ListParagraph"/>
        <w:numPr>
          <w:ilvl w:val="0"/>
          <w:numId w:val="0"/>
        </w:numPr>
        <w:rPr>
          <w:i/>
        </w:rPr>
      </w:pPr>
      <w:r w:rsidRPr="00976528">
        <w:rPr>
          <w:i/>
        </w:rPr>
        <w:t>“</w:t>
      </w:r>
      <w:r w:rsidR="00300775" w:rsidRPr="00976528">
        <w:rPr>
          <w:i/>
        </w:rPr>
        <w:t>…i</w:t>
      </w:r>
      <w:r w:rsidRPr="00976528">
        <w:rPr>
          <w:i/>
        </w:rPr>
        <w:t>ncompatible with international law and best practices governing freedom of peaceful assembly. Fundamentally, requiring authorization – even when couched as notification – turns the exercise of the right to freedom of peaceful assembly into a privilege.</w:t>
      </w:r>
      <w:r w:rsidR="000C2A24" w:rsidRPr="00976528">
        <w:rPr>
          <w:i/>
        </w:rPr>
        <w:t xml:space="preserve"> </w:t>
      </w:r>
      <w:r w:rsidRPr="00976528">
        <w:rPr>
          <w:i/>
        </w:rPr>
        <w:t xml:space="preserve">Best practice dictates that States may, at </w:t>
      </w:r>
      <w:r w:rsidRPr="00976528">
        <w:rPr>
          <w:i/>
        </w:rPr>
        <w:lastRenderedPageBreak/>
        <w:t>most, require prior notification for peaceful assemblies, not authorization. The purpose of prior notification is to allow authorities to facilitate the exercise of the right to freedom of peaceful assembly, and to take measures to protect protesters, public safety, order and the rights and freedoms of others. The Special Rapporteur acknowledges that assemblies, by their nature, can cause a certain degree of disruption to the normal routine of daily life. However, these only constitute a temporary interference with the rights and activities of others and therefore should be tolerated.</w:t>
      </w:r>
      <w:r w:rsidR="000C2A24" w:rsidRPr="00976528">
        <w:rPr>
          <w:i/>
        </w:rPr>
        <w:t>”</w:t>
      </w:r>
      <w:r w:rsidR="00B12B51" w:rsidRPr="00300775">
        <w:rPr>
          <w:rStyle w:val="FootnoteReference"/>
          <w:i/>
        </w:rPr>
        <w:footnoteReference w:id="1"/>
      </w:r>
    </w:p>
    <w:p w14:paraId="1E65C485" w14:textId="04614903" w:rsidR="0068684E" w:rsidRDefault="0068684E" w:rsidP="00976528">
      <w:pPr>
        <w:ind w:hanging="284"/>
      </w:pPr>
    </w:p>
    <w:p w14:paraId="681E60A4" w14:textId="706E6FF5" w:rsidR="00976528" w:rsidRDefault="00411119" w:rsidP="00976528">
      <w:pPr>
        <w:pStyle w:val="ListParagraph"/>
        <w:numPr>
          <w:ilvl w:val="0"/>
          <w:numId w:val="34"/>
        </w:numPr>
        <w:ind w:left="0" w:hanging="284"/>
      </w:pPr>
      <w:r>
        <w:t>Examples</w:t>
      </w:r>
      <w:r w:rsidR="00D715F5">
        <w:t xml:space="preserve"> </w:t>
      </w:r>
      <w:r>
        <w:t xml:space="preserve">of </w:t>
      </w:r>
      <w:r w:rsidR="0027685F">
        <w:t>illegitimate</w:t>
      </w:r>
      <w:r w:rsidR="0002703F">
        <w:t xml:space="preserve"> prior authorisation include </w:t>
      </w:r>
      <w:r w:rsidR="00D715F5">
        <w:t>organisers of assemblies needing</w:t>
      </w:r>
      <w:r w:rsidR="00B03365" w:rsidRPr="00B85D07">
        <w:t xml:space="preserve"> to file civil law contracts with government bodies before filing an application for holding </w:t>
      </w:r>
      <w:r w:rsidR="00BC267F">
        <w:t>an assembly</w:t>
      </w:r>
      <w:r w:rsidR="00B03365" w:rsidRPr="00B85D07">
        <w:t xml:space="preserve">. </w:t>
      </w:r>
      <w:r w:rsidR="00BC267F">
        <w:t>Contractual obligations include things like the maintenance of</w:t>
      </w:r>
      <w:r w:rsidR="00BC267F" w:rsidRPr="00B85D07">
        <w:t xml:space="preserve"> public order, clean-up of the </w:t>
      </w:r>
      <w:r w:rsidR="0027685F">
        <w:t xml:space="preserve">assembly </w:t>
      </w:r>
      <w:r w:rsidR="00BC267F">
        <w:t>site in question,</w:t>
      </w:r>
      <w:r w:rsidR="00BC267F" w:rsidRPr="00B85D07">
        <w:t xml:space="preserve"> and provi</w:t>
      </w:r>
      <w:r w:rsidR="00BC267F">
        <w:t>sion of</w:t>
      </w:r>
      <w:r w:rsidR="00BC267F" w:rsidRPr="00B85D07">
        <w:t xml:space="preserve"> medical care</w:t>
      </w:r>
      <w:r w:rsidR="00BC267F">
        <w:t>.</w:t>
      </w:r>
      <w:r w:rsidR="00BC267F" w:rsidRPr="00B85D07">
        <w:t xml:space="preserve"> </w:t>
      </w:r>
      <w:r w:rsidR="00BC267F">
        <w:t>Authorisation can thus be refused until a contract has been completed, and to a degree which fulfils whatever arbitrary specifications the authorities might wish to render</w:t>
      </w:r>
      <w:r w:rsidR="00B03365" w:rsidRPr="00B85D07">
        <w:t xml:space="preserve">. These circumstances devalue the entire meaning of this right, as the </w:t>
      </w:r>
      <w:r w:rsidR="0027685F">
        <w:t>S</w:t>
      </w:r>
      <w:r w:rsidR="00B03365" w:rsidRPr="00B85D07">
        <w:t>tate</w:t>
      </w:r>
      <w:r w:rsidR="0027685F">
        <w:t xml:space="preserve"> therefore</w:t>
      </w:r>
      <w:r w:rsidR="00B03365" w:rsidRPr="00B85D07">
        <w:t xml:space="preserve"> </w:t>
      </w:r>
      <w:r w:rsidR="00B03365" w:rsidRPr="00976528">
        <w:rPr>
          <w:i/>
        </w:rPr>
        <w:t>de facto</w:t>
      </w:r>
      <w:r w:rsidR="00B03365" w:rsidRPr="00B85D07">
        <w:t xml:space="preserve"> refuses to fulfil its positive duty to ensure the exercise of the right to freedom of assembly.</w:t>
      </w:r>
    </w:p>
    <w:p w14:paraId="57C9F7EC" w14:textId="77777777" w:rsidR="00976528" w:rsidRDefault="00976528" w:rsidP="00976528">
      <w:pPr>
        <w:pStyle w:val="ListParagraph"/>
        <w:numPr>
          <w:ilvl w:val="0"/>
          <w:numId w:val="0"/>
        </w:numPr>
      </w:pPr>
    </w:p>
    <w:p w14:paraId="767FA7E2" w14:textId="20B34764" w:rsidR="00976528" w:rsidRDefault="00BC267F" w:rsidP="00976528">
      <w:pPr>
        <w:pStyle w:val="ListParagraph"/>
        <w:numPr>
          <w:ilvl w:val="0"/>
          <w:numId w:val="34"/>
        </w:numPr>
        <w:ind w:left="0" w:hanging="284"/>
      </w:pPr>
      <w:r>
        <w:t>HRHF has documented the outcomes of a variety of different assemblies that have “failed” to secure the correct authorisation; failure that</w:t>
      </w:r>
      <w:r w:rsidR="00B03365" w:rsidRPr="00B85D07">
        <w:t xml:space="preserve"> leads to dispersals, arrests, detention and sanctions not only of organizers but also of participants. </w:t>
      </w:r>
      <w:r w:rsidR="0027685F">
        <w:t xml:space="preserve">All such outcomes illustrate a failure on the part of the authorities to fulfil their obligations. </w:t>
      </w:r>
      <w:r w:rsidR="0019775A">
        <w:t>Furthermore, i</w:t>
      </w:r>
      <w:r>
        <w:t>n this scenario, no</w:t>
      </w:r>
      <w:r w:rsidR="00B03365" w:rsidRPr="00B85D07">
        <w:t xml:space="preserve"> provision is made for spontaneous assemblies, </w:t>
      </w:r>
      <w:r>
        <w:t>including in some instances</w:t>
      </w:r>
      <w:r w:rsidR="00B03365" w:rsidRPr="00B85D07">
        <w:t xml:space="preserve"> single-person picket</w:t>
      </w:r>
      <w:r>
        <w:t>s</w:t>
      </w:r>
      <w:r w:rsidR="00B03365" w:rsidRPr="00B85D07">
        <w:t xml:space="preserve"> </w:t>
      </w:r>
      <w:r>
        <w:t xml:space="preserve">which </w:t>
      </w:r>
      <w:r w:rsidR="00411119">
        <w:t>can also be sanctioned as a form of assembly</w:t>
      </w:r>
      <w:r w:rsidR="0019775A">
        <w:rPr>
          <w:rStyle w:val="FootnoteReference"/>
        </w:rPr>
        <w:footnoteReference w:id="2"/>
      </w:r>
      <w:r w:rsidR="00411119">
        <w:t>.</w:t>
      </w:r>
    </w:p>
    <w:p w14:paraId="2B9461FB" w14:textId="77777777" w:rsidR="00976528" w:rsidRDefault="00976528" w:rsidP="00976528">
      <w:pPr>
        <w:pStyle w:val="ListParagraph"/>
        <w:numPr>
          <w:ilvl w:val="0"/>
          <w:numId w:val="0"/>
        </w:numPr>
      </w:pPr>
    </w:p>
    <w:p w14:paraId="6773AD70" w14:textId="7870A408" w:rsidR="00B03365" w:rsidRPr="00B85D07" w:rsidRDefault="00411119" w:rsidP="000E60B7">
      <w:pPr>
        <w:pStyle w:val="ListParagraph"/>
        <w:numPr>
          <w:ilvl w:val="0"/>
          <w:numId w:val="0"/>
        </w:numPr>
        <w:ind w:firstLine="567"/>
      </w:pPr>
      <w:bookmarkStart w:id="2" w:name="_GoBack"/>
      <w:bookmarkEnd w:id="2"/>
      <w:r>
        <w:t>We therefore recommend</w:t>
      </w:r>
      <w:r w:rsidR="005D70A2">
        <w:t xml:space="preserve"> that</w:t>
      </w:r>
      <w:r>
        <w:t>:</w:t>
      </w:r>
    </w:p>
    <w:p w14:paraId="5BD18D5C" w14:textId="25DF8697" w:rsidR="00B03365" w:rsidRPr="00B85D07" w:rsidRDefault="00B03365" w:rsidP="00976528">
      <w:pPr>
        <w:pStyle w:val="Normaltext"/>
        <w:numPr>
          <w:ilvl w:val="0"/>
          <w:numId w:val="34"/>
        </w:numPr>
        <w:ind w:left="567" w:hanging="851"/>
      </w:pPr>
      <w:r w:rsidRPr="00B85D07">
        <w:t>Procedures for organi</w:t>
      </w:r>
      <w:r w:rsidR="00411119">
        <w:t>s</w:t>
      </w:r>
      <w:r w:rsidRPr="00B85D07">
        <w:t xml:space="preserve">ing assemblies should be </w:t>
      </w:r>
      <w:r w:rsidR="00411119">
        <w:t xml:space="preserve">on a </w:t>
      </w:r>
      <w:r w:rsidRPr="00B85D07">
        <w:t>notification bas</w:t>
      </w:r>
      <w:r w:rsidR="00411119">
        <w:t>is</w:t>
      </w:r>
      <w:r w:rsidRPr="00B85D07">
        <w:t>. The presumption should be in favour of the assembly, and bureaucratic procedures</w:t>
      </w:r>
      <w:r w:rsidR="00411119">
        <w:t>, where deemed essential,</w:t>
      </w:r>
      <w:r w:rsidRPr="00B85D07">
        <w:t xml:space="preserve"> should be minimal</w:t>
      </w:r>
      <w:r w:rsidR="00411119">
        <w:t>;</w:t>
      </w:r>
      <w:r w:rsidRPr="00B85D07">
        <w:t xml:space="preserve"> </w:t>
      </w:r>
    </w:p>
    <w:p w14:paraId="1128DCF0" w14:textId="1B77F2AB" w:rsidR="00B03365" w:rsidRPr="00B85D07" w:rsidRDefault="00B03365" w:rsidP="00976528">
      <w:pPr>
        <w:pStyle w:val="Normaltext"/>
        <w:numPr>
          <w:ilvl w:val="0"/>
          <w:numId w:val="34"/>
        </w:numPr>
        <w:ind w:left="567" w:hanging="851"/>
      </w:pPr>
      <w:r w:rsidRPr="00B85D07">
        <w:t xml:space="preserve">All </w:t>
      </w:r>
      <w:r w:rsidR="00411119" w:rsidRPr="00B85D07">
        <w:t>laws and</w:t>
      </w:r>
      <w:r w:rsidRPr="00B85D07">
        <w:t xml:space="preserve"> regulations relating to the management of assemblies should be </w:t>
      </w:r>
      <w:r w:rsidR="00411119">
        <w:t xml:space="preserve">internally </w:t>
      </w:r>
      <w:r w:rsidRPr="00B85D07">
        <w:t xml:space="preserve">consistent with each other and </w:t>
      </w:r>
      <w:r w:rsidR="00411119">
        <w:t xml:space="preserve">fulfilling </w:t>
      </w:r>
      <w:r w:rsidRPr="00B85D07">
        <w:t xml:space="preserve">international </w:t>
      </w:r>
      <w:r w:rsidR="00411119">
        <w:t xml:space="preserve">human rights law and </w:t>
      </w:r>
      <w:r w:rsidRPr="00B85D07">
        <w:t>standards</w:t>
      </w:r>
      <w:r w:rsidR="00411119">
        <w:t>;</w:t>
      </w:r>
    </w:p>
    <w:p w14:paraId="67B0A6D8" w14:textId="508F886B" w:rsidR="00B03365" w:rsidRPr="00B85D07" w:rsidRDefault="00B03365" w:rsidP="00976528">
      <w:pPr>
        <w:pStyle w:val="Normaltext"/>
        <w:numPr>
          <w:ilvl w:val="0"/>
          <w:numId w:val="34"/>
        </w:numPr>
        <w:ind w:left="567" w:hanging="851"/>
      </w:pPr>
      <w:r w:rsidRPr="00B85D07">
        <w:t xml:space="preserve">Failure to notify authorities of an assembly </w:t>
      </w:r>
      <w:r w:rsidR="00411119">
        <w:t>should</w:t>
      </w:r>
      <w:r w:rsidRPr="00B85D07">
        <w:t xml:space="preserve"> not render an assembly unlawful and should not lead to criminal or administrative sanctions against organizers or participants</w:t>
      </w:r>
      <w:r w:rsidR="00411119">
        <w:t>;</w:t>
      </w:r>
      <w:r w:rsidRPr="00B85D07">
        <w:t xml:space="preserve"> </w:t>
      </w:r>
    </w:p>
    <w:p w14:paraId="7EFDAD7E" w14:textId="71573B47" w:rsidR="00B03365" w:rsidRPr="00B85D07" w:rsidRDefault="00B03365" w:rsidP="00976528">
      <w:pPr>
        <w:pStyle w:val="Normaltext"/>
        <w:numPr>
          <w:ilvl w:val="0"/>
          <w:numId w:val="34"/>
        </w:numPr>
        <w:ind w:left="567" w:hanging="851"/>
      </w:pPr>
      <w:r w:rsidRPr="00B85D07">
        <w:t xml:space="preserve">Single-person </w:t>
      </w:r>
      <w:r w:rsidR="00411119" w:rsidRPr="00B85D07">
        <w:t>pickets and</w:t>
      </w:r>
      <w:r w:rsidRPr="00B85D07">
        <w:t xml:space="preserve"> spontaneous assemblies should be specifically excluded from notification requirements and procedures</w:t>
      </w:r>
      <w:r w:rsidR="00411119">
        <w:t>.</w:t>
      </w:r>
    </w:p>
    <w:p w14:paraId="177D036F" w14:textId="77777777" w:rsidR="00B03365" w:rsidRPr="00B85D07" w:rsidRDefault="00B03365" w:rsidP="00976528">
      <w:pPr>
        <w:pStyle w:val="Normaltext"/>
        <w:ind w:hanging="284"/>
      </w:pPr>
    </w:p>
    <w:p w14:paraId="6A68B1C9" w14:textId="77777777" w:rsidR="00B03365" w:rsidRPr="00976528" w:rsidRDefault="00B03365" w:rsidP="00976528">
      <w:pPr>
        <w:pStyle w:val="ListParagraph"/>
        <w:numPr>
          <w:ilvl w:val="0"/>
          <w:numId w:val="0"/>
        </w:numPr>
        <w:rPr>
          <w:rFonts w:ascii="Arial" w:hAnsi="Arial"/>
          <w:b/>
          <w:sz w:val="24"/>
          <w:szCs w:val="24"/>
        </w:rPr>
      </w:pPr>
      <w:r w:rsidRPr="00976528">
        <w:rPr>
          <w:rFonts w:ascii="Arial" w:hAnsi="Arial"/>
          <w:b/>
          <w:sz w:val="24"/>
          <w:szCs w:val="24"/>
        </w:rPr>
        <w:t>Positive obligations of the State party – to protect and facilitate</w:t>
      </w:r>
    </w:p>
    <w:p w14:paraId="5B229CE4" w14:textId="77777777" w:rsidR="00BD52C7" w:rsidRDefault="0002703F" w:rsidP="00976528">
      <w:pPr>
        <w:pStyle w:val="Normaltext"/>
        <w:numPr>
          <w:ilvl w:val="0"/>
          <w:numId w:val="34"/>
        </w:numPr>
        <w:ind w:left="0" w:hanging="284"/>
      </w:pPr>
      <w:r>
        <w:t>The state has a positive obligation to protect and facilitate the right to freedom of assembly at its own cost. For instance, o</w:t>
      </w:r>
      <w:r w:rsidR="00B03365" w:rsidRPr="00B85D07">
        <w:t>rgani</w:t>
      </w:r>
      <w:r>
        <w:t>s</w:t>
      </w:r>
      <w:r w:rsidR="00B03365" w:rsidRPr="00B85D07">
        <w:t xml:space="preserve">ers of an assembly </w:t>
      </w:r>
      <w:r>
        <w:t xml:space="preserve">should not </w:t>
      </w:r>
      <w:r w:rsidR="0091334E">
        <w:t xml:space="preserve">themselves </w:t>
      </w:r>
      <w:r>
        <w:t>be</w:t>
      </w:r>
      <w:r w:rsidR="00B03365" w:rsidRPr="00B85D07">
        <w:t xml:space="preserve"> required to pay for </w:t>
      </w:r>
      <w:r>
        <w:t xml:space="preserve">public </w:t>
      </w:r>
      <w:r w:rsidR="00B03365" w:rsidRPr="00B85D07">
        <w:t xml:space="preserve">services </w:t>
      </w:r>
      <w:r>
        <w:t xml:space="preserve">to ensure safety and public order, including the provision of </w:t>
      </w:r>
      <w:r w:rsidR="00B03365" w:rsidRPr="00B85D07">
        <w:t xml:space="preserve">medical </w:t>
      </w:r>
      <w:r>
        <w:t xml:space="preserve">support or </w:t>
      </w:r>
      <w:r w:rsidR="00B03365" w:rsidRPr="00B85D07">
        <w:t xml:space="preserve">first aid, law enforcement, </w:t>
      </w:r>
      <w:r>
        <w:t xml:space="preserve">or the costs of </w:t>
      </w:r>
      <w:r w:rsidR="00B03365" w:rsidRPr="00B85D07">
        <w:t>clean</w:t>
      </w:r>
      <w:r>
        <w:t>ing</w:t>
      </w:r>
      <w:r w:rsidR="00B03365" w:rsidRPr="00B85D07">
        <w:t xml:space="preserve"> up</w:t>
      </w:r>
      <w:r>
        <w:t xml:space="preserve"> after a public assembly</w:t>
      </w:r>
      <w:r w:rsidR="00B03365" w:rsidRPr="00B85D07">
        <w:t xml:space="preserve">.  </w:t>
      </w:r>
      <w:r w:rsidR="005D70A2">
        <w:t xml:space="preserve">On the contrary, it is </w:t>
      </w:r>
      <w:r w:rsidR="00BD52C7">
        <w:t xml:space="preserve">incumbent upon </w:t>
      </w:r>
      <w:r w:rsidR="005D70A2">
        <w:t xml:space="preserve">the authorities to ensure the health and safety of all people involved in an assembly, including participants, onlookers, and those who might offer some form of counter </w:t>
      </w:r>
      <w:r w:rsidR="00BD52C7">
        <w:t xml:space="preserve">assembly or </w:t>
      </w:r>
      <w:r w:rsidR="005D70A2">
        <w:t xml:space="preserve">demonstration. </w:t>
      </w:r>
    </w:p>
    <w:p w14:paraId="75B55B95" w14:textId="77777777" w:rsidR="00BD52C7" w:rsidRDefault="00BD52C7" w:rsidP="00976528">
      <w:pPr>
        <w:pStyle w:val="Normaltext"/>
        <w:ind w:hanging="284"/>
      </w:pPr>
    </w:p>
    <w:p w14:paraId="4DE64D5A" w14:textId="77777777" w:rsidR="00976528" w:rsidRDefault="005D70A2" w:rsidP="00976528">
      <w:pPr>
        <w:pStyle w:val="Normaltext"/>
        <w:numPr>
          <w:ilvl w:val="0"/>
          <w:numId w:val="34"/>
        </w:numPr>
        <w:ind w:left="0" w:hanging="284"/>
      </w:pPr>
      <w:r>
        <w:t>Of a similar nature, t</w:t>
      </w:r>
      <w:r w:rsidR="00B03365" w:rsidRPr="00B85D07">
        <w:t xml:space="preserve">he right to choose a location for an assembly </w:t>
      </w:r>
      <w:r>
        <w:t>should not be</w:t>
      </w:r>
      <w:r w:rsidR="00B03365" w:rsidRPr="00B85D07">
        <w:t xml:space="preserve"> disproportionately restricted</w:t>
      </w:r>
      <w:r>
        <w:t xml:space="preserve">. </w:t>
      </w:r>
      <w:r w:rsidR="00410F71" w:rsidRPr="00B85D07">
        <w:t xml:space="preserve">Assemblies are a legitimate use of public space </w:t>
      </w:r>
      <w:r w:rsidR="00410F71">
        <w:t>alongside other legitimate uses including</w:t>
      </w:r>
      <w:r w:rsidR="00410F71" w:rsidRPr="00B85D07">
        <w:t xml:space="preserve"> </w:t>
      </w:r>
      <w:r w:rsidR="00410F71" w:rsidRPr="00B85D07">
        <w:lastRenderedPageBreak/>
        <w:t>commercial activity or the movement of vehicles and pedestrian traffic, and traffic management during an assembly is part of the responsibility of t</w:t>
      </w:r>
      <w:r w:rsidR="00410F71">
        <w:t>he appropriate authorities</w:t>
      </w:r>
      <w:r w:rsidR="00410F71" w:rsidRPr="00B85D07">
        <w:t xml:space="preserve">. </w:t>
      </w:r>
      <w:r w:rsidR="00410F71">
        <w:t xml:space="preserve"> </w:t>
      </w:r>
      <w:r w:rsidR="00BD52C7">
        <w:t>T</w:t>
      </w:r>
      <w:r w:rsidR="00410F71">
        <w:t>he</w:t>
      </w:r>
      <w:r>
        <w:t xml:space="preserve"> authorities can be in particular breach of their obligations when they seek to relegate assemblies to isolated places, with no connection </w:t>
      </w:r>
      <w:r w:rsidR="00410F71">
        <w:t xml:space="preserve">or </w:t>
      </w:r>
      <w:r>
        <w:t>relevance to the needs or desires of those forming the assembly. As previously stat</w:t>
      </w:r>
      <w:r w:rsidR="00410F71">
        <w:t>ed</w:t>
      </w:r>
      <w:r>
        <w:t xml:space="preserve">, </w:t>
      </w:r>
      <w:r w:rsidR="00410F71">
        <w:t>public assemblies</w:t>
      </w:r>
      <w:r>
        <w:t xml:space="preserve"> can cause a degree of temporary disruption to daily </w:t>
      </w:r>
      <w:proofErr w:type="gramStart"/>
      <w:r>
        <w:t>life, but</w:t>
      </w:r>
      <w:proofErr w:type="gramEnd"/>
      <w:r>
        <w:t xml:space="preserve"> should nevertheless be tolerated.</w:t>
      </w:r>
    </w:p>
    <w:p w14:paraId="17324592" w14:textId="77777777" w:rsidR="00976528" w:rsidRDefault="00976528" w:rsidP="00976528"/>
    <w:p w14:paraId="43A275B3" w14:textId="16080CF8" w:rsidR="00B03365" w:rsidRPr="00B85D07" w:rsidRDefault="005D70A2" w:rsidP="000E60B7">
      <w:pPr>
        <w:pStyle w:val="Normaltext"/>
        <w:ind w:firstLine="567"/>
      </w:pPr>
      <w:r>
        <w:t>We therefore recommend that:</w:t>
      </w:r>
    </w:p>
    <w:p w14:paraId="4A8A368F" w14:textId="15F90446" w:rsidR="00B03365" w:rsidRPr="00B85D07" w:rsidRDefault="00BD52C7" w:rsidP="00976528">
      <w:pPr>
        <w:pStyle w:val="Normaltext"/>
        <w:numPr>
          <w:ilvl w:val="0"/>
          <w:numId w:val="34"/>
        </w:numPr>
        <w:ind w:left="567" w:hanging="851"/>
      </w:pPr>
      <w:r>
        <w:t>The provision of</w:t>
      </w:r>
      <w:r w:rsidR="00B03365" w:rsidRPr="00B85D07">
        <w:t xml:space="preserve"> basic services</w:t>
      </w:r>
      <w:r>
        <w:t xml:space="preserve"> is</w:t>
      </w:r>
      <w:r w:rsidRPr="00B85D07">
        <w:t xml:space="preserve"> part of the positive obligation of the State</w:t>
      </w:r>
      <w:r>
        <w:t>/authorities, and should not be unfairly borne by</w:t>
      </w:r>
      <w:r w:rsidR="00B77186">
        <w:t xml:space="preserve"> those assembling, or </w:t>
      </w:r>
      <w:r>
        <w:t>by the</w:t>
      </w:r>
      <w:r w:rsidR="00B77186">
        <w:t xml:space="preserve"> organisers of an assembl</w:t>
      </w:r>
      <w:r>
        <w:t>y</w:t>
      </w:r>
      <w:r w:rsidR="00B77186">
        <w:t>;</w:t>
      </w:r>
    </w:p>
    <w:p w14:paraId="335BE052" w14:textId="2AF0755C" w:rsidR="00B03365" w:rsidRPr="00B85D07" w:rsidRDefault="00B77186" w:rsidP="00976528">
      <w:pPr>
        <w:pStyle w:val="Normaltext"/>
        <w:numPr>
          <w:ilvl w:val="0"/>
          <w:numId w:val="34"/>
        </w:numPr>
        <w:ind w:left="567" w:hanging="851"/>
      </w:pPr>
      <w:r>
        <w:t>The choice</w:t>
      </w:r>
      <w:r w:rsidR="00B03365" w:rsidRPr="00B85D07">
        <w:t xml:space="preserve"> of the location</w:t>
      </w:r>
      <w:r>
        <w:t xml:space="preserve"> of a</w:t>
      </w:r>
      <w:r w:rsidR="00410F71">
        <w:t xml:space="preserve"> public</w:t>
      </w:r>
      <w:r>
        <w:t xml:space="preserve"> assembly</w:t>
      </w:r>
      <w:r w:rsidR="00B03365" w:rsidRPr="00B85D07">
        <w:t xml:space="preserve"> should be the prerogative of the organi</w:t>
      </w:r>
      <w:r>
        <w:t>s</w:t>
      </w:r>
      <w:r w:rsidR="00B03365" w:rsidRPr="00B85D07">
        <w:t xml:space="preserve">ers; </w:t>
      </w:r>
      <w:r w:rsidR="00410F71">
        <w:t xml:space="preserve">and </w:t>
      </w:r>
      <w:r w:rsidR="00B03365" w:rsidRPr="00B85D07">
        <w:t xml:space="preserve">authorities should </w:t>
      </w:r>
      <w:r w:rsidR="00410F71">
        <w:t>offer maximum facilitation in ensuring</w:t>
      </w:r>
      <w:r w:rsidR="00B03365" w:rsidRPr="00B85D07">
        <w:t xml:space="preserve"> assemblies</w:t>
      </w:r>
      <w:r w:rsidR="00410F71">
        <w:t xml:space="preserve"> can occur in a location according to the wishes of the organisers;</w:t>
      </w:r>
    </w:p>
    <w:p w14:paraId="66B9717E" w14:textId="62D6DE7D" w:rsidR="00B03365" w:rsidRPr="00B85D07" w:rsidRDefault="00B03365" w:rsidP="00976528">
      <w:pPr>
        <w:pStyle w:val="Normaltext"/>
        <w:numPr>
          <w:ilvl w:val="0"/>
          <w:numId w:val="34"/>
        </w:numPr>
        <w:ind w:left="567" w:hanging="851"/>
      </w:pPr>
      <w:r w:rsidRPr="00B85D07">
        <w:t xml:space="preserve">The primary role of law enforcement is to protect and to ensure the safety and security of the assembly and its participants. The authority to arrest should be part of that protective function in assemblies, </w:t>
      </w:r>
      <w:r w:rsidR="00BD52C7">
        <w:t>but only insofar as</w:t>
      </w:r>
      <w:r w:rsidRPr="00B85D07">
        <w:t xml:space="preserve"> to remove from an </w:t>
      </w:r>
      <w:r w:rsidR="00410F71" w:rsidRPr="00B85D07">
        <w:t xml:space="preserve">assembly </w:t>
      </w:r>
      <w:r w:rsidR="00BD52C7">
        <w:t xml:space="preserve">any </w:t>
      </w:r>
      <w:r w:rsidR="00410F71" w:rsidRPr="00B85D07">
        <w:t>individual</w:t>
      </w:r>
      <w:r w:rsidR="00BD52C7">
        <w:t>s</w:t>
      </w:r>
      <w:r w:rsidRPr="00B85D07">
        <w:t xml:space="preserve"> who are acting violently, in procedures which are in line with international standards</w:t>
      </w:r>
      <w:r w:rsidR="00410F71">
        <w:t>.</w:t>
      </w:r>
    </w:p>
    <w:p w14:paraId="3A55D4B7" w14:textId="77777777" w:rsidR="00B03365" w:rsidRPr="00B85D07" w:rsidRDefault="00B03365" w:rsidP="00976528">
      <w:pPr>
        <w:pStyle w:val="Normaltext"/>
        <w:ind w:hanging="284"/>
      </w:pPr>
    </w:p>
    <w:p w14:paraId="1A4D42AD" w14:textId="77777777" w:rsidR="00DE171B" w:rsidRPr="00976528" w:rsidRDefault="00DE171B" w:rsidP="00976528">
      <w:pPr>
        <w:pStyle w:val="ListParagraph"/>
        <w:numPr>
          <w:ilvl w:val="0"/>
          <w:numId w:val="0"/>
        </w:numPr>
        <w:rPr>
          <w:rFonts w:ascii="Arial" w:hAnsi="Arial"/>
          <w:b/>
          <w:sz w:val="24"/>
          <w:szCs w:val="24"/>
        </w:rPr>
      </w:pPr>
      <w:r w:rsidRPr="00976528">
        <w:rPr>
          <w:rFonts w:ascii="Arial" w:hAnsi="Arial"/>
          <w:b/>
          <w:sz w:val="24"/>
          <w:szCs w:val="24"/>
        </w:rPr>
        <w:t>Peaceful protests, dissent and reprisals</w:t>
      </w:r>
    </w:p>
    <w:p w14:paraId="0D27FE7A" w14:textId="77777777" w:rsidR="00976528" w:rsidRDefault="00D3117E" w:rsidP="00976528">
      <w:pPr>
        <w:pStyle w:val="Normaltext"/>
        <w:numPr>
          <w:ilvl w:val="0"/>
          <w:numId w:val="34"/>
        </w:numPr>
        <w:ind w:left="0" w:hanging="284"/>
      </w:pPr>
      <w:r w:rsidRPr="00B85D07">
        <w:t xml:space="preserve">Assemblies, rallies, peaceful protests and pickets </w:t>
      </w:r>
      <w:r w:rsidR="00BD52C7">
        <w:t>can be</w:t>
      </w:r>
      <w:r w:rsidRPr="00B85D07">
        <w:t xml:space="preserve"> particularly targeted by the authorities if these convey dissenting messages and opinions or are organised by members of th</w:t>
      </w:r>
      <w:r w:rsidR="00CB2B45">
        <w:t>ose deemed to be in</w:t>
      </w:r>
      <w:r w:rsidRPr="00B85D07">
        <w:t xml:space="preserve"> </w:t>
      </w:r>
      <w:r w:rsidR="00CB2B45">
        <w:t>“</w:t>
      </w:r>
      <w:r w:rsidRPr="00B85D07">
        <w:t>opposition</w:t>
      </w:r>
      <w:r w:rsidR="00CB2B45">
        <w:t>” to those holding power</w:t>
      </w:r>
      <w:r w:rsidRPr="00B85D07">
        <w:t xml:space="preserve">. Besides receiving administrative and criminal sanctions in connection with legal </w:t>
      </w:r>
      <w:r w:rsidR="00CB2B45" w:rsidRPr="00B85D07">
        <w:t>restrictions on</w:t>
      </w:r>
      <w:r w:rsidRPr="00B85D07">
        <w:t xml:space="preserve"> the holding of assemblies, organisers and participants are subjected to intimidation, harassment and assault.</w:t>
      </w:r>
      <w:r w:rsidR="00CB2B45">
        <w:t xml:space="preserve"> Such sanctions can even occur in advance of an assembly, </w:t>
      </w:r>
      <w:r w:rsidR="002242FE">
        <w:t>so as to stop an assembly before it begins. A</w:t>
      </w:r>
      <w:r w:rsidR="00CB2B45">
        <w:t xml:space="preserve">ll such sanctions and restrictions almost certainly </w:t>
      </w:r>
      <w:r w:rsidR="002242FE">
        <w:t>constitute a breach to</w:t>
      </w:r>
      <w:r w:rsidR="00CB2B45">
        <w:t xml:space="preserve"> the </w:t>
      </w:r>
      <w:r w:rsidR="002242FE">
        <w:t>freedom of</w:t>
      </w:r>
      <w:r w:rsidR="00CB2B45">
        <w:t xml:space="preserve"> assembly.</w:t>
      </w:r>
    </w:p>
    <w:p w14:paraId="6C7576F3" w14:textId="77777777" w:rsidR="00976528" w:rsidRDefault="00976528" w:rsidP="00976528">
      <w:pPr>
        <w:pStyle w:val="Normaltext"/>
      </w:pPr>
    </w:p>
    <w:p w14:paraId="046881D5" w14:textId="525A477D" w:rsidR="00D3117E" w:rsidRPr="00B85D07" w:rsidRDefault="00CB2B45" w:rsidP="000E60B7">
      <w:pPr>
        <w:pStyle w:val="Normaltext"/>
        <w:ind w:firstLine="567"/>
      </w:pPr>
      <w:r>
        <w:t>We therefore recommend that:</w:t>
      </w:r>
    </w:p>
    <w:p w14:paraId="384980E0" w14:textId="5F51767F" w:rsidR="00D3117E" w:rsidRPr="00B85D07" w:rsidRDefault="00D3117E" w:rsidP="00976528">
      <w:pPr>
        <w:pStyle w:val="Normaltext"/>
        <w:numPr>
          <w:ilvl w:val="0"/>
          <w:numId w:val="34"/>
        </w:numPr>
        <w:ind w:left="567" w:hanging="851"/>
      </w:pPr>
      <w:r w:rsidRPr="00B85D07">
        <w:t xml:space="preserve">Participants in assemblies should </w:t>
      </w:r>
      <w:r w:rsidR="00CB2B45" w:rsidRPr="00B85D07">
        <w:t>be free</w:t>
      </w:r>
      <w:r w:rsidRPr="00B85D07">
        <w:t xml:space="preserve"> to choose and express the content of their message</w:t>
      </w:r>
      <w:r w:rsidR="00CB2B45">
        <w:t>, within the limits prescribed by law, and in accordance with international standards;</w:t>
      </w:r>
    </w:p>
    <w:p w14:paraId="76E1E990" w14:textId="35A5F8AA" w:rsidR="00D3117E" w:rsidRPr="00B85D07" w:rsidRDefault="00D3117E" w:rsidP="00976528">
      <w:pPr>
        <w:pStyle w:val="Normaltext"/>
        <w:numPr>
          <w:ilvl w:val="0"/>
          <w:numId w:val="34"/>
        </w:numPr>
        <w:ind w:left="567" w:hanging="851"/>
      </w:pPr>
      <w:r w:rsidRPr="00B85D07">
        <w:t>The State must guarantee freedom of expression, and the respect for all to be able to publicly express grievances, dissenting views or beliefs in a peaceful manner without fear of reprisals</w:t>
      </w:r>
      <w:r w:rsidR="00CB2B45">
        <w:t>;</w:t>
      </w:r>
    </w:p>
    <w:p w14:paraId="53CA317F" w14:textId="14482B91" w:rsidR="00D3117E" w:rsidRDefault="00D3117E" w:rsidP="00976528">
      <w:pPr>
        <w:pStyle w:val="Normaltext"/>
        <w:numPr>
          <w:ilvl w:val="0"/>
          <w:numId w:val="34"/>
        </w:numPr>
        <w:ind w:left="567" w:hanging="851"/>
      </w:pPr>
      <w:r w:rsidRPr="00B85D07">
        <w:t>No person should be held criminally, civilly or administratively liable for the mere act of organizing or participating in a peaceful protest, or based on the content of the message</w:t>
      </w:r>
      <w:r w:rsidR="00CB2B45">
        <w:t>;</w:t>
      </w:r>
    </w:p>
    <w:p w14:paraId="2FBC116C" w14:textId="2E6E823F" w:rsidR="00CB2B45" w:rsidRPr="00B85D07" w:rsidRDefault="00CB2B45" w:rsidP="00976528">
      <w:pPr>
        <w:pStyle w:val="Normaltext"/>
        <w:numPr>
          <w:ilvl w:val="0"/>
          <w:numId w:val="34"/>
        </w:numPr>
        <w:ind w:left="567" w:hanging="851"/>
      </w:pPr>
      <w:r>
        <w:t xml:space="preserve">Any form of </w:t>
      </w:r>
      <w:r w:rsidR="008C75FB">
        <w:t xml:space="preserve">criminal attack or </w:t>
      </w:r>
      <w:r>
        <w:t xml:space="preserve">reprisal </w:t>
      </w:r>
      <w:r w:rsidR="008C75FB">
        <w:t xml:space="preserve">against individuals or groups </w:t>
      </w:r>
      <w:r>
        <w:t>for the organisation</w:t>
      </w:r>
      <w:r w:rsidR="008C75FB">
        <w:t xml:space="preserve"> of, participation in or coverage of an assembly should be duly investigated and prosecuted in accordance with the law and </w:t>
      </w:r>
      <w:r w:rsidR="002242FE">
        <w:t xml:space="preserve">in line with </w:t>
      </w:r>
      <w:r w:rsidR="008C75FB">
        <w:t>international standards.</w:t>
      </w:r>
    </w:p>
    <w:p w14:paraId="0F1418F4" w14:textId="4DEFD26D" w:rsidR="00CA7526" w:rsidRPr="00B85D07" w:rsidRDefault="00CA7526" w:rsidP="00976528">
      <w:pPr>
        <w:pStyle w:val="Normaltext"/>
        <w:ind w:hanging="284"/>
      </w:pPr>
    </w:p>
    <w:sectPr w:rsidR="00CA7526" w:rsidRPr="00B85D07" w:rsidSect="00725D44">
      <w:footerReference w:type="even" r:id="rId9"/>
      <w:footerReference w:type="default" r:id="rId10"/>
      <w:headerReference w:type="first" r:id="rId11"/>
      <w:footerReference w:type="first" r:id="rId12"/>
      <w:pgSz w:w="11900" w:h="16840"/>
      <w:pgMar w:top="1440" w:right="1440" w:bottom="1440" w:left="1440" w:header="2103"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725D7" w14:textId="77777777" w:rsidR="00D70350" w:rsidRDefault="00D70350" w:rsidP="006B1301">
      <w:r>
        <w:separator/>
      </w:r>
    </w:p>
    <w:p w14:paraId="7BF389E9" w14:textId="77777777" w:rsidR="00D70350" w:rsidRDefault="00D70350" w:rsidP="006B1301"/>
    <w:p w14:paraId="48FEA38F" w14:textId="77777777" w:rsidR="00D70350" w:rsidRDefault="00D70350" w:rsidP="006B1301"/>
    <w:p w14:paraId="6BD57EC9" w14:textId="77777777" w:rsidR="00D70350" w:rsidRDefault="00D70350" w:rsidP="006B1301"/>
    <w:p w14:paraId="786DDD0D" w14:textId="77777777" w:rsidR="00D70350" w:rsidRDefault="00D70350" w:rsidP="006B1301"/>
  </w:endnote>
  <w:endnote w:type="continuationSeparator" w:id="0">
    <w:p w14:paraId="34EA455D" w14:textId="77777777" w:rsidR="00D70350" w:rsidRDefault="00D70350" w:rsidP="006B1301">
      <w:r>
        <w:continuationSeparator/>
      </w:r>
    </w:p>
    <w:p w14:paraId="1A73CB44" w14:textId="77777777" w:rsidR="00D70350" w:rsidRDefault="00D70350" w:rsidP="006B1301"/>
    <w:p w14:paraId="6749B84E" w14:textId="77777777" w:rsidR="00D70350" w:rsidRDefault="00D70350" w:rsidP="006B1301"/>
    <w:p w14:paraId="123088EA" w14:textId="77777777" w:rsidR="00D70350" w:rsidRDefault="00D70350" w:rsidP="006B1301"/>
    <w:p w14:paraId="6B014728" w14:textId="77777777" w:rsidR="00D70350" w:rsidRDefault="00D70350" w:rsidP="006B1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E00002FF" w:usb1="5000205A" w:usb2="00000000" w:usb3="00000000" w:csb0="0000019F" w:csb1="00000000"/>
  </w:font>
  <w:font w:name="Gill Sans">
    <w:panose1 w:val="020B05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D025" w14:textId="77777777" w:rsidR="00416AF6" w:rsidRDefault="00416AF6" w:rsidP="006B1301">
    <w:pPr>
      <w:rPr>
        <w:rStyle w:val="PageNumber"/>
      </w:rPr>
    </w:pPr>
    <w:r>
      <w:rPr>
        <w:rStyle w:val="PageNumber"/>
      </w:rPr>
      <w:fldChar w:fldCharType="begin"/>
    </w:r>
    <w:r>
      <w:rPr>
        <w:rStyle w:val="PageNumber"/>
      </w:rPr>
      <w:instrText xml:space="preserve">PAGE  </w:instrText>
    </w:r>
    <w:r>
      <w:rPr>
        <w:rStyle w:val="PageNumber"/>
      </w:rPr>
      <w:fldChar w:fldCharType="end"/>
    </w:r>
  </w:p>
  <w:p w14:paraId="1159CEEC" w14:textId="77777777" w:rsidR="006403B2" w:rsidRDefault="006403B2" w:rsidP="006B1301">
    <w:pPr>
      <w:rPr>
        <w:rStyle w:val="PageNumber"/>
      </w:rPr>
    </w:pPr>
    <w:r>
      <w:rPr>
        <w:rStyle w:val="PageNumber"/>
      </w:rPr>
      <w:fldChar w:fldCharType="begin"/>
    </w:r>
    <w:r>
      <w:rPr>
        <w:rStyle w:val="PageNumber"/>
      </w:rPr>
      <w:instrText xml:space="preserve">PAGE  </w:instrText>
    </w:r>
    <w:r>
      <w:rPr>
        <w:rStyle w:val="PageNumber"/>
      </w:rPr>
      <w:fldChar w:fldCharType="end"/>
    </w:r>
  </w:p>
  <w:p w14:paraId="3D63DF0B" w14:textId="77777777" w:rsidR="006403B2" w:rsidRDefault="006403B2" w:rsidP="006B1301"/>
  <w:p w14:paraId="3B708263" w14:textId="77777777" w:rsidR="00831FC3" w:rsidRDefault="00831FC3" w:rsidP="006B1301"/>
  <w:p w14:paraId="6646DE30" w14:textId="77777777" w:rsidR="00831FC3" w:rsidRDefault="00831FC3" w:rsidP="006B1301"/>
  <w:p w14:paraId="47C6C98E" w14:textId="77777777" w:rsidR="00831FC3" w:rsidRDefault="00831FC3" w:rsidP="006B1301"/>
  <w:p w14:paraId="302F1891" w14:textId="77777777" w:rsidR="00207CF3" w:rsidRDefault="00207CF3" w:rsidP="006B13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8ABB0" w14:textId="77777777" w:rsidR="00C13D12" w:rsidRDefault="00C13D12" w:rsidP="006B1301">
    <w:pPr>
      <w:pStyle w:val="Footer"/>
      <w:rPr>
        <w:rStyle w:val="PageNumber"/>
      </w:rPr>
    </w:pPr>
  </w:p>
  <w:p w14:paraId="02CF2E39" w14:textId="77777777" w:rsidR="00207CF3" w:rsidRDefault="00416AF6" w:rsidP="006B1301">
    <w:pPr>
      <w:pStyle w:val="Footer"/>
    </w:pPr>
    <w:r w:rsidRPr="00A52B95">
      <w:rPr>
        <w:rStyle w:val="PageNumber"/>
      </w:rPr>
      <w:fldChar w:fldCharType="begin"/>
    </w:r>
    <w:r w:rsidRPr="00A52B95">
      <w:rPr>
        <w:rStyle w:val="PageNumber"/>
      </w:rPr>
      <w:instrText xml:space="preserve">PAGE  </w:instrText>
    </w:r>
    <w:r w:rsidRPr="00A52B95">
      <w:rPr>
        <w:rStyle w:val="PageNumber"/>
      </w:rPr>
      <w:fldChar w:fldCharType="separate"/>
    </w:r>
    <w:r w:rsidR="00B12B51">
      <w:rPr>
        <w:rStyle w:val="PageNumber"/>
        <w:noProof/>
      </w:rPr>
      <w:t>2</w:t>
    </w:r>
    <w:r w:rsidRPr="00A52B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78DF" w14:textId="77777777" w:rsidR="00975254" w:rsidRDefault="00975254" w:rsidP="006B1301">
    <w:pPr>
      <w:pStyle w:val="Footer"/>
      <w:rPr>
        <w:rStyle w:val="PageNumber"/>
      </w:rPr>
    </w:pPr>
  </w:p>
  <w:p w14:paraId="3651D2D0" w14:textId="77777777" w:rsidR="00C13D12" w:rsidRPr="00A52B95" w:rsidRDefault="00975254" w:rsidP="006B1301">
    <w:pPr>
      <w:pStyle w:val="Footer"/>
    </w:pPr>
    <w:r w:rsidRPr="00A52B95">
      <w:rPr>
        <w:rStyle w:val="PageNumber"/>
      </w:rPr>
      <w:fldChar w:fldCharType="begin"/>
    </w:r>
    <w:r w:rsidRPr="00A52B95">
      <w:rPr>
        <w:rStyle w:val="PageNumber"/>
      </w:rPr>
      <w:instrText xml:space="preserve">PAGE  </w:instrText>
    </w:r>
    <w:r w:rsidRPr="00A52B95">
      <w:rPr>
        <w:rStyle w:val="PageNumber"/>
      </w:rPr>
      <w:fldChar w:fldCharType="separate"/>
    </w:r>
    <w:r w:rsidR="00B12B51">
      <w:rPr>
        <w:rStyle w:val="PageNumber"/>
        <w:noProof/>
      </w:rPr>
      <w:t>1</w:t>
    </w:r>
    <w:r w:rsidRPr="00A52B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C4CCD" w14:textId="77777777" w:rsidR="00D70350" w:rsidRDefault="00D70350" w:rsidP="006B1301">
      <w:r>
        <w:separator/>
      </w:r>
    </w:p>
    <w:p w14:paraId="349B3B47" w14:textId="77777777" w:rsidR="00D70350" w:rsidRDefault="00D70350" w:rsidP="006B1301"/>
    <w:p w14:paraId="423DE55D" w14:textId="77777777" w:rsidR="00D70350" w:rsidRDefault="00D70350" w:rsidP="006B1301"/>
    <w:p w14:paraId="5B950111" w14:textId="77777777" w:rsidR="00D70350" w:rsidRDefault="00D70350" w:rsidP="006B1301"/>
    <w:p w14:paraId="7E56D2AC" w14:textId="77777777" w:rsidR="00D70350" w:rsidRDefault="00D70350" w:rsidP="006B1301"/>
  </w:footnote>
  <w:footnote w:type="continuationSeparator" w:id="0">
    <w:p w14:paraId="3166123D" w14:textId="77777777" w:rsidR="00D70350" w:rsidRDefault="00D70350" w:rsidP="006B1301">
      <w:r>
        <w:continuationSeparator/>
      </w:r>
    </w:p>
    <w:p w14:paraId="33D684EE" w14:textId="77777777" w:rsidR="00D70350" w:rsidRDefault="00D70350" w:rsidP="006B1301"/>
    <w:p w14:paraId="47B65EF9" w14:textId="77777777" w:rsidR="00D70350" w:rsidRDefault="00D70350" w:rsidP="006B1301"/>
    <w:p w14:paraId="3A665F5B" w14:textId="77777777" w:rsidR="00D70350" w:rsidRDefault="00D70350" w:rsidP="006B1301"/>
    <w:p w14:paraId="04650B4A" w14:textId="77777777" w:rsidR="00D70350" w:rsidRDefault="00D70350" w:rsidP="006B1301"/>
  </w:footnote>
  <w:footnote w:id="1">
    <w:p w14:paraId="41AECE8E" w14:textId="78CD31AC" w:rsidR="00B12B51" w:rsidRPr="00B12B51" w:rsidRDefault="00B12B51">
      <w:pPr>
        <w:pStyle w:val="FootnoteText"/>
        <w:rPr>
          <w:lang w:val="fr-CH"/>
        </w:rPr>
      </w:pPr>
      <w:r>
        <w:rPr>
          <w:rStyle w:val="FootnoteReference"/>
        </w:rPr>
        <w:footnoteRef/>
      </w:r>
      <w:r>
        <w:t xml:space="preserve"> </w:t>
      </w:r>
      <w:r w:rsidRPr="00B12B51">
        <w:t>A/HRC/32/36/Add.1</w:t>
      </w:r>
    </w:p>
  </w:footnote>
  <w:footnote w:id="2">
    <w:p w14:paraId="133A0ECD" w14:textId="44EF93C6" w:rsidR="0019775A" w:rsidRDefault="0019775A">
      <w:pPr>
        <w:pStyle w:val="FootnoteText"/>
      </w:pPr>
      <w:r>
        <w:rPr>
          <w:rStyle w:val="FootnoteReference"/>
        </w:rPr>
        <w:footnoteRef/>
      </w:r>
      <w:r>
        <w:t xml:space="preserve"> It should also be noted that a</w:t>
      </w:r>
      <w:r w:rsidRPr="00B85D07">
        <w:t>dministrative and criminal law</w:t>
      </w:r>
      <w:r>
        <w:t>, even when based on a “notification” principle, can</w:t>
      </w:r>
      <w:r w:rsidRPr="00B85D07">
        <w:t xml:space="preserve"> </w:t>
      </w:r>
      <w:r>
        <w:t xml:space="preserve">also unreasonably sanction </w:t>
      </w:r>
      <w:r w:rsidRPr="00B85D07">
        <w:t>assemblies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A3A3B" w14:textId="77777777" w:rsidR="00831FC3" w:rsidRDefault="00562A08" w:rsidP="006B1301">
    <w:pPr>
      <w:pStyle w:val="Header"/>
    </w:pPr>
    <w:r>
      <w:rPr>
        <w:lang w:eastAsia="en-GB"/>
      </w:rPr>
      <w:drawing>
        <wp:anchor distT="0" distB="0" distL="114300" distR="114300" simplePos="0" relativeHeight="251659264" behindDoc="0" locked="0" layoutInCell="1" allowOverlap="1" wp14:anchorId="600CE0C3" wp14:editId="69177719">
          <wp:simplePos x="0" y="0"/>
          <wp:positionH relativeFrom="column">
            <wp:posOffset>0</wp:posOffset>
          </wp:positionH>
          <wp:positionV relativeFrom="paragraph">
            <wp:posOffset>-831850</wp:posOffset>
          </wp:positionV>
          <wp:extent cx="1508400" cy="81720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H Foundation Logo H_Yellowdocument.png"/>
                  <pic:cNvPicPr/>
                </pic:nvPicPr>
                <pic:blipFill>
                  <a:blip r:embed="rId1">
                    <a:extLst>
                      <a:ext uri="{28A0092B-C50C-407E-A947-70E740481C1C}">
                        <a14:useLocalDpi xmlns:a14="http://schemas.microsoft.com/office/drawing/2010/main" val="0"/>
                      </a:ext>
                    </a:extLst>
                  </a:blip>
                  <a:stretch>
                    <a:fillRect/>
                  </a:stretch>
                </pic:blipFill>
                <pic:spPr>
                  <a:xfrm>
                    <a:off x="0" y="0"/>
                    <a:ext cx="1508400" cy="81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B4C9C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6DC49F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CCEDB2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AFC58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3F45A1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DDAA90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C74ACC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41A39E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B8CD3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602FDE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184C67F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9744B07"/>
    <w:multiLevelType w:val="multilevel"/>
    <w:tmpl w:val="45C28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454AA2"/>
    <w:multiLevelType w:val="hybridMultilevel"/>
    <w:tmpl w:val="D0F87986"/>
    <w:lvl w:ilvl="0" w:tplc="0C626A3A">
      <w:numFmt w:val="bullet"/>
      <w:lvlText w:val="•"/>
      <w:lvlJc w:val="left"/>
      <w:pPr>
        <w:ind w:left="1080" w:hanging="720"/>
      </w:pPr>
      <w:rPr>
        <w:rFonts w:ascii="Garamond"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4F47EA"/>
    <w:multiLevelType w:val="hybridMultilevel"/>
    <w:tmpl w:val="4066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7F4D28"/>
    <w:multiLevelType w:val="hybridMultilevel"/>
    <w:tmpl w:val="F24A8CB4"/>
    <w:lvl w:ilvl="0" w:tplc="13226C88">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C87ABB"/>
    <w:multiLevelType w:val="hybridMultilevel"/>
    <w:tmpl w:val="625CFEA8"/>
    <w:lvl w:ilvl="0" w:tplc="21A4F168">
      <w:numFmt w:val="bullet"/>
      <w:lvlText w:val="-"/>
      <w:lvlJc w:val="left"/>
      <w:pPr>
        <w:ind w:left="1080" w:hanging="72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417F36"/>
    <w:multiLevelType w:val="hybridMultilevel"/>
    <w:tmpl w:val="0A84AC5E"/>
    <w:lvl w:ilvl="0" w:tplc="1C3EDBE4">
      <w:numFmt w:val="bullet"/>
      <w:lvlText w:val="•"/>
      <w:lvlJc w:val="left"/>
      <w:pPr>
        <w:ind w:left="1080" w:hanging="72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C56B8E"/>
    <w:multiLevelType w:val="hybridMultilevel"/>
    <w:tmpl w:val="CEAAD74E"/>
    <w:lvl w:ilvl="0" w:tplc="13226C88">
      <w:start w:val="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6B367E"/>
    <w:multiLevelType w:val="hybridMultilevel"/>
    <w:tmpl w:val="AFCA7352"/>
    <w:lvl w:ilvl="0" w:tplc="21A4F168">
      <w:numFmt w:val="bullet"/>
      <w:lvlText w:val="-"/>
      <w:lvlJc w:val="left"/>
      <w:pPr>
        <w:ind w:left="1080" w:hanging="72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492657"/>
    <w:multiLevelType w:val="multilevel"/>
    <w:tmpl w:val="EA36B426"/>
    <w:lvl w:ilvl="0">
      <w:start w:val="1"/>
      <w:numFmt w:val="decimal"/>
      <w:pStyle w:val="Numberedtex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95D7F75"/>
    <w:multiLevelType w:val="hybridMultilevel"/>
    <w:tmpl w:val="44B66E46"/>
    <w:lvl w:ilvl="0" w:tplc="1C3EDBE4">
      <w:numFmt w:val="bullet"/>
      <w:lvlText w:val="•"/>
      <w:lvlJc w:val="left"/>
      <w:pPr>
        <w:ind w:left="1080" w:hanging="720"/>
      </w:pPr>
      <w:rPr>
        <w:rFonts w:ascii="Garamond" w:eastAsia="Calibri"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C74C96"/>
    <w:multiLevelType w:val="hybridMultilevel"/>
    <w:tmpl w:val="D8F4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94C06"/>
    <w:multiLevelType w:val="hybridMultilevel"/>
    <w:tmpl w:val="DEECACFC"/>
    <w:lvl w:ilvl="0" w:tplc="04090003">
      <w:start w:val="1"/>
      <w:numFmt w:val="bullet"/>
      <w:lvlText w:val="o"/>
      <w:lvlJc w:val="left"/>
      <w:pPr>
        <w:ind w:left="360" w:hanging="360"/>
      </w:pPr>
      <w:rPr>
        <w:rFonts w:ascii="Courier New" w:hAnsi="Courier New" w:cs="Courier New" w:hint="default"/>
      </w:rPr>
    </w:lvl>
    <w:lvl w:ilvl="1" w:tplc="13226C88">
      <w:start w:val="4"/>
      <w:numFmt w:val="bullet"/>
      <w:lvlText w:val="•"/>
      <w:lvlJc w:val="left"/>
      <w:pPr>
        <w:ind w:left="1080" w:hanging="360"/>
      </w:pPr>
      <w:rPr>
        <w:rFonts w:ascii="Cambria" w:eastAsiaTheme="minorEastAsia" w:hAnsi="Cambria"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6811D5"/>
    <w:multiLevelType w:val="hybridMultilevel"/>
    <w:tmpl w:val="1BC6EA68"/>
    <w:lvl w:ilvl="0" w:tplc="531CB806">
      <w:start w:val="1"/>
      <w:numFmt w:val="bullet"/>
      <w:pStyle w:val="ListParagraph"/>
      <w:lvlText w:val=""/>
      <w:lvlJc w:val="left"/>
      <w:pPr>
        <w:ind w:left="720" w:hanging="360"/>
      </w:pPr>
      <w:rPr>
        <w:rFonts w:ascii="Symbol" w:hAnsi="Symbol" w:hint="default"/>
      </w:rPr>
    </w:lvl>
    <w:lvl w:ilvl="1" w:tplc="665EA028">
      <w:start w:val="1"/>
      <w:numFmt w:val="bullet"/>
      <w:pStyle w:val="Subbullet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A0E1E"/>
    <w:multiLevelType w:val="hybridMultilevel"/>
    <w:tmpl w:val="7F764F1C"/>
    <w:lvl w:ilvl="0" w:tplc="DE2021E8">
      <w:start w:val="1"/>
      <w:numFmt w:val="bullet"/>
      <w:lvlText w:val=""/>
      <w:lvlJc w:val="left"/>
      <w:pPr>
        <w:ind w:left="720" w:hanging="36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B315BF"/>
    <w:multiLevelType w:val="hybridMultilevel"/>
    <w:tmpl w:val="9EB02E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CF5EE2"/>
    <w:multiLevelType w:val="hybridMultilevel"/>
    <w:tmpl w:val="8D78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50514"/>
    <w:multiLevelType w:val="hybridMultilevel"/>
    <w:tmpl w:val="E56602B4"/>
    <w:lvl w:ilvl="0" w:tplc="21A4F168">
      <w:numFmt w:val="bullet"/>
      <w:lvlText w:val="-"/>
      <w:lvlJc w:val="left"/>
      <w:pPr>
        <w:ind w:left="1080" w:hanging="72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9019F3"/>
    <w:multiLevelType w:val="hybridMultilevel"/>
    <w:tmpl w:val="64B8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1A6E6D"/>
    <w:multiLevelType w:val="hybridMultilevel"/>
    <w:tmpl w:val="B8B6B5C0"/>
    <w:lvl w:ilvl="0" w:tplc="0B0AF0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8774CB"/>
    <w:multiLevelType w:val="hybridMultilevel"/>
    <w:tmpl w:val="8140F3C0"/>
    <w:lvl w:ilvl="0" w:tplc="BDF035A4">
      <w:start w:val="1"/>
      <w:numFmt w:val="decimal"/>
      <w:lvlText w:val="%1."/>
      <w:lvlJc w:val="left"/>
      <w:pPr>
        <w:ind w:left="720" w:hanging="360"/>
      </w:pPr>
      <w:rPr>
        <w:rFonts w:hint="default"/>
      </w:rPr>
    </w:lvl>
    <w:lvl w:ilvl="1" w:tplc="0BE2502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12511"/>
    <w:multiLevelType w:val="hybridMultilevel"/>
    <w:tmpl w:val="8F60D4BC"/>
    <w:lvl w:ilvl="0" w:tplc="1C3EDBE4">
      <w:numFmt w:val="bullet"/>
      <w:lvlText w:val="•"/>
      <w:lvlJc w:val="left"/>
      <w:pPr>
        <w:ind w:left="1080" w:hanging="72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CB1B7D"/>
    <w:multiLevelType w:val="hybridMultilevel"/>
    <w:tmpl w:val="941ED5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751832"/>
    <w:multiLevelType w:val="hybridMultilevel"/>
    <w:tmpl w:val="E4E81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1"/>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8"/>
  </w:num>
  <w:num w:numId="15">
    <w:abstractNumId w:val="21"/>
  </w:num>
  <w:num w:numId="16">
    <w:abstractNumId w:val="26"/>
  </w:num>
  <w:num w:numId="17">
    <w:abstractNumId w:val="22"/>
  </w:num>
  <w:num w:numId="18">
    <w:abstractNumId w:val="14"/>
  </w:num>
  <w:num w:numId="19">
    <w:abstractNumId w:val="17"/>
  </w:num>
  <w:num w:numId="20">
    <w:abstractNumId w:val="23"/>
  </w:num>
  <w:num w:numId="21">
    <w:abstractNumId w:val="20"/>
  </w:num>
  <w:num w:numId="22">
    <w:abstractNumId w:val="31"/>
  </w:num>
  <w:num w:numId="23">
    <w:abstractNumId w:val="16"/>
  </w:num>
  <w:num w:numId="24">
    <w:abstractNumId w:val="12"/>
  </w:num>
  <w:num w:numId="25">
    <w:abstractNumId w:val="24"/>
  </w:num>
  <w:num w:numId="26">
    <w:abstractNumId w:val="29"/>
  </w:num>
  <w:num w:numId="27">
    <w:abstractNumId w:val="19"/>
  </w:num>
  <w:num w:numId="28">
    <w:abstractNumId w:val="32"/>
  </w:num>
  <w:num w:numId="29">
    <w:abstractNumId w:val="25"/>
  </w:num>
  <w:num w:numId="30">
    <w:abstractNumId w:val="13"/>
  </w:num>
  <w:num w:numId="31">
    <w:abstractNumId w:val="18"/>
  </w:num>
  <w:num w:numId="32">
    <w:abstractNumId w:val="15"/>
  </w:num>
  <w:num w:numId="33">
    <w:abstractNumId w:val="27"/>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nb-NO" w:vendorID="64" w:dllVersion="0" w:nlCheck="1" w:checkStyle="0"/>
  <w:activeWritingStyle w:appName="MSWord" w:lang="en-GB" w:vendorID="64" w:dllVersion="0" w:nlCheck="1" w:checkStyle="0"/>
  <w:activeWritingStyle w:appName="MSWord" w:lang="es-ES" w:vendorID="64" w:dllVersion="0" w:nlCheck="1" w:checkStyle="0"/>
  <w:activeWritingStyle w:appName="MSWord" w:lang="en-GB" w:vendorID="64" w:dllVersion="4096"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7C4"/>
    <w:rsid w:val="00016E3D"/>
    <w:rsid w:val="0002156C"/>
    <w:rsid w:val="0002703F"/>
    <w:rsid w:val="00036FF9"/>
    <w:rsid w:val="00043D26"/>
    <w:rsid w:val="00047F04"/>
    <w:rsid w:val="00075D41"/>
    <w:rsid w:val="00085BB1"/>
    <w:rsid w:val="0008656C"/>
    <w:rsid w:val="000974E6"/>
    <w:rsid w:val="000B33B7"/>
    <w:rsid w:val="000B56EC"/>
    <w:rsid w:val="000C2A24"/>
    <w:rsid w:val="000C33BB"/>
    <w:rsid w:val="000D2EE7"/>
    <w:rsid w:val="000D57E8"/>
    <w:rsid w:val="000E60B7"/>
    <w:rsid w:val="00100FD0"/>
    <w:rsid w:val="001051B8"/>
    <w:rsid w:val="00117024"/>
    <w:rsid w:val="00127249"/>
    <w:rsid w:val="001434B8"/>
    <w:rsid w:val="00154A7E"/>
    <w:rsid w:val="001603BD"/>
    <w:rsid w:val="001915C5"/>
    <w:rsid w:val="00192931"/>
    <w:rsid w:val="00192FC7"/>
    <w:rsid w:val="001967F3"/>
    <w:rsid w:val="0019775A"/>
    <w:rsid w:val="001A1DB3"/>
    <w:rsid w:val="001A744B"/>
    <w:rsid w:val="001B0016"/>
    <w:rsid w:val="001C5168"/>
    <w:rsid w:val="001C582A"/>
    <w:rsid w:val="001E62A7"/>
    <w:rsid w:val="001F3CDF"/>
    <w:rsid w:val="001F7049"/>
    <w:rsid w:val="002042FA"/>
    <w:rsid w:val="00207CF3"/>
    <w:rsid w:val="0021755A"/>
    <w:rsid w:val="002175E9"/>
    <w:rsid w:val="00224197"/>
    <w:rsid w:val="002241CA"/>
    <w:rsid w:val="002242FE"/>
    <w:rsid w:val="002577E3"/>
    <w:rsid w:val="00263AE3"/>
    <w:rsid w:val="00266650"/>
    <w:rsid w:val="002745EF"/>
    <w:rsid w:val="0027685F"/>
    <w:rsid w:val="002800D9"/>
    <w:rsid w:val="00287D76"/>
    <w:rsid w:val="002A00EF"/>
    <w:rsid w:val="002A5D13"/>
    <w:rsid w:val="002C1D10"/>
    <w:rsid w:val="002E5920"/>
    <w:rsid w:val="00300775"/>
    <w:rsid w:val="00333619"/>
    <w:rsid w:val="00335174"/>
    <w:rsid w:val="003358A8"/>
    <w:rsid w:val="00376EFF"/>
    <w:rsid w:val="003A72B9"/>
    <w:rsid w:val="003C0580"/>
    <w:rsid w:val="003D6E5A"/>
    <w:rsid w:val="003F14F6"/>
    <w:rsid w:val="00410F71"/>
    <w:rsid w:val="00411119"/>
    <w:rsid w:val="00414871"/>
    <w:rsid w:val="00416AF6"/>
    <w:rsid w:val="00424E61"/>
    <w:rsid w:val="00454503"/>
    <w:rsid w:val="00455E81"/>
    <w:rsid w:val="00466A9B"/>
    <w:rsid w:val="004C0D89"/>
    <w:rsid w:val="004D05C5"/>
    <w:rsid w:val="00500AB3"/>
    <w:rsid w:val="00534841"/>
    <w:rsid w:val="0054177D"/>
    <w:rsid w:val="00556C58"/>
    <w:rsid w:val="00562A08"/>
    <w:rsid w:val="005725A8"/>
    <w:rsid w:val="00573ED5"/>
    <w:rsid w:val="005800B3"/>
    <w:rsid w:val="00583C17"/>
    <w:rsid w:val="005A4202"/>
    <w:rsid w:val="005A6E0A"/>
    <w:rsid w:val="005C34E6"/>
    <w:rsid w:val="005D70A2"/>
    <w:rsid w:val="006206AD"/>
    <w:rsid w:val="006403B2"/>
    <w:rsid w:val="0068684E"/>
    <w:rsid w:val="006B1301"/>
    <w:rsid w:val="006B7BE4"/>
    <w:rsid w:val="006D3B6E"/>
    <w:rsid w:val="006E2CE3"/>
    <w:rsid w:val="006F02C6"/>
    <w:rsid w:val="00701C58"/>
    <w:rsid w:val="00704229"/>
    <w:rsid w:val="007150F6"/>
    <w:rsid w:val="00725D44"/>
    <w:rsid w:val="00740DD5"/>
    <w:rsid w:val="007747C4"/>
    <w:rsid w:val="0078544F"/>
    <w:rsid w:val="007D11E4"/>
    <w:rsid w:val="007E09C9"/>
    <w:rsid w:val="007E3FFF"/>
    <w:rsid w:val="007F1666"/>
    <w:rsid w:val="007F3ED1"/>
    <w:rsid w:val="007F47B4"/>
    <w:rsid w:val="008035C3"/>
    <w:rsid w:val="0080434E"/>
    <w:rsid w:val="00831FC3"/>
    <w:rsid w:val="00854BCD"/>
    <w:rsid w:val="008667AE"/>
    <w:rsid w:val="00881C5A"/>
    <w:rsid w:val="00894811"/>
    <w:rsid w:val="008A6DCC"/>
    <w:rsid w:val="008B7C36"/>
    <w:rsid w:val="008C1C2D"/>
    <w:rsid w:val="008C75FB"/>
    <w:rsid w:val="008D4C52"/>
    <w:rsid w:val="0091334E"/>
    <w:rsid w:val="00933552"/>
    <w:rsid w:val="00951A8C"/>
    <w:rsid w:val="00975254"/>
    <w:rsid w:val="00976528"/>
    <w:rsid w:val="00990E3F"/>
    <w:rsid w:val="009A1EB6"/>
    <w:rsid w:val="009C2691"/>
    <w:rsid w:val="009C6176"/>
    <w:rsid w:val="009D1C48"/>
    <w:rsid w:val="009D3746"/>
    <w:rsid w:val="009E0764"/>
    <w:rsid w:val="009F2127"/>
    <w:rsid w:val="009F499B"/>
    <w:rsid w:val="00A0019E"/>
    <w:rsid w:val="00A0666D"/>
    <w:rsid w:val="00A067D3"/>
    <w:rsid w:val="00A1461F"/>
    <w:rsid w:val="00A2796B"/>
    <w:rsid w:val="00A50645"/>
    <w:rsid w:val="00A52B95"/>
    <w:rsid w:val="00A75E1E"/>
    <w:rsid w:val="00AA7320"/>
    <w:rsid w:val="00AB7014"/>
    <w:rsid w:val="00AE412B"/>
    <w:rsid w:val="00B030F9"/>
    <w:rsid w:val="00B03365"/>
    <w:rsid w:val="00B10993"/>
    <w:rsid w:val="00B12B0F"/>
    <w:rsid w:val="00B12B51"/>
    <w:rsid w:val="00B3225D"/>
    <w:rsid w:val="00B60F7E"/>
    <w:rsid w:val="00B641D2"/>
    <w:rsid w:val="00B716C3"/>
    <w:rsid w:val="00B77186"/>
    <w:rsid w:val="00B85D07"/>
    <w:rsid w:val="00BB604F"/>
    <w:rsid w:val="00BC267F"/>
    <w:rsid w:val="00BC3C8D"/>
    <w:rsid w:val="00BD01F2"/>
    <w:rsid w:val="00BD52C7"/>
    <w:rsid w:val="00BD7BA7"/>
    <w:rsid w:val="00BF4E45"/>
    <w:rsid w:val="00C13D12"/>
    <w:rsid w:val="00C32738"/>
    <w:rsid w:val="00C44309"/>
    <w:rsid w:val="00C57918"/>
    <w:rsid w:val="00C746E5"/>
    <w:rsid w:val="00C75A38"/>
    <w:rsid w:val="00C87729"/>
    <w:rsid w:val="00C921EF"/>
    <w:rsid w:val="00CA2D6E"/>
    <w:rsid w:val="00CA43CB"/>
    <w:rsid w:val="00CA7526"/>
    <w:rsid w:val="00CB2B45"/>
    <w:rsid w:val="00CE24E2"/>
    <w:rsid w:val="00CF58B3"/>
    <w:rsid w:val="00D01806"/>
    <w:rsid w:val="00D3117E"/>
    <w:rsid w:val="00D35EDC"/>
    <w:rsid w:val="00D43249"/>
    <w:rsid w:val="00D4476A"/>
    <w:rsid w:val="00D70350"/>
    <w:rsid w:val="00D71283"/>
    <w:rsid w:val="00D715F5"/>
    <w:rsid w:val="00D976ED"/>
    <w:rsid w:val="00DA7083"/>
    <w:rsid w:val="00DB0E8D"/>
    <w:rsid w:val="00DB3AF1"/>
    <w:rsid w:val="00DC2194"/>
    <w:rsid w:val="00DC47F6"/>
    <w:rsid w:val="00DC559C"/>
    <w:rsid w:val="00DD64FA"/>
    <w:rsid w:val="00DE171B"/>
    <w:rsid w:val="00DE524A"/>
    <w:rsid w:val="00E004F9"/>
    <w:rsid w:val="00E17BCA"/>
    <w:rsid w:val="00E20E55"/>
    <w:rsid w:val="00E23DEB"/>
    <w:rsid w:val="00E26EF4"/>
    <w:rsid w:val="00E317D3"/>
    <w:rsid w:val="00E359D5"/>
    <w:rsid w:val="00E93A8E"/>
    <w:rsid w:val="00EA364D"/>
    <w:rsid w:val="00EB493C"/>
    <w:rsid w:val="00EB6164"/>
    <w:rsid w:val="00ED0D4B"/>
    <w:rsid w:val="00ED496F"/>
    <w:rsid w:val="00ED5A39"/>
    <w:rsid w:val="00EE39F2"/>
    <w:rsid w:val="00EF6527"/>
    <w:rsid w:val="00F22258"/>
    <w:rsid w:val="00F42FB6"/>
    <w:rsid w:val="00F46817"/>
    <w:rsid w:val="00F673A5"/>
    <w:rsid w:val="00F717F8"/>
    <w:rsid w:val="00F7707F"/>
    <w:rsid w:val="00F80A5F"/>
    <w:rsid w:val="00F80D67"/>
    <w:rsid w:val="00F818E4"/>
    <w:rsid w:val="00F857A5"/>
    <w:rsid w:val="00F8754A"/>
    <w:rsid w:val="00FA7856"/>
    <w:rsid w:val="00FB28A4"/>
    <w:rsid w:val="00FB3558"/>
    <w:rsid w:val="00FC0D90"/>
    <w:rsid w:val="00FD5372"/>
    <w:rsid w:val="00FF7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475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Calibri" w:hAnsi="Garamond"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locked="1" w:semiHidden="1" w:uiPriority="9" w:unhideWhenUsed="1" w:qFormat="1"/>
    <w:lsdException w:name="heading 5" w:semiHidden="1" w:uiPriority="15"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1" w:qFormat="1"/>
    <w:lsdException w:name="Quote" w:locked="1"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lsdException w:name="Intense Emphasis" w:locked="1" w:uiPriority="21"/>
    <w:lsdException w:name="Subtle Reference" w:locked="1"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atentStyles>
  <w:style w:type="paragraph" w:default="1" w:styleId="Normal">
    <w:name w:val="Normal"/>
    <w:next w:val="Normaltext"/>
    <w:uiPriority w:val="16"/>
    <w:qFormat/>
    <w:rsid w:val="006B1301"/>
    <w:pPr>
      <w:spacing w:line="276" w:lineRule="auto"/>
    </w:pPr>
    <w:rPr>
      <w:rFonts w:ascii="Georgia" w:eastAsia="Times New Roman" w:hAnsi="Georgia"/>
      <w:color w:val="000000"/>
      <w:sz w:val="20"/>
      <w:szCs w:val="18"/>
      <w:lang w:val="en-GB"/>
    </w:rPr>
  </w:style>
  <w:style w:type="paragraph" w:styleId="Heading1">
    <w:name w:val="heading 1"/>
    <w:basedOn w:val="Normal"/>
    <w:next w:val="Normaltext"/>
    <w:link w:val="Heading1Char"/>
    <w:uiPriority w:val="3"/>
    <w:qFormat/>
    <w:rsid w:val="006B1301"/>
    <w:pPr>
      <w:spacing w:line="240" w:lineRule="auto"/>
      <w:outlineLvl w:val="0"/>
    </w:pPr>
    <w:rPr>
      <w:rFonts w:ascii="Arial" w:hAnsi="Arial"/>
      <w:b/>
      <w:sz w:val="32"/>
      <w:szCs w:val="30"/>
    </w:rPr>
  </w:style>
  <w:style w:type="paragraph" w:styleId="Heading2">
    <w:name w:val="heading 2"/>
    <w:basedOn w:val="Normal"/>
    <w:next w:val="Normaltext"/>
    <w:link w:val="Heading2Char"/>
    <w:uiPriority w:val="4"/>
    <w:qFormat/>
    <w:rsid w:val="006B1301"/>
    <w:pPr>
      <w:spacing w:line="240" w:lineRule="auto"/>
      <w:outlineLvl w:val="1"/>
    </w:pPr>
    <w:rPr>
      <w:rFonts w:ascii="Arial" w:hAnsi="Arial"/>
      <w:b/>
      <w:sz w:val="24"/>
      <w:szCs w:val="24"/>
      <w:lang w:val="nb-NO"/>
    </w:rPr>
  </w:style>
  <w:style w:type="paragraph" w:styleId="Heading3">
    <w:name w:val="heading 3"/>
    <w:basedOn w:val="Normal"/>
    <w:next w:val="Normaltext"/>
    <w:link w:val="Heading3Char"/>
    <w:uiPriority w:val="5"/>
    <w:qFormat/>
    <w:rsid w:val="006B1301"/>
    <w:pPr>
      <w:spacing w:line="240" w:lineRule="auto"/>
      <w:outlineLvl w:val="2"/>
    </w:pPr>
    <w:rPr>
      <w:rFonts w:ascii="Arial" w:hAnsi="Arial"/>
      <w:b/>
      <w:sz w:val="21"/>
      <w:szCs w:val="20"/>
      <w:lang w:val="nb-NO"/>
    </w:rPr>
  </w:style>
  <w:style w:type="paragraph" w:styleId="Heading4">
    <w:name w:val="heading 4"/>
    <w:basedOn w:val="Normal"/>
    <w:next w:val="Normaltext"/>
    <w:link w:val="Heading4Char"/>
    <w:uiPriority w:val="5"/>
    <w:qFormat/>
    <w:locked/>
    <w:rsid w:val="006B1301"/>
    <w:pPr>
      <w:keepNext/>
      <w:keepLines/>
      <w:spacing w:before="40" w:line="240" w:lineRule="auto"/>
      <w:outlineLvl w:val="3"/>
    </w:pPr>
    <w:rPr>
      <w:rFonts w:ascii="Arial" w:hAnsi="Arial" w:cs="Arial"/>
      <w:b/>
      <w:iCs/>
      <w:lang w:val="nb-NO"/>
    </w:rPr>
  </w:style>
  <w:style w:type="paragraph" w:styleId="Heading5">
    <w:name w:val="heading 5"/>
    <w:basedOn w:val="Normal"/>
    <w:next w:val="Normal"/>
    <w:link w:val="Heading5Char"/>
    <w:uiPriority w:val="29"/>
    <w:semiHidden/>
    <w:rsid w:val="007D11E4"/>
    <w:pPr>
      <w:keepNext/>
      <w:keepLines/>
      <w:spacing w:before="200"/>
      <w:outlineLvl w:val="4"/>
    </w:pPr>
    <w:rPr>
      <w:rFonts w:asciiTheme="majorHAnsi" w:eastAsiaTheme="majorEastAsia" w:hAnsiTheme="majorHAnsi" w:cstheme="majorBidi"/>
      <w:color w:val="7962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6"/>
    <w:qFormat/>
    <w:rsid w:val="002175E9"/>
    <w:rPr>
      <w:rFonts w:ascii="Arial" w:hAnsi="Arial"/>
      <w:b/>
      <w:noProof/>
      <w:sz w:val="44"/>
      <w:szCs w:val="44"/>
    </w:rPr>
  </w:style>
  <w:style w:type="character" w:customStyle="1" w:styleId="TitleChar">
    <w:name w:val="Title Char"/>
    <w:link w:val="Title"/>
    <w:uiPriority w:val="6"/>
    <w:rsid w:val="001E62A7"/>
    <w:rPr>
      <w:rFonts w:ascii="Arial" w:eastAsia="Times New Roman" w:hAnsi="Arial"/>
      <w:b/>
      <w:noProof/>
      <w:color w:val="000000"/>
      <w:sz w:val="44"/>
      <w:szCs w:val="44"/>
      <w:lang w:val="en-GB"/>
    </w:rPr>
  </w:style>
  <w:style w:type="paragraph" w:styleId="Subtitle">
    <w:name w:val="Subtitle"/>
    <w:basedOn w:val="Normal"/>
    <w:next w:val="Normaltext"/>
    <w:link w:val="SubtitleChar"/>
    <w:uiPriority w:val="7"/>
    <w:qFormat/>
    <w:rsid w:val="002175E9"/>
    <w:rPr>
      <w:rFonts w:ascii="Arial" w:hAnsi="Arial"/>
      <w:sz w:val="22"/>
      <w:szCs w:val="32"/>
    </w:rPr>
  </w:style>
  <w:style w:type="character" w:customStyle="1" w:styleId="SubtitleChar">
    <w:name w:val="Subtitle Char"/>
    <w:link w:val="Subtitle"/>
    <w:uiPriority w:val="7"/>
    <w:rsid w:val="001E62A7"/>
    <w:rPr>
      <w:rFonts w:ascii="Arial" w:eastAsia="Times New Roman" w:hAnsi="Arial"/>
      <w:color w:val="000000"/>
      <w:sz w:val="22"/>
      <w:szCs w:val="32"/>
      <w:lang w:val="en-GB"/>
    </w:rPr>
  </w:style>
  <w:style w:type="character" w:customStyle="1" w:styleId="Heading1Char">
    <w:name w:val="Heading 1 Char"/>
    <w:link w:val="Heading1"/>
    <w:uiPriority w:val="3"/>
    <w:rsid w:val="006B1301"/>
    <w:rPr>
      <w:rFonts w:ascii="Arial" w:eastAsia="Times New Roman" w:hAnsi="Arial"/>
      <w:b/>
      <w:color w:val="000000"/>
      <w:sz w:val="32"/>
      <w:szCs w:val="30"/>
      <w:lang w:val="en-GB"/>
    </w:rPr>
  </w:style>
  <w:style w:type="character" w:customStyle="1" w:styleId="Heading2Char">
    <w:name w:val="Heading 2 Char"/>
    <w:link w:val="Heading2"/>
    <w:uiPriority w:val="4"/>
    <w:rsid w:val="006B1301"/>
    <w:rPr>
      <w:rFonts w:ascii="Arial" w:eastAsia="Times New Roman" w:hAnsi="Arial"/>
      <w:b/>
      <w:color w:val="000000"/>
      <w:lang w:val="nb-NO"/>
    </w:rPr>
  </w:style>
  <w:style w:type="character" w:customStyle="1" w:styleId="Heading3Char">
    <w:name w:val="Heading 3 Char"/>
    <w:link w:val="Heading3"/>
    <w:uiPriority w:val="5"/>
    <w:rsid w:val="006B1301"/>
    <w:rPr>
      <w:rFonts w:ascii="Arial" w:eastAsia="Times New Roman" w:hAnsi="Arial"/>
      <w:b/>
      <w:color w:val="000000"/>
      <w:sz w:val="21"/>
      <w:szCs w:val="20"/>
      <w:lang w:val="nb-NO"/>
    </w:rPr>
  </w:style>
  <w:style w:type="paragraph" w:styleId="ListBullet2">
    <w:name w:val="List Bullet 2"/>
    <w:basedOn w:val="Normal"/>
    <w:uiPriority w:val="99"/>
    <w:semiHidden/>
    <w:unhideWhenUsed/>
    <w:rsid w:val="007F47B4"/>
    <w:pPr>
      <w:numPr>
        <w:numId w:val="12"/>
      </w:numPr>
      <w:contextualSpacing/>
    </w:pPr>
  </w:style>
  <w:style w:type="character" w:styleId="Emphasis">
    <w:name w:val="Emphasis"/>
    <w:aliases w:val="Italics"/>
    <w:uiPriority w:val="18"/>
    <w:qFormat/>
    <w:rsid w:val="00BF4E45"/>
    <w:rPr>
      <w:i/>
    </w:rPr>
  </w:style>
  <w:style w:type="character" w:styleId="Strong">
    <w:name w:val="Strong"/>
    <w:aliases w:val="Bold"/>
    <w:uiPriority w:val="17"/>
    <w:qFormat/>
    <w:rsid w:val="002577E3"/>
    <w:rPr>
      <w:b/>
      <w:bCs/>
      <w:noProof w:val="0"/>
      <w:lang w:val="en-GB"/>
    </w:rPr>
  </w:style>
  <w:style w:type="paragraph" w:styleId="Header">
    <w:name w:val="header"/>
    <w:basedOn w:val="Normal"/>
    <w:link w:val="HeaderChar"/>
    <w:uiPriority w:val="20"/>
    <w:rsid w:val="007F1666"/>
    <w:pPr>
      <w:tabs>
        <w:tab w:val="center" w:pos="4513"/>
        <w:tab w:val="right" w:pos="9026"/>
      </w:tabs>
      <w:jc w:val="center"/>
    </w:pPr>
    <w:rPr>
      <w:noProof/>
    </w:rPr>
  </w:style>
  <w:style w:type="character" w:customStyle="1" w:styleId="HeaderChar">
    <w:name w:val="Header Char"/>
    <w:basedOn w:val="DefaultParagraphFont"/>
    <w:link w:val="Header"/>
    <w:uiPriority w:val="20"/>
    <w:rsid w:val="001E62A7"/>
    <w:rPr>
      <w:rFonts w:ascii="Georgia" w:eastAsia="Times New Roman" w:hAnsi="Georgia"/>
      <w:noProof/>
      <w:color w:val="000000"/>
      <w:sz w:val="20"/>
      <w:szCs w:val="18"/>
      <w:lang w:val="en-GB"/>
    </w:rPr>
  </w:style>
  <w:style w:type="character" w:styleId="SubtleEmphasis">
    <w:name w:val="Subtle Emphasis"/>
    <w:basedOn w:val="DefaultParagraphFont"/>
    <w:uiPriority w:val="54"/>
    <w:semiHidden/>
    <w:rsid w:val="002A5D13"/>
    <w:rPr>
      <w:i/>
      <w:iCs/>
      <w:color w:val="808080" w:themeColor="text1" w:themeTint="7F"/>
    </w:rPr>
  </w:style>
  <w:style w:type="paragraph" w:styleId="FootnoteText">
    <w:name w:val="footnote text"/>
    <w:basedOn w:val="Normal"/>
    <w:link w:val="FootnoteTextChar"/>
    <w:uiPriority w:val="15"/>
    <w:qFormat/>
    <w:rsid w:val="000974E6"/>
    <w:rPr>
      <w:szCs w:val="20"/>
    </w:rPr>
  </w:style>
  <w:style w:type="character" w:customStyle="1" w:styleId="FootnoteTextChar">
    <w:name w:val="Footnote Text Char"/>
    <w:link w:val="FootnoteText"/>
    <w:uiPriority w:val="15"/>
    <w:rsid w:val="001E62A7"/>
    <w:rPr>
      <w:rFonts w:ascii="Georgia" w:eastAsia="Times New Roman" w:hAnsi="Georgia"/>
      <w:color w:val="000000"/>
      <w:sz w:val="20"/>
      <w:szCs w:val="20"/>
      <w:lang w:val="en-GB"/>
    </w:rPr>
  </w:style>
  <w:style w:type="table" w:styleId="TableGrid">
    <w:name w:val="Table Grid"/>
    <w:basedOn w:val="TableNormal"/>
    <w:uiPriority w:val="39"/>
    <w:rsid w:val="00C3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semiHidden/>
    <w:unhideWhenUsed/>
    <w:rsid w:val="00FB28A4"/>
    <w:rPr>
      <w:vertAlign w:val="superscript"/>
    </w:rPr>
  </w:style>
  <w:style w:type="character" w:styleId="PageNumber">
    <w:name w:val="page number"/>
    <w:uiPriority w:val="99"/>
    <w:semiHidden/>
    <w:unhideWhenUsed/>
    <w:rsid w:val="006403B2"/>
  </w:style>
  <w:style w:type="paragraph" w:styleId="BalloonText">
    <w:name w:val="Balloon Text"/>
    <w:basedOn w:val="Normal"/>
    <w:link w:val="BalloonTextChar"/>
    <w:uiPriority w:val="99"/>
    <w:semiHidden/>
    <w:unhideWhenUsed/>
    <w:rsid w:val="005A6E0A"/>
    <w:rPr>
      <w:rFonts w:ascii="Tahoma" w:hAnsi="Tahoma" w:cs="Tahoma"/>
      <w:sz w:val="16"/>
      <w:szCs w:val="16"/>
    </w:rPr>
  </w:style>
  <w:style w:type="character" w:customStyle="1" w:styleId="BalloonTextChar">
    <w:name w:val="Balloon Text Char"/>
    <w:basedOn w:val="DefaultParagraphFont"/>
    <w:link w:val="BalloonText"/>
    <w:uiPriority w:val="99"/>
    <w:semiHidden/>
    <w:rsid w:val="005A6E0A"/>
    <w:rPr>
      <w:rFonts w:ascii="Tahoma" w:hAnsi="Tahoma" w:cs="Tahoma"/>
      <w:sz w:val="16"/>
      <w:szCs w:val="16"/>
    </w:rPr>
  </w:style>
  <w:style w:type="paragraph" w:customStyle="1" w:styleId="Normaltext">
    <w:name w:val="Normal text"/>
    <w:basedOn w:val="Normal"/>
    <w:qFormat/>
    <w:rsid w:val="009F2127"/>
  </w:style>
  <w:style w:type="paragraph" w:customStyle="1" w:styleId="Articlelead">
    <w:name w:val="Article lead"/>
    <w:basedOn w:val="Normaltext"/>
    <w:uiPriority w:val="29"/>
    <w:semiHidden/>
    <w:rsid w:val="002577E3"/>
    <w:rPr>
      <w:sz w:val="28"/>
      <w:szCs w:val="28"/>
    </w:rPr>
  </w:style>
  <w:style w:type="paragraph" w:customStyle="1" w:styleId="Footertext">
    <w:name w:val="Footer text"/>
    <w:basedOn w:val="Normal"/>
    <w:uiPriority w:val="29"/>
    <w:semiHidden/>
    <w:rsid w:val="00A52B95"/>
    <w:pPr>
      <w:widowControl w:val="0"/>
      <w:autoSpaceDE w:val="0"/>
      <w:autoSpaceDN w:val="0"/>
      <w:adjustRightInd w:val="0"/>
      <w:ind w:right="360"/>
      <w:jc w:val="center"/>
    </w:pPr>
    <w:rPr>
      <w:rFonts w:ascii="Helvetica Neue" w:hAnsi="Helvetica Neue" w:cs="Times"/>
      <w:color w:val="1A1A1A"/>
      <w:sz w:val="14"/>
      <w:szCs w:val="14"/>
    </w:rPr>
  </w:style>
  <w:style w:type="paragraph" w:styleId="Footer">
    <w:name w:val="footer"/>
    <w:basedOn w:val="Normal"/>
    <w:link w:val="FooterChar"/>
    <w:uiPriority w:val="19"/>
    <w:rsid w:val="00A52B95"/>
    <w:pPr>
      <w:widowControl w:val="0"/>
      <w:autoSpaceDE w:val="0"/>
      <w:autoSpaceDN w:val="0"/>
      <w:adjustRightInd w:val="0"/>
      <w:ind w:right="360"/>
      <w:jc w:val="center"/>
    </w:pPr>
    <w:rPr>
      <w:rFonts w:ascii="Helvetica Neue" w:hAnsi="Helvetica Neue" w:cs="Times"/>
      <w:color w:val="1A1A1A"/>
      <w:sz w:val="14"/>
      <w:szCs w:val="14"/>
    </w:rPr>
  </w:style>
  <w:style w:type="paragraph" w:styleId="ListNumber">
    <w:name w:val="List Number"/>
    <w:basedOn w:val="Normal"/>
    <w:uiPriority w:val="99"/>
    <w:semiHidden/>
    <w:unhideWhenUsed/>
    <w:rsid w:val="002577E3"/>
    <w:pPr>
      <w:numPr>
        <w:numId w:val="8"/>
      </w:numPr>
      <w:contextualSpacing/>
    </w:pPr>
  </w:style>
  <w:style w:type="character" w:customStyle="1" w:styleId="FooterChar">
    <w:name w:val="Footer Char"/>
    <w:basedOn w:val="DefaultParagraphFont"/>
    <w:link w:val="Footer"/>
    <w:uiPriority w:val="19"/>
    <w:rsid w:val="001E62A7"/>
    <w:rPr>
      <w:rFonts w:ascii="Helvetica Neue" w:eastAsia="Times New Roman" w:hAnsi="Helvetica Neue" w:cs="Times"/>
      <w:color w:val="1A1A1A"/>
      <w:sz w:val="14"/>
      <w:szCs w:val="14"/>
      <w:lang w:val="en-GB"/>
    </w:rPr>
  </w:style>
  <w:style w:type="character" w:customStyle="1" w:styleId="Heading4Char">
    <w:name w:val="Heading 4 Char"/>
    <w:basedOn w:val="DefaultParagraphFont"/>
    <w:link w:val="Heading4"/>
    <w:uiPriority w:val="5"/>
    <w:rsid w:val="006B1301"/>
    <w:rPr>
      <w:rFonts w:ascii="Arial" w:eastAsia="Times New Roman" w:hAnsi="Arial" w:cs="Arial"/>
      <w:b/>
      <w:iCs/>
      <w:color w:val="000000"/>
      <w:sz w:val="20"/>
      <w:szCs w:val="18"/>
      <w:lang w:val="nb-NO"/>
    </w:rPr>
  </w:style>
  <w:style w:type="character" w:customStyle="1" w:styleId="Heading5Char">
    <w:name w:val="Heading 5 Char"/>
    <w:basedOn w:val="DefaultParagraphFont"/>
    <w:link w:val="Heading5"/>
    <w:uiPriority w:val="29"/>
    <w:semiHidden/>
    <w:rsid w:val="001E62A7"/>
    <w:rPr>
      <w:rFonts w:asciiTheme="majorHAnsi" w:eastAsiaTheme="majorEastAsia" w:hAnsiTheme="majorHAnsi" w:cstheme="majorBidi"/>
      <w:color w:val="796206" w:themeColor="accent1" w:themeShade="7F"/>
      <w:sz w:val="20"/>
      <w:szCs w:val="18"/>
      <w:lang w:val="en-GB"/>
    </w:rPr>
  </w:style>
  <w:style w:type="paragraph" w:styleId="ListParagraph">
    <w:name w:val="List Paragraph"/>
    <w:aliases w:val="Bullets"/>
    <w:basedOn w:val="ListBullet"/>
    <w:uiPriority w:val="1"/>
    <w:qFormat/>
    <w:rsid w:val="00ED0D4B"/>
    <w:pPr>
      <w:numPr>
        <w:numId w:val="20"/>
      </w:numPr>
    </w:pPr>
  </w:style>
  <w:style w:type="paragraph" w:styleId="ListBullet">
    <w:name w:val="List Bullet"/>
    <w:basedOn w:val="Normal"/>
    <w:uiPriority w:val="99"/>
    <w:semiHidden/>
    <w:unhideWhenUsed/>
    <w:qFormat/>
    <w:rsid w:val="000D2EE7"/>
    <w:pPr>
      <w:numPr>
        <w:numId w:val="13"/>
      </w:numPr>
      <w:contextualSpacing/>
    </w:pPr>
  </w:style>
  <w:style w:type="character" w:styleId="IntenseEmphasis">
    <w:name w:val="Intense Emphasis"/>
    <w:basedOn w:val="DefaultParagraphFont"/>
    <w:uiPriority w:val="21"/>
    <w:semiHidden/>
    <w:locked/>
    <w:rsid w:val="001915C5"/>
    <w:rPr>
      <w:i/>
      <w:iCs/>
      <w:color w:val="F2C410" w:themeColor="accent1"/>
    </w:rPr>
  </w:style>
  <w:style w:type="paragraph" w:customStyle="1" w:styleId="Captiontext">
    <w:name w:val="Caption text"/>
    <w:basedOn w:val="Normal"/>
    <w:next w:val="Normal"/>
    <w:uiPriority w:val="12"/>
    <w:qFormat/>
    <w:rsid w:val="003D6E5A"/>
    <w:pPr>
      <w:contextualSpacing/>
    </w:pPr>
    <w:rPr>
      <w:rFonts w:ascii="Arial" w:hAnsi="Arial" w:cs="Arial"/>
      <w:i/>
      <w:sz w:val="16"/>
      <w:szCs w:val="16"/>
    </w:rPr>
  </w:style>
  <w:style w:type="character" w:styleId="FootnoteReference">
    <w:name w:val="footnote reference"/>
    <w:basedOn w:val="DefaultParagraphFont"/>
    <w:uiPriority w:val="99"/>
    <w:semiHidden/>
    <w:rsid w:val="00C57918"/>
    <w:rPr>
      <w:vertAlign w:val="superscript"/>
    </w:rPr>
  </w:style>
  <w:style w:type="paragraph" w:styleId="Quote">
    <w:name w:val="Quote"/>
    <w:basedOn w:val="Normal"/>
    <w:next w:val="Quotereference"/>
    <w:link w:val="QuoteChar"/>
    <w:uiPriority w:val="9"/>
    <w:qFormat/>
    <w:locked/>
    <w:rsid w:val="00725D44"/>
    <w:pPr>
      <w:spacing w:before="200" w:after="160"/>
      <w:ind w:left="862" w:right="862"/>
    </w:pPr>
    <w:rPr>
      <w:i/>
      <w:iCs/>
      <w:sz w:val="24"/>
    </w:rPr>
  </w:style>
  <w:style w:type="character" w:customStyle="1" w:styleId="QuoteChar">
    <w:name w:val="Quote Char"/>
    <w:basedOn w:val="DefaultParagraphFont"/>
    <w:link w:val="Quote"/>
    <w:uiPriority w:val="9"/>
    <w:rsid w:val="001E62A7"/>
    <w:rPr>
      <w:rFonts w:ascii="Georgia" w:eastAsia="Times New Roman" w:hAnsi="Georgia"/>
      <w:i/>
      <w:iCs/>
      <w:color w:val="000000"/>
      <w:szCs w:val="18"/>
      <w:lang w:val="en-GB"/>
    </w:rPr>
  </w:style>
  <w:style w:type="paragraph" w:customStyle="1" w:styleId="Numberedtext">
    <w:name w:val="Numbered text"/>
    <w:basedOn w:val="ListParagraph"/>
    <w:uiPriority w:val="8"/>
    <w:qFormat/>
    <w:rsid w:val="008667AE"/>
    <w:pPr>
      <w:numPr>
        <w:numId w:val="27"/>
      </w:numPr>
    </w:pPr>
  </w:style>
  <w:style w:type="paragraph" w:customStyle="1" w:styleId="Subbullets">
    <w:name w:val="Sub bullets"/>
    <w:basedOn w:val="ListParagraph"/>
    <w:uiPriority w:val="2"/>
    <w:qFormat/>
    <w:rsid w:val="00E26EF4"/>
    <w:pPr>
      <w:numPr>
        <w:ilvl w:val="1"/>
      </w:numPr>
    </w:pPr>
  </w:style>
  <w:style w:type="paragraph" w:customStyle="1" w:styleId="Image">
    <w:name w:val="Image"/>
    <w:basedOn w:val="Normaltext"/>
    <w:next w:val="Captiontext"/>
    <w:uiPriority w:val="11"/>
    <w:qFormat/>
    <w:rsid w:val="000974E6"/>
    <w:pPr>
      <w:jc w:val="center"/>
    </w:pPr>
  </w:style>
  <w:style w:type="paragraph" w:customStyle="1" w:styleId="Quotereference">
    <w:name w:val="Quote reference"/>
    <w:basedOn w:val="Normal"/>
    <w:next w:val="Normaltext"/>
    <w:uiPriority w:val="10"/>
    <w:qFormat/>
    <w:rsid w:val="00725D44"/>
    <w:pPr>
      <w:ind w:left="862" w:right="862"/>
      <w:contextualSpacing/>
    </w:pPr>
    <w:rPr>
      <w:rFonts w:ascii="Arial" w:hAnsi="Arial" w:cs="Arial"/>
      <w:b/>
      <w:sz w:val="16"/>
      <w:szCs w:val="16"/>
    </w:rPr>
  </w:style>
  <w:style w:type="paragraph" w:styleId="Caption">
    <w:name w:val="caption"/>
    <w:basedOn w:val="Normal"/>
    <w:next w:val="Normal"/>
    <w:uiPriority w:val="35"/>
    <w:semiHidden/>
    <w:unhideWhenUsed/>
    <w:qFormat/>
    <w:rsid w:val="000974E6"/>
    <w:pPr>
      <w:spacing w:after="200" w:line="240" w:lineRule="auto"/>
    </w:pPr>
    <w:rPr>
      <w:i/>
      <w:iCs/>
      <w:color w:val="44546A" w:themeColor="text2"/>
    </w:rPr>
  </w:style>
  <w:style w:type="paragraph" w:styleId="CommentText">
    <w:name w:val="annotation text"/>
    <w:basedOn w:val="Normal"/>
    <w:link w:val="CommentTextChar"/>
    <w:uiPriority w:val="99"/>
    <w:semiHidden/>
    <w:rsid w:val="00BD01F2"/>
    <w:pPr>
      <w:suppressAutoHyphens/>
      <w:spacing w:line="240" w:lineRule="auto"/>
    </w:pPr>
    <w:rPr>
      <w:rFonts w:ascii="Gill Sans" w:eastAsia="MS Mincho" w:hAnsi="Gill Sans"/>
      <w:bCs/>
      <w:color w:val="auto"/>
      <w:sz w:val="24"/>
      <w:szCs w:val="22"/>
      <w:lang w:eastAsia="zh-CN"/>
    </w:rPr>
  </w:style>
  <w:style w:type="character" w:customStyle="1" w:styleId="CommentTextChar">
    <w:name w:val="Comment Text Char"/>
    <w:basedOn w:val="DefaultParagraphFont"/>
    <w:link w:val="CommentText"/>
    <w:uiPriority w:val="99"/>
    <w:semiHidden/>
    <w:rsid w:val="001E62A7"/>
    <w:rPr>
      <w:rFonts w:ascii="Gill Sans" w:eastAsia="MS Mincho" w:hAnsi="Gill Sans"/>
      <w:bCs/>
      <w:szCs w:val="22"/>
      <w:lang w:val="en-GB" w:eastAsia="zh-CN"/>
    </w:rPr>
  </w:style>
  <w:style w:type="character" w:styleId="CommentReference">
    <w:name w:val="annotation reference"/>
    <w:basedOn w:val="DefaultParagraphFont"/>
    <w:uiPriority w:val="99"/>
    <w:semiHidden/>
    <w:unhideWhenUsed/>
    <w:rsid w:val="00BD01F2"/>
    <w:rPr>
      <w:sz w:val="18"/>
      <w:szCs w:val="18"/>
    </w:rPr>
  </w:style>
  <w:style w:type="paragraph" w:customStyle="1" w:styleId="Textbox">
    <w:name w:val="Text box"/>
    <w:basedOn w:val="Quote"/>
    <w:uiPriority w:val="14"/>
    <w:qFormat/>
    <w:rsid w:val="00725D44"/>
    <w:pPr>
      <w:pBdr>
        <w:top w:val="single" w:sz="48" w:space="1" w:color="F5C701"/>
        <w:left w:val="single" w:sz="48" w:space="4" w:color="F5C701"/>
        <w:bottom w:val="single" w:sz="48" w:space="1" w:color="F5C701"/>
        <w:right w:val="single" w:sz="48" w:space="4" w:color="F5C701"/>
      </w:pBdr>
      <w:shd w:val="clear" w:color="auto" w:fill="F5C701"/>
      <w:spacing w:before="0" w:after="0"/>
    </w:pPr>
    <w:rPr>
      <w:i w:val="0"/>
      <w:sz w:val="20"/>
    </w:rPr>
  </w:style>
  <w:style w:type="paragraph" w:customStyle="1" w:styleId="Textboxheading">
    <w:name w:val="Text box heading"/>
    <w:basedOn w:val="Textbox"/>
    <w:next w:val="Textbox"/>
    <w:uiPriority w:val="13"/>
    <w:qFormat/>
    <w:rsid w:val="00725D44"/>
    <w:pPr>
      <w:jc w:val="center"/>
    </w:pPr>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4804">
      <w:bodyDiv w:val="1"/>
      <w:marLeft w:val="0"/>
      <w:marRight w:val="0"/>
      <w:marTop w:val="0"/>
      <w:marBottom w:val="0"/>
      <w:divBdr>
        <w:top w:val="none" w:sz="0" w:space="0" w:color="auto"/>
        <w:left w:val="none" w:sz="0" w:space="0" w:color="auto"/>
        <w:bottom w:val="none" w:sz="0" w:space="0" w:color="auto"/>
        <w:right w:val="none" w:sz="0" w:space="0" w:color="auto"/>
      </w:divBdr>
    </w:div>
    <w:div w:id="1760448003">
      <w:bodyDiv w:val="1"/>
      <w:marLeft w:val="0"/>
      <w:marRight w:val="0"/>
      <w:marTop w:val="0"/>
      <w:marBottom w:val="0"/>
      <w:divBdr>
        <w:top w:val="none" w:sz="0" w:space="0" w:color="auto"/>
        <w:left w:val="none" w:sz="0" w:space="0" w:color="auto"/>
        <w:bottom w:val="none" w:sz="0" w:space="0" w:color="auto"/>
        <w:right w:val="none" w:sz="0" w:space="0" w:color="auto"/>
      </w:divBdr>
    </w:div>
    <w:div w:id="2015913328">
      <w:bodyDiv w:val="1"/>
      <w:marLeft w:val="0"/>
      <w:marRight w:val="0"/>
      <w:marTop w:val="0"/>
      <w:marBottom w:val="0"/>
      <w:divBdr>
        <w:top w:val="none" w:sz="0" w:space="0" w:color="auto"/>
        <w:left w:val="none" w:sz="0" w:space="0" w:color="auto"/>
        <w:bottom w:val="none" w:sz="0" w:space="0" w:color="auto"/>
        <w:right w:val="none" w:sz="0" w:space="0" w:color="auto"/>
      </w:divBdr>
      <w:divsChild>
        <w:div w:id="1987277171">
          <w:marLeft w:val="0"/>
          <w:marRight w:val="0"/>
          <w:marTop w:val="0"/>
          <w:marBottom w:val="0"/>
          <w:divBdr>
            <w:top w:val="none" w:sz="0" w:space="0" w:color="auto"/>
            <w:left w:val="none" w:sz="0" w:space="0" w:color="auto"/>
            <w:bottom w:val="none" w:sz="0" w:space="0" w:color="auto"/>
            <w:right w:val="none" w:sz="0" w:space="0" w:color="auto"/>
          </w:divBdr>
          <w:divsChild>
            <w:div w:id="305010996">
              <w:marLeft w:val="0"/>
              <w:marRight w:val="0"/>
              <w:marTop w:val="0"/>
              <w:marBottom w:val="0"/>
              <w:divBdr>
                <w:top w:val="none" w:sz="0" w:space="0" w:color="auto"/>
                <w:left w:val="none" w:sz="0" w:space="0" w:color="auto"/>
                <w:bottom w:val="none" w:sz="0" w:space="0" w:color="auto"/>
                <w:right w:val="none" w:sz="0" w:space="0" w:color="auto"/>
              </w:divBdr>
              <w:divsChild>
                <w:div w:id="1821464422">
                  <w:marLeft w:val="0"/>
                  <w:marRight w:val="0"/>
                  <w:marTop w:val="0"/>
                  <w:marBottom w:val="0"/>
                  <w:divBdr>
                    <w:top w:val="none" w:sz="0" w:space="0" w:color="auto"/>
                    <w:left w:val="none" w:sz="0" w:space="0" w:color="auto"/>
                    <w:bottom w:val="none" w:sz="0" w:space="0" w:color="auto"/>
                    <w:right w:val="none" w:sz="0" w:space="0" w:color="auto"/>
                  </w:divBdr>
                  <w:divsChild>
                    <w:div w:id="110194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hewjones/Dropbox%20(HRHF)/HRHF%20archive/3%20Communication/1%20Assets%20and%20resources/1%20Document%20templates/1%20Document%20templates/HRHF_Document_COL.dotx" TargetMode="External"/></Relationships>
</file>

<file path=word/theme/theme1.xml><?xml version="1.0" encoding="utf-8"?>
<a:theme xmlns:a="http://schemas.openxmlformats.org/drawingml/2006/main" name="HRHF theme">
  <a:themeElements>
    <a:clrScheme name="HRHF">
      <a:dk1>
        <a:srgbClr val="000000"/>
      </a:dk1>
      <a:lt1>
        <a:srgbClr val="FFFFFF"/>
      </a:lt1>
      <a:dk2>
        <a:srgbClr val="44546A"/>
      </a:dk2>
      <a:lt2>
        <a:srgbClr val="E7E6E6"/>
      </a:lt2>
      <a:accent1>
        <a:srgbClr val="F2C410"/>
      </a:accent1>
      <a:accent2>
        <a:srgbClr val="DE9818"/>
      </a:accent2>
      <a:accent3>
        <a:srgbClr val="B0B5B6"/>
      </a:accent3>
      <a:accent4>
        <a:srgbClr val="DA7823"/>
      </a:accent4>
      <a:accent5>
        <a:srgbClr val="930C14"/>
      </a:accent5>
      <a:accent6>
        <a:srgbClr val="231E1F"/>
      </a:accent6>
      <a:hlink>
        <a:srgbClr val="0563C1"/>
      </a:hlink>
      <a:folHlink>
        <a:srgbClr val="954F72"/>
      </a:folHlink>
    </a:clrScheme>
    <a:fontScheme name="HRHF">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3B6DB3-B6CB-3D4A-B366-FF534E59375F}">
  <ds:schemaRefs>
    <ds:schemaRef ds:uri="http://schemas.openxmlformats.org/officeDocument/2006/bibliography"/>
  </ds:schemaRefs>
</ds:datastoreItem>
</file>

<file path=customXml/itemProps2.xml><?xml version="1.0" encoding="utf-8"?>
<ds:datastoreItem xmlns:ds="http://schemas.openxmlformats.org/officeDocument/2006/customXml" ds:itemID="{AD2A7DEA-DAA7-46C6-BF04-F3B65F54E558}"/>
</file>

<file path=customXml/itemProps3.xml><?xml version="1.0" encoding="utf-8"?>
<ds:datastoreItem xmlns:ds="http://schemas.openxmlformats.org/officeDocument/2006/customXml" ds:itemID="{4573BA1C-372C-466A-A676-C3387F512B61}"/>
</file>

<file path=customXml/itemProps4.xml><?xml version="1.0" encoding="utf-8"?>
<ds:datastoreItem xmlns:ds="http://schemas.openxmlformats.org/officeDocument/2006/customXml" ds:itemID="{CE8F08E6-2DEB-4131-8DB0-4E02193F442F}"/>
</file>

<file path=docProps/app.xml><?xml version="1.0" encoding="utf-8"?>
<Properties xmlns="http://schemas.openxmlformats.org/officeDocument/2006/extended-properties" xmlns:vt="http://schemas.openxmlformats.org/officeDocument/2006/docPropsVTypes">
  <Template>HRHF_Document_COL.dotx</Template>
  <TotalTime>179</TotalTime>
  <Pages>3</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Jones</dc:creator>
  <cp:lastModifiedBy>Matthew Jones</cp:lastModifiedBy>
  <cp:revision>25</cp:revision>
  <cp:lastPrinted>2017-01-11T13:44:00Z</cp:lastPrinted>
  <dcterms:created xsi:type="dcterms:W3CDTF">2019-03-11T12:26:00Z</dcterms:created>
  <dcterms:modified xsi:type="dcterms:W3CDTF">2019-03-11T22:19:00Z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