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76D" w:rsidRPr="004A176D" w:rsidRDefault="00273437" w:rsidP="007569AC">
      <w:pPr>
        <w:spacing w:after="120"/>
        <w:ind w:right="-1"/>
        <w:jc w:val="right"/>
        <w:rPr>
          <w:rFonts w:ascii="Arial" w:hAnsi="Arial" w:cs="Arial"/>
          <w:lang w:val="es-ES"/>
        </w:rPr>
      </w:pPr>
      <w:r w:rsidRPr="00273437">
        <w:rPr>
          <w:rFonts w:ascii="Arial" w:hAnsi="Arial" w:cs="Arial"/>
          <w:b/>
          <w:bCs/>
          <w:noProof/>
          <w:lang w:val="es-ES"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-585470</wp:posOffset>
            </wp:positionV>
            <wp:extent cx="866775" cy="1229333"/>
            <wp:effectExtent l="0" t="0" r="0" b="9525"/>
            <wp:wrapNone/>
            <wp:docPr id="1" name="Imagen 1" descr="Z:\IDHC\Imatge\LOGOS\LogoTi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DHC\Imatge\LOGOS\LogoTip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229333"/>
                    </a:xfrm>
                    <a:prstGeom prst="rect">
                      <a:avLst/>
                    </a:prstGeom>
                    <a:noFill/>
                    <a:ln>
                      <a:noFill/>
                    </a:ln>
                  </pic:spPr>
                </pic:pic>
              </a:graphicData>
            </a:graphic>
            <wp14:sizeRelH relativeFrom="page">
              <wp14:pctWidth>0</wp14:pctWidth>
            </wp14:sizeRelH>
            <wp14:sizeRelV relativeFrom="page">
              <wp14:pctHeight>0</wp14:pctHeight>
            </wp14:sizeRelV>
          </wp:anchor>
        </w:drawing>
      </w:r>
      <w:r w:rsidR="00905C4E">
        <w:rPr>
          <w:rFonts w:ascii="Arial" w:hAnsi="Arial" w:cs="Arial"/>
          <w:lang w:val="es-ES"/>
        </w:rPr>
        <w:t xml:space="preserve">Barcelona, </w:t>
      </w:r>
      <w:r>
        <w:rPr>
          <w:rFonts w:ascii="Arial" w:hAnsi="Arial" w:cs="Arial"/>
          <w:lang w:val="es-ES"/>
        </w:rPr>
        <w:t>10</w:t>
      </w:r>
      <w:r w:rsidR="004A176D" w:rsidRPr="004A176D">
        <w:rPr>
          <w:rFonts w:ascii="Arial" w:hAnsi="Arial" w:cs="Arial"/>
          <w:lang w:val="es-ES"/>
        </w:rPr>
        <w:t xml:space="preserve"> de febrero del año 2020</w:t>
      </w:r>
    </w:p>
    <w:p w:rsidR="004A176D" w:rsidRPr="004A176D" w:rsidRDefault="004A176D" w:rsidP="004A176D">
      <w:pPr>
        <w:spacing w:after="120"/>
        <w:ind w:right="1134"/>
        <w:jc w:val="both"/>
        <w:rPr>
          <w:rFonts w:ascii="Arial" w:hAnsi="Arial" w:cs="Arial"/>
          <w:lang w:val="es-ES"/>
        </w:rPr>
      </w:pPr>
    </w:p>
    <w:p w:rsidR="004A176D" w:rsidRDefault="004A176D" w:rsidP="004A176D">
      <w:pPr>
        <w:spacing w:line="240" w:lineRule="auto"/>
        <w:ind w:right="1134"/>
        <w:jc w:val="both"/>
        <w:rPr>
          <w:rFonts w:ascii="Arial" w:hAnsi="Arial" w:cs="Arial"/>
          <w:b/>
          <w:bCs/>
          <w:lang w:val="es-ES"/>
        </w:rPr>
      </w:pPr>
    </w:p>
    <w:p w:rsidR="002F1055" w:rsidRPr="004A176D" w:rsidRDefault="002F1055" w:rsidP="004A176D">
      <w:pPr>
        <w:spacing w:line="240" w:lineRule="auto"/>
        <w:ind w:right="1134"/>
        <w:jc w:val="both"/>
        <w:rPr>
          <w:rFonts w:ascii="Arial" w:hAnsi="Arial" w:cs="Arial"/>
          <w:b/>
          <w:bCs/>
          <w:lang w:val="es-ES"/>
        </w:rPr>
      </w:pPr>
    </w:p>
    <w:p w:rsidR="004A176D" w:rsidRDefault="004A176D" w:rsidP="004A176D">
      <w:pPr>
        <w:spacing w:line="240" w:lineRule="auto"/>
        <w:ind w:right="1134"/>
        <w:jc w:val="both"/>
        <w:rPr>
          <w:rFonts w:ascii="Arial" w:hAnsi="Arial" w:cs="Arial"/>
          <w:b/>
          <w:bCs/>
          <w:lang w:val="es-ES"/>
        </w:rPr>
      </w:pPr>
    </w:p>
    <w:p w:rsidR="00273437" w:rsidRDefault="00273437" w:rsidP="004A176D">
      <w:pPr>
        <w:spacing w:line="240" w:lineRule="auto"/>
        <w:ind w:right="1134"/>
        <w:jc w:val="both"/>
        <w:rPr>
          <w:rFonts w:ascii="Arial" w:hAnsi="Arial" w:cs="Arial"/>
          <w:b/>
          <w:bCs/>
          <w:lang w:val="es-ES"/>
        </w:rPr>
      </w:pPr>
    </w:p>
    <w:p w:rsidR="00273437" w:rsidRPr="004A176D" w:rsidRDefault="00273437" w:rsidP="004A176D">
      <w:pPr>
        <w:spacing w:line="240" w:lineRule="auto"/>
        <w:ind w:right="1134"/>
        <w:jc w:val="both"/>
        <w:rPr>
          <w:rFonts w:ascii="Arial" w:hAnsi="Arial" w:cs="Arial"/>
          <w:b/>
          <w:bCs/>
          <w:lang w:val="es-ES"/>
        </w:rPr>
      </w:pPr>
    </w:p>
    <w:p w:rsidR="004A176D" w:rsidRPr="004A176D" w:rsidRDefault="004A176D" w:rsidP="004A176D">
      <w:pPr>
        <w:spacing w:line="240" w:lineRule="auto"/>
        <w:ind w:right="1134"/>
        <w:jc w:val="both"/>
        <w:rPr>
          <w:rFonts w:ascii="Arial" w:hAnsi="Arial" w:cs="Arial"/>
          <w:b/>
          <w:bCs/>
          <w:lang w:val="es-ES"/>
        </w:rPr>
      </w:pPr>
      <w:r w:rsidRPr="004A176D">
        <w:rPr>
          <w:rFonts w:ascii="Arial" w:hAnsi="Arial" w:cs="Arial"/>
          <w:b/>
          <w:bCs/>
          <w:lang w:val="es-ES"/>
        </w:rPr>
        <w:t>COMITÉ DE DERECHOS HUMANOS</w:t>
      </w:r>
    </w:p>
    <w:p w:rsidR="004A176D" w:rsidRPr="004A176D" w:rsidRDefault="004A176D" w:rsidP="004A176D">
      <w:pPr>
        <w:spacing w:line="240" w:lineRule="auto"/>
        <w:ind w:right="1134"/>
        <w:jc w:val="both"/>
        <w:rPr>
          <w:rFonts w:ascii="Arial" w:hAnsi="Arial" w:cs="Arial"/>
          <w:b/>
          <w:bCs/>
          <w:lang w:val="es-ES"/>
        </w:rPr>
      </w:pPr>
      <w:r w:rsidRPr="004A176D">
        <w:rPr>
          <w:rFonts w:ascii="Arial" w:hAnsi="Arial" w:cs="Arial"/>
          <w:b/>
          <w:bCs/>
          <w:lang w:val="es-ES"/>
        </w:rPr>
        <w:t>ORGANIZACIÓN DE LAS NACIONES UNIDAS</w:t>
      </w:r>
    </w:p>
    <w:p w:rsidR="004A176D" w:rsidRPr="004A176D" w:rsidRDefault="004A176D" w:rsidP="004A176D">
      <w:pPr>
        <w:spacing w:line="240" w:lineRule="auto"/>
        <w:ind w:right="1134"/>
        <w:jc w:val="both"/>
        <w:rPr>
          <w:rFonts w:ascii="Arial" w:hAnsi="Arial" w:cs="Arial"/>
          <w:lang w:val="es-ES"/>
        </w:rPr>
      </w:pPr>
    </w:p>
    <w:p w:rsidR="004A176D" w:rsidRDefault="004A176D" w:rsidP="004A176D">
      <w:pPr>
        <w:spacing w:line="240" w:lineRule="auto"/>
        <w:ind w:right="1134"/>
        <w:jc w:val="both"/>
        <w:rPr>
          <w:rFonts w:ascii="Arial" w:hAnsi="Arial" w:cs="Arial"/>
          <w:lang w:val="es-ES"/>
        </w:rPr>
      </w:pPr>
    </w:p>
    <w:p w:rsidR="002F1055" w:rsidRPr="004A176D" w:rsidRDefault="002F1055" w:rsidP="004A176D">
      <w:pPr>
        <w:spacing w:line="240" w:lineRule="auto"/>
        <w:ind w:right="1134"/>
        <w:jc w:val="both"/>
        <w:rPr>
          <w:rFonts w:ascii="Arial" w:hAnsi="Arial" w:cs="Arial"/>
          <w:lang w:val="es-ES"/>
        </w:rPr>
      </w:pPr>
    </w:p>
    <w:p w:rsidR="004A176D" w:rsidRDefault="004A176D" w:rsidP="00C65DAD">
      <w:pPr>
        <w:spacing w:line="360" w:lineRule="auto"/>
        <w:ind w:right="-1"/>
        <w:jc w:val="both"/>
        <w:rPr>
          <w:rFonts w:ascii="Arial" w:hAnsi="Arial" w:cs="Arial"/>
          <w:sz w:val="22"/>
          <w:szCs w:val="22"/>
          <w:lang w:val="es-ES"/>
        </w:rPr>
      </w:pPr>
      <w:r w:rsidRPr="004A176D">
        <w:rPr>
          <w:rFonts w:ascii="Arial" w:hAnsi="Arial" w:cs="Arial"/>
          <w:sz w:val="22"/>
          <w:szCs w:val="22"/>
          <w:lang w:val="es-ES"/>
        </w:rPr>
        <w:t xml:space="preserve">El </w:t>
      </w:r>
      <w:r w:rsidRPr="004A176D">
        <w:rPr>
          <w:rFonts w:ascii="Arial" w:hAnsi="Arial" w:cs="Arial"/>
          <w:i/>
          <w:sz w:val="22"/>
          <w:szCs w:val="22"/>
          <w:lang w:val="es-ES"/>
        </w:rPr>
        <w:t>Institut de Drets Humans de Catalunya</w:t>
      </w:r>
      <w:r w:rsidR="001A0225">
        <w:rPr>
          <w:rFonts w:ascii="Arial" w:hAnsi="Arial" w:cs="Arial"/>
          <w:i/>
          <w:sz w:val="22"/>
          <w:szCs w:val="22"/>
          <w:lang w:val="es-ES"/>
        </w:rPr>
        <w:t xml:space="preserve"> </w:t>
      </w:r>
      <w:r w:rsidR="001A0225" w:rsidRPr="001A0225">
        <w:rPr>
          <w:rFonts w:ascii="Arial" w:hAnsi="Arial" w:cs="Arial"/>
          <w:sz w:val="22"/>
          <w:szCs w:val="22"/>
          <w:lang w:val="es-ES"/>
        </w:rPr>
        <w:t>(IDHC)</w:t>
      </w:r>
      <w:r w:rsidRPr="004A176D">
        <w:rPr>
          <w:rFonts w:ascii="Arial" w:hAnsi="Arial" w:cs="Arial"/>
          <w:i/>
          <w:sz w:val="22"/>
          <w:szCs w:val="22"/>
          <w:lang w:val="es-ES"/>
        </w:rPr>
        <w:t xml:space="preserve"> </w:t>
      </w:r>
      <w:r w:rsidRPr="004A176D">
        <w:rPr>
          <w:rFonts w:ascii="Arial" w:hAnsi="Arial" w:cs="Arial"/>
          <w:sz w:val="22"/>
          <w:szCs w:val="22"/>
          <w:lang w:val="es-ES"/>
        </w:rPr>
        <w:t>como organización con estatuto consultivo ante el Consejo Económico y Social de las Naciones Unidas</w:t>
      </w:r>
      <w:r w:rsidRPr="004A176D">
        <w:rPr>
          <w:rFonts w:ascii="Arial" w:hAnsi="Arial" w:cs="Arial"/>
          <w:sz w:val="22"/>
          <w:szCs w:val="22"/>
          <w:shd w:val="clear" w:color="auto" w:fill="FFFFFF"/>
          <w:lang w:val="es-ES"/>
        </w:rPr>
        <w:t xml:space="preserve">, atendiendo a la invitación de ese Comité para presentar comentarios con relación al </w:t>
      </w:r>
      <w:r w:rsidRPr="004A176D">
        <w:rPr>
          <w:rFonts w:ascii="Arial" w:hAnsi="Arial" w:cs="Arial"/>
          <w:sz w:val="22"/>
          <w:szCs w:val="22"/>
          <w:lang w:val="es-ES"/>
        </w:rPr>
        <w:t xml:space="preserve">borrador de la </w:t>
      </w:r>
      <w:r w:rsidRPr="004A176D">
        <w:rPr>
          <w:rFonts w:ascii="Arial" w:hAnsi="Arial" w:cs="Arial"/>
          <w:i/>
          <w:sz w:val="22"/>
          <w:szCs w:val="22"/>
          <w:lang w:val="es-ES"/>
        </w:rPr>
        <w:t>Observación General Número 37</w:t>
      </w:r>
      <w:r w:rsidRPr="004A176D">
        <w:rPr>
          <w:rFonts w:ascii="Arial" w:hAnsi="Arial" w:cs="Arial"/>
          <w:sz w:val="22"/>
          <w:szCs w:val="22"/>
          <w:lang w:val="es-ES"/>
        </w:rPr>
        <w:t>, relativa al artículo 21 del Pacto</w:t>
      </w:r>
      <w:r w:rsidR="003305E3">
        <w:rPr>
          <w:rFonts w:ascii="Arial" w:hAnsi="Arial" w:cs="Arial"/>
          <w:sz w:val="22"/>
          <w:szCs w:val="22"/>
          <w:lang w:val="es-ES"/>
        </w:rPr>
        <w:t xml:space="preserve"> Internacional</w:t>
      </w:r>
      <w:r w:rsidRPr="004A176D">
        <w:rPr>
          <w:rFonts w:ascii="Arial" w:hAnsi="Arial" w:cs="Arial"/>
          <w:sz w:val="22"/>
          <w:szCs w:val="22"/>
          <w:lang w:val="es-ES"/>
        </w:rPr>
        <w:t xml:space="preserve"> de Derechos Civiles y P</w:t>
      </w:r>
      <w:r w:rsidR="00A50BEA">
        <w:rPr>
          <w:rFonts w:ascii="Arial" w:hAnsi="Arial" w:cs="Arial"/>
          <w:sz w:val="22"/>
          <w:szCs w:val="22"/>
          <w:lang w:val="es-ES"/>
        </w:rPr>
        <w:t>olíticos “Derecho de reunión pacífica”, somete a su consideración las cuestiones</w:t>
      </w:r>
      <w:r w:rsidR="0061458D">
        <w:rPr>
          <w:rFonts w:ascii="Arial" w:hAnsi="Arial" w:cs="Arial"/>
          <w:sz w:val="22"/>
          <w:szCs w:val="22"/>
          <w:lang w:val="es-ES"/>
        </w:rPr>
        <w:t xml:space="preserve"> que a continuación se desarrollarán.</w:t>
      </w:r>
    </w:p>
    <w:p w:rsidR="0061458D" w:rsidRDefault="0061458D" w:rsidP="00C65DAD">
      <w:pPr>
        <w:spacing w:line="360" w:lineRule="auto"/>
        <w:ind w:right="1134"/>
        <w:jc w:val="both"/>
        <w:rPr>
          <w:rFonts w:ascii="Arial" w:hAnsi="Arial" w:cs="Arial"/>
          <w:sz w:val="22"/>
          <w:szCs w:val="22"/>
          <w:lang w:val="es-ES"/>
        </w:rPr>
      </w:pPr>
    </w:p>
    <w:p w:rsidR="00AD1400" w:rsidRDefault="0061458D" w:rsidP="00C65DAD">
      <w:pPr>
        <w:spacing w:line="360" w:lineRule="auto"/>
        <w:ind w:right="-1"/>
        <w:jc w:val="both"/>
        <w:rPr>
          <w:rFonts w:ascii="Arial" w:hAnsi="Arial" w:cs="Arial"/>
          <w:sz w:val="22"/>
          <w:szCs w:val="22"/>
          <w:lang w:val="es-ES"/>
        </w:rPr>
      </w:pPr>
      <w:r>
        <w:rPr>
          <w:rFonts w:ascii="Arial" w:hAnsi="Arial" w:cs="Arial"/>
          <w:sz w:val="22"/>
          <w:szCs w:val="22"/>
          <w:lang w:val="es-ES"/>
        </w:rPr>
        <w:t xml:space="preserve">Con ese fin, en primer lugar, deseamos advertir que los comentarios que a continuación se harán al borrador tienen como referencia central la versión en </w:t>
      </w:r>
      <w:r>
        <w:rPr>
          <w:rFonts w:ascii="Arial" w:hAnsi="Arial" w:cs="Arial"/>
          <w:i/>
          <w:sz w:val="22"/>
          <w:szCs w:val="22"/>
          <w:lang w:val="es-ES"/>
        </w:rPr>
        <w:t xml:space="preserve">español </w:t>
      </w:r>
      <w:r>
        <w:rPr>
          <w:rFonts w:ascii="Arial" w:hAnsi="Arial" w:cs="Arial"/>
          <w:sz w:val="22"/>
          <w:szCs w:val="22"/>
          <w:lang w:val="es-ES"/>
        </w:rPr>
        <w:t>de éste, intentando que las propuestas que se formulan sean de fácil traducción en los otros</w:t>
      </w:r>
      <w:r w:rsidR="007569AC">
        <w:rPr>
          <w:rFonts w:ascii="Arial" w:hAnsi="Arial" w:cs="Arial"/>
          <w:sz w:val="22"/>
          <w:szCs w:val="22"/>
          <w:lang w:val="es-ES"/>
        </w:rPr>
        <w:t xml:space="preserve"> dos</w:t>
      </w:r>
      <w:r>
        <w:rPr>
          <w:rFonts w:ascii="Arial" w:hAnsi="Arial" w:cs="Arial"/>
          <w:sz w:val="22"/>
          <w:szCs w:val="22"/>
          <w:lang w:val="es-ES"/>
        </w:rPr>
        <w:t xml:space="preserve"> idiomas de trabajo.</w:t>
      </w:r>
      <w:r w:rsidR="007569AC">
        <w:rPr>
          <w:rFonts w:ascii="Arial" w:hAnsi="Arial" w:cs="Arial"/>
          <w:sz w:val="22"/>
          <w:szCs w:val="22"/>
          <w:lang w:val="es-ES"/>
        </w:rPr>
        <w:t xml:space="preserve"> En segundo lugar, para</w:t>
      </w:r>
      <w:r w:rsidR="00633CFB">
        <w:rPr>
          <w:rFonts w:ascii="Arial" w:hAnsi="Arial" w:cs="Arial"/>
          <w:sz w:val="22"/>
          <w:szCs w:val="22"/>
          <w:lang w:val="es-ES"/>
        </w:rPr>
        <w:t xml:space="preserve"> facilitar el entendimiento de los comentarios que se hacen, estos están divididos en cuatro secciones: a) Ajustes complementarios que buscan mejorar los alcances de lo que se dice</w:t>
      </w:r>
      <w:r w:rsidR="00250032">
        <w:rPr>
          <w:rFonts w:ascii="Arial" w:hAnsi="Arial" w:cs="Arial"/>
          <w:sz w:val="22"/>
          <w:szCs w:val="22"/>
          <w:lang w:val="es-ES"/>
        </w:rPr>
        <w:t xml:space="preserve"> </w:t>
      </w:r>
      <w:r w:rsidR="00250032" w:rsidRPr="00250032">
        <w:rPr>
          <w:rFonts w:ascii="Arial" w:hAnsi="Arial" w:cs="Arial"/>
          <w:sz w:val="22"/>
          <w:szCs w:val="22"/>
          <w:lang w:val="es-ES"/>
        </w:rPr>
        <w:t>o dar congruencia con lo que se dice en otros párrafos</w:t>
      </w:r>
      <w:r w:rsidR="00633CFB" w:rsidRPr="00250032">
        <w:rPr>
          <w:rFonts w:ascii="Arial" w:hAnsi="Arial" w:cs="Arial"/>
          <w:sz w:val="22"/>
          <w:szCs w:val="22"/>
          <w:lang w:val="es-ES"/>
        </w:rPr>
        <w:t>;</w:t>
      </w:r>
      <w:r w:rsidR="00633CFB">
        <w:rPr>
          <w:rFonts w:ascii="Arial" w:hAnsi="Arial" w:cs="Arial"/>
          <w:sz w:val="22"/>
          <w:szCs w:val="22"/>
          <w:lang w:val="es-ES"/>
        </w:rPr>
        <w:t xml:space="preserve"> b) Preferencias de contenido respecto a los temas en los que no se ha alcanzado consenso; c) Propuestas de modificación o ajuste sustantivo, y c) Ajustes menores de estilo.</w:t>
      </w:r>
      <w:r w:rsidR="00E941F1">
        <w:rPr>
          <w:rFonts w:ascii="Arial" w:hAnsi="Arial" w:cs="Arial"/>
          <w:sz w:val="22"/>
          <w:szCs w:val="22"/>
          <w:lang w:val="es-ES"/>
        </w:rPr>
        <w:t xml:space="preserve"> </w:t>
      </w:r>
    </w:p>
    <w:p w:rsidR="00AD1400" w:rsidRDefault="00AD1400" w:rsidP="00C65DAD">
      <w:pPr>
        <w:spacing w:line="360" w:lineRule="auto"/>
        <w:ind w:right="-1"/>
        <w:jc w:val="both"/>
        <w:rPr>
          <w:rFonts w:ascii="Arial" w:hAnsi="Arial" w:cs="Arial"/>
          <w:sz w:val="22"/>
          <w:szCs w:val="22"/>
          <w:lang w:val="es-ES"/>
        </w:rPr>
      </w:pPr>
    </w:p>
    <w:p w:rsidR="0061458D" w:rsidRPr="0061458D" w:rsidRDefault="00D14040" w:rsidP="00C65DAD">
      <w:pPr>
        <w:spacing w:line="360" w:lineRule="auto"/>
        <w:ind w:right="-1"/>
        <w:jc w:val="both"/>
        <w:rPr>
          <w:rFonts w:ascii="Arial" w:hAnsi="Arial" w:cs="Arial"/>
          <w:sz w:val="22"/>
          <w:szCs w:val="22"/>
          <w:lang w:val="es-ES"/>
        </w:rPr>
      </w:pPr>
      <w:r>
        <w:rPr>
          <w:rFonts w:ascii="Arial" w:hAnsi="Arial" w:cs="Arial"/>
          <w:sz w:val="22"/>
          <w:szCs w:val="22"/>
          <w:lang w:val="es-ES"/>
        </w:rPr>
        <w:t>De igual forma, queremos expresar</w:t>
      </w:r>
      <w:r w:rsidR="00E941F1">
        <w:rPr>
          <w:rFonts w:ascii="Arial" w:hAnsi="Arial" w:cs="Arial"/>
          <w:sz w:val="22"/>
          <w:szCs w:val="22"/>
          <w:lang w:val="es-ES"/>
        </w:rPr>
        <w:t xml:space="preserve"> que si bien hay algunos aspectos que podrían analizarse con mayor profundidad, entendemos el proceso que se ha seguido para llegar a e</w:t>
      </w:r>
      <w:r>
        <w:rPr>
          <w:rFonts w:ascii="Arial" w:hAnsi="Arial" w:cs="Arial"/>
          <w:sz w:val="22"/>
          <w:szCs w:val="22"/>
          <w:lang w:val="es-ES"/>
        </w:rPr>
        <w:t>ste borrador y los fines de la O</w:t>
      </w:r>
      <w:r w:rsidR="00E941F1">
        <w:rPr>
          <w:rFonts w:ascii="Arial" w:hAnsi="Arial" w:cs="Arial"/>
          <w:sz w:val="22"/>
          <w:szCs w:val="22"/>
          <w:lang w:val="es-ES"/>
        </w:rPr>
        <w:t xml:space="preserve">bservación, por lo que </w:t>
      </w:r>
      <w:r>
        <w:rPr>
          <w:rFonts w:ascii="Arial" w:hAnsi="Arial" w:cs="Arial"/>
          <w:sz w:val="22"/>
          <w:szCs w:val="22"/>
          <w:lang w:val="es-ES"/>
        </w:rPr>
        <w:t>con nuestras aportaciones sólo buscamos ajustar, mejorar o precisar algunos aspectos de lo hasta ahora propuesto, sin la intención de abrir o</w:t>
      </w:r>
      <w:r w:rsidR="00E941F1">
        <w:rPr>
          <w:rFonts w:ascii="Arial" w:hAnsi="Arial" w:cs="Arial"/>
          <w:sz w:val="22"/>
          <w:szCs w:val="22"/>
          <w:lang w:val="es-ES"/>
        </w:rPr>
        <w:t xml:space="preserve"> reabr</w:t>
      </w:r>
      <w:r>
        <w:rPr>
          <w:rFonts w:ascii="Arial" w:hAnsi="Arial" w:cs="Arial"/>
          <w:sz w:val="22"/>
          <w:szCs w:val="22"/>
          <w:lang w:val="es-ES"/>
        </w:rPr>
        <w:t>ir</w:t>
      </w:r>
      <w:r w:rsidR="00E941F1">
        <w:rPr>
          <w:rFonts w:ascii="Arial" w:hAnsi="Arial" w:cs="Arial"/>
          <w:sz w:val="22"/>
          <w:szCs w:val="22"/>
          <w:lang w:val="es-ES"/>
        </w:rPr>
        <w:t xml:space="preserve"> debates en los que se ha alcanzado consenso a pesar de que teórica o académicamente estos debates</w:t>
      </w:r>
      <w:r w:rsidR="002309CF">
        <w:rPr>
          <w:rFonts w:ascii="Arial" w:hAnsi="Arial" w:cs="Arial"/>
          <w:sz w:val="22"/>
          <w:szCs w:val="22"/>
          <w:lang w:val="es-ES"/>
        </w:rPr>
        <w:t xml:space="preserve"> y análisis</w:t>
      </w:r>
      <w:r w:rsidR="00E941F1">
        <w:rPr>
          <w:rFonts w:ascii="Arial" w:hAnsi="Arial" w:cs="Arial"/>
          <w:sz w:val="22"/>
          <w:szCs w:val="22"/>
          <w:lang w:val="es-ES"/>
        </w:rPr>
        <w:t xml:space="preserve"> pueden continuar.</w:t>
      </w:r>
    </w:p>
    <w:p w:rsidR="00E941F1" w:rsidRDefault="00E941F1" w:rsidP="00C65DAD">
      <w:pPr>
        <w:spacing w:before="120" w:after="120" w:line="360" w:lineRule="auto"/>
        <w:ind w:right="1134"/>
        <w:jc w:val="both"/>
        <w:rPr>
          <w:rFonts w:ascii="Arial" w:hAnsi="Arial" w:cs="Arial"/>
          <w:sz w:val="22"/>
          <w:szCs w:val="22"/>
          <w:lang w:val="es-ES"/>
        </w:rPr>
      </w:pPr>
    </w:p>
    <w:p w:rsidR="002F1055" w:rsidRDefault="002F1055" w:rsidP="00C65DAD">
      <w:pPr>
        <w:spacing w:before="120" w:after="120" w:line="360" w:lineRule="auto"/>
        <w:ind w:right="1134"/>
        <w:jc w:val="both"/>
        <w:rPr>
          <w:rFonts w:ascii="Arial" w:hAnsi="Arial" w:cs="Arial"/>
          <w:sz w:val="22"/>
          <w:szCs w:val="22"/>
          <w:lang w:val="es-ES"/>
        </w:rPr>
      </w:pPr>
    </w:p>
    <w:p w:rsidR="002F1055" w:rsidRDefault="002F1055" w:rsidP="00C65DAD">
      <w:pPr>
        <w:spacing w:before="120" w:after="120" w:line="360" w:lineRule="auto"/>
        <w:ind w:right="1134"/>
        <w:jc w:val="both"/>
        <w:rPr>
          <w:rFonts w:ascii="Arial" w:hAnsi="Arial" w:cs="Arial"/>
          <w:sz w:val="22"/>
          <w:szCs w:val="22"/>
          <w:lang w:val="es-ES"/>
        </w:rPr>
      </w:pPr>
    </w:p>
    <w:p w:rsidR="002F1055" w:rsidRPr="00B73819" w:rsidRDefault="00B73819" w:rsidP="00B73819">
      <w:pPr>
        <w:spacing w:before="120" w:after="120" w:line="360" w:lineRule="auto"/>
        <w:ind w:right="1134"/>
        <w:jc w:val="center"/>
        <w:rPr>
          <w:rFonts w:ascii="Arial" w:hAnsi="Arial" w:cs="Arial"/>
          <w:color w:val="767171" w:themeColor="background2" w:themeShade="80"/>
          <w:sz w:val="16"/>
          <w:szCs w:val="16"/>
          <w:lang w:val="es-ES"/>
        </w:rPr>
      </w:pPr>
      <w:r w:rsidRPr="00B73819">
        <w:rPr>
          <w:rFonts w:ascii="Arial" w:hAnsi="Arial" w:cs="Arial"/>
          <w:color w:val="767171" w:themeColor="background2" w:themeShade="80"/>
          <w:sz w:val="16"/>
          <w:szCs w:val="16"/>
          <w:lang w:val="es-ES"/>
        </w:rPr>
        <w:t xml:space="preserve">Av. Meridiana 32, </w:t>
      </w:r>
      <w:proofErr w:type="spellStart"/>
      <w:r w:rsidRPr="00B73819">
        <w:rPr>
          <w:rFonts w:ascii="Arial" w:hAnsi="Arial" w:cs="Arial"/>
          <w:color w:val="767171" w:themeColor="background2" w:themeShade="80"/>
          <w:sz w:val="16"/>
          <w:szCs w:val="16"/>
          <w:lang w:val="es-ES"/>
        </w:rPr>
        <w:t>ent</w:t>
      </w:r>
      <w:proofErr w:type="spellEnd"/>
      <w:r w:rsidRPr="00B73819">
        <w:rPr>
          <w:rFonts w:ascii="Arial" w:hAnsi="Arial" w:cs="Arial"/>
          <w:color w:val="767171" w:themeColor="background2" w:themeShade="80"/>
          <w:sz w:val="16"/>
          <w:szCs w:val="16"/>
          <w:lang w:val="es-ES"/>
        </w:rPr>
        <w:t>. 2a (esc. B) | 08018 Barcelona | T.: +34 93 119 03 72 | institut@idhc.org</w:t>
      </w:r>
    </w:p>
    <w:p w:rsidR="002F1055" w:rsidRDefault="002F1055" w:rsidP="00C65DAD">
      <w:pPr>
        <w:spacing w:before="120" w:after="120" w:line="360" w:lineRule="auto"/>
        <w:ind w:right="1134"/>
        <w:jc w:val="both"/>
        <w:rPr>
          <w:rFonts w:ascii="Arial" w:hAnsi="Arial" w:cs="Arial"/>
          <w:sz w:val="22"/>
          <w:szCs w:val="22"/>
          <w:lang w:val="es-ES"/>
        </w:rPr>
      </w:pPr>
      <w:bookmarkStart w:id="0" w:name="_GoBack"/>
      <w:bookmarkEnd w:id="0"/>
    </w:p>
    <w:p w:rsidR="00E941F1" w:rsidRDefault="00E941F1" w:rsidP="00A67047">
      <w:pPr>
        <w:spacing w:before="120" w:after="120" w:line="240" w:lineRule="auto"/>
        <w:jc w:val="both"/>
        <w:rPr>
          <w:rFonts w:ascii="Arial" w:hAnsi="Arial" w:cs="Arial"/>
          <w:b/>
          <w:sz w:val="22"/>
          <w:szCs w:val="22"/>
          <w:lang w:val="es-ES"/>
        </w:rPr>
      </w:pPr>
      <w:r w:rsidRPr="00E941F1">
        <w:rPr>
          <w:rFonts w:ascii="Arial" w:hAnsi="Arial" w:cs="Arial"/>
          <w:b/>
          <w:sz w:val="22"/>
          <w:szCs w:val="22"/>
          <w:lang w:val="es-ES"/>
        </w:rPr>
        <w:t>a) Ajustes complementarios que buscan mejorar los alcances de lo que se dice</w:t>
      </w:r>
      <w:r w:rsidR="00AF39E7">
        <w:rPr>
          <w:rFonts w:ascii="Arial" w:hAnsi="Arial" w:cs="Arial"/>
          <w:b/>
          <w:sz w:val="22"/>
          <w:szCs w:val="22"/>
          <w:lang w:val="es-ES"/>
        </w:rPr>
        <w:t xml:space="preserve"> o dar congruencia con lo que se dice en otros párrafos</w:t>
      </w:r>
      <w:r w:rsidRPr="00E941F1">
        <w:rPr>
          <w:rFonts w:ascii="Arial" w:hAnsi="Arial" w:cs="Arial"/>
          <w:b/>
          <w:sz w:val="22"/>
          <w:szCs w:val="22"/>
          <w:lang w:val="es-ES"/>
        </w:rPr>
        <w:t>.</w:t>
      </w:r>
    </w:p>
    <w:p w:rsidR="00A67047" w:rsidRDefault="00A67047" w:rsidP="00A67047">
      <w:pPr>
        <w:spacing w:before="120" w:after="120" w:line="240" w:lineRule="auto"/>
        <w:jc w:val="both"/>
        <w:rPr>
          <w:rFonts w:ascii="Arial" w:hAnsi="Arial" w:cs="Arial"/>
          <w:b/>
          <w:sz w:val="22"/>
          <w:szCs w:val="22"/>
          <w:lang w:val="es-ES"/>
        </w:rPr>
      </w:pPr>
    </w:p>
    <w:tbl>
      <w:tblPr>
        <w:tblStyle w:val="Tablaconcuadrcula"/>
        <w:tblW w:w="0" w:type="auto"/>
        <w:tblLook w:val="04A0" w:firstRow="1" w:lastRow="0" w:firstColumn="1" w:lastColumn="0" w:noHBand="0" w:noVBand="1"/>
      </w:tblPr>
      <w:tblGrid>
        <w:gridCol w:w="4247"/>
        <w:gridCol w:w="4247"/>
      </w:tblGrid>
      <w:tr w:rsidR="000850AD" w:rsidTr="000850AD">
        <w:tc>
          <w:tcPr>
            <w:tcW w:w="4247" w:type="dxa"/>
          </w:tcPr>
          <w:p w:rsidR="000850AD" w:rsidRPr="00ED7EF4" w:rsidRDefault="000850AD" w:rsidP="000850AD">
            <w:pPr>
              <w:spacing w:before="120" w:after="120" w:line="360" w:lineRule="auto"/>
              <w:ind w:right="-1"/>
              <w:jc w:val="center"/>
              <w:rPr>
                <w:rFonts w:asciiTheme="majorHAnsi" w:hAnsiTheme="majorHAnsi" w:cstheme="majorHAnsi"/>
                <w:sz w:val="24"/>
                <w:szCs w:val="24"/>
                <w:lang w:val="es-ES"/>
              </w:rPr>
            </w:pPr>
            <w:r w:rsidRPr="00ED7EF4">
              <w:rPr>
                <w:rFonts w:asciiTheme="majorHAnsi" w:hAnsiTheme="majorHAnsi" w:cstheme="majorHAnsi"/>
                <w:sz w:val="24"/>
                <w:szCs w:val="24"/>
                <w:lang w:val="es-ES"/>
              </w:rPr>
              <w:t>El borrador dice</w:t>
            </w:r>
          </w:p>
        </w:tc>
        <w:tc>
          <w:tcPr>
            <w:tcW w:w="4247" w:type="dxa"/>
          </w:tcPr>
          <w:p w:rsidR="000850AD" w:rsidRPr="00ED7EF4" w:rsidRDefault="000850AD" w:rsidP="000850AD">
            <w:pPr>
              <w:spacing w:before="120" w:after="120" w:line="360" w:lineRule="auto"/>
              <w:ind w:right="-1"/>
              <w:jc w:val="center"/>
              <w:rPr>
                <w:rFonts w:asciiTheme="majorHAnsi" w:hAnsiTheme="majorHAnsi" w:cstheme="majorHAnsi"/>
                <w:sz w:val="24"/>
                <w:szCs w:val="24"/>
                <w:lang w:val="es-ES"/>
              </w:rPr>
            </w:pPr>
            <w:r w:rsidRPr="00ED7EF4">
              <w:rPr>
                <w:rFonts w:asciiTheme="majorHAnsi" w:hAnsiTheme="majorHAnsi" w:cstheme="majorHAnsi"/>
                <w:sz w:val="24"/>
                <w:szCs w:val="24"/>
                <w:lang w:val="es-ES"/>
              </w:rPr>
              <w:t>Se propone que diga</w:t>
            </w:r>
          </w:p>
        </w:tc>
      </w:tr>
      <w:tr w:rsidR="000850AD" w:rsidRPr="00985FCA" w:rsidTr="000850AD">
        <w:tc>
          <w:tcPr>
            <w:tcW w:w="4247" w:type="dxa"/>
          </w:tcPr>
          <w:p w:rsidR="000850AD" w:rsidRPr="00F77275" w:rsidRDefault="000850AD"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Cuando las reuniones pacíficas tienen por objeto expresar quejas, pueden crear oportunidades para … </w:t>
            </w:r>
          </w:p>
          <w:p w:rsidR="000850AD" w:rsidRPr="00F77275" w:rsidRDefault="000850AD"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w:t>
            </w:r>
            <w:r w:rsidR="005B2616" w:rsidRPr="00F77275">
              <w:rPr>
                <w:rFonts w:asciiTheme="majorHAnsi" w:hAnsiTheme="majorHAnsi" w:cstheme="majorHAnsi"/>
                <w:lang w:val="es-ES"/>
              </w:rPr>
              <w:t>afo</w:t>
            </w:r>
            <w:r w:rsidRPr="00F77275">
              <w:rPr>
                <w:rFonts w:asciiTheme="majorHAnsi" w:hAnsiTheme="majorHAnsi" w:cstheme="majorHAnsi"/>
                <w:lang w:val="es-ES"/>
              </w:rPr>
              <w:t xml:space="preserve"> 1, última línea)</w:t>
            </w:r>
          </w:p>
        </w:tc>
        <w:tc>
          <w:tcPr>
            <w:tcW w:w="4247" w:type="dxa"/>
          </w:tcPr>
          <w:p w:rsidR="000850AD" w:rsidRPr="00F77275" w:rsidRDefault="000850AD"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Cuando las reuniones pacíficas tienen por objeto expresar quejas </w:t>
            </w:r>
            <w:r w:rsidRPr="00F77275">
              <w:rPr>
                <w:rFonts w:asciiTheme="majorHAnsi" w:hAnsiTheme="majorHAnsi" w:cstheme="majorHAnsi"/>
                <w:color w:val="4472C4" w:themeColor="accent5"/>
                <w:lang w:val="es-ES"/>
              </w:rPr>
              <w:t>o reivindicaciones</w:t>
            </w:r>
            <w:r w:rsidRPr="00F77275">
              <w:rPr>
                <w:rFonts w:asciiTheme="majorHAnsi" w:hAnsiTheme="majorHAnsi" w:cstheme="majorHAnsi"/>
                <w:lang w:val="es-ES"/>
              </w:rPr>
              <w:t>, pueden crear oportunidades para …</w:t>
            </w:r>
          </w:p>
        </w:tc>
      </w:tr>
      <w:tr w:rsidR="000850AD" w:rsidRPr="00985FCA" w:rsidTr="000850AD">
        <w:tc>
          <w:tcPr>
            <w:tcW w:w="4247" w:type="dxa"/>
          </w:tcPr>
          <w:p w:rsidR="000850AD" w:rsidRPr="00F77275" w:rsidRDefault="000850AD"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Puede ser de gran importancia para los miembros marginados y desfavorecidos de la sociedad. </w:t>
            </w:r>
          </w:p>
          <w:p w:rsidR="000850AD" w:rsidRPr="00F77275" w:rsidRDefault="000850AD"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w:t>
            </w:r>
            <w:r w:rsidR="005B2616" w:rsidRPr="00F77275">
              <w:rPr>
                <w:rFonts w:asciiTheme="majorHAnsi" w:hAnsiTheme="majorHAnsi" w:cstheme="majorHAnsi"/>
                <w:lang w:val="es-ES"/>
              </w:rPr>
              <w:t>afo</w:t>
            </w:r>
            <w:r w:rsidRPr="00F77275">
              <w:rPr>
                <w:rFonts w:asciiTheme="majorHAnsi" w:hAnsiTheme="majorHAnsi" w:cstheme="majorHAnsi"/>
                <w:lang w:val="es-ES"/>
              </w:rPr>
              <w:t xml:space="preserve"> 2, tercera línea)</w:t>
            </w:r>
          </w:p>
        </w:tc>
        <w:tc>
          <w:tcPr>
            <w:tcW w:w="4247" w:type="dxa"/>
          </w:tcPr>
          <w:p w:rsidR="000850AD" w:rsidRPr="00F77275" w:rsidRDefault="000850AD"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Puede ser de gran importancia para </w:t>
            </w:r>
            <w:r w:rsidRPr="00F77275">
              <w:rPr>
                <w:rFonts w:asciiTheme="majorHAnsi" w:hAnsiTheme="majorHAnsi" w:cstheme="majorHAnsi"/>
                <w:color w:val="4472C4" w:themeColor="accent5"/>
                <w:lang w:val="es-ES"/>
              </w:rPr>
              <w:t>las personas</w:t>
            </w:r>
            <w:r w:rsidRPr="00F77275">
              <w:rPr>
                <w:rFonts w:asciiTheme="majorHAnsi" w:hAnsiTheme="majorHAnsi" w:cstheme="majorHAnsi"/>
                <w:lang w:val="es-ES"/>
              </w:rPr>
              <w:t xml:space="preserve"> </w:t>
            </w:r>
            <w:r w:rsidRPr="00F77275">
              <w:rPr>
                <w:rFonts w:asciiTheme="majorHAnsi" w:hAnsiTheme="majorHAnsi" w:cstheme="majorHAnsi"/>
                <w:color w:val="4472C4" w:themeColor="accent5"/>
                <w:lang w:val="es-ES"/>
              </w:rPr>
              <w:t>marginadas, oprimidas</w:t>
            </w:r>
            <w:r w:rsidRPr="00F77275">
              <w:rPr>
                <w:rFonts w:asciiTheme="majorHAnsi" w:hAnsiTheme="majorHAnsi" w:cstheme="majorHAnsi"/>
                <w:lang w:val="es-ES"/>
              </w:rPr>
              <w:t xml:space="preserve"> y desfavorecidas de la sociedad.</w:t>
            </w:r>
          </w:p>
        </w:tc>
      </w:tr>
      <w:tr w:rsidR="000850AD" w:rsidRPr="00985FCA" w:rsidTr="000850AD">
        <w:tc>
          <w:tcPr>
            <w:tcW w:w="4247" w:type="dxa"/>
          </w:tcPr>
          <w:p w:rsidR="000850AD" w:rsidRPr="00F77275" w:rsidRDefault="007665C0"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El derecho de reunión pacífica protege el encuentro no violento de personas con un propósito de expresión común en un [mismo] lugar [de acceso público].</w:t>
            </w:r>
            <w:r w:rsidR="00091335" w:rsidRPr="00F77275">
              <w:rPr>
                <w:rFonts w:asciiTheme="majorHAnsi" w:hAnsiTheme="majorHAnsi" w:cstheme="majorHAnsi"/>
                <w:lang w:val="es-ES"/>
              </w:rPr>
              <w:t xml:space="preserve"> </w:t>
            </w:r>
          </w:p>
          <w:p w:rsidR="00091335" w:rsidRPr="00F77275" w:rsidRDefault="00091335"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Por lo tanto, el elemento de asociación es inherente al derecho.</w:t>
            </w:r>
          </w:p>
          <w:p w:rsidR="007665C0" w:rsidRPr="00F77275" w:rsidRDefault="005B2616"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w:t>
            </w:r>
            <w:r w:rsidR="007665C0" w:rsidRPr="00F77275">
              <w:rPr>
                <w:rFonts w:asciiTheme="majorHAnsi" w:hAnsiTheme="majorHAnsi" w:cstheme="majorHAnsi"/>
                <w:lang w:val="es-ES"/>
              </w:rPr>
              <w:t xml:space="preserve"> 4, segunda</w:t>
            </w:r>
            <w:r w:rsidR="00091335" w:rsidRPr="00F77275">
              <w:rPr>
                <w:rFonts w:asciiTheme="majorHAnsi" w:hAnsiTheme="majorHAnsi" w:cstheme="majorHAnsi"/>
                <w:lang w:val="es-ES"/>
              </w:rPr>
              <w:t xml:space="preserve"> y última</w:t>
            </w:r>
            <w:r w:rsidR="007665C0" w:rsidRPr="00F77275">
              <w:rPr>
                <w:rFonts w:asciiTheme="majorHAnsi" w:hAnsiTheme="majorHAnsi" w:cstheme="majorHAnsi"/>
                <w:lang w:val="es-ES"/>
              </w:rPr>
              <w:t xml:space="preserve"> línea)</w:t>
            </w:r>
          </w:p>
        </w:tc>
        <w:tc>
          <w:tcPr>
            <w:tcW w:w="4247" w:type="dxa"/>
          </w:tcPr>
          <w:p w:rsidR="007665C0" w:rsidRPr="00F77275" w:rsidRDefault="007665C0"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El derecho de reunión pacífica protege el encuentro no violento de personas con un propósito de expresión </w:t>
            </w:r>
            <w:r w:rsidRPr="00F77275">
              <w:rPr>
                <w:rFonts w:asciiTheme="majorHAnsi" w:hAnsiTheme="majorHAnsi" w:cstheme="majorHAnsi"/>
                <w:color w:val="4472C4" w:themeColor="accent5"/>
                <w:lang w:val="es-ES"/>
              </w:rPr>
              <w:t>generalmente</w:t>
            </w:r>
            <w:r w:rsidRPr="00F77275">
              <w:rPr>
                <w:rFonts w:asciiTheme="majorHAnsi" w:hAnsiTheme="majorHAnsi" w:cstheme="majorHAnsi"/>
                <w:lang w:val="es-ES"/>
              </w:rPr>
              <w:t xml:space="preserve"> común en un lugar </w:t>
            </w:r>
            <w:r w:rsidRPr="00F77275">
              <w:rPr>
                <w:rFonts w:asciiTheme="majorHAnsi" w:hAnsiTheme="majorHAnsi" w:cstheme="majorHAnsi"/>
                <w:color w:val="4472C4" w:themeColor="accent5"/>
                <w:lang w:val="es-ES"/>
              </w:rPr>
              <w:t>de acceso público</w:t>
            </w:r>
            <w:r w:rsidR="007D2315" w:rsidRPr="00F77275">
              <w:rPr>
                <w:rFonts w:asciiTheme="majorHAnsi" w:hAnsiTheme="majorHAnsi" w:cstheme="majorHAnsi"/>
                <w:color w:val="4472C4" w:themeColor="accent5"/>
                <w:lang w:val="es-ES"/>
              </w:rPr>
              <w:t xml:space="preserve"> o privado con acceso a público</w:t>
            </w:r>
            <w:r w:rsidRPr="00F77275">
              <w:rPr>
                <w:rFonts w:asciiTheme="majorHAnsi" w:hAnsiTheme="majorHAnsi" w:cstheme="majorHAnsi"/>
                <w:lang w:val="es-ES"/>
              </w:rPr>
              <w:t>.</w:t>
            </w:r>
          </w:p>
          <w:p w:rsidR="000850AD" w:rsidRPr="00F77275" w:rsidRDefault="00091335"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Por lo tanto, el elemento de asociación</w:t>
            </w:r>
            <w:r w:rsidRPr="00F77275">
              <w:rPr>
                <w:rFonts w:asciiTheme="majorHAnsi" w:hAnsiTheme="majorHAnsi" w:cstheme="majorHAnsi"/>
                <w:color w:val="4472C4" w:themeColor="accent5"/>
                <w:lang w:val="es-ES"/>
              </w:rPr>
              <w:t>, al menos temporal,</w:t>
            </w:r>
            <w:r w:rsidRPr="00F77275">
              <w:rPr>
                <w:rFonts w:asciiTheme="majorHAnsi" w:hAnsiTheme="majorHAnsi" w:cstheme="majorHAnsi"/>
                <w:lang w:val="es-ES"/>
              </w:rPr>
              <w:t xml:space="preserve"> es inherente al derecho.</w:t>
            </w:r>
          </w:p>
        </w:tc>
      </w:tr>
      <w:tr w:rsidR="000850AD" w:rsidRPr="00985FCA" w:rsidTr="000850AD">
        <w:tc>
          <w:tcPr>
            <w:tcW w:w="4247" w:type="dxa"/>
          </w:tcPr>
          <w:p w:rsidR="000850AD" w:rsidRPr="00F77275" w:rsidRDefault="005B2616"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Las reuniones pacíficas pueden tomar diversas formas, incluyendo manifestaciones, asambleas, procesiones, huelgas, mítines, sentadas y bailes multitudinarios.</w:t>
            </w:r>
          </w:p>
          <w:p w:rsidR="005B2616" w:rsidRPr="00F77275" w:rsidRDefault="005B2616"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6, segunda línea)</w:t>
            </w:r>
          </w:p>
        </w:tc>
        <w:tc>
          <w:tcPr>
            <w:tcW w:w="4247" w:type="dxa"/>
          </w:tcPr>
          <w:p w:rsidR="000850AD" w:rsidRPr="00F77275" w:rsidRDefault="0037653F" w:rsidP="00F77275">
            <w:pPr>
              <w:spacing w:before="120" w:after="120" w:line="240" w:lineRule="auto"/>
              <w:jc w:val="both"/>
              <w:rPr>
                <w:rFonts w:asciiTheme="majorHAnsi" w:hAnsiTheme="majorHAnsi" w:cstheme="majorHAnsi"/>
                <w:color w:val="4472C4" w:themeColor="accent5"/>
                <w:lang w:val="es-ES"/>
              </w:rPr>
            </w:pPr>
            <w:r w:rsidRPr="00F77275">
              <w:rPr>
                <w:rFonts w:asciiTheme="majorHAnsi" w:hAnsiTheme="majorHAnsi" w:cstheme="majorHAnsi"/>
                <w:lang w:val="es-ES"/>
              </w:rPr>
              <w:t xml:space="preserve">Las reuniones pacíficas pueden tomar diversas formas, incluyendo manifestaciones, asambleas, procesiones, huelgas, mítines, sentadas, bailes multitudinarios </w:t>
            </w:r>
            <w:r w:rsidRPr="00F77275">
              <w:rPr>
                <w:rFonts w:asciiTheme="majorHAnsi" w:hAnsiTheme="majorHAnsi" w:cstheme="majorHAnsi"/>
                <w:color w:val="4472C4" w:themeColor="accent5"/>
                <w:lang w:val="es-ES"/>
              </w:rPr>
              <w:t>y cualquier otra forma en que la que participe más de una persona.</w:t>
            </w:r>
          </w:p>
        </w:tc>
      </w:tr>
      <w:tr w:rsidR="00D61C5B" w:rsidRPr="00985FCA" w:rsidTr="000850AD">
        <w:tc>
          <w:tcPr>
            <w:tcW w:w="4247" w:type="dxa"/>
          </w:tcPr>
          <w:p w:rsidR="00F353CA" w:rsidRPr="00F77275" w:rsidRDefault="00F353CA" w:rsidP="00F77275">
            <w:pPr>
              <w:spacing w:before="120" w:after="120" w:line="240" w:lineRule="auto"/>
              <w:ind w:right="33"/>
              <w:jc w:val="both"/>
              <w:rPr>
                <w:rFonts w:asciiTheme="majorHAnsi" w:hAnsiTheme="majorHAnsi" w:cstheme="majorHAnsi"/>
                <w:lang w:val="es-ES"/>
              </w:rPr>
            </w:pPr>
            <w:r w:rsidRPr="00F77275">
              <w:rPr>
                <w:rFonts w:asciiTheme="majorHAnsi" w:hAnsiTheme="majorHAnsi" w:cstheme="majorHAnsi"/>
                <w:lang w:val="es-ES"/>
              </w:rPr>
              <w:t>El derecho de reunión pacífica no es absoluto, pero debe limitarse toda restricción. Existen, en efecto, límites a los límites que se pueden imponer.</w:t>
            </w:r>
          </w:p>
          <w:p w:rsidR="00D61C5B" w:rsidRPr="00F77275" w:rsidRDefault="00F353CA"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8, penúltima línea)</w:t>
            </w:r>
          </w:p>
        </w:tc>
        <w:tc>
          <w:tcPr>
            <w:tcW w:w="4247" w:type="dxa"/>
          </w:tcPr>
          <w:p w:rsidR="00D61C5B" w:rsidRPr="00F77275" w:rsidRDefault="00F353CA" w:rsidP="006456A0">
            <w:pPr>
              <w:spacing w:before="120" w:after="120" w:line="240" w:lineRule="auto"/>
              <w:ind w:right="33"/>
              <w:jc w:val="both"/>
              <w:rPr>
                <w:rFonts w:asciiTheme="majorHAnsi" w:hAnsiTheme="majorHAnsi" w:cstheme="majorHAnsi"/>
                <w:lang w:val="es-ES"/>
              </w:rPr>
            </w:pPr>
            <w:r w:rsidRPr="00F77275">
              <w:rPr>
                <w:rFonts w:asciiTheme="majorHAnsi" w:hAnsiTheme="majorHAnsi" w:cstheme="majorHAnsi"/>
                <w:lang w:val="es-ES"/>
              </w:rPr>
              <w:t xml:space="preserve">El derecho de reunión pacífica no es absoluto, toda restricción </w:t>
            </w:r>
            <w:r w:rsidRPr="00F77275">
              <w:rPr>
                <w:rFonts w:asciiTheme="majorHAnsi" w:hAnsiTheme="majorHAnsi" w:cstheme="majorHAnsi"/>
                <w:color w:val="4472C4" w:themeColor="accent5"/>
                <w:lang w:val="es-ES"/>
              </w:rPr>
              <w:t>debe ser excepcional</w:t>
            </w:r>
            <w:r w:rsidRPr="00F77275">
              <w:rPr>
                <w:rFonts w:asciiTheme="majorHAnsi" w:hAnsiTheme="majorHAnsi" w:cstheme="majorHAnsi"/>
                <w:lang w:val="es-ES"/>
              </w:rPr>
              <w:t xml:space="preserve">. Existen, en efecto, límites a </w:t>
            </w:r>
            <w:r w:rsidRPr="00F77275">
              <w:rPr>
                <w:rFonts w:asciiTheme="majorHAnsi" w:hAnsiTheme="majorHAnsi" w:cstheme="majorHAnsi"/>
                <w:color w:val="4472C4" w:themeColor="accent5"/>
                <w:lang w:val="es-ES"/>
              </w:rPr>
              <w:t xml:space="preserve">las restricciones </w:t>
            </w:r>
            <w:r w:rsidRPr="00F77275">
              <w:rPr>
                <w:rFonts w:asciiTheme="majorHAnsi" w:hAnsiTheme="majorHAnsi" w:cstheme="majorHAnsi"/>
                <w:lang w:val="es-ES"/>
              </w:rPr>
              <w:t>que se pueden imponer.</w:t>
            </w:r>
          </w:p>
        </w:tc>
      </w:tr>
      <w:tr w:rsidR="00D61C5B" w:rsidRPr="00985FCA" w:rsidTr="000850AD">
        <w:tc>
          <w:tcPr>
            <w:tcW w:w="4247" w:type="dxa"/>
          </w:tcPr>
          <w:p w:rsidR="00D61C5B" w:rsidRPr="00F77275" w:rsidRDefault="0068765D"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Esto, a su vez, puede afectar la forma en la que las autoridades abordan el derecho.</w:t>
            </w:r>
          </w:p>
          <w:p w:rsidR="0068765D" w:rsidRPr="00F77275" w:rsidRDefault="0068765D"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11, tercera línea)</w:t>
            </w:r>
          </w:p>
        </w:tc>
        <w:tc>
          <w:tcPr>
            <w:tcW w:w="4247" w:type="dxa"/>
          </w:tcPr>
          <w:p w:rsidR="00D61C5B" w:rsidRPr="00F77275" w:rsidRDefault="0068765D"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Esto, a su vez, puede afectar la forma en la que las autoridades abordan el derecho </w:t>
            </w:r>
            <w:r w:rsidRPr="00F77275">
              <w:rPr>
                <w:rFonts w:asciiTheme="majorHAnsi" w:hAnsiTheme="majorHAnsi" w:cstheme="majorHAnsi"/>
                <w:color w:val="4472C4" w:themeColor="accent5"/>
                <w:lang w:val="es-ES"/>
              </w:rPr>
              <w:t>y las personas lo ejercen</w:t>
            </w:r>
            <w:r w:rsidRPr="00F77275">
              <w:rPr>
                <w:rFonts w:asciiTheme="majorHAnsi" w:hAnsiTheme="majorHAnsi" w:cstheme="majorHAnsi"/>
                <w:lang w:val="es-ES"/>
              </w:rPr>
              <w:t>.</w:t>
            </w:r>
          </w:p>
        </w:tc>
      </w:tr>
      <w:tr w:rsidR="0068765D" w:rsidRPr="00985FCA" w:rsidTr="000850AD">
        <w:tc>
          <w:tcPr>
            <w:tcW w:w="4247" w:type="dxa"/>
          </w:tcPr>
          <w:p w:rsidR="0068765D" w:rsidRPr="00F77275" w:rsidRDefault="00CA1F0F"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La violencia cometida por las autoridades contra los participantes de una reunión pacífica no convierte la reunión por sí misma en violenta.</w:t>
            </w:r>
          </w:p>
          <w:p w:rsidR="00CA1F0F" w:rsidRPr="00F77275" w:rsidRDefault="00CA1F0F"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20, tercera línea)</w:t>
            </w:r>
          </w:p>
        </w:tc>
        <w:tc>
          <w:tcPr>
            <w:tcW w:w="4247" w:type="dxa"/>
          </w:tcPr>
          <w:p w:rsidR="0068765D" w:rsidRPr="00F77275" w:rsidRDefault="00CA1F0F"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La violencia </w:t>
            </w:r>
            <w:r w:rsidRPr="00F77275">
              <w:rPr>
                <w:rFonts w:asciiTheme="majorHAnsi" w:hAnsiTheme="majorHAnsi" w:cstheme="majorHAnsi"/>
                <w:color w:val="4472C4" w:themeColor="accent5"/>
                <w:lang w:val="es-ES"/>
              </w:rPr>
              <w:t xml:space="preserve">o uso desproporcional de la fuerza </w:t>
            </w:r>
            <w:r w:rsidRPr="00F77275">
              <w:rPr>
                <w:rFonts w:asciiTheme="majorHAnsi" w:hAnsiTheme="majorHAnsi" w:cstheme="majorHAnsi"/>
                <w:lang w:val="es-ES"/>
              </w:rPr>
              <w:t>cometida por las autoridades contra los participantes de una reunión pacífica no convierte la reunión por sí misma en violenta.</w:t>
            </w:r>
          </w:p>
        </w:tc>
      </w:tr>
      <w:tr w:rsidR="0068765D" w:rsidRPr="00985FCA" w:rsidTr="000850AD">
        <w:tc>
          <w:tcPr>
            <w:tcW w:w="4247" w:type="dxa"/>
          </w:tcPr>
          <w:p w:rsidR="0068765D" w:rsidRPr="00F77275" w:rsidRDefault="006D79CB"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Esto incluye el deber de proteger a los participantes de ataques homofóbicos, sexuales o de género.</w:t>
            </w:r>
          </w:p>
          <w:p w:rsidR="006D79CB" w:rsidRPr="00F77275" w:rsidRDefault="006D79CB"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28, penúltima línea)</w:t>
            </w:r>
          </w:p>
        </w:tc>
        <w:tc>
          <w:tcPr>
            <w:tcW w:w="4247" w:type="dxa"/>
          </w:tcPr>
          <w:p w:rsidR="0068765D" w:rsidRPr="00F77275" w:rsidRDefault="006D79CB"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Esto incluye el deber de proteger a los participantes de ataques homofóbicos, </w:t>
            </w:r>
            <w:r w:rsidRPr="00F77275">
              <w:rPr>
                <w:rFonts w:asciiTheme="majorHAnsi" w:hAnsiTheme="majorHAnsi" w:cstheme="majorHAnsi"/>
                <w:color w:val="4472C4" w:themeColor="accent5"/>
                <w:lang w:val="es-ES"/>
              </w:rPr>
              <w:t xml:space="preserve">xenófobos, </w:t>
            </w:r>
            <w:r w:rsidRPr="00F77275">
              <w:rPr>
                <w:rFonts w:asciiTheme="majorHAnsi" w:hAnsiTheme="majorHAnsi" w:cstheme="majorHAnsi"/>
                <w:lang w:val="es-ES"/>
              </w:rPr>
              <w:t>sexuales</w:t>
            </w:r>
            <w:r w:rsidRPr="00F77275">
              <w:rPr>
                <w:rFonts w:asciiTheme="majorHAnsi" w:hAnsiTheme="majorHAnsi" w:cstheme="majorHAnsi"/>
                <w:color w:val="4472C4" w:themeColor="accent5"/>
                <w:lang w:val="es-ES"/>
              </w:rPr>
              <w:t xml:space="preserve">, raciales, étnicos </w:t>
            </w:r>
            <w:r w:rsidRPr="00F77275">
              <w:rPr>
                <w:rFonts w:asciiTheme="majorHAnsi" w:hAnsiTheme="majorHAnsi" w:cstheme="majorHAnsi"/>
                <w:lang w:val="es-ES"/>
              </w:rPr>
              <w:t>o de género.</w:t>
            </w:r>
          </w:p>
        </w:tc>
      </w:tr>
      <w:tr w:rsidR="0068765D" w:rsidRPr="00985FCA" w:rsidTr="000850AD">
        <w:tc>
          <w:tcPr>
            <w:tcW w:w="4247" w:type="dxa"/>
          </w:tcPr>
          <w:p w:rsidR="0068765D" w:rsidRPr="00F77275" w:rsidRDefault="0018535F"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lastRenderedPageBreak/>
              <w:t>El papel de los periodistas, de los defensores de derechos humanos y de otras personas que participan en la observación …</w:t>
            </w:r>
          </w:p>
          <w:p w:rsidR="0018535F" w:rsidRPr="00F77275" w:rsidRDefault="0018535F"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34, primera línea)</w:t>
            </w:r>
          </w:p>
        </w:tc>
        <w:tc>
          <w:tcPr>
            <w:tcW w:w="4247" w:type="dxa"/>
          </w:tcPr>
          <w:p w:rsidR="0068765D" w:rsidRPr="00F77275" w:rsidRDefault="0018535F"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El papel de los periodistas, de </w:t>
            </w:r>
            <w:r w:rsidRPr="00F77275">
              <w:rPr>
                <w:rFonts w:asciiTheme="majorHAnsi" w:hAnsiTheme="majorHAnsi" w:cstheme="majorHAnsi"/>
                <w:color w:val="4472C4" w:themeColor="accent5"/>
                <w:lang w:val="es-ES"/>
              </w:rPr>
              <w:t>las personas que defienden</w:t>
            </w:r>
            <w:r w:rsidRPr="00F77275">
              <w:rPr>
                <w:rFonts w:asciiTheme="majorHAnsi" w:hAnsiTheme="majorHAnsi" w:cstheme="majorHAnsi"/>
                <w:lang w:val="es-ES"/>
              </w:rPr>
              <w:t xml:space="preserve"> derechos humanos y de otras personas que participan en la observación …</w:t>
            </w:r>
          </w:p>
        </w:tc>
      </w:tr>
      <w:tr w:rsidR="0068765D" w:rsidRPr="00985FCA" w:rsidTr="000850AD">
        <w:tc>
          <w:tcPr>
            <w:tcW w:w="4247" w:type="dxa"/>
          </w:tcPr>
          <w:p w:rsidR="00D66170" w:rsidRPr="00F77275" w:rsidRDefault="00D66170"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Por lo tanto, es importante disponer de los conocimientos y experiencia necesaria a nivel local.</w:t>
            </w:r>
          </w:p>
          <w:p w:rsidR="0068765D" w:rsidRPr="00F77275" w:rsidRDefault="00D66170"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39, penúltima línea)</w:t>
            </w:r>
          </w:p>
        </w:tc>
        <w:tc>
          <w:tcPr>
            <w:tcW w:w="4247" w:type="dxa"/>
          </w:tcPr>
          <w:p w:rsidR="0068765D" w:rsidRPr="00F77275" w:rsidRDefault="00D66170"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Por lo tanto, es importante disponer de los conocimientos y experiencia necesaria </w:t>
            </w:r>
            <w:r w:rsidRPr="00F77275">
              <w:rPr>
                <w:rFonts w:asciiTheme="majorHAnsi" w:hAnsiTheme="majorHAnsi" w:cstheme="majorHAnsi"/>
                <w:color w:val="4472C4" w:themeColor="accent5"/>
                <w:lang w:val="es-ES"/>
              </w:rPr>
              <w:t xml:space="preserve">en todos los niveles de organización, especialmente </w:t>
            </w:r>
            <w:r w:rsidRPr="00F77275">
              <w:rPr>
                <w:rFonts w:asciiTheme="majorHAnsi" w:hAnsiTheme="majorHAnsi" w:cstheme="majorHAnsi"/>
                <w:lang w:val="es-ES"/>
              </w:rPr>
              <w:t>a nivel local.</w:t>
            </w:r>
          </w:p>
        </w:tc>
      </w:tr>
      <w:tr w:rsidR="0068765D" w:rsidRPr="00985FCA" w:rsidTr="000850AD">
        <w:tc>
          <w:tcPr>
            <w:tcW w:w="4247" w:type="dxa"/>
          </w:tcPr>
          <w:p w:rsidR="0068765D" w:rsidRPr="00F77275" w:rsidRDefault="005A0AE4" w:rsidP="00F77275">
            <w:pPr>
              <w:spacing w:before="120" w:after="120" w:line="240" w:lineRule="auto"/>
              <w:jc w:val="both"/>
              <w:rPr>
                <w:rFonts w:asciiTheme="majorHAnsi" w:hAnsiTheme="majorHAnsi" w:cstheme="majorHAnsi"/>
                <w:color w:val="000000"/>
                <w:lang w:val="es-ES"/>
              </w:rPr>
            </w:pPr>
            <w:r w:rsidRPr="00F77275">
              <w:rPr>
                <w:rFonts w:asciiTheme="majorHAnsi" w:hAnsiTheme="majorHAnsi" w:cstheme="majorHAnsi"/>
                <w:color w:val="000000"/>
                <w:lang w:val="es-ES"/>
              </w:rPr>
              <w:t>Así, las restricciones deben imponerse por medio de la ley o mediante acciones administrativas de conformidad con la ley.</w:t>
            </w:r>
          </w:p>
          <w:p w:rsidR="005A0AE4" w:rsidRPr="00F77275" w:rsidRDefault="005A0AE4"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color w:val="000000"/>
                <w:lang w:val="es-ES"/>
              </w:rPr>
              <w:t>(Párrafo 44, cuarta y quinta líneas)</w:t>
            </w:r>
          </w:p>
        </w:tc>
        <w:tc>
          <w:tcPr>
            <w:tcW w:w="4247" w:type="dxa"/>
          </w:tcPr>
          <w:p w:rsidR="0068765D" w:rsidRPr="00F77275" w:rsidRDefault="005A0AE4"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color w:val="000000"/>
                <w:lang w:val="es-ES"/>
              </w:rPr>
              <w:t xml:space="preserve">Así, las restricciones deben imponerse por medio de la ley o mediante acciones administrativas </w:t>
            </w:r>
            <w:r w:rsidRPr="00F77275">
              <w:rPr>
                <w:rFonts w:asciiTheme="majorHAnsi" w:hAnsiTheme="majorHAnsi" w:cstheme="majorHAnsi"/>
                <w:color w:val="4472C4" w:themeColor="accent5"/>
                <w:lang w:val="es-ES"/>
              </w:rPr>
              <w:t>con esa naturaleza</w:t>
            </w:r>
            <w:r w:rsidRPr="00F77275">
              <w:rPr>
                <w:rFonts w:asciiTheme="majorHAnsi" w:hAnsiTheme="majorHAnsi" w:cstheme="majorHAnsi"/>
                <w:color w:val="000000"/>
                <w:lang w:val="es-ES"/>
              </w:rPr>
              <w:t xml:space="preserve"> de conformidad con </w:t>
            </w:r>
            <w:r w:rsidRPr="00F77275">
              <w:rPr>
                <w:rFonts w:asciiTheme="majorHAnsi" w:hAnsiTheme="majorHAnsi" w:cstheme="majorHAnsi"/>
                <w:color w:val="4472C4" w:themeColor="accent5"/>
                <w:lang w:val="es-ES"/>
              </w:rPr>
              <w:t>el ordenamiento jurídico</w:t>
            </w:r>
            <w:r w:rsidR="00A5785A" w:rsidRPr="00F77275">
              <w:rPr>
                <w:rFonts w:asciiTheme="majorHAnsi" w:hAnsiTheme="majorHAnsi" w:cstheme="majorHAnsi"/>
                <w:color w:val="4472C4" w:themeColor="accent5"/>
                <w:lang w:val="es-ES"/>
              </w:rPr>
              <w:t xml:space="preserve"> nacional</w:t>
            </w:r>
            <w:r w:rsidRPr="00F77275">
              <w:rPr>
                <w:rFonts w:asciiTheme="majorHAnsi" w:hAnsiTheme="majorHAnsi" w:cstheme="majorHAnsi"/>
                <w:color w:val="000000"/>
                <w:lang w:val="es-ES"/>
              </w:rPr>
              <w:t>.</w:t>
            </w:r>
          </w:p>
        </w:tc>
      </w:tr>
      <w:tr w:rsidR="005A0AE4" w:rsidRPr="00985FCA" w:rsidTr="000850AD">
        <w:tc>
          <w:tcPr>
            <w:tcW w:w="4247" w:type="dxa"/>
          </w:tcPr>
          <w:p w:rsidR="005A0AE4" w:rsidRPr="00F77275" w:rsidRDefault="00B1384A" w:rsidP="00F77275">
            <w:pPr>
              <w:spacing w:before="120" w:after="120" w:line="240" w:lineRule="auto"/>
              <w:jc w:val="both"/>
              <w:rPr>
                <w:rFonts w:asciiTheme="majorHAnsi" w:hAnsiTheme="majorHAnsi" w:cstheme="majorHAnsi"/>
                <w:color w:val="000000"/>
                <w:lang w:val="es-ES"/>
              </w:rPr>
            </w:pPr>
            <w:r w:rsidRPr="00F77275">
              <w:rPr>
                <w:rFonts w:asciiTheme="majorHAnsi" w:hAnsiTheme="majorHAnsi" w:cstheme="majorHAnsi"/>
                <w:lang w:val="es-ES"/>
              </w:rPr>
              <w:t>“…</w:t>
            </w:r>
            <w:r w:rsidRPr="00F77275">
              <w:rPr>
                <w:rFonts w:asciiTheme="majorHAnsi" w:hAnsiTheme="majorHAnsi" w:cstheme="majorHAnsi"/>
                <w:color w:val="000000"/>
                <w:lang w:val="es-ES"/>
              </w:rPr>
              <w:t>y no pueden conferir una discrecionalidad ilimitada o total a los encargados de su ejecución.”</w:t>
            </w:r>
          </w:p>
          <w:p w:rsidR="00B1384A" w:rsidRPr="00F77275" w:rsidRDefault="00B1384A"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color w:val="000000"/>
                <w:lang w:val="es-ES"/>
              </w:rPr>
              <w:t>(Párrafo 44, penúltima línea)</w:t>
            </w:r>
          </w:p>
        </w:tc>
        <w:tc>
          <w:tcPr>
            <w:tcW w:w="4247" w:type="dxa"/>
          </w:tcPr>
          <w:p w:rsidR="005A0AE4" w:rsidRPr="00AF5237" w:rsidRDefault="00B1384A" w:rsidP="00F77275">
            <w:pPr>
              <w:spacing w:before="120" w:after="120" w:line="240" w:lineRule="auto"/>
              <w:jc w:val="both"/>
              <w:rPr>
                <w:rFonts w:asciiTheme="majorHAnsi" w:hAnsiTheme="majorHAnsi" w:cstheme="majorHAnsi"/>
                <w:color w:val="000000"/>
                <w:lang w:val="es-ES"/>
              </w:rPr>
            </w:pPr>
            <w:r w:rsidRPr="00F77275">
              <w:rPr>
                <w:rFonts w:asciiTheme="majorHAnsi" w:hAnsiTheme="majorHAnsi" w:cstheme="majorHAnsi"/>
                <w:lang w:val="es-ES"/>
              </w:rPr>
              <w:t>“…</w:t>
            </w:r>
            <w:r w:rsidRPr="00F77275">
              <w:rPr>
                <w:rFonts w:asciiTheme="majorHAnsi" w:hAnsiTheme="majorHAnsi" w:cstheme="majorHAnsi"/>
                <w:color w:val="000000"/>
                <w:lang w:val="es-ES"/>
              </w:rPr>
              <w:t xml:space="preserve">y no pueden conferir una discrecionalidad ilimitada o total a </w:t>
            </w:r>
            <w:r w:rsidRPr="00F77275">
              <w:rPr>
                <w:rFonts w:asciiTheme="majorHAnsi" w:hAnsiTheme="majorHAnsi" w:cstheme="majorHAnsi"/>
                <w:color w:val="4472C4" w:themeColor="accent5"/>
                <w:lang w:val="es-ES"/>
              </w:rPr>
              <w:t>las autoridades</w:t>
            </w:r>
            <w:r w:rsidRPr="00F77275">
              <w:rPr>
                <w:rFonts w:asciiTheme="majorHAnsi" w:hAnsiTheme="majorHAnsi" w:cstheme="majorHAnsi"/>
                <w:color w:val="000000"/>
                <w:lang w:val="es-ES"/>
              </w:rPr>
              <w:t xml:space="preserve"> </w:t>
            </w:r>
            <w:r w:rsidRPr="00F77275">
              <w:rPr>
                <w:rFonts w:asciiTheme="majorHAnsi" w:hAnsiTheme="majorHAnsi" w:cstheme="majorHAnsi"/>
                <w:lang w:val="es-ES"/>
              </w:rPr>
              <w:t>encargad</w:t>
            </w:r>
            <w:r w:rsidRPr="00F77275">
              <w:rPr>
                <w:rFonts w:asciiTheme="majorHAnsi" w:hAnsiTheme="majorHAnsi" w:cstheme="majorHAnsi"/>
                <w:color w:val="4472C4" w:themeColor="accent5"/>
                <w:lang w:val="es-ES"/>
              </w:rPr>
              <w:t>a</w:t>
            </w:r>
            <w:r w:rsidRPr="00F77275">
              <w:rPr>
                <w:rFonts w:asciiTheme="majorHAnsi" w:hAnsiTheme="majorHAnsi" w:cstheme="majorHAnsi"/>
                <w:lang w:val="es-ES"/>
              </w:rPr>
              <w:t>s</w:t>
            </w:r>
            <w:r w:rsidRPr="00F77275">
              <w:rPr>
                <w:rFonts w:asciiTheme="majorHAnsi" w:hAnsiTheme="majorHAnsi" w:cstheme="majorHAnsi"/>
                <w:color w:val="000000"/>
                <w:lang w:val="es-ES"/>
              </w:rPr>
              <w:t xml:space="preserve"> de su ejecución.”</w:t>
            </w:r>
          </w:p>
        </w:tc>
      </w:tr>
      <w:tr w:rsidR="005A0AE4" w:rsidRPr="00985FCA" w:rsidTr="000850AD">
        <w:tc>
          <w:tcPr>
            <w:tcW w:w="4247" w:type="dxa"/>
          </w:tcPr>
          <w:p w:rsidR="005A0AE4" w:rsidRPr="00F77275" w:rsidRDefault="00FF5693" w:rsidP="00F77275">
            <w:pPr>
              <w:spacing w:before="120" w:after="120" w:line="240" w:lineRule="auto"/>
              <w:jc w:val="both"/>
              <w:rPr>
                <w:rFonts w:asciiTheme="majorHAnsi" w:hAnsiTheme="majorHAnsi" w:cstheme="majorHAnsi"/>
                <w:color w:val="000000"/>
                <w:lang w:val="es-ES"/>
              </w:rPr>
            </w:pPr>
            <w:r w:rsidRPr="00F77275">
              <w:rPr>
                <w:rFonts w:asciiTheme="majorHAnsi" w:hAnsiTheme="majorHAnsi" w:cstheme="majorHAnsi"/>
                <w:color w:val="000000"/>
                <w:lang w:val="es-ES"/>
              </w:rPr>
              <w:t>La protección del derecho a la vida, el derecho a no ser sometido a malos tratos, a la circulación …</w:t>
            </w:r>
          </w:p>
          <w:p w:rsidR="00FF5693" w:rsidRPr="00F77275" w:rsidRDefault="00FF5693"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color w:val="000000"/>
                <w:lang w:val="es-ES"/>
              </w:rPr>
              <w:t>(Párrafo 53, cuarta línea)</w:t>
            </w:r>
          </w:p>
        </w:tc>
        <w:tc>
          <w:tcPr>
            <w:tcW w:w="4247" w:type="dxa"/>
          </w:tcPr>
          <w:p w:rsidR="005A0AE4" w:rsidRPr="00F77275" w:rsidRDefault="00FF5693"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color w:val="000000"/>
                <w:lang w:val="es-ES"/>
              </w:rPr>
              <w:t xml:space="preserve">La protección del derecho a la vida, el derecho a no ser sometido a malos tratos, </w:t>
            </w:r>
            <w:r w:rsidRPr="00F77275">
              <w:rPr>
                <w:rFonts w:asciiTheme="majorHAnsi" w:hAnsiTheme="majorHAnsi" w:cstheme="majorHAnsi"/>
                <w:color w:val="4472C4" w:themeColor="accent5"/>
                <w:lang w:val="es-ES"/>
              </w:rPr>
              <w:t xml:space="preserve">a no ser discriminado, </w:t>
            </w:r>
            <w:r w:rsidRPr="00F77275">
              <w:rPr>
                <w:rFonts w:asciiTheme="majorHAnsi" w:hAnsiTheme="majorHAnsi" w:cstheme="majorHAnsi"/>
                <w:color w:val="000000"/>
                <w:lang w:val="es-ES"/>
              </w:rPr>
              <w:t>a la circulación …</w:t>
            </w:r>
          </w:p>
        </w:tc>
      </w:tr>
      <w:tr w:rsidR="005A0AE4" w:rsidRPr="00985FCA" w:rsidTr="000850AD">
        <w:tc>
          <w:tcPr>
            <w:tcW w:w="4247" w:type="dxa"/>
          </w:tcPr>
          <w:p w:rsidR="005A0AE4" w:rsidRPr="00F77275" w:rsidRDefault="009C57BE"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también con respecto al derecho a la privacidad y nunca debe tener por objeto intimidar o acusar a los (posibles) participantes en las reuniones.</w:t>
            </w:r>
          </w:p>
          <w:p w:rsidR="009C57BE" w:rsidRPr="00F77275" w:rsidRDefault="009C57BE"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71, séptima línea)</w:t>
            </w:r>
          </w:p>
        </w:tc>
        <w:tc>
          <w:tcPr>
            <w:tcW w:w="4247" w:type="dxa"/>
          </w:tcPr>
          <w:p w:rsidR="009C57BE" w:rsidRPr="00F77275" w:rsidRDefault="009C57BE"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 también con respecto al derecho a la privacidad y nunca debe tener por objeto intimidar o </w:t>
            </w:r>
            <w:r w:rsidRPr="00F77275">
              <w:rPr>
                <w:rFonts w:asciiTheme="majorHAnsi" w:hAnsiTheme="majorHAnsi" w:cstheme="majorHAnsi"/>
                <w:color w:val="4472C4" w:themeColor="accent5"/>
                <w:lang w:val="es-ES"/>
              </w:rPr>
              <w:t>servir de base para formular acusaciones</w:t>
            </w:r>
            <w:r w:rsidRPr="00F77275">
              <w:rPr>
                <w:rFonts w:asciiTheme="majorHAnsi" w:hAnsiTheme="majorHAnsi" w:cstheme="majorHAnsi"/>
                <w:lang w:val="es-ES"/>
              </w:rPr>
              <w:t xml:space="preserve"> a los (posibles) participantes en las reuniones.</w:t>
            </w:r>
          </w:p>
          <w:p w:rsidR="005A0AE4" w:rsidRPr="00F77275" w:rsidRDefault="005A0AE4" w:rsidP="00F77275">
            <w:pPr>
              <w:spacing w:before="120" w:after="120" w:line="240" w:lineRule="auto"/>
              <w:jc w:val="both"/>
              <w:rPr>
                <w:rFonts w:asciiTheme="majorHAnsi" w:hAnsiTheme="majorHAnsi" w:cstheme="majorHAnsi"/>
                <w:lang w:val="es-ES"/>
              </w:rPr>
            </w:pPr>
          </w:p>
        </w:tc>
      </w:tr>
      <w:tr w:rsidR="00195330" w:rsidRPr="00985FCA" w:rsidTr="000850AD">
        <w:tc>
          <w:tcPr>
            <w:tcW w:w="4247" w:type="dxa"/>
          </w:tcPr>
          <w:p w:rsidR="00195330" w:rsidRPr="00F77275" w:rsidRDefault="00F27EC7"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solo por su propia conducta.</w:t>
            </w:r>
          </w:p>
          <w:p w:rsidR="00F27EC7" w:rsidRPr="00F77275" w:rsidRDefault="00F27EC7"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75, tercera línea)</w:t>
            </w:r>
          </w:p>
        </w:tc>
        <w:tc>
          <w:tcPr>
            <w:tcW w:w="4247" w:type="dxa"/>
          </w:tcPr>
          <w:p w:rsidR="00F27EC7" w:rsidRPr="00F77275" w:rsidRDefault="00F27EC7"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 solo por su propia conducta </w:t>
            </w:r>
            <w:r w:rsidRPr="00F77275">
              <w:rPr>
                <w:rFonts w:asciiTheme="majorHAnsi" w:hAnsiTheme="majorHAnsi" w:cstheme="majorHAnsi"/>
                <w:color w:val="4472C4" w:themeColor="accent5"/>
                <w:lang w:val="es-ES"/>
              </w:rPr>
              <w:t>y no por su participación en una reunión pacífica</w:t>
            </w:r>
            <w:r w:rsidRPr="00F77275">
              <w:rPr>
                <w:rFonts w:asciiTheme="majorHAnsi" w:hAnsiTheme="majorHAnsi" w:cstheme="majorHAnsi"/>
                <w:lang w:val="es-ES"/>
              </w:rPr>
              <w:t>.</w:t>
            </w:r>
          </w:p>
          <w:p w:rsidR="00195330" w:rsidRPr="00F77275" w:rsidRDefault="00195330" w:rsidP="00F77275">
            <w:pPr>
              <w:spacing w:before="120" w:after="120" w:line="240" w:lineRule="auto"/>
              <w:jc w:val="both"/>
              <w:rPr>
                <w:rFonts w:asciiTheme="majorHAnsi" w:hAnsiTheme="majorHAnsi" w:cstheme="majorHAnsi"/>
                <w:lang w:val="es-ES"/>
              </w:rPr>
            </w:pPr>
          </w:p>
        </w:tc>
      </w:tr>
      <w:tr w:rsidR="000850AD" w:rsidRPr="00985FCA" w:rsidTr="000850AD">
        <w:tc>
          <w:tcPr>
            <w:tcW w:w="4247" w:type="dxa"/>
          </w:tcPr>
          <w:p w:rsidR="007F14B9" w:rsidRPr="00F77275" w:rsidRDefault="007F14B9"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No debe ser excesivamente largo, pero debe conceder tiempo suficiente para poder recurrir a los tribunales para impugnar las restricciones si fuera necesario. </w:t>
            </w:r>
          </w:p>
          <w:p w:rsidR="000850AD" w:rsidRPr="00F77275" w:rsidRDefault="007F14B9"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83, ultima parte)</w:t>
            </w:r>
          </w:p>
        </w:tc>
        <w:tc>
          <w:tcPr>
            <w:tcW w:w="4247" w:type="dxa"/>
          </w:tcPr>
          <w:p w:rsidR="007F14B9" w:rsidRPr="00F77275" w:rsidRDefault="007F14B9" w:rsidP="00F77275">
            <w:pPr>
              <w:spacing w:before="120" w:after="120" w:line="240" w:lineRule="auto"/>
              <w:jc w:val="both"/>
              <w:rPr>
                <w:rFonts w:asciiTheme="majorHAnsi" w:hAnsiTheme="majorHAnsi" w:cstheme="majorHAnsi"/>
                <w:color w:val="4472C4" w:themeColor="accent5"/>
                <w:lang w:val="es-ES"/>
              </w:rPr>
            </w:pPr>
            <w:r w:rsidRPr="00F77275">
              <w:rPr>
                <w:rFonts w:asciiTheme="majorHAnsi" w:hAnsiTheme="majorHAnsi" w:cstheme="majorHAnsi"/>
                <w:lang w:val="es-ES"/>
              </w:rPr>
              <w:t xml:space="preserve">No debe ser excesivamente largo, pero debe conceder tiempo suficiente para poder recurrir a los tribunales para impugnar las restricciones si fuera necesario. </w:t>
            </w:r>
            <w:r w:rsidRPr="00F77275">
              <w:rPr>
                <w:rFonts w:asciiTheme="majorHAnsi" w:hAnsiTheme="majorHAnsi" w:cstheme="majorHAnsi"/>
                <w:color w:val="4472C4" w:themeColor="accent5"/>
                <w:lang w:val="es-ES"/>
              </w:rPr>
              <w:t xml:space="preserve">Los tribunales deben resolver en un plazo razonable a fin de que no se ponga en riesgo el ejercicio del derecho de reunión. </w:t>
            </w:r>
          </w:p>
          <w:p w:rsidR="000850AD" w:rsidRPr="00F77275" w:rsidRDefault="000850AD" w:rsidP="00F77275">
            <w:pPr>
              <w:spacing w:before="120" w:after="120" w:line="240" w:lineRule="auto"/>
              <w:jc w:val="both"/>
              <w:rPr>
                <w:rFonts w:asciiTheme="majorHAnsi" w:hAnsiTheme="majorHAnsi" w:cstheme="majorHAnsi"/>
                <w:lang w:val="es-ES"/>
              </w:rPr>
            </w:pPr>
          </w:p>
        </w:tc>
      </w:tr>
      <w:tr w:rsidR="00971081" w:rsidRPr="00985FCA" w:rsidTr="000850AD">
        <w:tc>
          <w:tcPr>
            <w:tcW w:w="4247" w:type="dxa"/>
          </w:tcPr>
          <w:p w:rsidR="00971081" w:rsidRPr="00F77275" w:rsidRDefault="004F342F"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asegurando la identificación de los funcionarios encargados de hacer cumplir la ley …</w:t>
            </w:r>
          </w:p>
          <w:p w:rsidR="004F342F" w:rsidRPr="00F77275" w:rsidRDefault="004F342F"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88, penúltima línea)</w:t>
            </w:r>
          </w:p>
        </w:tc>
        <w:tc>
          <w:tcPr>
            <w:tcW w:w="4247" w:type="dxa"/>
          </w:tcPr>
          <w:p w:rsidR="00971081" w:rsidRPr="00F77275" w:rsidRDefault="004F342F"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 asegurando la identificación </w:t>
            </w:r>
            <w:r w:rsidRPr="00F77275">
              <w:rPr>
                <w:rFonts w:asciiTheme="majorHAnsi" w:hAnsiTheme="majorHAnsi" w:cstheme="majorHAnsi"/>
                <w:color w:val="4472C4" w:themeColor="accent5"/>
                <w:lang w:val="es-ES"/>
              </w:rPr>
              <w:t xml:space="preserve">visible </w:t>
            </w:r>
            <w:r w:rsidRPr="00F77275">
              <w:rPr>
                <w:rFonts w:asciiTheme="majorHAnsi" w:hAnsiTheme="majorHAnsi" w:cstheme="majorHAnsi"/>
                <w:lang w:val="es-ES"/>
              </w:rPr>
              <w:t>de los funcionarios encargados de hacer cumplir la ley …</w:t>
            </w:r>
          </w:p>
        </w:tc>
      </w:tr>
      <w:tr w:rsidR="00971081" w:rsidRPr="00985FCA" w:rsidTr="000850AD">
        <w:tc>
          <w:tcPr>
            <w:tcW w:w="4247" w:type="dxa"/>
          </w:tcPr>
          <w:p w:rsidR="00971081" w:rsidRPr="00F77275" w:rsidRDefault="00CE5299"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Por regla general, no se debe utilizar a militares para mantener el orden en reuniones.</w:t>
            </w:r>
          </w:p>
          <w:p w:rsidR="00CE5299" w:rsidRPr="00F77275" w:rsidRDefault="00CE5299"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92, tercera línea)</w:t>
            </w:r>
          </w:p>
        </w:tc>
        <w:tc>
          <w:tcPr>
            <w:tcW w:w="4247" w:type="dxa"/>
          </w:tcPr>
          <w:p w:rsidR="00971081" w:rsidRPr="00F77275" w:rsidRDefault="00CE5299"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Por regla general, no se debe utilizar a militares </w:t>
            </w:r>
            <w:r w:rsidRPr="00F77275">
              <w:rPr>
                <w:rFonts w:asciiTheme="majorHAnsi" w:hAnsiTheme="majorHAnsi" w:cstheme="majorHAnsi"/>
                <w:color w:val="4472C4" w:themeColor="accent5"/>
                <w:lang w:val="es-ES"/>
              </w:rPr>
              <w:t xml:space="preserve">o cuerpos de esa naturaleza con funciones policiales </w:t>
            </w:r>
            <w:r w:rsidRPr="00F77275">
              <w:rPr>
                <w:rFonts w:asciiTheme="majorHAnsi" w:hAnsiTheme="majorHAnsi" w:cstheme="majorHAnsi"/>
                <w:lang w:val="es-ES"/>
              </w:rPr>
              <w:t>para mantener el orden en reuniones.</w:t>
            </w:r>
          </w:p>
        </w:tc>
      </w:tr>
      <w:tr w:rsidR="00E56EB1" w:rsidRPr="00985FCA" w:rsidTr="000850AD">
        <w:tc>
          <w:tcPr>
            <w:tcW w:w="4247" w:type="dxa"/>
          </w:tcPr>
          <w:p w:rsidR="00E56EB1" w:rsidRPr="00F77275" w:rsidRDefault="00E56EB1"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lastRenderedPageBreak/>
              <w:t>No deben usarse de forma discriminatoria.</w:t>
            </w:r>
          </w:p>
          <w:p w:rsidR="00E56EB1" w:rsidRPr="00F77275" w:rsidRDefault="00E56EB1"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94, cuarta línea)</w:t>
            </w:r>
          </w:p>
        </w:tc>
        <w:tc>
          <w:tcPr>
            <w:tcW w:w="4247" w:type="dxa"/>
          </w:tcPr>
          <w:p w:rsidR="00E56EB1" w:rsidRPr="00F77275" w:rsidRDefault="00E56EB1"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No deben usarse de forma discriminatoria </w:t>
            </w:r>
            <w:r w:rsidRPr="00F77275">
              <w:rPr>
                <w:rFonts w:asciiTheme="majorHAnsi" w:hAnsiTheme="majorHAnsi" w:cstheme="majorHAnsi"/>
                <w:color w:val="4472C4" w:themeColor="accent5"/>
                <w:lang w:val="es-ES"/>
              </w:rPr>
              <w:t>ni en aplicación de identificaciones por perfil étnico o racial</w:t>
            </w:r>
            <w:r w:rsidRPr="00F77275">
              <w:rPr>
                <w:rFonts w:asciiTheme="majorHAnsi" w:hAnsiTheme="majorHAnsi" w:cstheme="majorHAnsi"/>
                <w:lang w:val="es-ES"/>
              </w:rPr>
              <w:t>.</w:t>
            </w:r>
          </w:p>
        </w:tc>
      </w:tr>
      <w:tr w:rsidR="007D7861" w:rsidRPr="00985FCA" w:rsidTr="000850AD">
        <w:tc>
          <w:tcPr>
            <w:tcW w:w="4247" w:type="dxa"/>
          </w:tcPr>
          <w:p w:rsidR="007D7861" w:rsidRPr="00F77275" w:rsidRDefault="00815FF6"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El Estado, en virtud del derecho internacional, es responsable de las acciones y omisiones de sus organismos encargados de hacer cumplir la ley y debe fomentar una cultura de la rendición de cuentas para los funcionarios encargados de hacer cumplir la ley durante las reuniones. Para mejorar la rendición de cuentas, los funcionarios encargados de hacer cumplir la ley uniformados siempre deben mostrar una forma de identificación durante las reuniones.</w:t>
            </w:r>
          </w:p>
          <w:p w:rsidR="00815FF6" w:rsidRPr="00F77275" w:rsidRDefault="00815FF6"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100)</w:t>
            </w:r>
          </w:p>
        </w:tc>
        <w:tc>
          <w:tcPr>
            <w:tcW w:w="4247" w:type="dxa"/>
          </w:tcPr>
          <w:p w:rsidR="007D7861" w:rsidRPr="00F77275" w:rsidRDefault="00815FF6"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El Estado, en virtud del derecho internacional, es responsable de las acciones y omisiones de sus </w:t>
            </w:r>
            <w:r w:rsidRPr="00F77275">
              <w:rPr>
                <w:rFonts w:asciiTheme="majorHAnsi" w:hAnsiTheme="majorHAnsi" w:cstheme="majorHAnsi"/>
                <w:color w:val="4472C4" w:themeColor="accent5"/>
                <w:lang w:val="es-ES"/>
              </w:rPr>
              <w:t xml:space="preserve">funcionarios y </w:t>
            </w:r>
            <w:r w:rsidRPr="00F77275">
              <w:rPr>
                <w:rFonts w:asciiTheme="majorHAnsi" w:hAnsiTheme="majorHAnsi" w:cstheme="majorHAnsi"/>
                <w:lang w:val="es-ES"/>
              </w:rPr>
              <w:t xml:space="preserve">organismos encargados de hacer cumplir la ley y debe fomentar una cultura de la rendición de cuentas para los funcionarios encargados de hacer cumplir la ley durante las reuniones. Para mejorar la rendición de cuentas, los funcionarios encargados de hacer cumplir la ley uniformados siempre deben mostrar una forma de identificación </w:t>
            </w:r>
            <w:r w:rsidRPr="00F77275">
              <w:rPr>
                <w:rFonts w:asciiTheme="majorHAnsi" w:hAnsiTheme="majorHAnsi" w:cstheme="majorHAnsi"/>
                <w:color w:val="4472C4" w:themeColor="accent5"/>
                <w:lang w:val="es-ES"/>
              </w:rPr>
              <w:t xml:space="preserve">visible </w:t>
            </w:r>
            <w:r w:rsidRPr="00F77275">
              <w:rPr>
                <w:rFonts w:asciiTheme="majorHAnsi" w:hAnsiTheme="majorHAnsi" w:cstheme="majorHAnsi"/>
                <w:lang w:val="es-ES"/>
              </w:rPr>
              <w:t>durante las reuniones.</w:t>
            </w:r>
          </w:p>
        </w:tc>
      </w:tr>
      <w:tr w:rsidR="009C5BF5" w:rsidRPr="00985FCA" w:rsidTr="000850AD">
        <w:tc>
          <w:tcPr>
            <w:tcW w:w="4247" w:type="dxa"/>
          </w:tcPr>
          <w:p w:rsidR="009C5BF5" w:rsidRPr="00F77275" w:rsidRDefault="009C5BF5" w:rsidP="00F77275">
            <w:pPr>
              <w:suppressAutoHyphens w:val="0"/>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Se pueden comprometer el derecho a la vida (art, 6) y el derecho a no ser sometido a tratos crueles, inhumanos o degradantes (art. 7) si los funcionarios encargados de hacer cumplir la ley hacen un uso excesivo de la fuerza. </w:t>
            </w:r>
          </w:p>
          <w:p w:rsidR="009C5BF5" w:rsidRPr="00F77275" w:rsidRDefault="009C5BF5" w:rsidP="00F77275">
            <w:pPr>
              <w:suppressAutoHyphens w:val="0"/>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111, segunda línea)</w:t>
            </w:r>
          </w:p>
        </w:tc>
        <w:tc>
          <w:tcPr>
            <w:tcW w:w="4247" w:type="dxa"/>
          </w:tcPr>
          <w:p w:rsidR="009C5BF5" w:rsidRPr="00F77275" w:rsidRDefault="009C5BF5" w:rsidP="006456A0">
            <w:pPr>
              <w:suppressAutoHyphens w:val="0"/>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Se pueden comprometer el derecho a la vida (art, 6)</w:t>
            </w:r>
            <w:r w:rsidRPr="00F77275">
              <w:rPr>
                <w:rFonts w:asciiTheme="majorHAnsi" w:hAnsiTheme="majorHAnsi" w:cstheme="majorHAnsi"/>
                <w:color w:val="4472C4" w:themeColor="accent5"/>
                <w:lang w:val="es-ES"/>
              </w:rPr>
              <w:t>,</w:t>
            </w:r>
            <w:r w:rsidRPr="00F77275">
              <w:rPr>
                <w:rFonts w:asciiTheme="majorHAnsi" w:hAnsiTheme="majorHAnsi" w:cstheme="majorHAnsi"/>
                <w:lang w:val="es-ES"/>
              </w:rPr>
              <w:t xml:space="preserve"> el derecho a no ser sometido a tratos crueles, inhumanos o degradantes (art. 7)</w:t>
            </w:r>
            <w:r w:rsidR="00771722" w:rsidRPr="00F77275">
              <w:rPr>
                <w:rFonts w:asciiTheme="majorHAnsi" w:hAnsiTheme="majorHAnsi" w:cstheme="majorHAnsi"/>
                <w:lang w:val="es-ES"/>
              </w:rPr>
              <w:t xml:space="preserve"> </w:t>
            </w:r>
            <w:r w:rsidR="00771722" w:rsidRPr="00F77275">
              <w:rPr>
                <w:rFonts w:asciiTheme="majorHAnsi" w:hAnsiTheme="majorHAnsi" w:cstheme="majorHAnsi"/>
                <w:color w:val="4472C4" w:themeColor="accent5"/>
                <w:lang w:val="es-ES"/>
              </w:rPr>
              <w:t xml:space="preserve">y </w:t>
            </w:r>
            <w:r w:rsidRPr="00F77275">
              <w:rPr>
                <w:rFonts w:asciiTheme="majorHAnsi" w:hAnsiTheme="majorHAnsi" w:cstheme="majorHAnsi"/>
                <w:color w:val="4472C4" w:themeColor="accent5"/>
                <w:lang w:val="es-ES"/>
              </w:rPr>
              <w:t xml:space="preserve">el derecho a la libertad personal (art. 9) </w:t>
            </w:r>
            <w:r w:rsidRPr="00F77275">
              <w:rPr>
                <w:rFonts w:asciiTheme="majorHAnsi" w:hAnsiTheme="majorHAnsi" w:cstheme="majorHAnsi"/>
                <w:lang w:val="es-ES"/>
              </w:rPr>
              <w:t xml:space="preserve">si los funcionarios encargados de hacer cumplir la ley hacen un uso excesivo de la fuerza. </w:t>
            </w:r>
          </w:p>
        </w:tc>
      </w:tr>
      <w:tr w:rsidR="000850AD" w:rsidTr="000850AD">
        <w:tc>
          <w:tcPr>
            <w:tcW w:w="4247" w:type="dxa"/>
          </w:tcPr>
          <w:p w:rsidR="00771722" w:rsidRPr="00F77275" w:rsidRDefault="00771722" w:rsidP="00F77275">
            <w:pPr>
              <w:suppressAutoHyphens w:val="0"/>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 xml:space="preserve">El derecho a la no discriminación protege a los participantes contra prácticas discriminatorias en el contexto de las reuniones (art. 26). </w:t>
            </w:r>
          </w:p>
          <w:p w:rsidR="000850AD" w:rsidRPr="00F77275" w:rsidRDefault="00771722" w:rsidP="00F77275">
            <w:pPr>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(Párrafo 112, última línea)</w:t>
            </w:r>
          </w:p>
        </w:tc>
        <w:tc>
          <w:tcPr>
            <w:tcW w:w="4247" w:type="dxa"/>
          </w:tcPr>
          <w:p w:rsidR="00771722" w:rsidRPr="00F77275" w:rsidRDefault="00771722" w:rsidP="00F77275">
            <w:pPr>
              <w:suppressAutoHyphens w:val="0"/>
              <w:spacing w:before="120" w:after="120" w:line="240" w:lineRule="auto"/>
              <w:jc w:val="both"/>
              <w:rPr>
                <w:rFonts w:asciiTheme="majorHAnsi" w:hAnsiTheme="majorHAnsi" w:cstheme="majorHAnsi"/>
                <w:lang w:val="es-ES"/>
              </w:rPr>
            </w:pPr>
            <w:r w:rsidRPr="00F77275">
              <w:rPr>
                <w:rFonts w:asciiTheme="majorHAnsi" w:hAnsiTheme="majorHAnsi" w:cstheme="majorHAnsi"/>
                <w:lang w:val="es-ES"/>
              </w:rPr>
              <w:t>El derecho a la no discriminación protege a los participantes contra prácticas discriminatorias en el contexto de las reuniones (art</w:t>
            </w:r>
            <w:r w:rsidRPr="00F77275">
              <w:rPr>
                <w:rFonts w:asciiTheme="majorHAnsi" w:hAnsiTheme="majorHAnsi" w:cstheme="majorHAnsi"/>
                <w:color w:val="4472C4" w:themeColor="accent5"/>
                <w:lang w:val="es-ES"/>
              </w:rPr>
              <w:t>s</w:t>
            </w:r>
            <w:r w:rsidRPr="00F77275">
              <w:rPr>
                <w:rFonts w:asciiTheme="majorHAnsi" w:hAnsiTheme="majorHAnsi" w:cstheme="majorHAnsi"/>
                <w:lang w:val="es-ES"/>
              </w:rPr>
              <w:t xml:space="preserve">. </w:t>
            </w:r>
            <w:r w:rsidRPr="00F77275">
              <w:rPr>
                <w:rFonts w:asciiTheme="majorHAnsi" w:hAnsiTheme="majorHAnsi" w:cstheme="majorHAnsi"/>
                <w:color w:val="4472C4" w:themeColor="accent5"/>
                <w:lang w:val="es-ES"/>
              </w:rPr>
              <w:t xml:space="preserve">2, 3 y </w:t>
            </w:r>
            <w:r w:rsidRPr="00F77275">
              <w:rPr>
                <w:rFonts w:asciiTheme="majorHAnsi" w:hAnsiTheme="majorHAnsi" w:cstheme="majorHAnsi"/>
                <w:lang w:val="es-ES"/>
              </w:rPr>
              <w:t xml:space="preserve">26). </w:t>
            </w:r>
          </w:p>
          <w:p w:rsidR="000850AD" w:rsidRPr="00F77275" w:rsidRDefault="000850AD" w:rsidP="00F77275">
            <w:pPr>
              <w:spacing w:before="120" w:after="120" w:line="240" w:lineRule="auto"/>
              <w:jc w:val="both"/>
              <w:rPr>
                <w:rFonts w:asciiTheme="majorHAnsi" w:hAnsiTheme="majorHAnsi" w:cstheme="majorHAnsi"/>
                <w:lang w:val="es-ES"/>
              </w:rPr>
            </w:pPr>
          </w:p>
        </w:tc>
      </w:tr>
    </w:tbl>
    <w:p w:rsidR="00E941F1" w:rsidRDefault="00E941F1" w:rsidP="00E941F1">
      <w:pPr>
        <w:spacing w:before="120" w:after="120" w:line="360" w:lineRule="auto"/>
        <w:ind w:right="-1"/>
        <w:jc w:val="both"/>
        <w:rPr>
          <w:rFonts w:ascii="Arial" w:hAnsi="Arial" w:cs="Arial"/>
          <w:sz w:val="22"/>
          <w:szCs w:val="22"/>
          <w:lang w:val="es-ES"/>
        </w:rPr>
      </w:pPr>
    </w:p>
    <w:p w:rsidR="000F6176" w:rsidRDefault="000F6176" w:rsidP="00E941F1">
      <w:pPr>
        <w:spacing w:before="120" w:after="120" w:line="360" w:lineRule="auto"/>
        <w:ind w:right="-1"/>
        <w:jc w:val="both"/>
        <w:rPr>
          <w:rFonts w:ascii="Arial" w:hAnsi="Arial" w:cs="Arial"/>
          <w:sz w:val="22"/>
          <w:szCs w:val="22"/>
          <w:lang w:val="es-ES"/>
        </w:rPr>
      </w:pPr>
    </w:p>
    <w:p w:rsidR="00E941F1" w:rsidRDefault="00E941F1" w:rsidP="00A67047">
      <w:pPr>
        <w:spacing w:before="120" w:after="120" w:line="240" w:lineRule="auto"/>
        <w:jc w:val="both"/>
        <w:rPr>
          <w:rFonts w:ascii="Arial" w:hAnsi="Arial" w:cs="Arial"/>
          <w:sz w:val="22"/>
          <w:szCs w:val="22"/>
          <w:lang w:val="es-ES"/>
        </w:rPr>
      </w:pPr>
      <w:r w:rsidRPr="00E941F1">
        <w:rPr>
          <w:rFonts w:ascii="Arial" w:hAnsi="Arial" w:cs="Arial"/>
          <w:b/>
          <w:sz w:val="22"/>
          <w:szCs w:val="22"/>
          <w:lang w:val="es-ES"/>
        </w:rPr>
        <w:t>b) Preferencias de contenido respecto a los temas en los que no se ha alcanzado consenso</w:t>
      </w:r>
      <w:r>
        <w:rPr>
          <w:rFonts w:ascii="Arial" w:hAnsi="Arial" w:cs="Arial"/>
          <w:sz w:val="22"/>
          <w:szCs w:val="22"/>
          <w:lang w:val="es-ES"/>
        </w:rPr>
        <w:t>.</w:t>
      </w:r>
    </w:p>
    <w:p w:rsidR="000949FC" w:rsidRDefault="000949FC" w:rsidP="00A67047">
      <w:pPr>
        <w:spacing w:before="120" w:after="120" w:line="240" w:lineRule="auto"/>
        <w:jc w:val="both"/>
        <w:rPr>
          <w:rFonts w:ascii="Arial" w:hAnsi="Arial" w:cs="Arial"/>
          <w:sz w:val="22"/>
          <w:szCs w:val="22"/>
          <w:lang w:val="es-ES"/>
        </w:rPr>
      </w:pPr>
    </w:p>
    <w:p w:rsidR="0004112A" w:rsidRDefault="0004112A" w:rsidP="00354723">
      <w:pPr>
        <w:spacing w:line="240" w:lineRule="auto"/>
        <w:jc w:val="both"/>
        <w:rPr>
          <w:rFonts w:ascii="Arial" w:hAnsi="Arial" w:cs="Arial"/>
          <w:sz w:val="22"/>
          <w:szCs w:val="22"/>
          <w:lang w:val="es-ES"/>
        </w:rPr>
      </w:pPr>
      <w:r>
        <w:rPr>
          <w:rFonts w:ascii="Arial" w:hAnsi="Arial" w:cs="Arial"/>
          <w:sz w:val="22"/>
          <w:szCs w:val="22"/>
          <w:lang w:val="es-ES"/>
        </w:rPr>
        <w:t>Párrafo 1. De acuerdo con mantener la expresión “el estado de derecho”.</w:t>
      </w:r>
    </w:p>
    <w:p w:rsidR="00D14882" w:rsidRDefault="00D14882" w:rsidP="00354723">
      <w:pPr>
        <w:spacing w:line="240" w:lineRule="auto"/>
        <w:jc w:val="both"/>
        <w:rPr>
          <w:rFonts w:ascii="Arial" w:hAnsi="Arial" w:cs="Arial"/>
          <w:sz w:val="22"/>
          <w:szCs w:val="22"/>
          <w:lang w:val="es-ES"/>
        </w:rPr>
      </w:pPr>
    </w:p>
    <w:p w:rsidR="00D14882" w:rsidRDefault="00D14882" w:rsidP="00354723">
      <w:pPr>
        <w:spacing w:line="240" w:lineRule="auto"/>
        <w:jc w:val="both"/>
        <w:rPr>
          <w:rFonts w:ascii="Arial" w:hAnsi="Arial" w:cs="Arial"/>
          <w:sz w:val="22"/>
          <w:szCs w:val="22"/>
          <w:lang w:val="es-ES"/>
        </w:rPr>
      </w:pPr>
      <w:r>
        <w:rPr>
          <w:rFonts w:ascii="Arial" w:hAnsi="Arial" w:cs="Arial"/>
          <w:sz w:val="22"/>
          <w:szCs w:val="22"/>
          <w:lang w:val="es-ES"/>
        </w:rPr>
        <w:t xml:space="preserve">Párrafo 4. De acuerdo </w:t>
      </w:r>
      <w:r w:rsidR="009C3C07">
        <w:rPr>
          <w:rFonts w:ascii="Arial" w:hAnsi="Arial" w:cs="Arial"/>
          <w:sz w:val="22"/>
          <w:szCs w:val="22"/>
          <w:lang w:val="es-ES"/>
        </w:rPr>
        <w:t>con eliminar la expresión “mismo” y de mantener la expresión “de acceso público”.</w:t>
      </w:r>
    </w:p>
    <w:p w:rsidR="0004112A" w:rsidRDefault="0004112A" w:rsidP="00354723">
      <w:pPr>
        <w:spacing w:line="240" w:lineRule="auto"/>
        <w:jc w:val="both"/>
        <w:rPr>
          <w:rFonts w:ascii="Arial" w:hAnsi="Arial" w:cs="Arial"/>
          <w:sz w:val="22"/>
          <w:szCs w:val="22"/>
          <w:lang w:val="es-ES"/>
        </w:rPr>
      </w:pPr>
    </w:p>
    <w:p w:rsidR="00E941F1" w:rsidRDefault="00F44711" w:rsidP="00354723">
      <w:pPr>
        <w:spacing w:line="240" w:lineRule="auto"/>
        <w:jc w:val="both"/>
        <w:rPr>
          <w:rFonts w:ascii="Arial" w:hAnsi="Arial" w:cs="Arial"/>
          <w:sz w:val="22"/>
          <w:szCs w:val="22"/>
          <w:lang w:val="es-ES"/>
        </w:rPr>
      </w:pPr>
      <w:r>
        <w:rPr>
          <w:rFonts w:ascii="Arial" w:hAnsi="Arial" w:cs="Arial"/>
          <w:sz w:val="22"/>
          <w:szCs w:val="22"/>
          <w:lang w:val="es-ES"/>
        </w:rPr>
        <w:t>Párrafo 13. De acuerdo con la expresión “siempre que la propiedad sea accesible al público”</w:t>
      </w:r>
      <w:r w:rsidR="008B315D">
        <w:rPr>
          <w:rFonts w:ascii="Arial" w:hAnsi="Arial" w:cs="Arial"/>
          <w:sz w:val="22"/>
          <w:szCs w:val="22"/>
          <w:lang w:val="es-ES"/>
        </w:rPr>
        <w:t>.</w:t>
      </w:r>
    </w:p>
    <w:p w:rsidR="00354723" w:rsidRDefault="00354723" w:rsidP="00354723">
      <w:pPr>
        <w:spacing w:line="240" w:lineRule="auto"/>
        <w:jc w:val="both"/>
        <w:rPr>
          <w:rFonts w:ascii="Arial" w:hAnsi="Arial" w:cs="Arial"/>
          <w:sz w:val="22"/>
          <w:szCs w:val="22"/>
          <w:lang w:val="es-ES"/>
        </w:rPr>
      </w:pPr>
    </w:p>
    <w:p w:rsidR="005A1696" w:rsidRDefault="005A1696" w:rsidP="00354723">
      <w:pPr>
        <w:spacing w:line="240" w:lineRule="auto"/>
        <w:jc w:val="both"/>
        <w:rPr>
          <w:rFonts w:ascii="Arial" w:hAnsi="Arial" w:cs="Arial"/>
          <w:sz w:val="22"/>
          <w:szCs w:val="22"/>
          <w:lang w:val="es-ES"/>
        </w:rPr>
      </w:pPr>
      <w:r>
        <w:rPr>
          <w:rFonts w:ascii="Arial" w:hAnsi="Arial" w:cs="Arial"/>
          <w:sz w:val="22"/>
          <w:szCs w:val="22"/>
          <w:lang w:val="es-ES"/>
        </w:rPr>
        <w:t>Párrafo 19. Se tienen dudas respecto a la necesidad de mantener la expresión ahí contenida. No obstante, se está más por que permanezca para poder distinguirla de una reunión pacífica con hechos aislados o puntuales de violencia.</w:t>
      </w:r>
    </w:p>
    <w:p w:rsidR="005A1696" w:rsidRDefault="005A1696" w:rsidP="00354723">
      <w:pPr>
        <w:spacing w:line="240" w:lineRule="auto"/>
        <w:jc w:val="both"/>
        <w:rPr>
          <w:rFonts w:ascii="Arial" w:hAnsi="Arial" w:cs="Arial"/>
          <w:sz w:val="22"/>
          <w:szCs w:val="22"/>
          <w:lang w:val="es-ES"/>
        </w:rPr>
      </w:pPr>
    </w:p>
    <w:p w:rsidR="008B315D" w:rsidRDefault="00AF03F4" w:rsidP="00354723">
      <w:pPr>
        <w:spacing w:line="240" w:lineRule="auto"/>
        <w:jc w:val="both"/>
        <w:rPr>
          <w:rFonts w:ascii="Arial" w:hAnsi="Arial" w:cs="Arial"/>
          <w:sz w:val="22"/>
          <w:szCs w:val="22"/>
          <w:lang w:val="es-ES"/>
        </w:rPr>
      </w:pPr>
      <w:r>
        <w:rPr>
          <w:rFonts w:ascii="Arial" w:hAnsi="Arial" w:cs="Arial"/>
          <w:sz w:val="22"/>
          <w:szCs w:val="22"/>
          <w:lang w:val="es-ES"/>
        </w:rPr>
        <w:t xml:space="preserve">Párrafo 22. De acuerdo con eliminar </w:t>
      </w:r>
      <w:r w:rsidR="00D816A7">
        <w:rPr>
          <w:rFonts w:ascii="Arial" w:hAnsi="Arial" w:cs="Arial"/>
          <w:sz w:val="22"/>
          <w:szCs w:val="22"/>
          <w:lang w:val="es-ES"/>
        </w:rPr>
        <w:t xml:space="preserve">el párrafo </w:t>
      </w:r>
      <w:r>
        <w:rPr>
          <w:rFonts w:ascii="Arial" w:hAnsi="Arial" w:cs="Arial"/>
          <w:sz w:val="22"/>
          <w:szCs w:val="22"/>
          <w:lang w:val="es-ES"/>
        </w:rPr>
        <w:t>como lo establece la opción 2.</w:t>
      </w:r>
      <w:r w:rsidR="00555380">
        <w:rPr>
          <w:rFonts w:ascii="Arial" w:hAnsi="Arial" w:cs="Arial"/>
          <w:sz w:val="22"/>
          <w:szCs w:val="22"/>
          <w:lang w:val="es-ES"/>
        </w:rPr>
        <w:t xml:space="preserve"> Si se decide mantener el párrafo 22 en la parte del alcance del derecho, será necesario hacer una referencia de éste en el párrafo 31 a fin de dar congruencia a la </w:t>
      </w:r>
      <w:r w:rsidR="00354723">
        <w:rPr>
          <w:rFonts w:ascii="Arial" w:hAnsi="Arial" w:cs="Arial"/>
          <w:sz w:val="22"/>
          <w:szCs w:val="22"/>
          <w:lang w:val="es-ES"/>
        </w:rPr>
        <w:t>Observación</w:t>
      </w:r>
      <w:r w:rsidR="00555380">
        <w:rPr>
          <w:rFonts w:ascii="Arial" w:hAnsi="Arial" w:cs="Arial"/>
          <w:sz w:val="22"/>
          <w:szCs w:val="22"/>
          <w:lang w:val="es-ES"/>
        </w:rPr>
        <w:t>.</w:t>
      </w:r>
    </w:p>
    <w:p w:rsidR="00E6500A" w:rsidRDefault="00E6500A" w:rsidP="00354723">
      <w:pPr>
        <w:spacing w:line="240" w:lineRule="auto"/>
        <w:jc w:val="both"/>
        <w:rPr>
          <w:rFonts w:ascii="Arial" w:hAnsi="Arial" w:cs="Arial"/>
          <w:sz w:val="22"/>
          <w:szCs w:val="22"/>
          <w:lang w:val="es-ES"/>
        </w:rPr>
      </w:pPr>
    </w:p>
    <w:p w:rsidR="00E6500A" w:rsidRDefault="00E6500A" w:rsidP="00354723">
      <w:pPr>
        <w:spacing w:line="240" w:lineRule="auto"/>
        <w:jc w:val="both"/>
        <w:rPr>
          <w:rFonts w:ascii="Arial" w:hAnsi="Arial" w:cs="Arial"/>
          <w:sz w:val="22"/>
          <w:szCs w:val="22"/>
          <w:lang w:val="es-ES"/>
        </w:rPr>
      </w:pPr>
      <w:r>
        <w:rPr>
          <w:rFonts w:ascii="Arial" w:hAnsi="Arial" w:cs="Arial"/>
          <w:sz w:val="22"/>
          <w:szCs w:val="22"/>
          <w:lang w:val="es-ES"/>
        </w:rPr>
        <w:t>Párrafo 27. De acuerdo con mantener la expresión “</w:t>
      </w:r>
      <w:r w:rsidRPr="00E6500A">
        <w:rPr>
          <w:rFonts w:ascii="Arial" w:hAnsi="Arial" w:cs="Arial"/>
          <w:sz w:val="22"/>
          <w:szCs w:val="22"/>
          <w:lang w:val="es-ES"/>
        </w:rPr>
        <w:t>y proveedores de seguridad privados”</w:t>
      </w:r>
      <w:r>
        <w:rPr>
          <w:rFonts w:ascii="Arial" w:hAnsi="Arial" w:cs="Arial"/>
          <w:sz w:val="22"/>
          <w:szCs w:val="22"/>
          <w:lang w:val="es-ES"/>
        </w:rPr>
        <w:t>.</w:t>
      </w:r>
    </w:p>
    <w:p w:rsidR="00A11E88" w:rsidRDefault="00A11E88" w:rsidP="00354723">
      <w:pPr>
        <w:spacing w:line="240" w:lineRule="auto"/>
        <w:jc w:val="both"/>
        <w:rPr>
          <w:rFonts w:ascii="Arial" w:hAnsi="Arial" w:cs="Arial"/>
          <w:sz w:val="22"/>
          <w:szCs w:val="22"/>
          <w:lang w:val="es-ES"/>
        </w:rPr>
      </w:pPr>
    </w:p>
    <w:p w:rsidR="00A11E88" w:rsidRDefault="00A11E88" w:rsidP="00354723">
      <w:pPr>
        <w:spacing w:line="240" w:lineRule="auto"/>
        <w:jc w:val="both"/>
        <w:rPr>
          <w:rFonts w:ascii="Arial" w:hAnsi="Arial" w:cs="Arial"/>
          <w:sz w:val="22"/>
          <w:szCs w:val="22"/>
          <w:lang w:val="es-ES"/>
        </w:rPr>
      </w:pPr>
      <w:r>
        <w:rPr>
          <w:rFonts w:ascii="Arial" w:hAnsi="Arial" w:cs="Arial"/>
          <w:sz w:val="22"/>
          <w:szCs w:val="22"/>
          <w:lang w:val="es-ES"/>
        </w:rPr>
        <w:t>Párrafo 31. De acuerdo con mantener el término “apropiadas”.</w:t>
      </w:r>
    </w:p>
    <w:p w:rsidR="008B315D" w:rsidRDefault="008B315D" w:rsidP="00BC46A3">
      <w:pPr>
        <w:spacing w:line="240" w:lineRule="auto"/>
        <w:jc w:val="both"/>
        <w:rPr>
          <w:rFonts w:ascii="Arial" w:hAnsi="Arial" w:cs="Arial"/>
          <w:sz w:val="22"/>
          <w:szCs w:val="22"/>
          <w:lang w:val="es-ES"/>
        </w:rPr>
      </w:pPr>
    </w:p>
    <w:p w:rsidR="00BC46A3" w:rsidRDefault="00BC46A3" w:rsidP="00BC46A3">
      <w:pPr>
        <w:spacing w:line="240" w:lineRule="auto"/>
        <w:jc w:val="both"/>
        <w:rPr>
          <w:rFonts w:ascii="Arial" w:hAnsi="Arial" w:cs="Arial"/>
          <w:sz w:val="22"/>
          <w:szCs w:val="22"/>
          <w:lang w:val="es-ES"/>
        </w:rPr>
      </w:pPr>
      <w:r>
        <w:rPr>
          <w:rFonts w:ascii="Arial" w:hAnsi="Arial" w:cs="Arial"/>
          <w:sz w:val="22"/>
          <w:szCs w:val="22"/>
          <w:lang w:val="es-ES"/>
        </w:rPr>
        <w:t>Párrafo 34. De acuerdo con eliminar la referencia al artículo 21.</w:t>
      </w:r>
    </w:p>
    <w:p w:rsidR="00BC46A3" w:rsidRDefault="00BC46A3" w:rsidP="00BC46A3">
      <w:pPr>
        <w:spacing w:line="240" w:lineRule="auto"/>
        <w:jc w:val="both"/>
        <w:rPr>
          <w:rFonts w:ascii="Arial" w:hAnsi="Arial" w:cs="Arial"/>
          <w:sz w:val="22"/>
          <w:szCs w:val="22"/>
          <w:lang w:val="es-ES"/>
        </w:rPr>
      </w:pPr>
    </w:p>
    <w:p w:rsidR="00BC46A3" w:rsidRDefault="002C5BC0" w:rsidP="00BC46A3">
      <w:pPr>
        <w:spacing w:line="240" w:lineRule="auto"/>
        <w:jc w:val="both"/>
        <w:rPr>
          <w:rFonts w:ascii="Arial" w:hAnsi="Arial" w:cs="Arial"/>
          <w:sz w:val="22"/>
          <w:szCs w:val="22"/>
          <w:lang w:val="es-ES"/>
        </w:rPr>
      </w:pPr>
      <w:r>
        <w:rPr>
          <w:rFonts w:ascii="Arial" w:hAnsi="Arial" w:cs="Arial"/>
          <w:sz w:val="22"/>
          <w:szCs w:val="22"/>
          <w:lang w:val="es-ES"/>
        </w:rPr>
        <w:t>Párrafo 46. De acuerdo con la expresión “una evaluación de”</w:t>
      </w:r>
      <w:r w:rsidR="008D627F">
        <w:rPr>
          <w:rFonts w:ascii="Arial" w:hAnsi="Arial" w:cs="Arial"/>
          <w:sz w:val="22"/>
          <w:szCs w:val="22"/>
          <w:lang w:val="es-ES"/>
        </w:rPr>
        <w:t>.</w:t>
      </w:r>
    </w:p>
    <w:p w:rsidR="002C5BC0" w:rsidRDefault="002C5BC0" w:rsidP="00BC46A3">
      <w:pPr>
        <w:spacing w:line="240" w:lineRule="auto"/>
        <w:jc w:val="both"/>
        <w:rPr>
          <w:rFonts w:ascii="Arial" w:hAnsi="Arial" w:cs="Arial"/>
          <w:sz w:val="22"/>
          <w:szCs w:val="22"/>
          <w:lang w:val="es-ES"/>
        </w:rPr>
      </w:pPr>
    </w:p>
    <w:p w:rsidR="002C5BC0" w:rsidRDefault="00D755C3" w:rsidP="00BC46A3">
      <w:pPr>
        <w:spacing w:line="240" w:lineRule="auto"/>
        <w:jc w:val="both"/>
        <w:rPr>
          <w:rFonts w:ascii="Arial" w:hAnsi="Arial" w:cs="Arial"/>
          <w:sz w:val="22"/>
          <w:szCs w:val="22"/>
          <w:lang w:val="es-ES"/>
        </w:rPr>
      </w:pPr>
      <w:r>
        <w:rPr>
          <w:rFonts w:ascii="Arial" w:hAnsi="Arial" w:cs="Arial"/>
          <w:sz w:val="22"/>
          <w:szCs w:val="22"/>
          <w:lang w:val="es-ES"/>
        </w:rPr>
        <w:t>Párrafo 53. De acuerdo con eliminar las expresiones “fundamentales” y “los derechos a la propiedad privada”.</w:t>
      </w:r>
    </w:p>
    <w:p w:rsidR="00D755C3" w:rsidRDefault="00D755C3" w:rsidP="00BC46A3">
      <w:pPr>
        <w:spacing w:line="240" w:lineRule="auto"/>
        <w:jc w:val="both"/>
        <w:rPr>
          <w:rFonts w:ascii="Arial" w:hAnsi="Arial" w:cs="Arial"/>
          <w:sz w:val="22"/>
          <w:szCs w:val="22"/>
          <w:lang w:val="es-ES"/>
        </w:rPr>
      </w:pPr>
    </w:p>
    <w:p w:rsidR="00D755C3" w:rsidRDefault="00D755C3" w:rsidP="00BC46A3">
      <w:pPr>
        <w:spacing w:line="240" w:lineRule="auto"/>
        <w:jc w:val="both"/>
        <w:rPr>
          <w:rFonts w:ascii="Arial" w:hAnsi="Arial" w:cs="Arial"/>
          <w:sz w:val="22"/>
          <w:szCs w:val="22"/>
          <w:lang w:val="es-ES"/>
        </w:rPr>
      </w:pPr>
      <w:r>
        <w:rPr>
          <w:rFonts w:ascii="Arial" w:hAnsi="Arial" w:cs="Arial"/>
          <w:sz w:val="22"/>
          <w:szCs w:val="22"/>
          <w:lang w:val="es-ES"/>
        </w:rPr>
        <w:t>Párrafo 57. De acuerdo con mantener la expresión “en su totalidad”.</w:t>
      </w:r>
    </w:p>
    <w:p w:rsidR="00D755C3" w:rsidRDefault="00D755C3" w:rsidP="00BC46A3">
      <w:pPr>
        <w:spacing w:line="240" w:lineRule="auto"/>
        <w:jc w:val="both"/>
        <w:rPr>
          <w:rFonts w:ascii="Arial" w:hAnsi="Arial" w:cs="Arial"/>
          <w:sz w:val="22"/>
          <w:szCs w:val="22"/>
          <w:lang w:val="es-ES"/>
        </w:rPr>
      </w:pPr>
    </w:p>
    <w:p w:rsidR="00D755C3" w:rsidRDefault="00D755C3" w:rsidP="00BC46A3">
      <w:pPr>
        <w:spacing w:line="240" w:lineRule="auto"/>
        <w:jc w:val="both"/>
        <w:rPr>
          <w:rFonts w:ascii="Arial" w:hAnsi="Arial" w:cs="Arial"/>
          <w:sz w:val="22"/>
          <w:szCs w:val="22"/>
          <w:lang w:val="es-ES"/>
        </w:rPr>
      </w:pPr>
      <w:r>
        <w:rPr>
          <w:rFonts w:ascii="Arial" w:hAnsi="Arial" w:cs="Arial"/>
          <w:sz w:val="22"/>
          <w:szCs w:val="22"/>
          <w:lang w:val="es-ES"/>
        </w:rPr>
        <w:t>Párrafo 60. De acuerdo con mantener la</w:t>
      </w:r>
      <w:r w:rsidR="000D19D3">
        <w:rPr>
          <w:rFonts w:ascii="Arial" w:hAnsi="Arial" w:cs="Arial"/>
          <w:sz w:val="22"/>
          <w:szCs w:val="22"/>
          <w:lang w:val="es-ES"/>
        </w:rPr>
        <w:t>s</w:t>
      </w:r>
      <w:r>
        <w:rPr>
          <w:rFonts w:ascii="Arial" w:hAnsi="Arial" w:cs="Arial"/>
          <w:sz w:val="22"/>
          <w:szCs w:val="22"/>
          <w:lang w:val="es-ES"/>
        </w:rPr>
        <w:t xml:space="preserve"> expresi</w:t>
      </w:r>
      <w:r w:rsidR="000D19D3">
        <w:rPr>
          <w:rFonts w:ascii="Arial" w:hAnsi="Arial" w:cs="Arial"/>
          <w:sz w:val="22"/>
          <w:szCs w:val="22"/>
          <w:lang w:val="es-ES"/>
        </w:rPr>
        <w:t>o</w:t>
      </w:r>
      <w:r>
        <w:rPr>
          <w:rFonts w:ascii="Arial" w:hAnsi="Arial" w:cs="Arial"/>
          <w:sz w:val="22"/>
          <w:szCs w:val="22"/>
          <w:lang w:val="es-ES"/>
        </w:rPr>
        <w:t>n</w:t>
      </w:r>
      <w:r w:rsidR="000D19D3">
        <w:rPr>
          <w:rFonts w:ascii="Arial" w:hAnsi="Arial" w:cs="Arial"/>
          <w:sz w:val="22"/>
          <w:szCs w:val="22"/>
          <w:lang w:val="es-ES"/>
        </w:rPr>
        <w:t>es</w:t>
      </w:r>
      <w:r>
        <w:rPr>
          <w:rFonts w:ascii="Arial" w:hAnsi="Arial" w:cs="Arial"/>
          <w:sz w:val="22"/>
          <w:szCs w:val="22"/>
          <w:lang w:val="es-ES"/>
        </w:rPr>
        <w:t xml:space="preserve"> “directa”</w:t>
      </w:r>
      <w:r w:rsidR="000D19D3">
        <w:rPr>
          <w:rFonts w:ascii="Arial" w:hAnsi="Arial" w:cs="Arial"/>
          <w:sz w:val="22"/>
          <w:szCs w:val="22"/>
          <w:lang w:val="es-ES"/>
        </w:rPr>
        <w:t xml:space="preserve"> y “la incitación a la discriminación, la </w:t>
      </w:r>
      <w:r w:rsidR="0051344E">
        <w:rPr>
          <w:rFonts w:ascii="Arial" w:hAnsi="Arial" w:cs="Arial"/>
          <w:sz w:val="22"/>
          <w:szCs w:val="22"/>
          <w:lang w:val="es-ES"/>
        </w:rPr>
        <w:t>hostilidad…</w:t>
      </w:r>
      <w:r w:rsidR="000D19D3">
        <w:rPr>
          <w:rFonts w:ascii="Arial" w:hAnsi="Arial" w:cs="Arial"/>
          <w:sz w:val="22"/>
          <w:szCs w:val="22"/>
          <w:lang w:val="es-ES"/>
        </w:rPr>
        <w:t>”</w:t>
      </w:r>
      <w:r w:rsidR="0051344E">
        <w:rPr>
          <w:rFonts w:ascii="Arial" w:hAnsi="Arial" w:cs="Arial"/>
          <w:sz w:val="22"/>
          <w:szCs w:val="22"/>
          <w:lang w:val="es-ES"/>
        </w:rPr>
        <w:t>.</w:t>
      </w:r>
    </w:p>
    <w:p w:rsidR="00A1000B" w:rsidRDefault="00A1000B" w:rsidP="00BC46A3">
      <w:pPr>
        <w:spacing w:line="240" w:lineRule="auto"/>
        <w:jc w:val="both"/>
        <w:rPr>
          <w:rFonts w:ascii="Arial" w:hAnsi="Arial" w:cs="Arial"/>
          <w:sz w:val="22"/>
          <w:szCs w:val="22"/>
          <w:lang w:val="es-ES"/>
        </w:rPr>
      </w:pPr>
    </w:p>
    <w:p w:rsidR="00A1000B" w:rsidRDefault="00A1000B" w:rsidP="00BC46A3">
      <w:pPr>
        <w:spacing w:line="240" w:lineRule="auto"/>
        <w:jc w:val="both"/>
        <w:rPr>
          <w:rFonts w:ascii="Arial" w:hAnsi="Arial" w:cs="Arial"/>
          <w:sz w:val="22"/>
          <w:szCs w:val="22"/>
          <w:lang w:val="es-ES"/>
        </w:rPr>
      </w:pPr>
      <w:r>
        <w:rPr>
          <w:rFonts w:ascii="Arial" w:hAnsi="Arial" w:cs="Arial"/>
          <w:sz w:val="22"/>
          <w:szCs w:val="22"/>
          <w:lang w:val="es-ES"/>
        </w:rPr>
        <w:t>Párrafo 75. De acuerdo con mantener la expresión “</w:t>
      </w:r>
      <w:r w:rsidRPr="008F37E2">
        <w:rPr>
          <w:rFonts w:ascii="Arial" w:hAnsi="Arial" w:cs="Arial"/>
          <w:sz w:val="22"/>
          <w:szCs w:val="22"/>
          <w:lang w:val="es-ES"/>
        </w:rPr>
        <w:t>de forma civil o penal</w:t>
      </w:r>
      <w:r w:rsidR="008F37E2" w:rsidRPr="008F37E2">
        <w:rPr>
          <w:rFonts w:ascii="Arial" w:hAnsi="Arial" w:cs="Arial"/>
          <w:sz w:val="22"/>
          <w:szCs w:val="22"/>
          <w:lang w:val="es-ES"/>
        </w:rPr>
        <w:t>”</w:t>
      </w:r>
      <w:r w:rsidR="008D627F">
        <w:rPr>
          <w:rFonts w:ascii="Arial" w:hAnsi="Arial" w:cs="Arial"/>
          <w:sz w:val="22"/>
          <w:szCs w:val="22"/>
          <w:lang w:val="es-ES"/>
        </w:rPr>
        <w:t>.</w:t>
      </w:r>
    </w:p>
    <w:p w:rsidR="00D46D5D" w:rsidRDefault="00D46D5D" w:rsidP="00BC46A3">
      <w:pPr>
        <w:spacing w:line="240" w:lineRule="auto"/>
        <w:jc w:val="both"/>
        <w:rPr>
          <w:rFonts w:ascii="Arial" w:hAnsi="Arial" w:cs="Arial"/>
          <w:sz w:val="22"/>
          <w:szCs w:val="22"/>
          <w:lang w:val="es-ES"/>
        </w:rPr>
      </w:pPr>
    </w:p>
    <w:p w:rsidR="00D46D5D" w:rsidRDefault="00D46D5D" w:rsidP="00BC46A3">
      <w:pPr>
        <w:spacing w:line="240" w:lineRule="auto"/>
        <w:jc w:val="both"/>
        <w:rPr>
          <w:rFonts w:ascii="Arial" w:hAnsi="Arial" w:cs="Arial"/>
          <w:sz w:val="22"/>
          <w:szCs w:val="22"/>
          <w:lang w:val="es-ES"/>
        </w:rPr>
      </w:pPr>
      <w:r>
        <w:rPr>
          <w:rFonts w:ascii="Arial" w:hAnsi="Arial" w:cs="Arial"/>
          <w:sz w:val="22"/>
          <w:szCs w:val="22"/>
          <w:lang w:val="es-ES"/>
        </w:rPr>
        <w:t>Párrafo 81. De acuerdo con mantener la expresión: “</w:t>
      </w:r>
      <w:r w:rsidRPr="00D46D5D">
        <w:rPr>
          <w:rFonts w:ascii="Arial" w:hAnsi="Arial" w:cs="Arial"/>
          <w:sz w:val="22"/>
          <w:szCs w:val="22"/>
          <w:lang w:val="es-ES"/>
        </w:rPr>
        <w:t>no debe convertir la participación en la reunión en ilegal y…”</w:t>
      </w:r>
      <w:r w:rsidR="008D627F">
        <w:rPr>
          <w:rFonts w:ascii="Arial" w:hAnsi="Arial" w:cs="Arial"/>
          <w:sz w:val="22"/>
          <w:szCs w:val="22"/>
          <w:lang w:val="es-ES"/>
        </w:rPr>
        <w:t>.</w:t>
      </w:r>
    </w:p>
    <w:p w:rsidR="000D19D3" w:rsidRDefault="000D19D3" w:rsidP="00BC46A3">
      <w:pPr>
        <w:spacing w:line="240" w:lineRule="auto"/>
        <w:jc w:val="both"/>
        <w:rPr>
          <w:rFonts w:ascii="Arial" w:hAnsi="Arial" w:cs="Arial"/>
          <w:sz w:val="22"/>
          <w:szCs w:val="22"/>
          <w:lang w:val="es-ES"/>
        </w:rPr>
      </w:pPr>
    </w:p>
    <w:p w:rsidR="00112193" w:rsidRDefault="00112193" w:rsidP="00BC46A3">
      <w:pPr>
        <w:spacing w:line="240" w:lineRule="auto"/>
        <w:jc w:val="both"/>
        <w:rPr>
          <w:rFonts w:ascii="Arial" w:hAnsi="Arial" w:cs="Arial"/>
          <w:sz w:val="22"/>
          <w:szCs w:val="22"/>
          <w:lang w:val="es-ES"/>
        </w:rPr>
      </w:pPr>
      <w:r>
        <w:rPr>
          <w:rFonts w:ascii="Arial" w:hAnsi="Arial" w:cs="Arial"/>
          <w:sz w:val="22"/>
          <w:szCs w:val="22"/>
          <w:lang w:val="es-ES"/>
        </w:rPr>
        <w:t>Párrafo 114. De acuerdo con el contenido y redacción de todo el párrafo.</w:t>
      </w:r>
    </w:p>
    <w:p w:rsidR="000D19D3" w:rsidRDefault="000D19D3" w:rsidP="00BC46A3">
      <w:pPr>
        <w:spacing w:line="240" w:lineRule="auto"/>
        <w:jc w:val="both"/>
        <w:rPr>
          <w:rFonts w:ascii="Arial" w:hAnsi="Arial" w:cs="Arial"/>
          <w:sz w:val="22"/>
          <w:szCs w:val="22"/>
          <w:lang w:val="es-ES"/>
        </w:rPr>
      </w:pPr>
    </w:p>
    <w:p w:rsidR="00D755C3" w:rsidRDefault="00D755C3" w:rsidP="00BC46A3">
      <w:pPr>
        <w:spacing w:line="240" w:lineRule="auto"/>
        <w:jc w:val="both"/>
        <w:rPr>
          <w:rFonts w:ascii="Arial" w:hAnsi="Arial" w:cs="Arial"/>
          <w:sz w:val="22"/>
          <w:szCs w:val="22"/>
          <w:lang w:val="es-ES"/>
        </w:rPr>
      </w:pPr>
    </w:p>
    <w:p w:rsidR="00F44711" w:rsidRDefault="00F44711" w:rsidP="00BC46A3">
      <w:pPr>
        <w:spacing w:line="240" w:lineRule="auto"/>
        <w:jc w:val="both"/>
        <w:rPr>
          <w:rFonts w:ascii="Arial" w:hAnsi="Arial" w:cs="Arial"/>
          <w:sz w:val="22"/>
          <w:szCs w:val="22"/>
          <w:lang w:val="es-ES"/>
        </w:rPr>
      </w:pPr>
    </w:p>
    <w:p w:rsidR="00E941F1" w:rsidRDefault="00E941F1" w:rsidP="00E941F1">
      <w:pPr>
        <w:spacing w:before="120" w:after="120" w:line="360" w:lineRule="auto"/>
        <w:ind w:right="-1"/>
        <w:jc w:val="both"/>
        <w:rPr>
          <w:rFonts w:ascii="Arial" w:hAnsi="Arial" w:cs="Arial"/>
          <w:sz w:val="22"/>
          <w:szCs w:val="22"/>
          <w:lang w:val="es-ES"/>
        </w:rPr>
      </w:pPr>
      <w:r w:rsidRPr="00E941F1">
        <w:rPr>
          <w:rFonts w:ascii="Arial" w:hAnsi="Arial" w:cs="Arial"/>
          <w:b/>
          <w:sz w:val="22"/>
          <w:szCs w:val="22"/>
          <w:lang w:val="es-ES"/>
        </w:rPr>
        <w:t>c) Propuestas de modificación o ajuste sustantivo</w:t>
      </w:r>
      <w:r>
        <w:rPr>
          <w:rFonts w:ascii="Arial" w:hAnsi="Arial" w:cs="Arial"/>
          <w:sz w:val="22"/>
          <w:szCs w:val="22"/>
          <w:lang w:val="es-ES"/>
        </w:rPr>
        <w:t xml:space="preserve">. </w:t>
      </w:r>
    </w:p>
    <w:p w:rsidR="00E941F1" w:rsidRDefault="00187F71" w:rsidP="00E941F1">
      <w:pPr>
        <w:spacing w:before="120" w:after="120" w:line="360" w:lineRule="auto"/>
        <w:ind w:right="-1"/>
        <w:jc w:val="both"/>
        <w:rPr>
          <w:rFonts w:ascii="Arial" w:hAnsi="Arial" w:cs="Arial"/>
          <w:sz w:val="22"/>
          <w:szCs w:val="22"/>
          <w:lang w:val="es-ES"/>
        </w:rPr>
      </w:pPr>
      <w:r>
        <w:rPr>
          <w:rFonts w:ascii="Arial" w:hAnsi="Arial" w:cs="Arial"/>
          <w:sz w:val="22"/>
          <w:szCs w:val="22"/>
          <w:lang w:val="es-ES"/>
        </w:rPr>
        <w:t>En el párrafo 5 se establece:</w:t>
      </w:r>
    </w:p>
    <w:p w:rsidR="00187F71" w:rsidRDefault="00187F71" w:rsidP="00187F71">
      <w:pPr>
        <w:spacing w:after="120" w:line="240" w:lineRule="auto"/>
        <w:ind w:left="567" w:right="567"/>
        <w:jc w:val="both"/>
        <w:rPr>
          <w:rFonts w:ascii="Arial" w:hAnsi="Arial" w:cs="Arial"/>
          <w:lang w:val="es-ES"/>
        </w:rPr>
      </w:pPr>
      <w:r w:rsidRPr="00775B42">
        <w:rPr>
          <w:rFonts w:ascii="Arial" w:hAnsi="Arial" w:cs="Arial"/>
          <w:lang w:val="es-ES"/>
        </w:rPr>
        <w:t xml:space="preserve">5. Toda persona puede ejercer el derecho de reunión pacífica, incluyendo niños. Además de los ciudadanos, el derecho también podrán ejercerlo, por ejemplo, nacionales extranjeros, incluyendo trabajadores inmigrantes, demandantes de asilo y refugiados, así como apátridas. </w:t>
      </w:r>
    </w:p>
    <w:p w:rsidR="002F1055" w:rsidRPr="00D74A0D" w:rsidRDefault="002F1055" w:rsidP="007C610F">
      <w:pPr>
        <w:spacing w:line="240" w:lineRule="auto"/>
        <w:ind w:left="567" w:right="567"/>
        <w:jc w:val="both"/>
        <w:rPr>
          <w:rFonts w:ascii="Arial" w:hAnsi="Arial" w:cs="Arial"/>
          <w:lang w:val="es-ES"/>
        </w:rPr>
      </w:pPr>
    </w:p>
    <w:p w:rsidR="00187F71" w:rsidRDefault="00281DD8" w:rsidP="002F1055">
      <w:pPr>
        <w:spacing w:before="120" w:after="120" w:line="360" w:lineRule="auto"/>
        <w:jc w:val="both"/>
        <w:rPr>
          <w:rFonts w:ascii="Arial" w:hAnsi="Arial" w:cs="Arial"/>
          <w:sz w:val="22"/>
          <w:szCs w:val="22"/>
          <w:lang w:val="es-ES"/>
        </w:rPr>
      </w:pPr>
      <w:r>
        <w:rPr>
          <w:rFonts w:ascii="Arial" w:hAnsi="Arial" w:cs="Arial"/>
          <w:sz w:val="22"/>
          <w:szCs w:val="22"/>
          <w:lang w:val="es-ES"/>
        </w:rPr>
        <w:t xml:space="preserve">Se propone modificar </w:t>
      </w:r>
      <w:r w:rsidR="00534037">
        <w:rPr>
          <w:rFonts w:ascii="Arial" w:hAnsi="Arial" w:cs="Arial"/>
          <w:sz w:val="22"/>
          <w:szCs w:val="22"/>
          <w:lang w:val="es-ES"/>
        </w:rPr>
        <w:t xml:space="preserve">el contenido </w:t>
      </w:r>
      <w:r>
        <w:rPr>
          <w:rFonts w:ascii="Arial" w:hAnsi="Arial" w:cs="Arial"/>
          <w:sz w:val="22"/>
          <w:szCs w:val="22"/>
          <w:lang w:val="es-ES"/>
        </w:rPr>
        <w:t>de ese párrafo, con el fin de evitar que se incurra en el constante error de utilizar indistintamente</w:t>
      </w:r>
      <w:r w:rsidR="00534037">
        <w:rPr>
          <w:rFonts w:ascii="Arial" w:hAnsi="Arial" w:cs="Arial"/>
          <w:sz w:val="22"/>
          <w:szCs w:val="22"/>
          <w:lang w:val="es-ES"/>
        </w:rPr>
        <w:t xml:space="preserve"> y como sinónimos</w:t>
      </w:r>
      <w:r>
        <w:rPr>
          <w:rFonts w:ascii="Arial" w:hAnsi="Arial" w:cs="Arial"/>
          <w:sz w:val="22"/>
          <w:szCs w:val="22"/>
          <w:lang w:val="es-ES"/>
        </w:rPr>
        <w:t xml:space="preserve"> los términos “</w:t>
      </w:r>
      <w:r w:rsidRPr="00114768">
        <w:rPr>
          <w:rFonts w:ascii="Arial" w:hAnsi="Arial" w:cs="Arial"/>
          <w:b/>
          <w:sz w:val="22"/>
          <w:szCs w:val="22"/>
          <w:lang w:val="es-ES"/>
        </w:rPr>
        <w:t>ciudadanía</w:t>
      </w:r>
      <w:r>
        <w:rPr>
          <w:rFonts w:ascii="Arial" w:hAnsi="Arial" w:cs="Arial"/>
          <w:sz w:val="22"/>
          <w:szCs w:val="22"/>
          <w:lang w:val="es-ES"/>
        </w:rPr>
        <w:t>” y “</w:t>
      </w:r>
      <w:r w:rsidRPr="00114768">
        <w:rPr>
          <w:rFonts w:ascii="Arial" w:hAnsi="Arial" w:cs="Arial"/>
          <w:b/>
          <w:sz w:val="22"/>
          <w:szCs w:val="22"/>
          <w:lang w:val="es-ES"/>
        </w:rPr>
        <w:t>nacionalidad</w:t>
      </w:r>
      <w:r>
        <w:rPr>
          <w:rFonts w:ascii="Arial" w:hAnsi="Arial" w:cs="Arial"/>
          <w:sz w:val="22"/>
          <w:szCs w:val="22"/>
          <w:lang w:val="es-ES"/>
        </w:rPr>
        <w:t xml:space="preserve">”, como si ambos hicieran referencia al segundo de éstos. </w:t>
      </w:r>
      <w:r w:rsidR="003A38E5">
        <w:rPr>
          <w:rFonts w:ascii="Arial" w:hAnsi="Arial" w:cs="Arial"/>
          <w:sz w:val="22"/>
          <w:szCs w:val="22"/>
          <w:lang w:val="es-ES"/>
        </w:rPr>
        <w:t xml:space="preserve">En el caso concreto del </w:t>
      </w:r>
      <w:r w:rsidR="003A38E5">
        <w:rPr>
          <w:rFonts w:ascii="Arial" w:hAnsi="Arial" w:cs="Arial"/>
          <w:i/>
          <w:sz w:val="22"/>
          <w:szCs w:val="22"/>
          <w:lang w:val="es-ES"/>
        </w:rPr>
        <w:t xml:space="preserve">derecho de reunión </w:t>
      </w:r>
      <w:r w:rsidR="003A38E5">
        <w:rPr>
          <w:rFonts w:ascii="Arial" w:hAnsi="Arial" w:cs="Arial"/>
          <w:sz w:val="22"/>
          <w:szCs w:val="22"/>
          <w:lang w:val="es-ES"/>
        </w:rPr>
        <w:t xml:space="preserve">adquiere especial relevancia el uso adecuado de esos términos para asegurar que el derecho se ejerza justamente como un “derecho de ciudadanía”, esto es, como un derecho que tiene toda persona que se encuentra o pertenece a una comunidad política determinada o sociedad, aun cuando no tenga la nacionalidad del país en el que se </w:t>
      </w:r>
      <w:r w:rsidR="004950E0">
        <w:rPr>
          <w:rFonts w:ascii="Arial" w:hAnsi="Arial" w:cs="Arial"/>
          <w:sz w:val="22"/>
          <w:szCs w:val="22"/>
          <w:lang w:val="es-ES"/>
        </w:rPr>
        <w:t>encuentra</w:t>
      </w:r>
      <w:r w:rsidR="00A30DDC">
        <w:rPr>
          <w:rFonts w:ascii="Arial" w:hAnsi="Arial" w:cs="Arial"/>
          <w:sz w:val="22"/>
          <w:szCs w:val="22"/>
          <w:lang w:val="es-ES"/>
        </w:rPr>
        <w:t>,</w:t>
      </w:r>
      <w:r w:rsidR="003A38E5">
        <w:rPr>
          <w:rFonts w:ascii="Arial" w:hAnsi="Arial" w:cs="Arial"/>
          <w:sz w:val="22"/>
          <w:szCs w:val="22"/>
          <w:lang w:val="es-ES"/>
        </w:rPr>
        <w:t xml:space="preserve"> pero sí una relación </w:t>
      </w:r>
      <w:r w:rsidR="00A30DDC">
        <w:rPr>
          <w:rFonts w:ascii="Arial" w:hAnsi="Arial" w:cs="Arial"/>
          <w:sz w:val="22"/>
          <w:szCs w:val="22"/>
          <w:lang w:val="es-ES"/>
        </w:rPr>
        <w:t xml:space="preserve">transitoria, </w:t>
      </w:r>
      <w:r w:rsidR="003A38E5">
        <w:rPr>
          <w:rFonts w:ascii="Arial" w:hAnsi="Arial" w:cs="Arial"/>
          <w:sz w:val="22"/>
          <w:szCs w:val="22"/>
          <w:lang w:val="es-ES"/>
        </w:rPr>
        <w:t>permanente o estable con dicho país</w:t>
      </w:r>
      <w:r w:rsidR="00B63BF5">
        <w:rPr>
          <w:rFonts w:ascii="Arial" w:hAnsi="Arial" w:cs="Arial"/>
          <w:sz w:val="22"/>
          <w:szCs w:val="22"/>
          <w:lang w:val="es-ES"/>
        </w:rPr>
        <w:t>-comunidad</w:t>
      </w:r>
      <w:r w:rsidR="003A38E5">
        <w:rPr>
          <w:rFonts w:ascii="Arial" w:hAnsi="Arial" w:cs="Arial"/>
          <w:sz w:val="22"/>
          <w:szCs w:val="22"/>
          <w:lang w:val="es-ES"/>
        </w:rPr>
        <w:t xml:space="preserve">. </w:t>
      </w:r>
      <w:r w:rsidR="00A30DDC">
        <w:rPr>
          <w:rFonts w:ascii="Arial" w:hAnsi="Arial" w:cs="Arial"/>
          <w:sz w:val="22"/>
          <w:szCs w:val="22"/>
          <w:lang w:val="es-ES"/>
        </w:rPr>
        <w:t>Esto es, como un derecho que tiene toda persona por encontrarse en un lugar y no por la nacionalidad que tiene reconocida</w:t>
      </w:r>
      <w:r w:rsidR="00BB7E85">
        <w:rPr>
          <w:rFonts w:ascii="Arial" w:hAnsi="Arial" w:cs="Arial"/>
          <w:sz w:val="22"/>
          <w:szCs w:val="22"/>
          <w:lang w:val="es-ES"/>
        </w:rPr>
        <w:t xml:space="preserve">, pero sin mezclar conceptos o utilizarlos indistintamente </w:t>
      </w:r>
      <w:r w:rsidR="00534037">
        <w:rPr>
          <w:rFonts w:ascii="Arial" w:hAnsi="Arial" w:cs="Arial"/>
          <w:sz w:val="22"/>
          <w:szCs w:val="22"/>
          <w:lang w:val="es-ES"/>
        </w:rPr>
        <w:t>de forma</w:t>
      </w:r>
      <w:r w:rsidR="00D43389">
        <w:rPr>
          <w:rFonts w:ascii="Arial" w:hAnsi="Arial" w:cs="Arial"/>
          <w:sz w:val="22"/>
          <w:szCs w:val="22"/>
          <w:lang w:val="es-ES"/>
        </w:rPr>
        <w:t xml:space="preserve"> que se</w:t>
      </w:r>
      <w:r w:rsidR="00534037">
        <w:rPr>
          <w:rFonts w:ascii="Arial" w:hAnsi="Arial" w:cs="Arial"/>
          <w:sz w:val="22"/>
          <w:szCs w:val="22"/>
          <w:lang w:val="es-ES"/>
        </w:rPr>
        <w:t xml:space="preserve"> le hace</w:t>
      </w:r>
      <w:r w:rsidR="00D43389">
        <w:rPr>
          <w:rFonts w:ascii="Arial" w:hAnsi="Arial" w:cs="Arial"/>
          <w:sz w:val="22"/>
          <w:szCs w:val="22"/>
          <w:lang w:val="es-ES"/>
        </w:rPr>
        <w:t xml:space="preserve"> </w:t>
      </w:r>
      <w:r w:rsidR="00534037">
        <w:rPr>
          <w:rFonts w:ascii="Arial" w:hAnsi="Arial" w:cs="Arial"/>
          <w:sz w:val="22"/>
          <w:szCs w:val="22"/>
          <w:lang w:val="es-ES"/>
        </w:rPr>
        <w:t>perder a</w:t>
      </w:r>
      <w:r w:rsidR="00D43389">
        <w:rPr>
          <w:rFonts w:ascii="Arial" w:hAnsi="Arial" w:cs="Arial"/>
          <w:sz w:val="22"/>
          <w:szCs w:val="22"/>
          <w:lang w:val="es-ES"/>
        </w:rPr>
        <w:t xml:space="preserve"> l</w:t>
      </w:r>
      <w:r w:rsidR="00BB7E85">
        <w:rPr>
          <w:rFonts w:ascii="Arial" w:hAnsi="Arial" w:cs="Arial"/>
          <w:sz w:val="22"/>
          <w:szCs w:val="22"/>
          <w:lang w:val="es-ES"/>
        </w:rPr>
        <w:t>a “ciudadanía”</w:t>
      </w:r>
      <w:r w:rsidR="00534037">
        <w:rPr>
          <w:rFonts w:ascii="Arial" w:hAnsi="Arial" w:cs="Arial"/>
          <w:sz w:val="22"/>
          <w:szCs w:val="22"/>
          <w:lang w:val="es-ES"/>
        </w:rPr>
        <w:t xml:space="preserve"> </w:t>
      </w:r>
      <w:r w:rsidR="00B63BF5">
        <w:rPr>
          <w:rFonts w:ascii="Arial" w:hAnsi="Arial" w:cs="Arial"/>
          <w:sz w:val="22"/>
          <w:szCs w:val="22"/>
          <w:lang w:val="es-ES"/>
        </w:rPr>
        <w:t>su</w:t>
      </w:r>
      <w:r w:rsidR="00534037">
        <w:rPr>
          <w:rFonts w:ascii="Arial" w:hAnsi="Arial" w:cs="Arial"/>
          <w:sz w:val="22"/>
          <w:szCs w:val="22"/>
          <w:lang w:val="es-ES"/>
        </w:rPr>
        <w:t xml:space="preserve"> relevancia</w:t>
      </w:r>
      <w:r w:rsidR="00BB7E85">
        <w:rPr>
          <w:rFonts w:ascii="Arial" w:hAnsi="Arial" w:cs="Arial"/>
          <w:sz w:val="22"/>
          <w:szCs w:val="22"/>
          <w:lang w:val="es-ES"/>
        </w:rPr>
        <w:t xml:space="preserve"> como vinculación y pertenencia a una comunidad concreta por el hecho de vivir ahí</w:t>
      </w:r>
      <w:r w:rsidR="00534037">
        <w:rPr>
          <w:rFonts w:ascii="Arial" w:hAnsi="Arial" w:cs="Arial"/>
          <w:sz w:val="22"/>
          <w:szCs w:val="22"/>
          <w:lang w:val="es-ES"/>
        </w:rPr>
        <w:t xml:space="preserve"> y no por el reconocimiento que hace un Estado</w:t>
      </w:r>
      <w:r w:rsidR="00B63BF5">
        <w:rPr>
          <w:rFonts w:ascii="Arial" w:hAnsi="Arial" w:cs="Arial"/>
          <w:sz w:val="22"/>
          <w:szCs w:val="22"/>
          <w:lang w:val="es-ES"/>
        </w:rPr>
        <w:t>. S</w:t>
      </w:r>
      <w:r w:rsidR="00534037">
        <w:rPr>
          <w:rFonts w:ascii="Arial" w:hAnsi="Arial" w:cs="Arial"/>
          <w:sz w:val="22"/>
          <w:szCs w:val="22"/>
          <w:lang w:val="es-ES"/>
        </w:rPr>
        <w:t>iendo</w:t>
      </w:r>
      <w:r w:rsidR="00D43389">
        <w:rPr>
          <w:rFonts w:ascii="Arial" w:hAnsi="Arial" w:cs="Arial"/>
          <w:sz w:val="22"/>
          <w:szCs w:val="22"/>
          <w:lang w:val="es-ES"/>
        </w:rPr>
        <w:t xml:space="preserve"> especialmente</w:t>
      </w:r>
      <w:r w:rsidR="00534037">
        <w:rPr>
          <w:rFonts w:ascii="Arial" w:hAnsi="Arial" w:cs="Arial"/>
          <w:sz w:val="22"/>
          <w:szCs w:val="22"/>
          <w:lang w:val="es-ES"/>
        </w:rPr>
        <w:t xml:space="preserve"> importante</w:t>
      </w:r>
      <w:r w:rsidR="00D43389">
        <w:rPr>
          <w:rFonts w:ascii="Arial" w:hAnsi="Arial" w:cs="Arial"/>
          <w:sz w:val="22"/>
          <w:szCs w:val="22"/>
          <w:lang w:val="es-ES"/>
        </w:rPr>
        <w:t xml:space="preserve"> para un derecho como el de reunión</w:t>
      </w:r>
      <w:r w:rsidR="00B63BF5">
        <w:rPr>
          <w:rFonts w:ascii="Arial" w:hAnsi="Arial" w:cs="Arial"/>
          <w:sz w:val="22"/>
          <w:szCs w:val="22"/>
          <w:lang w:val="es-ES"/>
        </w:rPr>
        <w:t xml:space="preserve"> </w:t>
      </w:r>
      <w:r w:rsidR="004950E0">
        <w:rPr>
          <w:rFonts w:ascii="Arial" w:hAnsi="Arial" w:cs="Arial"/>
          <w:sz w:val="22"/>
          <w:szCs w:val="22"/>
          <w:lang w:val="es-ES"/>
        </w:rPr>
        <w:t xml:space="preserve">pacífica </w:t>
      </w:r>
      <w:r w:rsidR="00B63BF5">
        <w:rPr>
          <w:rFonts w:ascii="Arial" w:hAnsi="Arial" w:cs="Arial"/>
          <w:sz w:val="22"/>
          <w:szCs w:val="22"/>
          <w:lang w:val="es-ES"/>
        </w:rPr>
        <w:t xml:space="preserve">y todos los </w:t>
      </w:r>
      <w:r w:rsidR="00B63BF5">
        <w:rPr>
          <w:rFonts w:ascii="Arial" w:hAnsi="Arial" w:cs="Arial"/>
          <w:sz w:val="22"/>
          <w:szCs w:val="22"/>
          <w:lang w:val="es-ES"/>
        </w:rPr>
        <w:lastRenderedPageBreak/>
        <w:t>vinculados con la libertad y participación política</w:t>
      </w:r>
      <w:r w:rsidR="00A30DDC">
        <w:rPr>
          <w:rFonts w:ascii="Arial" w:hAnsi="Arial" w:cs="Arial"/>
          <w:sz w:val="22"/>
          <w:szCs w:val="22"/>
          <w:lang w:val="es-ES"/>
        </w:rPr>
        <w:t xml:space="preserve">. </w:t>
      </w:r>
      <w:r w:rsidR="003B4A5B">
        <w:rPr>
          <w:rFonts w:ascii="Arial" w:hAnsi="Arial" w:cs="Arial"/>
          <w:sz w:val="22"/>
          <w:szCs w:val="22"/>
          <w:lang w:val="es-ES"/>
        </w:rPr>
        <w:t>Ante eso, se propone la siguiente redacción:</w:t>
      </w:r>
    </w:p>
    <w:p w:rsidR="003B4A5B" w:rsidRPr="00775B42" w:rsidRDefault="005675B8" w:rsidP="00C80595">
      <w:pPr>
        <w:spacing w:before="120" w:after="120" w:line="240" w:lineRule="auto"/>
        <w:ind w:left="567" w:right="567"/>
        <w:jc w:val="both"/>
        <w:rPr>
          <w:rFonts w:ascii="Arial" w:hAnsi="Arial" w:cs="Arial"/>
          <w:sz w:val="22"/>
          <w:szCs w:val="22"/>
          <w:lang w:val="es-ES"/>
        </w:rPr>
      </w:pPr>
      <w:r w:rsidRPr="00775B42">
        <w:rPr>
          <w:rFonts w:ascii="Arial" w:hAnsi="Arial" w:cs="Arial"/>
          <w:lang w:val="es-ES"/>
        </w:rPr>
        <w:t>“</w:t>
      </w:r>
      <w:r w:rsidR="003B4A5B" w:rsidRPr="00775B42">
        <w:rPr>
          <w:rFonts w:ascii="Arial" w:hAnsi="Arial" w:cs="Arial"/>
          <w:lang w:val="es-ES"/>
        </w:rPr>
        <w:t>Además de los ciudadanos</w:t>
      </w:r>
      <w:r w:rsidRPr="00775B42">
        <w:rPr>
          <w:rFonts w:ascii="Arial" w:hAnsi="Arial" w:cs="Arial"/>
          <w:lang w:val="es-ES"/>
        </w:rPr>
        <w:t xml:space="preserve"> </w:t>
      </w:r>
      <w:r w:rsidRPr="00775B42">
        <w:rPr>
          <w:rFonts w:ascii="Arial" w:hAnsi="Arial" w:cs="Arial"/>
          <w:color w:val="4472C4" w:themeColor="accent5"/>
          <w:lang w:val="es-ES"/>
        </w:rPr>
        <w:t>nacionales</w:t>
      </w:r>
      <w:r w:rsidR="003B4A5B" w:rsidRPr="00775B42">
        <w:rPr>
          <w:rFonts w:ascii="Arial" w:hAnsi="Arial" w:cs="Arial"/>
          <w:lang w:val="es-ES"/>
        </w:rPr>
        <w:t xml:space="preserve">, el derecho también podrán ejercerlo, por ejemplo, </w:t>
      </w:r>
      <w:r w:rsidRPr="00775B42">
        <w:rPr>
          <w:rFonts w:ascii="Arial" w:hAnsi="Arial" w:cs="Arial"/>
          <w:color w:val="4472C4" w:themeColor="accent5"/>
          <w:lang w:val="es-ES"/>
        </w:rPr>
        <w:t xml:space="preserve">ciudadanos </w:t>
      </w:r>
      <w:r w:rsidR="003B4A5B" w:rsidRPr="00775B42">
        <w:rPr>
          <w:rFonts w:ascii="Arial" w:hAnsi="Arial" w:cs="Arial"/>
          <w:lang w:val="es-ES"/>
        </w:rPr>
        <w:t>extranjeros, incluyendo trabajadores inmigrantes, demandantes de asilo y refugiados, así como apátridas</w:t>
      </w:r>
      <w:r w:rsidRPr="00775B42">
        <w:rPr>
          <w:rFonts w:ascii="Arial" w:hAnsi="Arial" w:cs="Arial"/>
          <w:lang w:val="es-ES"/>
        </w:rPr>
        <w:t xml:space="preserve"> </w:t>
      </w:r>
      <w:r w:rsidRPr="00775B42">
        <w:rPr>
          <w:rFonts w:ascii="Arial" w:hAnsi="Arial" w:cs="Arial"/>
          <w:color w:val="4472C4" w:themeColor="accent5"/>
          <w:lang w:val="es-ES"/>
        </w:rPr>
        <w:t>y cualquier otra persona migrante</w:t>
      </w:r>
      <w:r w:rsidRPr="00775B42">
        <w:rPr>
          <w:rFonts w:ascii="Arial" w:hAnsi="Arial" w:cs="Arial"/>
          <w:lang w:val="es-ES"/>
        </w:rPr>
        <w:t>”</w:t>
      </w:r>
    </w:p>
    <w:p w:rsidR="007D2315" w:rsidRDefault="007D2315" w:rsidP="00E941F1">
      <w:pPr>
        <w:spacing w:before="120" w:after="120" w:line="360" w:lineRule="auto"/>
        <w:ind w:right="-1"/>
        <w:jc w:val="both"/>
        <w:rPr>
          <w:rFonts w:ascii="Arial" w:hAnsi="Arial" w:cs="Arial"/>
          <w:sz w:val="22"/>
          <w:szCs w:val="22"/>
          <w:lang w:val="es-ES"/>
        </w:rPr>
      </w:pPr>
    </w:p>
    <w:p w:rsidR="00775B42" w:rsidRDefault="00775B42" w:rsidP="00E941F1">
      <w:pPr>
        <w:spacing w:before="120" w:after="120" w:line="360" w:lineRule="auto"/>
        <w:ind w:right="-1"/>
        <w:jc w:val="both"/>
        <w:rPr>
          <w:rFonts w:ascii="Arial" w:hAnsi="Arial" w:cs="Arial"/>
          <w:sz w:val="22"/>
          <w:szCs w:val="22"/>
          <w:lang w:val="es-ES"/>
        </w:rPr>
      </w:pPr>
    </w:p>
    <w:p w:rsidR="00C80595" w:rsidRDefault="00C80595" w:rsidP="00C80595">
      <w:pPr>
        <w:spacing w:before="120" w:after="120" w:line="240" w:lineRule="auto"/>
        <w:jc w:val="both"/>
        <w:rPr>
          <w:rFonts w:ascii="Arial" w:hAnsi="Arial" w:cs="Arial"/>
          <w:sz w:val="22"/>
          <w:szCs w:val="22"/>
          <w:lang w:val="es-ES"/>
        </w:rPr>
      </w:pPr>
      <w:r>
        <w:rPr>
          <w:rFonts w:ascii="Arial" w:hAnsi="Arial" w:cs="Arial"/>
          <w:sz w:val="22"/>
          <w:szCs w:val="22"/>
          <w:lang w:val="es-ES"/>
        </w:rPr>
        <w:t>En el párrafo 31, penúltima línea se establece:</w:t>
      </w:r>
    </w:p>
    <w:p w:rsidR="00C80595" w:rsidRDefault="00C80595" w:rsidP="003E5FA2">
      <w:pPr>
        <w:spacing w:before="120" w:after="120" w:line="240" w:lineRule="auto"/>
        <w:ind w:left="567" w:right="567"/>
        <w:jc w:val="both"/>
        <w:rPr>
          <w:rFonts w:ascii="Arial" w:hAnsi="Arial" w:cs="Arial"/>
          <w:lang w:val="es-ES"/>
        </w:rPr>
      </w:pPr>
      <w:r w:rsidRPr="00775B42">
        <w:rPr>
          <w:rFonts w:ascii="Arial" w:hAnsi="Arial" w:cs="Arial"/>
          <w:lang w:val="es-ES"/>
        </w:rPr>
        <w:t>“… en la medida de lo posible, que la reunión se celebre de manera ininterrumpida.”</w:t>
      </w:r>
    </w:p>
    <w:p w:rsidR="007F3193" w:rsidRPr="003E5FA2" w:rsidRDefault="007F3193" w:rsidP="007C610F">
      <w:pPr>
        <w:spacing w:line="240" w:lineRule="auto"/>
        <w:ind w:left="567" w:right="567"/>
        <w:jc w:val="both"/>
        <w:rPr>
          <w:rFonts w:ascii="Arial" w:hAnsi="Arial" w:cs="Arial"/>
          <w:lang w:val="es-ES"/>
        </w:rPr>
      </w:pPr>
    </w:p>
    <w:p w:rsidR="00C80595" w:rsidRDefault="00C80595" w:rsidP="005366E5">
      <w:pPr>
        <w:spacing w:before="120" w:after="120" w:line="360" w:lineRule="auto"/>
        <w:jc w:val="both"/>
        <w:rPr>
          <w:rFonts w:ascii="Arial" w:hAnsi="Arial" w:cs="Arial"/>
          <w:sz w:val="22"/>
          <w:szCs w:val="22"/>
          <w:lang w:val="es-ES"/>
        </w:rPr>
      </w:pPr>
      <w:r>
        <w:rPr>
          <w:rFonts w:ascii="Arial" w:hAnsi="Arial" w:cs="Arial"/>
          <w:sz w:val="22"/>
          <w:szCs w:val="22"/>
          <w:lang w:val="es-ES"/>
        </w:rPr>
        <w:t xml:space="preserve">Se propone modificar el contenido de la expresión “medida de lo posible” por una que implique que el Estado pueda asumir mayor responsabilidad sin dejar ese margen que se entiende se le pretende dejar. La expresión que se considera útil </w:t>
      </w:r>
      <w:r w:rsidR="002772D2">
        <w:rPr>
          <w:rFonts w:ascii="Arial" w:hAnsi="Arial" w:cs="Arial"/>
          <w:sz w:val="22"/>
          <w:szCs w:val="22"/>
          <w:lang w:val="es-ES"/>
        </w:rPr>
        <w:t xml:space="preserve">con ese fin </w:t>
      </w:r>
      <w:r>
        <w:rPr>
          <w:rFonts w:ascii="Arial" w:hAnsi="Arial" w:cs="Arial"/>
          <w:sz w:val="22"/>
          <w:szCs w:val="22"/>
          <w:lang w:val="es-ES"/>
        </w:rPr>
        <w:t xml:space="preserve">es “en la medida de sus </w:t>
      </w:r>
      <w:r w:rsidRPr="00114768">
        <w:rPr>
          <w:rFonts w:ascii="Arial" w:hAnsi="Arial" w:cs="Arial"/>
          <w:b/>
          <w:sz w:val="22"/>
          <w:szCs w:val="22"/>
          <w:lang w:val="es-ES"/>
        </w:rPr>
        <w:t>capacidades</w:t>
      </w:r>
      <w:r>
        <w:rPr>
          <w:rFonts w:ascii="Arial" w:hAnsi="Arial" w:cs="Arial"/>
          <w:sz w:val="22"/>
          <w:szCs w:val="22"/>
          <w:lang w:val="es-ES"/>
        </w:rPr>
        <w:t>”, ya que</w:t>
      </w:r>
      <w:r w:rsidR="002772D2">
        <w:rPr>
          <w:rFonts w:ascii="Arial" w:hAnsi="Arial" w:cs="Arial"/>
          <w:sz w:val="22"/>
          <w:szCs w:val="22"/>
          <w:lang w:val="es-ES"/>
        </w:rPr>
        <w:t xml:space="preserve"> pone en el centro de debate y análisis las capacidades reales con las que cuenta el Estado y no lo que le sería posible hacer</w:t>
      </w:r>
      <w:r w:rsidR="00106916">
        <w:rPr>
          <w:rFonts w:ascii="Arial" w:hAnsi="Arial" w:cs="Arial"/>
          <w:sz w:val="22"/>
          <w:szCs w:val="22"/>
          <w:lang w:val="es-ES"/>
        </w:rPr>
        <w:t xml:space="preserve"> a partir de otras muy amplias variables</w:t>
      </w:r>
      <w:r w:rsidR="002772D2">
        <w:rPr>
          <w:rFonts w:ascii="Arial" w:hAnsi="Arial" w:cs="Arial"/>
          <w:sz w:val="22"/>
          <w:szCs w:val="22"/>
          <w:lang w:val="es-ES"/>
        </w:rPr>
        <w:t xml:space="preserve">. Esto es, </w:t>
      </w:r>
      <w:r w:rsidR="003E5FA2">
        <w:rPr>
          <w:rFonts w:ascii="Arial" w:hAnsi="Arial" w:cs="Arial"/>
          <w:sz w:val="22"/>
          <w:szCs w:val="22"/>
          <w:lang w:val="es-ES"/>
        </w:rPr>
        <w:t>se</w:t>
      </w:r>
      <w:r w:rsidR="00106916">
        <w:rPr>
          <w:rFonts w:ascii="Arial" w:hAnsi="Arial" w:cs="Arial"/>
          <w:sz w:val="22"/>
          <w:szCs w:val="22"/>
          <w:lang w:val="es-ES"/>
        </w:rPr>
        <w:t xml:space="preserve"> trata de condicionar el cumplimiento de la obligación centrándose</w:t>
      </w:r>
      <w:r w:rsidR="003E5FA2">
        <w:rPr>
          <w:rFonts w:ascii="Arial" w:hAnsi="Arial" w:cs="Arial"/>
          <w:sz w:val="22"/>
          <w:szCs w:val="22"/>
          <w:lang w:val="es-ES"/>
        </w:rPr>
        <w:t xml:space="preserve"> más</w:t>
      </w:r>
      <w:r w:rsidR="002772D2">
        <w:rPr>
          <w:rFonts w:ascii="Arial" w:hAnsi="Arial" w:cs="Arial"/>
          <w:sz w:val="22"/>
          <w:szCs w:val="22"/>
          <w:lang w:val="es-ES"/>
        </w:rPr>
        <w:t xml:space="preserve"> </w:t>
      </w:r>
      <w:r w:rsidR="003E5FA2">
        <w:rPr>
          <w:rFonts w:ascii="Arial" w:hAnsi="Arial" w:cs="Arial"/>
          <w:sz w:val="22"/>
          <w:szCs w:val="22"/>
          <w:lang w:val="es-ES"/>
        </w:rPr>
        <w:t xml:space="preserve">en lo relativo </w:t>
      </w:r>
      <w:r w:rsidR="002772D2">
        <w:rPr>
          <w:rFonts w:ascii="Arial" w:hAnsi="Arial" w:cs="Arial"/>
          <w:sz w:val="22"/>
          <w:szCs w:val="22"/>
          <w:lang w:val="es-ES"/>
        </w:rPr>
        <w:t xml:space="preserve">a un ejercicio eficiente y eficaz de competencias, facultades y disposición de recursos, que </w:t>
      </w:r>
      <w:r w:rsidR="00445F0A">
        <w:rPr>
          <w:rFonts w:ascii="Arial" w:hAnsi="Arial" w:cs="Arial"/>
          <w:sz w:val="22"/>
          <w:szCs w:val="22"/>
          <w:lang w:val="es-ES"/>
        </w:rPr>
        <w:t>en</w:t>
      </w:r>
      <w:r w:rsidR="003E5FA2">
        <w:rPr>
          <w:rFonts w:ascii="Arial" w:hAnsi="Arial" w:cs="Arial"/>
          <w:sz w:val="22"/>
          <w:szCs w:val="22"/>
          <w:lang w:val="es-ES"/>
        </w:rPr>
        <w:t xml:space="preserve"> las</w:t>
      </w:r>
      <w:r w:rsidR="002772D2">
        <w:rPr>
          <w:rFonts w:ascii="Arial" w:hAnsi="Arial" w:cs="Arial"/>
          <w:sz w:val="22"/>
          <w:szCs w:val="22"/>
          <w:lang w:val="es-ES"/>
        </w:rPr>
        <w:t xml:space="preserve"> meras voluntades para alcanzar un fin</w:t>
      </w:r>
      <w:r w:rsidR="00445F0A" w:rsidRPr="00445F0A">
        <w:rPr>
          <w:rFonts w:ascii="Arial" w:hAnsi="Arial" w:cs="Arial"/>
          <w:sz w:val="22"/>
          <w:szCs w:val="22"/>
          <w:lang w:val="es-ES"/>
        </w:rPr>
        <w:t xml:space="preserve"> </w:t>
      </w:r>
      <w:r w:rsidR="00445F0A">
        <w:rPr>
          <w:rFonts w:ascii="Arial" w:hAnsi="Arial" w:cs="Arial"/>
          <w:sz w:val="22"/>
          <w:szCs w:val="22"/>
          <w:lang w:val="es-ES"/>
        </w:rPr>
        <w:t>determinado</w:t>
      </w:r>
      <w:r w:rsidR="003E5FA2">
        <w:rPr>
          <w:rFonts w:ascii="Arial" w:hAnsi="Arial" w:cs="Arial"/>
          <w:sz w:val="22"/>
          <w:szCs w:val="22"/>
          <w:lang w:val="es-ES"/>
        </w:rPr>
        <w:t xml:space="preserve">. </w:t>
      </w:r>
      <w:r w:rsidR="002772D2">
        <w:rPr>
          <w:rFonts w:ascii="Arial" w:hAnsi="Arial" w:cs="Arial"/>
          <w:sz w:val="22"/>
          <w:szCs w:val="22"/>
          <w:lang w:val="es-ES"/>
        </w:rPr>
        <w:t>Ante eso, se propone la siguiente redacción:</w:t>
      </w:r>
    </w:p>
    <w:p w:rsidR="002772D2" w:rsidRPr="00775B42" w:rsidRDefault="002772D2" w:rsidP="002772D2">
      <w:pPr>
        <w:spacing w:after="120"/>
        <w:ind w:left="1134" w:right="1134"/>
        <w:jc w:val="both"/>
        <w:rPr>
          <w:rFonts w:ascii="Arial" w:hAnsi="Arial" w:cs="Arial"/>
          <w:lang w:val="es-ES"/>
        </w:rPr>
      </w:pPr>
      <w:r w:rsidRPr="00775B42">
        <w:rPr>
          <w:rFonts w:ascii="Arial" w:hAnsi="Arial" w:cs="Arial"/>
          <w:lang w:val="es-ES"/>
        </w:rPr>
        <w:t xml:space="preserve">“… en la medida de </w:t>
      </w:r>
      <w:r w:rsidRPr="00775B42">
        <w:rPr>
          <w:rFonts w:ascii="Arial" w:hAnsi="Arial" w:cs="Arial"/>
          <w:color w:val="4472C4" w:themeColor="accent5"/>
          <w:lang w:val="es-ES"/>
        </w:rPr>
        <w:t>sus capacidades</w:t>
      </w:r>
      <w:r w:rsidRPr="00775B42">
        <w:rPr>
          <w:rFonts w:ascii="Arial" w:hAnsi="Arial" w:cs="Arial"/>
          <w:lang w:val="es-ES"/>
        </w:rPr>
        <w:t>, que la reunión se celebre de manera ininterrumpida.”</w:t>
      </w:r>
    </w:p>
    <w:p w:rsidR="002772D2" w:rsidRDefault="002772D2" w:rsidP="00C80595">
      <w:pPr>
        <w:spacing w:before="120" w:after="120" w:line="240" w:lineRule="auto"/>
        <w:jc w:val="both"/>
        <w:rPr>
          <w:rFonts w:ascii="Arial" w:hAnsi="Arial" w:cs="Arial"/>
          <w:sz w:val="22"/>
          <w:szCs w:val="22"/>
          <w:lang w:val="es-ES"/>
        </w:rPr>
      </w:pPr>
    </w:p>
    <w:p w:rsidR="007F3193" w:rsidRDefault="007F3193" w:rsidP="00C80595">
      <w:pPr>
        <w:spacing w:before="120" w:after="120" w:line="240" w:lineRule="auto"/>
        <w:jc w:val="both"/>
        <w:rPr>
          <w:rFonts w:ascii="Arial" w:hAnsi="Arial" w:cs="Arial"/>
          <w:sz w:val="22"/>
          <w:szCs w:val="22"/>
          <w:lang w:val="es-ES"/>
        </w:rPr>
      </w:pPr>
    </w:p>
    <w:p w:rsidR="00C80595" w:rsidRDefault="00A8046A" w:rsidP="00E941F1">
      <w:pPr>
        <w:spacing w:before="120" w:after="120" w:line="360" w:lineRule="auto"/>
        <w:ind w:right="-1"/>
        <w:jc w:val="both"/>
        <w:rPr>
          <w:rFonts w:ascii="Arial" w:hAnsi="Arial" w:cs="Arial"/>
          <w:sz w:val="22"/>
          <w:szCs w:val="22"/>
          <w:lang w:val="es-ES"/>
        </w:rPr>
      </w:pPr>
      <w:r>
        <w:rPr>
          <w:rFonts w:ascii="Arial" w:hAnsi="Arial" w:cs="Arial"/>
          <w:sz w:val="22"/>
          <w:szCs w:val="22"/>
          <w:lang w:val="es-ES"/>
        </w:rPr>
        <w:t xml:space="preserve">En el párrafo 50, séptima línea se establece: </w:t>
      </w:r>
    </w:p>
    <w:p w:rsidR="00A8046A" w:rsidRPr="00775B42" w:rsidRDefault="00A8046A" w:rsidP="00775B42">
      <w:pPr>
        <w:spacing w:before="120" w:after="120" w:line="240" w:lineRule="auto"/>
        <w:ind w:left="567" w:right="567"/>
        <w:jc w:val="both"/>
        <w:rPr>
          <w:rFonts w:ascii="Arial" w:hAnsi="Arial" w:cs="Arial"/>
          <w:lang w:val="es-ES"/>
        </w:rPr>
      </w:pPr>
      <w:r w:rsidRPr="00775B42">
        <w:rPr>
          <w:rFonts w:ascii="Arial" w:hAnsi="Arial" w:cs="Arial"/>
          <w:lang w:val="es-ES"/>
        </w:rPr>
        <w:t xml:space="preserve">"Orden público" y "ley y orden" no son sinónimos y la prohibición del "desorden público" recogida en la legislación nacional no debe usarse para imponer restricciones indebidas a las reuniones pacíficas. </w:t>
      </w:r>
    </w:p>
    <w:p w:rsidR="00A8046A" w:rsidRPr="007C610F" w:rsidRDefault="00A8046A" w:rsidP="007C610F">
      <w:pPr>
        <w:spacing w:line="240" w:lineRule="auto"/>
        <w:ind w:left="567" w:right="567"/>
        <w:jc w:val="both"/>
        <w:rPr>
          <w:lang w:val="es-ES"/>
        </w:rPr>
      </w:pPr>
    </w:p>
    <w:p w:rsidR="00A8046A" w:rsidRDefault="00A8046A" w:rsidP="005366E5">
      <w:pPr>
        <w:spacing w:before="120" w:after="120" w:line="360" w:lineRule="auto"/>
        <w:jc w:val="both"/>
        <w:rPr>
          <w:rFonts w:ascii="Arial" w:hAnsi="Arial" w:cs="Arial"/>
          <w:sz w:val="22"/>
          <w:szCs w:val="22"/>
          <w:lang w:val="es-ES"/>
        </w:rPr>
      </w:pPr>
      <w:r>
        <w:rPr>
          <w:rFonts w:ascii="Arial" w:hAnsi="Arial" w:cs="Arial"/>
          <w:sz w:val="22"/>
          <w:szCs w:val="22"/>
          <w:lang w:val="es-ES"/>
        </w:rPr>
        <w:t>En el párrafo 18 de</w:t>
      </w:r>
      <w:r w:rsidR="00112193">
        <w:rPr>
          <w:rFonts w:ascii="Arial" w:hAnsi="Arial" w:cs="Arial"/>
          <w:sz w:val="22"/>
          <w:szCs w:val="22"/>
          <w:lang w:val="es-ES"/>
        </w:rPr>
        <w:t>l proyecto de</w:t>
      </w:r>
      <w:r>
        <w:rPr>
          <w:rFonts w:ascii="Arial" w:hAnsi="Arial" w:cs="Arial"/>
          <w:sz w:val="22"/>
          <w:szCs w:val="22"/>
          <w:lang w:val="es-ES"/>
        </w:rPr>
        <w:t xml:space="preserve"> la Observación se establece que: “</w:t>
      </w:r>
      <w:r w:rsidRPr="00A8046A">
        <w:rPr>
          <w:rFonts w:ascii="Arial" w:hAnsi="Arial" w:cs="Arial"/>
          <w:sz w:val="22"/>
          <w:szCs w:val="22"/>
          <w:lang w:val="es-ES"/>
        </w:rPr>
        <w:t>el artículo 21 ampara la desobediencia civil”</w:t>
      </w:r>
      <w:r>
        <w:rPr>
          <w:rFonts w:ascii="Arial" w:hAnsi="Arial" w:cs="Arial"/>
          <w:sz w:val="22"/>
          <w:szCs w:val="22"/>
          <w:lang w:val="es-ES"/>
        </w:rPr>
        <w:t xml:space="preserve">. Si se entiende que la </w:t>
      </w:r>
      <w:r w:rsidRPr="00114768">
        <w:rPr>
          <w:rFonts w:ascii="Arial" w:hAnsi="Arial" w:cs="Arial"/>
          <w:b/>
          <w:i/>
          <w:sz w:val="22"/>
          <w:szCs w:val="22"/>
          <w:lang w:val="es-ES"/>
        </w:rPr>
        <w:t>desobediencia civil</w:t>
      </w:r>
      <w:r>
        <w:rPr>
          <w:rFonts w:ascii="Arial" w:hAnsi="Arial" w:cs="Arial"/>
          <w:sz w:val="22"/>
          <w:szCs w:val="22"/>
          <w:lang w:val="es-ES"/>
        </w:rPr>
        <w:t xml:space="preserve"> implica justamente el incumplimiento o inobservancia de la ley con un fin reivindicativo específico, en este párrafo </w:t>
      </w:r>
      <w:r w:rsidR="00F8308C">
        <w:rPr>
          <w:rFonts w:ascii="Arial" w:hAnsi="Arial" w:cs="Arial"/>
          <w:sz w:val="22"/>
          <w:szCs w:val="22"/>
          <w:lang w:val="es-ES"/>
        </w:rPr>
        <w:t xml:space="preserve">50 </w:t>
      </w:r>
      <w:r>
        <w:rPr>
          <w:rFonts w:ascii="Arial" w:hAnsi="Arial" w:cs="Arial"/>
          <w:sz w:val="22"/>
          <w:szCs w:val="22"/>
          <w:lang w:val="es-ES"/>
        </w:rPr>
        <w:t xml:space="preserve">que </w:t>
      </w:r>
      <w:r w:rsidR="00331D6B">
        <w:rPr>
          <w:rFonts w:ascii="Arial" w:hAnsi="Arial" w:cs="Arial"/>
          <w:sz w:val="22"/>
          <w:szCs w:val="22"/>
          <w:lang w:val="es-ES"/>
        </w:rPr>
        <w:t xml:space="preserve">se </w:t>
      </w:r>
      <w:r>
        <w:rPr>
          <w:rFonts w:ascii="Arial" w:hAnsi="Arial" w:cs="Arial"/>
          <w:sz w:val="22"/>
          <w:szCs w:val="22"/>
          <w:lang w:val="es-ES"/>
        </w:rPr>
        <w:t>habla del “orden público” y “desorden público”, resulta necesario hacer alguna precisión adicional a la distinción</w:t>
      </w:r>
      <w:r w:rsidR="004928BB">
        <w:rPr>
          <w:rFonts w:ascii="Arial" w:hAnsi="Arial" w:cs="Arial"/>
          <w:sz w:val="22"/>
          <w:szCs w:val="22"/>
          <w:lang w:val="es-ES"/>
        </w:rPr>
        <w:t xml:space="preserve"> de</w:t>
      </w:r>
      <w:r>
        <w:rPr>
          <w:rFonts w:ascii="Arial" w:hAnsi="Arial" w:cs="Arial"/>
          <w:sz w:val="22"/>
          <w:szCs w:val="22"/>
          <w:lang w:val="es-ES"/>
        </w:rPr>
        <w:t xml:space="preserve"> “ley y orden” o bien, establecer una referencia al referido párrafo 18 con el fin de no dejar dudas respecto a que el reunirse con el fin de incumplir o desobedecer la ley no puede ser considerado </w:t>
      </w:r>
      <w:r>
        <w:rPr>
          <w:rFonts w:ascii="Arial" w:hAnsi="Arial" w:cs="Arial"/>
          <w:i/>
          <w:sz w:val="22"/>
          <w:szCs w:val="22"/>
          <w:lang w:val="es-ES"/>
        </w:rPr>
        <w:t xml:space="preserve">per se </w:t>
      </w:r>
      <w:r>
        <w:rPr>
          <w:rFonts w:ascii="Arial" w:hAnsi="Arial" w:cs="Arial"/>
          <w:sz w:val="22"/>
          <w:szCs w:val="22"/>
          <w:lang w:val="es-ES"/>
        </w:rPr>
        <w:t>desorden público o un rompimiento del orden público</w:t>
      </w:r>
      <w:r w:rsidR="00F8308C">
        <w:rPr>
          <w:rFonts w:ascii="Arial" w:hAnsi="Arial" w:cs="Arial"/>
          <w:sz w:val="22"/>
          <w:szCs w:val="22"/>
          <w:lang w:val="es-ES"/>
        </w:rPr>
        <w:t xml:space="preserve"> y</w:t>
      </w:r>
      <w:r w:rsidR="00331D6B">
        <w:rPr>
          <w:rFonts w:ascii="Arial" w:hAnsi="Arial" w:cs="Arial"/>
          <w:sz w:val="22"/>
          <w:szCs w:val="22"/>
          <w:lang w:val="es-ES"/>
        </w:rPr>
        <w:t>, que en todo caso que sea pacífico,</w:t>
      </w:r>
      <w:r w:rsidR="00F8308C">
        <w:rPr>
          <w:rFonts w:ascii="Arial" w:hAnsi="Arial" w:cs="Arial"/>
          <w:sz w:val="22"/>
          <w:szCs w:val="22"/>
          <w:lang w:val="es-ES"/>
        </w:rPr>
        <w:t xml:space="preserve"> está protegido por el artículo 21</w:t>
      </w:r>
      <w:r>
        <w:rPr>
          <w:rFonts w:ascii="Arial" w:hAnsi="Arial" w:cs="Arial"/>
          <w:sz w:val="22"/>
          <w:szCs w:val="22"/>
          <w:lang w:val="es-ES"/>
        </w:rPr>
        <w:t xml:space="preserve">. De </w:t>
      </w:r>
      <w:r w:rsidR="00F8308C">
        <w:rPr>
          <w:rFonts w:ascii="Arial" w:hAnsi="Arial" w:cs="Arial"/>
          <w:sz w:val="22"/>
          <w:szCs w:val="22"/>
          <w:lang w:val="es-ES"/>
        </w:rPr>
        <w:t xml:space="preserve">no hacerse así, en nuestra opinión, </w:t>
      </w:r>
      <w:r>
        <w:rPr>
          <w:rFonts w:ascii="Arial" w:hAnsi="Arial" w:cs="Arial"/>
          <w:sz w:val="22"/>
          <w:szCs w:val="22"/>
          <w:lang w:val="es-ES"/>
        </w:rPr>
        <w:t xml:space="preserve">parecería que existe </w:t>
      </w:r>
      <w:r>
        <w:rPr>
          <w:rFonts w:ascii="Arial" w:hAnsi="Arial" w:cs="Arial"/>
          <w:sz w:val="22"/>
          <w:szCs w:val="22"/>
          <w:lang w:val="es-ES"/>
        </w:rPr>
        <w:lastRenderedPageBreak/>
        <w:t xml:space="preserve">o podría existir </w:t>
      </w:r>
      <w:r w:rsidR="00331D6B">
        <w:rPr>
          <w:rFonts w:ascii="Arial" w:hAnsi="Arial" w:cs="Arial"/>
          <w:sz w:val="22"/>
          <w:szCs w:val="22"/>
          <w:lang w:val="es-ES"/>
        </w:rPr>
        <w:t xml:space="preserve">una contradicción </w:t>
      </w:r>
      <w:r w:rsidR="004928BB">
        <w:rPr>
          <w:rFonts w:ascii="Arial" w:hAnsi="Arial" w:cs="Arial"/>
          <w:sz w:val="22"/>
          <w:szCs w:val="22"/>
          <w:lang w:val="es-ES"/>
        </w:rPr>
        <w:t xml:space="preserve">o al menos un vacío “peligroso” </w:t>
      </w:r>
      <w:r w:rsidR="00331D6B">
        <w:rPr>
          <w:rFonts w:ascii="Arial" w:hAnsi="Arial" w:cs="Arial"/>
          <w:sz w:val="22"/>
          <w:szCs w:val="22"/>
          <w:lang w:val="es-ES"/>
        </w:rPr>
        <w:t>en la O</w:t>
      </w:r>
      <w:r>
        <w:rPr>
          <w:rFonts w:ascii="Arial" w:hAnsi="Arial" w:cs="Arial"/>
          <w:sz w:val="22"/>
          <w:szCs w:val="22"/>
          <w:lang w:val="es-ES"/>
        </w:rPr>
        <w:t xml:space="preserve">bservación, si se entiende a profundidad lo que implica o debe ser la </w:t>
      </w:r>
      <w:r w:rsidRPr="00331D6B">
        <w:rPr>
          <w:rFonts w:ascii="Arial" w:hAnsi="Arial" w:cs="Arial"/>
          <w:i/>
          <w:sz w:val="22"/>
          <w:szCs w:val="22"/>
          <w:lang w:val="es-ES"/>
        </w:rPr>
        <w:t>desobediencia civil</w:t>
      </w:r>
      <w:r w:rsidR="00F8308C">
        <w:rPr>
          <w:rFonts w:ascii="Arial" w:hAnsi="Arial" w:cs="Arial"/>
          <w:sz w:val="22"/>
          <w:szCs w:val="22"/>
          <w:lang w:val="es-ES"/>
        </w:rPr>
        <w:t xml:space="preserve"> y los alcances que se le pueden dar al </w:t>
      </w:r>
      <w:r w:rsidR="00F8308C" w:rsidRPr="00331D6B">
        <w:rPr>
          <w:rFonts w:ascii="Arial" w:hAnsi="Arial" w:cs="Arial"/>
          <w:i/>
          <w:sz w:val="22"/>
          <w:szCs w:val="22"/>
          <w:lang w:val="es-ES"/>
        </w:rPr>
        <w:t>orden público</w:t>
      </w:r>
      <w:r w:rsidR="004928BB">
        <w:rPr>
          <w:rFonts w:ascii="Arial" w:hAnsi="Arial" w:cs="Arial"/>
          <w:i/>
          <w:sz w:val="22"/>
          <w:szCs w:val="22"/>
          <w:lang w:val="es-ES"/>
        </w:rPr>
        <w:t xml:space="preserve"> </w:t>
      </w:r>
      <w:r w:rsidR="004928BB">
        <w:rPr>
          <w:rFonts w:ascii="Arial" w:hAnsi="Arial" w:cs="Arial"/>
          <w:sz w:val="22"/>
          <w:szCs w:val="22"/>
          <w:lang w:val="es-ES"/>
        </w:rPr>
        <w:t>por el Estado</w:t>
      </w:r>
      <w:r>
        <w:rPr>
          <w:rFonts w:ascii="Arial" w:hAnsi="Arial" w:cs="Arial"/>
          <w:sz w:val="22"/>
          <w:szCs w:val="22"/>
          <w:lang w:val="es-ES"/>
        </w:rPr>
        <w:t>.</w:t>
      </w:r>
      <w:r w:rsidR="00112193">
        <w:rPr>
          <w:rFonts w:ascii="Arial" w:hAnsi="Arial" w:cs="Arial"/>
          <w:sz w:val="22"/>
          <w:szCs w:val="22"/>
          <w:lang w:val="es-ES"/>
        </w:rPr>
        <w:t xml:space="preserve"> </w:t>
      </w:r>
      <w:r w:rsidR="004928BB">
        <w:rPr>
          <w:rFonts w:ascii="Arial" w:hAnsi="Arial" w:cs="Arial"/>
          <w:sz w:val="22"/>
          <w:szCs w:val="22"/>
          <w:lang w:val="es-ES"/>
        </w:rPr>
        <w:t>Además</w:t>
      </w:r>
      <w:r w:rsidR="00331D6B">
        <w:rPr>
          <w:rFonts w:ascii="Arial" w:hAnsi="Arial" w:cs="Arial"/>
          <w:sz w:val="22"/>
          <w:szCs w:val="22"/>
          <w:lang w:val="es-ES"/>
        </w:rPr>
        <w:t>,</w:t>
      </w:r>
      <w:r w:rsidR="00112193">
        <w:rPr>
          <w:rFonts w:ascii="Arial" w:hAnsi="Arial" w:cs="Arial"/>
          <w:sz w:val="22"/>
          <w:szCs w:val="22"/>
          <w:lang w:val="es-ES"/>
        </w:rPr>
        <w:t xml:space="preserve"> esto se podría relacionar también con lo que establece el párrafo 114 del proyecto de </w:t>
      </w:r>
      <w:r w:rsidR="00331D6B">
        <w:rPr>
          <w:rFonts w:ascii="Arial" w:hAnsi="Arial" w:cs="Arial"/>
          <w:sz w:val="22"/>
          <w:szCs w:val="22"/>
          <w:lang w:val="es-ES"/>
        </w:rPr>
        <w:t>Observación</w:t>
      </w:r>
      <w:r w:rsidR="00112193">
        <w:rPr>
          <w:rFonts w:ascii="Arial" w:hAnsi="Arial" w:cs="Arial"/>
          <w:sz w:val="22"/>
          <w:szCs w:val="22"/>
          <w:lang w:val="es-ES"/>
        </w:rPr>
        <w:t>.</w:t>
      </w:r>
      <w:r>
        <w:rPr>
          <w:rFonts w:ascii="Arial" w:hAnsi="Arial" w:cs="Arial"/>
          <w:sz w:val="22"/>
          <w:szCs w:val="22"/>
          <w:lang w:val="es-ES"/>
        </w:rPr>
        <w:t xml:space="preserve"> Ante eso, se propone la siguiente redacción:</w:t>
      </w:r>
    </w:p>
    <w:p w:rsidR="00775B42" w:rsidRPr="007C610F" w:rsidRDefault="00775B42" w:rsidP="007C610F">
      <w:pPr>
        <w:spacing w:line="240" w:lineRule="auto"/>
        <w:ind w:left="567" w:right="567"/>
        <w:jc w:val="both"/>
        <w:rPr>
          <w:lang w:val="es-ES"/>
        </w:rPr>
      </w:pPr>
    </w:p>
    <w:p w:rsidR="00A8046A" w:rsidRDefault="00924FAA" w:rsidP="00A8046A">
      <w:pPr>
        <w:spacing w:after="120"/>
        <w:ind w:left="567" w:right="567"/>
        <w:jc w:val="both"/>
        <w:rPr>
          <w:rFonts w:ascii="Arial" w:hAnsi="Arial" w:cs="Arial"/>
          <w:color w:val="4472C4" w:themeColor="accent5"/>
          <w:lang w:val="es-ES"/>
        </w:rPr>
      </w:pPr>
      <w:r w:rsidRPr="00775B42">
        <w:rPr>
          <w:rFonts w:ascii="Arial" w:hAnsi="Arial" w:cs="Arial"/>
          <w:lang w:val="es-ES"/>
        </w:rPr>
        <w:t xml:space="preserve">[OPCIÓN 1] </w:t>
      </w:r>
      <w:r w:rsidR="00A8046A" w:rsidRPr="00775B42">
        <w:rPr>
          <w:rFonts w:ascii="Arial" w:hAnsi="Arial" w:cs="Arial"/>
          <w:lang w:val="es-ES"/>
        </w:rPr>
        <w:t xml:space="preserve">"Orden público" y "ley y orden" no son sinónimos y la prohibición del "desorden público" recogida en la legislación nacional no debe usarse para imponer restricciones indebidas a las reuniones pacíficas. </w:t>
      </w:r>
      <w:r w:rsidR="001F5120" w:rsidRPr="00775B42">
        <w:rPr>
          <w:rFonts w:ascii="Arial" w:hAnsi="Arial" w:cs="Arial"/>
          <w:color w:val="4472C4" w:themeColor="accent5"/>
          <w:lang w:val="es-ES"/>
        </w:rPr>
        <w:t>El incumplimiento o inobservancia puntual y pacífica de la ley no puede ser considerad</w:t>
      </w:r>
      <w:r w:rsidR="004928BB">
        <w:rPr>
          <w:rFonts w:ascii="Arial" w:hAnsi="Arial" w:cs="Arial"/>
          <w:color w:val="4472C4" w:themeColor="accent5"/>
          <w:lang w:val="es-ES"/>
        </w:rPr>
        <w:t>a</w:t>
      </w:r>
      <w:r w:rsidR="001F5120" w:rsidRPr="00775B42">
        <w:rPr>
          <w:rFonts w:ascii="Arial" w:hAnsi="Arial" w:cs="Arial"/>
          <w:color w:val="4472C4" w:themeColor="accent5"/>
          <w:lang w:val="es-ES"/>
        </w:rPr>
        <w:t xml:space="preserve"> por regla general o por sí mism</w:t>
      </w:r>
      <w:r w:rsidR="004928BB">
        <w:rPr>
          <w:rFonts w:ascii="Arial" w:hAnsi="Arial" w:cs="Arial"/>
          <w:color w:val="4472C4" w:themeColor="accent5"/>
          <w:lang w:val="es-ES"/>
        </w:rPr>
        <w:t>a</w:t>
      </w:r>
      <w:r w:rsidR="001F5120" w:rsidRPr="00775B42">
        <w:rPr>
          <w:rFonts w:ascii="Arial" w:hAnsi="Arial" w:cs="Arial"/>
          <w:color w:val="4472C4" w:themeColor="accent5"/>
          <w:lang w:val="es-ES"/>
        </w:rPr>
        <w:t xml:space="preserve"> un rompimiento del “orden público”.</w:t>
      </w:r>
    </w:p>
    <w:p w:rsidR="00775B42" w:rsidRPr="00775B42" w:rsidRDefault="00775B42" w:rsidP="00984840">
      <w:pPr>
        <w:ind w:left="567" w:right="567"/>
        <w:jc w:val="both"/>
        <w:rPr>
          <w:rFonts w:ascii="Arial" w:hAnsi="Arial" w:cs="Arial"/>
          <w:color w:val="4472C4" w:themeColor="accent5"/>
          <w:lang w:val="es-ES"/>
        </w:rPr>
      </w:pPr>
    </w:p>
    <w:p w:rsidR="00A8046A" w:rsidRPr="00775B42" w:rsidRDefault="00924FAA" w:rsidP="00924FAA">
      <w:pPr>
        <w:spacing w:after="120"/>
        <w:ind w:left="567" w:right="567"/>
        <w:jc w:val="both"/>
        <w:rPr>
          <w:rFonts w:ascii="Arial" w:hAnsi="Arial" w:cs="Arial"/>
          <w:lang w:val="es-ES"/>
        </w:rPr>
      </w:pPr>
      <w:r w:rsidRPr="00775B42">
        <w:rPr>
          <w:rFonts w:ascii="Arial" w:hAnsi="Arial" w:cs="Arial"/>
          <w:lang w:val="es-ES"/>
        </w:rPr>
        <w:t xml:space="preserve">[OPCIÓN 2] "Orden público" y "ley y orden" no son sinónimos y la prohibición del "desorden público" recogida en la legislación nacional no debe usarse para imponer restricciones indebidas a las reuniones pacíficas, </w:t>
      </w:r>
      <w:r w:rsidRPr="00775B42">
        <w:rPr>
          <w:rFonts w:ascii="Arial" w:hAnsi="Arial" w:cs="Arial"/>
          <w:color w:val="4472C4" w:themeColor="accent5"/>
          <w:lang w:val="es-ES"/>
        </w:rPr>
        <w:t>incluidas las mencionadas en el párrafo 18 de esta Observación</w:t>
      </w:r>
      <w:r w:rsidRPr="00775B42">
        <w:rPr>
          <w:rFonts w:ascii="Arial" w:hAnsi="Arial" w:cs="Arial"/>
          <w:lang w:val="es-ES"/>
        </w:rPr>
        <w:t>.</w:t>
      </w:r>
    </w:p>
    <w:p w:rsidR="00D568FC" w:rsidRDefault="00D568FC" w:rsidP="00924FAA">
      <w:pPr>
        <w:spacing w:after="120"/>
        <w:ind w:left="567" w:right="567"/>
        <w:jc w:val="both"/>
        <w:rPr>
          <w:lang w:val="es-ES"/>
        </w:rPr>
      </w:pPr>
    </w:p>
    <w:p w:rsidR="00775B42" w:rsidRPr="00924FAA" w:rsidRDefault="00775B42" w:rsidP="00924FAA">
      <w:pPr>
        <w:spacing w:after="120"/>
        <w:ind w:left="567" w:right="567"/>
        <w:jc w:val="both"/>
        <w:rPr>
          <w:lang w:val="es-ES"/>
        </w:rPr>
      </w:pPr>
    </w:p>
    <w:p w:rsidR="00D568FC" w:rsidRDefault="00D568FC" w:rsidP="00D568FC">
      <w:pPr>
        <w:spacing w:before="120" w:after="120" w:line="360" w:lineRule="auto"/>
        <w:ind w:right="-1"/>
        <w:jc w:val="both"/>
        <w:rPr>
          <w:rFonts w:ascii="Arial" w:hAnsi="Arial" w:cs="Arial"/>
          <w:sz w:val="22"/>
          <w:szCs w:val="22"/>
          <w:lang w:val="es-ES"/>
        </w:rPr>
      </w:pPr>
      <w:r>
        <w:rPr>
          <w:rFonts w:ascii="Arial" w:hAnsi="Arial" w:cs="Arial"/>
          <w:sz w:val="22"/>
          <w:szCs w:val="22"/>
          <w:lang w:val="es-ES"/>
        </w:rPr>
        <w:t xml:space="preserve">En el párrafo 67, dos últimas líneas se establece: </w:t>
      </w:r>
    </w:p>
    <w:p w:rsidR="00D568FC" w:rsidRPr="00775B42" w:rsidRDefault="00D568FC" w:rsidP="00775B42">
      <w:pPr>
        <w:spacing w:before="120" w:after="120" w:line="240" w:lineRule="auto"/>
        <w:ind w:left="567" w:right="567"/>
        <w:jc w:val="both"/>
        <w:rPr>
          <w:rFonts w:ascii="Arial" w:hAnsi="Arial" w:cs="Arial"/>
          <w:lang w:val="es-ES"/>
        </w:rPr>
      </w:pPr>
      <w:r w:rsidRPr="00775B42">
        <w:rPr>
          <w:rFonts w:ascii="Arial" w:hAnsi="Arial" w:cs="Arial"/>
          <w:lang w:val="es-ES"/>
        </w:rPr>
        <w:t>“Las reuniones que se celebran en una propiedad privada con el consentimiento de los propietarios disfrutan de la misma protección que otras reuniones.”</w:t>
      </w:r>
    </w:p>
    <w:p w:rsidR="00D568FC" w:rsidRPr="00D568FC" w:rsidRDefault="00D568FC" w:rsidP="0080306B">
      <w:pPr>
        <w:spacing w:line="240" w:lineRule="auto"/>
        <w:ind w:left="567" w:right="567"/>
        <w:jc w:val="both"/>
        <w:rPr>
          <w:lang w:val="es-ES"/>
        </w:rPr>
      </w:pPr>
    </w:p>
    <w:p w:rsidR="00F36555" w:rsidRDefault="00D568FC" w:rsidP="007C610F">
      <w:pPr>
        <w:spacing w:before="120" w:after="120" w:line="360" w:lineRule="auto"/>
        <w:jc w:val="both"/>
        <w:rPr>
          <w:rFonts w:ascii="Arial" w:hAnsi="Arial" w:cs="Arial"/>
          <w:sz w:val="22"/>
          <w:szCs w:val="22"/>
          <w:lang w:val="es-ES"/>
        </w:rPr>
      </w:pPr>
      <w:r>
        <w:rPr>
          <w:rFonts w:ascii="Arial" w:hAnsi="Arial" w:cs="Arial"/>
          <w:sz w:val="22"/>
          <w:szCs w:val="22"/>
          <w:lang w:val="es-ES"/>
        </w:rPr>
        <w:t xml:space="preserve">En diferentes partes de la Observación se establecen las restricciones y limitaciones que hay para el ejercicio del derecho de reunión en </w:t>
      </w:r>
      <w:r w:rsidRPr="00114768">
        <w:rPr>
          <w:rFonts w:ascii="Arial" w:hAnsi="Arial" w:cs="Arial"/>
          <w:b/>
          <w:i/>
          <w:sz w:val="22"/>
          <w:szCs w:val="22"/>
          <w:lang w:val="es-ES"/>
        </w:rPr>
        <w:t>espacios privados</w:t>
      </w:r>
      <w:r>
        <w:rPr>
          <w:rFonts w:ascii="Arial" w:hAnsi="Arial" w:cs="Arial"/>
          <w:sz w:val="22"/>
          <w:szCs w:val="22"/>
          <w:lang w:val="es-ES"/>
        </w:rPr>
        <w:t>. No obstante eso, nos parece necesario que se precise o introduzca alguna referencia más clara respecto a que las personas que tienen derecho a estar o entrar en esos espacios privados, también tienen</w:t>
      </w:r>
      <w:r w:rsidR="00114768">
        <w:rPr>
          <w:rFonts w:ascii="Arial" w:hAnsi="Arial" w:cs="Arial"/>
          <w:sz w:val="22"/>
          <w:szCs w:val="22"/>
          <w:lang w:val="es-ES"/>
        </w:rPr>
        <w:t xml:space="preserve"> reconocido</w:t>
      </w:r>
      <w:r w:rsidR="00114768" w:rsidRPr="00114768">
        <w:rPr>
          <w:rFonts w:ascii="Arial" w:hAnsi="Arial" w:cs="Arial"/>
          <w:sz w:val="22"/>
          <w:szCs w:val="22"/>
          <w:lang w:val="es-ES"/>
        </w:rPr>
        <w:t xml:space="preserve"> </w:t>
      </w:r>
      <w:r w:rsidR="00114768">
        <w:rPr>
          <w:rFonts w:ascii="Arial" w:hAnsi="Arial" w:cs="Arial"/>
          <w:sz w:val="22"/>
          <w:szCs w:val="22"/>
          <w:lang w:val="es-ES"/>
        </w:rPr>
        <w:t xml:space="preserve">en dichos espacios </w:t>
      </w:r>
      <w:r>
        <w:rPr>
          <w:rFonts w:ascii="Arial" w:hAnsi="Arial" w:cs="Arial"/>
          <w:sz w:val="22"/>
          <w:szCs w:val="22"/>
          <w:lang w:val="es-ES"/>
        </w:rPr>
        <w:t xml:space="preserve">el </w:t>
      </w:r>
      <w:r w:rsidR="00114768">
        <w:rPr>
          <w:rFonts w:ascii="Arial" w:hAnsi="Arial" w:cs="Arial"/>
          <w:sz w:val="22"/>
          <w:szCs w:val="22"/>
          <w:lang w:val="es-ES"/>
        </w:rPr>
        <w:t>ejercicio d</w:t>
      </w:r>
      <w:r>
        <w:rPr>
          <w:rFonts w:ascii="Arial" w:hAnsi="Arial" w:cs="Arial"/>
          <w:sz w:val="22"/>
          <w:szCs w:val="22"/>
          <w:lang w:val="es-ES"/>
        </w:rPr>
        <w:t>el d</w:t>
      </w:r>
      <w:r w:rsidR="00F36555">
        <w:rPr>
          <w:rFonts w:ascii="Arial" w:hAnsi="Arial" w:cs="Arial"/>
          <w:sz w:val="22"/>
          <w:szCs w:val="22"/>
          <w:lang w:val="es-ES"/>
        </w:rPr>
        <w:t xml:space="preserve">erecho de reunión pacífica. Este aspecto nos interesa especialmente pensando en </w:t>
      </w:r>
      <w:r w:rsidR="00FC5CF9">
        <w:rPr>
          <w:rFonts w:ascii="Arial" w:hAnsi="Arial" w:cs="Arial"/>
          <w:sz w:val="22"/>
          <w:szCs w:val="22"/>
          <w:lang w:val="es-ES"/>
        </w:rPr>
        <w:t>universidades</w:t>
      </w:r>
      <w:r w:rsidR="002F316D">
        <w:rPr>
          <w:rFonts w:ascii="Arial" w:hAnsi="Arial" w:cs="Arial"/>
          <w:sz w:val="22"/>
          <w:szCs w:val="22"/>
          <w:lang w:val="es-ES"/>
        </w:rPr>
        <w:t xml:space="preserve"> privadas</w:t>
      </w:r>
      <w:r w:rsidR="00FC5CF9">
        <w:rPr>
          <w:rFonts w:ascii="Arial" w:hAnsi="Arial" w:cs="Arial"/>
          <w:sz w:val="22"/>
          <w:szCs w:val="22"/>
          <w:lang w:val="es-ES"/>
        </w:rPr>
        <w:t xml:space="preserve">, </w:t>
      </w:r>
      <w:r w:rsidR="00F36555">
        <w:rPr>
          <w:rFonts w:ascii="Arial" w:hAnsi="Arial" w:cs="Arial"/>
          <w:sz w:val="22"/>
          <w:szCs w:val="22"/>
          <w:lang w:val="es-ES"/>
        </w:rPr>
        <w:t xml:space="preserve">empresas, fabricas, edificios y cualquier otro espacio </w:t>
      </w:r>
      <w:r w:rsidR="002F316D">
        <w:rPr>
          <w:rFonts w:ascii="Arial" w:hAnsi="Arial" w:cs="Arial"/>
          <w:sz w:val="22"/>
          <w:szCs w:val="22"/>
          <w:lang w:val="es-ES"/>
        </w:rPr>
        <w:t xml:space="preserve">que podría entenderse, </w:t>
      </w:r>
      <w:r w:rsidR="00F36555">
        <w:rPr>
          <w:rFonts w:ascii="Arial" w:hAnsi="Arial" w:cs="Arial"/>
          <w:sz w:val="22"/>
          <w:szCs w:val="22"/>
          <w:lang w:val="es-ES"/>
        </w:rPr>
        <w:t xml:space="preserve">ser </w:t>
      </w:r>
      <w:r w:rsidR="00FC5CF9">
        <w:rPr>
          <w:rFonts w:ascii="Arial" w:hAnsi="Arial" w:cs="Arial"/>
          <w:sz w:val="22"/>
          <w:szCs w:val="22"/>
          <w:lang w:val="es-ES"/>
        </w:rPr>
        <w:t xml:space="preserve">o asignársele la característica de </w:t>
      </w:r>
      <w:r w:rsidR="00F36555">
        <w:rPr>
          <w:rFonts w:ascii="Arial" w:hAnsi="Arial" w:cs="Arial"/>
          <w:sz w:val="22"/>
          <w:szCs w:val="22"/>
          <w:lang w:val="es-ES"/>
        </w:rPr>
        <w:t>espacio privado,</w:t>
      </w:r>
      <w:r w:rsidR="002F316D">
        <w:rPr>
          <w:rFonts w:ascii="Arial" w:hAnsi="Arial" w:cs="Arial"/>
          <w:sz w:val="22"/>
          <w:szCs w:val="22"/>
          <w:lang w:val="es-ES"/>
        </w:rPr>
        <w:t xml:space="preserve"> y que por ese hecho</w:t>
      </w:r>
      <w:r w:rsidR="00765CF6">
        <w:rPr>
          <w:rFonts w:ascii="Arial" w:hAnsi="Arial" w:cs="Arial"/>
          <w:sz w:val="22"/>
          <w:szCs w:val="22"/>
          <w:lang w:val="es-ES"/>
        </w:rPr>
        <w:t>,</w:t>
      </w:r>
      <w:r w:rsidR="00F36555">
        <w:rPr>
          <w:rFonts w:ascii="Arial" w:hAnsi="Arial" w:cs="Arial"/>
          <w:sz w:val="22"/>
          <w:szCs w:val="22"/>
          <w:lang w:val="es-ES"/>
        </w:rPr>
        <w:t xml:space="preserve"> se </w:t>
      </w:r>
      <w:r w:rsidR="00114768">
        <w:rPr>
          <w:rFonts w:ascii="Arial" w:hAnsi="Arial" w:cs="Arial"/>
          <w:sz w:val="22"/>
          <w:szCs w:val="22"/>
          <w:lang w:val="es-ES"/>
        </w:rPr>
        <w:t>p</w:t>
      </w:r>
      <w:r w:rsidR="002F316D">
        <w:rPr>
          <w:rFonts w:ascii="Arial" w:hAnsi="Arial" w:cs="Arial"/>
          <w:sz w:val="22"/>
          <w:szCs w:val="22"/>
          <w:lang w:val="es-ES"/>
        </w:rPr>
        <w:t>udiera</w:t>
      </w:r>
      <w:r w:rsidR="00F36555">
        <w:rPr>
          <w:rFonts w:ascii="Arial" w:hAnsi="Arial" w:cs="Arial"/>
          <w:sz w:val="22"/>
          <w:szCs w:val="22"/>
          <w:lang w:val="es-ES"/>
        </w:rPr>
        <w:t xml:space="preserve"> imp</w:t>
      </w:r>
      <w:r w:rsidR="00114768">
        <w:rPr>
          <w:rFonts w:ascii="Arial" w:hAnsi="Arial" w:cs="Arial"/>
          <w:sz w:val="22"/>
          <w:szCs w:val="22"/>
          <w:lang w:val="es-ES"/>
        </w:rPr>
        <w:t>edir</w:t>
      </w:r>
      <w:r w:rsidR="002F316D">
        <w:rPr>
          <w:rFonts w:ascii="Arial" w:hAnsi="Arial" w:cs="Arial"/>
          <w:sz w:val="22"/>
          <w:szCs w:val="22"/>
          <w:lang w:val="es-ES"/>
        </w:rPr>
        <w:t xml:space="preserve"> o intentar justificar </w:t>
      </w:r>
      <w:r w:rsidR="00765CF6">
        <w:rPr>
          <w:rFonts w:ascii="Arial" w:hAnsi="Arial" w:cs="Arial"/>
          <w:sz w:val="22"/>
          <w:szCs w:val="22"/>
          <w:lang w:val="es-ES"/>
        </w:rPr>
        <w:t>el</w:t>
      </w:r>
      <w:r w:rsidR="002F316D">
        <w:rPr>
          <w:rFonts w:ascii="Arial" w:hAnsi="Arial" w:cs="Arial"/>
          <w:sz w:val="22"/>
          <w:szCs w:val="22"/>
          <w:lang w:val="es-ES"/>
        </w:rPr>
        <w:t xml:space="preserve"> no </w:t>
      </w:r>
      <w:r w:rsidR="00765CF6">
        <w:rPr>
          <w:rFonts w:ascii="Arial" w:hAnsi="Arial" w:cs="Arial"/>
          <w:sz w:val="22"/>
          <w:szCs w:val="22"/>
          <w:lang w:val="es-ES"/>
        </w:rPr>
        <w:t>ejercicio</w:t>
      </w:r>
      <w:r w:rsidR="002F316D">
        <w:rPr>
          <w:rFonts w:ascii="Arial" w:hAnsi="Arial" w:cs="Arial"/>
          <w:sz w:val="22"/>
          <w:szCs w:val="22"/>
          <w:lang w:val="es-ES"/>
        </w:rPr>
        <w:t xml:space="preserve"> del derecho de reunión</w:t>
      </w:r>
      <w:r w:rsidR="00F36555">
        <w:rPr>
          <w:rFonts w:ascii="Arial" w:hAnsi="Arial" w:cs="Arial"/>
          <w:sz w:val="22"/>
          <w:szCs w:val="22"/>
          <w:lang w:val="es-ES"/>
        </w:rPr>
        <w:t xml:space="preserve"> a </w:t>
      </w:r>
      <w:r w:rsidR="00FC5CF9">
        <w:rPr>
          <w:rFonts w:ascii="Arial" w:hAnsi="Arial" w:cs="Arial"/>
          <w:sz w:val="22"/>
          <w:szCs w:val="22"/>
          <w:lang w:val="es-ES"/>
        </w:rPr>
        <w:t xml:space="preserve">estudiantes, profesores, </w:t>
      </w:r>
      <w:r w:rsidR="00F36555">
        <w:rPr>
          <w:rFonts w:ascii="Arial" w:hAnsi="Arial" w:cs="Arial"/>
          <w:sz w:val="22"/>
          <w:szCs w:val="22"/>
          <w:lang w:val="es-ES"/>
        </w:rPr>
        <w:t>trabajadores</w:t>
      </w:r>
      <w:r w:rsidR="00114768">
        <w:rPr>
          <w:rFonts w:ascii="Arial" w:hAnsi="Arial" w:cs="Arial"/>
          <w:sz w:val="22"/>
          <w:szCs w:val="22"/>
          <w:lang w:val="es-ES"/>
        </w:rPr>
        <w:t>, empleados</w:t>
      </w:r>
      <w:r w:rsidR="00F36555">
        <w:rPr>
          <w:rFonts w:ascii="Arial" w:hAnsi="Arial" w:cs="Arial"/>
          <w:sz w:val="22"/>
          <w:szCs w:val="22"/>
          <w:lang w:val="es-ES"/>
        </w:rPr>
        <w:t xml:space="preserve"> o personas que por alguna razón o relación con ese espacio privado se encuentren ahí, </w:t>
      </w:r>
      <w:r w:rsidR="00765CF6">
        <w:rPr>
          <w:rFonts w:ascii="Arial" w:hAnsi="Arial" w:cs="Arial"/>
          <w:sz w:val="22"/>
          <w:szCs w:val="22"/>
          <w:lang w:val="es-ES"/>
        </w:rPr>
        <w:t xml:space="preserve">justamente </w:t>
      </w:r>
      <w:r w:rsidR="00F36555">
        <w:rPr>
          <w:rFonts w:ascii="Arial" w:hAnsi="Arial" w:cs="Arial"/>
          <w:sz w:val="22"/>
          <w:szCs w:val="22"/>
          <w:lang w:val="es-ES"/>
        </w:rPr>
        <w:t>por no tratarse de un espacio público o privado de acceso público</w:t>
      </w:r>
      <w:r w:rsidR="002F316D">
        <w:rPr>
          <w:rFonts w:ascii="Arial" w:hAnsi="Arial" w:cs="Arial"/>
          <w:sz w:val="22"/>
          <w:szCs w:val="22"/>
          <w:lang w:val="es-ES"/>
        </w:rPr>
        <w:t xml:space="preserve"> como se insiste en</w:t>
      </w:r>
      <w:r w:rsidR="00765CF6">
        <w:rPr>
          <w:rFonts w:ascii="Arial" w:hAnsi="Arial" w:cs="Arial"/>
          <w:sz w:val="22"/>
          <w:szCs w:val="22"/>
          <w:lang w:val="es-ES"/>
        </w:rPr>
        <w:t xml:space="preserve"> varias partes de</w:t>
      </w:r>
      <w:r w:rsidR="002F316D">
        <w:rPr>
          <w:rFonts w:ascii="Arial" w:hAnsi="Arial" w:cs="Arial"/>
          <w:sz w:val="22"/>
          <w:szCs w:val="22"/>
          <w:lang w:val="es-ES"/>
        </w:rPr>
        <w:t xml:space="preserve"> la Observación</w:t>
      </w:r>
      <w:r w:rsidR="00F36555">
        <w:rPr>
          <w:rFonts w:ascii="Arial" w:hAnsi="Arial" w:cs="Arial"/>
          <w:sz w:val="22"/>
          <w:szCs w:val="22"/>
          <w:lang w:val="es-ES"/>
        </w:rPr>
        <w:t>.</w:t>
      </w:r>
      <w:r w:rsidR="00114768">
        <w:rPr>
          <w:rFonts w:ascii="Arial" w:hAnsi="Arial" w:cs="Arial"/>
          <w:sz w:val="22"/>
          <w:szCs w:val="22"/>
          <w:lang w:val="es-ES"/>
        </w:rPr>
        <w:t xml:space="preserve"> Esto es, se trata de insistir, reiterar o precisar que en un espacio privado el derecho de reunión no desaparece, sino que sólo se puede ejercer en principio</w:t>
      </w:r>
      <w:r w:rsidR="002F316D">
        <w:rPr>
          <w:rFonts w:ascii="Arial" w:hAnsi="Arial" w:cs="Arial"/>
          <w:sz w:val="22"/>
          <w:szCs w:val="22"/>
          <w:lang w:val="es-ES"/>
        </w:rPr>
        <w:t xml:space="preserve"> o lo tienen</w:t>
      </w:r>
      <w:r w:rsidR="00114768">
        <w:rPr>
          <w:rFonts w:ascii="Arial" w:hAnsi="Arial" w:cs="Arial"/>
          <w:sz w:val="22"/>
          <w:szCs w:val="22"/>
          <w:lang w:val="es-ES"/>
        </w:rPr>
        <w:t xml:space="preserve"> quienes </w:t>
      </w:r>
      <w:r w:rsidR="002F316D">
        <w:rPr>
          <w:rFonts w:ascii="Arial" w:hAnsi="Arial" w:cs="Arial"/>
          <w:sz w:val="22"/>
          <w:szCs w:val="22"/>
          <w:lang w:val="es-ES"/>
        </w:rPr>
        <w:t>gozan de</w:t>
      </w:r>
      <w:r w:rsidR="00114768">
        <w:rPr>
          <w:rFonts w:ascii="Arial" w:hAnsi="Arial" w:cs="Arial"/>
          <w:sz w:val="22"/>
          <w:szCs w:val="22"/>
          <w:lang w:val="es-ES"/>
        </w:rPr>
        <w:t xml:space="preserve"> un derecho previo de acceso a esos lugares privados</w:t>
      </w:r>
      <w:r w:rsidR="00041555">
        <w:rPr>
          <w:rFonts w:ascii="Arial" w:hAnsi="Arial" w:cs="Arial"/>
          <w:sz w:val="22"/>
          <w:szCs w:val="22"/>
          <w:lang w:val="es-ES"/>
        </w:rPr>
        <w:t>. En nuestra opinión, el no introducir alguna precisión de este tipo en la Observación podría generar algunos vacíos en la protección del derecho de reunión pacífica</w:t>
      </w:r>
      <w:r w:rsidR="00114768">
        <w:rPr>
          <w:rFonts w:ascii="Arial" w:hAnsi="Arial" w:cs="Arial"/>
          <w:sz w:val="22"/>
          <w:szCs w:val="22"/>
          <w:lang w:val="es-ES"/>
        </w:rPr>
        <w:t>.</w:t>
      </w:r>
      <w:r w:rsidR="00F36555">
        <w:rPr>
          <w:rFonts w:ascii="Arial" w:hAnsi="Arial" w:cs="Arial"/>
          <w:sz w:val="22"/>
          <w:szCs w:val="22"/>
          <w:lang w:val="es-ES"/>
        </w:rPr>
        <w:t xml:space="preserve"> Ante eso, se propone la siguiente redacción:</w:t>
      </w:r>
    </w:p>
    <w:p w:rsidR="00F36555" w:rsidRPr="00775B42" w:rsidRDefault="00F36555" w:rsidP="00F36555">
      <w:pPr>
        <w:spacing w:after="120"/>
        <w:ind w:left="567" w:right="567"/>
        <w:jc w:val="both"/>
        <w:rPr>
          <w:rFonts w:ascii="Arial" w:hAnsi="Arial" w:cs="Arial"/>
          <w:lang w:val="es-ES"/>
        </w:rPr>
      </w:pPr>
      <w:r w:rsidRPr="00775B42">
        <w:rPr>
          <w:rFonts w:ascii="Arial" w:hAnsi="Arial" w:cs="Arial"/>
          <w:lang w:val="es-ES"/>
        </w:rPr>
        <w:lastRenderedPageBreak/>
        <w:t xml:space="preserve">“Las reuniones que se celebran en una propiedad privada con el consentimiento de los propietarios disfrutan de la misma protección que otras reuniones. </w:t>
      </w:r>
      <w:r w:rsidRPr="00775B42">
        <w:rPr>
          <w:rFonts w:ascii="Arial" w:hAnsi="Arial" w:cs="Arial"/>
          <w:color w:val="4472C4" w:themeColor="accent5"/>
          <w:lang w:val="es-ES"/>
        </w:rPr>
        <w:t>Asimismo, las personas que tienen derecho a estar o entrar en un espacio privado, conservan en ese espacio la protección del artículo 21 del Pacto.</w:t>
      </w:r>
      <w:r w:rsidRPr="00775B42">
        <w:rPr>
          <w:rFonts w:ascii="Arial" w:hAnsi="Arial" w:cs="Arial"/>
          <w:lang w:val="es-ES"/>
        </w:rPr>
        <w:t>”</w:t>
      </w:r>
    </w:p>
    <w:p w:rsidR="005F4321" w:rsidRDefault="005F4321" w:rsidP="00F36555">
      <w:pPr>
        <w:spacing w:before="120" w:after="120" w:line="240" w:lineRule="auto"/>
        <w:jc w:val="both"/>
        <w:rPr>
          <w:rFonts w:ascii="Arial" w:hAnsi="Arial" w:cs="Arial"/>
          <w:sz w:val="22"/>
          <w:szCs w:val="22"/>
          <w:lang w:val="es-ES"/>
        </w:rPr>
      </w:pPr>
    </w:p>
    <w:p w:rsidR="00D568FC" w:rsidRDefault="00D568FC" w:rsidP="00E941F1">
      <w:pPr>
        <w:spacing w:before="120" w:after="120" w:line="360" w:lineRule="auto"/>
        <w:ind w:right="-1"/>
        <w:jc w:val="both"/>
        <w:rPr>
          <w:rFonts w:ascii="Arial" w:hAnsi="Arial" w:cs="Arial"/>
          <w:sz w:val="22"/>
          <w:szCs w:val="22"/>
          <w:lang w:val="es-ES"/>
        </w:rPr>
      </w:pPr>
    </w:p>
    <w:p w:rsidR="00E941F1" w:rsidRPr="00E941F1" w:rsidRDefault="00E941F1" w:rsidP="00E941F1">
      <w:pPr>
        <w:spacing w:before="120" w:after="120" w:line="360" w:lineRule="auto"/>
        <w:ind w:right="-1"/>
        <w:jc w:val="both"/>
        <w:rPr>
          <w:rFonts w:ascii="Arial" w:hAnsi="Arial" w:cs="Arial"/>
          <w:b/>
          <w:sz w:val="22"/>
          <w:szCs w:val="22"/>
          <w:lang w:val="es-ES"/>
        </w:rPr>
      </w:pPr>
      <w:r w:rsidRPr="00E941F1">
        <w:rPr>
          <w:rFonts w:ascii="Arial" w:hAnsi="Arial" w:cs="Arial"/>
          <w:b/>
          <w:sz w:val="22"/>
          <w:szCs w:val="22"/>
          <w:lang w:val="es-ES"/>
        </w:rPr>
        <w:t>c) Ajustes menores de estilo.</w:t>
      </w:r>
    </w:p>
    <w:p w:rsidR="00691CC8" w:rsidRDefault="00CD5BAA" w:rsidP="00BB567E">
      <w:pPr>
        <w:spacing w:line="240" w:lineRule="auto"/>
        <w:jc w:val="both"/>
        <w:rPr>
          <w:rFonts w:ascii="Arial" w:hAnsi="Arial" w:cs="Arial"/>
          <w:sz w:val="22"/>
          <w:szCs w:val="22"/>
          <w:lang w:val="es-ES"/>
        </w:rPr>
      </w:pPr>
      <w:r>
        <w:rPr>
          <w:rFonts w:ascii="Arial" w:hAnsi="Arial" w:cs="Arial"/>
          <w:sz w:val="22"/>
          <w:szCs w:val="22"/>
          <w:lang w:val="es-ES"/>
        </w:rPr>
        <w:t xml:space="preserve">Párrafo 19, penúltima línea dice: “Así, hay </w:t>
      </w:r>
      <w:r w:rsidR="00D00F10">
        <w:rPr>
          <w:rFonts w:ascii="Arial" w:hAnsi="Arial" w:cs="Arial"/>
          <w:sz w:val="22"/>
          <w:szCs w:val="22"/>
          <w:lang w:val="es-ES"/>
        </w:rPr>
        <w:t>participantes…</w:t>
      </w:r>
      <w:r>
        <w:rPr>
          <w:rFonts w:ascii="Arial" w:hAnsi="Arial" w:cs="Arial"/>
          <w:sz w:val="22"/>
          <w:szCs w:val="22"/>
          <w:lang w:val="es-ES"/>
        </w:rPr>
        <w:t xml:space="preserve">.” Se propone que se modifique para que diga: “Así, </w:t>
      </w:r>
      <w:r>
        <w:rPr>
          <w:rFonts w:ascii="Arial" w:hAnsi="Arial" w:cs="Arial"/>
          <w:color w:val="4472C4" w:themeColor="accent5"/>
          <w:sz w:val="22"/>
          <w:szCs w:val="22"/>
          <w:lang w:val="es-ES"/>
        </w:rPr>
        <w:t xml:space="preserve">puede haber </w:t>
      </w:r>
      <w:r w:rsidR="00D00F10" w:rsidRPr="00CD5BAA">
        <w:rPr>
          <w:rFonts w:ascii="Arial" w:hAnsi="Arial" w:cs="Arial"/>
          <w:sz w:val="22"/>
          <w:szCs w:val="22"/>
          <w:lang w:val="es-ES"/>
        </w:rPr>
        <w:t>participantes…</w:t>
      </w:r>
      <w:r w:rsidRPr="00CD5BAA">
        <w:rPr>
          <w:rFonts w:ascii="Arial" w:hAnsi="Arial" w:cs="Arial"/>
          <w:sz w:val="22"/>
          <w:szCs w:val="22"/>
          <w:lang w:val="es-ES"/>
        </w:rPr>
        <w:t>”</w:t>
      </w:r>
      <w:r>
        <w:rPr>
          <w:rFonts w:ascii="Arial" w:hAnsi="Arial" w:cs="Arial"/>
          <w:sz w:val="22"/>
          <w:szCs w:val="22"/>
          <w:lang w:val="es-ES"/>
        </w:rPr>
        <w:t xml:space="preserve"> </w:t>
      </w:r>
    </w:p>
    <w:p w:rsidR="00691CC8" w:rsidRDefault="00691CC8" w:rsidP="00BB567E">
      <w:pPr>
        <w:spacing w:line="240" w:lineRule="auto"/>
        <w:jc w:val="both"/>
        <w:rPr>
          <w:rFonts w:ascii="Arial" w:hAnsi="Arial" w:cs="Arial"/>
          <w:sz w:val="22"/>
          <w:szCs w:val="22"/>
          <w:lang w:val="es-ES"/>
        </w:rPr>
      </w:pPr>
    </w:p>
    <w:p w:rsidR="00691CC8" w:rsidRDefault="00691CC8" w:rsidP="00BB567E">
      <w:pPr>
        <w:spacing w:line="240" w:lineRule="auto"/>
        <w:jc w:val="both"/>
        <w:rPr>
          <w:rFonts w:ascii="Arial" w:hAnsi="Arial" w:cs="Arial"/>
          <w:sz w:val="22"/>
          <w:szCs w:val="22"/>
          <w:lang w:val="es-ES"/>
        </w:rPr>
      </w:pPr>
      <w:r>
        <w:rPr>
          <w:rFonts w:ascii="Arial" w:hAnsi="Arial" w:cs="Arial"/>
          <w:sz w:val="22"/>
          <w:szCs w:val="22"/>
          <w:lang w:val="es-ES"/>
        </w:rPr>
        <w:t xml:space="preserve">Párrafo 30, penúltima línea dice: “… de forma neutra en cuanto a </w:t>
      </w:r>
      <w:r w:rsidR="00D00F10">
        <w:rPr>
          <w:rFonts w:ascii="Arial" w:hAnsi="Arial" w:cs="Arial"/>
          <w:sz w:val="22"/>
          <w:szCs w:val="22"/>
          <w:lang w:val="es-ES"/>
        </w:rPr>
        <w:t>contenido…</w:t>
      </w:r>
      <w:r>
        <w:rPr>
          <w:rFonts w:ascii="Arial" w:hAnsi="Arial" w:cs="Arial"/>
          <w:sz w:val="22"/>
          <w:szCs w:val="22"/>
          <w:lang w:val="es-ES"/>
        </w:rPr>
        <w:t xml:space="preserve">” Se propone que se modifique para que diga: “… de forma neutra en cuanto a </w:t>
      </w:r>
      <w:r>
        <w:rPr>
          <w:rFonts w:ascii="Arial" w:hAnsi="Arial" w:cs="Arial"/>
          <w:color w:val="4472C4" w:themeColor="accent5"/>
          <w:sz w:val="22"/>
          <w:szCs w:val="22"/>
          <w:lang w:val="es-ES"/>
        </w:rPr>
        <w:t>su</w:t>
      </w:r>
      <w:r>
        <w:rPr>
          <w:rFonts w:ascii="Arial" w:hAnsi="Arial" w:cs="Arial"/>
          <w:sz w:val="22"/>
          <w:szCs w:val="22"/>
          <w:lang w:val="es-ES"/>
        </w:rPr>
        <w:t xml:space="preserve"> </w:t>
      </w:r>
      <w:r w:rsidR="00D00F10">
        <w:rPr>
          <w:rFonts w:ascii="Arial" w:hAnsi="Arial" w:cs="Arial"/>
          <w:sz w:val="22"/>
          <w:szCs w:val="22"/>
          <w:lang w:val="es-ES"/>
        </w:rPr>
        <w:t>contenido…”</w:t>
      </w:r>
    </w:p>
    <w:p w:rsidR="00BB567E" w:rsidRDefault="00BB567E" w:rsidP="00BB567E">
      <w:pPr>
        <w:spacing w:line="240" w:lineRule="auto"/>
        <w:jc w:val="both"/>
        <w:rPr>
          <w:rFonts w:ascii="Arial" w:hAnsi="Arial" w:cs="Arial"/>
          <w:sz w:val="22"/>
          <w:szCs w:val="22"/>
          <w:lang w:val="es-ES"/>
        </w:rPr>
      </w:pPr>
    </w:p>
    <w:p w:rsidR="00BB567E" w:rsidRDefault="00BB567E" w:rsidP="00BB567E">
      <w:pPr>
        <w:spacing w:line="240" w:lineRule="auto"/>
        <w:jc w:val="both"/>
        <w:rPr>
          <w:rFonts w:ascii="Arial" w:hAnsi="Arial" w:cs="Arial"/>
          <w:sz w:val="22"/>
          <w:szCs w:val="22"/>
          <w:lang w:val="es-ES"/>
        </w:rPr>
      </w:pPr>
      <w:r>
        <w:rPr>
          <w:rFonts w:ascii="Arial" w:hAnsi="Arial" w:cs="Arial"/>
          <w:sz w:val="22"/>
          <w:szCs w:val="22"/>
          <w:lang w:val="es-ES"/>
        </w:rPr>
        <w:t xml:space="preserve">Párrafos 28, 53, </w:t>
      </w:r>
      <w:r w:rsidR="001D1FE3">
        <w:rPr>
          <w:rFonts w:ascii="Arial" w:hAnsi="Arial" w:cs="Arial"/>
          <w:sz w:val="22"/>
          <w:szCs w:val="22"/>
          <w:lang w:val="es-ES"/>
        </w:rPr>
        <w:t xml:space="preserve">56, 59, 80 y 94 </w:t>
      </w:r>
      <w:r>
        <w:rPr>
          <w:rFonts w:ascii="Arial" w:hAnsi="Arial" w:cs="Arial"/>
          <w:sz w:val="22"/>
          <w:szCs w:val="22"/>
          <w:lang w:val="es-ES"/>
        </w:rPr>
        <w:t xml:space="preserve">dice: “… en base </w:t>
      </w:r>
      <w:r w:rsidR="00D00F10">
        <w:rPr>
          <w:rFonts w:ascii="Arial" w:hAnsi="Arial" w:cs="Arial"/>
          <w:sz w:val="22"/>
          <w:szCs w:val="22"/>
          <w:lang w:val="es-ES"/>
        </w:rPr>
        <w:t>a…</w:t>
      </w:r>
      <w:r>
        <w:rPr>
          <w:rFonts w:ascii="Arial" w:hAnsi="Arial" w:cs="Arial"/>
          <w:sz w:val="22"/>
          <w:szCs w:val="22"/>
          <w:lang w:val="es-ES"/>
        </w:rPr>
        <w:t xml:space="preserve">” Se propone que se modifique para que diga: “… </w:t>
      </w:r>
      <w:r w:rsidRPr="00BB567E">
        <w:rPr>
          <w:rFonts w:ascii="Arial" w:hAnsi="Arial" w:cs="Arial"/>
          <w:color w:val="4472C4" w:themeColor="accent5"/>
          <w:sz w:val="22"/>
          <w:szCs w:val="22"/>
          <w:lang w:val="es-ES"/>
        </w:rPr>
        <w:t xml:space="preserve">con </w:t>
      </w:r>
      <w:r>
        <w:rPr>
          <w:rFonts w:ascii="Arial" w:hAnsi="Arial" w:cs="Arial"/>
          <w:sz w:val="22"/>
          <w:szCs w:val="22"/>
          <w:lang w:val="es-ES"/>
        </w:rPr>
        <w:t xml:space="preserve">base </w:t>
      </w:r>
      <w:r w:rsidR="00D00F10" w:rsidRPr="00BB567E">
        <w:rPr>
          <w:rFonts w:ascii="Arial" w:hAnsi="Arial" w:cs="Arial"/>
          <w:color w:val="4472C4" w:themeColor="accent5"/>
          <w:sz w:val="22"/>
          <w:szCs w:val="22"/>
          <w:lang w:val="es-ES"/>
        </w:rPr>
        <w:t>en</w:t>
      </w:r>
      <w:r w:rsidR="00D00F10">
        <w:rPr>
          <w:rFonts w:ascii="Arial" w:hAnsi="Arial" w:cs="Arial"/>
          <w:sz w:val="22"/>
          <w:szCs w:val="22"/>
          <w:lang w:val="es-ES"/>
        </w:rPr>
        <w:t>…”</w:t>
      </w:r>
    </w:p>
    <w:p w:rsidR="00BB567E" w:rsidRDefault="00BB567E" w:rsidP="00BB567E">
      <w:pPr>
        <w:spacing w:line="240" w:lineRule="auto"/>
        <w:jc w:val="both"/>
        <w:rPr>
          <w:rFonts w:ascii="Arial" w:hAnsi="Arial" w:cs="Arial"/>
          <w:sz w:val="22"/>
          <w:szCs w:val="22"/>
          <w:lang w:val="es-ES"/>
        </w:rPr>
      </w:pPr>
    </w:p>
    <w:p w:rsidR="00BB567E" w:rsidRDefault="00BB567E" w:rsidP="00BB567E">
      <w:pPr>
        <w:spacing w:line="240" w:lineRule="auto"/>
        <w:jc w:val="both"/>
        <w:rPr>
          <w:rFonts w:ascii="Arial" w:hAnsi="Arial" w:cs="Arial"/>
          <w:sz w:val="22"/>
          <w:szCs w:val="22"/>
          <w:lang w:val="es-ES"/>
        </w:rPr>
      </w:pPr>
      <w:r>
        <w:rPr>
          <w:rFonts w:ascii="Arial" w:hAnsi="Arial" w:cs="Arial"/>
          <w:sz w:val="22"/>
          <w:szCs w:val="22"/>
          <w:lang w:val="es-ES"/>
        </w:rPr>
        <w:t>Párrafos 31, 39, 55, 73 y 106 dice: “</w:t>
      </w:r>
      <w:r w:rsidR="00D00F10">
        <w:rPr>
          <w:rFonts w:ascii="Arial" w:hAnsi="Arial" w:cs="Arial"/>
          <w:sz w:val="22"/>
          <w:szCs w:val="22"/>
          <w:lang w:val="es-ES"/>
        </w:rPr>
        <w:t>estado…</w:t>
      </w:r>
      <w:r>
        <w:rPr>
          <w:rFonts w:ascii="Arial" w:hAnsi="Arial" w:cs="Arial"/>
          <w:sz w:val="22"/>
          <w:szCs w:val="22"/>
          <w:lang w:val="es-ES"/>
        </w:rPr>
        <w:t>” Se propone que se modifique para que diga: “</w:t>
      </w:r>
      <w:r w:rsidR="00D00F10">
        <w:rPr>
          <w:rFonts w:ascii="Arial" w:hAnsi="Arial" w:cs="Arial"/>
          <w:sz w:val="22"/>
          <w:szCs w:val="22"/>
          <w:lang w:val="es-ES"/>
        </w:rPr>
        <w:t>Estado…”</w:t>
      </w:r>
    </w:p>
    <w:p w:rsidR="00691CC8" w:rsidRDefault="00691CC8" w:rsidP="000949FC">
      <w:pPr>
        <w:spacing w:line="240" w:lineRule="auto"/>
        <w:jc w:val="both"/>
        <w:rPr>
          <w:rFonts w:ascii="Arial" w:hAnsi="Arial" w:cs="Arial"/>
          <w:sz w:val="22"/>
          <w:szCs w:val="22"/>
          <w:lang w:val="es-ES"/>
        </w:rPr>
      </w:pPr>
    </w:p>
    <w:p w:rsidR="000949FC" w:rsidRDefault="000949FC" w:rsidP="000949FC">
      <w:pPr>
        <w:spacing w:line="240" w:lineRule="auto"/>
        <w:jc w:val="both"/>
        <w:rPr>
          <w:rFonts w:ascii="Arial" w:hAnsi="Arial" w:cs="Arial"/>
          <w:sz w:val="22"/>
          <w:szCs w:val="22"/>
          <w:lang w:val="es-ES"/>
        </w:rPr>
      </w:pPr>
      <w:r>
        <w:rPr>
          <w:rFonts w:ascii="Arial" w:hAnsi="Arial" w:cs="Arial"/>
          <w:sz w:val="22"/>
          <w:szCs w:val="22"/>
          <w:lang w:val="es-ES"/>
        </w:rPr>
        <w:t xml:space="preserve">Párrafo 61, tercera línea dice: “… cualquier restricción tal en relación </w:t>
      </w:r>
      <w:r w:rsidR="00D00F10">
        <w:rPr>
          <w:rFonts w:ascii="Arial" w:hAnsi="Arial" w:cs="Arial"/>
          <w:sz w:val="22"/>
          <w:szCs w:val="22"/>
          <w:lang w:val="es-ES"/>
        </w:rPr>
        <w:t>con…</w:t>
      </w:r>
      <w:r>
        <w:rPr>
          <w:rFonts w:ascii="Arial" w:hAnsi="Arial" w:cs="Arial"/>
          <w:sz w:val="22"/>
          <w:szCs w:val="22"/>
          <w:lang w:val="es-ES"/>
        </w:rPr>
        <w:t xml:space="preserve">” Se propone que se modifique para que diga: “… cualquier restricción en relación </w:t>
      </w:r>
      <w:r w:rsidR="00D00F10">
        <w:rPr>
          <w:rFonts w:ascii="Arial" w:hAnsi="Arial" w:cs="Arial"/>
          <w:sz w:val="22"/>
          <w:szCs w:val="22"/>
          <w:lang w:val="es-ES"/>
        </w:rPr>
        <w:t>con…”</w:t>
      </w:r>
    </w:p>
    <w:p w:rsidR="00835BF4" w:rsidRDefault="00835BF4" w:rsidP="000949FC">
      <w:pPr>
        <w:spacing w:line="240" w:lineRule="auto"/>
        <w:jc w:val="both"/>
        <w:rPr>
          <w:rFonts w:ascii="Arial" w:hAnsi="Arial" w:cs="Arial"/>
          <w:sz w:val="22"/>
          <w:szCs w:val="22"/>
          <w:lang w:val="es-ES"/>
        </w:rPr>
      </w:pPr>
    </w:p>
    <w:p w:rsidR="00835BF4" w:rsidRPr="0061458D" w:rsidRDefault="00BD4F96" w:rsidP="00984840">
      <w:pPr>
        <w:spacing w:line="360" w:lineRule="auto"/>
        <w:jc w:val="both"/>
        <w:rPr>
          <w:rFonts w:ascii="Arial" w:hAnsi="Arial" w:cs="Arial"/>
          <w:sz w:val="22"/>
          <w:szCs w:val="22"/>
          <w:lang w:val="es-ES"/>
        </w:rPr>
      </w:pPr>
      <w:r>
        <w:rPr>
          <w:rFonts w:ascii="Arial" w:hAnsi="Arial" w:cs="Arial"/>
          <w:sz w:val="22"/>
          <w:szCs w:val="22"/>
          <w:lang w:val="es-ES"/>
        </w:rPr>
        <w:t>En todos los párrafos en los que se hace cita de artículos del Pacto, sería recomendable no sólo poner el número, sino también el derecho al que se refiere, ya que no todas las personas que accederán a la Observación están familiarizadas con tanto detalle con el contenido del Pacto. Por ejemplo, en los párrafos 99 y 107.</w:t>
      </w:r>
    </w:p>
    <w:p w:rsidR="004A176D" w:rsidRDefault="004A176D" w:rsidP="00984840">
      <w:pPr>
        <w:spacing w:line="360" w:lineRule="auto"/>
        <w:jc w:val="both"/>
        <w:rPr>
          <w:rFonts w:ascii="Arial" w:hAnsi="Arial" w:cs="Arial"/>
          <w:sz w:val="22"/>
          <w:szCs w:val="22"/>
          <w:lang w:val="es-ES"/>
        </w:rPr>
      </w:pPr>
    </w:p>
    <w:p w:rsidR="004A176D" w:rsidRDefault="00663DA2" w:rsidP="00984840">
      <w:pPr>
        <w:spacing w:after="120" w:line="360" w:lineRule="auto"/>
        <w:ind w:right="140"/>
        <w:jc w:val="both"/>
        <w:rPr>
          <w:rFonts w:ascii="Arial" w:hAnsi="Arial" w:cs="Arial"/>
          <w:sz w:val="22"/>
          <w:szCs w:val="22"/>
          <w:lang w:val="es-ES"/>
        </w:rPr>
      </w:pPr>
      <w:r>
        <w:rPr>
          <w:rFonts w:ascii="Arial" w:hAnsi="Arial" w:cs="Arial"/>
          <w:sz w:val="22"/>
          <w:szCs w:val="22"/>
          <w:lang w:val="es-ES"/>
        </w:rPr>
        <w:t>Finalmente, como un comentario general que se podría inc</w:t>
      </w:r>
      <w:r w:rsidR="009801F8">
        <w:rPr>
          <w:rFonts w:ascii="Arial" w:hAnsi="Arial" w:cs="Arial"/>
          <w:sz w:val="22"/>
          <w:szCs w:val="22"/>
          <w:lang w:val="es-ES"/>
        </w:rPr>
        <w:t xml:space="preserve">luir en esta Observación, pero que tiene como fin ampliar su alcance a futuras observaciones, es el relacionado con la posibilidad de incluir una nota al pie al inicio del texto en la que se indique lo siguiente: “Esta observación debe ser </w:t>
      </w:r>
      <w:r w:rsidR="00EB0B9F">
        <w:rPr>
          <w:rFonts w:ascii="Arial" w:hAnsi="Arial" w:cs="Arial"/>
          <w:sz w:val="22"/>
          <w:szCs w:val="22"/>
          <w:lang w:val="es-ES"/>
        </w:rPr>
        <w:t>entendida</w:t>
      </w:r>
      <w:r w:rsidR="009801F8">
        <w:rPr>
          <w:rFonts w:ascii="Arial" w:hAnsi="Arial" w:cs="Arial"/>
          <w:sz w:val="22"/>
          <w:szCs w:val="22"/>
          <w:lang w:val="es-ES"/>
        </w:rPr>
        <w:t xml:space="preserve">, utilizada y aplicada a partir de su comprensión integral y sistemática y no a partir de la selección </w:t>
      </w:r>
      <w:r w:rsidR="007B0B5D">
        <w:rPr>
          <w:rFonts w:ascii="Arial" w:hAnsi="Arial" w:cs="Arial"/>
          <w:sz w:val="22"/>
          <w:szCs w:val="22"/>
          <w:lang w:val="es-ES"/>
        </w:rPr>
        <w:t xml:space="preserve">discrecional </w:t>
      </w:r>
      <w:r w:rsidR="009801F8">
        <w:rPr>
          <w:rFonts w:ascii="Arial" w:hAnsi="Arial" w:cs="Arial"/>
          <w:sz w:val="22"/>
          <w:szCs w:val="22"/>
          <w:lang w:val="es-ES"/>
        </w:rPr>
        <w:t>de párrafos aislados”. Esto se propone en razón de que en ocasiones partes aisladas de las observaciones se utilizan con el fin de distorsionar o limitar el ejercicio de los derechos, cuando su fin es el contrario. Al ser esto una práctica que se observa en diferentes latitudes del mundo, se somete a su consideración la posibilidad de incluir el texto propuesto o uno similar</w:t>
      </w:r>
      <w:r w:rsidR="007B0B5D">
        <w:rPr>
          <w:rFonts w:ascii="Arial" w:hAnsi="Arial" w:cs="Arial"/>
          <w:sz w:val="22"/>
          <w:szCs w:val="22"/>
          <w:lang w:val="es-ES"/>
        </w:rPr>
        <w:t xml:space="preserve"> como nota al pie</w:t>
      </w:r>
      <w:r w:rsidR="009801F8">
        <w:rPr>
          <w:rFonts w:ascii="Arial" w:hAnsi="Arial" w:cs="Arial"/>
          <w:sz w:val="22"/>
          <w:szCs w:val="22"/>
          <w:lang w:val="es-ES"/>
        </w:rPr>
        <w:t>.</w:t>
      </w:r>
    </w:p>
    <w:p w:rsidR="009801F8" w:rsidRDefault="009801F8" w:rsidP="00984840">
      <w:pPr>
        <w:spacing w:after="120" w:line="360" w:lineRule="auto"/>
        <w:ind w:right="140"/>
        <w:jc w:val="both"/>
        <w:rPr>
          <w:rFonts w:ascii="Arial" w:hAnsi="Arial" w:cs="Arial"/>
          <w:sz w:val="22"/>
          <w:szCs w:val="22"/>
          <w:lang w:val="es-ES"/>
        </w:rPr>
      </w:pPr>
    </w:p>
    <w:p w:rsidR="00C81B80" w:rsidRDefault="00C81B80" w:rsidP="00663DA2">
      <w:pPr>
        <w:spacing w:after="120"/>
        <w:ind w:right="140"/>
        <w:jc w:val="both"/>
        <w:rPr>
          <w:rFonts w:ascii="Arial" w:hAnsi="Arial" w:cs="Arial"/>
          <w:sz w:val="22"/>
          <w:szCs w:val="22"/>
          <w:lang w:val="es-ES"/>
        </w:rPr>
      </w:pPr>
    </w:p>
    <w:p w:rsidR="00C81B80" w:rsidRDefault="00C81B80" w:rsidP="00C81B80">
      <w:pPr>
        <w:spacing w:line="240" w:lineRule="auto"/>
        <w:ind w:right="142"/>
        <w:jc w:val="right"/>
        <w:rPr>
          <w:rFonts w:ascii="Arial" w:hAnsi="Arial" w:cs="Arial"/>
          <w:sz w:val="22"/>
          <w:szCs w:val="22"/>
          <w:lang w:val="es-ES"/>
        </w:rPr>
      </w:pPr>
      <w:r>
        <w:rPr>
          <w:rFonts w:ascii="Arial" w:hAnsi="Arial" w:cs="Arial"/>
          <w:sz w:val="22"/>
          <w:szCs w:val="22"/>
          <w:lang w:val="es-ES"/>
        </w:rPr>
        <w:t>Dr. Karlos Castilla</w:t>
      </w:r>
    </w:p>
    <w:p w:rsidR="00784EAC" w:rsidRPr="004A176D" w:rsidRDefault="00C81B80" w:rsidP="00424B22">
      <w:pPr>
        <w:spacing w:line="240" w:lineRule="auto"/>
        <w:ind w:right="142"/>
        <w:jc w:val="right"/>
        <w:rPr>
          <w:lang w:val="es-ES"/>
        </w:rPr>
      </w:pPr>
      <w:r>
        <w:rPr>
          <w:rFonts w:ascii="Arial" w:hAnsi="Arial" w:cs="Arial"/>
          <w:sz w:val="22"/>
          <w:szCs w:val="22"/>
          <w:lang w:val="es-ES"/>
        </w:rPr>
        <w:t>Investigador IDHC</w:t>
      </w:r>
    </w:p>
    <w:sectPr w:rsidR="00784EAC" w:rsidRPr="004A176D" w:rsidSect="00273437">
      <w:headerReference w:type="default" r:id="rId9"/>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163" w:rsidRDefault="00485163" w:rsidP="00187F71">
      <w:pPr>
        <w:spacing w:line="240" w:lineRule="auto"/>
      </w:pPr>
      <w:r>
        <w:separator/>
      </w:r>
    </w:p>
  </w:endnote>
  <w:endnote w:type="continuationSeparator" w:id="0">
    <w:p w:rsidR="00485163" w:rsidRDefault="00485163" w:rsidP="00187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028342"/>
      <w:docPartObj>
        <w:docPartGallery w:val="Page Numbers (Bottom of Page)"/>
        <w:docPartUnique/>
      </w:docPartObj>
    </w:sdtPr>
    <w:sdtEndPr/>
    <w:sdtContent>
      <w:p w:rsidR="00273437" w:rsidRDefault="00273437">
        <w:pPr>
          <w:pStyle w:val="Piedepgina"/>
          <w:jc w:val="center"/>
        </w:pPr>
        <w:r>
          <w:fldChar w:fldCharType="begin"/>
        </w:r>
        <w:r>
          <w:instrText>PAGE   \* MERGEFORMAT</w:instrText>
        </w:r>
        <w:r>
          <w:fldChar w:fldCharType="separate"/>
        </w:r>
        <w:r w:rsidR="00B73819" w:rsidRPr="00B73819">
          <w:rPr>
            <w:noProof/>
            <w:lang w:val="es-ES"/>
          </w:rPr>
          <w:t>3</w:t>
        </w:r>
        <w:r>
          <w:fldChar w:fldCharType="end"/>
        </w:r>
      </w:p>
    </w:sdtContent>
  </w:sdt>
  <w:p w:rsidR="00273437" w:rsidRDefault="002734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163" w:rsidRDefault="00485163" w:rsidP="00187F71">
      <w:pPr>
        <w:spacing w:line="240" w:lineRule="auto"/>
      </w:pPr>
      <w:r>
        <w:separator/>
      </w:r>
    </w:p>
  </w:footnote>
  <w:footnote w:type="continuationSeparator" w:id="0">
    <w:p w:rsidR="00485163" w:rsidRDefault="00485163" w:rsidP="00187F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37" w:rsidRDefault="00273437">
    <w:pPr>
      <w:pStyle w:val="Encabezado"/>
    </w:pPr>
    <w:r w:rsidRPr="00273437">
      <w:rPr>
        <w:noProof/>
        <w:lang w:val="es-ES" w:eastAsia="es-ES"/>
      </w:rPr>
      <w:drawing>
        <wp:anchor distT="0" distB="0" distL="114300" distR="114300" simplePos="0" relativeHeight="251658240" behindDoc="0" locked="0" layoutInCell="1" allowOverlap="1">
          <wp:simplePos x="0" y="0"/>
          <wp:positionH relativeFrom="margin">
            <wp:posOffset>4729480</wp:posOffset>
          </wp:positionH>
          <wp:positionV relativeFrom="paragraph">
            <wp:posOffset>-106680</wp:posOffset>
          </wp:positionV>
          <wp:extent cx="390525" cy="553085"/>
          <wp:effectExtent l="0" t="0" r="9525" b="0"/>
          <wp:wrapThrough wrapText="bothSides">
            <wp:wrapPolygon edited="0">
              <wp:start x="3161" y="0"/>
              <wp:lineTo x="0" y="17111"/>
              <wp:lineTo x="0" y="20831"/>
              <wp:lineTo x="21073" y="20831"/>
              <wp:lineTo x="21073" y="20087"/>
              <wp:lineTo x="17912" y="5208"/>
              <wp:lineTo x="14751" y="0"/>
              <wp:lineTo x="3161" y="0"/>
            </wp:wrapPolygon>
          </wp:wrapThrough>
          <wp:docPr id="2" name="Imagen 2" descr="Z:\IDHC\Imatge\LOGOS\LogoTi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DHC\Imatge\LOGOS\LogoTi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A12B4B"/>
    <w:multiLevelType w:val="hybridMultilevel"/>
    <w:tmpl w:val="9CFE4B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6D"/>
    <w:rsid w:val="000116D9"/>
    <w:rsid w:val="0004112A"/>
    <w:rsid w:val="00041555"/>
    <w:rsid w:val="0005191E"/>
    <w:rsid w:val="00056C5E"/>
    <w:rsid w:val="00077CA5"/>
    <w:rsid w:val="000850AD"/>
    <w:rsid w:val="00091335"/>
    <w:rsid w:val="000949FC"/>
    <w:rsid w:val="000D19D3"/>
    <w:rsid w:val="000F6176"/>
    <w:rsid w:val="00106916"/>
    <w:rsid w:val="00112193"/>
    <w:rsid w:val="00114768"/>
    <w:rsid w:val="0016498E"/>
    <w:rsid w:val="0018535F"/>
    <w:rsid w:val="00187F71"/>
    <w:rsid w:val="00195330"/>
    <w:rsid w:val="001A0225"/>
    <w:rsid w:val="001D1FE3"/>
    <w:rsid w:val="001E6B90"/>
    <w:rsid w:val="001F5120"/>
    <w:rsid w:val="002309CF"/>
    <w:rsid w:val="00234A1C"/>
    <w:rsid w:val="00240678"/>
    <w:rsid w:val="00250032"/>
    <w:rsid w:val="00267EDE"/>
    <w:rsid w:val="00273437"/>
    <w:rsid w:val="002772D2"/>
    <w:rsid w:val="00281DD8"/>
    <w:rsid w:val="00281FD0"/>
    <w:rsid w:val="002C5BC0"/>
    <w:rsid w:val="002D0A25"/>
    <w:rsid w:val="002F1055"/>
    <w:rsid w:val="002F316D"/>
    <w:rsid w:val="003305E3"/>
    <w:rsid w:val="00331D6B"/>
    <w:rsid w:val="00354723"/>
    <w:rsid w:val="0037653F"/>
    <w:rsid w:val="003A38E5"/>
    <w:rsid w:val="003B18DD"/>
    <w:rsid w:val="003B4A5B"/>
    <w:rsid w:val="003E3238"/>
    <w:rsid w:val="003E5FA2"/>
    <w:rsid w:val="00424B22"/>
    <w:rsid w:val="00445F0A"/>
    <w:rsid w:val="00485163"/>
    <w:rsid w:val="004928BB"/>
    <w:rsid w:val="00494E4E"/>
    <w:rsid w:val="004950E0"/>
    <w:rsid w:val="004A176D"/>
    <w:rsid w:val="004A6664"/>
    <w:rsid w:val="004E72BB"/>
    <w:rsid w:val="004F342F"/>
    <w:rsid w:val="00504BC1"/>
    <w:rsid w:val="0051344E"/>
    <w:rsid w:val="00534037"/>
    <w:rsid w:val="005366E5"/>
    <w:rsid w:val="00555380"/>
    <w:rsid w:val="005675B8"/>
    <w:rsid w:val="005A0AE4"/>
    <w:rsid w:val="005A1696"/>
    <w:rsid w:val="005B2616"/>
    <w:rsid w:val="005F4321"/>
    <w:rsid w:val="00612111"/>
    <w:rsid w:val="0061458D"/>
    <w:rsid w:val="00633CFB"/>
    <w:rsid w:val="006356B9"/>
    <w:rsid w:val="006456A0"/>
    <w:rsid w:val="00663DA2"/>
    <w:rsid w:val="0068765D"/>
    <w:rsid w:val="00691CC8"/>
    <w:rsid w:val="006D79CB"/>
    <w:rsid w:val="007569AC"/>
    <w:rsid w:val="00765CF6"/>
    <w:rsid w:val="007665C0"/>
    <w:rsid w:val="00771722"/>
    <w:rsid w:val="00775B42"/>
    <w:rsid w:val="00784EAC"/>
    <w:rsid w:val="007B0B5D"/>
    <w:rsid w:val="007C610F"/>
    <w:rsid w:val="007D2315"/>
    <w:rsid w:val="007D7861"/>
    <w:rsid w:val="007F14B9"/>
    <w:rsid w:val="007F3193"/>
    <w:rsid w:val="0080306B"/>
    <w:rsid w:val="00815FF6"/>
    <w:rsid w:val="008314B4"/>
    <w:rsid w:val="00835BF4"/>
    <w:rsid w:val="008B315D"/>
    <w:rsid w:val="008D627F"/>
    <w:rsid w:val="008F37E2"/>
    <w:rsid w:val="00900931"/>
    <w:rsid w:val="00905C4E"/>
    <w:rsid w:val="00924FAA"/>
    <w:rsid w:val="00971081"/>
    <w:rsid w:val="009801F8"/>
    <w:rsid w:val="00984840"/>
    <w:rsid w:val="00985FCA"/>
    <w:rsid w:val="009C3C07"/>
    <w:rsid w:val="009C57BE"/>
    <w:rsid w:val="009C5BF5"/>
    <w:rsid w:val="00A1000B"/>
    <w:rsid w:val="00A11E88"/>
    <w:rsid w:val="00A30DDC"/>
    <w:rsid w:val="00A50BEA"/>
    <w:rsid w:val="00A5785A"/>
    <w:rsid w:val="00A61C6A"/>
    <w:rsid w:val="00A67047"/>
    <w:rsid w:val="00A8046A"/>
    <w:rsid w:val="00AD1400"/>
    <w:rsid w:val="00AF03F4"/>
    <w:rsid w:val="00AF39E7"/>
    <w:rsid w:val="00AF5237"/>
    <w:rsid w:val="00B1384A"/>
    <w:rsid w:val="00B63BF5"/>
    <w:rsid w:val="00B73819"/>
    <w:rsid w:val="00B80B44"/>
    <w:rsid w:val="00BB567E"/>
    <w:rsid w:val="00BB7E85"/>
    <w:rsid w:val="00BC46A3"/>
    <w:rsid w:val="00BD4F96"/>
    <w:rsid w:val="00C40222"/>
    <w:rsid w:val="00C65DAD"/>
    <w:rsid w:val="00C80595"/>
    <w:rsid w:val="00C81B80"/>
    <w:rsid w:val="00CA1F0F"/>
    <w:rsid w:val="00CD5BAA"/>
    <w:rsid w:val="00CE5299"/>
    <w:rsid w:val="00D00F10"/>
    <w:rsid w:val="00D14040"/>
    <w:rsid w:val="00D14882"/>
    <w:rsid w:val="00D43389"/>
    <w:rsid w:val="00D46271"/>
    <w:rsid w:val="00D46D5D"/>
    <w:rsid w:val="00D568FC"/>
    <w:rsid w:val="00D61C5B"/>
    <w:rsid w:val="00D66170"/>
    <w:rsid w:val="00D70F39"/>
    <w:rsid w:val="00D74A0D"/>
    <w:rsid w:val="00D755C3"/>
    <w:rsid w:val="00D816A7"/>
    <w:rsid w:val="00D822C3"/>
    <w:rsid w:val="00D96D4C"/>
    <w:rsid w:val="00E053A7"/>
    <w:rsid w:val="00E2106F"/>
    <w:rsid w:val="00E56EB1"/>
    <w:rsid w:val="00E6500A"/>
    <w:rsid w:val="00E941F1"/>
    <w:rsid w:val="00EB0B9F"/>
    <w:rsid w:val="00ED723E"/>
    <w:rsid w:val="00ED7EF4"/>
    <w:rsid w:val="00F27EC7"/>
    <w:rsid w:val="00F31D41"/>
    <w:rsid w:val="00F353CA"/>
    <w:rsid w:val="00F36555"/>
    <w:rsid w:val="00F44711"/>
    <w:rsid w:val="00F77275"/>
    <w:rsid w:val="00F8308C"/>
    <w:rsid w:val="00FA6303"/>
    <w:rsid w:val="00FC48B3"/>
    <w:rsid w:val="00FC5CF9"/>
    <w:rsid w:val="00FF56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B677EA9-0EDA-4490-B346-C355DE8F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76D"/>
    <w:pPr>
      <w:suppressAutoHyphens/>
      <w:spacing w:after="0" w:line="240" w:lineRule="atLeast"/>
    </w:pPr>
    <w:rPr>
      <w:rFonts w:ascii="Times New Roman" w:eastAsia="Times New Roman" w:hAnsi="Times New Roman" w:cs="Times New Roman"/>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0BEA"/>
    <w:pPr>
      <w:ind w:left="720"/>
      <w:contextualSpacing/>
    </w:pPr>
  </w:style>
  <w:style w:type="table" w:styleId="Tablaconcuadrcula">
    <w:name w:val="Table Grid"/>
    <w:basedOn w:val="Tablanormal"/>
    <w:uiPriority w:val="39"/>
    <w:rsid w:val="00085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Char1 Car,5_G Car,5_GR Car,Char Car,FA Fu1 Car,Fodnotetekst Tegn Tegn Car,Fodnotetekst Tegn1 Car,Footnote Text Char Char Char Char Char1 Car,Footnote Text Char Char Char Char1 Car,Footnote Text Char Char Char1 Car,fn Car"/>
    <w:basedOn w:val="Fuentedeprrafopredeter"/>
    <w:link w:val="Textonotapie"/>
    <w:uiPriority w:val="99"/>
    <w:semiHidden/>
    <w:locked/>
    <w:rsid w:val="00187F71"/>
    <w:rPr>
      <w:rFonts w:ascii="SimSun" w:eastAsia="SimSun" w:hAnsi="SimSun"/>
      <w:sz w:val="18"/>
      <w:lang w:val="fr-CH" w:eastAsia="zh-CN"/>
    </w:rPr>
  </w:style>
  <w:style w:type="paragraph" w:styleId="Textonotapie">
    <w:name w:val="footnote text"/>
    <w:aliases w:val="Char1,5_G,5_GR,Char,FA Fu1,Fodnotetekst Tegn Tegn,Fodnotetekst Tegn1,Footnote Text Char Char Char Char Char1,Footnote Text Char Char Char Char1,Footnote Text Char Char Char1,Footnote Text Char Char1,Footnote reference,fn"/>
    <w:basedOn w:val="Normal"/>
    <w:link w:val="TextonotapieCar"/>
    <w:uiPriority w:val="99"/>
    <w:semiHidden/>
    <w:unhideWhenUsed/>
    <w:qFormat/>
    <w:rsid w:val="00187F71"/>
    <w:pPr>
      <w:tabs>
        <w:tab w:val="right" w:pos="1021"/>
      </w:tabs>
      <w:kinsoku w:val="0"/>
      <w:overflowPunct w:val="0"/>
      <w:autoSpaceDE w:val="0"/>
      <w:autoSpaceDN w:val="0"/>
      <w:adjustRightInd w:val="0"/>
      <w:snapToGrid w:val="0"/>
      <w:spacing w:line="220" w:lineRule="exact"/>
      <w:ind w:left="1134" w:right="1134" w:hanging="1134"/>
    </w:pPr>
    <w:rPr>
      <w:rFonts w:ascii="SimSun" w:eastAsia="SimSun" w:hAnsi="SimSun" w:cstheme="minorBidi"/>
      <w:sz w:val="18"/>
      <w:szCs w:val="22"/>
      <w:lang w:val="fr-CH" w:eastAsia="zh-CN"/>
    </w:rPr>
  </w:style>
  <w:style w:type="character" w:customStyle="1" w:styleId="TextdenotaapeudepginaCar1">
    <w:name w:val="Text de nota a peu de pàgina Car1"/>
    <w:basedOn w:val="Fuentedeprrafopredeter"/>
    <w:uiPriority w:val="99"/>
    <w:semiHidden/>
    <w:rsid w:val="00187F71"/>
    <w:rPr>
      <w:rFonts w:ascii="Times New Roman" w:eastAsia="Times New Roman" w:hAnsi="Times New Roman" w:cs="Times New Roman"/>
      <w:sz w:val="20"/>
      <w:szCs w:val="20"/>
      <w:lang w:val="en-GB"/>
    </w:rPr>
  </w:style>
  <w:style w:type="character" w:styleId="Refdenotaalpie">
    <w:name w:val="footnote reference"/>
    <w:aliases w:val="16 Point,4_,4_G,BVI fnr,Char Char Car Char Car Char Car Char Car Char Car Char Char Char1 Char,Footnote Reference Char Char Char,Footnote Reference Char1 Char,Footnote Reference Char3,Footnote number,SUPERS,ftref"/>
    <w:link w:val="Appelnotedebasde"/>
    <w:uiPriority w:val="99"/>
    <w:unhideWhenUsed/>
    <w:qFormat/>
    <w:rsid w:val="00187F71"/>
    <w:rPr>
      <w:sz w:val="18"/>
      <w:vertAlign w:val="superscript"/>
      <w:lang w:val="fr-CH"/>
    </w:rPr>
  </w:style>
  <w:style w:type="paragraph" w:customStyle="1" w:styleId="Appelnotedebasde">
    <w:name w:val="Appel note de bas de"/>
    <w:aliases w:val="Appel note de bas de page Char Char Char Char Char Char Char Char,Appel note de bas de page Char1,Appel note de bas de page Char2 Char Char Char Char Char Char Char Char Char Char"/>
    <w:basedOn w:val="Normal"/>
    <w:link w:val="Refdenotaalpie"/>
    <w:uiPriority w:val="99"/>
    <w:rsid w:val="00187F71"/>
    <w:pPr>
      <w:suppressAutoHyphens w:val="0"/>
      <w:spacing w:before="120" w:after="120" w:line="240" w:lineRule="auto"/>
    </w:pPr>
    <w:rPr>
      <w:rFonts w:asciiTheme="minorHAnsi" w:eastAsiaTheme="minorHAnsi" w:hAnsiTheme="minorHAnsi" w:cstheme="minorBidi"/>
      <w:sz w:val="18"/>
      <w:szCs w:val="22"/>
      <w:vertAlign w:val="superscript"/>
      <w:lang w:val="fr-CH"/>
    </w:rPr>
  </w:style>
  <w:style w:type="paragraph" w:styleId="Encabezado">
    <w:name w:val="header"/>
    <w:basedOn w:val="Normal"/>
    <w:link w:val="EncabezadoCar"/>
    <w:uiPriority w:val="99"/>
    <w:unhideWhenUsed/>
    <w:rsid w:val="0027343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73437"/>
    <w:rPr>
      <w:rFonts w:ascii="Times New Roman" w:eastAsia="Times New Roman" w:hAnsi="Times New Roman" w:cs="Times New Roman"/>
      <w:sz w:val="20"/>
      <w:szCs w:val="20"/>
      <w:lang w:val="en-GB"/>
    </w:rPr>
  </w:style>
  <w:style w:type="paragraph" w:styleId="Piedepgina">
    <w:name w:val="footer"/>
    <w:basedOn w:val="Normal"/>
    <w:link w:val="PiedepginaCar"/>
    <w:uiPriority w:val="99"/>
    <w:unhideWhenUsed/>
    <w:rsid w:val="0027343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73437"/>
    <w:rPr>
      <w:rFonts w:ascii="Times New Roman" w:eastAsia="Times New Roman" w:hAnsi="Times New Roman" w:cs="Times New Roman"/>
      <w:sz w:val="20"/>
      <w:szCs w:val="20"/>
      <w:lang w:val="en-GB"/>
    </w:rPr>
  </w:style>
  <w:style w:type="paragraph" w:styleId="Textodeglobo">
    <w:name w:val="Balloon Text"/>
    <w:basedOn w:val="Normal"/>
    <w:link w:val="TextodegloboCar"/>
    <w:uiPriority w:val="99"/>
    <w:semiHidden/>
    <w:unhideWhenUsed/>
    <w:rsid w:val="00B7381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81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4009">
      <w:bodyDiv w:val="1"/>
      <w:marLeft w:val="0"/>
      <w:marRight w:val="0"/>
      <w:marTop w:val="0"/>
      <w:marBottom w:val="0"/>
      <w:divBdr>
        <w:top w:val="none" w:sz="0" w:space="0" w:color="auto"/>
        <w:left w:val="none" w:sz="0" w:space="0" w:color="auto"/>
        <w:bottom w:val="none" w:sz="0" w:space="0" w:color="auto"/>
        <w:right w:val="none" w:sz="0" w:space="0" w:color="auto"/>
      </w:divBdr>
    </w:div>
    <w:div w:id="746684388">
      <w:bodyDiv w:val="1"/>
      <w:marLeft w:val="0"/>
      <w:marRight w:val="0"/>
      <w:marTop w:val="0"/>
      <w:marBottom w:val="0"/>
      <w:divBdr>
        <w:top w:val="none" w:sz="0" w:space="0" w:color="auto"/>
        <w:left w:val="none" w:sz="0" w:space="0" w:color="auto"/>
        <w:bottom w:val="none" w:sz="0" w:space="0" w:color="auto"/>
        <w:right w:val="none" w:sz="0" w:space="0" w:color="auto"/>
      </w:divBdr>
    </w:div>
    <w:div w:id="852303396">
      <w:bodyDiv w:val="1"/>
      <w:marLeft w:val="0"/>
      <w:marRight w:val="0"/>
      <w:marTop w:val="0"/>
      <w:marBottom w:val="0"/>
      <w:divBdr>
        <w:top w:val="none" w:sz="0" w:space="0" w:color="auto"/>
        <w:left w:val="none" w:sz="0" w:space="0" w:color="auto"/>
        <w:bottom w:val="none" w:sz="0" w:space="0" w:color="auto"/>
        <w:right w:val="none" w:sz="0" w:space="0" w:color="auto"/>
      </w:divBdr>
    </w:div>
    <w:div w:id="939338473">
      <w:bodyDiv w:val="1"/>
      <w:marLeft w:val="0"/>
      <w:marRight w:val="0"/>
      <w:marTop w:val="0"/>
      <w:marBottom w:val="0"/>
      <w:divBdr>
        <w:top w:val="none" w:sz="0" w:space="0" w:color="auto"/>
        <w:left w:val="none" w:sz="0" w:space="0" w:color="auto"/>
        <w:bottom w:val="none" w:sz="0" w:space="0" w:color="auto"/>
        <w:right w:val="none" w:sz="0" w:space="0" w:color="auto"/>
      </w:divBdr>
    </w:div>
    <w:div w:id="1365402242">
      <w:bodyDiv w:val="1"/>
      <w:marLeft w:val="0"/>
      <w:marRight w:val="0"/>
      <w:marTop w:val="0"/>
      <w:marBottom w:val="0"/>
      <w:divBdr>
        <w:top w:val="none" w:sz="0" w:space="0" w:color="auto"/>
        <w:left w:val="none" w:sz="0" w:space="0" w:color="auto"/>
        <w:bottom w:val="none" w:sz="0" w:space="0" w:color="auto"/>
        <w:right w:val="none" w:sz="0" w:space="0" w:color="auto"/>
      </w:divBdr>
    </w:div>
    <w:div w:id="1596355907">
      <w:bodyDiv w:val="1"/>
      <w:marLeft w:val="0"/>
      <w:marRight w:val="0"/>
      <w:marTop w:val="0"/>
      <w:marBottom w:val="0"/>
      <w:divBdr>
        <w:top w:val="none" w:sz="0" w:space="0" w:color="auto"/>
        <w:left w:val="none" w:sz="0" w:space="0" w:color="auto"/>
        <w:bottom w:val="none" w:sz="0" w:space="0" w:color="auto"/>
        <w:right w:val="none" w:sz="0" w:space="0" w:color="auto"/>
      </w:divBdr>
    </w:div>
    <w:div w:id="1672098166">
      <w:bodyDiv w:val="1"/>
      <w:marLeft w:val="0"/>
      <w:marRight w:val="0"/>
      <w:marTop w:val="0"/>
      <w:marBottom w:val="0"/>
      <w:divBdr>
        <w:top w:val="none" w:sz="0" w:space="0" w:color="auto"/>
        <w:left w:val="none" w:sz="0" w:space="0" w:color="auto"/>
        <w:bottom w:val="none" w:sz="0" w:space="0" w:color="auto"/>
        <w:right w:val="none" w:sz="0" w:space="0" w:color="auto"/>
      </w:divBdr>
    </w:div>
    <w:div w:id="1710647864">
      <w:bodyDiv w:val="1"/>
      <w:marLeft w:val="0"/>
      <w:marRight w:val="0"/>
      <w:marTop w:val="0"/>
      <w:marBottom w:val="0"/>
      <w:divBdr>
        <w:top w:val="none" w:sz="0" w:space="0" w:color="auto"/>
        <w:left w:val="none" w:sz="0" w:space="0" w:color="auto"/>
        <w:bottom w:val="none" w:sz="0" w:space="0" w:color="auto"/>
        <w:right w:val="none" w:sz="0" w:space="0" w:color="auto"/>
      </w:divBdr>
    </w:div>
    <w:div w:id="20168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CADE21-EE9D-47B0-B498-0D5F9F4DF90D}">
  <ds:schemaRefs>
    <ds:schemaRef ds:uri="http://schemas.openxmlformats.org/officeDocument/2006/bibliography"/>
  </ds:schemaRefs>
</ds:datastoreItem>
</file>

<file path=customXml/itemProps2.xml><?xml version="1.0" encoding="utf-8"?>
<ds:datastoreItem xmlns:ds="http://schemas.openxmlformats.org/officeDocument/2006/customXml" ds:itemID="{2D1BA509-4F7E-4520-BFBD-B720B8221279}"/>
</file>

<file path=customXml/itemProps3.xml><?xml version="1.0" encoding="utf-8"?>
<ds:datastoreItem xmlns:ds="http://schemas.openxmlformats.org/officeDocument/2006/customXml" ds:itemID="{05E32D63-3EBA-4F60-8956-DF3F240499EE}"/>
</file>

<file path=customXml/itemProps4.xml><?xml version="1.0" encoding="utf-8"?>
<ds:datastoreItem xmlns:ds="http://schemas.openxmlformats.org/officeDocument/2006/customXml" ds:itemID="{BAFB6001-386C-424E-A820-3964C5123E22}"/>
</file>

<file path=docProps/app.xml><?xml version="1.0" encoding="utf-8"?>
<Properties xmlns="http://schemas.openxmlformats.org/officeDocument/2006/extended-properties" xmlns:vt="http://schemas.openxmlformats.org/officeDocument/2006/docPropsVTypes">
  <Template>Normal</Template>
  <TotalTime>162</TotalTime>
  <Pages>8</Pages>
  <Words>3066</Words>
  <Characters>16863</Characters>
  <Application>Microsoft Office Word</Application>
  <DocSecurity>0</DocSecurity>
  <Lines>140</Lines>
  <Paragraphs>39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94</cp:revision>
  <cp:lastPrinted>2020-02-10T08:53:00Z</cp:lastPrinted>
  <dcterms:created xsi:type="dcterms:W3CDTF">2020-02-07T08:04:00Z</dcterms:created>
  <dcterms:modified xsi:type="dcterms:W3CDTF">2020-02-10T09:02:00Z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