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2135C" w14:textId="09EE51A0" w:rsidR="00424FE2" w:rsidRDefault="00424FE2" w:rsidP="00E551DB">
      <w:pPr>
        <w:spacing w:line="360" w:lineRule="auto"/>
        <w:jc w:val="center"/>
        <w:rPr>
          <w:rFonts w:ascii="Times New Roman" w:hAnsi="Times New Roman" w:cs="Times New Roman"/>
          <w:b/>
          <w:bCs/>
          <w:lang w:val="en-US"/>
        </w:rPr>
      </w:pPr>
      <w:r>
        <w:rPr>
          <w:rFonts w:ascii="Times New Roman" w:hAnsi="Times New Roman" w:cs="Times New Roman"/>
          <w:b/>
          <w:bCs/>
          <w:noProof/>
          <w:lang w:val="nl-NL" w:eastAsia="nl-NL"/>
        </w:rPr>
        <w:drawing>
          <wp:inline distT="0" distB="0" distL="0" distR="0" wp14:anchorId="16BE28FD" wp14:editId="18373ECA">
            <wp:extent cx="1687222" cy="1161415"/>
            <wp:effectExtent l="0" t="0" r="825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C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8749" cy="1169350"/>
                    </a:xfrm>
                    <a:prstGeom prst="rect">
                      <a:avLst/>
                    </a:prstGeom>
                  </pic:spPr>
                </pic:pic>
              </a:graphicData>
            </a:graphic>
          </wp:inline>
        </w:drawing>
      </w:r>
      <w:bookmarkStart w:id="0" w:name="_GoBack"/>
      <w:bookmarkEnd w:id="0"/>
    </w:p>
    <w:p w14:paraId="72F3B186" w14:textId="77777777" w:rsidR="00424FE2" w:rsidRDefault="00424FE2" w:rsidP="00E551DB">
      <w:pPr>
        <w:spacing w:line="360" w:lineRule="auto"/>
        <w:jc w:val="center"/>
        <w:rPr>
          <w:rFonts w:ascii="Times New Roman" w:hAnsi="Times New Roman" w:cs="Times New Roman"/>
          <w:b/>
          <w:bCs/>
          <w:lang w:val="en-US"/>
        </w:rPr>
      </w:pPr>
    </w:p>
    <w:p w14:paraId="04127A32" w14:textId="341DB69F" w:rsidR="00A4784F" w:rsidRDefault="00E551DB" w:rsidP="00E551DB">
      <w:pPr>
        <w:spacing w:line="360" w:lineRule="auto"/>
        <w:jc w:val="center"/>
        <w:rPr>
          <w:rFonts w:ascii="Times New Roman" w:hAnsi="Times New Roman" w:cs="Times New Roman"/>
          <w:b/>
          <w:bCs/>
          <w:lang w:val="en-US"/>
        </w:rPr>
      </w:pPr>
      <w:r>
        <w:rPr>
          <w:rFonts w:ascii="Times New Roman" w:hAnsi="Times New Roman" w:cs="Times New Roman"/>
          <w:b/>
          <w:bCs/>
          <w:lang w:val="en-US"/>
        </w:rPr>
        <w:t>NETHERLANDS HELSINKI COMMITTEE</w:t>
      </w:r>
    </w:p>
    <w:p w14:paraId="37A4495F" w14:textId="35461DD7" w:rsidR="00E551DB" w:rsidRDefault="00E551DB" w:rsidP="00E551DB">
      <w:pPr>
        <w:spacing w:line="360" w:lineRule="auto"/>
        <w:jc w:val="center"/>
        <w:rPr>
          <w:rFonts w:ascii="Times New Roman" w:hAnsi="Times New Roman" w:cs="Times New Roman"/>
          <w:b/>
          <w:bCs/>
          <w:lang w:val="en-US"/>
        </w:rPr>
      </w:pPr>
    </w:p>
    <w:p w14:paraId="5DF39E04" w14:textId="6601E248" w:rsidR="00E551DB" w:rsidRDefault="00E551DB" w:rsidP="00E551DB">
      <w:pPr>
        <w:spacing w:line="360" w:lineRule="auto"/>
        <w:jc w:val="center"/>
        <w:rPr>
          <w:rFonts w:ascii="Times New Roman" w:hAnsi="Times New Roman" w:cs="Times New Roman"/>
          <w:b/>
          <w:bCs/>
          <w:lang w:val="en-US"/>
        </w:rPr>
      </w:pPr>
    </w:p>
    <w:p w14:paraId="7152D465" w14:textId="26BAA514" w:rsidR="00E551DB" w:rsidRDefault="00E551DB" w:rsidP="00E551DB">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COMMENTS ON THE DRAFT GENERAL COMMENT NO. 37</w:t>
      </w:r>
    </w:p>
    <w:p w14:paraId="615BBF03" w14:textId="16D4499E" w:rsidR="00E551DB" w:rsidRDefault="00E551DB" w:rsidP="00E551DB">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AS ADOPTED BY THE HUMAN RIGHTS COMMITTEE</w:t>
      </w:r>
    </w:p>
    <w:p w14:paraId="6918F4B5" w14:textId="1696CEBB" w:rsidR="00E551DB" w:rsidRDefault="00E551DB" w:rsidP="00E551DB">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IN THE FIRST READING</w:t>
      </w:r>
    </w:p>
    <w:p w14:paraId="3285A6B7" w14:textId="4C597898" w:rsidR="00E551DB" w:rsidRDefault="00E551DB" w:rsidP="00E551DB">
      <w:pPr>
        <w:spacing w:line="360" w:lineRule="auto"/>
        <w:jc w:val="center"/>
        <w:rPr>
          <w:rFonts w:ascii="Times New Roman" w:hAnsi="Times New Roman" w:cs="Times New Roman"/>
          <w:b/>
          <w:bCs/>
          <w:sz w:val="28"/>
          <w:szCs w:val="28"/>
          <w:lang w:val="en-US"/>
        </w:rPr>
      </w:pPr>
    </w:p>
    <w:p w14:paraId="1F744F50" w14:textId="183125FB" w:rsidR="00E551DB" w:rsidRDefault="00E551DB" w:rsidP="00E551DB">
      <w:pPr>
        <w:spacing w:line="360" w:lineRule="auto"/>
        <w:rPr>
          <w:rFonts w:ascii="Times New Roman" w:hAnsi="Times New Roman" w:cs="Times New Roman"/>
          <w:i/>
          <w:iCs/>
          <w:lang w:val="en-US"/>
        </w:rPr>
      </w:pPr>
    </w:p>
    <w:p w14:paraId="308AD238" w14:textId="16456AE3" w:rsidR="00E551DB" w:rsidRDefault="00424FE2" w:rsidP="00E551DB">
      <w:pPr>
        <w:spacing w:line="360" w:lineRule="auto"/>
        <w:rPr>
          <w:rFonts w:ascii="Times New Roman" w:hAnsi="Times New Roman" w:cs="Times New Roman"/>
          <w:i/>
          <w:iCs/>
          <w:lang w:val="en-US"/>
        </w:rPr>
      </w:pPr>
      <w:r>
        <w:rPr>
          <w:rFonts w:ascii="Times New Roman" w:hAnsi="Times New Roman" w:cs="Times New Roman"/>
          <w:i/>
          <w:iCs/>
          <w:lang w:val="en-US"/>
        </w:rPr>
        <w:t xml:space="preserve">10 </w:t>
      </w:r>
      <w:r w:rsidR="00E551DB">
        <w:rPr>
          <w:rFonts w:ascii="Times New Roman" w:hAnsi="Times New Roman" w:cs="Times New Roman"/>
          <w:i/>
          <w:iCs/>
          <w:lang w:val="en-US"/>
        </w:rPr>
        <w:t>February 2020</w:t>
      </w:r>
      <w:r w:rsidR="00E551DB">
        <w:rPr>
          <w:rFonts w:ascii="Times New Roman" w:hAnsi="Times New Roman" w:cs="Times New Roman"/>
          <w:i/>
          <w:iCs/>
          <w:lang w:val="en-US"/>
        </w:rPr>
        <w:tab/>
      </w:r>
      <w:r w:rsidR="00E551DB">
        <w:rPr>
          <w:rFonts w:ascii="Times New Roman" w:hAnsi="Times New Roman" w:cs="Times New Roman"/>
          <w:i/>
          <w:iCs/>
          <w:lang w:val="en-US"/>
        </w:rPr>
        <w:tab/>
      </w:r>
      <w:r w:rsidR="00E551DB">
        <w:rPr>
          <w:rFonts w:ascii="Times New Roman" w:hAnsi="Times New Roman" w:cs="Times New Roman"/>
          <w:i/>
          <w:iCs/>
          <w:lang w:val="en-US"/>
        </w:rPr>
        <w:tab/>
      </w:r>
      <w:r w:rsidR="00E551DB">
        <w:rPr>
          <w:rFonts w:ascii="Times New Roman" w:hAnsi="Times New Roman" w:cs="Times New Roman"/>
          <w:i/>
          <w:iCs/>
          <w:lang w:val="en-US"/>
        </w:rPr>
        <w:tab/>
      </w:r>
      <w:r w:rsidR="00E551DB">
        <w:rPr>
          <w:rFonts w:ascii="Times New Roman" w:hAnsi="Times New Roman" w:cs="Times New Roman"/>
          <w:i/>
          <w:iCs/>
          <w:lang w:val="en-US"/>
        </w:rPr>
        <w:tab/>
      </w:r>
      <w:r w:rsidR="00E551DB">
        <w:rPr>
          <w:rFonts w:ascii="Times New Roman" w:hAnsi="Times New Roman" w:cs="Times New Roman"/>
          <w:i/>
          <w:iCs/>
          <w:lang w:val="en-US"/>
        </w:rPr>
        <w:tab/>
      </w:r>
    </w:p>
    <w:p w14:paraId="0293D744" w14:textId="66A1B09A" w:rsidR="00E551DB" w:rsidRDefault="00E551DB" w:rsidP="00E551DB">
      <w:pPr>
        <w:spacing w:line="360" w:lineRule="auto"/>
        <w:jc w:val="right"/>
        <w:rPr>
          <w:rFonts w:ascii="Times New Roman" w:hAnsi="Times New Roman" w:cs="Times New Roman"/>
          <w:i/>
          <w:iCs/>
          <w:lang w:val="en-US"/>
        </w:rPr>
      </w:pPr>
      <w:r>
        <w:rPr>
          <w:rFonts w:ascii="Times New Roman" w:hAnsi="Times New Roman" w:cs="Times New Roman"/>
          <w:i/>
          <w:iCs/>
          <w:lang w:val="en-US"/>
        </w:rPr>
        <w:tab/>
      </w:r>
      <w:r>
        <w:rPr>
          <w:rFonts w:ascii="Times New Roman" w:hAnsi="Times New Roman" w:cs="Times New Roman"/>
          <w:i/>
          <w:iCs/>
          <w:lang w:val="en-US"/>
        </w:rPr>
        <w:tab/>
      </w:r>
      <w:r>
        <w:rPr>
          <w:rFonts w:ascii="Times New Roman" w:hAnsi="Times New Roman" w:cs="Times New Roman"/>
          <w:i/>
          <w:iCs/>
          <w:lang w:val="en-US"/>
        </w:rPr>
        <w:tab/>
      </w:r>
      <w:r>
        <w:rPr>
          <w:rFonts w:ascii="Times New Roman" w:hAnsi="Times New Roman" w:cs="Times New Roman"/>
          <w:i/>
          <w:iCs/>
          <w:lang w:val="en-US"/>
        </w:rPr>
        <w:tab/>
      </w:r>
      <w:r>
        <w:rPr>
          <w:rFonts w:ascii="Times New Roman" w:hAnsi="Times New Roman" w:cs="Times New Roman"/>
          <w:i/>
          <w:iCs/>
          <w:lang w:val="en-US"/>
        </w:rPr>
        <w:tab/>
      </w:r>
      <w:r>
        <w:rPr>
          <w:rFonts w:ascii="Times New Roman" w:hAnsi="Times New Roman" w:cs="Times New Roman"/>
          <w:i/>
          <w:iCs/>
          <w:lang w:val="en-US"/>
        </w:rPr>
        <w:tab/>
        <w:t>The Hague, the Netherlands</w:t>
      </w:r>
    </w:p>
    <w:p w14:paraId="6400F04A" w14:textId="130F39C0" w:rsidR="00E551DB" w:rsidRDefault="00E551DB" w:rsidP="00E551DB">
      <w:pPr>
        <w:spacing w:line="360" w:lineRule="auto"/>
        <w:jc w:val="right"/>
        <w:rPr>
          <w:rFonts w:ascii="Times New Roman" w:hAnsi="Times New Roman" w:cs="Times New Roman"/>
          <w:i/>
          <w:iCs/>
          <w:lang w:val="en-US"/>
        </w:rPr>
      </w:pPr>
    </w:p>
    <w:p w14:paraId="4A273FAF" w14:textId="4D0B0633" w:rsidR="00E551DB" w:rsidRDefault="00E551DB" w:rsidP="00E551DB">
      <w:pPr>
        <w:spacing w:line="360" w:lineRule="auto"/>
        <w:jc w:val="center"/>
        <w:rPr>
          <w:rFonts w:ascii="Times New Roman" w:hAnsi="Times New Roman" w:cs="Times New Roman"/>
          <w:u w:val="single"/>
          <w:lang w:val="en-US"/>
        </w:rPr>
      </w:pPr>
      <w:r>
        <w:rPr>
          <w:rFonts w:ascii="Times New Roman" w:hAnsi="Times New Roman" w:cs="Times New Roman"/>
          <w:u w:val="single"/>
          <w:lang w:val="en-US"/>
        </w:rPr>
        <w:t>Introduction</w:t>
      </w:r>
    </w:p>
    <w:p w14:paraId="3AF9C0D3" w14:textId="77777777" w:rsidR="00E551DB" w:rsidRPr="00E551DB" w:rsidRDefault="00E551DB" w:rsidP="00E551DB">
      <w:pPr>
        <w:spacing w:line="360" w:lineRule="auto"/>
        <w:jc w:val="center"/>
        <w:rPr>
          <w:rFonts w:ascii="Times New Roman" w:hAnsi="Times New Roman" w:cs="Times New Roman"/>
          <w:sz w:val="20"/>
          <w:szCs w:val="20"/>
          <w:u w:val="single"/>
          <w:lang w:val="en-US"/>
        </w:rPr>
      </w:pPr>
    </w:p>
    <w:p w14:paraId="4DF81DF9" w14:textId="5C5E8EDB" w:rsidR="00E551DB" w:rsidRDefault="00E551DB" w:rsidP="00E551DB">
      <w:pPr>
        <w:pStyle w:val="ListParagraph"/>
        <w:numPr>
          <w:ilvl w:val="0"/>
          <w:numId w:val="1"/>
        </w:numPr>
        <w:spacing w:line="360" w:lineRule="auto"/>
        <w:jc w:val="both"/>
        <w:rPr>
          <w:rFonts w:ascii="Times New Roman" w:hAnsi="Times New Roman" w:cs="Times New Roman"/>
          <w:lang w:val="en-US"/>
        </w:rPr>
      </w:pPr>
      <w:r>
        <w:rPr>
          <w:rFonts w:ascii="Times New Roman" w:hAnsi="Times New Roman" w:cs="Times New Roman"/>
          <w:lang w:val="en-US"/>
        </w:rPr>
        <w:t xml:space="preserve">The Netherlands Helsinki Committee </w:t>
      </w:r>
      <w:r w:rsidR="00424FE2">
        <w:rPr>
          <w:rFonts w:ascii="Times New Roman" w:hAnsi="Times New Roman" w:cs="Times New Roman"/>
          <w:lang w:val="en-US"/>
        </w:rPr>
        <w:t>welcomes</w:t>
      </w:r>
      <w:r>
        <w:rPr>
          <w:rFonts w:ascii="Times New Roman" w:hAnsi="Times New Roman" w:cs="Times New Roman"/>
          <w:lang w:val="en-US"/>
        </w:rPr>
        <w:t xml:space="preserve"> the Human Rights Committee</w:t>
      </w:r>
      <w:r w:rsidR="00424FE2">
        <w:rPr>
          <w:rFonts w:ascii="Times New Roman" w:hAnsi="Times New Roman" w:cs="Times New Roman"/>
          <w:lang w:val="en-US"/>
        </w:rPr>
        <w:t>’s</w:t>
      </w:r>
      <w:r>
        <w:rPr>
          <w:rFonts w:ascii="Times New Roman" w:hAnsi="Times New Roman" w:cs="Times New Roman"/>
          <w:lang w:val="en-US"/>
        </w:rPr>
        <w:t xml:space="preserve"> (“the Committee”)</w:t>
      </w:r>
      <w:r w:rsidR="00424FE2">
        <w:rPr>
          <w:rFonts w:ascii="Times New Roman" w:hAnsi="Times New Roman" w:cs="Times New Roman"/>
          <w:lang w:val="en-US"/>
        </w:rPr>
        <w:t xml:space="preserve"> </w:t>
      </w:r>
      <w:r>
        <w:rPr>
          <w:rFonts w:ascii="Times New Roman" w:hAnsi="Times New Roman" w:cs="Times New Roman"/>
          <w:lang w:val="en-US"/>
        </w:rPr>
        <w:t>release of the revised Draft General Comment no. 37 on the right of peaceful assembly as adopted by the Committee in the first reading (“the Draft General Comment”).</w:t>
      </w:r>
    </w:p>
    <w:p w14:paraId="477874F5" w14:textId="08C0C5DA" w:rsidR="00E551DB" w:rsidRDefault="00E551DB" w:rsidP="00E551DB">
      <w:pPr>
        <w:pStyle w:val="ListParagraph"/>
        <w:numPr>
          <w:ilvl w:val="0"/>
          <w:numId w:val="1"/>
        </w:numPr>
        <w:spacing w:line="360" w:lineRule="auto"/>
        <w:jc w:val="both"/>
        <w:rPr>
          <w:rFonts w:ascii="Times New Roman" w:hAnsi="Times New Roman" w:cs="Times New Roman"/>
          <w:lang w:val="en-US"/>
        </w:rPr>
      </w:pPr>
      <w:r>
        <w:rPr>
          <w:rFonts w:ascii="Times New Roman" w:hAnsi="Times New Roman" w:cs="Times New Roman"/>
          <w:lang w:val="en-US"/>
        </w:rPr>
        <w:t>The Netherlands Helsinki Committee</w:t>
      </w:r>
      <w:r w:rsidR="00F3485C">
        <w:rPr>
          <w:rFonts w:ascii="Times New Roman" w:hAnsi="Times New Roman" w:cs="Times New Roman"/>
          <w:lang w:val="en-US"/>
        </w:rPr>
        <w:t>, in</w:t>
      </w:r>
      <w:r w:rsidR="00625B1D">
        <w:rPr>
          <w:rFonts w:ascii="Times New Roman" w:hAnsi="Times New Roman" w:cs="Times New Roman"/>
          <w:lang w:val="en-US"/>
        </w:rPr>
        <w:t xml:space="preserve"> close</w:t>
      </w:r>
      <w:r w:rsidR="00F3485C">
        <w:rPr>
          <w:rFonts w:ascii="Times New Roman" w:hAnsi="Times New Roman" w:cs="Times New Roman"/>
          <w:lang w:val="en-US"/>
        </w:rPr>
        <w:t xml:space="preserve"> collaboration with its partners,</w:t>
      </w:r>
      <w:r>
        <w:rPr>
          <w:rFonts w:ascii="Times New Roman" w:hAnsi="Times New Roman" w:cs="Times New Roman"/>
          <w:lang w:val="en-US"/>
        </w:rPr>
        <w:t xml:space="preserve"> was part of the long deliberative process which led to this significant milestone. In particular, we submitted </w:t>
      </w:r>
      <w:r w:rsidR="00424FE2">
        <w:rPr>
          <w:rFonts w:ascii="Times New Roman" w:hAnsi="Times New Roman" w:cs="Times New Roman"/>
          <w:lang w:val="en-US"/>
        </w:rPr>
        <w:t>a</w:t>
      </w:r>
      <w:r>
        <w:rPr>
          <w:rFonts w:ascii="Times New Roman" w:hAnsi="Times New Roman" w:cs="Times New Roman"/>
          <w:lang w:val="en-US"/>
        </w:rPr>
        <w:t xml:space="preserve"> written contribution </w:t>
      </w:r>
      <w:r w:rsidR="00424FE2">
        <w:rPr>
          <w:rFonts w:ascii="Times New Roman" w:hAnsi="Times New Roman" w:cs="Times New Roman"/>
          <w:lang w:val="en-US"/>
        </w:rPr>
        <w:t>in advance of the</w:t>
      </w:r>
      <w:r>
        <w:rPr>
          <w:rFonts w:ascii="Times New Roman" w:hAnsi="Times New Roman" w:cs="Times New Roman"/>
          <w:lang w:val="en-US"/>
        </w:rPr>
        <w:t xml:space="preserve"> half-day general discussion on the matter held by the Committee in the course of its 135</w:t>
      </w:r>
      <w:r w:rsidRPr="00E551DB">
        <w:rPr>
          <w:rFonts w:ascii="Times New Roman" w:hAnsi="Times New Roman" w:cs="Times New Roman"/>
          <w:vertAlign w:val="superscript"/>
          <w:lang w:val="en-US"/>
        </w:rPr>
        <w:t>th</w:t>
      </w:r>
      <w:r>
        <w:rPr>
          <w:rFonts w:ascii="Times New Roman" w:hAnsi="Times New Roman" w:cs="Times New Roman"/>
          <w:lang w:val="en-US"/>
        </w:rPr>
        <w:t xml:space="preserve"> session last year.</w:t>
      </w:r>
    </w:p>
    <w:p w14:paraId="70DFCADB" w14:textId="6C95CBC2" w:rsidR="00E551DB" w:rsidRDefault="00E551DB" w:rsidP="00E551DB">
      <w:pPr>
        <w:pStyle w:val="ListParagraph"/>
        <w:numPr>
          <w:ilvl w:val="0"/>
          <w:numId w:val="1"/>
        </w:numPr>
        <w:spacing w:line="360" w:lineRule="auto"/>
        <w:jc w:val="both"/>
        <w:rPr>
          <w:rFonts w:ascii="Times New Roman" w:hAnsi="Times New Roman" w:cs="Times New Roman"/>
          <w:lang w:val="en-US"/>
        </w:rPr>
      </w:pPr>
      <w:r>
        <w:rPr>
          <w:rFonts w:ascii="Times New Roman" w:hAnsi="Times New Roman" w:cs="Times New Roman"/>
          <w:lang w:val="en-US"/>
        </w:rPr>
        <w:t>We are pleased to note that the Draft General Comment</w:t>
      </w:r>
      <w:r w:rsidR="00424FE2">
        <w:rPr>
          <w:rFonts w:ascii="Times New Roman" w:hAnsi="Times New Roman" w:cs="Times New Roman"/>
          <w:lang w:val="en-US"/>
        </w:rPr>
        <w:t xml:space="preserve"> now</w:t>
      </w:r>
      <w:r>
        <w:rPr>
          <w:rFonts w:ascii="Times New Roman" w:hAnsi="Times New Roman" w:cs="Times New Roman"/>
          <w:lang w:val="en-US"/>
        </w:rPr>
        <w:t xml:space="preserve"> includes most of the points we raised. In our opinion, the Draft General Comment makes significant contribution to both</w:t>
      </w:r>
      <w:r w:rsidR="00424FE2">
        <w:rPr>
          <w:rFonts w:ascii="Times New Roman" w:hAnsi="Times New Roman" w:cs="Times New Roman"/>
          <w:lang w:val="en-US"/>
        </w:rPr>
        <w:t xml:space="preserve"> the</w:t>
      </w:r>
      <w:r>
        <w:rPr>
          <w:rFonts w:ascii="Times New Roman" w:hAnsi="Times New Roman" w:cs="Times New Roman"/>
          <w:lang w:val="en-US"/>
        </w:rPr>
        <w:t xml:space="preserve"> codification and</w:t>
      </w:r>
      <w:r w:rsidR="00424FE2">
        <w:rPr>
          <w:rFonts w:ascii="Times New Roman" w:hAnsi="Times New Roman" w:cs="Times New Roman"/>
          <w:lang w:val="en-US"/>
        </w:rPr>
        <w:t xml:space="preserve"> the</w:t>
      </w:r>
      <w:r>
        <w:rPr>
          <w:rFonts w:ascii="Times New Roman" w:hAnsi="Times New Roman" w:cs="Times New Roman"/>
          <w:lang w:val="en-US"/>
        </w:rPr>
        <w:t xml:space="preserve"> progressive development of international human rights law. It is hard to overestimate the</w:t>
      </w:r>
      <w:r w:rsidR="008F177F">
        <w:rPr>
          <w:rFonts w:ascii="Times New Roman" w:hAnsi="Times New Roman" w:cs="Times New Roman"/>
          <w:lang w:val="en-US"/>
        </w:rPr>
        <w:t xml:space="preserve"> enormous</w:t>
      </w:r>
      <w:r>
        <w:rPr>
          <w:rFonts w:ascii="Times New Roman" w:hAnsi="Times New Roman" w:cs="Times New Roman"/>
          <w:lang w:val="en-US"/>
        </w:rPr>
        <w:t xml:space="preserve"> significance of this very timely normative exercise undertaken by the Committee.</w:t>
      </w:r>
    </w:p>
    <w:p w14:paraId="43424775" w14:textId="49B6D221" w:rsidR="008F177F" w:rsidRPr="00E551DB" w:rsidRDefault="008F177F" w:rsidP="00E551DB">
      <w:pPr>
        <w:pStyle w:val="ListParagraph"/>
        <w:numPr>
          <w:ilvl w:val="0"/>
          <w:numId w:val="1"/>
        </w:numPr>
        <w:spacing w:line="360" w:lineRule="auto"/>
        <w:jc w:val="both"/>
        <w:rPr>
          <w:rFonts w:ascii="Times New Roman" w:hAnsi="Times New Roman" w:cs="Times New Roman"/>
          <w:lang w:val="en-US"/>
        </w:rPr>
      </w:pPr>
      <w:r>
        <w:rPr>
          <w:rFonts w:ascii="Times New Roman" w:hAnsi="Times New Roman" w:cs="Times New Roman"/>
          <w:lang w:val="en-US"/>
        </w:rPr>
        <w:lastRenderedPageBreak/>
        <w:t>At this critical juncture</w:t>
      </w:r>
      <w:r w:rsidR="00424FE2">
        <w:rPr>
          <w:rFonts w:ascii="Times New Roman" w:hAnsi="Times New Roman" w:cs="Times New Roman"/>
          <w:lang w:val="en-US"/>
        </w:rPr>
        <w:t>,</w:t>
      </w:r>
      <w:r>
        <w:rPr>
          <w:rFonts w:ascii="Times New Roman" w:hAnsi="Times New Roman" w:cs="Times New Roman"/>
          <w:lang w:val="en-US"/>
        </w:rPr>
        <w:t xml:space="preserve"> one would only benefit from repeating the wise </w:t>
      </w:r>
      <w:r>
        <w:rPr>
          <w:rFonts w:ascii="Times New Roman" w:hAnsi="Times New Roman" w:cs="Times New Roman"/>
          <w:i/>
          <w:iCs/>
          <w:lang w:val="en-US"/>
        </w:rPr>
        <w:t>dictum</w:t>
      </w:r>
      <w:r>
        <w:rPr>
          <w:rFonts w:ascii="Times New Roman" w:hAnsi="Times New Roman" w:cs="Times New Roman"/>
          <w:lang w:val="en-US"/>
        </w:rPr>
        <w:t xml:space="preserve"> of the Constitutional Court of South Africa: “People who lack political and economic power have only protests as a tool to communicate their legitimate concerns” (</w:t>
      </w:r>
      <w:proofErr w:type="spellStart"/>
      <w:r>
        <w:rPr>
          <w:rFonts w:ascii="Times New Roman" w:hAnsi="Times New Roman" w:cs="Times New Roman"/>
          <w:i/>
          <w:iCs/>
          <w:lang w:val="en-US"/>
        </w:rPr>
        <w:t>Mlungwana</w:t>
      </w:r>
      <w:proofErr w:type="spellEnd"/>
      <w:r>
        <w:rPr>
          <w:rFonts w:ascii="Times New Roman" w:hAnsi="Times New Roman" w:cs="Times New Roman"/>
          <w:i/>
          <w:iCs/>
          <w:lang w:val="en-US"/>
        </w:rPr>
        <w:t xml:space="preserve"> and Others v. The State and Another</w:t>
      </w:r>
      <w:r>
        <w:rPr>
          <w:rFonts w:ascii="Times New Roman" w:hAnsi="Times New Roman" w:cs="Times New Roman"/>
          <w:lang w:val="en-US"/>
        </w:rPr>
        <w:t>, [2018] ZACC 45, § 49). It is imperative both for those people to be able to express themselves without fear</w:t>
      </w:r>
      <w:r w:rsidR="00625B1D">
        <w:rPr>
          <w:rFonts w:ascii="Times New Roman" w:hAnsi="Times New Roman" w:cs="Times New Roman"/>
          <w:lang w:val="en-US"/>
        </w:rPr>
        <w:t xml:space="preserve"> and undue limitations</w:t>
      </w:r>
      <w:r>
        <w:rPr>
          <w:rFonts w:ascii="Times New Roman" w:hAnsi="Times New Roman" w:cs="Times New Roman"/>
          <w:lang w:val="en-US"/>
        </w:rPr>
        <w:t xml:space="preserve"> and for the Governments to be able to hear their messages.</w:t>
      </w:r>
    </w:p>
    <w:p w14:paraId="0501D7A7" w14:textId="77777777" w:rsidR="00E551DB" w:rsidRDefault="00E551DB" w:rsidP="00E551DB">
      <w:pPr>
        <w:spacing w:line="360" w:lineRule="auto"/>
        <w:jc w:val="center"/>
        <w:rPr>
          <w:rFonts w:ascii="Times New Roman" w:hAnsi="Times New Roman" w:cs="Times New Roman"/>
          <w:u w:val="single"/>
          <w:lang w:val="en-US"/>
        </w:rPr>
      </w:pPr>
    </w:p>
    <w:p w14:paraId="3EB46AE4" w14:textId="01F6A036" w:rsidR="00E551DB" w:rsidRDefault="00E551DB" w:rsidP="00E551DB">
      <w:pPr>
        <w:spacing w:line="360" w:lineRule="auto"/>
        <w:jc w:val="center"/>
        <w:rPr>
          <w:rFonts w:ascii="Times New Roman" w:hAnsi="Times New Roman" w:cs="Times New Roman"/>
          <w:u w:val="single"/>
          <w:lang w:val="en-US"/>
        </w:rPr>
      </w:pPr>
      <w:r>
        <w:rPr>
          <w:rFonts w:ascii="Times New Roman" w:hAnsi="Times New Roman" w:cs="Times New Roman"/>
          <w:u w:val="single"/>
          <w:lang w:val="en-US"/>
        </w:rPr>
        <w:t>General remark</w:t>
      </w:r>
    </w:p>
    <w:p w14:paraId="6D6CEA57" w14:textId="77777777" w:rsidR="00F3485C" w:rsidRPr="00F3485C" w:rsidRDefault="00F3485C" w:rsidP="00E551DB">
      <w:pPr>
        <w:spacing w:line="360" w:lineRule="auto"/>
        <w:jc w:val="center"/>
        <w:rPr>
          <w:rFonts w:ascii="Times New Roman" w:hAnsi="Times New Roman" w:cs="Times New Roman"/>
          <w:sz w:val="20"/>
          <w:szCs w:val="20"/>
          <w:lang w:val="en-US"/>
        </w:rPr>
      </w:pPr>
    </w:p>
    <w:p w14:paraId="766FD0EE" w14:textId="1BFB9225" w:rsidR="00F3485C" w:rsidRDefault="00F3485C" w:rsidP="00F3485C">
      <w:pPr>
        <w:pStyle w:val="ListParagraph"/>
        <w:numPr>
          <w:ilvl w:val="0"/>
          <w:numId w:val="1"/>
        </w:numPr>
        <w:spacing w:line="360" w:lineRule="auto"/>
        <w:jc w:val="both"/>
        <w:rPr>
          <w:rFonts w:ascii="Times New Roman" w:hAnsi="Times New Roman" w:cs="Times New Roman"/>
          <w:lang w:val="en-US"/>
        </w:rPr>
      </w:pPr>
      <w:r>
        <w:rPr>
          <w:rFonts w:ascii="Times New Roman" w:hAnsi="Times New Roman" w:cs="Times New Roman"/>
          <w:lang w:val="en-US"/>
        </w:rPr>
        <w:t xml:space="preserve">There is an ongoing worrying trend of the criminalization of the mere fact of participation in peaceful protest actions as such. This trend is reflected, </w:t>
      </w:r>
      <w:r>
        <w:rPr>
          <w:rFonts w:ascii="Times New Roman" w:hAnsi="Times New Roman" w:cs="Times New Roman"/>
          <w:i/>
          <w:iCs/>
          <w:lang w:val="en-US"/>
        </w:rPr>
        <w:t>inter alia</w:t>
      </w:r>
      <w:r>
        <w:rPr>
          <w:rFonts w:ascii="Times New Roman" w:hAnsi="Times New Roman" w:cs="Times New Roman"/>
          <w:lang w:val="en-US"/>
        </w:rPr>
        <w:t>, in an important precaution expressed by the Committee in § 79 of the Draft General Comment.</w:t>
      </w:r>
    </w:p>
    <w:p w14:paraId="1D225116" w14:textId="533F01D4" w:rsidR="00F3485C" w:rsidRDefault="00F3485C" w:rsidP="00F3485C">
      <w:pPr>
        <w:pStyle w:val="ListParagraph"/>
        <w:numPr>
          <w:ilvl w:val="0"/>
          <w:numId w:val="1"/>
        </w:numPr>
        <w:spacing w:line="360" w:lineRule="auto"/>
        <w:jc w:val="both"/>
        <w:rPr>
          <w:rFonts w:ascii="Times New Roman" w:hAnsi="Times New Roman" w:cs="Times New Roman"/>
          <w:lang w:val="en-US"/>
        </w:rPr>
      </w:pPr>
      <w:r>
        <w:rPr>
          <w:rFonts w:ascii="Times New Roman" w:hAnsi="Times New Roman" w:cs="Times New Roman"/>
          <w:lang w:val="en-US"/>
        </w:rPr>
        <w:t>It is our submission that the Committee is well placed to remind States Parties that those individuals who exercise their</w:t>
      </w:r>
      <w:r w:rsidR="00625B1D">
        <w:rPr>
          <w:rFonts w:ascii="Times New Roman" w:hAnsi="Times New Roman" w:cs="Times New Roman"/>
          <w:lang w:val="en-US"/>
        </w:rPr>
        <w:t xml:space="preserve"> fundamental</w:t>
      </w:r>
      <w:r>
        <w:rPr>
          <w:rFonts w:ascii="Times New Roman" w:hAnsi="Times New Roman" w:cs="Times New Roman"/>
          <w:lang w:val="en-US"/>
        </w:rPr>
        <w:t xml:space="preserve"> right to peaceful protest, including those who convene mass protest actions, should not be held criminally liable for taking part in peaceful protests. At the very least, those actions should not, under any circumstances and within any legal framework, lead to imprisonment as</w:t>
      </w:r>
      <w:r w:rsidR="00625B1D">
        <w:rPr>
          <w:rFonts w:ascii="Times New Roman" w:hAnsi="Times New Roman" w:cs="Times New Roman"/>
          <w:lang w:val="en-US"/>
        </w:rPr>
        <w:t xml:space="preserve"> a possible</w:t>
      </w:r>
      <w:r>
        <w:rPr>
          <w:rFonts w:ascii="Times New Roman" w:hAnsi="Times New Roman" w:cs="Times New Roman"/>
          <w:lang w:val="en-US"/>
        </w:rPr>
        <w:t xml:space="preserve"> punishment.</w:t>
      </w:r>
    </w:p>
    <w:p w14:paraId="2E30947C" w14:textId="65462A35" w:rsidR="00F3485C" w:rsidRDefault="00642F97" w:rsidP="00F3485C">
      <w:pPr>
        <w:pStyle w:val="ListParagraph"/>
        <w:numPr>
          <w:ilvl w:val="0"/>
          <w:numId w:val="1"/>
        </w:numPr>
        <w:spacing w:line="360" w:lineRule="auto"/>
        <w:jc w:val="both"/>
        <w:rPr>
          <w:rFonts w:ascii="Times New Roman" w:hAnsi="Times New Roman" w:cs="Times New Roman"/>
          <w:lang w:val="en-US"/>
        </w:rPr>
      </w:pPr>
      <w:r>
        <w:rPr>
          <w:rFonts w:ascii="Times New Roman" w:hAnsi="Times New Roman" w:cs="Times New Roman"/>
          <w:lang w:val="en-US"/>
        </w:rPr>
        <w:t xml:space="preserve">Given that the rationale for the recognition of the freedom of assembly and the freedom of expression and the acceptable restrictions overlap in many ways (§ 112 of the </w:t>
      </w:r>
      <w:r w:rsidR="00625B1D">
        <w:rPr>
          <w:rFonts w:ascii="Times New Roman" w:hAnsi="Times New Roman" w:cs="Times New Roman"/>
          <w:lang w:val="en-US"/>
        </w:rPr>
        <w:t xml:space="preserve">Draft </w:t>
      </w:r>
      <w:r>
        <w:rPr>
          <w:rFonts w:ascii="Times New Roman" w:hAnsi="Times New Roman" w:cs="Times New Roman"/>
          <w:lang w:val="en-US"/>
        </w:rPr>
        <w:t>General Comment), t</w:t>
      </w:r>
      <w:r w:rsidR="00F3485C">
        <w:rPr>
          <w:rFonts w:ascii="Times New Roman" w:hAnsi="Times New Roman" w:cs="Times New Roman"/>
          <w:lang w:val="en-US"/>
        </w:rPr>
        <w:t>he</w:t>
      </w:r>
      <w:r w:rsidR="00424FE2">
        <w:rPr>
          <w:rFonts w:ascii="Times New Roman" w:hAnsi="Times New Roman" w:cs="Times New Roman"/>
          <w:lang w:val="en-US"/>
        </w:rPr>
        <w:t xml:space="preserve"> NHC invites the</w:t>
      </w:r>
      <w:r w:rsidR="00F3485C">
        <w:rPr>
          <w:rFonts w:ascii="Times New Roman" w:hAnsi="Times New Roman" w:cs="Times New Roman"/>
          <w:lang w:val="en-US"/>
        </w:rPr>
        <w:t xml:space="preserve"> Committee to draw inspiration from §§ 9 and 42 of</w:t>
      </w:r>
      <w:r>
        <w:rPr>
          <w:rFonts w:ascii="Times New Roman" w:hAnsi="Times New Roman" w:cs="Times New Roman"/>
          <w:lang w:val="en-US"/>
        </w:rPr>
        <w:t xml:space="preserve"> </w:t>
      </w:r>
      <w:r w:rsidR="00F3485C">
        <w:rPr>
          <w:rFonts w:ascii="Times New Roman" w:hAnsi="Times New Roman" w:cs="Times New Roman"/>
          <w:lang w:val="en-US"/>
        </w:rPr>
        <w:t>General Comment no. 3</w:t>
      </w:r>
      <w:r w:rsidR="00625B1D">
        <w:rPr>
          <w:rFonts w:ascii="Times New Roman" w:hAnsi="Times New Roman" w:cs="Times New Roman"/>
          <w:lang w:val="en-US"/>
        </w:rPr>
        <w:t>4</w:t>
      </w:r>
      <w:r w:rsidR="00F3485C">
        <w:rPr>
          <w:rFonts w:ascii="Times New Roman" w:hAnsi="Times New Roman" w:cs="Times New Roman"/>
          <w:lang w:val="en-US"/>
        </w:rPr>
        <w:t xml:space="preserve"> on the freedom of</w:t>
      </w:r>
      <w:r w:rsidR="00625B1D">
        <w:rPr>
          <w:rFonts w:ascii="Times New Roman" w:hAnsi="Times New Roman" w:cs="Times New Roman"/>
          <w:lang w:val="en-US"/>
        </w:rPr>
        <w:t xml:space="preserve"> opinion and</w:t>
      </w:r>
      <w:r w:rsidR="00F3485C">
        <w:rPr>
          <w:rFonts w:ascii="Times New Roman" w:hAnsi="Times New Roman" w:cs="Times New Roman"/>
          <w:lang w:val="en-US"/>
        </w:rPr>
        <w:t xml:space="preserve"> expression</w:t>
      </w:r>
      <w:r w:rsidR="00424FE2">
        <w:rPr>
          <w:rFonts w:ascii="Times New Roman" w:hAnsi="Times New Roman" w:cs="Times New Roman"/>
          <w:lang w:val="en-US"/>
        </w:rPr>
        <w:t>,</w:t>
      </w:r>
      <w:r>
        <w:rPr>
          <w:rFonts w:ascii="Times New Roman" w:hAnsi="Times New Roman" w:cs="Times New Roman"/>
          <w:lang w:val="en-US"/>
        </w:rPr>
        <w:t xml:space="preserve"> and consider inclu</w:t>
      </w:r>
      <w:r w:rsidR="00424FE2">
        <w:rPr>
          <w:rFonts w:ascii="Times New Roman" w:hAnsi="Times New Roman" w:cs="Times New Roman"/>
          <w:lang w:val="en-US"/>
        </w:rPr>
        <w:t>ding</w:t>
      </w:r>
      <w:r>
        <w:rPr>
          <w:rFonts w:ascii="Times New Roman" w:hAnsi="Times New Roman" w:cs="Times New Roman"/>
          <w:lang w:val="en-US"/>
        </w:rPr>
        <w:t xml:space="preserve"> the following sentences in the Draft General Comment: “It is in principle incompatible with article 21 of the Covenant to criminalize the holding of peaceful assembly or participation in it as such. The harassment, intimidation or stigmatization of a person, including arrest, detention, trial or imprisonment, solely for the reason of that person’s participation in a peaceful assembly constitutes a violation of article 21. The penalization of a peaceful protestor, or protest organizer solely for being critical of the government or particular public policies can never be considered to be a necessary and proportional restriction of the right of peaceful assembly”.</w:t>
      </w:r>
    </w:p>
    <w:p w14:paraId="73A4AA31" w14:textId="15C630F5" w:rsidR="00642F97" w:rsidRDefault="00642F97" w:rsidP="00F3485C">
      <w:pPr>
        <w:pStyle w:val="ListParagraph"/>
        <w:numPr>
          <w:ilvl w:val="0"/>
          <w:numId w:val="1"/>
        </w:numPr>
        <w:spacing w:line="360" w:lineRule="auto"/>
        <w:jc w:val="both"/>
        <w:rPr>
          <w:rFonts w:ascii="Times New Roman" w:hAnsi="Times New Roman" w:cs="Times New Roman"/>
          <w:lang w:val="en-US"/>
        </w:rPr>
      </w:pPr>
      <w:r>
        <w:rPr>
          <w:rFonts w:ascii="Times New Roman" w:hAnsi="Times New Roman" w:cs="Times New Roman"/>
          <w:lang w:val="en-US"/>
        </w:rPr>
        <w:t>It is proposed that the above wording is added to § 76</w:t>
      </w:r>
      <w:r w:rsidR="00625B1D">
        <w:rPr>
          <w:rFonts w:ascii="Times New Roman" w:hAnsi="Times New Roman" w:cs="Times New Roman"/>
          <w:lang w:val="en-US"/>
        </w:rPr>
        <w:t xml:space="preserve"> of the Draft General Comment</w:t>
      </w:r>
      <w:r>
        <w:rPr>
          <w:rFonts w:ascii="Times New Roman" w:hAnsi="Times New Roman" w:cs="Times New Roman"/>
          <w:lang w:val="en-US"/>
        </w:rPr>
        <w:t xml:space="preserve"> on the proportionality of criminal sanctions used against participants in a peaceful assembly,</w:t>
      </w:r>
      <w:r w:rsidR="00625B1D">
        <w:rPr>
          <w:rFonts w:ascii="Times New Roman" w:hAnsi="Times New Roman" w:cs="Times New Roman"/>
          <w:lang w:val="en-US"/>
        </w:rPr>
        <w:t xml:space="preserve"> in order</w:t>
      </w:r>
      <w:r>
        <w:rPr>
          <w:rFonts w:ascii="Times New Roman" w:hAnsi="Times New Roman" w:cs="Times New Roman"/>
          <w:lang w:val="en-US"/>
        </w:rPr>
        <w:t xml:space="preserve"> to make the</w:t>
      </w:r>
      <w:r w:rsidR="00625B1D">
        <w:rPr>
          <w:rFonts w:ascii="Times New Roman" w:hAnsi="Times New Roman" w:cs="Times New Roman"/>
          <w:lang w:val="en-US"/>
        </w:rPr>
        <w:t xml:space="preserve"> overall</w:t>
      </w:r>
      <w:r>
        <w:rPr>
          <w:rFonts w:ascii="Times New Roman" w:hAnsi="Times New Roman" w:cs="Times New Roman"/>
          <w:lang w:val="en-US"/>
        </w:rPr>
        <w:t xml:space="preserve"> message of this provision clearer and less ambiguous.</w:t>
      </w:r>
    </w:p>
    <w:p w14:paraId="161D9C41" w14:textId="1ECAD94D" w:rsidR="00D71548" w:rsidRPr="00F3485C" w:rsidRDefault="00D71548" w:rsidP="00F3485C">
      <w:pPr>
        <w:pStyle w:val="ListParagraph"/>
        <w:numPr>
          <w:ilvl w:val="0"/>
          <w:numId w:val="1"/>
        </w:numPr>
        <w:spacing w:line="360" w:lineRule="auto"/>
        <w:jc w:val="both"/>
        <w:rPr>
          <w:rFonts w:ascii="Times New Roman" w:hAnsi="Times New Roman" w:cs="Times New Roman"/>
          <w:lang w:val="en-US"/>
        </w:rPr>
      </w:pPr>
      <w:r>
        <w:rPr>
          <w:rFonts w:ascii="Times New Roman" w:hAnsi="Times New Roman" w:cs="Times New Roman"/>
          <w:lang w:val="en-US"/>
        </w:rPr>
        <w:lastRenderedPageBreak/>
        <w:t>The</w:t>
      </w:r>
      <w:r w:rsidR="00625B1D">
        <w:rPr>
          <w:rFonts w:ascii="Times New Roman" w:hAnsi="Times New Roman" w:cs="Times New Roman"/>
          <w:lang w:val="en-US"/>
        </w:rPr>
        <w:t xml:space="preserve"> possible</w:t>
      </w:r>
      <w:r>
        <w:rPr>
          <w:rFonts w:ascii="Times New Roman" w:hAnsi="Times New Roman" w:cs="Times New Roman"/>
          <w:lang w:val="en-US"/>
        </w:rPr>
        <w:t xml:space="preserve"> concerns of</w:t>
      </w:r>
      <w:r w:rsidR="00625B1D">
        <w:rPr>
          <w:rFonts w:ascii="Times New Roman" w:hAnsi="Times New Roman" w:cs="Times New Roman"/>
          <w:lang w:val="en-US"/>
        </w:rPr>
        <w:t xml:space="preserve"> some</w:t>
      </w:r>
      <w:r>
        <w:rPr>
          <w:rFonts w:ascii="Times New Roman" w:hAnsi="Times New Roman" w:cs="Times New Roman"/>
          <w:lang w:val="en-US"/>
        </w:rPr>
        <w:t xml:space="preserve"> States can be addressed by the reminder that penaliz</w:t>
      </w:r>
      <w:r w:rsidR="00424FE2">
        <w:rPr>
          <w:rFonts w:ascii="Times New Roman" w:hAnsi="Times New Roman" w:cs="Times New Roman"/>
          <w:lang w:val="en-US"/>
        </w:rPr>
        <w:t>ation of</w:t>
      </w:r>
      <w:r>
        <w:rPr>
          <w:rFonts w:ascii="Times New Roman" w:hAnsi="Times New Roman" w:cs="Times New Roman"/>
          <w:lang w:val="en-US"/>
        </w:rPr>
        <w:t xml:space="preserve"> particular criminal conduct, such as destruction o</w:t>
      </w:r>
      <w:r w:rsidR="00625B1D">
        <w:rPr>
          <w:rFonts w:ascii="Times New Roman" w:hAnsi="Times New Roman" w:cs="Times New Roman"/>
          <w:lang w:val="en-US"/>
        </w:rPr>
        <w:t>f</w:t>
      </w:r>
      <w:r>
        <w:rPr>
          <w:rFonts w:ascii="Times New Roman" w:hAnsi="Times New Roman" w:cs="Times New Roman"/>
          <w:lang w:val="en-US"/>
        </w:rPr>
        <w:t xml:space="preserve"> property, looting, rioting, or arson, and prosecut</w:t>
      </w:r>
      <w:r w:rsidR="00424FE2">
        <w:rPr>
          <w:rFonts w:ascii="Times New Roman" w:hAnsi="Times New Roman" w:cs="Times New Roman"/>
          <w:lang w:val="en-US"/>
        </w:rPr>
        <w:t>ion of</w:t>
      </w:r>
      <w:r>
        <w:rPr>
          <w:rFonts w:ascii="Times New Roman" w:hAnsi="Times New Roman" w:cs="Times New Roman"/>
          <w:lang w:val="en-US"/>
        </w:rPr>
        <w:t xml:space="preserve"> those responsible</w:t>
      </w:r>
      <w:r w:rsidR="00424FE2">
        <w:rPr>
          <w:rFonts w:ascii="Times New Roman" w:hAnsi="Times New Roman" w:cs="Times New Roman"/>
          <w:lang w:val="en-US"/>
        </w:rPr>
        <w:t xml:space="preserve"> remains in their purview,</w:t>
      </w:r>
      <w:r>
        <w:rPr>
          <w:rFonts w:ascii="Times New Roman" w:hAnsi="Times New Roman" w:cs="Times New Roman"/>
          <w:lang w:val="en-US"/>
        </w:rPr>
        <w:t xml:space="preserve"> in full compliance with their applicable legislation and fair-trial guarantees.</w:t>
      </w:r>
    </w:p>
    <w:p w14:paraId="3FA5C7CE" w14:textId="6050D7D2" w:rsidR="00F3485C" w:rsidRDefault="00F3485C" w:rsidP="00F3485C">
      <w:pPr>
        <w:pStyle w:val="ListParagraph"/>
        <w:spacing w:line="360" w:lineRule="auto"/>
        <w:jc w:val="both"/>
        <w:rPr>
          <w:rFonts w:ascii="Times New Roman" w:hAnsi="Times New Roman" w:cs="Times New Roman"/>
          <w:lang w:val="en-US"/>
        </w:rPr>
      </w:pPr>
    </w:p>
    <w:p w14:paraId="18747440" w14:textId="469C7060" w:rsidR="00D71548" w:rsidRDefault="00D71548" w:rsidP="00F3485C">
      <w:pPr>
        <w:pStyle w:val="ListParagraph"/>
        <w:spacing w:line="360" w:lineRule="auto"/>
        <w:jc w:val="both"/>
        <w:rPr>
          <w:rFonts w:ascii="Times New Roman" w:hAnsi="Times New Roman" w:cs="Times New Roman"/>
          <w:lang w:val="en-US"/>
        </w:rPr>
      </w:pPr>
    </w:p>
    <w:p w14:paraId="319999C5" w14:textId="77777777" w:rsidR="00D71548" w:rsidRPr="00625B1D" w:rsidRDefault="00D71548" w:rsidP="00625B1D">
      <w:pPr>
        <w:spacing w:line="360" w:lineRule="auto"/>
        <w:jc w:val="both"/>
        <w:rPr>
          <w:rFonts w:ascii="Times New Roman" w:hAnsi="Times New Roman" w:cs="Times New Roman"/>
          <w:lang w:val="en-US"/>
        </w:rPr>
      </w:pPr>
    </w:p>
    <w:p w14:paraId="78494AD2" w14:textId="19A7354C" w:rsidR="00E551DB" w:rsidRDefault="00E551DB" w:rsidP="00E551DB">
      <w:pPr>
        <w:spacing w:line="360" w:lineRule="auto"/>
        <w:jc w:val="center"/>
        <w:rPr>
          <w:rFonts w:ascii="Times New Roman" w:hAnsi="Times New Roman" w:cs="Times New Roman"/>
          <w:u w:val="single"/>
          <w:lang w:val="en-US"/>
        </w:rPr>
      </w:pPr>
      <w:r>
        <w:rPr>
          <w:rFonts w:ascii="Times New Roman" w:hAnsi="Times New Roman" w:cs="Times New Roman"/>
          <w:u w:val="single"/>
          <w:lang w:val="en-US"/>
        </w:rPr>
        <w:t>Specific comments</w:t>
      </w:r>
    </w:p>
    <w:p w14:paraId="446DE80D" w14:textId="6CACEC9C" w:rsidR="00E551DB" w:rsidRPr="00D71548" w:rsidRDefault="00E551DB" w:rsidP="00D71548">
      <w:pPr>
        <w:spacing w:line="360" w:lineRule="auto"/>
        <w:jc w:val="both"/>
        <w:rPr>
          <w:rFonts w:ascii="Times New Roman" w:hAnsi="Times New Roman" w:cs="Times New Roman"/>
          <w:sz w:val="20"/>
          <w:szCs w:val="20"/>
          <w:lang w:val="en-US"/>
        </w:rPr>
      </w:pPr>
    </w:p>
    <w:p w14:paraId="40FE18E7" w14:textId="45D66B64" w:rsidR="00D71548" w:rsidRDefault="00D71548" w:rsidP="003F248D">
      <w:pPr>
        <w:pStyle w:val="ListParagraph"/>
        <w:numPr>
          <w:ilvl w:val="0"/>
          <w:numId w:val="1"/>
        </w:numPr>
        <w:spacing w:line="360" w:lineRule="auto"/>
        <w:jc w:val="both"/>
        <w:rPr>
          <w:rFonts w:ascii="Times New Roman" w:hAnsi="Times New Roman" w:cs="Times New Roman"/>
          <w:lang w:val="en-US"/>
        </w:rPr>
      </w:pPr>
      <w:r>
        <w:rPr>
          <w:rFonts w:ascii="Times New Roman" w:hAnsi="Times New Roman" w:cs="Times New Roman"/>
          <w:lang w:val="en-US"/>
        </w:rPr>
        <w:t xml:space="preserve">The Netherlands Helsinki Committee </w:t>
      </w:r>
      <w:r w:rsidR="00625B1D">
        <w:rPr>
          <w:rFonts w:ascii="Times New Roman" w:hAnsi="Times New Roman" w:cs="Times New Roman"/>
          <w:lang w:val="en-US"/>
        </w:rPr>
        <w:t>notes</w:t>
      </w:r>
      <w:r w:rsidR="00B5644A">
        <w:rPr>
          <w:rFonts w:ascii="Times New Roman" w:hAnsi="Times New Roman" w:cs="Times New Roman"/>
          <w:lang w:val="en-US"/>
        </w:rPr>
        <w:t xml:space="preserve"> that</w:t>
      </w:r>
      <w:r>
        <w:rPr>
          <w:rFonts w:ascii="Times New Roman" w:hAnsi="Times New Roman" w:cs="Times New Roman"/>
          <w:lang w:val="en-US"/>
        </w:rPr>
        <w:t xml:space="preserve"> several paragraphs of the Draft General Comment contain square brackets indicating language on which consensus has not yet been reached in the Committee. We therefore offer our input on those issues.</w:t>
      </w:r>
    </w:p>
    <w:p w14:paraId="6CEF6972" w14:textId="1143F264" w:rsidR="00D71548" w:rsidRDefault="00D71548" w:rsidP="003F248D">
      <w:pPr>
        <w:pStyle w:val="ListParagraph"/>
        <w:numPr>
          <w:ilvl w:val="0"/>
          <w:numId w:val="1"/>
        </w:numPr>
        <w:spacing w:line="360" w:lineRule="auto"/>
        <w:jc w:val="both"/>
        <w:rPr>
          <w:rFonts w:ascii="Times New Roman" w:hAnsi="Times New Roman" w:cs="Times New Roman"/>
          <w:lang w:val="en-US"/>
        </w:rPr>
      </w:pPr>
      <w:r>
        <w:rPr>
          <w:rFonts w:ascii="Times New Roman" w:hAnsi="Times New Roman" w:cs="Times New Roman"/>
          <w:b/>
          <w:bCs/>
          <w:lang w:val="en-US"/>
        </w:rPr>
        <w:t>§ 1</w:t>
      </w:r>
      <w:r>
        <w:rPr>
          <w:rFonts w:ascii="Times New Roman" w:hAnsi="Times New Roman" w:cs="Times New Roman"/>
          <w:lang w:val="en-US"/>
        </w:rPr>
        <w:t>. We suggest to retain reference to the rule of law in this important introductory remark. It is imperative for the rule of law to be associated with respect for fundamental human rights, such as the right to peaceful assembly.</w:t>
      </w:r>
    </w:p>
    <w:p w14:paraId="50F40D10" w14:textId="0FD0BBCC" w:rsidR="00D71548" w:rsidRDefault="003F248D" w:rsidP="003F248D">
      <w:pPr>
        <w:pStyle w:val="ListParagraph"/>
        <w:numPr>
          <w:ilvl w:val="0"/>
          <w:numId w:val="1"/>
        </w:numPr>
        <w:spacing w:line="360" w:lineRule="auto"/>
        <w:jc w:val="both"/>
        <w:rPr>
          <w:rFonts w:ascii="Times New Roman" w:hAnsi="Times New Roman" w:cs="Times New Roman"/>
          <w:lang w:val="en-US"/>
        </w:rPr>
      </w:pPr>
      <w:r>
        <w:rPr>
          <w:rFonts w:ascii="Times New Roman" w:hAnsi="Times New Roman" w:cs="Times New Roman"/>
          <w:b/>
          <w:bCs/>
          <w:lang w:val="en-US"/>
        </w:rPr>
        <w:t>§ 22</w:t>
      </w:r>
      <w:r>
        <w:rPr>
          <w:rFonts w:ascii="Times New Roman" w:hAnsi="Times New Roman" w:cs="Times New Roman"/>
          <w:lang w:val="en-US"/>
        </w:rPr>
        <w:t>. We suggest that Option 1 is preferred. The reference to article 20 of the Covenant is, in our submission, appropriate at this point.</w:t>
      </w:r>
    </w:p>
    <w:p w14:paraId="55C14D29" w14:textId="0293E522" w:rsidR="003F248D" w:rsidRDefault="00B5644A" w:rsidP="003F248D">
      <w:pPr>
        <w:pStyle w:val="ListParagraph"/>
        <w:numPr>
          <w:ilvl w:val="0"/>
          <w:numId w:val="1"/>
        </w:numPr>
        <w:spacing w:line="360" w:lineRule="auto"/>
        <w:jc w:val="both"/>
        <w:rPr>
          <w:rFonts w:ascii="Times New Roman" w:hAnsi="Times New Roman" w:cs="Times New Roman"/>
          <w:lang w:val="en-US"/>
        </w:rPr>
      </w:pPr>
      <w:r>
        <w:rPr>
          <w:rFonts w:ascii="Times New Roman" w:hAnsi="Times New Roman" w:cs="Times New Roman"/>
          <w:b/>
          <w:bCs/>
          <w:lang w:val="en-US"/>
        </w:rPr>
        <w:t>§ 27</w:t>
      </w:r>
      <w:r>
        <w:rPr>
          <w:rFonts w:ascii="Times New Roman" w:hAnsi="Times New Roman" w:cs="Times New Roman"/>
          <w:lang w:val="en-US"/>
        </w:rPr>
        <w:t>. We suggest that the text in square brackets is retained. It is important to refer to the private security providers here.</w:t>
      </w:r>
    </w:p>
    <w:p w14:paraId="7EC9FF72" w14:textId="529AD562" w:rsidR="00B5644A" w:rsidRDefault="00B5644A" w:rsidP="003F248D">
      <w:pPr>
        <w:pStyle w:val="ListParagraph"/>
        <w:numPr>
          <w:ilvl w:val="0"/>
          <w:numId w:val="1"/>
        </w:numPr>
        <w:spacing w:line="360" w:lineRule="auto"/>
        <w:jc w:val="both"/>
        <w:rPr>
          <w:rFonts w:ascii="Times New Roman" w:hAnsi="Times New Roman" w:cs="Times New Roman"/>
          <w:lang w:val="en-US"/>
        </w:rPr>
      </w:pPr>
      <w:r>
        <w:rPr>
          <w:rFonts w:ascii="Times New Roman" w:hAnsi="Times New Roman" w:cs="Times New Roman"/>
          <w:b/>
          <w:bCs/>
          <w:lang w:val="en-US"/>
        </w:rPr>
        <w:t>§ 31</w:t>
      </w:r>
      <w:r>
        <w:rPr>
          <w:rFonts w:ascii="Times New Roman" w:hAnsi="Times New Roman" w:cs="Times New Roman"/>
          <w:lang w:val="en-US"/>
        </w:rPr>
        <w:t>. The use of the word “appropriate” is preferential in this paragraph.</w:t>
      </w:r>
    </w:p>
    <w:p w14:paraId="18F8F9F4" w14:textId="576684FB" w:rsidR="00B5644A" w:rsidRDefault="00B5644A" w:rsidP="003F248D">
      <w:pPr>
        <w:pStyle w:val="ListParagraph"/>
        <w:numPr>
          <w:ilvl w:val="0"/>
          <w:numId w:val="1"/>
        </w:numPr>
        <w:spacing w:line="360" w:lineRule="auto"/>
        <w:jc w:val="both"/>
        <w:rPr>
          <w:rFonts w:ascii="Times New Roman" w:hAnsi="Times New Roman" w:cs="Times New Roman"/>
          <w:lang w:val="en-US"/>
        </w:rPr>
      </w:pPr>
      <w:r>
        <w:rPr>
          <w:rFonts w:ascii="Times New Roman" w:hAnsi="Times New Roman" w:cs="Times New Roman"/>
          <w:b/>
          <w:bCs/>
          <w:lang w:val="en-US"/>
        </w:rPr>
        <w:t>§ 33</w:t>
      </w:r>
      <w:r>
        <w:rPr>
          <w:rFonts w:ascii="Times New Roman" w:hAnsi="Times New Roman" w:cs="Times New Roman"/>
          <w:lang w:val="en-US"/>
        </w:rPr>
        <w:t>. We suggest that the word “alleged” is used, at it is in line with</w:t>
      </w:r>
      <w:r w:rsidR="00625B1D">
        <w:rPr>
          <w:rFonts w:ascii="Times New Roman" w:hAnsi="Times New Roman" w:cs="Times New Roman"/>
          <w:lang w:val="en-US"/>
        </w:rPr>
        <w:t xml:space="preserve"> the</w:t>
      </w:r>
      <w:r>
        <w:rPr>
          <w:rFonts w:ascii="Times New Roman" w:hAnsi="Times New Roman" w:cs="Times New Roman"/>
          <w:lang w:val="en-US"/>
        </w:rPr>
        <w:t xml:space="preserve"> most common usage in this context.</w:t>
      </w:r>
    </w:p>
    <w:p w14:paraId="433520B6" w14:textId="6E536212" w:rsidR="00B5644A" w:rsidRDefault="00B5644A" w:rsidP="003F248D">
      <w:pPr>
        <w:pStyle w:val="ListParagraph"/>
        <w:numPr>
          <w:ilvl w:val="0"/>
          <w:numId w:val="1"/>
        </w:numPr>
        <w:spacing w:line="360" w:lineRule="auto"/>
        <w:jc w:val="both"/>
        <w:rPr>
          <w:rFonts w:ascii="Times New Roman" w:hAnsi="Times New Roman" w:cs="Times New Roman"/>
          <w:lang w:val="en-US"/>
        </w:rPr>
      </w:pPr>
      <w:r>
        <w:rPr>
          <w:rFonts w:ascii="Times New Roman" w:hAnsi="Times New Roman" w:cs="Times New Roman"/>
          <w:b/>
          <w:bCs/>
          <w:lang w:val="en-US"/>
        </w:rPr>
        <w:t>§ 34</w:t>
      </w:r>
      <w:r>
        <w:rPr>
          <w:rFonts w:ascii="Times New Roman" w:hAnsi="Times New Roman" w:cs="Times New Roman"/>
          <w:lang w:val="en-US"/>
        </w:rPr>
        <w:t>. We suggest that the reference to article 21 of the Covenant is retained in this paragraph. The journalists, human rights defenders, and human rights monitors observing peaceful assemblies</w:t>
      </w:r>
      <w:r w:rsidR="00625B1D">
        <w:rPr>
          <w:rFonts w:ascii="Times New Roman" w:hAnsi="Times New Roman" w:cs="Times New Roman"/>
          <w:lang w:val="en-US"/>
        </w:rPr>
        <w:t xml:space="preserve"> should</w:t>
      </w:r>
      <w:r>
        <w:rPr>
          <w:rFonts w:ascii="Times New Roman" w:hAnsi="Times New Roman" w:cs="Times New Roman"/>
          <w:lang w:val="en-US"/>
        </w:rPr>
        <w:t xml:space="preserve"> enjoy</w:t>
      </w:r>
      <w:r w:rsidR="00625B1D">
        <w:rPr>
          <w:rFonts w:ascii="Times New Roman" w:hAnsi="Times New Roman" w:cs="Times New Roman"/>
          <w:lang w:val="en-US"/>
        </w:rPr>
        <w:t xml:space="preserve"> specific</w:t>
      </w:r>
      <w:r>
        <w:rPr>
          <w:rFonts w:ascii="Times New Roman" w:hAnsi="Times New Roman" w:cs="Times New Roman"/>
          <w:lang w:val="en-US"/>
        </w:rPr>
        <w:t xml:space="preserve"> protection</w:t>
      </w:r>
      <w:r w:rsidR="00625B1D">
        <w:rPr>
          <w:rFonts w:ascii="Times New Roman" w:hAnsi="Times New Roman" w:cs="Times New Roman"/>
          <w:lang w:val="en-US"/>
        </w:rPr>
        <w:t>s</w:t>
      </w:r>
      <w:r>
        <w:rPr>
          <w:rFonts w:ascii="Times New Roman" w:hAnsi="Times New Roman" w:cs="Times New Roman"/>
          <w:lang w:val="en-US"/>
        </w:rPr>
        <w:t xml:space="preserve"> flowing directly from article 21 of the Covenant.</w:t>
      </w:r>
    </w:p>
    <w:p w14:paraId="0EE396AC" w14:textId="49ADA44D" w:rsidR="00B5644A" w:rsidRDefault="00B11027" w:rsidP="003F248D">
      <w:pPr>
        <w:pStyle w:val="ListParagraph"/>
        <w:numPr>
          <w:ilvl w:val="0"/>
          <w:numId w:val="1"/>
        </w:numPr>
        <w:spacing w:line="360" w:lineRule="auto"/>
        <w:jc w:val="both"/>
        <w:rPr>
          <w:rFonts w:ascii="Times New Roman" w:hAnsi="Times New Roman" w:cs="Times New Roman"/>
          <w:lang w:val="en-US"/>
        </w:rPr>
      </w:pPr>
      <w:r>
        <w:rPr>
          <w:rFonts w:ascii="Times New Roman" w:hAnsi="Times New Roman" w:cs="Times New Roman"/>
          <w:b/>
          <w:bCs/>
          <w:lang w:val="en-US"/>
        </w:rPr>
        <w:t>§ 46</w:t>
      </w:r>
      <w:r>
        <w:rPr>
          <w:rFonts w:ascii="Times New Roman" w:hAnsi="Times New Roman" w:cs="Times New Roman"/>
          <w:lang w:val="en-US"/>
        </w:rPr>
        <w:t>. In our respectful submission, the use of either of the proposed words is possible in this paragraph. Alternatively, the reference may be made to “the balancing exercise”, in line with the terminology applied by the European Court of Human Rights.</w:t>
      </w:r>
    </w:p>
    <w:p w14:paraId="2585000E" w14:textId="1B8A2819" w:rsidR="00B11027" w:rsidRDefault="00B11027" w:rsidP="003F248D">
      <w:pPr>
        <w:pStyle w:val="ListParagraph"/>
        <w:numPr>
          <w:ilvl w:val="0"/>
          <w:numId w:val="1"/>
        </w:numPr>
        <w:spacing w:line="360" w:lineRule="auto"/>
        <w:jc w:val="both"/>
        <w:rPr>
          <w:rFonts w:ascii="Times New Roman" w:hAnsi="Times New Roman" w:cs="Times New Roman"/>
          <w:lang w:val="en-US"/>
        </w:rPr>
      </w:pPr>
      <w:r>
        <w:rPr>
          <w:rFonts w:ascii="Times New Roman" w:hAnsi="Times New Roman" w:cs="Times New Roman"/>
          <w:b/>
          <w:bCs/>
          <w:lang w:val="en-US"/>
        </w:rPr>
        <w:t>§ 53</w:t>
      </w:r>
      <w:r>
        <w:rPr>
          <w:rFonts w:ascii="Times New Roman" w:hAnsi="Times New Roman" w:cs="Times New Roman"/>
          <w:lang w:val="en-US"/>
        </w:rPr>
        <w:t xml:space="preserve">. </w:t>
      </w:r>
      <w:r w:rsidR="00625B1D">
        <w:rPr>
          <w:rFonts w:ascii="Times New Roman" w:hAnsi="Times New Roman" w:cs="Times New Roman"/>
          <w:lang w:val="en-US"/>
        </w:rPr>
        <w:t>In our submission,</w:t>
      </w:r>
      <w:r>
        <w:rPr>
          <w:rFonts w:ascii="Times New Roman" w:hAnsi="Times New Roman" w:cs="Times New Roman"/>
          <w:lang w:val="en-US"/>
        </w:rPr>
        <w:t xml:space="preserve"> it is imperative to retain the word “fundamental” in this paragraph.</w:t>
      </w:r>
    </w:p>
    <w:p w14:paraId="082A0A31" w14:textId="5A6294C2" w:rsidR="00B11027" w:rsidRDefault="00B11027" w:rsidP="003F248D">
      <w:pPr>
        <w:pStyle w:val="ListParagraph"/>
        <w:numPr>
          <w:ilvl w:val="0"/>
          <w:numId w:val="1"/>
        </w:numPr>
        <w:spacing w:line="360" w:lineRule="auto"/>
        <w:jc w:val="both"/>
        <w:rPr>
          <w:rFonts w:ascii="Times New Roman" w:hAnsi="Times New Roman" w:cs="Times New Roman"/>
          <w:lang w:val="en-US"/>
        </w:rPr>
      </w:pPr>
      <w:r>
        <w:rPr>
          <w:rFonts w:ascii="Times New Roman" w:hAnsi="Times New Roman" w:cs="Times New Roman"/>
          <w:b/>
          <w:bCs/>
          <w:lang w:val="en-US"/>
        </w:rPr>
        <w:t>§ 60</w:t>
      </w:r>
      <w:r>
        <w:rPr>
          <w:rFonts w:ascii="Times New Roman" w:hAnsi="Times New Roman" w:cs="Times New Roman"/>
          <w:lang w:val="en-US"/>
        </w:rPr>
        <w:t xml:space="preserve">. It is suggested that the following wording of the second sentence of this paragraph is retained: “In exceptional cases, where such symbols are intrinsically and exclusively linked with incitement to </w:t>
      </w:r>
      <w:r w:rsidR="00C00F74">
        <w:rPr>
          <w:rFonts w:ascii="Times New Roman" w:hAnsi="Times New Roman" w:cs="Times New Roman"/>
          <w:lang w:val="en-US"/>
        </w:rPr>
        <w:t>acts of violence, restrictions may be justified”.</w:t>
      </w:r>
    </w:p>
    <w:p w14:paraId="12F1AC33" w14:textId="7ABC978F" w:rsidR="00C00F74" w:rsidRDefault="00C00F74" w:rsidP="003F248D">
      <w:pPr>
        <w:pStyle w:val="ListParagraph"/>
        <w:numPr>
          <w:ilvl w:val="0"/>
          <w:numId w:val="1"/>
        </w:numPr>
        <w:spacing w:line="360" w:lineRule="auto"/>
        <w:jc w:val="both"/>
        <w:rPr>
          <w:rFonts w:ascii="Times New Roman" w:hAnsi="Times New Roman" w:cs="Times New Roman"/>
          <w:lang w:val="en-US"/>
        </w:rPr>
      </w:pPr>
      <w:r>
        <w:rPr>
          <w:rFonts w:ascii="Times New Roman" w:hAnsi="Times New Roman" w:cs="Times New Roman"/>
          <w:b/>
          <w:bCs/>
          <w:lang w:val="en-US"/>
        </w:rPr>
        <w:lastRenderedPageBreak/>
        <w:t>§ 75</w:t>
      </w:r>
      <w:r>
        <w:rPr>
          <w:rFonts w:ascii="Times New Roman" w:hAnsi="Times New Roman" w:cs="Times New Roman"/>
          <w:lang w:val="en-US"/>
        </w:rPr>
        <w:t>. We suggest that the reference to civil or criminal remedies is removed from the first sentence of this paragraph, as other forms of accountability may be utilized as well.</w:t>
      </w:r>
    </w:p>
    <w:p w14:paraId="300F543E" w14:textId="6CFBE421" w:rsidR="00C00F74" w:rsidRDefault="00C00F74" w:rsidP="003F248D">
      <w:pPr>
        <w:pStyle w:val="ListParagraph"/>
        <w:numPr>
          <w:ilvl w:val="0"/>
          <w:numId w:val="1"/>
        </w:numPr>
        <w:spacing w:line="360" w:lineRule="auto"/>
        <w:jc w:val="both"/>
        <w:rPr>
          <w:rFonts w:ascii="Times New Roman" w:hAnsi="Times New Roman" w:cs="Times New Roman"/>
          <w:lang w:val="en-US"/>
        </w:rPr>
      </w:pPr>
      <w:r>
        <w:rPr>
          <w:rFonts w:ascii="Times New Roman" w:hAnsi="Times New Roman" w:cs="Times New Roman"/>
          <w:b/>
          <w:bCs/>
          <w:lang w:val="en-US"/>
        </w:rPr>
        <w:t>§ 81.</w:t>
      </w:r>
      <w:r>
        <w:rPr>
          <w:rFonts w:ascii="Times New Roman" w:hAnsi="Times New Roman" w:cs="Times New Roman"/>
          <w:lang w:val="en-US"/>
        </w:rPr>
        <w:t xml:space="preserve"> In our respectful submission, it is imperative that it is explicitly underlined by the Committee in this paragraph, that a failure to notify the authorities of an assembly should not of itself render participation in the assembly in question unlawful, and used as a sole basis for the assembly’s dispersal.</w:t>
      </w:r>
    </w:p>
    <w:p w14:paraId="166BB4BC" w14:textId="6AC30BAA" w:rsidR="00C00F74" w:rsidRPr="00D71548" w:rsidRDefault="00C00F74" w:rsidP="003F248D">
      <w:pPr>
        <w:pStyle w:val="ListParagraph"/>
        <w:numPr>
          <w:ilvl w:val="0"/>
          <w:numId w:val="1"/>
        </w:numPr>
        <w:spacing w:line="360" w:lineRule="auto"/>
        <w:jc w:val="both"/>
        <w:rPr>
          <w:rFonts w:ascii="Times New Roman" w:hAnsi="Times New Roman" w:cs="Times New Roman"/>
          <w:lang w:val="en-US"/>
        </w:rPr>
      </w:pPr>
      <w:r>
        <w:rPr>
          <w:rFonts w:ascii="Times New Roman" w:hAnsi="Times New Roman" w:cs="Times New Roman"/>
          <w:b/>
          <w:bCs/>
          <w:lang w:val="en-US"/>
        </w:rPr>
        <w:t>§ 114</w:t>
      </w:r>
      <w:r>
        <w:rPr>
          <w:rFonts w:ascii="Times New Roman" w:hAnsi="Times New Roman" w:cs="Times New Roman"/>
          <w:lang w:val="en-US"/>
        </w:rPr>
        <w:t>. We suggest that this paragraph is retained, as it serves its own purpose and has a</w:t>
      </w:r>
      <w:r w:rsidR="00B53E7A">
        <w:rPr>
          <w:rFonts w:ascii="Times New Roman" w:hAnsi="Times New Roman" w:cs="Times New Roman"/>
          <w:lang w:val="en-US"/>
        </w:rPr>
        <w:t xml:space="preserve"> specific</w:t>
      </w:r>
      <w:r>
        <w:rPr>
          <w:rFonts w:ascii="Times New Roman" w:hAnsi="Times New Roman" w:cs="Times New Roman"/>
          <w:lang w:val="en-US"/>
        </w:rPr>
        <w:t xml:space="preserve"> added value.</w:t>
      </w:r>
    </w:p>
    <w:p w14:paraId="1C5ABEA7" w14:textId="77777777" w:rsidR="00D71548" w:rsidRDefault="00D71548" w:rsidP="00C00F74">
      <w:pPr>
        <w:spacing w:line="360" w:lineRule="auto"/>
        <w:rPr>
          <w:rFonts w:ascii="Times New Roman" w:hAnsi="Times New Roman" w:cs="Times New Roman"/>
          <w:u w:val="single"/>
          <w:lang w:val="en-US"/>
        </w:rPr>
      </w:pPr>
    </w:p>
    <w:p w14:paraId="1A437422" w14:textId="531846E4" w:rsidR="00E551DB" w:rsidRDefault="00E551DB" w:rsidP="00E551DB">
      <w:pPr>
        <w:spacing w:line="360" w:lineRule="auto"/>
        <w:jc w:val="center"/>
        <w:rPr>
          <w:rFonts w:ascii="Times New Roman" w:hAnsi="Times New Roman" w:cs="Times New Roman"/>
          <w:u w:val="single"/>
          <w:lang w:val="en-US"/>
        </w:rPr>
      </w:pPr>
      <w:r>
        <w:rPr>
          <w:rFonts w:ascii="Times New Roman" w:hAnsi="Times New Roman" w:cs="Times New Roman"/>
          <w:u w:val="single"/>
          <w:lang w:val="en-US"/>
        </w:rPr>
        <w:t>Conclusion</w:t>
      </w:r>
    </w:p>
    <w:p w14:paraId="65646C25" w14:textId="238671DA" w:rsidR="00E551DB" w:rsidRDefault="00E551DB" w:rsidP="00E551DB">
      <w:pPr>
        <w:spacing w:line="360" w:lineRule="auto"/>
        <w:jc w:val="center"/>
        <w:rPr>
          <w:rFonts w:ascii="Times New Roman" w:hAnsi="Times New Roman" w:cs="Times New Roman"/>
          <w:sz w:val="20"/>
          <w:szCs w:val="20"/>
          <w:lang w:val="en-US"/>
        </w:rPr>
      </w:pPr>
    </w:p>
    <w:p w14:paraId="77CA7AA7" w14:textId="64384ABD" w:rsidR="00C00F74" w:rsidRDefault="00C00F74" w:rsidP="00C00F74">
      <w:pPr>
        <w:pStyle w:val="ListParagraph"/>
        <w:numPr>
          <w:ilvl w:val="0"/>
          <w:numId w:val="1"/>
        </w:numPr>
        <w:spacing w:line="360" w:lineRule="auto"/>
        <w:jc w:val="both"/>
        <w:rPr>
          <w:rFonts w:ascii="Times New Roman" w:hAnsi="Times New Roman" w:cs="Times New Roman"/>
          <w:lang w:val="en-US"/>
        </w:rPr>
      </w:pPr>
      <w:r>
        <w:rPr>
          <w:rFonts w:ascii="Times New Roman" w:hAnsi="Times New Roman" w:cs="Times New Roman"/>
          <w:lang w:val="en-US"/>
        </w:rPr>
        <w:t>The Netherlands Helsinki Committee applauds the Committee</w:t>
      </w:r>
      <w:r w:rsidRPr="00C00F74">
        <w:rPr>
          <w:rFonts w:ascii="Times New Roman" w:hAnsi="Times New Roman" w:cs="Times New Roman"/>
          <w:lang w:val="en-US"/>
        </w:rPr>
        <w:t xml:space="preserve"> </w:t>
      </w:r>
      <w:r>
        <w:rPr>
          <w:rFonts w:ascii="Times New Roman" w:hAnsi="Times New Roman" w:cs="Times New Roman"/>
          <w:lang w:val="en-US"/>
        </w:rPr>
        <w:t xml:space="preserve">once again on its valuable work undertaken in elaboration of the Draft General Comment </w:t>
      </w:r>
      <w:r w:rsidR="00424FE2">
        <w:rPr>
          <w:rFonts w:ascii="Times New Roman" w:hAnsi="Times New Roman" w:cs="Times New Roman"/>
          <w:lang w:val="en-US"/>
        </w:rPr>
        <w:t>to date</w:t>
      </w:r>
      <w:r>
        <w:rPr>
          <w:rFonts w:ascii="Times New Roman" w:hAnsi="Times New Roman" w:cs="Times New Roman"/>
          <w:lang w:val="en-US"/>
        </w:rPr>
        <w:t>.</w:t>
      </w:r>
    </w:p>
    <w:p w14:paraId="635DAED1" w14:textId="18220F76" w:rsidR="00C00F74" w:rsidRDefault="00C00F74" w:rsidP="00C00F74">
      <w:pPr>
        <w:pStyle w:val="ListParagraph"/>
        <w:numPr>
          <w:ilvl w:val="0"/>
          <w:numId w:val="1"/>
        </w:numPr>
        <w:spacing w:line="360" w:lineRule="auto"/>
        <w:jc w:val="both"/>
        <w:rPr>
          <w:rFonts w:ascii="Times New Roman" w:hAnsi="Times New Roman" w:cs="Times New Roman"/>
          <w:lang w:val="en-US"/>
        </w:rPr>
      </w:pPr>
      <w:r>
        <w:rPr>
          <w:rFonts w:ascii="Times New Roman" w:hAnsi="Times New Roman" w:cs="Times New Roman"/>
          <w:lang w:val="en-US"/>
        </w:rPr>
        <w:t>In our opinion, the Draft General Comment is suitable for adoption in the second reading at the Committee’s 128</w:t>
      </w:r>
      <w:r w:rsidRPr="00C00F74">
        <w:rPr>
          <w:rFonts w:ascii="Times New Roman" w:hAnsi="Times New Roman" w:cs="Times New Roman"/>
          <w:vertAlign w:val="superscript"/>
          <w:lang w:val="en-US"/>
        </w:rPr>
        <w:t>th</w:t>
      </w:r>
      <w:r>
        <w:rPr>
          <w:rFonts w:ascii="Times New Roman" w:hAnsi="Times New Roman" w:cs="Times New Roman"/>
          <w:lang w:val="en-US"/>
        </w:rPr>
        <w:t xml:space="preserve"> session in Geneva this month, subject to minor editorial revisions</w:t>
      </w:r>
      <w:r w:rsidR="00424FE2">
        <w:rPr>
          <w:rFonts w:ascii="Times New Roman" w:hAnsi="Times New Roman" w:cs="Times New Roman"/>
          <w:lang w:val="en-US"/>
        </w:rPr>
        <w:t>;</w:t>
      </w:r>
      <w:r>
        <w:rPr>
          <w:rFonts w:ascii="Times New Roman" w:hAnsi="Times New Roman" w:cs="Times New Roman"/>
          <w:lang w:val="en-US"/>
        </w:rPr>
        <w:t xml:space="preserve"> in particular, we strongly advocate for the addition of clear wording as proposed in § 7 above.</w:t>
      </w:r>
    </w:p>
    <w:p w14:paraId="3CABDEA9" w14:textId="43675724" w:rsidR="00C00F74" w:rsidRPr="00C00F74" w:rsidRDefault="00C00F74" w:rsidP="00C00F74">
      <w:pPr>
        <w:pStyle w:val="ListParagraph"/>
        <w:numPr>
          <w:ilvl w:val="0"/>
          <w:numId w:val="1"/>
        </w:numPr>
        <w:spacing w:line="360" w:lineRule="auto"/>
        <w:jc w:val="both"/>
        <w:rPr>
          <w:rFonts w:ascii="Times New Roman" w:hAnsi="Times New Roman" w:cs="Times New Roman"/>
          <w:lang w:val="en-US"/>
        </w:rPr>
      </w:pPr>
      <w:r>
        <w:rPr>
          <w:rFonts w:ascii="Times New Roman" w:hAnsi="Times New Roman" w:cs="Times New Roman"/>
          <w:lang w:val="en-US"/>
        </w:rPr>
        <w:t>The Netherlands Helsinki Committee will be represented</w:t>
      </w:r>
      <w:r w:rsidR="00424FE2">
        <w:rPr>
          <w:rFonts w:ascii="Times New Roman" w:hAnsi="Times New Roman" w:cs="Times New Roman"/>
          <w:lang w:val="en-US"/>
        </w:rPr>
        <w:t xml:space="preserve"> by Senior Advisor, Dr. Sergei </w:t>
      </w:r>
      <w:proofErr w:type="spellStart"/>
      <w:r w:rsidR="00424FE2">
        <w:rPr>
          <w:rFonts w:ascii="Times New Roman" w:hAnsi="Times New Roman" w:cs="Times New Roman"/>
          <w:lang w:val="en-US"/>
        </w:rPr>
        <w:t>Golubok</w:t>
      </w:r>
      <w:proofErr w:type="spellEnd"/>
      <w:r w:rsidR="00424FE2">
        <w:rPr>
          <w:rFonts w:ascii="Times New Roman" w:hAnsi="Times New Roman" w:cs="Times New Roman"/>
          <w:lang w:val="en-US"/>
        </w:rPr>
        <w:t>,</w:t>
      </w:r>
      <w:r>
        <w:rPr>
          <w:rFonts w:ascii="Times New Roman" w:hAnsi="Times New Roman" w:cs="Times New Roman"/>
          <w:lang w:val="en-US"/>
        </w:rPr>
        <w:t xml:space="preserve"> </w:t>
      </w:r>
      <w:r w:rsidR="00B53E7A">
        <w:rPr>
          <w:rFonts w:ascii="Times New Roman" w:hAnsi="Times New Roman" w:cs="Times New Roman"/>
          <w:lang w:val="en-US"/>
        </w:rPr>
        <w:t>at the forthcoming 128th session of the Committee</w:t>
      </w:r>
      <w:r w:rsidR="00424FE2">
        <w:rPr>
          <w:rFonts w:ascii="Times New Roman" w:hAnsi="Times New Roman" w:cs="Times New Roman"/>
          <w:lang w:val="en-US"/>
        </w:rPr>
        <w:t xml:space="preserve">. Dr. </w:t>
      </w:r>
      <w:proofErr w:type="spellStart"/>
      <w:r w:rsidR="00424FE2">
        <w:rPr>
          <w:rFonts w:ascii="Times New Roman" w:hAnsi="Times New Roman" w:cs="Times New Roman"/>
          <w:lang w:val="en-US"/>
        </w:rPr>
        <w:t>Golubok</w:t>
      </w:r>
      <w:proofErr w:type="spellEnd"/>
      <w:r w:rsidR="00424FE2">
        <w:rPr>
          <w:rFonts w:ascii="Times New Roman" w:hAnsi="Times New Roman" w:cs="Times New Roman"/>
          <w:lang w:val="en-US"/>
        </w:rPr>
        <w:t xml:space="preserve"> remains available</w:t>
      </w:r>
      <w:r w:rsidR="00B53E7A">
        <w:rPr>
          <w:rFonts w:ascii="Times New Roman" w:hAnsi="Times New Roman" w:cs="Times New Roman"/>
          <w:lang w:val="en-US"/>
        </w:rPr>
        <w:t xml:space="preserve"> </w:t>
      </w:r>
      <w:r>
        <w:rPr>
          <w:rFonts w:ascii="Times New Roman" w:hAnsi="Times New Roman" w:cs="Times New Roman"/>
          <w:lang w:val="en-US"/>
        </w:rPr>
        <w:t>to provide additional input to the Committee experts.</w:t>
      </w:r>
    </w:p>
    <w:sectPr w:rsidR="00C00F74" w:rsidRPr="00C00F74" w:rsidSect="00E551DB">
      <w:footerReference w:type="even" r:id="rId8"/>
      <w:footerReference w:type="default" r:id="rId9"/>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997DA" w14:textId="77777777" w:rsidR="008D79C6" w:rsidRDefault="008D79C6" w:rsidP="00E551DB">
      <w:r>
        <w:separator/>
      </w:r>
    </w:p>
  </w:endnote>
  <w:endnote w:type="continuationSeparator" w:id="0">
    <w:p w14:paraId="55DD4A0D" w14:textId="77777777" w:rsidR="008D79C6" w:rsidRDefault="008D79C6" w:rsidP="00E55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83646283"/>
      <w:docPartObj>
        <w:docPartGallery w:val="Page Numbers (Bottom of Page)"/>
        <w:docPartUnique/>
      </w:docPartObj>
    </w:sdtPr>
    <w:sdtEndPr>
      <w:rPr>
        <w:rStyle w:val="PageNumber"/>
      </w:rPr>
    </w:sdtEndPr>
    <w:sdtContent>
      <w:p w14:paraId="2F8310AB" w14:textId="2E469AA3" w:rsidR="00E551DB" w:rsidRDefault="00E551DB" w:rsidP="00410AE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4C130A" w14:textId="77777777" w:rsidR="00E551DB" w:rsidRDefault="00E55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73819423"/>
      <w:docPartObj>
        <w:docPartGallery w:val="Page Numbers (Bottom of Page)"/>
        <w:docPartUnique/>
      </w:docPartObj>
    </w:sdtPr>
    <w:sdtEndPr>
      <w:rPr>
        <w:rStyle w:val="PageNumber"/>
      </w:rPr>
    </w:sdtEndPr>
    <w:sdtContent>
      <w:p w14:paraId="4047EE7D" w14:textId="3057C14B" w:rsidR="00E551DB" w:rsidRDefault="00E551DB" w:rsidP="00410AE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F177F">
          <w:rPr>
            <w:rStyle w:val="PageNumber"/>
            <w:noProof/>
          </w:rPr>
          <w:t>2</w:t>
        </w:r>
        <w:r>
          <w:rPr>
            <w:rStyle w:val="PageNumber"/>
          </w:rPr>
          <w:fldChar w:fldCharType="end"/>
        </w:r>
      </w:p>
    </w:sdtContent>
  </w:sdt>
  <w:p w14:paraId="2AE57861" w14:textId="77777777" w:rsidR="00E551DB" w:rsidRDefault="00E55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66284" w14:textId="77777777" w:rsidR="008D79C6" w:rsidRDefault="008D79C6" w:rsidP="00E551DB">
      <w:r>
        <w:separator/>
      </w:r>
    </w:p>
  </w:footnote>
  <w:footnote w:type="continuationSeparator" w:id="0">
    <w:p w14:paraId="4D15A55D" w14:textId="77777777" w:rsidR="008D79C6" w:rsidRDefault="008D79C6" w:rsidP="00E55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64BC2"/>
    <w:multiLevelType w:val="hybridMultilevel"/>
    <w:tmpl w:val="25D256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84F"/>
    <w:rsid w:val="0017163B"/>
    <w:rsid w:val="002275B7"/>
    <w:rsid w:val="003F248D"/>
    <w:rsid w:val="00424FE2"/>
    <w:rsid w:val="00551027"/>
    <w:rsid w:val="00625B1D"/>
    <w:rsid w:val="00642F97"/>
    <w:rsid w:val="006B5602"/>
    <w:rsid w:val="008D79C6"/>
    <w:rsid w:val="008F177F"/>
    <w:rsid w:val="009F43FF"/>
    <w:rsid w:val="00A4784F"/>
    <w:rsid w:val="00B11027"/>
    <w:rsid w:val="00B53E7A"/>
    <w:rsid w:val="00B5644A"/>
    <w:rsid w:val="00C00F74"/>
    <w:rsid w:val="00D71548"/>
    <w:rsid w:val="00E551DB"/>
    <w:rsid w:val="00F3485C"/>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4CDC41AE"/>
  <w15:chartTrackingRefBased/>
  <w15:docId w15:val="{C86EEDA2-D92D-D84F-A97B-8C10BD568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1DB"/>
    <w:pPr>
      <w:ind w:left="720"/>
      <w:contextualSpacing/>
    </w:pPr>
  </w:style>
  <w:style w:type="paragraph" w:styleId="Footer">
    <w:name w:val="footer"/>
    <w:basedOn w:val="Normal"/>
    <w:link w:val="FooterChar"/>
    <w:uiPriority w:val="99"/>
    <w:unhideWhenUsed/>
    <w:rsid w:val="00E551DB"/>
    <w:pPr>
      <w:tabs>
        <w:tab w:val="center" w:pos="4513"/>
        <w:tab w:val="right" w:pos="9026"/>
      </w:tabs>
    </w:pPr>
  </w:style>
  <w:style w:type="character" w:customStyle="1" w:styleId="FooterChar">
    <w:name w:val="Footer Char"/>
    <w:basedOn w:val="DefaultParagraphFont"/>
    <w:link w:val="Footer"/>
    <w:uiPriority w:val="99"/>
    <w:rsid w:val="00E551DB"/>
  </w:style>
  <w:style w:type="character" w:styleId="PageNumber">
    <w:name w:val="page number"/>
    <w:basedOn w:val="DefaultParagraphFont"/>
    <w:uiPriority w:val="99"/>
    <w:semiHidden/>
    <w:unhideWhenUsed/>
    <w:rsid w:val="00E551DB"/>
  </w:style>
  <w:style w:type="paragraph" w:styleId="BalloonText">
    <w:name w:val="Balloon Text"/>
    <w:basedOn w:val="Normal"/>
    <w:link w:val="BalloonTextChar"/>
    <w:uiPriority w:val="99"/>
    <w:semiHidden/>
    <w:unhideWhenUsed/>
    <w:rsid w:val="00424FE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24FE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618F37-B44F-40AB-AA0E-9B0AD6F847ED}"/>
</file>

<file path=customXml/itemProps2.xml><?xml version="1.0" encoding="utf-8"?>
<ds:datastoreItem xmlns:ds="http://schemas.openxmlformats.org/officeDocument/2006/customXml" ds:itemID="{C89A65DF-C20F-45FE-AF45-9C35CE6EDAD2}"/>
</file>

<file path=customXml/itemProps3.xml><?xml version="1.0" encoding="utf-8"?>
<ds:datastoreItem xmlns:ds="http://schemas.openxmlformats.org/officeDocument/2006/customXml" ds:itemID="{6C244357-C919-4F2E-8B4D-707265899718}"/>
</file>

<file path=docProps/app.xml><?xml version="1.0" encoding="utf-8"?>
<Properties xmlns="http://schemas.openxmlformats.org/officeDocument/2006/extended-properties" xmlns:vt="http://schemas.openxmlformats.org/officeDocument/2006/docPropsVTypes">
  <Template>Normal.dotm</Template>
  <TotalTime>112</TotalTime>
  <Pages>4</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Sergei Golubok</dc:creator>
  <cp:keywords/>
  <dc:description/>
  <cp:lastModifiedBy>Sergei Golubok</cp:lastModifiedBy>
  <cp:revision>8</cp:revision>
  <dcterms:created xsi:type="dcterms:W3CDTF">2020-02-03T12:07:00Z</dcterms:created>
  <dcterms:modified xsi:type="dcterms:W3CDTF">2020-02-10T10:05:00Z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