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84" w:rsidRDefault="006F5084" w:rsidP="006F5084">
      <w:pPr>
        <w:jc w:val="center"/>
        <w:rPr>
          <w:b/>
          <w:sz w:val="28"/>
          <w:szCs w:val="28"/>
        </w:rPr>
      </w:pPr>
      <w:r w:rsidRPr="006F5084">
        <w:rPr>
          <w:b/>
          <w:sz w:val="28"/>
          <w:szCs w:val="28"/>
        </w:rPr>
        <w:t xml:space="preserve">Accountability and Freedom of </w:t>
      </w:r>
      <w:r w:rsidR="00045387">
        <w:rPr>
          <w:b/>
          <w:sz w:val="28"/>
          <w:szCs w:val="28"/>
        </w:rPr>
        <w:t xml:space="preserve">Peaceful </w:t>
      </w:r>
      <w:r w:rsidRPr="006F5084">
        <w:rPr>
          <w:b/>
          <w:sz w:val="28"/>
          <w:szCs w:val="28"/>
        </w:rPr>
        <w:t>Assembly</w:t>
      </w:r>
    </w:p>
    <w:p w:rsidR="00B14064" w:rsidRPr="006F5084" w:rsidRDefault="00B14064" w:rsidP="006F5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Neil Jarman</w:t>
      </w:r>
      <w:r w:rsidR="00467186">
        <w:rPr>
          <w:rStyle w:val="FootnoteReference"/>
          <w:b/>
          <w:sz w:val="28"/>
          <w:szCs w:val="28"/>
        </w:rPr>
        <w:footnoteReference w:id="1"/>
      </w:r>
    </w:p>
    <w:p w:rsidR="00D83948" w:rsidRPr="006F5084" w:rsidRDefault="006F5084" w:rsidP="006F5084">
      <w:pPr>
        <w:tabs>
          <w:tab w:val="num" w:pos="720"/>
          <w:tab w:val="num" w:pos="1440"/>
        </w:tabs>
        <w:jc w:val="both"/>
      </w:pPr>
      <w:r>
        <w:t>Accountability is considered to be one of the ‘hallmarks of modern democratic governance’</w:t>
      </w:r>
      <w:r w:rsidR="00EC790E">
        <w:t xml:space="preserve">, </w:t>
      </w:r>
      <w:r>
        <w:t xml:space="preserve">an element of the wider </w:t>
      </w:r>
      <w:r w:rsidR="00B049AA" w:rsidRPr="006F5084">
        <w:t xml:space="preserve">right to participation and central to democratic standards </w:t>
      </w:r>
      <w:r>
        <w:t>in so far as</w:t>
      </w:r>
      <w:r w:rsidR="00A60F49">
        <w:t xml:space="preserve"> it</w:t>
      </w:r>
      <w:r>
        <w:t xml:space="preserve"> </w:t>
      </w:r>
      <w:r w:rsidR="00EC790E">
        <w:t xml:space="preserve">(a) </w:t>
      </w:r>
      <w:r>
        <w:t>includes elements of d</w:t>
      </w:r>
      <w:r w:rsidR="00B049AA" w:rsidRPr="006F5084">
        <w:t>emocratic control</w:t>
      </w:r>
      <w:r>
        <w:t xml:space="preserve">, through holding public figures to </w:t>
      </w:r>
      <w:r w:rsidR="00EC790E">
        <w:t>account</w:t>
      </w:r>
      <w:r>
        <w:t>;</w:t>
      </w:r>
      <w:r w:rsidR="00EC790E">
        <w:t xml:space="preserve"> (b)</w:t>
      </w:r>
      <w:r>
        <w:t xml:space="preserve"> </w:t>
      </w:r>
      <w:r w:rsidR="00EC790E">
        <w:t>s</w:t>
      </w:r>
      <w:r>
        <w:t>erve</w:t>
      </w:r>
      <w:r w:rsidR="00EC790E">
        <w:t>s</w:t>
      </w:r>
      <w:r>
        <w:t xml:space="preserve"> to create or uphold a sense of i</w:t>
      </w:r>
      <w:r w:rsidR="00B049AA" w:rsidRPr="006F5084">
        <w:t>ntegrity of public governance</w:t>
      </w:r>
      <w:r>
        <w:t xml:space="preserve"> and the l</w:t>
      </w:r>
      <w:r w:rsidR="00B049AA" w:rsidRPr="006F5084">
        <w:t xml:space="preserve">egitimacy </w:t>
      </w:r>
      <w:r>
        <w:t xml:space="preserve">of public institutions; and </w:t>
      </w:r>
      <w:r w:rsidR="00EC790E">
        <w:t xml:space="preserve">(c) </w:t>
      </w:r>
      <w:r>
        <w:t>should lead to an improvement of performa</w:t>
      </w:r>
      <w:r w:rsidR="00D91F0B">
        <w:t>n</w:t>
      </w:r>
      <w:r>
        <w:t>ce and a r</w:t>
      </w:r>
      <w:r w:rsidR="00B049AA" w:rsidRPr="006F5084">
        <w:t>aising standards</w:t>
      </w:r>
      <w:r>
        <w:t xml:space="preserve"> of standards</w:t>
      </w:r>
      <w:r w:rsidR="00A60F49">
        <w:t>;</w:t>
      </w:r>
      <w:r>
        <w:t xml:space="preserve"> while </w:t>
      </w:r>
      <w:r w:rsidR="00467186">
        <w:t xml:space="preserve">(d) </w:t>
      </w:r>
      <w:r>
        <w:t xml:space="preserve">in some circumstances of actual or perceived injustice </w:t>
      </w:r>
      <w:r w:rsidR="00EC790E">
        <w:t xml:space="preserve">it </w:t>
      </w:r>
      <w:r>
        <w:t>can provide a sense of public c</w:t>
      </w:r>
      <w:r w:rsidR="00B049AA" w:rsidRPr="006F5084">
        <w:t>atha</w:t>
      </w:r>
      <w:r>
        <w:t>rsis</w:t>
      </w:r>
      <w:r w:rsidR="00D91F0B">
        <w:t>.</w:t>
      </w:r>
      <w:r>
        <w:rPr>
          <w:rStyle w:val="FootnoteReference"/>
        </w:rPr>
        <w:footnoteReference w:id="2"/>
      </w:r>
    </w:p>
    <w:p w:rsidR="00D91F0B" w:rsidRPr="006F5084" w:rsidRDefault="00EC790E" w:rsidP="00D91F0B">
      <w:pPr>
        <w:jc w:val="both"/>
      </w:pPr>
      <w:r>
        <w:t>A</w:t>
      </w:r>
      <w:r w:rsidR="00D91F0B" w:rsidRPr="006F5084">
        <w:t xml:space="preserve">ccountability </w:t>
      </w:r>
      <w:r>
        <w:t>is</w:t>
      </w:r>
      <w:r w:rsidR="00D91F0B" w:rsidRPr="006F5084">
        <w:t xml:space="preserve"> </w:t>
      </w:r>
      <w:r w:rsidR="00D91F0B">
        <w:t xml:space="preserve">a part of a broad set of </w:t>
      </w:r>
      <w:r w:rsidR="00D91F0B" w:rsidRPr="006F5084">
        <w:t>social relation</w:t>
      </w:r>
      <w:r w:rsidR="00D91F0B">
        <w:t>ships, whereby an actor has an obligation to explain and justify their conduct to a wider group. Within th</w:t>
      </w:r>
      <w:r w:rsidR="00A60F49">
        <w:t>e</w:t>
      </w:r>
      <w:r w:rsidR="00D91F0B">
        <w:t xml:space="preserve"> notion of a social relationship</w:t>
      </w:r>
      <w:r w:rsidR="00A60F49">
        <w:t>,</w:t>
      </w:r>
      <w:r w:rsidR="00D91F0B">
        <w:t xml:space="preserve"> accountability presumes a series of connected actions, which include:</w:t>
      </w:r>
    </w:p>
    <w:p w:rsidR="00467186" w:rsidRDefault="00D91F0B" w:rsidP="00D91F0B">
      <w:pPr>
        <w:numPr>
          <w:ilvl w:val="0"/>
          <w:numId w:val="9"/>
        </w:numPr>
        <w:jc w:val="both"/>
      </w:pPr>
      <w:r>
        <w:t>An e</w:t>
      </w:r>
      <w:r w:rsidRPr="006F5084">
        <w:t xml:space="preserve">xpectation that </w:t>
      </w:r>
      <w:r>
        <w:t xml:space="preserve">relevant </w:t>
      </w:r>
      <w:r w:rsidRPr="006F5084">
        <w:t>information</w:t>
      </w:r>
      <w:r>
        <w:t xml:space="preserve"> about behaviour, process or activity </w:t>
      </w:r>
      <w:r w:rsidRPr="006F5084">
        <w:t>is provided</w:t>
      </w:r>
      <w:r>
        <w:t xml:space="preserve"> either on a routine basis or on request; </w:t>
      </w:r>
      <w:r w:rsidRPr="006F5084">
        <w:t xml:space="preserve"> </w:t>
      </w:r>
    </w:p>
    <w:p w:rsidR="00D91F0B" w:rsidRPr="006F5084" w:rsidRDefault="00D91F0B" w:rsidP="00D91F0B">
      <w:pPr>
        <w:numPr>
          <w:ilvl w:val="0"/>
          <w:numId w:val="9"/>
        </w:numPr>
        <w:jc w:val="both"/>
      </w:pPr>
      <w:r>
        <w:t>That the provision of information assumes an o</w:t>
      </w:r>
      <w:r w:rsidRPr="006F5084">
        <w:t>pportunity to question</w:t>
      </w:r>
      <w:r>
        <w:t xml:space="preserve"> and challenge the official or authority about the information provided; which in turn leads to: </w:t>
      </w:r>
    </w:p>
    <w:p w:rsidR="00D91F0B" w:rsidRPr="006F5084" w:rsidRDefault="00D91F0B" w:rsidP="00D91F0B">
      <w:pPr>
        <w:numPr>
          <w:ilvl w:val="0"/>
          <w:numId w:val="9"/>
        </w:numPr>
        <w:jc w:val="both"/>
      </w:pPr>
      <w:r>
        <w:t>A p</w:t>
      </w:r>
      <w:r w:rsidRPr="006F5084">
        <w:t>ossibility of change</w:t>
      </w:r>
      <w:r>
        <w:t xml:space="preserve"> in future behaviour, process or activity in response to the questions and concerns raised; and or  </w:t>
      </w:r>
    </w:p>
    <w:p w:rsidR="00D91F0B" w:rsidRPr="006F5084" w:rsidRDefault="00D91F0B" w:rsidP="00D91F0B">
      <w:pPr>
        <w:numPr>
          <w:ilvl w:val="0"/>
          <w:numId w:val="9"/>
        </w:numPr>
        <w:jc w:val="both"/>
      </w:pPr>
      <w:r>
        <w:t>A p</w:t>
      </w:r>
      <w:r w:rsidRPr="006F5084">
        <w:t xml:space="preserve">otential for </w:t>
      </w:r>
      <w:r>
        <w:t xml:space="preserve">personal or institutional </w:t>
      </w:r>
      <w:r w:rsidRPr="006F5084">
        <w:t xml:space="preserve">liability </w:t>
      </w:r>
      <w:r>
        <w:t xml:space="preserve">for the behaviour, process or activity and which might involve some form of retribution or </w:t>
      </w:r>
      <w:r w:rsidRPr="006F5084">
        <w:t>punishment</w:t>
      </w:r>
      <w:r>
        <w:t xml:space="preserve">. </w:t>
      </w:r>
    </w:p>
    <w:p w:rsidR="00D83948" w:rsidRDefault="00D91F0B" w:rsidP="006F5084">
      <w:pPr>
        <w:jc w:val="both"/>
      </w:pPr>
      <w:r>
        <w:t xml:space="preserve">However, while </w:t>
      </w:r>
      <w:r w:rsidR="00A60F49">
        <w:t xml:space="preserve">accountability is regarded as a </w:t>
      </w:r>
      <w:r>
        <w:t>central concept within the process of public management</w:t>
      </w:r>
      <w:r w:rsidR="00A60F49">
        <w:t>,</w:t>
      </w:r>
      <w:r>
        <w:t xml:space="preserve"> </w:t>
      </w:r>
      <w:r w:rsidR="00A60F49">
        <w:t xml:space="preserve">it </w:t>
      </w:r>
      <w:r>
        <w:t>remains a ‘rather elusive’ concept. This is particularly t</w:t>
      </w:r>
      <w:r w:rsidR="00A60F49">
        <w:t>rue</w:t>
      </w:r>
      <w:r>
        <w:t xml:space="preserve"> in relation to freedom of peaceful assembly where its importance is widely cited but there is n</w:t>
      </w:r>
      <w:r w:rsidR="00B049AA" w:rsidRPr="006F5084">
        <w:t xml:space="preserve">o clear framework </w:t>
      </w:r>
      <w:r>
        <w:t xml:space="preserve">or </w:t>
      </w:r>
      <w:r w:rsidR="00B049AA" w:rsidRPr="006F5084">
        <w:t xml:space="preserve">standard for accountability across all aspects of </w:t>
      </w:r>
      <w:r>
        <w:t xml:space="preserve">state responsibility for facilitating, protecting and enabling the right. </w:t>
      </w:r>
    </w:p>
    <w:p w:rsidR="005701E2" w:rsidRPr="006F5084" w:rsidRDefault="00467186" w:rsidP="006F5084">
      <w:pPr>
        <w:jc w:val="both"/>
      </w:pPr>
      <w:r>
        <w:t xml:space="preserve">The European Center for Not-for-Profit Law </w:t>
      </w:r>
      <w:r w:rsidR="005F7683">
        <w:t xml:space="preserve">(ECNL) </w:t>
      </w:r>
      <w:r>
        <w:t>held a</w:t>
      </w:r>
      <w:r w:rsidR="005701E2">
        <w:t xml:space="preserve"> workshop in Budapest </w:t>
      </w:r>
      <w:r w:rsidR="00EF763F">
        <w:t xml:space="preserve">in </w:t>
      </w:r>
      <w:r w:rsidR="005701E2">
        <w:t>November 2017</w:t>
      </w:r>
      <w:r>
        <w:t>, with participants from CSOs in 13 countries,</w:t>
      </w:r>
      <w:r>
        <w:rPr>
          <w:rStyle w:val="FootnoteReference"/>
        </w:rPr>
        <w:footnoteReference w:id="3"/>
      </w:r>
      <w:r>
        <w:t xml:space="preserve"> as part of </w:t>
      </w:r>
      <w:r w:rsidR="00A60F49">
        <w:t xml:space="preserve">a wider </w:t>
      </w:r>
      <w:r>
        <w:t xml:space="preserve">programme </w:t>
      </w:r>
      <w:r>
        <w:lastRenderedPageBreak/>
        <w:t>on monitoring compliance with the right to peaceful assembly.</w:t>
      </w:r>
      <w:r>
        <w:rPr>
          <w:rStyle w:val="FootnoteReference"/>
        </w:rPr>
        <w:footnoteReference w:id="4"/>
      </w:r>
      <w:r w:rsidR="005701E2">
        <w:t xml:space="preserve"> </w:t>
      </w:r>
      <w:r>
        <w:t xml:space="preserve">During the workshop participants outlined </w:t>
      </w:r>
      <w:r w:rsidR="005701E2">
        <w:t xml:space="preserve">an overarching and inclusive framework for accountability in relation to the regulation and facilitation of peaceful assemblies. </w:t>
      </w:r>
      <w:r w:rsidR="00A60F49">
        <w:t>They</w:t>
      </w:r>
      <w:r w:rsidR="005701E2">
        <w:t xml:space="preserve"> sought to identify how state bodies and their representatives might be held accountable in relation to law making; administration of assemblies; policing of assemblies and matters of justice related to assemblies. </w:t>
      </w:r>
      <w:r w:rsidR="00A60F49">
        <w:t>Participants</w:t>
      </w:r>
      <w:r w:rsidR="00B92BE3">
        <w:t xml:space="preserve"> identified a range of action</w:t>
      </w:r>
      <w:r w:rsidR="00A60F49">
        <w:t>s</w:t>
      </w:r>
      <w:r w:rsidR="00B92BE3">
        <w:t xml:space="preserve"> </w:t>
      </w:r>
      <w:r w:rsidR="00A60F49">
        <w:t xml:space="preserve">that </w:t>
      </w:r>
      <w:r w:rsidR="00B92BE3">
        <w:t xml:space="preserve">focus on such matters as the provision of relevant information; being open to dialogue and communication; being prepared to engage with a local and international actors; be held to account by independent bodies; consulting </w:t>
      </w:r>
      <w:r w:rsidR="00EC790E">
        <w:t>on</w:t>
      </w:r>
      <w:r w:rsidR="00B92BE3">
        <w:t xml:space="preserve"> and enacting changes to decisions, practices and procedures; having procedures and process in place to ensure organisations and individuals within them are accountable and liable for their actions and inactions; and keeping practices and procedures under review to ensure they remain effective.</w:t>
      </w:r>
    </w:p>
    <w:p w:rsidR="00B92BE3" w:rsidRDefault="00B92BE3" w:rsidP="006F5084">
      <w:pPr>
        <w:jc w:val="both"/>
      </w:pPr>
      <w:r>
        <w:t>In so doing the</w:t>
      </w:r>
      <w:r w:rsidR="00A60F49">
        <w:t xml:space="preserve"> workshop</w:t>
      </w:r>
      <w:r>
        <w:t xml:space="preserve"> identified a number of key actions for the four main areas </w:t>
      </w:r>
      <w:r w:rsidR="00184B16">
        <w:t>of law making, administration, policing and justice that</w:t>
      </w:r>
      <w:r w:rsidR="00EC790E">
        <w:t>,</w:t>
      </w:r>
      <w:r w:rsidR="00184B16">
        <w:t xml:space="preserve"> if implemented</w:t>
      </w:r>
      <w:r w:rsidR="00EC790E">
        <w:t>,</w:t>
      </w:r>
      <w:r w:rsidR="00184B16">
        <w:t xml:space="preserve"> would begin to ensure a greater degree of public accountability in relation to protecting, facilitating and enabling the right to freedom of peaceful assembly. </w:t>
      </w:r>
    </w:p>
    <w:p w:rsidR="00D83948" w:rsidRPr="005701E2" w:rsidRDefault="00B049AA" w:rsidP="006F5084">
      <w:pPr>
        <w:jc w:val="both"/>
        <w:rPr>
          <w:b/>
        </w:rPr>
      </w:pPr>
      <w:r w:rsidRPr="005701E2">
        <w:rPr>
          <w:b/>
        </w:rPr>
        <w:t xml:space="preserve">Law making </w:t>
      </w:r>
    </w:p>
    <w:p w:rsidR="00135325" w:rsidRDefault="00135325" w:rsidP="00281265">
      <w:pPr>
        <w:numPr>
          <w:ilvl w:val="0"/>
          <w:numId w:val="14"/>
        </w:numPr>
        <w:jc w:val="both"/>
      </w:pPr>
      <w:r>
        <w:t xml:space="preserve">Authorities should engage in </w:t>
      </w:r>
      <w:r w:rsidR="00184B16">
        <w:t xml:space="preserve">open </w:t>
      </w:r>
      <w:r>
        <w:t>public c</w:t>
      </w:r>
      <w:r w:rsidRPr="006F5084">
        <w:t xml:space="preserve">onsultation on new laws </w:t>
      </w:r>
      <w:r w:rsidR="00B14064">
        <w:t xml:space="preserve">or </w:t>
      </w:r>
      <w:r>
        <w:t xml:space="preserve">proposed </w:t>
      </w:r>
      <w:r w:rsidRPr="006F5084">
        <w:t xml:space="preserve">changes to </w:t>
      </w:r>
      <w:r>
        <w:t xml:space="preserve">existing </w:t>
      </w:r>
      <w:r w:rsidRPr="006F5084">
        <w:t>law</w:t>
      </w:r>
      <w:r>
        <w:t xml:space="preserve">. </w:t>
      </w:r>
      <w:r w:rsidR="00A60F49">
        <w:t xml:space="preserve">Draft legislation should be publically accessible, online wherever possible, for review and comment. </w:t>
      </w:r>
      <w:r>
        <w:t>The consultation should include all stages of drafting</w:t>
      </w:r>
      <w:r w:rsidR="00B14064">
        <w:t xml:space="preserve"> and</w:t>
      </w:r>
      <w:r>
        <w:t xml:space="preserve"> revising the law</w:t>
      </w:r>
      <w:r w:rsidR="00B14064">
        <w:t>. S</w:t>
      </w:r>
      <w:r>
        <w:t>ufficient time should be</w:t>
      </w:r>
      <w:r w:rsidR="00B14064">
        <w:t xml:space="preserve"> made</w:t>
      </w:r>
      <w:r>
        <w:t xml:space="preserve"> to </w:t>
      </w:r>
      <w:r w:rsidR="00B14064">
        <w:t xml:space="preserve">allow for </w:t>
      </w:r>
      <w:r>
        <w:t xml:space="preserve">an effective public response. </w:t>
      </w:r>
    </w:p>
    <w:p w:rsidR="00135325" w:rsidRDefault="00135325" w:rsidP="00281265">
      <w:pPr>
        <w:numPr>
          <w:ilvl w:val="0"/>
          <w:numId w:val="14"/>
        </w:numPr>
        <w:jc w:val="both"/>
      </w:pPr>
      <w:r>
        <w:t>The consultation process should be participatory, open and transparent. It should allow for participation from di</w:t>
      </w:r>
      <w:r w:rsidR="00A60F49">
        <w:t>verse</w:t>
      </w:r>
      <w:r>
        <w:t xml:space="preserve"> sectors, including CSO</w:t>
      </w:r>
      <w:r w:rsidR="00281265">
        <w:t>s</w:t>
      </w:r>
      <w:r>
        <w:t xml:space="preserve">, </w:t>
      </w:r>
      <w:r w:rsidR="00281265">
        <w:t xml:space="preserve">human rights defenders, </w:t>
      </w:r>
      <w:r>
        <w:t xml:space="preserve">practitioners and academics. </w:t>
      </w:r>
    </w:p>
    <w:p w:rsidR="006F5084" w:rsidRPr="006F5084" w:rsidRDefault="00135325" w:rsidP="00281265">
      <w:pPr>
        <w:numPr>
          <w:ilvl w:val="0"/>
          <w:numId w:val="14"/>
        </w:numPr>
        <w:jc w:val="both"/>
      </w:pPr>
      <w:r>
        <w:t>There should be a mechanism for review</w:t>
      </w:r>
      <w:r w:rsidR="00281265">
        <w:t>ing</w:t>
      </w:r>
      <w:r>
        <w:t xml:space="preserve"> existing legislation and a process for r</w:t>
      </w:r>
      <w:r w:rsidR="006F5084" w:rsidRPr="006F5084">
        <w:t>espon</w:t>
      </w:r>
      <w:r>
        <w:t xml:space="preserve">ding to </w:t>
      </w:r>
      <w:r w:rsidR="006F5084" w:rsidRPr="006F5084">
        <w:t xml:space="preserve">criticisms of existing laws </w:t>
      </w:r>
      <w:r>
        <w:t>and the application of the</w:t>
      </w:r>
      <w:r w:rsidR="006F5084" w:rsidRPr="006F5084">
        <w:t xml:space="preserve"> law</w:t>
      </w:r>
      <w:r>
        <w:t xml:space="preserve">. Where appropriate the review process should be included as </w:t>
      </w:r>
      <w:r w:rsidR="00184B16">
        <w:t xml:space="preserve">an element of </w:t>
      </w:r>
      <w:r>
        <w:t>the legislation</w:t>
      </w:r>
      <w:r w:rsidR="00D81B1B">
        <w:t>.</w:t>
      </w:r>
    </w:p>
    <w:p w:rsidR="006F5084" w:rsidRPr="006F5084" w:rsidRDefault="00135325" w:rsidP="00281265">
      <w:pPr>
        <w:numPr>
          <w:ilvl w:val="0"/>
          <w:numId w:val="14"/>
        </w:numPr>
        <w:jc w:val="both"/>
      </w:pPr>
      <w:r>
        <w:t>There should be an e</w:t>
      </w:r>
      <w:r w:rsidR="006F5084" w:rsidRPr="006F5084">
        <w:t xml:space="preserve">xpectation that legislation is in compliance with </w:t>
      </w:r>
      <w:r w:rsidR="00184B16">
        <w:t>international human rights standards</w:t>
      </w:r>
      <w:r w:rsidR="00B14064">
        <w:t xml:space="preserve"> and t</w:t>
      </w:r>
      <w:r>
        <w:t xml:space="preserve">he authorities should engage with </w:t>
      </w:r>
      <w:r w:rsidR="00281265">
        <w:t xml:space="preserve">relevant </w:t>
      </w:r>
      <w:r>
        <w:t>international expert</w:t>
      </w:r>
      <w:r w:rsidR="00281265">
        <w:t>ise</w:t>
      </w:r>
      <w:r>
        <w:t xml:space="preserve"> to ensure legislation is compliant with international human right standards. </w:t>
      </w:r>
    </w:p>
    <w:p w:rsidR="00D83948" w:rsidRPr="00281265" w:rsidRDefault="00B049AA" w:rsidP="00281265">
      <w:pPr>
        <w:jc w:val="both"/>
        <w:rPr>
          <w:b/>
        </w:rPr>
      </w:pPr>
      <w:r w:rsidRPr="00281265">
        <w:rPr>
          <w:b/>
        </w:rPr>
        <w:t xml:space="preserve">Administration </w:t>
      </w:r>
    </w:p>
    <w:p w:rsidR="00D81B1B" w:rsidRDefault="00D81B1B" w:rsidP="00281265">
      <w:pPr>
        <w:numPr>
          <w:ilvl w:val="0"/>
          <w:numId w:val="14"/>
        </w:numPr>
        <w:jc w:val="both"/>
      </w:pPr>
      <w:r>
        <w:lastRenderedPageBreak/>
        <w:t>The designated bodies responsible for different aspects of administ</w:t>
      </w:r>
      <w:r w:rsidR="00B14064">
        <w:t>ering the</w:t>
      </w:r>
      <w:r>
        <w:t xml:space="preserve"> notification of assemblies should be clearly identifiable.  </w:t>
      </w:r>
    </w:p>
    <w:p w:rsidR="00467186" w:rsidRDefault="00467186" w:rsidP="00467186">
      <w:pPr>
        <w:numPr>
          <w:ilvl w:val="0"/>
          <w:numId w:val="14"/>
        </w:numPr>
        <w:jc w:val="both"/>
      </w:pPr>
      <w:r>
        <w:t xml:space="preserve">The notification process should not be overly bureaucratic. </w:t>
      </w:r>
    </w:p>
    <w:p w:rsidR="00D83948" w:rsidRPr="006F5084" w:rsidRDefault="00D81B1B" w:rsidP="00281265">
      <w:pPr>
        <w:numPr>
          <w:ilvl w:val="0"/>
          <w:numId w:val="14"/>
        </w:numPr>
        <w:jc w:val="both"/>
      </w:pPr>
      <w:r>
        <w:t xml:space="preserve">All elements of the notification process should be clear and should include allowance for consultation; dialogue; decision making; notification of decisions; review and appeal.  </w:t>
      </w:r>
    </w:p>
    <w:p w:rsidR="00D81B1B" w:rsidRDefault="00D81B1B" w:rsidP="00281265">
      <w:pPr>
        <w:numPr>
          <w:ilvl w:val="0"/>
          <w:numId w:val="14"/>
        </w:numPr>
        <w:jc w:val="both"/>
      </w:pPr>
      <w:r>
        <w:t>Information should be published o</w:t>
      </w:r>
      <w:r w:rsidR="00F8653E">
        <w:t>n</w:t>
      </w:r>
      <w:r>
        <w:t xml:space="preserve"> all notifications </w:t>
      </w:r>
      <w:r w:rsidR="00B14064">
        <w:t>once</w:t>
      </w:r>
      <w:r>
        <w:t xml:space="preserve"> they are received, preferably online, so that they can be readily accessed. </w:t>
      </w:r>
    </w:p>
    <w:p w:rsidR="00D83948" w:rsidRPr="006F5084" w:rsidRDefault="00D81B1B" w:rsidP="00281265">
      <w:pPr>
        <w:numPr>
          <w:ilvl w:val="0"/>
          <w:numId w:val="14"/>
        </w:numPr>
        <w:jc w:val="both"/>
      </w:pPr>
      <w:r>
        <w:t>Information should be published, preferably online, on any advance</w:t>
      </w:r>
      <w:r w:rsidR="00B049AA" w:rsidRPr="006F5084">
        <w:t xml:space="preserve"> restrictions</w:t>
      </w:r>
      <w:r>
        <w:t xml:space="preserve"> or prohibitions</w:t>
      </w:r>
      <w:r w:rsidR="00B049AA" w:rsidRPr="006F5084">
        <w:t xml:space="preserve"> </w:t>
      </w:r>
      <w:r>
        <w:t xml:space="preserve">imposed on assemblies as soon as a decision is taken. </w:t>
      </w:r>
    </w:p>
    <w:p w:rsidR="00281265" w:rsidRDefault="00D81B1B" w:rsidP="00281265">
      <w:pPr>
        <w:numPr>
          <w:ilvl w:val="0"/>
          <w:numId w:val="14"/>
        </w:numPr>
        <w:jc w:val="both"/>
      </w:pPr>
      <w:r>
        <w:t xml:space="preserve">There should be a clear and accessible process for </w:t>
      </w:r>
      <w:r w:rsidR="00B049AA" w:rsidRPr="006F5084">
        <w:t>appeal</w:t>
      </w:r>
      <w:r>
        <w:t>ing</w:t>
      </w:r>
      <w:r w:rsidR="00B049AA" w:rsidRPr="006F5084">
        <w:t xml:space="preserve"> against restrictions</w:t>
      </w:r>
      <w:r>
        <w:t xml:space="preserve"> on assemblies</w:t>
      </w:r>
      <w:r w:rsidR="00281265">
        <w:t>, and which</w:t>
      </w:r>
      <w:r>
        <w:t xml:space="preserve"> should take place within a timeframe </w:t>
      </w:r>
      <w:r w:rsidR="00F8653E">
        <w:t>t</w:t>
      </w:r>
      <w:r w:rsidR="00281265">
        <w:t>hat</w:t>
      </w:r>
      <w:r w:rsidR="00F8653E">
        <w:t xml:space="preserve"> ensure</w:t>
      </w:r>
      <w:r w:rsidR="00281265">
        <w:t>s</w:t>
      </w:r>
      <w:r w:rsidR="00F8653E">
        <w:t xml:space="preserve"> </w:t>
      </w:r>
      <w:r>
        <w:t xml:space="preserve">the assembly is able to take place at the notified time. </w:t>
      </w:r>
    </w:p>
    <w:p w:rsidR="00281265" w:rsidRDefault="00281265" w:rsidP="00281265">
      <w:pPr>
        <w:numPr>
          <w:ilvl w:val="0"/>
          <w:numId w:val="14"/>
        </w:numPr>
        <w:jc w:val="both"/>
      </w:pPr>
      <w:r>
        <w:t>The authorities should publish d</w:t>
      </w:r>
      <w:r w:rsidRPr="006F5084">
        <w:t>ata</w:t>
      </w:r>
      <w:r>
        <w:t>,</w:t>
      </w:r>
      <w:r w:rsidRPr="006F5084">
        <w:t xml:space="preserve"> </w:t>
      </w:r>
      <w:r>
        <w:t>on at least an annual basis,</w:t>
      </w:r>
      <w:r w:rsidRPr="006F5084">
        <w:t xml:space="preserve"> </w:t>
      </w:r>
      <w:r>
        <w:t xml:space="preserve">on the number of assemblies notified, </w:t>
      </w:r>
      <w:r w:rsidR="00B14064">
        <w:t xml:space="preserve">and </w:t>
      </w:r>
      <w:r>
        <w:t xml:space="preserve">numbers </w:t>
      </w:r>
      <w:r w:rsidR="00B14064">
        <w:t xml:space="preserve">of those </w:t>
      </w:r>
      <w:r>
        <w:t xml:space="preserve">restricted or banned. Published data should also include </w:t>
      </w:r>
      <w:r w:rsidR="00A60F49">
        <w:t xml:space="preserve">number of spontaneous or un-notified assemblies; </w:t>
      </w:r>
      <w:r>
        <w:t>number</w:t>
      </w:r>
      <w:r w:rsidR="00A60F49">
        <w:t>s</w:t>
      </w:r>
      <w:r>
        <w:t xml:space="preserve"> of individuals </w:t>
      </w:r>
      <w:r w:rsidRPr="006F5084">
        <w:t>arrest</w:t>
      </w:r>
      <w:r>
        <w:t xml:space="preserve">ed or </w:t>
      </w:r>
      <w:r w:rsidRPr="006F5084">
        <w:t>det</w:t>
      </w:r>
      <w:r>
        <w:t>ained;</w:t>
      </w:r>
      <w:r w:rsidRPr="006F5084">
        <w:t xml:space="preserve"> </w:t>
      </w:r>
      <w:r>
        <w:t xml:space="preserve">all instances of </w:t>
      </w:r>
      <w:r w:rsidRPr="006F5084">
        <w:t>use of force</w:t>
      </w:r>
      <w:r>
        <w:t xml:space="preserve"> (by type of weapon and scale of use)</w:t>
      </w:r>
      <w:r w:rsidR="00B14064">
        <w:t xml:space="preserve"> or dispersal</w:t>
      </w:r>
      <w:r>
        <w:t>; number of persons injured (including police officers)</w:t>
      </w:r>
      <w:r w:rsidR="00B14064">
        <w:t xml:space="preserve"> etc</w:t>
      </w:r>
      <w:r>
        <w:t>. Data should be made available by relevant geographical location</w:t>
      </w:r>
      <w:r w:rsidR="00B14064">
        <w:t xml:space="preserve"> or administrative district</w:t>
      </w:r>
      <w:r>
        <w:t xml:space="preserve">. </w:t>
      </w:r>
    </w:p>
    <w:p w:rsidR="00D83948" w:rsidRPr="00281265" w:rsidRDefault="00B049AA" w:rsidP="00281265">
      <w:pPr>
        <w:jc w:val="both"/>
        <w:rPr>
          <w:b/>
        </w:rPr>
      </w:pPr>
      <w:r w:rsidRPr="00281265">
        <w:rPr>
          <w:b/>
        </w:rPr>
        <w:t xml:space="preserve">Policing </w:t>
      </w:r>
    </w:p>
    <w:p w:rsidR="00281265" w:rsidRDefault="00281265" w:rsidP="00281265">
      <w:pPr>
        <w:numPr>
          <w:ilvl w:val="0"/>
          <w:numId w:val="14"/>
        </w:numPr>
        <w:jc w:val="both"/>
      </w:pPr>
      <w:r>
        <w:t xml:space="preserve">The police should publish all </w:t>
      </w:r>
      <w:r w:rsidRPr="006F5084">
        <w:t>policing protocols</w:t>
      </w:r>
      <w:r>
        <w:t xml:space="preserve"> relating to assemblies, including those relating to command and control structures; use of force; dispersal; dealing with complaints; arrests and detentions. Policing protocols should be reviewed by an independent body against international human rights standards.  </w:t>
      </w:r>
    </w:p>
    <w:p w:rsidR="00281265" w:rsidRDefault="00281265" w:rsidP="00281265">
      <w:pPr>
        <w:numPr>
          <w:ilvl w:val="0"/>
          <w:numId w:val="14"/>
        </w:numPr>
        <w:jc w:val="both"/>
      </w:pPr>
      <w:r>
        <w:t xml:space="preserve">There should be a single clear command structure for police operations at assemblies, and which covers all operational law enforcement personnel. </w:t>
      </w:r>
    </w:p>
    <w:p w:rsidR="00D83948" w:rsidRPr="006F5084" w:rsidRDefault="00F8653E" w:rsidP="00281265">
      <w:pPr>
        <w:numPr>
          <w:ilvl w:val="0"/>
          <w:numId w:val="14"/>
        </w:numPr>
        <w:jc w:val="both"/>
      </w:pPr>
      <w:r>
        <w:t xml:space="preserve">The police should </w:t>
      </w:r>
      <w:r w:rsidR="003F26DF">
        <w:t xml:space="preserve">always </w:t>
      </w:r>
      <w:r>
        <w:t>be w</w:t>
      </w:r>
      <w:r w:rsidR="00B049AA" w:rsidRPr="006F5084">
        <w:t>illing</w:t>
      </w:r>
      <w:r>
        <w:t xml:space="preserve"> to engage in </w:t>
      </w:r>
      <w:r w:rsidR="00B049AA" w:rsidRPr="006F5084">
        <w:t xml:space="preserve">dialogue with </w:t>
      </w:r>
      <w:r>
        <w:t xml:space="preserve">assembly </w:t>
      </w:r>
      <w:r w:rsidR="00B049AA" w:rsidRPr="006F5084">
        <w:t>organisers before, during &amp; after assemblies</w:t>
      </w:r>
      <w:r>
        <w:t xml:space="preserve">. </w:t>
      </w:r>
    </w:p>
    <w:p w:rsidR="00B14064" w:rsidRDefault="00B14064" w:rsidP="00B14064">
      <w:pPr>
        <w:numPr>
          <w:ilvl w:val="0"/>
          <w:numId w:val="14"/>
        </w:numPr>
        <w:jc w:val="both"/>
      </w:pPr>
      <w:r>
        <w:t>All police officers should be individually identifiable while on duty.</w:t>
      </w:r>
    </w:p>
    <w:p w:rsidR="00AB28A2" w:rsidRDefault="00AB28A2" w:rsidP="00281265">
      <w:pPr>
        <w:numPr>
          <w:ilvl w:val="0"/>
          <w:numId w:val="14"/>
        </w:numPr>
        <w:jc w:val="both"/>
      </w:pPr>
      <w:r>
        <w:t xml:space="preserve">Police should facilitate and enable the access of media and monitors at assemblies. </w:t>
      </w:r>
    </w:p>
    <w:p w:rsidR="003F26DF" w:rsidRDefault="003F26DF" w:rsidP="00281265">
      <w:pPr>
        <w:numPr>
          <w:ilvl w:val="0"/>
          <w:numId w:val="14"/>
        </w:numPr>
        <w:jc w:val="both"/>
      </w:pPr>
      <w:r>
        <w:t xml:space="preserve">Senior operational commanders should be accessible to </w:t>
      </w:r>
      <w:r w:rsidR="00B14064">
        <w:t xml:space="preserve">representatives of </w:t>
      </w:r>
      <w:r>
        <w:t>NHRIs</w:t>
      </w:r>
      <w:r w:rsidR="00B14064">
        <w:t xml:space="preserve"> and </w:t>
      </w:r>
      <w:r>
        <w:t xml:space="preserve">Ombudsman during an assembly.  </w:t>
      </w:r>
    </w:p>
    <w:p w:rsidR="00F8653E" w:rsidRDefault="00F8653E" w:rsidP="00281265">
      <w:pPr>
        <w:numPr>
          <w:ilvl w:val="0"/>
          <w:numId w:val="14"/>
        </w:numPr>
        <w:jc w:val="both"/>
      </w:pPr>
      <w:r>
        <w:t xml:space="preserve">All complaints against the police and all disciplinary procedures should include an element of external independent review. </w:t>
      </w:r>
    </w:p>
    <w:p w:rsidR="00F8653E" w:rsidRPr="006F5084" w:rsidRDefault="00F8653E" w:rsidP="00281265">
      <w:pPr>
        <w:numPr>
          <w:ilvl w:val="0"/>
          <w:numId w:val="14"/>
        </w:numPr>
        <w:jc w:val="both"/>
      </w:pPr>
      <w:r>
        <w:lastRenderedPageBreak/>
        <w:t>All disciplinary procedures</w:t>
      </w:r>
      <w:r w:rsidR="003F26DF">
        <w:t xml:space="preserve"> for police officers</w:t>
      </w:r>
      <w:r>
        <w:t xml:space="preserve"> should be in line with international human rights standards. </w:t>
      </w:r>
      <w:r w:rsidR="003F26DF">
        <w:t>Details of the outcome of disciplinary procedures should be published online as soon as they are finalised.</w:t>
      </w:r>
    </w:p>
    <w:p w:rsidR="00AB28A2" w:rsidRPr="006F5084" w:rsidRDefault="00AB28A2" w:rsidP="00281265">
      <w:pPr>
        <w:numPr>
          <w:ilvl w:val="0"/>
          <w:numId w:val="14"/>
        </w:numPr>
        <w:jc w:val="both"/>
      </w:pPr>
      <w:r>
        <w:t xml:space="preserve">Any private security personnel </w:t>
      </w:r>
      <w:r w:rsidR="00184B16">
        <w:t xml:space="preserve">involved in </w:t>
      </w:r>
      <w:r w:rsidR="002D7D44">
        <w:t xml:space="preserve">aspects </w:t>
      </w:r>
      <w:r w:rsidR="00184B16">
        <w:t xml:space="preserve">of public assemblies </w:t>
      </w:r>
      <w:r>
        <w:t xml:space="preserve">should be held publically accountable for their actions in the same way that a police officer </w:t>
      </w:r>
      <w:r w:rsidR="002D7D44">
        <w:t>might</w:t>
      </w:r>
      <w:r>
        <w:t>.</w:t>
      </w:r>
    </w:p>
    <w:p w:rsidR="00D83948" w:rsidRPr="00281265" w:rsidRDefault="00B049AA" w:rsidP="00281265">
      <w:pPr>
        <w:jc w:val="both"/>
        <w:rPr>
          <w:b/>
        </w:rPr>
      </w:pPr>
      <w:r w:rsidRPr="00281265">
        <w:rPr>
          <w:b/>
        </w:rPr>
        <w:t>Justice</w:t>
      </w:r>
    </w:p>
    <w:p w:rsidR="002D7D44" w:rsidRDefault="002D7D44" w:rsidP="002D7D44">
      <w:pPr>
        <w:numPr>
          <w:ilvl w:val="0"/>
          <w:numId w:val="14"/>
        </w:numPr>
        <w:jc w:val="both"/>
      </w:pPr>
      <w:r>
        <w:t>Individuals should only ever be held liable for their own actions and not for the actions of others that occur at an assembly.</w:t>
      </w:r>
    </w:p>
    <w:p w:rsidR="00EA0DA7" w:rsidRDefault="00EA0DA7" w:rsidP="00281265">
      <w:pPr>
        <w:numPr>
          <w:ilvl w:val="0"/>
          <w:numId w:val="14"/>
        </w:numPr>
        <w:jc w:val="both"/>
      </w:pPr>
      <w:r>
        <w:t>Fair trial principles, including access to free independent legal advice and medical assistance</w:t>
      </w:r>
      <w:r w:rsidR="00B14064">
        <w:t>,</w:t>
      </w:r>
      <w:r>
        <w:t xml:space="preserve"> should apply in all </w:t>
      </w:r>
      <w:r w:rsidR="00184B16">
        <w:t>instances</w:t>
      </w:r>
      <w:r>
        <w:t xml:space="preserve"> where people are detained as a result of participation in an assembly. </w:t>
      </w:r>
    </w:p>
    <w:p w:rsidR="00D83948" w:rsidRPr="006F5084" w:rsidRDefault="00EA0DA7" w:rsidP="00281265">
      <w:pPr>
        <w:numPr>
          <w:ilvl w:val="0"/>
          <w:numId w:val="14"/>
        </w:numPr>
        <w:jc w:val="both"/>
      </w:pPr>
      <w:r>
        <w:t>All legal hearings in administrative, civil or criminal cases should open, transparent and compliant with international human rights standards. The judiciary should be independent and seen to be independent.</w:t>
      </w:r>
    </w:p>
    <w:p w:rsidR="00EA0DA7" w:rsidRDefault="00EA0DA7" w:rsidP="00281265">
      <w:pPr>
        <w:numPr>
          <w:ilvl w:val="0"/>
          <w:numId w:val="14"/>
        </w:numPr>
        <w:jc w:val="both"/>
      </w:pPr>
      <w:r>
        <w:t>A</w:t>
      </w:r>
      <w:r w:rsidR="006D76D7">
        <w:t>ll legal decisions should be open, transparent and public and a</w:t>
      </w:r>
      <w:r>
        <w:t>ny p</w:t>
      </w:r>
      <w:r w:rsidR="00B049AA" w:rsidRPr="006F5084">
        <w:t xml:space="preserve">unishments </w:t>
      </w:r>
      <w:r>
        <w:t xml:space="preserve">handed down by the courts should be proportionate. </w:t>
      </w:r>
    </w:p>
    <w:p w:rsidR="006D76D7" w:rsidRDefault="006D76D7" w:rsidP="00281265">
      <w:pPr>
        <w:numPr>
          <w:ilvl w:val="0"/>
          <w:numId w:val="14"/>
        </w:numPr>
        <w:jc w:val="both"/>
      </w:pPr>
      <w:r>
        <w:t xml:space="preserve">All court cases should be open to monitoring by independent bodies.  </w:t>
      </w:r>
    </w:p>
    <w:p w:rsidR="00D83948" w:rsidRPr="006F5084" w:rsidRDefault="00EA0DA7" w:rsidP="00281265">
      <w:pPr>
        <w:numPr>
          <w:ilvl w:val="0"/>
          <w:numId w:val="14"/>
        </w:numPr>
        <w:jc w:val="both"/>
      </w:pPr>
      <w:r>
        <w:t>The court</w:t>
      </w:r>
      <w:r w:rsidR="006D76D7">
        <w:t>s</w:t>
      </w:r>
      <w:r>
        <w:t xml:space="preserve"> should publish data on cases relating to activities that occurred as part of an assembly.   </w:t>
      </w:r>
    </w:p>
    <w:p w:rsidR="006F5084" w:rsidRDefault="006F5084" w:rsidP="006F5084">
      <w:pPr>
        <w:jc w:val="both"/>
        <w:rPr>
          <w:b/>
        </w:rPr>
      </w:pPr>
      <w:r w:rsidRPr="00EA0DA7">
        <w:rPr>
          <w:b/>
        </w:rPr>
        <w:t>Key Actors</w:t>
      </w:r>
    </w:p>
    <w:p w:rsidR="00EA0DA7" w:rsidRPr="00EA0DA7" w:rsidRDefault="00EA0DA7" w:rsidP="006F5084">
      <w:pPr>
        <w:jc w:val="both"/>
      </w:pPr>
      <w:r>
        <w:t xml:space="preserve">There are a </w:t>
      </w:r>
      <w:r w:rsidR="00467186">
        <w:t xml:space="preserve">range </w:t>
      </w:r>
      <w:r>
        <w:t xml:space="preserve">of key actors </w:t>
      </w:r>
      <w:r w:rsidR="00467186">
        <w:t xml:space="preserve">that </w:t>
      </w:r>
      <w:r>
        <w:t>have a role to play in holding the authorities effectively to account in relation to restrictions that might be imposed on assemblies or participants in assemblies. These include</w:t>
      </w:r>
      <w:r w:rsidR="00184B16">
        <w:t>:</w:t>
      </w:r>
    </w:p>
    <w:p w:rsidR="00D83948" w:rsidRPr="006F5084" w:rsidRDefault="00B049AA" w:rsidP="006F5084">
      <w:pPr>
        <w:numPr>
          <w:ilvl w:val="0"/>
          <w:numId w:val="1"/>
        </w:numPr>
        <w:jc w:val="both"/>
      </w:pPr>
      <w:r w:rsidRPr="006F5084">
        <w:t>N</w:t>
      </w:r>
      <w:r w:rsidR="00EA0DA7">
        <w:t xml:space="preserve">ational Human Rights Institutions </w:t>
      </w:r>
      <w:r w:rsidRPr="006F5084">
        <w:t>/ Ombudsman</w:t>
      </w:r>
      <w:r w:rsidR="00EA0DA7">
        <w:t xml:space="preserve"> Office </w:t>
      </w:r>
    </w:p>
    <w:p w:rsidR="00D83948" w:rsidRPr="006F5084" w:rsidRDefault="00B049AA" w:rsidP="006F5084">
      <w:pPr>
        <w:numPr>
          <w:ilvl w:val="0"/>
          <w:numId w:val="1"/>
        </w:numPr>
        <w:jc w:val="both"/>
      </w:pPr>
      <w:r w:rsidRPr="006F5084">
        <w:t xml:space="preserve">Media </w:t>
      </w:r>
    </w:p>
    <w:p w:rsidR="00D83948" w:rsidRPr="006F5084" w:rsidRDefault="00B049AA" w:rsidP="006F5084">
      <w:pPr>
        <w:numPr>
          <w:ilvl w:val="0"/>
          <w:numId w:val="1"/>
        </w:numPr>
        <w:jc w:val="both"/>
      </w:pPr>
      <w:r w:rsidRPr="006F5084">
        <w:t xml:space="preserve">Human rights defenders </w:t>
      </w:r>
    </w:p>
    <w:p w:rsidR="00D83948" w:rsidRPr="006F5084" w:rsidRDefault="00B049AA" w:rsidP="006F5084">
      <w:pPr>
        <w:numPr>
          <w:ilvl w:val="0"/>
          <w:numId w:val="1"/>
        </w:numPr>
        <w:jc w:val="both"/>
      </w:pPr>
      <w:r w:rsidRPr="006F5084">
        <w:t xml:space="preserve">International </w:t>
      </w:r>
      <w:r w:rsidR="00467186">
        <w:t xml:space="preserve">and regional </w:t>
      </w:r>
      <w:r w:rsidRPr="006F5084">
        <w:t xml:space="preserve">bodies </w:t>
      </w:r>
    </w:p>
    <w:p w:rsidR="002F17D2" w:rsidRDefault="006D76D7" w:rsidP="006F5084">
      <w:pPr>
        <w:jc w:val="both"/>
      </w:pPr>
      <w:r>
        <w:t>To be effective such bodies should have access to additional relevant data on request; to relevant assembly related events including all areas of public assemblies; detention facilities and court cases</w:t>
      </w:r>
      <w:r w:rsidR="00024131">
        <w:t>.</w:t>
      </w:r>
    </w:p>
    <w:sectPr w:rsidR="002F17D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AA" w:rsidRDefault="00B049AA" w:rsidP="006F5084">
      <w:pPr>
        <w:spacing w:after="0" w:line="240" w:lineRule="auto"/>
      </w:pPr>
      <w:r>
        <w:separator/>
      </w:r>
    </w:p>
  </w:endnote>
  <w:endnote w:type="continuationSeparator" w:id="0">
    <w:p w:rsidR="00B049AA" w:rsidRDefault="00B049AA" w:rsidP="006F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83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6DF" w:rsidRDefault="003F2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6DF" w:rsidRDefault="003F2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AA" w:rsidRDefault="00B049AA" w:rsidP="006F5084">
      <w:pPr>
        <w:spacing w:after="0" w:line="240" w:lineRule="auto"/>
      </w:pPr>
      <w:r>
        <w:separator/>
      </w:r>
    </w:p>
  </w:footnote>
  <w:footnote w:type="continuationSeparator" w:id="0">
    <w:p w:rsidR="00B049AA" w:rsidRDefault="00B049AA" w:rsidP="006F5084">
      <w:pPr>
        <w:spacing w:after="0" w:line="240" w:lineRule="auto"/>
      </w:pPr>
      <w:r>
        <w:continuationSeparator/>
      </w:r>
    </w:p>
  </w:footnote>
  <w:footnote w:id="1">
    <w:p w:rsidR="00467186" w:rsidRDefault="00467186">
      <w:pPr>
        <w:pStyle w:val="FootnoteText"/>
      </w:pPr>
      <w:r>
        <w:rPr>
          <w:rStyle w:val="FootnoteReference"/>
        </w:rPr>
        <w:footnoteRef/>
      </w:r>
      <w:r w:rsidR="00814290">
        <w:t xml:space="preserve"> </w:t>
      </w:r>
      <w:proofErr w:type="gramStart"/>
      <w:r w:rsidR="00814290">
        <w:t>Director of the Institute for Conflict Research, Belfast and</w:t>
      </w:r>
      <w:r>
        <w:t xml:space="preserve"> Chair of the ODIHR Expert Panel on Freedom of </w:t>
      </w:r>
      <w:r>
        <w:t>Peaceful Assembly and Association</w:t>
      </w:r>
      <w:r w:rsidR="00814290">
        <w:t>, but writing in a personal capacity.</w:t>
      </w:r>
      <w:proofErr w:type="gramEnd"/>
    </w:p>
  </w:footnote>
  <w:footnote w:id="2">
    <w:p w:rsidR="006F5084" w:rsidRDefault="006F5084">
      <w:pPr>
        <w:pStyle w:val="FootnoteText"/>
      </w:pPr>
      <w:r>
        <w:rPr>
          <w:rStyle w:val="FootnoteReference"/>
        </w:rPr>
        <w:footnoteRef/>
      </w:r>
      <w:r>
        <w:t xml:space="preserve"> See Mark </w:t>
      </w:r>
      <w:proofErr w:type="spellStart"/>
      <w:r>
        <w:t>Bovens</w:t>
      </w:r>
      <w:proofErr w:type="spellEnd"/>
      <w:r>
        <w:t xml:space="preserve"> (2005) Public Accountability. In the Oxford Handbook of Public Management.  </w:t>
      </w:r>
      <w:hyperlink r:id="rId1" w:anchor="v=onepage&amp;q=mark%20bovens%20public%20accountability&amp;f=false" w:history="1">
        <w:r w:rsidR="005701E2" w:rsidRPr="00AC3CB7">
          <w:rPr>
            <w:rStyle w:val="Hyperlink"/>
          </w:rPr>
          <w:t>https://books.google.co.uk/books?hl=en&amp;lr=&amp;id=_0</w:t>
        </w:r>
        <w:bookmarkStart w:id="0" w:name="_GoBack"/>
        <w:bookmarkEnd w:id="0"/>
        <w:r w:rsidR="005701E2" w:rsidRPr="00AC3CB7">
          <w:rPr>
            <w:rStyle w:val="Hyperlink"/>
          </w:rPr>
          <w:t>epYa1LF8MC&amp;oi=fnd&amp;pg=PA182&amp;dq=mark+bovens+public+accountability&amp;ots=ykrXsivZCh&amp;sig=LZV6JyUhTMW-Vs4Yx_p6JG2uGs0#v=onepage&amp;q=mark%20bovens%20public%20accountability&amp;f=false</w:t>
        </w:r>
      </w:hyperlink>
      <w:r w:rsidR="005701E2">
        <w:t xml:space="preserve"> </w:t>
      </w:r>
      <w:r>
        <w:t xml:space="preserve"> </w:t>
      </w:r>
    </w:p>
  </w:footnote>
  <w:footnote w:id="3">
    <w:p w:rsidR="00467186" w:rsidRDefault="00467186" w:rsidP="00467186">
      <w:pPr>
        <w:pStyle w:val="FootnoteText"/>
      </w:pPr>
      <w:r>
        <w:rPr>
          <w:rStyle w:val="FootnoteReference"/>
        </w:rPr>
        <w:footnoteRef/>
      </w:r>
      <w:r>
        <w:t xml:space="preserve"> Participants came from Albania, Armenia, Belarus, Bosnia Herzegovina, Bulgaria, Hungary, Kosovo, Macedonia, Montenegro, Moldova, Serbia, UK and Ukraine.</w:t>
      </w:r>
    </w:p>
  </w:footnote>
  <w:footnote w:id="4">
    <w:p w:rsidR="00467186" w:rsidRDefault="004671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604EC">
        <w:t>T</w:t>
      </w:r>
      <w:r w:rsidR="00985F78">
        <w:t>he</w:t>
      </w:r>
      <w:r w:rsidR="00985F78" w:rsidRPr="00ED612B">
        <w:rPr>
          <w:rStyle w:val="Emphasis"/>
          <w:i w:val="0"/>
        </w:rPr>
        <w:t xml:space="preserve"> ‘</w:t>
      </w:r>
      <w:r w:rsidR="00985F78" w:rsidRPr="001F55EE">
        <w:rPr>
          <w:rStyle w:val="Emphasis"/>
        </w:rPr>
        <w:t>Monitoring the Right to Free Assembly’</w:t>
      </w:r>
      <w:r w:rsidR="00985F78" w:rsidRPr="00ED612B">
        <w:rPr>
          <w:rStyle w:val="Emphasis"/>
          <w:i w:val="0"/>
        </w:rPr>
        <w:t xml:space="preserve"> regional project, managed by </w:t>
      </w:r>
      <w:r w:rsidR="00985F78">
        <w:rPr>
          <w:rStyle w:val="Emphasis"/>
          <w:i w:val="0"/>
        </w:rPr>
        <w:t>E</w:t>
      </w:r>
      <w:r w:rsidR="00985F78" w:rsidRPr="00ED612B">
        <w:rPr>
          <w:rStyle w:val="Emphasis"/>
          <w:i w:val="0"/>
        </w:rPr>
        <w:t>CNL</w:t>
      </w:r>
      <w:r w:rsidR="000604EC">
        <w:rPr>
          <w:rStyle w:val="Emphasis"/>
          <w:i w:val="0"/>
        </w:rPr>
        <w:t>, is</w:t>
      </w:r>
      <w:r w:rsidR="00985F78">
        <w:rPr>
          <w:rStyle w:val="Emphasis"/>
          <w:i w:val="0"/>
        </w:rPr>
        <w:t xml:space="preserve"> </w:t>
      </w:r>
      <w:r w:rsidR="00985F78" w:rsidRPr="00ED612B">
        <w:rPr>
          <w:rStyle w:val="Emphasis"/>
          <w:i w:val="0"/>
        </w:rPr>
        <w:t>made possible by the International Center for Not-for-Profit Law (ICNL) through the Civic Space Initiative, financed by the Government of Sweden.</w:t>
      </w:r>
      <w:r w:rsidR="00985F78">
        <w:rPr>
          <w:rStyle w:val="Emphasis"/>
          <w:i w:val="0"/>
        </w:rPr>
        <w:t xml:space="preserve"> </w:t>
      </w:r>
      <w:hyperlink r:id="rId2" w:history="1">
        <w:r w:rsidR="001F55EE" w:rsidRPr="001F55EE">
          <w:rPr>
            <w:rStyle w:val="Hyperlink"/>
          </w:rPr>
          <w:t>http://ecnl.org/publications/monitoring-the-right-to-free-assembly-in-11-countries-2018/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B1A"/>
    <w:multiLevelType w:val="hybridMultilevel"/>
    <w:tmpl w:val="ABE62E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0CE6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0270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B693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88B1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F07A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C96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6AD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25100C"/>
    <w:multiLevelType w:val="hybridMultilevel"/>
    <w:tmpl w:val="7E32B77A"/>
    <w:lvl w:ilvl="0" w:tplc="61242D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50EE6A">
      <w:start w:val="25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265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2845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284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EF9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4298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6EF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3C7C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5D1F80"/>
    <w:multiLevelType w:val="hybridMultilevel"/>
    <w:tmpl w:val="540E1178"/>
    <w:lvl w:ilvl="0" w:tplc="700AB932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18AD33E">
      <w:start w:val="253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0CE65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D02702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2B6931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488B17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CF07A7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9EC964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6A6AD3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1DBA2351"/>
    <w:multiLevelType w:val="hybridMultilevel"/>
    <w:tmpl w:val="2DE65D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8AD33E">
      <w:start w:val="253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0CE65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D02702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2B6931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488B17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CF07A7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9EC964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6A6AD3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220009E3"/>
    <w:multiLevelType w:val="hybridMultilevel"/>
    <w:tmpl w:val="E04C50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8AD33E">
      <w:start w:val="253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0CE65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D02702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2B6931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488B17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CF07A7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9EC964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6A6AD3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26036CE6"/>
    <w:multiLevelType w:val="hybridMultilevel"/>
    <w:tmpl w:val="000C0BA2"/>
    <w:lvl w:ilvl="0" w:tplc="B2C82A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843A7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FE63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7035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AB5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F8B9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A8C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A4B1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9A36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8F23F1"/>
    <w:multiLevelType w:val="hybridMultilevel"/>
    <w:tmpl w:val="0DEC84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8AD33E">
      <w:start w:val="253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0CE65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D02702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2B6931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488B17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CF07A7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9EC964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6A6AD3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3A602EDD"/>
    <w:multiLevelType w:val="hybridMultilevel"/>
    <w:tmpl w:val="05D40D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DD49D4"/>
    <w:multiLevelType w:val="hybridMultilevel"/>
    <w:tmpl w:val="2F3A0E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C456EC"/>
    <w:multiLevelType w:val="hybridMultilevel"/>
    <w:tmpl w:val="CAB2952A"/>
    <w:lvl w:ilvl="0" w:tplc="FDA65C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C27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AE2C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7836A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E62BC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E4B3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CC1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FA56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4A90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EA4223A"/>
    <w:multiLevelType w:val="hybridMultilevel"/>
    <w:tmpl w:val="9F24B4FA"/>
    <w:lvl w:ilvl="0" w:tplc="5D8E99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F6151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E045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E6E1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7E30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E4CD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8429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8C31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295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27776D6"/>
    <w:multiLevelType w:val="hybridMultilevel"/>
    <w:tmpl w:val="7E5E424C"/>
    <w:lvl w:ilvl="0" w:tplc="D58299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0E920">
      <w:start w:val="25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4ED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ADD3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EAF5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CAE53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438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16C1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2320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93D28B5"/>
    <w:multiLevelType w:val="hybridMultilevel"/>
    <w:tmpl w:val="C27EFE72"/>
    <w:lvl w:ilvl="0" w:tplc="0D54CC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C6CE0">
      <w:start w:val="25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A777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04A2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140A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C83A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10B1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F0E7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664F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6A01E8E"/>
    <w:multiLevelType w:val="hybridMultilevel"/>
    <w:tmpl w:val="CC5EBD14"/>
    <w:lvl w:ilvl="0" w:tplc="19E6E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46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CF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2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E1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1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2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2C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61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Judit Toth">
    <w15:presenceInfo w15:providerId="None" w15:userId="Andrea Judit To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84"/>
    <w:rsid w:val="00005FF0"/>
    <w:rsid w:val="00024131"/>
    <w:rsid w:val="00045387"/>
    <w:rsid w:val="000604EC"/>
    <w:rsid w:val="00135325"/>
    <w:rsid w:val="00153308"/>
    <w:rsid w:val="00184B16"/>
    <w:rsid w:val="001F55EE"/>
    <w:rsid w:val="00281265"/>
    <w:rsid w:val="002D7D44"/>
    <w:rsid w:val="002F17D2"/>
    <w:rsid w:val="00302999"/>
    <w:rsid w:val="003F26DF"/>
    <w:rsid w:val="00467186"/>
    <w:rsid w:val="0056325E"/>
    <w:rsid w:val="005701E2"/>
    <w:rsid w:val="005F7683"/>
    <w:rsid w:val="006D76D7"/>
    <w:rsid w:val="006F5084"/>
    <w:rsid w:val="007D638A"/>
    <w:rsid w:val="00814290"/>
    <w:rsid w:val="008F03AD"/>
    <w:rsid w:val="00985F78"/>
    <w:rsid w:val="00A60F49"/>
    <w:rsid w:val="00AB28A2"/>
    <w:rsid w:val="00B049AA"/>
    <w:rsid w:val="00B14064"/>
    <w:rsid w:val="00B92BE3"/>
    <w:rsid w:val="00D81B1B"/>
    <w:rsid w:val="00D83948"/>
    <w:rsid w:val="00D91F0B"/>
    <w:rsid w:val="00EA0DA7"/>
    <w:rsid w:val="00EC790E"/>
    <w:rsid w:val="00ED612B"/>
    <w:rsid w:val="00EF763F"/>
    <w:rsid w:val="00F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50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0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0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01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DF"/>
  </w:style>
  <w:style w:type="paragraph" w:styleId="Footer">
    <w:name w:val="footer"/>
    <w:basedOn w:val="Normal"/>
    <w:link w:val="FooterChar"/>
    <w:uiPriority w:val="99"/>
    <w:unhideWhenUsed/>
    <w:rsid w:val="003F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DF"/>
  </w:style>
  <w:style w:type="paragraph" w:styleId="ListParagraph">
    <w:name w:val="List Paragraph"/>
    <w:basedOn w:val="Normal"/>
    <w:uiPriority w:val="34"/>
    <w:qFormat/>
    <w:rsid w:val="002812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612B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1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55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50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0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0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01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DF"/>
  </w:style>
  <w:style w:type="paragraph" w:styleId="Footer">
    <w:name w:val="footer"/>
    <w:basedOn w:val="Normal"/>
    <w:link w:val="FooterChar"/>
    <w:uiPriority w:val="99"/>
    <w:unhideWhenUsed/>
    <w:rsid w:val="003F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DF"/>
  </w:style>
  <w:style w:type="paragraph" w:styleId="ListParagraph">
    <w:name w:val="List Paragraph"/>
    <w:basedOn w:val="Normal"/>
    <w:uiPriority w:val="34"/>
    <w:qFormat/>
    <w:rsid w:val="002812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612B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1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5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9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2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0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71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48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12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5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9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1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9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60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6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7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31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3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37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47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91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377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4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0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74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4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nl.org/publications/monitoring-the-right-to-free-assembly-in-11-countries-2018/" TargetMode="External"/><Relationship Id="rId1" Type="http://schemas.openxmlformats.org/officeDocument/2006/relationships/hyperlink" Target="https://books.google.co.uk/books?hl=en&amp;lr=&amp;id=_0epYa1LF8MC&amp;oi=fnd&amp;pg=PA182&amp;dq=mark+bovens+public+accountability&amp;ots=ykrXsivZCh&amp;sig=LZV6JyUhTMW-Vs4Yx_p6JG2uG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39D810-19E9-4C06-9817-172C4B22C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2929D-BA23-4932-8CC8-EDF22D37D445}"/>
</file>

<file path=customXml/itemProps3.xml><?xml version="1.0" encoding="utf-8"?>
<ds:datastoreItem xmlns:ds="http://schemas.openxmlformats.org/officeDocument/2006/customXml" ds:itemID="{EF5CC78B-3E37-412B-AE12-9A83CC5BC0D5}"/>
</file>

<file path=customXml/itemProps4.xml><?xml version="1.0" encoding="utf-8"?>
<ds:datastoreItem xmlns:ds="http://schemas.openxmlformats.org/officeDocument/2006/customXml" ds:itemID="{BAC2543F-ACCB-4E26-B8A3-382BE17FE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Neil Jarman</cp:lastModifiedBy>
  <cp:revision>3</cp:revision>
  <dcterms:created xsi:type="dcterms:W3CDTF">2019-01-30T17:29:00Z</dcterms:created>
  <dcterms:modified xsi:type="dcterms:W3CDTF">2019-02-24T12:54:00Z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