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4326" w14:textId="675B3C6B" w:rsidR="001B7D3B" w:rsidRPr="00F8289A" w:rsidRDefault="00B62E95" w:rsidP="000902AF">
      <w:pPr>
        <w:spacing w:line="360" w:lineRule="auto"/>
        <w:rPr>
          <w:rFonts w:asciiTheme="majorHAnsi" w:hAnsiTheme="majorHAnsi" w:cstheme="majorHAnsi"/>
          <w:sz w:val="20"/>
          <w:szCs w:val="20"/>
          <w:lang w:val="en-GB"/>
        </w:rPr>
      </w:pPr>
      <w:r w:rsidRPr="00F8289A">
        <w:rPr>
          <w:rFonts w:asciiTheme="majorHAnsi" w:hAnsiTheme="majorHAnsi" w:cstheme="majorHAnsi"/>
          <w:noProof/>
          <w:sz w:val="20"/>
          <w:szCs w:val="20"/>
          <w:lang w:val="en-GB" w:eastAsia="en-US"/>
        </w:rPr>
        <w:drawing>
          <wp:anchor distT="0" distB="0" distL="114300" distR="114300" simplePos="0" relativeHeight="251709440" behindDoc="1" locked="0" layoutInCell="1" allowOverlap="1" wp14:anchorId="4AA8E5C8" wp14:editId="6186511A">
            <wp:simplePos x="0" y="0"/>
            <wp:positionH relativeFrom="margin">
              <wp:posOffset>2049780</wp:posOffset>
            </wp:positionH>
            <wp:positionV relativeFrom="margin">
              <wp:posOffset>-827636</wp:posOffset>
            </wp:positionV>
            <wp:extent cx="1620982" cy="1620982"/>
            <wp:effectExtent l="0" t="0" r="0" b="0"/>
            <wp:wrapNone/>
            <wp:docPr id="3" name="Picture 3"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982" cy="16209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289A">
        <w:rPr>
          <w:rFonts w:asciiTheme="majorHAnsi" w:hAnsiTheme="majorHAnsi" w:cstheme="majorHAnsi"/>
          <w:noProof/>
          <w:sz w:val="20"/>
          <w:szCs w:val="20"/>
          <w:lang w:val="en-GB" w:eastAsia="en-US"/>
        </w:rPr>
        <w:drawing>
          <wp:anchor distT="0" distB="0" distL="114300" distR="114300" simplePos="0" relativeHeight="251601920" behindDoc="0" locked="0" layoutInCell="1" allowOverlap="1" wp14:anchorId="02E25959" wp14:editId="0ACFD8D8">
            <wp:simplePos x="0" y="0"/>
            <wp:positionH relativeFrom="margin">
              <wp:posOffset>346480</wp:posOffset>
            </wp:positionH>
            <wp:positionV relativeFrom="page">
              <wp:posOffset>580044</wp:posOffset>
            </wp:positionV>
            <wp:extent cx="1605915" cy="782320"/>
            <wp:effectExtent l="0" t="0" r="0" b="0"/>
            <wp:wrapThrough wrapText="bothSides">
              <wp:wrapPolygon edited="0">
                <wp:start x="4612" y="0"/>
                <wp:lineTo x="2819" y="526"/>
                <wp:lineTo x="0" y="5786"/>
                <wp:lineTo x="0" y="12097"/>
                <wp:lineTo x="769" y="16831"/>
                <wp:lineTo x="3587" y="21039"/>
                <wp:lineTo x="4868" y="21039"/>
                <wp:lineTo x="6149" y="21039"/>
                <wp:lineTo x="7174" y="21039"/>
                <wp:lineTo x="9737" y="17883"/>
                <wp:lineTo x="17680" y="16831"/>
                <wp:lineTo x="21267" y="14201"/>
                <wp:lineTo x="21267" y="3682"/>
                <wp:lineTo x="5893" y="0"/>
                <wp:lineTo x="4612" y="0"/>
              </wp:wrapPolygon>
            </wp:wrapThrough>
            <wp:docPr id="18"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C__logo--8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5915" cy="782320"/>
                    </a:xfrm>
                    <a:prstGeom prst="rect">
                      <a:avLst/>
                    </a:prstGeom>
                  </pic:spPr>
                </pic:pic>
              </a:graphicData>
            </a:graphic>
            <wp14:sizeRelH relativeFrom="margin">
              <wp14:pctWidth>0</wp14:pctWidth>
            </wp14:sizeRelH>
            <wp14:sizeRelV relativeFrom="margin">
              <wp14:pctHeight>0</wp14:pctHeight>
            </wp14:sizeRelV>
          </wp:anchor>
        </w:drawing>
      </w:r>
      <w:r w:rsidRPr="00F8289A">
        <w:rPr>
          <w:rFonts w:asciiTheme="majorHAnsi" w:hAnsiTheme="majorHAnsi" w:cstheme="majorHAnsi"/>
          <w:noProof/>
          <w:sz w:val="20"/>
          <w:szCs w:val="20"/>
          <w:lang w:val="en-GB" w:eastAsia="en-US"/>
        </w:rPr>
        <w:drawing>
          <wp:anchor distT="0" distB="0" distL="114300" distR="114300" simplePos="0" relativeHeight="251772928" behindDoc="0" locked="0" layoutInCell="1" allowOverlap="1" wp14:anchorId="0EB70F91" wp14:editId="67E48848">
            <wp:simplePos x="0" y="0"/>
            <wp:positionH relativeFrom="margin">
              <wp:posOffset>3843886</wp:posOffset>
            </wp:positionH>
            <wp:positionV relativeFrom="margin">
              <wp:posOffset>-388793</wp:posOffset>
            </wp:positionV>
            <wp:extent cx="838200" cy="838200"/>
            <wp:effectExtent l="0" t="0" r="0" b="0"/>
            <wp:wrapSquare wrapText="bothSides"/>
            <wp:docPr id="4" name="Picture 4" descr="Afbeeldingsresultaat voor kadyr kas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kadyr kasi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2B30F" w14:textId="7E42CDF7" w:rsidR="001B7D3B" w:rsidRPr="00F8289A" w:rsidRDefault="001B7D3B" w:rsidP="001B7D3B">
      <w:pPr>
        <w:spacing w:line="360" w:lineRule="auto"/>
        <w:jc w:val="center"/>
        <w:rPr>
          <w:rFonts w:asciiTheme="majorHAnsi" w:hAnsiTheme="majorHAnsi" w:cstheme="majorHAnsi"/>
          <w:sz w:val="20"/>
          <w:szCs w:val="20"/>
          <w:lang w:val="en-GB"/>
        </w:rPr>
      </w:pPr>
    </w:p>
    <w:p w14:paraId="3F95C785" w14:textId="25BE0B62" w:rsidR="00C36CAD" w:rsidRPr="00F8289A" w:rsidRDefault="00B62E95" w:rsidP="00C93A00">
      <w:pPr>
        <w:spacing w:line="360" w:lineRule="auto"/>
        <w:rPr>
          <w:rFonts w:asciiTheme="majorHAnsi" w:hAnsiTheme="majorHAnsi" w:cstheme="majorHAnsi"/>
          <w:sz w:val="20"/>
          <w:szCs w:val="20"/>
          <w:lang w:val="en-GB"/>
        </w:rPr>
      </w:pPr>
      <w:r w:rsidRPr="00F8289A">
        <w:rPr>
          <w:rFonts w:asciiTheme="majorHAnsi" w:hAnsiTheme="majorHAnsi" w:cstheme="majorHAnsi"/>
          <w:noProof/>
          <w:sz w:val="20"/>
          <w:szCs w:val="20"/>
          <w:lang w:val="en-GB" w:eastAsia="en-US"/>
        </w:rPr>
        <w:drawing>
          <wp:anchor distT="0" distB="0" distL="114300" distR="114300" simplePos="0" relativeHeight="251615232" behindDoc="0" locked="0" layoutInCell="1" allowOverlap="1" wp14:anchorId="008C39E2" wp14:editId="3142B120">
            <wp:simplePos x="0" y="0"/>
            <wp:positionH relativeFrom="margin">
              <wp:posOffset>2932083</wp:posOffset>
            </wp:positionH>
            <wp:positionV relativeFrom="margin">
              <wp:posOffset>636674</wp:posOffset>
            </wp:positionV>
            <wp:extent cx="1640205" cy="648335"/>
            <wp:effectExtent l="0" t="0" r="0" b="0"/>
            <wp:wrapSquare wrapText="bothSides"/>
            <wp:docPr id="1" name="Picture 1" descr="https://mhg.ru/sites/all/themes/mh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hg.ru/sites/all/themes/mhg/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648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29705" w14:textId="06C78419" w:rsidR="000902AF" w:rsidRPr="00F8289A" w:rsidRDefault="00B62E95" w:rsidP="001B7D3B">
      <w:pPr>
        <w:spacing w:line="360" w:lineRule="auto"/>
        <w:jc w:val="center"/>
        <w:rPr>
          <w:rFonts w:asciiTheme="majorHAnsi" w:hAnsiTheme="majorHAnsi" w:cstheme="majorHAnsi"/>
          <w:sz w:val="20"/>
          <w:szCs w:val="20"/>
          <w:lang w:val="en-GB"/>
        </w:rPr>
      </w:pPr>
      <w:r w:rsidRPr="00F8289A">
        <w:rPr>
          <w:rFonts w:asciiTheme="majorHAnsi" w:hAnsiTheme="majorHAnsi" w:cstheme="majorHAnsi"/>
          <w:noProof/>
          <w:sz w:val="20"/>
          <w:szCs w:val="20"/>
          <w:lang w:val="en-GB" w:eastAsia="en-US"/>
        </w:rPr>
        <w:drawing>
          <wp:anchor distT="0" distB="0" distL="114300" distR="114300" simplePos="0" relativeHeight="251670528" behindDoc="0" locked="0" layoutInCell="1" allowOverlap="1" wp14:anchorId="459A8AAC" wp14:editId="33F51699">
            <wp:simplePos x="0" y="0"/>
            <wp:positionH relativeFrom="margin">
              <wp:posOffset>1246563</wp:posOffset>
            </wp:positionH>
            <wp:positionV relativeFrom="margin">
              <wp:posOffset>728980</wp:posOffset>
            </wp:positionV>
            <wp:extent cx="1265555"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555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BC4CCC" w14:textId="42A17453" w:rsidR="001B7D3B" w:rsidRPr="00F8289A" w:rsidRDefault="001B7D3B" w:rsidP="001B7D3B">
      <w:pPr>
        <w:spacing w:line="360" w:lineRule="auto"/>
        <w:jc w:val="center"/>
        <w:rPr>
          <w:rFonts w:asciiTheme="majorHAnsi" w:hAnsiTheme="majorHAnsi" w:cstheme="majorHAnsi"/>
          <w:sz w:val="20"/>
          <w:szCs w:val="20"/>
          <w:lang w:val="en-GB"/>
        </w:rPr>
      </w:pPr>
    </w:p>
    <w:p w14:paraId="01EA9D2F" w14:textId="3BF5B32A" w:rsidR="00C93A00" w:rsidRPr="00F8289A" w:rsidRDefault="00C93A00" w:rsidP="001B7D3B">
      <w:pPr>
        <w:spacing w:line="360" w:lineRule="auto"/>
        <w:jc w:val="center"/>
        <w:rPr>
          <w:rFonts w:asciiTheme="majorHAnsi" w:hAnsiTheme="majorHAnsi" w:cstheme="majorHAnsi"/>
          <w:sz w:val="20"/>
          <w:szCs w:val="20"/>
          <w:lang w:val="en-GB"/>
        </w:rPr>
      </w:pPr>
    </w:p>
    <w:p w14:paraId="6E7A202A" w14:textId="0E7E18AE" w:rsidR="007C3FE4" w:rsidRPr="00F8289A" w:rsidRDefault="007C3FE4" w:rsidP="007C3FE4">
      <w:pPr>
        <w:spacing w:line="360" w:lineRule="auto"/>
        <w:rPr>
          <w:rFonts w:asciiTheme="majorHAnsi" w:hAnsiTheme="majorHAnsi" w:cstheme="majorHAnsi"/>
          <w:b/>
          <w:sz w:val="20"/>
          <w:szCs w:val="20"/>
          <w:lang w:val="en-GB"/>
        </w:rPr>
      </w:pPr>
    </w:p>
    <w:p w14:paraId="2F541F4D" w14:textId="77777777" w:rsidR="005C395A" w:rsidRPr="00F8289A" w:rsidRDefault="005C395A" w:rsidP="007C3FE4">
      <w:pPr>
        <w:spacing w:line="360" w:lineRule="auto"/>
        <w:jc w:val="center"/>
        <w:rPr>
          <w:rFonts w:asciiTheme="majorHAnsi" w:hAnsiTheme="majorHAnsi" w:cstheme="majorHAnsi"/>
          <w:b/>
          <w:szCs w:val="20"/>
          <w:lang w:val="en-GB"/>
        </w:rPr>
      </w:pPr>
    </w:p>
    <w:p w14:paraId="47E0AB26" w14:textId="654BFDCA" w:rsidR="004F5FBD" w:rsidRPr="00F8289A" w:rsidRDefault="001B7D3B" w:rsidP="007C3FE4">
      <w:pPr>
        <w:spacing w:line="360" w:lineRule="auto"/>
        <w:jc w:val="center"/>
        <w:rPr>
          <w:rFonts w:asciiTheme="majorHAnsi" w:hAnsiTheme="majorHAnsi" w:cstheme="majorHAnsi"/>
          <w:b/>
          <w:szCs w:val="20"/>
          <w:lang w:val="en-GB"/>
        </w:rPr>
      </w:pPr>
      <w:r w:rsidRPr="00F8289A">
        <w:rPr>
          <w:rFonts w:asciiTheme="majorHAnsi" w:hAnsiTheme="majorHAnsi" w:cstheme="majorHAnsi"/>
          <w:b/>
          <w:szCs w:val="20"/>
          <w:lang w:val="en-GB"/>
        </w:rPr>
        <w:t>WRITTEN CONTRIBUTION TO HALF-DAY GENERAL DISCUSSION</w:t>
      </w:r>
    </w:p>
    <w:p w14:paraId="4DDAFBCF" w14:textId="3DB445A5" w:rsidR="001B7D3B" w:rsidRPr="00F8289A" w:rsidRDefault="001B7D3B" w:rsidP="007C3FE4">
      <w:pPr>
        <w:spacing w:line="360" w:lineRule="auto"/>
        <w:jc w:val="center"/>
        <w:rPr>
          <w:rFonts w:asciiTheme="majorHAnsi" w:hAnsiTheme="majorHAnsi" w:cstheme="majorHAnsi"/>
          <w:b/>
          <w:szCs w:val="20"/>
          <w:lang w:val="en-GB"/>
        </w:rPr>
      </w:pPr>
      <w:r w:rsidRPr="00F8289A">
        <w:rPr>
          <w:rFonts w:asciiTheme="majorHAnsi" w:hAnsiTheme="majorHAnsi" w:cstheme="majorHAnsi"/>
          <w:b/>
          <w:szCs w:val="20"/>
          <w:lang w:val="en-GB"/>
        </w:rPr>
        <w:t>ON ARTICLE 21 OF THE COVENANT</w:t>
      </w:r>
    </w:p>
    <w:p w14:paraId="64FB1BE6" w14:textId="59263BC3" w:rsidR="001B7D3B" w:rsidRPr="00F8289A" w:rsidRDefault="001B7D3B" w:rsidP="001B7D3B">
      <w:pPr>
        <w:spacing w:line="360" w:lineRule="auto"/>
        <w:jc w:val="center"/>
        <w:rPr>
          <w:rFonts w:asciiTheme="majorHAnsi" w:hAnsiTheme="majorHAnsi" w:cstheme="majorHAnsi"/>
          <w:b/>
          <w:sz w:val="20"/>
          <w:szCs w:val="20"/>
          <w:lang w:val="en-GB"/>
        </w:rPr>
      </w:pPr>
    </w:p>
    <w:p w14:paraId="751F7CF3" w14:textId="67C444C4" w:rsidR="005C395A" w:rsidRPr="00F8289A" w:rsidRDefault="00F8289A" w:rsidP="00D156B3">
      <w:pPr>
        <w:spacing w:line="276" w:lineRule="auto"/>
        <w:rPr>
          <w:rFonts w:asciiTheme="majorHAnsi" w:hAnsiTheme="majorHAnsi" w:cstheme="majorHAnsi"/>
          <w:i/>
          <w:sz w:val="22"/>
          <w:szCs w:val="22"/>
          <w:lang w:val="en-GB"/>
        </w:rPr>
      </w:pPr>
      <w:r>
        <w:rPr>
          <w:rFonts w:asciiTheme="majorHAnsi" w:hAnsiTheme="majorHAnsi" w:cstheme="majorHAnsi"/>
          <w:i/>
          <w:sz w:val="22"/>
          <w:szCs w:val="22"/>
          <w:lang w:val="en-GB"/>
        </w:rPr>
        <w:t xml:space="preserve"> </w:t>
      </w:r>
    </w:p>
    <w:p w14:paraId="54A87A7F" w14:textId="6B7B76DE" w:rsidR="001B7D3B" w:rsidRPr="00F8289A" w:rsidRDefault="007B2CF2" w:rsidP="00D156B3">
      <w:pPr>
        <w:spacing w:line="276" w:lineRule="auto"/>
        <w:rPr>
          <w:rFonts w:asciiTheme="majorHAnsi" w:hAnsiTheme="majorHAnsi" w:cstheme="majorHAnsi"/>
          <w:i/>
          <w:sz w:val="22"/>
          <w:szCs w:val="22"/>
          <w:lang w:val="en-GB"/>
        </w:rPr>
      </w:pPr>
      <w:r w:rsidRPr="00F8289A">
        <w:rPr>
          <w:rFonts w:asciiTheme="majorHAnsi" w:hAnsiTheme="majorHAnsi" w:cstheme="majorHAnsi"/>
          <w:i/>
          <w:sz w:val="22"/>
          <w:szCs w:val="22"/>
          <w:lang w:val="en-GB"/>
        </w:rPr>
        <w:t xml:space="preserve"> </w:t>
      </w:r>
      <w:r w:rsidR="00F8289A">
        <w:rPr>
          <w:rFonts w:asciiTheme="majorHAnsi" w:hAnsiTheme="majorHAnsi" w:cstheme="majorHAnsi"/>
          <w:i/>
          <w:sz w:val="22"/>
          <w:szCs w:val="22"/>
          <w:lang w:val="en-GB"/>
        </w:rPr>
        <w:t>1</w:t>
      </w:r>
      <w:r w:rsidR="001B7D3B" w:rsidRPr="00F8289A">
        <w:rPr>
          <w:rFonts w:asciiTheme="majorHAnsi" w:hAnsiTheme="majorHAnsi" w:cstheme="majorHAnsi"/>
          <w:i/>
          <w:sz w:val="22"/>
          <w:szCs w:val="22"/>
          <w:lang w:val="en-GB"/>
        </w:rPr>
        <w:t xml:space="preserve"> March 2019</w:t>
      </w:r>
      <w:r w:rsidR="001B7D3B" w:rsidRPr="00F8289A">
        <w:rPr>
          <w:rFonts w:asciiTheme="majorHAnsi" w:hAnsiTheme="majorHAnsi" w:cstheme="majorHAnsi"/>
          <w:i/>
          <w:sz w:val="22"/>
          <w:szCs w:val="22"/>
          <w:lang w:val="en-GB"/>
        </w:rPr>
        <w:tab/>
      </w:r>
      <w:r w:rsidR="001B7D3B" w:rsidRPr="00F8289A">
        <w:rPr>
          <w:rFonts w:asciiTheme="majorHAnsi" w:hAnsiTheme="majorHAnsi" w:cstheme="majorHAnsi"/>
          <w:i/>
          <w:sz w:val="22"/>
          <w:szCs w:val="22"/>
          <w:lang w:val="en-GB"/>
        </w:rPr>
        <w:tab/>
      </w:r>
      <w:r w:rsidR="001B7D3B" w:rsidRPr="00F8289A">
        <w:rPr>
          <w:rFonts w:asciiTheme="majorHAnsi" w:hAnsiTheme="majorHAnsi" w:cstheme="majorHAnsi"/>
          <w:i/>
          <w:sz w:val="22"/>
          <w:szCs w:val="22"/>
          <w:lang w:val="en-GB"/>
        </w:rPr>
        <w:tab/>
      </w:r>
      <w:r w:rsidR="001B7D3B" w:rsidRPr="00F8289A">
        <w:rPr>
          <w:rFonts w:asciiTheme="majorHAnsi" w:hAnsiTheme="majorHAnsi" w:cstheme="majorHAnsi"/>
          <w:i/>
          <w:sz w:val="22"/>
          <w:szCs w:val="22"/>
          <w:lang w:val="en-GB"/>
        </w:rPr>
        <w:tab/>
      </w:r>
      <w:r w:rsidR="003B3427" w:rsidRPr="00F8289A">
        <w:rPr>
          <w:rFonts w:asciiTheme="majorHAnsi" w:hAnsiTheme="majorHAnsi" w:cstheme="majorHAnsi"/>
          <w:i/>
          <w:sz w:val="22"/>
          <w:szCs w:val="22"/>
          <w:lang w:val="en-GB"/>
        </w:rPr>
        <w:t xml:space="preserve">                                       </w:t>
      </w:r>
      <w:r w:rsidR="00F8289A">
        <w:rPr>
          <w:rFonts w:asciiTheme="majorHAnsi" w:hAnsiTheme="majorHAnsi" w:cstheme="majorHAnsi"/>
          <w:i/>
          <w:sz w:val="22"/>
          <w:szCs w:val="22"/>
          <w:lang w:val="en-GB"/>
        </w:rPr>
        <w:t xml:space="preserve">       </w:t>
      </w:r>
      <w:r w:rsidR="003B3427" w:rsidRPr="00F8289A">
        <w:rPr>
          <w:rFonts w:asciiTheme="majorHAnsi" w:hAnsiTheme="majorHAnsi" w:cstheme="majorHAnsi"/>
          <w:i/>
          <w:sz w:val="22"/>
          <w:szCs w:val="22"/>
          <w:lang w:val="en-GB"/>
        </w:rPr>
        <w:t xml:space="preserve"> </w:t>
      </w:r>
      <w:r w:rsidR="007C3FE4" w:rsidRPr="00F8289A">
        <w:rPr>
          <w:rFonts w:asciiTheme="majorHAnsi" w:hAnsiTheme="majorHAnsi" w:cstheme="majorHAnsi"/>
          <w:i/>
          <w:sz w:val="22"/>
          <w:szCs w:val="22"/>
          <w:lang w:val="en-GB"/>
        </w:rPr>
        <w:t xml:space="preserve">    </w:t>
      </w:r>
      <w:r w:rsidR="00D20042" w:rsidRPr="00F8289A">
        <w:rPr>
          <w:rFonts w:asciiTheme="majorHAnsi" w:hAnsiTheme="majorHAnsi" w:cstheme="majorHAnsi"/>
          <w:i/>
          <w:sz w:val="22"/>
          <w:szCs w:val="22"/>
          <w:lang w:val="en-GB"/>
        </w:rPr>
        <w:t xml:space="preserve">         </w:t>
      </w:r>
      <w:r w:rsidR="001B7D3B" w:rsidRPr="00F8289A">
        <w:rPr>
          <w:rFonts w:asciiTheme="majorHAnsi" w:hAnsiTheme="majorHAnsi" w:cstheme="majorHAnsi"/>
          <w:i/>
          <w:sz w:val="22"/>
          <w:szCs w:val="22"/>
          <w:lang w:val="en-GB"/>
        </w:rPr>
        <w:t>The Hague, the Netherlands</w:t>
      </w:r>
    </w:p>
    <w:p w14:paraId="23FBDEE1" w14:textId="77777777" w:rsidR="007C3FE4" w:rsidRPr="00F8289A" w:rsidRDefault="007C3FE4" w:rsidP="00D156B3">
      <w:pPr>
        <w:spacing w:line="276" w:lineRule="auto"/>
        <w:jc w:val="center"/>
        <w:rPr>
          <w:rFonts w:asciiTheme="majorHAnsi" w:hAnsiTheme="majorHAnsi" w:cstheme="majorHAnsi"/>
          <w:sz w:val="22"/>
          <w:szCs w:val="22"/>
          <w:u w:val="single"/>
          <w:lang w:val="en-GB"/>
        </w:rPr>
      </w:pPr>
    </w:p>
    <w:p w14:paraId="5E70474E" w14:textId="6FB59401" w:rsidR="001B7D3B" w:rsidRPr="00F8289A" w:rsidRDefault="001B7D3B" w:rsidP="00D156B3">
      <w:pPr>
        <w:spacing w:line="276" w:lineRule="auto"/>
        <w:jc w:val="center"/>
        <w:rPr>
          <w:rFonts w:asciiTheme="majorHAnsi" w:hAnsiTheme="majorHAnsi" w:cstheme="majorHAnsi"/>
          <w:sz w:val="22"/>
          <w:szCs w:val="22"/>
          <w:u w:val="single"/>
          <w:lang w:val="en-GB"/>
        </w:rPr>
      </w:pPr>
      <w:r w:rsidRPr="00F8289A">
        <w:rPr>
          <w:rFonts w:asciiTheme="majorHAnsi" w:hAnsiTheme="majorHAnsi" w:cstheme="majorHAnsi"/>
          <w:sz w:val="22"/>
          <w:szCs w:val="22"/>
          <w:u w:val="single"/>
          <w:lang w:val="en-GB"/>
        </w:rPr>
        <w:t>Introduction</w:t>
      </w:r>
    </w:p>
    <w:p w14:paraId="146C6E21" w14:textId="5810B88E" w:rsidR="001B7D3B" w:rsidRPr="00F8289A" w:rsidRDefault="001B7D3B" w:rsidP="00D156B3">
      <w:pPr>
        <w:spacing w:line="276" w:lineRule="auto"/>
        <w:jc w:val="both"/>
        <w:rPr>
          <w:rFonts w:asciiTheme="majorHAnsi" w:hAnsiTheme="majorHAnsi" w:cstheme="majorHAnsi"/>
          <w:sz w:val="22"/>
          <w:szCs w:val="22"/>
          <w:lang w:val="en-GB"/>
        </w:rPr>
      </w:pPr>
    </w:p>
    <w:p w14:paraId="29FBBD0D" w14:textId="2BC086FF" w:rsidR="00C36CAD" w:rsidRPr="00F8289A" w:rsidRDefault="00C36CAD"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Netherlands Helsinki Committee (The Hague), Moscow Helsinki Group (Moscow), </w:t>
      </w:r>
      <w:proofErr w:type="spellStart"/>
      <w:r w:rsidRPr="00F8289A">
        <w:rPr>
          <w:rFonts w:asciiTheme="majorHAnsi" w:hAnsiTheme="majorHAnsi" w:cstheme="majorHAnsi"/>
          <w:sz w:val="22"/>
          <w:szCs w:val="22"/>
          <w:lang w:val="en-GB"/>
        </w:rPr>
        <w:t>Kadyr</w:t>
      </w:r>
      <w:proofErr w:type="spellEnd"/>
      <w:r w:rsidRPr="00F8289A">
        <w:rPr>
          <w:rFonts w:asciiTheme="majorHAnsi" w:hAnsiTheme="majorHAnsi" w:cstheme="majorHAnsi"/>
          <w:sz w:val="22"/>
          <w:szCs w:val="22"/>
          <w:lang w:val="en-GB"/>
        </w:rPr>
        <w:t xml:space="preserve"> </w:t>
      </w:r>
      <w:proofErr w:type="spellStart"/>
      <w:r w:rsidRPr="00F8289A">
        <w:rPr>
          <w:rFonts w:asciiTheme="majorHAnsi" w:hAnsiTheme="majorHAnsi" w:cstheme="majorHAnsi"/>
          <w:sz w:val="22"/>
          <w:szCs w:val="22"/>
          <w:lang w:val="en-GB"/>
        </w:rPr>
        <w:t>Kasiet</w:t>
      </w:r>
      <w:proofErr w:type="spellEnd"/>
      <w:r w:rsidRPr="00F8289A">
        <w:rPr>
          <w:rFonts w:asciiTheme="majorHAnsi" w:hAnsiTheme="majorHAnsi" w:cstheme="majorHAnsi"/>
          <w:sz w:val="22"/>
          <w:szCs w:val="22"/>
          <w:lang w:val="en-GB"/>
        </w:rPr>
        <w:t xml:space="preserve"> (Astana), Association for Monitoring Equal Rights (Istanbul) and Human Rights Club (Baku) are a coalition of civil society partners (Coalition) that work to reinforce activities in human rights protection and upholding </w:t>
      </w:r>
      <w:r w:rsidR="00942574" w:rsidRPr="00F8289A">
        <w:rPr>
          <w:rFonts w:asciiTheme="majorHAnsi" w:hAnsiTheme="majorHAnsi" w:cstheme="majorHAnsi"/>
          <w:sz w:val="22"/>
          <w:szCs w:val="22"/>
          <w:lang w:val="en-GB"/>
        </w:rPr>
        <w:t xml:space="preserve">the </w:t>
      </w:r>
      <w:r w:rsidRPr="00F8289A">
        <w:rPr>
          <w:rFonts w:asciiTheme="majorHAnsi" w:hAnsiTheme="majorHAnsi" w:cstheme="majorHAnsi"/>
          <w:sz w:val="22"/>
          <w:szCs w:val="22"/>
          <w:lang w:val="en-GB"/>
        </w:rPr>
        <w:t xml:space="preserve">rule of law, with </w:t>
      </w:r>
      <w:proofErr w:type="gramStart"/>
      <w:r w:rsidRPr="00F8289A">
        <w:rPr>
          <w:rFonts w:asciiTheme="majorHAnsi" w:hAnsiTheme="majorHAnsi" w:cstheme="majorHAnsi"/>
          <w:sz w:val="22"/>
          <w:szCs w:val="22"/>
          <w:lang w:val="en-GB"/>
        </w:rPr>
        <w:t>particular attention</w:t>
      </w:r>
      <w:proofErr w:type="gramEnd"/>
      <w:r w:rsidRPr="00F8289A">
        <w:rPr>
          <w:rFonts w:asciiTheme="majorHAnsi" w:hAnsiTheme="majorHAnsi" w:cstheme="majorHAnsi"/>
          <w:sz w:val="22"/>
          <w:szCs w:val="22"/>
          <w:lang w:val="en-GB"/>
        </w:rPr>
        <w:t xml:space="preserve"> to </w:t>
      </w:r>
      <w:r w:rsidR="005606CF" w:rsidRPr="00F8289A">
        <w:rPr>
          <w:rFonts w:asciiTheme="majorHAnsi" w:hAnsiTheme="majorHAnsi" w:cstheme="majorHAnsi"/>
          <w:sz w:val="22"/>
          <w:szCs w:val="22"/>
          <w:lang w:val="en-GB"/>
        </w:rPr>
        <w:t>support</w:t>
      </w:r>
      <w:r w:rsidRPr="00F8289A">
        <w:rPr>
          <w:rFonts w:asciiTheme="majorHAnsi" w:hAnsiTheme="majorHAnsi" w:cstheme="majorHAnsi"/>
          <w:sz w:val="22"/>
          <w:szCs w:val="22"/>
          <w:lang w:val="en-GB"/>
        </w:rPr>
        <w:t xml:space="preserve"> to human rights defenders.</w:t>
      </w:r>
    </w:p>
    <w:p w14:paraId="39905FAF" w14:textId="77777777" w:rsidR="00C36CAD" w:rsidRPr="00F8289A" w:rsidRDefault="00C36CAD"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The Coalition applauds the initiative of the Human Rights Committee (Committee) to draft General Comment no. 37 - its first ever General Comment on Article 21 of the International Covenant on Civil and Political Rights (Covenant) which protects the right of peaceful assembly. </w:t>
      </w:r>
    </w:p>
    <w:p w14:paraId="72B38CBF" w14:textId="4B7BF54A" w:rsidR="00C36CAD" w:rsidRPr="00F8289A" w:rsidRDefault="00C36CAD"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This contribution reflects </w:t>
      </w:r>
      <w:r w:rsidR="00F14AB6" w:rsidRPr="00F8289A">
        <w:rPr>
          <w:rFonts w:asciiTheme="majorHAnsi" w:hAnsiTheme="majorHAnsi" w:cstheme="majorHAnsi"/>
          <w:sz w:val="22"/>
          <w:szCs w:val="22"/>
          <w:lang w:val="en-GB"/>
        </w:rPr>
        <w:t xml:space="preserve">the </w:t>
      </w:r>
      <w:r w:rsidRPr="00F8289A">
        <w:rPr>
          <w:rFonts w:asciiTheme="majorHAnsi" w:hAnsiTheme="majorHAnsi" w:cstheme="majorHAnsi"/>
          <w:sz w:val="22"/>
          <w:szCs w:val="22"/>
          <w:lang w:val="en-GB"/>
        </w:rPr>
        <w:t xml:space="preserve">day-to-day experience of human rights defenders in countries in the region of the Organization for Security and Cooperation in Europe (OSCE region). It </w:t>
      </w:r>
      <w:proofErr w:type="gramStart"/>
      <w:r w:rsidRPr="00F8289A">
        <w:rPr>
          <w:rFonts w:asciiTheme="majorHAnsi" w:hAnsiTheme="majorHAnsi" w:cstheme="majorHAnsi"/>
          <w:sz w:val="22"/>
          <w:szCs w:val="22"/>
          <w:lang w:val="en-GB"/>
        </w:rPr>
        <w:t>takes into account</w:t>
      </w:r>
      <w:proofErr w:type="gramEnd"/>
      <w:r w:rsidRPr="00F8289A">
        <w:rPr>
          <w:rFonts w:asciiTheme="majorHAnsi" w:hAnsiTheme="majorHAnsi" w:cstheme="majorHAnsi"/>
          <w:sz w:val="22"/>
          <w:szCs w:val="22"/>
          <w:lang w:val="en-GB"/>
        </w:rPr>
        <w:t xml:space="preserve"> monitoring results on the ground in various jurisdictions of the OSCE region.</w:t>
      </w:r>
    </w:p>
    <w:p w14:paraId="7663194F" w14:textId="6D7DFD1C" w:rsidR="001B7D3B" w:rsidRPr="00F8289A" w:rsidRDefault="00D43D94"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We pay due consideration to the well-thought</w:t>
      </w:r>
      <w:r w:rsidR="001B7D3B" w:rsidRPr="00F8289A">
        <w:rPr>
          <w:rFonts w:asciiTheme="majorHAnsi" w:hAnsiTheme="majorHAnsi" w:cstheme="majorHAnsi"/>
          <w:sz w:val="22"/>
          <w:szCs w:val="22"/>
          <w:lang w:val="en-GB"/>
        </w:rPr>
        <w:t xml:space="preserve"> list of questions put together by </w:t>
      </w:r>
      <w:r w:rsidRPr="00F8289A">
        <w:rPr>
          <w:rFonts w:asciiTheme="majorHAnsi" w:hAnsiTheme="majorHAnsi" w:cstheme="majorHAnsi"/>
          <w:sz w:val="22"/>
          <w:szCs w:val="22"/>
          <w:lang w:val="en-GB"/>
        </w:rPr>
        <w:t xml:space="preserve">Professor Christof </w:t>
      </w:r>
      <w:proofErr w:type="spellStart"/>
      <w:r w:rsidRPr="00F8289A">
        <w:rPr>
          <w:rFonts w:asciiTheme="majorHAnsi" w:hAnsiTheme="majorHAnsi" w:cstheme="majorHAnsi"/>
          <w:sz w:val="22"/>
          <w:szCs w:val="22"/>
          <w:lang w:val="en-GB"/>
        </w:rPr>
        <w:t>Heyns</w:t>
      </w:r>
      <w:proofErr w:type="spellEnd"/>
      <w:r w:rsidRPr="00F8289A">
        <w:rPr>
          <w:rFonts w:asciiTheme="majorHAnsi" w:hAnsiTheme="majorHAnsi" w:cstheme="majorHAnsi"/>
          <w:sz w:val="22"/>
          <w:szCs w:val="22"/>
          <w:lang w:val="en-GB"/>
        </w:rPr>
        <w:t>, Special Rapporteur of the Committee, in his Note. Although this contribution is in no way comprehensive and does not contain position</w:t>
      </w:r>
      <w:r w:rsidR="00F14AB6" w:rsidRPr="00F8289A">
        <w:rPr>
          <w:rFonts w:asciiTheme="majorHAnsi" w:hAnsiTheme="majorHAnsi" w:cstheme="majorHAnsi"/>
          <w:sz w:val="22"/>
          <w:szCs w:val="22"/>
          <w:lang w:val="en-GB"/>
        </w:rPr>
        <w:t>s</w:t>
      </w:r>
      <w:r w:rsidRPr="00F8289A">
        <w:rPr>
          <w:rFonts w:asciiTheme="majorHAnsi" w:hAnsiTheme="majorHAnsi" w:cstheme="majorHAnsi"/>
          <w:sz w:val="22"/>
          <w:szCs w:val="22"/>
          <w:lang w:val="en-GB"/>
        </w:rPr>
        <w:t xml:space="preserve"> on all issues raised by the Special Rapporteur in his Note, </w:t>
      </w:r>
      <w:r w:rsidR="009A39D6" w:rsidRPr="00F8289A">
        <w:rPr>
          <w:rFonts w:asciiTheme="majorHAnsi" w:hAnsiTheme="majorHAnsi" w:cstheme="majorHAnsi"/>
          <w:sz w:val="22"/>
          <w:szCs w:val="22"/>
          <w:lang w:val="en-GB"/>
        </w:rPr>
        <w:t>references</w:t>
      </w:r>
      <w:r w:rsidRPr="00F8289A">
        <w:rPr>
          <w:rFonts w:asciiTheme="majorHAnsi" w:hAnsiTheme="majorHAnsi" w:cstheme="majorHAnsi"/>
          <w:sz w:val="22"/>
          <w:szCs w:val="22"/>
          <w:lang w:val="en-GB"/>
        </w:rPr>
        <w:t xml:space="preserve"> to that document</w:t>
      </w:r>
      <w:r w:rsidR="009A39D6" w:rsidRPr="00F8289A">
        <w:rPr>
          <w:rFonts w:asciiTheme="majorHAnsi" w:hAnsiTheme="majorHAnsi" w:cstheme="majorHAnsi"/>
          <w:sz w:val="22"/>
          <w:szCs w:val="22"/>
          <w:lang w:val="en-GB"/>
        </w:rPr>
        <w:t xml:space="preserve"> are made</w:t>
      </w:r>
      <w:r w:rsidRPr="00F8289A">
        <w:rPr>
          <w:rFonts w:asciiTheme="majorHAnsi" w:hAnsiTheme="majorHAnsi" w:cstheme="majorHAnsi"/>
          <w:sz w:val="22"/>
          <w:szCs w:val="22"/>
          <w:lang w:val="en-GB"/>
        </w:rPr>
        <w:t xml:space="preserve"> where appropriate.</w:t>
      </w:r>
    </w:p>
    <w:p w14:paraId="52CEE382" w14:textId="20B17FF7" w:rsidR="00492B05" w:rsidRPr="00F8289A" w:rsidRDefault="00D43D94"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Peaceful protest remains one of the </w:t>
      </w:r>
      <w:r w:rsidR="00A71231" w:rsidRPr="00F8289A">
        <w:rPr>
          <w:rFonts w:asciiTheme="majorHAnsi" w:hAnsiTheme="majorHAnsi" w:cstheme="majorHAnsi"/>
          <w:sz w:val="22"/>
          <w:szCs w:val="22"/>
          <w:lang w:val="en-GB"/>
        </w:rPr>
        <w:t>core</w:t>
      </w:r>
      <w:r w:rsidRPr="00F8289A">
        <w:rPr>
          <w:rFonts w:asciiTheme="majorHAnsi" w:hAnsiTheme="majorHAnsi" w:cstheme="majorHAnsi"/>
          <w:sz w:val="22"/>
          <w:szCs w:val="22"/>
          <w:lang w:val="en-GB"/>
        </w:rPr>
        <w:t xml:space="preserve"> human rights. It is par</w:t>
      </w:r>
      <w:r w:rsidR="004703F4" w:rsidRPr="00F8289A">
        <w:rPr>
          <w:rFonts w:asciiTheme="majorHAnsi" w:hAnsiTheme="majorHAnsi" w:cstheme="majorHAnsi"/>
          <w:sz w:val="22"/>
          <w:szCs w:val="22"/>
          <w:lang w:val="en-GB"/>
        </w:rPr>
        <w:t>ticularly relevant for</w:t>
      </w:r>
      <w:r w:rsidRPr="00F8289A">
        <w:rPr>
          <w:rFonts w:asciiTheme="majorHAnsi" w:hAnsiTheme="majorHAnsi" w:cstheme="majorHAnsi"/>
          <w:sz w:val="22"/>
          <w:szCs w:val="22"/>
          <w:lang w:val="en-GB"/>
        </w:rPr>
        <w:t xml:space="preserve"> those groups of s</w:t>
      </w:r>
      <w:r w:rsidR="004703F4" w:rsidRPr="00F8289A">
        <w:rPr>
          <w:rFonts w:asciiTheme="majorHAnsi" w:hAnsiTheme="majorHAnsi" w:cstheme="majorHAnsi"/>
          <w:sz w:val="22"/>
          <w:szCs w:val="22"/>
          <w:lang w:val="en-GB"/>
        </w:rPr>
        <w:t>ociety who do not have</w:t>
      </w:r>
      <w:r w:rsidRPr="00F8289A">
        <w:rPr>
          <w:rFonts w:asciiTheme="majorHAnsi" w:hAnsiTheme="majorHAnsi" w:cstheme="majorHAnsi"/>
          <w:sz w:val="22"/>
          <w:szCs w:val="22"/>
          <w:lang w:val="en-GB"/>
        </w:rPr>
        <w:t xml:space="preserve"> access to other means of expression. As the Constitutional Court of South Africa</w:t>
      </w:r>
      <w:r w:rsidR="00A71231" w:rsidRPr="00F8289A">
        <w:rPr>
          <w:rFonts w:asciiTheme="majorHAnsi" w:hAnsiTheme="majorHAnsi" w:cstheme="majorHAnsi"/>
          <w:sz w:val="22"/>
          <w:szCs w:val="22"/>
          <w:lang w:val="en-GB"/>
        </w:rPr>
        <w:t xml:space="preserve"> recently</w:t>
      </w:r>
      <w:r w:rsidRPr="00F8289A">
        <w:rPr>
          <w:rFonts w:asciiTheme="majorHAnsi" w:hAnsiTheme="majorHAnsi" w:cstheme="majorHAnsi"/>
          <w:sz w:val="22"/>
          <w:szCs w:val="22"/>
          <w:lang w:val="en-GB"/>
        </w:rPr>
        <w:t xml:space="preserve"> put it, “</w:t>
      </w:r>
      <w:r w:rsidR="004703F4" w:rsidRPr="00F8289A">
        <w:rPr>
          <w:rFonts w:asciiTheme="majorHAnsi" w:hAnsiTheme="majorHAnsi" w:cstheme="majorHAnsi"/>
          <w:sz w:val="22"/>
          <w:szCs w:val="22"/>
          <w:lang w:val="en-GB"/>
        </w:rPr>
        <w:t>[p]</w:t>
      </w:r>
      <w:proofErr w:type="spellStart"/>
      <w:r w:rsidR="004703F4" w:rsidRPr="00F8289A">
        <w:rPr>
          <w:rFonts w:asciiTheme="majorHAnsi" w:hAnsiTheme="majorHAnsi" w:cstheme="majorHAnsi"/>
          <w:sz w:val="22"/>
          <w:szCs w:val="22"/>
          <w:lang w:val="en-GB"/>
        </w:rPr>
        <w:t>eople</w:t>
      </w:r>
      <w:proofErr w:type="spellEnd"/>
      <w:r w:rsidR="004703F4" w:rsidRPr="00F8289A">
        <w:rPr>
          <w:rFonts w:asciiTheme="majorHAnsi" w:hAnsiTheme="majorHAnsi" w:cstheme="majorHAnsi"/>
          <w:sz w:val="22"/>
          <w:szCs w:val="22"/>
          <w:lang w:val="en-GB"/>
        </w:rPr>
        <w:t xml:space="preserve"> who lack political and economic power have only protests as a tool to communicate their legitimate concerns” (</w:t>
      </w:r>
      <w:proofErr w:type="spellStart"/>
      <w:r w:rsidR="004703F4" w:rsidRPr="00F8289A">
        <w:rPr>
          <w:rFonts w:asciiTheme="majorHAnsi" w:hAnsiTheme="majorHAnsi" w:cstheme="majorHAnsi"/>
          <w:i/>
          <w:sz w:val="22"/>
          <w:szCs w:val="22"/>
          <w:lang w:val="en-GB"/>
        </w:rPr>
        <w:t>Mlungwana</w:t>
      </w:r>
      <w:proofErr w:type="spellEnd"/>
      <w:r w:rsidR="004703F4" w:rsidRPr="00F8289A">
        <w:rPr>
          <w:rFonts w:asciiTheme="majorHAnsi" w:hAnsiTheme="majorHAnsi" w:cstheme="majorHAnsi"/>
          <w:i/>
          <w:sz w:val="22"/>
          <w:szCs w:val="22"/>
          <w:lang w:val="en-GB"/>
        </w:rPr>
        <w:t xml:space="preserve"> and Others v. The State and Another</w:t>
      </w:r>
      <w:r w:rsidR="004703F4" w:rsidRPr="00F8289A">
        <w:rPr>
          <w:rFonts w:asciiTheme="majorHAnsi" w:hAnsiTheme="majorHAnsi" w:cstheme="majorHAnsi"/>
          <w:sz w:val="22"/>
          <w:szCs w:val="22"/>
          <w:lang w:val="en-GB"/>
        </w:rPr>
        <w:t>, [2018] ZACC 45, § 69).</w:t>
      </w:r>
    </w:p>
    <w:p w14:paraId="1B51A43E" w14:textId="54AD3214" w:rsidR="00A71231" w:rsidRPr="00F8289A" w:rsidRDefault="00492B05" w:rsidP="00492B05">
      <w:pPr>
        <w:rPr>
          <w:rFonts w:asciiTheme="majorHAnsi" w:hAnsiTheme="majorHAnsi" w:cstheme="majorHAnsi"/>
          <w:sz w:val="22"/>
          <w:szCs w:val="22"/>
          <w:lang w:val="en-GB"/>
        </w:rPr>
      </w:pPr>
      <w:r w:rsidRPr="00F8289A">
        <w:rPr>
          <w:rFonts w:asciiTheme="majorHAnsi" w:hAnsiTheme="majorHAnsi" w:cstheme="majorHAnsi"/>
          <w:sz w:val="22"/>
          <w:szCs w:val="22"/>
          <w:lang w:val="en-GB"/>
        </w:rPr>
        <w:br w:type="page"/>
      </w:r>
    </w:p>
    <w:p w14:paraId="65FADD26" w14:textId="77777777" w:rsidR="001B7D3B" w:rsidRPr="00F8289A" w:rsidRDefault="001B7D3B" w:rsidP="00D156B3">
      <w:pPr>
        <w:spacing w:line="276" w:lineRule="auto"/>
        <w:jc w:val="center"/>
        <w:rPr>
          <w:rFonts w:asciiTheme="majorHAnsi" w:hAnsiTheme="majorHAnsi" w:cstheme="majorHAnsi"/>
          <w:sz w:val="22"/>
          <w:szCs w:val="22"/>
          <w:u w:val="single"/>
          <w:lang w:val="en-GB"/>
        </w:rPr>
      </w:pPr>
      <w:r w:rsidRPr="00F8289A">
        <w:rPr>
          <w:rFonts w:asciiTheme="majorHAnsi" w:hAnsiTheme="majorHAnsi" w:cstheme="majorHAnsi"/>
          <w:sz w:val="22"/>
          <w:szCs w:val="22"/>
          <w:u w:val="single"/>
          <w:lang w:val="en-GB"/>
        </w:rPr>
        <w:lastRenderedPageBreak/>
        <w:t>Criminalization of participation in peaceful protest</w:t>
      </w:r>
    </w:p>
    <w:p w14:paraId="6736E90E" w14:textId="77777777" w:rsidR="0062158C" w:rsidRPr="00F8289A" w:rsidRDefault="0062158C" w:rsidP="00D156B3">
      <w:pPr>
        <w:spacing w:line="276" w:lineRule="auto"/>
        <w:jc w:val="center"/>
        <w:rPr>
          <w:rFonts w:asciiTheme="majorHAnsi" w:hAnsiTheme="majorHAnsi" w:cstheme="majorHAnsi"/>
          <w:sz w:val="22"/>
          <w:szCs w:val="22"/>
          <w:lang w:val="en-GB"/>
        </w:rPr>
      </w:pPr>
    </w:p>
    <w:p w14:paraId="6402DC5C" w14:textId="52784AB5" w:rsidR="004703F4" w:rsidRPr="00F8289A" w:rsidRDefault="0062158C"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There is </w:t>
      </w:r>
      <w:r w:rsidR="00F14AB6" w:rsidRPr="00F8289A">
        <w:rPr>
          <w:rFonts w:asciiTheme="majorHAnsi" w:hAnsiTheme="majorHAnsi" w:cstheme="majorHAnsi"/>
          <w:sz w:val="22"/>
          <w:szCs w:val="22"/>
          <w:lang w:val="en-GB"/>
        </w:rPr>
        <w:t xml:space="preserve">an </w:t>
      </w:r>
      <w:r w:rsidRPr="00F8289A">
        <w:rPr>
          <w:rFonts w:asciiTheme="majorHAnsi" w:hAnsiTheme="majorHAnsi" w:cstheme="majorHAnsi"/>
          <w:sz w:val="22"/>
          <w:szCs w:val="22"/>
          <w:lang w:val="en-GB"/>
        </w:rPr>
        <w:t xml:space="preserve">ongoing worrying trend of </w:t>
      </w:r>
      <w:r w:rsidR="00F14AB6" w:rsidRPr="00F8289A">
        <w:rPr>
          <w:rFonts w:asciiTheme="majorHAnsi" w:hAnsiTheme="majorHAnsi" w:cstheme="majorHAnsi"/>
          <w:sz w:val="22"/>
          <w:szCs w:val="22"/>
          <w:lang w:val="en-GB"/>
        </w:rPr>
        <w:t xml:space="preserve">the </w:t>
      </w:r>
      <w:r w:rsidRPr="00F8289A">
        <w:rPr>
          <w:rFonts w:asciiTheme="majorHAnsi" w:hAnsiTheme="majorHAnsi" w:cstheme="majorHAnsi"/>
          <w:sz w:val="22"/>
          <w:szCs w:val="22"/>
          <w:lang w:val="en-GB"/>
        </w:rPr>
        <w:t>criminalization of participation in peaceful protests as such. Under various pretexts</w:t>
      </w:r>
      <w:r w:rsidR="007A2C2F" w:rsidRPr="00F8289A">
        <w:rPr>
          <w:rFonts w:asciiTheme="majorHAnsi" w:hAnsiTheme="majorHAnsi" w:cstheme="majorHAnsi"/>
          <w:sz w:val="22"/>
          <w:szCs w:val="22"/>
          <w:lang w:val="en-GB"/>
        </w:rPr>
        <w:t>—</w:t>
      </w:r>
      <w:r w:rsidRPr="00F8289A">
        <w:rPr>
          <w:rFonts w:asciiTheme="majorHAnsi" w:hAnsiTheme="majorHAnsi" w:cstheme="majorHAnsi"/>
          <w:sz w:val="22"/>
          <w:szCs w:val="22"/>
          <w:lang w:val="en-GB"/>
        </w:rPr>
        <w:t xml:space="preserve"> such as </w:t>
      </w:r>
      <w:r w:rsidR="007A2C2F" w:rsidRPr="00F8289A">
        <w:rPr>
          <w:rFonts w:asciiTheme="majorHAnsi" w:hAnsiTheme="majorHAnsi" w:cstheme="majorHAnsi"/>
          <w:sz w:val="22"/>
          <w:szCs w:val="22"/>
          <w:lang w:val="en-GB"/>
        </w:rPr>
        <w:t xml:space="preserve">the </w:t>
      </w:r>
      <w:r w:rsidRPr="00F8289A">
        <w:rPr>
          <w:rFonts w:asciiTheme="majorHAnsi" w:hAnsiTheme="majorHAnsi" w:cstheme="majorHAnsi"/>
          <w:sz w:val="22"/>
          <w:szCs w:val="22"/>
          <w:lang w:val="en-GB"/>
        </w:rPr>
        <w:t xml:space="preserve">establishment of onerous notification requirements and </w:t>
      </w:r>
      <w:r w:rsidR="007A2C2F" w:rsidRPr="00F8289A">
        <w:rPr>
          <w:rFonts w:asciiTheme="majorHAnsi" w:hAnsiTheme="majorHAnsi" w:cstheme="majorHAnsi"/>
          <w:sz w:val="22"/>
          <w:szCs w:val="22"/>
          <w:lang w:val="en-GB"/>
        </w:rPr>
        <w:t xml:space="preserve">the </w:t>
      </w:r>
      <w:r w:rsidRPr="00F8289A">
        <w:rPr>
          <w:rFonts w:asciiTheme="majorHAnsi" w:hAnsiTheme="majorHAnsi" w:cstheme="majorHAnsi"/>
          <w:sz w:val="22"/>
          <w:szCs w:val="22"/>
          <w:lang w:val="en-GB"/>
        </w:rPr>
        <w:t>provision of criminal responsibility for the failure to comply with those requirements</w:t>
      </w:r>
      <w:r w:rsidR="007A2C2F" w:rsidRPr="00F8289A">
        <w:rPr>
          <w:rFonts w:asciiTheme="majorHAnsi" w:hAnsiTheme="majorHAnsi" w:cstheme="majorHAnsi"/>
          <w:sz w:val="22"/>
          <w:szCs w:val="22"/>
          <w:lang w:val="en-GB"/>
        </w:rPr>
        <w:t>—</w:t>
      </w:r>
      <w:r w:rsidRPr="00F8289A">
        <w:rPr>
          <w:rFonts w:asciiTheme="majorHAnsi" w:hAnsiTheme="majorHAnsi" w:cstheme="majorHAnsi"/>
          <w:sz w:val="22"/>
          <w:szCs w:val="22"/>
          <w:lang w:val="en-GB"/>
        </w:rPr>
        <w:t xml:space="preserve"> the authorities</w:t>
      </w:r>
      <w:r w:rsidR="00A71231" w:rsidRPr="00F8289A">
        <w:rPr>
          <w:rFonts w:asciiTheme="majorHAnsi" w:hAnsiTheme="majorHAnsi" w:cstheme="majorHAnsi"/>
          <w:sz w:val="22"/>
          <w:szCs w:val="22"/>
          <w:lang w:val="en-GB"/>
        </w:rPr>
        <w:t xml:space="preserve"> of various countries</w:t>
      </w:r>
      <w:r w:rsidRPr="00F8289A">
        <w:rPr>
          <w:rFonts w:asciiTheme="majorHAnsi" w:hAnsiTheme="majorHAnsi" w:cstheme="majorHAnsi"/>
          <w:sz w:val="22"/>
          <w:szCs w:val="22"/>
          <w:lang w:val="en-GB"/>
        </w:rPr>
        <w:t xml:space="preserve"> tend to criminalize the</w:t>
      </w:r>
      <w:r w:rsidR="00A71231" w:rsidRPr="00F8289A">
        <w:rPr>
          <w:rFonts w:asciiTheme="majorHAnsi" w:hAnsiTheme="majorHAnsi" w:cstheme="majorHAnsi"/>
          <w:sz w:val="22"/>
          <w:szCs w:val="22"/>
          <w:lang w:val="en-GB"/>
        </w:rPr>
        <w:t xml:space="preserve"> mere participation in</w:t>
      </w:r>
      <w:r w:rsidRPr="00F8289A">
        <w:rPr>
          <w:rFonts w:asciiTheme="majorHAnsi" w:hAnsiTheme="majorHAnsi" w:cstheme="majorHAnsi"/>
          <w:sz w:val="22"/>
          <w:szCs w:val="22"/>
          <w:lang w:val="en-GB"/>
        </w:rPr>
        <w:t xml:space="preserve"> peaceful protests.</w:t>
      </w:r>
      <w:r w:rsidR="009A39D6" w:rsidRPr="00F8289A">
        <w:rPr>
          <w:rFonts w:asciiTheme="majorHAnsi" w:hAnsiTheme="majorHAnsi" w:cstheme="majorHAnsi"/>
          <w:sz w:val="22"/>
          <w:szCs w:val="22"/>
          <w:lang w:val="en-GB"/>
        </w:rPr>
        <w:t xml:space="preserve"> It is often the case that </w:t>
      </w:r>
      <w:r w:rsidR="007A2C2F" w:rsidRPr="00F8289A">
        <w:rPr>
          <w:rFonts w:asciiTheme="majorHAnsi" w:hAnsiTheme="majorHAnsi" w:cstheme="majorHAnsi"/>
          <w:sz w:val="22"/>
          <w:szCs w:val="22"/>
          <w:lang w:val="en-GB"/>
        </w:rPr>
        <w:t xml:space="preserve">additional forms of </w:t>
      </w:r>
      <w:r w:rsidR="009A39D6" w:rsidRPr="00F8289A">
        <w:rPr>
          <w:rFonts w:asciiTheme="majorHAnsi" w:hAnsiTheme="majorHAnsi" w:cstheme="majorHAnsi"/>
          <w:sz w:val="22"/>
          <w:szCs w:val="22"/>
          <w:lang w:val="en-GB"/>
        </w:rPr>
        <w:t xml:space="preserve">legislation </w:t>
      </w:r>
      <w:r w:rsidR="007A2C2F" w:rsidRPr="00F8289A">
        <w:rPr>
          <w:rFonts w:asciiTheme="majorHAnsi" w:hAnsiTheme="majorHAnsi" w:cstheme="majorHAnsi"/>
          <w:sz w:val="22"/>
          <w:szCs w:val="22"/>
          <w:lang w:val="en-GB"/>
        </w:rPr>
        <w:t xml:space="preserve">are also </w:t>
      </w:r>
      <w:r w:rsidR="009A39D6" w:rsidRPr="00F8289A">
        <w:rPr>
          <w:rFonts w:asciiTheme="majorHAnsi" w:hAnsiTheme="majorHAnsi" w:cstheme="majorHAnsi"/>
          <w:sz w:val="22"/>
          <w:szCs w:val="22"/>
          <w:lang w:val="en-GB"/>
        </w:rPr>
        <w:t>used to criminalize peaceful protests</w:t>
      </w:r>
      <w:r w:rsidR="007A2C2F" w:rsidRPr="00F8289A">
        <w:rPr>
          <w:rFonts w:asciiTheme="majorHAnsi" w:hAnsiTheme="majorHAnsi" w:cstheme="majorHAnsi"/>
          <w:sz w:val="22"/>
          <w:szCs w:val="22"/>
          <w:lang w:val="en-GB"/>
        </w:rPr>
        <w:t>.</w:t>
      </w:r>
      <w:r w:rsidR="009A39D6" w:rsidRPr="00F8289A">
        <w:rPr>
          <w:rFonts w:asciiTheme="majorHAnsi" w:hAnsiTheme="majorHAnsi" w:cstheme="majorHAnsi"/>
          <w:sz w:val="22"/>
          <w:szCs w:val="22"/>
          <w:lang w:val="en-GB"/>
        </w:rPr>
        <w:t xml:space="preserve"> </w:t>
      </w:r>
      <w:r w:rsidR="007A2C2F" w:rsidRPr="00F8289A">
        <w:rPr>
          <w:rFonts w:asciiTheme="majorHAnsi" w:hAnsiTheme="majorHAnsi" w:cstheme="majorHAnsi"/>
          <w:sz w:val="22"/>
          <w:szCs w:val="22"/>
          <w:lang w:val="en-GB"/>
        </w:rPr>
        <w:t xml:space="preserve">For example, the use in recent years of anti-terrorism legislation in Turkey. </w:t>
      </w:r>
      <w:r w:rsidR="009A39D6" w:rsidRPr="00F8289A">
        <w:rPr>
          <w:rFonts w:asciiTheme="majorHAnsi" w:hAnsiTheme="majorHAnsi" w:cstheme="majorHAnsi"/>
          <w:sz w:val="22"/>
          <w:szCs w:val="22"/>
          <w:lang w:val="en-GB"/>
        </w:rPr>
        <w:t xml:space="preserve"> </w:t>
      </w:r>
    </w:p>
    <w:p w14:paraId="3D027B08" w14:textId="75E1F897" w:rsidR="0062158C" w:rsidRPr="00F8289A" w:rsidRDefault="0062158C"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The Constitutional Court of the Russian Federation in its Judgment of 10 February 2017</w:t>
      </w:r>
      <w:r w:rsidRPr="00F8289A">
        <w:rPr>
          <w:rStyle w:val="FootnoteReference"/>
          <w:rFonts w:asciiTheme="majorHAnsi" w:hAnsiTheme="majorHAnsi" w:cstheme="majorHAnsi"/>
          <w:sz w:val="22"/>
          <w:szCs w:val="22"/>
          <w:lang w:val="en-GB"/>
        </w:rPr>
        <w:footnoteReference w:id="1"/>
      </w:r>
      <w:r w:rsidRPr="00F8289A">
        <w:rPr>
          <w:rFonts w:asciiTheme="majorHAnsi" w:hAnsiTheme="majorHAnsi" w:cstheme="majorHAnsi"/>
          <w:sz w:val="22"/>
          <w:szCs w:val="22"/>
          <w:lang w:val="en-GB"/>
        </w:rPr>
        <w:t xml:space="preserve"> dealt with the provision of the Criminal Code of </w:t>
      </w:r>
      <w:r w:rsidR="00A71231" w:rsidRPr="00F8289A">
        <w:rPr>
          <w:rFonts w:asciiTheme="majorHAnsi" w:hAnsiTheme="majorHAnsi" w:cstheme="majorHAnsi"/>
          <w:sz w:val="22"/>
          <w:szCs w:val="22"/>
          <w:lang w:val="en-GB"/>
        </w:rPr>
        <w:t>that country</w:t>
      </w:r>
      <w:r w:rsidRPr="00F8289A">
        <w:rPr>
          <w:rFonts w:asciiTheme="majorHAnsi" w:hAnsiTheme="majorHAnsi" w:cstheme="majorHAnsi"/>
          <w:sz w:val="22"/>
          <w:szCs w:val="22"/>
          <w:lang w:val="en-GB"/>
        </w:rPr>
        <w:t xml:space="preserve"> that </w:t>
      </w:r>
      <w:r w:rsidR="007A2C2F" w:rsidRPr="00F8289A">
        <w:rPr>
          <w:rFonts w:asciiTheme="majorHAnsi" w:hAnsiTheme="majorHAnsi" w:cstheme="majorHAnsi"/>
          <w:sz w:val="22"/>
          <w:szCs w:val="22"/>
          <w:lang w:val="en-GB"/>
        </w:rPr>
        <w:t xml:space="preserve">makes </w:t>
      </w:r>
      <w:r w:rsidRPr="00F8289A">
        <w:rPr>
          <w:rFonts w:asciiTheme="majorHAnsi" w:hAnsiTheme="majorHAnsi" w:cstheme="majorHAnsi"/>
          <w:sz w:val="22"/>
          <w:szCs w:val="22"/>
          <w:lang w:val="en-GB"/>
        </w:rPr>
        <w:t>it a crime to take part in</w:t>
      </w:r>
      <w:r w:rsidR="00826870" w:rsidRPr="00F8289A">
        <w:rPr>
          <w:rFonts w:asciiTheme="majorHAnsi" w:hAnsiTheme="majorHAnsi" w:cstheme="majorHAnsi"/>
          <w:sz w:val="22"/>
          <w:szCs w:val="22"/>
          <w:lang w:val="en-GB"/>
        </w:rPr>
        <w:t xml:space="preserve"> a</w:t>
      </w:r>
      <w:r w:rsidRPr="00F8289A">
        <w:rPr>
          <w:rFonts w:asciiTheme="majorHAnsi" w:hAnsiTheme="majorHAnsi" w:cstheme="majorHAnsi"/>
          <w:sz w:val="22"/>
          <w:szCs w:val="22"/>
          <w:lang w:val="en-GB"/>
        </w:rPr>
        <w:t xml:space="preserve"> peaceful protest without complying with notification requirements if the </w:t>
      </w:r>
      <w:r w:rsidR="00A71231" w:rsidRPr="00F8289A">
        <w:rPr>
          <w:rFonts w:asciiTheme="majorHAnsi" w:hAnsiTheme="majorHAnsi" w:cstheme="majorHAnsi"/>
          <w:sz w:val="22"/>
          <w:szCs w:val="22"/>
          <w:lang w:val="en-GB"/>
        </w:rPr>
        <w:t>defendant</w:t>
      </w:r>
      <w:r w:rsidRPr="00F8289A">
        <w:rPr>
          <w:rFonts w:asciiTheme="majorHAnsi" w:hAnsiTheme="majorHAnsi" w:cstheme="majorHAnsi"/>
          <w:sz w:val="22"/>
          <w:szCs w:val="22"/>
          <w:lang w:val="en-GB"/>
        </w:rPr>
        <w:t xml:space="preserve"> had committed the same offence</w:t>
      </w:r>
      <w:r w:rsidR="00A71231" w:rsidRPr="00F8289A">
        <w:rPr>
          <w:rFonts w:asciiTheme="majorHAnsi" w:hAnsiTheme="majorHAnsi" w:cstheme="majorHAnsi"/>
          <w:sz w:val="22"/>
          <w:szCs w:val="22"/>
          <w:lang w:val="en-GB"/>
        </w:rPr>
        <w:t xml:space="preserve"> (classified as “administrative offence” or </w:t>
      </w:r>
      <w:proofErr w:type="spellStart"/>
      <w:r w:rsidR="00A71231" w:rsidRPr="00F8289A">
        <w:rPr>
          <w:rFonts w:asciiTheme="majorHAnsi" w:hAnsiTheme="majorHAnsi" w:cstheme="majorHAnsi"/>
          <w:sz w:val="22"/>
          <w:szCs w:val="22"/>
          <w:lang w:val="en-GB"/>
        </w:rPr>
        <w:t>misdemeanor</w:t>
      </w:r>
      <w:proofErr w:type="spellEnd"/>
      <w:r w:rsidR="00A71231" w:rsidRPr="00F8289A">
        <w:rPr>
          <w:rFonts w:asciiTheme="majorHAnsi" w:hAnsiTheme="majorHAnsi" w:cstheme="majorHAnsi"/>
          <w:sz w:val="22"/>
          <w:szCs w:val="22"/>
          <w:lang w:val="en-GB"/>
        </w:rPr>
        <w:t>)</w:t>
      </w:r>
      <w:r w:rsidRPr="00F8289A">
        <w:rPr>
          <w:rFonts w:asciiTheme="majorHAnsi" w:hAnsiTheme="majorHAnsi" w:cstheme="majorHAnsi"/>
          <w:sz w:val="22"/>
          <w:szCs w:val="22"/>
          <w:lang w:val="en-GB"/>
        </w:rPr>
        <w:t xml:space="preserve"> on at least three occasions during the preceding half-year. Admittedly, this provision of the</w:t>
      </w:r>
      <w:r w:rsidR="00A71231" w:rsidRPr="00F8289A">
        <w:rPr>
          <w:rFonts w:asciiTheme="majorHAnsi" w:hAnsiTheme="majorHAnsi" w:cstheme="majorHAnsi"/>
          <w:sz w:val="22"/>
          <w:szCs w:val="22"/>
          <w:lang w:val="en-GB"/>
        </w:rPr>
        <w:t xml:space="preserve"> Russian</w:t>
      </w:r>
      <w:r w:rsidRPr="00F8289A">
        <w:rPr>
          <w:rFonts w:asciiTheme="majorHAnsi" w:hAnsiTheme="majorHAnsi" w:cstheme="majorHAnsi"/>
          <w:sz w:val="22"/>
          <w:szCs w:val="22"/>
          <w:lang w:val="en-GB"/>
        </w:rPr>
        <w:t xml:space="preserve"> Criminal Code had as its objective </w:t>
      </w:r>
      <w:r w:rsidR="007A2C2F" w:rsidRPr="00F8289A">
        <w:rPr>
          <w:rFonts w:asciiTheme="majorHAnsi" w:hAnsiTheme="majorHAnsi" w:cstheme="majorHAnsi"/>
          <w:sz w:val="22"/>
          <w:szCs w:val="22"/>
          <w:lang w:val="en-GB"/>
        </w:rPr>
        <w:t xml:space="preserve">the </w:t>
      </w:r>
      <w:r w:rsidRPr="00F8289A">
        <w:rPr>
          <w:rFonts w:asciiTheme="majorHAnsi" w:hAnsiTheme="majorHAnsi" w:cstheme="majorHAnsi"/>
          <w:sz w:val="22"/>
          <w:szCs w:val="22"/>
          <w:lang w:val="en-GB"/>
        </w:rPr>
        <w:t>c</w:t>
      </w:r>
      <w:r w:rsidR="00A71231" w:rsidRPr="00F8289A">
        <w:rPr>
          <w:rFonts w:asciiTheme="majorHAnsi" w:hAnsiTheme="majorHAnsi" w:cstheme="majorHAnsi"/>
          <w:sz w:val="22"/>
          <w:szCs w:val="22"/>
          <w:lang w:val="en-GB"/>
        </w:rPr>
        <w:t>reation of</w:t>
      </w:r>
      <w:r w:rsidR="007A2C2F" w:rsidRPr="00F8289A">
        <w:rPr>
          <w:rFonts w:asciiTheme="majorHAnsi" w:hAnsiTheme="majorHAnsi" w:cstheme="majorHAnsi"/>
          <w:sz w:val="22"/>
          <w:szCs w:val="22"/>
          <w:lang w:val="en-GB"/>
        </w:rPr>
        <w:t xml:space="preserve"> a</w:t>
      </w:r>
      <w:r w:rsidR="00A71231" w:rsidRPr="00F8289A">
        <w:rPr>
          <w:rFonts w:asciiTheme="majorHAnsi" w:hAnsiTheme="majorHAnsi" w:cstheme="majorHAnsi"/>
          <w:sz w:val="22"/>
          <w:szCs w:val="22"/>
          <w:lang w:val="en-GB"/>
        </w:rPr>
        <w:t xml:space="preserve"> “chilling effect”</w:t>
      </w:r>
      <w:r w:rsidR="00826870" w:rsidRPr="00F8289A">
        <w:rPr>
          <w:rStyle w:val="FootnoteReference"/>
          <w:rFonts w:asciiTheme="majorHAnsi" w:hAnsiTheme="majorHAnsi" w:cstheme="majorHAnsi"/>
          <w:sz w:val="22"/>
          <w:szCs w:val="22"/>
          <w:lang w:val="en-GB"/>
        </w:rPr>
        <w:footnoteReference w:id="2"/>
      </w:r>
      <w:r w:rsidR="00A71231" w:rsidRPr="00F8289A">
        <w:rPr>
          <w:rFonts w:asciiTheme="majorHAnsi" w:hAnsiTheme="majorHAnsi" w:cstheme="majorHAnsi"/>
          <w:sz w:val="22"/>
          <w:szCs w:val="22"/>
          <w:lang w:val="en-GB"/>
        </w:rPr>
        <w:t xml:space="preserve"> in respect </w:t>
      </w:r>
      <w:r w:rsidR="007A2C2F" w:rsidRPr="00F8289A">
        <w:rPr>
          <w:rFonts w:asciiTheme="majorHAnsi" w:hAnsiTheme="majorHAnsi" w:cstheme="majorHAnsi"/>
          <w:sz w:val="22"/>
          <w:szCs w:val="22"/>
          <w:lang w:val="en-GB"/>
        </w:rPr>
        <w:t xml:space="preserve">to </w:t>
      </w:r>
      <w:r w:rsidRPr="00F8289A">
        <w:rPr>
          <w:rFonts w:asciiTheme="majorHAnsi" w:hAnsiTheme="majorHAnsi" w:cstheme="majorHAnsi"/>
          <w:sz w:val="22"/>
          <w:szCs w:val="22"/>
          <w:lang w:val="en-GB"/>
        </w:rPr>
        <w:t>those who</w:t>
      </w:r>
      <w:r w:rsidR="00A71231" w:rsidRPr="00F8289A">
        <w:rPr>
          <w:rFonts w:asciiTheme="majorHAnsi" w:hAnsiTheme="majorHAnsi" w:cstheme="majorHAnsi"/>
          <w:sz w:val="22"/>
          <w:szCs w:val="22"/>
          <w:lang w:val="en-GB"/>
        </w:rPr>
        <w:t xml:space="preserve"> dare to</w:t>
      </w:r>
      <w:r w:rsidRPr="00F8289A">
        <w:rPr>
          <w:rFonts w:asciiTheme="majorHAnsi" w:hAnsiTheme="majorHAnsi" w:cstheme="majorHAnsi"/>
          <w:sz w:val="22"/>
          <w:szCs w:val="22"/>
          <w:lang w:val="en-GB"/>
        </w:rPr>
        <w:t xml:space="preserve"> show up </w:t>
      </w:r>
      <w:r w:rsidR="009A39D6" w:rsidRPr="00F8289A">
        <w:rPr>
          <w:rFonts w:asciiTheme="majorHAnsi" w:hAnsiTheme="majorHAnsi" w:cstheme="majorHAnsi"/>
          <w:sz w:val="22"/>
          <w:szCs w:val="22"/>
          <w:lang w:val="en-GB"/>
        </w:rPr>
        <w:t xml:space="preserve">at unauthorized </w:t>
      </w:r>
      <w:r w:rsidRPr="00F8289A">
        <w:rPr>
          <w:rFonts w:asciiTheme="majorHAnsi" w:hAnsiTheme="majorHAnsi" w:cstheme="majorHAnsi"/>
          <w:sz w:val="22"/>
          <w:szCs w:val="22"/>
          <w:lang w:val="en-GB"/>
        </w:rPr>
        <w:t>protests regularly.</w:t>
      </w:r>
    </w:p>
    <w:p w14:paraId="32C80DA2" w14:textId="1DFA4AB3" w:rsidR="0062158C" w:rsidRPr="00F8289A" w:rsidRDefault="0062158C"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The Constitutional Court reinterpreted the relevant provision of the</w:t>
      </w:r>
      <w:r w:rsidR="006D2D33" w:rsidRPr="00F8289A">
        <w:rPr>
          <w:rFonts w:asciiTheme="majorHAnsi" w:hAnsiTheme="majorHAnsi" w:cstheme="majorHAnsi"/>
          <w:sz w:val="22"/>
          <w:szCs w:val="22"/>
          <w:lang w:val="en-GB"/>
        </w:rPr>
        <w:t xml:space="preserve"> Russian</w:t>
      </w:r>
      <w:r w:rsidRPr="00F8289A">
        <w:rPr>
          <w:rFonts w:asciiTheme="majorHAnsi" w:hAnsiTheme="majorHAnsi" w:cstheme="majorHAnsi"/>
          <w:sz w:val="22"/>
          <w:szCs w:val="22"/>
          <w:lang w:val="en-GB"/>
        </w:rPr>
        <w:t xml:space="preserve"> Criminal Code</w:t>
      </w:r>
      <w:r w:rsidR="00742E95" w:rsidRPr="00F8289A">
        <w:rPr>
          <w:rFonts w:asciiTheme="majorHAnsi" w:hAnsiTheme="majorHAnsi" w:cstheme="majorHAnsi"/>
          <w:sz w:val="22"/>
          <w:szCs w:val="22"/>
          <w:lang w:val="en-GB"/>
        </w:rPr>
        <w:t>.</w:t>
      </w:r>
      <w:r w:rsidR="007A2C2F" w:rsidRPr="00F8289A">
        <w:rPr>
          <w:rFonts w:asciiTheme="majorHAnsi" w:hAnsiTheme="majorHAnsi" w:cstheme="majorHAnsi"/>
          <w:sz w:val="22"/>
          <w:szCs w:val="22"/>
          <w:lang w:val="en-GB"/>
        </w:rPr>
        <w:t xml:space="preserve"> </w:t>
      </w:r>
      <w:r w:rsidR="00156C85" w:rsidRPr="00F8289A">
        <w:rPr>
          <w:rFonts w:asciiTheme="majorHAnsi" w:hAnsiTheme="majorHAnsi" w:cstheme="majorHAnsi"/>
          <w:sz w:val="22"/>
          <w:szCs w:val="22"/>
          <w:lang w:val="en-GB"/>
        </w:rPr>
        <w:t>The Court stated that</w:t>
      </w:r>
      <w:r w:rsidRPr="00F8289A">
        <w:rPr>
          <w:rFonts w:asciiTheme="majorHAnsi" w:hAnsiTheme="majorHAnsi" w:cstheme="majorHAnsi"/>
          <w:sz w:val="22"/>
          <w:szCs w:val="22"/>
          <w:lang w:val="en-GB"/>
        </w:rPr>
        <w:t xml:space="preserve"> repeated failure to comply with</w:t>
      </w:r>
      <w:r w:rsidR="007A2C2F" w:rsidRPr="00F8289A">
        <w:rPr>
          <w:rFonts w:asciiTheme="majorHAnsi" w:hAnsiTheme="majorHAnsi" w:cstheme="majorHAnsi"/>
          <w:sz w:val="22"/>
          <w:szCs w:val="22"/>
          <w:lang w:val="en-GB"/>
        </w:rPr>
        <w:t xml:space="preserve"> the</w:t>
      </w:r>
      <w:r w:rsidRPr="00F8289A">
        <w:rPr>
          <w:rFonts w:asciiTheme="majorHAnsi" w:hAnsiTheme="majorHAnsi" w:cstheme="majorHAnsi"/>
          <w:sz w:val="22"/>
          <w:szCs w:val="22"/>
          <w:lang w:val="en-GB"/>
        </w:rPr>
        <w:t xml:space="preserve"> notification requirements</w:t>
      </w:r>
      <w:r w:rsidR="00156C85" w:rsidRPr="00F8289A">
        <w:rPr>
          <w:rFonts w:asciiTheme="majorHAnsi" w:hAnsiTheme="majorHAnsi" w:cstheme="majorHAnsi"/>
          <w:sz w:val="22"/>
          <w:szCs w:val="22"/>
          <w:lang w:val="en-GB"/>
        </w:rPr>
        <w:t xml:space="preserve"> </w:t>
      </w:r>
      <w:r w:rsidR="00156C85" w:rsidRPr="00F8289A">
        <w:rPr>
          <w:rFonts w:asciiTheme="majorHAnsi" w:hAnsiTheme="majorHAnsi" w:cstheme="majorHAnsi"/>
          <w:i/>
          <w:sz w:val="22"/>
          <w:szCs w:val="22"/>
          <w:lang w:val="en-GB"/>
        </w:rPr>
        <w:t>alone</w:t>
      </w:r>
      <w:r w:rsidR="00156C85" w:rsidRPr="00F8289A">
        <w:rPr>
          <w:rFonts w:asciiTheme="majorHAnsi" w:hAnsiTheme="majorHAnsi" w:cstheme="majorHAnsi"/>
          <w:sz w:val="22"/>
          <w:szCs w:val="22"/>
          <w:lang w:val="en-GB"/>
        </w:rPr>
        <w:t xml:space="preserve"> was not </w:t>
      </w:r>
      <w:proofErr w:type="gramStart"/>
      <w:r w:rsidR="00156C85" w:rsidRPr="00F8289A">
        <w:rPr>
          <w:rFonts w:asciiTheme="majorHAnsi" w:hAnsiTheme="majorHAnsi" w:cstheme="majorHAnsi"/>
          <w:sz w:val="22"/>
          <w:szCs w:val="22"/>
          <w:lang w:val="en-GB"/>
        </w:rPr>
        <w:t>sufficient</w:t>
      </w:r>
      <w:proofErr w:type="gramEnd"/>
      <w:r w:rsidR="00156C85" w:rsidRPr="00F8289A">
        <w:rPr>
          <w:rFonts w:asciiTheme="majorHAnsi" w:hAnsiTheme="majorHAnsi" w:cstheme="majorHAnsi"/>
          <w:sz w:val="22"/>
          <w:szCs w:val="22"/>
          <w:lang w:val="en-GB"/>
        </w:rPr>
        <w:t>,</w:t>
      </w:r>
      <w:r w:rsidRPr="00F8289A">
        <w:rPr>
          <w:rFonts w:asciiTheme="majorHAnsi" w:hAnsiTheme="majorHAnsi" w:cstheme="majorHAnsi"/>
          <w:sz w:val="22"/>
          <w:szCs w:val="22"/>
          <w:lang w:val="en-GB"/>
        </w:rPr>
        <w:t xml:space="preserve"> but </w:t>
      </w:r>
      <w:r w:rsidR="00156C85" w:rsidRPr="00F8289A">
        <w:rPr>
          <w:rFonts w:asciiTheme="majorHAnsi" w:hAnsiTheme="majorHAnsi" w:cstheme="majorHAnsi"/>
          <w:sz w:val="22"/>
          <w:szCs w:val="22"/>
          <w:lang w:val="en-GB"/>
        </w:rPr>
        <w:t xml:space="preserve">that </w:t>
      </w:r>
      <w:r w:rsidR="007A2C2F" w:rsidRPr="00F8289A">
        <w:rPr>
          <w:rFonts w:asciiTheme="majorHAnsi" w:hAnsiTheme="majorHAnsi" w:cstheme="majorHAnsi"/>
          <w:sz w:val="22"/>
          <w:szCs w:val="22"/>
          <w:lang w:val="en-GB"/>
        </w:rPr>
        <w:t xml:space="preserve">also </w:t>
      </w:r>
      <w:r w:rsidRPr="00F8289A">
        <w:rPr>
          <w:rFonts w:asciiTheme="majorHAnsi" w:hAnsiTheme="majorHAnsi" w:cstheme="majorHAnsi"/>
          <w:sz w:val="22"/>
          <w:szCs w:val="22"/>
          <w:lang w:val="en-GB"/>
        </w:rPr>
        <w:t>causing a real threat to health, property, environment, public order, public security or other constitutional values</w:t>
      </w:r>
      <w:r w:rsidR="006D2D33" w:rsidRPr="00F8289A">
        <w:rPr>
          <w:rFonts w:asciiTheme="majorHAnsi" w:hAnsiTheme="majorHAnsi" w:cstheme="majorHAnsi"/>
          <w:sz w:val="22"/>
          <w:szCs w:val="22"/>
          <w:lang w:val="en-GB"/>
        </w:rPr>
        <w:t xml:space="preserve"> as a result</w:t>
      </w:r>
      <w:r w:rsidR="009A39D6" w:rsidRPr="00F8289A">
        <w:rPr>
          <w:rFonts w:asciiTheme="majorHAnsi" w:hAnsiTheme="majorHAnsi" w:cstheme="majorHAnsi"/>
          <w:sz w:val="22"/>
          <w:szCs w:val="22"/>
          <w:lang w:val="en-GB"/>
        </w:rPr>
        <w:t xml:space="preserve"> of taking part in an unauthoriz</w:t>
      </w:r>
      <w:r w:rsidR="006D2D33" w:rsidRPr="00F8289A">
        <w:rPr>
          <w:rFonts w:asciiTheme="majorHAnsi" w:hAnsiTheme="majorHAnsi" w:cstheme="majorHAnsi"/>
          <w:sz w:val="22"/>
          <w:szCs w:val="22"/>
          <w:lang w:val="en-GB"/>
        </w:rPr>
        <w:t>ed assembly</w:t>
      </w:r>
      <w:r w:rsidRPr="00F8289A">
        <w:rPr>
          <w:rFonts w:asciiTheme="majorHAnsi" w:hAnsiTheme="majorHAnsi" w:cstheme="majorHAnsi"/>
          <w:sz w:val="22"/>
          <w:szCs w:val="22"/>
          <w:lang w:val="en-GB"/>
        </w:rPr>
        <w:t xml:space="preserve"> </w:t>
      </w:r>
      <w:r w:rsidR="00156C85" w:rsidRPr="00F8289A">
        <w:rPr>
          <w:rFonts w:asciiTheme="majorHAnsi" w:hAnsiTheme="majorHAnsi" w:cstheme="majorHAnsi"/>
          <w:sz w:val="22"/>
          <w:szCs w:val="22"/>
          <w:lang w:val="en-GB"/>
        </w:rPr>
        <w:t xml:space="preserve">was an </w:t>
      </w:r>
      <w:r w:rsidRPr="00F8289A">
        <w:rPr>
          <w:rFonts w:asciiTheme="majorHAnsi" w:hAnsiTheme="majorHAnsi" w:cstheme="majorHAnsi"/>
          <w:sz w:val="22"/>
          <w:szCs w:val="22"/>
          <w:lang w:val="en-GB"/>
        </w:rPr>
        <w:t>indispensable</w:t>
      </w:r>
      <w:r w:rsidR="009A39D6" w:rsidRPr="00F8289A">
        <w:rPr>
          <w:rFonts w:asciiTheme="majorHAnsi" w:hAnsiTheme="majorHAnsi" w:cstheme="majorHAnsi"/>
          <w:sz w:val="22"/>
          <w:szCs w:val="22"/>
          <w:lang w:val="en-GB"/>
        </w:rPr>
        <w:t xml:space="preserve"> constitutive</w:t>
      </w:r>
      <w:r w:rsidRPr="00F8289A">
        <w:rPr>
          <w:rFonts w:asciiTheme="majorHAnsi" w:hAnsiTheme="majorHAnsi" w:cstheme="majorHAnsi"/>
          <w:sz w:val="22"/>
          <w:szCs w:val="22"/>
          <w:lang w:val="en-GB"/>
        </w:rPr>
        <w:t xml:space="preserve"> element of the </w:t>
      </w:r>
      <w:r w:rsidRPr="00F8289A">
        <w:rPr>
          <w:rFonts w:asciiTheme="majorHAnsi" w:hAnsiTheme="majorHAnsi" w:cstheme="majorHAnsi"/>
          <w:i/>
          <w:sz w:val="22"/>
          <w:szCs w:val="22"/>
          <w:lang w:val="en-GB"/>
        </w:rPr>
        <w:t>corpus delicti</w:t>
      </w:r>
      <w:r w:rsidR="006D2D33" w:rsidRPr="00F8289A">
        <w:rPr>
          <w:rFonts w:asciiTheme="majorHAnsi" w:hAnsiTheme="majorHAnsi" w:cstheme="majorHAnsi"/>
          <w:sz w:val="22"/>
          <w:szCs w:val="22"/>
          <w:lang w:val="en-GB"/>
        </w:rPr>
        <w:t xml:space="preserve"> in question.</w:t>
      </w:r>
    </w:p>
    <w:p w14:paraId="3AD1D724" w14:textId="2610794A" w:rsidR="0062158C" w:rsidRPr="00F8289A" w:rsidRDefault="0062158C"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In other words, it is not enough</w:t>
      </w:r>
      <w:r w:rsidR="006D2D33" w:rsidRPr="00F8289A">
        <w:rPr>
          <w:rFonts w:asciiTheme="majorHAnsi" w:hAnsiTheme="majorHAnsi" w:cstheme="majorHAnsi"/>
          <w:sz w:val="22"/>
          <w:szCs w:val="22"/>
          <w:lang w:val="en-GB"/>
        </w:rPr>
        <w:t xml:space="preserve"> for the individual citizen </w:t>
      </w:r>
      <w:r w:rsidRPr="00F8289A">
        <w:rPr>
          <w:rFonts w:asciiTheme="majorHAnsi" w:hAnsiTheme="majorHAnsi" w:cstheme="majorHAnsi"/>
          <w:sz w:val="22"/>
          <w:szCs w:val="22"/>
          <w:lang w:val="en-GB"/>
        </w:rPr>
        <w:t xml:space="preserve">to disregard </w:t>
      </w:r>
      <w:r w:rsidR="007A2C2F" w:rsidRPr="00F8289A">
        <w:rPr>
          <w:rFonts w:asciiTheme="majorHAnsi" w:hAnsiTheme="majorHAnsi" w:cstheme="majorHAnsi"/>
          <w:sz w:val="22"/>
          <w:szCs w:val="22"/>
          <w:lang w:val="en-GB"/>
        </w:rPr>
        <w:t xml:space="preserve">the </w:t>
      </w:r>
      <w:r w:rsidRPr="00F8289A">
        <w:rPr>
          <w:rFonts w:asciiTheme="majorHAnsi" w:hAnsiTheme="majorHAnsi" w:cstheme="majorHAnsi"/>
          <w:sz w:val="22"/>
          <w:szCs w:val="22"/>
          <w:lang w:val="en-GB"/>
        </w:rPr>
        <w:t>existing notification requirements</w:t>
      </w:r>
      <w:r w:rsidR="00893866" w:rsidRPr="00F8289A">
        <w:rPr>
          <w:rFonts w:asciiTheme="majorHAnsi" w:hAnsiTheme="majorHAnsi" w:cstheme="majorHAnsi"/>
          <w:sz w:val="22"/>
          <w:szCs w:val="22"/>
          <w:lang w:val="en-GB"/>
        </w:rPr>
        <w:t xml:space="preserve"> with respect to peaceful assemblies</w:t>
      </w:r>
      <w:r w:rsidRPr="00F8289A">
        <w:rPr>
          <w:rFonts w:asciiTheme="majorHAnsi" w:hAnsiTheme="majorHAnsi" w:cstheme="majorHAnsi"/>
          <w:sz w:val="22"/>
          <w:szCs w:val="22"/>
          <w:lang w:val="en-GB"/>
        </w:rPr>
        <w:t xml:space="preserve"> to commit a crime</w:t>
      </w:r>
      <w:r w:rsidR="006D2D33" w:rsidRPr="00F8289A">
        <w:rPr>
          <w:rFonts w:asciiTheme="majorHAnsi" w:hAnsiTheme="majorHAnsi" w:cstheme="majorHAnsi"/>
          <w:sz w:val="22"/>
          <w:szCs w:val="22"/>
          <w:lang w:val="en-GB"/>
        </w:rPr>
        <w:t>;</w:t>
      </w:r>
      <w:r w:rsidR="00893866" w:rsidRPr="00F8289A">
        <w:rPr>
          <w:rFonts w:asciiTheme="majorHAnsi" w:hAnsiTheme="majorHAnsi" w:cstheme="majorHAnsi"/>
          <w:sz w:val="22"/>
          <w:szCs w:val="22"/>
          <w:lang w:val="en-GB"/>
        </w:rPr>
        <w:t xml:space="preserve"> her or his actions should be objectively dangerous </w:t>
      </w:r>
      <w:r w:rsidR="00156C85" w:rsidRPr="00F8289A">
        <w:rPr>
          <w:rFonts w:asciiTheme="majorHAnsi" w:hAnsiTheme="majorHAnsi" w:cstheme="majorHAnsi"/>
          <w:sz w:val="22"/>
          <w:szCs w:val="22"/>
          <w:lang w:val="en-GB"/>
        </w:rPr>
        <w:t xml:space="preserve">to </w:t>
      </w:r>
      <w:r w:rsidR="00893866" w:rsidRPr="00F8289A">
        <w:rPr>
          <w:rFonts w:asciiTheme="majorHAnsi" w:hAnsiTheme="majorHAnsi" w:cstheme="majorHAnsi"/>
          <w:sz w:val="22"/>
          <w:szCs w:val="22"/>
          <w:lang w:val="en-GB"/>
        </w:rPr>
        <w:t>constitutional values, such as public order, and it is up to the authorities in each case to prove that danger.</w:t>
      </w:r>
    </w:p>
    <w:p w14:paraId="773C5818" w14:textId="0FD433AF" w:rsidR="00893866" w:rsidRPr="00F8289A" w:rsidRDefault="00893866"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The rationale for this approach is simple. The notification requirements are established to benefit the peaceful protesters themselves. The notification gives time and information to the authorities to prepare </w:t>
      </w:r>
      <w:r w:rsidR="009A39D6" w:rsidRPr="00F8289A">
        <w:rPr>
          <w:rFonts w:asciiTheme="majorHAnsi" w:hAnsiTheme="majorHAnsi" w:cstheme="majorHAnsi"/>
          <w:sz w:val="22"/>
          <w:szCs w:val="22"/>
          <w:lang w:val="en-GB"/>
        </w:rPr>
        <w:t>for the</w:t>
      </w:r>
      <w:r w:rsidRPr="00F8289A">
        <w:rPr>
          <w:rFonts w:asciiTheme="majorHAnsi" w:hAnsiTheme="majorHAnsi" w:cstheme="majorHAnsi"/>
          <w:sz w:val="22"/>
          <w:szCs w:val="22"/>
          <w:lang w:val="en-GB"/>
        </w:rPr>
        <w:t xml:space="preserve"> discharge</w:t>
      </w:r>
      <w:r w:rsidR="009A39D6" w:rsidRPr="00F8289A">
        <w:rPr>
          <w:rFonts w:asciiTheme="majorHAnsi" w:hAnsiTheme="majorHAnsi" w:cstheme="majorHAnsi"/>
          <w:sz w:val="22"/>
          <w:szCs w:val="22"/>
          <w:lang w:val="en-GB"/>
        </w:rPr>
        <w:t xml:space="preserve"> of their positive obligation</w:t>
      </w:r>
      <w:r w:rsidRPr="00F8289A">
        <w:rPr>
          <w:rFonts w:asciiTheme="majorHAnsi" w:hAnsiTheme="majorHAnsi" w:cstheme="majorHAnsi"/>
          <w:sz w:val="22"/>
          <w:szCs w:val="22"/>
          <w:lang w:val="en-GB"/>
        </w:rPr>
        <w:t xml:space="preserve"> to facilitate peaceful assembly (see next chapter of this contribution). </w:t>
      </w:r>
      <w:r w:rsidR="00156C85" w:rsidRPr="00F8289A">
        <w:rPr>
          <w:rFonts w:asciiTheme="majorHAnsi" w:hAnsiTheme="majorHAnsi" w:cstheme="majorHAnsi"/>
          <w:sz w:val="22"/>
          <w:szCs w:val="22"/>
          <w:lang w:val="en-GB"/>
        </w:rPr>
        <w:t>If f</w:t>
      </w:r>
      <w:r w:rsidRPr="00F8289A">
        <w:rPr>
          <w:rFonts w:asciiTheme="majorHAnsi" w:hAnsiTheme="majorHAnsi" w:cstheme="majorHAnsi"/>
          <w:sz w:val="22"/>
          <w:szCs w:val="22"/>
          <w:lang w:val="en-GB"/>
        </w:rPr>
        <w:t>ailure to comply with notification requirements does not create any danger</w:t>
      </w:r>
      <w:r w:rsidR="00156C85" w:rsidRPr="00F8289A">
        <w:rPr>
          <w:rFonts w:asciiTheme="majorHAnsi" w:hAnsiTheme="majorHAnsi" w:cstheme="majorHAnsi"/>
          <w:sz w:val="22"/>
          <w:szCs w:val="22"/>
          <w:lang w:val="en-GB"/>
        </w:rPr>
        <w:t>, then it</w:t>
      </w:r>
      <w:r w:rsidRPr="00F8289A">
        <w:rPr>
          <w:rFonts w:asciiTheme="majorHAnsi" w:hAnsiTheme="majorHAnsi" w:cstheme="majorHAnsi"/>
          <w:sz w:val="22"/>
          <w:szCs w:val="22"/>
          <w:lang w:val="en-GB"/>
        </w:rPr>
        <w:t xml:space="preserve"> does not justify criminalization of the protesters’ conduct.</w:t>
      </w:r>
      <w:r w:rsidR="008044F0" w:rsidRPr="00F8289A">
        <w:rPr>
          <w:rFonts w:asciiTheme="majorHAnsi" w:hAnsiTheme="majorHAnsi" w:cstheme="majorHAnsi"/>
          <w:sz w:val="22"/>
          <w:szCs w:val="22"/>
          <w:lang w:val="en-GB"/>
        </w:rPr>
        <w:t xml:space="preserve"> According to the European Court of Human Rights, </w:t>
      </w:r>
      <w:r w:rsidR="00156C85" w:rsidRPr="00F8289A">
        <w:rPr>
          <w:rFonts w:asciiTheme="majorHAnsi" w:hAnsiTheme="majorHAnsi" w:cstheme="majorHAnsi"/>
          <w:sz w:val="22"/>
          <w:szCs w:val="22"/>
          <w:lang w:val="en-GB"/>
        </w:rPr>
        <w:t>imposing</w:t>
      </w:r>
      <w:r w:rsidR="008044F0" w:rsidRPr="00F8289A">
        <w:rPr>
          <w:rFonts w:asciiTheme="majorHAnsi" w:hAnsiTheme="majorHAnsi" w:cstheme="majorHAnsi"/>
          <w:sz w:val="22"/>
          <w:szCs w:val="22"/>
          <w:lang w:val="en-GB"/>
        </w:rPr>
        <w:t xml:space="preserve"> severe sanctions on participants of</w:t>
      </w:r>
      <w:r w:rsidR="009A39D6" w:rsidRPr="00F8289A">
        <w:rPr>
          <w:rFonts w:asciiTheme="majorHAnsi" w:hAnsiTheme="majorHAnsi" w:cstheme="majorHAnsi"/>
          <w:sz w:val="22"/>
          <w:szCs w:val="22"/>
          <w:lang w:val="en-GB"/>
        </w:rPr>
        <w:t xml:space="preserve"> peaceful protest demonstration</w:t>
      </w:r>
      <w:r w:rsidR="00156C85" w:rsidRPr="00F8289A">
        <w:rPr>
          <w:rFonts w:asciiTheme="majorHAnsi" w:hAnsiTheme="majorHAnsi" w:cstheme="majorHAnsi"/>
          <w:sz w:val="22"/>
          <w:szCs w:val="22"/>
          <w:lang w:val="en-GB"/>
        </w:rPr>
        <w:t>s</w:t>
      </w:r>
      <w:r w:rsidR="008044F0" w:rsidRPr="00F8289A">
        <w:rPr>
          <w:rFonts w:asciiTheme="majorHAnsi" w:hAnsiTheme="majorHAnsi" w:cstheme="majorHAnsi"/>
          <w:sz w:val="22"/>
          <w:szCs w:val="22"/>
          <w:lang w:val="en-GB"/>
        </w:rPr>
        <w:t xml:space="preserve"> for the mere </w:t>
      </w:r>
      <w:r w:rsidR="00156C85" w:rsidRPr="00F8289A">
        <w:rPr>
          <w:rFonts w:asciiTheme="majorHAnsi" w:hAnsiTheme="majorHAnsi" w:cstheme="majorHAnsi"/>
          <w:sz w:val="22"/>
          <w:szCs w:val="22"/>
          <w:lang w:val="en-GB"/>
        </w:rPr>
        <w:t xml:space="preserve">act </w:t>
      </w:r>
      <w:r w:rsidR="008044F0" w:rsidRPr="00F8289A">
        <w:rPr>
          <w:rFonts w:asciiTheme="majorHAnsi" w:hAnsiTheme="majorHAnsi" w:cstheme="majorHAnsi"/>
          <w:sz w:val="22"/>
          <w:szCs w:val="22"/>
          <w:lang w:val="en-GB"/>
        </w:rPr>
        <w:t>of attending</w:t>
      </w:r>
      <w:r w:rsidR="00156C85" w:rsidRPr="00F8289A">
        <w:rPr>
          <w:rFonts w:asciiTheme="majorHAnsi" w:hAnsiTheme="majorHAnsi" w:cstheme="majorHAnsi"/>
          <w:sz w:val="22"/>
          <w:szCs w:val="22"/>
          <w:lang w:val="en-GB"/>
        </w:rPr>
        <w:t xml:space="preserve"> a protest</w:t>
      </w:r>
      <w:r w:rsidR="008044F0" w:rsidRPr="00F8289A">
        <w:rPr>
          <w:rFonts w:asciiTheme="majorHAnsi" w:hAnsiTheme="majorHAnsi" w:cstheme="majorHAnsi"/>
          <w:sz w:val="22"/>
          <w:szCs w:val="22"/>
          <w:lang w:val="en-GB"/>
        </w:rPr>
        <w:t xml:space="preserve">, without </w:t>
      </w:r>
      <w:r w:rsidR="00156C85" w:rsidRPr="00F8289A">
        <w:rPr>
          <w:rFonts w:asciiTheme="majorHAnsi" w:hAnsiTheme="majorHAnsi" w:cstheme="majorHAnsi"/>
          <w:sz w:val="22"/>
          <w:szCs w:val="22"/>
          <w:lang w:val="en-GB"/>
        </w:rPr>
        <w:t xml:space="preserve">the participants </w:t>
      </w:r>
      <w:r w:rsidR="008044F0" w:rsidRPr="00F8289A">
        <w:rPr>
          <w:rFonts w:asciiTheme="majorHAnsi" w:hAnsiTheme="majorHAnsi" w:cstheme="majorHAnsi"/>
          <w:sz w:val="22"/>
          <w:szCs w:val="22"/>
          <w:lang w:val="en-GB"/>
        </w:rPr>
        <w:t xml:space="preserve">committing </w:t>
      </w:r>
      <w:r w:rsidR="00156C85" w:rsidRPr="00F8289A">
        <w:rPr>
          <w:rFonts w:asciiTheme="majorHAnsi" w:hAnsiTheme="majorHAnsi" w:cstheme="majorHAnsi"/>
          <w:sz w:val="22"/>
          <w:szCs w:val="22"/>
          <w:lang w:val="en-GB"/>
        </w:rPr>
        <w:t xml:space="preserve">any </w:t>
      </w:r>
      <w:r w:rsidR="008044F0" w:rsidRPr="00F8289A">
        <w:rPr>
          <w:rFonts w:asciiTheme="majorHAnsi" w:hAnsiTheme="majorHAnsi" w:cstheme="majorHAnsi"/>
          <w:sz w:val="22"/>
          <w:szCs w:val="22"/>
          <w:lang w:val="en-GB"/>
        </w:rPr>
        <w:t>reprehensible</w:t>
      </w:r>
      <w:r w:rsidR="00156C85" w:rsidRPr="00F8289A">
        <w:rPr>
          <w:rFonts w:asciiTheme="majorHAnsi" w:hAnsiTheme="majorHAnsi" w:cstheme="majorHAnsi"/>
          <w:sz w:val="22"/>
          <w:szCs w:val="22"/>
          <w:lang w:val="en-GB"/>
        </w:rPr>
        <w:t xml:space="preserve"> acts</w:t>
      </w:r>
      <w:r w:rsidR="008044F0" w:rsidRPr="00F8289A">
        <w:rPr>
          <w:rFonts w:asciiTheme="majorHAnsi" w:hAnsiTheme="majorHAnsi" w:cstheme="majorHAnsi"/>
          <w:sz w:val="22"/>
          <w:szCs w:val="22"/>
          <w:lang w:val="en-GB"/>
        </w:rPr>
        <w:t xml:space="preserve">, impairs the very essence of the right to freedom of peaceful assembly (see </w:t>
      </w:r>
      <w:proofErr w:type="spellStart"/>
      <w:r w:rsidR="008044F0" w:rsidRPr="00F8289A">
        <w:rPr>
          <w:rFonts w:asciiTheme="majorHAnsi" w:hAnsiTheme="majorHAnsi" w:cstheme="majorHAnsi"/>
          <w:i/>
          <w:sz w:val="22"/>
          <w:szCs w:val="22"/>
          <w:lang w:val="en-GB"/>
        </w:rPr>
        <w:t>Galstyan</w:t>
      </w:r>
      <w:proofErr w:type="spellEnd"/>
      <w:r w:rsidR="008044F0" w:rsidRPr="00F8289A">
        <w:rPr>
          <w:rFonts w:asciiTheme="majorHAnsi" w:hAnsiTheme="majorHAnsi" w:cstheme="majorHAnsi"/>
          <w:i/>
          <w:sz w:val="22"/>
          <w:szCs w:val="22"/>
          <w:lang w:val="en-GB"/>
        </w:rPr>
        <w:t xml:space="preserve"> v. Armenia</w:t>
      </w:r>
      <w:r w:rsidR="008044F0" w:rsidRPr="00F8289A">
        <w:rPr>
          <w:rFonts w:asciiTheme="majorHAnsi" w:hAnsiTheme="majorHAnsi" w:cstheme="majorHAnsi"/>
          <w:sz w:val="22"/>
          <w:szCs w:val="22"/>
          <w:lang w:val="en-GB"/>
        </w:rPr>
        <w:t>, no. 26986/03, § 117</w:t>
      </w:r>
      <w:r w:rsidR="009A39D6" w:rsidRPr="00F8289A">
        <w:rPr>
          <w:rFonts w:asciiTheme="majorHAnsi" w:hAnsiTheme="majorHAnsi" w:cstheme="majorHAnsi"/>
          <w:sz w:val="22"/>
          <w:szCs w:val="22"/>
          <w:lang w:val="en-GB"/>
        </w:rPr>
        <w:t>, Judgment of 15 November 2007)</w:t>
      </w:r>
      <w:r w:rsidR="00156C85" w:rsidRPr="00F8289A">
        <w:rPr>
          <w:rFonts w:asciiTheme="majorHAnsi" w:hAnsiTheme="majorHAnsi" w:cstheme="majorHAnsi"/>
          <w:sz w:val="22"/>
          <w:szCs w:val="22"/>
          <w:lang w:val="en-GB"/>
        </w:rPr>
        <w:t>.</w:t>
      </w:r>
      <w:r w:rsidR="00905952" w:rsidRPr="00F8289A">
        <w:rPr>
          <w:rFonts w:asciiTheme="majorHAnsi" w:hAnsiTheme="majorHAnsi" w:cstheme="majorHAnsi"/>
          <w:sz w:val="22"/>
          <w:szCs w:val="22"/>
          <w:lang w:val="en-GB"/>
        </w:rPr>
        <w:t xml:space="preserve"> </w:t>
      </w:r>
      <w:r w:rsidR="00156C85" w:rsidRPr="00F8289A">
        <w:rPr>
          <w:rFonts w:asciiTheme="majorHAnsi" w:hAnsiTheme="majorHAnsi" w:cstheme="majorHAnsi"/>
          <w:sz w:val="22"/>
          <w:szCs w:val="22"/>
          <w:lang w:val="en-GB"/>
        </w:rPr>
        <w:t>P</w:t>
      </w:r>
      <w:r w:rsidR="006D2D33" w:rsidRPr="00F8289A">
        <w:rPr>
          <w:rFonts w:asciiTheme="majorHAnsi" w:hAnsiTheme="majorHAnsi" w:cstheme="majorHAnsi"/>
          <w:sz w:val="22"/>
          <w:szCs w:val="22"/>
          <w:lang w:val="en-GB"/>
        </w:rPr>
        <w:t xml:space="preserve">ublic authorities must show a certain degree of tolerance towards peaceful gatherings, even unlawful ones, if the freedom of assembly is not to be deprived of all substance (see </w:t>
      </w:r>
      <w:proofErr w:type="spellStart"/>
      <w:r w:rsidR="006D2D33" w:rsidRPr="00F8289A">
        <w:rPr>
          <w:rFonts w:asciiTheme="majorHAnsi" w:hAnsiTheme="majorHAnsi" w:cstheme="majorHAnsi"/>
          <w:i/>
          <w:sz w:val="22"/>
          <w:szCs w:val="22"/>
          <w:lang w:val="en-GB"/>
        </w:rPr>
        <w:t>Frumkin</w:t>
      </w:r>
      <w:proofErr w:type="spellEnd"/>
      <w:r w:rsidR="006D2D33" w:rsidRPr="00F8289A">
        <w:rPr>
          <w:rFonts w:asciiTheme="majorHAnsi" w:hAnsiTheme="majorHAnsi" w:cstheme="majorHAnsi"/>
          <w:i/>
          <w:sz w:val="22"/>
          <w:szCs w:val="22"/>
          <w:lang w:val="en-GB"/>
        </w:rPr>
        <w:t xml:space="preserve"> v. Russia</w:t>
      </w:r>
      <w:r w:rsidR="006D2D33" w:rsidRPr="00F8289A">
        <w:rPr>
          <w:rFonts w:asciiTheme="majorHAnsi" w:hAnsiTheme="majorHAnsi" w:cstheme="majorHAnsi"/>
          <w:sz w:val="22"/>
          <w:szCs w:val="22"/>
          <w:lang w:val="en-GB"/>
        </w:rPr>
        <w:t>, no. 74568/12, § 97, Judgment of 5 January 2016).</w:t>
      </w:r>
    </w:p>
    <w:p w14:paraId="487DFF9C" w14:textId="7F44F9BA" w:rsidR="008044F0" w:rsidRPr="00F8289A" w:rsidRDefault="00752442"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In response to the questions posed by the Special Rapporteur in § 6 of his Note, it is</w:t>
      </w:r>
      <w:r w:rsidR="008044F0" w:rsidRPr="00F8289A">
        <w:rPr>
          <w:rFonts w:asciiTheme="majorHAnsi" w:hAnsiTheme="majorHAnsi" w:cstheme="majorHAnsi"/>
          <w:sz w:val="22"/>
          <w:szCs w:val="22"/>
          <w:lang w:val="en-GB"/>
        </w:rPr>
        <w:t xml:space="preserve"> important to highlight that individuals exercising their right to peaceful protest, including organizers or </w:t>
      </w:r>
      <w:r w:rsidR="0013267D" w:rsidRPr="00F8289A">
        <w:rPr>
          <w:rFonts w:asciiTheme="majorHAnsi" w:hAnsiTheme="majorHAnsi" w:cstheme="majorHAnsi"/>
          <w:sz w:val="22"/>
          <w:szCs w:val="22"/>
          <w:lang w:val="en-GB"/>
        </w:rPr>
        <w:t>conveno</w:t>
      </w:r>
      <w:r w:rsidR="00156C85" w:rsidRPr="00F8289A">
        <w:rPr>
          <w:rFonts w:asciiTheme="majorHAnsi" w:hAnsiTheme="majorHAnsi" w:cstheme="majorHAnsi"/>
          <w:sz w:val="22"/>
          <w:szCs w:val="22"/>
          <w:lang w:val="en-GB"/>
        </w:rPr>
        <w:t>rs</w:t>
      </w:r>
      <w:r w:rsidR="008044F0" w:rsidRPr="00F8289A">
        <w:rPr>
          <w:rFonts w:asciiTheme="majorHAnsi" w:hAnsiTheme="majorHAnsi" w:cstheme="majorHAnsi"/>
          <w:sz w:val="22"/>
          <w:szCs w:val="22"/>
          <w:lang w:val="en-GB"/>
        </w:rPr>
        <w:t xml:space="preserve"> of mass protest actions, should not be held liable</w:t>
      </w:r>
      <w:r w:rsidRPr="00F8289A">
        <w:rPr>
          <w:rFonts w:asciiTheme="majorHAnsi" w:hAnsiTheme="majorHAnsi" w:cstheme="majorHAnsi"/>
          <w:sz w:val="22"/>
          <w:szCs w:val="22"/>
          <w:lang w:val="en-GB"/>
        </w:rPr>
        <w:t xml:space="preserve">, </w:t>
      </w:r>
      <w:r w:rsidR="00BA1E6A" w:rsidRPr="00F8289A">
        <w:rPr>
          <w:rFonts w:asciiTheme="majorHAnsi" w:hAnsiTheme="majorHAnsi" w:cstheme="majorHAnsi"/>
          <w:sz w:val="22"/>
          <w:szCs w:val="22"/>
          <w:lang w:val="en-GB"/>
        </w:rPr>
        <w:t xml:space="preserve">and </w:t>
      </w:r>
      <w:r w:rsidRPr="00F8289A">
        <w:rPr>
          <w:rFonts w:asciiTheme="majorHAnsi" w:hAnsiTheme="majorHAnsi" w:cstheme="majorHAnsi"/>
          <w:sz w:val="22"/>
          <w:szCs w:val="22"/>
          <w:lang w:val="en-GB"/>
        </w:rPr>
        <w:t xml:space="preserve">above all, </w:t>
      </w:r>
      <w:r w:rsidR="00BA1E6A" w:rsidRPr="00F8289A">
        <w:rPr>
          <w:rFonts w:asciiTheme="majorHAnsi" w:hAnsiTheme="majorHAnsi" w:cstheme="majorHAnsi"/>
          <w:sz w:val="22"/>
          <w:szCs w:val="22"/>
          <w:lang w:val="en-GB"/>
        </w:rPr>
        <w:t xml:space="preserve">not be held </w:t>
      </w:r>
      <w:r w:rsidRPr="00F8289A">
        <w:rPr>
          <w:rFonts w:asciiTheme="majorHAnsi" w:hAnsiTheme="majorHAnsi" w:cstheme="majorHAnsi"/>
          <w:sz w:val="22"/>
          <w:szCs w:val="22"/>
          <w:lang w:val="en-GB"/>
        </w:rPr>
        <w:lastRenderedPageBreak/>
        <w:t>criminally responsible,</w:t>
      </w:r>
      <w:r w:rsidR="008044F0" w:rsidRPr="00F8289A">
        <w:rPr>
          <w:rFonts w:asciiTheme="majorHAnsi" w:hAnsiTheme="majorHAnsi" w:cstheme="majorHAnsi"/>
          <w:sz w:val="22"/>
          <w:szCs w:val="22"/>
          <w:lang w:val="en-GB"/>
        </w:rPr>
        <w:t xml:space="preserve"> for the actions of other individuals exercising the same right in the same location</w:t>
      </w:r>
      <w:r w:rsidR="006D2D33" w:rsidRPr="00F8289A">
        <w:rPr>
          <w:rFonts w:asciiTheme="majorHAnsi" w:hAnsiTheme="majorHAnsi" w:cstheme="majorHAnsi"/>
          <w:sz w:val="22"/>
          <w:szCs w:val="22"/>
          <w:lang w:val="en-GB"/>
        </w:rPr>
        <w:t xml:space="preserve"> or for the actions of other third parties</w:t>
      </w:r>
      <w:r w:rsidR="008044F0" w:rsidRPr="00F8289A">
        <w:rPr>
          <w:rFonts w:asciiTheme="majorHAnsi" w:hAnsiTheme="majorHAnsi" w:cstheme="majorHAnsi"/>
          <w:sz w:val="22"/>
          <w:szCs w:val="22"/>
          <w:lang w:val="en-GB"/>
        </w:rPr>
        <w:t>. There is no place for the principle of collective responsibility</w:t>
      </w:r>
      <w:r w:rsidR="006D2D33" w:rsidRPr="00F8289A">
        <w:rPr>
          <w:rFonts w:asciiTheme="majorHAnsi" w:hAnsiTheme="majorHAnsi" w:cstheme="majorHAnsi"/>
          <w:sz w:val="22"/>
          <w:szCs w:val="22"/>
          <w:lang w:val="en-GB"/>
        </w:rPr>
        <w:t xml:space="preserve"> or strict liability</w:t>
      </w:r>
      <w:r w:rsidR="008044F0" w:rsidRPr="00F8289A">
        <w:rPr>
          <w:rFonts w:asciiTheme="majorHAnsi" w:hAnsiTheme="majorHAnsi" w:cstheme="majorHAnsi"/>
          <w:sz w:val="22"/>
          <w:szCs w:val="22"/>
          <w:lang w:val="en-GB"/>
        </w:rPr>
        <w:t xml:space="preserve"> in this area of law. </w:t>
      </w:r>
      <w:r w:rsidR="00D16DDA" w:rsidRPr="00F8289A">
        <w:rPr>
          <w:rFonts w:asciiTheme="majorHAnsi" w:hAnsiTheme="majorHAnsi" w:cstheme="majorHAnsi"/>
          <w:sz w:val="22"/>
          <w:szCs w:val="22"/>
          <w:lang w:val="en-GB"/>
        </w:rPr>
        <w:t>This</w:t>
      </w:r>
      <w:r w:rsidR="008044F0" w:rsidRPr="00F8289A">
        <w:rPr>
          <w:rFonts w:asciiTheme="majorHAnsi" w:hAnsiTheme="majorHAnsi" w:cstheme="majorHAnsi"/>
          <w:sz w:val="22"/>
          <w:szCs w:val="22"/>
          <w:lang w:val="en-GB"/>
        </w:rPr>
        <w:t xml:space="preserve"> i</w:t>
      </w:r>
      <w:r w:rsidR="00826870" w:rsidRPr="00F8289A">
        <w:rPr>
          <w:rFonts w:asciiTheme="majorHAnsi" w:hAnsiTheme="majorHAnsi" w:cstheme="majorHAnsi"/>
          <w:sz w:val="22"/>
          <w:szCs w:val="22"/>
          <w:lang w:val="en-GB"/>
        </w:rPr>
        <w:t xml:space="preserve">s particularly important </w:t>
      </w:r>
      <w:proofErr w:type="gramStart"/>
      <w:r w:rsidR="00826870" w:rsidRPr="00F8289A">
        <w:rPr>
          <w:rFonts w:asciiTheme="majorHAnsi" w:hAnsiTheme="majorHAnsi" w:cstheme="majorHAnsi"/>
          <w:sz w:val="22"/>
          <w:szCs w:val="22"/>
          <w:lang w:val="en-GB"/>
        </w:rPr>
        <w:t xml:space="preserve">in </w:t>
      </w:r>
      <w:r w:rsidR="00D16DDA" w:rsidRPr="00F8289A">
        <w:rPr>
          <w:rFonts w:asciiTheme="majorHAnsi" w:hAnsiTheme="majorHAnsi" w:cstheme="majorHAnsi"/>
          <w:sz w:val="22"/>
          <w:szCs w:val="22"/>
          <w:lang w:val="en-GB"/>
        </w:rPr>
        <w:t>light of</w:t>
      </w:r>
      <w:proofErr w:type="gramEnd"/>
      <w:r w:rsidR="00D16DDA" w:rsidRPr="00F8289A">
        <w:rPr>
          <w:rFonts w:asciiTheme="majorHAnsi" w:hAnsiTheme="majorHAnsi" w:cstheme="majorHAnsi"/>
          <w:sz w:val="22"/>
          <w:szCs w:val="22"/>
          <w:lang w:val="en-GB"/>
        </w:rPr>
        <w:t xml:space="preserve"> </w:t>
      </w:r>
      <w:r w:rsidR="006D2D33" w:rsidRPr="00F8289A">
        <w:rPr>
          <w:rFonts w:asciiTheme="majorHAnsi" w:hAnsiTheme="majorHAnsi" w:cstheme="majorHAnsi"/>
          <w:sz w:val="22"/>
          <w:szCs w:val="22"/>
          <w:lang w:val="en-GB"/>
        </w:rPr>
        <w:t xml:space="preserve">documented instances when various actors </w:t>
      </w:r>
      <w:r w:rsidR="00D16DDA" w:rsidRPr="00F8289A">
        <w:rPr>
          <w:rFonts w:asciiTheme="majorHAnsi" w:hAnsiTheme="majorHAnsi" w:cstheme="majorHAnsi"/>
          <w:sz w:val="22"/>
          <w:szCs w:val="22"/>
          <w:lang w:val="en-GB"/>
        </w:rPr>
        <w:t xml:space="preserve">have </w:t>
      </w:r>
      <w:r w:rsidR="006D2D33" w:rsidRPr="00F8289A">
        <w:rPr>
          <w:rFonts w:asciiTheme="majorHAnsi" w:hAnsiTheme="majorHAnsi" w:cstheme="majorHAnsi"/>
          <w:sz w:val="22"/>
          <w:szCs w:val="22"/>
          <w:lang w:val="en-GB"/>
        </w:rPr>
        <w:t>employ</w:t>
      </w:r>
      <w:r w:rsidR="00D16DDA" w:rsidRPr="00F8289A">
        <w:rPr>
          <w:rFonts w:asciiTheme="majorHAnsi" w:hAnsiTheme="majorHAnsi" w:cstheme="majorHAnsi"/>
          <w:sz w:val="22"/>
          <w:szCs w:val="22"/>
          <w:lang w:val="en-GB"/>
        </w:rPr>
        <w:t>ed</w:t>
      </w:r>
      <w:r w:rsidRPr="00F8289A">
        <w:rPr>
          <w:rFonts w:asciiTheme="majorHAnsi" w:hAnsiTheme="majorHAnsi" w:cstheme="majorHAnsi"/>
          <w:sz w:val="22"/>
          <w:szCs w:val="22"/>
          <w:lang w:val="en-GB"/>
        </w:rPr>
        <w:t xml:space="preserve"> thugs </w:t>
      </w:r>
      <w:r w:rsidR="00D16DDA" w:rsidRPr="00F8289A">
        <w:rPr>
          <w:rFonts w:asciiTheme="majorHAnsi" w:hAnsiTheme="majorHAnsi" w:cstheme="majorHAnsi"/>
          <w:sz w:val="22"/>
          <w:szCs w:val="22"/>
          <w:lang w:val="en-GB"/>
        </w:rPr>
        <w:t>whose</w:t>
      </w:r>
      <w:r w:rsidRPr="00F8289A">
        <w:rPr>
          <w:rFonts w:asciiTheme="majorHAnsi" w:hAnsiTheme="majorHAnsi" w:cstheme="majorHAnsi"/>
          <w:sz w:val="22"/>
          <w:szCs w:val="22"/>
          <w:lang w:val="en-GB"/>
        </w:rPr>
        <w:t xml:space="preserve"> </w:t>
      </w:r>
      <w:r w:rsidR="006D2D33" w:rsidRPr="00F8289A">
        <w:rPr>
          <w:rFonts w:asciiTheme="majorHAnsi" w:hAnsiTheme="majorHAnsi" w:cstheme="majorHAnsi"/>
          <w:sz w:val="22"/>
          <w:szCs w:val="22"/>
          <w:lang w:val="en-GB"/>
        </w:rPr>
        <w:t>only</w:t>
      </w:r>
      <w:r w:rsidRPr="00F8289A">
        <w:rPr>
          <w:rFonts w:asciiTheme="majorHAnsi" w:hAnsiTheme="majorHAnsi" w:cstheme="majorHAnsi"/>
          <w:sz w:val="22"/>
          <w:szCs w:val="22"/>
          <w:lang w:val="en-GB"/>
        </w:rPr>
        <w:t xml:space="preserve"> aim </w:t>
      </w:r>
      <w:r w:rsidR="00D16DDA" w:rsidRPr="00F8289A">
        <w:rPr>
          <w:rFonts w:asciiTheme="majorHAnsi" w:hAnsiTheme="majorHAnsi" w:cstheme="majorHAnsi"/>
          <w:sz w:val="22"/>
          <w:szCs w:val="22"/>
          <w:lang w:val="en-GB"/>
        </w:rPr>
        <w:t xml:space="preserve">was </w:t>
      </w:r>
      <w:r w:rsidRPr="00F8289A">
        <w:rPr>
          <w:rFonts w:asciiTheme="majorHAnsi" w:hAnsiTheme="majorHAnsi" w:cstheme="majorHAnsi"/>
          <w:sz w:val="22"/>
          <w:szCs w:val="22"/>
          <w:lang w:val="en-GB"/>
        </w:rPr>
        <w:t>to infiltrate</w:t>
      </w:r>
      <w:r w:rsidR="008044F0" w:rsidRPr="00F8289A">
        <w:rPr>
          <w:rFonts w:asciiTheme="majorHAnsi" w:hAnsiTheme="majorHAnsi" w:cstheme="majorHAnsi"/>
          <w:sz w:val="22"/>
          <w:szCs w:val="22"/>
          <w:lang w:val="en-GB"/>
        </w:rPr>
        <w:t xml:space="preserve"> t</w:t>
      </w:r>
      <w:r w:rsidRPr="00F8289A">
        <w:rPr>
          <w:rFonts w:asciiTheme="majorHAnsi" w:hAnsiTheme="majorHAnsi" w:cstheme="majorHAnsi"/>
          <w:sz w:val="22"/>
          <w:szCs w:val="22"/>
          <w:lang w:val="en-GB"/>
        </w:rPr>
        <w:t>he protest action, commit</w:t>
      </w:r>
      <w:r w:rsidR="008044F0" w:rsidRPr="00F8289A">
        <w:rPr>
          <w:rFonts w:asciiTheme="majorHAnsi" w:hAnsiTheme="majorHAnsi" w:cstheme="majorHAnsi"/>
          <w:sz w:val="22"/>
          <w:szCs w:val="22"/>
          <w:lang w:val="en-GB"/>
        </w:rPr>
        <w:t xml:space="preserve"> various unlawful ac</w:t>
      </w:r>
      <w:r w:rsidRPr="00F8289A">
        <w:rPr>
          <w:rFonts w:asciiTheme="majorHAnsi" w:hAnsiTheme="majorHAnsi" w:cstheme="majorHAnsi"/>
          <w:sz w:val="22"/>
          <w:szCs w:val="22"/>
          <w:lang w:val="en-GB"/>
        </w:rPr>
        <w:t xml:space="preserve">ts and ultimately discredit </w:t>
      </w:r>
      <w:r w:rsidR="008044F0" w:rsidRPr="00F8289A">
        <w:rPr>
          <w:rFonts w:asciiTheme="majorHAnsi" w:hAnsiTheme="majorHAnsi" w:cstheme="majorHAnsi"/>
          <w:sz w:val="22"/>
          <w:szCs w:val="22"/>
          <w:lang w:val="en-GB"/>
        </w:rPr>
        <w:t>legitimate protesters. Th</w:t>
      </w:r>
      <w:r w:rsidR="00D16DDA" w:rsidRPr="00F8289A">
        <w:rPr>
          <w:rFonts w:asciiTheme="majorHAnsi" w:hAnsiTheme="majorHAnsi" w:cstheme="majorHAnsi"/>
          <w:sz w:val="22"/>
          <w:szCs w:val="22"/>
          <w:lang w:val="en-GB"/>
        </w:rPr>
        <w:t>e</w:t>
      </w:r>
      <w:r w:rsidR="008044F0" w:rsidRPr="00F8289A">
        <w:rPr>
          <w:rFonts w:asciiTheme="majorHAnsi" w:hAnsiTheme="majorHAnsi" w:cstheme="majorHAnsi"/>
          <w:sz w:val="22"/>
          <w:szCs w:val="22"/>
          <w:lang w:val="en-GB"/>
        </w:rPr>
        <w:t xml:space="preserve"> unlawful actions of </w:t>
      </w:r>
      <w:r w:rsidR="00D16DDA" w:rsidRPr="00F8289A">
        <w:rPr>
          <w:rFonts w:asciiTheme="majorHAnsi" w:hAnsiTheme="majorHAnsi" w:cstheme="majorHAnsi"/>
          <w:sz w:val="22"/>
          <w:szCs w:val="22"/>
          <w:lang w:val="en-GB"/>
        </w:rPr>
        <w:t xml:space="preserve">those </w:t>
      </w:r>
      <w:proofErr w:type="gramStart"/>
      <w:r w:rsidR="008044F0" w:rsidRPr="00F8289A">
        <w:rPr>
          <w:rFonts w:asciiTheme="majorHAnsi" w:hAnsiTheme="majorHAnsi" w:cstheme="majorHAnsi"/>
          <w:sz w:val="22"/>
          <w:szCs w:val="22"/>
          <w:lang w:val="en-GB"/>
        </w:rPr>
        <w:t>particular individuals</w:t>
      </w:r>
      <w:proofErr w:type="gramEnd"/>
      <w:r w:rsidR="008044F0" w:rsidRPr="00F8289A">
        <w:rPr>
          <w:rFonts w:asciiTheme="majorHAnsi" w:hAnsiTheme="majorHAnsi" w:cstheme="majorHAnsi"/>
          <w:sz w:val="22"/>
          <w:szCs w:val="22"/>
          <w:lang w:val="en-GB"/>
        </w:rPr>
        <w:t xml:space="preserve"> should be met with </w:t>
      </w:r>
      <w:r w:rsidR="00D16DDA" w:rsidRPr="00F8289A">
        <w:rPr>
          <w:rFonts w:asciiTheme="majorHAnsi" w:hAnsiTheme="majorHAnsi" w:cstheme="majorHAnsi"/>
          <w:sz w:val="22"/>
          <w:szCs w:val="22"/>
          <w:lang w:val="en-GB"/>
        </w:rPr>
        <w:t xml:space="preserve">the </w:t>
      </w:r>
      <w:r w:rsidR="008044F0" w:rsidRPr="00F8289A">
        <w:rPr>
          <w:rFonts w:asciiTheme="majorHAnsi" w:hAnsiTheme="majorHAnsi" w:cstheme="majorHAnsi"/>
          <w:sz w:val="22"/>
          <w:szCs w:val="22"/>
          <w:lang w:val="en-GB"/>
        </w:rPr>
        <w:t>appropriate response on the part of the authorities; however, they should never justify criminalization of protests</w:t>
      </w:r>
      <w:r w:rsidR="00976023" w:rsidRPr="00F8289A">
        <w:rPr>
          <w:rFonts w:asciiTheme="majorHAnsi" w:hAnsiTheme="majorHAnsi" w:cstheme="majorHAnsi"/>
          <w:sz w:val="22"/>
          <w:szCs w:val="22"/>
          <w:lang w:val="en-GB"/>
        </w:rPr>
        <w:t xml:space="preserve"> and protesters</w:t>
      </w:r>
      <w:r w:rsidR="00905952" w:rsidRPr="00F8289A">
        <w:rPr>
          <w:rFonts w:asciiTheme="majorHAnsi" w:hAnsiTheme="majorHAnsi" w:cstheme="majorHAnsi"/>
          <w:sz w:val="22"/>
          <w:szCs w:val="22"/>
          <w:lang w:val="en-GB"/>
        </w:rPr>
        <w:t xml:space="preserve"> in general</w:t>
      </w:r>
      <w:r w:rsidR="008044F0" w:rsidRPr="00F8289A">
        <w:rPr>
          <w:rFonts w:asciiTheme="majorHAnsi" w:hAnsiTheme="majorHAnsi" w:cstheme="majorHAnsi"/>
          <w:sz w:val="22"/>
          <w:szCs w:val="22"/>
          <w:lang w:val="en-GB"/>
        </w:rPr>
        <w:t>.</w:t>
      </w:r>
      <w:r w:rsidR="00976023" w:rsidRPr="00F8289A">
        <w:rPr>
          <w:rFonts w:asciiTheme="majorHAnsi" w:hAnsiTheme="majorHAnsi" w:cstheme="majorHAnsi"/>
          <w:sz w:val="22"/>
          <w:szCs w:val="22"/>
          <w:lang w:val="en-GB"/>
        </w:rPr>
        <w:t xml:space="preserve"> In this respect</w:t>
      </w:r>
      <w:r w:rsidR="00D16DDA" w:rsidRPr="00F8289A">
        <w:rPr>
          <w:rFonts w:asciiTheme="majorHAnsi" w:hAnsiTheme="majorHAnsi" w:cstheme="majorHAnsi"/>
          <w:sz w:val="22"/>
          <w:szCs w:val="22"/>
          <w:lang w:val="en-GB"/>
        </w:rPr>
        <w:t>,</w:t>
      </w:r>
      <w:r w:rsidR="00976023" w:rsidRPr="00F8289A">
        <w:rPr>
          <w:rFonts w:asciiTheme="majorHAnsi" w:hAnsiTheme="majorHAnsi" w:cstheme="majorHAnsi"/>
          <w:sz w:val="22"/>
          <w:szCs w:val="22"/>
          <w:lang w:val="en-GB"/>
        </w:rPr>
        <w:t xml:space="preserve"> reference is made to § 5.7 of the Guidelines on Freedom of Peaceful Assembly (second edition) jointly prepared by the OSCE/ODIHR Panel of Experts on the Freedom of Assembly an</w:t>
      </w:r>
      <w:r w:rsidR="00905952" w:rsidRPr="00F8289A">
        <w:rPr>
          <w:rFonts w:asciiTheme="majorHAnsi" w:hAnsiTheme="majorHAnsi" w:cstheme="majorHAnsi"/>
          <w:sz w:val="22"/>
          <w:szCs w:val="22"/>
          <w:lang w:val="en-GB"/>
        </w:rPr>
        <w:t xml:space="preserve">d </w:t>
      </w:r>
      <w:r w:rsidR="00D4547A" w:rsidRPr="00F8289A">
        <w:rPr>
          <w:rFonts w:asciiTheme="majorHAnsi" w:hAnsiTheme="majorHAnsi" w:cstheme="majorHAnsi"/>
          <w:sz w:val="22"/>
          <w:szCs w:val="22"/>
          <w:lang w:val="en-GB"/>
        </w:rPr>
        <w:t>the European Commission for Democracy through Law (Venice Commission),</w:t>
      </w:r>
      <w:r w:rsidR="00976023" w:rsidRPr="00F8289A">
        <w:rPr>
          <w:rStyle w:val="FootnoteReference"/>
          <w:rFonts w:asciiTheme="majorHAnsi" w:hAnsiTheme="majorHAnsi" w:cstheme="majorHAnsi"/>
          <w:sz w:val="22"/>
          <w:szCs w:val="22"/>
          <w:lang w:val="en-GB"/>
        </w:rPr>
        <w:footnoteReference w:id="3"/>
      </w:r>
      <w:r w:rsidR="00976023" w:rsidRPr="00F8289A">
        <w:rPr>
          <w:rFonts w:asciiTheme="majorHAnsi" w:hAnsiTheme="majorHAnsi" w:cstheme="majorHAnsi"/>
          <w:sz w:val="22"/>
          <w:szCs w:val="22"/>
          <w:lang w:val="en-GB"/>
        </w:rPr>
        <w:t xml:space="preserve"> according to which</w:t>
      </w:r>
      <w:r w:rsidR="00D16DDA" w:rsidRPr="00F8289A">
        <w:rPr>
          <w:rFonts w:asciiTheme="majorHAnsi" w:hAnsiTheme="majorHAnsi" w:cstheme="majorHAnsi"/>
          <w:sz w:val="22"/>
          <w:szCs w:val="22"/>
          <w:lang w:val="en-GB"/>
        </w:rPr>
        <w:t>,</w:t>
      </w:r>
      <w:r w:rsidR="00976023" w:rsidRPr="00F8289A">
        <w:rPr>
          <w:rFonts w:asciiTheme="majorHAnsi" w:hAnsiTheme="majorHAnsi" w:cstheme="majorHAnsi"/>
          <w:sz w:val="22"/>
          <w:szCs w:val="22"/>
          <w:lang w:val="en-GB"/>
        </w:rPr>
        <w:t xml:space="preserve"> “[t]he organizers [of assemblies] should not be liable for the actions of individual participants or for the actions of non-participants or </w:t>
      </w:r>
      <w:r w:rsidR="00976023" w:rsidRPr="00F8289A">
        <w:rPr>
          <w:rFonts w:asciiTheme="majorHAnsi" w:hAnsiTheme="majorHAnsi" w:cstheme="majorHAnsi"/>
          <w:i/>
          <w:sz w:val="22"/>
          <w:szCs w:val="22"/>
          <w:lang w:val="en-GB"/>
        </w:rPr>
        <w:t>agents provocateurs</w:t>
      </w:r>
      <w:r w:rsidR="00976023" w:rsidRPr="00F8289A">
        <w:rPr>
          <w:rFonts w:asciiTheme="majorHAnsi" w:hAnsiTheme="majorHAnsi" w:cstheme="majorHAnsi"/>
          <w:sz w:val="22"/>
          <w:szCs w:val="22"/>
          <w:lang w:val="en-GB"/>
        </w:rPr>
        <w:t>”.</w:t>
      </w:r>
    </w:p>
    <w:p w14:paraId="76287314" w14:textId="0F9DC5D9" w:rsidR="000902AF" w:rsidRPr="00F8289A" w:rsidRDefault="00752442"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Therefore, it is respectfully suggested that a po</w:t>
      </w:r>
      <w:r w:rsidR="00905952" w:rsidRPr="00F8289A">
        <w:rPr>
          <w:rFonts w:asciiTheme="majorHAnsi" w:hAnsiTheme="majorHAnsi" w:cstheme="majorHAnsi"/>
          <w:sz w:val="22"/>
          <w:szCs w:val="22"/>
          <w:lang w:val="en-GB"/>
        </w:rPr>
        <w:t xml:space="preserve">int of principle is made in </w:t>
      </w:r>
      <w:r w:rsidRPr="00F8289A">
        <w:rPr>
          <w:rFonts w:asciiTheme="majorHAnsi" w:hAnsiTheme="majorHAnsi" w:cstheme="majorHAnsi"/>
          <w:sz w:val="22"/>
          <w:szCs w:val="22"/>
          <w:lang w:val="en-GB"/>
        </w:rPr>
        <w:t>General Comment</w:t>
      </w:r>
      <w:r w:rsidR="00503EE3" w:rsidRPr="00F8289A">
        <w:rPr>
          <w:rFonts w:asciiTheme="majorHAnsi" w:hAnsiTheme="majorHAnsi" w:cstheme="majorHAnsi"/>
          <w:sz w:val="22"/>
          <w:szCs w:val="22"/>
          <w:lang w:val="en-GB"/>
        </w:rPr>
        <w:t xml:space="preserve"> no. 37</w:t>
      </w:r>
      <w:r w:rsidRPr="00F8289A">
        <w:rPr>
          <w:rFonts w:asciiTheme="majorHAnsi" w:hAnsiTheme="majorHAnsi" w:cstheme="majorHAnsi"/>
          <w:sz w:val="22"/>
          <w:szCs w:val="22"/>
          <w:lang w:val="en-GB"/>
        </w:rPr>
        <w:t xml:space="preserve"> that taking part in peaceful protests as such should never constitute a crime and, in any</w:t>
      </w:r>
      <w:r w:rsidR="00503EE3" w:rsidRPr="00F8289A">
        <w:rPr>
          <w:rFonts w:asciiTheme="majorHAnsi" w:hAnsiTheme="majorHAnsi" w:cstheme="majorHAnsi"/>
          <w:sz w:val="22"/>
          <w:szCs w:val="22"/>
          <w:lang w:val="en-GB"/>
        </w:rPr>
        <w:t xml:space="preserve"> event, the principle of </w:t>
      </w:r>
      <w:r w:rsidRPr="00F8289A">
        <w:rPr>
          <w:rFonts w:asciiTheme="majorHAnsi" w:hAnsiTheme="majorHAnsi" w:cstheme="majorHAnsi"/>
          <w:sz w:val="22"/>
          <w:szCs w:val="22"/>
          <w:lang w:val="en-GB"/>
        </w:rPr>
        <w:t>individual responsibility should apply.</w:t>
      </w:r>
      <w:r w:rsidR="00552A12" w:rsidRPr="00F8289A">
        <w:rPr>
          <w:rFonts w:asciiTheme="majorHAnsi" w:hAnsiTheme="majorHAnsi" w:cstheme="majorHAnsi"/>
          <w:sz w:val="22"/>
          <w:szCs w:val="22"/>
          <w:lang w:val="en-GB"/>
        </w:rPr>
        <w:t xml:space="preserve"> Drawing inspiration from § 9</w:t>
      </w:r>
      <w:r w:rsidR="00587532" w:rsidRPr="00F8289A">
        <w:rPr>
          <w:rFonts w:asciiTheme="majorHAnsi" w:hAnsiTheme="majorHAnsi" w:cstheme="majorHAnsi"/>
          <w:sz w:val="22"/>
          <w:szCs w:val="22"/>
          <w:lang w:val="en-GB"/>
        </w:rPr>
        <w:t xml:space="preserve"> and </w:t>
      </w:r>
      <w:r w:rsidR="00D16DDA" w:rsidRPr="00F8289A">
        <w:rPr>
          <w:rFonts w:asciiTheme="majorHAnsi" w:hAnsiTheme="majorHAnsi" w:cstheme="majorHAnsi"/>
          <w:sz w:val="22"/>
          <w:szCs w:val="22"/>
          <w:lang w:val="en-GB"/>
        </w:rPr>
        <w:t xml:space="preserve">§ </w:t>
      </w:r>
      <w:r w:rsidR="00587532" w:rsidRPr="00F8289A">
        <w:rPr>
          <w:rFonts w:asciiTheme="majorHAnsi" w:hAnsiTheme="majorHAnsi" w:cstheme="majorHAnsi"/>
          <w:sz w:val="22"/>
          <w:szCs w:val="22"/>
          <w:lang w:val="en-GB"/>
        </w:rPr>
        <w:t>42</w:t>
      </w:r>
      <w:r w:rsidR="00552A12" w:rsidRPr="00F8289A">
        <w:rPr>
          <w:rFonts w:asciiTheme="majorHAnsi" w:hAnsiTheme="majorHAnsi" w:cstheme="majorHAnsi"/>
          <w:sz w:val="22"/>
          <w:szCs w:val="22"/>
          <w:lang w:val="en-GB"/>
        </w:rPr>
        <w:t xml:space="preserve"> of General Comment No. 34 on Article 19</w:t>
      </w:r>
      <w:r w:rsidR="00D16DDA" w:rsidRPr="00F8289A">
        <w:rPr>
          <w:rFonts w:asciiTheme="majorHAnsi" w:hAnsiTheme="majorHAnsi" w:cstheme="majorHAnsi"/>
          <w:sz w:val="22"/>
          <w:szCs w:val="22"/>
          <w:lang w:val="en-GB"/>
        </w:rPr>
        <w:t>,</w:t>
      </w:r>
      <w:r w:rsidR="00552A12" w:rsidRPr="00F8289A">
        <w:rPr>
          <w:rFonts w:asciiTheme="majorHAnsi" w:hAnsiTheme="majorHAnsi" w:cstheme="majorHAnsi"/>
          <w:sz w:val="22"/>
          <w:szCs w:val="22"/>
          <w:lang w:val="en-GB"/>
        </w:rPr>
        <w:t xml:space="preserve"> the following wording is proposed for General Comment No. 37 on Article 21: “</w:t>
      </w:r>
      <w:r w:rsidR="00552A12" w:rsidRPr="00F8289A">
        <w:rPr>
          <w:rFonts w:asciiTheme="majorHAnsi" w:hAnsiTheme="majorHAnsi" w:cstheme="majorHAnsi"/>
          <w:i/>
          <w:sz w:val="22"/>
          <w:szCs w:val="22"/>
          <w:lang w:val="en-GB"/>
        </w:rPr>
        <w:t>It is incompatible with article 21 to criminalize the holding of peaceful assembly</w:t>
      </w:r>
      <w:r w:rsidR="00DA35D6" w:rsidRPr="00F8289A">
        <w:rPr>
          <w:rFonts w:asciiTheme="majorHAnsi" w:hAnsiTheme="majorHAnsi" w:cstheme="majorHAnsi"/>
          <w:i/>
          <w:sz w:val="22"/>
          <w:szCs w:val="22"/>
          <w:lang w:val="en-GB"/>
        </w:rPr>
        <w:t xml:space="preserve"> or participation in it</w:t>
      </w:r>
      <w:r w:rsidR="00552A12" w:rsidRPr="00F8289A">
        <w:rPr>
          <w:rFonts w:asciiTheme="majorHAnsi" w:hAnsiTheme="majorHAnsi" w:cstheme="majorHAnsi"/>
          <w:i/>
          <w:sz w:val="22"/>
          <w:szCs w:val="22"/>
          <w:lang w:val="en-GB"/>
        </w:rPr>
        <w:t xml:space="preserve"> as such. The harassment, intimidation or stigmatization of a person, including arrest, detention, trial or imprisonment</w:t>
      </w:r>
      <w:r w:rsidR="00587532" w:rsidRPr="00F8289A">
        <w:rPr>
          <w:rFonts w:asciiTheme="majorHAnsi" w:hAnsiTheme="majorHAnsi" w:cstheme="majorHAnsi"/>
          <w:i/>
          <w:sz w:val="22"/>
          <w:szCs w:val="22"/>
          <w:lang w:val="en-GB"/>
        </w:rPr>
        <w:t>,</w:t>
      </w:r>
      <w:r w:rsidR="00552A12" w:rsidRPr="00F8289A">
        <w:rPr>
          <w:rFonts w:asciiTheme="majorHAnsi" w:hAnsiTheme="majorHAnsi" w:cstheme="majorHAnsi"/>
          <w:i/>
          <w:sz w:val="22"/>
          <w:szCs w:val="22"/>
          <w:lang w:val="en-GB"/>
        </w:rPr>
        <w:t xml:space="preserve"> solely for the reason of that person’s participation in</w:t>
      </w:r>
      <w:r w:rsidR="00587532" w:rsidRPr="00F8289A">
        <w:rPr>
          <w:rFonts w:asciiTheme="majorHAnsi" w:hAnsiTheme="majorHAnsi" w:cstheme="majorHAnsi"/>
          <w:i/>
          <w:sz w:val="22"/>
          <w:szCs w:val="22"/>
          <w:lang w:val="en-GB"/>
        </w:rPr>
        <w:t xml:space="preserve"> a</w:t>
      </w:r>
      <w:r w:rsidR="00552A12" w:rsidRPr="00F8289A">
        <w:rPr>
          <w:rFonts w:asciiTheme="majorHAnsi" w:hAnsiTheme="majorHAnsi" w:cstheme="majorHAnsi"/>
          <w:i/>
          <w:sz w:val="22"/>
          <w:szCs w:val="22"/>
          <w:lang w:val="en-GB"/>
        </w:rPr>
        <w:t xml:space="preserve"> peaceful assembly constitutes a violation of article 21</w:t>
      </w:r>
      <w:r w:rsidR="00587532" w:rsidRPr="00F8289A">
        <w:rPr>
          <w:rFonts w:asciiTheme="majorHAnsi" w:hAnsiTheme="majorHAnsi" w:cstheme="majorHAnsi"/>
          <w:i/>
          <w:sz w:val="22"/>
          <w:szCs w:val="22"/>
          <w:lang w:val="en-GB"/>
        </w:rPr>
        <w:t>. The penalization of a peaceful protester, or protest convenor</w:t>
      </w:r>
      <w:r w:rsidR="00503EE3" w:rsidRPr="00F8289A">
        <w:rPr>
          <w:rFonts w:asciiTheme="majorHAnsi" w:hAnsiTheme="majorHAnsi" w:cstheme="majorHAnsi"/>
          <w:i/>
          <w:sz w:val="22"/>
          <w:szCs w:val="22"/>
          <w:lang w:val="en-GB"/>
        </w:rPr>
        <w:t xml:space="preserve"> (organizer)</w:t>
      </w:r>
      <w:r w:rsidR="00587532" w:rsidRPr="00F8289A">
        <w:rPr>
          <w:rFonts w:asciiTheme="majorHAnsi" w:hAnsiTheme="majorHAnsi" w:cstheme="majorHAnsi"/>
          <w:i/>
          <w:sz w:val="22"/>
          <w:szCs w:val="22"/>
          <w:lang w:val="en-GB"/>
        </w:rPr>
        <w:t xml:space="preserve"> solely for being critical of </w:t>
      </w:r>
      <w:r w:rsidR="00503EE3" w:rsidRPr="00F8289A">
        <w:rPr>
          <w:rFonts w:asciiTheme="majorHAnsi" w:hAnsiTheme="majorHAnsi" w:cstheme="majorHAnsi"/>
          <w:i/>
          <w:sz w:val="22"/>
          <w:szCs w:val="22"/>
          <w:lang w:val="en-GB"/>
        </w:rPr>
        <w:t>the government or particular public</w:t>
      </w:r>
      <w:r w:rsidR="00587532" w:rsidRPr="00F8289A">
        <w:rPr>
          <w:rFonts w:asciiTheme="majorHAnsi" w:hAnsiTheme="majorHAnsi" w:cstheme="majorHAnsi"/>
          <w:i/>
          <w:sz w:val="22"/>
          <w:szCs w:val="22"/>
          <w:lang w:val="en-GB"/>
        </w:rPr>
        <w:t xml:space="preserve"> policies can never be considered to be a necessary restriction of freedom of peaceful </w:t>
      </w:r>
      <w:proofErr w:type="gramStart"/>
      <w:r w:rsidR="00587532" w:rsidRPr="00F8289A">
        <w:rPr>
          <w:rFonts w:asciiTheme="majorHAnsi" w:hAnsiTheme="majorHAnsi" w:cstheme="majorHAnsi"/>
          <w:i/>
          <w:sz w:val="22"/>
          <w:szCs w:val="22"/>
          <w:lang w:val="en-GB"/>
        </w:rPr>
        <w:t xml:space="preserve">assembly </w:t>
      </w:r>
      <w:r w:rsidR="00552A12" w:rsidRPr="00F8289A">
        <w:rPr>
          <w:rFonts w:asciiTheme="majorHAnsi" w:hAnsiTheme="majorHAnsi" w:cstheme="majorHAnsi"/>
          <w:sz w:val="22"/>
          <w:szCs w:val="22"/>
          <w:lang w:val="en-GB"/>
        </w:rPr>
        <w:t>”</w:t>
      </w:r>
      <w:proofErr w:type="gramEnd"/>
      <w:r w:rsidR="00552A12" w:rsidRPr="00F8289A">
        <w:rPr>
          <w:rFonts w:asciiTheme="majorHAnsi" w:hAnsiTheme="majorHAnsi" w:cstheme="majorHAnsi"/>
          <w:sz w:val="22"/>
          <w:szCs w:val="22"/>
          <w:lang w:val="en-GB"/>
        </w:rPr>
        <w:t>.</w:t>
      </w:r>
      <w:r w:rsidR="00587532" w:rsidRPr="00F8289A">
        <w:rPr>
          <w:rFonts w:asciiTheme="majorHAnsi" w:hAnsiTheme="majorHAnsi" w:cstheme="majorHAnsi"/>
          <w:sz w:val="22"/>
          <w:szCs w:val="22"/>
          <w:lang w:val="en-GB"/>
        </w:rPr>
        <w:t xml:space="preserve"> </w:t>
      </w:r>
    </w:p>
    <w:p w14:paraId="2442A417" w14:textId="77777777" w:rsidR="00492B05" w:rsidRPr="00F8289A" w:rsidRDefault="00492B05" w:rsidP="00D156B3">
      <w:pPr>
        <w:spacing w:line="276" w:lineRule="auto"/>
        <w:jc w:val="center"/>
        <w:rPr>
          <w:rFonts w:asciiTheme="majorHAnsi" w:hAnsiTheme="majorHAnsi" w:cstheme="majorHAnsi"/>
          <w:sz w:val="22"/>
          <w:szCs w:val="22"/>
          <w:u w:val="single"/>
          <w:lang w:val="en-GB"/>
        </w:rPr>
      </w:pPr>
    </w:p>
    <w:p w14:paraId="317AEE2A" w14:textId="4F2A4916" w:rsidR="001B7D3B" w:rsidRPr="00F8289A" w:rsidRDefault="001B7D3B" w:rsidP="00492B05">
      <w:pPr>
        <w:spacing w:line="276" w:lineRule="auto"/>
        <w:jc w:val="center"/>
        <w:rPr>
          <w:rFonts w:asciiTheme="majorHAnsi" w:hAnsiTheme="majorHAnsi" w:cstheme="majorHAnsi"/>
          <w:sz w:val="22"/>
          <w:szCs w:val="22"/>
          <w:u w:val="single"/>
          <w:lang w:val="en-GB"/>
        </w:rPr>
      </w:pPr>
      <w:r w:rsidRPr="00F8289A">
        <w:rPr>
          <w:rFonts w:asciiTheme="majorHAnsi" w:hAnsiTheme="majorHAnsi" w:cstheme="majorHAnsi"/>
          <w:sz w:val="22"/>
          <w:szCs w:val="22"/>
          <w:u w:val="single"/>
          <w:lang w:val="en-GB"/>
        </w:rPr>
        <w:t>Positive obligations on the part of the authorities while handling peaceful assemblies</w:t>
      </w:r>
    </w:p>
    <w:p w14:paraId="563CC392" w14:textId="77777777" w:rsidR="00976023" w:rsidRPr="00F8289A" w:rsidRDefault="00976023" w:rsidP="00D156B3">
      <w:pPr>
        <w:spacing w:line="276" w:lineRule="auto"/>
        <w:jc w:val="center"/>
        <w:rPr>
          <w:rFonts w:asciiTheme="majorHAnsi" w:hAnsiTheme="majorHAnsi" w:cstheme="majorHAnsi"/>
          <w:sz w:val="22"/>
          <w:szCs w:val="22"/>
          <w:lang w:val="en-GB"/>
        </w:rPr>
      </w:pPr>
    </w:p>
    <w:p w14:paraId="3CFFC083" w14:textId="4C3367B9" w:rsidR="000A5571" w:rsidRPr="00F8289A" w:rsidRDefault="000A5571"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In practice, safe and unhindered exercise of the right enshrined in Article </w:t>
      </w:r>
      <w:r w:rsidR="00DC02BC" w:rsidRPr="00F8289A">
        <w:rPr>
          <w:rFonts w:asciiTheme="majorHAnsi" w:hAnsiTheme="majorHAnsi" w:cstheme="majorHAnsi"/>
          <w:sz w:val="22"/>
          <w:szCs w:val="22"/>
          <w:lang w:val="en-GB"/>
        </w:rPr>
        <w:t>21 of the Covenant almost always</w:t>
      </w:r>
      <w:r w:rsidRPr="00F8289A">
        <w:rPr>
          <w:rFonts w:asciiTheme="majorHAnsi" w:hAnsiTheme="majorHAnsi" w:cstheme="majorHAnsi"/>
          <w:sz w:val="22"/>
          <w:szCs w:val="22"/>
          <w:lang w:val="en-GB"/>
        </w:rPr>
        <w:t xml:space="preserve"> presupposes</w:t>
      </w:r>
      <w:r w:rsidR="0018068F" w:rsidRPr="00F8289A">
        <w:rPr>
          <w:rFonts w:asciiTheme="majorHAnsi" w:hAnsiTheme="majorHAnsi" w:cstheme="majorHAnsi"/>
          <w:sz w:val="22"/>
          <w:szCs w:val="22"/>
          <w:lang w:val="en-GB"/>
        </w:rPr>
        <w:t xml:space="preserve"> the discharge</w:t>
      </w:r>
      <w:r w:rsidRPr="00F8289A">
        <w:rPr>
          <w:rFonts w:asciiTheme="majorHAnsi" w:hAnsiTheme="majorHAnsi" w:cstheme="majorHAnsi"/>
          <w:sz w:val="22"/>
          <w:szCs w:val="22"/>
          <w:lang w:val="en-GB"/>
        </w:rPr>
        <w:t xml:space="preserve">, on </w:t>
      </w:r>
      <w:r w:rsidR="00DC02BC" w:rsidRPr="00F8289A">
        <w:rPr>
          <w:rFonts w:asciiTheme="majorHAnsi" w:hAnsiTheme="majorHAnsi" w:cstheme="majorHAnsi"/>
          <w:sz w:val="22"/>
          <w:szCs w:val="22"/>
          <w:lang w:val="en-GB"/>
        </w:rPr>
        <w:t>the part of</w:t>
      </w:r>
      <w:r w:rsidR="0018068F" w:rsidRPr="00F8289A">
        <w:rPr>
          <w:rFonts w:asciiTheme="majorHAnsi" w:hAnsiTheme="majorHAnsi" w:cstheme="majorHAnsi"/>
          <w:sz w:val="22"/>
          <w:szCs w:val="22"/>
          <w:lang w:val="en-GB"/>
        </w:rPr>
        <w:t xml:space="preserve"> public</w:t>
      </w:r>
      <w:r w:rsidR="00DC02BC" w:rsidRPr="00F8289A">
        <w:rPr>
          <w:rFonts w:asciiTheme="majorHAnsi" w:hAnsiTheme="majorHAnsi" w:cstheme="majorHAnsi"/>
          <w:sz w:val="22"/>
          <w:szCs w:val="22"/>
          <w:lang w:val="en-GB"/>
        </w:rPr>
        <w:t xml:space="preserve"> authorities</w:t>
      </w:r>
      <w:r w:rsidRPr="00F8289A">
        <w:rPr>
          <w:rFonts w:asciiTheme="majorHAnsi" w:hAnsiTheme="majorHAnsi" w:cstheme="majorHAnsi"/>
          <w:sz w:val="22"/>
          <w:szCs w:val="22"/>
          <w:lang w:val="en-GB"/>
        </w:rPr>
        <w:t>,</w:t>
      </w:r>
      <w:r w:rsidR="0018068F" w:rsidRPr="00F8289A">
        <w:rPr>
          <w:rFonts w:asciiTheme="majorHAnsi" w:hAnsiTheme="majorHAnsi" w:cstheme="majorHAnsi"/>
          <w:sz w:val="22"/>
          <w:szCs w:val="22"/>
          <w:lang w:val="en-GB"/>
        </w:rPr>
        <w:t xml:space="preserve"> of</w:t>
      </w:r>
      <w:r w:rsidRPr="00F8289A">
        <w:rPr>
          <w:rFonts w:asciiTheme="majorHAnsi" w:hAnsiTheme="majorHAnsi" w:cstheme="majorHAnsi"/>
          <w:sz w:val="22"/>
          <w:szCs w:val="22"/>
          <w:lang w:val="en-GB"/>
        </w:rPr>
        <w:t xml:space="preserve"> a duty “to facilitate and protect peaceful assembly” (§ 2.2 of OSCE Gu</w:t>
      </w:r>
      <w:r w:rsidR="0018068F" w:rsidRPr="00F8289A">
        <w:rPr>
          <w:rFonts w:asciiTheme="majorHAnsi" w:hAnsiTheme="majorHAnsi" w:cstheme="majorHAnsi"/>
          <w:sz w:val="22"/>
          <w:szCs w:val="22"/>
          <w:lang w:val="en-GB"/>
        </w:rPr>
        <w:t>i</w:t>
      </w:r>
      <w:r w:rsidRPr="00F8289A">
        <w:rPr>
          <w:rFonts w:asciiTheme="majorHAnsi" w:hAnsiTheme="majorHAnsi" w:cstheme="majorHAnsi"/>
          <w:sz w:val="22"/>
          <w:szCs w:val="22"/>
          <w:lang w:val="en-GB"/>
        </w:rPr>
        <w:t>delines on Freedom of Peaceful Assembly)</w:t>
      </w:r>
      <w:r w:rsidR="0018068F" w:rsidRPr="00F8289A">
        <w:rPr>
          <w:rFonts w:asciiTheme="majorHAnsi" w:hAnsiTheme="majorHAnsi" w:cstheme="majorHAnsi"/>
          <w:sz w:val="22"/>
          <w:szCs w:val="22"/>
          <w:lang w:val="en-GB"/>
        </w:rPr>
        <w:t>,</w:t>
      </w:r>
      <w:r w:rsidRPr="00F8289A">
        <w:rPr>
          <w:rFonts w:asciiTheme="majorHAnsi" w:hAnsiTheme="majorHAnsi" w:cstheme="majorHAnsi"/>
          <w:sz w:val="22"/>
          <w:szCs w:val="22"/>
          <w:lang w:val="en-GB"/>
        </w:rPr>
        <w:t xml:space="preserve"> or, using the terminology of the European Court of Human Rights, “positive obligations to secure the effective enjoyment” of the freedom of peaceful assembly (</w:t>
      </w:r>
      <w:proofErr w:type="spellStart"/>
      <w:r w:rsidRPr="00F8289A">
        <w:rPr>
          <w:rFonts w:asciiTheme="majorHAnsi" w:hAnsiTheme="majorHAnsi" w:cstheme="majorHAnsi"/>
          <w:i/>
          <w:sz w:val="22"/>
          <w:szCs w:val="22"/>
          <w:lang w:val="en-GB"/>
        </w:rPr>
        <w:t>Baczkowski</w:t>
      </w:r>
      <w:proofErr w:type="spellEnd"/>
      <w:r w:rsidRPr="00F8289A">
        <w:rPr>
          <w:rFonts w:asciiTheme="majorHAnsi" w:hAnsiTheme="majorHAnsi" w:cstheme="majorHAnsi"/>
          <w:i/>
          <w:sz w:val="22"/>
          <w:szCs w:val="22"/>
          <w:lang w:val="en-GB"/>
        </w:rPr>
        <w:t xml:space="preserve"> and Others v. Poland</w:t>
      </w:r>
      <w:r w:rsidRPr="00F8289A">
        <w:rPr>
          <w:rFonts w:asciiTheme="majorHAnsi" w:hAnsiTheme="majorHAnsi" w:cstheme="majorHAnsi"/>
          <w:sz w:val="22"/>
          <w:szCs w:val="22"/>
          <w:lang w:val="en-GB"/>
        </w:rPr>
        <w:t>, no. 1543/06, § 64,</w:t>
      </w:r>
      <w:r w:rsidR="00DC02BC" w:rsidRPr="00F8289A">
        <w:rPr>
          <w:rFonts w:asciiTheme="majorHAnsi" w:hAnsiTheme="majorHAnsi" w:cstheme="majorHAnsi"/>
          <w:sz w:val="22"/>
          <w:szCs w:val="22"/>
          <w:lang w:val="en-GB"/>
        </w:rPr>
        <w:t xml:space="preserve"> Judgment of</w:t>
      </w:r>
      <w:r w:rsidR="0018068F" w:rsidRPr="00F8289A">
        <w:rPr>
          <w:rFonts w:asciiTheme="majorHAnsi" w:hAnsiTheme="majorHAnsi" w:cstheme="majorHAnsi"/>
          <w:sz w:val="22"/>
          <w:szCs w:val="22"/>
          <w:lang w:val="en-GB"/>
        </w:rPr>
        <w:t xml:space="preserve"> 3 </w:t>
      </w:r>
      <w:r w:rsidRPr="00F8289A">
        <w:rPr>
          <w:rFonts w:asciiTheme="majorHAnsi" w:hAnsiTheme="majorHAnsi" w:cstheme="majorHAnsi"/>
          <w:sz w:val="22"/>
          <w:szCs w:val="22"/>
          <w:lang w:val="en-GB"/>
        </w:rPr>
        <w:t>May 2007) (reply to</w:t>
      </w:r>
      <w:r w:rsidR="0018068F" w:rsidRPr="00F8289A">
        <w:rPr>
          <w:rFonts w:asciiTheme="majorHAnsi" w:hAnsiTheme="majorHAnsi" w:cstheme="majorHAnsi"/>
          <w:sz w:val="22"/>
          <w:szCs w:val="22"/>
          <w:lang w:val="en-GB"/>
        </w:rPr>
        <w:t xml:space="preserve"> the</w:t>
      </w:r>
      <w:r w:rsidRPr="00F8289A">
        <w:rPr>
          <w:rFonts w:asciiTheme="majorHAnsi" w:hAnsiTheme="majorHAnsi" w:cstheme="majorHAnsi"/>
          <w:sz w:val="22"/>
          <w:szCs w:val="22"/>
          <w:lang w:val="en-GB"/>
        </w:rPr>
        <w:t xml:space="preserve"> question in § 4 of the Note of the Special Rapporteur).</w:t>
      </w:r>
    </w:p>
    <w:p w14:paraId="3F497D27" w14:textId="7C1409E2" w:rsidR="000902AF" w:rsidRPr="00F8289A" w:rsidRDefault="00B84BD2"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First, the relevan</w:t>
      </w:r>
      <w:r w:rsidR="00905952" w:rsidRPr="00F8289A">
        <w:rPr>
          <w:rFonts w:asciiTheme="majorHAnsi" w:hAnsiTheme="majorHAnsi" w:cstheme="majorHAnsi"/>
          <w:sz w:val="22"/>
          <w:szCs w:val="22"/>
          <w:lang w:val="en-GB"/>
        </w:rPr>
        <w:t>t public authority should fairly</w:t>
      </w:r>
      <w:r w:rsidR="0018068F" w:rsidRPr="00F8289A">
        <w:rPr>
          <w:rFonts w:asciiTheme="majorHAnsi" w:hAnsiTheme="majorHAnsi" w:cstheme="majorHAnsi"/>
          <w:sz w:val="22"/>
          <w:szCs w:val="22"/>
          <w:lang w:val="en-GB"/>
        </w:rPr>
        <w:t xml:space="preserve"> distribute</w:t>
      </w:r>
      <w:r w:rsidRPr="00F8289A">
        <w:rPr>
          <w:rFonts w:asciiTheme="majorHAnsi" w:hAnsiTheme="majorHAnsi" w:cstheme="majorHAnsi"/>
          <w:sz w:val="22"/>
          <w:szCs w:val="22"/>
          <w:lang w:val="en-GB"/>
        </w:rPr>
        <w:t xml:space="preserve"> access to public spaces ensuring that all interested groups are able in practi</w:t>
      </w:r>
      <w:r w:rsidR="00343DC7" w:rsidRPr="00F8289A">
        <w:rPr>
          <w:rFonts w:asciiTheme="majorHAnsi" w:hAnsiTheme="majorHAnsi" w:cstheme="majorHAnsi"/>
          <w:sz w:val="22"/>
          <w:szCs w:val="22"/>
          <w:lang w:val="en-GB"/>
        </w:rPr>
        <w:t>ce to stage peaceful assemblies “within sight and hearing</w:t>
      </w:r>
      <w:r w:rsidR="0018068F" w:rsidRPr="00F8289A">
        <w:rPr>
          <w:rFonts w:asciiTheme="majorHAnsi" w:hAnsiTheme="majorHAnsi" w:cstheme="majorHAnsi"/>
          <w:sz w:val="22"/>
          <w:szCs w:val="22"/>
          <w:lang w:val="en-GB"/>
        </w:rPr>
        <w:t xml:space="preserve"> of their target audience” (</w:t>
      </w:r>
      <w:proofErr w:type="spellStart"/>
      <w:r w:rsidR="00343DC7" w:rsidRPr="00F8289A">
        <w:rPr>
          <w:rFonts w:asciiTheme="majorHAnsi" w:hAnsiTheme="majorHAnsi" w:cstheme="majorHAnsi"/>
          <w:i/>
          <w:sz w:val="22"/>
          <w:szCs w:val="22"/>
          <w:lang w:val="en-GB"/>
        </w:rPr>
        <w:t>Severinets</w:t>
      </w:r>
      <w:proofErr w:type="spellEnd"/>
      <w:r w:rsidR="00343DC7" w:rsidRPr="00F8289A">
        <w:rPr>
          <w:rFonts w:asciiTheme="majorHAnsi" w:hAnsiTheme="majorHAnsi" w:cstheme="majorHAnsi"/>
          <w:i/>
          <w:sz w:val="22"/>
          <w:szCs w:val="22"/>
          <w:lang w:val="en-GB"/>
        </w:rPr>
        <w:t xml:space="preserve"> v. Belarus</w:t>
      </w:r>
      <w:r w:rsidR="00343DC7" w:rsidRPr="00F8289A">
        <w:rPr>
          <w:rFonts w:asciiTheme="majorHAnsi" w:hAnsiTheme="majorHAnsi" w:cstheme="majorHAnsi"/>
          <w:sz w:val="22"/>
          <w:szCs w:val="22"/>
          <w:lang w:val="en-GB"/>
        </w:rPr>
        <w:t>, no. 2230/2012, § 8.5, Views of 19 July 2018).</w:t>
      </w:r>
      <w:r w:rsidRPr="00F8289A">
        <w:rPr>
          <w:rFonts w:asciiTheme="majorHAnsi" w:hAnsiTheme="majorHAnsi" w:cstheme="majorHAnsi"/>
          <w:sz w:val="22"/>
          <w:szCs w:val="22"/>
          <w:lang w:val="en-GB"/>
        </w:rPr>
        <w:t xml:space="preserve"> This duty includes distribution of available locations and timeslots, for example, through making information about the locations and timeslots already taken by other groups publicly available, including on-line, in order to allow those who plan their own peaceful assembly to avoid overlap. This does not require significant public resources but permits fair distribution of limited spaces</w:t>
      </w:r>
      <w:r w:rsidR="00905952" w:rsidRPr="00F8289A">
        <w:rPr>
          <w:rFonts w:asciiTheme="majorHAnsi" w:hAnsiTheme="majorHAnsi" w:cstheme="majorHAnsi"/>
          <w:sz w:val="22"/>
          <w:szCs w:val="22"/>
          <w:lang w:val="en-GB"/>
        </w:rPr>
        <w:t xml:space="preserve"> between different groups willing to exercise their Article 21 rights</w:t>
      </w:r>
      <w:r w:rsidRPr="00F8289A">
        <w:rPr>
          <w:rFonts w:asciiTheme="majorHAnsi" w:hAnsiTheme="majorHAnsi" w:cstheme="majorHAnsi"/>
          <w:sz w:val="22"/>
          <w:szCs w:val="22"/>
          <w:lang w:val="en-GB"/>
        </w:rPr>
        <w:t xml:space="preserve"> without discrimination.</w:t>
      </w:r>
      <w:r w:rsidR="000902AF" w:rsidRPr="00F8289A">
        <w:rPr>
          <w:rFonts w:asciiTheme="majorHAnsi" w:hAnsiTheme="majorHAnsi" w:cstheme="majorHAnsi"/>
          <w:sz w:val="22"/>
          <w:szCs w:val="22"/>
          <w:lang w:val="en-GB"/>
        </w:rPr>
        <w:t xml:space="preserve"> </w:t>
      </w:r>
    </w:p>
    <w:p w14:paraId="22A09AFF" w14:textId="765CB63A" w:rsidR="000A5571" w:rsidRPr="00F8289A" w:rsidRDefault="000902AF"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lastRenderedPageBreak/>
        <w:t xml:space="preserve">In some countries various pretexts are used to justify prohibitions to hold peaceful assemblies </w:t>
      </w:r>
      <w:proofErr w:type="gramStart"/>
      <w:r w:rsidRPr="00F8289A">
        <w:rPr>
          <w:rFonts w:asciiTheme="majorHAnsi" w:hAnsiTheme="majorHAnsi" w:cstheme="majorHAnsi"/>
          <w:sz w:val="22"/>
          <w:szCs w:val="22"/>
          <w:lang w:val="en-GB"/>
        </w:rPr>
        <w:t>in particular locations</w:t>
      </w:r>
      <w:proofErr w:type="gramEnd"/>
      <w:r w:rsidRPr="00F8289A">
        <w:rPr>
          <w:rFonts w:asciiTheme="majorHAnsi" w:hAnsiTheme="majorHAnsi" w:cstheme="majorHAnsi"/>
          <w:sz w:val="22"/>
          <w:szCs w:val="22"/>
          <w:lang w:val="en-GB"/>
        </w:rPr>
        <w:t xml:space="preserve">. </w:t>
      </w:r>
      <w:r w:rsidR="00FF24D6" w:rsidRPr="00F8289A">
        <w:rPr>
          <w:rFonts w:asciiTheme="majorHAnsi" w:hAnsiTheme="majorHAnsi" w:cstheme="majorHAnsi"/>
          <w:sz w:val="22"/>
          <w:szCs w:val="22"/>
          <w:lang w:val="en-GB"/>
        </w:rPr>
        <w:t xml:space="preserve">Along with outright arbitrary prohibitions, </w:t>
      </w:r>
      <w:r w:rsidRPr="00F8289A">
        <w:rPr>
          <w:rFonts w:asciiTheme="majorHAnsi" w:hAnsiTheme="majorHAnsi" w:cstheme="majorHAnsi"/>
          <w:sz w:val="22"/>
          <w:szCs w:val="22"/>
          <w:lang w:val="en-GB"/>
        </w:rPr>
        <w:t>reference is often made to possible objections from the third parties. For example, it is common practice in Azerbaijan for the authorities to prevent peaceful assemblies from taking place with reference to the complaints submitted by individuals who live nearby and who do not want protest demonstration</w:t>
      </w:r>
      <w:r w:rsidR="00312C67" w:rsidRPr="00F8289A">
        <w:rPr>
          <w:rFonts w:asciiTheme="majorHAnsi" w:hAnsiTheme="majorHAnsi" w:cstheme="majorHAnsi"/>
          <w:sz w:val="22"/>
          <w:szCs w:val="22"/>
          <w:lang w:val="en-GB"/>
        </w:rPr>
        <w:t>s</w:t>
      </w:r>
      <w:r w:rsidRPr="00F8289A">
        <w:rPr>
          <w:rFonts w:asciiTheme="majorHAnsi" w:hAnsiTheme="majorHAnsi" w:cstheme="majorHAnsi"/>
          <w:sz w:val="22"/>
          <w:szCs w:val="22"/>
          <w:lang w:val="en-GB"/>
        </w:rPr>
        <w:t xml:space="preserve"> to take place near their residences. </w:t>
      </w:r>
      <w:r w:rsidR="007932BE" w:rsidRPr="00F8289A">
        <w:rPr>
          <w:rFonts w:asciiTheme="majorHAnsi" w:hAnsiTheme="majorHAnsi" w:cstheme="majorHAnsi"/>
          <w:sz w:val="22"/>
          <w:szCs w:val="22"/>
          <w:lang w:val="en-GB"/>
        </w:rPr>
        <w:t xml:space="preserve">Regardless </w:t>
      </w:r>
      <w:r w:rsidR="00312C67" w:rsidRPr="00F8289A">
        <w:rPr>
          <w:rFonts w:asciiTheme="majorHAnsi" w:hAnsiTheme="majorHAnsi" w:cstheme="majorHAnsi"/>
          <w:sz w:val="22"/>
          <w:szCs w:val="22"/>
          <w:lang w:val="en-GB"/>
        </w:rPr>
        <w:t>of</w:t>
      </w:r>
      <w:r w:rsidRPr="00F8289A">
        <w:rPr>
          <w:rFonts w:asciiTheme="majorHAnsi" w:hAnsiTheme="majorHAnsi" w:cstheme="majorHAnsi"/>
          <w:sz w:val="22"/>
          <w:szCs w:val="22"/>
          <w:lang w:val="en-GB"/>
        </w:rPr>
        <w:t xml:space="preserve"> whether those complaints are genuine or not, freedom of peaceful assembly should not be dependent on the wishes of third parties who might not like the message of protesters. Public spaces belong to everyone, and </w:t>
      </w:r>
      <w:r w:rsidR="00FF24D6" w:rsidRPr="00F8289A">
        <w:rPr>
          <w:rFonts w:asciiTheme="majorHAnsi" w:hAnsiTheme="majorHAnsi" w:cstheme="majorHAnsi"/>
          <w:sz w:val="22"/>
          <w:szCs w:val="22"/>
          <w:lang w:val="en-GB"/>
        </w:rPr>
        <w:t xml:space="preserve">the freedom of peaceful assembly would be deprived of its essence if the right to </w:t>
      </w:r>
      <w:r w:rsidR="00312C67" w:rsidRPr="00F8289A">
        <w:rPr>
          <w:rFonts w:asciiTheme="majorHAnsi" w:hAnsiTheme="majorHAnsi" w:cstheme="majorHAnsi"/>
          <w:sz w:val="22"/>
          <w:szCs w:val="22"/>
          <w:lang w:val="en-GB"/>
        </w:rPr>
        <w:t>assemble</w:t>
      </w:r>
      <w:r w:rsidR="00FF24D6" w:rsidRPr="00F8289A">
        <w:rPr>
          <w:rFonts w:asciiTheme="majorHAnsi" w:hAnsiTheme="majorHAnsi" w:cstheme="majorHAnsi"/>
          <w:sz w:val="22"/>
          <w:szCs w:val="22"/>
          <w:lang w:val="en-GB"/>
        </w:rPr>
        <w:t xml:space="preserve"> becomes dependent on the wishes of third parties. It is precisely the role of the authorities</w:t>
      </w:r>
      <w:r w:rsidR="00312C67" w:rsidRPr="00F8289A">
        <w:rPr>
          <w:rFonts w:asciiTheme="majorHAnsi" w:hAnsiTheme="majorHAnsi" w:cstheme="majorHAnsi"/>
          <w:sz w:val="22"/>
          <w:szCs w:val="22"/>
          <w:lang w:val="en-GB"/>
        </w:rPr>
        <w:t>,</w:t>
      </w:r>
      <w:r w:rsidR="00FF24D6" w:rsidRPr="00F8289A">
        <w:rPr>
          <w:rFonts w:asciiTheme="majorHAnsi" w:hAnsiTheme="majorHAnsi" w:cstheme="majorHAnsi"/>
          <w:sz w:val="22"/>
          <w:szCs w:val="22"/>
          <w:lang w:val="en-GB"/>
        </w:rPr>
        <w:t xml:space="preserve"> while</w:t>
      </w:r>
      <w:r w:rsidR="00905952" w:rsidRPr="00F8289A">
        <w:rPr>
          <w:rFonts w:asciiTheme="majorHAnsi" w:hAnsiTheme="majorHAnsi" w:cstheme="majorHAnsi"/>
          <w:sz w:val="22"/>
          <w:szCs w:val="22"/>
          <w:lang w:val="en-GB"/>
        </w:rPr>
        <w:t xml:space="preserve"> discharging their</w:t>
      </w:r>
      <w:r w:rsidR="00FF24D6" w:rsidRPr="00F8289A">
        <w:rPr>
          <w:rFonts w:asciiTheme="majorHAnsi" w:hAnsiTheme="majorHAnsi" w:cstheme="majorHAnsi"/>
          <w:sz w:val="22"/>
          <w:szCs w:val="22"/>
          <w:lang w:val="en-GB"/>
        </w:rPr>
        <w:t xml:space="preserve"> positive obligation to facilitate an assembly</w:t>
      </w:r>
      <w:r w:rsidR="00312C67" w:rsidRPr="00F8289A">
        <w:rPr>
          <w:rFonts w:asciiTheme="majorHAnsi" w:hAnsiTheme="majorHAnsi" w:cstheme="majorHAnsi"/>
          <w:sz w:val="22"/>
          <w:szCs w:val="22"/>
          <w:lang w:val="en-GB"/>
        </w:rPr>
        <w:t>,</w:t>
      </w:r>
      <w:r w:rsidR="00FF24D6" w:rsidRPr="00F8289A">
        <w:rPr>
          <w:rFonts w:asciiTheme="majorHAnsi" w:hAnsiTheme="majorHAnsi" w:cstheme="majorHAnsi"/>
          <w:sz w:val="22"/>
          <w:szCs w:val="22"/>
          <w:lang w:val="en-GB"/>
        </w:rPr>
        <w:t xml:space="preserve"> to establish cooperation between everyone involved with the aim </w:t>
      </w:r>
      <w:r w:rsidR="00312C67" w:rsidRPr="00F8289A">
        <w:rPr>
          <w:rFonts w:asciiTheme="majorHAnsi" w:hAnsiTheme="majorHAnsi" w:cstheme="majorHAnsi"/>
          <w:sz w:val="22"/>
          <w:szCs w:val="22"/>
          <w:lang w:val="en-GB"/>
        </w:rPr>
        <w:t>of</w:t>
      </w:r>
      <w:r w:rsidR="00FF24D6" w:rsidRPr="00F8289A">
        <w:rPr>
          <w:rFonts w:asciiTheme="majorHAnsi" w:hAnsiTheme="majorHAnsi" w:cstheme="majorHAnsi"/>
          <w:sz w:val="22"/>
          <w:szCs w:val="22"/>
          <w:lang w:val="en-GB"/>
        </w:rPr>
        <w:t xml:space="preserve"> seek</w:t>
      </w:r>
      <w:r w:rsidR="00312C67" w:rsidRPr="00F8289A">
        <w:rPr>
          <w:rFonts w:asciiTheme="majorHAnsi" w:hAnsiTheme="majorHAnsi" w:cstheme="majorHAnsi"/>
          <w:sz w:val="22"/>
          <w:szCs w:val="22"/>
          <w:lang w:val="en-GB"/>
        </w:rPr>
        <w:t xml:space="preserve">ing practical solutions— </w:t>
      </w:r>
      <w:r w:rsidR="00FF24D6" w:rsidRPr="00F8289A">
        <w:rPr>
          <w:rFonts w:asciiTheme="majorHAnsi" w:hAnsiTheme="majorHAnsi" w:cstheme="majorHAnsi"/>
          <w:sz w:val="22"/>
          <w:szCs w:val="22"/>
          <w:lang w:val="en-GB"/>
        </w:rPr>
        <w:t>for example, reasonably limiting the time allocat</w:t>
      </w:r>
      <w:r w:rsidR="00312C67" w:rsidRPr="00F8289A">
        <w:rPr>
          <w:rFonts w:asciiTheme="majorHAnsi" w:hAnsiTheme="majorHAnsi" w:cstheme="majorHAnsi"/>
          <w:sz w:val="22"/>
          <w:szCs w:val="22"/>
          <w:lang w:val="en-GB"/>
        </w:rPr>
        <w:t>ed for the assembly in question—</w:t>
      </w:r>
      <w:r w:rsidR="00FF24D6" w:rsidRPr="00F8289A">
        <w:rPr>
          <w:rFonts w:asciiTheme="majorHAnsi" w:hAnsiTheme="majorHAnsi" w:cstheme="majorHAnsi"/>
          <w:sz w:val="22"/>
          <w:szCs w:val="22"/>
          <w:lang w:val="en-GB"/>
        </w:rPr>
        <w:t xml:space="preserve"> that would, from the one hand, ensure m</w:t>
      </w:r>
      <w:r w:rsidR="00905952" w:rsidRPr="00F8289A">
        <w:rPr>
          <w:rFonts w:asciiTheme="majorHAnsi" w:hAnsiTheme="majorHAnsi" w:cstheme="majorHAnsi"/>
          <w:sz w:val="22"/>
          <w:szCs w:val="22"/>
          <w:lang w:val="en-GB"/>
        </w:rPr>
        <w:t>eaningful exercise of the right protected by Article 21</w:t>
      </w:r>
      <w:r w:rsidR="00FF24D6" w:rsidRPr="00F8289A">
        <w:rPr>
          <w:rFonts w:asciiTheme="majorHAnsi" w:hAnsiTheme="majorHAnsi" w:cstheme="majorHAnsi"/>
          <w:sz w:val="22"/>
          <w:szCs w:val="22"/>
          <w:lang w:val="en-GB"/>
        </w:rPr>
        <w:t xml:space="preserve">, and, from </w:t>
      </w:r>
      <w:r w:rsidR="007932BE" w:rsidRPr="00F8289A">
        <w:rPr>
          <w:rFonts w:asciiTheme="majorHAnsi" w:hAnsiTheme="majorHAnsi" w:cstheme="majorHAnsi"/>
          <w:sz w:val="22"/>
          <w:szCs w:val="22"/>
          <w:lang w:val="en-GB"/>
        </w:rPr>
        <w:t>on the other</w:t>
      </w:r>
      <w:r w:rsidR="00FF24D6" w:rsidRPr="00F8289A">
        <w:rPr>
          <w:rFonts w:asciiTheme="majorHAnsi" w:hAnsiTheme="majorHAnsi" w:cstheme="majorHAnsi"/>
          <w:sz w:val="22"/>
          <w:szCs w:val="22"/>
          <w:lang w:val="en-GB"/>
        </w:rPr>
        <w:t xml:space="preserve"> hand, take into account the legitimate concerns of all interested parties.</w:t>
      </w:r>
    </w:p>
    <w:p w14:paraId="5C0A793E" w14:textId="234F8FAF" w:rsidR="00FF24D6" w:rsidRPr="00F8289A" w:rsidRDefault="007932BE"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w:t>
      </w:r>
      <w:r w:rsidR="00FF24D6" w:rsidRPr="00F8289A">
        <w:rPr>
          <w:rFonts w:asciiTheme="majorHAnsi" w:hAnsiTheme="majorHAnsi" w:cstheme="majorHAnsi"/>
          <w:sz w:val="22"/>
          <w:szCs w:val="22"/>
          <w:lang w:val="en-GB"/>
        </w:rPr>
        <w:t>he positive obligation</w:t>
      </w:r>
      <w:r w:rsidR="00AA6326" w:rsidRPr="00F8289A">
        <w:rPr>
          <w:rFonts w:asciiTheme="majorHAnsi" w:hAnsiTheme="majorHAnsi" w:cstheme="majorHAnsi"/>
          <w:sz w:val="22"/>
          <w:szCs w:val="22"/>
          <w:lang w:val="en-GB"/>
        </w:rPr>
        <w:t xml:space="preserve"> of the authorities</w:t>
      </w:r>
      <w:r w:rsidR="00FF24D6" w:rsidRPr="00F8289A">
        <w:rPr>
          <w:rFonts w:asciiTheme="majorHAnsi" w:hAnsiTheme="majorHAnsi" w:cstheme="majorHAnsi"/>
          <w:sz w:val="22"/>
          <w:szCs w:val="22"/>
          <w:lang w:val="en-GB"/>
        </w:rPr>
        <w:t xml:space="preserve"> to facilitate peaceful assembly</w:t>
      </w:r>
      <w:r w:rsidRPr="00F8289A">
        <w:rPr>
          <w:rFonts w:asciiTheme="majorHAnsi" w:hAnsiTheme="majorHAnsi" w:cstheme="majorHAnsi"/>
          <w:sz w:val="22"/>
          <w:szCs w:val="22"/>
          <w:lang w:val="en-GB"/>
        </w:rPr>
        <w:t xml:space="preserve"> may, in certain circumstances, also include an </w:t>
      </w:r>
      <w:r w:rsidR="00826870" w:rsidRPr="00F8289A">
        <w:rPr>
          <w:rFonts w:asciiTheme="majorHAnsi" w:hAnsiTheme="majorHAnsi" w:cstheme="majorHAnsi"/>
          <w:sz w:val="22"/>
          <w:szCs w:val="22"/>
          <w:lang w:val="en-GB"/>
        </w:rPr>
        <w:t>obligation to provide, subject to</w:t>
      </w:r>
      <w:r w:rsidR="00AA6326" w:rsidRPr="00F8289A">
        <w:rPr>
          <w:rFonts w:asciiTheme="majorHAnsi" w:hAnsiTheme="majorHAnsi" w:cstheme="majorHAnsi"/>
          <w:sz w:val="22"/>
          <w:szCs w:val="22"/>
          <w:lang w:val="en-GB"/>
        </w:rPr>
        <w:t xml:space="preserve"> reasonable conditions</w:t>
      </w:r>
      <w:r w:rsidR="00826870" w:rsidRPr="00F8289A">
        <w:rPr>
          <w:rFonts w:asciiTheme="majorHAnsi" w:hAnsiTheme="majorHAnsi" w:cstheme="majorHAnsi"/>
          <w:sz w:val="22"/>
          <w:szCs w:val="22"/>
          <w:lang w:val="en-GB"/>
        </w:rPr>
        <w:t xml:space="preserve"> of costs sharing</w:t>
      </w:r>
      <w:r w:rsidR="00AA6326" w:rsidRPr="00F8289A">
        <w:rPr>
          <w:rFonts w:asciiTheme="majorHAnsi" w:hAnsiTheme="majorHAnsi" w:cstheme="majorHAnsi"/>
          <w:sz w:val="22"/>
          <w:szCs w:val="22"/>
          <w:lang w:val="en-GB"/>
        </w:rPr>
        <w:t>, publicly owned venues, such as congress halls or similar spaces, if they are appropriate for holding an assembly, and other suitable venues</w:t>
      </w:r>
      <w:r w:rsidR="00F44E11" w:rsidRPr="00F8289A">
        <w:rPr>
          <w:rFonts w:asciiTheme="majorHAnsi" w:hAnsiTheme="majorHAnsi" w:cstheme="majorHAnsi"/>
          <w:sz w:val="22"/>
          <w:szCs w:val="22"/>
          <w:lang w:val="en-GB"/>
        </w:rPr>
        <w:t xml:space="preserve"> in the same vicinity</w:t>
      </w:r>
      <w:r w:rsidR="00AA6326" w:rsidRPr="00F8289A">
        <w:rPr>
          <w:rFonts w:asciiTheme="majorHAnsi" w:hAnsiTheme="majorHAnsi" w:cstheme="majorHAnsi"/>
          <w:sz w:val="22"/>
          <w:szCs w:val="22"/>
          <w:lang w:val="en-GB"/>
        </w:rPr>
        <w:t xml:space="preserve"> are not accessible.</w:t>
      </w:r>
    </w:p>
    <w:p w14:paraId="7003174D" w14:textId="3E48024B" w:rsidR="00B84BD2" w:rsidRPr="00F8289A" w:rsidRDefault="00B84BD2"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Second, police should protect participants of peaceful assemblies. This positive obligation i</w:t>
      </w:r>
      <w:r w:rsidR="00DC02BC" w:rsidRPr="00F8289A">
        <w:rPr>
          <w:rFonts w:asciiTheme="majorHAnsi" w:hAnsiTheme="majorHAnsi" w:cstheme="majorHAnsi"/>
          <w:sz w:val="22"/>
          <w:szCs w:val="22"/>
          <w:lang w:val="en-GB"/>
        </w:rPr>
        <w:t>s particularly pertinent in respect</w:t>
      </w:r>
      <w:r w:rsidR="0018068F" w:rsidRPr="00F8289A">
        <w:rPr>
          <w:rFonts w:asciiTheme="majorHAnsi" w:hAnsiTheme="majorHAnsi" w:cstheme="majorHAnsi"/>
          <w:sz w:val="22"/>
          <w:szCs w:val="22"/>
          <w:lang w:val="en-GB"/>
        </w:rPr>
        <w:t xml:space="preserve"> of those gatherings</w:t>
      </w:r>
      <w:r w:rsidRPr="00F8289A">
        <w:rPr>
          <w:rFonts w:asciiTheme="majorHAnsi" w:hAnsiTheme="majorHAnsi" w:cstheme="majorHAnsi"/>
          <w:sz w:val="22"/>
          <w:szCs w:val="22"/>
          <w:lang w:val="en-GB"/>
        </w:rPr>
        <w:t xml:space="preserve"> that express views or opinions </w:t>
      </w:r>
      <w:r w:rsidR="00CE5B90" w:rsidRPr="00F8289A">
        <w:rPr>
          <w:rFonts w:asciiTheme="majorHAnsi" w:hAnsiTheme="majorHAnsi" w:cstheme="majorHAnsi"/>
          <w:sz w:val="22"/>
          <w:szCs w:val="22"/>
          <w:lang w:val="en-GB"/>
        </w:rPr>
        <w:t xml:space="preserve">known to be controversial in a </w:t>
      </w:r>
      <w:r w:rsidRPr="00F8289A">
        <w:rPr>
          <w:rFonts w:asciiTheme="majorHAnsi" w:hAnsiTheme="majorHAnsi" w:cstheme="majorHAnsi"/>
          <w:sz w:val="22"/>
          <w:szCs w:val="22"/>
          <w:lang w:val="en-GB"/>
        </w:rPr>
        <w:t>society.</w:t>
      </w:r>
      <w:r w:rsidR="00DC02BC" w:rsidRPr="00F8289A">
        <w:rPr>
          <w:rFonts w:asciiTheme="majorHAnsi" w:hAnsiTheme="majorHAnsi" w:cstheme="majorHAnsi"/>
          <w:sz w:val="22"/>
          <w:szCs w:val="22"/>
          <w:lang w:val="en-GB"/>
        </w:rPr>
        <w:t xml:space="preserve"> In the words of the European Court of Human Rights, given that</w:t>
      </w:r>
      <w:r w:rsidR="007932BE" w:rsidRPr="00F8289A">
        <w:rPr>
          <w:rFonts w:asciiTheme="majorHAnsi" w:hAnsiTheme="majorHAnsi" w:cstheme="majorHAnsi"/>
          <w:sz w:val="22"/>
          <w:szCs w:val="22"/>
          <w:lang w:val="en-GB"/>
        </w:rPr>
        <w:t>,</w:t>
      </w:r>
      <w:r w:rsidR="00DC02BC" w:rsidRPr="00F8289A">
        <w:rPr>
          <w:rFonts w:asciiTheme="majorHAnsi" w:hAnsiTheme="majorHAnsi" w:cstheme="majorHAnsi"/>
          <w:sz w:val="22"/>
          <w:szCs w:val="22"/>
          <w:lang w:val="en-GB"/>
        </w:rPr>
        <w:t xml:space="preserve"> “[t]he State must act as the ultimate guarantor of the principles of pluralism, tolerance and broadmindedness… [the positive obligation to protect] is of </w:t>
      </w:r>
      <w:proofErr w:type="gramStart"/>
      <w:r w:rsidR="00DC02BC" w:rsidRPr="00F8289A">
        <w:rPr>
          <w:rFonts w:asciiTheme="majorHAnsi" w:hAnsiTheme="majorHAnsi" w:cstheme="majorHAnsi"/>
          <w:sz w:val="22"/>
          <w:szCs w:val="22"/>
          <w:lang w:val="en-GB"/>
        </w:rPr>
        <w:t>particular importance</w:t>
      </w:r>
      <w:proofErr w:type="gramEnd"/>
      <w:r w:rsidR="00DC02BC" w:rsidRPr="00F8289A">
        <w:rPr>
          <w:rFonts w:asciiTheme="majorHAnsi" w:hAnsiTheme="majorHAnsi" w:cstheme="majorHAnsi"/>
          <w:sz w:val="22"/>
          <w:szCs w:val="22"/>
          <w:lang w:val="en-GB"/>
        </w:rPr>
        <w:t xml:space="preserve"> for persons holding unpopular views or belonging to minorities, because they are more vulnerable to victimization… A peaceful demonstration may annoy or give offence to persons opposed to the ideas or claims that it seeks to promote. The participants must, however, be able with the State’s assistance, to hold the demonstration without having to fear that they will be subjected to physical violence by their opponents” (</w:t>
      </w:r>
      <w:proofErr w:type="spellStart"/>
      <w:r w:rsidR="00905736" w:rsidRPr="00F8289A">
        <w:rPr>
          <w:rFonts w:asciiTheme="majorHAnsi" w:hAnsiTheme="majorHAnsi" w:cstheme="majorHAnsi"/>
          <w:i/>
          <w:sz w:val="22"/>
          <w:szCs w:val="22"/>
          <w:lang w:val="en-GB"/>
        </w:rPr>
        <w:t>Identoba</w:t>
      </w:r>
      <w:proofErr w:type="spellEnd"/>
      <w:r w:rsidR="00905736" w:rsidRPr="00F8289A">
        <w:rPr>
          <w:rFonts w:asciiTheme="majorHAnsi" w:hAnsiTheme="majorHAnsi" w:cstheme="majorHAnsi"/>
          <w:i/>
          <w:sz w:val="22"/>
          <w:szCs w:val="22"/>
          <w:lang w:val="en-GB"/>
        </w:rPr>
        <w:t xml:space="preserve"> and Others v. Georgia</w:t>
      </w:r>
      <w:r w:rsidR="00905736" w:rsidRPr="00F8289A">
        <w:rPr>
          <w:rFonts w:asciiTheme="majorHAnsi" w:hAnsiTheme="majorHAnsi" w:cstheme="majorHAnsi"/>
          <w:sz w:val="22"/>
          <w:szCs w:val="22"/>
          <w:lang w:val="en-GB"/>
        </w:rPr>
        <w:t>, no. 73235/12, §§ 94-95, Judgment of 12 May 2015).</w:t>
      </w:r>
    </w:p>
    <w:p w14:paraId="28505A1C" w14:textId="1313181E" w:rsidR="00905736" w:rsidRPr="00F8289A" w:rsidRDefault="00905736"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Third,</w:t>
      </w:r>
      <w:r w:rsidR="00621A86" w:rsidRPr="00F8289A">
        <w:rPr>
          <w:rFonts w:asciiTheme="majorHAnsi" w:hAnsiTheme="majorHAnsi" w:cstheme="majorHAnsi"/>
          <w:sz w:val="22"/>
          <w:szCs w:val="22"/>
          <w:lang w:val="en-GB"/>
        </w:rPr>
        <w:t xml:space="preserve"> the</w:t>
      </w:r>
      <w:r w:rsidRPr="00F8289A">
        <w:rPr>
          <w:rFonts w:asciiTheme="majorHAnsi" w:hAnsiTheme="majorHAnsi" w:cstheme="majorHAnsi"/>
          <w:sz w:val="22"/>
          <w:szCs w:val="22"/>
          <w:lang w:val="en-GB"/>
        </w:rPr>
        <w:t xml:space="preserve"> duty to facilitate peaceful assembly </w:t>
      </w:r>
      <w:r w:rsidR="00621A86" w:rsidRPr="00F8289A">
        <w:rPr>
          <w:rFonts w:asciiTheme="majorHAnsi" w:hAnsiTheme="majorHAnsi" w:cstheme="majorHAnsi"/>
          <w:sz w:val="22"/>
          <w:szCs w:val="22"/>
          <w:lang w:val="en-GB"/>
        </w:rPr>
        <w:t>impl</w:t>
      </w:r>
      <w:r w:rsidR="007932BE" w:rsidRPr="00F8289A">
        <w:rPr>
          <w:rFonts w:asciiTheme="majorHAnsi" w:hAnsiTheme="majorHAnsi" w:cstheme="majorHAnsi"/>
          <w:sz w:val="22"/>
          <w:szCs w:val="22"/>
          <w:lang w:val="en-GB"/>
        </w:rPr>
        <w:t>ies</w:t>
      </w:r>
      <w:r w:rsidR="00621A86" w:rsidRPr="00F8289A">
        <w:rPr>
          <w:rFonts w:asciiTheme="majorHAnsi" w:hAnsiTheme="majorHAnsi" w:cstheme="majorHAnsi"/>
          <w:sz w:val="22"/>
          <w:szCs w:val="22"/>
          <w:lang w:val="en-GB"/>
        </w:rPr>
        <w:t xml:space="preserve"> taking care of</w:t>
      </w:r>
      <w:r w:rsidRPr="00F8289A">
        <w:rPr>
          <w:rFonts w:asciiTheme="majorHAnsi" w:hAnsiTheme="majorHAnsi" w:cstheme="majorHAnsi"/>
          <w:sz w:val="22"/>
          <w:szCs w:val="22"/>
          <w:lang w:val="en-GB"/>
        </w:rPr>
        <w:t xml:space="preserve"> a variety of p</w:t>
      </w:r>
      <w:r w:rsidR="00621A86" w:rsidRPr="00F8289A">
        <w:rPr>
          <w:rFonts w:asciiTheme="majorHAnsi" w:hAnsiTheme="majorHAnsi" w:cstheme="majorHAnsi"/>
          <w:sz w:val="22"/>
          <w:szCs w:val="22"/>
          <w:lang w:val="en-GB"/>
        </w:rPr>
        <w:t>ractical arrangements, such as</w:t>
      </w:r>
      <w:r w:rsidRPr="00F8289A">
        <w:rPr>
          <w:rFonts w:asciiTheme="majorHAnsi" w:hAnsiTheme="majorHAnsi" w:cstheme="majorHAnsi"/>
          <w:sz w:val="22"/>
          <w:szCs w:val="22"/>
          <w:lang w:val="en-GB"/>
        </w:rPr>
        <w:t xml:space="preserve"> provision of medical assistance, cleaning services, regulation of traffic</w:t>
      </w:r>
      <w:r w:rsidR="007932BE" w:rsidRPr="00F8289A">
        <w:rPr>
          <w:rFonts w:asciiTheme="majorHAnsi" w:hAnsiTheme="majorHAnsi" w:cstheme="majorHAnsi"/>
          <w:sz w:val="22"/>
          <w:szCs w:val="22"/>
          <w:lang w:val="en-GB"/>
        </w:rPr>
        <w:t>—</w:t>
      </w:r>
      <w:r w:rsidRPr="00F8289A">
        <w:rPr>
          <w:rFonts w:asciiTheme="majorHAnsi" w:hAnsiTheme="majorHAnsi" w:cstheme="majorHAnsi"/>
          <w:sz w:val="22"/>
          <w:szCs w:val="22"/>
          <w:lang w:val="en-GB"/>
        </w:rPr>
        <w:t xml:space="preserve"> those duties that would normally</w:t>
      </w:r>
      <w:r w:rsidR="00621A86" w:rsidRPr="00F8289A">
        <w:rPr>
          <w:rFonts w:asciiTheme="majorHAnsi" w:hAnsiTheme="majorHAnsi" w:cstheme="majorHAnsi"/>
          <w:sz w:val="22"/>
          <w:szCs w:val="22"/>
          <w:lang w:val="en-GB"/>
        </w:rPr>
        <w:t xml:space="preserve"> in any event</w:t>
      </w:r>
      <w:r w:rsidRPr="00F8289A">
        <w:rPr>
          <w:rFonts w:asciiTheme="majorHAnsi" w:hAnsiTheme="majorHAnsi" w:cstheme="majorHAnsi"/>
          <w:sz w:val="22"/>
          <w:szCs w:val="22"/>
          <w:lang w:val="en-GB"/>
        </w:rPr>
        <w:t xml:space="preserve"> be exercised by public authorities, but with modifications</w:t>
      </w:r>
      <w:r w:rsidR="00CE5B90" w:rsidRPr="00F8289A">
        <w:rPr>
          <w:rFonts w:asciiTheme="majorHAnsi" w:hAnsiTheme="majorHAnsi" w:cstheme="majorHAnsi"/>
          <w:sz w:val="22"/>
          <w:szCs w:val="22"/>
          <w:lang w:val="en-GB"/>
        </w:rPr>
        <w:t xml:space="preserve"> necessarily required by the</w:t>
      </w:r>
      <w:r w:rsidRPr="00F8289A">
        <w:rPr>
          <w:rFonts w:asciiTheme="majorHAnsi" w:hAnsiTheme="majorHAnsi" w:cstheme="majorHAnsi"/>
          <w:sz w:val="22"/>
          <w:szCs w:val="22"/>
          <w:lang w:val="en-GB"/>
        </w:rPr>
        <w:t xml:space="preserve"> holding</w:t>
      </w:r>
      <w:r w:rsidR="00CE5B90" w:rsidRPr="00F8289A">
        <w:rPr>
          <w:rFonts w:asciiTheme="majorHAnsi" w:hAnsiTheme="majorHAnsi" w:cstheme="majorHAnsi"/>
          <w:sz w:val="22"/>
          <w:szCs w:val="22"/>
          <w:lang w:val="en-GB"/>
        </w:rPr>
        <w:t xml:space="preserve"> of</w:t>
      </w:r>
      <w:r w:rsidRPr="00F8289A">
        <w:rPr>
          <w:rFonts w:asciiTheme="majorHAnsi" w:hAnsiTheme="majorHAnsi" w:cstheme="majorHAnsi"/>
          <w:sz w:val="22"/>
          <w:szCs w:val="22"/>
          <w:lang w:val="en-GB"/>
        </w:rPr>
        <w:t xml:space="preserve"> a peaceful assembly.</w:t>
      </w:r>
    </w:p>
    <w:p w14:paraId="1D4F7165" w14:textId="4BB9D203" w:rsidR="00905736" w:rsidRPr="00F8289A" w:rsidRDefault="00905736"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The shifting of this burden to the organizers of a peaceful assembly (reply to the question posed by the Special Rapporteur in § 7 of his Note) is just another method to create a “chilling effect” and to prevent mass protest actions from being orderly and peacefully held.</w:t>
      </w:r>
      <w:r w:rsidR="00587532" w:rsidRPr="00F8289A">
        <w:rPr>
          <w:rFonts w:asciiTheme="majorHAnsi" w:hAnsiTheme="majorHAnsi" w:cstheme="majorHAnsi"/>
          <w:sz w:val="22"/>
          <w:szCs w:val="22"/>
          <w:lang w:val="en-GB"/>
        </w:rPr>
        <w:t xml:space="preserve"> The following case recently adjudicated by a district court in St Petersburg, Russian Federation, is</w:t>
      </w:r>
      <w:r w:rsidR="00DB3EC7" w:rsidRPr="00F8289A">
        <w:rPr>
          <w:rFonts w:asciiTheme="majorHAnsi" w:hAnsiTheme="majorHAnsi" w:cstheme="majorHAnsi"/>
          <w:sz w:val="22"/>
          <w:szCs w:val="22"/>
          <w:lang w:val="en-GB"/>
        </w:rPr>
        <w:t xml:space="preserve"> illustrative</w:t>
      </w:r>
      <w:r w:rsidR="0013267D" w:rsidRPr="00F8289A">
        <w:rPr>
          <w:rFonts w:asciiTheme="majorHAnsi" w:hAnsiTheme="majorHAnsi" w:cstheme="majorHAnsi"/>
          <w:sz w:val="22"/>
          <w:szCs w:val="22"/>
          <w:lang w:val="en-GB"/>
        </w:rPr>
        <w:t xml:space="preserve"> of this tendency</w:t>
      </w:r>
      <w:r w:rsidR="00DB3EC7" w:rsidRPr="00F8289A">
        <w:rPr>
          <w:rFonts w:asciiTheme="majorHAnsi" w:hAnsiTheme="majorHAnsi" w:cstheme="majorHAnsi"/>
          <w:sz w:val="22"/>
          <w:szCs w:val="22"/>
          <w:lang w:val="en-GB"/>
        </w:rPr>
        <w:t xml:space="preserve">. Opposition political activists Messrs </w:t>
      </w:r>
      <w:proofErr w:type="spellStart"/>
      <w:r w:rsidR="00DB3EC7" w:rsidRPr="00F8289A">
        <w:rPr>
          <w:rFonts w:asciiTheme="majorHAnsi" w:hAnsiTheme="majorHAnsi" w:cstheme="majorHAnsi"/>
          <w:sz w:val="22"/>
          <w:szCs w:val="22"/>
          <w:lang w:val="en-GB"/>
        </w:rPr>
        <w:t>B.Litvin</w:t>
      </w:r>
      <w:proofErr w:type="spellEnd"/>
      <w:r w:rsidR="00DB3EC7" w:rsidRPr="00F8289A">
        <w:rPr>
          <w:rFonts w:asciiTheme="majorHAnsi" w:hAnsiTheme="majorHAnsi" w:cstheme="majorHAnsi"/>
          <w:sz w:val="22"/>
          <w:szCs w:val="22"/>
          <w:lang w:val="en-GB"/>
        </w:rPr>
        <w:t xml:space="preserve"> and D.</w:t>
      </w:r>
      <w:r w:rsidR="0013267D" w:rsidRPr="00F8289A">
        <w:rPr>
          <w:rFonts w:asciiTheme="majorHAnsi" w:hAnsiTheme="majorHAnsi" w:cstheme="majorHAnsi"/>
          <w:sz w:val="22"/>
          <w:szCs w:val="22"/>
          <w:lang w:val="en-GB"/>
        </w:rPr>
        <w:t xml:space="preserve"> </w:t>
      </w:r>
      <w:proofErr w:type="spellStart"/>
      <w:r w:rsidR="00587532" w:rsidRPr="00F8289A">
        <w:rPr>
          <w:rFonts w:asciiTheme="majorHAnsi" w:hAnsiTheme="majorHAnsi" w:cstheme="majorHAnsi"/>
          <w:sz w:val="22"/>
          <w:szCs w:val="22"/>
          <w:lang w:val="en-GB"/>
        </w:rPr>
        <w:t>Mikhaylov</w:t>
      </w:r>
      <w:proofErr w:type="spellEnd"/>
      <w:r w:rsidR="00587532" w:rsidRPr="00F8289A">
        <w:rPr>
          <w:rFonts w:asciiTheme="majorHAnsi" w:hAnsiTheme="majorHAnsi" w:cstheme="majorHAnsi"/>
          <w:sz w:val="22"/>
          <w:szCs w:val="22"/>
          <w:lang w:val="en-GB"/>
        </w:rPr>
        <w:t xml:space="preserve"> were ordered to pay damages </w:t>
      </w:r>
      <w:r w:rsidR="0013267D" w:rsidRPr="00F8289A">
        <w:rPr>
          <w:rFonts w:asciiTheme="majorHAnsi" w:hAnsiTheme="majorHAnsi" w:cstheme="majorHAnsi"/>
          <w:sz w:val="22"/>
          <w:szCs w:val="22"/>
          <w:lang w:val="en-GB"/>
        </w:rPr>
        <w:t>totalling</w:t>
      </w:r>
      <w:r w:rsidR="00587532" w:rsidRPr="00F8289A">
        <w:rPr>
          <w:rFonts w:asciiTheme="majorHAnsi" w:hAnsiTheme="majorHAnsi" w:cstheme="majorHAnsi"/>
          <w:sz w:val="22"/>
          <w:szCs w:val="22"/>
          <w:lang w:val="en-GB"/>
        </w:rPr>
        <w:t xml:space="preserve"> approximately EUR 100 000</w:t>
      </w:r>
      <w:r w:rsidR="00621A86" w:rsidRPr="00F8289A">
        <w:rPr>
          <w:rFonts w:asciiTheme="majorHAnsi" w:hAnsiTheme="majorHAnsi" w:cstheme="majorHAnsi"/>
          <w:sz w:val="22"/>
          <w:szCs w:val="22"/>
          <w:lang w:val="en-GB"/>
        </w:rPr>
        <w:t xml:space="preserve"> as a result of</w:t>
      </w:r>
      <w:r w:rsidR="00DB3EC7" w:rsidRPr="00F8289A">
        <w:rPr>
          <w:rFonts w:asciiTheme="majorHAnsi" w:hAnsiTheme="majorHAnsi" w:cstheme="majorHAnsi"/>
          <w:sz w:val="22"/>
          <w:szCs w:val="22"/>
          <w:lang w:val="en-GB"/>
        </w:rPr>
        <w:t xml:space="preserve"> a civil suit brought by the office of the city public prosecutor.</w:t>
      </w:r>
      <w:r w:rsidR="00587532" w:rsidRPr="00F8289A">
        <w:rPr>
          <w:rStyle w:val="FootnoteReference"/>
          <w:rFonts w:asciiTheme="majorHAnsi" w:hAnsiTheme="majorHAnsi" w:cstheme="majorHAnsi"/>
          <w:sz w:val="22"/>
          <w:szCs w:val="22"/>
          <w:lang w:val="en-GB"/>
        </w:rPr>
        <w:footnoteReference w:id="4"/>
      </w:r>
      <w:r w:rsidR="00DB3EC7" w:rsidRPr="00F8289A">
        <w:rPr>
          <w:rFonts w:asciiTheme="majorHAnsi" w:hAnsiTheme="majorHAnsi" w:cstheme="majorHAnsi"/>
          <w:sz w:val="22"/>
          <w:szCs w:val="22"/>
          <w:lang w:val="en-GB"/>
        </w:rPr>
        <w:t xml:space="preserve"> With reference to the posts in their widely </w:t>
      </w:r>
      <w:r w:rsidR="00DB3EC7" w:rsidRPr="00F8289A">
        <w:rPr>
          <w:rFonts w:asciiTheme="majorHAnsi" w:hAnsiTheme="majorHAnsi" w:cstheme="majorHAnsi"/>
          <w:sz w:val="22"/>
          <w:szCs w:val="22"/>
          <w:lang w:val="en-GB"/>
        </w:rPr>
        <w:lastRenderedPageBreak/>
        <w:t>popular social media accounts</w:t>
      </w:r>
      <w:r w:rsidR="0013267D" w:rsidRPr="00F8289A">
        <w:rPr>
          <w:rFonts w:asciiTheme="majorHAnsi" w:hAnsiTheme="majorHAnsi" w:cstheme="majorHAnsi"/>
          <w:sz w:val="22"/>
          <w:szCs w:val="22"/>
          <w:lang w:val="en-GB"/>
        </w:rPr>
        <w:t>,</w:t>
      </w:r>
      <w:r w:rsidR="00DB3EC7" w:rsidRPr="00F8289A">
        <w:rPr>
          <w:rFonts w:asciiTheme="majorHAnsi" w:hAnsiTheme="majorHAnsi" w:cstheme="majorHAnsi"/>
          <w:sz w:val="22"/>
          <w:szCs w:val="22"/>
          <w:lang w:val="en-GB"/>
        </w:rPr>
        <w:t xml:space="preserve"> the district court decided that the respondents had been </w:t>
      </w:r>
      <w:r w:rsidR="00DB3EC7" w:rsidRPr="00F8289A">
        <w:rPr>
          <w:rFonts w:asciiTheme="majorHAnsi" w:hAnsiTheme="majorHAnsi" w:cstheme="majorHAnsi"/>
          <w:i/>
          <w:sz w:val="22"/>
          <w:szCs w:val="22"/>
          <w:lang w:val="en-GB"/>
        </w:rPr>
        <w:t>de facto</w:t>
      </w:r>
      <w:r w:rsidR="00621A86" w:rsidRPr="00F8289A">
        <w:rPr>
          <w:rFonts w:asciiTheme="majorHAnsi" w:hAnsiTheme="majorHAnsi" w:cstheme="majorHAnsi"/>
          <w:sz w:val="22"/>
          <w:szCs w:val="22"/>
          <w:lang w:val="en-GB"/>
        </w:rPr>
        <w:t xml:space="preserve"> organizers</w:t>
      </w:r>
      <w:r w:rsidR="00DB3EC7" w:rsidRPr="00F8289A">
        <w:rPr>
          <w:rFonts w:asciiTheme="majorHAnsi" w:hAnsiTheme="majorHAnsi" w:cstheme="majorHAnsi"/>
          <w:sz w:val="22"/>
          <w:szCs w:val="22"/>
          <w:lang w:val="en-GB"/>
        </w:rPr>
        <w:t xml:space="preserve"> of the unauthorized protest rally that had taken place in the historical centre of St Petersburg in 2018 on the eve of the public holiday (Victory Day). Th</w:t>
      </w:r>
      <w:r w:rsidR="00CE5B90" w:rsidRPr="00F8289A">
        <w:rPr>
          <w:rFonts w:asciiTheme="majorHAnsi" w:hAnsiTheme="majorHAnsi" w:cstheme="majorHAnsi"/>
          <w:sz w:val="22"/>
          <w:szCs w:val="22"/>
          <w:lang w:val="en-GB"/>
        </w:rPr>
        <w:t>e district court proceeded to ho</w:t>
      </w:r>
      <w:r w:rsidR="00DB3EC7" w:rsidRPr="00F8289A">
        <w:rPr>
          <w:rFonts w:asciiTheme="majorHAnsi" w:hAnsiTheme="majorHAnsi" w:cstheme="majorHAnsi"/>
          <w:sz w:val="22"/>
          <w:szCs w:val="22"/>
          <w:lang w:val="en-GB"/>
        </w:rPr>
        <w:t xml:space="preserve">ld </w:t>
      </w:r>
      <w:r w:rsidR="0013267D" w:rsidRPr="00F8289A">
        <w:rPr>
          <w:rFonts w:asciiTheme="majorHAnsi" w:hAnsiTheme="majorHAnsi" w:cstheme="majorHAnsi"/>
          <w:sz w:val="22"/>
          <w:szCs w:val="22"/>
          <w:lang w:val="en-GB"/>
        </w:rPr>
        <w:t xml:space="preserve">the </w:t>
      </w:r>
      <w:r w:rsidR="00DB3EC7" w:rsidRPr="00F8289A">
        <w:rPr>
          <w:rFonts w:asciiTheme="majorHAnsi" w:hAnsiTheme="majorHAnsi" w:cstheme="majorHAnsi"/>
          <w:sz w:val="22"/>
          <w:szCs w:val="22"/>
          <w:lang w:val="en-GB"/>
        </w:rPr>
        <w:t xml:space="preserve">two individuals liable for the value of all decorative vegetation destroyed allegedly by those who had taken part in the rally. The court accepted that some of the plants and flowers might had been </w:t>
      </w:r>
      <w:r w:rsidR="00CE5B90" w:rsidRPr="00F8289A">
        <w:rPr>
          <w:rFonts w:asciiTheme="majorHAnsi" w:hAnsiTheme="majorHAnsi" w:cstheme="majorHAnsi"/>
          <w:sz w:val="22"/>
          <w:szCs w:val="22"/>
          <w:lang w:val="en-GB"/>
        </w:rPr>
        <w:t>damaged</w:t>
      </w:r>
      <w:r w:rsidR="00DB3EC7" w:rsidRPr="00F8289A">
        <w:rPr>
          <w:rFonts w:asciiTheme="majorHAnsi" w:hAnsiTheme="majorHAnsi" w:cstheme="majorHAnsi"/>
          <w:sz w:val="22"/>
          <w:szCs w:val="22"/>
          <w:lang w:val="en-GB"/>
        </w:rPr>
        <w:t xml:space="preserve"> by the police officers who had been chasing the </w:t>
      </w:r>
      <w:proofErr w:type="gramStart"/>
      <w:r w:rsidR="00DB3EC7" w:rsidRPr="00F8289A">
        <w:rPr>
          <w:rFonts w:asciiTheme="majorHAnsi" w:hAnsiTheme="majorHAnsi" w:cstheme="majorHAnsi"/>
          <w:sz w:val="22"/>
          <w:szCs w:val="22"/>
          <w:lang w:val="en-GB"/>
        </w:rPr>
        <w:t>protesters, but</w:t>
      </w:r>
      <w:proofErr w:type="gramEnd"/>
      <w:r w:rsidR="00DB3EC7" w:rsidRPr="00F8289A">
        <w:rPr>
          <w:rFonts w:asciiTheme="majorHAnsi" w:hAnsiTheme="majorHAnsi" w:cstheme="majorHAnsi"/>
          <w:sz w:val="22"/>
          <w:szCs w:val="22"/>
          <w:lang w:val="en-GB"/>
        </w:rPr>
        <w:t xml:space="preserve"> </w:t>
      </w:r>
      <w:r w:rsidR="00621A86" w:rsidRPr="00F8289A">
        <w:rPr>
          <w:rFonts w:asciiTheme="majorHAnsi" w:hAnsiTheme="majorHAnsi" w:cstheme="majorHAnsi"/>
          <w:sz w:val="22"/>
          <w:szCs w:val="22"/>
          <w:lang w:val="en-GB"/>
        </w:rPr>
        <w:t>concluded</w:t>
      </w:r>
      <w:r w:rsidR="00DB3EC7" w:rsidRPr="00F8289A">
        <w:rPr>
          <w:rFonts w:asciiTheme="majorHAnsi" w:hAnsiTheme="majorHAnsi" w:cstheme="majorHAnsi"/>
          <w:sz w:val="22"/>
          <w:szCs w:val="22"/>
          <w:lang w:val="en-GB"/>
        </w:rPr>
        <w:t xml:space="preserve"> that the two respondents should nevertheless be held liable for their destruction. Ironically, the district court took note of the legal argument </w:t>
      </w:r>
      <w:r w:rsidR="0013267D" w:rsidRPr="00F8289A">
        <w:rPr>
          <w:rFonts w:asciiTheme="majorHAnsi" w:hAnsiTheme="majorHAnsi" w:cstheme="majorHAnsi"/>
          <w:sz w:val="22"/>
          <w:szCs w:val="22"/>
          <w:lang w:val="en-GB"/>
        </w:rPr>
        <w:t xml:space="preserve">made </w:t>
      </w:r>
      <w:r w:rsidR="00DB3EC7" w:rsidRPr="00F8289A">
        <w:rPr>
          <w:rFonts w:asciiTheme="majorHAnsi" w:hAnsiTheme="majorHAnsi" w:cstheme="majorHAnsi"/>
          <w:sz w:val="22"/>
          <w:szCs w:val="22"/>
          <w:lang w:val="en-GB"/>
        </w:rPr>
        <w:t xml:space="preserve">on behalf of the respondents that they should not be punished for exercise of their freedom of peaceful assembly, with reference to OSCE Guidelines on Freedom of Peaceful </w:t>
      </w:r>
      <w:proofErr w:type="gramStart"/>
      <w:r w:rsidR="00DB3EC7" w:rsidRPr="00F8289A">
        <w:rPr>
          <w:rFonts w:asciiTheme="majorHAnsi" w:hAnsiTheme="majorHAnsi" w:cstheme="majorHAnsi"/>
          <w:sz w:val="22"/>
          <w:szCs w:val="22"/>
          <w:lang w:val="en-GB"/>
        </w:rPr>
        <w:t>Assembly, but</w:t>
      </w:r>
      <w:proofErr w:type="gramEnd"/>
      <w:r w:rsidR="00DB3EC7" w:rsidRPr="00F8289A">
        <w:rPr>
          <w:rFonts w:asciiTheme="majorHAnsi" w:hAnsiTheme="majorHAnsi" w:cstheme="majorHAnsi"/>
          <w:sz w:val="22"/>
          <w:szCs w:val="22"/>
          <w:lang w:val="en-GB"/>
        </w:rPr>
        <w:t xml:space="preserve"> used it only to </w:t>
      </w:r>
      <w:r w:rsidR="00343DC7" w:rsidRPr="00F8289A">
        <w:rPr>
          <w:rFonts w:asciiTheme="majorHAnsi" w:hAnsiTheme="majorHAnsi" w:cstheme="majorHAnsi"/>
          <w:sz w:val="22"/>
          <w:szCs w:val="22"/>
          <w:lang w:val="en-GB"/>
        </w:rPr>
        <w:t xml:space="preserve">cut down the amount of damages awarded against the two individuals. In the end, the compensation awarded to the city </w:t>
      </w:r>
      <w:r w:rsidR="0013267D" w:rsidRPr="00F8289A">
        <w:rPr>
          <w:rFonts w:asciiTheme="majorHAnsi" w:hAnsiTheme="majorHAnsi" w:cstheme="majorHAnsi"/>
          <w:sz w:val="22"/>
          <w:szCs w:val="22"/>
          <w:lang w:val="en-GB"/>
        </w:rPr>
        <w:t>totalling</w:t>
      </w:r>
      <w:r w:rsidR="00343DC7" w:rsidRPr="00F8289A">
        <w:rPr>
          <w:rFonts w:asciiTheme="majorHAnsi" w:hAnsiTheme="majorHAnsi" w:cstheme="majorHAnsi"/>
          <w:sz w:val="22"/>
          <w:szCs w:val="22"/>
          <w:lang w:val="en-GB"/>
        </w:rPr>
        <w:t xml:space="preserve"> around EUR 100 000 </w:t>
      </w:r>
      <w:r w:rsidR="0013267D" w:rsidRPr="00F8289A">
        <w:rPr>
          <w:rFonts w:asciiTheme="majorHAnsi" w:hAnsiTheme="majorHAnsi" w:cstheme="majorHAnsi"/>
          <w:sz w:val="22"/>
          <w:szCs w:val="22"/>
          <w:lang w:val="en-GB"/>
        </w:rPr>
        <w:t>wa</w:t>
      </w:r>
      <w:r w:rsidR="00343DC7" w:rsidRPr="00F8289A">
        <w:rPr>
          <w:rFonts w:asciiTheme="majorHAnsi" w:hAnsiTheme="majorHAnsi" w:cstheme="majorHAnsi"/>
          <w:sz w:val="22"/>
          <w:szCs w:val="22"/>
          <w:lang w:val="en-GB"/>
        </w:rPr>
        <w:t>s capable of ruining two political activists financially. It is impermissible to apply strict l</w:t>
      </w:r>
      <w:r w:rsidR="00621A86" w:rsidRPr="00F8289A">
        <w:rPr>
          <w:rFonts w:asciiTheme="majorHAnsi" w:hAnsiTheme="majorHAnsi" w:cstheme="majorHAnsi"/>
          <w:sz w:val="22"/>
          <w:szCs w:val="22"/>
          <w:lang w:val="en-GB"/>
        </w:rPr>
        <w:t>iability in respect of organizers</w:t>
      </w:r>
      <w:r w:rsidR="00343DC7" w:rsidRPr="00F8289A">
        <w:rPr>
          <w:rFonts w:asciiTheme="majorHAnsi" w:hAnsiTheme="majorHAnsi" w:cstheme="majorHAnsi"/>
          <w:sz w:val="22"/>
          <w:szCs w:val="22"/>
          <w:lang w:val="en-GB"/>
        </w:rPr>
        <w:t xml:space="preserve"> of peaceful assemblies, including unauthorized ones, and hold them liable for any damages that might be caused by protesters or other individuals, such as police officers, in connection with the protest. The chilling effect thus created will be </w:t>
      </w:r>
      <w:r w:rsidR="007A22F1" w:rsidRPr="00F8289A">
        <w:rPr>
          <w:rFonts w:asciiTheme="majorHAnsi" w:hAnsiTheme="majorHAnsi" w:cstheme="majorHAnsi"/>
          <w:sz w:val="22"/>
          <w:szCs w:val="22"/>
          <w:lang w:val="en-GB"/>
        </w:rPr>
        <w:t>enormous</w:t>
      </w:r>
      <w:r w:rsidR="00343DC7" w:rsidRPr="00F8289A">
        <w:rPr>
          <w:rFonts w:asciiTheme="majorHAnsi" w:hAnsiTheme="majorHAnsi" w:cstheme="majorHAnsi"/>
          <w:sz w:val="22"/>
          <w:szCs w:val="22"/>
          <w:lang w:val="en-GB"/>
        </w:rPr>
        <w:t xml:space="preserve">. It is up to the authorities and specially trained police officers who </w:t>
      </w:r>
      <w:r w:rsidR="00621A86" w:rsidRPr="00F8289A">
        <w:rPr>
          <w:rFonts w:asciiTheme="majorHAnsi" w:hAnsiTheme="majorHAnsi" w:cstheme="majorHAnsi"/>
          <w:sz w:val="22"/>
          <w:szCs w:val="22"/>
          <w:lang w:val="en-GB"/>
        </w:rPr>
        <w:t>are financed</w:t>
      </w:r>
      <w:r w:rsidR="00343DC7" w:rsidRPr="00F8289A">
        <w:rPr>
          <w:rFonts w:asciiTheme="majorHAnsi" w:hAnsiTheme="majorHAnsi" w:cstheme="majorHAnsi"/>
          <w:sz w:val="22"/>
          <w:szCs w:val="22"/>
          <w:lang w:val="en-GB"/>
        </w:rPr>
        <w:t xml:space="preserve"> by the taxpayer’s money to be able to facilitate the assembly in the manner that wi</w:t>
      </w:r>
      <w:r w:rsidR="00621A86" w:rsidRPr="00F8289A">
        <w:rPr>
          <w:rFonts w:asciiTheme="majorHAnsi" w:hAnsiTheme="majorHAnsi" w:cstheme="majorHAnsi"/>
          <w:sz w:val="22"/>
          <w:szCs w:val="22"/>
          <w:lang w:val="en-GB"/>
        </w:rPr>
        <w:t>ll mitigate all possible damage</w:t>
      </w:r>
      <w:r w:rsidR="00343DC7" w:rsidRPr="00F8289A">
        <w:rPr>
          <w:rFonts w:asciiTheme="majorHAnsi" w:hAnsiTheme="majorHAnsi" w:cstheme="majorHAnsi"/>
          <w:sz w:val="22"/>
          <w:szCs w:val="22"/>
          <w:lang w:val="en-GB"/>
        </w:rPr>
        <w:t xml:space="preserve"> </w:t>
      </w:r>
      <w:r w:rsidR="00CE5B90" w:rsidRPr="00F8289A">
        <w:rPr>
          <w:rFonts w:asciiTheme="majorHAnsi" w:hAnsiTheme="majorHAnsi" w:cstheme="majorHAnsi"/>
          <w:sz w:val="22"/>
          <w:szCs w:val="22"/>
          <w:lang w:val="en-GB"/>
        </w:rPr>
        <w:t>to third parties and public property.</w:t>
      </w:r>
      <w:r w:rsidR="00343DC7" w:rsidRPr="00F8289A">
        <w:rPr>
          <w:rFonts w:asciiTheme="majorHAnsi" w:hAnsiTheme="majorHAnsi" w:cstheme="majorHAnsi"/>
          <w:sz w:val="22"/>
          <w:szCs w:val="22"/>
          <w:lang w:val="en-GB"/>
        </w:rPr>
        <w:t xml:space="preserve"> Of course, individuals</w:t>
      </w:r>
      <w:r w:rsidR="00CE5B90" w:rsidRPr="00F8289A">
        <w:rPr>
          <w:rFonts w:asciiTheme="majorHAnsi" w:hAnsiTheme="majorHAnsi" w:cstheme="majorHAnsi"/>
          <w:sz w:val="22"/>
          <w:szCs w:val="22"/>
          <w:lang w:val="en-GB"/>
        </w:rPr>
        <w:t>, including protest participants and organizers, as well as police officers and other officials,</w:t>
      </w:r>
      <w:r w:rsidR="00343DC7" w:rsidRPr="00F8289A">
        <w:rPr>
          <w:rFonts w:asciiTheme="majorHAnsi" w:hAnsiTheme="majorHAnsi" w:cstheme="majorHAnsi"/>
          <w:sz w:val="22"/>
          <w:szCs w:val="22"/>
          <w:lang w:val="en-GB"/>
        </w:rPr>
        <w:t xml:space="preserve"> should still </w:t>
      </w:r>
      <w:r w:rsidR="00CE5B90" w:rsidRPr="00F8289A">
        <w:rPr>
          <w:rFonts w:asciiTheme="majorHAnsi" w:hAnsiTheme="majorHAnsi" w:cstheme="majorHAnsi"/>
          <w:sz w:val="22"/>
          <w:szCs w:val="22"/>
          <w:lang w:val="en-GB"/>
        </w:rPr>
        <w:t>be liable for the damage directly caused</w:t>
      </w:r>
      <w:r w:rsidR="00343DC7" w:rsidRPr="00F8289A">
        <w:rPr>
          <w:rFonts w:asciiTheme="majorHAnsi" w:hAnsiTheme="majorHAnsi" w:cstheme="majorHAnsi"/>
          <w:sz w:val="22"/>
          <w:szCs w:val="22"/>
          <w:lang w:val="en-GB"/>
        </w:rPr>
        <w:t xml:space="preserve"> by their own actions, in line with </w:t>
      </w:r>
      <w:r w:rsidR="0013267D" w:rsidRPr="00F8289A">
        <w:rPr>
          <w:rFonts w:asciiTheme="majorHAnsi" w:hAnsiTheme="majorHAnsi" w:cstheme="majorHAnsi"/>
          <w:sz w:val="22"/>
          <w:szCs w:val="22"/>
          <w:lang w:val="en-GB"/>
        </w:rPr>
        <w:t xml:space="preserve">ordinary </w:t>
      </w:r>
      <w:r w:rsidR="00343DC7" w:rsidRPr="00F8289A">
        <w:rPr>
          <w:rFonts w:asciiTheme="majorHAnsi" w:hAnsiTheme="majorHAnsi" w:cstheme="majorHAnsi"/>
          <w:sz w:val="22"/>
          <w:szCs w:val="22"/>
          <w:lang w:val="en-GB"/>
        </w:rPr>
        <w:t xml:space="preserve">applicable </w:t>
      </w:r>
      <w:r w:rsidR="00CE5B90" w:rsidRPr="00F8289A">
        <w:rPr>
          <w:rFonts w:asciiTheme="majorHAnsi" w:hAnsiTheme="majorHAnsi" w:cstheme="majorHAnsi"/>
          <w:sz w:val="22"/>
          <w:szCs w:val="22"/>
          <w:lang w:val="en-GB"/>
        </w:rPr>
        <w:t>civil-law rules</w:t>
      </w:r>
      <w:r w:rsidR="00343DC7" w:rsidRPr="00F8289A">
        <w:rPr>
          <w:rFonts w:asciiTheme="majorHAnsi" w:hAnsiTheme="majorHAnsi" w:cstheme="majorHAnsi"/>
          <w:sz w:val="22"/>
          <w:szCs w:val="22"/>
          <w:lang w:val="en-GB"/>
        </w:rPr>
        <w:t>. However, it is not compatible with the freedom of peaceful assembly to impose additional civil-law oblig</w:t>
      </w:r>
      <w:r w:rsidR="00621A86" w:rsidRPr="00F8289A">
        <w:rPr>
          <w:rFonts w:asciiTheme="majorHAnsi" w:hAnsiTheme="majorHAnsi" w:cstheme="majorHAnsi"/>
          <w:sz w:val="22"/>
          <w:szCs w:val="22"/>
          <w:lang w:val="en-GB"/>
        </w:rPr>
        <w:t>ations upon convenors or organizers of such actions and ho</w:t>
      </w:r>
      <w:r w:rsidR="00343DC7" w:rsidRPr="00F8289A">
        <w:rPr>
          <w:rFonts w:asciiTheme="majorHAnsi" w:hAnsiTheme="majorHAnsi" w:cstheme="majorHAnsi"/>
          <w:sz w:val="22"/>
          <w:szCs w:val="22"/>
          <w:lang w:val="en-GB"/>
        </w:rPr>
        <w:t>ld them responsible for the damage that might be caused by the participants of the event or other parties in connection with the event.</w:t>
      </w:r>
    </w:p>
    <w:p w14:paraId="57A285E0" w14:textId="49E71562" w:rsidR="00587532" w:rsidRPr="00F8289A" w:rsidRDefault="00621A86"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Therefore</w:t>
      </w:r>
      <w:r w:rsidR="00343DC7" w:rsidRPr="00F8289A">
        <w:rPr>
          <w:rFonts w:asciiTheme="majorHAnsi" w:hAnsiTheme="majorHAnsi" w:cstheme="majorHAnsi"/>
          <w:sz w:val="22"/>
          <w:szCs w:val="22"/>
          <w:lang w:val="en-GB"/>
        </w:rPr>
        <w:t xml:space="preserve">, the following wording </w:t>
      </w:r>
      <w:r w:rsidR="007A22F1" w:rsidRPr="00F8289A">
        <w:rPr>
          <w:rFonts w:asciiTheme="majorHAnsi" w:hAnsiTheme="majorHAnsi" w:cstheme="majorHAnsi"/>
          <w:sz w:val="22"/>
          <w:szCs w:val="22"/>
          <w:lang w:val="en-GB"/>
        </w:rPr>
        <w:t>is proposed for General Comment No. 37: “</w:t>
      </w:r>
      <w:r w:rsidR="007A22F1" w:rsidRPr="00F8289A">
        <w:rPr>
          <w:rFonts w:asciiTheme="majorHAnsi" w:hAnsiTheme="majorHAnsi" w:cstheme="majorHAnsi"/>
          <w:i/>
          <w:sz w:val="22"/>
          <w:szCs w:val="22"/>
          <w:lang w:val="en-GB"/>
        </w:rPr>
        <w:t>Effective exercise of the right enshrined in article 21 requires relevant public authorities to facilitate and protect peaceful assemblies, including, in particular,</w:t>
      </w:r>
      <w:r w:rsidR="002C370E" w:rsidRPr="00F8289A">
        <w:rPr>
          <w:rFonts w:asciiTheme="majorHAnsi" w:hAnsiTheme="majorHAnsi" w:cstheme="majorHAnsi"/>
          <w:i/>
          <w:sz w:val="22"/>
          <w:szCs w:val="22"/>
          <w:lang w:val="en-GB"/>
        </w:rPr>
        <w:t xml:space="preserve"> ensuring</w:t>
      </w:r>
      <w:r w:rsidR="007A22F1" w:rsidRPr="00F8289A">
        <w:rPr>
          <w:rFonts w:asciiTheme="majorHAnsi" w:hAnsiTheme="majorHAnsi" w:cstheme="majorHAnsi"/>
          <w:i/>
          <w:sz w:val="22"/>
          <w:szCs w:val="22"/>
          <w:lang w:val="en-GB"/>
        </w:rPr>
        <w:t xml:space="preserve"> fair, transparent and non-discriminatory distribution of locations and timeslots suitable for assemblies, protection of physical integrity and dignity of participants of assembly, provision of various practical means of support, including medical assistance, cleaning services, management of traffic, etc.</w:t>
      </w:r>
      <w:r w:rsidR="007A22F1" w:rsidRPr="00F8289A">
        <w:rPr>
          <w:rFonts w:asciiTheme="majorHAnsi" w:hAnsiTheme="majorHAnsi" w:cstheme="majorHAnsi"/>
          <w:sz w:val="22"/>
          <w:szCs w:val="22"/>
          <w:lang w:val="en-GB"/>
        </w:rPr>
        <w:t>”</w:t>
      </w:r>
    </w:p>
    <w:p w14:paraId="209DECC7" w14:textId="77777777" w:rsidR="00145973" w:rsidRPr="00F8289A" w:rsidRDefault="00145973" w:rsidP="00D156B3">
      <w:pPr>
        <w:pStyle w:val="ListParagraph"/>
        <w:spacing w:line="276" w:lineRule="auto"/>
        <w:ind w:left="0"/>
        <w:jc w:val="center"/>
        <w:rPr>
          <w:rFonts w:asciiTheme="majorHAnsi" w:hAnsiTheme="majorHAnsi" w:cstheme="majorHAnsi"/>
          <w:sz w:val="22"/>
          <w:szCs w:val="22"/>
          <w:lang w:val="en-GB"/>
        </w:rPr>
      </w:pPr>
    </w:p>
    <w:p w14:paraId="690A6FE8" w14:textId="77777777" w:rsidR="00145973" w:rsidRPr="00F8289A" w:rsidRDefault="00145973" w:rsidP="00D156B3">
      <w:pPr>
        <w:pStyle w:val="ListParagraph"/>
        <w:spacing w:line="276" w:lineRule="auto"/>
        <w:ind w:left="0"/>
        <w:jc w:val="center"/>
        <w:rPr>
          <w:rFonts w:asciiTheme="majorHAnsi" w:hAnsiTheme="majorHAnsi" w:cstheme="majorHAnsi"/>
          <w:sz w:val="22"/>
          <w:szCs w:val="22"/>
          <w:u w:val="single"/>
          <w:lang w:val="en-GB"/>
        </w:rPr>
      </w:pPr>
      <w:r w:rsidRPr="00F8289A">
        <w:rPr>
          <w:rFonts w:asciiTheme="majorHAnsi" w:hAnsiTheme="majorHAnsi" w:cstheme="majorHAnsi"/>
          <w:sz w:val="22"/>
          <w:szCs w:val="22"/>
          <w:u w:val="single"/>
          <w:lang w:val="en-GB"/>
        </w:rPr>
        <w:t>Use of force by law-enforcement against protesters</w:t>
      </w:r>
    </w:p>
    <w:p w14:paraId="4452EB68" w14:textId="77777777" w:rsidR="00445A36" w:rsidRPr="00F8289A" w:rsidRDefault="00445A36" w:rsidP="00D156B3">
      <w:pPr>
        <w:spacing w:line="276" w:lineRule="auto"/>
        <w:jc w:val="center"/>
        <w:rPr>
          <w:rFonts w:asciiTheme="majorHAnsi" w:hAnsiTheme="majorHAnsi" w:cstheme="majorHAnsi"/>
          <w:sz w:val="22"/>
          <w:szCs w:val="22"/>
          <w:lang w:val="en-GB"/>
        </w:rPr>
      </w:pPr>
    </w:p>
    <w:p w14:paraId="65914AC2" w14:textId="0F38EC66" w:rsidR="00145973" w:rsidRPr="00F8289A" w:rsidRDefault="0013267D"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Regretfully, t</w:t>
      </w:r>
      <w:r w:rsidR="00826870" w:rsidRPr="00F8289A">
        <w:rPr>
          <w:rFonts w:asciiTheme="majorHAnsi" w:hAnsiTheme="majorHAnsi" w:cstheme="majorHAnsi"/>
          <w:sz w:val="22"/>
          <w:szCs w:val="22"/>
          <w:lang w:val="en-GB"/>
        </w:rPr>
        <w:t xml:space="preserve">he </w:t>
      </w:r>
      <w:r w:rsidR="00145973" w:rsidRPr="00F8289A">
        <w:rPr>
          <w:rFonts w:asciiTheme="majorHAnsi" w:hAnsiTheme="majorHAnsi" w:cstheme="majorHAnsi"/>
          <w:sz w:val="22"/>
          <w:szCs w:val="22"/>
          <w:lang w:val="en-GB"/>
        </w:rPr>
        <w:t>response</w:t>
      </w:r>
      <w:r w:rsidR="00826870" w:rsidRPr="00F8289A">
        <w:rPr>
          <w:rFonts w:asciiTheme="majorHAnsi" w:hAnsiTheme="majorHAnsi" w:cstheme="majorHAnsi"/>
          <w:sz w:val="22"/>
          <w:szCs w:val="22"/>
          <w:lang w:val="en-GB"/>
        </w:rPr>
        <w:t xml:space="preserve"> of the authorities</w:t>
      </w:r>
      <w:r w:rsidR="00145973" w:rsidRPr="00F8289A">
        <w:rPr>
          <w:rFonts w:asciiTheme="majorHAnsi" w:hAnsiTheme="majorHAnsi" w:cstheme="majorHAnsi"/>
          <w:sz w:val="22"/>
          <w:szCs w:val="22"/>
          <w:lang w:val="en-GB"/>
        </w:rPr>
        <w:t xml:space="preserve"> to peaceful assemblie</w:t>
      </w:r>
      <w:r w:rsidR="00621A86" w:rsidRPr="00F8289A">
        <w:rPr>
          <w:rFonts w:asciiTheme="majorHAnsi" w:hAnsiTheme="majorHAnsi" w:cstheme="majorHAnsi"/>
          <w:sz w:val="22"/>
          <w:szCs w:val="22"/>
          <w:lang w:val="en-GB"/>
        </w:rPr>
        <w:t xml:space="preserve">s in many jurisdictions is </w:t>
      </w:r>
      <w:r w:rsidR="00145973" w:rsidRPr="00F8289A">
        <w:rPr>
          <w:rFonts w:asciiTheme="majorHAnsi" w:hAnsiTheme="majorHAnsi" w:cstheme="majorHAnsi"/>
          <w:sz w:val="22"/>
          <w:szCs w:val="22"/>
          <w:lang w:val="en-GB"/>
        </w:rPr>
        <w:t>that of excessive use of force and even inhuman and deg</w:t>
      </w:r>
      <w:r w:rsidR="002C370E" w:rsidRPr="00F8289A">
        <w:rPr>
          <w:rFonts w:asciiTheme="majorHAnsi" w:hAnsiTheme="majorHAnsi" w:cstheme="majorHAnsi"/>
          <w:sz w:val="22"/>
          <w:szCs w:val="22"/>
          <w:lang w:val="en-GB"/>
        </w:rPr>
        <w:t>rading treatment of protesters, with instances of torture.</w:t>
      </w:r>
    </w:p>
    <w:p w14:paraId="11EDE4B9" w14:textId="72B29916" w:rsidR="00145973" w:rsidRPr="00F8289A" w:rsidRDefault="00145973"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The authorities that lack legitimacy</w:t>
      </w:r>
      <w:r w:rsidR="002C370E" w:rsidRPr="00F8289A">
        <w:rPr>
          <w:rFonts w:asciiTheme="majorHAnsi" w:hAnsiTheme="majorHAnsi" w:cstheme="majorHAnsi"/>
          <w:sz w:val="22"/>
          <w:szCs w:val="22"/>
          <w:lang w:val="en-GB"/>
        </w:rPr>
        <w:t xml:space="preserve"> and confidence</w:t>
      </w:r>
      <w:r w:rsidRPr="00F8289A">
        <w:rPr>
          <w:rFonts w:asciiTheme="majorHAnsi" w:hAnsiTheme="majorHAnsi" w:cstheme="majorHAnsi"/>
          <w:sz w:val="22"/>
          <w:szCs w:val="22"/>
          <w:lang w:val="en-GB"/>
        </w:rPr>
        <w:t xml:space="preserve"> in their own eyes and particularly in the eyes of the members of the public use law-enforcement forces which they contr</w:t>
      </w:r>
      <w:r w:rsidR="00621A86" w:rsidRPr="00F8289A">
        <w:rPr>
          <w:rFonts w:asciiTheme="majorHAnsi" w:hAnsiTheme="majorHAnsi" w:cstheme="majorHAnsi"/>
          <w:sz w:val="22"/>
          <w:szCs w:val="22"/>
          <w:lang w:val="en-GB"/>
        </w:rPr>
        <w:t>ol in order to send a very powerful</w:t>
      </w:r>
      <w:r w:rsidRPr="00F8289A">
        <w:rPr>
          <w:rFonts w:asciiTheme="majorHAnsi" w:hAnsiTheme="majorHAnsi" w:cstheme="majorHAnsi"/>
          <w:sz w:val="22"/>
          <w:szCs w:val="22"/>
          <w:lang w:val="en-GB"/>
        </w:rPr>
        <w:t xml:space="preserve"> signal to the population: anyone who dares to publicly confront the elites will have to pay the pric</w:t>
      </w:r>
      <w:r w:rsidR="002C370E" w:rsidRPr="00F8289A">
        <w:rPr>
          <w:rFonts w:asciiTheme="majorHAnsi" w:hAnsiTheme="majorHAnsi" w:cstheme="majorHAnsi"/>
          <w:sz w:val="22"/>
          <w:szCs w:val="22"/>
          <w:lang w:val="en-GB"/>
        </w:rPr>
        <w:t>e. In order to prove the seriousness of their intentions, such</w:t>
      </w:r>
      <w:r w:rsidRPr="00F8289A">
        <w:rPr>
          <w:rFonts w:asciiTheme="majorHAnsi" w:hAnsiTheme="majorHAnsi" w:cstheme="majorHAnsi"/>
          <w:sz w:val="22"/>
          <w:szCs w:val="22"/>
          <w:lang w:val="en-GB"/>
        </w:rPr>
        <w:t xml:space="preserve"> authorities disperse peaceful assemblies under various pretexts or with no explanation at all using excessive violence, beatings, various forms of ill-treatment, very often at random. The real objective of those attacks is the human right to freedom of peaceful assembly.</w:t>
      </w:r>
      <w:r w:rsidR="00621A86" w:rsidRPr="00F8289A">
        <w:rPr>
          <w:rFonts w:asciiTheme="majorHAnsi" w:hAnsiTheme="majorHAnsi" w:cstheme="majorHAnsi"/>
          <w:sz w:val="22"/>
          <w:szCs w:val="22"/>
          <w:lang w:val="en-GB"/>
        </w:rPr>
        <w:t xml:space="preserve"> As a rule, u</w:t>
      </w:r>
      <w:r w:rsidR="00826870" w:rsidRPr="00F8289A">
        <w:rPr>
          <w:rFonts w:asciiTheme="majorHAnsi" w:hAnsiTheme="majorHAnsi" w:cstheme="majorHAnsi"/>
          <w:sz w:val="22"/>
          <w:szCs w:val="22"/>
          <w:lang w:val="en-GB"/>
        </w:rPr>
        <w:t xml:space="preserve">se of excessive force against peaceful protesters or threats of such use are counterproductive as they escalate the situation and thus provoke the cycle of violence. The </w:t>
      </w:r>
      <w:r w:rsidR="00826870" w:rsidRPr="00F8289A">
        <w:rPr>
          <w:rFonts w:asciiTheme="majorHAnsi" w:hAnsiTheme="majorHAnsi" w:cstheme="majorHAnsi"/>
          <w:sz w:val="22"/>
          <w:szCs w:val="22"/>
          <w:lang w:val="en-GB"/>
        </w:rPr>
        <w:lastRenderedPageBreak/>
        <w:t>report of Toronto Police in the aftermath of protest actions during the G20 Summit in that city aptly concluded: “Crowd behaviour is often influenced by the type and manner of police deployment. Disp</w:t>
      </w:r>
      <w:r w:rsidR="009C7165" w:rsidRPr="00F8289A">
        <w:rPr>
          <w:rFonts w:asciiTheme="majorHAnsi" w:hAnsiTheme="majorHAnsi" w:cstheme="majorHAnsi"/>
          <w:sz w:val="22"/>
          <w:szCs w:val="22"/>
          <w:lang w:val="en-GB"/>
        </w:rPr>
        <w:t>lays of real or implied force can lead to negative crowd reactions that may escalate a situation”.</w:t>
      </w:r>
      <w:r w:rsidR="009C7165" w:rsidRPr="00F8289A">
        <w:rPr>
          <w:rStyle w:val="FootnoteReference"/>
          <w:rFonts w:asciiTheme="majorHAnsi" w:hAnsiTheme="majorHAnsi" w:cstheme="majorHAnsi"/>
          <w:sz w:val="22"/>
          <w:szCs w:val="22"/>
          <w:lang w:val="en-GB"/>
        </w:rPr>
        <w:footnoteReference w:id="5"/>
      </w:r>
    </w:p>
    <w:p w14:paraId="62FD40F1" w14:textId="3EF263F9" w:rsidR="00032AB6" w:rsidRPr="00F8289A" w:rsidRDefault="002C370E"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Although different efficient</w:t>
      </w:r>
      <w:r w:rsidR="00032AB6" w:rsidRPr="00F8289A">
        <w:rPr>
          <w:rFonts w:asciiTheme="majorHAnsi" w:hAnsiTheme="majorHAnsi" w:cstheme="majorHAnsi"/>
          <w:sz w:val="22"/>
          <w:szCs w:val="22"/>
          <w:lang w:val="en-GB"/>
        </w:rPr>
        <w:t xml:space="preserve"> policing techniques and good practices exist in var</w:t>
      </w:r>
      <w:r w:rsidRPr="00F8289A">
        <w:rPr>
          <w:rFonts w:asciiTheme="majorHAnsi" w:hAnsiTheme="majorHAnsi" w:cstheme="majorHAnsi"/>
          <w:sz w:val="22"/>
          <w:szCs w:val="22"/>
          <w:lang w:val="en-GB"/>
        </w:rPr>
        <w:t>ious countries of the world,</w:t>
      </w:r>
      <w:r w:rsidR="00032AB6" w:rsidRPr="00F8289A">
        <w:rPr>
          <w:rFonts w:asciiTheme="majorHAnsi" w:hAnsiTheme="majorHAnsi" w:cstheme="majorHAnsi"/>
          <w:sz w:val="22"/>
          <w:szCs w:val="22"/>
          <w:lang w:val="en-GB"/>
        </w:rPr>
        <w:t xml:space="preserve"> it is</w:t>
      </w:r>
      <w:r w:rsidR="00621A86" w:rsidRPr="00F8289A">
        <w:rPr>
          <w:rFonts w:asciiTheme="majorHAnsi" w:hAnsiTheme="majorHAnsi" w:cstheme="majorHAnsi"/>
          <w:sz w:val="22"/>
          <w:szCs w:val="22"/>
          <w:lang w:val="en-GB"/>
        </w:rPr>
        <w:t>, with respect,</w:t>
      </w:r>
      <w:r w:rsidR="00032AB6" w:rsidRPr="00F8289A">
        <w:rPr>
          <w:rFonts w:asciiTheme="majorHAnsi" w:hAnsiTheme="majorHAnsi" w:cstheme="majorHAnsi"/>
          <w:sz w:val="22"/>
          <w:szCs w:val="22"/>
          <w:lang w:val="en-GB"/>
        </w:rPr>
        <w:t xml:space="preserve"> not the Committee’s task to provide trainings</w:t>
      </w:r>
      <w:r w:rsidR="00621A86" w:rsidRPr="00F8289A">
        <w:rPr>
          <w:rFonts w:asciiTheme="majorHAnsi" w:hAnsiTheme="majorHAnsi" w:cstheme="majorHAnsi"/>
          <w:sz w:val="22"/>
          <w:szCs w:val="22"/>
          <w:lang w:val="en-GB"/>
        </w:rPr>
        <w:t xml:space="preserve"> in handling peaceful assemblies</w:t>
      </w:r>
      <w:r w:rsidR="00032AB6" w:rsidRPr="00F8289A">
        <w:rPr>
          <w:rFonts w:asciiTheme="majorHAnsi" w:hAnsiTheme="majorHAnsi" w:cstheme="majorHAnsi"/>
          <w:sz w:val="22"/>
          <w:szCs w:val="22"/>
          <w:lang w:val="en-GB"/>
        </w:rPr>
        <w:t xml:space="preserve"> to the police</w:t>
      </w:r>
      <w:r w:rsidRPr="00F8289A">
        <w:rPr>
          <w:rFonts w:asciiTheme="majorHAnsi" w:hAnsiTheme="majorHAnsi" w:cstheme="majorHAnsi"/>
          <w:sz w:val="22"/>
          <w:szCs w:val="22"/>
          <w:lang w:val="en-GB"/>
        </w:rPr>
        <w:t>. However,</w:t>
      </w:r>
      <w:r w:rsidR="00032AB6" w:rsidRPr="00F8289A">
        <w:rPr>
          <w:rFonts w:asciiTheme="majorHAnsi" w:hAnsiTheme="majorHAnsi" w:cstheme="majorHAnsi"/>
          <w:sz w:val="22"/>
          <w:szCs w:val="22"/>
          <w:lang w:val="en-GB"/>
        </w:rPr>
        <w:t xml:space="preserve"> the human rights perspective require</w:t>
      </w:r>
      <w:r w:rsidRPr="00F8289A">
        <w:rPr>
          <w:rFonts w:asciiTheme="majorHAnsi" w:hAnsiTheme="majorHAnsi" w:cstheme="majorHAnsi"/>
          <w:sz w:val="22"/>
          <w:szCs w:val="22"/>
          <w:lang w:val="en-GB"/>
        </w:rPr>
        <w:t>s</w:t>
      </w:r>
      <w:r w:rsidR="00032AB6" w:rsidRPr="00F8289A">
        <w:rPr>
          <w:rFonts w:asciiTheme="majorHAnsi" w:hAnsiTheme="majorHAnsi" w:cstheme="majorHAnsi"/>
          <w:sz w:val="22"/>
          <w:szCs w:val="22"/>
          <w:lang w:val="en-GB"/>
        </w:rPr>
        <w:t xml:space="preserve"> every police officer involved</w:t>
      </w:r>
      <w:r w:rsidRPr="00F8289A">
        <w:rPr>
          <w:rFonts w:asciiTheme="majorHAnsi" w:hAnsiTheme="majorHAnsi" w:cstheme="majorHAnsi"/>
          <w:sz w:val="22"/>
          <w:szCs w:val="22"/>
          <w:lang w:val="en-GB"/>
        </w:rPr>
        <w:t xml:space="preserve"> in handling peaceful assemblies</w:t>
      </w:r>
      <w:r w:rsidR="00032AB6" w:rsidRPr="00F8289A">
        <w:rPr>
          <w:rFonts w:asciiTheme="majorHAnsi" w:hAnsiTheme="majorHAnsi" w:cstheme="majorHAnsi"/>
          <w:sz w:val="22"/>
          <w:szCs w:val="22"/>
          <w:lang w:val="en-GB"/>
        </w:rPr>
        <w:t xml:space="preserve"> always to </w:t>
      </w:r>
      <w:r w:rsidRPr="00F8289A">
        <w:rPr>
          <w:rFonts w:asciiTheme="majorHAnsi" w:hAnsiTheme="majorHAnsi" w:cstheme="majorHAnsi"/>
          <w:sz w:val="22"/>
          <w:szCs w:val="22"/>
          <w:lang w:val="en-GB"/>
        </w:rPr>
        <w:t>start from the presumption</w:t>
      </w:r>
      <w:r w:rsidR="00032AB6" w:rsidRPr="00F8289A">
        <w:rPr>
          <w:rFonts w:asciiTheme="majorHAnsi" w:hAnsiTheme="majorHAnsi" w:cstheme="majorHAnsi"/>
          <w:sz w:val="22"/>
          <w:szCs w:val="22"/>
          <w:lang w:val="en-GB"/>
        </w:rPr>
        <w:t xml:space="preserve"> that a parti</w:t>
      </w:r>
      <w:r w:rsidRPr="00F8289A">
        <w:rPr>
          <w:rFonts w:asciiTheme="majorHAnsi" w:hAnsiTheme="majorHAnsi" w:cstheme="majorHAnsi"/>
          <w:sz w:val="22"/>
          <w:szCs w:val="22"/>
          <w:lang w:val="en-GB"/>
        </w:rPr>
        <w:t>cipant of the peaceful protest</w:t>
      </w:r>
      <w:r w:rsidR="00032AB6" w:rsidRPr="00F8289A">
        <w:rPr>
          <w:rFonts w:asciiTheme="majorHAnsi" w:hAnsiTheme="majorHAnsi" w:cstheme="majorHAnsi"/>
          <w:sz w:val="22"/>
          <w:szCs w:val="22"/>
          <w:lang w:val="en-GB"/>
        </w:rPr>
        <w:t xml:space="preserve"> is not causing public nuisance but exercising his or her</w:t>
      </w:r>
      <w:r w:rsidR="00621A86" w:rsidRPr="00F8289A">
        <w:rPr>
          <w:rFonts w:asciiTheme="majorHAnsi" w:hAnsiTheme="majorHAnsi" w:cstheme="majorHAnsi"/>
          <w:sz w:val="22"/>
          <w:szCs w:val="22"/>
          <w:lang w:val="en-GB"/>
        </w:rPr>
        <w:t xml:space="preserve"> right protected by international human rights law</w:t>
      </w:r>
      <w:r w:rsidR="00032AB6" w:rsidRPr="00F8289A">
        <w:rPr>
          <w:rFonts w:asciiTheme="majorHAnsi" w:hAnsiTheme="majorHAnsi" w:cstheme="majorHAnsi"/>
          <w:sz w:val="22"/>
          <w:szCs w:val="22"/>
          <w:lang w:val="en-GB"/>
        </w:rPr>
        <w:t>.</w:t>
      </w:r>
      <w:r w:rsidR="009C7165" w:rsidRPr="00F8289A">
        <w:rPr>
          <w:rFonts w:asciiTheme="majorHAnsi" w:hAnsiTheme="majorHAnsi" w:cstheme="majorHAnsi"/>
          <w:sz w:val="22"/>
          <w:szCs w:val="22"/>
          <w:lang w:val="en-GB"/>
        </w:rPr>
        <w:t xml:space="preserve"> Even if some individuals are involved in offences, th</w:t>
      </w:r>
      <w:r w:rsidR="00621A86" w:rsidRPr="00F8289A">
        <w:rPr>
          <w:rFonts w:asciiTheme="majorHAnsi" w:hAnsiTheme="majorHAnsi" w:cstheme="majorHAnsi"/>
          <w:sz w:val="22"/>
          <w:szCs w:val="22"/>
          <w:lang w:val="en-GB"/>
        </w:rPr>
        <w:t xml:space="preserve">at fact should not </w:t>
      </w:r>
      <w:r w:rsidR="009C7165" w:rsidRPr="00F8289A">
        <w:rPr>
          <w:rFonts w:asciiTheme="majorHAnsi" w:hAnsiTheme="majorHAnsi" w:cstheme="majorHAnsi"/>
          <w:sz w:val="22"/>
          <w:szCs w:val="22"/>
          <w:lang w:val="en-GB"/>
        </w:rPr>
        <w:t>justify the use of excessive force against all those taking part in peaceful assembly. As the Human Rights Handbook on Policing Assemblies published by the OSCE Office for Democratic Institutions</w:t>
      </w:r>
      <w:r w:rsidR="005131F3" w:rsidRPr="00F8289A">
        <w:rPr>
          <w:rFonts w:asciiTheme="majorHAnsi" w:hAnsiTheme="majorHAnsi" w:cstheme="majorHAnsi"/>
          <w:sz w:val="22"/>
          <w:szCs w:val="22"/>
          <w:lang w:val="en-GB"/>
        </w:rPr>
        <w:t xml:space="preserve"> and Human Rights in 2016 explained:</w:t>
      </w:r>
      <w:r w:rsidR="009C7165" w:rsidRPr="00F8289A">
        <w:rPr>
          <w:rFonts w:asciiTheme="majorHAnsi" w:hAnsiTheme="majorHAnsi" w:cstheme="majorHAnsi"/>
          <w:sz w:val="22"/>
          <w:szCs w:val="22"/>
          <w:lang w:val="en-GB"/>
        </w:rPr>
        <w:t xml:space="preserve"> “</w:t>
      </w:r>
      <w:r w:rsidR="005131F3" w:rsidRPr="00F8289A">
        <w:rPr>
          <w:rFonts w:asciiTheme="majorHAnsi" w:hAnsiTheme="majorHAnsi" w:cstheme="majorHAnsi"/>
          <w:sz w:val="22"/>
          <w:szCs w:val="22"/>
          <w:lang w:val="en-GB"/>
        </w:rPr>
        <w:t xml:space="preserve">There are many examples of how conflicts have </w:t>
      </w:r>
      <w:proofErr w:type="gramStart"/>
      <w:r w:rsidR="005131F3" w:rsidRPr="00F8289A">
        <w:rPr>
          <w:rFonts w:asciiTheme="majorHAnsi" w:hAnsiTheme="majorHAnsi" w:cstheme="majorHAnsi"/>
          <w:sz w:val="22"/>
          <w:szCs w:val="22"/>
          <w:lang w:val="en-GB"/>
        </w:rPr>
        <w:t>arisen</w:t>
      </w:r>
      <w:proofErr w:type="gramEnd"/>
      <w:r w:rsidR="005131F3" w:rsidRPr="00F8289A">
        <w:rPr>
          <w:rFonts w:asciiTheme="majorHAnsi" w:hAnsiTheme="majorHAnsi" w:cstheme="majorHAnsi"/>
          <w:sz w:val="22"/>
          <w:szCs w:val="22"/>
          <w:lang w:val="en-GB"/>
        </w:rPr>
        <w:t xml:space="preserve"> and tensions have escalated when the police have intervened in an indiscriminate manner. A group of people is never homogeneous from the beginning, but may begin to behave as such if they are treated as a single entity… If one individual </w:t>
      </w:r>
      <w:proofErr w:type="gramStart"/>
      <w:r w:rsidR="005131F3" w:rsidRPr="00F8289A">
        <w:rPr>
          <w:rFonts w:asciiTheme="majorHAnsi" w:hAnsiTheme="majorHAnsi" w:cstheme="majorHAnsi"/>
          <w:sz w:val="22"/>
          <w:szCs w:val="22"/>
          <w:lang w:val="en-GB"/>
        </w:rPr>
        <w:t>initiates</w:t>
      </w:r>
      <w:proofErr w:type="gramEnd"/>
      <w:r w:rsidR="005131F3" w:rsidRPr="00F8289A">
        <w:rPr>
          <w:rFonts w:asciiTheme="majorHAnsi" w:hAnsiTheme="majorHAnsi" w:cstheme="majorHAnsi"/>
          <w:sz w:val="22"/>
          <w:szCs w:val="22"/>
          <w:lang w:val="en-GB"/>
        </w:rPr>
        <w:t xml:space="preserve"> a conflict, it is important that the police reaction to this does not lead to others being drawn into the conflict”.</w:t>
      </w:r>
      <w:r w:rsidR="005131F3" w:rsidRPr="00F8289A">
        <w:rPr>
          <w:rStyle w:val="FootnoteReference"/>
          <w:rFonts w:asciiTheme="majorHAnsi" w:hAnsiTheme="majorHAnsi" w:cstheme="majorHAnsi"/>
          <w:sz w:val="22"/>
          <w:szCs w:val="22"/>
          <w:lang w:val="en-GB"/>
        </w:rPr>
        <w:footnoteReference w:id="6"/>
      </w:r>
    </w:p>
    <w:p w14:paraId="759E2643" w14:textId="5DF62F92" w:rsidR="005131F3" w:rsidRPr="00F8289A" w:rsidRDefault="005131F3"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All instances of the use of force against participants of peaceful protests fall under both Articles 7 and 21 of the Covenant (see § 11 of the Special Rapporteur’s Note) and it is up to the respective Government to provide persuasive and cogent reasons justifying</w:t>
      </w:r>
      <w:r w:rsidR="00621A86" w:rsidRPr="00F8289A">
        <w:rPr>
          <w:rFonts w:asciiTheme="majorHAnsi" w:hAnsiTheme="majorHAnsi" w:cstheme="majorHAnsi"/>
          <w:sz w:val="22"/>
          <w:szCs w:val="22"/>
          <w:lang w:val="en-GB"/>
        </w:rPr>
        <w:t xml:space="preserve"> absolute</w:t>
      </w:r>
      <w:r w:rsidRPr="00F8289A">
        <w:rPr>
          <w:rFonts w:asciiTheme="majorHAnsi" w:hAnsiTheme="majorHAnsi" w:cstheme="majorHAnsi"/>
          <w:sz w:val="22"/>
          <w:szCs w:val="22"/>
          <w:lang w:val="en-GB"/>
        </w:rPr>
        <w:t xml:space="preserve"> necessity and intensity of the intervention in question. In order to satisfy the procedural limb of their obligations under Article 7 of the Covenant, the authorities should in any event</w:t>
      </w:r>
      <w:r w:rsidR="00CB05EA" w:rsidRPr="00F8289A">
        <w:rPr>
          <w:rFonts w:asciiTheme="majorHAnsi" w:hAnsiTheme="majorHAnsi" w:cstheme="majorHAnsi"/>
          <w:sz w:val="22"/>
          <w:szCs w:val="22"/>
          <w:lang w:val="en-GB"/>
        </w:rPr>
        <w:t xml:space="preserve"> and, if necessary, on their own initiative</w:t>
      </w:r>
      <w:r w:rsidRPr="00F8289A">
        <w:rPr>
          <w:rFonts w:asciiTheme="majorHAnsi" w:hAnsiTheme="majorHAnsi" w:cstheme="majorHAnsi"/>
          <w:sz w:val="22"/>
          <w:szCs w:val="22"/>
          <w:lang w:val="en-GB"/>
        </w:rPr>
        <w:t xml:space="preserve"> conduct prompt, thorough, effective, impartial and independent investigation into all instances where credible information is available that physical force and coercive means such as teargas were employed by police and other law-enforcement personnel against participants of peaceful assembly. Failure to conduct such investigation, in line with the well-established case-law of the Committee, constitutes a separate violation of the Covenant.</w:t>
      </w:r>
    </w:p>
    <w:p w14:paraId="77037D11" w14:textId="667C4368" w:rsidR="00CB05EA" w:rsidRPr="00F8289A" w:rsidRDefault="00CB05EA"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An independent oversight mechanism should review and report on any large-scale or contentious policing operation relating to public assemblies. When accounts of police brutality, maltreatment or torture at the hands of law-enforcement around assemblies arise during trials, they should be followed up by serious and thorough investigation. Judges and prosecutors should have a clear obligation to refer all</w:t>
      </w:r>
      <w:r w:rsidR="00621A86" w:rsidRPr="00F8289A">
        <w:rPr>
          <w:rFonts w:asciiTheme="majorHAnsi" w:hAnsiTheme="majorHAnsi" w:cstheme="majorHAnsi"/>
          <w:sz w:val="22"/>
          <w:szCs w:val="22"/>
          <w:lang w:val="en-GB"/>
        </w:rPr>
        <w:t xml:space="preserve"> relevant</w:t>
      </w:r>
      <w:r w:rsidRPr="00F8289A">
        <w:rPr>
          <w:rFonts w:asciiTheme="majorHAnsi" w:hAnsiTheme="majorHAnsi" w:cstheme="majorHAnsi"/>
          <w:sz w:val="22"/>
          <w:szCs w:val="22"/>
          <w:lang w:val="en-GB"/>
        </w:rPr>
        <w:t xml:space="preserve"> incidents that come to their attention to an independent authority with a mandate to investigate them.</w:t>
      </w:r>
    </w:p>
    <w:p w14:paraId="1321C927" w14:textId="43244CC3" w:rsidR="00032AB6" w:rsidRPr="00F8289A" w:rsidRDefault="00032AB6"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It is</w:t>
      </w:r>
      <w:r w:rsidR="00B97E8C" w:rsidRPr="00F8289A">
        <w:rPr>
          <w:rFonts w:asciiTheme="majorHAnsi" w:hAnsiTheme="majorHAnsi" w:cstheme="majorHAnsi"/>
          <w:sz w:val="22"/>
          <w:szCs w:val="22"/>
          <w:lang w:val="en-GB"/>
        </w:rPr>
        <w:t xml:space="preserve"> therefore</w:t>
      </w:r>
      <w:r w:rsidRPr="00F8289A">
        <w:rPr>
          <w:rFonts w:asciiTheme="majorHAnsi" w:hAnsiTheme="majorHAnsi" w:cstheme="majorHAnsi"/>
          <w:sz w:val="22"/>
          <w:szCs w:val="22"/>
          <w:lang w:val="en-GB"/>
        </w:rPr>
        <w:t xml:space="preserve"> respectfully proposed that the following wording is considered by the Committee while drafting General Comment No. 37: “</w:t>
      </w:r>
      <w:r w:rsidRPr="00F8289A">
        <w:rPr>
          <w:rFonts w:asciiTheme="majorHAnsi" w:hAnsiTheme="majorHAnsi" w:cstheme="majorHAnsi"/>
          <w:i/>
          <w:sz w:val="22"/>
          <w:szCs w:val="22"/>
          <w:lang w:val="en-GB"/>
        </w:rPr>
        <w:t>Use of physical force and special means, such as teargas, against participants of peaceful protest raise</w:t>
      </w:r>
      <w:r w:rsidR="002C370E" w:rsidRPr="00F8289A">
        <w:rPr>
          <w:rFonts w:asciiTheme="majorHAnsi" w:hAnsiTheme="majorHAnsi" w:cstheme="majorHAnsi"/>
          <w:i/>
          <w:sz w:val="22"/>
          <w:szCs w:val="22"/>
          <w:lang w:val="en-GB"/>
        </w:rPr>
        <w:t>s</w:t>
      </w:r>
      <w:r w:rsidRPr="00F8289A">
        <w:rPr>
          <w:rFonts w:asciiTheme="majorHAnsi" w:hAnsiTheme="majorHAnsi" w:cstheme="majorHAnsi"/>
          <w:i/>
          <w:sz w:val="22"/>
          <w:szCs w:val="22"/>
          <w:lang w:val="en-GB"/>
        </w:rPr>
        <w:t xml:space="preserve"> issues under both articles 7 and 21.</w:t>
      </w:r>
      <w:r w:rsidR="005131F3" w:rsidRPr="00F8289A">
        <w:rPr>
          <w:rFonts w:asciiTheme="majorHAnsi" w:hAnsiTheme="majorHAnsi" w:cstheme="majorHAnsi"/>
          <w:i/>
          <w:sz w:val="22"/>
          <w:szCs w:val="22"/>
          <w:lang w:val="en-GB"/>
        </w:rPr>
        <w:t xml:space="preserve"> In order to comply with the Covenant it should not be indiscriminate.</w:t>
      </w:r>
      <w:r w:rsidRPr="00F8289A">
        <w:rPr>
          <w:rFonts w:asciiTheme="majorHAnsi" w:hAnsiTheme="majorHAnsi" w:cstheme="majorHAnsi"/>
          <w:i/>
          <w:sz w:val="22"/>
          <w:szCs w:val="22"/>
          <w:lang w:val="en-GB"/>
        </w:rPr>
        <w:t xml:space="preserve"> It is</w:t>
      </w:r>
      <w:r w:rsidR="005131F3" w:rsidRPr="00F8289A">
        <w:rPr>
          <w:rFonts w:asciiTheme="majorHAnsi" w:hAnsiTheme="majorHAnsi" w:cstheme="majorHAnsi"/>
          <w:i/>
          <w:sz w:val="22"/>
          <w:szCs w:val="22"/>
          <w:lang w:val="en-GB"/>
        </w:rPr>
        <w:t xml:space="preserve"> always</w:t>
      </w:r>
      <w:r w:rsidRPr="00F8289A">
        <w:rPr>
          <w:rFonts w:asciiTheme="majorHAnsi" w:hAnsiTheme="majorHAnsi" w:cstheme="majorHAnsi"/>
          <w:i/>
          <w:sz w:val="22"/>
          <w:szCs w:val="22"/>
          <w:lang w:val="en-GB"/>
        </w:rPr>
        <w:t xml:space="preserve"> up to the</w:t>
      </w:r>
      <w:r w:rsidR="005131F3" w:rsidRPr="00F8289A">
        <w:rPr>
          <w:rFonts w:asciiTheme="majorHAnsi" w:hAnsiTheme="majorHAnsi" w:cstheme="majorHAnsi"/>
          <w:i/>
          <w:sz w:val="22"/>
          <w:szCs w:val="22"/>
          <w:lang w:val="en-GB"/>
        </w:rPr>
        <w:t xml:space="preserve"> public</w:t>
      </w:r>
      <w:r w:rsidRPr="00F8289A">
        <w:rPr>
          <w:rFonts w:asciiTheme="majorHAnsi" w:hAnsiTheme="majorHAnsi" w:cstheme="majorHAnsi"/>
          <w:i/>
          <w:sz w:val="22"/>
          <w:szCs w:val="22"/>
          <w:lang w:val="en-GB"/>
        </w:rPr>
        <w:t xml:space="preserve"> authorities to prove convincingly that</w:t>
      </w:r>
      <w:r w:rsidR="002C370E" w:rsidRPr="00F8289A">
        <w:rPr>
          <w:rFonts w:asciiTheme="majorHAnsi" w:hAnsiTheme="majorHAnsi" w:cstheme="majorHAnsi"/>
          <w:i/>
          <w:sz w:val="22"/>
          <w:szCs w:val="22"/>
          <w:lang w:val="en-GB"/>
        </w:rPr>
        <w:t xml:space="preserve"> the use of</w:t>
      </w:r>
      <w:r w:rsidR="005131F3" w:rsidRPr="00F8289A">
        <w:rPr>
          <w:rFonts w:asciiTheme="majorHAnsi" w:hAnsiTheme="majorHAnsi" w:cstheme="majorHAnsi"/>
          <w:i/>
          <w:sz w:val="22"/>
          <w:szCs w:val="22"/>
          <w:lang w:val="en-GB"/>
        </w:rPr>
        <w:t xml:space="preserve"> such force and means was</w:t>
      </w:r>
      <w:r w:rsidRPr="00F8289A">
        <w:rPr>
          <w:rFonts w:asciiTheme="majorHAnsi" w:hAnsiTheme="majorHAnsi" w:cstheme="majorHAnsi"/>
          <w:i/>
          <w:sz w:val="22"/>
          <w:szCs w:val="22"/>
          <w:lang w:val="en-GB"/>
        </w:rPr>
        <w:t xml:space="preserve"> </w:t>
      </w:r>
      <w:proofErr w:type="gramStart"/>
      <w:r w:rsidRPr="00F8289A">
        <w:rPr>
          <w:rFonts w:asciiTheme="majorHAnsi" w:hAnsiTheme="majorHAnsi" w:cstheme="majorHAnsi"/>
          <w:i/>
          <w:sz w:val="22"/>
          <w:szCs w:val="22"/>
          <w:lang w:val="en-GB"/>
        </w:rPr>
        <w:t>absolutely necessary</w:t>
      </w:r>
      <w:proofErr w:type="gramEnd"/>
      <w:r w:rsidRPr="00F8289A">
        <w:rPr>
          <w:rFonts w:asciiTheme="majorHAnsi" w:hAnsiTheme="majorHAnsi" w:cstheme="majorHAnsi"/>
          <w:i/>
          <w:sz w:val="22"/>
          <w:szCs w:val="22"/>
          <w:lang w:val="en-GB"/>
        </w:rPr>
        <w:t xml:space="preserve"> in the circumstances. In any event,</w:t>
      </w:r>
      <w:r w:rsidR="00CB05EA" w:rsidRPr="00F8289A">
        <w:rPr>
          <w:rFonts w:asciiTheme="majorHAnsi" w:hAnsiTheme="majorHAnsi" w:cstheme="majorHAnsi"/>
          <w:i/>
          <w:sz w:val="22"/>
          <w:szCs w:val="22"/>
          <w:lang w:val="en-GB"/>
        </w:rPr>
        <w:t xml:space="preserve"> independent, effective, prompt, thorough, and impartial</w:t>
      </w:r>
      <w:r w:rsidRPr="00F8289A">
        <w:rPr>
          <w:rFonts w:asciiTheme="majorHAnsi" w:hAnsiTheme="majorHAnsi" w:cstheme="majorHAnsi"/>
          <w:i/>
          <w:sz w:val="22"/>
          <w:szCs w:val="22"/>
          <w:lang w:val="en-GB"/>
        </w:rPr>
        <w:t xml:space="preserve"> investigation should be carried out in</w:t>
      </w:r>
      <w:r w:rsidR="002C370E" w:rsidRPr="00F8289A">
        <w:rPr>
          <w:rFonts w:asciiTheme="majorHAnsi" w:hAnsiTheme="majorHAnsi" w:cstheme="majorHAnsi"/>
          <w:i/>
          <w:sz w:val="22"/>
          <w:szCs w:val="22"/>
          <w:lang w:val="en-GB"/>
        </w:rPr>
        <w:t xml:space="preserve"> the circumstances of</w:t>
      </w:r>
      <w:r w:rsidRPr="00F8289A">
        <w:rPr>
          <w:rFonts w:asciiTheme="majorHAnsi" w:hAnsiTheme="majorHAnsi" w:cstheme="majorHAnsi"/>
          <w:i/>
          <w:sz w:val="22"/>
          <w:szCs w:val="22"/>
          <w:lang w:val="en-GB"/>
        </w:rPr>
        <w:t xml:space="preserve"> every such situation</w:t>
      </w:r>
      <w:r w:rsidRPr="00F8289A">
        <w:rPr>
          <w:rFonts w:asciiTheme="majorHAnsi" w:hAnsiTheme="majorHAnsi" w:cstheme="majorHAnsi"/>
          <w:sz w:val="22"/>
          <w:szCs w:val="22"/>
          <w:lang w:val="en-GB"/>
        </w:rPr>
        <w:t>”.</w:t>
      </w:r>
    </w:p>
    <w:p w14:paraId="4C298104" w14:textId="77777777" w:rsidR="00686A3A" w:rsidRPr="00F8289A" w:rsidRDefault="00686A3A" w:rsidP="00D156B3">
      <w:pPr>
        <w:spacing w:line="276" w:lineRule="auto"/>
        <w:rPr>
          <w:rFonts w:asciiTheme="majorHAnsi" w:hAnsiTheme="majorHAnsi" w:cstheme="majorHAnsi"/>
          <w:sz w:val="22"/>
          <w:szCs w:val="22"/>
          <w:u w:val="single"/>
          <w:lang w:val="en-GB"/>
        </w:rPr>
      </w:pPr>
    </w:p>
    <w:p w14:paraId="225E920E" w14:textId="666640A5" w:rsidR="00976023" w:rsidRPr="00F8289A" w:rsidRDefault="00116935" w:rsidP="00D156B3">
      <w:pPr>
        <w:spacing w:line="276" w:lineRule="auto"/>
        <w:jc w:val="center"/>
        <w:rPr>
          <w:rFonts w:asciiTheme="majorHAnsi" w:hAnsiTheme="majorHAnsi" w:cstheme="majorHAnsi"/>
          <w:sz w:val="22"/>
          <w:szCs w:val="22"/>
          <w:u w:val="single"/>
          <w:lang w:val="en-GB"/>
        </w:rPr>
      </w:pPr>
      <w:r w:rsidRPr="00F8289A">
        <w:rPr>
          <w:rFonts w:asciiTheme="majorHAnsi" w:hAnsiTheme="majorHAnsi" w:cstheme="majorHAnsi"/>
          <w:sz w:val="22"/>
          <w:szCs w:val="22"/>
          <w:u w:val="single"/>
          <w:lang w:val="en-GB"/>
        </w:rPr>
        <w:t>Access of media</w:t>
      </w:r>
    </w:p>
    <w:p w14:paraId="5B5D83DB" w14:textId="77777777" w:rsidR="007A22F1" w:rsidRPr="00F8289A" w:rsidRDefault="007A22F1" w:rsidP="00D156B3">
      <w:pPr>
        <w:spacing w:line="276" w:lineRule="auto"/>
        <w:jc w:val="center"/>
        <w:rPr>
          <w:rFonts w:asciiTheme="majorHAnsi" w:hAnsiTheme="majorHAnsi" w:cstheme="majorHAnsi"/>
          <w:sz w:val="22"/>
          <w:szCs w:val="22"/>
          <w:lang w:val="en-GB"/>
        </w:rPr>
      </w:pPr>
    </w:p>
    <w:p w14:paraId="6329FD57" w14:textId="53CAAC03" w:rsidR="00680B4E" w:rsidRPr="00F8289A" w:rsidRDefault="00116935"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The primary objective of most peaceful assemblies, especially those of political nature, is to express opinion</w:t>
      </w:r>
      <w:r w:rsidR="00621A86" w:rsidRPr="00F8289A">
        <w:rPr>
          <w:rFonts w:asciiTheme="majorHAnsi" w:hAnsiTheme="majorHAnsi" w:cstheme="majorHAnsi"/>
          <w:sz w:val="22"/>
          <w:szCs w:val="22"/>
          <w:lang w:val="en-GB"/>
        </w:rPr>
        <w:t>s</w:t>
      </w:r>
      <w:r w:rsidRPr="00F8289A">
        <w:rPr>
          <w:rFonts w:asciiTheme="majorHAnsi" w:hAnsiTheme="majorHAnsi" w:cstheme="majorHAnsi"/>
          <w:sz w:val="22"/>
          <w:szCs w:val="22"/>
          <w:lang w:val="en-GB"/>
        </w:rPr>
        <w:t xml:space="preserve"> in order to</w:t>
      </w:r>
      <w:r w:rsidR="00621A86" w:rsidRPr="00F8289A">
        <w:rPr>
          <w:rFonts w:asciiTheme="majorHAnsi" w:hAnsiTheme="majorHAnsi" w:cstheme="majorHAnsi"/>
          <w:sz w:val="22"/>
          <w:szCs w:val="22"/>
          <w:lang w:val="en-GB"/>
        </w:rPr>
        <w:t xml:space="preserve"> spread them</w:t>
      </w:r>
      <w:r w:rsidRPr="00F8289A">
        <w:rPr>
          <w:rFonts w:asciiTheme="majorHAnsi" w:hAnsiTheme="majorHAnsi" w:cstheme="majorHAnsi"/>
          <w:sz w:val="22"/>
          <w:szCs w:val="22"/>
          <w:lang w:val="en-GB"/>
        </w:rPr>
        <w:t xml:space="preserve"> further, for the wider public to become aware of</w:t>
      </w:r>
      <w:r w:rsidR="00634469" w:rsidRPr="00F8289A">
        <w:rPr>
          <w:rFonts w:asciiTheme="majorHAnsi" w:hAnsiTheme="majorHAnsi" w:cstheme="majorHAnsi"/>
          <w:sz w:val="22"/>
          <w:szCs w:val="22"/>
          <w:lang w:val="en-GB"/>
        </w:rPr>
        <w:t xml:space="preserve"> the</w:t>
      </w:r>
      <w:r w:rsidRPr="00F8289A">
        <w:rPr>
          <w:rFonts w:asciiTheme="majorHAnsi" w:hAnsiTheme="majorHAnsi" w:cstheme="majorHAnsi"/>
          <w:sz w:val="22"/>
          <w:szCs w:val="22"/>
          <w:lang w:val="en-GB"/>
        </w:rPr>
        <w:t xml:space="preserve"> views </w:t>
      </w:r>
      <w:r w:rsidR="00634469" w:rsidRPr="00F8289A">
        <w:rPr>
          <w:rFonts w:asciiTheme="majorHAnsi" w:hAnsiTheme="majorHAnsi" w:cstheme="majorHAnsi"/>
          <w:sz w:val="22"/>
          <w:szCs w:val="22"/>
          <w:lang w:val="en-GB"/>
        </w:rPr>
        <w:t>and demands of those assembling and presumably join them.</w:t>
      </w:r>
    </w:p>
    <w:p w14:paraId="252F6868" w14:textId="15191029" w:rsidR="00032AB6" w:rsidRPr="00F8289A" w:rsidRDefault="00116935"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Hence, one of the methods to stifle dissent employed by many oppressive governments is to target media professionals</w:t>
      </w:r>
      <w:r w:rsidR="00634469" w:rsidRPr="00F8289A">
        <w:rPr>
          <w:rFonts w:asciiTheme="majorHAnsi" w:hAnsiTheme="majorHAnsi" w:cstheme="majorHAnsi"/>
          <w:sz w:val="22"/>
          <w:szCs w:val="22"/>
          <w:lang w:val="en-GB"/>
        </w:rPr>
        <w:t xml:space="preserve"> covering public protest events or to prevent them </w:t>
      </w:r>
      <w:r w:rsidR="00B97E8C" w:rsidRPr="00F8289A">
        <w:rPr>
          <w:rFonts w:asciiTheme="majorHAnsi" w:hAnsiTheme="majorHAnsi" w:cstheme="majorHAnsi"/>
          <w:sz w:val="22"/>
          <w:szCs w:val="22"/>
          <w:lang w:val="en-GB"/>
        </w:rPr>
        <w:t xml:space="preserve">from </w:t>
      </w:r>
      <w:r w:rsidR="00634469" w:rsidRPr="00F8289A">
        <w:rPr>
          <w:rFonts w:asciiTheme="majorHAnsi" w:hAnsiTheme="majorHAnsi" w:cstheme="majorHAnsi"/>
          <w:sz w:val="22"/>
          <w:szCs w:val="22"/>
          <w:lang w:val="en-GB"/>
        </w:rPr>
        <w:t>effectively, under various pretexts, exercising their duties.</w:t>
      </w:r>
      <w:r w:rsidRPr="00F8289A">
        <w:rPr>
          <w:rFonts w:asciiTheme="majorHAnsi" w:hAnsiTheme="majorHAnsi" w:cstheme="majorHAnsi"/>
          <w:sz w:val="22"/>
          <w:szCs w:val="22"/>
          <w:lang w:val="en-GB"/>
        </w:rPr>
        <w:t xml:space="preserve"> It is</w:t>
      </w:r>
      <w:r w:rsidR="00634469" w:rsidRPr="00F8289A">
        <w:rPr>
          <w:rFonts w:asciiTheme="majorHAnsi" w:hAnsiTheme="majorHAnsi" w:cstheme="majorHAnsi"/>
          <w:sz w:val="22"/>
          <w:szCs w:val="22"/>
          <w:lang w:val="en-GB"/>
        </w:rPr>
        <w:t xml:space="preserve"> therefore very</w:t>
      </w:r>
      <w:r w:rsidRPr="00F8289A">
        <w:rPr>
          <w:rFonts w:asciiTheme="majorHAnsi" w:hAnsiTheme="majorHAnsi" w:cstheme="majorHAnsi"/>
          <w:sz w:val="22"/>
          <w:szCs w:val="22"/>
          <w:lang w:val="en-GB"/>
        </w:rPr>
        <w:t xml:space="preserve"> important that the Committee </w:t>
      </w:r>
      <w:r w:rsidR="00634469" w:rsidRPr="00F8289A">
        <w:rPr>
          <w:rFonts w:asciiTheme="majorHAnsi" w:hAnsiTheme="majorHAnsi" w:cstheme="majorHAnsi"/>
          <w:sz w:val="22"/>
          <w:szCs w:val="22"/>
          <w:lang w:val="en-GB"/>
        </w:rPr>
        <w:t>highlights,</w:t>
      </w:r>
      <w:r w:rsidRPr="00F8289A">
        <w:rPr>
          <w:rFonts w:asciiTheme="majorHAnsi" w:hAnsiTheme="majorHAnsi" w:cstheme="majorHAnsi"/>
          <w:sz w:val="22"/>
          <w:szCs w:val="22"/>
          <w:lang w:val="en-GB"/>
        </w:rPr>
        <w:t xml:space="preserve"> in its General Comment no. 37</w:t>
      </w:r>
      <w:r w:rsidR="00634469" w:rsidRPr="00F8289A">
        <w:rPr>
          <w:rFonts w:asciiTheme="majorHAnsi" w:hAnsiTheme="majorHAnsi" w:cstheme="majorHAnsi"/>
          <w:sz w:val="22"/>
          <w:szCs w:val="22"/>
          <w:lang w:val="en-GB"/>
        </w:rPr>
        <w:t>,</w:t>
      </w:r>
      <w:r w:rsidRPr="00F8289A">
        <w:rPr>
          <w:rFonts w:asciiTheme="majorHAnsi" w:hAnsiTheme="majorHAnsi" w:cstheme="majorHAnsi"/>
          <w:sz w:val="22"/>
          <w:szCs w:val="22"/>
          <w:lang w:val="en-GB"/>
        </w:rPr>
        <w:t xml:space="preserve"> the crucial role played by media professionals in informing the</w:t>
      </w:r>
      <w:r w:rsidR="0051619A" w:rsidRPr="00F8289A">
        <w:rPr>
          <w:rFonts w:asciiTheme="majorHAnsi" w:hAnsiTheme="majorHAnsi" w:cstheme="majorHAnsi"/>
          <w:sz w:val="22"/>
          <w:szCs w:val="22"/>
          <w:lang w:val="en-GB"/>
        </w:rPr>
        <w:t xml:space="preserve"> general public of peaceful</w:t>
      </w:r>
      <w:r w:rsidRPr="00F8289A">
        <w:rPr>
          <w:rFonts w:asciiTheme="majorHAnsi" w:hAnsiTheme="majorHAnsi" w:cstheme="majorHAnsi"/>
          <w:sz w:val="22"/>
          <w:szCs w:val="22"/>
          <w:lang w:val="en-GB"/>
        </w:rPr>
        <w:t xml:space="preserve"> assemblies</w:t>
      </w:r>
      <w:r w:rsidR="0051619A" w:rsidRPr="00F8289A">
        <w:rPr>
          <w:rFonts w:asciiTheme="majorHAnsi" w:hAnsiTheme="majorHAnsi" w:cstheme="majorHAnsi"/>
          <w:sz w:val="22"/>
          <w:szCs w:val="22"/>
          <w:lang w:val="en-GB"/>
        </w:rPr>
        <w:t>, their participants and messages,</w:t>
      </w:r>
      <w:r w:rsidRPr="00F8289A">
        <w:rPr>
          <w:rFonts w:asciiTheme="majorHAnsi" w:hAnsiTheme="majorHAnsi" w:cstheme="majorHAnsi"/>
          <w:sz w:val="22"/>
          <w:szCs w:val="22"/>
          <w:lang w:val="en-GB"/>
        </w:rPr>
        <w:t xml:space="preserve"> and thus ex</w:t>
      </w:r>
      <w:r w:rsidR="00634469" w:rsidRPr="00F8289A">
        <w:rPr>
          <w:rFonts w:asciiTheme="majorHAnsi" w:hAnsiTheme="majorHAnsi" w:cstheme="majorHAnsi"/>
          <w:sz w:val="22"/>
          <w:szCs w:val="22"/>
          <w:lang w:val="en-GB"/>
        </w:rPr>
        <w:t>ercising their rights pursuant to</w:t>
      </w:r>
      <w:r w:rsidRPr="00F8289A">
        <w:rPr>
          <w:rFonts w:asciiTheme="majorHAnsi" w:hAnsiTheme="majorHAnsi" w:cstheme="majorHAnsi"/>
          <w:sz w:val="22"/>
          <w:szCs w:val="22"/>
          <w:lang w:val="en-GB"/>
        </w:rPr>
        <w:t xml:space="preserve"> Article 19 of the Covenant (see </w:t>
      </w:r>
      <w:r w:rsidR="0051619A" w:rsidRPr="00F8289A">
        <w:rPr>
          <w:rFonts w:asciiTheme="majorHAnsi" w:hAnsiTheme="majorHAnsi" w:cstheme="majorHAnsi"/>
          <w:sz w:val="22"/>
          <w:szCs w:val="22"/>
          <w:lang w:val="en-GB"/>
        </w:rPr>
        <w:t>§ 12 and</w:t>
      </w:r>
      <w:r w:rsidR="00B97E8C" w:rsidRPr="00F8289A">
        <w:rPr>
          <w:rFonts w:asciiTheme="majorHAnsi" w:hAnsiTheme="majorHAnsi" w:cstheme="majorHAnsi"/>
          <w:sz w:val="22"/>
          <w:szCs w:val="22"/>
          <w:lang w:val="en-GB"/>
        </w:rPr>
        <w:t xml:space="preserve"> §</w:t>
      </w:r>
      <w:r w:rsidRPr="00F8289A">
        <w:rPr>
          <w:rFonts w:asciiTheme="majorHAnsi" w:hAnsiTheme="majorHAnsi" w:cstheme="majorHAnsi"/>
          <w:sz w:val="22"/>
          <w:szCs w:val="22"/>
          <w:lang w:val="en-GB"/>
        </w:rPr>
        <w:t xml:space="preserve"> 17 of the Note of the Special Rapporteur).</w:t>
      </w:r>
      <w:r w:rsidR="00621A86" w:rsidRPr="00F8289A">
        <w:rPr>
          <w:rFonts w:asciiTheme="majorHAnsi" w:hAnsiTheme="majorHAnsi" w:cstheme="majorHAnsi"/>
          <w:sz w:val="22"/>
          <w:szCs w:val="22"/>
          <w:lang w:val="en-GB"/>
        </w:rPr>
        <w:t xml:space="preserve"> </w:t>
      </w:r>
      <w:r w:rsidR="00B97E8C" w:rsidRPr="00F8289A">
        <w:rPr>
          <w:rFonts w:asciiTheme="majorHAnsi" w:hAnsiTheme="majorHAnsi" w:cstheme="majorHAnsi"/>
          <w:sz w:val="22"/>
          <w:szCs w:val="22"/>
          <w:lang w:val="en-GB"/>
        </w:rPr>
        <w:t>J</w:t>
      </w:r>
      <w:r w:rsidR="00621A86" w:rsidRPr="00F8289A">
        <w:rPr>
          <w:rFonts w:asciiTheme="majorHAnsi" w:hAnsiTheme="majorHAnsi" w:cstheme="majorHAnsi"/>
          <w:sz w:val="22"/>
          <w:szCs w:val="22"/>
          <w:lang w:val="en-GB"/>
        </w:rPr>
        <w:t>ournalists</w:t>
      </w:r>
      <w:r w:rsidR="0051619A" w:rsidRPr="00F8289A">
        <w:rPr>
          <w:rFonts w:asciiTheme="majorHAnsi" w:hAnsiTheme="majorHAnsi" w:cstheme="majorHAnsi"/>
          <w:sz w:val="22"/>
          <w:szCs w:val="22"/>
          <w:lang w:val="en-GB"/>
        </w:rPr>
        <w:t xml:space="preserve"> s</w:t>
      </w:r>
      <w:r w:rsidR="00634469" w:rsidRPr="00F8289A">
        <w:rPr>
          <w:rFonts w:asciiTheme="majorHAnsi" w:hAnsiTheme="majorHAnsi" w:cstheme="majorHAnsi"/>
          <w:sz w:val="22"/>
          <w:szCs w:val="22"/>
          <w:lang w:val="en-GB"/>
        </w:rPr>
        <w:t>hould not be equated with simple</w:t>
      </w:r>
      <w:r w:rsidR="0051619A" w:rsidRPr="00F8289A">
        <w:rPr>
          <w:rFonts w:asciiTheme="majorHAnsi" w:hAnsiTheme="majorHAnsi" w:cstheme="majorHAnsi"/>
          <w:sz w:val="22"/>
          <w:szCs w:val="22"/>
          <w:lang w:val="en-GB"/>
        </w:rPr>
        <w:t xml:space="preserve"> bystanders as they exercise their hu</w:t>
      </w:r>
      <w:r w:rsidR="00634469" w:rsidRPr="00F8289A">
        <w:rPr>
          <w:rFonts w:asciiTheme="majorHAnsi" w:hAnsiTheme="majorHAnsi" w:cstheme="majorHAnsi"/>
          <w:sz w:val="22"/>
          <w:szCs w:val="22"/>
          <w:lang w:val="en-GB"/>
        </w:rPr>
        <w:t>man rights and, above all, play</w:t>
      </w:r>
      <w:r w:rsidR="0051619A" w:rsidRPr="00F8289A">
        <w:rPr>
          <w:rFonts w:asciiTheme="majorHAnsi" w:hAnsiTheme="majorHAnsi" w:cstheme="majorHAnsi"/>
          <w:sz w:val="22"/>
          <w:szCs w:val="22"/>
          <w:lang w:val="en-GB"/>
        </w:rPr>
        <w:t xml:space="preserve"> </w:t>
      </w:r>
      <w:r w:rsidR="00B97E8C" w:rsidRPr="00F8289A">
        <w:rPr>
          <w:rFonts w:asciiTheme="majorHAnsi" w:hAnsiTheme="majorHAnsi" w:cstheme="majorHAnsi"/>
          <w:sz w:val="22"/>
          <w:szCs w:val="22"/>
          <w:lang w:val="en-GB"/>
        </w:rPr>
        <w:t xml:space="preserve">the </w:t>
      </w:r>
      <w:r w:rsidR="0051619A" w:rsidRPr="00F8289A">
        <w:rPr>
          <w:rFonts w:asciiTheme="majorHAnsi" w:hAnsiTheme="majorHAnsi" w:cstheme="majorHAnsi"/>
          <w:sz w:val="22"/>
          <w:szCs w:val="22"/>
          <w:lang w:val="en-GB"/>
        </w:rPr>
        <w:t>critically important role of public watchdog. Moreover,</w:t>
      </w:r>
      <w:r w:rsidR="00634469" w:rsidRPr="00F8289A">
        <w:rPr>
          <w:rFonts w:asciiTheme="majorHAnsi" w:hAnsiTheme="majorHAnsi" w:cstheme="majorHAnsi"/>
          <w:sz w:val="22"/>
          <w:szCs w:val="22"/>
          <w:lang w:val="en-GB"/>
        </w:rPr>
        <w:t xml:space="preserve"> experience shows that</w:t>
      </w:r>
      <w:r w:rsidR="0051619A" w:rsidRPr="00F8289A">
        <w:rPr>
          <w:rFonts w:asciiTheme="majorHAnsi" w:hAnsiTheme="majorHAnsi" w:cstheme="majorHAnsi"/>
          <w:sz w:val="22"/>
          <w:szCs w:val="22"/>
          <w:lang w:val="en-GB"/>
        </w:rPr>
        <w:t xml:space="preserve"> mere presence of media professionals </w:t>
      </w:r>
      <w:r w:rsidR="00B97E8C" w:rsidRPr="00F8289A">
        <w:rPr>
          <w:rFonts w:asciiTheme="majorHAnsi" w:hAnsiTheme="majorHAnsi" w:cstheme="majorHAnsi"/>
          <w:sz w:val="22"/>
          <w:szCs w:val="22"/>
          <w:lang w:val="en-GB"/>
        </w:rPr>
        <w:t>at the location of</w:t>
      </w:r>
      <w:r w:rsidR="00634469" w:rsidRPr="00F8289A">
        <w:rPr>
          <w:rFonts w:asciiTheme="majorHAnsi" w:hAnsiTheme="majorHAnsi" w:cstheme="majorHAnsi"/>
          <w:sz w:val="22"/>
          <w:szCs w:val="22"/>
          <w:lang w:val="en-GB"/>
        </w:rPr>
        <w:t xml:space="preserve"> assembl</w:t>
      </w:r>
      <w:r w:rsidR="00B97E8C" w:rsidRPr="00F8289A">
        <w:rPr>
          <w:rFonts w:asciiTheme="majorHAnsi" w:hAnsiTheme="majorHAnsi" w:cstheme="majorHAnsi"/>
          <w:sz w:val="22"/>
          <w:szCs w:val="22"/>
          <w:lang w:val="en-GB"/>
        </w:rPr>
        <w:t>ies</w:t>
      </w:r>
      <w:r w:rsidR="00634469" w:rsidRPr="00F8289A">
        <w:rPr>
          <w:rFonts w:asciiTheme="majorHAnsi" w:hAnsiTheme="majorHAnsi" w:cstheme="majorHAnsi"/>
          <w:sz w:val="22"/>
          <w:szCs w:val="22"/>
          <w:lang w:val="en-GB"/>
        </w:rPr>
        <w:t xml:space="preserve"> is often capable of mitigating the risks of</w:t>
      </w:r>
      <w:r w:rsidR="0051619A" w:rsidRPr="00F8289A">
        <w:rPr>
          <w:rFonts w:asciiTheme="majorHAnsi" w:hAnsiTheme="majorHAnsi" w:cstheme="majorHAnsi"/>
          <w:sz w:val="22"/>
          <w:szCs w:val="22"/>
          <w:lang w:val="en-GB"/>
        </w:rPr>
        <w:t xml:space="preserve"> ill-treatment and </w:t>
      </w:r>
      <w:r w:rsidR="00634469" w:rsidRPr="00F8289A">
        <w:rPr>
          <w:rFonts w:asciiTheme="majorHAnsi" w:hAnsiTheme="majorHAnsi" w:cstheme="majorHAnsi"/>
          <w:sz w:val="22"/>
          <w:szCs w:val="22"/>
          <w:lang w:val="en-GB"/>
        </w:rPr>
        <w:t>police brutality.</w:t>
      </w:r>
    </w:p>
    <w:p w14:paraId="098B1DB4" w14:textId="2ADE9DFA" w:rsidR="00116935" w:rsidRPr="00F8289A" w:rsidRDefault="00116935"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The European Court of Human Rights has emphasized </w:t>
      </w:r>
      <w:r w:rsidR="00B97E8C" w:rsidRPr="00F8289A">
        <w:rPr>
          <w:rFonts w:asciiTheme="majorHAnsi" w:hAnsiTheme="majorHAnsi" w:cstheme="majorHAnsi"/>
          <w:sz w:val="22"/>
          <w:szCs w:val="22"/>
          <w:lang w:val="en-GB"/>
        </w:rPr>
        <w:t xml:space="preserve">that the media fulfils </w:t>
      </w:r>
      <w:r w:rsidR="00673A37" w:rsidRPr="00F8289A">
        <w:rPr>
          <w:rFonts w:asciiTheme="majorHAnsi" w:hAnsiTheme="majorHAnsi" w:cstheme="majorHAnsi"/>
          <w:sz w:val="22"/>
          <w:szCs w:val="22"/>
          <w:lang w:val="en-GB"/>
        </w:rPr>
        <w:t>an</w:t>
      </w:r>
      <w:r w:rsidR="00B97E8C" w:rsidRPr="00F8289A">
        <w:rPr>
          <w:rFonts w:asciiTheme="majorHAnsi" w:hAnsiTheme="majorHAnsi" w:cstheme="majorHAnsi"/>
          <w:sz w:val="22"/>
          <w:szCs w:val="22"/>
          <w:lang w:val="en-GB"/>
        </w:rPr>
        <w:t xml:space="preserve"> </w:t>
      </w:r>
      <w:r w:rsidRPr="00F8289A">
        <w:rPr>
          <w:rFonts w:asciiTheme="majorHAnsi" w:hAnsiTheme="majorHAnsi" w:cstheme="majorHAnsi"/>
          <w:sz w:val="22"/>
          <w:szCs w:val="22"/>
          <w:lang w:val="en-GB"/>
        </w:rPr>
        <w:t>essential function in a democratic society</w:t>
      </w:r>
      <w:r w:rsidR="00B97E8C" w:rsidRPr="00F8289A">
        <w:rPr>
          <w:rFonts w:asciiTheme="majorHAnsi" w:hAnsiTheme="majorHAnsi" w:cstheme="majorHAnsi"/>
          <w:sz w:val="22"/>
          <w:szCs w:val="22"/>
          <w:lang w:val="en-GB"/>
        </w:rPr>
        <w:t>.</w:t>
      </w:r>
      <w:r w:rsidRPr="00F8289A">
        <w:rPr>
          <w:rFonts w:asciiTheme="majorHAnsi" w:hAnsiTheme="majorHAnsi" w:cstheme="majorHAnsi"/>
          <w:sz w:val="22"/>
          <w:szCs w:val="22"/>
          <w:lang w:val="en-GB"/>
        </w:rPr>
        <w:t xml:space="preserve"> </w:t>
      </w:r>
      <w:r w:rsidR="00673A37" w:rsidRPr="00F8289A">
        <w:rPr>
          <w:rFonts w:asciiTheme="majorHAnsi" w:hAnsiTheme="majorHAnsi" w:cstheme="majorHAnsi"/>
          <w:sz w:val="22"/>
          <w:szCs w:val="22"/>
          <w:lang w:val="en-GB"/>
        </w:rPr>
        <w:t>This includes</w:t>
      </w:r>
      <w:r w:rsidRPr="00F8289A">
        <w:rPr>
          <w:rFonts w:asciiTheme="majorHAnsi" w:hAnsiTheme="majorHAnsi" w:cstheme="majorHAnsi"/>
          <w:sz w:val="22"/>
          <w:szCs w:val="22"/>
          <w:lang w:val="en-GB"/>
        </w:rPr>
        <w:t xml:space="preserve"> </w:t>
      </w:r>
      <w:r w:rsidR="00634469" w:rsidRPr="00F8289A">
        <w:rPr>
          <w:rFonts w:asciiTheme="majorHAnsi" w:hAnsiTheme="majorHAnsi" w:cstheme="majorHAnsi"/>
          <w:sz w:val="22"/>
          <w:szCs w:val="22"/>
          <w:lang w:val="en-GB"/>
        </w:rPr>
        <w:t>providing information about</w:t>
      </w:r>
      <w:r w:rsidRPr="00F8289A">
        <w:rPr>
          <w:rFonts w:asciiTheme="majorHAnsi" w:hAnsiTheme="majorHAnsi" w:cstheme="majorHAnsi"/>
          <w:sz w:val="22"/>
          <w:szCs w:val="22"/>
          <w:lang w:val="en-GB"/>
        </w:rPr>
        <w:t xml:space="preserve"> the authorities’ handling of public demonstrations and the containment of </w:t>
      </w:r>
      <w:r w:rsidR="00673A37" w:rsidRPr="00F8289A">
        <w:rPr>
          <w:rFonts w:asciiTheme="majorHAnsi" w:hAnsiTheme="majorHAnsi" w:cstheme="majorHAnsi"/>
          <w:sz w:val="22"/>
          <w:szCs w:val="22"/>
          <w:lang w:val="en-GB"/>
        </w:rPr>
        <w:t>disorder</w:t>
      </w:r>
      <w:r w:rsidRPr="00F8289A">
        <w:rPr>
          <w:rFonts w:asciiTheme="majorHAnsi" w:hAnsiTheme="majorHAnsi" w:cstheme="majorHAnsi"/>
          <w:sz w:val="22"/>
          <w:szCs w:val="22"/>
          <w:lang w:val="en-GB"/>
        </w:rPr>
        <w:t xml:space="preserve"> therefore, any attempt to remove journalists from the scene of demonstrations or to prosecute them for an alleged offence in relation to a demonstration must be subject to strict scrutiny (</w:t>
      </w:r>
      <w:proofErr w:type="spellStart"/>
      <w:r w:rsidRPr="00F8289A">
        <w:rPr>
          <w:rFonts w:asciiTheme="majorHAnsi" w:hAnsiTheme="majorHAnsi" w:cstheme="majorHAnsi"/>
          <w:i/>
          <w:sz w:val="22"/>
          <w:szCs w:val="22"/>
          <w:lang w:val="en-GB"/>
        </w:rPr>
        <w:t>Butkevich</w:t>
      </w:r>
      <w:proofErr w:type="spellEnd"/>
      <w:r w:rsidRPr="00F8289A">
        <w:rPr>
          <w:rFonts w:asciiTheme="majorHAnsi" w:hAnsiTheme="majorHAnsi" w:cstheme="majorHAnsi"/>
          <w:i/>
          <w:sz w:val="22"/>
          <w:szCs w:val="22"/>
          <w:lang w:val="en-GB"/>
        </w:rPr>
        <w:t xml:space="preserve"> v. Russia</w:t>
      </w:r>
      <w:r w:rsidRPr="00F8289A">
        <w:rPr>
          <w:rFonts w:asciiTheme="majorHAnsi" w:hAnsiTheme="majorHAnsi" w:cstheme="majorHAnsi"/>
          <w:sz w:val="22"/>
          <w:szCs w:val="22"/>
          <w:lang w:val="en-GB"/>
        </w:rPr>
        <w:t>, no. 5865/07, § 130, Judgment of 13 February 2018).</w:t>
      </w:r>
    </w:p>
    <w:p w14:paraId="2F4A5525" w14:textId="5CD46B3C" w:rsidR="00116935" w:rsidRPr="00F8289A" w:rsidRDefault="00116935"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The Committee has acknowledged that </w:t>
      </w:r>
      <w:r w:rsidR="008B4E0C" w:rsidRPr="00F8289A">
        <w:rPr>
          <w:rFonts w:asciiTheme="majorHAnsi" w:hAnsiTheme="majorHAnsi" w:cstheme="majorHAnsi"/>
          <w:sz w:val="22"/>
          <w:szCs w:val="22"/>
          <w:lang w:val="en-GB"/>
        </w:rPr>
        <w:t>journalist</w:t>
      </w:r>
      <w:r w:rsidR="00F677D8" w:rsidRPr="00F8289A">
        <w:rPr>
          <w:rFonts w:asciiTheme="majorHAnsi" w:hAnsiTheme="majorHAnsi" w:cstheme="majorHAnsi"/>
          <w:sz w:val="22"/>
          <w:szCs w:val="22"/>
          <w:lang w:val="en-GB"/>
        </w:rPr>
        <w:t>s</w:t>
      </w:r>
      <w:r w:rsidR="00673A37" w:rsidRPr="00F8289A">
        <w:rPr>
          <w:rFonts w:asciiTheme="majorHAnsi" w:hAnsiTheme="majorHAnsi" w:cstheme="majorHAnsi"/>
          <w:sz w:val="22"/>
          <w:szCs w:val="22"/>
          <w:lang w:val="en-GB"/>
        </w:rPr>
        <w:t>’</w:t>
      </w:r>
      <w:r w:rsidR="008B4E0C" w:rsidRPr="00F8289A">
        <w:rPr>
          <w:rFonts w:asciiTheme="majorHAnsi" w:hAnsiTheme="majorHAnsi" w:cstheme="majorHAnsi"/>
          <w:sz w:val="22"/>
          <w:szCs w:val="22"/>
          <w:lang w:val="en-GB"/>
        </w:rPr>
        <w:t xml:space="preserve"> participation in a public event organized by a third party is protected by Article 19 of the Covenant (see </w:t>
      </w:r>
      <w:proofErr w:type="spellStart"/>
      <w:r w:rsidR="008B4E0C" w:rsidRPr="00F8289A">
        <w:rPr>
          <w:rFonts w:asciiTheme="majorHAnsi" w:hAnsiTheme="majorHAnsi" w:cstheme="majorHAnsi"/>
          <w:i/>
          <w:sz w:val="22"/>
          <w:szCs w:val="22"/>
          <w:lang w:val="en-GB"/>
        </w:rPr>
        <w:t>Pranevich</w:t>
      </w:r>
      <w:proofErr w:type="spellEnd"/>
      <w:r w:rsidR="008B4E0C" w:rsidRPr="00F8289A">
        <w:rPr>
          <w:rFonts w:asciiTheme="majorHAnsi" w:hAnsiTheme="majorHAnsi" w:cstheme="majorHAnsi"/>
          <w:i/>
          <w:sz w:val="22"/>
          <w:szCs w:val="22"/>
          <w:lang w:val="en-GB"/>
        </w:rPr>
        <w:t xml:space="preserve"> v. Belarus</w:t>
      </w:r>
      <w:r w:rsidR="008B4E0C" w:rsidRPr="00F8289A">
        <w:rPr>
          <w:rFonts w:asciiTheme="majorHAnsi" w:hAnsiTheme="majorHAnsi" w:cstheme="majorHAnsi"/>
          <w:sz w:val="22"/>
          <w:szCs w:val="22"/>
          <w:lang w:val="en-GB"/>
        </w:rPr>
        <w:t xml:space="preserve">, no. 2251/2013, § 6.3, Views of 15 October 2018). In a recent case brought by a Kazakhstani journalist who was detained and imprisoned for covering anti-governmental protests in </w:t>
      </w:r>
      <w:proofErr w:type="spellStart"/>
      <w:r w:rsidR="008B4E0C" w:rsidRPr="00F8289A">
        <w:rPr>
          <w:rFonts w:asciiTheme="majorHAnsi" w:hAnsiTheme="majorHAnsi" w:cstheme="majorHAnsi"/>
          <w:sz w:val="22"/>
          <w:szCs w:val="22"/>
          <w:lang w:val="en-GB"/>
        </w:rPr>
        <w:t>Zhezkazgan</w:t>
      </w:r>
      <w:proofErr w:type="spellEnd"/>
      <w:r w:rsidR="00492AFB" w:rsidRPr="00F8289A">
        <w:rPr>
          <w:rFonts w:asciiTheme="majorHAnsi" w:hAnsiTheme="majorHAnsi" w:cstheme="majorHAnsi"/>
          <w:sz w:val="22"/>
          <w:szCs w:val="22"/>
          <w:lang w:val="en-GB"/>
        </w:rPr>
        <w:t xml:space="preserve"> in 2013</w:t>
      </w:r>
      <w:r w:rsidR="00673A37" w:rsidRPr="00F8289A">
        <w:rPr>
          <w:rFonts w:asciiTheme="majorHAnsi" w:hAnsiTheme="majorHAnsi" w:cstheme="majorHAnsi"/>
          <w:sz w:val="22"/>
          <w:szCs w:val="22"/>
          <w:lang w:val="en-GB"/>
        </w:rPr>
        <w:t>,</w:t>
      </w:r>
      <w:r w:rsidR="00621A86" w:rsidRPr="00F8289A">
        <w:rPr>
          <w:rFonts w:asciiTheme="majorHAnsi" w:hAnsiTheme="majorHAnsi" w:cstheme="majorHAnsi"/>
          <w:sz w:val="22"/>
          <w:szCs w:val="22"/>
          <w:lang w:val="en-GB"/>
        </w:rPr>
        <w:t xml:space="preserve"> the Committee established</w:t>
      </w:r>
      <w:r w:rsidR="008B4E0C" w:rsidRPr="00F8289A">
        <w:rPr>
          <w:rFonts w:asciiTheme="majorHAnsi" w:hAnsiTheme="majorHAnsi" w:cstheme="majorHAnsi"/>
          <w:sz w:val="22"/>
          <w:szCs w:val="22"/>
          <w:lang w:val="en-GB"/>
        </w:rPr>
        <w:t xml:space="preserve"> violations of both Articles 19 and 21 of the Covenant (</w:t>
      </w:r>
      <w:proofErr w:type="spellStart"/>
      <w:r w:rsidR="00492AFB" w:rsidRPr="00F8289A">
        <w:rPr>
          <w:rFonts w:asciiTheme="majorHAnsi" w:hAnsiTheme="majorHAnsi" w:cstheme="majorHAnsi"/>
          <w:i/>
          <w:sz w:val="22"/>
          <w:szCs w:val="22"/>
          <w:lang w:val="en-GB"/>
        </w:rPr>
        <w:t>Zhagiparov</w:t>
      </w:r>
      <w:proofErr w:type="spellEnd"/>
      <w:r w:rsidR="00492AFB" w:rsidRPr="00F8289A">
        <w:rPr>
          <w:rFonts w:asciiTheme="majorHAnsi" w:hAnsiTheme="majorHAnsi" w:cstheme="majorHAnsi"/>
          <w:i/>
          <w:sz w:val="22"/>
          <w:szCs w:val="22"/>
          <w:lang w:val="en-GB"/>
        </w:rPr>
        <w:t xml:space="preserve"> v. Kazakhstan</w:t>
      </w:r>
      <w:r w:rsidR="00492AFB" w:rsidRPr="00F8289A">
        <w:rPr>
          <w:rFonts w:asciiTheme="majorHAnsi" w:hAnsiTheme="majorHAnsi" w:cstheme="majorHAnsi"/>
          <w:sz w:val="22"/>
          <w:szCs w:val="22"/>
          <w:lang w:val="en-GB"/>
        </w:rPr>
        <w:t>, no. 2441/2014, §§ 13.2-13.5, Views of 29 November 2018).</w:t>
      </w:r>
    </w:p>
    <w:p w14:paraId="5B176AD0" w14:textId="2BAD8BDB" w:rsidR="00492AFB" w:rsidRPr="00F8289A" w:rsidRDefault="00492AFB"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Indeed, the right of journalists to have access to and to cover without hindrances public protest actions </w:t>
      </w:r>
      <w:r w:rsidR="00634469" w:rsidRPr="00F8289A">
        <w:rPr>
          <w:rFonts w:asciiTheme="majorHAnsi" w:hAnsiTheme="majorHAnsi" w:cstheme="majorHAnsi"/>
          <w:sz w:val="22"/>
          <w:szCs w:val="22"/>
          <w:lang w:val="en-GB"/>
        </w:rPr>
        <w:t>is closely connected with</w:t>
      </w:r>
      <w:r w:rsidRPr="00F8289A">
        <w:rPr>
          <w:rFonts w:asciiTheme="majorHAnsi" w:hAnsiTheme="majorHAnsi" w:cstheme="majorHAnsi"/>
          <w:sz w:val="22"/>
          <w:szCs w:val="22"/>
          <w:lang w:val="en-GB"/>
        </w:rPr>
        <w:t xml:space="preserve"> both Articles </w:t>
      </w:r>
      <w:r w:rsidR="00634469" w:rsidRPr="00F8289A">
        <w:rPr>
          <w:rFonts w:asciiTheme="majorHAnsi" w:hAnsiTheme="majorHAnsi" w:cstheme="majorHAnsi"/>
          <w:sz w:val="22"/>
          <w:szCs w:val="22"/>
          <w:lang w:val="en-GB"/>
        </w:rPr>
        <w:t>19 and 21 of the Covenant. It reflects</w:t>
      </w:r>
      <w:r w:rsidRPr="00F8289A">
        <w:rPr>
          <w:rFonts w:asciiTheme="majorHAnsi" w:hAnsiTheme="majorHAnsi" w:cstheme="majorHAnsi"/>
          <w:sz w:val="22"/>
          <w:szCs w:val="22"/>
          <w:lang w:val="en-GB"/>
        </w:rPr>
        <w:t xml:space="preserve"> both right of the media to collect information of public significance and that of the participants of protest actions to express their grievances and opinions </w:t>
      </w:r>
      <w:proofErr w:type="gramStart"/>
      <w:r w:rsidRPr="00F8289A">
        <w:rPr>
          <w:rFonts w:asciiTheme="majorHAnsi" w:hAnsiTheme="majorHAnsi" w:cstheme="majorHAnsi"/>
          <w:sz w:val="22"/>
          <w:szCs w:val="22"/>
          <w:lang w:val="en-GB"/>
        </w:rPr>
        <w:t>in order for</w:t>
      </w:r>
      <w:proofErr w:type="gramEnd"/>
      <w:r w:rsidRPr="00F8289A">
        <w:rPr>
          <w:rFonts w:asciiTheme="majorHAnsi" w:hAnsiTheme="majorHAnsi" w:cstheme="majorHAnsi"/>
          <w:sz w:val="22"/>
          <w:szCs w:val="22"/>
          <w:lang w:val="en-GB"/>
        </w:rPr>
        <w:t xml:space="preserve"> them to be broadcast for the benefit of the public at large.</w:t>
      </w:r>
    </w:p>
    <w:p w14:paraId="3AE8D532" w14:textId="71F95C7A" w:rsidR="00492AFB" w:rsidRPr="00F8289A" w:rsidRDefault="00492AFB"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It is therefore </w:t>
      </w:r>
      <w:r w:rsidR="00673A37" w:rsidRPr="00F8289A">
        <w:rPr>
          <w:rFonts w:asciiTheme="majorHAnsi" w:hAnsiTheme="majorHAnsi" w:cstheme="majorHAnsi"/>
          <w:sz w:val="22"/>
          <w:szCs w:val="22"/>
          <w:lang w:val="en-GB"/>
        </w:rPr>
        <w:t xml:space="preserve">respectfully </w:t>
      </w:r>
      <w:r w:rsidRPr="00F8289A">
        <w:rPr>
          <w:rFonts w:asciiTheme="majorHAnsi" w:hAnsiTheme="majorHAnsi" w:cstheme="majorHAnsi"/>
          <w:sz w:val="22"/>
          <w:szCs w:val="22"/>
          <w:lang w:val="en-GB"/>
        </w:rPr>
        <w:t>suggested that the following wording be adopted by the Committee in its General Comment No. 37: “</w:t>
      </w:r>
      <w:r w:rsidRPr="00F8289A">
        <w:rPr>
          <w:rFonts w:asciiTheme="majorHAnsi" w:hAnsiTheme="majorHAnsi" w:cstheme="majorHAnsi"/>
          <w:i/>
          <w:sz w:val="22"/>
          <w:szCs w:val="22"/>
          <w:lang w:val="en-GB"/>
        </w:rPr>
        <w:t xml:space="preserve">The right of journalists to attend peaceful assemblies with the aim to cover the events is protected by article 19. It is closely </w:t>
      </w:r>
      <w:r w:rsidR="00634469" w:rsidRPr="00F8289A">
        <w:rPr>
          <w:rFonts w:asciiTheme="majorHAnsi" w:hAnsiTheme="majorHAnsi" w:cstheme="majorHAnsi"/>
          <w:i/>
          <w:sz w:val="22"/>
          <w:szCs w:val="22"/>
          <w:lang w:val="en-GB"/>
        </w:rPr>
        <w:t>connected with</w:t>
      </w:r>
      <w:r w:rsidRPr="00F8289A">
        <w:rPr>
          <w:rFonts w:asciiTheme="majorHAnsi" w:hAnsiTheme="majorHAnsi" w:cstheme="majorHAnsi"/>
          <w:i/>
          <w:sz w:val="22"/>
          <w:szCs w:val="22"/>
          <w:lang w:val="en-GB"/>
        </w:rPr>
        <w:t xml:space="preserve"> the rights under article 21. The authorities should have very weighty reasons to justify restrictions </w:t>
      </w:r>
      <w:r w:rsidR="00634469" w:rsidRPr="00F8289A">
        <w:rPr>
          <w:rFonts w:asciiTheme="majorHAnsi" w:hAnsiTheme="majorHAnsi" w:cstheme="majorHAnsi"/>
          <w:i/>
          <w:sz w:val="22"/>
          <w:szCs w:val="22"/>
          <w:lang w:val="en-GB"/>
        </w:rPr>
        <w:t>o</w:t>
      </w:r>
      <w:r w:rsidRPr="00F8289A">
        <w:rPr>
          <w:rFonts w:asciiTheme="majorHAnsi" w:hAnsiTheme="majorHAnsi" w:cstheme="majorHAnsi"/>
          <w:i/>
          <w:sz w:val="22"/>
          <w:szCs w:val="22"/>
          <w:lang w:val="en-GB"/>
        </w:rPr>
        <w:t>f media access to public protest actions</w:t>
      </w:r>
      <w:r w:rsidRPr="00F8289A">
        <w:rPr>
          <w:rFonts w:asciiTheme="majorHAnsi" w:hAnsiTheme="majorHAnsi" w:cstheme="majorHAnsi"/>
          <w:sz w:val="22"/>
          <w:szCs w:val="22"/>
          <w:lang w:val="en-GB"/>
        </w:rPr>
        <w:t>”.</w:t>
      </w:r>
    </w:p>
    <w:p w14:paraId="6A34AD38" w14:textId="77777777" w:rsidR="00826870" w:rsidRPr="00F8289A" w:rsidRDefault="00826870" w:rsidP="00D156B3">
      <w:pPr>
        <w:spacing w:line="276" w:lineRule="auto"/>
        <w:jc w:val="both"/>
        <w:rPr>
          <w:rFonts w:asciiTheme="majorHAnsi" w:hAnsiTheme="majorHAnsi" w:cstheme="majorHAnsi"/>
          <w:sz w:val="22"/>
          <w:szCs w:val="22"/>
          <w:lang w:val="en-GB"/>
        </w:rPr>
      </w:pPr>
    </w:p>
    <w:p w14:paraId="0F2BEF98" w14:textId="13716FBB" w:rsidR="00826870" w:rsidRPr="00F8289A" w:rsidRDefault="00826870" w:rsidP="00D156B3">
      <w:pPr>
        <w:spacing w:line="276" w:lineRule="auto"/>
        <w:jc w:val="center"/>
        <w:rPr>
          <w:rFonts w:asciiTheme="majorHAnsi" w:hAnsiTheme="majorHAnsi" w:cstheme="majorHAnsi"/>
          <w:sz w:val="22"/>
          <w:szCs w:val="22"/>
          <w:u w:val="single"/>
          <w:lang w:val="en-GB"/>
        </w:rPr>
      </w:pPr>
      <w:r w:rsidRPr="00F8289A">
        <w:rPr>
          <w:rFonts w:asciiTheme="majorHAnsi" w:hAnsiTheme="majorHAnsi" w:cstheme="majorHAnsi"/>
          <w:sz w:val="22"/>
          <w:szCs w:val="22"/>
          <w:u w:val="single"/>
          <w:lang w:val="en-GB"/>
        </w:rPr>
        <w:t>A</w:t>
      </w:r>
      <w:r w:rsidR="00B113AD" w:rsidRPr="00F8289A">
        <w:rPr>
          <w:rFonts w:asciiTheme="majorHAnsi" w:hAnsiTheme="majorHAnsi" w:cstheme="majorHAnsi"/>
          <w:sz w:val="22"/>
          <w:szCs w:val="22"/>
          <w:u w:val="single"/>
          <w:lang w:val="en-GB"/>
        </w:rPr>
        <w:t xml:space="preserve">ccess of </w:t>
      </w:r>
      <w:r w:rsidR="00621A86" w:rsidRPr="00F8289A">
        <w:rPr>
          <w:rFonts w:asciiTheme="majorHAnsi" w:hAnsiTheme="majorHAnsi" w:cstheme="majorHAnsi"/>
          <w:sz w:val="22"/>
          <w:szCs w:val="22"/>
          <w:u w:val="single"/>
          <w:lang w:val="en-GB"/>
        </w:rPr>
        <w:t>human rights defenders</w:t>
      </w:r>
    </w:p>
    <w:p w14:paraId="23935377" w14:textId="77777777" w:rsidR="00826870" w:rsidRPr="00F8289A" w:rsidRDefault="00826870" w:rsidP="00D156B3">
      <w:pPr>
        <w:spacing w:line="276" w:lineRule="auto"/>
        <w:jc w:val="center"/>
        <w:rPr>
          <w:rFonts w:asciiTheme="majorHAnsi" w:hAnsiTheme="majorHAnsi" w:cstheme="majorHAnsi"/>
          <w:sz w:val="22"/>
          <w:szCs w:val="22"/>
          <w:lang w:val="en-GB"/>
        </w:rPr>
      </w:pPr>
    </w:p>
    <w:p w14:paraId="21D4D137" w14:textId="0EECC46B" w:rsidR="00826870" w:rsidRPr="00F8289A" w:rsidRDefault="00621A86"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Human rights defenders</w:t>
      </w:r>
      <w:r w:rsidR="00CB05EA" w:rsidRPr="00F8289A">
        <w:rPr>
          <w:rFonts w:asciiTheme="majorHAnsi" w:hAnsiTheme="majorHAnsi" w:cstheme="majorHAnsi"/>
          <w:sz w:val="22"/>
          <w:szCs w:val="22"/>
          <w:lang w:val="en-GB"/>
        </w:rPr>
        <w:t xml:space="preserve"> should have</w:t>
      </w:r>
      <w:r w:rsidR="00B113AD" w:rsidRPr="00F8289A">
        <w:rPr>
          <w:rFonts w:asciiTheme="majorHAnsi" w:hAnsiTheme="majorHAnsi" w:cstheme="majorHAnsi"/>
          <w:sz w:val="22"/>
          <w:szCs w:val="22"/>
          <w:lang w:val="en-GB"/>
        </w:rPr>
        <w:t xml:space="preserve"> an</w:t>
      </w:r>
      <w:r w:rsidR="00CB05EA" w:rsidRPr="00F8289A">
        <w:rPr>
          <w:rFonts w:asciiTheme="majorHAnsi" w:hAnsiTheme="majorHAnsi" w:cstheme="majorHAnsi"/>
          <w:sz w:val="22"/>
          <w:szCs w:val="22"/>
          <w:lang w:val="en-GB"/>
        </w:rPr>
        <w:t xml:space="preserve"> opportunity to monitor peaceful assemblies in order to document, if necessary, actions of those taking part, law-enforcement personnel and other </w:t>
      </w:r>
      <w:r w:rsidR="00CB05EA" w:rsidRPr="00F8289A">
        <w:rPr>
          <w:rFonts w:asciiTheme="majorHAnsi" w:hAnsiTheme="majorHAnsi" w:cstheme="majorHAnsi"/>
          <w:sz w:val="22"/>
          <w:szCs w:val="22"/>
          <w:lang w:val="en-GB"/>
        </w:rPr>
        <w:lastRenderedPageBreak/>
        <w:t xml:space="preserve">parties. Experience proves that this monitoring </w:t>
      </w:r>
      <w:proofErr w:type="gramStart"/>
      <w:r w:rsidR="00CB05EA" w:rsidRPr="00F8289A">
        <w:rPr>
          <w:rFonts w:asciiTheme="majorHAnsi" w:hAnsiTheme="majorHAnsi" w:cstheme="majorHAnsi"/>
          <w:sz w:val="22"/>
          <w:szCs w:val="22"/>
          <w:lang w:val="en-GB"/>
        </w:rPr>
        <w:t>is capable of easing</w:t>
      </w:r>
      <w:proofErr w:type="gramEnd"/>
      <w:r w:rsidR="00CB05EA" w:rsidRPr="00F8289A">
        <w:rPr>
          <w:rFonts w:asciiTheme="majorHAnsi" w:hAnsiTheme="majorHAnsi" w:cstheme="majorHAnsi"/>
          <w:sz w:val="22"/>
          <w:szCs w:val="22"/>
          <w:lang w:val="en-GB"/>
        </w:rPr>
        <w:t xml:space="preserve"> potential tensions.</w:t>
      </w:r>
      <w:r w:rsidR="00B113AD" w:rsidRPr="00F8289A">
        <w:rPr>
          <w:rFonts w:asciiTheme="majorHAnsi" w:hAnsiTheme="majorHAnsi" w:cstheme="majorHAnsi"/>
          <w:sz w:val="22"/>
          <w:szCs w:val="22"/>
          <w:lang w:val="en-GB"/>
        </w:rPr>
        <w:t xml:space="preserve"> The very presence of </w:t>
      </w:r>
      <w:r w:rsidRPr="00F8289A">
        <w:rPr>
          <w:rFonts w:asciiTheme="majorHAnsi" w:hAnsiTheme="majorHAnsi" w:cstheme="majorHAnsi"/>
          <w:sz w:val="22"/>
          <w:szCs w:val="22"/>
          <w:lang w:val="en-GB"/>
        </w:rPr>
        <w:t>human rights defenders on the ground</w:t>
      </w:r>
      <w:r w:rsidR="00B113AD" w:rsidRPr="00F8289A">
        <w:rPr>
          <w:rFonts w:asciiTheme="majorHAnsi" w:hAnsiTheme="majorHAnsi" w:cstheme="majorHAnsi"/>
          <w:sz w:val="22"/>
          <w:szCs w:val="22"/>
          <w:lang w:val="en-GB"/>
        </w:rPr>
        <w:t xml:space="preserve"> during demonstrations can deter human rights violations, such as ill-treatment of protesters. </w:t>
      </w:r>
    </w:p>
    <w:p w14:paraId="096345BE" w14:textId="66110EFC" w:rsidR="00CB05EA" w:rsidRPr="00F8289A" w:rsidRDefault="0012028C"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The General Assembly has called upon States</w:t>
      </w:r>
      <w:r w:rsidR="003E2C95" w:rsidRPr="00F8289A">
        <w:rPr>
          <w:rFonts w:asciiTheme="majorHAnsi" w:hAnsiTheme="majorHAnsi" w:cstheme="majorHAnsi"/>
          <w:sz w:val="22"/>
          <w:szCs w:val="22"/>
          <w:lang w:val="en-GB"/>
        </w:rPr>
        <w:t>,</w:t>
      </w:r>
      <w:r w:rsidRPr="00F8289A">
        <w:rPr>
          <w:rFonts w:asciiTheme="majorHAnsi" w:hAnsiTheme="majorHAnsi" w:cstheme="majorHAnsi"/>
          <w:sz w:val="22"/>
          <w:szCs w:val="22"/>
          <w:lang w:val="en-GB"/>
        </w:rPr>
        <w:t xml:space="preserve"> “to ensure that human rights defenders can perform their important role in the context of peaceful protests, in accordance with national legislation consistent with the Charter of the United Nations and international human rights law” (Resolution 66/164, § 6). </w:t>
      </w:r>
      <w:r w:rsidR="003E2C95" w:rsidRPr="00F8289A">
        <w:rPr>
          <w:rFonts w:asciiTheme="majorHAnsi" w:hAnsiTheme="majorHAnsi" w:cstheme="majorHAnsi"/>
          <w:sz w:val="22"/>
          <w:szCs w:val="22"/>
          <w:lang w:val="en-GB"/>
        </w:rPr>
        <w:t xml:space="preserve">When </w:t>
      </w:r>
      <w:r w:rsidRPr="00F8289A">
        <w:rPr>
          <w:rFonts w:asciiTheme="majorHAnsi" w:hAnsiTheme="majorHAnsi" w:cstheme="majorHAnsi"/>
          <w:sz w:val="22"/>
          <w:szCs w:val="22"/>
          <w:lang w:val="en-GB"/>
        </w:rPr>
        <w:t xml:space="preserve">human rights defenders </w:t>
      </w:r>
      <w:r w:rsidR="003E2C95" w:rsidRPr="00F8289A">
        <w:rPr>
          <w:rFonts w:asciiTheme="majorHAnsi" w:hAnsiTheme="majorHAnsi" w:cstheme="majorHAnsi"/>
          <w:sz w:val="22"/>
          <w:szCs w:val="22"/>
          <w:lang w:val="en-GB"/>
        </w:rPr>
        <w:t xml:space="preserve">are able to monitor assemblies, it </w:t>
      </w:r>
      <w:r w:rsidRPr="00F8289A">
        <w:rPr>
          <w:rFonts w:asciiTheme="majorHAnsi" w:hAnsiTheme="majorHAnsi" w:cstheme="majorHAnsi"/>
          <w:sz w:val="22"/>
          <w:szCs w:val="22"/>
          <w:lang w:val="en-GB"/>
        </w:rPr>
        <w:t xml:space="preserve">can help to assess the conduct of assemblies and operations of police forces, it can also contribute to an informed public debate about measures that may be needed to address shortcomings concerning the legal framework </w:t>
      </w:r>
      <w:r w:rsidR="00B113AD" w:rsidRPr="00F8289A">
        <w:rPr>
          <w:rFonts w:asciiTheme="majorHAnsi" w:hAnsiTheme="majorHAnsi" w:cstheme="majorHAnsi"/>
          <w:sz w:val="22"/>
          <w:szCs w:val="22"/>
          <w:lang w:val="en-GB"/>
        </w:rPr>
        <w:t>on assemblies, training needs of law-enforcement officers, or whether they require additional resources (OSCE Guidelines on the Protection of Human Rights Defenders,</w:t>
      </w:r>
      <w:r w:rsidR="00B113AD" w:rsidRPr="00F8289A">
        <w:rPr>
          <w:rStyle w:val="FootnoteReference"/>
          <w:rFonts w:asciiTheme="majorHAnsi" w:hAnsiTheme="majorHAnsi" w:cstheme="majorHAnsi"/>
          <w:sz w:val="22"/>
          <w:szCs w:val="22"/>
          <w:lang w:val="en-GB"/>
        </w:rPr>
        <w:footnoteReference w:id="7"/>
      </w:r>
      <w:r w:rsidR="00B113AD" w:rsidRPr="00F8289A">
        <w:rPr>
          <w:rFonts w:asciiTheme="majorHAnsi" w:hAnsiTheme="majorHAnsi" w:cstheme="majorHAnsi"/>
          <w:sz w:val="22"/>
          <w:szCs w:val="22"/>
          <w:lang w:val="en-GB"/>
        </w:rPr>
        <w:t xml:space="preserve"> §§ 178-180).</w:t>
      </w:r>
    </w:p>
    <w:p w14:paraId="6DC27670" w14:textId="33F86CD5" w:rsidR="00B113AD" w:rsidRPr="00F8289A" w:rsidRDefault="00B113AD"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The following wording is therefore</w:t>
      </w:r>
      <w:r w:rsidR="003E2C95" w:rsidRPr="00F8289A">
        <w:rPr>
          <w:rFonts w:asciiTheme="majorHAnsi" w:hAnsiTheme="majorHAnsi" w:cstheme="majorHAnsi"/>
          <w:sz w:val="22"/>
          <w:szCs w:val="22"/>
          <w:lang w:val="en-GB"/>
        </w:rPr>
        <w:t xml:space="preserve"> respectfully</w:t>
      </w:r>
      <w:r w:rsidRPr="00F8289A">
        <w:rPr>
          <w:rFonts w:asciiTheme="majorHAnsi" w:hAnsiTheme="majorHAnsi" w:cstheme="majorHAnsi"/>
          <w:sz w:val="22"/>
          <w:szCs w:val="22"/>
          <w:lang w:val="en-GB"/>
        </w:rPr>
        <w:t xml:space="preserve"> suggested for General Comment no. 37: “</w:t>
      </w:r>
      <w:r w:rsidRPr="00F8289A">
        <w:rPr>
          <w:rFonts w:asciiTheme="majorHAnsi" w:hAnsiTheme="majorHAnsi" w:cstheme="majorHAnsi"/>
          <w:i/>
          <w:sz w:val="22"/>
          <w:szCs w:val="22"/>
          <w:lang w:val="en-GB"/>
        </w:rPr>
        <w:t xml:space="preserve">States should ensure unhindered access of </w:t>
      </w:r>
      <w:r w:rsidR="00621A86" w:rsidRPr="00F8289A">
        <w:rPr>
          <w:rFonts w:asciiTheme="majorHAnsi" w:hAnsiTheme="majorHAnsi" w:cstheme="majorHAnsi"/>
          <w:i/>
          <w:sz w:val="22"/>
          <w:szCs w:val="22"/>
          <w:lang w:val="en-GB"/>
        </w:rPr>
        <w:t>human rights defenders</w:t>
      </w:r>
      <w:r w:rsidRPr="00F8289A">
        <w:rPr>
          <w:rFonts w:asciiTheme="majorHAnsi" w:hAnsiTheme="majorHAnsi" w:cstheme="majorHAnsi"/>
          <w:i/>
          <w:sz w:val="22"/>
          <w:szCs w:val="22"/>
          <w:lang w:val="en-GB"/>
        </w:rPr>
        <w:t xml:space="preserve"> to peaceful assemblies, and their protection</w:t>
      </w:r>
      <w:r w:rsidRPr="00F8289A">
        <w:rPr>
          <w:rFonts w:asciiTheme="majorHAnsi" w:hAnsiTheme="majorHAnsi" w:cstheme="majorHAnsi"/>
          <w:sz w:val="22"/>
          <w:szCs w:val="22"/>
          <w:lang w:val="en-GB"/>
        </w:rPr>
        <w:t>”.</w:t>
      </w:r>
    </w:p>
    <w:p w14:paraId="7427A86E" w14:textId="77777777" w:rsidR="00976023" w:rsidRPr="00F8289A" w:rsidRDefault="00976023" w:rsidP="00D156B3">
      <w:pPr>
        <w:spacing w:line="276" w:lineRule="auto"/>
        <w:rPr>
          <w:rFonts w:asciiTheme="majorHAnsi" w:hAnsiTheme="majorHAnsi" w:cstheme="majorHAnsi"/>
          <w:sz w:val="22"/>
          <w:szCs w:val="22"/>
          <w:u w:val="single"/>
          <w:lang w:val="en-GB"/>
        </w:rPr>
      </w:pPr>
    </w:p>
    <w:p w14:paraId="37F22C58" w14:textId="77777777" w:rsidR="001B7D3B" w:rsidRPr="00F8289A" w:rsidRDefault="001B7D3B" w:rsidP="00D156B3">
      <w:pPr>
        <w:spacing w:line="276" w:lineRule="auto"/>
        <w:jc w:val="center"/>
        <w:rPr>
          <w:rFonts w:asciiTheme="majorHAnsi" w:hAnsiTheme="majorHAnsi" w:cstheme="majorHAnsi"/>
          <w:sz w:val="22"/>
          <w:szCs w:val="22"/>
          <w:u w:val="single"/>
          <w:lang w:val="en-GB"/>
        </w:rPr>
      </w:pPr>
      <w:r w:rsidRPr="00F8289A">
        <w:rPr>
          <w:rFonts w:asciiTheme="majorHAnsi" w:hAnsiTheme="majorHAnsi" w:cstheme="majorHAnsi"/>
          <w:sz w:val="22"/>
          <w:szCs w:val="22"/>
          <w:u w:val="single"/>
          <w:lang w:val="en-GB"/>
        </w:rPr>
        <w:t>Conclusion</w:t>
      </w:r>
    </w:p>
    <w:p w14:paraId="0FA97920" w14:textId="77777777" w:rsidR="00634469" w:rsidRPr="00F8289A" w:rsidRDefault="00634469" w:rsidP="00D156B3">
      <w:pPr>
        <w:spacing w:line="276" w:lineRule="auto"/>
        <w:jc w:val="center"/>
        <w:rPr>
          <w:rFonts w:asciiTheme="majorHAnsi" w:hAnsiTheme="majorHAnsi" w:cstheme="majorHAnsi"/>
          <w:sz w:val="22"/>
          <w:szCs w:val="22"/>
          <w:lang w:val="en-GB"/>
        </w:rPr>
      </w:pPr>
    </w:p>
    <w:p w14:paraId="609BFCE4" w14:textId="53E8D511" w:rsidR="001B7D3B" w:rsidRPr="00F8289A" w:rsidRDefault="00492AFB"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The </w:t>
      </w:r>
      <w:r w:rsidR="00C36CAD" w:rsidRPr="00F8289A">
        <w:rPr>
          <w:rFonts w:asciiTheme="majorHAnsi" w:hAnsiTheme="majorHAnsi" w:cstheme="majorHAnsi"/>
          <w:sz w:val="22"/>
          <w:szCs w:val="22"/>
          <w:lang w:val="en-GB"/>
        </w:rPr>
        <w:t>Coalition</w:t>
      </w:r>
      <w:r w:rsidRPr="00F8289A">
        <w:rPr>
          <w:rFonts w:asciiTheme="majorHAnsi" w:hAnsiTheme="majorHAnsi" w:cstheme="majorHAnsi"/>
          <w:sz w:val="22"/>
          <w:szCs w:val="22"/>
          <w:lang w:val="en-GB"/>
        </w:rPr>
        <w:t xml:space="preserve"> </w:t>
      </w:r>
      <w:r w:rsidR="001C5329" w:rsidRPr="00F8289A">
        <w:rPr>
          <w:rFonts w:asciiTheme="majorHAnsi" w:hAnsiTheme="majorHAnsi" w:cstheme="majorHAnsi"/>
          <w:sz w:val="22"/>
          <w:szCs w:val="22"/>
          <w:lang w:val="en-GB"/>
        </w:rPr>
        <w:t>hope</w:t>
      </w:r>
      <w:r w:rsidR="00634469" w:rsidRPr="00F8289A">
        <w:rPr>
          <w:rFonts w:asciiTheme="majorHAnsi" w:hAnsiTheme="majorHAnsi" w:cstheme="majorHAnsi"/>
          <w:sz w:val="22"/>
          <w:szCs w:val="22"/>
          <w:lang w:val="en-GB"/>
        </w:rPr>
        <w:t>s that this written contribution</w:t>
      </w:r>
      <w:r w:rsidR="001C5329" w:rsidRPr="00F8289A">
        <w:rPr>
          <w:rFonts w:asciiTheme="majorHAnsi" w:hAnsiTheme="majorHAnsi" w:cstheme="majorHAnsi"/>
          <w:sz w:val="22"/>
          <w:szCs w:val="22"/>
          <w:lang w:val="en-GB"/>
        </w:rPr>
        <w:t xml:space="preserve"> will be useful for the Committee’s elaboration of the first draft of General Comment No. 37. </w:t>
      </w:r>
      <w:r w:rsidR="003E2C95" w:rsidRPr="00F8289A">
        <w:rPr>
          <w:rFonts w:asciiTheme="majorHAnsi" w:hAnsiTheme="majorHAnsi" w:cstheme="majorHAnsi"/>
          <w:sz w:val="22"/>
          <w:szCs w:val="22"/>
          <w:lang w:val="en-GB"/>
        </w:rPr>
        <w:t xml:space="preserve">A </w:t>
      </w:r>
      <w:r w:rsidR="001C5329" w:rsidRPr="00F8289A">
        <w:rPr>
          <w:rFonts w:asciiTheme="majorHAnsi" w:hAnsiTheme="majorHAnsi" w:cstheme="majorHAnsi"/>
          <w:sz w:val="22"/>
          <w:szCs w:val="22"/>
          <w:lang w:val="en-GB"/>
        </w:rPr>
        <w:t xml:space="preserve">Senior Expert of the </w:t>
      </w:r>
      <w:r w:rsidR="00C36CAD" w:rsidRPr="00F8289A">
        <w:rPr>
          <w:rFonts w:asciiTheme="majorHAnsi" w:hAnsiTheme="majorHAnsi" w:cstheme="majorHAnsi"/>
          <w:sz w:val="22"/>
          <w:szCs w:val="22"/>
          <w:lang w:val="en-GB"/>
        </w:rPr>
        <w:t xml:space="preserve">Netherlands Helsinki </w:t>
      </w:r>
      <w:r w:rsidR="001C5329" w:rsidRPr="00F8289A">
        <w:rPr>
          <w:rFonts w:asciiTheme="majorHAnsi" w:hAnsiTheme="majorHAnsi" w:cstheme="majorHAnsi"/>
          <w:sz w:val="22"/>
          <w:szCs w:val="22"/>
          <w:lang w:val="en-GB"/>
        </w:rPr>
        <w:t>Committee will be present at the half-day general discussion at the Committee’s 125</w:t>
      </w:r>
      <w:r w:rsidR="001C5329" w:rsidRPr="00F8289A">
        <w:rPr>
          <w:rFonts w:asciiTheme="majorHAnsi" w:hAnsiTheme="majorHAnsi" w:cstheme="majorHAnsi"/>
          <w:sz w:val="22"/>
          <w:szCs w:val="22"/>
          <w:vertAlign w:val="superscript"/>
          <w:lang w:val="en-GB"/>
        </w:rPr>
        <w:t>th</w:t>
      </w:r>
      <w:r w:rsidR="001C5329" w:rsidRPr="00F8289A">
        <w:rPr>
          <w:rFonts w:asciiTheme="majorHAnsi" w:hAnsiTheme="majorHAnsi" w:cstheme="majorHAnsi"/>
          <w:sz w:val="22"/>
          <w:szCs w:val="22"/>
          <w:lang w:val="en-GB"/>
        </w:rPr>
        <w:t xml:space="preserve"> session in Geneva on 20 March 2019 in order to highlight the issues</w:t>
      </w:r>
      <w:r w:rsidR="00634469" w:rsidRPr="00F8289A">
        <w:rPr>
          <w:rFonts w:asciiTheme="majorHAnsi" w:hAnsiTheme="majorHAnsi" w:cstheme="majorHAnsi"/>
          <w:sz w:val="22"/>
          <w:szCs w:val="22"/>
          <w:lang w:val="en-GB"/>
        </w:rPr>
        <w:t xml:space="preserve"> raised in this submission</w:t>
      </w:r>
      <w:r w:rsidR="001C5329" w:rsidRPr="00F8289A">
        <w:rPr>
          <w:rFonts w:asciiTheme="majorHAnsi" w:hAnsiTheme="majorHAnsi" w:cstheme="majorHAnsi"/>
          <w:sz w:val="22"/>
          <w:szCs w:val="22"/>
          <w:lang w:val="en-GB"/>
        </w:rPr>
        <w:t>. He will</w:t>
      </w:r>
      <w:r w:rsidR="00634469" w:rsidRPr="00F8289A">
        <w:rPr>
          <w:rFonts w:asciiTheme="majorHAnsi" w:hAnsiTheme="majorHAnsi" w:cstheme="majorHAnsi"/>
          <w:sz w:val="22"/>
          <w:szCs w:val="22"/>
          <w:lang w:val="en-GB"/>
        </w:rPr>
        <w:t xml:space="preserve"> also</w:t>
      </w:r>
      <w:r w:rsidR="001C5329" w:rsidRPr="00F8289A">
        <w:rPr>
          <w:rFonts w:asciiTheme="majorHAnsi" w:hAnsiTheme="majorHAnsi" w:cstheme="majorHAnsi"/>
          <w:sz w:val="22"/>
          <w:szCs w:val="22"/>
          <w:lang w:val="en-GB"/>
        </w:rPr>
        <w:t xml:space="preserve"> be able to reply to the questions of the Committee experts and elaborate on </w:t>
      </w:r>
      <w:r w:rsidR="00C51E2A" w:rsidRPr="00F8289A">
        <w:rPr>
          <w:rFonts w:asciiTheme="majorHAnsi" w:hAnsiTheme="majorHAnsi" w:cstheme="majorHAnsi"/>
          <w:sz w:val="22"/>
          <w:szCs w:val="22"/>
          <w:lang w:val="en-GB"/>
        </w:rPr>
        <w:t>our experiences</w:t>
      </w:r>
      <w:r w:rsidR="001C5329" w:rsidRPr="00F8289A">
        <w:rPr>
          <w:rFonts w:asciiTheme="majorHAnsi" w:hAnsiTheme="majorHAnsi" w:cstheme="majorHAnsi"/>
          <w:sz w:val="22"/>
          <w:szCs w:val="22"/>
          <w:lang w:val="en-GB"/>
        </w:rPr>
        <w:t xml:space="preserve"> in the countries of the OSCE region.</w:t>
      </w:r>
    </w:p>
    <w:p w14:paraId="0BC779D2" w14:textId="44A688B6" w:rsidR="001C5329" w:rsidRPr="00F8289A" w:rsidRDefault="001C5329" w:rsidP="00D156B3">
      <w:pPr>
        <w:pStyle w:val="ListParagraph"/>
        <w:numPr>
          <w:ilvl w:val="0"/>
          <w:numId w:val="1"/>
        </w:numPr>
        <w:spacing w:line="276" w:lineRule="auto"/>
        <w:jc w:val="both"/>
        <w:rPr>
          <w:rFonts w:asciiTheme="majorHAnsi" w:hAnsiTheme="majorHAnsi" w:cstheme="majorHAnsi"/>
          <w:sz w:val="22"/>
          <w:szCs w:val="22"/>
          <w:lang w:val="en-GB"/>
        </w:rPr>
      </w:pPr>
      <w:r w:rsidRPr="00F8289A">
        <w:rPr>
          <w:rFonts w:asciiTheme="majorHAnsi" w:hAnsiTheme="majorHAnsi" w:cstheme="majorHAnsi"/>
          <w:sz w:val="22"/>
          <w:szCs w:val="22"/>
          <w:lang w:val="en-GB"/>
        </w:rPr>
        <w:t xml:space="preserve">The </w:t>
      </w:r>
      <w:r w:rsidR="00C36CAD" w:rsidRPr="00F8289A">
        <w:rPr>
          <w:rFonts w:asciiTheme="majorHAnsi" w:hAnsiTheme="majorHAnsi" w:cstheme="majorHAnsi"/>
          <w:sz w:val="22"/>
          <w:szCs w:val="22"/>
          <w:lang w:val="en-GB"/>
        </w:rPr>
        <w:t>Coalition</w:t>
      </w:r>
      <w:r w:rsidRPr="00F8289A">
        <w:rPr>
          <w:rFonts w:asciiTheme="majorHAnsi" w:hAnsiTheme="majorHAnsi" w:cstheme="majorHAnsi"/>
          <w:sz w:val="22"/>
          <w:szCs w:val="22"/>
          <w:lang w:val="en-GB"/>
        </w:rPr>
        <w:t xml:space="preserve"> stands ready to interact with the Committee in the course of its drafting of General Comment no. 37. We would like to re-emphasize the timeliness and appropriateness of the Committee’s initiative to tackle freedom of peaceful assembly, an indispensable element of</w:t>
      </w:r>
      <w:r w:rsidR="00C5266C" w:rsidRPr="00F8289A">
        <w:rPr>
          <w:rFonts w:asciiTheme="majorHAnsi" w:hAnsiTheme="majorHAnsi" w:cstheme="majorHAnsi"/>
          <w:sz w:val="22"/>
          <w:szCs w:val="22"/>
          <w:lang w:val="en-GB"/>
        </w:rPr>
        <w:t xml:space="preserve"> an</w:t>
      </w:r>
      <w:r w:rsidRPr="00F8289A">
        <w:rPr>
          <w:rFonts w:asciiTheme="majorHAnsi" w:hAnsiTheme="majorHAnsi" w:cstheme="majorHAnsi"/>
          <w:sz w:val="22"/>
          <w:szCs w:val="22"/>
          <w:lang w:val="en-GB"/>
        </w:rPr>
        <w:t xml:space="preserve"> open democratic society </w:t>
      </w:r>
      <w:r w:rsidR="00634469" w:rsidRPr="00F8289A">
        <w:rPr>
          <w:rFonts w:asciiTheme="majorHAnsi" w:hAnsiTheme="majorHAnsi" w:cstheme="majorHAnsi"/>
          <w:sz w:val="22"/>
          <w:szCs w:val="22"/>
          <w:lang w:val="en-GB"/>
        </w:rPr>
        <w:t xml:space="preserve">composed of strong and independent </w:t>
      </w:r>
      <w:r w:rsidRPr="00F8289A">
        <w:rPr>
          <w:rFonts w:asciiTheme="majorHAnsi" w:hAnsiTheme="majorHAnsi" w:cstheme="majorHAnsi"/>
          <w:sz w:val="22"/>
          <w:szCs w:val="22"/>
          <w:lang w:val="en-GB"/>
        </w:rPr>
        <w:t>individuals who are exercising their rights and freedoms responsibl</w:t>
      </w:r>
      <w:bookmarkStart w:id="0" w:name="_GoBack"/>
      <w:bookmarkEnd w:id="0"/>
      <w:r w:rsidRPr="00F8289A">
        <w:rPr>
          <w:rFonts w:asciiTheme="majorHAnsi" w:hAnsiTheme="majorHAnsi" w:cstheme="majorHAnsi"/>
          <w:sz w:val="22"/>
          <w:szCs w:val="22"/>
          <w:lang w:val="en-GB"/>
        </w:rPr>
        <w:t>y and with dignity.</w:t>
      </w:r>
    </w:p>
    <w:sectPr w:rsidR="001C5329" w:rsidRPr="00F8289A" w:rsidSect="00D20042">
      <w:footerReference w:type="even" r:id="rId12"/>
      <w:footerReference w:type="defaul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4F129" w14:textId="77777777" w:rsidR="00CD08A4" w:rsidRDefault="00CD08A4" w:rsidP="001B7D3B">
      <w:r>
        <w:separator/>
      </w:r>
    </w:p>
  </w:endnote>
  <w:endnote w:type="continuationSeparator" w:id="0">
    <w:p w14:paraId="4540EA09" w14:textId="77777777" w:rsidR="00CD08A4" w:rsidRDefault="00CD08A4" w:rsidP="001B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4915" w14:textId="77777777" w:rsidR="00621A86" w:rsidRDefault="00621A86" w:rsidP="001B7D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438A2A" w14:textId="77777777" w:rsidR="00621A86" w:rsidRDefault="00621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96C9" w14:textId="31E919A6" w:rsidR="00621A86" w:rsidRPr="00F62D64" w:rsidRDefault="00621A86" w:rsidP="001B7D3B">
    <w:pPr>
      <w:pStyle w:val="Footer"/>
      <w:framePr w:wrap="around" w:vAnchor="text" w:hAnchor="margin" w:xAlign="center" w:y="1"/>
      <w:rPr>
        <w:rStyle w:val="PageNumber"/>
        <w:rFonts w:asciiTheme="majorHAnsi" w:hAnsiTheme="majorHAnsi" w:cstheme="majorHAnsi"/>
        <w:sz w:val="18"/>
        <w:szCs w:val="20"/>
      </w:rPr>
    </w:pPr>
    <w:r w:rsidRPr="00F62D64">
      <w:rPr>
        <w:rStyle w:val="PageNumber"/>
        <w:rFonts w:asciiTheme="majorHAnsi" w:hAnsiTheme="majorHAnsi" w:cstheme="majorHAnsi"/>
        <w:sz w:val="18"/>
        <w:szCs w:val="20"/>
      </w:rPr>
      <w:fldChar w:fldCharType="begin"/>
    </w:r>
    <w:r w:rsidRPr="00F62D64">
      <w:rPr>
        <w:rStyle w:val="PageNumber"/>
        <w:rFonts w:asciiTheme="majorHAnsi" w:hAnsiTheme="majorHAnsi" w:cstheme="majorHAnsi"/>
        <w:sz w:val="18"/>
        <w:szCs w:val="20"/>
      </w:rPr>
      <w:instrText xml:space="preserve">PAGE  </w:instrText>
    </w:r>
    <w:r w:rsidRPr="00F62D64">
      <w:rPr>
        <w:rStyle w:val="PageNumber"/>
        <w:rFonts w:asciiTheme="majorHAnsi" w:hAnsiTheme="majorHAnsi" w:cstheme="majorHAnsi"/>
        <w:sz w:val="18"/>
        <w:szCs w:val="20"/>
      </w:rPr>
      <w:fldChar w:fldCharType="separate"/>
    </w:r>
    <w:r w:rsidR="003E2C95" w:rsidRPr="00F62D64">
      <w:rPr>
        <w:rStyle w:val="PageNumber"/>
        <w:rFonts w:asciiTheme="majorHAnsi" w:hAnsiTheme="majorHAnsi" w:cstheme="majorHAnsi"/>
        <w:noProof/>
        <w:sz w:val="18"/>
        <w:szCs w:val="20"/>
      </w:rPr>
      <w:t>8</w:t>
    </w:r>
    <w:r w:rsidRPr="00F62D64">
      <w:rPr>
        <w:rStyle w:val="PageNumber"/>
        <w:rFonts w:asciiTheme="majorHAnsi" w:hAnsiTheme="majorHAnsi" w:cstheme="majorHAnsi"/>
        <w:sz w:val="18"/>
        <w:szCs w:val="20"/>
      </w:rPr>
      <w:fldChar w:fldCharType="end"/>
    </w:r>
  </w:p>
  <w:p w14:paraId="348C616E" w14:textId="77777777" w:rsidR="00621A86" w:rsidRDefault="00621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00FAD" w14:textId="77777777" w:rsidR="00CD08A4" w:rsidRDefault="00CD08A4" w:rsidP="001B7D3B">
      <w:r>
        <w:separator/>
      </w:r>
    </w:p>
  </w:footnote>
  <w:footnote w:type="continuationSeparator" w:id="0">
    <w:p w14:paraId="7FB4AD97" w14:textId="77777777" w:rsidR="00CD08A4" w:rsidRDefault="00CD08A4" w:rsidP="001B7D3B">
      <w:r>
        <w:continuationSeparator/>
      </w:r>
    </w:p>
  </w:footnote>
  <w:footnote w:id="1">
    <w:p w14:paraId="0CB99E4A" w14:textId="288A3893" w:rsidR="00621A86" w:rsidRPr="00F8289A" w:rsidRDefault="00621A86">
      <w:pPr>
        <w:pStyle w:val="FootnoteText"/>
        <w:rPr>
          <w:rFonts w:asciiTheme="majorHAnsi" w:hAnsiTheme="majorHAnsi" w:cstheme="majorHAnsi"/>
          <w:sz w:val="18"/>
          <w:szCs w:val="18"/>
          <w:lang w:val="en-US"/>
        </w:rPr>
      </w:pPr>
      <w:r w:rsidRPr="00F8289A">
        <w:rPr>
          <w:rStyle w:val="FootnoteReference"/>
          <w:rFonts w:asciiTheme="majorHAnsi" w:hAnsiTheme="majorHAnsi" w:cstheme="majorHAnsi"/>
          <w:sz w:val="18"/>
          <w:szCs w:val="18"/>
        </w:rPr>
        <w:footnoteRef/>
      </w:r>
      <w:r w:rsidRPr="00F8289A">
        <w:rPr>
          <w:rFonts w:asciiTheme="majorHAnsi" w:hAnsiTheme="majorHAnsi" w:cstheme="majorHAnsi"/>
          <w:sz w:val="18"/>
          <w:szCs w:val="18"/>
          <w:lang w:val="en-GB"/>
        </w:rPr>
        <w:t xml:space="preserve"> </w:t>
      </w:r>
      <w:r w:rsidRPr="00F8289A">
        <w:rPr>
          <w:rFonts w:asciiTheme="majorHAnsi" w:hAnsiTheme="majorHAnsi" w:cstheme="majorHAnsi"/>
          <w:sz w:val="18"/>
          <w:szCs w:val="18"/>
          <w:lang w:val="en-US"/>
        </w:rPr>
        <w:t xml:space="preserve">For the English translation see: </w:t>
      </w:r>
      <w:hyperlink r:id="rId1" w:history="1">
        <w:r w:rsidR="00097733" w:rsidRPr="00F8289A">
          <w:rPr>
            <w:rStyle w:val="Hyperlink"/>
            <w:rFonts w:asciiTheme="majorHAnsi" w:hAnsiTheme="majorHAnsi" w:cstheme="majorHAnsi"/>
            <w:sz w:val="18"/>
            <w:szCs w:val="18"/>
            <w:lang w:val="en-US"/>
          </w:rPr>
          <w:t>http://www.ksrf.ru/en/Decision/Judgments/Documents/2017__January_19_2-P.pdf</w:t>
        </w:r>
      </w:hyperlink>
      <w:r w:rsidR="00097733" w:rsidRPr="00F8289A">
        <w:rPr>
          <w:rFonts w:asciiTheme="majorHAnsi" w:hAnsiTheme="majorHAnsi" w:cstheme="majorHAnsi"/>
          <w:sz w:val="18"/>
          <w:szCs w:val="18"/>
          <w:lang w:val="en-US"/>
        </w:rPr>
        <w:t xml:space="preserve"> </w:t>
      </w:r>
    </w:p>
  </w:footnote>
  <w:footnote w:id="2">
    <w:p w14:paraId="3E12CD9E" w14:textId="3A6906BF" w:rsidR="00621A86" w:rsidRPr="00F8289A" w:rsidRDefault="00621A86">
      <w:pPr>
        <w:pStyle w:val="FootnoteText"/>
        <w:rPr>
          <w:rFonts w:asciiTheme="majorHAnsi" w:hAnsiTheme="majorHAnsi" w:cstheme="majorHAnsi"/>
          <w:sz w:val="18"/>
          <w:szCs w:val="18"/>
          <w:lang w:val="en-US"/>
        </w:rPr>
      </w:pPr>
      <w:r w:rsidRPr="00F8289A">
        <w:rPr>
          <w:rStyle w:val="FootnoteReference"/>
          <w:rFonts w:asciiTheme="majorHAnsi" w:hAnsiTheme="majorHAnsi" w:cstheme="majorHAnsi"/>
          <w:sz w:val="18"/>
          <w:szCs w:val="18"/>
        </w:rPr>
        <w:footnoteRef/>
      </w:r>
      <w:r w:rsidRPr="00F8289A">
        <w:rPr>
          <w:rFonts w:asciiTheme="majorHAnsi" w:hAnsiTheme="majorHAnsi" w:cstheme="majorHAnsi"/>
          <w:sz w:val="18"/>
          <w:szCs w:val="18"/>
          <w:lang w:val="en-GB"/>
        </w:rPr>
        <w:t xml:space="preserve"> </w:t>
      </w:r>
      <w:r w:rsidRPr="00F8289A">
        <w:rPr>
          <w:rFonts w:asciiTheme="majorHAnsi" w:hAnsiTheme="majorHAnsi" w:cstheme="majorHAnsi"/>
          <w:sz w:val="18"/>
          <w:szCs w:val="18"/>
          <w:lang w:val="en-US"/>
        </w:rPr>
        <w:t xml:space="preserve">See European Court of Human Rights, </w:t>
      </w:r>
      <w:proofErr w:type="spellStart"/>
      <w:r w:rsidRPr="00F8289A">
        <w:rPr>
          <w:rFonts w:asciiTheme="majorHAnsi" w:hAnsiTheme="majorHAnsi" w:cstheme="majorHAnsi"/>
          <w:i/>
          <w:sz w:val="18"/>
          <w:szCs w:val="18"/>
          <w:lang w:val="en-US"/>
        </w:rPr>
        <w:t>Imret</w:t>
      </w:r>
      <w:proofErr w:type="spellEnd"/>
      <w:r w:rsidRPr="00F8289A">
        <w:rPr>
          <w:rFonts w:asciiTheme="majorHAnsi" w:hAnsiTheme="majorHAnsi" w:cstheme="majorHAnsi"/>
          <w:i/>
          <w:sz w:val="18"/>
          <w:szCs w:val="18"/>
          <w:lang w:val="en-US"/>
        </w:rPr>
        <w:t xml:space="preserve"> v. Turkey (no. 2)</w:t>
      </w:r>
      <w:r w:rsidRPr="00F8289A">
        <w:rPr>
          <w:rFonts w:asciiTheme="majorHAnsi" w:hAnsiTheme="majorHAnsi" w:cstheme="majorHAnsi"/>
          <w:sz w:val="18"/>
          <w:szCs w:val="18"/>
          <w:lang w:val="en-US"/>
        </w:rPr>
        <w:t>, no. 57316/10, § 58, Judgment of 10 July 2018.</w:t>
      </w:r>
    </w:p>
  </w:footnote>
  <w:footnote w:id="3">
    <w:p w14:paraId="1433ECE6" w14:textId="5A818B21" w:rsidR="00621A86" w:rsidRPr="00F8289A" w:rsidRDefault="00621A86" w:rsidP="000A5571">
      <w:pPr>
        <w:pStyle w:val="FootnoteText"/>
        <w:jc w:val="both"/>
        <w:rPr>
          <w:rFonts w:asciiTheme="majorHAnsi" w:hAnsiTheme="majorHAnsi" w:cstheme="majorHAnsi"/>
          <w:sz w:val="18"/>
          <w:szCs w:val="18"/>
          <w:lang w:val="en-US"/>
        </w:rPr>
      </w:pPr>
      <w:r w:rsidRPr="00F8289A">
        <w:rPr>
          <w:rStyle w:val="FootnoteReference"/>
          <w:rFonts w:asciiTheme="majorHAnsi" w:hAnsiTheme="majorHAnsi" w:cstheme="majorHAnsi"/>
          <w:sz w:val="18"/>
          <w:szCs w:val="18"/>
        </w:rPr>
        <w:footnoteRef/>
      </w:r>
      <w:r w:rsidRPr="00F8289A">
        <w:rPr>
          <w:rFonts w:asciiTheme="majorHAnsi" w:hAnsiTheme="majorHAnsi" w:cstheme="majorHAnsi"/>
          <w:sz w:val="18"/>
          <w:szCs w:val="18"/>
          <w:lang w:val="en-GB"/>
        </w:rPr>
        <w:t xml:space="preserve"> </w:t>
      </w:r>
      <w:r w:rsidRPr="00F8289A">
        <w:rPr>
          <w:rFonts w:asciiTheme="majorHAnsi" w:hAnsiTheme="majorHAnsi" w:cstheme="majorHAnsi"/>
          <w:sz w:val="18"/>
          <w:szCs w:val="18"/>
          <w:lang w:val="en-US"/>
        </w:rPr>
        <w:t xml:space="preserve">Available at: </w:t>
      </w:r>
      <w:hyperlink r:id="rId2" w:history="1">
        <w:r w:rsidR="009601AC" w:rsidRPr="00F8289A">
          <w:rPr>
            <w:rStyle w:val="Hyperlink"/>
            <w:rFonts w:asciiTheme="majorHAnsi" w:hAnsiTheme="majorHAnsi" w:cstheme="majorHAnsi"/>
            <w:sz w:val="18"/>
            <w:szCs w:val="18"/>
            <w:lang w:val="en-US"/>
          </w:rPr>
          <w:t>https://www.osce.org/baku/105947?download=true</w:t>
        </w:r>
      </w:hyperlink>
      <w:r w:rsidR="009601AC" w:rsidRPr="00F8289A">
        <w:rPr>
          <w:rFonts w:asciiTheme="majorHAnsi" w:hAnsiTheme="majorHAnsi" w:cstheme="majorHAnsi"/>
          <w:sz w:val="18"/>
          <w:szCs w:val="18"/>
          <w:lang w:val="en-US"/>
        </w:rPr>
        <w:t xml:space="preserve"> </w:t>
      </w:r>
      <w:r w:rsidRPr="00F8289A">
        <w:rPr>
          <w:rFonts w:asciiTheme="majorHAnsi" w:hAnsiTheme="majorHAnsi" w:cstheme="majorHAnsi"/>
          <w:sz w:val="18"/>
          <w:szCs w:val="18"/>
          <w:lang w:val="en-US"/>
        </w:rPr>
        <w:t>(OSCE Guidelines on Freedom of Peaceful Assembly).</w:t>
      </w:r>
    </w:p>
  </w:footnote>
  <w:footnote w:id="4">
    <w:p w14:paraId="5CDE9CAF" w14:textId="250C7F54" w:rsidR="00621A86" w:rsidRPr="00F8289A" w:rsidRDefault="00621A86" w:rsidP="00587532">
      <w:pPr>
        <w:pStyle w:val="FootnoteText"/>
        <w:jc w:val="both"/>
        <w:rPr>
          <w:rFonts w:asciiTheme="majorHAnsi" w:hAnsiTheme="majorHAnsi" w:cstheme="majorHAnsi"/>
          <w:sz w:val="18"/>
          <w:szCs w:val="18"/>
          <w:lang w:val="en-US"/>
        </w:rPr>
      </w:pPr>
      <w:r w:rsidRPr="00F8289A">
        <w:rPr>
          <w:rStyle w:val="FootnoteReference"/>
          <w:rFonts w:asciiTheme="majorHAnsi" w:hAnsiTheme="majorHAnsi" w:cstheme="majorHAnsi"/>
          <w:sz w:val="18"/>
          <w:szCs w:val="18"/>
        </w:rPr>
        <w:footnoteRef/>
      </w:r>
      <w:r w:rsidRPr="00F8289A">
        <w:rPr>
          <w:rFonts w:asciiTheme="majorHAnsi" w:hAnsiTheme="majorHAnsi" w:cstheme="majorHAnsi"/>
          <w:sz w:val="18"/>
          <w:szCs w:val="18"/>
          <w:lang w:val="en-GB"/>
        </w:rPr>
        <w:t xml:space="preserve"> </w:t>
      </w:r>
      <w:r w:rsidRPr="00F8289A">
        <w:rPr>
          <w:rFonts w:asciiTheme="majorHAnsi" w:hAnsiTheme="majorHAnsi" w:cstheme="majorHAnsi"/>
          <w:sz w:val="18"/>
          <w:szCs w:val="18"/>
          <w:lang w:val="en-US"/>
        </w:rPr>
        <w:t xml:space="preserve">The text of the judgment (in Russian) is available at: </w:t>
      </w:r>
      <w:hyperlink r:id="rId3" w:history="1">
        <w:r w:rsidR="009601AC" w:rsidRPr="00F8289A">
          <w:rPr>
            <w:rStyle w:val="Hyperlink"/>
            <w:rFonts w:asciiTheme="majorHAnsi" w:hAnsiTheme="majorHAnsi" w:cstheme="majorHAnsi"/>
            <w:sz w:val="18"/>
            <w:szCs w:val="18"/>
            <w:lang w:val="en-US"/>
          </w:rPr>
          <w:t>https://bit.ly/2tRaWWh</w:t>
        </w:r>
      </w:hyperlink>
      <w:r w:rsidR="009601AC" w:rsidRPr="00F8289A">
        <w:rPr>
          <w:rFonts w:asciiTheme="majorHAnsi" w:hAnsiTheme="majorHAnsi" w:cstheme="majorHAnsi"/>
          <w:sz w:val="18"/>
          <w:szCs w:val="18"/>
          <w:lang w:val="en-US"/>
        </w:rPr>
        <w:t xml:space="preserve">. </w:t>
      </w:r>
      <w:r w:rsidRPr="00F8289A">
        <w:rPr>
          <w:rFonts w:asciiTheme="majorHAnsi" w:hAnsiTheme="majorHAnsi" w:cstheme="majorHAnsi"/>
          <w:sz w:val="18"/>
          <w:szCs w:val="18"/>
          <w:lang w:val="en-US"/>
        </w:rPr>
        <w:t xml:space="preserve">It is not yet final </w:t>
      </w:r>
      <w:proofErr w:type="gramStart"/>
      <w:r w:rsidRPr="00F8289A">
        <w:rPr>
          <w:rFonts w:asciiTheme="majorHAnsi" w:hAnsiTheme="majorHAnsi" w:cstheme="majorHAnsi"/>
          <w:sz w:val="18"/>
          <w:szCs w:val="18"/>
          <w:lang w:val="en-US"/>
        </w:rPr>
        <w:t>at the moment</w:t>
      </w:r>
      <w:proofErr w:type="gramEnd"/>
      <w:r w:rsidRPr="00F8289A">
        <w:rPr>
          <w:rFonts w:asciiTheme="majorHAnsi" w:hAnsiTheme="majorHAnsi" w:cstheme="majorHAnsi"/>
          <w:sz w:val="18"/>
          <w:szCs w:val="18"/>
          <w:lang w:val="en-US"/>
        </w:rPr>
        <w:t xml:space="preserve"> of submission of this contribution.</w:t>
      </w:r>
    </w:p>
  </w:footnote>
  <w:footnote w:id="5">
    <w:p w14:paraId="1FFA7EDA" w14:textId="57E9FD59" w:rsidR="00621A86" w:rsidRPr="00F8289A" w:rsidRDefault="00621A86">
      <w:pPr>
        <w:pStyle w:val="FootnoteText"/>
        <w:rPr>
          <w:rFonts w:asciiTheme="majorHAnsi" w:hAnsiTheme="majorHAnsi" w:cstheme="majorHAnsi"/>
          <w:sz w:val="18"/>
          <w:szCs w:val="18"/>
          <w:lang w:val="en-US"/>
        </w:rPr>
      </w:pPr>
      <w:r w:rsidRPr="00F8289A">
        <w:rPr>
          <w:rStyle w:val="FootnoteReference"/>
          <w:rFonts w:asciiTheme="majorHAnsi" w:hAnsiTheme="majorHAnsi" w:cstheme="majorHAnsi"/>
          <w:sz w:val="18"/>
          <w:szCs w:val="18"/>
        </w:rPr>
        <w:footnoteRef/>
      </w:r>
      <w:r w:rsidRPr="00F8289A">
        <w:rPr>
          <w:rFonts w:asciiTheme="majorHAnsi" w:hAnsiTheme="majorHAnsi" w:cstheme="majorHAnsi"/>
          <w:sz w:val="18"/>
          <w:szCs w:val="18"/>
          <w:lang w:val="en-GB"/>
        </w:rPr>
        <w:t xml:space="preserve"> </w:t>
      </w:r>
      <w:r w:rsidRPr="00F8289A">
        <w:rPr>
          <w:rFonts w:asciiTheme="majorHAnsi" w:hAnsiTheme="majorHAnsi" w:cstheme="majorHAnsi"/>
          <w:sz w:val="18"/>
          <w:szCs w:val="18"/>
          <w:lang w:val="en-US"/>
        </w:rPr>
        <w:t xml:space="preserve">Available at: </w:t>
      </w:r>
      <w:hyperlink r:id="rId4" w:history="1">
        <w:r w:rsidR="009601AC" w:rsidRPr="00F8289A">
          <w:rPr>
            <w:rStyle w:val="Hyperlink"/>
            <w:rFonts w:asciiTheme="majorHAnsi" w:hAnsiTheme="majorHAnsi" w:cstheme="majorHAnsi"/>
            <w:sz w:val="18"/>
            <w:szCs w:val="18"/>
            <w:lang w:val="en-US"/>
          </w:rPr>
          <w:t>http://www.torontopolice.on.ca/publications/files/reports/g20_after_action_review.pdf</w:t>
        </w:r>
      </w:hyperlink>
      <w:r w:rsidRPr="00F8289A">
        <w:rPr>
          <w:rFonts w:asciiTheme="majorHAnsi" w:hAnsiTheme="majorHAnsi" w:cstheme="majorHAnsi"/>
          <w:sz w:val="18"/>
          <w:szCs w:val="18"/>
          <w:lang w:val="en-US"/>
        </w:rPr>
        <w:t>, at p.31.</w:t>
      </w:r>
    </w:p>
  </w:footnote>
  <w:footnote w:id="6">
    <w:p w14:paraId="1332C033" w14:textId="088BF20E" w:rsidR="00621A86" w:rsidRPr="00F8289A" w:rsidRDefault="00621A86">
      <w:pPr>
        <w:pStyle w:val="FootnoteText"/>
        <w:rPr>
          <w:rFonts w:asciiTheme="majorHAnsi" w:hAnsiTheme="majorHAnsi" w:cstheme="majorHAnsi"/>
          <w:sz w:val="18"/>
          <w:szCs w:val="18"/>
          <w:lang w:val="en-US"/>
        </w:rPr>
      </w:pPr>
      <w:r w:rsidRPr="00F8289A">
        <w:rPr>
          <w:rStyle w:val="FootnoteReference"/>
          <w:rFonts w:asciiTheme="majorHAnsi" w:hAnsiTheme="majorHAnsi" w:cstheme="majorHAnsi"/>
          <w:sz w:val="18"/>
          <w:szCs w:val="18"/>
        </w:rPr>
        <w:footnoteRef/>
      </w:r>
      <w:r w:rsidRPr="00F8289A">
        <w:rPr>
          <w:rFonts w:asciiTheme="majorHAnsi" w:hAnsiTheme="majorHAnsi" w:cstheme="majorHAnsi"/>
          <w:sz w:val="18"/>
          <w:szCs w:val="18"/>
          <w:lang w:val="en-GB"/>
        </w:rPr>
        <w:t xml:space="preserve"> Available at: </w:t>
      </w:r>
      <w:hyperlink r:id="rId5" w:history="1">
        <w:r w:rsidR="009601AC" w:rsidRPr="00F8289A">
          <w:rPr>
            <w:rStyle w:val="Hyperlink"/>
            <w:rFonts w:asciiTheme="majorHAnsi" w:hAnsiTheme="majorHAnsi" w:cstheme="majorHAnsi"/>
            <w:sz w:val="18"/>
            <w:szCs w:val="18"/>
            <w:lang w:val="en-GB"/>
          </w:rPr>
          <w:t>https://www.osce.org/odihr/226981?download=true</w:t>
        </w:r>
      </w:hyperlink>
      <w:r w:rsidRPr="00F8289A">
        <w:rPr>
          <w:rFonts w:asciiTheme="majorHAnsi" w:hAnsiTheme="majorHAnsi" w:cstheme="majorHAnsi"/>
          <w:sz w:val="18"/>
          <w:szCs w:val="18"/>
          <w:lang w:val="en-US"/>
        </w:rPr>
        <w:t xml:space="preserve">, at p. 27. </w:t>
      </w:r>
    </w:p>
  </w:footnote>
  <w:footnote w:id="7">
    <w:p w14:paraId="2F7EA5FF" w14:textId="5B04CAE7" w:rsidR="00621A86" w:rsidRPr="00F8289A" w:rsidRDefault="00621A86">
      <w:pPr>
        <w:pStyle w:val="FootnoteText"/>
        <w:rPr>
          <w:rFonts w:asciiTheme="majorHAnsi" w:hAnsiTheme="majorHAnsi" w:cstheme="majorHAnsi"/>
          <w:sz w:val="22"/>
          <w:szCs w:val="20"/>
          <w:lang w:val="en-US"/>
        </w:rPr>
      </w:pPr>
      <w:r w:rsidRPr="00F8289A">
        <w:rPr>
          <w:rStyle w:val="FootnoteReference"/>
          <w:rFonts w:asciiTheme="majorHAnsi" w:hAnsiTheme="majorHAnsi" w:cstheme="majorHAnsi"/>
          <w:sz w:val="18"/>
          <w:szCs w:val="16"/>
        </w:rPr>
        <w:footnoteRef/>
      </w:r>
      <w:r w:rsidRPr="00F8289A">
        <w:rPr>
          <w:rFonts w:asciiTheme="majorHAnsi" w:hAnsiTheme="majorHAnsi" w:cstheme="majorHAnsi"/>
          <w:sz w:val="18"/>
          <w:szCs w:val="16"/>
          <w:lang w:val="en-GB"/>
        </w:rPr>
        <w:t xml:space="preserve"> </w:t>
      </w:r>
      <w:r w:rsidRPr="00F8289A">
        <w:rPr>
          <w:rFonts w:asciiTheme="majorHAnsi" w:hAnsiTheme="majorHAnsi" w:cstheme="majorHAnsi"/>
          <w:sz w:val="18"/>
          <w:szCs w:val="16"/>
          <w:lang w:val="en-US"/>
        </w:rPr>
        <w:t xml:space="preserve">Available at: </w:t>
      </w:r>
      <w:hyperlink r:id="rId6" w:history="1">
        <w:r w:rsidR="009601AC" w:rsidRPr="00F8289A">
          <w:rPr>
            <w:rStyle w:val="Hyperlink"/>
            <w:rFonts w:asciiTheme="majorHAnsi" w:hAnsiTheme="majorHAnsi" w:cstheme="majorHAnsi"/>
            <w:sz w:val="18"/>
            <w:szCs w:val="16"/>
            <w:lang w:val="en-US"/>
          </w:rPr>
          <w:t>https://www.osce.org/odihr/guidelines-on-the-protection-of-human-rights-defenders?download=true</w:t>
        </w:r>
      </w:hyperlink>
      <w:r w:rsidRPr="00F8289A">
        <w:rPr>
          <w:rFonts w:asciiTheme="majorHAnsi" w:hAnsiTheme="majorHAnsi" w:cstheme="majorHAnsi"/>
          <w:sz w:val="18"/>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457A"/>
    <w:multiLevelType w:val="hybridMultilevel"/>
    <w:tmpl w:val="C3A40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D4"/>
    <w:rsid w:val="00017D31"/>
    <w:rsid w:val="00032AB6"/>
    <w:rsid w:val="000835D4"/>
    <w:rsid w:val="000857CA"/>
    <w:rsid w:val="000902AF"/>
    <w:rsid w:val="00097733"/>
    <w:rsid w:val="000A5571"/>
    <w:rsid w:val="000C5706"/>
    <w:rsid w:val="000C6406"/>
    <w:rsid w:val="00116935"/>
    <w:rsid w:val="0012028C"/>
    <w:rsid w:val="0013267D"/>
    <w:rsid w:val="00145973"/>
    <w:rsid w:val="00156C85"/>
    <w:rsid w:val="0018068F"/>
    <w:rsid w:val="00183801"/>
    <w:rsid w:val="001918F3"/>
    <w:rsid w:val="001B7D3B"/>
    <w:rsid w:val="001C5329"/>
    <w:rsid w:val="001D771E"/>
    <w:rsid w:val="001E019C"/>
    <w:rsid w:val="00237A27"/>
    <w:rsid w:val="00263634"/>
    <w:rsid w:val="002A3238"/>
    <w:rsid w:val="002C370E"/>
    <w:rsid w:val="002D26CC"/>
    <w:rsid w:val="00312C67"/>
    <w:rsid w:val="00343DC7"/>
    <w:rsid w:val="003B3427"/>
    <w:rsid w:val="003E2C95"/>
    <w:rsid w:val="003E74A4"/>
    <w:rsid w:val="0044563A"/>
    <w:rsid w:val="00445A36"/>
    <w:rsid w:val="004703F4"/>
    <w:rsid w:val="00492AFB"/>
    <w:rsid w:val="00492B05"/>
    <w:rsid w:val="004F5FBD"/>
    <w:rsid w:val="00503EE3"/>
    <w:rsid w:val="005131F3"/>
    <w:rsid w:val="0051619A"/>
    <w:rsid w:val="00552A12"/>
    <w:rsid w:val="005606CF"/>
    <w:rsid w:val="00587532"/>
    <w:rsid w:val="005C395A"/>
    <w:rsid w:val="005C6566"/>
    <w:rsid w:val="0062158C"/>
    <w:rsid w:val="00621A86"/>
    <w:rsid w:val="00621EE6"/>
    <w:rsid w:val="00634469"/>
    <w:rsid w:val="006558EB"/>
    <w:rsid w:val="00673A37"/>
    <w:rsid w:val="00680B4E"/>
    <w:rsid w:val="00686A3A"/>
    <w:rsid w:val="006D1601"/>
    <w:rsid w:val="006D2D33"/>
    <w:rsid w:val="00742E95"/>
    <w:rsid w:val="00752442"/>
    <w:rsid w:val="00761EC3"/>
    <w:rsid w:val="007764C9"/>
    <w:rsid w:val="00785DDC"/>
    <w:rsid w:val="007932BE"/>
    <w:rsid w:val="007A22F1"/>
    <w:rsid w:val="007A2C2F"/>
    <w:rsid w:val="007B2CF2"/>
    <w:rsid w:val="007C3FE4"/>
    <w:rsid w:val="007D35BD"/>
    <w:rsid w:val="007F2C69"/>
    <w:rsid w:val="008044F0"/>
    <w:rsid w:val="00807BDF"/>
    <w:rsid w:val="00826870"/>
    <w:rsid w:val="00872015"/>
    <w:rsid w:val="008750EB"/>
    <w:rsid w:val="00893866"/>
    <w:rsid w:val="00895192"/>
    <w:rsid w:val="008B398D"/>
    <w:rsid w:val="008B4E0C"/>
    <w:rsid w:val="008C3939"/>
    <w:rsid w:val="00905736"/>
    <w:rsid w:val="00905952"/>
    <w:rsid w:val="00942574"/>
    <w:rsid w:val="009601AC"/>
    <w:rsid w:val="00976023"/>
    <w:rsid w:val="009A39D6"/>
    <w:rsid w:val="009C7165"/>
    <w:rsid w:val="00A15C5A"/>
    <w:rsid w:val="00A64458"/>
    <w:rsid w:val="00A71231"/>
    <w:rsid w:val="00AA6326"/>
    <w:rsid w:val="00B04942"/>
    <w:rsid w:val="00B113AD"/>
    <w:rsid w:val="00B56425"/>
    <w:rsid w:val="00B62E95"/>
    <w:rsid w:val="00B82930"/>
    <w:rsid w:val="00B84BD2"/>
    <w:rsid w:val="00B97E8C"/>
    <w:rsid w:val="00BA1E6A"/>
    <w:rsid w:val="00C36CAD"/>
    <w:rsid w:val="00C37B61"/>
    <w:rsid w:val="00C51E2A"/>
    <w:rsid w:val="00C5266C"/>
    <w:rsid w:val="00C753BD"/>
    <w:rsid w:val="00C93A00"/>
    <w:rsid w:val="00CB05EA"/>
    <w:rsid w:val="00CD08A4"/>
    <w:rsid w:val="00CE5B90"/>
    <w:rsid w:val="00CF0B55"/>
    <w:rsid w:val="00D156B3"/>
    <w:rsid w:val="00D16DDA"/>
    <w:rsid w:val="00D20042"/>
    <w:rsid w:val="00D43468"/>
    <w:rsid w:val="00D43D94"/>
    <w:rsid w:val="00D4547A"/>
    <w:rsid w:val="00DA35D6"/>
    <w:rsid w:val="00DB3EC7"/>
    <w:rsid w:val="00DC02BC"/>
    <w:rsid w:val="00DE17A4"/>
    <w:rsid w:val="00DF0604"/>
    <w:rsid w:val="00EC4DA0"/>
    <w:rsid w:val="00EC5547"/>
    <w:rsid w:val="00F14AB6"/>
    <w:rsid w:val="00F44E11"/>
    <w:rsid w:val="00F62D64"/>
    <w:rsid w:val="00F66133"/>
    <w:rsid w:val="00F677D8"/>
    <w:rsid w:val="00F8289A"/>
    <w:rsid w:val="00F9081E"/>
    <w:rsid w:val="00FF24D6"/>
    <w:rsid w:val="00FF703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A340C7"/>
  <w14:defaultImageDpi w14:val="300"/>
  <w15:docId w15:val="{D9295CEC-6900-4A4C-955D-4698FF95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7D3B"/>
    <w:pPr>
      <w:tabs>
        <w:tab w:val="center" w:pos="4677"/>
        <w:tab w:val="right" w:pos="9355"/>
      </w:tabs>
    </w:pPr>
  </w:style>
  <w:style w:type="character" w:customStyle="1" w:styleId="FooterChar">
    <w:name w:val="Footer Char"/>
    <w:basedOn w:val="DefaultParagraphFont"/>
    <w:link w:val="Footer"/>
    <w:uiPriority w:val="99"/>
    <w:rsid w:val="001B7D3B"/>
  </w:style>
  <w:style w:type="character" w:styleId="PageNumber">
    <w:name w:val="page number"/>
    <w:basedOn w:val="DefaultParagraphFont"/>
    <w:uiPriority w:val="99"/>
    <w:semiHidden/>
    <w:unhideWhenUsed/>
    <w:rsid w:val="001B7D3B"/>
  </w:style>
  <w:style w:type="paragraph" w:styleId="ListParagraph">
    <w:name w:val="List Paragraph"/>
    <w:basedOn w:val="Normal"/>
    <w:uiPriority w:val="34"/>
    <w:qFormat/>
    <w:rsid w:val="001B7D3B"/>
    <w:pPr>
      <w:ind w:left="720"/>
      <w:contextualSpacing/>
    </w:pPr>
  </w:style>
  <w:style w:type="paragraph" w:styleId="FootnoteText">
    <w:name w:val="footnote text"/>
    <w:basedOn w:val="Normal"/>
    <w:link w:val="FootnoteTextChar"/>
    <w:uiPriority w:val="99"/>
    <w:unhideWhenUsed/>
    <w:rsid w:val="0062158C"/>
  </w:style>
  <w:style w:type="character" w:customStyle="1" w:styleId="FootnoteTextChar">
    <w:name w:val="Footnote Text Char"/>
    <w:basedOn w:val="DefaultParagraphFont"/>
    <w:link w:val="FootnoteText"/>
    <w:uiPriority w:val="99"/>
    <w:rsid w:val="0062158C"/>
  </w:style>
  <w:style w:type="character" w:styleId="FootnoteReference">
    <w:name w:val="footnote reference"/>
    <w:basedOn w:val="DefaultParagraphFont"/>
    <w:uiPriority w:val="99"/>
    <w:unhideWhenUsed/>
    <w:rsid w:val="0062158C"/>
    <w:rPr>
      <w:vertAlign w:val="superscript"/>
    </w:rPr>
  </w:style>
  <w:style w:type="character" w:styleId="Hyperlink">
    <w:name w:val="Hyperlink"/>
    <w:basedOn w:val="DefaultParagraphFont"/>
    <w:uiPriority w:val="99"/>
    <w:unhideWhenUsed/>
    <w:rsid w:val="000A5571"/>
    <w:rPr>
      <w:color w:val="0000FF" w:themeColor="hyperlink"/>
      <w:u w:val="single"/>
    </w:rPr>
  </w:style>
  <w:style w:type="paragraph" w:styleId="Header">
    <w:name w:val="header"/>
    <w:basedOn w:val="Normal"/>
    <w:link w:val="HeaderChar"/>
    <w:uiPriority w:val="99"/>
    <w:unhideWhenUsed/>
    <w:rsid w:val="00680B4E"/>
    <w:pPr>
      <w:tabs>
        <w:tab w:val="center" w:pos="4677"/>
        <w:tab w:val="right" w:pos="9355"/>
      </w:tabs>
    </w:pPr>
  </w:style>
  <w:style w:type="character" w:customStyle="1" w:styleId="HeaderChar">
    <w:name w:val="Header Char"/>
    <w:basedOn w:val="DefaultParagraphFont"/>
    <w:link w:val="Header"/>
    <w:uiPriority w:val="99"/>
    <w:rsid w:val="00680B4E"/>
  </w:style>
  <w:style w:type="character" w:customStyle="1" w:styleId="UnresolvedMention1">
    <w:name w:val="Unresolved Mention1"/>
    <w:basedOn w:val="DefaultParagraphFont"/>
    <w:uiPriority w:val="99"/>
    <w:semiHidden/>
    <w:unhideWhenUsed/>
    <w:rsid w:val="009601AC"/>
    <w:rPr>
      <w:color w:val="605E5C"/>
      <w:shd w:val="clear" w:color="auto" w:fill="E1DFDD"/>
    </w:rPr>
  </w:style>
  <w:style w:type="paragraph" w:styleId="BalloonText">
    <w:name w:val="Balloon Text"/>
    <w:basedOn w:val="Normal"/>
    <w:link w:val="BalloonTextChar"/>
    <w:uiPriority w:val="99"/>
    <w:semiHidden/>
    <w:unhideWhenUsed/>
    <w:rsid w:val="00742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9469">
      <w:bodyDiv w:val="1"/>
      <w:marLeft w:val="0"/>
      <w:marRight w:val="0"/>
      <w:marTop w:val="0"/>
      <w:marBottom w:val="0"/>
      <w:divBdr>
        <w:top w:val="none" w:sz="0" w:space="0" w:color="auto"/>
        <w:left w:val="none" w:sz="0" w:space="0" w:color="auto"/>
        <w:bottom w:val="none" w:sz="0" w:space="0" w:color="auto"/>
        <w:right w:val="none" w:sz="0" w:space="0" w:color="auto"/>
      </w:divBdr>
    </w:div>
    <w:div w:id="936059387">
      <w:bodyDiv w:val="1"/>
      <w:marLeft w:val="0"/>
      <w:marRight w:val="0"/>
      <w:marTop w:val="0"/>
      <w:marBottom w:val="0"/>
      <w:divBdr>
        <w:top w:val="none" w:sz="0" w:space="0" w:color="auto"/>
        <w:left w:val="none" w:sz="0" w:space="0" w:color="auto"/>
        <w:bottom w:val="none" w:sz="0" w:space="0" w:color="auto"/>
        <w:right w:val="none" w:sz="0" w:space="0" w:color="auto"/>
      </w:divBdr>
    </w:div>
    <w:div w:id="1281649585">
      <w:bodyDiv w:val="1"/>
      <w:marLeft w:val="0"/>
      <w:marRight w:val="0"/>
      <w:marTop w:val="0"/>
      <w:marBottom w:val="0"/>
      <w:divBdr>
        <w:top w:val="none" w:sz="0" w:space="0" w:color="auto"/>
        <w:left w:val="none" w:sz="0" w:space="0" w:color="auto"/>
        <w:bottom w:val="none" w:sz="0" w:space="0" w:color="auto"/>
        <w:right w:val="none" w:sz="0" w:space="0" w:color="auto"/>
      </w:divBdr>
    </w:div>
    <w:div w:id="1701468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it.ly/2tRaWWh" TargetMode="External"/><Relationship Id="rId2" Type="http://schemas.openxmlformats.org/officeDocument/2006/relationships/hyperlink" Target="https://www.osce.org/baku/105947?download=true" TargetMode="External"/><Relationship Id="rId1" Type="http://schemas.openxmlformats.org/officeDocument/2006/relationships/hyperlink" Target="http://www.ksrf.ru/en/Decision/Judgments/Documents/2017__January_19_2-P.pdf" TargetMode="External"/><Relationship Id="rId6" Type="http://schemas.openxmlformats.org/officeDocument/2006/relationships/hyperlink" Target="https://www.osce.org/odihr/guidelines-on-the-protection-of-human-rights-defenders?download=true" TargetMode="External"/><Relationship Id="rId5" Type="http://schemas.openxmlformats.org/officeDocument/2006/relationships/hyperlink" Target="https://www.osce.org/odihr/226981?download=true" TargetMode="External"/><Relationship Id="rId4" Type="http://schemas.openxmlformats.org/officeDocument/2006/relationships/hyperlink" Target="http://www.torontopolice.on.ca/publications/files/reports/g20_after_action_review.pd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CA3641-E45F-4DB3-A089-53E1CF46CCFA}"/>
</file>

<file path=customXml/itemProps2.xml><?xml version="1.0" encoding="utf-8"?>
<ds:datastoreItem xmlns:ds="http://schemas.openxmlformats.org/officeDocument/2006/customXml" ds:itemID="{CFB8EE72-632F-4873-BFFE-F7FFB7752420}"/>
</file>

<file path=customXml/itemProps3.xml><?xml version="1.0" encoding="utf-8"?>
<ds:datastoreItem xmlns:ds="http://schemas.openxmlformats.org/officeDocument/2006/customXml" ds:itemID="{323A668B-F62D-4738-A276-816DBC829A13}"/>
</file>

<file path=docProps/app.xml><?xml version="1.0" encoding="utf-8"?>
<Properties xmlns="http://schemas.openxmlformats.org/officeDocument/2006/extended-properties" xmlns:vt="http://schemas.openxmlformats.org/officeDocument/2006/docPropsVTypes">
  <Template>Normal</Template>
  <TotalTime>1</TotalTime>
  <Pages>8</Pages>
  <Words>3835</Words>
  <Characters>21863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Netherlands_Helsinki_Committee</dc:title>
  <dc:subject/>
  <dc:creator>Mac</dc:creator>
  <cp:keywords/>
  <dc:description/>
  <cp:lastModifiedBy>asus</cp:lastModifiedBy>
  <cp:revision>4</cp:revision>
  <cp:lastPrinted>2019-02-28T20:16:00Z</cp:lastPrinted>
  <dcterms:created xsi:type="dcterms:W3CDTF">2019-03-01T15:12:00Z</dcterms:created>
  <dcterms:modified xsi:type="dcterms:W3CDTF">2019-03-05T08:32:00Z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