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B1E13" w14:textId="77777777" w:rsidR="00F537FC" w:rsidRPr="00A2118B" w:rsidRDefault="00F537FC" w:rsidP="00960553">
      <w:pPr>
        <w:jc w:val="center"/>
        <w:rPr>
          <w:rFonts w:ascii="Times New Roman" w:hAnsi="Times New Roman" w:cs="Times New Roman"/>
          <w:b/>
        </w:rPr>
      </w:pPr>
    </w:p>
    <w:p w14:paraId="6F5A625D" w14:textId="3A295716" w:rsidR="00960553" w:rsidRPr="00A2118B" w:rsidRDefault="00153D1D" w:rsidP="00960553">
      <w:pPr>
        <w:jc w:val="center"/>
        <w:rPr>
          <w:rFonts w:ascii="Times New Roman" w:hAnsi="Times New Roman" w:cs="Times New Roman"/>
          <w:b/>
        </w:rPr>
      </w:pPr>
      <w:r w:rsidRPr="00A2118B">
        <w:rPr>
          <w:rFonts w:ascii="Times New Roman" w:hAnsi="Times New Roman" w:cs="Times New Roman"/>
          <w:b/>
        </w:rPr>
        <w:t xml:space="preserve">Half-Day General Discussion on </w:t>
      </w:r>
      <w:r w:rsidR="00960553" w:rsidRPr="00A2118B">
        <w:rPr>
          <w:rFonts w:ascii="Times New Roman" w:hAnsi="Times New Roman" w:cs="Times New Roman"/>
          <w:b/>
        </w:rPr>
        <w:t>Article 21</w:t>
      </w:r>
    </w:p>
    <w:p w14:paraId="5EFEBA50" w14:textId="2521C839" w:rsidR="00B0379C" w:rsidRPr="00A2118B" w:rsidRDefault="00B0379C" w:rsidP="00960553">
      <w:pPr>
        <w:jc w:val="center"/>
        <w:rPr>
          <w:rFonts w:ascii="Times New Roman" w:hAnsi="Times New Roman" w:cs="Times New Roman"/>
          <w:b/>
        </w:rPr>
      </w:pPr>
    </w:p>
    <w:p w14:paraId="0F940334" w14:textId="64B4F488" w:rsidR="00B0379C" w:rsidRPr="00A2118B" w:rsidRDefault="00B0379C" w:rsidP="00B0379C">
      <w:pPr>
        <w:jc w:val="center"/>
        <w:rPr>
          <w:rFonts w:ascii="Times New Roman" w:hAnsi="Times New Roman" w:cs="Times New Roman"/>
          <w:b/>
        </w:rPr>
      </w:pPr>
      <w:r w:rsidRPr="00A2118B">
        <w:rPr>
          <w:rFonts w:ascii="Times New Roman" w:hAnsi="Times New Roman" w:cs="Times New Roman"/>
          <w:b/>
        </w:rPr>
        <w:t>Submission by OHCHR’s Rule of La</w:t>
      </w:r>
      <w:r w:rsidR="00F47B64">
        <w:rPr>
          <w:rFonts w:ascii="Times New Roman" w:hAnsi="Times New Roman" w:cs="Times New Roman"/>
          <w:b/>
        </w:rPr>
        <w:t xml:space="preserve">w and Democracy Section and </w:t>
      </w:r>
      <w:bookmarkStart w:id="0" w:name="_GoBack"/>
      <w:bookmarkEnd w:id="0"/>
      <w:r w:rsidRPr="00A2118B">
        <w:rPr>
          <w:rFonts w:ascii="Times New Roman" w:hAnsi="Times New Roman" w:cs="Times New Roman"/>
          <w:b/>
        </w:rPr>
        <w:t>Civic Space Unit</w:t>
      </w:r>
    </w:p>
    <w:p w14:paraId="1C0B0787" w14:textId="78B800DD" w:rsidR="00B0379C" w:rsidRPr="00A2118B" w:rsidRDefault="00B0379C" w:rsidP="00AD4889">
      <w:pPr>
        <w:rPr>
          <w:rFonts w:ascii="Times New Roman" w:hAnsi="Times New Roman" w:cs="Times New Roman"/>
          <w:b/>
        </w:rPr>
      </w:pPr>
    </w:p>
    <w:p w14:paraId="3BC8F91F" w14:textId="2809E4BE" w:rsidR="00960553" w:rsidRPr="00A2118B" w:rsidRDefault="00960553" w:rsidP="00960553">
      <w:pPr>
        <w:jc w:val="center"/>
        <w:rPr>
          <w:rFonts w:ascii="Times New Roman" w:hAnsi="Times New Roman" w:cs="Times New Roman"/>
          <w:b/>
        </w:rPr>
      </w:pPr>
    </w:p>
    <w:p w14:paraId="6CB7B138" w14:textId="7BA1253E" w:rsidR="00960553" w:rsidRPr="00A2118B" w:rsidRDefault="00960553" w:rsidP="00960553">
      <w:pPr>
        <w:pStyle w:val="ListParagraph"/>
        <w:numPr>
          <w:ilvl w:val="0"/>
          <w:numId w:val="10"/>
        </w:numPr>
        <w:rPr>
          <w:rFonts w:ascii="Times New Roman" w:hAnsi="Times New Roman" w:cs="Times New Roman"/>
          <w:b/>
          <w:sz w:val="24"/>
          <w:szCs w:val="24"/>
        </w:rPr>
      </w:pPr>
      <w:r w:rsidRPr="00A2118B">
        <w:rPr>
          <w:rFonts w:ascii="Times New Roman" w:hAnsi="Times New Roman" w:cs="Times New Roman"/>
          <w:b/>
          <w:sz w:val="24"/>
          <w:szCs w:val="24"/>
        </w:rPr>
        <w:t>Introduction</w:t>
      </w:r>
    </w:p>
    <w:p w14:paraId="701EAB04" w14:textId="77777777" w:rsidR="00B0379C" w:rsidRPr="00A2118B" w:rsidRDefault="00B0379C" w:rsidP="00B0379C">
      <w:pPr>
        <w:pStyle w:val="ListParagraph"/>
        <w:ind w:left="1080"/>
        <w:rPr>
          <w:rFonts w:ascii="Times New Roman" w:hAnsi="Times New Roman" w:cs="Times New Roman"/>
          <w:b/>
          <w:sz w:val="24"/>
          <w:szCs w:val="24"/>
        </w:rPr>
      </w:pPr>
    </w:p>
    <w:p w14:paraId="52D869D1" w14:textId="0BB26790" w:rsidR="00B0379C" w:rsidRPr="00A2118B" w:rsidRDefault="00FE60D7" w:rsidP="00B0379C">
      <w:pPr>
        <w:pStyle w:val="ListParagraph"/>
        <w:numPr>
          <w:ilvl w:val="0"/>
          <w:numId w:val="13"/>
        </w:numPr>
        <w:spacing w:line="276" w:lineRule="auto"/>
        <w:jc w:val="both"/>
        <w:rPr>
          <w:rFonts w:ascii="Times New Roman" w:hAnsi="Times New Roman" w:cs="Times New Roman"/>
          <w:sz w:val="24"/>
          <w:szCs w:val="24"/>
        </w:rPr>
      </w:pPr>
      <w:r w:rsidRPr="00A2118B">
        <w:rPr>
          <w:rFonts w:ascii="Times New Roman" w:hAnsi="Times New Roman" w:cs="Times New Roman"/>
          <w:sz w:val="24"/>
          <w:szCs w:val="24"/>
        </w:rPr>
        <w:t xml:space="preserve">The </w:t>
      </w:r>
      <w:r w:rsidR="00244A07" w:rsidRPr="00A2118B">
        <w:rPr>
          <w:rFonts w:ascii="Times New Roman" w:hAnsi="Times New Roman" w:cs="Times New Roman"/>
          <w:sz w:val="24"/>
          <w:szCs w:val="24"/>
        </w:rPr>
        <w:t>public freedoms</w:t>
      </w:r>
      <w:r w:rsidR="00A2118B">
        <w:rPr>
          <w:rFonts w:ascii="Times New Roman" w:hAnsi="Times New Roman" w:cs="Times New Roman"/>
          <w:sz w:val="24"/>
          <w:szCs w:val="24"/>
        </w:rPr>
        <w:t xml:space="preserve"> provided by the Covenant,</w:t>
      </w:r>
      <w:r w:rsidR="000A736A" w:rsidRPr="00A2118B">
        <w:rPr>
          <w:rFonts w:ascii="Times New Roman" w:hAnsi="Times New Roman" w:cs="Times New Roman"/>
          <w:sz w:val="24"/>
          <w:szCs w:val="24"/>
        </w:rPr>
        <w:t xml:space="preserve"> including</w:t>
      </w:r>
      <w:r w:rsidR="00EA777E" w:rsidRPr="00A2118B">
        <w:rPr>
          <w:rFonts w:ascii="Times New Roman" w:hAnsi="Times New Roman" w:cs="Times New Roman"/>
          <w:sz w:val="24"/>
          <w:szCs w:val="24"/>
        </w:rPr>
        <w:t xml:space="preserve"> </w:t>
      </w:r>
      <w:r w:rsidRPr="00A2118B">
        <w:rPr>
          <w:rFonts w:ascii="Times New Roman" w:hAnsi="Times New Roman" w:cs="Times New Roman"/>
          <w:sz w:val="24"/>
          <w:szCs w:val="24"/>
        </w:rPr>
        <w:t xml:space="preserve">the rights to freedom </w:t>
      </w:r>
      <w:r w:rsidR="00EA777E" w:rsidRPr="00A2118B">
        <w:rPr>
          <w:rFonts w:ascii="Times New Roman" w:hAnsi="Times New Roman" w:cs="Times New Roman"/>
          <w:sz w:val="24"/>
          <w:szCs w:val="24"/>
        </w:rPr>
        <w:t>of</w:t>
      </w:r>
      <w:r w:rsidR="00244A07" w:rsidRPr="00A2118B">
        <w:rPr>
          <w:rFonts w:ascii="Times New Roman" w:hAnsi="Times New Roman" w:cs="Times New Roman"/>
          <w:sz w:val="24"/>
          <w:szCs w:val="24"/>
        </w:rPr>
        <w:t xml:space="preserve"> </w:t>
      </w:r>
      <w:r w:rsidR="000A736A" w:rsidRPr="00A2118B">
        <w:rPr>
          <w:rFonts w:ascii="Times New Roman" w:hAnsi="Times New Roman" w:cs="Times New Roman"/>
          <w:sz w:val="24"/>
          <w:szCs w:val="24"/>
        </w:rPr>
        <w:t xml:space="preserve">expression, association and assembly, and </w:t>
      </w:r>
      <w:r w:rsidR="000E5E33" w:rsidRPr="00A2118B">
        <w:rPr>
          <w:rFonts w:ascii="Times New Roman" w:hAnsi="Times New Roman" w:cs="Times New Roman"/>
          <w:sz w:val="24"/>
          <w:szCs w:val="24"/>
        </w:rPr>
        <w:t>participation</w:t>
      </w:r>
      <w:r w:rsidRPr="00A2118B">
        <w:rPr>
          <w:rFonts w:ascii="Times New Roman" w:hAnsi="Times New Roman" w:cs="Times New Roman"/>
          <w:sz w:val="24"/>
          <w:szCs w:val="24"/>
        </w:rPr>
        <w:t>,</w:t>
      </w:r>
      <w:r w:rsidR="000A736A" w:rsidRPr="00A2118B">
        <w:rPr>
          <w:rFonts w:ascii="Times New Roman" w:hAnsi="Times New Roman" w:cs="Times New Roman"/>
          <w:sz w:val="24"/>
          <w:szCs w:val="24"/>
        </w:rPr>
        <w:t xml:space="preserve"> </w:t>
      </w:r>
      <w:r w:rsidR="00244A07" w:rsidRPr="00A2118B">
        <w:rPr>
          <w:rFonts w:ascii="Times New Roman" w:hAnsi="Times New Roman" w:cs="Times New Roman"/>
          <w:sz w:val="24"/>
          <w:szCs w:val="24"/>
        </w:rPr>
        <w:t xml:space="preserve">are crucial for </w:t>
      </w:r>
      <w:r w:rsidR="000A736A" w:rsidRPr="00A2118B">
        <w:rPr>
          <w:rFonts w:ascii="Times New Roman" w:hAnsi="Times New Roman" w:cs="Times New Roman"/>
          <w:sz w:val="24"/>
          <w:szCs w:val="24"/>
        </w:rPr>
        <w:t>organizations and individuals</w:t>
      </w:r>
      <w:r w:rsidR="006D6772" w:rsidRPr="00A2118B">
        <w:rPr>
          <w:rFonts w:ascii="Times New Roman" w:hAnsi="Times New Roman" w:cs="Times New Roman"/>
          <w:sz w:val="24"/>
          <w:szCs w:val="24"/>
        </w:rPr>
        <w:t xml:space="preserve"> </w:t>
      </w:r>
      <w:r w:rsidR="00244A07" w:rsidRPr="00A2118B">
        <w:rPr>
          <w:rFonts w:ascii="Times New Roman" w:hAnsi="Times New Roman" w:cs="Times New Roman"/>
          <w:sz w:val="24"/>
          <w:szCs w:val="24"/>
        </w:rPr>
        <w:t xml:space="preserve">to </w:t>
      </w:r>
      <w:r w:rsidR="00EB2C65" w:rsidRPr="00A2118B">
        <w:rPr>
          <w:rFonts w:ascii="Times New Roman" w:hAnsi="Times New Roman" w:cs="Times New Roman"/>
          <w:sz w:val="24"/>
          <w:szCs w:val="24"/>
        </w:rPr>
        <w:t xml:space="preserve">claim their rights and </w:t>
      </w:r>
      <w:r w:rsidR="00244A07" w:rsidRPr="00A2118B">
        <w:rPr>
          <w:rFonts w:ascii="Times New Roman" w:hAnsi="Times New Roman" w:cs="Times New Roman"/>
          <w:sz w:val="24"/>
          <w:szCs w:val="24"/>
        </w:rPr>
        <w:t>engage in decision and policy-</w:t>
      </w:r>
      <w:r w:rsidR="000A736A" w:rsidRPr="00A2118B">
        <w:rPr>
          <w:rFonts w:ascii="Times New Roman" w:hAnsi="Times New Roman" w:cs="Times New Roman"/>
          <w:sz w:val="24"/>
          <w:szCs w:val="24"/>
        </w:rPr>
        <w:t>making processes</w:t>
      </w:r>
      <w:r w:rsidR="00AF19D5" w:rsidRPr="00A2118B">
        <w:rPr>
          <w:rFonts w:ascii="Times New Roman" w:hAnsi="Times New Roman" w:cs="Times New Roman"/>
          <w:sz w:val="24"/>
          <w:szCs w:val="24"/>
        </w:rPr>
        <w:t xml:space="preserve"> that affect them</w:t>
      </w:r>
      <w:r w:rsidR="000A736A" w:rsidRPr="00A2118B">
        <w:rPr>
          <w:rFonts w:ascii="Times New Roman" w:hAnsi="Times New Roman" w:cs="Times New Roman"/>
          <w:sz w:val="24"/>
          <w:szCs w:val="24"/>
        </w:rPr>
        <w:t xml:space="preserve">. </w:t>
      </w:r>
      <w:r w:rsidRPr="00A2118B">
        <w:rPr>
          <w:rFonts w:ascii="Times New Roman" w:hAnsi="Times New Roman" w:cs="Times New Roman"/>
          <w:sz w:val="24"/>
          <w:szCs w:val="24"/>
        </w:rPr>
        <w:t xml:space="preserve">The ability of organizations and individuals </w:t>
      </w:r>
      <w:r w:rsidR="006D6772" w:rsidRPr="00A2118B">
        <w:rPr>
          <w:rFonts w:ascii="Times New Roman" w:hAnsi="Times New Roman" w:cs="Times New Roman"/>
          <w:sz w:val="24"/>
          <w:szCs w:val="24"/>
        </w:rPr>
        <w:t xml:space="preserve">to </w:t>
      </w:r>
      <w:r w:rsidR="00B0379C" w:rsidRPr="00A2118B">
        <w:rPr>
          <w:rFonts w:ascii="Times New Roman" w:hAnsi="Times New Roman" w:cs="Times New Roman"/>
          <w:sz w:val="24"/>
          <w:szCs w:val="24"/>
        </w:rPr>
        <w:t xml:space="preserve">influence effectively and safely </w:t>
      </w:r>
      <w:r w:rsidR="00AF19D5" w:rsidRPr="00A2118B">
        <w:rPr>
          <w:rFonts w:ascii="Times New Roman" w:hAnsi="Times New Roman" w:cs="Times New Roman"/>
          <w:sz w:val="24"/>
          <w:szCs w:val="24"/>
        </w:rPr>
        <w:t>such processes</w:t>
      </w:r>
      <w:r w:rsidR="00EB6947" w:rsidRPr="00A2118B">
        <w:rPr>
          <w:rFonts w:ascii="Times New Roman" w:hAnsi="Times New Roman" w:cs="Times New Roman"/>
          <w:sz w:val="24"/>
          <w:szCs w:val="24"/>
        </w:rPr>
        <w:t xml:space="preserve"> without discrimination</w:t>
      </w:r>
      <w:r w:rsidR="00AF19D5" w:rsidRPr="00A2118B">
        <w:rPr>
          <w:rFonts w:ascii="Times New Roman" w:hAnsi="Times New Roman" w:cs="Times New Roman"/>
          <w:sz w:val="24"/>
          <w:szCs w:val="24"/>
        </w:rPr>
        <w:t xml:space="preserve"> </w:t>
      </w:r>
      <w:r w:rsidR="006D6772" w:rsidRPr="00A2118B">
        <w:rPr>
          <w:rFonts w:ascii="Times New Roman" w:hAnsi="Times New Roman" w:cs="Times New Roman"/>
          <w:sz w:val="24"/>
          <w:szCs w:val="24"/>
        </w:rPr>
        <w:t xml:space="preserve">is practically </w:t>
      </w:r>
      <w:r w:rsidR="000A736A" w:rsidRPr="00A2118B">
        <w:rPr>
          <w:rFonts w:ascii="Times New Roman" w:hAnsi="Times New Roman" w:cs="Times New Roman"/>
          <w:sz w:val="24"/>
          <w:szCs w:val="24"/>
        </w:rPr>
        <w:t xml:space="preserve">what </w:t>
      </w:r>
      <w:proofErr w:type="gramStart"/>
      <w:r w:rsidR="000A736A" w:rsidRPr="00A2118B">
        <w:rPr>
          <w:rFonts w:ascii="Times New Roman" w:hAnsi="Times New Roman" w:cs="Times New Roman"/>
          <w:sz w:val="24"/>
          <w:szCs w:val="24"/>
        </w:rPr>
        <w:t>is meant</w:t>
      </w:r>
      <w:proofErr w:type="gramEnd"/>
      <w:r w:rsidR="000A736A" w:rsidRPr="00A2118B">
        <w:rPr>
          <w:rFonts w:ascii="Times New Roman" w:hAnsi="Times New Roman" w:cs="Times New Roman"/>
          <w:sz w:val="24"/>
          <w:szCs w:val="24"/>
        </w:rPr>
        <w:t xml:space="preserve"> by civic space.</w:t>
      </w:r>
      <w:r w:rsidR="00B0379C" w:rsidRPr="00A2118B">
        <w:rPr>
          <w:rFonts w:ascii="Times New Roman" w:hAnsi="Times New Roman" w:cs="Times New Roman"/>
          <w:sz w:val="24"/>
          <w:szCs w:val="24"/>
        </w:rPr>
        <w:t xml:space="preserve"> </w:t>
      </w:r>
    </w:p>
    <w:p w14:paraId="7B7A16C8" w14:textId="77777777" w:rsidR="00B0379C" w:rsidRPr="00A2118B" w:rsidRDefault="00B0379C" w:rsidP="00B0379C">
      <w:pPr>
        <w:pStyle w:val="ListParagraph"/>
        <w:spacing w:line="276" w:lineRule="auto"/>
        <w:jc w:val="both"/>
        <w:rPr>
          <w:rFonts w:ascii="Times New Roman" w:hAnsi="Times New Roman" w:cs="Times New Roman"/>
          <w:sz w:val="24"/>
          <w:szCs w:val="24"/>
        </w:rPr>
      </w:pPr>
    </w:p>
    <w:p w14:paraId="7D156D42" w14:textId="77777777" w:rsidR="00B0379C" w:rsidRPr="00A2118B" w:rsidRDefault="00FE60D7" w:rsidP="00301E32">
      <w:pPr>
        <w:pStyle w:val="ListParagraph"/>
        <w:numPr>
          <w:ilvl w:val="0"/>
          <w:numId w:val="13"/>
        </w:numPr>
        <w:spacing w:line="276" w:lineRule="auto"/>
        <w:jc w:val="both"/>
        <w:rPr>
          <w:rFonts w:ascii="Times New Roman" w:hAnsi="Times New Roman" w:cs="Times New Roman"/>
          <w:sz w:val="24"/>
          <w:szCs w:val="24"/>
        </w:rPr>
      </w:pPr>
      <w:r w:rsidRPr="00A2118B">
        <w:rPr>
          <w:rFonts w:ascii="Times New Roman" w:hAnsi="Times New Roman" w:cs="Times New Roman"/>
          <w:sz w:val="24"/>
          <w:szCs w:val="24"/>
        </w:rPr>
        <w:t>A v</w:t>
      </w:r>
      <w:r w:rsidR="00741DF7" w:rsidRPr="00A2118B">
        <w:rPr>
          <w:rFonts w:ascii="Times New Roman" w:hAnsi="Times New Roman" w:cs="Times New Roman"/>
          <w:sz w:val="24"/>
          <w:szCs w:val="24"/>
        </w:rPr>
        <w:t>ibrant</w:t>
      </w:r>
      <w:r w:rsidR="001A567B" w:rsidRPr="00A2118B">
        <w:rPr>
          <w:rFonts w:ascii="Times New Roman" w:hAnsi="Times New Roman" w:cs="Times New Roman"/>
          <w:sz w:val="24"/>
          <w:szCs w:val="24"/>
        </w:rPr>
        <w:t xml:space="preserve"> civil society and </w:t>
      </w:r>
      <w:r w:rsidRPr="00A2118B">
        <w:rPr>
          <w:rFonts w:ascii="Times New Roman" w:hAnsi="Times New Roman" w:cs="Times New Roman"/>
          <w:sz w:val="24"/>
          <w:szCs w:val="24"/>
        </w:rPr>
        <w:t xml:space="preserve">an </w:t>
      </w:r>
      <w:r w:rsidR="001A567B" w:rsidRPr="00A2118B">
        <w:rPr>
          <w:rFonts w:ascii="Times New Roman" w:hAnsi="Times New Roman" w:cs="Times New Roman"/>
          <w:sz w:val="24"/>
          <w:szCs w:val="24"/>
        </w:rPr>
        <w:t xml:space="preserve">open civic space are essential not only for promoting and protecting human rights, but also </w:t>
      </w:r>
      <w:r w:rsidR="00EA777E" w:rsidRPr="00A2118B">
        <w:rPr>
          <w:rFonts w:ascii="Times New Roman" w:hAnsi="Times New Roman" w:cs="Times New Roman"/>
          <w:sz w:val="24"/>
          <w:szCs w:val="24"/>
        </w:rPr>
        <w:t>for</w:t>
      </w:r>
      <w:r w:rsidR="001A567B" w:rsidRPr="00A2118B">
        <w:rPr>
          <w:rFonts w:ascii="Times New Roman" w:hAnsi="Times New Roman" w:cs="Times New Roman"/>
          <w:sz w:val="24"/>
          <w:szCs w:val="24"/>
        </w:rPr>
        <w:t xml:space="preserve"> sustainable</w:t>
      </w:r>
      <w:r w:rsidR="00741DF7" w:rsidRPr="00A2118B">
        <w:rPr>
          <w:rFonts w:ascii="Times New Roman" w:hAnsi="Times New Roman" w:cs="Times New Roman"/>
          <w:sz w:val="24"/>
          <w:szCs w:val="24"/>
        </w:rPr>
        <w:t xml:space="preserve"> d</w:t>
      </w:r>
      <w:r w:rsidR="00495A82" w:rsidRPr="00A2118B">
        <w:rPr>
          <w:rFonts w:ascii="Times New Roman" w:hAnsi="Times New Roman" w:cs="Times New Roman"/>
          <w:sz w:val="24"/>
          <w:szCs w:val="24"/>
        </w:rPr>
        <w:t xml:space="preserve">evelopment, including the leave no one behind agenda, </w:t>
      </w:r>
      <w:r w:rsidR="000E5E33" w:rsidRPr="00A2118B">
        <w:rPr>
          <w:rFonts w:ascii="Times New Roman" w:hAnsi="Times New Roman" w:cs="Times New Roman"/>
          <w:sz w:val="24"/>
          <w:szCs w:val="24"/>
        </w:rPr>
        <w:t>and</w:t>
      </w:r>
      <w:r w:rsidR="00741DF7" w:rsidRPr="00A2118B">
        <w:rPr>
          <w:rFonts w:ascii="Times New Roman" w:hAnsi="Times New Roman" w:cs="Times New Roman"/>
          <w:sz w:val="24"/>
          <w:szCs w:val="24"/>
        </w:rPr>
        <w:t xml:space="preserve"> </w:t>
      </w:r>
      <w:r w:rsidR="00DC6E8F" w:rsidRPr="00A2118B">
        <w:rPr>
          <w:rFonts w:ascii="Times New Roman" w:hAnsi="Times New Roman" w:cs="Times New Roman"/>
          <w:sz w:val="24"/>
          <w:szCs w:val="24"/>
        </w:rPr>
        <w:t>maintaining</w:t>
      </w:r>
      <w:r w:rsidR="00741DF7" w:rsidRPr="00A2118B">
        <w:rPr>
          <w:rFonts w:ascii="Times New Roman" w:hAnsi="Times New Roman" w:cs="Times New Roman"/>
          <w:sz w:val="24"/>
          <w:szCs w:val="24"/>
        </w:rPr>
        <w:t xml:space="preserve"> peace and security</w:t>
      </w:r>
      <w:r w:rsidR="00E778BF" w:rsidRPr="00A2118B">
        <w:rPr>
          <w:rFonts w:ascii="Times New Roman" w:hAnsi="Times New Roman" w:cs="Times New Roman"/>
          <w:sz w:val="24"/>
          <w:szCs w:val="24"/>
        </w:rPr>
        <w:t xml:space="preserve"> </w:t>
      </w:r>
      <w:r w:rsidR="00AF19D5" w:rsidRPr="00A2118B">
        <w:rPr>
          <w:rFonts w:ascii="Times New Roman" w:hAnsi="Times New Roman" w:cs="Times New Roman"/>
          <w:sz w:val="24"/>
          <w:szCs w:val="24"/>
        </w:rPr>
        <w:t xml:space="preserve">- all areas which are relevant </w:t>
      </w:r>
      <w:r w:rsidR="005637C9" w:rsidRPr="00A2118B">
        <w:rPr>
          <w:rFonts w:ascii="Times New Roman" w:hAnsi="Times New Roman" w:cs="Times New Roman"/>
          <w:sz w:val="24"/>
          <w:szCs w:val="24"/>
        </w:rPr>
        <w:t>for</w:t>
      </w:r>
      <w:r w:rsidR="00AF19D5" w:rsidRPr="00A2118B">
        <w:rPr>
          <w:rFonts w:ascii="Times New Roman" w:hAnsi="Times New Roman" w:cs="Times New Roman"/>
          <w:sz w:val="24"/>
          <w:szCs w:val="24"/>
        </w:rPr>
        <w:t xml:space="preserve"> implementing the Covenant</w:t>
      </w:r>
      <w:r w:rsidR="00495A82" w:rsidRPr="00A2118B">
        <w:rPr>
          <w:rFonts w:ascii="Times New Roman" w:hAnsi="Times New Roman" w:cs="Times New Roman"/>
          <w:sz w:val="24"/>
          <w:szCs w:val="24"/>
        </w:rPr>
        <w:t>.</w:t>
      </w:r>
      <w:r w:rsidR="00B0379C" w:rsidRPr="00A2118B">
        <w:rPr>
          <w:rFonts w:ascii="Times New Roman" w:hAnsi="Times New Roman" w:cs="Times New Roman"/>
          <w:sz w:val="24"/>
          <w:szCs w:val="24"/>
        </w:rPr>
        <w:t xml:space="preserve"> </w:t>
      </w:r>
    </w:p>
    <w:p w14:paraId="7C6D5277" w14:textId="77777777" w:rsidR="00B0379C" w:rsidRPr="00A2118B" w:rsidRDefault="00B0379C" w:rsidP="00B0379C">
      <w:pPr>
        <w:pStyle w:val="ListParagraph"/>
        <w:rPr>
          <w:rFonts w:ascii="Times New Roman" w:hAnsi="Times New Roman" w:cs="Times New Roman"/>
          <w:sz w:val="24"/>
          <w:szCs w:val="24"/>
        </w:rPr>
      </w:pPr>
    </w:p>
    <w:p w14:paraId="7EB47197" w14:textId="2AF7BCDE" w:rsidR="00B0379C" w:rsidRPr="00A2118B" w:rsidRDefault="00FE60D7" w:rsidP="00301E32">
      <w:pPr>
        <w:pStyle w:val="ListParagraph"/>
        <w:numPr>
          <w:ilvl w:val="0"/>
          <w:numId w:val="13"/>
        </w:numPr>
        <w:spacing w:line="276" w:lineRule="auto"/>
        <w:jc w:val="both"/>
        <w:rPr>
          <w:rFonts w:ascii="Times New Roman" w:hAnsi="Times New Roman" w:cs="Times New Roman"/>
          <w:sz w:val="24"/>
          <w:szCs w:val="24"/>
        </w:rPr>
      </w:pPr>
      <w:r w:rsidRPr="00A2118B">
        <w:rPr>
          <w:rFonts w:ascii="Times New Roman" w:hAnsi="Times New Roman" w:cs="Times New Roman"/>
          <w:sz w:val="24"/>
          <w:szCs w:val="24"/>
        </w:rPr>
        <w:t xml:space="preserve">The ability for </w:t>
      </w:r>
      <w:r w:rsidR="00002E6B" w:rsidRPr="00A2118B">
        <w:rPr>
          <w:rFonts w:ascii="Times New Roman" w:hAnsi="Times New Roman" w:cs="Times New Roman"/>
          <w:sz w:val="24"/>
          <w:szCs w:val="24"/>
          <w:lang w:val="en-US"/>
        </w:rPr>
        <w:t xml:space="preserve">civil society </w:t>
      </w:r>
      <w:proofErr w:type="spellStart"/>
      <w:r w:rsidR="001157CF" w:rsidRPr="00A2118B">
        <w:rPr>
          <w:rFonts w:ascii="Times New Roman" w:hAnsi="Times New Roman" w:cs="Times New Roman"/>
          <w:sz w:val="24"/>
          <w:szCs w:val="24"/>
          <w:lang w:val="en-US"/>
        </w:rPr>
        <w:t>organis</w:t>
      </w:r>
      <w:r w:rsidR="00063AD3" w:rsidRPr="00A2118B">
        <w:rPr>
          <w:rFonts w:ascii="Times New Roman" w:hAnsi="Times New Roman" w:cs="Times New Roman"/>
          <w:sz w:val="24"/>
          <w:szCs w:val="24"/>
          <w:lang w:val="en-US"/>
        </w:rPr>
        <w:t>ations</w:t>
      </w:r>
      <w:proofErr w:type="spellEnd"/>
      <w:r w:rsidR="00063AD3" w:rsidRPr="00A2118B">
        <w:rPr>
          <w:rFonts w:ascii="Times New Roman" w:hAnsi="Times New Roman" w:cs="Times New Roman"/>
          <w:sz w:val="24"/>
          <w:szCs w:val="24"/>
          <w:lang w:val="en-US"/>
        </w:rPr>
        <w:t xml:space="preserve"> and individuals to </w:t>
      </w:r>
      <w:r w:rsidRPr="00A2118B">
        <w:rPr>
          <w:rFonts w:ascii="Times New Roman" w:hAnsi="Times New Roman" w:cs="Times New Roman"/>
          <w:sz w:val="24"/>
          <w:szCs w:val="24"/>
        </w:rPr>
        <w:t xml:space="preserve">carry out </w:t>
      </w:r>
      <w:r w:rsidR="006068CA" w:rsidRPr="00A2118B">
        <w:rPr>
          <w:rFonts w:ascii="Times New Roman" w:hAnsi="Times New Roman" w:cs="Times New Roman"/>
          <w:sz w:val="24"/>
          <w:szCs w:val="24"/>
          <w:lang w:val="en-US"/>
        </w:rPr>
        <w:t xml:space="preserve">their work, including </w:t>
      </w:r>
      <w:r w:rsidR="00063AD3" w:rsidRPr="00A2118B">
        <w:rPr>
          <w:rFonts w:ascii="Times New Roman" w:hAnsi="Times New Roman" w:cs="Times New Roman"/>
          <w:sz w:val="24"/>
          <w:szCs w:val="24"/>
          <w:lang w:val="en-US"/>
        </w:rPr>
        <w:t>engaging with</w:t>
      </w:r>
      <w:r w:rsidR="00002E6B" w:rsidRPr="00A2118B">
        <w:rPr>
          <w:rFonts w:ascii="Times New Roman" w:hAnsi="Times New Roman" w:cs="Times New Roman"/>
          <w:sz w:val="24"/>
          <w:szCs w:val="24"/>
          <w:lang w:val="en-US"/>
        </w:rPr>
        <w:t xml:space="preserve"> </w:t>
      </w:r>
      <w:r w:rsidR="00EA777E" w:rsidRPr="00A2118B">
        <w:rPr>
          <w:rFonts w:ascii="Times New Roman" w:hAnsi="Times New Roman" w:cs="Times New Roman"/>
          <w:sz w:val="24"/>
          <w:szCs w:val="24"/>
          <w:lang w:val="en-US"/>
        </w:rPr>
        <w:t>international mechanisms</w:t>
      </w:r>
      <w:r w:rsidRPr="00A2118B">
        <w:rPr>
          <w:rFonts w:ascii="Times New Roman" w:hAnsi="Times New Roman" w:cs="Times New Roman"/>
          <w:sz w:val="24"/>
          <w:szCs w:val="24"/>
          <w:lang w:val="en-US"/>
        </w:rPr>
        <w:t xml:space="preserve"> such as the Human Rights Committee</w:t>
      </w:r>
      <w:r w:rsidRPr="00A2118B">
        <w:rPr>
          <w:rFonts w:ascii="Times New Roman" w:hAnsi="Times New Roman" w:cs="Times New Roman"/>
          <w:sz w:val="24"/>
          <w:szCs w:val="24"/>
        </w:rPr>
        <w:t xml:space="preserve">, </w:t>
      </w:r>
      <w:r w:rsidRPr="00A2118B">
        <w:rPr>
          <w:rStyle w:val="FootnoteReference"/>
          <w:rFonts w:ascii="Times New Roman" w:hAnsi="Times New Roman" w:cs="Times New Roman"/>
          <w:sz w:val="24"/>
          <w:szCs w:val="24"/>
        </w:rPr>
        <w:footnoteReference w:id="1"/>
      </w:r>
      <w:r w:rsidRPr="00A2118B">
        <w:rPr>
          <w:rFonts w:ascii="Times New Roman" w:hAnsi="Times New Roman" w:cs="Times New Roman"/>
          <w:sz w:val="24"/>
          <w:szCs w:val="24"/>
        </w:rPr>
        <w:t xml:space="preserve"> requires </w:t>
      </w:r>
      <w:r w:rsidR="005B3927" w:rsidRPr="00A2118B">
        <w:rPr>
          <w:rFonts w:ascii="Times New Roman" w:hAnsi="Times New Roman" w:cs="Times New Roman"/>
          <w:sz w:val="24"/>
          <w:szCs w:val="24"/>
          <w:lang w:val="en-US"/>
        </w:rPr>
        <w:t>the creation and maintenance of a safe and enabling environment for civil society</w:t>
      </w:r>
      <w:r w:rsidRPr="00A2118B">
        <w:rPr>
          <w:rFonts w:ascii="Times New Roman" w:hAnsi="Times New Roman" w:cs="Times New Roman"/>
          <w:sz w:val="24"/>
          <w:szCs w:val="24"/>
        </w:rPr>
        <w:t>.</w:t>
      </w:r>
      <w:r w:rsidR="005B3927" w:rsidRPr="00A2118B">
        <w:rPr>
          <w:rStyle w:val="FootnoteReference"/>
          <w:rFonts w:ascii="Times New Roman" w:hAnsi="Times New Roman" w:cs="Times New Roman"/>
          <w:color w:val="444444"/>
          <w:sz w:val="24"/>
          <w:szCs w:val="24"/>
        </w:rPr>
        <w:footnoteReference w:id="2"/>
      </w:r>
      <w:r w:rsidRPr="00A2118B">
        <w:rPr>
          <w:rFonts w:ascii="Times New Roman" w:hAnsi="Times New Roman" w:cs="Times New Roman"/>
          <w:sz w:val="24"/>
          <w:szCs w:val="24"/>
        </w:rPr>
        <w:t xml:space="preserve"> In turn, such an environment depends on five pre-requisites: </w:t>
      </w:r>
      <w:r w:rsidR="005B3927" w:rsidRPr="00A2118B">
        <w:rPr>
          <w:rFonts w:ascii="Times New Roman" w:hAnsi="Times New Roman" w:cs="Times New Roman"/>
          <w:sz w:val="24"/>
          <w:szCs w:val="24"/>
          <w:lang w:val="en-US"/>
        </w:rPr>
        <w:t xml:space="preserve"> </w:t>
      </w:r>
      <w:r w:rsidR="00EA777E" w:rsidRPr="00A2118B">
        <w:rPr>
          <w:rFonts w:ascii="Times New Roman" w:hAnsi="Times New Roman" w:cs="Times New Roman"/>
          <w:sz w:val="24"/>
          <w:szCs w:val="24"/>
          <w:lang w:val="en-US"/>
        </w:rPr>
        <w:t xml:space="preserve">a </w:t>
      </w:r>
      <w:r w:rsidR="005B3927" w:rsidRPr="00A2118B">
        <w:rPr>
          <w:rFonts w:ascii="Times New Roman" w:hAnsi="Times New Roman" w:cs="Times New Roman"/>
          <w:sz w:val="24"/>
          <w:szCs w:val="24"/>
          <w:lang w:val="en-US"/>
        </w:rPr>
        <w:t>robust legal framework that safeguards public freedoms</w:t>
      </w:r>
      <w:r w:rsidR="00EA777E" w:rsidRPr="00A2118B">
        <w:rPr>
          <w:rFonts w:ascii="Times New Roman" w:hAnsi="Times New Roman" w:cs="Times New Roman"/>
          <w:sz w:val="24"/>
          <w:szCs w:val="24"/>
          <w:lang w:val="en-US"/>
        </w:rPr>
        <w:t xml:space="preserve"> </w:t>
      </w:r>
      <w:r w:rsidR="00A46A86" w:rsidRPr="00A2118B">
        <w:rPr>
          <w:rFonts w:ascii="Times New Roman" w:hAnsi="Times New Roman" w:cs="Times New Roman"/>
          <w:sz w:val="24"/>
          <w:szCs w:val="24"/>
          <w:lang w:val="en-US"/>
        </w:rPr>
        <w:t>- including the right to peaceful assembly</w:t>
      </w:r>
      <w:r w:rsidR="005B3927" w:rsidRPr="00A2118B">
        <w:rPr>
          <w:rFonts w:ascii="Times New Roman" w:hAnsi="Times New Roman" w:cs="Times New Roman"/>
          <w:sz w:val="24"/>
          <w:szCs w:val="24"/>
          <w:lang w:val="en-US"/>
        </w:rPr>
        <w:t xml:space="preserve"> </w:t>
      </w:r>
      <w:r w:rsidR="00075551" w:rsidRPr="00A2118B">
        <w:rPr>
          <w:rFonts w:ascii="Times New Roman" w:hAnsi="Times New Roman" w:cs="Times New Roman"/>
          <w:sz w:val="24"/>
          <w:szCs w:val="24"/>
          <w:lang w:val="en-US"/>
        </w:rPr>
        <w:t xml:space="preserve">- </w:t>
      </w:r>
      <w:r w:rsidR="005B3927" w:rsidRPr="00A2118B">
        <w:rPr>
          <w:rFonts w:ascii="Times New Roman" w:hAnsi="Times New Roman" w:cs="Times New Roman"/>
          <w:sz w:val="24"/>
          <w:szCs w:val="24"/>
          <w:lang w:val="en-US"/>
        </w:rPr>
        <w:t>and effective access to justice; a political environment conducive to civil society work; access to information; avenues for participation by civil society in decision-making processes; and long-term support and resources for civil society.</w:t>
      </w:r>
      <w:r w:rsidR="006068CA" w:rsidRPr="00A2118B">
        <w:rPr>
          <w:rFonts w:ascii="Times New Roman" w:hAnsi="Times New Roman" w:cs="Times New Roman"/>
          <w:sz w:val="24"/>
          <w:szCs w:val="24"/>
          <w:lang w:val="en-US"/>
        </w:rPr>
        <w:t xml:space="preserve"> </w:t>
      </w:r>
      <w:r w:rsidRPr="00A2118B">
        <w:rPr>
          <w:rFonts w:ascii="Times New Roman" w:hAnsi="Times New Roman" w:cs="Times New Roman"/>
          <w:sz w:val="24"/>
          <w:szCs w:val="24"/>
        </w:rPr>
        <w:t>Respect for the</w:t>
      </w:r>
      <w:r w:rsidR="00EA777E" w:rsidRPr="00A2118B">
        <w:rPr>
          <w:rFonts w:ascii="Times New Roman" w:hAnsi="Times New Roman" w:cs="Times New Roman"/>
          <w:sz w:val="24"/>
          <w:szCs w:val="24"/>
          <w:lang w:val="en-US"/>
        </w:rPr>
        <w:t xml:space="preserve"> </w:t>
      </w:r>
      <w:r w:rsidR="00B0379C" w:rsidRPr="00A2118B">
        <w:rPr>
          <w:rFonts w:ascii="Times New Roman" w:hAnsi="Times New Roman" w:cs="Times New Roman"/>
          <w:sz w:val="24"/>
          <w:szCs w:val="24"/>
        </w:rPr>
        <w:t>principle of equality and non-discrimination, including through</w:t>
      </w:r>
      <w:r w:rsidR="00EA777E" w:rsidRPr="00A2118B">
        <w:rPr>
          <w:rFonts w:ascii="Times New Roman" w:hAnsi="Times New Roman" w:cs="Times New Roman"/>
          <w:sz w:val="24"/>
          <w:szCs w:val="24"/>
          <w:lang w:val="en-US"/>
        </w:rPr>
        <w:t xml:space="preserve"> gender-sensitive and responsive laws, policies and practices</w:t>
      </w:r>
      <w:r w:rsidR="00B0379C" w:rsidRPr="00A2118B">
        <w:rPr>
          <w:rFonts w:ascii="Times New Roman" w:hAnsi="Times New Roman" w:cs="Times New Roman"/>
          <w:sz w:val="24"/>
          <w:szCs w:val="24"/>
        </w:rPr>
        <w:t>,</w:t>
      </w:r>
      <w:r w:rsidR="00EA777E" w:rsidRPr="00A2118B">
        <w:rPr>
          <w:rFonts w:ascii="Times New Roman" w:hAnsi="Times New Roman" w:cs="Times New Roman"/>
          <w:sz w:val="24"/>
          <w:szCs w:val="24"/>
          <w:lang w:val="en-US"/>
        </w:rPr>
        <w:t xml:space="preserve"> cuts across these five prerequisites. </w:t>
      </w:r>
    </w:p>
    <w:p w14:paraId="3778B11A" w14:textId="77777777" w:rsidR="00B0379C" w:rsidRPr="00A2118B" w:rsidRDefault="00B0379C" w:rsidP="00B0379C">
      <w:pPr>
        <w:pStyle w:val="ListParagraph"/>
        <w:spacing w:line="276" w:lineRule="auto"/>
        <w:jc w:val="both"/>
        <w:rPr>
          <w:rFonts w:ascii="Times New Roman" w:hAnsi="Times New Roman" w:cs="Times New Roman"/>
          <w:sz w:val="24"/>
          <w:szCs w:val="24"/>
        </w:rPr>
      </w:pPr>
    </w:p>
    <w:p w14:paraId="3C624A6F" w14:textId="568A951B" w:rsidR="00AD4889" w:rsidRPr="00A2118B" w:rsidRDefault="006068CA" w:rsidP="00AD4889">
      <w:pPr>
        <w:pStyle w:val="ListParagraph"/>
        <w:numPr>
          <w:ilvl w:val="0"/>
          <w:numId w:val="13"/>
        </w:numPr>
        <w:spacing w:line="276" w:lineRule="auto"/>
        <w:jc w:val="both"/>
        <w:rPr>
          <w:rFonts w:ascii="Times New Roman" w:hAnsi="Times New Roman" w:cs="Times New Roman"/>
          <w:sz w:val="24"/>
          <w:szCs w:val="24"/>
        </w:rPr>
      </w:pPr>
      <w:r w:rsidRPr="00A2118B">
        <w:rPr>
          <w:rFonts w:ascii="Times New Roman" w:hAnsi="Times New Roman" w:cs="Times New Roman"/>
          <w:sz w:val="24"/>
          <w:szCs w:val="24"/>
          <w:lang w:val="en-US"/>
        </w:rPr>
        <w:t xml:space="preserve">The right to peaceful assembly </w:t>
      </w:r>
      <w:r w:rsidR="00EA777E" w:rsidRPr="00A2118B">
        <w:rPr>
          <w:rFonts w:ascii="Times New Roman" w:hAnsi="Times New Roman" w:cs="Times New Roman"/>
          <w:sz w:val="24"/>
          <w:szCs w:val="24"/>
          <w:lang w:val="en-US"/>
        </w:rPr>
        <w:t xml:space="preserve">off-line and on-line </w:t>
      </w:r>
      <w:r w:rsidRPr="00A2118B">
        <w:rPr>
          <w:rFonts w:ascii="Times New Roman" w:hAnsi="Times New Roman" w:cs="Times New Roman"/>
          <w:sz w:val="24"/>
          <w:szCs w:val="24"/>
          <w:lang w:val="en-US"/>
        </w:rPr>
        <w:t xml:space="preserve">– along other </w:t>
      </w:r>
      <w:r w:rsidR="000E5E33" w:rsidRPr="00A2118B">
        <w:rPr>
          <w:rFonts w:ascii="Times New Roman" w:hAnsi="Times New Roman" w:cs="Times New Roman"/>
          <w:sz w:val="24"/>
          <w:szCs w:val="24"/>
          <w:lang w:val="en-US"/>
        </w:rPr>
        <w:t xml:space="preserve">relevant </w:t>
      </w:r>
      <w:r w:rsidRPr="00A2118B">
        <w:rPr>
          <w:rFonts w:ascii="Times New Roman" w:hAnsi="Times New Roman" w:cs="Times New Roman"/>
          <w:sz w:val="24"/>
          <w:szCs w:val="24"/>
          <w:lang w:val="en-US"/>
        </w:rPr>
        <w:t>public freedoms</w:t>
      </w:r>
      <w:r w:rsidR="00EA777E" w:rsidRPr="00A2118B">
        <w:rPr>
          <w:rFonts w:ascii="Times New Roman" w:hAnsi="Times New Roman" w:cs="Times New Roman"/>
          <w:sz w:val="24"/>
          <w:szCs w:val="24"/>
          <w:lang w:val="en-US"/>
        </w:rPr>
        <w:t xml:space="preserve"> </w:t>
      </w:r>
      <w:r w:rsidRPr="00A2118B">
        <w:rPr>
          <w:rFonts w:ascii="Times New Roman" w:hAnsi="Times New Roman" w:cs="Times New Roman"/>
          <w:sz w:val="24"/>
          <w:szCs w:val="24"/>
          <w:lang w:val="en-US"/>
        </w:rPr>
        <w:t>- serve</w:t>
      </w:r>
      <w:r w:rsidR="00EA777E" w:rsidRPr="00A2118B">
        <w:rPr>
          <w:rFonts w:ascii="Times New Roman" w:hAnsi="Times New Roman" w:cs="Times New Roman"/>
          <w:sz w:val="24"/>
          <w:szCs w:val="24"/>
          <w:lang w:val="en-US"/>
        </w:rPr>
        <w:t>s</w:t>
      </w:r>
      <w:r w:rsidRPr="00A2118B">
        <w:rPr>
          <w:rFonts w:ascii="Times New Roman" w:hAnsi="Times New Roman" w:cs="Times New Roman"/>
          <w:sz w:val="24"/>
          <w:szCs w:val="24"/>
          <w:lang w:val="en-US"/>
        </w:rPr>
        <w:t xml:space="preserve"> as </w:t>
      </w:r>
      <w:r w:rsidR="00EA777E" w:rsidRPr="00A2118B">
        <w:rPr>
          <w:rFonts w:ascii="Times New Roman" w:hAnsi="Times New Roman" w:cs="Times New Roman"/>
          <w:sz w:val="24"/>
          <w:szCs w:val="24"/>
          <w:lang w:val="en-US"/>
        </w:rPr>
        <w:t xml:space="preserve">a </w:t>
      </w:r>
      <w:r w:rsidRPr="00A2118B">
        <w:rPr>
          <w:rFonts w:ascii="Times New Roman" w:hAnsi="Times New Roman" w:cs="Times New Roman"/>
          <w:sz w:val="24"/>
          <w:szCs w:val="24"/>
          <w:lang w:val="en-US"/>
        </w:rPr>
        <w:t xml:space="preserve">vehicle </w:t>
      </w:r>
      <w:r w:rsidR="00063AD3" w:rsidRPr="00A2118B">
        <w:rPr>
          <w:rFonts w:ascii="Times New Roman" w:hAnsi="Times New Roman" w:cs="Times New Roman"/>
          <w:sz w:val="24"/>
          <w:szCs w:val="24"/>
          <w:lang w:val="en-US"/>
        </w:rPr>
        <w:t>to civic activity</w:t>
      </w:r>
      <w:r w:rsidR="00EA777E" w:rsidRPr="00A2118B">
        <w:rPr>
          <w:rFonts w:ascii="Times New Roman" w:hAnsi="Times New Roman" w:cs="Times New Roman"/>
          <w:sz w:val="24"/>
          <w:szCs w:val="24"/>
          <w:lang w:val="en-US"/>
        </w:rPr>
        <w:t xml:space="preserve">. </w:t>
      </w:r>
      <w:r w:rsidR="00AD4889" w:rsidRPr="00A2118B">
        <w:rPr>
          <w:rFonts w:ascii="Times New Roman" w:hAnsi="Times New Roman" w:cs="Times New Roman"/>
          <w:sz w:val="24"/>
          <w:szCs w:val="24"/>
          <w:lang w:val="en-US"/>
        </w:rPr>
        <w:t>The</w:t>
      </w:r>
      <w:r w:rsidR="00B0379C" w:rsidRPr="00A2118B">
        <w:rPr>
          <w:rFonts w:ascii="Times New Roman" w:hAnsi="Times New Roman" w:cs="Times New Roman"/>
          <w:sz w:val="24"/>
          <w:szCs w:val="24"/>
          <w:lang w:val="en-US"/>
        </w:rPr>
        <w:t xml:space="preserve"> ability</w:t>
      </w:r>
      <w:r w:rsidR="00AD4889" w:rsidRPr="00A2118B">
        <w:rPr>
          <w:rFonts w:ascii="Times New Roman" w:hAnsi="Times New Roman" w:cs="Times New Roman"/>
          <w:sz w:val="24"/>
          <w:szCs w:val="24"/>
          <w:lang w:val="en-US"/>
        </w:rPr>
        <w:t xml:space="preserve"> of people </w:t>
      </w:r>
      <w:r w:rsidR="00B0379C" w:rsidRPr="00A2118B">
        <w:rPr>
          <w:rFonts w:ascii="Times New Roman" w:hAnsi="Times New Roman" w:cs="Times New Roman"/>
          <w:sz w:val="24"/>
          <w:szCs w:val="24"/>
          <w:lang w:val="en-US"/>
        </w:rPr>
        <w:t xml:space="preserve">to </w:t>
      </w:r>
      <w:r w:rsidRPr="00A2118B">
        <w:rPr>
          <w:rFonts w:ascii="Times New Roman" w:hAnsi="Times New Roman" w:cs="Times New Roman"/>
          <w:sz w:val="24"/>
          <w:szCs w:val="24"/>
          <w:lang w:val="en-US"/>
        </w:rPr>
        <w:t xml:space="preserve">contribute to </w:t>
      </w:r>
      <w:r w:rsidR="00AD4889" w:rsidRPr="00A2118B">
        <w:rPr>
          <w:rFonts w:ascii="Times New Roman" w:hAnsi="Times New Roman" w:cs="Times New Roman"/>
          <w:sz w:val="24"/>
          <w:szCs w:val="24"/>
          <w:lang w:val="en-US"/>
        </w:rPr>
        <w:t xml:space="preserve">shaping </w:t>
      </w:r>
      <w:r w:rsidR="00EB2C65" w:rsidRPr="00A2118B">
        <w:rPr>
          <w:rFonts w:ascii="Times New Roman" w:hAnsi="Times New Roman" w:cs="Times New Roman"/>
          <w:sz w:val="24"/>
          <w:szCs w:val="24"/>
          <w:lang w:val="en-US"/>
        </w:rPr>
        <w:t xml:space="preserve">social, </w:t>
      </w:r>
      <w:r w:rsidRPr="00A2118B">
        <w:rPr>
          <w:rFonts w:ascii="Times New Roman" w:hAnsi="Times New Roman" w:cs="Times New Roman"/>
          <w:sz w:val="24"/>
          <w:szCs w:val="24"/>
          <w:lang w:val="en-US"/>
        </w:rPr>
        <w:t>poli</w:t>
      </w:r>
      <w:r w:rsidR="00063AD3" w:rsidRPr="00A2118B">
        <w:rPr>
          <w:rFonts w:ascii="Times New Roman" w:hAnsi="Times New Roman" w:cs="Times New Roman"/>
          <w:sz w:val="24"/>
          <w:szCs w:val="24"/>
          <w:lang w:val="en-US"/>
        </w:rPr>
        <w:t>ti</w:t>
      </w:r>
      <w:r w:rsidRPr="00A2118B">
        <w:rPr>
          <w:rFonts w:ascii="Times New Roman" w:hAnsi="Times New Roman" w:cs="Times New Roman"/>
          <w:sz w:val="24"/>
          <w:szCs w:val="24"/>
          <w:lang w:val="en-US"/>
        </w:rPr>
        <w:t>cal</w:t>
      </w:r>
      <w:r w:rsidR="00FF5C56" w:rsidRPr="00A2118B">
        <w:rPr>
          <w:rFonts w:ascii="Times New Roman" w:hAnsi="Times New Roman" w:cs="Times New Roman"/>
          <w:sz w:val="24"/>
          <w:szCs w:val="24"/>
          <w:lang w:val="en-US"/>
        </w:rPr>
        <w:t>, cultural</w:t>
      </w:r>
      <w:r w:rsidRPr="00A2118B">
        <w:rPr>
          <w:rFonts w:ascii="Times New Roman" w:hAnsi="Times New Roman" w:cs="Times New Roman"/>
          <w:sz w:val="24"/>
          <w:szCs w:val="24"/>
          <w:lang w:val="en-US"/>
        </w:rPr>
        <w:t xml:space="preserve"> an</w:t>
      </w:r>
      <w:r w:rsidR="00063AD3" w:rsidRPr="00A2118B">
        <w:rPr>
          <w:rFonts w:ascii="Times New Roman" w:hAnsi="Times New Roman" w:cs="Times New Roman"/>
          <w:sz w:val="24"/>
          <w:szCs w:val="24"/>
          <w:lang w:val="en-US"/>
        </w:rPr>
        <w:t>d</w:t>
      </w:r>
      <w:r w:rsidRPr="00A2118B">
        <w:rPr>
          <w:rFonts w:ascii="Times New Roman" w:hAnsi="Times New Roman" w:cs="Times New Roman"/>
          <w:sz w:val="24"/>
          <w:szCs w:val="24"/>
          <w:lang w:val="en-US"/>
        </w:rPr>
        <w:t xml:space="preserve"> economic </w:t>
      </w:r>
      <w:r w:rsidR="00063AD3" w:rsidRPr="00A2118B">
        <w:rPr>
          <w:rFonts w:ascii="Times New Roman" w:hAnsi="Times New Roman" w:cs="Times New Roman"/>
          <w:sz w:val="24"/>
          <w:szCs w:val="24"/>
          <w:lang w:val="en-US"/>
        </w:rPr>
        <w:t>structures</w:t>
      </w:r>
      <w:r w:rsidR="00FF5C56" w:rsidRPr="00A2118B">
        <w:rPr>
          <w:rFonts w:ascii="Times New Roman" w:hAnsi="Times New Roman" w:cs="Times New Roman"/>
          <w:sz w:val="24"/>
          <w:szCs w:val="24"/>
          <w:lang w:val="en-US"/>
        </w:rPr>
        <w:t xml:space="preserve"> and institutions</w:t>
      </w:r>
      <w:r w:rsidR="00063AD3" w:rsidRPr="00A2118B">
        <w:rPr>
          <w:rFonts w:ascii="Times New Roman" w:hAnsi="Times New Roman" w:cs="Times New Roman"/>
          <w:sz w:val="24"/>
          <w:szCs w:val="24"/>
          <w:lang w:val="en-US"/>
        </w:rPr>
        <w:t xml:space="preserve"> around</w:t>
      </w:r>
      <w:r w:rsidRPr="00A2118B">
        <w:rPr>
          <w:rFonts w:ascii="Times New Roman" w:hAnsi="Times New Roman" w:cs="Times New Roman"/>
          <w:sz w:val="24"/>
          <w:szCs w:val="24"/>
          <w:lang w:val="en-US"/>
        </w:rPr>
        <w:t xml:space="preserve"> them</w:t>
      </w:r>
      <w:r w:rsidR="00B0379C" w:rsidRPr="00A2118B">
        <w:rPr>
          <w:rFonts w:ascii="Times New Roman" w:hAnsi="Times New Roman" w:cs="Times New Roman"/>
          <w:sz w:val="24"/>
          <w:szCs w:val="24"/>
          <w:lang w:val="en-US"/>
        </w:rPr>
        <w:t xml:space="preserve"> depends on their capacity to exercise these freedoms safely and </w:t>
      </w:r>
      <w:r w:rsidR="00AD4889" w:rsidRPr="00A2118B">
        <w:rPr>
          <w:rFonts w:ascii="Times New Roman" w:hAnsi="Times New Roman" w:cs="Times New Roman"/>
          <w:sz w:val="24"/>
          <w:szCs w:val="24"/>
          <w:lang w:val="en-US"/>
        </w:rPr>
        <w:t>freely.</w:t>
      </w:r>
      <w:r w:rsidR="00B0379C" w:rsidRPr="00A2118B">
        <w:rPr>
          <w:rFonts w:ascii="Times New Roman" w:hAnsi="Times New Roman" w:cs="Times New Roman"/>
          <w:sz w:val="24"/>
          <w:szCs w:val="24"/>
          <w:lang w:val="en-US"/>
        </w:rPr>
        <w:t xml:space="preserve">  </w:t>
      </w:r>
    </w:p>
    <w:p w14:paraId="48BF74AA" w14:textId="77777777" w:rsidR="00AD4889" w:rsidRPr="00A2118B" w:rsidRDefault="00AD4889" w:rsidP="00AD4889">
      <w:pPr>
        <w:pStyle w:val="ListParagraph"/>
        <w:rPr>
          <w:rFonts w:ascii="Times New Roman" w:hAnsi="Times New Roman" w:cs="Times New Roman"/>
          <w:b/>
          <w:sz w:val="24"/>
          <w:szCs w:val="24"/>
        </w:rPr>
      </w:pPr>
    </w:p>
    <w:p w14:paraId="205E3207" w14:textId="7A73827F" w:rsidR="00AD4889" w:rsidRPr="00A2118B" w:rsidRDefault="00AD4889" w:rsidP="00AD4889">
      <w:pPr>
        <w:spacing w:line="276" w:lineRule="auto"/>
        <w:jc w:val="both"/>
        <w:rPr>
          <w:rFonts w:ascii="Times New Roman" w:hAnsi="Times New Roman" w:cs="Times New Roman"/>
        </w:rPr>
      </w:pPr>
      <w:r w:rsidRPr="00A2118B">
        <w:rPr>
          <w:rFonts w:ascii="Times New Roman" w:hAnsi="Times New Roman" w:cs="Times New Roman"/>
          <w:b/>
        </w:rPr>
        <w:lastRenderedPageBreak/>
        <w:t>Recommendation for the new General Comment:</w:t>
      </w:r>
    </w:p>
    <w:p w14:paraId="58B1E945" w14:textId="77777777" w:rsidR="00AD4889" w:rsidRPr="00A2118B" w:rsidRDefault="00AD4889" w:rsidP="00AD4889">
      <w:pPr>
        <w:rPr>
          <w:rFonts w:ascii="Times New Roman" w:hAnsi="Times New Roman" w:cs="Times New Roman"/>
          <w:b/>
        </w:rPr>
      </w:pPr>
    </w:p>
    <w:p w14:paraId="3C4ED4C8" w14:textId="77777777" w:rsidR="00AD4889" w:rsidRPr="00A2118B" w:rsidRDefault="00AD4889" w:rsidP="00AD4889">
      <w:pPr>
        <w:pStyle w:val="ListParagraph"/>
        <w:numPr>
          <w:ilvl w:val="0"/>
          <w:numId w:val="6"/>
        </w:numPr>
        <w:jc w:val="both"/>
        <w:rPr>
          <w:rFonts w:ascii="Times New Roman" w:hAnsi="Times New Roman" w:cs="Times New Roman"/>
          <w:b/>
          <w:sz w:val="24"/>
          <w:szCs w:val="24"/>
        </w:rPr>
      </w:pPr>
      <w:r w:rsidRPr="00A2118B">
        <w:rPr>
          <w:rFonts w:ascii="Times New Roman" w:hAnsi="Times New Roman" w:cs="Times New Roman"/>
          <w:b/>
          <w:sz w:val="24"/>
          <w:szCs w:val="24"/>
        </w:rPr>
        <w:t xml:space="preserve">The Human Rights Committee may wish to place the right to peaceful assembly within the broader context of the need to create and maintain civic space, which cannot be realised if public freedoms, including of expression, assembly and association, and participation </w:t>
      </w:r>
      <w:proofErr w:type="gramStart"/>
      <w:r w:rsidRPr="00A2118B">
        <w:rPr>
          <w:rFonts w:ascii="Times New Roman" w:hAnsi="Times New Roman" w:cs="Times New Roman"/>
          <w:b/>
          <w:sz w:val="24"/>
          <w:szCs w:val="24"/>
        </w:rPr>
        <w:t>are not guaranteed</w:t>
      </w:r>
      <w:proofErr w:type="gramEnd"/>
      <w:r w:rsidRPr="00A2118B">
        <w:rPr>
          <w:rFonts w:ascii="Times New Roman" w:hAnsi="Times New Roman" w:cs="Times New Roman"/>
          <w:b/>
          <w:sz w:val="24"/>
          <w:szCs w:val="24"/>
        </w:rPr>
        <w:t xml:space="preserve"> by law and in practice.</w:t>
      </w:r>
    </w:p>
    <w:tbl>
      <w:tblPr>
        <w:tblW w:w="0" w:type="auto"/>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7359"/>
        <w:gridCol w:w="7359"/>
      </w:tblGrid>
      <w:tr w:rsidR="00AD4889" w:rsidRPr="00A2118B" w14:paraId="1793F618" w14:textId="77777777" w:rsidTr="00FC2C33">
        <w:trPr>
          <w:trHeight w:val="450"/>
        </w:trPr>
        <w:tc>
          <w:tcPr>
            <w:tcW w:w="7359" w:type="dxa"/>
            <w:tcBorders>
              <w:top w:val="nil"/>
              <w:left w:val="nil"/>
              <w:bottom w:val="nil"/>
              <w:right w:val="nil"/>
            </w:tcBorders>
          </w:tcPr>
          <w:p w14:paraId="3745D8E5" w14:textId="77777777" w:rsidR="00AD4889" w:rsidRPr="00A2118B" w:rsidRDefault="00AD4889" w:rsidP="00FC2C33">
            <w:pPr>
              <w:rPr>
                <w:rFonts w:ascii="Times New Roman" w:hAnsi="Times New Roman" w:cs="Times New Roman"/>
              </w:rPr>
            </w:pPr>
          </w:p>
        </w:tc>
        <w:tc>
          <w:tcPr>
            <w:tcW w:w="7359" w:type="dxa"/>
            <w:tcBorders>
              <w:top w:val="nil"/>
              <w:left w:val="nil"/>
              <w:bottom w:val="nil"/>
              <w:right w:val="nil"/>
            </w:tcBorders>
          </w:tcPr>
          <w:p w14:paraId="0D9E93AC" w14:textId="77777777" w:rsidR="00AD4889" w:rsidRPr="00A2118B" w:rsidRDefault="00AD4889" w:rsidP="00FC2C33">
            <w:pPr>
              <w:rPr>
                <w:rFonts w:ascii="Times New Roman" w:hAnsi="Times New Roman" w:cs="Times New Roman"/>
              </w:rPr>
            </w:pPr>
          </w:p>
        </w:tc>
      </w:tr>
    </w:tbl>
    <w:p w14:paraId="2254AA92" w14:textId="77777777" w:rsidR="00AD4889" w:rsidRPr="00A2118B" w:rsidRDefault="00AD4889" w:rsidP="00AD4889">
      <w:pPr>
        <w:pStyle w:val="ListParagraph"/>
        <w:numPr>
          <w:ilvl w:val="0"/>
          <w:numId w:val="10"/>
        </w:numPr>
        <w:rPr>
          <w:rFonts w:ascii="Times New Roman" w:hAnsi="Times New Roman" w:cs="Times New Roman"/>
          <w:b/>
          <w:sz w:val="24"/>
          <w:szCs w:val="24"/>
        </w:rPr>
      </w:pPr>
      <w:r w:rsidRPr="00A2118B">
        <w:rPr>
          <w:rFonts w:ascii="Times New Roman" w:hAnsi="Times New Roman" w:cs="Times New Roman"/>
          <w:b/>
          <w:sz w:val="24"/>
          <w:szCs w:val="24"/>
        </w:rPr>
        <w:t>Interplay between articles 21 and 25 of the Covenant</w:t>
      </w:r>
    </w:p>
    <w:p w14:paraId="76FC23FE" w14:textId="7446C8E6" w:rsidR="00AD4889" w:rsidRPr="00A2118B" w:rsidRDefault="00AD4889" w:rsidP="00AD4889">
      <w:pPr>
        <w:rPr>
          <w:rFonts w:ascii="Times New Roman" w:hAnsi="Times New Roman" w:cs="Times New Roman"/>
        </w:rPr>
      </w:pPr>
    </w:p>
    <w:p w14:paraId="2488A412" w14:textId="46C6B873" w:rsidR="00AD4889" w:rsidRPr="00775963" w:rsidRDefault="006F47C7" w:rsidP="00775963">
      <w:pPr>
        <w:pStyle w:val="ListParagraph"/>
        <w:numPr>
          <w:ilvl w:val="0"/>
          <w:numId w:val="13"/>
        </w:numPr>
        <w:spacing w:line="276" w:lineRule="auto"/>
        <w:jc w:val="both"/>
        <w:rPr>
          <w:rFonts w:ascii="Times New Roman" w:hAnsi="Times New Roman" w:cs="Times New Roman"/>
          <w:sz w:val="24"/>
          <w:szCs w:val="24"/>
        </w:rPr>
      </w:pPr>
      <w:r w:rsidRPr="00A2118B">
        <w:rPr>
          <w:rFonts w:ascii="Times New Roman" w:hAnsi="Times New Roman" w:cs="Times New Roman"/>
          <w:sz w:val="24"/>
          <w:szCs w:val="24"/>
        </w:rPr>
        <w:t xml:space="preserve">The right to participate in public affairs </w:t>
      </w:r>
      <w:proofErr w:type="gramStart"/>
      <w:r w:rsidRPr="00A2118B">
        <w:rPr>
          <w:rFonts w:ascii="Times New Roman" w:hAnsi="Times New Roman" w:cs="Times New Roman"/>
          <w:sz w:val="24"/>
          <w:szCs w:val="24"/>
        </w:rPr>
        <w:t>cannot be considered</w:t>
      </w:r>
      <w:proofErr w:type="gramEnd"/>
      <w:r w:rsidRPr="00A2118B">
        <w:rPr>
          <w:rFonts w:ascii="Times New Roman" w:hAnsi="Times New Roman" w:cs="Times New Roman"/>
          <w:sz w:val="24"/>
          <w:szCs w:val="24"/>
        </w:rPr>
        <w:t xml:space="preserve"> in a vacuum. </w:t>
      </w:r>
      <w:r w:rsidR="00EF706C" w:rsidRPr="00A2118B">
        <w:rPr>
          <w:rFonts w:ascii="Times New Roman" w:hAnsi="Times New Roman" w:cs="Times New Roman"/>
          <w:sz w:val="24"/>
          <w:szCs w:val="24"/>
        </w:rPr>
        <w:t>The Human Rights Committee has clarified that “the full enjoyment of rights protected by article 25…requires the full enjoyment and respect for the rights guaranteed in articles 19, 21 and 22 of the Covenant.</w:t>
      </w:r>
      <w:r w:rsidR="00EF706C" w:rsidRPr="00A2118B">
        <w:rPr>
          <w:rStyle w:val="FootnoteReference"/>
          <w:rFonts w:ascii="Times New Roman" w:hAnsi="Times New Roman" w:cs="Times New Roman"/>
          <w:sz w:val="24"/>
          <w:szCs w:val="24"/>
        </w:rPr>
        <w:footnoteReference w:id="3"/>
      </w:r>
      <w:r w:rsidR="00EF706C" w:rsidRPr="00A2118B">
        <w:rPr>
          <w:rFonts w:ascii="Times New Roman" w:hAnsi="Times New Roman" w:cs="Times New Roman"/>
          <w:sz w:val="24"/>
          <w:szCs w:val="24"/>
        </w:rPr>
        <w:t>”</w:t>
      </w:r>
      <w:r w:rsidR="009D02A9" w:rsidRPr="00A2118B">
        <w:rPr>
          <w:rFonts w:ascii="Times New Roman" w:hAnsi="Times New Roman" w:cs="Times New Roman"/>
          <w:sz w:val="24"/>
          <w:szCs w:val="24"/>
        </w:rPr>
        <w:t>The effective exercise of this right requires an environment where all human rights, in particular the rights to equality and non-discrimination, to freedom of opinion and expression and to freedom of peaceful assembly and of association, are fully respected and enjoyed by all individuals.</w:t>
      </w:r>
      <w:r w:rsidR="009D02A9" w:rsidRPr="00A2118B">
        <w:rPr>
          <w:rStyle w:val="FootnoteReference"/>
          <w:rFonts w:ascii="Times New Roman" w:hAnsi="Times New Roman" w:cs="Times New Roman"/>
          <w:sz w:val="24"/>
          <w:szCs w:val="24"/>
        </w:rPr>
        <w:footnoteReference w:id="4"/>
      </w:r>
      <w:r w:rsidR="009D02A9" w:rsidRPr="00A2118B">
        <w:rPr>
          <w:rFonts w:ascii="Times New Roman" w:hAnsi="Times New Roman" w:cs="Times New Roman"/>
          <w:sz w:val="24"/>
          <w:szCs w:val="24"/>
        </w:rPr>
        <w:t xml:space="preserve"> </w:t>
      </w:r>
      <w:proofErr w:type="gramStart"/>
      <w:r w:rsidR="00DB6087" w:rsidRPr="00775963">
        <w:rPr>
          <w:rFonts w:ascii="Times New Roman" w:hAnsi="Times New Roman" w:cs="Times New Roman"/>
          <w:sz w:val="24"/>
          <w:szCs w:val="24"/>
        </w:rPr>
        <w:t>The Guidelines for States on the effective implementation of the right to participate in public affairs</w:t>
      </w:r>
      <w:r w:rsidR="00AD4889" w:rsidRPr="00775963">
        <w:rPr>
          <w:rFonts w:ascii="Times New Roman" w:hAnsi="Times New Roman" w:cs="Times New Roman"/>
          <w:sz w:val="24"/>
          <w:szCs w:val="24"/>
        </w:rPr>
        <w:t xml:space="preserve"> adopted by the Human Rights Council </w:t>
      </w:r>
      <w:r w:rsidRPr="00775963">
        <w:rPr>
          <w:rFonts w:ascii="Times New Roman" w:hAnsi="Times New Roman" w:cs="Times New Roman"/>
          <w:sz w:val="24"/>
          <w:szCs w:val="24"/>
        </w:rPr>
        <w:t xml:space="preserve">in September 2018 </w:t>
      </w:r>
      <w:r w:rsidR="00AD4889" w:rsidRPr="00775963">
        <w:rPr>
          <w:rFonts w:ascii="Times New Roman" w:hAnsi="Times New Roman" w:cs="Times New Roman"/>
          <w:sz w:val="24"/>
          <w:szCs w:val="24"/>
        </w:rPr>
        <w:t xml:space="preserve"> recommend</w:t>
      </w:r>
      <w:r w:rsidR="00DB6087" w:rsidRPr="00775963">
        <w:rPr>
          <w:rFonts w:ascii="Times New Roman" w:hAnsi="Times New Roman" w:cs="Times New Roman"/>
          <w:sz w:val="24"/>
          <w:szCs w:val="24"/>
        </w:rPr>
        <w:t xml:space="preserve"> that </w:t>
      </w:r>
      <w:r w:rsidR="009D02A9" w:rsidRPr="00775963">
        <w:rPr>
          <w:rFonts w:ascii="Times New Roman" w:hAnsi="Times New Roman" w:cs="Times New Roman"/>
          <w:sz w:val="24"/>
          <w:szCs w:val="24"/>
        </w:rPr>
        <w:t>States ensure that</w:t>
      </w:r>
      <w:r w:rsidR="00DB6087" w:rsidRPr="00775963">
        <w:rPr>
          <w:rFonts w:ascii="Times New Roman" w:hAnsi="Times New Roman" w:cs="Times New Roman"/>
          <w:sz w:val="24"/>
          <w:szCs w:val="24"/>
        </w:rPr>
        <w:t xml:space="preserve"> </w:t>
      </w:r>
      <w:r w:rsidR="009D02A9" w:rsidRPr="00775963">
        <w:rPr>
          <w:rFonts w:ascii="Times New Roman" w:hAnsi="Times New Roman" w:cs="Times New Roman"/>
          <w:sz w:val="24"/>
          <w:szCs w:val="24"/>
        </w:rPr>
        <w:t>the right to freedom of opinion and expression, including the right of access to information, and the rights to freedom of peaceful</w:t>
      </w:r>
      <w:r w:rsidR="00AD4889" w:rsidRPr="00775963">
        <w:rPr>
          <w:rFonts w:ascii="Times New Roman" w:hAnsi="Times New Roman" w:cs="Times New Roman"/>
          <w:sz w:val="24"/>
          <w:szCs w:val="24"/>
        </w:rPr>
        <w:t xml:space="preserve"> assembly and of association be</w:t>
      </w:r>
      <w:r w:rsidR="009D02A9" w:rsidRPr="00775963">
        <w:rPr>
          <w:rFonts w:ascii="Times New Roman" w:hAnsi="Times New Roman" w:cs="Times New Roman"/>
          <w:sz w:val="24"/>
          <w:szCs w:val="24"/>
        </w:rPr>
        <w:t xml:space="preserve"> protected and implemented in national legal frameworks.</w:t>
      </w:r>
      <w:r w:rsidR="00243CA8" w:rsidRPr="00A2118B">
        <w:rPr>
          <w:vertAlign w:val="superscript"/>
        </w:rPr>
        <w:footnoteReference w:id="5"/>
      </w:r>
      <w:proofErr w:type="gramEnd"/>
      <w:r w:rsidR="009D02A9" w:rsidRPr="00775963">
        <w:rPr>
          <w:rFonts w:ascii="Times New Roman" w:hAnsi="Times New Roman" w:cs="Times New Roman"/>
          <w:sz w:val="24"/>
          <w:szCs w:val="24"/>
          <w:vertAlign w:val="superscript"/>
        </w:rPr>
        <w:t xml:space="preserve"> </w:t>
      </w:r>
    </w:p>
    <w:p w14:paraId="37CD3BDC" w14:textId="77777777" w:rsidR="00775963" w:rsidRPr="00775963" w:rsidRDefault="00775963" w:rsidP="00775963">
      <w:pPr>
        <w:pStyle w:val="ListParagraph"/>
        <w:rPr>
          <w:rFonts w:ascii="Times New Roman" w:hAnsi="Times New Roman" w:cs="Times New Roman"/>
          <w:sz w:val="24"/>
          <w:szCs w:val="24"/>
        </w:rPr>
      </w:pPr>
    </w:p>
    <w:p w14:paraId="17E65CF7" w14:textId="77777777" w:rsidR="00775963" w:rsidRPr="00775963" w:rsidRDefault="00775963" w:rsidP="00775963">
      <w:pPr>
        <w:pStyle w:val="ListParagraph"/>
        <w:spacing w:line="276" w:lineRule="auto"/>
        <w:jc w:val="both"/>
        <w:rPr>
          <w:rFonts w:ascii="Times New Roman" w:hAnsi="Times New Roman" w:cs="Times New Roman"/>
          <w:sz w:val="24"/>
          <w:szCs w:val="24"/>
        </w:rPr>
      </w:pPr>
    </w:p>
    <w:p w14:paraId="4A9393AE" w14:textId="77777777" w:rsidR="006F47C7" w:rsidRPr="00A2118B" w:rsidRDefault="006F47C7" w:rsidP="006F47C7">
      <w:pPr>
        <w:pStyle w:val="ListParagraph"/>
        <w:numPr>
          <w:ilvl w:val="0"/>
          <w:numId w:val="13"/>
        </w:numPr>
        <w:spacing w:line="276" w:lineRule="auto"/>
        <w:jc w:val="both"/>
        <w:rPr>
          <w:rFonts w:ascii="Times New Roman" w:hAnsi="Times New Roman" w:cs="Times New Roman"/>
          <w:sz w:val="24"/>
          <w:szCs w:val="24"/>
        </w:rPr>
      </w:pPr>
      <w:r w:rsidRPr="00A2118B">
        <w:rPr>
          <w:rFonts w:ascii="Times New Roman" w:hAnsi="Times New Roman" w:cs="Times New Roman"/>
          <w:sz w:val="24"/>
          <w:szCs w:val="24"/>
        </w:rPr>
        <w:t xml:space="preserve">The right of peaceful assembly </w:t>
      </w:r>
      <w:proofErr w:type="gramStart"/>
      <w:r w:rsidRPr="00A2118B">
        <w:rPr>
          <w:rFonts w:ascii="Times New Roman" w:hAnsi="Times New Roman" w:cs="Times New Roman"/>
          <w:sz w:val="24"/>
          <w:szCs w:val="24"/>
        </w:rPr>
        <w:t>is closely linked</w:t>
      </w:r>
      <w:proofErr w:type="gramEnd"/>
      <w:r w:rsidRPr="00A2118B">
        <w:rPr>
          <w:rFonts w:ascii="Times New Roman" w:hAnsi="Times New Roman" w:cs="Times New Roman"/>
          <w:sz w:val="24"/>
          <w:szCs w:val="24"/>
        </w:rPr>
        <w:t xml:space="preserve"> to the realization of the right to participate in political and public life.  It includes the right to hold meetings, sit-ins, strikes, rallies, events or protests and encompasses virtual assemblies that take place online.</w:t>
      </w:r>
      <w:r w:rsidRPr="00A2118B">
        <w:rPr>
          <w:rStyle w:val="FootnoteReference"/>
          <w:rFonts w:ascii="Times New Roman" w:hAnsi="Times New Roman" w:cs="Times New Roman"/>
          <w:sz w:val="24"/>
          <w:szCs w:val="24"/>
        </w:rPr>
        <w:footnoteReference w:id="6"/>
      </w:r>
      <w:r w:rsidRPr="00A2118B">
        <w:rPr>
          <w:rFonts w:ascii="Times New Roman" w:hAnsi="Times New Roman" w:cs="Times New Roman"/>
          <w:sz w:val="24"/>
          <w:szCs w:val="24"/>
        </w:rPr>
        <w:t xml:space="preserve"> Peaceful assemblies “play a vibrant role in mobilizing the population and in formulating grievances and aspirations, facilitating the celebration of events and, importantly, in influencing States’ public policy” </w:t>
      </w:r>
      <w:r w:rsidRPr="00A2118B">
        <w:rPr>
          <w:rStyle w:val="FootnoteReference"/>
          <w:rFonts w:ascii="Times New Roman" w:hAnsi="Times New Roman" w:cs="Times New Roman"/>
          <w:sz w:val="24"/>
          <w:szCs w:val="24"/>
        </w:rPr>
        <w:footnoteReference w:id="7"/>
      </w:r>
      <w:r w:rsidRPr="00A2118B">
        <w:rPr>
          <w:rFonts w:ascii="Times New Roman" w:hAnsi="Times New Roman" w:cs="Times New Roman"/>
          <w:sz w:val="24"/>
          <w:szCs w:val="24"/>
        </w:rPr>
        <w:t xml:space="preserve"> </w:t>
      </w:r>
    </w:p>
    <w:p w14:paraId="52CD0D66" w14:textId="77777777" w:rsidR="006F47C7" w:rsidRPr="00A2118B" w:rsidRDefault="006F47C7" w:rsidP="006F47C7">
      <w:pPr>
        <w:pStyle w:val="ListParagraph"/>
        <w:spacing w:line="276" w:lineRule="auto"/>
        <w:jc w:val="both"/>
        <w:rPr>
          <w:rFonts w:ascii="Times New Roman" w:hAnsi="Times New Roman" w:cs="Times New Roman"/>
          <w:sz w:val="24"/>
          <w:szCs w:val="24"/>
        </w:rPr>
      </w:pPr>
    </w:p>
    <w:p w14:paraId="0334BC91" w14:textId="3E2CABF1" w:rsidR="00EF706C" w:rsidRPr="00A2118B" w:rsidRDefault="00172D08" w:rsidP="00301E32">
      <w:pPr>
        <w:pStyle w:val="ListParagraph"/>
        <w:numPr>
          <w:ilvl w:val="0"/>
          <w:numId w:val="13"/>
        </w:numPr>
        <w:spacing w:line="276" w:lineRule="auto"/>
        <w:jc w:val="both"/>
        <w:rPr>
          <w:rFonts w:ascii="Times New Roman" w:hAnsi="Times New Roman" w:cs="Times New Roman"/>
          <w:sz w:val="24"/>
          <w:szCs w:val="24"/>
        </w:rPr>
      </w:pPr>
      <w:r w:rsidRPr="00A2118B">
        <w:rPr>
          <w:rFonts w:ascii="Times New Roman" w:hAnsi="Times New Roman" w:cs="Times New Roman"/>
          <w:sz w:val="24"/>
          <w:szCs w:val="24"/>
        </w:rPr>
        <w:lastRenderedPageBreak/>
        <w:t xml:space="preserve">For the right to participation to </w:t>
      </w:r>
      <w:proofErr w:type="gramStart"/>
      <w:r w:rsidRPr="00A2118B">
        <w:rPr>
          <w:rFonts w:ascii="Times New Roman" w:hAnsi="Times New Roman" w:cs="Times New Roman"/>
          <w:sz w:val="24"/>
          <w:szCs w:val="24"/>
        </w:rPr>
        <w:t>be realized</w:t>
      </w:r>
      <w:proofErr w:type="gramEnd"/>
      <w:r w:rsidR="00AD4889" w:rsidRPr="00A2118B">
        <w:rPr>
          <w:rFonts w:ascii="Times New Roman" w:hAnsi="Times New Roman" w:cs="Times New Roman"/>
          <w:sz w:val="24"/>
          <w:szCs w:val="24"/>
        </w:rPr>
        <w:t xml:space="preserve"> fully</w:t>
      </w:r>
      <w:r w:rsidRPr="00A2118B">
        <w:rPr>
          <w:rFonts w:ascii="Times New Roman" w:hAnsi="Times New Roman" w:cs="Times New Roman"/>
          <w:sz w:val="24"/>
          <w:szCs w:val="24"/>
        </w:rPr>
        <w:t xml:space="preserve">, it is important for demonstrators to have access to physical spaces where they can peacefully assemble. This </w:t>
      </w:r>
      <w:proofErr w:type="gramStart"/>
      <w:r w:rsidRPr="00A2118B">
        <w:rPr>
          <w:rFonts w:ascii="Times New Roman" w:hAnsi="Times New Roman" w:cs="Times New Roman"/>
          <w:sz w:val="24"/>
          <w:szCs w:val="24"/>
        </w:rPr>
        <w:t>should be taken</w:t>
      </w:r>
      <w:proofErr w:type="gramEnd"/>
      <w:r w:rsidRPr="00A2118B">
        <w:rPr>
          <w:rFonts w:ascii="Times New Roman" w:hAnsi="Times New Roman" w:cs="Times New Roman"/>
          <w:sz w:val="24"/>
          <w:szCs w:val="24"/>
        </w:rPr>
        <w:t xml:space="preserve"> into consideration in the context of urban planning. The General Assembly has recognized the importance of this through its endorsement of the New Urban Agenda, which emphasized the importance of cities and human settlements that enhance cultural expressions and political participation</w:t>
      </w:r>
      <w:r w:rsidR="00EF706C" w:rsidRPr="00A2118B">
        <w:rPr>
          <w:rFonts w:ascii="Times New Roman" w:hAnsi="Times New Roman" w:cs="Times New Roman"/>
          <w:sz w:val="24"/>
          <w:szCs w:val="24"/>
        </w:rPr>
        <w:t>,</w:t>
      </w:r>
      <w:r w:rsidRPr="00A2118B">
        <w:rPr>
          <w:rFonts w:ascii="Times New Roman" w:hAnsi="Times New Roman" w:cs="Times New Roman"/>
          <w:sz w:val="24"/>
          <w:szCs w:val="24"/>
        </w:rPr>
        <w:t xml:space="preserve"> and foster safety in peaceful and pluralistic societies.</w:t>
      </w:r>
      <w:r w:rsidRPr="00A2118B">
        <w:rPr>
          <w:rFonts w:ascii="Times New Roman" w:hAnsi="Times New Roman" w:cs="Times New Roman"/>
          <w:sz w:val="24"/>
          <w:szCs w:val="24"/>
          <w:vertAlign w:val="superscript"/>
        </w:rPr>
        <w:footnoteReference w:id="8"/>
      </w:r>
      <w:r w:rsidRPr="00A2118B">
        <w:rPr>
          <w:rFonts w:ascii="Times New Roman" w:hAnsi="Times New Roman" w:cs="Times New Roman"/>
          <w:sz w:val="24"/>
          <w:szCs w:val="24"/>
        </w:rPr>
        <w:t xml:space="preserve"> The Agenda has committed States to “promoting institutional, political, legal and financial mechanisms in cities and human settlements to broaden inclusive platforms, in line with national policies.</w:t>
      </w:r>
      <w:r w:rsidRPr="00A2118B">
        <w:rPr>
          <w:rFonts w:ascii="Times New Roman" w:hAnsi="Times New Roman" w:cs="Times New Roman"/>
          <w:sz w:val="24"/>
          <w:szCs w:val="24"/>
          <w:vertAlign w:val="superscript"/>
        </w:rPr>
        <w:footnoteReference w:id="9"/>
      </w:r>
      <w:r w:rsidRPr="00A2118B">
        <w:rPr>
          <w:rFonts w:ascii="Times New Roman" w:hAnsi="Times New Roman" w:cs="Times New Roman"/>
          <w:sz w:val="24"/>
          <w:szCs w:val="24"/>
        </w:rPr>
        <w:t>” The Human Rights Committee has found de facto prohibitions on peaceful assembly in specific public spaces to be a violation of the right to peaceful assembly.</w:t>
      </w:r>
      <w:r w:rsidRPr="00A2118B">
        <w:rPr>
          <w:rFonts w:ascii="Times New Roman" w:hAnsi="Times New Roman" w:cs="Times New Roman"/>
          <w:sz w:val="24"/>
          <w:szCs w:val="24"/>
          <w:vertAlign w:val="superscript"/>
        </w:rPr>
        <w:footnoteReference w:id="10"/>
      </w:r>
      <w:r w:rsidRPr="00A2118B">
        <w:rPr>
          <w:rFonts w:ascii="Times New Roman" w:hAnsi="Times New Roman" w:cs="Times New Roman"/>
          <w:sz w:val="24"/>
          <w:szCs w:val="24"/>
          <w:vertAlign w:val="superscript"/>
        </w:rPr>
        <w:t xml:space="preserve"> </w:t>
      </w:r>
      <w:r w:rsidRPr="00A2118B">
        <w:rPr>
          <w:rFonts w:ascii="Times New Roman" w:hAnsi="Times New Roman" w:cs="Times New Roman"/>
          <w:sz w:val="24"/>
          <w:szCs w:val="24"/>
        </w:rPr>
        <w:t xml:space="preserve">Restrictions on the locations where demonstrators can peacefully assemble may deprive demonstrators </w:t>
      </w:r>
      <w:r w:rsidR="00EF706C" w:rsidRPr="00A2118B">
        <w:rPr>
          <w:rFonts w:ascii="Times New Roman" w:hAnsi="Times New Roman" w:cs="Times New Roman"/>
          <w:sz w:val="24"/>
          <w:szCs w:val="24"/>
        </w:rPr>
        <w:t xml:space="preserve">from </w:t>
      </w:r>
      <w:r w:rsidRPr="00A2118B">
        <w:rPr>
          <w:rFonts w:ascii="Times New Roman" w:hAnsi="Times New Roman" w:cs="Times New Roman"/>
          <w:sz w:val="24"/>
          <w:szCs w:val="24"/>
        </w:rPr>
        <w:t>“the opportunity to express their views and opinions within sight and sound of their target audience.”</w:t>
      </w:r>
      <w:r w:rsidRPr="00A2118B">
        <w:rPr>
          <w:rFonts w:ascii="Times New Roman" w:hAnsi="Times New Roman" w:cs="Times New Roman"/>
          <w:sz w:val="24"/>
          <w:szCs w:val="24"/>
          <w:vertAlign w:val="superscript"/>
        </w:rPr>
        <w:footnoteReference w:id="11"/>
      </w:r>
    </w:p>
    <w:p w14:paraId="17A33C28" w14:textId="77777777" w:rsidR="00EF706C" w:rsidRPr="00A2118B" w:rsidRDefault="00EF706C" w:rsidP="00EF706C">
      <w:pPr>
        <w:pStyle w:val="ListParagraph"/>
        <w:rPr>
          <w:rFonts w:ascii="Times New Roman" w:hAnsi="Times New Roman" w:cs="Times New Roman"/>
          <w:sz w:val="24"/>
          <w:szCs w:val="24"/>
        </w:rPr>
      </w:pPr>
    </w:p>
    <w:p w14:paraId="0CA3FD9E" w14:textId="57A401FD" w:rsidR="00EF706C" w:rsidRPr="00A2118B" w:rsidRDefault="00D02698" w:rsidP="00301E32">
      <w:pPr>
        <w:pStyle w:val="ListParagraph"/>
        <w:numPr>
          <w:ilvl w:val="0"/>
          <w:numId w:val="13"/>
        </w:numPr>
        <w:spacing w:line="276" w:lineRule="auto"/>
        <w:jc w:val="both"/>
        <w:rPr>
          <w:rFonts w:ascii="Times New Roman" w:hAnsi="Times New Roman" w:cs="Times New Roman"/>
          <w:sz w:val="24"/>
          <w:szCs w:val="24"/>
        </w:rPr>
      </w:pPr>
      <w:r w:rsidRPr="00A2118B">
        <w:rPr>
          <w:rFonts w:ascii="Times New Roman" w:hAnsi="Times New Roman" w:cs="Times New Roman"/>
          <w:sz w:val="24"/>
          <w:szCs w:val="24"/>
        </w:rPr>
        <w:t xml:space="preserve">Restrictions </w:t>
      </w:r>
      <w:r w:rsidR="007D3619" w:rsidRPr="00A2118B">
        <w:rPr>
          <w:rFonts w:ascii="Times New Roman" w:hAnsi="Times New Roman" w:cs="Times New Roman"/>
          <w:sz w:val="24"/>
          <w:szCs w:val="24"/>
        </w:rPr>
        <w:t xml:space="preserve">to the right of peaceful assembly </w:t>
      </w:r>
      <w:proofErr w:type="gramStart"/>
      <w:r w:rsidRPr="00A2118B">
        <w:rPr>
          <w:rFonts w:ascii="Times New Roman" w:hAnsi="Times New Roman" w:cs="Times New Roman"/>
          <w:sz w:val="24"/>
          <w:szCs w:val="24"/>
        </w:rPr>
        <w:t>are often introduced</w:t>
      </w:r>
      <w:proofErr w:type="gramEnd"/>
      <w:r w:rsidRPr="00A2118B">
        <w:rPr>
          <w:rFonts w:ascii="Times New Roman" w:hAnsi="Times New Roman" w:cs="Times New Roman"/>
          <w:sz w:val="24"/>
          <w:szCs w:val="24"/>
        </w:rPr>
        <w:t xml:space="preserve"> under the pretext of security concerns. Increasingly</w:t>
      </w:r>
      <w:r w:rsidR="00EF706C" w:rsidRPr="00A2118B">
        <w:rPr>
          <w:rFonts w:ascii="Times New Roman" w:hAnsi="Times New Roman" w:cs="Times New Roman"/>
          <w:sz w:val="24"/>
          <w:szCs w:val="24"/>
        </w:rPr>
        <w:t xml:space="preserve">, </w:t>
      </w:r>
      <w:r w:rsidR="00475A96" w:rsidRPr="00A2118B">
        <w:rPr>
          <w:rFonts w:ascii="Times New Roman" w:hAnsi="Times New Roman" w:cs="Times New Roman"/>
          <w:sz w:val="24"/>
          <w:szCs w:val="24"/>
        </w:rPr>
        <w:t>OHCHR</w:t>
      </w:r>
      <w:r w:rsidRPr="00A2118B">
        <w:rPr>
          <w:rFonts w:ascii="Times New Roman" w:hAnsi="Times New Roman" w:cs="Times New Roman"/>
          <w:sz w:val="24"/>
          <w:szCs w:val="24"/>
        </w:rPr>
        <w:t xml:space="preserve"> </w:t>
      </w:r>
      <w:r w:rsidR="00475A96" w:rsidRPr="00A2118B">
        <w:rPr>
          <w:rFonts w:ascii="Times New Roman" w:hAnsi="Times New Roman" w:cs="Times New Roman"/>
          <w:sz w:val="24"/>
          <w:szCs w:val="24"/>
        </w:rPr>
        <w:t>has observed</w:t>
      </w:r>
      <w:r w:rsidRPr="00A2118B">
        <w:rPr>
          <w:rFonts w:ascii="Times New Roman" w:hAnsi="Times New Roman" w:cs="Times New Roman"/>
          <w:sz w:val="24"/>
          <w:szCs w:val="24"/>
        </w:rPr>
        <w:t xml:space="preserve"> </w:t>
      </w:r>
      <w:r w:rsidR="00EF706C" w:rsidRPr="00A2118B">
        <w:rPr>
          <w:rFonts w:ascii="Times New Roman" w:hAnsi="Times New Roman" w:cs="Times New Roman"/>
          <w:sz w:val="24"/>
          <w:szCs w:val="24"/>
        </w:rPr>
        <w:t xml:space="preserve">the emergence of </w:t>
      </w:r>
      <w:r w:rsidRPr="00A2118B">
        <w:rPr>
          <w:rFonts w:ascii="Times New Roman" w:hAnsi="Times New Roman" w:cs="Times New Roman"/>
          <w:sz w:val="24"/>
          <w:szCs w:val="24"/>
        </w:rPr>
        <w:t xml:space="preserve">cyber-security related laws and policies </w:t>
      </w:r>
      <w:r w:rsidR="002D4C21">
        <w:rPr>
          <w:rFonts w:ascii="Times New Roman" w:hAnsi="Times New Roman" w:cs="Times New Roman"/>
          <w:sz w:val="24"/>
          <w:szCs w:val="24"/>
        </w:rPr>
        <w:t xml:space="preserve">that effectively </w:t>
      </w:r>
      <w:proofErr w:type="gramStart"/>
      <w:r w:rsidR="002D4C21">
        <w:rPr>
          <w:rFonts w:ascii="Times New Roman" w:hAnsi="Times New Roman" w:cs="Times New Roman"/>
          <w:sz w:val="24"/>
          <w:szCs w:val="24"/>
        </w:rPr>
        <w:t xml:space="preserve">impact </w:t>
      </w:r>
      <w:r w:rsidRPr="00A2118B">
        <w:rPr>
          <w:rFonts w:ascii="Times New Roman" w:hAnsi="Times New Roman" w:cs="Times New Roman"/>
          <w:sz w:val="24"/>
          <w:szCs w:val="24"/>
        </w:rPr>
        <w:t>on</w:t>
      </w:r>
      <w:proofErr w:type="gramEnd"/>
      <w:r w:rsidRPr="00A2118B">
        <w:rPr>
          <w:rFonts w:ascii="Times New Roman" w:hAnsi="Times New Roman" w:cs="Times New Roman"/>
          <w:sz w:val="24"/>
          <w:szCs w:val="24"/>
        </w:rPr>
        <w:t xml:space="preserve"> people’s ability to </w:t>
      </w:r>
      <w:r w:rsidR="00483A6F" w:rsidRPr="00A2118B">
        <w:rPr>
          <w:rFonts w:ascii="Times New Roman" w:hAnsi="Times New Roman" w:cs="Times New Roman"/>
          <w:sz w:val="24"/>
          <w:szCs w:val="24"/>
        </w:rPr>
        <w:t xml:space="preserve">assemble and </w:t>
      </w:r>
      <w:r w:rsidRPr="00A2118B">
        <w:rPr>
          <w:rFonts w:ascii="Times New Roman" w:hAnsi="Times New Roman" w:cs="Times New Roman"/>
          <w:sz w:val="24"/>
          <w:szCs w:val="24"/>
        </w:rPr>
        <w:t xml:space="preserve">organize on-line. </w:t>
      </w:r>
    </w:p>
    <w:p w14:paraId="13C092EE" w14:textId="77777777" w:rsidR="00EF706C" w:rsidRPr="00A2118B" w:rsidRDefault="00EF706C" w:rsidP="00EF706C">
      <w:pPr>
        <w:pStyle w:val="ListParagraph"/>
        <w:rPr>
          <w:rFonts w:ascii="Times New Roman" w:hAnsi="Times New Roman" w:cs="Times New Roman"/>
          <w:sz w:val="24"/>
          <w:szCs w:val="24"/>
        </w:rPr>
      </w:pPr>
    </w:p>
    <w:p w14:paraId="578A8625" w14:textId="574DD1BC" w:rsidR="00B16242" w:rsidRPr="00A2118B" w:rsidRDefault="00EF706C" w:rsidP="00C56DE3">
      <w:pPr>
        <w:pStyle w:val="ListParagraph"/>
        <w:numPr>
          <w:ilvl w:val="0"/>
          <w:numId w:val="13"/>
        </w:numPr>
        <w:spacing w:line="276" w:lineRule="auto"/>
        <w:jc w:val="both"/>
        <w:rPr>
          <w:rFonts w:ascii="Times New Roman" w:hAnsi="Times New Roman" w:cs="Times New Roman"/>
          <w:sz w:val="24"/>
          <w:szCs w:val="24"/>
        </w:rPr>
      </w:pPr>
      <w:r w:rsidRPr="00A2118B">
        <w:rPr>
          <w:rFonts w:ascii="Times New Roman" w:hAnsi="Times New Roman" w:cs="Times New Roman"/>
          <w:sz w:val="24"/>
          <w:szCs w:val="24"/>
        </w:rPr>
        <w:t>The right to f</w:t>
      </w:r>
      <w:r w:rsidR="00763E24" w:rsidRPr="00A2118B">
        <w:rPr>
          <w:rFonts w:ascii="Times New Roman" w:hAnsi="Times New Roman" w:cs="Times New Roman"/>
          <w:sz w:val="24"/>
          <w:szCs w:val="24"/>
        </w:rPr>
        <w:t>reedom</w:t>
      </w:r>
      <w:r w:rsidR="007D3619" w:rsidRPr="00A2118B">
        <w:rPr>
          <w:rFonts w:ascii="Times New Roman" w:hAnsi="Times New Roman" w:cs="Times New Roman"/>
          <w:sz w:val="24"/>
          <w:szCs w:val="24"/>
        </w:rPr>
        <w:t>s</w:t>
      </w:r>
      <w:r w:rsidR="00763E24" w:rsidRPr="00A2118B">
        <w:rPr>
          <w:rFonts w:ascii="Times New Roman" w:hAnsi="Times New Roman" w:cs="Times New Roman"/>
          <w:sz w:val="24"/>
          <w:szCs w:val="24"/>
        </w:rPr>
        <w:t xml:space="preserve"> of </w:t>
      </w:r>
      <w:r w:rsidR="00153D1D" w:rsidRPr="00A2118B">
        <w:rPr>
          <w:rFonts w:ascii="Times New Roman" w:hAnsi="Times New Roman" w:cs="Times New Roman"/>
          <w:sz w:val="24"/>
          <w:szCs w:val="24"/>
        </w:rPr>
        <w:t xml:space="preserve">peaceful </w:t>
      </w:r>
      <w:r w:rsidR="00763E24" w:rsidRPr="00A2118B">
        <w:rPr>
          <w:rFonts w:ascii="Times New Roman" w:hAnsi="Times New Roman" w:cs="Times New Roman"/>
          <w:sz w:val="24"/>
          <w:szCs w:val="24"/>
        </w:rPr>
        <w:t xml:space="preserve">assembly and participation </w:t>
      </w:r>
      <w:r w:rsidR="00F15398" w:rsidRPr="00A2118B">
        <w:rPr>
          <w:rFonts w:ascii="Times New Roman" w:hAnsi="Times New Roman" w:cs="Times New Roman"/>
          <w:sz w:val="24"/>
          <w:szCs w:val="24"/>
        </w:rPr>
        <w:t xml:space="preserve">are the bedrock of civic space and </w:t>
      </w:r>
      <w:r w:rsidR="00763E24" w:rsidRPr="00A2118B">
        <w:rPr>
          <w:rFonts w:ascii="Times New Roman" w:hAnsi="Times New Roman" w:cs="Times New Roman"/>
          <w:sz w:val="24"/>
          <w:szCs w:val="24"/>
        </w:rPr>
        <w:t xml:space="preserve">play a fundamental role in facilitating the democratic process. </w:t>
      </w:r>
      <w:r w:rsidR="00C56DE3" w:rsidRPr="00A2118B">
        <w:rPr>
          <w:rFonts w:ascii="Times New Roman" w:hAnsi="Times New Roman" w:cs="Times New Roman"/>
          <w:sz w:val="24"/>
          <w:szCs w:val="24"/>
        </w:rPr>
        <w:t xml:space="preserve">Though States are to </w:t>
      </w:r>
      <w:proofErr w:type="gramStart"/>
      <w:r w:rsidR="00C56DE3" w:rsidRPr="00A2118B">
        <w:rPr>
          <w:rFonts w:ascii="Times New Roman" w:hAnsi="Times New Roman" w:cs="Times New Roman"/>
          <w:sz w:val="24"/>
          <w:szCs w:val="24"/>
        </w:rPr>
        <w:t>be guided</w:t>
      </w:r>
      <w:proofErr w:type="gramEnd"/>
      <w:r w:rsidR="00C56DE3" w:rsidRPr="00A2118B">
        <w:rPr>
          <w:rFonts w:ascii="Times New Roman" w:hAnsi="Times New Roman" w:cs="Times New Roman"/>
          <w:sz w:val="24"/>
          <w:szCs w:val="24"/>
        </w:rPr>
        <w:t xml:space="preserve"> by “the objective of facilitating the right, rather than seeking unnecessary or disproportionate limitations to it,”</w:t>
      </w:r>
      <w:r w:rsidR="00C56DE3" w:rsidRPr="00A2118B">
        <w:rPr>
          <w:rStyle w:val="FootnoteReference"/>
          <w:rFonts w:ascii="Times New Roman" w:hAnsi="Times New Roman" w:cs="Times New Roman"/>
          <w:sz w:val="24"/>
          <w:szCs w:val="24"/>
        </w:rPr>
        <w:footnoteReference w:id="12"/>
      </w:r>
      <w:r w:rsidR="00763E24" w:rsidRPr="00A2118B">
        <w:rPr>
          <w:rFonts w:ascii="Times New Roman" w:hAnsi="Times New Roman" w:cs="Times New Roman"/>
          <w:sz w:val="24"/>
          <w:szCs w:val="24"/>
        </w:rPr>
        <w:t xml:space="preserve"> these rights are </w:t>
      </w:r>
      <w:r w:rsidRPr="00A2118B">
        <w:rPr>
          <w:rFonts w:ascii="Times New Roman" w:hAnsi="Times New Roman" w:cs="Times New Roman"/>
          <w:sz w:val="24"/>
          <w:szCs w:val="24"/>
        </w:rPr>
        <w:t xml:space="preserve">not </w:t>
      </w:r>
      <w:r w:rsidR="00763E24" w:rsidRPr="00A2118B">
        <w:rPr>
          <w:rFonts w:ascii="Times New Roman" w:hAnsi="Times New Roman" w:cs="Times New Roman"/>
          <w:sz w:val="24"/>
          <w:szCs w:val="24"/>
        </w:rPr>
        <w:t>absolute.</w:t>
      </w:r>
      <w:r w:rsidR="00203861" w:rsidRPr="00A2118B">
        <w:rPr>
          <w:rFonts w:ascii="Times New Roman" w:hAnsi="Times New Roman" w:cs="Times New Roman"/>
          <w:sz w:val="24"/>
          <w:szCs w:val="24"/>
        </w:rPr>
        <w:t xml:space="preserve"> </w:t>
      </w:r>
      <w:r w:rsidR="00C56DE3" w:rsidRPr="00A2118B">
        <w:rPr>
          <w:rFonts w:ascii="Times New Roman" w:hAnsi="Times New Roman" w:cs="Times New Roman"/>
          <w:sz w:val="24"/>
          <w:szCs w:val="24"/>
        </w:rPr>
        <w:t>R</w:t>
      </w:r>
      <w:r w:rsidR="00763E24" w:rsidRPr="00A2118B">
        <w:rPr>
          <w:rFonts w:ascii="Times New Roman" w:hAnsi="Times New Roman" w:cs="Times New Roman"/>
          <w:sz w:val="24"/>
          <w:szCs w:val="24"/>
        </w:rPr>
        <w:t xml:space="preserve">estrictions </w:t>
      </w:r>
      <w:proofErr w:type="gramStart"/>
      <w:r w:rsidR="00763E24" w:rsidRPr="00A2118B">
        <w:rPr>
          <w:rFonts w:ascii="Times New Roman" w:hAnsi="Times New Roman" w:cs="Times New Roman"/>
          <w:sz w:val="24"/>
          <w:szCs w:val="24"/>
        </w:rPr>
        <w:t>may be imposed</w:t>
      </w:r>
      <w:proofErr w:type="gramEnd"/>
      <w:r w:rsidR="00763E24" w:rsidRPr="00A2118B">
        <w:rPr>
          <w:rFonts w:ascii="Times New Roman" w:hAnsi="Times New Roman" w:cs="Times New Roman"/>
          <w:sz w:val="24"/>
          <w:szCs w:val="24"/>
        </w:rPr>
        <w:t xml:space="preserve"> on article 25</w:t>
      </w:r>
      <w:r w:rsidR="00153D1D" w:rsidRPr="00A2118B">
        <w:rPr>
          <w:rFonts w:ascii="Times New Roman" w:hAnsi="Times New Roman" w:cs="Times New Roman"/>
          <w:sz w:val="24"/>
          <w:szCs w:val="24"/>
        </w:rPr>
        <w:t xml:space="preserve"> of the Covenant</w:t>
      </w:r>
      <w:r w:rsidR="00763E24" w:rsidRPr="00A2118B">
        <w:rPr>
          <w:rFonts w:ascii="Times New Roman" w:hAnsi="Times New Roman" w:cs="Times New Roman"/>
          <w:sz w:val="24"/>
          <w:szCs w:val="24"/>
        </w:rPr>
        <w:t xml:space="preserve"> if they are not “</w:t>
      </w:r>
      <w:r w:rsidR="00203861" w:rsidRPr="00A2118B">
        <w:rPr>
          <w:rFonts w:ascii="Times New Roman" w:hAnsi="Times New Roman" w:cs="Times New Roman"/>
          <w:sz w:val="24"/>
          <w:szCs w:val="24"/>
        </w:rPr>
        <w:t>discriminatory or unreasonable.</w:t>
      </w:r>
      <w:r w:rsidR="00203861" w:rsidRPr="00A2118B">
        <w:rPr>
          <w:rStyle w:val="FootnoteReference"/>
          <w:rFonts w:ascii="Times New Roman" w:hAnsi="Times New Roman" w:cs="Times New Roman"/>
          <w:sz w:val="24"/>
          <w:szCs w:val="24"/>
        </w:rPr>
        <w:footnoteReference w:id="13"/>
      </w:r>
      <w:r w:rsidR="00203861" w:rsidRPr="00A2118B">
        <w:rPr>
          <w:rFonts w:ascii="Times New Roman" w:hAnsi="Times New Roman" w:cs="Times New Roman"/>
          <w:sz w:val="24"/>
          <w:szCs w:val="24"/>
        </w:rPr>
        <w:t xml:space="preserve">” Restrictions on article 21 </w:t>
      </w:r>
      <w:r w:rsidR="00153D1D" w:rsidRPr="00A2118B">
        <w:rPr>
          <w:rFonts w:ascii="Times New Roman" w:hAnsi="Times New Roman" w:cs="Times New Roman"/>
          <w:sz w:val="24"/>
          <w:szCs w:val="24"/>
        </w:rPr>
        <w:t xml:space="preserve">of the Covenant </w:t>
      </w:r>
      <w:proofErr w:type="gramStart"/>
      <w:r w:rsidR="00203861" w:rsidRPr="00A2118B">
        <w:rPr>
          <w:rFonts w:ascii="Times New Roman" w:hAnsi="Times New Roman" w:cs="Times New Roman"/>
          <w:sz w:val="24"/>
          <w:szCs w:val="24"/>
        </w:rPr>
        <w:t>may be imposed</w:t>
      </w:r>
      <w:proofErr w:type="gramEnd"/>
      <w:r w:rsidR="00203861" w:rsidRPr="00A2118B">
        <w:rPr>
          <w:rFonts w:ascii="Times New Roman" w:hAnsi="Times New Roman" w:cs="Times New Roman"/>
          <w:sz w:val="24"/>
          <w:szCs w:val="24"/>
        </w:rPr>
        <w:t xml:space="preserve"> if they are “prescribed by law, necessary, and proportionate in the circumstances.</w:t>
      </w:r>
      <w:r w:rsidR="00203861" w:rsidRPr="00A2118B">
        <w:rPr>
          <w:rStyle w:val="FootnoteReference"/>
          <w:rFonts w:ascii="Times New Roman" w:hAnsi="Times New Roman" w:cs="Times New Roman"/>
          <w:sz w:val="24"/>
          <w:szCs w:val="24"/>
        </w:rPr>
        <w:footnoteReference w:id="14"/>
      </w:r>
      <w:r w:rsidR="00203861" w:rsidRPr="00A2118B">
        <w:rPr>
          <w:rFonts w:ascii="Times New Roman" w:hAnsi="Times New Roman" w:cs="Times New Roman"/>
          <w:sz w:val="24"/>
          <w:szCs w:val="24"/>
        </w:rPr>
        <w:t xml:space="preserve">” For article 21, States have the burden of showing that these restrictions were necessary “in the interests of national security or public safety, public order, the protection of public health or morals or the protection of </w:t>
      </w:r>
      <w:r w:rsidR="00203861" w:rsidRPr="00A2118B">
        <w:rPr>
          <w:rFonts w:ascii="Times New Roman" w:hAnsi="Times New Roman" w:cs="Times New Roman"/>
          <w:sz w:val="24"/>
          <w:szCs w:val="24"/>
        </w:rPr>
        <w:lastRenderedPageBreak/>
        <w:t>the rights and freedoms of others.</w:t>
      </w:r>
      <w:r w:rsidR="00203861" w:rsidRPr="00A2118B">
        <w:rPr>
          <w:rStyle w:val="FootnoteReference"/>
          <w:rFonts w:ascii="Times New Roman" w:hAnsi="Times New Roman" w:cs="Times New Roman"/>
          <w:sz w:val="24"/>
          <w:szCs w:val="24"/>
        </w:rPr>
        <w:footnoteReference w:id="15"/>
      </w:r>
      <w:r w:rsidR="00203861" w:rsidRPr="00A2118B">
        <w:rPr>
          <w:rFonts w:ascii="Times New Roman" w:hAnsi="Times New Roman" w:cs="Times New Roman"/>
          <w:sz w:val="24"/>
          <w:szCs w:val="24"/>
        </w:rPr>
        <w:t xml:space="preserve">” </w:t>
      </w:r>
      <w:r w:rsidR="00C56DE3" w:rsidRPr="00A2118B">
        <w:rPr>
          <w:rFonts w:ascii="Times New Roman" w:hAnsi="Times New Roman" w:cs="Times New Roman"/>
          <w:sz w:val="24"/>
          <w:szCs w:val="24"/>
        </w:rPr>
        <w:t>Because articles 21 and article 25 are connected, any restriction on article 21 will impose restrictions on article 25 as well.</w:t>
      </w:r>
    </w:p>
    <w:p w14:paraId="42A3A54A" w14:textId="77777777" w:rsidR="00B16242" w:rsidRPr="00A2118B" w:rsidRDefault="00B16242" w:rsidP="00B16242">
      <w:pPr>
        <w:pStyle w:val="ListParagraph"/>
        <w:spacing w:line="276" w:lineRule="auto"/>
        <w:jc w:val="both"/>
        <w:rPr>
          <w:rFonts w:ascii="Times New Roman" w:hAnsi="Times New Roman" w:cs="Times New Roman"/>
          <w:sz w:val="24"/>
          <w:szCs w:val="24"/>
        </w:rPr>
      </w:pPr>
    </w:p>
    <w:p w14:paraId="1E361B3B" w14:textId="0A0B1EB1" w:rsidR="006F47C7" w:rsidRPr="00A2118B" w:rsidRDefault="002D4C21" w:rsidP="006F47C7">
      <w:pPr>
        <w:pStyle w:val="ListParagraph"/>
        <w:numPr>
          <w:ilvl w:val="0"/>
          <w:numId w:val="12"/>
        </w:numPr>
        <w:rPr>
          <w:rFonts w:ascii="Times New Roman" w:hAnsi="Times New Roman" w:cs="Times New Roman"/>
          <w:b/>
          <w:sz w:val="24"/>
          <w:szCs w:val="24"/>
        </w:rPr>
      </w:pPr>
      <w:r>
        <w:rPr>
          <w:rFonts w:ascii="Times New Roman" w:hAnsi="Times New Roman" w:cs="Times New Roman"/>
          <w:b/>
          <w:sz w:val="24"/>
          <w:szCs w:val="24"/>
        </w:rPr>
        <w:t>Electoral c</w:t>
      </w:r>
      <w:r w:rsidR="006F47C7" w:rsidRPr="00A2118B">
        <w:rPr>
          <w:rFonts w:ascii="Times New Roman" w:hAnsi="Times New Roman" w:cs="Times New Roman"/>
          <w:b/>
          <w:sz w:val="24"/>
          <w:szCs w:val="24"/>
        </w:rPr>
        <w:t>ontext</w:t>
      </w:r>
      <w:r>
        <w:rPr>
          <w:rFonts w:ascii="Times New Roman" w:hAnsi="Times New Roman" w:cs="Times New Roman"/>
          <w:b/>
          <w:sz w:val="24"/>
          <w:szCs w:val="24"/>
        </w:rPr>
        <w:t>s</w:t>
      </w:r>
    </w:p>
    <w:p w14:paraId="15385A31" w14:textId="77777777" w:rsidR="006F47C7" w:rsidRPr="00A2118B" w:rsidRDefault="006F47C7" w:rsidP="006F47C7">
      <w:pPr>
        <w:pStyle w:val="ListParagraph"/>
        <w:rPr>
          <w:rFonts w:ascii="Times New Roman" w:hAnsi="Times New Roman" w:cs="Times New Roman"/>
          <w:sz w:val="24"/>
          <w:szCs w:val="24"/>
        </w:rPr>
      </w:pPr>
    </w:p>
    <w:p w14:paraId="4A557BD7" w14:textId="59D9EF6B" w:rsidR="00B16242" w:rsidRPr="00A2118B" w:rsidRDefault="00141AB5" w:rsidP="00141AB5">
      <w:pPr>
        <w:pStyle w:val="ListParagraph"/>
        <w:numPr>
          <w:ilvl w:val="0"/>
          <w:numId w:val="13"/>
        </w:numPr>
        <w:spacing w:line="276" w:lineRule="auto"/>
        <w:jc w:val="both"/>
        <w:rPr>
          <w:rFonts w:ascii="Times New Roman" w:hAnsi="Times New Roman" w:cs="Times New Roman"/>
          <w:sz w:val="24"/>
          <w:szCs w:val="24"/>
        </w:rPr>
      </w:pPr>
      <w:r w:rsidRPr="00A2118B">
        <w:rPr>
          <w:rFonts w:ascii="Times New Roman" w:hAnsi="Times New Roman" w:cs="Times New Roman"/>
          <w:sz w:val="24"/>
          <w:szCs w:val="24"/>
        </w:rPr>
        <w:t>The context of elections creates a unique opportunity to enjoy and exercise the rights to participate and peacefully assemble, but also</w:t>
      </w:r>
      <w:r w:rsidR="00B16242" w:rsidRPr="00A2118B">
        <w:rPr>
          <w:rFonts w:ascii="Times New Roman" w:hAnsi="Times New Roman" w:cs="Times New Roman"/>
          <w:sz w:val="24"/>
          <w:szCs w:val="24"/>
        </w:rPr>
        <w:t xml:space="preserve"> often leads to restrictions on </w:t>
      </w:r>
      <w:r w:rsidRPr="00A2118B">
        <w:rPr>
          <w:rFonts w:ascii="Times New Roman" w:hAnsi="Times New Roman" w:cs="Times New Roman"/>
          <w:sz w:val="24"/>
          <w:szCs w:val="24"/>
        </w:rPr>
        <w:t>the enjoyment of these rights. Article 25(b) requires that elections guarantee the “free expression of the will of the electors” and freedom of assembly facilitates this guarantee. The Committee has emphasized that freedom of assembly is an essential condition for the effective exercise of the right to vote.</w:t>
      </w:r>
      <w:r w:rsidRPr="00A2118B">
        <w:rPr>
          <w:rStyle w:val="FootnoteReference"/>
          <w:rFonts w:ascii="Times New Roman" w:hAnsi="Times New Roman" w:cs="Times New Roman"/>
          <w:sz w:val="24"/>
          <w:szCs w:val="24"/>
        </w:rPr>
        <w:footnoteReference w:id="16"/>
      </w:r>
      <w:r w:rsidRPr="00A2118B">
        <w:rPr>
          <w:rFonts w:ascii="Times New Roman" w:hAnsi="Times New Roman" w:cs="Times New Roman"/>
          <w:sz w:val="24"/>
          <w:szCs w:val="24"/>
        </w:rPr>
        <w:t xml:space="preserve"> Additionally, it has emphasized, “The mutually reinforcing nature of the human rights closely linked to political and public participation rights means that any measures directed towards guaranteeing equality in relation to electoral and other public participation rights must also be accompanied by strategies to ensure the full implementation of these supporting human rights.</w:t>
      </w:r>
      <w:r w:rsidRPr="00A2118B">
        <w:rPr>
          <w:rStyle w:val="FootnoteReference"/>
          <w:rFonts w:ascii="Times New Roman" w:hAnsi="Times New Roman" w:cs="Times New Roman"/>
          <w:sz w:val="24"/>
          <w:szCs w:val="24"/>
        </w:rPr>
        <w:footnoteReference w:id="17"/>
      </w:r>
      <w:r w:rsidRPr="00A2118B">
        <w:rPr>
          <w:rFonts w:ascii="Times New Roman" w:hAnsi="Times New Roman" w:cs="Times New Roman"/>
          <w:sz w:val="24"/>
          <w:szCs w:val="24"/>
        </w:rPr>
        <w:t xml:space="preserve">” </w:t>
      </w:r>
    </w:p>
    <w:p w14:paraId="18C2C752" w14:textId="77777777" w:rsidR="00B16242" w:rsidRPr="00A2118B" w:rsidRDefault="00B16242" w:rsidP="00B16242">
      <w:pPr>
        <w:pStyle w:val="ListParagraph"/>
        <w:spacing w:line="276" w:lineRule="auto"/>
        <w:jc w:val="both"/>
        <w:rPr>
          <w:rFonts w:ascii="Times New Roman" w:hAnsi="Times New Roman" w:cs="Times New Roman"/>
          <w:sz w:val="24"/>
          <w:szCs w:val="24"/>
        </w:rPr>
      </w:pPr>
    </w:p>
    <w:p w14:paraId="153DB03E" w14:textId="34A62C98" w:rsidR="00B16242" w:rsidRPr="00A2118B" w:rsidRDefault="00141AB5" w:rsidP="00141AB5">
      <w:pPr>
        <w:pStyle w:val="ListParagraph"/>
        <w:numPr>
          <w:ilvl w:val="0"/>
          <w:numId w:val="13"/>
        </w:numPr>
        <w:spacing w:line="276" w:lineRule="auto"/>
        <w:jc w:val="both"/>
        <w:rPr>
          <w:rFonts w:ascii="Times New Roman" w:hAnsi="Times New Roman" w:cs="Times New Roman"/>
          <w:sz w:val="24"/>
          <w:szCs w:val="24"/>
        </w:rPr>
      </w:pPr>
      <w:r w:rsidRPr="00A2118B">
        <w:rPr>
          <w:rFonts w:ascii="Times New Roman" w:hAnsi="Times New Roman" w:cs="Times New Roman"/>
          <w:sz w:val="24"/>
          <w:szCs w:val="24"/>
        </w:rPr>
        <w:t xml:space="preserve">The </w:t>
      </w:r>
      <w:proofErr w:type="gramStart"/>
      <w:r w:rsidRPr="00A2118B">
        <w:rPr>
          <w:rFonts w:ascii="Times New Roman" w:hAnsi="Times New Roman" w:cs="Times New Roman"/>
          <w:sz w:val="24"/>
          <w:szCs w:val="24"/>
        </w:rPr>
        <w:t>importance of this co</w:t>
      </w:r>
      <w:r w:rsidR="00B16242" w:rsidRPr="00A2118B">
        <w:rPr>
          <w:rFonts w:ascii="Times New Roman" w:hAnsi="Times New Roman" w:cs="Times New Roman"/>
          <w:sz w:val="24"/>
          <w:szCs w:val="24"/>
        </w:rPr>
        <w:t>nnection has also been noted by the Committee</w:t>
      </w:r>
      <w:proofErr w:type="gramEnd"/>
      <w:r w:rsidR="00834077" w:rsidRPr="00A2118B">
        <w:rPr>
          <w:rFonts w:ascii="Times New Roman" w:hAnsi="Times New Roman" w:cs="Times New Roman"/>
          <w:sz w:val="24"/>
          <w:szCs w:val="24"/>
        </w:rPr>
        <w:t xml:space="preserve">: </w:t>
      </w:r>
      <w:r w:rsidRPr="00A2118B">
        <w:rPr>
          <w:rFonts w:ascii="Times New Roman" w:hAnsi="Times New Roman" w:cs="Times New Roman"/>
          <w:sz w:val="24"/>
          <w:szCs w:val="24"/>
        </w:rPr>
        <w:t xml:space="preserve">In </w:t>
      </w:r>
      <w:proofErr w:type="spellStart"/>
      <w:r w:rsidRPr="00A2118B">
        <w:rPr>
          <w:rFonts w:ascii="Times New Roman" w:hAnsi="Times New Roman" w:cs="Times New Roman"/>
          <w:i/>
          <w:sz w:val="24"/>
          <w:szCs w:val="24"/>
        </w:rPr>
        <w:t>Sudalenko</w:t>
      </w:r>
      <w:proofErr w:type="spellEnd"/>
      <w:r w:rsidRPr="00A2118B">
        <w:rPr>
          <w:rFonts w:ascii="Times New Roman" w:hAnsi="Times New Roman" w:cs="Times New Roman"/>
          <w:i/>
          <w:sz w:val="24"/>
          <w:szCs w:val="24"/>
        </w:rPr>
        <w:t xml:space="preserve"> v. Belarus</w:t>
      </w:r>
      <w:r w:rsidRPr="00A2118B">
        <w:rPr>
          <w:rFonts w:ascii="Times New Roman" w:hAnsi="Times New Roman" w:cs="Times New Roman"/>
          <w:sz w:val="24"/>
          <w:szCs w:val="24"/>
        </w:rPr>
        <w:t>, the Committee found a violation of Article 25(b) read in conjunction with Article 21 where city authorities had denied a political candidate’s request to hold a public meeting with voters.</w:t>
      </w:r>
      <w:r w:rsidRPr="00A2118B">
        <w:rPr>
          <w:rStyle w:val="FootnoteReference"/>
          <w:rFonts w:ascii="Times New Roman" w:hAnsi="Times New Roman" w:cs="Times New Roman"/>
          <w:sz w:val="24"/>
          <w:szCs w:val="24"/>
        </w:rPr>
        <w:footnoteReference w:id="18"/>
      </w:r>
      <w:r w:rsidRPr="00A2118B">
        <w:rPr>
          <w:rFonts w:ascii="Times New Roman" w:hAnsi="Times New Roman" w:cs="Times New Roman"/>
          <w:sz w:val="24"/>
          <w:szCs w:val="24"/>
        </w:rPr>
        <w:t xml:space="preserve"> The Committee found that this was a violation of the author’s rights because they found “the possibility of meeting with potential voters as integral to the rights guaranteed under article 25 of the Covenant.</w:t>
      </w:r>
      <w:r w:rsidRPr="00A2118B">
        <w:rPr>
          <w:rStyle w:val="FootnoteReference"/>
          <w:rFonts w:ascii="Times New Roman" w:hAnsi="Times New Roman" w:cs="Times New Roman"/>
          <w:sz w:val="24"/>
          <w:szCs w:val="24"/>
        </w:rPr>
        <w:footnoteReference w:id="19"/>
      </w:r>
      <w:r w:rsidRPr="00A2118B">
        <w:rPr>
          <w:rFonts w:ascii="Times New Roman" w:hAnsi="Times New Roman" w:cs="Times New Roman"/>
          <w:sz w:val="24"/>
          <w:szCs w:val="24"/>
        </w:rPr>
        <w:t xml:space="preserve">” The </w:t>
      </w:r>
      <w:r w:rsidR="00820BB5" w:rsidRPr="00A2118B">
        <w:rPr>
          <w:rFonts w:ascii="Times New Roman" w:hAnsi="Times New Roman" w:cs="Times New Roman"/>
          <w:sz w:val="24"/>
          <w:szCs w:val="24"/>
        </w:rPr>
        <w:t xml:space="preserve">Committee has also </w:t>
      </w:r>
      <w:r w:rsidRPr="00A2118B">
        <w:rPr>
          <w:rFonts w:ascii="Times New Roman" w:hAnsi="Times New Roman" w:cs="Times New Roman"/>
          <w:sz w:val="24"/>
          <w:szCs w:val="24"/>
        </w:rPr>
        <w:t>emphasized the importance of this link in the electoral context</w:t>
      </w:r>
      <w:r w:rsidR="00820BB5" w:rsidRPr="00A2118B">
        <w:rPr>
          <w:rFonts w:ascii="Times New Roman" w:hAnsi="Times New Roman" w:cs="Times New Roman"/>
          <w:sz w:val="24"/>
          <w:szCs w:val="24"/>
        </w:rPr>
        <w:t xml:space="preserve"> in some of its concluding observations. In its Concluding Observations on the report of Uzbekistan, the Committee expressed concern </w:t>
      </w:r>
      <w:r w:rsidRPr="00A2118B">
        <w:rPr>
          <w:rFonts w:ascii="Times New Roman" w:hAnsi="Times New Roman" w:cs="Times New Roman"/>
          <w:sz w:val="24"/>
          <w:szCs w:val="24"/>
        </w:rPr>
        <w:t>that regulations on the registration of public associations, including political parties, imposed undue restrictions on the exercise of freedom of assembly and political participation.</w:t>
      </w:r>
      <w:r w:rsidRPr="00A2118B">
        <w:rPr>
          <w:rStyle w:val="FootnoteReference"/>
          <w:rFonts w:ascii="Times New Roman" w:hAnsi="Times New Roman" w:cs="Times New Roman"/>
          <w:sz w:val="24"/>
          <w:szCs w:val="24"/>
        </w:rPr>
        <w:footnoteReference w:id="20"/>
      </w:r>
      <w:r w:rsidRPr="00A2118B">
        <w:rPr>
          <w:rFonts w:ascii="Times New Roman" w:hAnsi="Times New Roman" w:cs="Times New Roman"/>
          <w:sz w:val="24"/>
          <w:szCs w:val="24"/>
        </w:rPr>
        <w:t xml:space="preserve"> There is a growing consensus that guaranteeing the “free expression of the will of the electors” requires protecting these rights for the entire election cycle and not just the day of the election.</w:t>
      </w:r>
      <w:r w:rsidRPr="00A2118B">
        <w:rPr>
          <w:rStyle w:val="FootnoteReference"/>
          <w:rFonts w:ascii="Times New Roman" w:hAnsi="Times New Roman" w:cs="Times New Roman"/>
          <w:sz w:val="24"/>
          <w:szCs w:val="24"/>
        </w:rPr>
        <w:footnoteReference w:id="21"/>
      </w:r>
    </w:p>
    <w:p w14:paraId="1B0251FC" w14:textId="77777777" w:rsidR="00B16242" w:rsidRPr="00A2118B" w:rsidRDefault="00B16242" w:rsidP="00B16242">
      <w:pPr>
        <w:pStyle w:val="ListParagraph"/>
        <w:rPr>
          <w:rFonts w:ascii="Times New Roman" w:hAnsi="Times New Roman" w:cs="Times New Roman"/>
          <w:sz w:val="24"/>
          <w:szCs w:val="24"/>
        </w:rPr>
      </w:pPr>
    </w:p>
    <w:p w14:paraId="4CA7E0FB" w14:textId="0E2CD1D6" w:rsidR="00B16242" w:rsidRPr="00A2118B" w:rsidRDefault="00141AB5" w:rsidP="00141AB5">
      <w:pPr>
        <w:pStyle w:val="ListParagraph"/>
        <w:numPr>
          <w:ilvl w:val="0"/>
          <w:numId w:val="13"/>
        </w:numPr>
        <w:spacing w:line="276" w:lineRule="auto"/>
        <w:jc w:val="both"/>
        <w:rPr>
          <w:rFonts w:ascii="Times New Roman" w:hAnsi="Times New Roman" w:cs="Times New Roman"/>
          <w:sz w:val="24"/>
          <w:szCs w:val="24"/>
        </w:rPr>
      </w:pPr>
      <w:r w:rsidRPr="00A2118B">
        <w:rPr>
          <w:rFonts w:ascii="Times New Roman" w:hAnsi="Times New Roman" w:cs="Times New Roman"/>
          <w:sz w:val="24"/>
          <w:szCs w:val="24"/>
        </w:rPr>
        <w:t xml:space="preserve"> Restrictions on </w:t>
      </w:r>
      <w:r w:rsidR="00820BB5" w:rsidRPr="00A2118B">
        <w:rPr>
          <w:rFonts w:ascii="Times New Roman" w:hAnsi="Times New Roman" w:cs="Times New Roman"/>
          <w:sz w:val="24"/>
          <w:szCs w:val="24"/>
        </w:rPr>
        <w:t xml:space="preserve">both </w:t>
      </w:r>
      <w:r w:rsidRPr="00A2118B">
        <w:rPr>
          <w:rFonts w:ascii="Times New Roman" w:hAnsi="Times New Roman" w:cs="Times New Roman"/>
          <w:sz w:val="24"/>
          <w:szCs w:val="24"/>
        </w:rPr>
        <w:t xml:space="preserve">freedoms of peaceful assembly and association </w:t>
      </w:r>
      <w:proofErr w:type="gramStart"/>
      <w:r w:rsidRPr="00A2118B">
        <w:rPr>
          <w:rFonts w:ascii="Times New Roman" w:hAnsi="Times New Roman" w:cs="Times New Roman"/>
          <w:sz w:val="24"/>
          <w:szCs w:val="24"/>
        </w:rPr>
        <w:t>are frequently tightened</w:t>
      </w:r>
      <w:proofErr w:type="gramEnd"/>
      <w:r w:rsidRPr="00A2118B">
        <w:rPr>
          <w:rFonts w:ascii="Times New Roman" w:hAnsi="Times New Roman" w:cs="Times New Roman"/>
          <w:sz w:val="24"/>
          <w:szCs w:val="24"/>
        </w:rPr>
        <w:t xml:space="preserve"> during electoral periods or in situations of political transition or social conflict. </w:t>
      </w:r>
      <w:r w:rsidR="00820BB5" w:rsidRPr="00A2118B">
        <w:rPr>
          <w:rFonts w:ascii="Times New Roman" w:hAnsi="Times New Roman" w:cs="Times New Roman"/>
          <w:sz w:val="24"/>
          <w:szCs w:val="24"/>
        </w:rPr>
        <w:t xml:space="preserve">Special protections will be necessary to ensure that both rights </w:t>
      </w:r>
      <w:proofErr w:type="gramStart"/>
      <w:r w:rsidR="00820BB5" w:rsidRPr="00A2118B">
        <w:rPr>
          <w:rFonts w:ascii="Times New Roman" w:hAnsi="Times New Roman" w:cs="Times New Roman"/>
          <w:sz w:val="24"/>
          <w:szCs w:val="24"/>
        </w:rPr>
        <w:t>are guaranteed</w:t>
      </w:r>
      <w:proofErr w:type="gramEnd"/>
      <w:r w:rsidR="00820BB5" w:rsidRPr="00A2118B">
        <w:rPr>
          <w:rFonts w:ascii="Times New Roman" w:hAnsi="Times New Roman" w:cs="Times New Roman"/>
          <w:sz w:val="24"/>
          <w:szCs w:val="24"/>
        </w:rPr>
        <w:t xml:space="preserve">. </w:t>
      </w:r>
      <w:r w:rsidRPr="00A2118B">
        <w:rPr>
          <w:rFonts w:ascii="Times New Roman" w:hAnsi="Times New Roman" w:cs="Times New Roman"/>
          <w:sz w:val="24"/>
          <w:szCs w:val="24"/>
        </w:rPr>
        <w:t>As the Special Rapporteur on freedom of peaceful assembly an</w:t>
      </w:r>
      <w:r w:rsidR="00820BB5" w:rsidRPr="00A2118B">
        <w:rPr>
          <w:rFonts w:ascii="Times New Roman" w:hAnsi="Times New Roman" w:cs="Times New Roman"/>
          <w:sz w:val="24"/>
          <w:szCs w:val="24"/>
        </w:rPr>
        <w:t>d association pointed out, the electoral context</w:t>
      </w:r>
      <w:r w:rsidRPr="00A2118B">
        <w:rPr>
          <w:rFonts w:ascii="Times New Roman" w:hAnsi="Times New Roman" w:cs="Times New Roman"/>
          <w:sz w:val="24"/>
          <w:szCs w:val="24"/>
        </w:rPr>
        <w:t xml:space="preserve"> “may result in prohibitions on peaceful assembly and association as well as the harassment and intimidation of individuals engaged in civic activism.”</w:t>
      </w:r>
      <w:r w:rsidRPr="00A2118B">
        <w:rPr>
          <w:rStyle w:val="FootnoteReference"/>
          <w:rFonts w:ascii="Times New Roman" w:hAnsi="Times New Roman" w:cs="Times New Roman"/>
          <w:sz w:val="24"/>
          <w:szCs w:val="24"/>
        </w:rPr>
        <w:footnoteReference w:id="22"/>
      </w:r>
      <w:r w:rsidRPr="00A2118B">
        <w:rPr>
          <w:rFonts w:ascii="Times New Roman" w:hAnsi="Times New Roman" w:cs="Times New Roman"/>
          <w:sz w:val="24"/>
          <w:szCs w:val="24"/>
        </w:rPr>
        <w:t xml:space="preserve"> While some restrictions may be justified by increa</w:t>
      </w:r>
      <w:r w:rsidR="00820BB5" w:rsidRPr="00A2118B">
        <w:rPr>
          <w:rFonts w:ascii="Times New Roman" w:hAnsi="Times New Roman" w:cs="Times New Roman"/>
          <w:sz w:val="24"/>
          <w:szCs w:val="24"/>
        </w:rPr>
        <w:t xml:space="preserve">sed violence during the electoral </w:t>
      </w:r>
      <w:r w:rsidRPr="00A2118B">
        <w:rPr>
          <w:rFonts w:ascii="Times New Roman" w:hAnsi="Times New Roman" w:cs="Times New Roman"/>
          <w:sz w:val="24"/>
          <w:szCs w:val="24"/>
        </w:rPr>
        <w:t>period,</w:t>
      </w:r>
      <w:r w:rsidRPr="00A2118B">
        <w:rPr>
          <w:rStyle w:val="FootnoteReference"/>
          <w:rFonts w:ascii="Times New Roman" w:hAnsi="Times New Roman" w:cs="Times New Roman"/>
          <w:sz w:val="24"/>
          <w:szCs w:val="24"/>
        </w:rPr>
        <w:footnoteReference w:id="23"/>
      </w:r>
      <w:r w:rsidRPr="00A2118B">
        <w:rPr>
          <w:rFonts w:ascii="Times New Roman" w:hAnsi="Times New Roman" w:cs="Times New Roman"/>
          <w:sz w:val="24"/>
          <w:szCs w:val="24"/>
        </w:rPr>
        <w:t xml:space="preserve"> the context of elections </w:t>
      </w:r>
      <w:proofErr w:type="gramStart"/>
      <w:r w:rsidRPr="00A2118B">
        <w:rPr>
          <w:rFonts w:ascii="Times New Roman" w:hAnsi="Times New Roman" w:cs="Times New Roman"/>
          <w:sz w:val="24"/>
          <w:szCs w:val="24"/>
        </w:rPr>
        <w:t>should not in and of itself be considered</w:t>
      </w:r>
      <w:proofErr w:type="gramEnd"/>
      <w:r w:rsidRPr="00A2118B">
        <w:rPr>
          <w:rFonts w:ascii="Times New Roman" w:hAnsi="Times New Roman" w:cs="Times New Roman"/>
          <w:sz w:val="24"/>
          <w:szCs w:val="24"/>
        </w:rPr>
        <w:t xml:space="preserve"> </w:t>
      </w:r>
      <w:r w:rsidR="00820BB5" w:rsidRPr="00A2118B">
        <w:rPr>
          <w:rFonts w:ascii="Times New Roman" w:hAnsi="Times New Roman" w:cs="Times New Roman"/>
          <w:sz w:val="24"/>
          <w:szCs w:val="24"/>
        </w:rPr>
        <w:t xml:space="preserve">sufficient </w:t>
      </w:r>
      <w:r w:rsidRPr="00A2118B">
        <w:rPr>
          <w:rFonts w:ascii="Times New Roman" w:hAnsi="Times New Roman" w:cs="Times New Roman"/>
          <w:sz w:val="24"/>
          <w:szCs w:val="24"/>
        </w:rPr>
        <w:t>to justify a blanket prohibition.</w:t>
      </w:r>
      <w:r w:rsidRPr="00A2118B">
        <w:rPr>
          <w:rStyle w:val="FootnoteReference"/>
          <w:rFonts w:ascii="Times New Roman" w:hAnsi="Times New Roman" w:cs="Times New Roman"/>
          <w:sz w:val="24"/>
          <w:szCs w:val="24"/>
        </w:rPr>
        <w:footnoteReference w:id="24"/>
      </w:r>
      <w:r w:rsidRPr="00A2118B">
        <w:rPr>
          <w:rFonts w:ascii="Times New Roman" w:hAnsi="Times New Roman" w:cs="Times New Roman"/>
          <w:sz w:val="24"/>
          <w:szCs w:val="24"/>
        </w:rPr>
        <w:t xml:space="preserve"> </w:t>
      </w:r>
    </w:p>
    <w:p w14:paraId="54305CF8" w14:textId="77777777" w:rsidR="00B16242" w:rsidRPr="00A2118B" w:rsidRDefault="00B16242" w:rsidP="00B16242">
      <w:pPr>
        <w:pStyle w:val="ListParagraph"/>
        <w:rPr>
          <w:rFonts w:ascii="Times New Roman" w:hAnsi="Times New Roman" w:cs="Times New Roman"/>
          <w:sz w:val="24"/>
          <w:szCs w:val="24"/>
        </w:rPr>
      </w:pPr>
    </w:p>
    <w:p w14:paraId="329863B9" w14:textId="107BD727" w:rsidR="00B16242" w:rsidRPr="00A2118B" w:rsidRDefault="00141AB5" w:rsidP="00141AB5">
      <w:pPr>
        <w:pStyle w:val="ListParagraph"/>
        <w:numPr>
          <w:ilvl w:val="0"/>
          <w:numId w:val="13"/>
        </w:numPr>
        <w:spacing w:line="276" w:lineRule="auto"/>
        <w:jc w:val="both"/>
        <w:rPr>
          <w:rFonts w:ascii="Times New Roman" w:hAnsi="Times New Roman" w:cs="Times New Roman"/>
          <w:sz w:val="24"/>
          <w:szCs w:val="24"/>
        </w:rPr>
      </w:pPr>
      <w:r w:rsidRPr="00A2118B">
        <w:rPr>
          <w:rFonts w:ascii="Times New Roman" w:hAnsi="Times New Roman" w:cs="Times New Roman"/>
          <w:sz w:val="24"/>
          <w:szCs w:val="24"/>
        </w:rPr>
        <w:t>Article 21 is especially vulnerable in this context because incumbent governments (at both the local and national level) may have an incentive to deny requests from opposition candidates to host peaceful assemblies as part of their campaigns.</w:t>
      </w:r>
      <w:r w:rsidRPr="00A2118B">
        <w:rPr>
          <w:rStyle w:val="FootnoteReference"/>
          <w:rFonts w:ascii="Times New Roman" w:hAnsi="Times New Roman" w:cs="Times New Roman"/>
          <w:sz w:val="24"/>
          <w:szCs w:val="24"/>
        </w:rPr>
        <w:footnoteReference w:id="25"/>
      </w:r>
      <w:r w:rsidRPr="00A2118B">
        <w:rPr>
          <w:rFonts w:ascii="Times New Roman" w:hAnsi="Times New Roman" w:cs="Times New Roman"/>
          <w:sz w:val="24"/>
          <w:szCs w:val="24"/>
        </w:rPr>
        <w:t xml:space="preserve"> The Special Rapporteur has stated that “an electoral process, in which widespread barriers are systematically placed on the exercise of the rights to freedom of peaceful assembly and of association, cannot be said to be either free or fair and, as such, the outcome should not be considered to be the result of “genuine” elections, as required under international law.”</w:t>
      </w:r>
      <w:r w:rsidRPr="00A2118B">
        <w:rPr>
          <w:rStyle w:val="FootnoteReference"/>
          <w:rFonts w:ascii="Times New Roman" w:hAnsi="Times New Roman" w:cs="Times New Roman"/>
          <w:sz w:val="24"/>
          <w:szCs w:val="24"/>
        </w:rPr>
        <w:footnoteReference w:id="26"/>
      </w:r>
      <w:r w:rsidRPr="00A2118B">
        <w:rPr>
          <w:rFonts w:ascii="Times New Roman" w:hAnsi="Times New Roman" w:cs="Times New Roman"/>
          <w:sz w:val="24"/>
          <w:szCs w:val="24"/>
        </w:rPr>
        <w:t xml:space="preserve"> The international community could benefit from clear guidelines to ensure that these restrictions are not abused</w:t>
      </w:r>
      <w:r w:rsidRPr="00A2118B">
        <w:rPr>
          <w:rStyle w:val="FootnoteReference"/>
          <w:rFonts w:ascii="Times New Roman" w:hAnsi="Times New Roman" w:cs="Times New Roman"/>
          <w:sz w:val="24"/>
          <w:szCs w:val="24"/>
        </w:rPr>
        <w:footnoteReference w:id="27"/>
      </w:r>
      <w:r w:rsidRPr="00A2118B">
        <w:rPr>
          <w:rFonts w:ascii="Times New Roman" w:hAnsi="Times New Roman" w:cs="Times New Roman"/>
          <w:sz w:val="24"/>
          <w:szCs w:val="24"/>
        </w:rPr>
        <w:t xml:space="preserve"> or used </w:t>
      </w:r>
      <w:proofErr w:type="gramStart"/>
      <w:r w:rsidRPr="00A2118B">
        <w:rPr>
          <w:rFonts w:ascii="Times New Roman" w:hAnsi="Times New Roman" w:cs="Times New Roman"/>
          <w:sz w:val="24"/>
          <w:szCs w:val="24"/>
        </w:rPr>
        <w:t>to further perpetuate</w:t>
      </w:r>
      <w:proofErr w:type="gramEnd"/>
      <w:r w:rsidRPr="00A2118B">
        <w:rPr>
          <w:rFonts w:ascii="Times New Roman" w:hAnsi="Times New Roman" w:cs="Times New Roman"/>
          <w:sz w:val="24"/>
          <w:szCs w:val="24"/>
        </w:rPr>
        <w:t xml:space="preserve"> inequalities against marginalized communities,</w:t>
      </w:r>
      <w:r w:rsidRPr="00A2118B">
        <w:rPr>
          <w:rStyle w:val="FootnoteReference"/>
          <w:rFonts w:ascii="Times New Roman" w:hAnsi="Times New Roman" w:cs="Times New Roman"/>
          <w:sz w:val="24"/>
          <w:szCs w:val="24"/>
        </w:rPr>
        <w:footnoteReference w:id="28"/>
      </w:r>
      <w:r w:rsidRPr="00A2118B">
        <w:rPr>
          <w:rFonts w:ascii="Times New Roman" w:hAnsi="Times New Roman" w:cs="Times New Roman"/>
          <w:sz w:val="24"/>
          <w:szCs w:val="24"/>
        </w:rPr>
        <w:t xml:space="preserve"> while also ensuring that people are safely able to exercise their right to vote. </w:t>
      </w:r>
    </w:p>
    <w:p w14:paraId="3F5E44A0" w14:textId="355C35D8" w:rsidR="00B16242" w:rsidRPr="00A2118B" w:rsidRDefault="00B16242" w:rsidP="00B16242">
      <w:pPr>
        <w:pStyle w:val="ListParagraph"/>
        <w:rPr>
          <w:rFonts w:ascii="Times New Roman" w:hAnsi="Times New Roman" w:cs="Times New Roman"/>
          <w:sz w:val="24"/>
          <w:szCs w:val="24"/>
        </w:rPr>
      </w:pPr>
    </w:p>
    <w:p w14:paraId="504D1587" w14:textId="5262B4CC" w:rsidR="00B16242" w:rsidRPr="00A2118B" w:rsidRDefault="00A2118B" w:rsidP="00B16242">
      <w:pPr>
        <w:pStyle w:val="ListParagraph"/>
        <w:numPr>
          <w:ilvl w:val="0"/>
          <w:numId w:val="12"/>
        </w:numPr>
        <w:spacing w:line="276" w:lineRule="auto"/>
        <w:rPr>
          <w:rFonts w:ascii="Times New Roman" w:hAnsi="Times New Roman" w:cs="Times New Roman"/>
          <w:b/>
          <w:sz w:val="24"/>
          <w:szCs w:val="24"/>
        </w:rPr>
      </w:pPr>
      <w:r>
        <w:rPr>
          <w:rFonts w:ascii="Times New Roman" w:hAnsi="Times New Roman" w:cs="Times New Roman"/>
          <w:b/>
          <w:sz w:val="24"/>
          <w:szCs w:val="24"/>
        </w:rPr>
        <w:t xml:space="preserve"> Non-electoral c</w:t>
      </w:r>
      <w:r w:rsidR="00B16242" w:rsidRPr="00A2118B">
        <w:rPr>
          <w:rFonts w:ascii="Times New Roman" w:hAnsi="Times New Roman" w:cs="Times New Roman"/>
          <w:b/>
          <w:sz w:val="24"/>
          <w:szCs w:val="24"/>
        </w:rPr>
        <w:t>ontext</w:t>
      </w:r>
      <w:r w:rsidR="004D27E1" w:rsidRPr="00A2118B">
        <w:rPr>
          <w:rFonts w:ascii="Times New Roman" w:hAnsi="Times New Roman" w:cs="Times New Roman"/>
          <w:b/>
          <w:sz w:val="24"/>
          <w:szCs w:val="24"/>
        </w:rPr>
        <w:t>s</w:t>
      </w:r>
    </w:p>
    <w:p w14:paraId="2D8A6DB2" w14:textId="77777777" w:rsidR="00B16242" w:rsidRPr="00A2118B" w:rsidRDefault="00B16242" w:rsidP="00B16242">
      <w:pPr>
        <w:pStyle w:val="ListParagraph"/>
        <w:rPr>
          <w:rFonts w:ascii="Times New Roman" w:hAnsi="Times New Roman" w:cs="Times New Roman"/>
          <w:sz w:val="24"/>
          <w:szCs w:val="24"/>
        </w:rPr>
      </w:pPr>
    </w:p>
    <w:p w14:paraId="166679DB" w14:textId="5F3741FF" w:rsidR="00B16242" w:rsidRPr="00A2118B" w:rsidRDefault="00141AB5" w:rsidP="00141AB5">
      <w:pPr>
        <w:pStyle w:val="ListParagraph"/>
        <w:numPr>
          <w:ilvl w:val="0"/>
          <w:numId w:val="13"/>
        </w:numPr>
        <w:spacing w:line="276" w:lineRule="auto"/>
        <w:jc w:val="both"/>
        <w:rPr>
          <w:rFonts w:ascii="Times New Roman" w:hAnsi="Times New Roman" w:cs="Times New Roman"/>
          <w:sz w:val="24"/>
          <w:szCs w:val="24"/>
        </w:rPr>
      </w:pPr>
      <w:r w:rsidRPr="00A2118B">
        <w:rPr>
          <w:rFonts w:ascii="Times New Roman" w:hAnsi="Times New Roman" w:cs="Times New Roman"/>
          <w:sz w:val="24"/>
          <w:szCs w:val="24"/>
        </w:rPr>
        <w:t xml:space="preserve">Guaranteeing the right to peaceful assembly is also essential for ensuring the right to participate in non-electoral contexts. Article 25(a) grants the right </w:t>
      </w:r>
      <w:proofErr w:type="gramStart"/>
      <w:r w:rsidRPr="00A2118B">
        <w:rPr>
          <w:rFonts w:ascii="Times New Roman" w:hAnsi="Times New Roman" w:cs="Times New Roman"/>
          <w:sz w:val="24"/>
          <w:szCs w:val="24"/>
        </w:rPr>
        <w:t>to directly or indirectly “take</w:t>
      </w:r>
      <w:proofErr w:type="gramEnd"/>
      <w:r w:rsidRPr="00A2118B">
        <w:rPr>
          <w:rFonts w:ascii="Times New Roman" w:hAnsi="Times New Roman" w:cs="Times New Roman"/>
          <w:sz w:val="24"/>
          <w:szCs w:val="24"/>
        </w:rPr>
        <w:t xml:space="preserve"> part in the conduct of public affairs.” The Human Rights Committee, in its general comment on article 25, has defined public affairs broadly, stating that it covers all aspects of public administration, and the formulation and implementation of policy at international, national, regional and local levels.</w:t>
      </w:r>
      <w:r w:rsidRPr="00A2118B">
        <w:rPr>
          <w:rFonts w:ascii="Times New Roman" w:hAnsi="Times New Roman" w:cs="Times New Roman"/>
          <w:sz w:val="24"/>
          <w:szCs w:val="24"/>
          <w:vertAlign w:val="superscript"/>
        </w:rPr>
        <w:footnoteReference w:id="29"/>
      </w:r>
      <w:r w:rsidRPr="00A2118B">
        <w:rPr>
          <w:rFonts w:ascii="Times New Roman" w:hAnsi="Times New Roman" w:cs="Times New Roman"/>
          <w:sz w:val="24"/>
          <w:szCs w:val="24"/>
        </w:rPr>
        <w:t xml:space="preserve"> The Committee on the Elimination of Discrimination against Women has also characterized political and public participation as a “broad concept”, which refers to the exercise of political power and the formulation of policy at all levels.</w:t>
      </w:r>
      <w:r w:rsidRPr="00A2118B">
        <w:rPr>
          <w:rStyle w:val="FootnoteReference"/>
          <w:rFonts w:ascii="Times New Roman" w:hAnsi="Times New Roman" w:cs="Times New Roman"/>
          <w:sz w:val="24"/>
          <w:szCs w:val="24"/>
        </w:rPr>
        <w:footnoteReference w:id="30"/>
      </w:r>
    </w:p>
    <w:p w14:paraId="65EBBD35" w14:textId="77777777" w:rsidR="00B16242" w:rsidRPr="00A2118B" w:rsidRDefault="00B16242" w:rsidP="00B16242">
      <w:pPr>
        <w:pStyle w:val="ListParagraph"/>
        <w:spacing w:line="276" w:lineRule="auto"/>
        <w:jc w:val="both"/>
        <w:rPr>
          <w:rFonts w:ascii="Times New Roman" w:hAnsi="Times New Roman" w:cs="Times New Roman"/>
          <w:sz w:val="24"/>
          <w:szCs w:val="24"/>
        </w:rPr>
      </w:pPr>
    </w:p>
    <w:p w14:paraId="2952A5E3" w14:textId="7543254E" w:rsidR="00B16242" w:rsidRPr="00A2118B" w:rsidRDefault="00141AB5" w:rsidP="00141AB5">
      <w:pPr>
        <w:pStyle w:val="ListParagraph"/>
        <w:numPr>
          <w:ilvl w:val="0"/>
          <w:numId w:val="13"/>
        </w:numPr>
        <w:spacing w:line="276" w:lineRule="auto"/>
        <w:jc w:val="both"/>
        <w:rPr>
          <w:rFonts w:ascii="Times New Roman" w:hAnsi="Times New Roman" w:cs="Times New Roman"/>
          <w:sz w:val="24"/>
          <w:szCs w:val="24"/>
        </w:rPr>
      </w:pPr>
      <w:r w:rsidRPr="00A2118B">
        <w:rPr>
          <w:rFonts w:ascii="Times New Roman" w:hAnsi="Times New Roman" w:cs="Times New Roman"/>
          <w:sz w:val="24"/>
          <w:szCs w:val="24"/>
        </w:rPr>
        <w:t>The</w:t>
      </w:r>
      <w:r w:rsidR="00820BB5" w:rsidRPr="00A2118B">
        <w:rPr>
          <w:rFonts w:ascii="Times New Roman" w:hAnsi="Times New Roman" w:cs="Times New Roman"/>
          <w:sz w:val="24"/>
          <w:szCs w:val="24"/>
        </w:rPr>
        <w:t xml:space="preserve"> Human Rights Committee has</w:t>
      </w:r>
      <w:r w:rsidRPr="00A2118B">
        <w:rPr>
          <w:rFonts w:ascii="Times New Roman" w:hAnsi="Times New Roman" w:cs="Times New Roman"/>
          <w:sz w:val="24"/>
          <w:szCs w:val="24"/>
        </w:rPr>
        <w:t xml:space="preserve"> recognized the importance of freedom of peaceful assembly in relation to participation in public affairs.</w:t>
      </w:r>
      <w:r w:rsidRPr="00A2118B">
        <w:rPr>
          <w:rStyle w:val="FootnoteReference"/>
          <w:rFonts w:ascii="Times New Roman" w:hAnsi="Times New Roman" w:cs="Times New Roman"/>
          <w:sz w:val="24"/>
          <w:szCs w:val="24"/>
        </w:rPr>
        <w:footnoteReference w:id="31"/>
      </w:r>
      <w:r w:rsidRPr="00A2118B">
        <w:rPr>
          <w:rFonts w:ascii="Times New Roman" w:hAnsi="Times New Roman" w:cs="Times New Roman"/>
          <w:sz w:val="24"/>
          <w:szCs w:val="24"/>
        </w:rPr>
        <w:t xml:space="preserve"> </w:t>
      </w:r>
      <w:r w:rsidR="00820BB5" w:rsidRPr="00A2118B">
        <w:rPr>
          <w:rFonts w:ascii="Times New Roman" w:hAnsi="Times New Roman" w:cs="Times New Roman"/>
          <w:sz w:val="24"/>
          <w:szCs w:val="24"/>
        </w:rPr>
        <w:t xml:space="preserve">It </w:t>
      </w:r>
      <w:r w:rsidRPr="00A2118B">
        <w:rPr>
          <w:rFonts w:ascii="Times New Roman" w:hAnsi="Times New Roman" w:cs="Times New Roman"/>
          <w:sz w:val="24"/>
          <w:szCs w:val="24"/>
        </w:rPr>
        <w:t>stated that people can participate in the conduct of public affairs by “exerting influence through public debate and dialogue with their representatives or through their capacity to organize themselves”</w:t>
      </w:r>
      <w:r w:rsidRPr="00A2118B">
        <w:rPr>
          <w:rStyle w:val="FootnoteReference"/>
          <w:rFonts w:ascii="Times New Roman" w:hAnsi="Times New Roman" w:cs="Times New Roman"/>
          <w:sz w:val="24"/>
          <w:szCs w:val="24"/>
        </w:rPr>
        <w:footnoteReference w:id="32"/>
      </w:r>
      <w:r w:rsidRPr="00A2118B">
        <w:rPr>
          <w:rFonts w:ascii="Times New Roman" w:hAnsi="Times New Roman" w:cs="Times New Roman"/>
          <w:sz w:val="24"/>
          <w:szCs w:val="24"/>
        </w:rPr>
        <w:t xml:space="preserve"> and through participation in “popular assemblies which have the power to make decisions about local issues or about the affairs of a particular community.</w:t>
      </w:r>
      <w:r w:rsidRPr="00A2118B">
        <w:rPr>
          <w:rStyle w:val="FootnoteReference"/>
          <w:rFonts w:ascii="Times New Roman" w:hAnsi="Times New Roman" w:cs="Times New Roman"/>
          <w:sz w:val="24"/>
          <w:szCs w:val="24"/>
        </w:rPr>
        <w:footnoteReference w:id="33"/>
      </w:r>
      <w:r w:rsidRPr="00A2118B">
        <w:rPr>
          <w:rFonts w:ascii="Times New Roman" w:hAnsi="Times New Roman" w:cs="Times New Roman"/>
          <w:sz w:val="24"/>
          <w:szCs w:val="24"/>
        </w:rPr>
        <w:t>” The right to freedom of peaceful assembly is essential for participation in public hearings, consultations, working groups, and online platforms. To ensure equal opportunity to participate, States should ensure that participatory events are free of charge and held in venues that are neutral and easily accessible for all, including for persons with disabilities.</w:t>
      </w:r>
      <w:r w:rsidRPr="00A2118B">
        <w:rPr>
          <w:rStyle w:val="FootnoteReference"/>
          <w:rFonts w:ascii="Times New Roman" w:hAnsi="Times New Roman" w:cs="Times New Roman"/>
          <w:sz w:val="24"/>
          <w:szCs w:val="24"/>
        </w:rPr>
        <w:footnoteReference w:id="34"/>
      </w:r>
    </w:p>
    <w:p w14:paraId="5FB37D86" w14:textId="77777777" w:rsidR="00B16242" w:rsidRPr="00A2118B" w:rsidRDefault="00B16242" w:rsidP="00B16242">
      <w:pPr>
        <w:pStyle w:val="ListParagraph"/>
        <w:rPr>
          <w:rFonts w:ascii="Times New Roman" w:hAnsi="Times New Roman" w:cs="Times New Roman"/>
          <w:sz w:val="24"/>
          <w:szCs w:val="24"/>
        </w:rPr>
      </w:pPr>
    </w:p>
    <w:p w14:paraId="1B8D430C" w14:textId="77777777" w:rsidR="000A1CFC" w:rsidRPr="00A2118B" w:rsidRDefault="000A1CFC" w:rsidP="000A1CFC">
      <w:pPr>
        <w:pStyle w:val="ListParagraph"/>
        <w:rPr>
          <w:rFonts w:ascii="Times New Roman" w:hAnsi="Times New Roman" w:cs="Times New Roman"/>
          <w:sz w:val="24"/>
          <w:szCs w:val="24"/>
        </w:rPr>
      </w:pPr>
    </w:p>
    <w:p w14:paraId="75FAA9B1" w14:textId="77777777" w:rsidR="000A1CFC" w:rsidRPr="00A2118B" w:rsidRDefault="000A1CFC" w:rsidP="000A1CFC">
      <w:pPr>
        <w:rPr>
          <w:rFonts w:ascii="Times New Roman" w:hAnsi="Times New Roman" w:cs="Times New Roman"/>
          <w:b/>
        </w:rPr>
      </w:pPr>
      <w:r w:rsidRPr="00A2118B">
        <w:rPr>
          <w:rFonts w:ascii="Times New Roman" w:hAnsi="Times New Roman" w:cs="Times New Roman"/>
          <w:b/>
        </w:rPr>
        <w:t>Recommendations for the new General Comment:</w:t>
      </w:r>
    </w:p>
    <w:p w14:paraId="2C4CDD1E" w14:textId="77777777" w:rsidR="000A1CFC" w:rsidRPr="00A2118B" w:rsidRDefault="000A1CFC" w:rsidP="000A1CFC">
      <w:pPr>
        <w:rPr>
          <w:rFonts w:ascii="Times New Roman" w:hAnsi="Times New Roman" w:cs="Times New Roman"/>
          <w:b/>
        </w:rPr>
      </w:pPr>
    </w:p>
    <w:p w14:paraId="1BCB9E71" w14:textId="77777777" w:rsidR="000A1CFC" w:rsidRPr="00A2118B" w:rsidRDefault="000A1CFC" w:rsidP="000A1CFC">
      <w:pPr>
        <w:pStyle w:val="ListParagraph"/>
        <w:numPr>
          <w:ilvl w:val="0"/>
          <w:numId w:val="6"/>
        </w:numPr>
        <w:jc w:val="both"/>
        <w:rPr>
          <w:rFonts w:ascii="Times New Roman" w:hAnsi="Times New Roman" w:cs="Times New Roman"/>
          <w:b/>
          <w:sz w:val="24"/>
          <w:szCs w:val="24"/>
        </w:rPr>
      </w:pPr>
      <w:r w:rsidRPr="00A2118B">
        <w:rPr>
          <w:rFonts w:ascii="Times New Roman" w:hAnsi="Times New Roman" w:cs="Times New Roman"/>
          <w:b/>
          <w:sz w:val="24"/>
          <w:szCs w:val="24"/>
        </w:rPr>
        <w:t>The Human Rights Committee may wish to consider expressly recognizing the close link between the right to peaceful assembly and the right to participate.</w:t>
      </w:r>
    </w:p>
    <w:p w14:paraId="037AAF6E" w14:textId="77777777" w:rsidR="00C56DE3" w:rsidRPr="00A2118B" w:rsidRDefault="000A1CFC" w:rsidP="00C56DE3">
      <w:pPr>
        <w:pStyle w:val="ListParagraph"/>
        <w:numPr>
          <w:ilvl w:val="0"/>
          <w:numId w:val="6"/>
        </w:numPr>
        <w:spacing w:line="276" w:lineRule="auto"/>
        <w:jc w:val="both"/>
        <w:rPr>
          <w:rFonts w:ascii="Times New Roman" w:hAnsi="Times New Roman" w:cs="Times New Roman"/>
          <w:b/>
          <w:color w:val="000000" w:themeColor="text1"/>
          <w:sz w:val="24"/>
          <w:szCs w:val="24"/>
        </w:rPr>
      </w:pPr>
      <w:r w:rsidRPr="00A2118B">
        <w:rPr>
          <w:rFonts w:ascii="Times New Roman" w:hAnsi="Times New Roman" w:cs="Times New Roman"/>
          <w:b/>
          <w:sz w:val="24"/>
          <w:szCs w:val="24"/>
        </w:rPr>
        <w:t>The Human Rights Committee may wish to explore how restricting the right to peaceful assembly may affect the right to participate.</w:t>
      </w:r>
    </w:p>
    <w:p w14:paraId="27A509E5" w14:textId="77777777" w:rsidR="00E1750B" w:rsidRPr="00A2118B" w:rsidRDefault="00C56DE3" w:rsidP="00BE2C9E">
      <w:pPr>
        <w:pStyle w:val="ListParagraph"/>
        <w:numPr>
          <w:ilvl w:val="0"/>
          <w:numId w:val="6"/>
        </w:numPr>
        <w:spacing w:line="276" w:lineRule="auto"/>
        <w:jc w:val="both"/>
        <w:rPr>
          <w:rFonts w:ascii="Times New Roman" w:hAnsi="Times New Roman" w:cs="Times New Roman"/>
          <w:b/>
          <w:color w:val="000000" w:themeColor="text1"/>
          <w:sz w:val="24"/>
          <w:szCs w:val="24"/>
        </w:rPr>
      </w:pPr>
      <w:r w:rsidRPr="00A2118B">
        <w:rPr>
          <w:rFonts w:ascii="Times New Roman" w:hAnsi="Times New Roman" w:cs="Times New Roman"/>
          <w:b/>
          <w:sz w:val="24"/>
          <w:szCs w:val="24"/>
        </w:rPr>
        <w:t xml:space="preserve">The Human Rights Committee may wish to consider recognizing the importance of public space for the right to peaceful assembly and participation and the role of urban planning and redevelopment in promoting or restricting these rights. </w:t>
      </w:r>
    </w:p>
    <w:p w14:paraId="112C4373" w14:textId="05CD14D6" w:rsidR="000A1CFC" w:rsidRPr="00A2118B" w:rsidRDefault="000A1CFC" w:rsidP="00BE2C9E">
      <w:pPr>
        <w:pStyle w:val="ListParagraph"/>
        <w:numPr>
          <w:ilvl w:val="0"/>
          <w:numId w:val="6"/>
        </w:numPr>
        <w:spacing w:line="276" w:lineRule="auto"/>
        <w:jc w:val="both"/>
        <w:rPr>
          <w:rFonts w:ascii="Times New Roman" w:hAnsi="Times New Roman" w:cs="Times New Roman"/>
          <w:b/>
          <w:color w:val="000000" w:themeColor="text1"/>
          <w:sz w:val="24"/>
          <w:szCs w:val="24"/>
        </w:rPr>
      </w:pPr>
      <w:r w:rsidRPr="00A2118B">
        <w:rPr>
          <w:rFonts w:ascii="Times New Roman" w:hAnsi="Times New Roman" w:cs="Times New Roman"/>
          <w:b/>
          <w:color w:val="000000" w:themeColor="text1"/>
          <w:sz w:val="24"/>
          <w:szCs w:val="24"/>
        </w:rPr>
        <w:t>The Human Rights Committee may wish to consider recognizing the pivotal role that freedom of assembly has to the right to vote and stand for election and outlaw blanket prohibitions on freedom of assembly in the context of elections.</w:t>
      </w:r>
    </w:p>
    <w:p w14:paraId="6A2440A2" w14:textId="77777777" w:rsidR="000A1CFC" w:rsidRPr="00A2118B" w:rsidRDefault="000A1CFC" w:rsidP="000A1CFC">
      <w:pPr>
        <w:pStyle w:val="ListParagraph"/>
        <w:numPr>
          <w:ilvl w:val="0"/>
          <w:numId w:val="6"/>
        </w:numPr>
        <w:spacing w:line="276" w:lineRule="auto"/>
        <w:jc w:val="both"/>
        <w:rPr>
          <w:rFonts w:ascii="Times New Roman" w:hAnsi="Times New Roman" w:cs="Times New Roman"/>
          <w:b/>
          <w:color w:val="000000" w:themeColor="text1"/>
          <w:sz w:val="24"/>
          <w:szCs w:val="24"/>
        </w:rPr>
      </w:pPr>
      <w:r w:rsidRPr="00A2118B">
        <w:rPr>
          <w:rFonts w:ascii="Times New Roman" w:hAnsi="Times New Roman" w:cs="Times New Roman"/>
          <w:b/>
          <w:color w:val="000000" w:themeColor="text1"/>
          <w:sz w:val="24"/>
          <w:szCs w:val="24"/>
        </w:rPr>
        <w:t>The Human Rights Committee may wish to consider recognizing the importance of freedom of assembly in the context of elections and the role campaign events have to play in guaranteeing the free expression and will of the electors.</w:t>
      </w:r>
    </w:p>
    <w:p w14:paraId="0BD066FD" w14:textId="77777777" w:rsidR="000A1CFC" w:rsidRPr="00A2118B" w:rsidRDefault="000A1CFC" w:rsidP="000A1CFC">
      <w:pPr>
        <w:pStyle w:val="ListParagraph"/>
        <w:numPr>
          <w:ilvl w:val="0"/>
          <w:numId w:val="6"/>
        </w:numPr>
        <w:spacing w:line="276" w:lineRule="auto"/>
        <w:jc w:val="both"/>
        <w:rPr>
          <w:rFonts w:ascii="Times New Roman" w:hAnsi="Times New Roman" w:cs="Times New Roman"/>
          <w:b/>
          <w:sz w:val="24"/>
          <w:szCs w:val="24"/>
        </w:rPr>
      </w:pPr>
      <w:r w:rsidRPr="00A2118B">
        <w:rPr>
          <w:rFonts w:ascii="Times New Roman" w:hAnsi="Times New Roman" w:cs="Times New Roman"/>
          <w:b/>
          <w:sz w:val="24"/>
          <w:szCs w:val="24"/>
        </w:rPr>
        <w:t>The Human Rights Committee may wish to consider recognizing the importance of the right of peaceful assembly for non-electoral participation modalities, especially for direct democracy.</w:t>
      </w:r>
    </w:p>
    <w:p w14:paraId="3BFCE3AA" w14:textId="77777777" w:rsidR="000A1CFC" w:rsidRPr="00A2118B" w:rsidRDefault="000A1CFC" w:rsidP="000A1CFC">
      <w:pPr>
        <w:pStyle w:val="ListParagraph"/>
        <w:spacing w:line="276" w:lineRule="auto"/>
        <w:jc w:val="both"/>
        <w:rPr>
          <w:rFonts w:ascii="Times New Roman" w:hAnsi="Times New Roman" w:cs="Times New Roman"/>
          <w:b/>
          <w:sz w:val="24"/>
          <w:szCs w:val="24"/>
        </w:rPr>
      </w:pPr>
    </w:p>
    <w:p w14:paraId="6FB6B816" w14:textId="77777777" w:rsidR="000A1CFC" w:rsidRPr="00A2118B" w:rsidRDefault="000A1CFC" w:rsidP="000A1CFC">
      <w:pPr>
        <w:pStyle w:val="ListParagraph"/>
        <w:numPr>
          <w:ilvl w:val="0"/>
          <w:numId w:val="10"/>
        </w:numPr>
        <w:spacing w:line="276" w:lineRule="auto"/>
        <w:rPr>
          <w:rFonts w:ascii="Times New Roman" w:hAnsi="Times New Roman" w:cs="Times New Roman"/>
          <w:b/>
          <w:sz w:val="24"/>
          <w:szCs w:val="24"/>
        </w:rPr>
      </w:pPr>
      <w:r w:rsidRPr="00A2118B">
        <w:rPr>
          <w:rFonts w:ascii="Times New Roman" w:hAnsi="Times New Roman" w:cs="Times New Roman"/>
          <w:b/>
          <w:sz w:val="24"/>
          <w:szCs w:val="24"/>
        </w:rPr>
        <w:t xml:space="preserve">Non-discrimination </w:t>
      </w:r>
    </w:p>
    <w:p w14:paraId="7976D09A" w14:textId="2A0E9BFA" w:rsidR="000A1CFC" w:rsidRPr="00A2118B" w:rsidRDefault="000A1CFC" w:rsidP="000A1CFC">
      <w:pPr>
        <w:pStyle w:val="ListParagraph"/>
        <w:rPr>
          <w:rFonts w:ascii="Times New Roman" w:hAnsi="Times New Roman" w:cs="Times New Roman"/>
          <w:sz w:val="24"/>
          <w:szCs w:val="24"/>
        </w:rPr>
      </w:pPr>
    </w:p>
    <w:p w14:paraId="28635F38" w14:textId="26D4B2E4" w:rsidR="000A1CFC" w:rsidRPr="00A2118B" w:rsidRDefault="00191819" w:rsidP="00301E32">
      <w:pPr>
        <w:pStyle w:val="ListParagraph"/>
        <w:numPr>
          <w:ilvl w:val="0"/>
          <w:numId w:val="13"/>
        </w:numPr>
        <w:spacing w:line="276" w:lineRule="auto"/>
        <w:jc w:val="both"/>
        <w:rPr>
          <w:rFonts w:ascii="Times New Roman" w:hAnsi="Times New Roman" w:cs="Times New Roman"/>
          <w:sz w:val="24"/>
          <w:szCs w:val="24"/>
        </w:rPr>
      </w:pPr>
      <w:r w:rsidRPr="00A2118B">
        <w:rPr>
          <w:rFonts w:ascii="Times New Roman" w:hAnsi="Times New Roman" w:cs="Times New Roman"/>
          <w:sz w:val="24"/>
          <w:szCs w:val="24"/>
        </w:rPr>
        <w:t xml:space="preserve"> Certain groups and individuals </w:t>
      </w:r>
      <w:proofErr w:type="gramStart"/>
      <w:r w:rsidRPr="00A2118B">
        <w:rPr>
          <w:rFonts w:ascii="Times New Roman" w:hAnsi="Times New Roman" w:cs="Times New Roman"/>
          <w:sz w:val="24"/>
          <w:szCs w:val="24"/>
        </w:rPr>
        <w:t>are disproportionately affected</w:t>
      </w:r>
      <w:proofErr w:type="gramEnd"/>
      <w:r w:rsidRPr="00A2118B">
        <w:rPr>
          <w:rFonts w:ascii="Times New Roman" w:hAnsi="Times New Roman" w:cs="Times New Roman"/>
          <w:sz w:val="24"/>
          <w:szCs w:val="24"/>
        </w:rPr>
        <w:t xml:space="preserve"> by the global shrinking of civic space. UN special procedures highlighted the situation of human rights defenders who disproportionately face human rights viola</w:t>
      </w:r>
      <w:r w:rsidR="00A2118B">
        <w:rPr>
          <w:rFonts w:ascii="Times New Roman" w:hAnsi="Times New Roman" w:cs="Times New Roman"/>
          <w:sz w:val="24"/>
          <w:szCs w:val="24"/>
        </w:rPr>
        <w:t xml:space="preserve">tions, because of who they are, </w:t>
      </w:r>
      <w:r w:rsidRPr="00A2118B">
        <w:rPr>
          <w:rFonts w:ascii="Times New Roman" w:hAnsi="Times New Roman" w:cs="Times New Roman"/>
          <w:sz w:val="24"/>
          <w:szCs w:val="24"/>
        </w:rPr>
        <w:t>what they represent</w:t>
      </w:r>
      <w:r w:rsidR="00A2118B">
        <w:rPr>
          <w:rFonts w:ascii="Times New Roman" w:hAnsi="Times New Roman" w:cs="Times New Roman"/>
          <w:sz w:val="24"/>
          <w:szCs w:val="24"/>
        </w:rPr>
        <w:t>,</w:t>
      </w:r>
      <w:r w:rsidRPr="00A2118B">
        <w:rPr>
          <w:rFonts w:ascii="Times New Roman" w:hAnsi="Times New Roman" w:cs="Times New Roman"/>
          <w:sz w:val="24"/>
          <w:szCs w:val="24"/>
        </w:rPr>
        <w:t xml:space="preserve"> or the rights they promote- such as indigenous defenders, environmental and land rights defenders, LGBTI rights </w:t>
      </w:r>
      <w:r w:rsidR="00A2118B">
        <w:rPr>
          <w:rFonts w:ascii="Times New Roman" w:hAnsi="Times New Roman" w:cs="Times New Roman"/>
          <w:sz w:val="24"/>
          <w:szCs w:val="24"/>
        </w:rPr>
        <w:t>defenders, etc. Women defenders</w:t>
      </w:r>
      <w:r w:rsidRPr="00A2118B">
        <w:rPr>
          <w:rFonts w:ascii="Times New Roman" w:hAnsi="Times New Roman" w:cs="Times New Roman"/>
          <w:sz w:val="24"/>
          <w:szCs w:val="24"/>
        </w:rPr>
        <w:t xml:space="preserve"> </w:t>
      </w:r>
      <w:r w:rsidRPr="00A2118B">
        <w:rPr>
          <w:rFonts w:ascii="Times New Roman" w:hAnsi="Times New Roman" w:cs="Times New Roman"/>
          <w:sz w:val="24"/>
          <w:szCs w:val="24"/>
          <w:lang w:val="en-US"/>
        </w:rPr>
        <w:t>face unique and additional challenges compared to their male counterparts</w:t>
      </w:r>
      <w:r w:rsidRPr="00A2118B">
        <w:rPr>
          <w:rFonts w:ascii="Times New Roman" w:hAnsi="Times New Roman" w:cs="Times New Roman"/>
          <w:sz w:val="24"/>
          <w:szCs w:val="24"/>
        </w:rPr>
        <w:t>.</w:t>
      </w:r>
      <w:r w:rsidRPr="00A2118B">
        <w:rPr>
          <w:rStyle w:val="FootnoteReference"/>
          <w:rFonts w:ascii="Times New Roman" w:hAnsi="Times New Roman" w:cs="Times New Roman"/>
          <w:sz w:val="24"/>
          <w:szCs w:val="24"/>
        </w:rPr>
        <w:footnoteReference w:id="35"/>
      </w:r>
      <w:r w:rsidRPr="00A2118B">
        <w:rPr>
          <w:rFonts w:ascii="Times New Roman" w:hAnsi="Times New Roman" w:cs="Times New Roman"/>
          <w:sz w:val="24"/>
          <w:szCs w:val="24"/>
        </w:rPr>
        <w:t xml:space="preserve"> </w:t>
      </w:r>
    </w:p>
    <w:p w14:paraId="0E75E262" w14:textId="77777777" w:rsidR="000A1CFC" w:rsidRPr="00A2118B" w:rsidRDefault="000A1CFC" w:rsidP="000A1CFC">
      <w:pPr>
        <w:pStyle w:val="ListParagraph"/>
        <w:spacing w:line="276" w:lineRule="auto"/>
        <w:jc w:val="both"/>
        <w:rPr>
          <w:rFonts w:ascii="Times New Roman" w:hAnsi="Times New Roman" w:cs="Times New Roman"/>
          <w:sz w:val="24"/>
          <w:szCs w:val="24"/>
        </w:rPr>
      </w:pPr>
    </w:p>
    <w:p w14:paraId="0A180CDC" w14:textId="3DAFADB9" w:rsidR="000A1CFC" w:rsidRPr="00A2118B" w:rsidRDefault="00191819" w:rsidP="00301E32">
      <w:pPr>
        <w:pStyle w:val="ListParagraph"/>
        <w:numPr>
          <w:ilvl w:val="0"/>
          <w:numId w:val="13"/>
        </w:numPr>
        <w:spacing w:line="276" w:lineRule="auto"/>
        <w:jc w:val="both"/>
        <w:rPr>
          <w:rFonts w:ascii="Times New Roman" w:hAnsi="Times New Roman" w:cs="Times New Roman"/>
          <w:sz w:val="24"/>
          <w:szCs w:val="24"/>
        </w:rPr>
      </w:pPr>
      <w:proofErr w:type="gramStart"/>
      <w:r w:rsidRPr="00A2118B">
        <w:rPr>
          <w:rFonts w:ascii="Times New Roman" w:hAnsi="Times New Roman" w:cs="Times New Roman"/>
          <w:sz w:val="24"/>
          <w:szCs w:val="24"/>
        </w:rPr>
        <w:t xml:space="preserve">The Special Rapporteur on the rights to freedom of peaceful assembly and of association has identified some groups most at risk of experiencing discrimination in relation to the enjoyment of the right to peaceful </w:t>
      </w:r>
      <w:proofErr w:type="spellStart"/>
      <w:r w:rsidRPr="00A2118B">
        <w:rPr>
          <w:rFonts w:ascii="Times New Roman" w:hAnsi="Times New Roman" w:cs="Times New Roman"/>
          <w:sz w:val="24"/>
          <w:szCs w:val="24"/>
        </w:rPr>
        <w:t>assembly,</w:t>
      </w:r>
      <w:r w:rsidR="00E1750B" w:rsidRPr="00A2118B">
        <w:rPr>
          <w:rFonts w:ascii="Times New Roman" w:hAnsi="Times New Roman" w:cs="Times New Roman"/>
          <w:sz w:val="24"/>
          <w:szCs w:val="24"/>
        </w:rPr>
        <w:t>including</w:t>
      </w:r>
      <w:proofErr w:type="spellEnd"/>
      <w:r w:rsidR="00E1750B" w:rsidRPr="00A2118B">
        <w:rPr>
          <w:rFonts w:ascii="Times New Roman" w:hAnsi="Times New Roman" w:cs="Times New Roman"/>
          <w:sz w:val="24"/>
          <w:szCs w:val="24"/>
        </w:rPr>
        <w:t>:</w:t>
      </w:r>
      <w:r w:rsidRPr="00A2118B">
        <w:rPr>
          <w:rFonts w:ascii="Times New Roman" w:hAnsi="Times New Roman" w:cs="Times New Roman"/>
          <w:sz w:val="24"/>
          <w:szCs w:val="24"/>
        </w:rPr>
        <w:t xml:space="preserve"> persons with disabilities; youth, including children; lesbian, gay, bisexual, transgender and intersex people; members of minority groups; indigenous peoples; internally displaced persons; and non-nationals, including refugees, asylum seekers and migrant workers.</w:t>
      </w:r>
      <w:r w:rsidRPr="00A2118B">
        <w:rPr>
          <w:rStyle w:val="FootnoteReference"/>
          <w:rFonts w:ascii="Times New Roman" w:hAnsi="Times New Roman" w:cs="Times New Roman"/>
          <w:sz w:val="24"/>
          <w:szCs w:val="24"/>
        </w:rPr>
        <w:footnoteReference w:id="36"/>
      </w:r>
      <w:r w:rsidRPr="00A2118B">
        <w:rPr>
          <w:rFonts w:ascii="Times New Roman" w:hAnsi="Times New Roman" w:cs="Times New Roman"/>
          <w:sz w:val="24"/>
          <w:szCs w:val="24"/>
        </w:rPr>
        <w:t>.</w:t>
      </w:r>
      <w:proofErr w:type="gramEnd"/>
      <w:r w:rsidRPr="00A2118B">
        <w:rPr>
          <w:rFonts w:ascii="Times New Roman" w:hAnsi="Times New Roman" w:cs="Times New Roman"/>
          <w:sz w:val="24"/>
          <w:szCs w:val="24"/>
        </w:rPr>
        <w:t xml:space="preserve"> Within each of these population “groups”, women and girls are particularly affected.</w:t>
      </w:r>
      <w:r w:rsidRPr="00A2118B">
        <w:rPr>
          <w:rStyle w:val="FootnoteReference"/>
          <w:rFonts w:ascii="Times New Roman" w:hAnsi="Times New Roman" w:cs="Times New Roman"/>
          <w:sz w:val="24"/>
          <w:szCs w:val="24"/>
        </w:rPr>
        <w:footnoteReference w:id="37"/>
      </w:r>
    </w:p>
    <w:p w14:paraId="6D00391E" w14:textId="77777777" w:rsidR="000A1CFC" w:rsidRPr="00A2118B" w:rsidRDefault="000A1CFC" w:rsidP="000A1CFC">
      <w:pPr>
        <w:pStyle w:val="ListParagraph"/>
        <w:rPr>
          <w:rFonts w:ascii="Times New Roman" w:hAnsi="Times New Roman" w:cs="Times New Roman"/>
          <w:sz w:val="24"/>
          <w:szCs w:val="24"/>
        </w:rPr>
      </w:pPr>
    </w:p>
    <w:p w14:paraId="4CAFB715" w14:textId="77777777" w:rsidR="00E1750B" w:rsidRPr="00A2118B" w:rsidRDefault="00191819" w:rsidP="00301E32">
      <w:pPr>
        <w:pStyle w:val="ListParagraph"/>
        <w:numPr>
          <w:ilvl w:val="0"/>
          <w:numId w:val="13"/>
        </w:numPr>
        <w:spacing w:line="276" w:lineRule="auto"/>
        <w:jc w:val="both"/>
        <w:rPr>
          <w:rFonts w:ascii="Times New Roman" w:hAnsi="Times New Roman" w:cs="Times New Roman"/>
          <w:sz w:val="24"/>
          <w:szCs w:val="24"/>
        </w:rPr>
      </w:pPr>
      <w:r w:rsidRPr="00A2118B">
        <w:rPr>
          <w:rFonts w:ascii="Times New Roman" w:hAnsi="Times New Roman" w:cs="Times New Roman"/>
          <w:sz w:val="24"/>
          <w:szCs w:val="24"/>
        </w:rPr>
        <w:t>Civ</w:t>
      </w:r>
      <w:r w:rsidR="00E1750B" w:rsidRPr="00A2118B">
        <w:rPr>
          <w:rFonts w:ascii="Times New Roman" w:hAnsi="Times New Roman" w:cs="Times New Roman"/>
          <w:sz w:val="24"/>
          <w:szCs w:val="24"/>
        </w:rPr>
        <w:t xml:space="preserve">il society actors that promote </w:t>
      </w:r>
      <w:r w:rsidRPr="00A2118B">
        <w:rPr>
          <w:rFonts w:ascii="Times New Roman" w:hAnsi="Times New Roman" w:cs="Times New Roman"/>
          <w:sz w:val="24"/>
          <w:szCs w:val="24"/>
        </w:rPr>
        <w:t xml:space="preserve">the rights of the above mentioned groups are more likely to be subject to unnecessary restrictions to public freedoms, including expression, assembly and association, and participation. In relation to women and girls from all backgrounds, meaningful participation </w:t>
      </w:r>
      <w:proofErr w:type="gramStart"/>
      <w:r w:rsidRPr="00A2118B">
        <w:rPr>
          <w:rFonts w:ascii="Times New Roman" w:hAnsi="Times New Roman" w:cs="Times New Roman"/>
          <w:sz w:val="24"/>
          <w:szCs w:val="24"/>
        </w:rPr>
        <w:t>is often particularly hindered</w:t>
      </w:r>
      <w:proofErr w:type="gramEnd"/>
      <w:r w:rsidRPr="00A2118B">
        <w:rPr>
          <w:rFonts w:ascii="Times New Roman" w:hAnsi="Times New Roman" w:cs="Times New Roman"/>
          <w:sz w:val="24"/>
          <w:szCs w:val="24"/>
        </w:rPr>
        <w:t xml:space="preserve"> through discriminatory and harmful laws, policies, social norms and practices that preserve unequal patriarchal norms that keep women and girls out of social and public spaces.</w:t>
      </w:r>
      <w:r w:rsidRPr="00A2118B">
        <w:rPr>
          <w:rStyle w:val="FootnoteReference"/>
          <w:rFonts w:ascii="Times New Roman" w:hAnsi="Times New Roman" w:cs="Times New Roman"/>
          <w:sz w:val="24"/>
          <w:szCs w:val="24"/>
        </w:rPr>
        <w:footnoteReference w:id="38"/>
      </w:r>
      <w:r w:rsidRPr="00A2118B">
        <w:rPr>
          <w:rFonts w:ascii="Times New Roman" w:hAnsi="Times New Roman" w:cs="Times New Roman"/>
          <w:sz w:val="24"/>
          <w:szCs w:val="24"/>
        </w:rPr>
        <w:t xml:space="preserve"> </w:t>
      </w:r>
      <w:r w:rsidRPr="00A2118B">
        <w:rPr>
          <w:rStyle w:val="FootnoteReference"/>
          <w:rFonts w:ascii="Times New Roman" w:hAnsi="Times New Roman" w:cs="Times New Roman"/>
          <w:sz w:val="24"/>
          <w:szCs w:val="24"/>
        </w:rPr>
        <w:footnoteReference w:id="39"/>
      </w:r>
      <w:r w:rsidRPr="00A2118B">
        <w:rPr>
          <w:rFonts w:ascii="Times New Roman" w:hAnsi="Times New Roman" w:cs="Times New Roman"/>
          <w:sz w:val="24"/>
          <w:szCs w:val="24"/>
        </w:rPr>
        <w:t xml:space="preserve"> </w:t>
      </w:r>
    </w:p>
    <w:p w14:paraId="0B5B39EC" w14:textId="77777777" w:rsidR="00E1750B" w:rsidRPr="00A2118B" w:rsidRDefault="00E1750B" w:rsidP="00E1750B">
      <w:pPr>
        <w:pStyle w:val="ListParagraph"/>
        <w:rPr>
          <w:rFonts w:ascii="Times New Roman" w:hAnsi="Times New Roman" w:cs="Times New Roman"/>
          <w:sz w:val="24"/>
          <w:szCs w:val="24"/>
        </w:rPr>
      </w:pPr>
    </w:p>
    <w:p w14:paraId="2F8E6DA3" w14:textId="77777777" w:rsidR="00E1750B" w:rsidRPr="00A2118B" w:rsidRDefault="00191819" w:rsidP="00301E32">
      <w:pPr>
        <w:pStyle w:val="ListParagraph"/>
        <w:numPr>
          <w:ilvl w:val="0"/>
          <w:numId w:val="13"/>
        </w:numPr>
        <w:spacing w:line="276" w:lineRule="auto"/>
        <w:jc w:val="both"/>
        <w:rPr>
          <w:rFonts w:ascii="Times New Roman" w:hAnsi="Times New Roman" w:cs="Times New Roman"/>
          <w:sz w:val="24"/>
          <w:szCs w:val="24"/>
        </w:rPr>
      </w:pPr>
      <w:r w:rsidRPr="00A2118B">
        <w:rPr>
          <w:rFonts w:ascii="Times New Roman" w:hAnsi="Times New Roman" w:cs="Times New Roman"/>
          <w:sz w:val="24"/>
          <w:szCs w:val="24"/>
        </w:rPr>
        <w:t>More specifically, assemblies held and led by women are increasingly subject to police violence, harassment</w:t>
      </w:r>
      <w:r w:rsidR="00E1750B" w:rsidRPr="00A2118B">
        <w:rPr>
          <w:rFonts w:ascii="Times New Roman" w:hAnsi="Times New Roman" w:cs="Times New Roman"/>
          <w:sz w:val="24"/>
          <w:szCs w:val="24"/>
        </w:rPr>
        <w:t>,</w:t>
      </w:r>
      <w:r w:rsidRPr="00A2118B">
        <w:rPr>
          <w:rFonts w:ascii="Times New Roman" w:hAnsi="Times New Roman" w:cs="Times New Roman"/>
          <w:sz w:val="24"/>
          <w:szCs w:val="24"/>
        </w:rPr>
        <w:t xml:space="preserve"> judicial intimidation and defamation campaigns, including by political leaders</w:t>
      </w:r>
      <w:r w:rsidR="00E120F9" w:rsidRPr="00A2118B">
        <w:rPr>
          <w:rFonts w:ascii="Times New Roman" w:hAnsi="Times New Roman" w:cs="Times New Roman"/>
          <w:sz w:val="24"/>
          <w:szCs w:val="24"/>
        </w:rPr>
        <w:t>.</w:t>
      </w:r>
      <w:r w:rsidRPr="00A2118B">
        <w:rPr>
          <w:rStyle w:val="FootnoteReference"/>
          <w:rFonts w:ascii="Times New Roman" w:hAnsi="Times New Roman" w:cs="Times New Roman"/>
          <w:sz w:val="24"/>
          <w:szCs w:val="24"/>
        </w:rPr>
        <w:footnoteReference w:id="40"/>
      </w:r>
      <w:r w:rsidRPr="00A2118B">
        <w:rPr>
          <w:rFonts w:ascii="Times New Roman" w:hAnsi="Times New Roman" w:cs="Times New Roman"/>
          <w:sz w:val="24"/>
          <w:szCs w:val="24"/>
        </w:rPr>
        <w:t xml:space="preserve"> </w:t>
      </w:r>
      <w:r w:rsidR="001D3255" w:rsidRPr="00A2118B">
        <w:rPr>
          <w:rFonts w:ascii="Times New Roman" w:hAnsi="Times New Roman" w:cs="Times New Roman"/>
          <w:sz w:val="24"/>
          <w:szCs w:val="24"/>
        </w:rPr>
        <w:t>State and non-State actors often exert pressures on women and girls</w:t>
      </w:r>
      <w:r w:rsidRPr="00A2118B">
        <w:rPr>
          <w:rFonts w:ascii="Times New Roman" w:hAnsi="Times New Roman" w:cs="Times New Roman"/>
          <w:sz w:val="24"/>
          <w:szCs w:val="24"/>
        </w:rPr>
        <w:t xml:space="preserve">. LGBTI activists and organisations </w:t>
      </w:r>
      <w:r w:rsidR="00483A6F" w:rsidRPr="00A2118B">
        <w:rPr>
          <w:rFonts w:ascii="Times New Roman" w:hAnsi="Times New Roman" w:cs="Times New Roman"/>
          <w:sz w:val="24"/>
          <w:szCs w:val="24"/>
        </w:rPr>
        <w:t>suffer</w:t>
      </w:r>
      <w:r w:rsidRPr="00A2118B">
        <w:rPr>
          <w:rFonts w:ascii="Times New Roman" w:hAnsi="Times New Roman" w:cs="Times New Roman"/>
          <w:sz w:val="24"/>
          <w:szCs w:val="24"/>
        </w:rPr>
        <w:t xml:space="preserve"> simil</w:t>
      </w:r>
      <w:r w:rsidR="00483A6F" w:rsidRPr="00A2118B">
        <w:rPr>
          <w:rFonts w:ascii="Times New Roman" w:hAnsi="Times New Roman" w:cs="Times New Roman"/>
          <w:sz w:val="24"/>
          <w:szCs w:val="24"/>
        </w:rPr>
        <w:t>ar practices as well as</w:t>
      </w:r>
      <w:r w:rsidRPr="00A2118B">
        <w:rPr>
          <w:rFonts w:ascii="Times New Roman" w:hAnsi="Times New Roman" w:cs="Times New Roman"/>
          <w:sz w:val="24"/>
          <w:szCs w:val="24"/>
        </w:rPr>
        <w:t xml:space="preserve"> arbitrary detention. </w:t>
      </w:r>
    </w:p>
    <w:p w14:paraId="654A5566" w14:textId="77777777" w:rsidR="00E1750B" w:rsidRPr="00A2118B" w:rsidRDefault="00E1750B" w:rsidP="00E1750B">
      <w:pPr>
        <w:pStyle w:val="ListParagraph"/>
        <w:rPr>
          <w:rFonts w:ascii="Times New Roman" w:hAnsi="Times New Roman" w:cs="Times New Roman"/>
          <w:sz w:val="24"/>
          <w:szCs w:val="24"/>
        </w:rPr>
      </w:pPr>
    </w:p>
    <w:p w14:paraId="427F17D2" w14:textId="3B0E52E2" w:rsidR="000A1CFC" w:rsidRPr="00A2118B" w:rsidRDefault="00191819" w:rsidP="00301E32">
      <w:pPr>
        <w:pStyle w:val="ListParagraph"/>
        <w:numPr>
          <w:ilvl w:val="0"/>
          <w:numId w:val="13"/>
        </w:numPr>
        <w:spacing w:line="276" w:lineRule="auto"/>
        <w:jc w:val="both"/>
        <w:rPr>
          <w:rFonts w:ascii="Times New Roman" w:hAnsi="Times New Roman" w:cs="Times New Roman"/>
          <w:sz w:val="24"/>
          <w:szCs w:val="24"/>
        </w:rPr>
      </w:pPr>
      <w:r w:rsidRPr="00A2118B">
        <w:rPr>
          <w:rFonts w:ascii="Times New Roman" w:hAnsi="Times New Roman" w:cs="Times New Roman"/>
          <w:sz w:val="24"/>
          <w:szCs w:val="24"/>
        </w:rPr>
        <w:t>In the context of migration, organisations and individuals who defend the human rights of migrants are often harassed, attacked and criminali</w:t>
      </w:r>
      <w:r w:rsidR="00E120F9" w:rsidRPr="00A2118B">
        <w:rPr>
          <w:rFonts w:ascii="Times New Roman" w:hAnsi="Times New Roman" w:cs="Times New Roman"/>
          <w:sz w:val="24"/>
          <w:szCs w:val="24"/>
        </w:rPr>
        <w:t>s</w:t>
      </w:r>
      <w:r w:rsidRPr="00A2118B">
        <w:rPr>
          <w:rFonts w:ascii="Times New Roman" w:hAnsi="Times New Roman" w:cs="Times New Roman"/>
          <w:sz w:val="24"/>
          <w:szCs w:val="24"/>
        </w:rPr>
        <w:t>ed for their work.</w:t>
      </w:r>
      <w:r w:rsidRPr="00A2118B">
        <w:rPr>
          <w:rStyle w:val="FootnoteReference"/>
          <w:rFonts w:ascii="Times New Roman" w:hAnsi="Times New Roman" w:cs="Times New Roman"/>
          <w:sz w:val="24"/>
          <w:szCs w:val="24"/>
        </w:rPr>
        <w:footnoteReference w:id="41"/>
      </w:r>
      <w:r w:rsidRPr="00A2118B">
        <w:rPr>
          <w:rFonts w:ascii="Times New Roman" w:hAnsi="Times New Roman" w:cs="Times New Roman"/>
          <w:sz w:val="24"/>
          <w:szCs w:val="24"/>
        </w:rPr>
        <w:t xml:space="preserve"> Their activities often fall within the ambit of a law criminali</w:t>
      </w:r>
      <w:r w:rsidR="00E120F9" w:rsidRPr="00A2118B">
        <w:rPr>
          <w:rFonts w:ascii="Times New Roman" w:hAnsi="Times New Roman" w:cs="Times New Roman"/>
          <w:sz w:val="24"/>
          <w:szCs w:val="24"/>
        </w:rPr>
        <w:t>s</w:t>
      </w:r>
      <w:r w:rsidRPr="00A2118B">
        <w:rPr>
          <w:rFonts w:ascii="Times New Roman" w:hAnsi="Times New Roman" w:cs="Times New Roman"/>
          <w:sz w:val="24"/>
          <w:szCs w:val="24"/>
        </w:rPr>
        <w:t>ing their actions, with States failing to recognize their actions as a form of protest to protect the human rights of migrants.</w:t>
      </w:r>
      <w:r w:rsidRPr="00A2118B">
        <w:rPr>
          <w:rStyle w:val="FootnoteReference"/>
          <w:rFonts w:ascii="Times New Roman" w:hAnsi="Times New Roman" w:cs="Times New Roman"/>
          <w:sz w:val="24"/>
          <w:szCs w:val="24"/>
        </w:rPr>
        <w:footnoteReference w:id="42"/>
      </w:r>
      <w:r w:rsidRPr="00A2118B">
        <w:rPr>
          <w:rFonts w:ascii="Times New Roman" w:hAnsi="Times New Roman" w:cs="Times New Roman"/>
          <w:sz w:val="24"/>
          <w:szCs w:val="24"/>
        </w:rPr>
        <w:t xml:space="preserve"> Furthermore, instead of providing an enabling environment for migrants’ human rights defenders as required by the right to freedom of assembly, States often take measures </w:t>
      </w:r>
      <w:proofErr w:type="gramStart"/>
      <w:r w:rsidRPr="00A2118B">
        <w:rPr>
          <w:rFonts w:ascii="Times New Roman" w:hAnsi="Times New Roman" w:cs="Times New Roman"/>
          <w:sz w:val="24"/>
          <w:szCs w:val="24"/>
        </w:rPr>
        <w:t>to specifically restrict</w:t>
      </w:r>
      <w:proofErr w:type="gramEnd"/>
      <w:r w:rsidRPr="00A2118B">
        <w:rPr>
          <w:rFonts w:ascii="Times New Roman" w:hAnsi="Times New Roman" w:cs="Times New Roman"/>
          <w:sz w:val="24"/>
          <w:szCs w:val="24"/>
        </w:rPr>
        <w:t xml:space="preserve"> defenders’ ability to carry out their work. In Hungary, this has led to the introduction of laws criminalising a range of activities, including distributing information on migration-related matters, providing advice to migrants and refugees, and conducting human rights monitoring at borders.</w:t>
      </w:r>
      <w:r w:rsidRPr="00A2118B">
        <w:rPr>
          <w:rStyle w:val="FootnoteReference"/>
          <w:rFonts w:ascii="Times New Roman" w:hAnsi="Times New Roman" w:cs="Times New Roman"/>
          <w:sz w:val="24"/>
          <w:szCs w:val="24"/>
        </w:rPr>
        <w:footnoteReference w:id="43"/>
      </w:r>
      <w:r w:rsidRPr="00A2118B">
        <w:rPr>
          <w:rFonts w:ascii="Times New Roman" w:hAnsi="Times New Roman" w:cs="Times New Roman"/>
          <w:sz w:val="24"/>
          <w:szCs w:val="24"/>
        </w:rPr>
        <w:t xml:space="preserve"> </w:t>
      </w:r>
      <w:r w:rsidRPr="00A2118B">
        <w:rPr>
          <w:rStyle w:val="FootnoteReference"/>
          <w:rFonts w:ascii="Times New Roman" w:hAnsi="Times New Roman" w:cs="Times New Roman"/>
          <w:sz w:val="24"/>
          <w:szCs w:val="24"/>
        </w:rPr>
        <w:footnoteReference w:id="44"/>
      </w:r>
      <w:r w:rsidRPr="00A2118B">
        <w:rPr>
          <w:rFonts w:ascii="Times New Roman" w:hAnsi="Times New Roman" w:cs="Times New Roman"/>
          <w:sz w:val="24"/>
          <w:szCs w:val="24"/>
        </w:rPr>
        <w:t xml:space="preserve"> </w:t>
      </w:r>
    </w:p>
    <w:p w14:paraId="7927AC90" w14:textId="58EBA752" w:rsidR="000A1CFC" w:rsidRPr="00A2118B" w:rsidRDefault="000A1CFC" w:rsidP="000A1CFC">
      <w:pPr>
        <w:spacing w:line="276" w:lineRule="auto"/>
        <w:jc w:val="both"/>
        <w:rPr>
          <w:rFonts w:ascii="Times New Roman" w:hAnsi="Times New Roman" w:cs="Times New Roman"/>
        </w:rPr>
      </w:pPr>
    </w:p>
    <w:p w14:paraId="1F5F85AA" w14:textId="77777777" w:rsidR="00E1750B" w:rsidRPr="00A2118B" w:rsidRDefault="00E1750B" w:rsidP="00E1750B">
      <w:pPr>
        <w:pStyle w:val="ListParagraph"/>
        <w:numPr>
          <w:ilvl w:val="0"/>
          <w:numId w:val="13"/>
        </w:numPr>
        <w:spacing w:line="276" w:lineRule="auto"/>
        <w:jc w:val="both"/>
        <w:rPr>
          <w:rFonts w:ascii="Times New Roman" w:hAnsi="Times New Roman" w:cs="Times New Roman"/>
          <w:sz w:val="24"/>
          <w:szCs w:val="24"/>
        </w:rPr>
      </w:pPr>
      <w:r w:rsidRPr="00A2118B">
        <w:rPr>
          <w:rFonts w:ascii="Times New Roman" w:hAnsi="Times New Roman" w:cs="Times New Roman"/>
          <w:sz w:val="24"/>
          <w:szCs w:val="24"/>
        </w:rPr>
        <w:t xml:space="preserve">The concept of political and public participation is evolving, and several international human rights mechanisms have recognized that participatory rights </w:t>
      </w:r>
      <w:proofErr w:type="gramStart"/>
      <w:r w:rsidRPr="00A2118B">
        <w:rPr>
          <w:rFonts w:ascii="Times New Roman" w:hAnsi="Times New Roman" w:cs="Times New Roman"/>
          <w:sz w:val="24"/>
          <w:szCs w:val="24"/>
        </w:rPr>
        <w:t>may now be read</w:t>
      </w:r>
      <w:proofErr w:type="gramEnd"/>
      <w:r w:rsidRPr="00A2118B">
        <w:rPr>
          <w:rFonts w:ascii="Times New Roman" w:hAnsi="Times New Roman" w:cs="Times New Roman"/>
          <w:sz w:val="24"/>
          <w:szCs w:val="24"/>
        </w:rPr>
        <w:t xml:space="preserve"> as encompassing the rights to be consulted and to be provided with equal and effective opportunities to be involved in decision-making processes on all matters of public concern.</w:t>
      </w:r>
      <w:r w:rsidRPr="00A2118B">
        <w:rPr>
          <w:rStyle w:val="FootnoteReference"/>
          <w:rFonts w:ascii="Times New Roman" w:hAnsi="Times New Roman" w:cs="Times New Roman"/>
          <w:sz w:val="24"/>
          <w:szCs w:val="24"/>
        </w:rPr>
        <w:footnoteReference w:id="45"/>
      </w:r>
      <w:r w:rsidRPr="00A2118B">
        <w:rPr>
          <w:rFonts w:ascii="Times New Roman" w:hAnsi="Times New Roman" w:cs="Times New Roman"/>
          <w:sz w:val="24"/>
          <w:szCs w:val="24"/>
        </w:rPr>
        <w:t xml:space="preserve"> Where marginalized populations face limitations on their ability to participate in public affairs due to de jure or de facto restrictions because of their social identity,</w:t>
      </w:r>
      <w:r w:rsidRPr="00A2118B">
        <w:rPr>
          <w:rStyle w:val="FootnoteReference"/>
          <w:rFonts w:ascii="Times New Roman" w:hAnsi="Times New Roman" w:cs="Times New Roman"/>
          <w:sz w:val="24"/>
          <w:szCs w:val="24"/>
        </w:rPr>
        <w:footnoteReference w:id="46"/>
      </w:r>
      <w:r w:rsidRPr="00A2118B">
        <w:rPr>
          <w:rFonts w:ascii="Times New Roman" w:hAnsi="Times New Roman" w:cs="Times New Roman"/>
          <w:b/>
          <w:sz w:val="24"/>
          <w:szCs w:val="24"/>
        </w:rPr>
        <w:t xml:space="preserve"> </w:t>
      </w:r>
      <w:r w:rsidRPr="00A2118B">
        <w:rPr>
          <w:rFonts w:ascii="Times New Roman" w:hAnsi="Times New Roman" w:cs="Times New Roman"/>
          <w:sz w:val="24"/>
          <w:szCs w:val="24"/>
        </w:rPr>
        <w:t xml:space="preserve">freedom of peaceful assembly is especially important as it allows them to communicate their concerns. </w:t>
      </w:r>
    </w:p>
    <w:p w14:paraId="616ABD84" w14:textId="77777777" w:rsidR="00E1750B" w:rsidRPr="00A2118B" w:rsidRDefault="00E1750B" w:rsidP="00E1750B">
      <w:pPr>
        <w:pStyle w:val="ListParagraph"/>
        <w:rPr>
          <w:rFonts w:ascii="Times New Roman" w:hAnsi="Times New Roman" w:cs="Times New Roman"/>
          <w:sz w:val="24"/>
          <w:szCs w:val="24"/>
        </w:rPr>
      </w:pPr>
    </w:p>
    <w:p w14:paraId="647D0557" w14:textId="5CD2D5C3" w:rsidR="00E1750B" w:rsidRPr="00A2118B" w:rsidRDefault="00E1750B" w:rsidP="00E1750B">
      <w:pPr>
        <w:pStyle w:val="ListParagraph"/>
        <w:numPr>
          <w:ilvl w:val="0"/>
          <w:numId w:val="13"/>
        </w:numPr>
        <w:spacing w:line="276" w:lineRule="auto"/>
        <w:jc w:val="both"/>
        <w:rPr>
          <w:rFonts w:ascii="Times New Roman" w:hAnsi="Times New Roman" w:cs="Times New Roman"/>
          <w:sz w:val="24"/>
          <w:szCs w:val="24"/>
        </w:rPr>
      </w:pPr>
      <w:r w:rsidRPr="00A2118B">
        <w:rPr>
          <w:rFonts w:ascii="Times New Roman" w:hAnsi="Times New Roman" w:cs="Times New Roman"/>
          <w:sz w:val="24"/>
          <w:szCs w:val="24"/>
        </w:rPr>
        <w:t xml:space="preserve">In </w:t>
      </w:r>
      <w:r w:rsidRPr="00A2118B">
        <w:rPr>
          <w:rFonts w:ascii="Times New Roman" w:hAnsi="Times New Roman" w:cs="Times New Roman"/>
          <w:i/>
          <w:sz w:val="24"/>
          <w:szCs w:val="24"/>
        </w:rPr>
        <w:t>Alekseev v. Russian Federation</w:t>
      </w:r>
      <w:r w:rsidRPr="00A2118B">
        <w:rPr>
          <w:rFonts w:ascii="Times New Roman" w:hAnsi="Times New Roman" w:cs="Times New Roman"/>
          <w:sz w:val="24"/>
          <w:szCs w:val="24"/>
        </w:rPr>
        <w:t>, the Committee noted that the freedom of assembly “protects demonstrations promoting ideas that may be regarded as annoying or offensive by others and that, in such cases, States parties have a duty to protect the participants in such a demonstration in the exercise of their rights against violence by others.”</w:t>
      </w:r>
      <w:r w:rsidRPr="00A2118B">
        <w:rPr>
          <w:rStyle w:val="FootnoteReference"/>
          <w:rFonts w:ascii="Times New Roman" w:hAnsi="Times New Roman" w:cs="Times New Roman"/>
          <w:sz w:val="24"/>
          <w:szCs w:val="24"/>
        </w:rPr>
        <w:footnoteReference w:id="47"/>
      </w:r>
      <w:r w:rsidRPr="00A2118B">
        <w:rPr>
          <w:rFonts w:ascii="Times New Roman" w:hAnsi="Times New Roman" w:cs="Times New Roman"/>
          <w:sz w:val="24"/>
          <w:szCs w:val="24"/>
        </w:rPr>
        <w:t xml:space="preserve"> When States are cognizant of the perspectives of marginalized populations through article 21, they are also able to further those protections under article 25.</w:t>
      </w:r>
      <w:r w:rsidRPr="00A2118B">
        <w:rPr>
          <w:rFonts w:ascii="Times New Roman" w:hAnsi="Times New Roman" w:cs="Times New Roman"/>
          <w:sz w:val="24"/>
          <w:szCs w:val="24"/>
          <w:vertAlign w:val="superscript"/>
        </w:rPr>
        <w:footnoteReference w:id="48"/>
      </w:r>
      <w:r w:rsidRPr="00A2118B">
        <w:rPr>
          <w:rFonts w:ascii="Times New Roman" w:hAnsi="Times New Roman" w:cs="Times New Roman"/>
          <w:sz w:val="24"/>
          <w:szCs w:val="24"/>
        </w:rPr>
        <w:t xml:space="preserve"> Consultation with concerned individuals and specific groups and their direct participation in the drafting of laws and policies affecting their human rights are essential for the full exercise of the right to participate.</w:t>
      </w:r>
      <w:r w:rsidRPr="00A2118B">
        <w:rPr>
          <w:rStyle w:val="FootnoteReference"/>
          <w:rFonts w:ascii="Times New Roman" w:hAnsi="Times New Roman" w:cs="Times New Roman"/>
          <w:sz w:val="24"/>
          <w:szCs w:val="24"/>
        </w:rPr>
        <w:footnoteReference w:id="49"/>
      </w:r>
      <w:r w:rsidRPr="00A2118B">
        <w:rPr>
          <w:rFonts w:ascii="Times New Roman" w:hAnsi="Times New Roman" w:cs="Times New Roman"/>
          <w:sz w:val="24"/>
          <w:szCs w:val="24"/>
        </w:rPr>
        <w:t xml:space="preserve"> </w:t>
      </w:r>
    </w:p>
    <w:p w14:paraId="2B42D258" w14:textId="77777777" w:rsidR="00E1750B" w:rsidRPr="00A2118B" w:rsidRDefault="00E1750B" w:rsidP="00E1750B">
      <w:pPr>
        <w:pStyle w:val="ListParagraph"/>
        <w:rPr>
          <w:rFonts w:ascii="Times New Roman" w:hAnsi="Times New Roman" w:cs="Times New Roman"/>
          <w:sz w:val="24"/>
          <w:szCs w:val="24"/>
        </w:rPr>
      </w:pPr>
    </w:p>
    <w:p w14:paraId="3D8C377C" w14:textId="77777777" w:rsidR="00E1750B" w:rsidRPr="00A2118B" w:rsidRDefault="00E1750B" w:rsidP="00E1750B">
      <w:pPr>
        <w:pStyle w:val="ListParagraph"/>
        <w:numPr>
          <w:ilvl w:val="0"/>
          <w:numId w:val="13"/>
        </w:numPr>
        <w:spacing w:line="276" w:lineRule="auto"/>
        <w:jc w:val="both"/>
        <w:rPr>
          <w:rFonts w:ascii="Times New Roman" w:hAnsi="Times New Roman" w:cs="Times New Roman"/>
          <w:sz w:val="24"/>
          <w:szCs w:val="24"/>
        </w:rPr>
      </w:pPr>
      <w:r w:rsidRPr="00A2118B">
        <w:rPr>
          <w:rFonts w:ascii="Times New Roman" w:hAnsi="Times New Roman" w:cs="Times New Roman"/>
          <w:sz w:val="24"/>
          <w:szCs w:val="24"/>
        </w:rPr>
        <w:t xml:space="preserve">When non-citizens are unable to participate through elections, other forms of participation are essential to ensure their voices </w:t>
      </w:r>
      <w:proofErr w:type="gramStart"/>
      <w:r w:rsidRPr="00A2118B">
        <w:rPr>
          <w:rFonts w:ascii="Times New Roman" w:hAnsi="Times New Roman" w:cs="Times New Roman"/>
          <w:sz w:val="24"/>
          <w:szCs w:val="24"/>
        </w:rPr>
        <w:t>are heard</w:t>
      </w:r>
      <w:proofErr w:type="gramEnd"/>
      <w:r w:rsidRPr="00A2118B">
        <w:rPr>
          <w:rFonts w:ascii="Times New Roman" w:hAnsi="Times New Roman" w:cs="Times New Roman"/>
          <w:sz w:val="24"/>
          <w:szCs w:val="24"/>
        </w:rPr>
        <w:t xml:space="preserve">. </w:t>
      </w:r>
      <w:proofErr w:type="gramStart"/>
      <w:r w:rsidRPr="00A2118B">
        <w:rPr>
          <w:rFonts w:ascii="Times New Roman" w:hAnsi="Times New Roman" w:cs="Times New Roman"/>
          <w:sz w:val="24"/>
          <w:szCs w:val="24"/>
        </w:rPr>
        <w:t>The guidelines for States on the effective implementation of the right to participate in public affairs and the Special Rapporteur on the right to freedom of peaceful assembly and of association emphasize that “[a]n individual’s lack of citizenship or legal status does not mean that she or he should have no voice whatsoever in the political, economic or social affairs of her or his country of residence … groups that are disenfranchised from mainstream political activities, such as voting and holding office, have an even greater need for alternative means to participate in the public sphere.”</w:t>
      </w:r>
      <w:r w:rsidRPr="00A2118B">
        <w:rPr>
          <w:rFonts w:ascii="Times New Roman" w:hAnsi="Times New Roman" w:cs="Times New Roman"/>
          <w:sz w:val="24"/>
          <w:szCs w:val="24"/>
          <w:vertAlign w:val="superscript"/>
        </w:rPr>
        <w:footnoteReference w:id="50"/>
      </w:r>
      <w:proofErr w:type="gramEnd"/>
    </w:p>
    <w:p w14:paraId="637EE4BB" w14:textId="33B34E73" w:rsidR="000A1CFC" w:rsidRPr="00A2118B" w:rsidRDefault="000A1CFC" w:rsidP="000A1CFC">
      <w:pPr>
        <w:spacing w:line="276" w:lineRule="auto"/>
        <w:jc w:val="both"/>
        <w:rPr>
          <w:rFonts w:ascii="Times New Roman" w:hAnsi="Times New Roman" w:cs="Times New Roman"/>
        </w:rPr>
      </w:pPr>
    </w:p>
    <w:p w14:paraId="50F0CB14" w14:textId="77777777" w:rsidR="000A1CFC" w:rsidRPr="00A2118B" w:rsidRDefault="000A1CFC" w:rsidP="000A1CFC">
      <w:pPr>
        <w:spacing w:line="276" w:lineRule="auto"/>
        <w:rPr>
          <w:rFonts w:ascii="Times New Roman" w:hAnsi="Times New Roman" w:cs="Times New Roman"/>
          <w:b/>
        </w:rPr>
      </w:pPr>
      <w:r w:rsidRPr="00A2118B">
        <w:rPr>
          <w:rFonts w:ascii="Times New Roman" w:hAnsi="Times New Roman" w:cs="Times New Roman"/>
          <w:b/>
        </w:rPr>
        <w:t>Recommendations for the new General Comment:</w:t>
      </w:r>
    </w:p>
    <w:p w14:paraId="40AB9076" w14:textId="77777777" w:rsidR="000A1CFC" w:rsidRPr="00A2118B" w:rsidRDefault="000A1CFC" w:rsidP="000A1CFC">
      <w:pPr>
        <w:spacing w:line="276" w:lineRule="auto"/>
        <w:rPr>
          <w:rFonts w:ascii="Times New Roman" w:hAnsi="Times New Roman" w:cs="Times New Roman"/>
          <w:b/>
        </w:rPr>
      </w:pPr>
    </w:p>
    <w:p w14:paraId="118D2979" w14:textId="5A5C50DE" w:rsidR="00A2118B" w:rsidRPr="00A2118B" w:rsidRDefault="000A1CFC" w:rsidP="0067061B">
      <w:pPr>
        <w:pStyle w:val="ListParagraph"/>
        <w:numPr>
          <w:ilvl w:val="0"/>
          <w:numId w:val="6"/>
        </w:numPr>
        <w:jc w:val="both"/>
        <w:rPr>
          <w:rFonts w:ascii="Times New Roman" w:hAnsi="Times New Roman" w:cs="Times New Roman"/>
          <w:b/>
          <w:sz w:val="24"/>
          <w:szCs w:val="24"/>
        </w:rPr>
      </w:pPr>
      <w:r w:rsidRPr="00A2118B">
        <w:rPr>
          <w:rFonts w:ascii="Times New Roman" w:hAnsi="Times New Roman" w:cs="Times New Roman"/>
          <w:b/>
          <w:sz w:val="24"/>
          <w:szCs w:val="24"/>
        </w:rPr>
        <w:t>The Human Rights Committee may wish to consider the situation of specific g</w:t>
      </w:r>
      <w:r w:rsidR="00A2118B" w:rsidRPr="00A2118B">
        <w:rPr>
          <w:rFonts w:ascii="Times New Roman" w:hAnsi="Times New Roman" w:cs="Times New Roman"/>
          <w:b/>
          <w:sz w:val="24"/>
          <w:szCs w:val="24"/>
        </w:rPr>
        <w:t xml:space="preserve">roups facing discrimination </w:t>
      </w:r>
      <w:r w:rsidRPr="00A2118B">
        <w:rPr>
          <w:rFonts w:ascii="Times New Roman" w:hAnsi="Times New Roman" w:cs="Times New Roman"/>
          <w:b/>
          <w:sz w:val="24"/>
          <w:szCs w:val="24"/>
        </w:rPr>
        <w:t xml:space="preserve">in the enjoyment of the right to peaceful assembly, including youth, LGBTI, civil society organisations promoting rights that </w:t>
      </w:r>
      <w:proofErr w:type="gramStart"/>
      <w:r w:rsidRPr="00A2118B">
        <w:rPr>
          <w:rFonts w:ascii="Times New Roman" w:hAnsi="Times New Roman" w:cs="Times New Roman"/>
          <w:b/>
          <w:sz w:val="24"/>
          <w:szCs w:val="24"/>
        </w:rPr>
        <w:t>are perceived</w:t>
      </w:r>
      <w:proofErr w:type="gramEnd"/>
      <w:r w:rsidRPr="00A2118B">
        <w:rPr>
          <w:rFonts w:ascii="Times New Roman" w:hAnsi="Times New Roman" w:cs="Times New Roman"/>
          <w:b/>
          <w:sz w:val="24"/>
          <w:szCs w:val="24"/>
        </w:rPr>
        <w:t xml:space="preserve"> sensitive by authorities such as sexual and reproductive health and rights, land and indig</w:t>
      </w:r>
      <w:r w:rsidR="00A2118B" w:rsidRPr="00A2118B">
        <w:rPr>
          <w:rFonts w:ascii="Times New Roman" w:hAnsi="Times New Roman" w:cs="Times New Roman"/>
          <w:b/>
          <w:sz w:val="24"/>
          <w:szCs w:val="24"/>
        </w:rPr>
        <w:t>enous rights, or migrants’ rights.</w:t>
      </w:r>
    </w:p>
    <w:p w14:paraId="31F79485" w14:textId="77777777" w:rsidR="00A2118B" w:rsidRPr="00A2118B" w:rsidRDefault="00A2118B" w:rsidP="00A2118B">
      <w:pPr>
        <w:pStyle w:val="ListParagraph"/>
        <w:jc w:val="both"/>
        <w:rPr>
          <w:rFonts w:ascii="Times New Roman" w:hAnsi="Times New Roman" w:cs="Times New Roman"/>
          <w:b/>
          <w:sz w:val="24"/>
          <w:szCs w:val="24"/>
        </w:rPr>
      </w:pPr>
    </w:p>
    <w:p w14:paraId="5EF1B839" w14:textId="2BD5F525" w:rsidR="000A1CFC" w:rsidRPr="00A2118B" w:rsidRDefault="000A1CFC" w:rsidP="000A1CFC">
      <w:pPr>
        <w:pStyle w:val="ListParagraph"/>
        <w:numPr>
          <w:ilvl w:val="0"/>
          <w:numId w:val="6"/>
        </w:numPr>
        <w:jc w:val="both"/>
        <w:rPr>
          <w:rFonts w:ascii="Times New Roman" w:hAnsi="Times New Roman" w:cs="Times New Roman"/>
          <w:b/>
          <w:sz w:val="24"/>
          <w:szCs w:val="24"/>
        </w:rPr>
      </w:pPr>
      <w:r w:rsidRPr="00A2118B">
        <w:rPr>
          <w:rFonts w:ascii="Times New Roman" w:hAnsi="Times New Roman" w:cs="Times New Roman"/>
          <w:b/>
          <w:sz w:val="24"/>
          <w:szCs w:val="24"/>
        </w:rPr>
        <w:t xml:space="preserve">The Committee may wish to integrate a gender perspective when addressing barriers faced by certain population groups, as women and girls face specific </w:t>
      </w:r>
      <w:r w:rsidR="00A2118B" w:rsidRPr="00A2118B">
        <w:rPr>
          <w:rFonts w:ascii="Times New Roman" w:hAnsi="Times New Roman" w:cs="Times New Roman"/>
          <w:b/>
          <w:sz w:val="24"/>
          <w:szCs w:val="24"/>
        </w:rPr>
        <w:t>barriers to enjoyment of th</w:t>
      </w:r>
      <w:r w:rsidRPr="00A2118B">
        <w:rPr>
          <w:rFonts w:ascii="Times New Roman" w:hAnsi="Times New Roman" w:cs="Times New Roman"/>
          <w:b/>
          <w:sz w:val="24"/>
          <w:szCs w:val="24"/>
        </w:rPr>
        <w:t xml:space="preserve">eir </w:t>
      </w:r>
      <w:r w:rsidR="00A2118B" w:rsidRPr="00A2118B">
        <w:rPr>
          <w:rFonts w:ascii="Times New Roman" w:hAnsi="Times New Roman" w:cs="Times New Roman"/>
          <w:b/>
          <w:sz w:val="24"/>
          <w:szCs w:val="24"/>
        </w:rPr>
        <w:t>right to freedom of</w:t>
      </w:r>
      <w:r w:rsidRPr="00A2118B">
        <w:rPr>
          <w:rFonts w:ascii="Times New Roman" w:hAnsi="Times New Roman" w:cs="Times New Roman"/>
          <w:b/>
          <w:sz w:val="24"/>
          <w:szCs w:val="24"/>
        </w:rPr>
        <w:t xml:space="preserve"> expression, assembly and association, and participation.</w:t>
      </w:r>
    </w:p>
    <w:p w14:paraId="6B688A1A" w14:textId="0F394F0D" w:rsidR="000A1CFC" w:rsidRPr="00A2118B" w:rsidRDefault="000A1CFC" w:rsidP="000A1CFC">
      <w:pPr>
        <w:spacing w:line="276" w:lineRule="auto"/>
        <w:rPr>
          <w:rFonts w:ascii="Times New Roman" w:hAnsi="Times New Roman" w:cs="Times New Roman"/>
          <w:b/>
        </w:rPr>
      </w:pPr>
    </w:p>
    <w:p w14:paraId="2486F19F" w14:textId="77777777" w:rsidR="000A1CFC" w:rsidRPr="00A2118B" w:rsidRDefault="000A1CFC" w:rsidP="000A1CFC">
      <w:pPr>
        <w:pStyle w:val="ListParagraph"/>
        <w:numPr>
          <w:ilvl w:val="0"/>
          <w:numId w:val="10"/>
        </w:numPr>
        <w:spacing w:line="276" w:lineRule="auto"/>
        <w:rPr>
          <w:rFonts w:ascii="Times New Roman" w:hAnsi="Times New Roman" w:cs="Times New Roman"/>
          <w:sz w:val="24"/>
          <w:szCs w:val="24"/>
        </w:rPr>
      </w:pPr>
      <w:r w:rsidRPr="00A2118B">
        <w:rPr>
          <w:rFonts w:ascii="Times New Roman" w:hAnsi="Times New Roman" w:cs="Times New Roman"/>
          <w:b/>
          <w:sz w:val="24"/>
          <w:szCs w:val="24"/>
        </w:rPr>
        <w:t>Obstructions in the digital space</w:t>
      </w:r>
      <w:r w:rsidRPr="00A2118B">
        <w:rPr>
          <w:rStyle w:val="FootnoteReference"/>
          <w:rFonts w:ascii="Times New Roman" w:hAnsi="Times New Roman" w:cs="Times New Roman"/>
          <w:b/>
          <w:sz w:val="24"/>
          <w:szCs w:val="24"/>
        </w:rPr>
        <w:footnoteReference w:id="51"/>
      </w:r>
    </w:p>
    <w:p w14:paraId="00D56780" w14:textId="77777777" w:rsidR="000A1CFC" w:rsidRPr="00A2118B" w:rsidRDefault="000A1CFC" w:rsidP="000A1CFC">
      <w:pPr>
        <w:spacing w:line="276" w:lineRule="auto"/>
        <w:jc w:val="both"/>
        <w:rPr>
          <w:rFonts w:ascii="Times New Roman" w:hAnsi="Times New Roman" w:cs="Times New Roman"/>
        </w:rPr>
      </w:pPr>
    </w:p>
    <w:p w14:paraId="2AC56522" w14:textId="337DE35F" w:rsidR="000A1CFC" w:rsidRPr="00A2118B" w:rsidRDefault="00483A6F" w:rsidP="00301E32">
      <w:pPr>
        <w:pStyle w:val="ListParagraph"/>
        <w:numPr>
          <w:ilvl w:val="0"/>
          <w:numId w:val="13"/>
        </w:numPr>
        <w:spacing w:line="276" w:lineRule="auto"/>
        <w:jc w:val="both"/>
        <w:rPr>
          <w:rFonts w:ascii="Times New Roman" w:hAnsi="Times New Roman" w:cs="Times New Roman"/>
          <w:sz w:val="24"/>
          <w:szCs w:val="24"/>
        </w:rPr>
      </w:pPr>
      <w:r w:rsidRPr="00A2118B">
        <w:rPr>
          <w:rFonts w:ascii="Times New Roman" w:hAnsi="Times New Roman" w:cs="Times New Roman"/>
          <w:sz w:val="24"/>
          <w:szCs w:val="24"/>
        </w:rPr>
        <w:t xml:space="preserve">New technologies enabled people to exercise the right to peaceful assembly on line and use social media to mobilize for sit-ins, meetings, form networks and coalitions, protests and other manifestations of the right to peaceful assembly. More specifically, online information sharing and activism created a dynamic constituency in the campaign for change, particularly among young people. Many civil society actors have developed their own online space, sometimes creating formal networking structures. </w:t>
      </w:r>
    </w:p>
    <w:p w14:paraId="7F88834F" w14:textId="77777777" w:rsidR="000A1CFC" w:rsidRPr="00A2118B" w:rsidRDefault="000A1CFC" w:rsidP="000A1CFC">
      <w:pPr>
        <w:pStyle w:val="ListParagraph"/>
        <w:spacing w:line="276" w:lineRule="auto"/>
        <w:jc w:val="both"/>
        <w:rPr>
          <w:rFonts w:ascii="Times New Roman" w:hAnsi="Times New Roman" w:cs="Times New Roman"/>
          <w:sz w:val="24"/>
          <w:szCs w:val="24"/>
        </w:rPr>
      </w:pPr>
    </w:p>
    <w:p w14:paraId="19465745" w14:textId="77777777" w:rsidR="000A1CFC" w:rsidRPr="00A2118B" w:rsidRDefault="00483A6F" w:rsidP="00483A6F">
      <w:pPr>
        <w:pStyle w:val="ListParagraph"/>
        <w:numPr>
          <w:ilvl w:val="0"/>
          <w:numId w:val="13"/>
        </w:numPr>
        <w:spacing w:line="276" w:lineRule="auto"/>
        <w:jc w:val="both"/>
        <w:rPr>
          <w:rFonts w:ascii="Times New Roman" w:hAnsi="Times New Roman" w:cs="Times New Roman"/>
          <w:sz w:val="24"/>
          <w:szCs w:val="24"/>
        </w:rPr>
      </w:pPr>
      <w:r w:rsidRPr="00A2118B">
        <w:rPr>
          <w:rFonts w:ascii="Times New Roman" w:hAnsi="Times New Roman" w:cs="Times New Roman"/>
          <w:sz w:val="24"/>
          <w:szCs w:val="24"/>
        </w:rPr>
        <w:t xml:space="preserve"> Communicating online particularly enabled marginalized and disadvantaged groups, such as environmental and land rights defenders, women’s human rights defenders and movements, LGBTI activists, as well as people living in remote areas and indigenous peoples</w:t>
      </w:r>
      <w:r w:rsidR="007F74C4" w:rsidRPr="00A2118B">
        <w:rPr>
          <w:rFonts w:ascii="Times New Roman" w:hAnsi="Times New Roman" w:cs="Times New Roman"/>
          <w:sz w:val="24"/>
          <w:szCs w:val="24"/>
        </w:rPr>
        <w:t>,</w:t>
      </w:r>
      <w:r w:rsidRPr="00A2118B">
        <w:rPr>
          <w:rFonts w:ascii="Times New Roman" w:hAnsi="Times New Roman" w:cs="Times New Roman"/>
          <w:sz w:val="24"/>
          <w:szCs w:val="24"/>
          <w:vertAlign w:val="superscript"/>
        </w:rPr>
        <w:footnoteReference w:id="52"/>
      </w:r>
      <w:r w:rsidRPr="00A2118B">
        <w:rPr>
          <w:rFonts w:ascii="Times New Roman" w:hAnsi="Times New Roman" w:cs="Times New Roman"/>
          <w:sz w:val="24"/>
          <w:szCs w:val="24"/>
        </w:rPr>
        <w:t xml:space="preserve"> to more readily access information and express their views, enjoy their right to peaceful assembly, and participate in public life and in decision-m</w:t>
      </w:r>
      <w:r w:rsidR="000A1CFC" w:rsidRPr="00A2118B">
        <w:rPr>
          <w:rFonts w:ascii="Times New Roman" w:hAnsi="Times New Roman" w:cs="Times New Roman"/>
          <w:sz w:val="24"/>
          <w:szCs w:val="24"/>
        </w:rPr>
        <w:t>aking processes affecting them.</w:t>
      </w:r>
    </w:p>
    <w:p w14:paraId="2212C772" w14:textId="77777777" w:rsidR="000A1CFC" w:rsidRPr="00A2118B" w:rsidRDefault="000A1CFC" w:rsidP="000A1CFC">
      <w:pPr>
        <w:pStyle w:val="ListParagraph"/>
        <w:rPr>
          <w:rFonts w:ascii="Times New Roman" w:hAnsi="Times New Roman" w:cs="Times New Roman"/>
          <w:sz w:val="24"/>
          <w:szCs w:val="24"/>
        </w:rPr>
      </w:pPr>
    </w:p>
    <w:p w14:paraId="7E5BD50C" w14:textId="13FE2E63" w:rsidR="00483A6F" w:rsidRPr="00A2118B" w:rsidRDefault="00483A6F" w:rsidP="00483A6F">
      <w:pPr>
        <w:pStyle w:val="ListParagraph"/>
        <w:numPr>
          <w:ilvl w:val="0"/>
          <w:numId w:val="13"/>
        </w:numPr>
        <w:spacing w:line="276" w:lineRule="auto"/>
        <w:jc w:val="both"/>
        <w:rPr>
          <w:rFonts w:ascii="Times New Roman" w:hAnsi="Times New Roman" w:cs="Times New Roman"/>
          <w:sz w:val="24"/>
          <w:szCs w:val="24"/>
        </w:rPr>
      </w:pPr>
      <w:r w:rsidRPr="00A2118B">
        <w:rPr>
          <w:rFonts w:ascii="Times New Roman" w:hAnsi="Times New Roman" w:cs="Times New Roman"/>
          <w:sz w:val="24"/>
          <w:szCs w:val="24"/>
        </w:rPr>
        <w:t xml:space="preserve"> New technologies, however, also brought new human rights challenges; privacy, anonymity, encryption and digital security are central concerns for Internet users</w:t>
      </w:r>
      <w:r w:rsidR="00801FCC" w:rsidRPr="00A2118B">
        <w:rPr>
          <w:rFonts w:ascii="Times New Roman" w:hAnsi="Times New Roman" w:cs="Times New Roman"/>
          <w:sz w:val="24"/>
          <w:szCs w:val="24"/>
        </w:rPr>
        <w:t>.</w:t>
      </w:r>
      <w:r w:rsidRPr="00A2118B">
        <w:rPr>
          <w:rStyle w:val="FootnoteReference"/>
          <w:rFonts w:ascii="Times New Roman" w:hAnsi="Times New Roman" w:cs="Times New Roman"/>
          <w:sz w:val="24"/>
          <w:szCs w:val="24"/>
        </w:rPr>
        <w:footnoteReference w:id="53"/>
      </w:r>
      <w:r w:rsidRPr="00A2118B">
        <w:rPr>
          <w:rFonts w:ascii="Times New Roman" w:hAnsi="Times New Roman" w:cs="Times New Roman"/>
          <w:sz w:val="24"/>
          <w:szCs w:val="24"/>
        </w:rPr>
        <w:t xml:space="preserve"> Repeated internet shutdowns, website closures or blocking, among others, put in jeopardy the right to organize peaceful assemblies on line and off line.</w:t>
      </w:r>
      <w:r w:rsidRPr="00A2118B">
        <w:rPr>
          <w:rStyle w:val="FootnoteReference"/>
          <w:rFonts w:ascii="Times New Roman" w:hAnsi="Times New Roman" w:cs="Times New Roman"/>
          <w:sz w:val="24"/>
          <w:szCs w:val="24"/>
        </w:rPr>
        <w:footnoteReference w:id="54"/>
      </w:r>
      <w:r w:rsidRPr="00A2118B">
        <w:rPr>
          <w:rFonts w:ascii="Times New Roman" w:hAnsi="Times New Roman" w:cs="Times New Roman"/>
          <w:sz w:val="24"/>
          <w:szCs w:val="24"/>
        </w:rPr>
        <w:t xml:space="preserve"> Women human rights defenders, who in addition to experiencing unequal access to online spaces</w:t>
      </w:r>
      <w:r w:rsidR="007F74C4" w:rsidRPr="00A2118B">
        <w:rPr>
          <w:rFonts w:ascii="Times New Roman" w:hAnsi="Times New Roman" w:cs="Times New Roman"/>
          <w:sz w:val="24"/>
          <w:szCs w:val="24"/>
        </w:rPr>
        <w:t>,</w:t>
      </w:r>
      <w:r w:rsidRPr="00A2118B">
        <w:rPr>
          <w:rStyle w:val="FootnoteReference"/>
          <w:rFonts w:ascii="Times New Roman" w:hAnsi="Times New Roman" w:cs="Times New Roman"/>
          <w:sz w:val="24"/>
          <w:szCs w:val="24"/>
        </w:rPr>
        <w:footnoteReference w:id="55"/>
      </w:r>
      <w:r w:rsidRPr="00A2118B">
        <w:rPr>
          <w:rFonts w:ascii="Times New Roman" w:hAnsi="Times New Roman" w:cs="Times New Roman"/>
          <w:sz w:val="24"/>
          <w:szCs w:val="24"/>
        </w:rPr>
        <w:t xml:space="preserve"> often face on line attacks of sexualized and gendered nature, while</w:t>
      </w:r>
      <w:r w:rsidRPr="00A2118B">
        <w:rPr>
          <w:rFonts w:ascii="Times New Roman" w:hAnsi="Times New Roman" w:cs="Times New Roman"/>
          <w:sz w:val="24"/>
          <w:szCs w:val="24"/>
          <w:u w:val="single"/>
        </w:rPr>
        <w:t xml:space="preserve"> new technology</w:t>
      </w:r>
      <w:r w:rsidRPr="00A2118B">
        <w:rPr>
          <w:rFonts w:ascii="Times New Roman" w:hAnsi="Times New Roman" w:cs="Times New Roman"/>
          <w:sz w:val="24"/>
          <w:szCs w:val="24"/>
        </w:rPr>
        <w:t xml:space="preserve"> is often used to record women’s footage in order to prevent them from enjoying their rights to expression, assembly and association, and participation. </w:t>
      </w:r>
    </w:p>
    <w:p w14:paraId="24091909" w14:textId="77777777" w:rsidR="00483A6F" w:rsidRPr="00A2118B" w:rsidRDefault="00483A6F" w:rsidP="00483A6F">
      <w:pPr>
        <w:rPr>
          <w:rFonts w:ascii="Times New Roman" w:hAnsi="Times New Roman" w:cs="Times New Roman"/>
        </w:rPr>
      </w:pPr>
    </w:p>
    <w:p w14:paraId="63569111" w14:textId="22A95CFF" w:rsidR="00191819" w:rsidRPr="00A2118B" w:rsidRDefault="00E120F9" w:rsidP="00191819">
      <w:pPr>
        <w:rPr>
          <w:rFonts w:ascii="Times New Roman" w:hAnsi="Times New Roman" w:cs="Times New Roman"/>
          <w:b/>
        </w:rPr>
      </w:pPr>
      <w:r w:rsidRPr="00A2118B">
        <w:rPr>
          <w:rFonts w:ascii="Times New Roman" w:hAnsi="Times New Roman" w:cs="Times New Roman"/>
          <w:b/>
        </w:rPr>
        <w:t>Recommendation</w:t>
      </w:r>
      <w:r w:rsidR="00191819" w:rsidRPr="00A2118B">
        <w:rPr>
          <w:rFonts w:ascii="Times New Roman" w:hAnsi="Times New Roman" w:cs="Times New Roman"/>
          <w:b/>
        </w:rPr>
        <w:t xml:space="preserve"> for the new General Comment:</w:t>
      </w:r>
    </w:p>
    <w:p w14:paraId="0B08266D" w14:textId="77777777" w:rsidR="00191819" w:rsidRPr="00A2118B" w:rsidRDefault="00191819" w:rsidP="00191819">
      <w:pPr>
        <w:rPr>
          <w:rFonts w:ascii="Times New Roman" w:hAnsi="Times New Roman" w:cs="Times New Roman"/>
          <w:b/>
        </w:rPr>
      </w:pPr>
    </w:p>
    <w:p w14:paraId="5F04B45C" w14:textId="5F3A77D2" w:rsidR="00E1750B" w:rsidRPr="00A2118B" w:rsidRDefault="00483A6F" w:rsidP="00E1750B">
      <w:pPr>
        <w:pStyle w:val="ListParagraph"/>
        <w:numPr>
          <w:ilvl w:val="0"/>
          <w:numId w:val="6"/>
        </w:numPr>
        <w:spacing w:line="276" w:lineRule="auto"/>
        <w:jc w:val="both"/>
        <w:rPr>
          <w:rFonts w:ascii="Times New Roman" w:hAnsi="Times New Roman" w:cs="Times New Roman"/>
          <w:b/>
          <w:sz w:val="24"/>
          <w:szCs w:val="24"/>
        </w:rPr>
      </w:pPr>
      <w:r w:rsidRPr="00A2118B">
        <w:rPr>
          <w:rFonts w:ascii="Times New Roman" w:hAnsi="Times New Roman" w:cs="Times New Roman"/>
          <w:b/>
          <w:sz w:val="24"/>
          <w:szCs w:val="24"/>
        </w:rPr>
        <w:t xml:space="preserve">The Human Rights Committee may wish to pay particular attention to obstructions to the right to freedom </w:t>
      </w:r>
      <w:r w:rsidR="00A2118B" w:rsidRPr="00A2118B">
        <w:rPr>
          <w:rFonts w:ascii="Times New Roman" w:hAnsi="Times New Roman" w:cs="Times New Roman"/>
          <w:b/>
          <w:sz w:val="24"/>
          <w:szCs w:val="24"/>
        </w:rPr>
        <w:t xml:space="preserve">of </w:t>
      </w:r>
      <w:r w:rsidRPr="00A2118B">
        <w:rPr>
          <w:rFonts w:ascii="Times New Roman" w:hAnsi="Times New Roman" w:cs="Times New Roman"/>
          <w:b/>
          <w:sz w:val="24"/>
          <w:szCs w:val="24"/>
        </w:rPr>
        <w:t>assembly encountered in the digital space</w:t>
      </w:r>
      <w:r w:rsidR="00301E32" w:rsidRPr="00A2118B">
        <w:rPr>
          <w:rFonts w:ascii="Times New Roman" w:hAnsi="Times New Roman" w:cs="Times New Roman"/>
          <w:b/>
          <w:sz w:val="24"/>
          <w:szCs w:val="24"/>
        </w:rPr>
        <w:t>.</w:t>
      </w:r>
      <w:r w:rsidR="00E1750B" w:rsidRPr="00A2118B">
        <w:rPr>
          <w:rFonts w:ascii="Times New Roman" w:hAnsi="Times New Roman" w:cs="Times New Roman"/>
          <w:b/>
          <w:sz w:val="24"/>
          <w:szCs w:val="24"/>
        </w:rPr>
        <w:t xml:space="preserve"> </w:t>
      </w:r>
    </w:p>
    <w:p w14:paraId="3CDE7A65" w14:textId="7214D2E0" w:rsidR="00E1750B" w:rsidRPr="00A2118B" w:rsidRDefault="00E1750B" w:rsidP="00E1750B">
      <w:pPr>
        <w:pStyle w:val="ListParagraph"/>
        <w:numPr>
          <w:ilvl w:val="0"/>
          <w:numId w:val="6"/>
        </w:numPr>
        <w:spacing w:line="276" w:lineRule="auto"/>
        <w:jc w:val="both"/>
        <w:rPr>
          <w:rFonts w:ascii="Times New Roman" w:hAnsi="Times New Roman" w:cs="Times New Roman"/>
          <w:b/>
          <w:sz w:val="24"/>
          <w:szCs w:val="24"/>
        </w:rPr>
      </w:pPr>
      <w:r w:rsidRPr="00A2118B">
        <w:rPr>
          <w:rFonts w:ascii="Times New Roman" w:hAnsi="Times New Roman" w:cs="Times New Roman"/>
          <w:b/>
          <w:sz w:val="24"/>
          <w:szCs w:val="24"/>
        </w:rPr>
        <w:t xml:space="preserve">The Human Rights Committee may wish to stress that information and communications technologies (ICTs) offer new tools that </w:t>
      </w:r>
      <w:r w:rsidR="00A2118B" w:rsidRPr="00A2118B">
        <w:rPr>
          <w:rFonts w:ascii="Times New Roman" w:hAnsi="Times New Roman" w:cs="Times New Roman"/>
          <w:b/>
          <w:sz w:val="24"/>
          <w:szCs w:val="24"/>
        </w:rPr>
        <w:t xml:space="preserve">may enhance the enjoyment of the right to freedom of assembly and </w:t>
      </w:r>
      <w:r w:rsidRPr="00A2118B">
        <w:rPr>
          <w:rFonts w:ascii="Times New Roman" w:hAnsi="Times New Roman" w:cs="Times New Roman"/>
          <w:b/>
          <w:sz w:val="24"/>
          <w:szCs w:val="24"/>
        </w:rPr>
        <w:t>expand the space for civic engagement.</w:t>
      </w:r>
      <w:r w:rsidRPr="00A2118B">
        <w:rPr>
          <w:rStyle w:val="FootnoteReference"/>
          <w:rFonts w:ascii="Times New Roman" w:hAnsi="Times New Roman" w:cs="Times New Roman"/>
          <w:sz w:val="24"/>
          <w:szCs w:val="24"/>
        </w:rPr>
        <w:footnoteReference w:id="56"/>
      </w:r>
    </w:p>
    <w:p w14:paraId="6455FD8C" w14:textId="04604A9D" w:rsidR="005334A1" w:rsidRPr="00A2118B" w:rsidRDefault="005334A1" w:rsidP="00A2118B">
      <w:pPr>
        <w:pStyle w:val="ListParagraph"/>
        <w:rPr>
          <w:rFonts w:ascii="Times New Roman" w:hAnsi="Times New Roman" w:cs="Times New Roman"/>
          <w:b/>
          <w:sz w:val="24"/>
          <w:szCs w:val="24"/>
        </w:rPr>
      </w:pPr>
    </w:p>
    <w:sectPr w:rsidR="005334A1" w:rsidRPr="00A2118B" w:rsidSect="003A16ED">
      <w:headerReference w:type="default" r:id="rId8"/>
      <w:footerReference w:type="even" r:id="rId9"/>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79D8D" w14:textId="77777777" w:rsidR="00646E26" w:rsidRDefault="00646E26" w:rsidP="009D02A9">
      <w:r>
        <w:separator/>
      </w:r>
    </w:p>
  </w:endnote>
  <w:endnote w:type="continuationSeparator" w:id="0">
    <w:p w14:paraId="70013226" w14:textId="77777777" w:rsidR="00646E26" w:rsidRDefault="00646E26" w:rsidP="009D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89452678"/>
      <w:docPartObj>
        <w:docPartGallery w:val="Page Numbers (Bottom of Page)"/>
        <w:docPartUnique/>
      </w:docPartObj>
    </w:sdtPr>
    <w:sdtEndPr>
      <w:rPr>
        <w:rStyle w:val="PageNumber"/>
      </w:rPr>
    </w:sdtEndPr>
    <w:sdtContent>
      <w:p w14:paraId="4287FA95" w14:textId="55A0A2E7" w:rsidR="00B96B15" w:rsidRDefault="00B96B15" w:rsidP="00297C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646432739"/>
      <w:docPartObj>
        <w:docPartGallery w:val="Page Numbers (Bottom of Page)"/>
        <w:docPartUnique/>
      </w:docPartObj>
    </w:sdtPr>
    <w:sdtEndPr>
      <w:rPr>
        <w:rStyle w:val="PageNumber"/>
      </w:rPr>
    </w:sdtEndPr>
    <w:sdtContent>
      <w:p w14:paraId="46014810" w14:textId="546CC0C1" w:rsidR="00B96B15" w:rsidRDefault="00B96B15" w:rsidP="003A16ED">
        <w:pPr>
          <w:pStyle w:val="Footer"/>
          <w:framePr w:wrap="none" w:vAnchor="text" w:hAnchor="margin"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BCAE8A" w14:textId="77777777" w:rsidR="00B96B15" w:rsidRDefault="00B96B15" w:rsidP="003A16ED">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97096258"/>
      <w:docPartObj>
        <w:docPartGallery w:val="Page Numbers (Bottom of Page)"/>
        <w:docPartUnique/>
      </w:docPartObj>
    </w:sdtPr>
    <w:sdtEndPr>
      <w:rPr>
        <w:rStyle w:val="PageNumber"/>
      </w:rPr>
    </w:sdtEndPr>
    <w:sdtContent>
      <w:p w14:paraId="7B987519" w14:textId="43251B63" w:rsidR="00B96B15" w:rsidRDefault="00B96B15" w:rsidP="003A16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47B64">
          <w:rPr>
            <w:rStyle w:val="PageNumber"/>
            <w:noProof/>
          </w:rPr>
          <w:t>1</w:t>
        </w:r>
        <w:r>
          <w:rPr>
            <w:rStyle w:val="PageNumber"/>
          </w:rPr>
          <w:fldChar w:fldCharType="end"/>
        </w:r>
      </w:p>
    </w:sdtContent>
  </w:sdt>
  <w:p w14:paraId="04C20011" w14:textId="77777777" w:rsidR="00B96B15" w:rsidRDefault="00B96B15" w:rsidP="003A16ED">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E2544" w14:textId="77777777" w:rsidR="00646E26" w:rsidRDefault="00646E26" w:rsidP="009D02A9">
      <w:r>
        <w:separator/>
      </w:r>
    </w:p>
  </w:footnote>
  <w:footnote w:type="continuationSeparator" w:id="0">
    <w:p w14:paraId="003AB296" w14:textId="77777777" w:rsidR="00646E26" w:rsidRDefault="00646E26" w:rsidP="009D02A9">
      <w:r>
        <w:continuationSeparator/>
      </w:r>
    </w:p>
  </w:footnote>
  <w:footnote w:id="1">
    <w:p w14:paraId="1063E74F" w14:textId="77777777" w:rsidR="00FE60D7" w:rsidRPr="005253B6" w:rsidRDefault="00FE60D7" w:rsidP="00FE60D7">
      <w:pPr>
        <w:spacing w:line="276" w:lineRule="auto"/>
        <w:rPr>
          <w:rFonts w:ascii="Times New Roman" w:hAnsi="Times New Roman" w:cs="Times New Roman"/>
          <w:color w:val="444444"/>
          <w:sz w:val="20"/>
          <w:szCs w:val="20"/>
        </w:rPr>
      </w:pPr>
      <w:r w:rsidRPr="005253B6">
        <w:rPr>
          <w:rStyle w:val="FootnoteReference"/>
          <w:rFonts w:ascii="Times New Roman" w:hAnsi="Times New Roman" w:cs="Times New Roman"/>
          <w:sz w:val="20"/>
          <w:szCs w:val="20"/>
        </w:rPr>
        <w:footnoteRef/>
      </w:r>
      <w:r w:rsidRPr="005253B6">
        <w:rPr>
          <w:rFonts w:ascii="Times New Roman" w:hAnsi="Times New Roman" w:cs="Times New Roman"/>
          <w:sz w:val="20"/>
          <w:szCs w:val="20"/>
        </w:rPr>
        <w:t xml:space="preserve"> </w:t>
      </w:r>
      <w:proofErr w:type="gramStart"/>
      <w:r w:rsidRPr="005253B6">
        <w:rPr>
          <w:rFonts w:ascii="Times New Roman" w:hAnsi="Times New Roman" w:cs="Times New Roman"/>
          <w:sz w:val="20"/>
          <w:szCs w:val="20"/>
        </w:rPr>
        <w:t xml:space="preserve">Most recently, the Committee endorsed the </w:t>
      </w:r>
      <w:hyperlink r:id="rId1" w:history="1">
        <w:r w:rsidRPr="005253B6">
          <w:rPr>
            <w:rFonts w:ascii="Times New Roman" w:hAnsi="Times New Roman" w:cs="Times New Roman"/>
            <w:sz w:val="20"/>
            <w:szCs w:val="20"/>
          </w:rPr>
          <w:t>Joint Statement</w:t>
        </w:r>
        <w:r w:rsidRPr="005253B6">
          <w:rPr>
            <w:rStyle w:val="FootnoteReference"/>
            <w:rFonts w:ascii="Times New Roman" w:hAnsi="Times New Roman" w:cs="Times New Roman"/>
            <w:sz w:val="20"/>
            <w:szCs w:val="20"/>
          </w:rPr>
          <w:footnoteRef/>
        </w:r>
        <w:r w:rsidRPr="005253B6">
          <w:rPr>
            <w:rFonts w:ascii="Times New Roman" w:hAnsi="Times New Roman" w:cs="Times New Roman"/>
            <w:sz w:val="20"/>
            <w:szCs w:val="20"/>
          </w:rPr>
          <w:t xml:space="preserve"> o</w:t>
        </w:r>
      </w:hyperlink>
      <w:r w:rsidRPr="005253B6">
        <w:rPr>
          <w:rFonts w:ascii="Times New Roman" w:hAnsi="Times New Roman" w:cs="Times New Roman"/>
          <w:sz w:val="20"/>
          <w:szCs w:val="20"/>
        </w:rPr>
        <w:t>n the 20th anniversary of the UN Declaration on Human Rights Defenders, underscoring that; ‘</w:t>
      </w:r>
      <w:r w:rsidRPr="005253B6">
        <w:rPr>
          <w:rFonts w:ascii="Times New Roman" w:hAnsi="Times New Roman" w:cs="Times New Roman"/>
          <w:i/>
          <w:color w:val="444444"/>
          <w:sz w:val="20"/>
          <w:szCs w:val="20"/>
        </w:rPr>
        <w:t>The active involvement and participation of civil society in the work of the Treaty Bodies is crucial for the wide dissemination, at the international, national and local levels, of information about the Treaties and the Treaty Bodies’ work</w:t>
      </w:r>
      <w:r w:rsidRPr="005253B6">
        <w:rPr>
          <w:rFonts w:ascii="Times New Roman" w:hAnsi="Times New Roman" w:cs="Times New Roman"/>
          <w:color w:val="444444"/>
          <w:sz w:val="20"/>
          <w:szCs w:val="20"/>
        </w:rPr>
        <w:t>.’</w:t>
      </w:r>
      <w:proofErr w:type="gramEnd"/>
      <w:r w:rsidRPr="005253B6">
        <w:rPr>
          <w:rFonts w:ascii="Times New Roman" w:hAnsi="Times New Roman" w:cs="Times New Roman"/>
          <w:color w:val="444444"/>
          <w:sz w:val="20"/>
          <w:szCs w:val="20"/>
        </w:rPr>
        <w:t xml:space="preserve"> </w:t>
      </w:r>
    </w:p>
  </w:footnote>
  <w:footnote w:id="2">
    <w:p w14:paraId="03F03C7A" w14:textId="49A585AA" w:rsidR="00B96B15" w:rsidRPr="005253B6" w:rsidRDefault="00B96B15" w:rsidP="005B3927">
      <w:pPr>
        <w:pStyle w:val="Default"/>
        <w:rPr>
          <w:color w:val="auto"/>
          <w:sz w:val="20"/>
          <w:szCs w:val="20"/>
          <w:lang w:val="en-US"/>
        </w:rPr>
      </w:pPr>
      <w:r w:rsidRPr="005253B6">
        <w:rPr>
          <w:rStyle w:val="FootnoteReference"/>
          <w:sz w:val="20"/>
          <w:szCs w:val="20"/>
        </w:rPr>
        <w:footnoteRef/>
      </w:r>
      <w:r w:rsidRPr="005253B6">
        <w:rPr>
          <w:sz w:val="20"/>
          <w:szCs w:val="20"/>
        </w:rPr>
        <w:t xml:space="preserve"> </w:t>
      </w:r>
      <w:r w:rsidRPr="005253B6">
        <w:rPr>
          <w:color w:val="auto"/>
          <w:sz w:val="20"/>
          <w:szCs w:val="20"/>
          <w:lang w:val="en-US"/>
        </w:rPr>
        <w:t>A/HRC/32/20</w:t>
      </w:r>
    </w:p>
  </w:footnote>
  <w:footnote w:id="3">
    <w:p w14:paraId="4DD6BE94" w14:textId="77777777" w:rsidR="00EF706C" w:rsidRPr="005253B6" w:rsidRDefault="00EF706C" w:rsidP="00EF706C">
      <w:pPr>
        <w:pStyle w:val="FootnoteText"/>
        <w:rPr>
          <w:rFonts w:ascii="Times New Roman" w:hAnsi="Times New Roman" w:cs="Times New Roman"/>
          <w:lang w:val="en-US"/>
        </w:rPr>
      </w:pPr>
      <w:r w:rsidRPr="005253B6">
        <w:rPr>
          <w:rStyle w:val="FootnoteReference"/>
          <w:rFonts w:ascii="Times New Roman" w:hAnsi="Times New Roman" w:cs="Times New Roman"/>
        </w:rPr>
        <w:footnoteRef/>
      </w:r>
      <w:r w:rsidRPr="005253B6">
        <w:rPr>
          <w:rFonts w:ascii="Times New Roman" w:hAnsi="Times New Roman" w:cs="Times New Roman"/>
        </w:rPr>
        <w:t xml:space="preserve"> </w:t>
      </w:r>
      <w:r w:rsidRPr="00C20548">
        <w:rPr>
          <w:rFonts w:ascii="Times New Roman" w:hAnsi="Times New Roman" w:cs="Times New Roman"/>
          <w:lang w:val="en-US"/>
        </w:rPr>
        <w:t xml:space="preserve">General Comment No. 25, </w:t>
      </w:r>
      <w:r w:rsidRPr="00C20548">
        <w:rPr>
          <w:rFonts w:ascii="Times New Roman" w:hAnsi="Times New Roman" w:cs="Times New Roman"/>
        </w:rPr>
        <w:t>CCPR/C/21/Rev.1/Add.7 27 August 1996,</w:t>
      </w:r>
      <w:r w:rsidRPr="00C20548">
        <w:rPr>
          <w:rFonts w:ascii="Times New Roman" w:hAnsi="Times New Roman" w:cs="Times New Roman"/>
          <w:lang w:val="en-US"/>
        </w:rPr>
        <w:t xml:space="preserve"> para, 25.</w:t>
      </w:r>
    </w:p>
  </w:footnote>
  <w:footnote w:id="4">
    <w:p w14:paraId="147DF534" w14:textId="6AC88916" w:rsidR="00B96B15" w:rsidRPr="005253B6" w:rsidRDefault="00B96B15" w:rsidP="009D02A9">
      <w:pPr>
        <w:pStyle w:val="FootnoteText"/>
        <w:rPr>
          <w:rFonts w:ascii="Times New Roman" w:hAnsi="Times New Roman" w:cs="Times New Roman"/>
          <w:lang w:val="en-US"/>
        </w:rPr>
      </w:pPr>
      <w:r w:rsidRPr="005253B6">
        <w:rPr>
          <w:rStyle w:val="FootnoteReference"/>
          <w:rFonts w:ascii="Times New Roman" w:hAnsi="Times New Roman" w:cs="Times New Roman"/>
        </w:rPr>
        <w:footnoteRef/>
      </w:r>
      <w:r w:rsidRPr="005253B6">
        <w:rPr>
          <w:rFonts w:ascii="Times New Roman" w:hAnsi="Times New Roman" w:cs="Times New Roman"/>
        </w:rPr>
        <w:t xml:space="preserve"> </w:t>
      </w:r>
      <w:r w:rsidR="001157CF">
        <w:rPr>
          <w:rFonts w:ascii="Times New Roman" w:hAnsi="Times New Roman" w:cs="Times New Roman"/>
        </w:rPr>
        <w:t xml:space="preserve">Guidelines for States on the effective implementation of the right to participate in public affairs, </w:t>
      </w:r>
      <w:r w:rsidR="001157CF" w:rsidRPr="00935CC5">
        <w:rPr>
          <w:rFonts w:ascii="Times New Roman" w:hAnsi="Times New Roman" w:cs="Times New Roman"/>
          <w:lang w:val="en-US"/>
        </w:rPr>
        <w:t>A/HRC/39/28</w:t>
      </w:r>
      <w:r w:rsidR="001157CF">
        <w:rPr>
          <w:rFonts w:ascii="Times New Roman" w:hAnsi="Times New Roman" w:cs="Times New Roman"/>
          <w:lang w:val="en-US"/>
        </w:rPr>
        <w:t>,</w:t>
      </w:r>
      <w:r w:rsidR="001157CF" w:rsidRPr="00935CC5">
        <w:rPr>
          <w:rFonts w:ascii="Times New Roman" w:hAnsi="Times New Roman" w:cs="Times New Roman"/>
          <w:lang w:val="en-US"/>
        </w:rPr>
        <w:t xml:space="preserve"> para 14. See also, </w:t>
      </w:r>
      <w:r w:rsidR="001157CF" w:rsidRPr="00935CC5">
        <w:rPr>
          <w:rFonts w:ascii="Times New Roman" w:hAnsi="Times New Roman" w:cs="Times New Roman"/>
        </w:rPr>
        <w:t>A/HRC/30/26</w:t>
      </w:r>
      <w:r w:rsidR="001157CF">
        <w:rPr>
          <w:rFonts w:ascii="Times New Roman" w:hAnsi="Times New Roman" w:cs="Times New Roman"/>
        </w:rPr>
        <w:t>,</w:t>
      </w:r>
      <w:r w:rsidR="001157CF" w:rsidRPr="00935CC5">
        <w:rPr>
          <w:rFonts w:ascii="Times New Roman" w:hAnsi="Times New Roman" w:cs="Times New Roman"/>
        </w:rPr>
        <w:t xml:space="preserve"> para</w:t>
      </w:r>
      <w:r w:rsidR="001157CF">
        <w:rPr>
          <w:rFonts w:ascii="Times New Roman" w:hAnsi="Times New Roman" w:cs="Times New Roman"/>
        </w:rPr>
        <w:t>.</w:t>
      </w:r>
      <w:r w:rsidR="001157CF" w:rsidRPr="00935CC5">
        <w:rPr>
          <w:rFonts w:ascii="Times New Roman" w:hAnsi="Times New Roman" w:cs="Times New Roman"/>
        </w:rPr>
        <w:t xml:space="preserve"> </w:t>
      </w:r>
      <w:proofErr w:type="gramStart"/>
      <w:r w:rsidR="001157CF" w:rsidRPr="00935CC5">
        <w:rPr>
          <w:rFonts w:ascii="Times New Roman" w:hAnsi="Times New Roman" w:cs="Times New Roman"/>
        </w:rPr>
        <w:t>13</w:t>
      </w:r>
      <w:proofErr w:type="gramEnd"/>
      <w:r w:rsidR="001157CF">
        <w:rPr>
          <w:rFonts w:ascii="Times New Roman" w:hAnsi="Times New Roman" w:cs="Times New Roman"/>
        </w:rPr>
        <w:t>;</w:t>
      </w:r>
      <w:r w:rsidR="001157CF" w:rsidRPr="00935CC5">
        <w:rPr>
          <w:rFonts w:ascii="Times New Roman" w:hAnsi="Times New Roman" w:cs="Times New Roman"/>
        </w:rPr>
        <w:t xml:space="preserve"> A/HRC/27/29, para. 22</w:t>
      </w:r>
      <w:r w:rsidR="001157CF">
        <w:rPr>
          <w:rFonts w:ascii="Times New Roman" w:hAnsi="Times New Roman" w:cs="Times New Roman"/>
        </w:rPr>
        <w:t>.</w:t>
      </w:r>
      <w:r w:rsidR="001157CF" w:rsidRPr="00935CC5">
        <w:rPr>
          <w:rFonts w:ascii="Times New Roman" w:hAnsi="Times New Roman" w:cs="Times New Roman"/>
        </w:rPr>
        <w:t xml:space="preserve"> </w:t>
      </w:r>
      <w:r w:rsidRPr="005253B6">
        <w:rPr>
          <w:rFonts w:ascii="Times New Roman" w:hAnsi="Times New Roman" w:cs="Times New Roman"/>
        </w:rPr>
        <w:t xml:space="preserve"> </w:t>
      </w:r>
    </w:p>
  </w:footnote>
  <w:footnote w:id="5">
    <w:p w14:paraId="77B01738" w14:textId="6894808C" w:rsidR="00B96B15" w:rsidRPr="001157CF" w:rsidRDefault="00B96B15">
      <w:pPr>
        <w:pStyle w:val="FootnoteText"/>
        <w:rPr>
          <w:rFonts w:ascii="Times New Roman" w:hAnsi="Times New Roman" w:cs="Times New Roman"/>
          <w:lang w:val="es-CU"/>
        </w:rPr>
      </w:pPr>
      <w:r w:rsidRPr="005253B6">
        <w:rPr>
          <w:rStyle w:val="FootnoteReference"/>
          <w:rFonts w:ascii="Times New Roman" w:hAnsi="Times New Roman" w:cs="Times New Roman"/>
        </w:rPr>
        <w:footnoteRef/>
      </w:r>
      <w:r w:rsidRPr="005253B6">
        <w:rPr>
          <w:rFonts w:ascii="Times New Roman" w:hAnsi="Times New Roman" w:cs="Times New Roman"/>
          <w:lang w:val="uz-Cyrl-UZ"/>
        </w:rPr>
        <w:t xml:space="preserve"> </w:t>
      </w:r>
      <w:r w:rsidR="001157CF" w:rsidRPr="00935CC5">
        <w:rPr>
          <w:rFonts w:ascii="Times New Roman" w:hAnsi="Times New Roman" w:cs="Times New Roman"/>
          <w:lang w:val="es-CU"/>
        </w:rPr>
        <w:t>A/HRC/39/28 para</w:t>
      </w:r>
      <w:r w:rsidR="001157CF">
        <w:rPr>
          <w:rFonts w:ascii="Times New Roman" w:hAnsi="Times New Roman" w:cs="Times New Roman"/>
          <w:lang w:val="es-CU"/>
        </w:rPr>
        <w:t>.</w:t>
      </w:r>
      <w:r w:rsidR="001157CF" w:rsidRPr="00935CC5">
        <w:rPr>
          <w:rFonts w:ascii="Times New Roman" w:hAnsi="Times New Roman" w:cs="Times New Roman"/>
          <w:lang w:val="es-CU"/>
        </w:rPr>
        <w:t xml:space="preserve"> 19</w:t>
      </w:r>
      <w:r w:rsidR="001157CF">
        <w:rPr>
          <w:rFonts w:ascii="Times New Roman" w:hAnsi="Times New Roman" w:cs="Times New Roman"/>
          <w:lang w:val="es-CU"/>
        </w:rPr>
        <w:t>(</w:t>
      </w:r>
      <w:r w:rsidR="001157CF" w:rsidRPr="00935CC5">
        <w:rPr>
          <w:rFonts w:ascii="Times New Roman" w:hAnsi="Times New Roman" w:cs="Times New Roman"/>
          <w:lang w:val="es-CU"/>
        </w:rPr>
        <w:t>d</w:t>
      </w:r>
      <w:r w:rsidR="001157CF">
        <w:rPr>
          <w:rFonts w:ascii="Times New Roman" w:hAnsi="Times New Roman" w:cs="Times New Roman"/>
          <w:lang w:val="es-CU"/>
        </w:rPr>
        <w:t>).</w:t>
      </w:r>
    </w:p>
  </w:footnote>
  <w:footnote w:id="6">
    <w:p w14:paraId="1A9568A8" w14:textId="77777777" w:rsidR="006F47C7" w:rsidRPr="005253B6" w:rsidRDefault="006F47C7" w:rsidP="006F47C7">
      <w:pPr>
        <w:pStyle w:val="FootnoteText"/>
        <w:rPr>
          <w:rFonts w:ascii="Times New Roman" w:hAnsi="Times New Roman" w:cs="Times New Roman"/>
          <w:lang w:val="uz-Cyrl-UZ"/>
        </w:rPr>
      </w:pPr>
      <w:r w:rsidRPr="005253B6">
        <w:rPr>
          <w:rStyle w:val="FootnoteReference"/>
          <w:rFonts w:ascii="Times New Roman" w:hAnsi="Times New Roman" w:cs="Times New Roman"/>
        </w:rPr>
        <w:footnoteRef/>
      </w:r>
      <w:r>
        <w:rPr>
          <w:rFonts w:ascii="Times New Roman" w:hAnsi="Times New Roman" w:cs="Times New Roman"/>
        </w:rPr>
        <w:t xml:space="preserve"> Factors that impede equal participation and steps to overcome these challenges,</w:t>
      </w:r>
      <w:r w:rsidRPr="00935CC5">
        <w:rPr>
          <w:rFonts w:ascii="Times New Roman" w:hAnsi="Times New Roman" w:cs="Times New Roman"/>
        </w:rPr>
        <w:t xml:space="preserve"> A/HRC/27/29, para</w:t>
      </w:r>
      <w:r>
        <w:rPr>
          <w:rFonts w:ascii="Times New Roman" w:hAnsi="Times New Roman" w:cs="Times New Roman"/>
        </w:rPr>
        <w:t>.</w:t>
      </w:r>
      <w:r w:rsidRPr="00935CC5">
        <w:rPr>
          <w:rFonts w:ascii="Times New Roman" w:hAnsi="Times New Roman" w:cs="Times New Roman"/>
        </w:rPr>
        <w:t xml:space="preserve"> 23</w:t>
      </w:r>
      <w:r>
        <w:rPr>
          <w:rFonts w:ascii="Times New Roman" w:hAnsi="Times New Roman" w:cs="Times New Roman"/>
        </w:rPr>
        <w:t xml:space="preserve">. See also, </w:t>
      </w:r>
      <w:r w:rsidRPr="00935CC5">
        <w:rPr>
          <w:rFonts w:ascii="Times New Roman" w:hAnsi="Times New Roman" w:cs="Times New Roman"/>
        </w:rPr>
        <w:t>Human Rights Committee, General Comment No. 34</w:t>
      </w:r>
      <w:r>
        <w:rPr>
          <w:rFonts w:ascii="Times New Roman" w:hAnsi="Times New Roman" w:cs="Times New Roman"/>
        </w:rPr>
        <w:t>, CCPR/C/GC/34(2011)</w:t>
      </w:r>
      <w:r w:rsidRPr="00935CC5">
        <w:rPr>
          <w:rFonts w:ascii="Times New Roman" w:hAnsi="Times New Roman" w:cs="Times New Roman"/>
        </w:rPr>
        <w:t xml:space="preserve">, para. </w:t>
      </w:r>
      <w:r w:rsidRPr="00391719">
        <w:rPr>
          <w:rFonts w:ascii="Times New Roman" w:hAnsi="Times New Roman" w:cs="Times New Roman"/>
        </w:rPr>
        <w:t>12.</w:t>
      </w:r>
    </w:p>
  </w:footnote>
  <w:footnote w:id="7">
    <w:p w14:paraId="70DCC4D4" w14:textId="77777777" w:rsidR="006F47C7" w:rsidRPr="005253B6" w:rsidRDefault="006F47C7" w:rsidP="006F47C7">
      <w:pPr>
        <w:pStyle w:val="FootnoteText"/>
        <w:rPr>
          <w:rFonts w:ascii="Times New Roman" w:hAnsi="Times New Roman" w:cs="Times New Roman"/>
          <w:lang w:val="uz-Cyrl-UZ"/>
        </w:rPr>
      </w:pPr>
      <w:r w:rsidRPr="005253B6">
        <w:rPr>
          <w:rStyle w:val="FootnoteReference"/>
          <w:rFonts w:ascii="Times New Roman" w:hAnsi="Times New Roman" w:cs="Times New Roman"/>
        </w:rPr>
        <w:footnoteRef/>
      </w:r>
      <w:r w:rsidRPr="005253B6">
        <w:rPr>
          <w:rFonts w:ascii="Times New Roman" w:hAnsi="Times New Roman" w:cs="Times New Roman"/>
          <w:lang w:val="uz-Cyrl-UZ"/>
        </w:rPr>
        <w:t xml:space="preserve"> </w:t>
      </w:r>
      <w:r w:rsidRPr="00391719">
        <w:rPr>
          <w:rFonts w:ascii="Times New Roman" w:hAnsi="Times New Roman" w:cs="Times New Roman"/>
        </w:rPr>
        <w:t xml:space="preserve">Report of the Special Rapporteur on the rights to freedom of peaceful assembly and of association, </w:t>
      </w:r>
      <w:proofErr w:type="spellStart"/>
      <w:r w:rsidRPr="00391719">
        <w:rPr>
          <w:rFonts w:ascii="Times New Roman" w:hAnsi="Times New Roman" w:cs="Times New Roman"/>
        </w:rPr>
        <w:t>Maina</w:t>
      </w:r>
      <w:proofErr w:type="spellEnd"/>
      <w:r w:rsidRPr="00391719">
        <w:rPr>
          <w:rFonts w:ascii="Times New Roman" w:hAnsi="Times New Roman" w:cs="Times New Roman"/>
        </w:rPr>
        <w:t xml:space="preserve"> </w:t>
      </w:r>
      <w:proofErr w:type="spellStart"/>
      <w:r w:rsidRPr="00391719">
        <w:rPr>
          <w:rFonts w:ascii="Times New Roman" w:hAnsi="Times New Roman" w:cs="Times New Roman"/>
        </w:rPr>
        <w:t>Kiai</w:t>
      </w:r>
      <w:proofErr w:type="spellEnd"/>
      <w:r w:rsidRPr="00391719">
        <w:rPr>
          <w:rFonts w:ascii="Times New Roman" w:hAnsi="Times New Roman" w:cs="Times New Roman"/>
        </w:rPr>
        <w:t xml:space="preserve">, A/HRC/20/27, para. </w:t>
      </w:r>
      <w:r w:rsidRPr="00935CC5">
        <w:rPr>
          <w:rFonts w:ascii="Times New Roman" w:hAnsi="Times New Roman" w:cs="Times New Roman"/>
          <w:lang w:val="es-CU"/>
        </w:rPr>
        <w:t>24</w:t>
      </w:r>
      <w:r>
        <w:rPr>
          <w:rFonts w:ascii="Times New Roman" w:hAnsi="Times New Roman" w:cs="Times New Roman"/>
          <w:lang w:val="es-CU"/>
        </w:rPr>
        <w:t xml:space="preserve"> (2012). See also,</w:t>
      </w:r>
      <w:r w:rsidRPr="00935CC5">
        <w:rPr>
          <w:rFonts w:ascii="Times New Roman" w:hAnsi="Times New Roman" w:cs="Times New Roman"/>
          <w:lang w:val="es-CU"/>
        </w:rPr>
        <w:t xml:space="preserve"> A/HRC/27/29, para</w:t>
      </w:r>
      <w:r>
        <w:rPr>
          <w:rFonts w:ascii="Times New Roman" w:hAnsi="Times New Roman" w:cs="Times New Roman"/>
          <w:lang w:val="es-CU"/>
        </w:rPr>
        <w:t>.</w:t>
      </w:r>
      <w:r w:rsidRPr="00935CC5">
        <w:rPr>
          <w:rFonts w:ascii="Times New Roman" w:hAnsi="Times New Roman" w:cs="Times New Roman"/>
          <w:lang w:val="es-CU"/>
        </w:rPr>
        <w:t xml:space="preserve"> 23</w:t>
      </w:r>
      <w:r>
        <w:rPr>
          <w:rFonts w:ascii="Times New Roman" w:hAnsi="Times New Roman" w:cs="Times New Roman"/>
          <w:lang w:val="es-CU"/>
        </w:rPr>
        <w:t>.</w:t>
      </w:r>
    </w:p>
  </w:footnote>
  <w:footnote w:id="8">
    <w:p w14:paraId="25205B43" w14:textId="77777777" w:rsidR="00172D08" w:rsidRPr="007B6FEA" w:rsidRDefault="00172D08" w:rsidP="00172D08">
      <w:pPr>
        <w:pStyle w:val="FootnoteText"/>
        <w:rPr>
          <w:rFonts w:ascii="Times New Roman" w:hAnsi="Times New Roman" w:cs="Times New Roman"/>
        </w:rPr>
      </w:pPr>
      <w:r w:rsidRPr="007B6FEA">
        <w:rPr>
          <w:rFonts w:ascii="Times New Roman" w:hAnsi="Times New Roman" w:cs="Times New Roman"/>
        </w:rPr>
        <w:footnoteRef/>
      </w:r>
      <w:r w:rsidRPr="007B6FEA">
        <w:rPr>
          <w:rFonts w:ascii="Times New Roman" w:hAnsi="Times New Roman" w:cs="Times New Roman"/>
        </w:rPr>
        <w:t xml:space="preserve"> A/RES/71/256, para. 13(b).</w:t>
      </w:r>
    </w:p>
  </w:footnote>
  <w:footnote w:id="9">
    <w:p w14:paraId="6559F19A" w14:textId="77777777" w:rsidR="00172D08" w:rsidRPr="007B6FEA" w:rsidRDefault="00172D08" w:rsidP="00172D08">
      <w:pPr>
        <w:pStyle w:val="FootnoteText"/>
        <w:rPr>
          <w:rFonts w:ascii="Times New Roman" w:hAnsi="Times New Roman" w:cs="Times New Roman"/>
        </w:rPr>
      </w:pPr>
      <w:r w:rsidRPr="007B6FEA">
        <w:rPr>
          <w:rFonts w:ascii="Times New Roman" w:hAnsi="Times New Roman" w:cs="Times New Roman"/>
        </w:rPr>
        <w:footnoteRef/>
      </w:r>
      <w:r w:rsidRPr="007B6FEA">
        <w:rPr>
          <w:rFonts w:ascii="Times New Roman" w:hAnsi="Times New Roman" w:cs="Times New Roman"/>
        </w:rPr>
        <w:t xml:space="preserve"> </w:t>
      </w:r>
      <w:proofErr w:type="gramStart"/>
      <w:r w:rsidRPr="007B6FEA">
        <w:rPr>
          <w:rFonts w:ascii="Times New Roman" w:hAnsi="Times New Roman" w:cs="Times New Roman"/>
        </w:rPr>
        <w:t>Ibid.,</w:t>
      </w:r>
      <w:proofErr w:type="gramEnd"/>
      <w:r w:rsidRPr="007B6FEA">
        <w:rPr>
          <w:rFonts w:ascii="Times New Roman" w:hAnsi="Times New Roman" w:cs="Times New Roman"/>
        </w:rPr>
        <w:t xml:space="preserve"> para. 41.</w:t>
      </w:r>
    </w:p>
  </w:footnote>
  <w:footnote w:id="10">
    <w:p w14:paraId="4696A019" w14:textId="77777777" w:rsidR="00172D08" w:rsidRPr="007B6FEA" w:rsidRDefault="00172D08" w:rsidP="00172D08">
      <w:pPr>
        <w:rPr>
          <w:rFonts w:ascii="Times New Roman" w:hAnsi="Times New Roman" w:cs="Times New Roman"/>
          <w:sz w:val="20"/>
          <w:szCs w:val="20"/>
          <w:lang w:val="en-GB"/>
        </w:rPr>
      </w:pPr>
      <w:r w:rsidRPr="007B6FEA">
        <w:rPr>
          <w:rFonts w:ascii="Times New Roman" w:hAnsi="Times New Roman" w:cs="Times New Roman"/>
          <w:sz w:val="20"/>
          <w:szCs w:val="20"/>
          <w:lang w:val="en-GB"/>
        </w:rPr>
        <w:footnoteRef/>
      </w:r>
      <w:r w:rsidRPr="007B6FEA">
        <w:rPr>
          <w:rFonts w:ascii="Times New Roman" w:hAnsi="Times New Roman" w:cs="Times New Roman"/>
          <w:sz w:val="20"/>
          <w:szCs w:val="20"/>
          <w:lang w:val="en-GB"/>
        </w:rPr>
        <w:t xml:space="preserve"> See </w:t>
      </w:r>
      <w:proofErr w:type="spellStart"/>
      <w:r w:rsidRPr="007B6FEA">
        <w:rPr>
          <w:rFonts w:ascii="Times New Roman" w:hAnsi="Times New Roman" w:cs="Times New Roman"/>
          <w:sz w:val="20"/>
          <w:szCs w:val="20"/>
          <w:lang w:val="en-GB"/>
        </w:rPr>
        <w:t>Sudalenko</w:t>
      </w:r>
      <w:proofErr w:type="spellEnd"/>
      <w:r w:rsidRPr="007B6FEA">
        <w:rPr>
          <w:rFonts w:ascii="Times New Roman" w:hAnsi="Times New Roman" w:cs="Times New Roman"/>
          <w:sz w:val="20"/>
          <w:szCs w:val="20"/>
          <w:lang w:val="en-GB"/>
        </w:rPr>
        <w:t xml:space="preserve"> v. Belarus, CCPR/C/115/D/2016/2010, </w:t>
      </w:r>
      <w:proofErr w:type="gramStart"/>
      <w:r w:rsidRPr="007B6FEA">
        <w:rPr>
          <w:rFonts w:ascii="Times New Roman" w:hAnsi="Times New Roman" w:cs="Times New Roman"/>
          <w:sz w:val="20"/>
          <w:szCs w:val="20"/>
          <w:lang w:val="en-GB"/>
        </w:rPr>
        <w:t>para</w:t>
      </w:r>
      <w:proofErr w:type="gramEnd"/>
      <w:r w:rsidRPr="007B6FEA">
        <w:rPr>
          <w:rFonts w:ascii="Times New Roman" w:hAnsi="Times New Roman" w:cs="Times New Roman"/>
          <w:sz w:val="20"/>
          <w:szCs w:val="20"/>
          <w:lang w:val="en-GB"/>
        </w:rPr>
        <w:t>. 8.6 (“The Committee further notes that the de facto prohibition imposed by decision No. 299 of an assembly in any public location in the entire city of Gomel, with the exception of a single remote area, unduly limits the right of assembly and the freedom of expression.)</w:t>
      </w:r>
    </w:p>
  </w:footnote>
  <w:footnote w:id="11">
    <w:p w14:paraId="1B88C24A" w14:textId="77777777" w:rsidR="00172D08" w:rsidRPr="00CC1C08" w:rsidRDefault="00172D08" w:rsidP="00172D08">
      <w:pPr>
        <w:rPr>
          <w:rFonts w:ascii="Times New Roman" w:hAnsi="Times New Roman" w:cs="Times New Roman"/>
          <w:b/>
          <w:lang w:val="en-GB"/>
        </w:rPr>
      </w:pPr>
      <w:r w:rsidRPr="007B6FEA">
        <w:rPr>
          <w:lang w:val="en-GB"/>
        </w:rPr>
        <w:footnoteRef/>
      </w:r>
      <w:r w:rsidRPr="007B6FEA">
        <w:rPr>
          <w:rFonts w:ascii="Times New Roman" w:hAnsi="Times New Roman" w:cs="Times New Roman"/>
          <w:sz w:val="20"/>
          <w:szCs w:val="20"/>
          <w:lang w:val="en-GB"/>
        </w:rPr>
        <w:t xml:space="preserve"> See, Report of the Special Rapporteur on the rights to freedom of peaceful assembly and of association, </w:t>
      </w:r>
      <w:proofErr w:type="spellStart"/>
      <w:r w:rsidRPr="007B6FEA">
        <w:rPr>
          <w:rFonts w:ascii="Times New Roman" w:hAnsi="Times New Roman" w:cs="Times New Roman"/>
          <w:sz w:val="20"/>
          <w:szCs w:val="20"/>
          <w:lang w:val="en-GB"/>
        </w:rPr>
        <w:t>Maina</w:t>
      </w:r>
      <w:proofErr w:type="spellEnd"/>
      <w:r w:rsidRPr="007B6FEA">
        <w:rPr>
          <w:rFonts w:ascii="Times New Roman" w:hAnsi="Times New Roman" w:cs="Times New Roman"/>
          <w:sz w:val="20"/>
          <w:szCs w:val="20"/>
          <w:lang w:val="en-GB"/>
        </w:rPr>
        <w:t xml:space="preserve"> </w:t>
      </w:r>
      <w:proofErr w:type="spellStart"/>
      <w:r w:rsidRPr="007B6FEA">
        <w:rPr>
          <w:rFonts w:ascii="Times New Roman" w:hAnsi="Times New Roman" w:cs="Times New Roman"/>
          <w:sz w:val="20"/>
          <w:szCs w:val="20"/>
          <w:lang w:val="en-GB"/>
        </w:rPr>
        <w:t>Kiai</w:t>
      </w:r>
      <w:proofErr w:type="spellEnd"/>
      <w:r w:rsidRPr="007B6FEA">
        <w:rPr>
          <w:rFonts w:ascii="Times New Roman" w:hAnsi="Times New Roman" w:cs="Times New Roman"/>
          <w:sz w:val="20"/>
          <w:szCs w:val="20"/>
          <w:lang w:val="en-GB"/>
        </w:rPr>
        <w:t xml:space="preserve">, A/HRC/29/25, para. 54. See also, Report of the Special Rapporteur on the situation of human rights in Belarus, A/HRC/26/44, </w:t>
      </w:r>
      <w:proofErr w:type="gramStart"/>
      <w:r w:rsidRPr="007B6FEA">
        <w:rPr>
          <w:rFonts w:ascii="Times New Roman" w:hAnsi="Times New Roman" w:cs="Times New Roman"/>
          <w:sz w:val="20"/>
          <w:szCs w:val="20"/>
          <w:lang w:val="en-GB"/>
        </w:rPr>
        <w:t>para</w:t>
      </w:r>
      <w:proofErr w:type="gramEnd"/>
      <w:r w:rsidRPr="007B6FEA">
        <w:rPr>
          <w:rFonts w:ascii="Times New Roman" w:hAnsi="Times New Roman" w:cs="Times New Roman"/>
          <w:sz w:val="20"/>
          <w:szCs w:val="20"/>
          <w:lang w:val="en-GB"/>
        </w:rPr>
        <w:t>. 87.</w:t>
      </w:r>
    </w:p>
  </w:footnote>
  <w:footnote w:id="12">
    <w:p w14:paraId="0BB55D29" w14:textId="77777777" w:rsidR="00C56DE3" w:rsidRPr="007B6FEA" w:rsidRDefault="00C56DE3" w:rsidP="00C56DE3">
      <w:pPr>
        <w:pStyle w:val="FootnoteText"/>
        <w:rPr>
          <w:rFonts w:ascii="Times New Roman" w:hAnsi="Times New Roman" w:cs="Times New Roman"/>
          <w:lang w:val="es-ES_tradnl"/>
        </w:rPr>
      </w:pPr>
      <w:r w:rsidRPr="005253B6">
        <w:rPr>
          <w:rStyle w:val="FootnoteReference"/>
          <w:rFonts w:ascii="Times New Roman" w:hAnsi="Times New Roman" w:cs="Times New Roman"/>
        </w:rPr>
        <w:footnoteRef/>
      </w:r>
      <w:r w:rsidRPr="005253B6">
        <w:rPr>
          <w:rFonts w:ascii="Times New Roman" w:hAnsi="Times New Roman" w:cs="Times New Roman"/>
          <w:lang w:val="uz-Cyrl-UZ"/>
        </w:rPr>
        <w:t xml:space="preserve"> </w:t>
      </w:r>
      <w:proofErr w:type="spellStart"/>
      <w:r w:rsidRPr="007B6FEA">
        <w:rPr>
          <w:rFonts w:ascii="Times New Roman" w:hAnsi="Times New Roman" w:cs="Times New Roman"/>
          <w:i/>
          <w:lang w:val="es-ES_tradnl"/>
        </w:rPr>
        <w:t>Shumilina</w:t>
      </w:r>
      <w:proofErr w:type="spellEnd"/>
      <w:r w:rsidRPr="007B6FEA">
        <w:rPr>
          <w:rFonts w:ascii="Times New Roman" w:hAnsi="Times New Roman" w:cs="Times New Roman"/>
          <w:i/>
          <w:lang w:val="es-ES_tradnl"/>
        </w:rPr>
        <w:t xml:space="preserve"> v. </w:t>
      </w:r>
      <w:proofErr w:type="spellStart"/>
      <w:r w:rsidRPr="007B6FEA">
        <w:rPr>
          <w:rFonts w:ascii="Times New Roman" w:hAnsi="Times New Roman" w:cs="Times New Roman"/>
          <w:i/>
          <w:lang w:val="es-ES_tradnl"/>
        </w:rPr>
        <w:t>Belarus</w:t>
      </w:r>
      <w:proofErr w:type="spellEnd"/>
      <w:r w:rsidRPr="007B6FEA">
        <w:rPr>
          <w:rFonts w:ascii="Times New Roman" w:hAnsi="Times New Roman" w:cs="Times New Roman"/>
          <w:lang w:val="es-ES_tradnl"/>
        </w:rPr>
        <w:t>, CCPR/C/120/D/2142/2012.</w:t>
      </w:r>
    </w:p>
  </w:footnote>
  <w:footnote w:id="13">
    <w:p w14:paraId="53660473" w14:textId="4D83D1A3" w:rsidR="00B96B15" w:rsidRPr="005253B6" w:rsidRDefault="00B96B15">
      <w:pPr>
        <w:pStyle w:val="FootnoteText"/>
        <w:rPr>
          <w:rFonts w:ascii="Times New Roman" w:hAnsi="Times New Roman" w:cs="Times New Roman"/>
          <w:lang w:val="en-US"/>
        </w:rPr>
      </w:pPr>
      <w:r w:rsidRPr="005253B6">
        <w:rPr>
          <w:rStyle w:val="FootnoteReference"/>
          <w:rFonts w:ascii="Times New Roman" w:hAnsi="Times New Roman" w:cs="Times New Roman"/>
        </w:rPr>
        <w:footnoteRef/>
      </w:r>
      <w:r w:rsidR="00801FCC">
        <w:rPr>
          <w:rFonts w:ascii="Times New Roman" w:hAnsi="Times New Roman" w:cs="Times New Roman"/>
        </w:rPr>
        <w:t xml:space="preserve"> </w:t>
      </w:r>
      <w:r w:rsidR="00801FCC" w:rsidRPr="00935CC5">
        <w:rPr>
          <w:rFonts w:ascii="Times New Roman" w:hAnsi="Times New Roman" w:cs="Times New Roman"/>
        </w:rPr>
        <w:t>A/HRC/27/29, para</w:t>
      </w:r>
      <w:r w:rsidR="00801FCC">
        <w:rPr>
          <w:rFonts w:ascii="Times New Roman" w:hAnsi="Times New Roman" w:cs="Times New Roman"/>
        </w:rPr>
        <w:t>.</w:t>
      </w:r>
      <w:r w:rsidR="00801FCC" w:rsidRPr="00935CC5">
        <w:rPr>
          <w:rFonts w:ascii="Times New Roman" w:hAnsi="Times New Roman" w:cs="Times New Roman"/>
        </w:rPr>
        <w:t xml:space="preserve"> 31</w:t>
      </w:r>
      <w:r w:rsidR="00801FCC">
        <w:rPr>
          <w:rFonts w:ascii="Times New Roman" w:hAnsi="Times New Roman" w:cs="Times New Roman"/>
        </w:rPr>
        <w:t xml:space="preserve">. See also, </w:t>
      </w:r>
      <w:r w:rsidR="00801FCC" w:rsidRPr="00935CC5">
        <w:rPr>
          <w:rFonts w:ascii="Times New Roman" w:hAnsi="Times New Roman" w:cs="Times New Roman"/>
        </w:rPr>
        <w:t>Human Rights Committee, Communication</w:t>
      </w:r>
      <w:r w:rsidR="00801FCC">
        <w:rPr>
          <w:rFonts w:ascii="Times New Roman" w:hAnsi="Times New Roman" w:cs="Times New Roman"/>
        </w:rPr>
        <w:t xml:space="preserve">s </w:t>
      </w:r>
      <w:r w:rsidR="00801FCC" w:rsidRPr="00935CC5">
        <w:rPr>
          <w:rFonts w:ascii="Times New Roman" w:hAnsi="Times New Roman" w:cs="Times New Roman"/>
        </w:rPr>
        <w:t>No. 932/2000</w:t>
      </w:r>
      <w:r w:rsidR="00801FCC">
        <w:rPr>
          <w:rFonts w:ascii="Times New Roman" w:hAnsi="Times New Roman" w:cs="Times New Roman"/>
        </w:rPr>
        <w:t xml:space="preserve">, No. 2155/2012, No. 1744/2007, </w:t>
      </w:r>
      <w:r w:rsidR="00801FCC" w:rsidRPr="00935CC5">
        <w:rPr>
          <w:rFonts w:ascii="Times New Roman" w:hAnsi="Times New Roman" w:cs="Times New Roman"/>
        </w:rPr>
        <w:t xml:space="preserve">No. 500/1992, No. 44/1979; and General Comment </w:t>
      </w:r>
      <w:r w:rsidR="00801FCC">
        <w:rPr>
          <w:rFonts w:ascii="Times New Roman" w:hAnsi="Times New Roman" w:cs="Times New Roman"/>
        </w:rPr>
        <w:t>No. 25, paras. 4, 10, 11 and 14.</w:t>
      </w:r>
    </w:p>
  </w:footnote>
  <w:footnote w:id="14">
    <w:p w14:paraId="3D45154E" w14:textId="69F21E93" w:rsidR="00B96B15" w:rsidRPr="005253B6" w:rsidRDefault="00B96B15" w:rsidP="00203861">
      <w:pPr>
        <w:rPr>
          <w:rFonts w:ascii="Times New Roman" w:eastAsia="Times New Roman" w:hAnsi="Times New Roman" w:cs="Times New Roman"/>
          <w:color w:val="000000"/>
          <w:sz w:val="20"/>
          <w:szCs w:val="20"/>
        </w:rPr>
      </w:pPr>
      <w:r w:rsidRPr="005253B6">
        <w:rPr>
          <w:rStyle w:val="FootnoteReference"/>
          <w:rFonts w:ascii="Times New Roman" w:hAnsi="Times New Roman" w:cs="Times New Roman"/>
          <w:sz w:val="20"/>
          <w:szCs w:val="20"/>
        </w:rPr>
        <w:footnoteRef/>
      </w:r>
      <w:r w:rsidR="00801FCC">
        <w:rPr>
          <w:rFonts w:ascii="Times New Roman" w:hAnsi="Times New Roman" w:cs="Times New Roman"/>
          <w:sz w:val="20"/>
          <w:szCs w:val="20"/>
        </w:rPr>
        <w:t xml:space="preserve"> </w:t>
      </w:r>
      <w:r w:rsidR="00801FCC" w:rsidRPr="00935CC5">
        <w:rPr>
          <w:rFonts w:ascii="Times New Roman" w:hAnsi="Times New Roman" w:cs="Times New Roman"/>
          <w:sz w:val="20"/>
          <w:szCs w:val="20"/>
        </w:rPr>
        <w:t xml:space="preserve">See, </w:t>
      </w:r>
      <w:r w:rsidR="00801FCC" w:rsidRPr="00935CC5">
        <w:rPr>
          <w:rFonts w:ascii="Times New Roman" w:eastAsia="Times New Roman" w:hAnsi="Times New Roman" w:cs="Times New Roman"/>
          <w:color w:val="333333"/>
          <w:sz w:val="20"/>
          <w:szCs w:val="20"/>
        </w:rPr>
        <w:t xml:space="preserve">CCPR/C/120/D/2142/2012; </w:t>
      </w:r>
      <w:r w:rsidR="00801FCC" w:rsidRPr="00935CC5">
        <w:rPr>
          <w:rFonts w:ascii="Times New Roman" w:eastAsia="Times New Roman" w:hAnsi="Times New Roman" w:cs="Times New Roman"/>
          <w:color w:val="000000"/>
          <w:sz w:val="20"/>
          <w:szCs w:val="20"/>
        </w:rPr>
        <w:t>CCPR/C/117/D/2082/2011</w:t>
      </w:r>
      <w:proofErr w:type="gramStart"/>
      <w:r w:rsidR="00801FCC" w:rsidRPr="00935CC5">
        <w:rPr>
          <w:rFonts w:ascii="Times New Roman" w:eastAsia="Times New Roman" w:hAnsi="Times New Roman" w:cs="Times New Roman"/>
          <w:color w:val="000000"/>
          <w:sz w:val="20"/>
          <w:szCs w:val="20"/>
        </w:rPr>
        <w:t>;</w:t>
      </w:r>
      <w:proofErr w:type="gramEnd"/>
      <w:r w:rsidR="00801FCC" w:rsidRPr="00935CC5">
        <w:rPr>
          <w:rFonts w:ascii="Times New Roman" w:eastAsia="Times New Roman" w:hAnsi="Times New Roman" w:cs="Times New Roman"/>
          <w:color w:val="000000"/>
          <w:sz w:val="20"/>
          <w:szCs w:val="20"/>
        </w:rPr>
        <w:t xml:space="preserve"> CCPR/C/117/D/2089/2011.</w:t>
      </w:r>
    </w:p>
  </w:footnote>
  <w:footnote w:id="15">
    <w:p w14:paraId="27B81E89" w14:textId="6D52F9AC" w:rsidR="00B96B15" w:rsidRPr="005253B6" w:rsidRDefault="00B96B15" w:rsidP="00203861">
      <w:pPr>
        <w:rPr>
          <w:rFonts w:ascii="Times New Roman" w:eastAsia="Times New Roman" w:hAnsi="Times New Roman" w:cs="Times New Roman"/>
          <w:color w:val="000000"/>
          <w:sz w:val="20"/>
          <w:szCs w:val="20"/>
        </w:rPr>
      </w:pPr>
      <w:r w:rsidRPr="005253B6">
        <w:rPr>
          <w:rStyle w:val="FootnoteReference"/>
          <w:rFonts w:ascii="Times New Roman" w:hAnsi="Times New Roman" w:cs="Times New Roman"/>
          <w:sz w:val="20"/>
          <w:szCs w:val="20"/>
        </w:rPr>
        <w:footnoteRef/>
      </w:r>
      <w:r w:rsidR="00801FCC">
        <w:rPr>
          <w:rFonts w:ascii="Times New Roman" w:hAnsi="Times New Roman" w:cs="Times New Roman"/>
          <w:sz w:val="20"/>
          <w:szCs w:val="20"/>
        </w:rPr>
        <w:t xml:space="preserve"> </w:t>
      </w:r>
      <w:r w:rsidR="00801FCC" w:rsidRPr="00935CC5">
        <w:rPr>
          <w:rFonts w:ascii="Times New Roman" w:hAnsi="Times New Roman" w:cs="Times New Roman"/>
          <w:sz w:val="20"/>
          <w:szCs w:val="20"/>
        </w:rPr>
        <w:t xml:space="preserve">See, </w:t>
      </w:r>
      <w:r w:rsidR="00801FCC" w:rsidRPr="00935CC5">
        <w:rPr>
          <w:rFonts w:ascii="Times New Roman" w:eastAsia="Times New Roman" w:hAnsi="Times New Roman" w:cs="Times New Roman"/>
          <w:color w:val="333333"/>
          <w:sz w:val="20"/>
          <w:szCs w:val="20"/>
        </w:rPr>
        <w:t xml:space="preserve">CCPR/C/120/D/2142/2012; </w:t>
      </w:r>
      <w:r w:rsidR="00801FCC" w:rsidRPr="00935CC5">
        <w:rPr>
          <w:rFonts w:ascii="Times New Roman" w:eastAsia="Times New Roman" w:hAnsi="Times New Roman" w:cs="Times New Roman"/>
          <w:color w:val="000000"/>
          <w:sz w:val="20"/>
          <w:szCs w:val="20"/>
        </w:rPr>
        <w:t>CCPR/C/117/D/2082/2011</w:t>
      </w:r>
      <w:proofErr w:type="gramStart"/>
      <w:r w:rsidR="00801FCC" w:rsidRPr="00935CC5">
        <w:rPr>
          <w:rFonts w:ascii="Times New Roman" w:eastAsia="Times New Roman" w:hAnsi="Times New Roman" w:cs="Times New Roman"/>
          <w:color w:val="000000"/>
          <w:sz w:val="20"/>
          <w:szCs w:val="20"/>
        </w:rPr>
        <w:t>;</w:t>
      </w:r>
      <w:proofErr w:type="gramEnd"/>
      <w:r w:rsidR="00801FCC" w:rsidRPr="00935CC5">
        <w:rPr>
          <w:rFonts w:ascii="Times New Roman" w:eastAsia="Times New Roman" w:hAnsi="Times New Roman" w:cs="Times New Roman"/>
          <w:color w:val="000000"/>
          <w:sz w:val="20"/>
          <w:szCs w:val="20"/>
        </w:rPr>
        <w:t xml:space="preserve"> CCPR/C/117/D/2089/2011.</w:t>
      </w:r>
    </w:p>
  </w:footnote>
  <w:footnote w:id="16">
    <w:p w14:paraId="654000DC" w14:textId="77777777" w:rsidR="00141AB5" w:rsidRPr="005253B6" w:rsidRDefault="00141AB5" w:rsidP="00141AB5">
      <w:pPr>
        <w:pStyle w:val="FootnoteText"/>
        <w:rPr>
          <w:rFonts w:ascii="Times New Roman" w:hAnsi="Times New Roman" w:cs="Times New Roman"/>
          <w:lang w:val="en-US"/>
        </w:rPr>
      </w:pPr>
      <w:r w:rsidRPr="005253B6">
        <w:rPr>
          <w:rStyle w:val="FootnoteReference"/>
          <w:rFonts w:ascii="Times New Roman" w:hAnsi="Times New Roman" w:cs="Times New Roman"/>
        </w:rPr>
        <w:footnoteRef/>
      </w:r>
      <w:r w:rsidRPr="00391719">
        <w:rPr>
          <w:rFonts w:ascii="Times New Roman" w:hAnsi="Times New Roman" w:cs="Times New Roman"/>
          <w:lang w:val="es-ES_tradnl"/>
        </w:rPr>
        <w:t xml:space="preserve"> CCPR/C/21/Rev.1/Add.7 (1996), para. </w:t>
      </w:r>
      <w:r w:rsidRPr="007F74C4">
        <w:rPr>
          <w:rFonts w:ascii="Times New Roman" w:hAnsi="Times New Roman" w:cs="Times New Roman"/>
          <w:lang w:val="en-US"/>
        </w:rPr>
        <w:t>12. See also</w:t>
      </w:r>
      <w:r w:rsidRPr="00363EFC">
        <w:rPr>
          <w:rFonts w:ascii="Times New Roman" w:hAnsi="Times New Roman" w:cs="Times New Roman"/>
          <w:lang w:val="en-US"/>
        </w:rPr>
        <w:t>, A/HRC/27/29</w:t>
      </w:r>
      <w:r>
        <w:rPr>
          <w:rFonts w:ascii="Times New Roman" w:hAnsi="Times New Roman" w:cs="Times New Roman"/>
          <w:lang w:val="en-US"/>
        </w:rPr>
        <w:t>,</w:t>
      </w:r>
      <w:r w:rsidRPr="00363EFC">
        <w:rPr>
          <w:rFonts w:ascii="Times New Roman" w:hAnsi="Times New Roman" w:cs="Times New Roman"/>
          <w:lang w:val="en-US"/>
        </w:rPr>
        <w:t xml:space="preserve"> para</w:t>
      </w:r>
      <w:r>
        <w:rPr>
          <w:rFonts w:ascii="Times New Roman" w:hAnsi="Times New Roman" w:cs="Times New Roman"/>
          <w:lang w:val="en-US"/>
        </w:rPr>
        <w:t>.</w:t>
      </w:r>
      <w:r w:rsidRPr="00363EFC">
        <w:rPr>
          <w:rFonts w:ascii="Times New Roman" w:hAnsi="Times New Roman" w:cs="Times New Roman"/>
          <w:lang w:val="en-US"/>
        </w:rPr>
        <w:t xml:space="preserve"> 2.</w:t>
      </w:r>
    </w:p>
  </w:footnote>
  <w:footnote w:id="17">
    <w:p w14:paraId="636DF37A" w14:textId="77777777" w:rsidR="00141AB5" w:rsidRPr="005253B6" w:rsidRDefault="00141AB5" w:rsidP="00141AB5">
      <w:pPr>
        <w:pStyle w:val="FootnoteText"/>
        <w:rPr>
          <w:rFonts w:ascii="Times New Roman" w:hAnsi="Times New Roman" w:cs="Times New Roman"/>
        </w:rPr>
      </w:pPr>
      <w:r w:rsidRPr="005253B6">
        <w:rPr>
          <w:rStyle w:val="FootnoteReference"/>
          <w:rFonts w:ascii="Times New Roman" w:hAnsi="Times New Roman" w:cs="Times New Roman"/>
        </w:rPr>
        <w:footnoteRef/>
      </w:r>
      <w:r>
        <w:rPr>
          <w:rFonts w:ascii="Times New Roman" w:hAnsi="Times New Roman" w:cs="Times New Roman"/>
        </w:rPr>
        <w:t xml:space="preserve"> </w:t>
      </w:r>
      <w:r w:rsidRPr="007F74C4">
        <w:rPr>
          <w:rFonts w:ascii="Times New Roman" w:hAnsi="Times New Roman" w:cs="Times New Roman"/>
        </w:rPr>
        <w:t>A/HRC/27/29, para. 30. See also, CCPR/C/21/Rev.1/Add.7 (1996), paras. 12, 26 and 27.</w:t>
      </w:r>
    </w:p>
  </w:footnote>
  <w:footnote w:id="18">
    <w:p w14:paraId="0C227D52" w14:textId="77777777" w:rsidR="00141AB5" w:rsidRPr="005253B6" w:rsidRDefault="00141AB5" w:rsidP="00141AB5">
      <w:pPr>
        <w:pStyle w:val="FootnoteText"/>
        <w:rPr>
          <w:rFonts w:ascii="Times New Roman" w:hAnsi="Times New Roman" w:cs="Times New Roman"/>
        </w:rPr>
      </w:pPr>
      <w:r w:rsidRPr="005253B6">
        <w:rPr>
          <w:rStyle w:val="FootnoteReference"/>
          <w:rFonts w:ascii="Times New Roman" w:hAnsi="Times New Roman" w:cs="Times New Roman"/>
        </w:rPr>
        <w:footnoteRef/>
      </w:r>
      <w:r>
        <w:rPr>
          <w:rFonts w:ascii="Times New Roman" w:hAnsi="Times New Roman" w:cs="Times New Roman"/>
        </w:rPr>
        <w:t xml:space="preserve"> Communication No. 1992/2010, </w:t>
      </w:r>
      <w:r w:rsidRPr="00363EFC">
        <w:rPr>
          <w:rFonts w:ascii="Times New Roman" w:hAnsi="Times New Roman" w:cs="Times New Roman"/>
        </w:rPr>
        <w:t>CCPR/C/113/D/1992/2010,</w:t>
      </w:r>
      <w:r>
        <w:rPr>
          <w:rFonts w:ascii="Times New Roman" w:hAnsi="Times New Roman" w:cs="Times New Roman"/>
        </w:rPr>
        <w:t xml:space="preserve"> para.</w:t>
      </w:r>
      <w:r w:rsidRPr="00363EFC">
        <w:rPr>
          <w:rFonts w:ascii="Times New Roman" w:hAnsi="Times New Roman" w:cs="Times New Roman"/>
        </w:rPr>
        <w:t xml:space="preserve"> 8.6</w:t>
      </w:r>
      <w:r>
        <w:rPr>
          <w:rFonts w:ascii="Times New Roman" w:hAnsi="Times New Roman" w:cs="Times New Roman"/>
        </w:rPr>
        <w:t>.</w:t>
      </w:r>
    </w:p>
  </w:footnote>
  <w:footnote w:id="19">
    <w:p w14:paraId="222E58C8" w14:textId="77777777" w:rsidR="00141AB5" w:rsidRPr="007F74C4" w:rsidRDefault="00141AB5" w:rsidP="00141AB5">
      <w:pPr>
        <w:pStyle w:val="FootnoteText"/>
        <w:rPr>
          <w:rFonts w:ascii="Times New Roman" w:hAnsi="Times New Roman" w:cs="Times New Roman"/>
          <w:i/>
          <w:lang w:val="en-US"/>
        </w:rPr>
      </w:pPr>
      <w:r w:rsidRPr="005253B6">
        <w:rPr>
          <w:rStyle w:val="FootnoteReference"/>
          <w:rFonts w:ascii="Times New Roman" w:hAnsi="Times New Roman" w:cs="Times New Roman"/>
        </w:rPr>
        <w:footnoteRef/>
      </w:r>
      <w:r w:rsidRPr="005253B6">
        <w:rPr>
          <w:rFonts w:ascii="Times New Roman" w:hAnsi="Times New Roman" w:cs="Times New Roman"/>
        </w:rPr>
        <w:t xml:space="preserve"> </w:t>
      </w:r>
      <w:r>
        <w:rPr>
          <w:rFonts w:ascii="Times New Roman" w:hAnsi="Times New Roman" w:cs="Times New Roman"/>
          <w:i/>
        </w:rPr>
        <w:t>Ibid.</w:t>
      </w:r>
    </w:p>
  </w:footnote>
  <w:footnote w:id="20">
    <w:p w14:paraId="6710A7A7" w14:textId="77777777" w:rsidR="00141AB5" w:rsidRPr="007F74C4" w:rsidRDefault="00141AB5" w:rsidP="00141AB5">
      <w:pPr>
        <w:pStyle w:val="FootnoteText"/>
        <w:rPr>
          <w:lang w:val="en-US"/>
        </w:rPr>
      </w:pPr>
      <w:r>
        <w:rPr>
          <w:rStyle w:val="FootnoteReference"/>
        </w:rPr>
        <w:footnoteRef/>
      </w:r>
      <w:r w:rsidRPr="007B6FEA">
        <w:rPr>
          <w:lang w:val="es-ES_tradnl"/>
        </w:rPr>
        <w:t xml:space="preserve"> </w:t>
      </w:r>
      <w:r w:rsidRPr="007B6FEA">
        <w:rPr>
          <w:rFonts w:ascii="Times New Roman" w:hAnsi="Times New Roman" w:cs="Times New Roman"/>
          <w:lang w:val="es-ES_tradnl"/>
        </w:rPr>
        <w:t xml:space="preserve">CCPR/C/UZB/CO/4 (2015), para. </w:t>
      </w:r>
      <w:r w:rsidRPr="007F74C4">
        <w:rPr>
          <w:rFonts w:ascii="Times New Roman" w:hAnsi="Times New Roman" w:cs="Times New Roman"/>
        </w:rPr>
        <w:t xml:space="preserve">53. See also, CCPR/C/KAZ/CO/2 para. </w:t>
      </w:r>
      <w:proofErr w:type="gramStart"/>
      <w:r w:rsidRPr="007F74C4">
        <w:rPr>
          <w:rFonts w:ascii="Times New Roman" w:hAnsi="Times New Roman" w:cs="Times New Roman"/>
        </w:rPr>
        <w:t>26, (2016) (“The State party should bring its electoral legal framework into compliance with the Covenant, including with article 25, inter alia by: (a) Fostering a culture of political pluralism and refraining from arbitrarily denying registration to opposition political parties and preventing their participation in elections; (b) Ensuring freedom of genuine and pluralistic political debate”); CCPR/C/LAO/CO/1, para.</w:t>
      </w:r>
      <w:proofErr w:type="gramEnd"/>
      <w:r w:rsidRPr="007F74C4">
        <w:rPr>
          <w:rFonts w:ascii="Times New Roman" w:hAnsi="Times New Roman" w:cs="Times New Roman"/>
        </w:rPr>
        <w:t xml:space="preserve"> 35, (2018).</w:t>
      </w:r>
    </w:p>
  </w:footnote>
  <w:footnote w:id="21">
    <w:p w14:paraId="04FC97F3" w14:textId="77777777" w:rsidR="00141AB5" w:rsidRPr="005253B6" w:rsidRDefault="00141AB5" w:rsidP="00141AB5">
      <w:pPr>
        <w:pStyle w:val="FootnoteText"/>
        <w:rPr>
          <w:rFonts w:ascii="Times New Roman" w:hAnsi="Times New Roman" w:cs="Times New Roman"/>
          <w:lang w:val="en-US"/>
        </w:rPr>
      </w:pPr>
      <w:r w:rsidRPr="005253B6">
        <w:rPr>
          <w:rStyle w:val="FootnoteReference"/>
          <w:rFonts w:ascii="Times New Roman" w:hAnsi="Times New Roman" w:cs="Times New Roman"/>
        </w:rPr>
        <w:footnoteRef/>
      </w:r>
      <w:r>
        <w:rPr>
          <w:rFonts w:ascii="Times New Roman" w:hAnsi="Times New Roman" w:cs="Times New Roman"/>
        </w:rPr>
        <w:t xml:space="preserve"> See Report of the Special Rapporteur on the rights to freedom of peaceful assembly and of association, A/68/299, (2013) para. 11. </w:t>
      </w:r>
      <w:r w:rsidRPr="00363EFC">
        <w:rPr>
          <w:rFonts w:ascii="Times New Roman" w:hAnsi="Times New Roman" w:cs="Times New Roman"/>
        </w:rPr>
        <w:t>See</w:t>
      </w:r>
      <w:r>
        <w:rPr>
          <w:rFonts w:ascii="Times New Roman" w:hAnsi="Times New Roman" w:cs="Times New Roman"/>
        </w:rPr>
        <w:t xml:space="preserve"> also</w:t>
      </w:r>
      <w:r w:rsidRPr="00363EFC">
        <w:rPr>
          <w:rFonts w:ascii="Times New Roman" w:hAnsi="Times New Roman" w:cs="Times New Roman"/>
        </w:rPr>
        <w:t>,</w:t>
      </w:r>
      <w:r>
        <w:rPr>
          <w:rFonts w:ascii="Times New Roman" w:hAnsi="Times New Roman" w:cs="Times New Roman"/>
        </w:rPr>
        <w:t xml:space="preserve"> Summary of the discussions held during the expert workshop on the right to participate in public affairs,</w:t>
      </w:r>
      <w:r w:rsidRPr="00363EFC">
        <w:rPr>
          <w:rFonts w:ascii="Times New Roman" w:hAnsi="Times New Roman" w:cs="Times New Roman"/>
        </w:rPr>
        <w:t xml:space="preserve"> </w:t>
      </w:r>
      <w:r w:rsidRPr="00363EFC">
        <w:rPr>
          <w:rFonts w:ascii="Times New Roman" w:hAnsi="Times New Roman" w:cs="Times New Roman"/>
          <w:lang w:val="en-US"/>
        </w:rPr>
        <w:t>A/HRC/33/25, para</w:t>
      </w:r>
      <w:r>
        <w:rPr>
          <w:rFonts w:ascii="Times New Roman" w:hAnsi="Times New Roman" w:cs="Times New Roman"/>
          <w:lang w:val="en-US"/>
        </w:rPr>
        <w:t>.</w:t>
      </w:r>
      <w:r w:rsidRPr="00363EFC">
        <w:rPr>
          <w:rFonts w:ascii="Times New Roman" w:hAnsi="Times New Roman" w:cs="Times New Roman"/>
          <w:lang w:val="en-US"/>
        </w:rPr>
        <w:t xml:space="preserve"> 16</w:t>
      </w:r>
      <w:r>
        <w:rPr>
          <w:rFonts w:ascii="Times New Roman" w:hAnsi="Times New Roman" w:cs="Times New Roman"/>
          <w:lang w:val="en-US"/>
        </w:rPr>
        <w:t>.</w:t>
      </w:r>
    </w:p>
  </w:footnote>
  <w:footnote w:id="22">
    <w:p w14:paraId="695DF66E" w14:textId="77777777" w:rsidR="00141AB5" w:rsidRPr="005253B6" w:rsidRDefault="00141AB5" w:rsidP="00141AB5">
      <w:pPr>
        <w:pStyle w:val="FootnoteText"/>
        <w:rPr>
          <w:rFonts w:ascii="Times New Roman" w:hAnsi="Times New Roman" w:cs="Times New Roman"/>
          <w:lang w:val="en-US"/>
        </w:rPr>
      </w:pPr>
      <w:r w:rsidRPr="005253B6">
        <w:rPr>
          <w:rStyle w:val="FootnoteReference"/>
          <w:rFonts w:ascii="Times New Roman" w:hAnsi="Times New Roman" w:cs="Times New Roman"/>
        </w:rPr>
        <w:footnoteRef/>
      </w:r>
      <w:r>
        <w:rPr>
          <w:rFonts w:ascii="Times New Roman" w:hAnsi="Times New Roman" w:cs="Times New Roman"/>
        </w:rPr>
        <w:t xml:space="preserve"> See </w:t>
      </w:r>
      <w:r w:rsidRPr="00363EFC">
        <w:rPr>
          <w:rFonts w:ascii="Times New Roman" w:hAnsi="Times New Roman" w:cs="Times New Roman"/>
          <w:lang w:val="en-US"/>
        </w:rPr>
        <w:t>A/HRC/20/27, paras. 22–23</w:t>
      </w:r>
      <w:r>
        <w:rPr>
          <w:rFonts w:ascii="Times New Roman" w:hAnsi="Times New Roman" w:cs="Times New Roman"/>
          <w:lang w:val="en-US"/>
        </w:rPr>
        <w:t>. See also, A/HRC/27/29, para. 25.</w:t>
      </w:r>
    </w:p>
  </w:footnote>
  <w:footnote w:id="23">
    <w:p w14:paraId="54C3B9CB" w14:textId="77777777" w:rsidR="00141AB5" w:rsidRPr="005253B6" w:rsidRDefault="00141AB5" w:rsidP="00141AB5">
      <w:pPr>
        <w:rPr>
          <w:rFonts w:ascii="Times New Roman" w:eastAsia="Times New Roman" w:hAnsi="Times New Roman" w:cs="Times New Roman"/>
          <w:color w:val="000000"/>
          <w:sz w:val="20"/>
          <w:szCs w:val="20"/>
          <w:lang w:eastAsia="en-GB"/>
        </w:rPr>
      </w:pPr>
      <w:r w:rsidRPr="005253B6">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363EFC">
        <w:rPr>
          <w:rFonts w:ascii="Times New Roman" w:hAnsi="Times New Roman" w:cs="Times New Roman"/>
          <w:sz w:val="20"/>
          <w:szCs w:val="20"/>
        </w:rPr>
        <w:t>See</w:t>
      </w:r>
      <w:r>
        <w:rPr>
          <w:rFonts w:ascii="Times New Roman" w:eastAsia="Times New Roman" w:hAnsi="Times New Roman" w:cs="Times New Roman"/>
          <w:color w:val="000000"/>
          <w:sz w:val="20"/>
          <w:szCs w:val="20"/>
          <w:lang w:eastAsia="en-GB"/>
        </w:rPr>
        <w:t xml:space="preserve"> </w:t>
      </w:r>
      <w:r w:rsidRPr="00363EFC">
        <w:rPr>
          <w:rFonts w:ascii="Times New Roman" w:eastAsia="Times New Roman" w:hAnsi="Times New Roman" w:cs="Times New Roman"/>
          <w:color w:val="000000"/>
          <w:sz w:val="20"/>
          <w:szCs w:val="20"/>
          <w:lang w:eastAsia="en-GB"/>
        </w:rPr>
        <w:t>U</w:t>
      </w:r>
      <w:r>
        <w:rPr>
          <w:rFonts w:ascii="Times New Roman" w:eastAsia="Times New Roman" w:hAnsi="Times New Roman" w:cs="Times New Roman"/>
          <w:color w:val="000000"/>
          <w:sz w:val="20"/>
          <w:szCs w:val="20"/>
          <w:lang w:eastAsia="en-GB"/>
        </w:rPr>
        <w:t xml:space="preserve">niversal </w:t>
      </w:r>
      <w:r w:rsidRPr="00363EFC">
        <w:rPr>
          <w:rFonts w:ascii="Times New Roman" w:eastAsia="Times New Roman" w:hAnsi="Times New Roman" w:cs="Times New Roman"/>
          <w:color w:val="000000"/>
          <w:sz w:val="20"/>
          <w:szCs w:val="20"/>
          <w:lang w:eastAsia="en-GB"/>
        </w:rPr>
        <w:t>P</w:t>
      </w:r>
      <w:r>
        <w:rPr>
          <w:rFonts w:ascii="Times New Roman" w:eastAsia="Times New Roman" w:hAnsi="Times New Roman" w:cs="Times New Roman"/>
          <w:color w:val="000000"/>
          <w:sz w:val="20"/>
          <w:szCs w:val="20"/>
          <w:lang w:eastAsia="en-GB"/>
        </w:rPr>
        <w:t xml:space="preserve">eriodic </w:t>
      </w:r>
      <w:r w:rsidRPr="00363EFC">
        <w:rPr>
          <w:rFonts w:ascii="Times New Roman" w:eastAsia="Times New Roman" w:hAnsi="Times New Roman" w:cs="Times New Roman"/>
          <w:color w:val="000000"/>
          <w:sz w:val="20"/>
          <w:szCs w:val="20"/>
          <w:lang w:eastAsia="en-GB"/>
        </w:rPr>
        <w:t>R</w:t>
      </w:r>
      <w:r>
        <w:rPr>
          <w:rFonts w:ascii="Times New Roman" w:eastAsia="Times New Roman" w:hAnsi="Times New Roman" w:cs="Times New Roman"/>
          <w:color w:val="000000"/>
          <w:sz w:val="20"/>
          <w:szCs w:val="20"/>
          <w:lang w:eastAsia="en-GB"/>
        </w:rPr>
        <w:t>eview for</w:t>
      </w:r>
      <w:r w:rsidRPr="00363EFC">
        <w:rPr>
          <w:rFonts w:ascii="Times New Roman" w:eastAsia="Times New Roman" w:hAnsi="Times New Roman" w:cs="Times New Roman"/>
          <w:color w:val="000000"/>
          <w:sz w:val="20"/>
          <w:szCs w:val="20"/>
          <w:lang w:eastAsia="en-GB"/>
        </w:rPr>
        <w:t xml:space="preserve"> Belarus</w:t>
      </w:r>
      <w:r>
        <w:rPr>
          <w:rFonts w:ascii="Times New Roman" w:eastAsia="Times New Roman" w:hAnsi="Times New Roman" w:cs="Times New Roman"/>
          <w:color w:val="000000"/>
          <w:sz w:val="20"/>
          <w:szCs w:val="20"/>
          <w:lang w:eastAsia="en-GB"/>
        </w:rPr>
        <w:t xml:space="preserve">, </w:t>
      </w:r>
      <w:r w:rsidRPr="00363EFC">
        <w:rPr>
          <w:rFonts w:ascii="Times New Roman" w:eastAsia="Times New Roman" w:hAnsi="Times New Roman" w:cs="Times New Roman"/>
          <w:color w:val="000000"/>
          <w:sz w:val="20"/>
          <w:szCs w:val="20"/>
          <w:lang w:eastAsia="en-GB"/>
        </w:rPr>
        <w:t>A/HRC/15/16;</w:t>
      </w:r>
      <w:r>
        <w:rPr>
          <w:rFonts w:ascii="Times New Roman" w:eastAsia="Times New Roman" w:hAnsi="Times New Roman" w:cs="Times New Roman"/>
          <w:color w:val="000000"/>
          <w:sz w:val="20"/>
          <w:szCs w:val="20"/>
          <w:lang w:eastAsia="en-GB"/>
        </w:rPr>
        <w:t xml:space="preserve"> </w:t>
      </w:r>
      <w:r w:rsidRPr="00363EFC">
        <w:rPr>
          <w:rFonts w:ascii="Times New Roman" w:eastAsia="Times New Roman" w:hAnsi="Times New Roman" w:cs="Times New Roman"/>
          <w:color w:val="000000"/>
          <w:sz w:val="20"/>
          <w:szCs w:val="20"/>
          <w:lang w:eastAsia="en-GB"/>
        </w:rPr>
        <w:t>U</w:t>
      </w:r>
      <w:r>
        <w:rPr>
          <w:rFonts w:ascii="Times New Roman" w:eastAsia="Times New Roman" w:hAnsi="Times New Roman" w:cs="Times New Roman"/>
          <w:color w:val="000000"/>
          <w:sz w:val="20"/>
          <w:szCs w:val="20"/>
          <w:lang w:eastAsia="en-GB"/>
        </w:rPr>
        <w:t xml:space="preserve">niversal </w:t>
      </w:r>
      <w:r w:rsidRPr="00363EFC">
        <w:rPr>
          <w:rFonts w:ascii="Times New Roman" w:eastAsia="Times New Roman" w:hAnsi="Times New Roman" w:cs="Times New Roman"/>
          <w:color w:val="000000"/>
          <w:sz w:val="20"/>
          <w:szCs w:val="20"/>
          <w:lang w:eastAsia="en-GB"/>
        </w:rPr>
        <w:t>P</w:t>
      </w:r>
      <w:r>
        <w:rPr>
          <w:rFonts w:ascii="Times New Roman" w:eastAsia="Times New Roman" w:hAnsi="Times New Roman" w:cs="Times New Roman"/>
          <w:color w:val="000000"/>
          <w:sz w:val="20"/>
          <w:szCs w:val="20"/>
          <w:lang w:eastAsia="en-GB"/>
        </w:rPr>
        <w:t xml:space="preserve">eriodic </w:t>
      </w:r>
      <w:r w:rsidRPr="00363EFC">
        <w:rPr>
          <w:rFonts w:ascii="Times New Roman" w:eastAsia="Times New Roman" w:hAnsi="Times New Roman" w:cs="Times New Roman"/>
          <w:color w:val="000000"/>
          <w:sz w:val="20"/>
          <w:szCs w:val="20"/>
          <w:lang w:eastAsia="en-GB"/>
        </w:rPr>
        <w:t>R</w:t>
      </w:r>
      <w:r>
        <w:rPr>
          <w:rFonts w:ascii="Times New Roman" w:eastAsia="Times New Roman" w:hAnsi="Times New Roman" w:cs="Times New Roman"/>
          <w:color w:val="000000"/>
          <w:sz w:val="20"/>
          <w:szCs w:val="20"/>
          <w:lang w:eastAsia="en-GB"/>
        </w:rPr>
        <w:t>eview for</w:t>
      </w:r>
      <w:r w:rsidRPr="00363EFC">
        <w:rPr>
          <w:rFonts w:ascii="Times New Roman" w:eastAsia="Times New Roman" w:hAnsi="Times New Roman" w:cs="Times New Roman"/>
          <w:color w:val="000000"/>
          <w:sz w:val="20"/>
          <w:szCs w:val="20"/>
          <w:lang w:eastAsia="en-GB"/>
        </w:rPr>
        <w:t xml:space="preserve"> Armenia</w:t>
      </w:r>
      <w:r>
        <w:rPr>
          <w:rFonts w:ascii="Times New Roman" w:eastAsia="Times New Roman" w:hAnsi="Times New Roman" w:cs="Times New Roman"/>
          <w:color w:val="000000"/>
          <w:sz w:val="20"/>
          <w:szCs w:val="20"/>
          <w:lang w:eastAsia="en-GB"/>
        </w:rPr>
        <w:t>,</w:t>
      </w:r>
      <w:r w:rsidRPr="00363EFC">
        <w:rPr>
          <w:rFonts w:ascii="Times New Roman" w:eastAsia="Times New Roman" w:hAnsi="Times New Roman" w:cs="Times New Roman"/>
          <w:color w:val="000000"/>
          <w:sz w:val="20"/>
          <w:szCs w:val="20"/>
          <w:lang w:eastAsia="en-GB"/>
        </w:rPr>
        <w:t xml:space="preserve"> A/HRC/15/9; U</w:t>
      </w:r>
      <w:r>
        <w:rPr>
          <w:rFonts w:ascii="Times New Roman" w:eastAsia="Times New Roman" w:hAnsi="Times New Roman" w:cs="Times New Roman"/>
          <w:color w:val="000000"/>
          <w:sz w:val="20"/>
          <w:szCs w:val="20"/>
          <w:lang w:eastAsia="en-GB"/>
        </w:rPr>
        <w:t xml:space="preserve">niversal </w:t>
      </w:r>
      <w:r w:rsidRPr="00363EFC">
        <w:rPr>
          <w:rFonts w:ascii="Times New Roman" w:eastAsia="Times New Roman" w:hAnsi="Times New Roman" w:cs="Times New Roman"/>
          <w:color w:val="000000"/>
          <w:sz w:val="20"/>
          <w:szCs w:val="20"/>
          <w:lang w:eastAsia="en-GB"/>
        </w:rPr>
        <w:t>P</w:t>
      </w:r>
      <w:r>
        <w:rPr>
          <w:rFonts w:ascii="Times New Roman" w:eastAsia="Times New Roman" w:hAnsi="Times New Roman" w:cs="Times New Roman"/>
          <w:color w:val="000000"/>
          <w:sz w:val="20"/>
          <w:szCs w:val="20"/>
          <w:lang w:eastAsia="en-GB"/>
        </w:rPr>
        <w:t xml:space="preserve">eriodic </w:t>
      </w:r>
      <w:r w:rsidRPr="00363EFC">
        <w:rPr>
          <w:rFonts w:ascii="Times New Roman" w:eastAsia="Times New Roman" w:hAnsi="Times New Roman" w:cs="Times New Roman"/>
          <w:color w:val="000000"/>
          <w:sz w:val="20"/>
          <w:szCs w:val="20"/>
          <w:lang w:eastAsia="en-GB"/>
        </w:rPr>
        <w:t>R</w:t>
      </w:r>
      <w:r>
        <w:rPr>
          <w:rFonts w:ascii="Times New Roman" w:eastAsia="Times New Roman" w:hAnsi="Times New Roman" w:cs="Times New Roman"/>
          <w:color w:val="000000"/>
          <w:sz w:val="20"/>
          <w:szCs w:val="20"/>
          <w:lang w:eastAsia="en-GB"/>
        </w:rPr>
        <w:t>eview for</w:t>
      </w:r>
      <w:r w:rsidRPr="00363EFC">
        <w:rPr>
          <w:rFonts w:ascii="Times New Roman" w:eastAsia="Times New Roman" w:hAnsi="Times New Roman" w:cs="Times New Roman"/>
          <w:color w:val="000000"/>
          <w:sz w:val="20"/>
          <w:szCs w:val="20"/>
          <w:lang w:eastAsia="en-GB"/>
        </w:rPr>
        <w:t xml:space="preserve"> Zimbabwe</w:t>
      </w:r>
      <w:r>
        <w:rPr>
          <w:rFonts w:ascii="Times New Roman" w:eastAsia="Times New Roman" w:hAnsi="Times New Roman" w:cs="Times New Roman"/>
          <w:color w:val="000000"/>
          <w:sz w:val="20"/>
          <w:szCs w:val="20"/>
          <w:lang w:eastAsia="en-GB"/>
        </w:rPr>
        <w:t xml:space="preserve">, </w:t>
      </w:r>
      <w:r w:rsidRPr="00363EFC">
        <w:rPr>
          <w:rFonts w:ascii="Times New Roman" w:eastAsia="Times New Roman" w:hAnsi="Times New Roman" w:cs="Times New Roman"/>
          <w:color w:val="000000"/>
          <w:sz w:val="20"/>
          <w:szCs w:val="20"/>
          <w:lang w:eastAsia="en-GB"/>
        </w:rPr>
        <w:t xml:space="preserve">A/HRC/19/14 </w:t>
      </w:r>
      <w:r>
        <w:rPr>
          <w:rFonts w:ascii="Times New Roman" w:eastAsia="Times New Roman" w:hAnsi="Times New Roman" w:cs="Times New Roman"/>
          <w:color w:val="000000"/>
          <w:sz w:val="20"/>
          <w:szCs w:val="20"/>
          <w:lang w:eastAsia="en-GB"/>
        </w:rPr>
        <w:t>(2011)</w:t>
      </w:r>
      <w:r w:rsidRPr="00363EFC">
        <w:rPr>
          <w:rFonts w:ascii="Times New Roman" w:eastAsia="Times New Roman" w:hAnsi="Times New Roman" w:cs="Times New Roman"/>
          <w:color w:val="000000"/>
          <w:sz w:val="20"/>
          <w:szCs w:val="20"/>
          <w:lang w:eastAsia="en-GB"/>
        </w:rPr>
        <w:t>.</w:t>
      </w:r>
    </w:p>
  </w:footnote>
  <w:footnote w:id="24">
    <w:p w14:paraId="73BB86CC" w14:textId="77777777" w:rsidR="00141AB5" w:rsidRPr="005253B6" w:rsidRDefault="00141AB5" w:rsidP="00141AB5">
      <w:pPr>
        <w:rPr>
          <w:rFonts w:ascii="Times New Roman" w:eastAsia="Times New Roman" w:hAnsi="Times New Roman" w:cs="Times New Roman"/>
          <w:color w:val="000000"/>
          <w:sz w:val="20"/>
          <w:szCs w:val="20"/>
        </w:rPr>
      </w:pPr>
      <w:r w:rsidRPr="005253B6">
        <w:rPr>
          <w:rStyle w:val="FootnoteReference"/>
          <w:rFonts w:ascii="Times New Roman" w:hAnsi="Times New Roman" w:cs="Times New Roman"/>
          <w:sz w:val="20"/>
          <w:szCs w:val="20"/>
        </w:rPr>
        <w:footnoteRef/>
      </w:r>
      <w:r w:rsidRPr="005253B6">
        <w:rPr>
          <w:rFonts w:ascii="Times New Roman" w:hAnsi="Times New Roman" w:cs="Times New Roman"/>
          <w:sz w:val="20"/>
          <w:szCs w:val="20"/>
        </w:rPr>
        <w:t xml:space="preserve"> See, A/68/299, para 25. </w:t>
      </w:r>
      <w:proofErr w:type="gramStart"/>
      <w:r w:rsidRPr="005253B6">
        <w:rPr>
          <w:rFonts w:ascii="Times New Roman" w:hAnsi="Times New Roman" w:cs="Times New Roman"/>
          <w:sz w:val="20"/>
          <w:szCs w:val="20"/>
        </w:rPr>
        <w:t xml:space="preserve">See generally, CCPR/C/118/D/2139/2012, </w:t>
      </w:r>
      <w:proofErr w:type="spellStart"/>
      <w:r w:rsidRPr="005253B6">
        <w:rPr>
          <w:rFonts w:ascii="Times New Roman" w:eastAsia="Times New Roman" w:hAnsi="Times New Roman" w:cs="Times New Roman"/>
          <w:color w:val="000000"/>
          <w:sz w:val="20"/>
          <w:szCs w:val="20"/>
        </w:rPr>
        <w:t>Poplavany</w:t>
      </w:r>
      <w:proofErr w:type="spellEnd"/>
      <w:r w:rsidRPr="005253B6">
        <w:rPr>
          <w:rFonts w:ascii="Times New Roman" w:eastAsia="Times New Roman" w:hAnsi="Times New Roman" w:cs="Times New Roman"/>
          <w:color w:val="000000"/>
          <w:sz w:val="20"/>
          <w:szCs w:val="20"/>
        </w:rPr>
        <w:t xml:space="preserve"> &amp; </w:t>
      </w:r>
      <w:proofErr w:type="spellStart"/>
      <w:r w:rsidRPr="005253B6">
        <w:rPr>
          <w:rFonts w:ascii="Times New Roman" w:eastAsia="Times New Roman" w:hAnsi="Times New Roman" w:cs="Times New Roman"/>
          <w:color w:val="000000"/>
          <w:sz w:val="20"/>
          <w:szCs w:val="20"/>
        </w:rPr>
        <w:t>Sudalenko</w:t>
      </w:r>
      <w:proofErr w:type="spellEnd"/>
      <w:r w:rsidRPr="005253B6">
        <w:rPr>
          <w:rFonts w:ascii="Times New Roman" w:eastAsia="Times New Roman" w:hAnsi="Times New Roman" w:cs="Times New Roman"/>
          <w:color w:val="000000"/>
          <w:sz w:val="20"/>
          <w:szCs w:val="20"/>
        </w:rPr>
        <w:t xml:space="preserve"> v. Belarus, CCPR/C/118/D/2139/2012, para 8.2,</w:t>
      </w:r>
      <w:r w:rsidRPr="005253B6">
        <w:rPr>
          <w:rFonts w:ascii="Times New Roman" w:hAnsi="Times New Roman" w:cs="Times New Roman"/>
          <w:sz w:val="20"/>
          <w:szCs w:val="20"/>
        </w:rPr>
        <w:t xml:space="preserve"> where the Committee found that the formal application of a prohibition on assembly in a non-electoral context, “without consideration of the necessity of the limitations in relation to the exercise of their rights, constitutes an unjustified restriction on their rights under articles 19 and 21 of the Covenant.”</w:t>
      </w:r>
      <w:proofErr w:type="gramEnd"/>
    </w:p>
  </w:footnote>
  <w:footnote w:id="25">
    <w:p w14:paraId="7C2F2915" w14:textId="77777777" w:rsidR="00141AB5" w:rsidRPr="005253B6" w:rsidRDefault="00141AB5" w:rsidP="00141AB5">
      <w:pPr>
        <w:rPr>
          <w:rFonts w:ascii="Times New Roman" w:eastAsia="Times New Roman" w:hAnsi="Times New Roman" w:cs="Times New Roman"/>
          <w:color w:val="000000"/>
          <w:sz w:val="20"/>
          <w:szCs w:val="20"/>
          <w:lang w:eastAsia="en-GB"/>
        </w:rPr>
      </w:pPr>
      <w:r w:rsidRPr="005253B6">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363EFC">
        <w:rPr>
          <w:rFonts w:ascii="Times New Roman" w:hAnsi="Times New Roman" w:cs="Times New Roman"/>
          <w:sz w:val="20"/>
          <w:szCs w:val="20"/>
        </w:rPr>
        <w:t>See</w:t>
      </w:r>
      <w:r>
        <w:rPr>
          <w:rFonts w:ascii="Times New Roman" w:hAnsi="Times New Roman" w:cs="Times New Roman"/>
          <w:sz w:val="20"/>
          <w:szCs w:val="20"/>
        </w:rPr>
        <w:t xml:space="preserve"> generally, </w:t>
      </w:r>
      <w:proofErr w:type="spellStart"/>
      <w:r w:rsidRPr="00C20548">
        <w:rPr>
          <w:rFonts w:ascii="Times New Roman" w:eastAsia="Times New Roman" w:hAnsi="Times New Roman" w:cs="Times New Roman"/>
          <w:i/>
          <w:color w:val="000000"/>
          <w:sz w:val="20"/>
          <w:szCs w:val="20"/>
          <w:lang w:eastAsia="en-GB"/>
        </w:rPr>
        <w:t>Sudalenko</w:t>
      </w:r>
      <w:proofErr w:type="spellEnd"/>
      <w:r w:rsidRPr="00C20548">
        <w:rPr>
          <w:rFonts w:ascii="Times New Roman" w:eastAsia="Times New Roman" w:hAnsi="Times New Roman" w:cs="Times New Roman"/>
          <w:i/>
          <w:color w:val="000000"/>
          <w:sz w:val="20"/>
          <w:szCs w:val="20"/>
          <w:lang w:eastAsia="en-GB"/>
        </w:rPr>
        <w:t xml:space="preserve"> v. Belarus</w:t>
      </w:r>
      <w:r w:rsidRPr="00363EFC">
        <w:rPr>
          <w:rFonts w:ascii="Times New Roman" w:eastAsia="Times New Roman" w:hAnsi="Times New Roman" w:cs="Times New Roman"/>
          <w:color w:val="000000"/>
          <w:sz w:val="20"/>
          <w:szCs w:val="20"/>
          <w:lang w:eastAsia="en-GB"/>
        </w:rPr>
        <w:t>,</w:t>
      </w:r>
      <w:r>
        <w:rPr>
          <w:rFonts w:ascii="Times New Roman" w:eastAsia="Times New Roman" w:hAnsi="Times New Roman" w:cs="Times New Roman"/>
          <w:color w:val="000000"/>
          <w:sz w:val="20"/>
          <w:szCs w:val="20"/>
          <w:lang w:eastAsia="en-GB"/>
        </w:rPr>
        <w:t xml:space="preserve"> </w:t>
      </w:r>
      <w:r w:rsidRPr="006076A4">
        <w:rPr>
          <w:rFonts w:ascii="Times New Roman" w:hAnsi="Times New Roman" w:cs="Times New Roman"/>
          <w:sz w:val="20"/>
          <w:szCs w:val="20"/>
        </w:rPr>
        <w:t>Communication No. 1992/2010,</w:t>
      </w:r>
      <w:r w:rsidRPr="00363EFC">
        <w:rPr>
          <w:rFonts w:ascii="Times New Roman" w:eastAsia="Times New Roman" w:hAnsi="Times New Roman" w:cs="Times New Roman"/>
          <w:color w:val="000000"/>
          <w:sz w:val="20"/>
          <w:szCs w:val="20"/>
          <w:lang w:eastAsia="en-GB"/>
        </w:rPr>
        <w:t xml:space="preserve"> </w:t>
      </w:r>
      <w:proofErr w:type="gramStart"/>
      <w:r w:rsidRPr="00363EFC">
        <w:rPr>
          <w:rFonts w:ascii="Times New Roman" w:eastAsia="Times New Roman" w:hAnsi="Times New Roman" w:cs="Times New Roman"/>
          <w:color w:val="000000"/>
          <w:sz w:val="20"/>
          <w:szCs w:val="20"/>
          <w:lang w:eastAsia="en-GB"/>
        </w:rPr>
        <w:t>CCPR</w:t>
      </w:r>
      <w:proofErr w:type="gramEnd"/>
      <w:r w:rsidRPr="00363EFC">
        <w:rPr>
          <w:rFonts w:ascii="Times New Roman" w:eastAsia="Times New Roman" w:hAnsi="Times New Roman" w:cs="Times New Roman"/>
          <w:color w:val="000000"/>
          <w:sz w:val="20"/>
          <w:szCs w:val="20"/>
          <w:lang w:eastAsia="en-GB"/>
        </w:rPr>
        <w:t>/C/113/D/1992/2010.</w:t>
      </w:r>
    </w:p>
  </w:footnote>
  <w:footnote w:id="26">
    <w:p w14:paraId="3847F6E7" w14:textId="77777777" w:rsidR="00141AB5" w:rsidRPr="00391719" w:rsidRDefault="00141AB5" w:rsidP="00141AB5">
      <w:pPr>
        <w:pStyle w:val="FootnoteText"/>
        <w:rPr>
          <w:rFonts w:ascii="Times New Roman" w:hAnsi="Times New Roman" w:cs="Times New Roman"/>
          <w:lang w:val="es-ES_tradnl"/>
        </w:rPr>
      </w:pPr>
      <w:r w:rsidRPr="005253B6">
        <w:rPr>
          <w:rStyle w:val="FootnoteReference"/>
          <w:rFonts w:ascii="Times New Roman" w:hAnsi="Times New Roman" w:cs="Times New Roman"/>
        </w:rPr>
        <w:footnoteRef/>
      </w:r>
      <w:r w:rsidRPr="00391719">
        <w:rPr>
          <w:rFonts w:ascii="Times New Roman" w:hAnsi="Times New Roman" w:cs="Times New Roman"/>
          <w:lang w:val="es-ES_tradnl"/>
        </w:rPr>
        <w:t xml:space="preserve"> </w:t>
      </w:r>
      <w:proofErr w:type="spellStart"/>
      <w:r w:rsidRPr="00391719">
        <w:rPr>
          <w:rFonts w:ascii="Times New Roman" w:hAnsi="Times New Roman" w:cs="Times New Roman"/>
          <w:lang w:val="es-ES_tradnl"/>
        </w:rPr>
        <w:t>See</w:t>
      </w:r>
      <w:proofErr w:type="spellEnd"/>
      <w:r w:rsidRPr="00391719">
        <w:rPr>
          <w:rFonts w:ascii="Times New Roman" w:hAnsi="Times New Roman" w:cs="Times New Roman"/>
          <w:lang w:val="es-ES_tradnl"/>
        </w:rPr>
        <w:t>, A/68/299, para. 7.</w:t>
      </w:r>
    </w:p>
  </w:footnote>
  <w:footnote w:id="27">
    <w:p w14:paraId="3BD7C187" w14:textId="77777777" w:rsidR="00141AB5" w:rsidRPr="005253B6" w:rsidRDefault="00141AB5" w:rsidP="00141AB5">
      <w:pPr>
        <w:rPr>
          <w:rFonts w:ascii="Times New Roman" w:hAnsi="Times New Roman" w:cs="Times New Roman"/>
          <w:sz w:val="20"/>
          <w:szCs w:val="20"/>
        </w:rPr>
      </w:pPr>
      <w:r w:rsidRPr="005253B6">
        <w:rPr>
          <w:rStyle w:val="FootnoteReference"/>
          <w:rFonts w:ascii="Times New Roman" w:hAnsi="Times New Roman" w:cs="Times New Roman"/>
          <w:sz w:val="20"/>
          <w:szCs w:val="20"/>
        </w:rPr>
        <w:footnoteRef/>
      </w:r>
      <w:r w:rsidRPr="007B6FEA">
        <w:rPr>
          <w:rFonts w:ascii="Times New Roman" w:hAnsi="Times New Roman" w:cs="Times New Roman"/>
          <w:sz w:val="20"/>
          <w:szCs w:val="20"/>
          <w:lang w:val="en-GB"/>
        </w:rPr>
        <w:t xml:space="preserve"> </w:t>
      </w:r>
      <w:proofErr w:type="gramStart"/>
      <w:r w:rsidRPr="007B6FEA">
        <w:rPr>
          <w:rFonts w:ascii="Times New Roman" w:hAnsi="Times New Roman" w:cs="Times New Roman"/>
          <w:i/>
          <w:sz w:val="20"/>
          <w:szCs w:val="20"/>
          <w:lang w:val="en-GB"/>
        </w:rPr>
        <w:t>Ibid.,</w:t>
      </w:r>
      <w:proofErr w:type="gramEnd"/>
      <w:r w:rsidRPr="007B6FEA">
        <w:rPr>
          <w:rFonts w:ascii="Times New Roman" w:hAnsi="Times New Roman" w:cs="Times New Roman"/>
          <w:i/>
          <w:sz w:val="20"/>
          <w:szCs w:val="20"/>
          <w:lang w:val="en-GB"/>
        </w:rPr>
        <w:t xml:space="preserve"> </w:t>
      </w:r>
      <w:r w:rsidRPr="007B6FEA">
        <w:rPr>
          <w:rFonts w:ascii="Times New Roman" w:hAnsi="Times New Roman" w:cs="Times New Roman"/>
          <w:sz w:val="20"/>
          <w:szCs w:val="20"/>
          <w:lang w:val="en-GB"/>
        </w:rPr>
        <w:t xml:space="preserve">para. </w:t>
      </w:r>
      <w:r w:rsidRPr="000D7C30">
        <w:rPr>
          <w:rFonts w:ascii="Times New Roman" w:hAnsi="Times New Roman" w:cs="Times New Roman"/>
          <w:sz w:val="20"/>
          <w:szCs w:val="20"/>
        </w:rPr>
        <w:t>8</w:t>
      </w:r>
      <w:r>
        <w:rPr>
          <w:rFonts w:ascii="Times New Roman" w:hAnsi="Times New Roman" w:cs="Times New Roman"/>
          <w:i/>
          <w:sz w:val="20"/>
          <w:szCs w:val="20"/>
        </w:rPr>
        <w:t>.</w:t>
      </w:r>
      <w:r>
        <w:rPr>
          <w:rFonts w:ascii="Times New Roman" w:hAnsi="Times New Roman" w:cs="Times New Roman"/>
          <w:sz w:val="20"/>
          <w:szCs w:val="20"/>
        </w:rPr>
        <w:t xml:space="preserve"> (“</w:t>
      </w:r>
      <w:r w:rsidRPr="005253B6">
        <w:rPr>
          <w:rFonts w:ascii="Times New Roman" w:hAnsi="Times New Roman" w:cs="Times New Roman"/>
          <w:sz w:val="20"/>
          <w:szCs w:val="20"/>
        </w:rPr>
        <w:t xml:space="preserve">The maintenance of peace during the voting process is necessary for the electorate to turn out and exercise their right to vote. Nevertheless, although important, it should not provide a justification for continuing electoral malpractices and unjustifiable restrictions on the rights to peaceful assembly and of association or other rights, for example, unlimited and uncontrolled bans on protests or demonstrations against election results. Where such rights </w:t>
      </w:r>
      <w:proofErr w:type="gramStart"/>
      <w:r w:rsidRPr="005253B6">
        <w:rPr>
          <w:rFonts w:ascii="Times New Roman" w:hAnsi="Times New Roman" w:cs="Times New Roman"/>
          <w:sz w:val="20"/>
          <w:szCs w:val="20"/>
        </w:rPr>
        <w:t>are violated</w:t>
      </w:r>
      <w:proofErr w:type="gramEnd"/>
      <w:r w:rsidRPr="005253B6">
        <w:rPr>
          <w:rFonts w:ascii="Times New Roman" w:hAnsi="Times New Roman" w:cs="Times New Roman"/>
          <w:sz w:val="20"/>
          <w:szCs w:val="20"/>
        </w:rPr>
        <w:t xml:space="preserve"> at any point during the electoral process, prompt and effective remedies should be available and accessible, presided over by impartial arbiters.)</w:t>
      </w:r>
    </w:p>
  </w:footnote>
  <w:footnote w:id="28">
    <w:p w14:paraId="5F282811" w14:textId="77777777" w:rsidR="00141AB5" w:rsidRPr="005253B6" w:rsidRDefault="00141AB5" w:rsidP="00141AB5">
      <w:pPr>
        <w:pStyle w:val="FootnoteText"/>
        <w:rPr>
          <w:rFonts w:ascii="Times New Roman" w:hAnsi="Times New Roman" w:cs="Times New Roman"/>
          <w:lang w:val="en-US"/>
        </w:rPr>
      </w:pPr>
      <w:r w:rsidRPr="005253B6">
        <w:rPr>
          <w:rStyle w:val="FootnoteReference"/>
          <w:rFonts w:ascii="Times New Roman" w:hAnsi="Times New Roman" w:cs="Times New Roman"/>
        </w:rPr>
        <w:footnoteRef/>
      </w:r>
      <w:r>
        <w:rPr>
          <w:rFonts w:ascii="Times New Roman" w:hAnsi="Times New Roman" w:cs="Times New Roman"/>
        </w:rPr>
        <w:t xml:space="preserve"> </w:t>
      </w:r>
      <w:r w:rsidRPr="00363EFC">
        <w:rPr>
          <w:rFonts w:ascii="Times New Roman" w:hAnsi="Times New Roman" w:cs="Times New Roman"/>
        </w:rPr>
        <w:t xml:space="preserve">See, </w:t>
      </w:r>
      <w:r w:rsidRPr="00363EFC">
        <w:rPr>
          <w:rFonts w:ascii="Times New Roman" w:hAnsi="Times New Roman" w:cs="Times New Roman"/>
          <w:lang w:val="en-US"/>
        </w:rPr>
        <w:t>A/HRC/33/25, para</w:t>
      </w:r>
      <w:r>
        <w:rPr>
          <w:rFonts w:ascii="Times New Roman" w:hAnsi="Times New Roman" w:cs="Times New Roman"/>
          <w:lang w:val="en-US"/>
        </w:rPr>
        <w:t>.</w:t>
      </w:r>
      <w:r w:rsidRPr="00363EFC">
        <w:rPr>
          <w:rFonts w:ascii="Times New Roman" w:hAnsi="Times New Roman" w:cs="Times New Roman"/>
          <w:lang w:val="en-US"/>
        </w:rPr>
        <w:t xml:space="preserve"> 16</w:t>
      </w:r>
      <w:r>
        <w:rPr>
          <w:rFonts w:ascii="Times New Roman" w:hAnsi="Times New Roman" w:cs="Times New Roman"/>
          <w:lang w:val="en-US"/>
        </w:rPr>
        <w:t>.</w:t>
      </w:r>
    </w:p>
  </w:footnote>
  <w:footnote w:id="29">
    <w:p w14:paraId="34E3F8B1" w14:textId="77777777" w:rsidR="00141AB5" w:rsidRPr="005253B6" w:rsidRDefault="00141AB5" w:rsidP="00141AB5">
      <w:pPr>
        <w:pStyle w:val="FootnoteText"/>
        <w:rPr>
          <w:rFonts w:ascii="Times New Roman" w:hAnsi="Times New Roman" w:cs="Times New Roman"/>
          <w:lang w:val="en-US"/>
        </w:rPr>
      </w:pPr>
      <w:r w:rsidRPr="005253B6">
        <w:rPr>
          <w:rStyle w:val="FootnoteReference"/>
          <w:rFonts w:ascii="Times New Roman" w:hAnsi="Times New Roman" w:cs="Times New Roman"/>
        </w:rPr>
        <w:footnoteRef/>
      </w:r>
      <w:r w:rsidRPr="005253B6">
        <w:rPr>
          <w:rFonts w:ascii="Times New Roman" w:hAnsi="Times New Roman" w:cs="Times New Roman"/>
        </w:rPr>
        <w:t xml:space="preserve"> </w:t>
      </w:r>
      <w:r w:rsidRPr="00363EFC">
        <w:rPr>
          <w:rFonts w:ascii="Times New Roman" w:hAnsi="Times New Roman" w:cs="Times New Roman"/>
          <w:lang w:val="en-US"/>
        </w:rPr>
        <w:t>A/HRC/39/28</w:t>
      </w:r>
      <w:r>
        <w:rPr>
          <w:rFonts w:ascii="Times New Roman" w:hAnsi="Times New Roman" w:cs="Times New Roman"/>
          <w:lang w:val="en-US"/>
        </w:rPr>
        <w:t>,</w:t>
      </w:r>
      <w:r w:rsidRPr="00363EFC">
        <w:rPr>
          <w:rFonts w:ascii="Times New Roman" w:hAnsi="Times New Roman" w:cs="Times New Roman"/>
          <w:lang w:val="en-US"/>
        </w:rPr>
        <w:t xml:space="preserve"> para</w:t>
      </w:r>
      <w:r>
        <w:rPr>
          <w:rFonts w:ascii="Times New Roman" w:hAnsi="Times New Roman" w:cs="Times New Roman"/>
          <w:lang w:val="en-US"/>
        </w:rPr>
        <w:t>.</w:t>
      </w:r>
      <w:r w:rsidRPr="00363EFC">
        <w:rPr>
          <w:rFonts w:ascii="Times New Roman" w:hAnsi="Times New Roman" w:cs="Times New Roman"/>
          <w:lang w:val="en-US"/>
        </w:rPr>
        <w:t xml:space="preserve"> 49</w:t>
      </w:r>
      <w:r>
        <w:rPr>
          <w:rFonts w:ascii="Times New Roman" w:hAnsi="Times New Roman" w:cs="Times New Roman"/>
          <w:lang w:val="en-US"/>
        </w:rPr>
        <w:t>.</w:t>
      </w:r>
    </w:p>
  </w:footnote>
  <w:footnote w:id="30">
    <w:p w14:paraId="28C8718C" w14:textId="77777777" w:rsidR="00141AB5" w:rsidRPr="005253B6" w:rsidRDefault="00141AB5" w:rsidP="00141AB5">
      <w:pPr>
        <w:pStyle w:val="FootnoteText"/>
        <w:rPr>
          <w:rFonts w:ascii="Times New Roman" w:hAnsi="Times New Roman" w:cs="Times New Roman"/>
          <w:lang w:val="en-US"/>
        </w:rPr>
      </w:pPr>
      <w:r w:rsidRPr="005253B6">
        <w:rPr>
          <w:rStyle w:val="FootnoteReference"/>
          <w:rFonts w:ascii="Times New Roman" w:hAnsi="Times New Roman" w:cs="Times New Roman"/>
        </w:rPr>
        <w:footnoteRef/>
      </w:r>
      <w:r>
        <w:rPr>
          <w:rFonts w:ascii="Times New Roman" w:hAnsi="Times New Roman" w:cs="Times New Roman"/>
        </w:rPr>
        <w:t xml:space="preserve"> </w:t>
      </w:r>
      <w:r w:rsidRPr="00363EFC">
        <w:rPr>
          <w:rFonts w:ascii="Times New Roman" w:hAnsi="Times New Roman" w:cs="Times New Roman"/>
        </w:rPr>
        <w:t>See, A/HRC/27/29</w:t>
      </w:r>
      <w:r>
        <w:rPr>
          <w:rFonts w:ascii="Times New Roman" w:hAnsi="Times New Roman" w:cs="Times New Roman"/>
        </w:rPr>
        <w:t>,</w:t>
      </w:r>
      <w:r w:rsidRPr="00363EFC">
        <w:rPr>
          <w:rFonts w:ascii="Times New Roman" w:hAnsi="Times New Roman" w:cs="Times New Roman"/>
        </w:rPr>
        <w:t xml:space="preserve"> para</w:t>
      </w:r>
      <w:r>
        <w:rPr>
          <w:rFonts w:ascii="Times New Roman" w:hAnsi="Times New Roman" w:cs="Times New Roman"/>
        </w:rPr>
        <w:t xml:space="preserve">. </w:t>
      </w:r>
      <w:proofErr w:type="gramStart"/>
      <w:r w:rsidRPr="00363EFC">
        <w:rPr>
          <w:rFonts w:ascii="Times New Roman" w:hAnsi="Times New Roman" w:cs="Times New Roman"/>
        </w:rPr>
        <w:t>18</w:t>
      </w:r>
      <w:proofErr w:type="gramEnd"/>
      <w:r w:rsidRPr="00363EFC">
        <w:rPr>
          <w:rFonts w:ascii="Times New Roman" w:hAnsi="Times New Roman" w:cs="Times New Roman"/>
        </w:rPr>
        <w:t>, quoting CEDAW, General Recommendation No. 23 (1997), para. 5</w:t>
      </w:r>
    </w:p>
  </w:footnote>
  <w:footnote w:id="31">
    <w:p w14:paraId="2CB8DA22" w14:textId="77777777" w:rsidR="00141AB5" w:rsidRPr="007B6FEA" w:rsidRDefault="00141AB5" w:rsidP="00141AB5">
      <w:pPr>
        <w:rPr>
          <w:rFonts w:ascii="Times New Roman" w:hAnsi="Times New Roman" w:cs="Times New Roman"/>
          <w:sz w:val="20"/>
          <w:szCs w:val="20"/>
          <w:lang w:val="en-GB"/>
        </w:rPr>
      </w:pPr>
      <w:r w:rsidRPr="005253B6">
        <w:rPr>
          <w:rStyle w:val="FootnoteReference"/>
          <w:rFonts w:ascii="Times New Roman" w:hAnsi="Times New Roman" w:cs="Times New Roman"/>
          <w:sz w:val="20"/>
          <w:szCs w:val="20"/>
        </w:rPr>
        <w:footnoteRef/>
      </w:r>
      <w:r w:rsidRPr="005253B6">
        <w:rPr>
          <w:rFonts w:ascii="Times New Roman" w:hAnsi="Times New Roman" w:cs="Times New Roman"/>
          <w:sz w:val="20"/>
          <w:szCs w:val="20"/>
        </w:rPr>
        <w:t xml:space="preserve"> </w:t>
      </w:r>
      <w:r w:rsidRPr="004E63C9">
        <w:rPr>
          <w:rFonts w:ascii="Times New Roman" w:hAnsi="Times New Roman" w:cs="Times New Roman"/>
          <w:sz w:val="20"/>
          <w:szCs w:val="20"/>
        </w:rPr>
        <w:t>CCPR/C/21/Rev.1/Add.7 27 August 1996, para</w:t>
      </w:r>
      <w:r>
        <w:rPr>
          <w:rFonts w:ascii="Times New Roman" w:hAnsi="Times New Roman" w:cs="Times New Roman"/>
          <w:sz w:val="20"/>
          <w:szCs w:val="20"/>
        </w:rPr>
        <w:t xml:space="preserve">. </w:t>
      </w:r>
      <w:r w:rsidRPr="00363EFC">
        <w:rPr>
          <w:rFonts w:ascii="Times New Roman" w:hAnsi="Times New Roman" w:cs="Times New Roman"/>
          <w:sz w:val="20"/>
          <w:szCs w:val="20"/>
        </w:rPr>
        <w:t xml:space="preserve"> </w:t>
      </w:r>
      <w:r w:rsidRPr="007B6FEA">
        <w:rPr>
          <w:rFonts w:ascii="Times New Roman" w:hAnsi="Times New Roman" w:cs="Times New Roman"/>
          <w:sz w:val="20"/>
          <w:szCs w:val="20"/>
          <w:lang w:val="en-GB"/>
        </w:rPr>
        <w:t>8.</w:t>
      </w:r>
    </w:p>
  </w:footnote>
  <w:footnote w:id="32">
    <w:p w14:paraId="4A950EC3" w14:textId="77777777" w:rsidR="00141AB5" w:rsidRPr="007B6FEA" w:rsidRDefault="00141AB5" w:rsidP="00141AB5">
      <w:pPr>
        <w:pStyle w:val="FootnoteText"/>
        <w:rPr>
          <w:rFonts w:ascii="Times New Roman" w:hAnsi="Times New Roman" w:cs="Times New Roman"/>
        </w:rPr>
      </w:pPr>
      <w:r w:rsidRPr="005253B6">
        <w:rPr>
          <w:rStyle w:val="FootnoteReference"/>
          <w:rFonts w:ascii="Times New Roman" w:hAnsi="Times New Roman" w:cs="Times New Roman"/>
        </w:rPr>
        <w:footnoteRef/>
      </w:r>
      <w:r w:rsidRPr="007B6FEA">
        <w:rPr>
          <w:rFonts w:ascii="Times New Roman" w:hAnsi="Times New Roman" w:cs="Times New Roman"/>
        </w:rPr>
        <w:t xml:space="preserve"> </w:t>
      </w:r>
      <w:r w:rsidRPr="007B6FEA">
        <w:rPr>
          <w:rFonts w:ascii="Times New Roman" w:hAnsi="Times New Roman" w:cs="Times New Roman"/>
          <w:i/>
        </w:rPr>
        <w:t>Ibid.</w:t>
      </w:r>
    </w:p>
  </w:footnote>
  <w:footnote w:id="33">
    <w:p w14:paraId="53642275" w14:textId="77777777" w:rsidR="00141AB5" w:rsidRPr="00391719" w:rsidRDefault="00141AB5" w:rsidP="00141AB5">
      <w:pPr>
        <w:pStyle w:val="FootnoteText"/>
        <w:rPr>
          <w:rFonts w:ascii="Times New Roman" w:hAnsi="Times New Roman" w:cs="Times New Roman"/>
          <w:lang w:val="es-ES_tradnl"/>
        </w:rPr>
      </w:pPr>
      <w:r w:rsidRPr="005253B6">
        <w:rPr>
          <w:rStyle w:val="FootnoteReference"/>
          <w:rFonts w:ascii="Times New Roman" w:hAnsi="Times New Roman" w:cs="Times New Roman"/>
        </w:rPr>
        <w:footnoteRef/>
      </w:r>
      <w:r w:rsidRPr="007B6FEA">
        <w:rPr>
          <w:rFonts w:ascii="Times New Roman" w:hAnsi="Times New Roman" w:cs="Times New Roman"/>
        </w:rPr>
        <w:t xml:space="preserve"> </w:t>
      </w:r>
      <w:proofErr w:type="gramStart"/>
      <w:r w:rsidRPr="007B6FEA">
        <w:rPr>
          <w:rFonts w:ascii="Times New Roman" w:hAnsi="Times New Roman" w:cs="Times New Roman"/>
          <w:i/>
        </w:rPr>
        <w:t>Ibid.,</w:t>
      </w:r>
      <w:proofErr w:type="gramEnd"/>
      <w:r w:rsidRPr="007B6FEA">
        <w:rPr>
          <w:rFonts w:ascii="Times New Roman" w:hAnsi="Times New Roman" w:cs="Times New Roman"/>
        </w:rPr>
        <w:t xml:space="preserve"> para. 6. See also A/HRC/39/28, para. </w:t>
      </w:r>
      <w:r w:rsidRPr="00391719">
        <w:rPr>
          <w:rFonts w:ascii="Times New Roman" w:hAnsi="Times New Roman" w:cs="Times New Roman"/>
          <w:lang w:val="es-ES_tradnl"/>
        </w:rPr>
        <w:t>51.</w:t>
      </w:r>
    </w:p>
  </w:footnote>
  <w:footnote w:id="34">
    <w:p w14:paraId="438AD79E" w14:textId="77777777" w:rsidR="00141AB5" w:rsidRPr="00391719" w:rsidRDefault="00141AB5" w:rsidP="00141AB5">
      <w:pPr>
        <w:pStyle w:val="FootnoteText"/>
        <w:rPr>
          <w:rFonts w:ascii="Times New Roman" w:hAnsi="Times New Roman" w:cs="Times New Roman"/>
          <w:lang w:val="es-ES_tradnl"/>
        </w:rPr>
      </w:pPr>
      <w:r w:rsidRPr="005253B6">
        <w:rPr>
          <w:rStyle w:val="FootnoteReference"/>
          <w:rFonts w:ascii="Times New Roman" w:hAnsi="Times New Roman" w:cs="Times New Roman"/>
        </w:rPr>
        <w:footnoteRef/>
      </w:r>
      <w:r w:rsidRPr="00391719">
        <w:rPr>
          <w:rFonts w:ascii="Times New Roman" w:hAnsi="Times New Roman" w:cs="Times New Roman"/>
          <w:lang w:val="es-ES_tradnl"/>
        </w:rPr>
        <w:t xml:space="preserve"> </w:t>
      </w:r>
      <w:r w:rsidRPr="00363EFC">
        <w:rPr>
          <w:rFonts w:ascii="Times New Roman" w:hAnsi="Times New Roman" w:cs="Times New Roman"/>
          <w:lang w:val="es-CU"/>
        </w:rPr>
        <w:t>A/HRC/39/28</w:t>
      </w:r>
      <w:r>
        <w:rPr>
          <w:rFonts w:ascii="Times New Roman" w:hAnsi="Times New Roman" w:cs="Times New Roman"/>
          <w:lang w:val="es-CU"/>
        </w:rPr>
        <w:t>,</w:t>
      </w:r>
      <w:r w:rsidRPr="00363EFC">
        <w:rPr>
          <w:rFonts w:ascii="Times New Roman" w:hAnsi="Times New Roman" w:cs="Times New Roman"/>
          <w:lang w:val="es-CU"/>
        </w:rPr>
        <w:t xml:space="preserve"> para. 75.</w:t>
      </w:r>
    </w:p>
  </w:footnote>
  <w:footnote w:id="35">
    <w:p w14:paraId="5653EBD1" w14:textId="77777777" w:rsidR="00191819" w:rsidRPr="005253B6" w:rsidRDefault="00191819" w:rsidP="00191819">
      <w:pPr>
        <w:pStyle w:val="Default"/>
        <w:rPr>
          <w:color w:val="auto"/>
          <w:sz w:val="20"/>
          <w:szCs w:val="20"/>
        </w:rPr>
      </w:pPr>
      <w:r w:rsidRPr="005253B6">
        <w:rPr>
          <w:rStyle w:val="FootnoteReference"/>
          <w:sz w:val="20"/>
          <w:szCs w:val="20"/>
        </w:rPr>
        <w:footnoteRef/>
      </w:r>
      <w:r w:rsidRPr="005253B6">
        <w:rPr>
          <w:sz w:val="20"/>
          <w:szCs w:val="20"/>
        </w:rPr>
        <w:t xml:space="preserve"> </w:t>
      </w:r>
      <w:proofErr w:type="gramStart"/>
      <w:r w:rsidRPr="005253B6">
        <w:rPr>
          <w:color w:val="auto"/>
          <w:sz w:val="20"/>
          <w:szCs w:val="20"/>
        </w:rPr>
        <w:t>See for example; thematic reports focusing on: women human rights defenders (</w:t>
      </w:r>
      <w:hyperlink r:id="rId2" w:history="1">
        <w:r w:rsidRPr="005253B6">
          <w:rPr>
            <w:color w:val="auto"/>
            <w:sz w:val="20"/>
            <w:szCs w:val="20"/>
          </w:rPr>
          <w:t>A/HRC/16/44</w:t>
        </w:r>
      </w:hyperlink>
      <w:r w:rsidRPr="005253B6">
        <w:rPr>
          <w:color w:val="auto"/>
          <w:sz w:val="20"/>
          <w:szCs w:val="20"/>
        </w:rPr>
        <w:t xml:space="preserve"> and </w:t>
      </w:r>
      <w:hyperlink r:id="rId3" w:history="1">
        <w:r w:rsidRPr="005253B6">
          <w:rPr>
            <w:color w:val="auto"/>
            <w:sz w:val="20"/>
            <w:szCs w:val="20"/>
          </w:rPr>
          <w:t>A/HRC/16/44/Corr.1</w:t>
        </w:r>
      </w:hyperlink>
      <w:r w:rsidRPr="005253B6">
        <w:rPr>
          <w:color w:val="auto"/>
          <w:sz w:val="20"/>
          <w:szCs w:val="20"/>
        </w:rPr>
        <w:t xml:space="preserve"> and </w:t>
      </w:r>
      <w:hyperlink r:id="rId4" w:history="1">
        <w:r w:rsidRPr="005253B6">
          <w:rPr>
            <w:color w:val="auto"/>
            <w:sz w:val="20"/>
            <w:szCs w:val="20"/>
          </w:rPr>
          <w:t>A/HRC/34/52</w:t>
        </w:r>
      </w:hyperlink>
      <w:r w:rsidRPr="005253B6">
        <w:rPr>
          <w:color w:val="auto"/>
          <w:sz w:val="20"/>
          <w:szCs w:val="20"/>
        </w:rPr>
        <w:t>); indigenous defenders (</w:t>
      </w:r>
      <w:hyperlink r:id="rId5" w:history="1">
        <w:r w:rsidRPr="005253B6">
          <w:rPr>
            <w:color w:val="auto"/>
            <w:sz w:val="20"/>
            <w:szCs w:val="20"/>
          </w:rPr>
          <w:t>A/HRC/39/17</w:t>
        </w:r>
      </w:hyperlink>
      <w:r w:rsidRPr="005253B6">
        <w:rPr>
          <w:color w:val="auto"/>
          <w:sz w:val="20"/>
          <w:szCs w:val="20"/>
        </w:rPr>
        <w:t>); environmental defenders (</w:t>
      </w:r>
      <w:hyperlink r:id="rId6" w:history="1">
        <w:r w:rsidRPr="005253B6">
          <w:rPr>
            <w:color w:val="auto"/>
            <w:sz w:val="20"/>
            <w:szCs w:val="20"/>
          </w:rPr>
          <w:t>A/71/281</w:t>
        </w:r>
      </w:hyperlink>
      <w:r w:rsidRPr="005253B6">
        <w:rPr>
          <w:color w:val="auto"/>
          <w:sz w:val="20"/>
          <w:szCs w:val="20"/>
        </w:rPr>
        <w:t>); those defending the rights of people on the move (</w:t>
      </w:r>
      <w:hyperlink r:id="rId7" w:history="1">
        <w:r w:rsidRPr="005253B6">
          <w:rPr>
            <w:color w:val="auto"/>
            <w:sz w:val="20"/>
            <w:szCs w:val="20"/>
          </w:rPr>
          <w:t>A/HRC/37/51</w:t>
        </w:r>
      </w:hyperlink>
      <w:r w:rsidRPr="005253B6">
        <w:rPr>
          <w:color w:val="auto"/>
          <w:sz w:val="20"/>
          <w:szCs w:val="20"/>
        </w:rPr>
        <w:t>); and, human rights defenders active in the field of business and human rights (</w:t>
      </w:r>
      <w:hyperlink r:id="rId8" w:history="1">
        <w:r w:rsidRPr="005253B6">
          <w:rPr>
            <w:color w:val="auto"/>
            <w:sz w:val="20"/>
            <w:szCs w:val="20"/>
          </w:rPr>
          <w:t>A/72/170</w:t>
        </w:r>
      </w:hyperlink>
      <w:r w:rsidRPr="005253B6">
        <w:rPr>
          <w:color w:val="auto"/>
          <w:sz w:val="20"/>
          <w:szCs w:val="20"/>
        </w:rPr>
        <w:t>).</w:t>
      </w:r>
      <w:proofErr w:type="gramEnd"/>
      <w:r w:rsidRPr="005253B6">
        <w:rPr>
          <w:color w:val="auto"/>
          <w:sz w:val="20"/>
          <w:szCs w:val="20"/>
        </w:rPr>
        <w:t xml:space="preserve"> </w:t>
      </w:r>
    </w:p>
  </w:footnote>
  <w:footnote w:id="36">
    <w:p w14:paraId="6C8A9793" w14:textId="77777777" w:rsidR="00191819" w:rsidRPr="005253B6" w:rsidRDefault="00191819" w:rsidP="00191819">
      <w:pPr>
        <w:pStyle w:val="Default"/>
        <w:rPr>
          <w:sz w:val="20"/>
          <w:szCs w:val="20"/>
        </w:rPr>
      </w:pPr>
      <w:r w:rsidRPr="005253B6">
        <w:rPr>
          <w:rStyle w:val="FootnoteReference"/>
          <w:sz w:val="20"/>
          <w:szCs w:val="20"/>
        </w:rPr>
        <w:footnoteRef/>
      </w:r>
      <w:r w:rsidRPr="005253B6">
        <w:rPr>
          <w:sz w:val="20"/>
          <w:szCs w:val="20"/>
        </w:rPr>
        <w:t xml:space="preserve"> See A/HRC/26/29, para. 10. A separate submission by UN mandate holders in relation to this new GC on art 21 of the Covenant </w:t>
      </w:r>
      <w:proofErr w:type="gramStart"/>
      <w:r w:rsidRPr="005253B6">
        <w:rPr>
          <w:sz w:val="20"/>
          <w:szCs w:val="20"/>
        </w:rPr>
        <w:t>was also made</w:t>
      </w:r>
      <w:proofErr w:type="gramEnd"/>
      <w:r w:rsidRPr="005253B6">
        <w:rPr>
          <w:sz w:val="20"/>
          <w:szCs w:val="20"/>
        </w:rPr>
        <w:t xml:space="preserve">.  </w:t>
      </w:r>
    </w:p>
  </w:footnote>
  <w:footnote w:id="37">
    <w:p w14:paraId="1BE5DCC3" w14:textId="77777777" w:rsidR="00191819" w:rsidRPr="005253B6" w:rsidRDefault="00191819" w:rsidP="00191819">
      <w:pPr>
        <w:pStyle w:val="FootnoteText"/>
        <w:rPr>
          <w:rFonts w:ascii="Times New Roman" w:hAnsi="Times New Roman" w:cs="Times New Roman"/>
        </w:rPr>
      </w:pPr>
      <w:r w:rsidRPr="005253B6">
        <w:rPr>
          <w:rStyle w:val="FootnoteReference"/>
          <w:rFonts w:ascii="Times New Roman" w:hAnsi="Times New Roman" w:cs="Times New Roman"/>
        </w:rPr>
        <w:footnoteRef/>
      </w:r>
      <w:r w:rsidRPr="005253B6">
        <w:rPr>
          <w:rFonts w:ascii="Times New Roman" w:hAnsi="Times New Roman" w:cs="Times New Roman"/>
        </w:rPr>
        <w:t xml:space="preserve"> https://www.ohchr.org/Documents/Publications/Chapter28_MonitoringAndProtecting.pdf</w:t>
      </w:r>
    </w:p>
  </w:footnote>
  <w:footnote w:id="38">
    <w:p w14:paraId="5C52F024" w14:textId="77777777" w:rsidR="00191819" w:rsidRPr="005253B6" w:rsidRDefault="00191819" w:rsidP="00191819">
      <w:pPr>
        <w:pStyle w:val="FootnoteText"/>
        <w:rPr>
          <w:rFonts w:ascii="Times New Roman" w:hAnsi="Times New Roman" w:cs="Times New Roman"/>
          <w:lang w:val="en-US"/>
        </w:rPr>
      </w:pPr>
      <w:r w:rsidRPr="005253B6">
        <w:rPr>
          <w:rStyle w:val="FootnoteReference"/>
          <w:rFonts w:ascii="Times New Roman" w:hAnsi="Times New Roman" w:cs="Times New Roman"/>
        </w:rPr>
        <w:footnoteRef/>
      </w:r>
      <w:r w:rsidRPr="005253B6">
        <w:rPr>
          <w:rFonts w:ascii="Times New Roman" w:hAnsi="Times New Roman" w:cs="Times New Roman"/>
        </w:rPr>
        <w:t xml:space="preserve"> CEDAW/C/SYR/CO/2 (CEDAW, 2014) Committee on the Elimination of Discrimination against Women (Syrian Arab Republic), Para 36(d).</w:t>
      </w:r>
    </w:p>
  </w:footnote>
  <w:footnote w:id="39">
    <w:p w14:paraId="74D383F8" w14:textId="77777777" w:rsidR="00191819" w:rsidRPr="005253B6" w:rsidRDefault="00191819" w:rsidP="00191819">
      <w:pPr>
        <w:pStyle w:val="FootnoteText"/>
        <w:rPr>
          <w:rFonts w:ascii="Times New Roman" w:hAnsi="Times New Roman" w:cs="Times New Roman"/>
        </w:rPr>
      </w:pPr>
      <w:r w:rsidRPr="005253B6">
        <w:rPr>
          <w:rStyle w:val="FootnoteReference"/>
          <w:rFonts w:ascii="Times New Roman" w:hAnsi="Times New Roman" w:cs="Times New Roman"/>
        </w:rPr>
        <w:footnoteRef/>
      </w:r>
      <w:r w:rsidRPr="005253B6">
        <w:rPr>
          <w:rFonts w:ascii="Times New Roman" w:hAnsi="Times New Roman" w:cs="Times New Roman"/>
        </w:rPr>
        <w:t xml:space="preserve"> CEDAW/C/HND/CO/7-8 (CEDAW, 2016) Committee on the Elimination of Discrimination against Women (Honduras), Para 28.</w:t>
      </w:r>
    </w:p>
    <w:p w14:paraId="717ABAB3" w14:textId="77777777" w:rsidR="00191819" w:rsidRPr="005253B6" w:rsidRDefault="00F47B64" w:rsidP="00191819">
      <w:pPr>
        <w:pStyle w:val="FootnoteText"/>
        <w:rPr>
          <w:rFonts w:ascii="Times New Roman" w:hAnsi="Times New Roman" w:cs="Times New Roman"/>
          <w:lang w:val="es-CU"/>
        </w:rPr>
      </w:pPr>
      <w:hyperlink r:id="rId9" w:history="1">
        <w:r w:rsidR="00191819" w:rsidRPr="005253B6">
          <w:rPr>
            <w:rStyle w:val="Hyperlink"/>
            <w:rFonts w:ascii="Times New Roman" w:hAnsi="Times New Roman" w:cs="Times New Roman"/>
            <w:bCs/>
            <w:lang w:val="es-CU"/>
          </w:rPr>
          <w:t>A/HRC/40/60</w:t>
        </w:r>
      </w:hyperlink>
      <w:r w:rsidR="00191819" w:rsidRPr="005253B6">
        <w:rPr>
          <w:rFonts w:ascii="Times New Roman" w:hAnsi="Times New Roman" w:cs="Times New Roman"/>
          <w:lang w:val="es-CU"/>
        </w:rPr>
        <w:t xml:space="preserve"> </w:t>
      </w:r>
    </w:p>
  </w:footnote>
  <w:footnote w:id="40">
    <w:p w14:paraId="0C595DBE" w14:textId="77777777" w:rsidR="00191819" w:rsidRPr="005253B6" w:rsidRDefault="00191819" w:rsidP="00191819">
      <w:pPr>
        <w:pStyle w:val="Default"/>
        <w:rPr>
          <w:sz w:val="20"/>
          <w:szCs w:val="20"/>
          <w:lang w:val="es-CU"/>
        </w:rPr>
      </w:pPr>
      <w:r w:rsidRPr="005253B6">
        <w:rPr>
          <w:rStyle w:val="FootnoteReference"/>
          <w:sz w:val="20"/>
          <w:szCs w:val="20"/>
        </w:rPr>
        <w:footnoteRef/>
      </w:r>
      <w:r w:rsidRPr="005253B6">
        <w:rPr>
          <w:sz w:val="20"/>
          <w:szCs w:val="20"/>
          <w:lang w:val="es-CU"/>
        </w:rPr>
        <w:t xml:space="preserve"> </w:t>
      </w:r>
      <w:r w:rsidRPr="005253B6">
        <w:rPr>
          <w:bCs/>
          <w:sz w:val="20"/>
          <w:szCs w:val="20"/>
          <w:lang w:val="es-CU"/>
        </w:rPr>
        <w:t>A/HRC/38/34, para 59</w:t>
      </w:r>
    </w:p>
  </w:footnote>
  <w:footnote w:id="41">
    <w:p w14:paraId="5B6DE71D" w14:textId="77777777" w:rsidR="00191819" w:rsidRPr="005253B6" w:rsidRDefault="00191819" w:rsidP="00191819">
      <w:pPr>
        <w:pStyle w:val="FootnoteText"/>
        <w:rPr>
          <w:rFonts w:ascii="Times New Roman" w:hAnsi="Times New Roman" w:cs="Times New Roman"/>
        </w:rPr>
      </w:pPr>
      <w:r w:rsidRPr="005253B6">
        <w:rPr>
          <w:rStyle w:val="FootnoteReference"/>
          <w:rFonts w:ascii="Times New Roman" w:hAnsi="Times New Roman" w:cs="Times New Roman"/>
        </w:rPr>
        <w:footnoteRef/>
      </w:r>
      <w:r w:rsidRPr="005253B6">
        <w:rPr>
          <w:rFonts w:ascii="Times New Roman" w:hAnsi="Times New Roman" w:cs="Times New Roman"/>
        </w:rPr>
        <w:t xml:space="preserve"> Report of the High Commissioner to the Human Rights Council, A/HRC/33/67, 2016, para 94.</w:t>
      </w:r>
    </w:p>
  </w:footnote>
  <w:footnote w:id="42">
    <w:p w14:paraId="22481A01" w14:textId="77777777" w:rsidR="00191819" w:rsidRPr="005253B6" w:rsidRDefault="00191819" w:rsidP="00191819">
      <w:pPr>
        <w:pStyle w:val="FootnoteText"/>
        <w:rPr>
          <w:rFonts w:ascii="Times New Roman" w:hAnsi="Times New Roman" w:cs="Times New Roman"/>
        </w:rPr>
      </w:pPr>
      <w:r w:rsidRPr="005253B6">
        <w:rPr>
          <w:rStyle w:val="FootnoteReference"/>
          <w:rFonts w:ascii="Times New Roman" w:hAnsi="Times New Roman" w:cs="Times New Roman"/>
        </w:rPr>
        <w:footnoteRef/>
      </w:r>
      <w:r w:rsidRPr="005253B6">
        <w:rPr>
          <w:rFonts w:ascii="Times New Roman" w:hAnsi="Times New Roman" w:cs="Times New Roman"/>
        </w:rPr>
        <w:t xml:space="preserve"> For example, in July 2018, a Swedish student protested the deportation of an Afghan asylum seeker by preventing the airplane from departing. She </w:t>
      </w:r>
      <w:proofErr w:type="gramStart"/>
      <w:r w:rsidRPr="005253B6">
        <w:rPr>
          <w:rFonts w:ascii="Times New Roman" w:hAnsi="Times New Roman" w:cs="Times New Roman"/>
        </w:rPr>
        <w:t>was thereafter prosecuted “for crimes against the aviation law” and fined 3,000 Swedish krona</w:t>
      </w:r>
      <w:proofErr w:type="gramEnd"/>
      <w:r w:rsidRPr="005253B6">
        <w:rPr>
          <w:rFonts w:ascii="Times New Roman" w:hAnsi="Times New Roman" w:cs="Times New Roman"/>
        </w:rPr>
        <w:t xml:space="preserve">. See </w:t>
      </w:r>
      <w:hyperlink r:id="rId10" w:history="1">
        <w:r w:rsidRPr="005253B6">
          <w:rPr>
            <w:rStyle w:val="Hyperlink"/>
            <w:rFonts w:ascii="Times New Roman" w:hAnsi="Times New Roman" w:cs="Times New Roman"/>
          </w:rPr>
          <w:t>https://www.theguardian.com/world/2018/oct/19/elin-ersson-swedish-student-video-grounded-deportation-flight-prosecution</w:t>
        </w:r>
      </w:hyperlink>
      <w:r w:rsidRPr="005253B6">
        <w:rPr>
          <w:rFonts w:ascii="Times New Roman" w:hAnsi="Times New Roman" w:cs="Times New Roman"/>
        </w:rPr>
        <w:t xml:space="preserve">; </w:t>
      </w:r>
      <w:hyperlink r:id="rId11" w:history="1">
        <w:r w:rsidRPr="005253B6">
          <w:rPr>
            <w:rStyle w:val="Hyperlink"/>
            <w:rFonts w:ascii="Times New Roman" w:hAnsi="Times New Roman" w:cs="Times New Roman"/>
          </w:rPr>
          <w:t>https://www.theguardian.com/world/2019/feb/18/swedish-student-elin-ersson-fined-after-broadcasting-plane-protest-against-asylum-seeker-deportation</w:t>
        </w:r>
      </w:hyperlink>
      <w:r w:rsidRPr="005253B6">
        <w:rPr>
          <w:rFonts w:ascii="Times New Roman" w:hAnsi="Times New Roman" w:cs="Times New Roman"/>
        </w:rPr>
        <w:t>.</w:t>
      </w:r>
    </w:p>
    <w:p w14:paraId="431A635E" w14:textId="77777777" w:rsidR="00191819" w:rsidRPr="005253B6" w:rsidRDefault="00191819" w:rsidP="00191819">
      <w:pPr>
        <w:pStyle w:val="FootnoteText"/>
        <w:rPr>
          <w:rFonts w:ascii="Times New Roman" w:hAnsi="Times New Roman" w:cs="Times New Roman"/>
          <w:lang w:val="en-US"/>
        </w:rPr>
      </w:pPr>
      <w:r>
        <w:rPr>
          <w:rFonts w:ascii="Times New Roman" w:hAnsi="Times New Roman" w:cs="Times New Roman"/>
        </w:rPr>
        <w:t>Similar action was</w:t>
      </w:r>
      <w:r w:rsidRPr="005253B6">
        <w:rPr>
          <w:rFonts w:ascii="Times New Roman" w:hAnsi="Times New Roman" w:cs="Times New Roman"/>
        </w:rPr>
        <w:t xml:space="preserve"> taken against ‘the </w:t>
      </w:r>
      <w:proofErr w:type="spellStart"/>
      <w:r w:rsidRPr="005253B6">
        <w:rPr>
          <w:rFonts w:ascii="Times New Roman" w:hAnsi="Times New Roman" w:cs="Times New Roman"/>
        </w:rPr>
        <w:t>Standsted</w:t>
      </w:r>
      <w:proofErr w:type="spellEnd"/>
      <w:r w:rsidRPr="005253B6">
        <w:rPr>
          <w:rFonts w:ascii="Times New Roman" w:hAnsi="Times New Roman" w:cs="Times New Roman"/>
        </w:rPr>
        <w:t xml:space="preserve"> 15’, a group who had chained themselves together around a Boeing 767 chartered by the Home Office to deport 60 people to Nigeria, Ghana and Sierra Leone. After a 10-week </w:t>
      </w:r>
      <w:proofErr w:type="gramStart"/>
      <w:r w:rsidRPr="005253B6">
        <w:rPr>
          <w:rFonts w:ascii="Times New Roman" w:hAnsi="Times New Roman" w:cs="Times New Roman"/>
        </w:rPr>
        <w:t>trial</w:t>
      </w:r>
      <w:proofErr w:type="gramEnd"/>
      <w:r w:rsidRPr="005253B6">
        <w:rPr>
          <w:rFonts w:ascii="Times New Roman" w:hAnsi="Times New Roman" w:cs="Times New Roman"/>
        </w:rPr>
        <w:t xml:space="preserve"> a jury found them guilty of endangering the safety of an aerodrome – an offence that carries a potential life sentence, see https://www.theguardian.com/global/2019/feb/06/stansted-15-rights-campaigners-urge-judge-to-show-leniency.</w:t>
      </w:r>
    </w:p>
  </w:footnote>
  <w:footnote w:id="43">
    <w:p w14:paraId="6662E02B" w14:textId="77777777" w:rsidR="00191819" w:rsidRPr="005253B6" w:rsidRDefault="00191819" w:rsidP="00191819">
      <w:pPr>
        <w:pStyle w:val="FootnoteText"/>
        <w:rPr>
          <w:rFonts w:ascii="Times New Roman" w:hAnsi="Times New Roman" w:cs="Times New Roman"/>
          <w:lang w:val="en-US"/>
        </w:rPr>
      </w:pPr>
      <w:r w:rsidRPr="005253B6">
        <w:rPr>
          <w:rStyle w:val="FootnoteReference"/>
          <w:rFonts w:ascii="Times New Roman" w:hAnsi="Times New Roman" w:cs="Times New Roman"/>
        </w:rPr>
        <w:footnoteRef/>
      </w:r>
      <w:r w:rsidRPr="005253B6">
        <w:rPr>
          <w:rFonts w:ascii="Times New Roman" w:hAnsi="Times New Roman" w:cs="Times New Roman"/>
        </w:rPr>
        <w:t xml:space="preserve"> Statement of the High Commissioner for Human Rights, 21 June 2018, </w:t>
      </w:r>
      <w:hyperlink r:id="rId12" w:history="1">
        <w:r w:rsidRPr="005253B6">
          <w:rPr>
            <w:rStyle w:val="Hyperlink"/>
            <w:rFonts w:ascii="Times New Roman" w:hAnsi="Times New Roman" w:cs="Times New Roman"/>
          </w:rPr>
          <w:t>https://www.ohchr.org/EN/NewsEvents/Pages/DisplayNews.aspx?NewsID=23239&amp;LangID=E</w:t>
        </w:r>
      </w:hyperlink>
    </w:p>
  </w:footnote>
  <w:footnote w:id="44">
    <w:p w14:paraId="7A3EB559" w14:textId="77777777" w:rsidR="00191819" w:rsidRPr="005253B6" w:rsidRDefault="00191819" w:rsidP="00191819">
      <w:pPr>
        <w:pStyle w:val="FootnoteText"/>
        <w:rPr>
          <w:rFonts w:ascii="Times New Roman" w:hAnsi="Times New Roman" w:cs="Times New Roman"/>
          <w:lang w:val="en-US"/>
        </w:rPr>
      </w:pPr>
      <w:r w:rsidRPr="005253B6">
        <w:rPr>
          <w:rStyle w:val="FootnoteReference"/>
          <w:rFonts w:ascii="Times New Roman" w:hAnsi="Times New Roman" w:cs="Times New Roman"/>
        </w:rPr>
        <w:footnoteRef/>
      </w:r>
      <w:r w:rsidRPr="005253B6">
        <w:rPr>
          <w:rFonts w:ascii="Times New Roman" w:hAnsi="Times New Roman" w:cs="Times New Roman"/>
        </w:rPr>
        <w:t xml:space="preserve"> Report of the High Commissioner to the Human Rights Council, A/HRC/33/67, 2016, para 94; and Joint report OHCHR/UNSMIL, Desperate and Dangerous: the human rights situation of migrants in Libya, 20 December 2018, p 14-16, </w:t>
      </w:r>
      <w:hyperlink r:id="rId13" w:history="1">
        <w:r w:rsidRPr="005253B6">
          <w:rPr>
            <w:rStyle w:val="Hyperlink"/>
            <w:rFonts w:ascii="Times New Roman" w:hAnsi="Times New Roman" w:cs="Times New Roman"/>
          </w:rPr>
          <w:t>https://www.ohchr.org/Documents/Countries/LY/LibyaMigrationReport.pdf</w:t>
        </w:r>
      </w:hyperlink>
      <w:r w:rsidRPr="005253B6">
        <w:rPr>
          <w:rFonts w:ascii="Times New Roman" w:hAnsi="Times New Roman" w:cs="Times New Roman"/>
        </w:rPr>
        <w:t xml:space="preserve">.  See also </w:t>
      </w:r>
      <w:hyperlink r:id="rId14" w:history="1">
        <w:r w:rsidRPr="005253B6">
          <w:rPr>
            <w:rStyle w:val="Hyperlink"/>
            <w:rFonts w:ascii="Times New Roman" w:hAnsi="Times New Roman" w:cs="Times New Roman"/>
          </w:rPr>
          <w:t>https://la72.org/nueva-embestida-del-inm-en-contra-del-personal-de-la-72/</w:t>
        </w:r>
      </w:hyperlink>
      <w:proofErr w:type="gramStart"/>
      <w:r w:rsidRPr="005253B6">
        <w:rPr>
          <w:rFonts w:ascii="Times New Roman" w:hAnsi="Times New Roman" w:cs="Times New Roman"/>
        </w:rPr>
        <w:t>;</w:t>
      </w:r>
      <w:proofErr w:type="gramEnd"/>
      <w:r w:rsidRPr="005253B6">
        <w:rPr>
          <w:rFonts w:ascii="Times New Roman" w:hAnsi="Times New Roman" w:cs="Times New Roman"/>
        </w:rPr>
        <w:t xml:space="preserve"> </w:t>
      </w:r>
      <w:hyperlink r:id="rId15" w:history="1">
        <w:r w:rsidRPr="005253B6">
          <w:rPr>
            <w:rStyle w:val="Hyperlink"/>
            <w:rFonts w:ascii="Times New Roman" w:hAnsi="Times New Roman" w:cs="Times New Roman"/>
          </w:rPr>
          <w:t>https://openmigration.org/en/analyses/the-prosecutors-case-against-the-rescue-ship-open-arms/</w:t>
        </w:r>
      </w:hyperlink>
      <w:r w:rsidRPr="005253B6">
        <w:rPr>
          <w:rFonts w:ascii="Times New Roman" w:hAnsi="Times New Roman" w:cs="Times New Roman"/>
        </w:rPr>
        <w:t xml:space="preserve">. </w:t>
      </w:r>
    </w:p>
  </w:footnote>
  <w:footnote w:id="45">
    <w:p w14:paraId="47396EC2" w14:textId="77777777" w:rsidR="00E1750B" w:rsidRPr="00391719" w:rsidRDefault="00E1750B" w:rsidP="00E1750B">
      <w:pPr>
        <w:pStyle w:val="FootnoteText"/>
        <w:rPr>
          <w:rFonts w:ascii="Times New Roman" w:hAnsi="Times New Roman" w:cs="Times New Roman"/>
          <w:lang w:val="es-ES_tradnl"/>
        </w:rPr>
      </w:pPr>
      <w:r w:rsidRPr="005253B6">
        <w:rPr>
          <w:rStyle w:val="FootnoteReference"/>
          <w:rFonts w:ascii="Times New Roman" w:hAnsi="Times New Roman" w:cs="Times New Roman"/>
        </w:rPr>
        <w:footnoteRef/>
      </w:r>
      <w:r w:rsidRPr="00391719">
        <w:rPr>
          <w:rFonts w:ascii="Times New Roman" w:hAnsi="Times New Roman" w:cs="Times New Roman"/>
          <w:lang w:val="es-ES_tradnl"/>
        </w:rPr>
        <w:t xml:space="preserve"> A/HRC/27/29, para 89. </w:t>
      </w:r>
    </w:p>
  </w:footnote>
  <w:footnote w:id="46">
    <w:p w14:paraId="015AD2BC" w14:textId="77777777" w:rsidR="00E1750B" w:rsidRPr="005253B6" w:rsidRDefault="00E1750B" w:rsidP="00E1750B">
      <w:pPr>
        <w:pStyle w:val="FootnoteText"/>
        <w:rPr>
          <w:rFonts w:ascii="Times New Roman" w:hAnsi="Times New Roman" w:cs="Times New Roman"/>
          <w:lang w:val="en-US"/>
        </w:rPr>
      </w:pPr>
      <w:r w:rsidRPr="005253B6">
        <w:rPr>
          <w:rStyle w:val="FootnoteReference"/>
          <w:rFonts w:ascii="Times New Roman" w:hAnsi="Times New Roman" w:cs="Times New Roman"/>
        </w:rPr>
        <w:footnoteRef/>
      </w:r>
      <w:r w:rsidRPr="005253B6">
        <w:rPr>
          <w:rFonts w:ascii="Times New Roman" w:hAnsi="Times New Roman" w:cs="Times New Roman"/>
        </w:rPr>
        <w:t xml:space="preserve"> </w:t>
      </w:r>
      <w:r w:rsidRPr="00363EFC">
        <w:rPr>
          <w:rFonts w:ascii="Times New Roman" w:hAnsi="Times New Roman" w:cs="Times New Roman"/>
          <w:lang w:val="en-US"/>
        </w:rPr>
        <w:t>For example, experts have recognized gender and sex based restrictions on freedom of assembly as obstacles to the participation of women, lesbian, gay bisexual, transgender and intersex individuals in pol</w:t>
      </w:r>
      <w:r>
        <w:rPr>
          <w:rFonts w:ascii="Times New Roman" w:hAnsi="Times New Roman" w:cs="Times New Roman"/>
          <w:lang w:val="en-US"/>
        </w:rPr>
        <w:t xml:space="preserve">itical and public affairs. </w:t>
      </w:r>
      <w:r w:rsidRPr="00363EFC">
        <w:rPr>
          <w:rFonts w:ascii="Times New Roman" w:hAnsi="Times New Roman" w:cs="Times New Roman"/>
          <w:lang w:val="en-US"/>
        </w:rPr>
        <w:t>See, A/HRC/30/26, pa</w:t>
      </w:r>
      <w:r>
        <w:rPr>
          <w:rFonts w:ascii="Times New Roman" w:hAnsi="Times New Roman" w:cs="Times New Roman"/>
          <w:lang w:val="en-US"/>
        </w:rPr>
        <w:t>ra 25</w:t>
      </w:r>
      <w:proofErr w:type="gramStart"/>
      <w:r>
        <w:rPr>
          <w:rFonts w:ascii="Times New Roman" w:hAnsi="Times New Roman" w:cs="Times New Roman"/>
          <w:lang w:val="en-US"/>
        </w:rPr>
        <w:t>;</w:t>
      </w:r>
      <w:proofErr w:type="gramEnd"/>
      <w:r>
        <w:rPr>
          <w:rFonts w:ascii="Times New Roman" w:hAnsi="Times New Roman" w:cs="Times New Roman"/>
          <w:lang w:val="en-US"/>
        </w:rPr>
        <w:t xml:space="preserve"> </w:t>
      </w:r>
      <w:r w:rsidRPr="00363EFC">
        <w:rPr>
          <w:rFonts w:ascii="Times New Roman" w:hAnsi="Times New Roman" w:cs="Times New Roman"/>
          <w:lang w:val="en-US"/>
        </w:rPr>
        <w:t>A/HRC/33/25, para 16.</w:t>
      </w:r>
    </w:p>
  </w:footnote>
  <w:footnote w:id="47">
    <w:p w14:paraId="14532A00" w14:textId="77777777" w:rsidR="00E1750B" w:rsidRPr="005253B6" w:rsidRDefault="00E1750B" w:rsidP="00E1750B">
      <w:pPr>
        <w:pStyle w:val="FootnoteText"/>
        <w:rPr>
          <w:rFonts w:ascii="Times New Roman" w:hAnsi="Times New Roman" w:cs="Times New Roman"/>
          <w:lang w:val="en-US"/>
        </w:rPr>
      </w:pPr>
      <w:r w:rsidRPr="005253B6">
        <w:rPr>
          <w:rStyle w:val="FootnoteReference"/>
          <w:rFonts w:ascii="Times New Roman" w:hAnsi="Times New Roman" w:cs="Times New Roman"/>
        </w:rPr>
        <w:footnoteRef/>
      </w:r>
      <w:r w:rsidRPr="005253B6">
        <w:rPr>
          <w:rFonts w:ascii="Times New Roman" w:hAnsi="Times New Roman" w:cs="Times New Roman"/>
        </w:rPr>
        <w:t xml:space="preserve"> </w:t>
      </w:r>
      <w:r w:rsidRPr="00C20548">
        <w:rPr>
          <w:rFonts w:ascii="Times New Roman" w:eastAsia="Times New Roman" w:hAnsi="Times New Roman" w:cs="Times New Roman"/>
          <w:i/>
          <w:color w:val="000000"/>
          <w:lang w:eastAsia="en-GB"/>
        </w:rPr>
        <w:t>Alekseev v. Russian Federation</w:t>
      </w:r>
      <w:r>
        <w:rPr>
          <w:rFonts w:ascii="Times New Roman" w:eastAsia="Times New Roman" w:hAnsi="Times New Roman" w:cs="Times New Roman"/>
          <w:color w:val="000000"/>
          <w:lang w:eastAsia="en-GB"/>
        </w:rPr>
        <w:t>, Communication No. 1873/2009,</w:t>
      </w:r>
      <w:r w:rsidRPr="00363EFC">
        <w:rPr>
          <w:rFonts w:ascii="Times New Roman" w:eastAsia="Times New Roman" w:hAnsi="Times New Roman" w:cs="Times New Roman"/>
          <w:color w:val="000000"/>
          <w:lang w:eastAsia="en-GB"/>
        </w:rPr>
        <w:t xml:space="preserve"> CCPR/C/109/D/1873/2009</w:t>
      </w:r>
      <w:r>
        <w:rPr>
          <w:rFonts w:ascii="Times New Roman" w:eastAsia="Times New Roman" w:hAnsi="Times New Roman" w:cs="Times New Roman"/>
          <w:color w:val="000000"/>
          <w:lang w:eastAsia="en-GB"/>
        </w:rPr>
        <w:t xml:space="preserve">, </w:t>
      </w:r>
      <w:r w:rsidRPr="00363EFC">
        <w:rPr>
          <w:rFonts w:ascii="Times New Roman" w:eastAsia="Times New Roman" w:hAnsi="Times New Roman" w:cs="Times New Roman"/>
          <w:color w:val="000000"/>
          <w:lang w:eastAsia="en-GB"/>
        </w:rPr>
        <w:t>para</w:t>
      </w:r>
      <w:r>
        <w:rPr>
          <w:rFonts w:ascii="Times New Roman" w:eastAsia="Times New Roman" w:hAnsi="Times New Roman" w:cs="Times New Roman"/>
          <w:color w:val="000000"/>
          <w:lang w:eastAsia="en-GB"/>
        </w:rPr>
        <w:t>.</w:t>
      </w:r>
      <w:r w:rsidRPr="00363EFC">
        <w:rPr>
          <w:rFonts w:ascii="Times New Roman" w:eastAsia="Times New Roman" w:hAnsi="Times New Roman" w:cs="Times New Roman"/>
          <w:color w:val="000000"/>
          <w:lang w:eastAsia="en-GB"/>
        </w:rPr>
        <w:t xml:space="preserve"> 9.6.</w:t>
      </w:r>
    </w:p>
  </w:footnote>
  <w:footnote w:id="48">
    <w:p w14:paraId="557F0237" w14:textId="77777777" w:rsidR="00E1750B" w:rsidRPr="00391719" w:rsidRDefault="00E1750B" w:rsidP="00E1750B">
      <w:pPr>
        <w:pStyle w:val="FootnoteText"/>
        <w:rPr>
          <w:rFonts w:ascii="Times New Roman" w:hAnsi="Times New Roman" w:cs="Times New Roman"/>
          <w:lang w:val="es-ES_tradnl"/>
        </w:rPr>
      </w:pPr>
      <w:r w:rsidRPr="005253B6">
        <w:rPr>
          <w:rStyle w:val="FootnoteReference"/>
          <w:rFonts w:ascii="Times New Roman" w:hAnsi="Times New Roman" w:cs="Times New Roman"/>
        </w:rPr>
        <w:footnoteRef/>
      </w:r>
      <w:r w:rsidRPr="005253B6">
        <w:rPr>
          <w:rFonts w:ascii="Times New Roman" w:hAnsi="Times New Roman" w:cs="Times New Roman"/>
        </w:rPr>
        <w:t xml:space="preserve"> </w:t>
      </w:r>
      <w:r>
        <w:rPr>
          <w:rFonts w:ascii="Times New Roman" w:hAnsi="Times New Roman" w:cs="Times New Roman"/>
        </w:rPr>
        <w:t xml:space="preserve">See, A/HRC/27/29, </w:t>
      </w:r>
      <w:r>
        <w:rPr>
          <w:rFonts w:ascii="Times New Roman" w:hAnsi="Times New Roman" w:cs="Times New Roman"/>
          <w:lang w:val="en-US"/>
        </w:rPr>
        <w:t>p</w:t>
      </w:r>
      <w:r w:rsidRPr="00363EFC">
        <w:rPr>
          <w:rFonts w:ascii="Times New Roman" w:hAnsi="Times New Roman" w:cs="Times New Roman"/>
          <w:lang w:val="en-US"/>
        </w:rPr>
        <w:t>ara</w:t>
      </w:r>
      <w:r>
        <w:rPr>
          <w:rFonts w:ascii="Times New Roman" w:hAnsi="Times New Roman" w:cs="Times New Roman"/>
          <w:lang w:val="en-US"/>
        </w:rPr>
        <w:t>.</w:t>
      </w:r>
      <w:r w:rsidRPr="00363EFC">
        <w:rPr>
          <w:rFonts w:ascii="Times New Roman" w:hAnsi="Times New Roman" w:cs="Times New Roman"/>
          <w:lang w:val="en-US"/>
        </w:rPr>
        <w:t xml:space="preserve"> </w:t>
      </w:r>
      <w:r w:rsidRPr="00391719">
        <w:rPr>
          <w:rFonts w:ascii="Times New Roman" w:hAnsi="Times New Roman" w:cs="Times New Roman"/>
          <w:lang w:val="es-ES_tradnl"/>
        </w:rPr>
        <w:t>20.</w:t>
      </w:r>
    </w:p>
  </w:footnote>
  <w:footnote w:id="49">
    <w:p w14:paraId="0484D083" w14:textId="77777777" w:rsidR="00E1750B" w:rsidRPr="00391719" w:rsidRDefault="00E1750B" w:rsidP="00E1750B">
      <w:pPr>
        <w:pStyle w:val="FootnoteText"/>
        <w:rPr>
          <w:rFonts w:ascii="Times New Roman" w:hAnsi="Times New Roman" w:cs="Times New Roman"/>
          <w:lang w:val="es-ES_tradnl"/>
        </w:rPr>
      </w:pPr>
      <w:r w:rsidRPr="005253B6">
        <w:rPr>
          <w:rStyle w:val="FootnoteReference"/>
          <w:rFonts w:ascii="Times New Roman" w:hAnsi="Times New Roman" w:cs="Times New Roman"/>
        </w:rPr>
        <w:footnoteRef/>
      </w:r>
      <w:r w:rsidRPr="00391719">
        <w:rPr>
          <w:rFonts w:ascii="Times New Roman" w:hAnsi="Times New Roman" w:cs="Times New Roman"/>
          <w:lang w:val="es-ES_tradnl"/>
        </w:rPr>
        <w:t xml:space="preserve"> A/HRC/33/25, para. 36.</w:t>
      </w:r>
    </w:p>
  </w:footnote>
  <w:footnote w:id="50">
    <w:p w14:paraId="763FE92F" w14:textId="77777777" w:rsidR="00E1750B" w:rsidRPr="005253B6" w:rsidRDefault="00E1750B" w:rsidP="00E1750B">
      <w:pPr>
        <w:pStyle w:val="FootnoteText"/>
        <w:rPr>
          <w:rFonts w:ascii="Times New Roman" w:hAnsi="Times New Roman" w:cs="Times New Roman"/>
          <w:lang w:val="en-US"/>
        </w:rPr>
      </w:pPr>
      <w:r w:rsidRPr="005253B6">
        <w:rPr>
          <w:rStyle w:val="FootnoteReference"/>
          <w:rFonts w:ascii="Times New Roman" w:hAnsi="Times New Roman" w:cs="Times New Roman"/>
        </w:rPr>
        <w:footnoteRef/>
      </w:r>
      <w:r w:rsidRPr="00391719">
        <w:rPr>
          <w:rFonts w:ascii="Times New Roman" w:hAnsi="Times New Roman" w:cs="Times New Roman"/>
          <w:lang w:val="es-ES_tradnl"/>
        </w:rPr>
        <w:t xml:space="preserve"> A//HRC/26/29, para. </w:t>
      </w:r>
      <w:r w:rsidRPr="00363EFC">
        <w:rPr>
          <w:rFonts w:ascii="Times New Roman" w:hAnsi="Times New Roman" w:cs="Times New Roman"/>
        </w:rPr>
        <w:t>25.</w:t>
      </w:r>
    </w:p>
  </w:footnote>
  <w:footnote w:id="51">
    <w:p w14:paraId="67F02312" w14:textId="77777777" w:rsidR="000A1CFC" w:rsidRPr="005253B6" w:rsidRDefault="000A1CFC" w:rsidP="000A1CFC">
      <w:pPr>
        <w:pStyle w:val="CommentText"/>
        <w:rPr>
          <w:rFonts w:ascii="Times New Roman" w:hAnsi="Times New Roman" w:cs="Times New Roman"/>
        </w:rPr>
      </w:pPr>
      <w:r w:rsidRPr="005253B6">
        <w:rPr>
          <w:rStyle w:val="FootnoteReference"/>
          <w:rFonts w:ascii="Times New Roman" w:hAnsi="Times New Roman" w:cs="Times New Roman"/>
        </w:rPr>
        <w:footnoteRef/>
      </w:r>
      <w:r w:rsidRPr="005253B6">
        <w:rPr>
          <w:rFonts w:ascii="Times New Roman" w:hAnsi="Times New Roman" w:cs="Times New Roman"/>
        </w:rPr>
        <w:t xml:space="preserve"> </w:t>
      </w:r>
      <w:hyperlink r:id="rId16" w:history="1">
        <w:r w:rsidRPr="005253B6">
          <w:rPr>
            <w:rStyle w:val="Hyperlink"/>
            <w:rFonts w:ascii="Times New Roman" w:hAnsi="Times New Roman" w:cs="Times New Roman"/>
          </w:rPr>
          <w:t>https://www.ohchr.org/EN/HRBodies/HRC/Pages/NewsDetail.aspx?NewsID=23238&amp;LangID=E</w:t>
        </w:r>
      </w:hyperlink>
      <w:r w:rsidRPr="005253B6">
        <w:rPr>
          <w:rFonts w:ascii="Times New Roman" w:hAnsi="Times New Roman" w:cs="Times New Roman"/>
        </w:rPr>
        <w:t xml:space="preserve"> ; </w:t>
      </w:r>
      <w:hyperlink r:id="rId17" w:history="1">
        <w:r w:rsidRPr="005253B6">
          <w:rPr>
            <w:rStyle w:val="Hyperlink"/>
            <w:rFonts w:ascii="Times New Roman" w:hAnsi="Times New Roman" w:cs="Times New Roman"/>
          </w:rPr>
          <w:t>http://ap.ohchr.org/documents/dpage_e.aspx?si=A/HRC/40/60</w:t>
        </w:r>
      </w:hyperlink>
      <w:r w:rsidRPr="005253B6">
        <w:rPr>
          <w:rFonts w:ascii="Times New Roman" w:hAnsi="Times New Roman" w:cs="Times New Roman"/>
        </w:rPr>
        <w:t xml:space="preserve">; </w:t>
      </w:r>
      <w:hyperlink r:id="rId18" w:history="1">
        <w:r w:rsidRPr="005253B6">
          <w:rPr>
            <w:rStyle w:val="Hyperlink"/>
            <w:rFonts w:ascii="Times New Roman" w:hAnsi="Times New Roman" w:cs="Times New Roman"/>
          </w:rPr>
          <w:t>http://ap.ohchr.org/documents/dpage_e.aspx?si=A/HRC/38/47</w:t>
        </w:r>
      </w:hyperlink>
      <w:r w:rsidRPr="005253B6">
        <w:rPr>
          <w:rFonts w:ascii="Times New Roman" w:hAnsi="Times New Roman" w:cs="Times New Roman"/>
        </w:rPr>
        <w:t xml:space="preserve"> </w:t>
      </w:r>
    </w:p>
  </w:footnote>
  <w:footnote w:id="52">
    <w:p w14:paraId="2EC22CC4" w14:textId="77777777" w:rsidR="00483A6F" w:rsidRPr="005253B6" w:rsidRDefault="00483A6F" w:rsidP="00483A6F">
      <w:pPr>
        <w:pStyle w:val="FootnoteText"/>
        <w:rPr>
          <w:rFonts w:ascii="Times New Roman" w:hAnsi="Times New Roman" w:cs="Times New Roman"/>
        </w:rPr>
      </w:pPr>
      <w:r w:rsidRPr="005253B6">
        <w:rPr>
          <w:rStyle w:val="FootnoteReference"/>
          <w:rFonts w:ascii="Times New Roman" w:hAnsi="Times New Roman" w:cs="Times New Roman"/>
        </w:rPr>
        <w:footnoteRef/>
      </w:r>
      <w:r w:rsidRPr="005253B6">
        <w:rPr>
          <w:rFonts w:ascii="Times New Roman" w:hAnsi="Times New Roman" w:cs="Times New Roman"/>
        </w:rPr>
        <w:t xml:space="preserve"> See A/HRC/27/33, para. 22</w:t>
      </w:r>
    </w:p>
  </w:footnote>
  <w:footnote w:id="53">
    <w:p w14:paraId="6A3C31BE" w14:textId="77777777" w:rsidR="00483A6F" w:rsidRPr="005253B6" w:rsidRDefault="00483A6F" w:rsidP="00483A6F">
      <w:pPr>
        <w:pStyle w:val="FootnoteText"/>
        <w:rPr>
          <w:rFonts w:ascii="Times New Roman" w:hAnsi="Times New Roman" w:cs="Times New Roman"/>
        </w:rPr>
      </w:pPr>
      <w:r w:rsidRPr="005253B6">
        <w:rPr>
          <w:rStyle w:val="FootnoteReference"/>
          <w:rFonts w:ascii="Times New Roman" w:hAnsi="Times New Roman" w:cs="Times New Roman"/>
        </w:rPr>
        <w:footnoteRef/>
      </w:r>
      <w:r w:rsidRPr="005253B6">
        <w:rPr>
          <w:rFonts w:ascii="Times New Roman" w:hAnsi="Times New Roman" w:cs="Times New Roman"/>
        </w:rPr>
        <w:t xml:space="preserve"> A/HRC/29/32</w:t>
      </w:r>
    </w:p>
  </w:footnote>
  <w:footnote w:id="54">
    <w:p w14:paraId="224D3E5C" w14:textId="77777777" w:rsidR="00483A6F" w:rsidRPr="005253B6" w:rsidRDefault="00483A6F" w:rsidP="00483A6F">
      <w:pPr>
        <w:pStyle w:val="FootnoteText"/>
        <w:rPr>
          <w:rFonts w:ascii="Times New Roman" w:hAnsi="Times New Roman" w:cs="Times New Roman"/>
        </w:rPr>
      </w:pPr>
      <w:r w:rsidRPr="005253B6">
        <w:rPr>
          <w:rStyle w:val="FootnoteReference"/>
          <w:rFonts w:ascii="Times New Roman" w:hAnsi="Times New Roman" w:cs="Times New Roman"/>
        </w:rPr>
        <w:footnoteRef/>
      </w:r>
      <w:r w:rsidRPr="005253B6">
        <w:rPr>
          <w:rFonts w:ascii="Times New Roman" w:hAnsi="Times New Roman" w:cs="Times New Roman"/>
        </w:rPr>
        <w:t xml:space="preserve"> Ibid, OHCHR report, paras 77-81; see also A/HRC/38/34, paras 80-85</w:t>
      </w:r>
    </w:p>
  </w:footnote>
  <w:footnote w:id="55">
    <w:p w14:paraId="085E1E53" w14:textId="77777777" w:rsidR="00483A6F" w:rsidRPr="005253B6" w:rsidRDefault="00483A6F" w:rsidP="00483A6F">
      <w:pPr>
        <w:pStyle w:val="FootnoteText"/>
        <w:rPr>
          <w:rFonts w:ascii="Times New Roman" w:hAnsi="Times New Roman" w:cs="Times New Roman"/>
        </w:rPr>
      </w:pPr>
      <w:r w:rsidRPr="005253B6">
        <w:rPr>
          <w:rStyle w:val="FootnoteReference"/>
          <w:rFonts w:ascii="Times New Roman" w:hAnsi="Times New Roman" w:cs="Times New Roman"/>
        </w:rPr>
        <w:footnoteRef/>
      </w:r>
      <w:r w:rsidRPr="005253B6">
        <w:rPr>
          <w:rFonts w:ascii="Times New Roman" w:hAnsi="Times New Roman" w:cs="Times New Roman"/>
        </w:rPr>
        <w:t xml:space="preserve"> </w:t>
      </w:r>
      <w:hyperlink r:id="rId19" w:history="1">
        <w:r w:rsidRPr="005253B6">
          <w:rPr>
            <w:rStyle w:val="Hyperlink"/>
            <w:rFonts w:ascii="Times New Roman" w:hAnsi="Times New Roman" w:cs="Times New Roman"/>
          </w:rPr>
          <w:t>http://ap.ohchr.org/documents/dpage_e.aspx?si=A/HRC/35/9</w:t>
        </w:r>
      </w:hyperlink>
    </w:p>
  </w:footnote>
  <w:footnote w:id="56">
    <w:p w14:paraId="3E0A5546" w14:textId="77777777" w:rsidR="00E1750B" w:rsidRPr="005253B6" w:rsidRDefault="00E1750B" w:rsidP="00E1750B">
      <w:pPr>
        <w:pStyle w:val="Default"/>
        <w:rPr>
          <w:sz w:val="20"/>
          <w:szCs w:val="20"/>
        </w:rPr>
      </w:pPr>
      <w:r w:rsidRPr="005253B6">
        <w:rPr>
          <w:rStyle w:val="FootnoteReference"/>
          <w:sz w:val="20"/>
          <w:szCs w:val="20"/>
        </w:rPr>
        <w:footnoteRef/>
      </w:r>
      <w:r w:rsidRPr="005253B6">
        <w:rPr>
          <w:sz w:val="20"/>
          <w:szCs w:val="20"/>
        </w:rPr>
        <w:t xml:space="preserve">  </w:t>
      </w:r>
      <w:r w:rsidRPr="005253B6">
        <w:rPr>
          <w:color w:val="auto"/>
          <w:sz w:val="20"/>
          <w:szCs w:val="20"/>
          <w:lang w:val="en-US"/>
        </w:rPr>
        <w:t>Draft guidelines for States on the effective implementation of the right to participate in public affairs, OHCHR report to the HRC 2018; A/HRC/39/28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8251B" w14:textId="13EC536D" w:rsidR="00B96B15" w:rsidRPr="00153D1D" w:rsidRDefault="00B96B15">
    <w:pPr>
      <w:pStyle w:val="Header"/>
      <w:rPr>
        <w:lang w:val="en-GB"/>
      </w:rPr>
    </w:pPr>
    <w:r>
      <w:rPr>
        <w:lang w:val="en-GB"/>
      </w:rPr>
      <w:tab/>
    </w:r>
    <w:r>
      <w:rPr>
        <w:lang w:val="en-GB"/>
      </w:rPr>
      <w:tab/>
    </w:r>
    <w:r>
      <w:rPr>
        <w:noProof/>
        <w:lang w:val="en-GB" w:eastAsia="en-GB"/>
      </w:rPr>
      <w:drawing>
        <wp:inline distT="0" distB="0" distL="0" distR="0" wp14:anchorId="6525DE54" wp14:editId="14B37615">
          <wp:extent cx="1584316" cy="728980"/>
          <wp:effectExtent l="0" t="0" r="0" b="0"/>
          <wp:docPr id="3" name="Picture 3" descr="https://intranet.ohchr.org/Offices/Geneva/ExecutiveDirectionManagement/EOS/CommunicationsSection/Logos/Office_logo_EN_black_SMALL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ranet.ohchr.org/Offices/Geneva/ExecutiveDirectionManagement/EOS/CommunicationsSection/Logos/Office_logo_EN_black_SMALL_72d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6880" cy="7531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60E9"/>
    <w:multiLevelType w:val="hybridMultilevel"/>
    <w:tmpl w:val="0AE41D06"/>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55A55"/>
    <w:multiLevelType w:val="hybridMultilevel"/>
    <w:tmpl w:val="E2E88E26"/>
    <w:lvl w:ilvl="0" w:tplc="35602710">
      <w:start w:val="89"/>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FD243C"/>
    <w:multiLevelType w:val="hybridMultilevel"/>
    <w:tmpl w:val="510466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98E0C8A"/>
    <w:multiLevelType w:val="hybridMultilevel"/>
    <w:tmpl w:val="9AE49AEA"/>
    <w:lvl w:ilvl="0" w:tplc="0809000F">
      <w:start w:val="2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1626095"/>
    <w:multiLevelType w:val="hybridMultilevel"/>
    <w:tmpl w:val="25103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BC3CED"/>
    <w:multiLevelType w:val="hybridMultilevel"/>
    <w:tmpl w:val="2CD2F2E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1C1EA9"/>
    <w:multiLevelType w:val="hybridMultilevel"/>
    <w:tmpl w:val="F5C0586E"/>
    <w:lvl w:ilvl="0" w:tplc="F41A259C">
      <w:start w:val="1"/>
      <w:numFmt w:val="upperRoman"/>
      <w:lvlText w:val="%1."/>
      <w:lvlJc w:val="left"/>
      <w:pPr>
        <w:ind w:left="1080" w:hanging="720"/>
      </w:pPr>
      <w:rPr>
        <w:rFonts w:ascii="Times New Roman" w:hAnsi="Times New Roman"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904CFB"/>
    <w:multiLevelType w:val="hybridMultilevel"/>
    <w:tmpl w:val="1FA8E306"/>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284C1B"/>
    <w:multiLevelType w:val="hybridMultilevel"/>
    <w:tmpl w:val="64B29B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9C5BFA"/>
    <w:multiLevelType w:val="hybridMultilevel"/>
    <w:tmpl w:val="831A2628"/>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5C6115"/>
    <w:multiLevelType w:val="hybridMultilevel"/>
    <w:tmpl w:val="52FAB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65594E"/>
    <w:multiLevelType w:val="hybridMultilevel"/>
    <w:tmpl w:val="F7680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D67133"/>
    <w:multiLevelType w:val="hybridMultilevel"/>
    <w:tmpl w:val="BE4E290E"/>
    <w:lvl w:ilvl="0" w:tplc="5A306AD4">
      <w:start w:val="1"/>
      <w:numFmt w:val="lowerRoman"/>
      <w:lvlText w:val="%1."/>
      <w:lvlJc w:val="left"/>
      <w:pPr>
        <w:ind w:left="1440" w:hanging="720"/>
      </w:pPr>
      <w:rPr>
        <w:rFonts w:hint="default"/>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1"/>
  </w:num>
  <w:num w:numId="3">
    <w:abstractNumId w:val="10"/>
  </w:num>
  <w:num w:numId="4">
    <w:abstractNumId w:val="11"/>
  </w:num>
  <w:num w:numId="5">
    <w:abstractNumId w:val="4"/>
  </w:num>
  <w:num w:numId="6">
    <w:abstractNumId w:val="0"/>
  </w:num>
  <w:num w:numId="7">
    <w:abstractNumId w:val="7"/>
  </w:num>
  <w:num w:numId="8">
    <w:abstractNumId w:val="9"/>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2"/>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553"/>
    <w:rsid w:val="00002838"/>
    <w:rsid w:val="00002E6B"/>
    <w:rsid w:val="00021359"/>
    <w:rsid w:val="00023D9B"/>
    <w:rsid w:val="000374D6"/>
    <w:rsid w:val="00037CDF"/>
    <w:rsid w:val="000557FA"/>
    <w:rsid w:val="00063AD3"/>
    <w:rsid w:val="00075551"/>
    <w:rsid w:val="000765B1"/>
    <w:rsid w:val="00090FE6"/>
    <w:rsid w:val="000A1CFC"/>
    <w:rsid w:val="000A3D2D"/>
    <w:rsid w:val="000A736A"/>
    <w:rsid w:val="000D52FD"/>
    <w:rsid w:val="000D7C30"/>
    <w:rsid w:val="000E1114"/>
    <w:rsid w:val="000E5E33"/>
    <w:rsid w:val="00102FB1"/>
    <w:rsid w:val="001157CF"/>
    <w:rsid w:val="00117366"/>
    <w:rsid w:val="00124114"/>
    <w:rsid w:val="00126A93"/>
    <w:rsid w:val="00141AB5"/>
    <w:rsid w:val="00141F08"/>
    <w:rsid w:val="00143F74"/>
    <w:rsid w:val="001521CF"/>
    <w:rsid w:val="00153D1D"/>
    <w:rsid w:val="00172D08"/>
    <w:rsid w:val="00191819"/>
    <w:rsid w:val="00194B9D"/>
    <w:rsid w:val="0019615D"/>
    <w:rsid w:val="001A567B"/>
    <w:rsid w:val="001C6337"/>
    <w:rsid w:val="001C6D5D"/>
    <w:rsid w:val="001D3255"/>
    <w:rsid w:val="001E2BFB"/>
    <w:rsid w:val="001F61AB"/>
    <w:rsid w:val="0020360A"/>
    <w:rsid w:val="00203861"/>
    <w:rsid w:val="00213E7C"/>
    <w:rsid w:val="00243CA8"/>
    <w:rsid w:val="00244A07"/>
    <w:rsid w:val="00261FEF"/>
    <w:rsid w:val="002701B8"/>
    <w:rsid w:val="00281C2C"/>
    <w:rsid w:val="00297CAE"/>
    <w:rsid w:val="002A0B83"/>
    <w:rsid w:val="002B7545"/>
    <w:rsid w:val="002C6ADF"/>
    <w:rsid w:val="002C7E97"/>
    <w:rsid w:val="002D4C21"/>
    <w:rsid w:val="002E1943"/>
    <w:rsid w:val="00301E32"/>
    <w:rsid w:val="003477F6"/>
    <w:rsid w:val="003725C3"/>
    <w:rsid w:val="00372D29"/>
    <w:rsid w:val="00391719"/>
    <w:rsid w:val="003A16ED"/>
    <w:rsid w:val="003B4826"/>
    <w:rsid w:val="003C23D1"/>
    <w:rsid w:val="003D7917"/>
    <w:rsid w:val="003F4A0C"/>
    <w:rsid w:val="0042364D"/>
    <w:rsid w:val="004239DD"/>
    <w:rsid w:val="00424B42"/>
    <w:rsid w:val="0042705B"/>
    <w:rsid w:val="00475A96"/>
    <w:rsid w:val="0048351A"/>
    <w:rsid w:val="00483A6F"/>
    <w:rsid w:val="00495A82"/>
    <w:rsid w:val="004A3467"/>
    <w:rsid w:val="004D27E1"/>
    <w:rsid w:val="00503984"/>
    <w:rsid w:val="00515E4B"/>
    <w:rsid w:val="005253B6"/>
    <w:rsid w:val="00532002"/>
    <w:rsid w:val="005334A1"/>
    <w:rsid w:val="00540E34"/>
    <w:rsid w:val="00550296"/>
    <w:rsid w:val="005637C9"/>
    <w:rsid w:val="00570409"/>
    <w:rsid w:val="005A6C0F"/>
    <w:rsid w:val="005B3927"/>
    <w:rsid w:val="005C4073"/>
    <w:rsid w:val="005C4192"/>
    <w:rsid w:val="005D4FBE"/>
    <w:rsid w:val="005F31A4"/>
    <w:rsid w:val="006068C6"/>
    <w:rsid w:val="006068CA"/>
    <w:rsid w:val="00611773"/>
    <w:rsid w:val="0062057B"/>
    <w:rsid w:val="00621C5F"/>
    <w:rsid w:val="006426A3"/>
    <w:rsid w:val="00646E26"/>
    <w:rsid w:val="006807F4"/>
    <w:rsid w:val="00685C84"/>
    <w:rsid w:val="006A4FA7"/>
    <w:rsid w:val="006B7F3F"/>
    <w:rsid w:val="006D65FB"/>
    <w:rsid w:val="006D66AB"/>
    <w:rsid w:val="006D6772"/>
    <w:rsid w:val="006E6029"/>
    <w:rsid w:val="006F47C7"/>
    <w:rsid w:val="0073037D"/>
    <w:rsid w:val="00741DF7"/>
    <w:rsid w:val="00763E24"/>
    <w:rsid w:val="00775963"/>
    <w:rsid w:val="00784A28"/>
    <w:rsid w:val="00784E00"/>
    <w:rsid w:val="007B563A"/>
    <w:rsid w:val="007B69E0"/>
    <w:rsid w:val="007B6FEA"/>
    <w:rsid w:val="007C7D36"/>
    <w:rsid w:val="007D3619"/>
    <w:rsid w:val="007F74C4"/>
    <w:rsid w:val="007F75D2"/>
    <w:rsid w:val="00801FCC"/>
    <w:rsid w:val="00810647"/>
    <w:rsid w:val="00812651"/>
    <w:rsid w:val="00820BB5"/>
    <w:rsid w:val="00832BFE"/>
    <w:rsid w:val="00834077"/>
    <w:rsid w:val="008540AD"/>
    <w:rsid w:val="0087297B"/>
    <w:rsid w:val="008735F3"/>
    <w:rsid w:val="00881BFE"/>
    <w:rsid w:val="008A3DAD"/>
    <w:rsid w:val="008A523C"/>
    <w:rsid w:val="008A7042"/>
    <w:rsid w:val="008D5759"/>
    <w:rsid w:val="008E3D9E"/>
    <w:rsid w:val="008E46E2"/>
    <w:rsid w:val="008F7A8F"/>
    <w:rsid w:val="00905871"/>
    <w:rsid w:val="00914DE7"/>
    <w:rsid w:val="0092584E"/>
    <w:rsid w:val="00935CC5"/>
    <w:rsid w:val="00960553"/>
    <w:rsid w:val="00960E5A"/>
    <w:rsid w:val="0096246F"/>
    <w:rsid w:val="0097512F"/>
    <w:rsid w:val="009C4936"/>
    <w:rsid w:val="009C6FFE"/>
    <w:rsid w:val="009D02A9"/>
    <w:rsid w:val="009D21ED"/>
    <w:rsid w:val="00A14CBC"/>
    <w:rsid w:val="00A2118B"/>
    <w:rsid w:val="00A46A86"/>
    <w:rsid w:val="00A474B7"/>
    <w:rsid w:val="00A519D6"/>
    <w:rsid w:val="00A665BC"/>
    <w:rsid w:val="00A76C51"/>
    <w:rsid w:val="00A8513A"/>
    <w:rsid w:val="00A9419F"/>
    <w:rsid w:val="00AB1A10"/>
    <w:rsid w:val="00AB5545"/>
    <w:rsid w:val="00AB6FD2"/>
    <w:rsid w:val="00AD4889"/>
    <w:rsid w:val="00AF19D5"/>
    <w:rsid w:val="00B029B3"/>
    <w:rsid w:val="00B0379C"/>
    <w:rsid w:val="00B16242"/>
    <w:rsid w:val="00B36DFF"/>
    <w:rsid w:val="00B46215"/>
    <w:rsid w:val="00B55A54"/>
    <w:rsid w:val="00B644E0"/>
    <w:rsid w:val="00B968AE"/>
    <w:rsid w:val="00B96B15"/>
    <w:rsid w:val="00B96DCD"/>
    <w:rsid w:val="00BA032F"/>
    <w:rsid w:val="00BD3199"/>
    <w:rsid w:val="00BE2BC7"/>
    <w:rsid w:val="00BF71EC"/>
    <w:rsid w:val="00C2037D"/>
    <w:rsid w:val="00C37B56"/>
    <w:rsid w:val="00C50EC6"/>
    <w:rsid w:val="00C56DE3"/>
    <w:rsid w:val="00C67635"/>
    <w:rsid w:val="00C84117"/>
    <w:rsid w:val="00C87567"/>
    <w:rsid w:val="00C943D1"/>
    <w:rsid w:val="00CC0AF7"/>
    <w:rsid w:val="00CF7438"/>
    <w:rsid w:val="00D02698"/>
    <w:rsid w:val="00D30196"/>
    <w:rsid w:val="00D30DEB"/>
    <w:rsid w:val="00D40036"/>
    <w:rsid w:val="00D90B11"/>
    <w:rsid w:val="00DA4C4A"/>
    <w:rsid w:val="00DB6087"/>
    <w:rsid w:val="00DC6E8F"/>
    <w:rsid w:val="00DD239B"/>
    <w:rsid w:val="00DF165E"/>
    <w:rsid w:val="00E020B2"/>
    <w:rsid w:val="00E120F9"/>
    <w:rsid w:val="00E1750B"/>
    <w:rsid w:val="00E21F5A"/>
    <w:rsid w:val="00E553F6"/>
    <w:rsid w:val="00E63A9C"/>
    <w:rsid w:val="00E778BF"/>
    <w:rsid w:val="00EA777E"/>
    <w:rsid w:val="00EB2C65"/>
    <w:rsid w:val="00EB6947"/>
    <w:rsid w:val="00EC42A6"/>
    <w:rsid w:val="00EF706C"/>
    <w:rsid w:val="00F13013"/>
    <w:rsid w:val="00F15398"/>
    <w:rsid w:val="00F433D0"/>
    <w:rsid w:val="00F47B64"/>
    <w:rsid w:val="00F51077"/>
    <w:rsid w:val="00F537FC"/>
    <w:rsid w:val="00F55590"/>
    <w:rsid w:val="00F57284"/>
    <w:rsid w:val="00F727D1"/>
    <w:rsid w:val="00FA4F47"/>
    <w:rsid w:val="00FA5022"/>
    <w:rsid w:val="00FE204D"/>
    <w:rsid w:val="00FE3042"/>
    <w:rsid w:val="00FE60D7"/>
    <w:rsid w:val="00FE6944"/>
    <w:rsid w:val="00FF5C56"/>
    <w:rsid w:val="00FF66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1D13CC"/>
  <w15:docId w15:val="{BDCBB891-B34B-42E7-B58C-FDAE65585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Footnote Text Char Char Char Char,Footnote Text Char1,Footnote Text Char Char,Footnote Text1,Footnote Text Char1 Char Char,Footnote Text Char1 Char Char1 Char Char,Footnote Text Char Char Char Char1 Char Char,Footnote Text Char Char1"/>
    <w:basedOn w:val="Normal"/>
    <w:link w:val="FootnoteTextChar"/>
    <w:uiPriority w:val="99"/>
    <w:unhideWhenUsed/>
    <w:qFormat/>
    <w:rsid w:val="009D02A9"/>
    <w:rPr>
      <w:sz w:val="20"/>
      <w:szCs w:val="20"/>
      <w:lang w:val="en-GB"/>
    </w:rPr>
  </w:style>
  <w:style w:type="character" w:customStyle="1" w:styleId="FootnoteTextChar">
    <w:name w:val="Footnote Text Char"/>
    <w:aliases w:val="5_G Char,Footnote Text Char Char Char Char Char,Footnote Text Char1 Char,Footnote Text Char Char Char,Footnote Text1 Char,Footnote Text Char1 Char Char Char,Footnote Text Char1 Char Char1 Char Char Char,Footnote Text Char Char1 Char"/>
    <w:basedOn w:val="DefaultParagraphFont"/>
    <w:link w:val="FootnoteText"/>
    <w:uiPriority w:val="99"/>
    <w:rsid w:val="009D02A9"/>
    <w:rPr>
      <w:sz w:val="20"/>
      <w:szCs w:val="20"/>
      <w:lang w:val="en-GB"/>
    </w:rPr>
  </w:style>
  <w:style w:type="character" w:styleId="FootnoteReference">
    <w:name w:val="footnote reference"/>
    <w:aliases w:val="4_G Char1 Char Char Char,4_G Char Char Char Char Char Char,Footnote Reference1 Char Char Char Char Char Char,Footnotes refss Char Char Char Char Char Char,ftref Char Char Char Char Char Char,BVI fnr Char Char Char Char Char Char"/>
    <w:basedOn w:val="DefaultParagraphFont"/>
    <w:link w:val="4GChar1CharChar"/>
    <w:uiPriority w:val="99"/>
    <w:unhideWhenUsed/>
    <w:rsid w:val="009D02A9"/>
    <w:rPr>
      <w:vertAlign w:val="superscript"/>
    </w:rPr>
  </w:style>
  <w:style w:type="paragraph" w:customStyle="1" w:styleId="4GChar1CharChar">
    <w:name w:val="4_G Char1 Char Char"/>
    <w:aliases w:val="4_G Char Char Char Char Char,Footnote Reference1 Char Char Char Char Char,Footnotes refss Char Char Char Char Char,ftref Char Char Char Char Char,BVI fnr Char Char Char Char Char,4_G"/>
    <w:basedOn w:val="Normal"/>
    <w:link w:val="FootnoteReference"/>
    <w:rsid w:val="009D02A9"/>
    <w:pPr>
      <w:spacing w:after="160" w:line="240" w:lineRule="exact"/>
      <w:jc w:val="both"/>
    </w:pPr>
    <w:rPr>
      <w:vertAlign w:val="superscript"/>
    </w:rPr>
  </w:style>
  <w:style w:type="paragraph" w:styleId="ListParagraph">
    <w:name w:val="List Paragraph"/>
    <w:basedOn w:val="Normal"/>
    <w:uiPriority w:val="34"/>
    <w:qFormat/>
    <w:rsid w:val="00685C84"/>
    <w:pPr>
      <w:spacing w:after="160" w:line="259" w:lineRule="auto"/>
      <w:ind w:left="720"/>
      <w:contextualSpacing/>
    </w:pPr>
    <w:rPr>
      <w:sz w:val="22"/>
      <w:szCs w:val="22"/>
      <w:lang w:val="en-GB"/>
    </w:rPr>
  </w:style>
  <w:style w:type="character" w:styleId="Hyperlink">
    <w:name w:val="Hyperlink"/>
    <w:basedOn w:val="DefaultParagraphFont"/>
    <w:uiPriority w:val="99"/>
    <w:unhideWhenUsed/>
    <w:rsid w:val="00685C84"/>
    <w:rPr>
      <w:color w:val="0563C1"/>
      <w:u w:val="single"/>
    </w:rPr>
  </w:style>
  <w:style w:type="paragraph" w:customStyle="1" w:styleId="SingleTxtG">
    <w:name w:val="_ Single Txt_G"/>
    <w:basedOn w:val="Normal"/>
    <w:link w:val="SingleTxtGChar"/>
    <w:qFormat/>
    <w:rsid w:val="005C4192"/>
    <w:pPr>
      <w:suppressAutoHyphens/>
      <w:kinsoku w:val="0"/>
      <w:overflowPunct w:val="0"/>
      <w:autoSpaceDE w:val="0"/>
      <w:autoSpaceDN w:val="0"/>
      <w:adjustRightInd w:val="0"/>
      <w:snapToGrid w:val="0"/>
      <w:spacing w:after="120" w:line="240" w:lineRule="atLeast"/>
      <w:ind w:left="1134" w:right="1134"/>
      <w:jc w:val="both"/>
    </w:pPr>
    <w:rPr>
      <w:rFonts w:ascii="Times New Roman" w:hAnsi="Times New Roman" w:cs="Times New Roman"/>
      <w:sz w:val="20"/>
      <w:szCs w:val="20"/>
      <w:lang w:val="en-GB"/>
    </w:rPr>
  </w:style>
  <w:style w:type="character" w:customStyle="1" w:styleId="SingleTxtGChar">
    <w:name w:val="_ Single Txt_G Char"/>
    <w:link w:val="SingleTxtG"/>
    <w:locked/>
    <w:rsid w:val="005C4192"/>
    <w:rPr>
      <w:rFonts w:ascii="Times New Roman" w:hAnsi="Times New Roman" w:cs="Times New Roman"/>
      <w:sz w:val="20"/>
      <w:szCs w:val="20"/>
      <w:lang w:val="en-GB"/>
    </w:rPr>
  </w:style>
  <w:style w:type="paragraph" w:styleId="Header">
    <w:name w:val="header"/>
    <w:basedOn w:val="Normal"/>
    <w:link w:val="HeaderChar"/>
    <w:uiPriority w:val="99"/>
    <w:unhideWhenUsed/>
    <w:rsid w:val="003A16ED"/>
    <w:pPr>
      <w:tabs>
        <w:tab w:val="center" w:pos="4680"/>
        <w:tab w:val="right" w:pos="9360"/>
      </w:tabs>
    </w:pPr>
  </w:style>
  <w:style w:type="character" w:customStyle="1" w:styleId="HeaderChar">
    <w:name w:val="Header Char"/>
    <w:basedOn w:val="DefaultParagraphFont"/>
    <w:link w:val="Header"/>
    <w:uiPriority w:val="99"/>
    <w:rsid w:val="003A16ED"/>
  </w:style>
  <w:style w:type="paragraph" w:styleId="Footer">
    <w:name w:val="footer"/>
    <w:basedOn w:val="Normal"/>
    <w:link w:val="FooterChar"/>
    <w:uiPriority w:val="99"/>
    <w:unhideWhenUsed/>
    <w:rsid w:val="003A16ED"/>
    <w:pPr>
      <w:tabs>
        <w:tab w:val="center" w:pos="4680"/>
        <w:tab w:val="right" w:pos="9360"/>
      </w:tabs>
    </w:pPr>
  </w:style>
  <w:style w:type="character" w:customStyle="1" w:styleId="FooterChar">
    <w:name w:val="Footer Char"/>
    <w:basedOn w:val="DefaultParagraphFont"/>
    <w:link w:val="Footer"/>
    <w:uiPriority w:val="99"/>
    <w:rsid w:val="003A16ED"/>
  </w:style>
  <w:style w:type="character" w:styleId="PageNumber">
    <w:name w:val="page number"/>
    <w:basedOn w:val="DefaultParagraphFont"/>
    <w:uiPriority w:val="99"/>
    <w:semiHidden/>
    <w:unhideWhenUsed/>
    <w:rsid w:val="003A16ED"/>
  </w:style>
  <w:style w:type="paragraph" w:styleId="BalloonText">
    <w:name w:val="Balloon Text"/>
    <w:basedOn w:val="Normal"/>
    <w:link w:val="BalloonTextChar"/>
    <w:uiPriority w:val="99"/>
    <w:semiHidden/>
    <w:unhideWhenUsed/>
    <w:rsid w:val="00153D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D1D"/>
    <w:rPr>
      <w:rFonts w:ascii="Segoe UI" w:hAnsi="Segoe UI" w:cs="Segoe UI"/>
      <w:sz w:val="18"/>
      <w:szCs w:val="18"/>
    </w:rPr>
  </w:style>
  <w:style w:type="paragraph" w:customStyle="1" w:styleId="Default">
    <w:name w:val="Default"/>
    <w:rsid w:val="005B3927"/>
    <w:pPr>
      <w:autoSpaceDE w:val="0"/>
      <w:autoSpaceDN w:val="0"/>
      <w:adjustRightInd w:val="0"/>
    </w:pPr>
    <w:rPr>
      <w:rFonts w:ascii="Times New Roman" w:hAnsi="Times New Roman" w:cs="Times New Roman"/>
      <w:color w:val="000000"/>
      <w:lang w:val="en-GB"/>
    </w:rPr>
  </w:style>
  <w:style w:type="character" w:styleId="Strong">
    <w:name w:val="Strong"/>
    <w:basedOn w:val="DefaultParagraphFont"/>
    <w:uiPriority w:val="22"/>
    <w:qFormat/>
    <w:rsid w:val="008A523C"/>
    <w:rPr>
      <w:b/>
      <w:bCs/>
    </w:rPr>
  </w:style>
  <w:style w:type="character" w:styleId="CommentReference">
    <w:name w:val="annotation reference"/>
    <w:basedOn w:val="DefaultParagraphFont"/>
    <w:uiPriority w:val="99"/>
    <w:semiHidden/>
    <w:unhideWhenUsed/>
    <w:rsid w:val="00F15398"/>
    <w:rPr>
      <w:sz w:val="16"/>
      <w:szCs w:val="16"/>
    </w:rPr>
  </w:style>
  <w:style w:type="paragraph" w:styleId="CommentText">
    <w:name w:val="annotation text"/>
    <w:basedOn w:val="Normal"/>
    <w:link w:val="CommentTextChar"/>
    <w:uiPriority w:val="99"/>
    <w:unhideWhenUsed/>
    <w:rsid w:val="00F15398"/>
    <w:rPr>
      <w:sz w:val="20"/>
      <w:szCs w:val="20"/>
    </w:rPr>
  </w:style>
  <w:style w:type="character" w:customStyle="1" w:styleId="CommentTextChar">
    <w:name w:val="Comment Text Char"/>
    <w:basedOn w:val="DefaultParagraphFont"/>
    <w:link w:val="CommentText"/>
    <w:uiPriority w:val="99"/>
    <w:rsid w:val="00F15398"/>
    <w:rPr>
      <w:sz w:val="20"/>
      <w:szCs w:val="20"/>
    </w:rPr>
  </w:style>
  <w:style w:type="paragraph" w:styleId="CommentSubject">
    <w:name w:val="annotation subject"/>
    <w:basedOn w:val="CommentText"/>
    <w:next w:val="CommentText"/>
    <w:link w:val="CommentSubjectChar"/>
    <w:uiPriority w:val="99"/>
    <w:semiHidden/>
    <w:unhideWhenUsed/>
    <w:rsid w:val="00F15398"/>
    <w:rPr>
      <w:b/>
      <w:bCs/>
    </w:rPr>
  </w:style>
  <w:style w:type="character" w:customStyle="1" w:styleId="CommentSubjectChar">
    <w:name w:val="Comment Subject Char"/>
    <w:basedOn w:val="CommentTextChar"/>
    <w:link w:val="CommentSubject"/>
    <w:uiPriority w:val="99"/>
    <w:semiHidden/>
    <w:rsid w:val="00F15398"/>
    <w:rPr>
      <w:b/>
      <w:bCs/>
      <w:sz w:val="20"/>
      <w:szCs w:val="20"/>
    </w:rPr>
  </w:style>
  <w:style w:type="paragraph" w:styleId="Revision">
    <w:name w:val="Revision"/>
    <w:hidden/>
    <w:uiPriority w:val="99"/>
    <w:semiHidden/>
    <w:rsid w:val="00424B42"/>
  </w:style>
  <w:style w:type="character" w:styleId="FollowedHyperlink">
    <w:name w:val="FollowedHyperlink"/>
    <w:basedOn w:val="DefaultParagraphFont"/>
    <w:uiPriority w:val="99"/>
    <w:semiHidden/>
    <w:unhideWhenUsed/>
    <w:rsid w:val="00DF16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6044">
      <w:bodyDiv w:val="1"/>
      <w:marLeft w:val="0"/>
      <w:marRight w:val="0"/>
      <w:marTop w:val="0"/>
      <w:marBottom w:val="0"/>
      <w:divBdr>
        <w:top w:val="none" w:sz="0" w:space="0" w:color="auto"/>
        <w:left w:val="none" w:sz="0" w:space="0" w:color="auto"/>
        <w:bottom w:val="none" w:sz="0" w:space="0" w:color="auto"/>
        <w:right w:val="none" w:sz="0" w:space="0" w:color="auto"/>
      </w:divBdr>
    </w:div>
    <w:div w:id="373233446">
      <w:bodyDiv w:val="1"/>
      <w:marLeft w:val="0"/>
      <w:marRight w:val="0"/>
      <w:marTop w:val="0"/>
      <w:marBottom w:val="0"/>
      <w:divBdr>
        <w:top w:val="none" w:sz="0" w:space="0" w:color="auto"/>
        <w:left w:val="none" w:sz="0" w:space="0" w:color="auto"/>
        <w:bottom w:val="none" w:sz="0" w:space="0" w:color="auto"/>
        <w:right w:val="none" w:sz="0" w:space="0" w:color="auto"/>
      </w:divBdr>
    </w:div>
    <w:div w:id="741371238">
      <w:bodyDiv w:val="1"/>
      <w:marLeft w:val="0"/>
      <w:marRight w:val="0"/>
      <w:marTop w:val="0"/>
      <w:marBottom w:val="0"/>
      <w:divBdr>
        <w:top w:val="none" w:sz="0" w:space="0" w:color="auto"/>
        <w:left w:val="none" w:sz="0" w:space="0" w:color="auto"/>
        <w:bottom w:val="none" w:sz="0" w:space="0" w:color="auto"/>
        <w:right w:val="none" w:sz="0" w:space="0" w:color="auto"/>
      </w:divBdr>
    </w:div>
    <w:div w:id="949704108">
      <w:bodyDiv w:val="1"/>
      <w:marLeft w:val="0"/>
      <w:marRight w:val="0"/>
      <w:marTop w:val="0"/>
      <w:marBottom w:val="0"/>
      <w:divBdr>
        <w:top w:val="none" w:sz="0" w:space="0" w:color="auto"/>
        <w:left w:val="none" w:sz="0" w:space="0" w:color="auto"/>
        <w:bottom w:val="none" w:sz="0" w:space="0" w:color="auto"/>
        <w:right w:val="none" w:sz="0" w:space="0" w:color="auto"/>
      </w:divBdr>
    </w:div>
    <w:div w:id="1051001853">
      <w:bodyDiv w:val="1"/>
      <w:marLeft w:val="0"/>
      <w:marRight w:val="0"/>
      <w:marTop w:val="0"/>
      <w:marBottom w:val="0"/>
      <w:divBdr>
        <w:top w:val="none" w:sz="0" w:space="0" w:color="auto"/>
        <w:left w:val="none" w:sz="0" w:space="0" w:color="auto"/>
        <w:bottom w:val="none" w:sz="0" w:space="0" w:color="auto"/>
        <w:right w:val="none" w:sz="0" w:space="0" w:color="auto"/>
      </w:divBdr>
    </w:div>
    <w:div w:id="1229614449">
      <w:bodyDiv w:val="1"/>
      <w:marLeft w:val="0"/>
      <w:marRight w:val="0"/>
      <w:marTop w:val="0"/>
      <w:marBottom w:val="0"/>
      <w:divBdr>
        <w:top w:val="none" w:sz="0" w:space="0" w:color="auto"/>
        <w:left w:val="none" w:sz="0" w:space="0" w:color="auto"/>
        <w:bottom w:val="none" w:sz="0" w:space="0" w:color="auto"/>
        <w:right w:val="none" w:sz="0" w:space="0" w:color="auto"/>
      </w:divBdr>
    </w:div>
    <w:div w:id="1265770393">
      <w:bodyDiv w:val="1"/>
      <w:marLeft w:val="0"/>
      <w:marRight w:val="0"/>
      <w:marTop w:val="0"/>
      <w:marBottom w:val="0"/>
      <w:divBdr>
        <w:top w:val="none" w:sz="0" w:space="0" w:color="auto"/>
        <w:left w:val="none" w:sz="0" w:space="0" w:color="auto"/>
        <w:bottom w:val="none" w:sz="0" w:space="0" w:color="auto"/>
        <w:right w:val="none" w:sz="0" w:space="0" w:color="auto"/>
      </w:divBdr>
    </w:div>
    <w:div w:id="130778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undocs.org/A/72/170" TargetMode="External"/><Relationship Id="rId13" Type="http://schemas.openxmlformats.org/officeDocument/2006/relationships/hyperlink" Target="https://www.ohchr.org/Documents/Countries/LY/LibyaMigrationReport.pdf" TargetMode="External"/><Relationship Id="rId18" Type="http://schemas.openxmlformats.org/officeDocument/2006/relationships/hyperlink" Target="http://ap.ohchr.org/documents/dpage_e.aspx?si=A/HRC/38/47" TargetMode="External"/><Relationship Id="rId3" Type="http://schemas.openxmlformats.org/officeDocument/2006/relationships/hyperlink" Target="https://undocs.org/A/HRC/16/44/Corr.1" TargetMode="External"/><Relationship Id="rId7" Type="http://schemas.openxmlformats.org/officeDocument/2006/relationships/hyperlink" Target="https://undocs.org/A/HRC/37/51" TargetMode="External"/><Relationship Id="rId12" Type="http://schemas.openxmlformats.org/officeDocument/2006/relationships/hyperlink" Target="https://www.ohchr.org/EN/NewsEvents/Pages/DisplayNews.aspx?NewsID=23239&amp;LangID=E" TargetMode="External"/><Relationship Id="rId17" Type="http://schemas.openxmlformats.org/officeDocument/2006/relationships/hyperlink" Target="http://ap.ohchr.org/documents/dpage_e.aspx?si=A/HRC/40/60" TargetMode="External"/><Relationship Id="rId2" Type="http://schemas.openxmlformats.org/officeDocument/2006/relationships/hyperlink" Target="https://undocs.org/A/HRC/16/44" TargetMode="External"/><Relationship Id="rId16" Type="http://schemas.openxmlformats.org/officeDocument/2006/relationships/hyperlink" Target="https://www.ohchr.org/EN/HRBodies/HRC/Pages/NewsDetail.aspx?NewsID=23238&amp;LangID=E" TargetMode="External"/><Relationship Id="rId1" Type="http://schemas.openxmlformats.org/officeDocument/2006/relationships/hyperlink" Target="https://www.ohchr.org/EN/NewsEvents/Pages/DisplayNews.aspx?NewsID=23154&amp;LangID=E" TargetMode="External"/><Relationship Id="rId6" Type="http://schemas.openxmlformats.org/officeDocument/2006/relationships/hyperlink" Target="https://undocs.org/A/71/281" TargetMode="External"/><Relationship Id="rId11" Type="http://schemas.openxmlformats.org/officeDocument/2006/relationships/hyperlink" Target="https://www.theguardian.com/world/2019/feb/18/swedish-student-elin-ersson-fined-after-broadcasting-plane-protest-against-asylum-seeker-deportation" TargetMode="External"/><Relationship Id="rId5" Type="http://schemas.openxmlformats.org/officeDocument/2006/relationships/hyperlink" Target="https://undocs.org/A/HRC/39/17" TargetMode="External"/><Relationship Id="rId15" Type="http://schemas.openxmlformats.org/officeDocument/2006/relationships/hyperlink" Target="https://openmigration.org/en/analyses/the-prosecutors-case-against-the-rescue-ship-open-arms/" TargetMode="External"/><Relationship Id="rId10" Type="http://schemas.openxmlformats.org/officeDocument/2006/relationships/hyperlink" Target="https://www.theguardian.com/world/2018/oct/19/elin-ersson-swedish-student-video-grounded-deportation-flight-prosecution" TargetMode="External"/><Relationship Id="rId19" Type="http://schemas.openxmlformats.org/officeDocument/2006/relationships/hyperlink" Target="http://ap.ohchr.org/documents/dpage_e.aspx?si=A/HRC/35/9" TargetMode="External"/><Relationship Id="rId4" Type="http://schemas.openxmlformats.org/officeDocument/2006/relationships/hyperlink" Target="https://undocs.org/A/HRC/34/52" TargetMode="External"/><Relationship Id="rId9" Type="http://schemas.openxmlformats.org/officeDocument/2006/relationships/hyperlink" Target="https://documents-dds-ny.un.org/doc/UNDOC/GEN/G19/004/97/PDF/G1900497.pdf?OpenElement" TargetMode="External"/><Relationship Id="rId14" Type="http://schemas.openxmlformats.org/officeDocument/2006/relationships/hyperlink" Target="https://la72.org/nueva-embestida-del-inm-en-contra-del-personal-de-la-7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88A31E2-EFCC-4DC2-B5BB-62529C99D969}">
  <ds:schemaRefs>
    <ds:schemaRef ds:uri="http://schemas.openxmlformats.org/officeDocument/2006/bibliography"/>
  </ds:schemaRefs>
</ds:datastoreItem>
</file>

<file path=customXml/itemProps2.xml><?xml version="1.0" encoding="utf-8"?>
<ds:datastoreItem xmlns:ds="http://schemas.openxmlformats.org/officeDocument/2006/customXml" ds:itemID="{8CB37606-47CF-43E8-ABE8-D574690213B5}"/>
</file>

<file path=customXml/itemProps3.xml><?xml version="1.0" encoding="utf-8"?>
<ds:datastoreItem xmlns:ds="http://schemas.openxmlformats.org/officeDocument/2006/customXml" ds:itemID="{4CCBFB37-D6EB-4256-AC58-BCB8BC2390A4}"/>
</file>

<file path=customXml/itemProps4.xml><?xml version="1.0" encoding="utf-8"?>
<ds:datastoreItem xmlns:ds="http://schemas.openxmlformats.org/officeDocument/2006/customXml" ds:itemID="{85E0C4CA-F9CD-49A5-9B0B-C0F923F40489}"/>
</file>

<file path=docProps/app.xml><?xml version="1.0" encoding="utf-8"?>
<Properties xmlns="http://schemas.openxmlformats.org/officeDocument/2006/extended-properties" xmlns:vt="http://schemas.openxmlformats.org/officeDocument/2006/docPropsVTypes">
  <Template>Normal.dotm</Template>
  <TotalTime>1</TotalTime>
  <Pages>11</Pages>
  <Words>3046</Words>
  <Characters>17368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OHCHR-Civic Space Unit</dc:title>
  <dc:subject/>
  <dc:creator>Areeba Jibril</dc:creator>
  <cp:keywords/>
  <dc:description/>
  <cp:lastModifiedBy>PROUVEZ Nathalie</cp:lastModifiedBy>
  <cp:revision>3</cp:revision>
  <cp:lastPrinted>2019-03-13T10:34:00Z</cp:lastPrinted>
  <dcterms:created xsi:type="dcterms:W3CDTF">2019-03-13T11:11:00Z</dcterms:created>
  <dcterms:modified xsi:type="dcterms:W3CDTF">2019-03-13T11:12:00Z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