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66C7A" w14:textId="43B9DFC7" w:rsidR="000E591A" w:rsidRPr="004A5C5A" w:rsidRDefault="000E591A" w:rsidP="00F5372C">
      <w:pPr>
        <w:spacing w:after="160" w:line="259" w:lineRule="auto"/>
        <w:jc w:val="center"/>
        <w:rPr>
          <w:rFonts w:asciiTheme="minorHAnsi" w:hAnsiTheme="minorHAnsi" w:cstheme="minorHAnsi"/>
          <w:b/>
          <w:bCs/>
        </w:rPr>
      </w:pPr>
      <w:r w:rsidRPr="000E591A">
        <w:rPr>
          <w:rFonts w:cs="Times New Roman"/>
          <w:noProof/>
        </w:rPr>
        <w:drawing>
          <wp:inline distT="0" distB="0" distL="0" distR="0" wp14:anchorId="4CCAADA2" wp14:editId="0F285BAD">
            <wp:extent cx="1819275" cy="4799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342" cy="504763"/>
                    </a:xfrm>
                    <a:prstGeom prst="rect">
                      <a:avLst/>
                    </a:prstGeom>
                    <a:noFill/>
                  </pic:spPr>
                </pic:pic>
              </a:graphicData>
            </a:graphic>
          </wp:inline>
        </w:drawing>
      </w:r>
      <w:r w:rsidRPr="000E591A">
        <w:rPr>
          <w:rFonts w:cs="Times New Roman"/>
          <w:noProof/>
        </w:rPr>
        <w:drawing>
          <wp:inline distT="0" distB="0" distL="0" distR="0" wp14:anchorId="41775A63" wp14:editId="11493B34">
            <wp:extent cx="1493520" cy="542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542290"/>
                    </a:xfrm>
                    <a:prstGeom prst="rect">
                      <a:avLst/>
                    </a:prstGeom>
                    <a:noFill/>
                  </pic:spPr>
                </pic:pic>
              </a:graphicData>
            </a:graphic>
          </wp:inline>
        </w:drawing>
      </w:r>
    </w:p>
    <w:p w14:paraId="752CF4CF" w14:textId="77777777" w:rsidR="00513CB3" w:rsidRPr="004A5C5A" w:rsidRDefault="00513CB3" w:rsidP="000E2FF4">
      <w:pPr>
        <w:spacing w:after="0" w:line="259" w:lineRule="auto"/>
        <w:jc w:val="center"/>
        <w:rPr>
          <w:rFonts w:asciiTheme="minorHAnsi" w:hAnsiTheme="minorHAnsi" w:cstheme="minorHAnsi"/>
          <w:b/>
          <w:bCs/>
        </w:rPr>
      </w:pPr>
    </w:p>
    <w:p w14:paraId="5E4E9360" w14:textId="5C3317F9" w:rsidR="00F5372C" w:rsidRPr="00FD0890" w:rsidRDefault="00F5372C" w:rsidP="00786DFA">
      <w:pPr>
        <w:spacing w:after="0" w:line="259" w:lineRule="auto"/>
        <w:jc w:val="center"/>
        <w:rPr>
          <w:rFonts w:asciiTheme="minorHAnsi" w:hAnsiTheme="minorHAnsi" w:cstheme="minorHAnsi"/>
          <w:b/>
          <w:bCs/>
          <w:sz w:val="28"/>
          <w:szCs w:val="28"/>
        </w:rPr>
      </w:pPr>
      <w:r w:rsidRPr="00FD0890">
        <w:rPr>
          <w:rFonts w:asciiTheme="minorHAnsi" w:hAnsiTheme="minorHAnsi" w:cstheme="minorHAnsi"/>
          <w:b/>
          <w:bCs/>
          <w:sz w:val="28"/>
          <w:szCs w:val="28"/>
        </w:rPr>
        <w:t xml:space="preserve">INITIAL COMMENTS IN VIEW OF THE HUMAN RIGHTS COMMITTEE’S </w:t>
      </w:r>
      <w:r w:rsidR="000E2FF4">
        <w:rPr>
          <w:rFonts w:asciiTheme="minorHAnsi" w:hAnsiTheme="minorHAnsi" w:cstheme="minorHAnsi"/>
          <w:b/>
          <w:bCs/>
          <w:sz w:val="28"/>
          <w:szCs w:val="28"/>
        </w:rPr>
        <w:t xml:space="preserve">DECISION TO ELABORATE </w:t>
      </w:r>
      <w:r w:rsidRPr="00FD0890">
        <w:rPr>
          <w:rFonts w:asciiTheme="minorHAnsi" w:hAnsiTheme="minorHAnsi" w:cstheme="minorHAnsi"/>
          <w:b/>
          <w:bCs/>
          <w:sz w:val="28"/>
          <w:szCs w:val="28"/>
        </w:rPr>
        <w:t>A GENERAL COMMENT ON ARTICLE 21</w:t>
      </w:r>
      <w:r w:rsidR="00786DFA">
        <w:rPr>
          <w:rFonts w:asciiTheme="minorHAnsi" w:hAnsiTheme="minorHAnsi" w:cstheme="minorHAnsi"/>
          <w:b/>
          <w:bCs/>
          <w:sz w:val="28"/>
          <w:szCs w:val="28"/>
        </w:rPr>
        <w:t xml:space="preserve"> (</w:t>
      </w:r>
      <w:r w:rsidRPr="00FD0890">
        <w:rPr>
          <w:rFonts w:asciiTheme="minorHAnsi" w:hAnsiTheme="minorHAnsi" w:cstheme="minorHAnsi"/>
          <w:b/>
          <w:bCs/>
          <w:sz w:val="28"/>
          <w:szCs w:val="28"/>
        </w:rPr>
        <w:t>PEACEFUL ASSEMBLY</w:t>
      </w:r>
      <w:r w:rsidR="00786DFA">
        <w:rPr>
          <w:rFonts w:asciiTheme="minorHAnsi" w:hAnsiTheme="minorHAnsi" w:cstheme="minorHAnsi"/>
          <w:b/>
          <w:bCs/>
          <w:sz w:val="28"/>
          <w:szCs w:val="28"/>
        </w:rPr>
        <w:t>)</w:t>
      </w:r>
    </w:p>
    <w:p w14:paraId="0778A0DF" w14:textId="7932FE6E" w:rsidR="00F5372C" w:rsidRPr="001B1A3F" w:rsidRDefault="00AD71D6" w:rsidP="000E2FF4">
      <w:pPr>
        <w:spacing w:after="0" w:line="259" w:lineRule="auto"/>
        <w:jc w:val="center"/>
        <w:rPr>
          <w:rFonts w:asciiTheme="minorHAnsi" w:hAnsiTheme="minorHAnsi" w:cstheme="minorHAnsi"/>
          <w:b/>
          <w:bCs/>
        </w:rPr>
      </w:pPr>
      <w:r>
        <w:rPr>
          <w:rFonts w:asciiTheme="minorHAnsi" w:hAnsiTheme="minorHAnsi" w:cstheme="minorHAnsi"/>
          <w:b/>
          <w:bCs/>
        </w:rPr>
        <w:t>S</w:t>
      </w:r>
      <w:r w:rsidR="00F5372C" w:rsidRPr="001B1A3F">
        <w:rPr>
          <w:rFonts w:asciiTheme="minorHAnsi" w:hAnsiTheme="minorHAnsi" w:cstheme="minorHAnsi"/>
          <w:b/>
          <w:bCs/>
        </w:rPr>
        <w:t>ubmitted by the Open Society Justice Initiative</w:t>
      </w:r>
    </w:p>
    <w:p w14:paraId="3A24D576" w14:textId="40DCB449" w:rsidR="00F5372C" w:rsidRPr="001B1A3F" w:rsidRDefault="00F5372C" w:rsidP="000E2FF4">
      <w:pPr>
        <w:spacing w:after="0" w:line="259" w:lineRule="auto"/>
        <w:jc w:val="center"/>
        <w:rPr>
          <w:rFonts w:asciiTheme="minorHAnsi" w:hAnsiTheme="minorHAnsi" w:cstheme="minorHAnsi"/>
          <w:b/>
          <w:bCs/>
        </w:rPr>
      </w:pPr>
      <w:r w:rsidRPr="001B1A3F">
        <w:rPr>
          <w:rFonts w:asciiTheme="minorHAnsi" w:hAnsiTheme="minorHAnsi" w:cstheme="minorHAnsi"/>
          <w:b/>
          <w:bCs/>
        </w:rPr>
        <w:t xml:space="preserve">and the Committee on the Administration of Justice </w:t>
      </w:r>
    </w:p>
    <w:p w14:paraId="39C03A11" w14:textId="5C846DEC" w:rsidR="00F5372C" w:rsidRPr="001B1A3F" w:rsidRDefault="00B01250" w:rsidP="000E2FF4">
      <w:pPr>
        <w:spacing w:after="0" w:line="259" w:lineRule="auto"/>
        <w:jc w:val="center"/>
        <w:rPr>
          <w:rFonts w:asciiTheme="minorHAnsi" w:hAnsiTheme="minorHAnsi" w:cstheme="minorHAnsi"/>
          <w:b/>
          <w:bCs/>
        </w:rPr>
      </w:pPr>
      <w:r>
        <w:rPr>
          <w:rFonts w:asciiTheme="minorHAnsi" w:hAnsiTheme="minorHAnsi" w:cstheme="minorHAnsi"/>
          <w:b/>
          <w:bCs/>
        </w:rPr>
        <w:t>4th</w:t>
      </w:r>
      <w:r w:rsidR="00F5372C" w:rsidRPr="001B1A3F">
        <w:rPr>
          <w:rFonts w:asciiTheme="minorHAnsi" w:hAnsiTheme="minorHAnsi" w:cstheme="minorHAnsi"/>
          <w:b/>
          <w:bCs/>
        </w:rPr>
        <w:t xml:space="preserve"> March 2019</w:t>
      </w:r>
    </w:p>
    <w:p w14:paraId="41F07E78" w14:textId="5B1425B1" w:rsidR="00F5372C" w:rsidRPr="006248B2" w:rsidRDefault="00F5372C" w:rsidP="003D0E65">
      <w:pPr>
        <w:widowControl w:val="0"/>
        <w:autoSpaceDE w:val="0"/>
        <w:autoSpaceDN w:val="0"/>
        <w:spacing w:after="0" w:line="240" w:lineRule="auto"/>
        <w:rPr>
          <w:rFonts w:asciiTheme="minorHAnsi" w:eastAsia="Verdana" w:hAnsiTheme="minorHAnsi" w:cstheme="minorHAnsi"/>
          <w:b/>
          <w:color w:val="0070C0"/>
          <w:sz w:val="28"/>
          <w:szCs w:val="28"/>
        </w:rPr>
      </w:pPr>
      <w:r w:rsidRPr="006248B2">
        <w:rPr>
          <w:rFonts w:asciiTheme="minorHAnsi" w:eastAsia="Verdana" w:hAnsiTheme="minorHAnsi" w:cstheme="minorHAnsi"/>
          <w:b/>
          <w:color w:val="0070C0"/>
          <w:w w:val="105"/>
          <w:sz w:val="28"/>
          <w:szCs w:val="28"/>
        </w:rPr>
        <w:t>INTRODUCTION</w:t>
      </w:r>
    </w:p>
    <w:p w14:paraId="4230A014" w14:textId="77777777" w:rsidR="00F5372C" w:rsidRPr="001B1A3F" w:rsidRDefault="00F5372C" w:rsidP="003D0E65">
      <w:pPr>
        <w:widowControl w:val="0"/>
        <w:autoSpaceDE w:val="0"/>
        <w:autoSpaceDN w:val="0"/>
        <w:spacing w:after="0" w:line="240" w:lineRule="auto"/>
        <w:rPr>
          <w:rFonts w:asciiTheme="minorHAnsi" w:eastAsia="Verdana" w:hAnsiTheme="minorHAnsi" w:cstheme="minorHAnsi"/>
          <w:b/>
        </w:rPr>
      </w:pPr>
    </w:p>
    <w:p w14:paraId="5E79FAFA" w14:textId="1B9C55DF" w:rsidR="00F5372C" w:rsidRPr="001B1A3F" w:rsidRDefault="00F5372C" w:rsidP="003D0E65">
      <w:pPr>
        <w:widowControl w:val="0"/>
        <w:tabs>
          <w:tab w:val="left" w:pos="526"/>
        </w:tabs>
        <w:autoSpaceDE w:val="0"/>
        <w:autoSpaceDN w:val="0"/>
        <w:snapToGrid w:val="0"/>
        <w:spacing w:after="0" w:line="240" w:lineRule="auto"/>
        <w:jc w:val="both"/>
        <w:rPr>
          <w:rFonts w:asciiTheme="minorHAnsi" w:eastAsia="Verdana" w:hAnsiTheme="minorHAnsi" w:cstheme="minorHAnsi"/>
        </w:rPr>
      </w:pPr>
      <w:r w:rsidRPr="001B1A3F">
        <w:rPr>
          <w:rFonts w:asciiTheme="minorHAnsi" w:eastAsia="Verdana" w:hAnsiTheme="minorHAnsi" w:cstheme="minorHAnsi"/>
          <w:w w:val="105"/>
        </w:rPr>
        <w:t>The Open Society Justice Initiative (Justice Initiative) and the Committee on the Administration of Justice (CAJ) welcome the opportunity to provide the following initial comments to the Human Rights Committee (the Committee) in view of the Committee’s elaboration of a new General Comment on Article 21 of the International Covenant on Civil and Political Rights (ICCPR)</w:t>
      </w:r>
      <w:r w:rsidR="0073608A">
        <w:rPr>
          <w:rFonts w:asciiTheme="minorHAnsi" w:eastAsia="Verdana" w:hAnsiTheme="minorHAnsi" w:cstheme="minorHAnsi"/>
          <w:w w:val="105"/>
        </w:rPr>
        <w:t>,</w:t>
      </w:r>
      <w:r w:rsidRPr="001B1A3F">
        <w:rPr>
          <w:rFonts w:asciiTheme="minorHAnsi" w:eastAsia="Verdana" w:hAnsiTheme="minorHAnsi" w:cstheme="minorHAnsi"/>
          <w:w w:val="105"/>
        </w:rPr>
        <w:t xml:space="preserve"> </w:t>
      </w:r>
      <w:r w:rsidR="00723FB8">
        <w:rPr>
          <w:rFonts w:asciiTheme="minorHAnsi" w:eastAsia="Verdana" w:hAnsiTheme="minorHAnsi" w:cstheme="minorHAnsi"/>
          <w:w w:val="105"/>
        </w:rPr>
        <w:t xml:space="preserve">on </w:t>
      </w:r>
      <w:r w:rsidRPr="001B1A3F">
        <w:rPr>
          <w:rFonts w:asciiTheme="minorHAnsi" w:eastAsia="Verdana" w:hAnsiTheme="minorHAnsi" w:cstheme="minorHAnsi"/>
          <w:w w:val="105"/>
        </w:rPr>
        <w:t>the right to freedom of peaceful assembly.</w:t>
      </w:r>
    </w:p>
    <w:p w14:paraId="089E2F40" w14:textId="77777777" w:rsidR="00F5372C" w:rsidRPr="001B1A3F" w:rsidRDefault="00F5372C" w:rsidP="003D0E65">
      <w:pPr>
        <w:widowControl w:val="0"/>
        <w:tabs>
          <w:tab w:val="left" w:pos="526"/>
        </w:tabs>
        <w:autoSpaceDE w:val="0"/>
        <w:autoSpaceDN w:val="0"/>
        <w:snapToGrid w:val="0"/>
        <w:spacing w:after="0" w:line="240" w:lineRule="auto"/>
        <w:ind w:right="517"/>
        <w:jc w:val="both"/>
        <w:rPr>
          <w:rFonts w:asciiTheme="minorHAnsi" w:eastAsia="Verdana" w:hAnsiTheme="minorHAnsi" w:cstheme="minorHAnsi"/>
        </w:rPr>
      </w:pPr>
    </w:p>
    <w:p w14:paraId="37876957" w14:textId="22E83903" w:rsidR="00F5372C" w:rsidRPr="001B1A3F" w:rsidRDefault="0063492D" w:rsidP="003D0E65">
      <w:pPr>
        <w:widowControl w:val="0"/>
        <w:tabs>
          <w:tab w:val="left" w:pos="526"/>
        </w:tabs>
        <w:autoSpaceDE w:val="0"/>
        <w:autoSpaceDN w:val="0"/>
        <w:snapToGrid w:val="0"/>
        <w:spacing w:after="0" w:line="240" w:lineRule="auto"/>
        <w:jc w:val="both"/>
        <w:rPr>
          <w:rFonts w:asciiTheme="minorHAnsi" w:eastAsia="Verdana" w:hAnsiTheme="minorHAnsi" w:cstheme="minorHAnsi"/>
        </w:rPr>
      </w:pPr>
      <w:r w:rsidRPr="0063492D">
        <w:rPr>
          <w:rFonts w:asciiTheme="minorHAnsi" w:eastAsia="Verdana" w:hAnsiTheme="minorHAnsi" w:cstheme="minorHAnsi"/>
        </w:rPr>
        <w:t>The Justice Initiative</w:t>
      </w:r>
      <w:r w:rsidR="000E2FF4">
        <w:rPr>
          <w:rFonts w:asciiTheme="minorHAnsi" w:eastAsia="Verdana" w:hAnsiTheme="minorHAnsi" w:cstheme="minorHAnsi"/>
        </w:rPr>
        <w:t>, an operational program of the Open Society Foundations,</w:t>
      </w:r>
      <w:r w:rsidRPr="0063492D">
        <w:rPr>
          <w:rFonts w:asciiTheme="minorHAnsi" w:eastAsia="Verdana" w:hAnsiTheme="minorHAnsi" w:cstheme="minorHAnsi"/>
        </w:rPr>
        <w:t xml:space="preserve"> uses litigation and other forms of legal advocacy to empower people, defend the rule of law, and advance human rights around the world. We pursue accountability for international crimes, counter-terrorism abuses and grand corruption, and promote equality, criminal justice reform, economic justice, access to information and a vibrant civic space. Our staff is based in Abuja, Berlin, Brussels, The Hague, London, Mexico City, New York, Paris, </w:t>
      </w:r>
      <w:r w:rsidR="00C7586D">
        <w:rPr>
          <w:rFonts w:asciiTheme="minorHAnsi" w:eastAsia="Verdana" w:hAnsiTheme="minorHAnsi" w:cstheme="minorHAnsi"/>
        </w:rPr>
        <w:t xml:space="preserve">Santo Domingo, </w:t>
      </w:r>
      <w:r w:rsidRPr="0063492D">
        <w:rPr>
          <w:rFonts w:asciiTheme="minorHAnsi" w:eastAsia="Verdana" w:hAnsiTheme="minorHAnsi" w:cstheme="minorHAnsi"/>
        </w:rPr>
        <w:t>and Washington, D.C.</w:t>
      </w:r>
      <w:r>
        <w:rPr>
          <w:rFonts w:asciiTheme="minorHAnsi" w:eastAsia="Verdana" w:hAnsiTheme="minorHAnsi" w:cstheme="minorHAnsi"/>
        </w:rPr>
        <w:t xml:space="preserve">  The Justice Initiative has </w:t>
      </w:r>
      <w:r w:rsidR="000E2FF4">
        <w:rPr>
          <w:rFonts w:asciiTheme="minorHAnsi" w:eastAsia="Verdana" w:hAnsiTheme="minorHAnsi" w:cstheme="minorHAnsi"/>
        </w:rPr>
        <w:t xml:space="preserve">submitted </w:t>
      </w:r>
      <w:r>
        <w:rPr>
          <w:rFonts w:asciiTheme="minorHAnsi" w:eastAsia="Verdana" w:hAnsiTheme="minorHAnsi" w:cstheme="minorHAnsi"/>
        </w:rPr>
        <w:t xml:space="preserve">information and </w:t>
      </w:r>
      <w:r w:rsidR="000E2FF4">
        <w:rPr>
          <w:rFonts w:asciiTheme="minorHAnsi" w:eastAsia="Verdana" w:hAnsiTheme="minorHAnsi" w:cstheme="minorHAnsi"/>
        </w:rPr>
        <w:t xml:space="preserve">research </w:t>
      </w:r>
      <w:r>
        <w:rPr>
          <w:rFonts w:asciiTheme="minorHAnsi" w:eastAsia="Verdana" w:hAnsiTheme="minorHAnsi" w:cstheme="minorHAnsi"/>
        </w:rPr>
        <w:t>to the Committee on numerous occasions including concerning the General Comments on Article 19 (right to freedom of opinion and expression) and Article 6 (right to life)</w:t>
      </w:r>
      <w:r w:rsidR="000E2FF4">
        <w:rPr>
          <w:rFonts w:asciiTheme="minorHAnsi" w:eastAsia="Verdana" w:hAnsiTheme="minorHAnsi" w:cstheme="minorHAnsi"/>
        </w:rPr>
        <w:t>;</w:t>
      </w:r>
      <w:r>
        <w:rPr>
          <w:rFonts w:asciiTheme="minorHAnsi" w:eastAsia="Verdana" w:hAnsiTheme="minorHAnsi" w:cstheme="minorHAnsi"/>
        </w:rPr>
        <w:t xml:space="preserve"> several cases pursuant to the First Optional Protocol</w:t>
      </w:r>
      <w:r w:rsidR="000E2FF4">
        <w:rPr>
          <w:rFonts w:asciiTheme="minorHAnsi" w:eastAsia="Verdana" w:hAnsiTheme="minorHAnsi" w:cstheme="minorHAnsi"/>
        </w:rPr>
        <w:t>;</w:t>
      </w:r>
      <w:r>
        <w:rPr>
          <w:rFonts w:asciiTheme="minorHAnsi" w:eastAsia="Verdana" w:hAnsiTheme="minorHAnsi" w:cstheme="minorHAnsi"/>
        </w:rPr>
        <w:t xml:space="preserve"> and comments on State reports, most recently, </w:t>
      </w:r>
      <w:r w:rsidR="000E2FF4">
        <w:rPr>
          <w:rFonts w:asciiTheme="minorHAnsi" w:eastAsia="Verdana" w:hAnsiTheme="minorHAnsi" w:cstheme="minorHAnsi"/>
        </w:rPr>
        <w:t xml:space="preserve">that of </w:t>
      </w:r>
      <w:r>
        <w:rPr>
          <w:rFonts w:asciiTheme="minorHAnsi" w:eastAsia="Verdana" w:hAnsiTheme="minorHAnsi" w:cstheme="minorHAnsi"/>
        </w:rPr>
        <w:t xml:space="preserve">Hungary. </w:t>
      </w:r>
    </w:p>
    <w:p w14:paraId="60E10632" w14:textId="77777777" w:rsidR="00F5372C" w:rsidRPr="001B1A3F" w:rsidRDefault="00F5372C" w:rsidP="003D0E65">
      <w:pPr>
        <w:spacing w:after="0" w:line="240" w:lineRule="auto"/>
        <w:contextualSpacing/>
        <w:rPr>
          <w:rFonts w:asciiTheme="minorHAnsi" w:eastAsia="Verdana" w:hAnsiTheme="minorHAnsi" w:cstheme="minorHAnsi"/>
          <w:w w:val="105"/>
        </w:rPr>
      </w:pPr>
    </w:p>
    <w:p w14:paraId="7DEB85A4" w14:textId="77777777" w:rsidR="009E15A0" w:rsidRPr="009E15A0" w:rsidRDefault="000E2FF4" w:rsidP="003D0E65">
      <w:pPr>
        <w:widowControl w:val="0"/>
        <w:tabs>
          <w:tab w:val="left" w:pos="526"/>
        </w:tabs>
        <w:autoSpaceDE w:val="0"/>
        <w:autoSpaceDN w:val="0"/>
        <w:spacing w:after="0" w:line="240" w:lineRule="auto"/>
        <w:jc w:val="both"/>
        <w:rPr>
          <w:rFonts w:asciiTheme="minorHAnsi" w:eastAsia="Verdana" w:hAnsiTheme="minorHAnsi" w:cstheme="minorHAnsi"/>
        </w:rPr>
      </w:pPr>
      <w:r w:rsidRPr="000E2FF4">
        <w:rPr>
          <w:rFonts w:asciiTheme="minorHAnsi" w:eastAsia="Verdana" w:hAnsiTheme="minorHAnsi" w:cstheme="minorHAnsi"/>
          <w:lang w:val="en-GB"/>
        </w:rPr>
        <w:t>CAJ is an independent human rights NGO with cross community membership in Northern Ireland and beyond. It was established in 1981, campaigns on a broad range of human rights issues and is a member of the International Federation of Human Rights. CAJ seeks to secure the highest standards in the administration of justice in Northern Ireland by ensuring that the government complies with its international human rights obligations. CAJ has been awarded several international human rights prizes, including the Reebok Human Rights Award and, in 1998, the Council of Europe Human Rights Prize.</w:t>
      </w:r>
      <w:r w:rsidR="009E15A0">
        <w:rPr>
          <w:rFonts w:asciiTheme="minorHAnsi" w:eastAsia="Verdana" w:hAnsiTheme="minorHAnsi" w:cstheme="minorHAnsi"/>
          <w:lang w:val="en-GB"/>
        </w:rPr>
        <w:t xml:space="preserve"> </w:t>
      </w:r>
      <w:r w:rsidR="009E15A0" w:rsidRPr="009E15A0">
        <w:rPr>
          <w:rFonts w:asciiTheme="minorHAnsi" w:eastAsia="Verdana" w:hAnsiTheme="minorHAnsi" w:cstheme="minorHAnsi"/>
          <w:lang w:val="en-GB"/>
        </w:rPr>
        <w:t xml:space="preserve">CAJ has a long track record of engagement with the Council of Europe and United Nations human rights machinery and makes regular submissions to treaty bodies. </w:t>
      </w:r>
    </w:p>
    <w:p w14:paraId="1E27A3D2" w14:textId="77777777" w:rsidR="000E2FF4" w:rsidRDefault="000E2FF4" w:rsidP="003D0E65">
      <w:pPr>
        <w:pStyle w:val="ListParagraph"/>
        <w:rPr>
          <w:rFonts w:asciiTheme="minorHAnsi" w:eastAsia="Verdana" w:hAnsiTheme="minorHAnsi" w:cstheme="minorHAnsi"/>
          <w:w w:val="105"/>
        </w:rPr>
      </w:pPr>
    </w:p>
    <w:p w14:paraId="74300FBE" w14:textId="24A8A40B" w:rsidR="00F5372C" w:rsidRDefault="00CE2307" w:rsidP="003D0E65">
      <w:pPr>
        <w:widowControl w:val="0"/>
        <w:tabs>
          <w:tab w:val="left" w:pos="526"/>
        </w:tabs>
        <w:autoSpaceDE w:val="0"/>
        <w:autoSpaceDN w:val="0"/>
        <w:spacing w:after="0" w:line="240" w:lineRule="auto"/>
        <w:rPr>
          <w:rFonts w:asciiTheme="minorHAnsi" w:eastAsia="Verdana" w:hAnsiTheme="minorHAnsi" w:cstheme="minorHAnsi"/>
          <w:w w:val="105"/>
        </w:rPr>
      </w:pPr>
      <w:r>
        <w:rPr>
          <w:rFonts w:asciiTheme="minorHAnsi" w:eastAsia="Verdana" w:hAnsiTheme="minorHAnsi" w:cstheme="minorHAnsi"/>
          <w:w w:val="105"/>
        </w:rPr>
        <w:t>Part I of t</w:t>
      </w:r>
      <w:r w:rsidR="00F5372C" w:rsidRPr="001B1A3F">
        <w:rPr>
          <w:rFonts w:asciiTheme="minorHAnsi" w:eastAsia="Verdana" w:hAnsiTheme="minorHAnsi" w:cstheme="minorHAnsi"/>
          <w:w w:val="105"/>
        </w:rPr>
        <w:t xml:space="preserve">his submission </w:t>
      </w:r>
      <w:r>
        <w:rPr>
          <w:rFonts w:asciiTheme="minorHAnsi" w:eastAsia="Verdana" w:hAnsiTheme="minorHAnsi" w:cstheme="minorHAnsi"/>
          <w:w w:val="105"/>
        </w:rPr>
        <w:t xml:space="preserve">contains </w:t>
      </w:r>
      <w:r w:rsidR="00DD3544">
        <w:rPr>
          <w:rFonts w:asciiTheme="minorHAnsi" w:eastAsia="Verdana" w:hAnsiTheme="minorHAnsi" w:cstheme="minorHAnsi"/>
          <w:w w:val="105"/>
        </w:rPr>
        <w:t xml:space="preserve">20 recommendations of </w:t>
      </w:r>
      <w:r w:rsidR="00723FB8">
        <w:rPr>
          <w:rFonts w:asciiTheme="minorHAnsi" w:eastAsia="Verdana" w:hAnsiTheme="minorHAnsi" w:cstheme="minorHAnsi"/>
          <w:w w:val="105"/>
        </w:rPr>
        <w:t xml:space="preserve">points </w:t>
      </w:r>
      <w:r w:rsidR="00DD3544">
        <w:rPr>
          <w:rFonts w:asciiTheme="minorHAnsi" w:eastAsia="Verdana" w:hAnsiTheme="minorHAnsi" w:cstheme="minorHAnsi"/>
          <w:w w:val="105"/>
        </w:rPr>
        <w:t>to include in the General Comment in the following three areas:</w:t>
      </w:r>
    </w:p>
    <w:p w14:paraId="58DAA00C" w14:textId="77777777" w:rsidR="00786DFA" w:rsidRPr="001B1A3F" w:rsidRDefault="00786DFA" w:rsidP="003D0E65">
      <w:pPr>
        <w:widowControl w:val="0"/>
        <w:tabs>
          <w:tab w:val="left" w:pos="526"/>
        </w:tabs>
        <w:autoSpaceDE w:val="0"/>
        <w:autoSpaceDN w:val="0"/>
        <w:spacing w:after="0" w:line="240" w:lineRule="auto"/>
        <w:rPr>
          <w:rFonts w:asciiTheme="minorHAnsi" w:eastAsia="Verdana" w:hAnsiTheme="minorHAnsi" w:cstheme="minorHAnsi"/>
        </w:rPr>
      </w:pPr>
    </w:p>
    <w:p w14:paraId="0364A76E" w14:textId="4D22B9AB" w:rsidR="00F5372C" w:rsidRPr="00DD3544" w:rsidRDefault="0059348B" w:rsidP="003D0E65">
      <w:pPr>
        <w:pStyle w:val="ListParagraph"/>
        <w:numPr>
          <w:ilvl w:val="0"/>
          <w:numId w:val="44"/>
        </w:numPr>
        <w:rPr>
          <w:rFonts w:asciiTheme="minorHAnsi" w:hAnsiTheme="minorHAnsi" w:cstheme="minorHAnsi"/>
          <w:bCs/>
        </w:rPr>
      </w:pPr>
      <w:r w:rsidRPr="00DD3544">
        <w:rPr>
          <w:rFonts w:asciiTheme="minorHAnsi" w:hAnsiTheme="minorHAnsi" w:cstheme="minorHAnsi"/>
          <w:bCs/>
        </w:rPr>
        <w:t>The relationship between A</w:t>
      </w:r>
      <w:r w:rsidR="00F5372C" w:rsidRPr="00DD3544">
        <w:rPr>
          <w:rFonts w:asciiTheme="minorHAnsi" w:hAnsiTheme="minorHAnsi" w:cstheme="minorHAnsi"/>
          <w:bCs/>
        </w:rPr>
        <w:t xml:space="preserve">rticle 21 and </w:t>
      </w:r>
      <w:r w:rsidR="004A5C5A" w:rsidRPr="00DD3544">
        <w:rPr>
          <w:rFonts w:asciiTheme="minorHAnsi" w:hAnsiTheme="minorHAnsi" w:cstheme="minorHAnsi"/>
          <w:bCs/>
        </w:rPr>
        <w:t xml:space="preserve">the right of access to information guaranteed by </w:t>
      </w:r>
      <w:r w:rsidRPr="00DD3544">
        <w:rPr>
          <w:rFonts w:asciiTheme="minorHAnsi" w:hAnsiTheme="minorHAnsi" w:cstheme="minorHAnsi"/>
          <w:bCs/>
        </w:rPr>
        <w:t>A</w:t>
      </w:r>
      <w:r w:rsidR="00F5372C" w:rsidRPr="00DD3544">
        <w:rPr>
          <w:rFonts w:asciiTheme="minorHAnsi" w:hAnsiTheme="minorHAnsi" w:cstheme="minorHAnsi"/>
          <w:bCs/>
        </w:rPr>
        <w:t>rticle 19;</w:t>
      </w:r>
    </w:p>
    <w:p w14:paraId="3AE934CB" w14:textId="746F17F5" w:rsidR="006248B2" w:rsidRPr="006248B2" w:rsidRDefault="006248B2" w:rsidP="003D0E65">
      <w:pPr>
        <w:numPr>
          <w:ilvl w:val="0"/>
          <w:numId w:val="44"/>
        </w:numPr>
        <w:spacing w:after="0" w:line="240" w:lineRule="auto"/>
        <w:rPr>
          <w:rFonts w:asciiTheme="minorHAnsi" w:hAnsiTheme="minorHAnsi" w:cstheme="minorHAnsi"/>
          <w:b/>
          <w:bCs/>
          <w:lang w:val="en-GB"/>
        </w:rPr>
      </w:pPr>
      <w:r w:rsidRPr="006248B2">
        <w:rPr>
          <w:rFonts w:asciiTheme="minorHAnsi" w:hAnsiTheme="minorHAnsi" w:cstheme="minorHAnsi"/>
          <w:bCs/>
        </w:rPr>
        <w:t xml:space="preserve">Use of undercover </w:t>
      </w:r>
      <w:r w:rsidR="008B6934">
        <w:rPr>
          <w:rFonts w:asciiTheme="minorHAnsi" w:hAnsiTheme="minorHAnsi" w:cstheme="minorHAnsi"/>
          <w:bCs/>
        </w:rPr>
        <w:t xml:space="preserve">agents </w:t>
      </w:r>
      <w:r w:rsidRPr="006248B2">
        <w:rPr>
          <w:rFonts w:asciiTheme="minorHAnsi" w:hAnsiTheme="minorHAnsi" w:cstheme="minorHAnsi"/>
          <w:bCs/>
        </w:rPr>
        <w:t xml:space="preserve">and </w:t>
      </w:r>
      <w:r w:rsidR="008B6934">
        <w:rPr>
          <w:rFonts w:asciiTheme="minorHAnsi" w:hAnsiTheme="minorHAnsi" w:cstheme="minorHAnsi"/>
          <w:bCs/>
        </w:rPr>
        <w:t xml:space="preserve">other forms of </w:t>
      </w:r>
      <w:r w:rsidRPr="006248B2">
        <w:rPr>
          <w:rFonts w:asciiTheme="minorHAnsi" w:hAnsiTheme="minorHAnsi" w:cstheme="minorHAnsi"/>
          <w:bCs/>
        </w:rPr>
        <w:t xml:space="preserve">surveillance in relation to </w:t>
      </w:r>
      <w:r>
        <w:rPr>
          <w:rFonts w:asciiTheme="minorHAnsi" w:hAnsiTheme="minorHAnsi" w:cstheme="minorHAnsi"/>
          <w:bCs/>
        </w:rPr>
        <w:t xml:space="preserve">assemblies; and </w:t>
      </w:r>
    </w:p>
    <w:p w14:paraId="582006D0" w14:textId="6EF68B56" w:rsidR="00F5372C" w:rsidRDefault="00F5372C" w:rsidP="003D0E65">
      <w:pPr>
        <w:numPr>
          <w:ilvl w:val="0"/>
          <w:numId w:val="44"/>
        </w:numPr>
        <w:spacing w:after="0" w:line="240" w:lineRule="auto"/>
        <w:rPr>
          <w:rFonts w:asciiTheme="minorHAnsi" w:hAnsiTheme="minorHAnsi" w:cstheme="minorHAnsi"/>
          <w:bCs/>
        </w:rPr>
      </w:pPr>
      <w:r w:rsidRPr="001B1A3F">
        <w:rPr>
          <w:rFonts w:asciiTheme="minorHAnsi" w:hAnsiTheme="minorHAnsi" w:cstheme="minorHAnsi"/>
          <w:bCs/>
        </w:rPr>
        <w:t xml:space="preserve">Handling of </w:t>
      </w:r>
      <w:r w:rsidR="006248B2">
        <w:rPr>
          <w:rFonts w:asciiTheme="minorHAnsi" w:hAnsiTheme="minorHAnsi" w:cstheme="minorHAnsi"/>
          <w:bCs/>
        </w:rPr>
        <w:t xml:space="preserve">simultaneous and </w:t>
      </w:r>
      <w:r w:rsidRPr="001B1A3F">
        <w:rPr>
          <w:rFonts w:asciiTheme="minorHAnsi" w:hAnsiTheme="minorHAnsi" w:cstheme="minorHAnsi"/>
          <w:bCs/>
        </w:rPr>
        <w:t>counter-</w:t>
      </w:r>
      <w:r w:rsidR="006248B2">
        <w:rPr>
          <w:rFonts w:asciiTheme="minorHAnsi" w:hAnsiTheme="minorHAnsi" w:cstheme="minorHAnsi"/>
          <w:bCs/>
        </w:rPr>
        <w:t>demonstrations.</w:t>
      </w:r>
      <w:r w:rsidR="000E591A">
        <w:rPr>
          <w:rFonts w:asciiTheme="minorHAnsi" w:hAnsiTheme="minorHAnsi" w:cstheme="minorHAnsi"/>
          <w:bCs/>
        </w:rPr>
        <w:t xml:space="preserve"> </w:t>
      </w:r>
    </w:p>
    <w:p w14:paraId="2D5DCFEA" w14:textId="77777777" w:rsidR="003D0E65" w:rsidRDefault="003D0E65" w:rsidP="003D0E65">
      <w:pPr>
        <w:spacing w:after="0" w:line="240" w:lineRule="auto"/>
        <w:rPr>
          <w:rFonts w:asciiTheme="minorHAnsi" w:hAnsiTheme="minorHAnsi" w:cstheme="minorHAnsi"/>
        </w:rPr>
      </w:pPr>
    </w:p>
    <w:p w14:paraId="647B79C4" w14:textId="007EEE13" w:rsidR="00786DFA" w:rsidRDefault="00DD3544" w:rsidP="003D0E65">
      <w:pPr>
        <w:spacing w:after="0" w:line="240" w:lineRule="auto"/>
        <w:jc w:val="both"/>
        <w:rPr>
          <w:rFonts w:asciiTheme="minorHAnsi" w:hAnsiTheme="minorHAnsi" w:cstheme="minorHAnsi"/>
        </w:rPr>
      </w:pPr>
      <w:r>
        <w:rPr>
          <w:rFonts w:asciiTheme="minorHAnsi" w:hAnsiTheme="minorHAnsi" w:cstheme="minorHAnsi"/>
        </w:rPr>
        <w:t>In Part II of this submission</w:t>
      </w:r>
      <w:r w:rsidR="00CE2307">
        <w:rPr>
          <w:rFonts w:asciiTheme="minorHAnsi" w:hAnsiTheme="minorHAnsi" w:cstheme="minorHAnsi"/>
        </w:rPr>
        <w:t>,</w:t>
      </w:r>
      <w:r>
        <w:rPr>
          <w:rFonts w:asciiTheme="minorHAnsi" w:hAnsiTheme="minorHAnsi" w:cstheme="minorHAnsi"/>
        </w:rPr>
        <w:t xml:space="preserve"> we set forth </w:t>
      </w:r>
      <w:r w:rsidR="005A1985">
        <w:rPr>
          <w:rFonts w:asciiTheme="minorHAnsi" w:hAnsiTheme="minorHAnsi" w:cstheme="minorHAnsi"/>
        </w:rPr>
        <w:t xml:space="preserve">support for </w:t>
      </w:r>
      <w:r w:rsidR="00CE2307">
        <w:rPr>
          <w:rFonts w:asciiTheme="minorHAnsi" w:hAnsiTheme="minorHAnsi" w:cstheme="minorHAnsi"/>
        </w:rPr>
        <w:t xml:space="preserve">each of </w:t>
      </w:r>
      <w:r>
        <w:rPr>
          <w:rFonts w:asciiTheme="minorHAnsi" w:hAnsiTheme="minorHAnsi" w:cstheme="minorHAnsi"/>
        </w:rPr>
        <w:t xml:space="preserve">the </w:t>
      </w:r>
      <w:r w:rsidR="00CE2307">
        <w:rPr>
          <w:rFonts w:asciiTheme="minorHAnsi" w:hAnsiTheme="minorHAnsi" w:cstheme="minorHAnsi"/>
        </w:rPr>
        <w:t xml:space="preserve">20 </w:t>
      </w:r>
      <w:r>
        <w:rPr>
          <w:rFonts w:asciiTheme="minorHAnsi" w:hAnsiTheme="minorHAnsi" w:cstheme="minorHAnsi"/>
        </w:rPr>
        <w:t>recommendations</w:t>
      </w:r>
      <w:r w:rsidR="005A1985">
        <w:rPr>
          <w:rFonts w:asciiTheme="minorHAnsi" w:hAnsiTheme="minorHAnsi" w:cstheme="minorHAnsi"/>
        </w:rPr>
        <w:t xml:space="preserve"> </w:t>
      </w:r>
      <w:r w:rsidR="005A1985" w:rsidRPr="005A1985">
        <w:rPr>
          <w:rFonts w:asciiTheme="minorHAnsi" w:hAnsiTheme="minorHAnsi" w:cstheme="minorHAnsi"/>
        </w:rPr>
        <w:t>in international, regional, and comparative hard and soft law, as well as best practices and policy considerations.</w:t>
      </w:r>
    </w:p>
    <w:p w14:paraId="40C3F1BA" w14:textId="65511738" w:rsidR="000C3698" w:rsidRPr="00DD3544" w:rsidRDefault="000C3698" w:rsidP="003D0E65">
      <w:pPr>
        <w:pStyle w:val="ListParagraph"/>
        <w:numPr>
          <w:ilvl w:val="0"/>
          <w:numId w:val="45"/>
        </w:numPr>
        <w:jc w:val="both"/>
        <w:rPr>
          <w:rFonts w:asciiTheme="minorHAnsi" w:hAnsiTheme="minorHAnsi" w:cstheme="minorHAnsi"/>
          <w:b/>
          <w:color w:val="0070C0"/>
          <w:sz w:val="28"/>
          <w:szCs w:val="28"/>
        </w:rPr>
      </w:pPr>
      <w:r w:rsidRPr="00DD3544">
        <w:rPr>
          <w:rFonts w:asciiTheme="minorHAnsi" w:hAnsiTheme="minorHAnsi" w:cstheme="minorHAnsi"/>
          <w:b/>
          <w:color w:val="0070C0"/>
          <w:sz w:val="28"/>
          <w:szCs w:val="28"/>
        </w:rPr>
        <w:lastRenderedPageBreak/>
        <w:t>RECOMMENDATIONS FOR THE GENERAL COMMENT</w:t>
      </w:r>
    </w:p>
    <w:p w14:paraId="381D3FD1" w14:textId="77777777" w:rsidR="000C3698" w:rsidRDefault="000C3698" w:rsidP="003D0E65">
      <w:pPr>
        <w:spacing w:after="0" w:line="240" w:lineRule="auto"/>
        <w:jc w:val="both"/>
        <w:rPr>
          <w:rFonts w:asciiTheme="minorHAnsi" w:hAnsiTheme="minorHAnsi" w:cstheme="minorHAnsi"/>
          <w:b/>
          <w:color w:val="0070C0"/>
        </w:rPr>
      </w:pPr>
    </w:p>
    <w:p w14:paraId="55260732" w14:textId="5A3CAF51" w:rsidR="000C3698" w:rsidRPr="00CE2307" w:rsidRDefault="000C3698" w:rsidP="003D0E65">
      <w:pPr>
        <w:spacing w:after="0" w:line="240" w:lineRule="auto"/>
        <w:jc w:val="both"/>
        <w:rPr>
          <w:rFonts w:asciiTheme="minorHAnsi" w:hAnsiTheme="minorHAnsi" w:cstheme="minorHAnsi"/>
        </w:rPr>
      </w:pPr>
      <w:r w:rsidRPr="00CE2307">
        <w:rPr>
          <w:rFonts w:asciiTheme="minorHAnsi" w:hAnsiTheme="minorHAnsi" w:cstheme="minorHAnsi"/>
        </w:rPr>
        <w:t xml:space="preserve">We recommend that the Committee </w:t>
      </w:r>
      <w:r w:rsidR="00723FB8">
        <w:rPr>
          <w:rFonts w:asciiTheme="minorHAnsi" w:hAnsiTheme="minorHAnsi" w:cstheme="minorHAnsi"/>
        </w:rPr>
        <w:t xml:space="preserve">include </w:t>
      </w:r>
      <w:r w:rsidRPr="00CE2307">
        <w:rPr>
          <w:rFonts w:asciiTheme="minorHAnsi" w:hAnsiTheme="minorHAnsi" w:cstheme="minorHAnsi"/>
        </w:rPr>
        <w:t>the following 20 points</w:t>
      </w:r>
      <w:r w:rsidR="00723FB8">
        <w:rPr>
          <w:rFonts w:asciiTheme="minorHAnsi" w:hAnsiTheme="minorHAnsi" w:cstheme="minorHAnsi"/>
        </w:rPr>
        <w:t xml:space="preserve"> in the General Comment</w:t>
      </w:r>
      <w:r w:rsidRPr="00CE2307">
        <w:rPr>
          <w:rFonts w:asciiTheme="minorHAnsi" w:hAnsiTheme="minorHAnsi" w:cstheme="minorHAnsi"/>
        </w:rPr>
        <w:t>.</w:t>
      </w:r>
    </w:p>
    <w:p w14:paraId="2EEEF3F0" w14:textId="77777777" w:rsidR="000C3698" w:rsidRPr="000C341E" w:rsidRDefault="000C3698" w:rsidP="003D0E65">
      <w:pPr>
        <w:spacing w:after="0" w:line="240" w:lineRule="auto"/>
        <w:jc w:val="both"/>
        <w:rPr>
          <w:rFonts w:asciiTheme="minorHAnsi" w:hAnsiTheme="minorHAnsi" w:cstheme="minorHAnsi"/>
          <w:b/>
          <w:color w:val="0070C0"/>
        </w:rPr>
      </w:pPr>
    </w:p>
    <w:p w14:paraId="201111CF" w14:textId="11E2AF56" w:rsidR="000C3698" w:rsidRPr="000C3698" w:rsidRDefault="000C3698" w:rsidP="003D0E65">
      <w:pPr>
        <w:pStyle w:val="ListParagraph"/>
        <w:numPr>
          <w:ilvl w:val="0"/>
          <w:numId w:val="33"/>
        </w:numPr>
        <w:ind w:left="0"/>
        <w:jc w:val="both"/>
        <w:rPr>
          <w:b/>
          <w:color w:val="0070C0"/>
          <w:sz w:val="24"/>
          <w:szCs w:val="24"/>
        </w:rPr>
      </w:pPr>
      <w:r w:rsidRPr="000C3698">
        <w:rPr>
          <w:b/>
          <w:color w:val="0070C0"/>
          <w:sz w:val="24"/>
          <w:szCs w:val="24"/>
        </w:rPr>
        <w:t xml:space="preserve">RELATIONSHIP </w:t>
      </w:r>
      <w:r w:rsidRPr="00DD3544">
        <w:rPr>
          <w:b/>
          <w:color w:val="0070C0"/>
          <w:sz w:val="24"/>
          <w:szCs w:val="24"/>
        </w:rPr>
        <w:t>BETWEEN</w:t>
      </w:r>
      <w:r w:rsidRPr="000C3698">
        <w:rPr>
          <w:b/>
          <w:color w:val="0070C0"/>
          <w:sz w:val="24"/>
          <w:szCs w:val="24"/>
        </w:rPr>
        <w:t xml:space="preserve"> ARTICLE 21 AND THE RIGHT OF ACCESS TO INFORMATION</w:t>
      </w:r>
      <w:r>
        <w:rPr>
          <w:b/>
          <w:color w:val="0070C0"/>
          <w:sz w:val="24"/>
          <w:szCs w:val="24"/>
        </w:rPr>
        <w:t xml:space="preserve"> GUARANTEED BY ARTICLE 19</w:t>
      </w:r>
    </w:p>
    <w:p w14:paraId="49E500F3" w14:textId="7190112D" w:rsidR="000C3698" w:rsidRDefault="000C3698" w:rsidP="003D0E65">
      <w:pPr>
        <w:widowControl w:val="0"/>
        <w:spacing w:after="0" w:line="240" w:lineRule="auto"/>
        <w:jc w:val="both"/>
        <w:rPr>
          <w:b/>
          <w:color w:val="0070C0"/>
        </w:rPr>
      </w:pPr>
    </w:p>
    <w:p w14:paraId="2C874252" w14:textId="6655DA89"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F3755">
        <w:rPr>
          <w:rFonts w:asciiTheme="minorHAnsi" w:hAnsiTheme="minorHAnsi" w:cstheme="minorHAnsi"/>
        </w:rPr>
        <w:t>Th</w:t>
      </w:r>
      <w:r w:rsidRPr="00786DFA">
        <w:rPr>
          <w:rFonts w:asciiTheme="minorHAnsi" w:hAnsiTheme="minorHAnsi" w:cstheme="minorHAnsi"/>
        </w:rPr>
        <w:t>e right to peaceful assembly is closely linked to the right of access to information held by public authorities guaranteed by Article 19 ICCPR. Access to information is necessary in order to enable individuals to exercise their rights in the context of assemblies and to ensure accountability.</w:t>
      </w:r>
    </w:p>
    <w:p w14:paraId="133F2FBD" w14:textId="1444B701"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bCs/>
          <w:lang w:val="en-GB"/>
        </w:rPr>
        <w:t>Public authorities should proactively make available information that individuals and watchdogs need in order to be able to: (a) exercise democratic oversight of the policing of assemblies and promote accountability; (b) safeguard rights to freedom of assembly and expression; and (c) be aware of conduct that could result in penalties.</w:t>
      </w:r>
    </w:p>
    <w:p w14:paraId="49E133F7" w14:textId="63F70BCE"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bCs/>
        </w:rPr>
        <w:t>Public authorities are obliged to take concrete steps to ensure easy, prompt, effective, and practical access to such information; and establish procedures for the timely processing of requests for information according to clear rules.</w:t>
      </w:r>
    </w:p>
    <w:p w14:paraId="25C74C04" w14:textId="314A5D8C"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rFonts w:cs="Times New Roman"/>
        </w:rPr>
        <w:t>The right of access to information from public authorities, including police forces, should be restricted only when there is a compelling reason to withhold the information – one that is set forth in law, and that outweighs the public interest in having access to the information. Such restrictions should not be used to conceal human rights violations or to advance any other improper purpose.</w:t>
      </w:r>
    </w:p>
    <w:p w14:paraId="4429C978" w14:textId="47C79500"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bCs/>
          <w:lang w:val="en-GB"/>
        </w:rPr>
        <w:t xml:space="preserve">Public authorities should devote special attention to collecting and making available information needed to protect against arbitrary or discriminatory treatment in the handling of assemblies. </w:t>
      </w:r>
    </w:p>
    <w:p w14:paraId="23495A26" w14:textId="265BBAF9" w:rsidR="00DD3544" w:rsidRPr="003D0E65" w:rsidRDefault="000C3698" w:rsidP="003D0E65">
      <w:pPr>
        <w:pStyle w:val="ListParagraph"/>
        <w:numPr>
          <w:ilvl w:val="3"/>
          <w:numId w:val="37"/>
        </w:numPr>
        <w:spacing w:after="160"/>
        <w:ind w:left="0"/>
        <w:jc w:val="both"/>
        <w:rPr>
          <w:color w:val="000000"/>
        </w:rPr>
      </w:pPr>
      <w:r w:rsidRPr="00786DFA">
        <w:rPr>
          <w:lang w:val="en-GB"/>
        </w:rPr>
        <w:t>Public authorities, including the police should document and communicate in a timely manner to the organizers of an assembly, and should supply upon request and free of charge to other members of the public, any decisions about the assembly, especially those that could affect an individual’s rights or freedoms, taken prior to, during, or after an assembly.</w:t>
      </w:r>
    </w:p>
    <w:p w14:paraId="552CD406" w14:textId="1DB897F3"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color w:val="000000"/>
        </w:rPr>
        <w:t>In advance of an assembly, and during an assembly to the extent possible, the authorities should communi</w:t>
      </w:r>
      <w:r w:rsidRPr="00786DFA">
        <w:rPr>
          <w:color w:val="000000"/>
        </w:rPr>
        <w:softHyphen/>
        <w:t>cate a clear rationale for suggesting or imposing restrictions and the organ</w:t>
      </w:r>
      <w:r w:rsidRPr="00786DFA">
        <w:rPr>
          <w:color w:val="000000"/>
        </w:rPr>
        <w:softHyphen/>
        <w:t>izers should be offered reasonable alternatives when a restriction imposes a significant burden on the assembly.</w:t>
      </w:r>
    </w:p>
    <w:p w14:paraId="70C2545A" w14:textId="0EC253F4" w:rsidR="00786DFA"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lang w:val="en-GB"/>
        </w:rPr>
        <w:t xml:space="preserve">On the day of an assembly, law enforcement officers should make themselves identifiable, take steps necessary to identify contact points, and communicate clearly and in a non-threatening manner. </w:t>
      </w:r>
    </w:p>
    <w:p w14:paraId="63184A5C" w14:textId="3EB1A26F" w:rsidR="000C3698" w:rsidRPr="003D0E65" w:rsidRDefault="000C3698" w:rsidP="003D0E65">
      <w:pPr>
        <w:pStyle w:val="ListParagraph"/>
        <w:numPr>
          <w:ilvl w:val="0"/>
          <w:numId w:val="33"/>
        </w:numPr>
        <w:autoSpaceDE w:val="0"/>
        <w:autoSpaceDN w:val="0"/>
        <w:adjustRightInd w:val="0"/>
        <w:spacing w:after="160"/>
        <w:ind w:left="0"/>
        <w:jc w:val="both"/>
        <w:rPr>
          <w:b/>
          <w:bCs/>
          <w:color w:val="0070C0"/>
          <w:sz w:val="24"/>
          <w:szCs w:val="24"/>
          <w:lang w:val="en-GB"/>
        </w:rPr>
      </w:pPr>
      <w:r w:rsidRPr="000C3698">
        <w:rPr>
          <w:b/>
          <w:bCs/>
          <w:color w:val="0070C0"/>
          <w:sz w:val="24"/>
          <w:szCs w:val="24"/>
          <w:lang w:val="en-GB"/>
        </w:rPr>
        <w:t>USE OF UNDERCOVER AGENTS AND OTHER FORMS OF SURVEILLANCE</w:t>
      </w:r>
    </w:p>
    <w:p w14:paraId="122226B9" w14:textId="0026EE54" w:rsidR="000F5ED0" w:rsidRPr="003D0E65" w:rsidRDefault="008E04A3" w:rsidP="003D0E65">
      <w:pPr>
        <w:pStyle w:val="ListParagraph"/>
        <w:numPr>
          <w:ilvl w:val="3"/>
          <w:numId w:val="37"/>
        </w:numPr>
        <w:spacing w:after="160"/>
        <w:ind w:left="0"/>
        <w:jc w:val="both"/>
        <w:rPr>
          <w:rFonts w:asciiTheme="minorHAnsi" w:hAnsiTheme="minorHAnsi" w:cstheme="minorHAnsi"/>
        </w:rPr>
      </w:pPr>
      <w:r w:rsidRPr="008A399A">
        <w:rPr>
          <w:rFonts w:asciiTheme="minorHAnsi" w:hAnsiTheme="minorHAnsi" w:cstheme="minorHAnsi"/>
          <w:lang w:val="en-GB"/>
        </w:rPr>
        <w:t xml:space="preserve">The collection of accurate information by law enforcement may be useful to the proper management of assemblies. However, </w:t>
      </w:r>
      <w:r w:rsidR="00540779" w:rsidRPr="008A399A">
        <w:rPr>
          <w:rFonts w:asciiTheme="minorHAnsi" w:hAnsiTheme="minorHAnsi" w:cstheme="minorHAnsi"/>
          <w:lang w:val="en-GB"/>
        </w:rPr>
        <w:t xml:space="preserve"> </w:t>
      </w:r>
      <w:r w:rsidRPr="008A399A">
        <w:rPr>
          <w:rFonts w:asciiTheme="minorHAnsi" w:hAnsiTheme="minorHAnsi" w:cstheme="minorHAnsi"/>
          <w:lang w:val="en-GB"/>
        </w:rPr>
        <w:t>g</w:t>
      </w:r>
      <w:r w:rsidR="000C3698" w:rsidRPr="008A399A">
        <w:rPr>
          <w:rFonts w:asciiTheme="minorHAnsi" w:hAnsiTheme="minorHAnsi" w:cstheme="minorHAnsi"/>
          <w:lang w:val="en-GB"/>
        </w:rPr>
        <w:t xml:space="preserve">iven that the use of </w:t>
      </w:r>
      <w:r w:rsidR="007B6A7F" w:rsidRPr="008A399A">
        <w:rPr>
          <w:rFonts w:asciiTheme="minorHAnsi" w:hAnsiTheme="minorHAnsi" w:cstheme="minorHAnsi"/>
          <w:lang w:val="en-GB"/>
        </w:rPr>
        <w:t>undercover agents</w:t>
      </w:r>
      <w:r w:rsidR="000C3698" w:rsidRPr="008A399A">
        <w:rPr>
          <w:rFonts w:asciiTheme="minorHAnsi" w:hAnsiTheme="minorHAnsi" w:cstheme="minorHAnsi"/>
          <w:lang w:val="en-GB"/>
        </w:rPr>
        <w:t xml:space="preserve"> and </w:t>
      </w:r>
      <w:r w:rsidRPr="008A399A">
        <w:rPr>
          <w:rFonts w:asciiTheme="minorHAnsi" w:hAnsiTheme="minorHAnsi" w:cstheme="minorHAnsi"/>
          <w:lang w:val="en-GB"/>
        </w:rPr>
        <w:t xml:space="preserve">other forms of </w:t>
      </w:r>
      <w:r w:rsidR="000C3698" w:rsidRPr="008A399A">
        <w:rPr>
          <w:rFonts w:asciiTheme="minorHAnsi" w:hAnsiTheme="minorHAnsi" w:cstheme="minorHAnsi"/>
          <w:lang w:val="en-GB"/>
        </w:rPr>
        <w:t xml:space="preserve">surveillance </w:t>
      </w:r>
      <w:r w:rsidR="000C3698" w:rsidRPr="00786DFA">
        <w:rPr>
          <w:rFonts w:asciiTheme="minorHAnsi" w:hAnsiTheme="minorHAnsi" w:cstheme="minorHAnsi"/>
          <w:lang w:val="en-GB"/>
        </w:rPr>
        <w:t xml:space="preserve">interfere with the right to privacy, their deployment must not be unlawful or arbitrary. </w:t>
      </w:r>
    </w:p>
    <w:p w14:paraId="00A11F51" w14:textId="729ECA6A" w:rsidR="000C3698" w:rsidRPr="003D0E65" w:rsidRDefault="000C3698" w:rsidP="003D0E65">
      <w:pPr>
        <w:pStyle w:val="ListParagraph"/>
        <w:numPr>
          <w:ilvl w:val="3"/>
          <w:numId w:val="37"/>
        </w:numPr>
        <w:spacing w:after="160"/>
        <w:ind w:left="0"/>
        <w:jc w:val="both"/>
        <w:rPr>
          <w:rFonts w:eastAsia="Times New Roman"/>
          <w:color w:val="1E1E1E"/>
        </w:rPr>
      </w:pPr>
      <w:r w:rsidRPr="00786DFA">
        <w:rPr>
          <w:rFonts w:eastAsia="Times New Roman"/>
          <w:color w:val="1E1E1E"/>
        </w:rPr>
        <w:t xml:space="preserve">States should ensure that all types of interference with privacy, including infiltration and other forms of surveillance, </w:t>
      </w:r>
      <w:r w:rsidRPr="00786DFA">
        <w:rPr>
          <w:rFonts w:eastAsia="Times New Roman"/>
          <w:bCs/>
          <w:color w:val="1E1E1E"/>
        </w:rPr>
        <w:t>are governed by appropriate legislation </w:t>
      </w:r>
      <w:r w:rsidRPr="00786DFA">
        <w:rPr>
          <w:rFonts w:eastAsia="Times New Roman"/>
          <w:color w:val="1E1E1E"/>
        </w:rPr>
        <w:t>that is in full conformity with the ICCPR, including with the principles of legality, proportionality and necessity.  In particular, such laws should be “</w:t>
      </w:r>
      <w:r w:rsidRPr="00786DFA">
        <w:rPr>
          <w:rFonts w:eastAsia="Times New Roman"/>
          <w:bCs/>
          <w:color w:val="1E1E1E"/>
        </w:rPr>
        <w:t>publicly accessible” and “sufficiently precise,” that is, they should specify in detail</w:t>
      </w:r>
      <w:r w:rsidRPr="00786DFA">
        <w:rPr>
          <w:rFonts w:eastAsia="Times New Roman"/>
          <w:color w:val="1E1E1E"/>
        </w:rPr>
        <w:t xml:space="preserve"> the precise circumstances in which any such interference may be permitted, the procedures for authorization, the categories of </w:t>
      </w:r>
      <w:r w:rsidRPr="00786DFA">
        <w:rPr>
          <w:rFonts w:eastAsia="Times New Roman"/>
          <w:color w:val="1E1E1E"/>
        </w:rPr>
        <w:lastRenderedPageBreak/>
        <w:t>persons who may be placed under surveillance, the limit on the duration of surveillance, and procedures for the use and storage of data collected.  Such laws should also require that any surveillance is tailored to promote a specific and legitimate aim</w:t>
      </w:r>
      <w:r w:rsidR="000F4C44" w:rsidRPr="00786DFA">
        <w:rPr>
          <w:rFonts w:eastAsia="Times New Roman"/>
          <w:color w:val="1E1E1E"/>
        </w:rPr>
        <w:t>;</w:t>
      </w:r>
      <w:r w:rsidR="000F5ED0" w:rsidRPr="00786DFA">
        <w:rPr>
          <w:rFonts w:eastAsia="Times New Roman"/>
          <w:color w:val="1E1E1E"/>
        </w:rPr>
        <w:t xml:space="preserve"> </w:t>
      </w:r>
      <w:r w:rsidR="000F4C44" w:rsidRPr="00786DFA">
        <w:rPr>
          <w:rFonts w:eastAsia="Times New Roman"/>
          <w:color w:val="1E1E1E"/>
        </w:rPr>
        <w:t xml:space="preserve">is </w:t>
      </w:r>
      <w:r w:rsidR="00CB5F7D" w:rsidRPr="00786DFA">
        <w:rPr>
          <w:rFonts w:eastAsia="Times New Roman"/>
          <w:color w:val="1E1E1E"/>
        </w:rPr>
        <w:t>permissible only if the value of the information sought outweighs the interference with rights to privacy and freedom of peaceful assembly, association and expression of all those affected</w:t>
      </w:r>
      <w:r w:rsidR="000F4C44" w:rsidRPr="00786DFA">
        <w:rPr>
          <w:rFonts w:eastAsia="Times New Roman"/>
          <w:color w:val="1E1E1E"/>
        </w:rPr>
        <w:t>; and</w:t>
      </w:r>
      <w:r w:rsidR="00CB5F7D" w:rsidRPr="00786DFA">
        <w:rPr>
          <w:rFonts w:eastAsia="Times New Roman"/>
          <w:color w:val="1E1E1E"/>
        </w:rPr>
        <w:t xml:space="preserve"> </w:t>
      </w:r>
      <w:r w:rsidR="000F4C44" w:rsidRPr="00786DFA">
        <w:rPr>
          <w:rFonts w:eastAsia="Times New Roman"/>
          <w:color w:val="1E1E1E"/>
        </w:rPr>
        <w:t>is the least intrusive means possible.</w:t>
      </w:r>
    </w:p>
    <w:p w14:paraId="2D6C198D" w14:textId="558F73CD"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rFonts w:eastAsia="Times New Roman"/>
          <w:color w:val="1E1E1E"/>
        </w:rPr>
        <w:t>States should ensure that their practice conforms to the laws. In particular, they should ensure that the categories of persons likely to be placed under surveillance are </w:t>
      </w:r>
      <w:r w:rsidRPr="00786DFA">
        <w:rPr>
          <w:rFonts w:eastAsia="Times New Roman"/>
          <w:bCs/>
          <w:color w:val="1E1E1E"/>
        </w:rPr>
        <w:t>set forth in detail</w:t>
      </w:r>
      <w:r w:rsidRPr="00786DFA">
        <w:rPr>
          <w:rFonts w:eastAsia="Times New Roman"/>
          <w:color w:val="1E1E1E"/>
        </w:rPr>
        <w:t xml:space="preserve">. </w:t>
      </w:r>
    </w:p>
    <w:p w14:paraId="72CD0648" w14:textId="59A49F6F"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rFonts w:eastAsia="Times New Roman"/>
          <w:color w:val="1E1E1E"/>
        </w:rPr>
        <w:t>States should implement “sufficient judicial safeguards” to protect against arbitrariness.</w:t>
      </w:r>
    </w:p>
    <w:p w14:paraId="1DD32922" w14:textId="327BD085"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rFonts w:eastAsia="Times New Roman"/>
          <w:bCs/>
          <w:color w:val="1E1E1E"/>
        </w:rPr>
        <w:t>States should ensure the transparency </w:t>
      </w:r>
      <w:r w:rsidRPr="00786DFA">
        <w:rPr>
          <w:rFonts w:eastAsia="Times New Roman"/>
          <w:color w:val="1E1E1E"/>
        </w:rPr>
        <w:t>of the powers of, and safeguards on, the bodies that may order surveillance, including specialized courts, by requiring them to make public their </w:t>
      </w:r>
      <w:r w:rsidRPr="00786DFA">
        <w:rPr>
          <w:rFonts w:eastAsia="Times New Roman"/>
          <w:bCs/>
          <w:color w:val="1E1E1E"/>
        </w:rPr>
        <w:t>policy guidelines and decisions,</w:t>
      </w:r>
      <w:r w:rsidRPr="00786DFA">
        <w:rPr>
          <w:rFonts w:eastAsia="Times New Roman"/>
          <w:color w:val="1E1E1E"/>
        </w:rPr>
        <w:t> subject only to redactions necessary to protect legitimate and specific national security interests and the privacy interests of individuals affected by those decisions.</w:t>
      </w:r>
    </w:p>
    <w:p w14:paraId="423E0F97" w14:textId="04E07882"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lang w:val="en-GB"/>
        </w:rPr>
        <w:t xml:space="preserve">It is not compatible with the ICCPR to engage in infiltration or other forms of surveillance of groups engaged in entirely lawful expressive activity. </w:t>
      </w:r>
      <w:r w:rsidRPr="00786DFA">
        <w:rPr>
          <w:lang w:val="en-CA"/>
        </w:rPr>
        <w:t xml:space="preserve">Infiltration and other forms of surveillance are consistent with the ICCPR only if </w:t>
      </w:r>
      <w:r w:rsidRPr="00786DFA">
        <w:rPr>
          <w:lang w:val="en-GB"/>
        </w:rPr>
        <w:t xml:space="preserve">reasonable grounds exist to suspect that a serious criminal act is likely to be committed. </w:t>
      </w:r>
    </w:p>
    <w:p w14:paraId="3D3AE84D" w14:textId="1955245D"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color w:val="000000"/>
        </w:rPr>
        <w:t xml:space="preserve">Where a decision is made to engage in infiltration or surveillance, a clear and transparent written record of the decision should be made and maintained, and the identity of the officer who made the decision should be available to any entity that reviews the decision.  </w:t>
      </w:r>
    </w:p>
    <w:p w14:paraId="2147BC30" w14:textId="41A824DA"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lang w:val="en-GB"/>
        </w:rPr>
        <w:t>Infiltration and other forms of surveillance should never involve the facilitation, tolerance or direction of activities which, if perpetrated by State agents, would constitute human rights violations</w:t>
      </w:r>
      <w:r w:rsidR="000F4C44" w:rsidRPr="00786DFA">
        <w:rPr>
          <w:lang w:val="en-GB"/>
        </w:rPr>
        <w:t xml:space="preserve">. </w:t>
      </w:r>
    </w:p>
    <w:p w14:paraId="21A40904" w14:textId="301EE7BA" w:rsidR="000C3698" w:rsidRPr="003D0E65" w:rsidRDefault="000C3698" w:rsidP="003D0E65">
      <w:pPr>
        <w:pStyle w:val="ListParagraph"/>
        <w:numPr>
          <w:ilvl w:val="0"/>
          <w:numId w:val="33"/>
        </w:numPr>
        <w:spacing w:after="160"/>
        <w:ind w:left="0"/>
        <w:jc w:val="both"/>
        <w:rPr>
          <w:b/>
          <w:bCs/>
          <w:color w:val="0070C0"/>
          <w:sz w:val="24"/>
          <w:szCs w:val="24"/>
          <w:lang w:val="en-GB"/>
        </w:rPr>
      </w:pPr>
      <w:r w:rsidRPr="000C3698">
        <w:rPr>
          <w:b/>
          <w:bCs/>
          <w:color w:val="0070C0"/>
          <w:sz w:val="24"/>
          <w:szCs w:val="24"/>
          <w:lang w:val="en-GB"/>
        </w:rPr>
        <w:t xml:space="preserve">FACILITATION OF SIMULTANEOUS AND COUNTER-DEMONSTRATIONS </w:t>
      </w:r>
    </w:p>
    <w:p w14:paraId="61A1E990" w14:textId="3952D716"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lang w:val="en-GB"/>
        </w:rPr>
        <w:t xml:space="preserve"> When organizers wish to conduct peaceful assemblies at the same time and place, the State is obliged to protect and facilitate both</w:t>
      </w:r>
      <w:r w:rsidR="00CE2307" w:rsidRPr="00786DFA">
        <w:rPr>
          <w:lang w:val="en-GB"/>
        </w:rPr>
        <w:t xml:space="preserve"> or all</w:t>
      </w:r>
      <w:r w:rsidRPr="00786DFA">
        <w:rPr>
          <w:lang w:val="en-GB"/>
        </w:rPr>
        <w:t>, to the extent possible. The obligation to accommodate assemblies within a reasonable vicinity (“sight and sound”) of each other is all the stronger where one is a counter-demonstration to the other.</w:t>
      </w:r>
    </w:p>
    <w:p w14:paraId="2797823F" w14:textId="7091AB9C"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lang w:val="en-CA"/>
        </w:rPr>
        <w:t>Peaceful assemblies, including ones involving protected expression that may “offend</w:t>
      </w:r>
      <w:r w:rsidR="006217B9">
        <w:rPr>
          <w:lang w:val="en-CA"/>
        </w:rPr>
        <w:t>, shock</w:t>
      </w:r>
      <w:r w:rsidRPr="00786DFA">
        <w:rPr>
          <w:lang w:val="en-CA"/>
        </w:rPr>
        <w:t xml:space="preserve"> or disturb,” may not be prohibited or moved to locations deemed undesirable by the organizers, on the pretext that an adverse public reaction threatening public order would likely be provoked.</w:t>
      </w:r>
    </w:p>
    <w:p w14:paraId="46327B32" w14:textId="43BFCB31" w:rsidR="000C3698" w:rsidRPr="003D0E65" w:rsidRDefault="000C3698" w:rsidP="003D0E65">
      <w:pPr>
        <w:pStyle w:val="ListParagraph"/>
        <w:numPr>
          <w:ilvl w:val="3"/>
          <w:numId w:val="37"/>
        </w:numPr>
        <w:spacing w:after="160"/>
        <w:ind w:left="0"/>
        <w:jc w:val="both"/>
        <w:rPr>
          <w:rFonts w:asciiTheme="minorHAnsi" w:hAnsiTheme="minorHAnsi" w:cstheme="minorHAnsi"/>
        </w:rPr>
      </w:pPr>
      <w:r w:rsidRPr="00786DFA">
        <w:rPr>
          <w:lang w:val="en-GB"/>
        </w:rPr>
        <w:t xml:space="preserve">Where two </w:t>
      </w:r>
      <w:r w:rsidR="00CE2307" w:rsidRPr="00786DFA">
        <w:rPr>
          <w:lang w:val="en-GB"/>
        </w:rPr>
        <w:t xml:space="preserve">or more </w:t>
      </w:r>
      <w:r w:rsidRPr="00786DFA">
        <w:rPr>
          <w:lang w:val="en-GB"/>
        </w:rPr>
        <w:t xml:space="preserve">assemblies cannot be accommodated in the same location at the same time, clearly-stated, neutral criteria must be applied in determining which assembly is to be authorized to use the contested location. Priority may not be given to government-supported, pro-government, or regularly-held assemblies. </w:t>
      </w:r>
      <w:r w:rsidRPr="00786DFA">
        <w:rPr>
          <w:lang w:val="en-CA"/>
        </w:rPr>
        <w:t xml:space="preserve">Particular effort should be taken to ensure </w:t>
      </w:r>
      <w:r w:rsidRPr="00786DFA">
        <w:rPr>
          <w:lang w:val="en-GB"/>
        </w:rPr>
        <w:t>equal and effective protection of the rights of groups or individuals who have historically experienced discrimination.</w:t>
      </w:r>
    </w:p>
    <w:p w14:paraId="2ECC4D3F" w14:textId="4B09F532" w:rsidR="00EE2C50" w:rsidRPr="003D0E65" w:rsidRDefault="000C3698" w:rsidP="003D0E65">
      <w:pPr>
        <w:pStyle w:val="ListParagraph"/>
        <w:numPr>
          <w:ilvl w:val="3"/>
          <w:numId w:val="37"/>
        </w:numPr>
        <w:spacing w:after="160"/>
        <w:ind w:left="0"/>
        <w:jc w:val="both"/>
        <w:rPr>
          <w:rFonts w:asciiTheme="minorHAnsi" w:hAnsiTheme="minorHAnsi" w:cstheme="minorHAnsi"/>
        </w:rPr>
      </w:pPr>
      <w:r w:rsidRPr="00EE2C50">
        <w:rPr>
          <w:lang w:val="en-GB"/>
        </w:rPr>
        <w:t>While incitement to violence or hatred provides one of the limited circumstances in which public authorities may be obliged to restrict an assembly, any restriction must comply with the principles of legality, necessity and proportionality, and be the least intrusive means possible. Dispersal of an assembly is justified only in extreme cases, where violence appears unpreventable by other means. Authorities should take care not to stifle legitimate protest through broad or vague restrictions imposed under the pretext of combatting hate expression.</w:t>
      </w:r>
    </w:p>
    <w:p w14:paraId="581051BC" w14:textId="77777777" w:rsidR="003D0E65" w:rsidRPr="003D0E65" w:rsidRDefault="003D0E65" w:rsidP="003D0E65">
      <w:pPr>
        <w:pStyle w:val="ListParagraph"/>
        <w:spacing w:after="160"/>
        <w:jc w:val="both"/>
        <w:rPr>
          <w:rFonts w:asciiTheme="minorHAnsi" w:hAnsiTheme="minorHAnsi" w:cstheme="minorHAnsi"/>
        </w:rPr>
      </w:pPr>
    </w:p>
    <w:p w14:paraId="1AE8DB32" w14:textId="109C71AE" w:rsidR="000C3698" w:rsidRPr="008366A9" w:rsidRDefault="008366A9" w:rsidP="003D0E65">
      <w:pPr>
        <w:pStyle w:val="ListParagraph"/>
        <w:numPr>
          <w:ilvl w:val="0"/>
          <w:numId w:val="37"/>
        </w:numPr>
        <w:spacing w:after="160"/>
        <w:jc w:val="both"/>
        <w:rPr>
          <w:rFonts w:asciiTheme="minorHAnsi" w:hAnsiTheme="minorHAnsi" w:cstheme="minorHAnsi"/>
          <w:b/>
          <w:color w:val="0070C0"/>
          <w:sz w:val="28"/>
          <w:szCs w:val="28"/>
        </w:rPr>
      </w:pPr>
      <w:r w:rsidRPr="008366A9">
        <w:rPr>
          <w:rFonts w:asciiTheme="minorHAnsi" w:hAnsiTheme="minorHAnsi" w:cstheme="minorHAnsi"/>
          <w:b/>
          <w:color w:val="0070C0"/>
          <w:sz w:val="28"/>
          <w:szCs w:val="28"/>
        </w:rPr>
        <w:lastRenderedPageBreak/>
        <w:t>SOURCES FOR</w:t>
      </w:r>
      <w:r w:rsidR="00723FB8">
        <w:rPr>
          <w:rFonts w:asciiTheme="minorHAnsi" w:hAnsiTheme="minorHAnsi" w:cstheme="minorHAnsi"/>
          <w:b/>
          <w:color w:val="0070C0"/>
          <w:sz w:val="28"/>
          <w:szCs w:val="28"/>
        </w:rPr>
        <w:t>,</w:t>
      </w:r>
      <w:r w:rsidRPr="008366A9">
        <w:rPr>
          <w:rFonts w:asciiTheme="minorHAnsi" w:hAnsiTheme="minorHAnsi" w:cstheme="minorHAnsi"/>
          <w:b/>
          <w:color w:val="0070C0"/>
          <w:sz w:val="28"/>
          <w:szCs w:val="28"/>
        </w:rPr>
        <w:t xml:space="preserve"> AND JUSTIFICATIONS OF</w:t>
      </w:r>
      <w:r w:rsidR="00723FB8">
        <w:rPr>
          <w:rFonts w:asciiTheme="minorHAnsi" w:hAnsiTheme="minorHAnsi" w:cstheme="minorHAnsi"/>
          <w:b/>
          <w:color w:val="0070C0"/>
          <w:sz w:val="28"/>
          <w:szCs w:val="28"/>
        </w:rPr>
        <w:t>,</w:t>
      </w:r>
      <w:r w:rsidRPr="008366A9">
        <w:rPr>
          <w:rFonts w:asciiTheme="minorHAnsi" w:hAnsiTheme="minorHAnsi" w:cstheme="minorHAnsi"/>
          <w:b/>
          <w:color w:val="0070C0"/>
          <w:sz w:val="28"/>
          <w:szCs w:val="28"/>
        </w:rPr>
        <w:t xml:space="preserve"> OUR RECOMMENDATIONS</w:t>
      </w:r>
    </w:p>
    <w:p w14:paraId="163D3D65" w14:textId="76D9BA85" w:rsidR="005A1985" w:rsidRPr="005A1985" w:rsidRDefault="005A1985" w:rsidP="003D0E65">
      <w:pPr>
        <w:jc w:val="both"/>
        <w:rPr>
          <w:rFonts w:asciiTheme="minorHAnsi" w:hAnsiTheme="minorHAnsi" w:cstheme="minorHAnsi"/>
        </w:rPr>
      </w:pPr>
      <w:r>
        <w:rPr>
          <w:rFonts w:asciiTheme="minorHAnsi" w:hAnsiTheme="minorHAnsi" w:cstheme="minorHAnsi"/>
        </w:rPr>
        <w:t>In this Part, we set forth each of our 20 recommendations in bold, followed by support for them in international, regional, and comparative hard and soft law, as well as best practices and policy considerations.</w:t>
      </w:r>
    </w:p>
    <w:p w14:paraId="519311D9" w14:textId="6E62952B" w:rsidR="00F5372C" w:rsidRPr="003D0E65" w:rsidRDefault="006B6A5F" w:rsidP="003D0E65">
      <w:pPr>
        <w:pStyle w:val="ListParagraph"/>
        <w:numPr>
          <w:ilvl w:val="0"/>
          <w:numId w:val="38"/>
        </w:numPr>
        <w:spacing w:after="160"/>
        <w:rPr>
          <w:rFonts w:asciiTheme="minorHAnsi" w:hAnsiTheme="minorHAnsi" w:cstheme="minorHAnsi"/>
          <w:b/>
          <w:color w:val="0070C0"/>
          <w:sz w:val="24"/>
          <w:szCs w:val="24"/>
        </w:rPr>
      </w:pPr>
      <w:r w:rsidRPr="00CE2307">
        <w:rPr>
          <w:rFonts w:asciiTheme="minorHAnsi" w:hAnsiTheme="minorHAnsi" w:cstheme="minorHAnsi"/>
          <w:b/>
          <w:color w:val="0070C0"/>
          <w:sz w:val="24"/>
          <w:szCs w:val="24"/>
        </w:rPr>
        <w:t xml:space="preserve">RELATIONSHIP BETWEEN ARTICLE 21 AND </w:t>
      </w:r>
      <w:r w:rsidR="000210B1" w:rsidRPr="00CE2307">
        <w:rPr>
          <w:rFonts w:asciiTheme="minorHAnsi" w:hAnsiTheme="minorHAnsi" w:cstheme="minorHAnsi"/>
          <w:b/>
          <w:color w:val="0070C0"/>
          <w:sz w:val="24"/>
          <w:szCs w:val="24"/>
        </w:rPr>
        <w:t>THE RIGHT OF ACCESS TO INFORMATION GUARANTEED BY ARTICLE 19</w:t>
      </w:r>
    </w:p>
    <w:p w14:paraId="59955B6F" w14:textId="34412582" w:rsidR="008366A9" w:rsidRDefault="008366A9" w:rsidP="003D0E65">
      <w:pPr>
        <w:pStyle w:val="ListParagraph"/>
        <w:rPr>
          <w:rFonts w:asciiTheme="minorHAnsi" w:hAnsiTheme="minorHAnsi" w:cstheme="minorHAnsi"/>
        </w:rPr>
      </w:pPr>
      <w:r w:rsidRPr="001B1A3F">
        <w:rPr>
          <w:rFonts w:asciiTheme="minorHAnsi" w:hAnsiTheme="minorHAnsi" w:cstheme="minorHAnsi"/>
        </w:rPr>
        <w:t xml:space="preserve">In order to elaborate the requirements of access to information in the context of </w:t>
      </w:r>
      <w:r>
        <w:rPr>
          <w:rFonts w:asciiTheme="minorHAnsi" w:hAnsiTheme="minorHAnsi" w:cstheme="minorHAnsi"/>
        </w:rPr>
        <w:t>S</w:t>
      </w:r>
      <w:r w:rsidRPr="001B1A3F">
        <w:rPr>
          <w:rFonts w:asciiTheme="minorHAnsi" w:hAnsiTheme="minorHAnsi" w:cstheme="minorHAnsi"/>
        </w:rPr>
        <w:t xml:space="preserve">tate responsibility to respect, protect and fulfil the right to peaceful assembly, the Justice Initiative and CAJ – in consultation with civil society groups, police officials, and other experts around the world – drafted a set of Principles and Guidelines on Protest </w:t>
      </w:r>
      <w:r>
        <w:rPr>
          <w:rStyle w:val="FootnoteReference"/>
          <w:rFonts w:asciiTheme="minorHAnsi" w:hAnsiTheme="minorHAnsi" w:cstheme="minorHAnsi"/>
        </w:rPr>
        <w:footnoteReference w:id="1"/>
      </w:r>
      <w:r w:rsidRPr="001B1A3F">
        <w:rPr>
          <w:rFonts w:asciiTheme="minorHAnsi" w:hAnsiTheme="minorHAnsi" w:cstheme="minorHAnsi"/>
        </w:rPr>
        <w:t>and the Right to Information (“Principles on Protest and RTI”), that are in the process of being considered for endorsement by various inter-governmental and expert bodies.</w:t>
      </w:r>
      <w:r w:rsidRPr="001B1A3F">
        <w:rPr>
          <w:rStyle w:val="FootnoteReference"/>
          <w:rFonts w:asciiTheme="minorHAnsi" w:hAnsiTheme="minorHAnsi" w:cstheme="minorHAnsi"/>
        </w:rPr>
        <w:footnoteReference w:id="2"/>
      </w:r>
      <w:r w:rsidRPr="001B1A3F">
        <w:rPr>
          <w:rFonts w:asciiTheme="minorHAnsi" w:hAnsiTheme="minorHAnsi" w:cstheme="minorHAnsi"/>
        </w:rPr>
        <w:t xml:space="preserve">  </w:t>
      </w:r>
      <w:r>
        <w:rPr>
          <w:rFonts w:asciiTheme="minorHAnsi" w:hAnsiTheme="minorHAnsi" w:cstheme="minorHAnsi"/>
        </w:rPr>
        <w:t>S</w:t>
      </w:r>
      <w:r w:rsidRPr="008366A9">
        <w:rPr>
          <w:rFonts w:asciiTheme="minorHAnsi" w:hAnsiTheme="minorHAnsi" w:cstheme="minorHAnsi"/>
        </w:rPr>
        <w:t>everal of the</w:t>
      </w:r>
      <w:r>
        <w:rPr>
          <w:rFonts w:asciiTheme="minorHAnsi" w:hAnsiTheme="minorHAnsi" w:cstheme="minorHAnsi"/>
        </w:rPr>
        <w:t xml:space="preserve">se </w:t>
      </w:r>
      <w:r w:rsidRPr="008366A9">
        <w:rPr>
          <w:rFonts w:asciiTheme="minorHAnsi" w:hAnsiTheme="minorHAnsi" w:cstheme="minorHAnsi"/>
        </w:rPr>
        <w:t xml:space="preserve">principles, </w:t>
      </w:r>
      <w:r>
        <w:rPr>
          <w:rFonts w:asciiTheme="minorHAnsi" w:hAnsiTheme="minorHAnsi" w:cstheme="minorHAnsi"/>
        </w:rPr>
        <w:t xml:space="preserve">as well as other sources, are referenced </w:t>
      </w:r>
      <w:r w:rsidRPr="008366A9">
        <w:rPr>
          <w:rFonts w:asciiTheme="minorHAnsi" w:hAnsiTheme="minorHAnsi" w:cstheme="minorHAnsi"/>
        </w:rPr>
        <w:t xml:space="preserve">in the following sub-sections: </w:t>
      </w:r>
    </w:p>
    <w:p w14:paraId="51E1A636" w14:textId="37835B33" w:rsidR="008366A9" w:rsidRDefault="008366A9" w:rsidP="003D0E65">
      <w:pPr>
        <w:pStyle w:val="ListParagraph"/>
        <w:numPr>
          <w:ilvl w:val="0"/>
          <w:numId w:val="39"/>
        </w:numPr>
        <w:rPr>
          <w:rFonts w:asciiTheme="minorHAnsi" w:hAnsiTheme="minorHAnsi" w:cstheme="minorHAnsi"/>
        </w:rPr>
      </w:pPr>
      <w:r w:rsidRPr="003D0E65">
        <w:rPr>
          <w:rFonts w:asciiTheme="minorHAnsi" w:hAnsiTheme="minorHAnsi" w:cstheme="minorHAnsi"/>
        </w:rPr>
        <w:t xml:space="preserve">access to laws, policies, and information necessary to safeguard rights to peaceful assembly; </w:t>
      </w:r>
      <w:r w:rsidR="00126572" w:rsidRPr="003D0E65">
        <w:rPr>
          <w:rFonts w:asciiTheme="minorHAnsi" w:hAnsiTheme="minorHAnsi" w:cstheme="minorHAnsi"/>
        </w:rPr>
        <w:t xml:space="preserve"> </w:t>
      </w:r>
    </w:p>
    <w:p w14:paraId="15D9E60B" w14:textId="235284C4" w:rsidR="000C0545" w:rsidRPr="003D0E65" w:rsidRDefault="003D0E65" w:rsidP="003D0E65">
      <w:pPr>
        <w:pStyle w:val="ListParagraph"/>
        <w:numPr>
          <w:ilvl w:val="0"/>
          <w:numId w:val="39"/>
        </w:numPr>
        <w:spacing w:after="160"/>
        <w:rPr>
          <w:rFonts w:asciiTheme="minorHAnsi" w:hAnsiTheme="minorHAnsi" w:cstheme="minorHAnsi"/>
        </w:rPr>
      </w:pPr>
      <w:r>
        <w:rPr>
          <w:rFonts w:asciiTheme="minorHAnsi" w:hAnsiTheme="minorHAnsi" w:cstheme="minorHAnsi"/>
        </w:rPr>
        <w:t>t</w:t>
      </w:r>
      <w:r w:rsidR="00126572" w:rsidRPr="003D0E65">
        <w:rPr>
          <w:rFonts w:asciiTheme="minorHAnsi" w:hAnsiTheme="minorHAnsi" w:cstheme="minorHAnsi"/>
        </w:rPr>
        <w:t>ransparency and timely communication of decisions concerning an assembly</w:t>
      </w:r>
      <w:r w:rsidR="008366A9" w:rsidRPr="003D0E65">
        <w:rPr>
          <w:rFonts w:asciiTheme="minorHAnsi" w:hAnsiTheme="minorHAnsi" w:cstheme="minorHAnsi"/>
        </w:rPr>
        <w:t xml:space="preserve">. </w:t>
      </w:r>
    </w:p>
    <w:p w14:paraId="08C95527" w14:textId="7F5CE90B" w:rsidR="008366A9" w:rsidRDefault="000C0545" w:rsidP="000C0545">
      <w:pPr>
        <w:tabs>
          <w:tab w:val="left" w:pos="392"/>
        </w:tabs>
        <w:ind w:left="720"/>
        <w:outlineLvl w:val="0"/>
        <w:rPr>
          <w:rFonts w:asciiTheme="minorHAnsi" w:hAnsiTheme="minorHAnsi" w:cstheme="minorHAnsi"/>
          <w:b/>
        </w:rPr>
      </w:pPr>
      <w:r w:rsidRPr="000C0545">
        <w:rPr>
          <w:rFonts w:asciiTheme="minorHAnsi" w:hAnsiTheme="minorHAnsi" w:cstheme="minorHAnsi"/>
          <w:b/>
          <w:bCs/>
          <w:i/>
          <w:color w:val="0070C0"/>
        </w:rPr>
        <w:t xml:space="preserve">Access to laws, policies, and information necessary to safeguard the right to peaceful assembly </w:t>
      </w:r>
    </w:p>
    <w:p w14:paraId="118225F7" w14:textId="3343486A" w:rsidR="00BF425F" w:rsidRDefault="00024E60" w:rsidP="003D0E65">
      <w:pPr>
        <w:pStyle w:val="ListParagraph"/>
        <w:numPr>
          <w:ilvl w:val="3"/>
          <w:numId w:val="37"/>
        </w:numPr>
        <w:ind w:left="0"/>
        <w:jc w:val="both"/>
        <w:rPr>
          <w:rFonts w:asciiTheme="minorHAnsi" w:hAnsiTheme="minorHAnsi" w:cstheme="minorHAnsi"/>
          <w:b/>
        </w:rPr>
      </w:pPr>
      <w:r w:rsidRPr="008366A9">
        <w:rPr>
          <w:rFonts w:asciiTheme="minorHAnsi" w:hAnsiTheme="minorHAnsi" w:cstheme="minorHAnsi"/>
          <w:b/>
        </w:rPr>
        <w:t xml:space="preserve">The right to peaceful assembly is closely linked to the right </w:t>
      </w:r>
      <w:r w:rsidR="00524A55" w:rsidRPr="008366A9">
        <w:rPr>
          <w:rFonts w:asciiTheme="minorHAnsi" w:hAnsiTheme="minorHAnsi" w:cstheme="minorHAnsi"/>
          <w:b/>
        </w:rPr>
        <w:t xml:space="preserve">of access </w:t>
      </w:r>
      <w:r w:rsidRPr="008366A9">
        <w:rPr>
          <w:rFonts w:asciiTheme="minorHAnsi" w:hAnsiTheme="minorHAnsi" w:cstheme="minorHAnsi"/>
          <w:b/>
        </w:rPr>
        <w:t xml:space="preserve">to information </w:t>
      </w:r>
      <w:r w:rsidR="00524A55" w:rsidRPr="008366A9">
        <w:rPr>
          <w:rFonts w:asciiTheme="minorHAnsi" w:hAnsiTheme="minorHAnsi" w:cstheme="minorHAnsi"/>
          <w:b/>
        </w:rPr>
        <w:t>held by public authorities</w:t>
      </w:r>
      <w:r w:rsidR="006B6A5F" w:rsidRPr="008366A9">
        <w:rPr>
          <w:rFonts w:asciiTheme="minorHAnsi" w:hAnsiTheme="minorHAnsi" w:cstheme="minorHAnsi"/>
          <w:b/>
        </w:rPr>
        <w:t xml:space="preserve"> guaranteed by </w:t>
      </w:r>
      <w:r w:rsidR="0059348B" w:rsidRPr="008366A9">
        <w:rPr>
          <w:rFonts w:asciiTheme="minorHAnsi" w:hAnsiTheme="minorHAnsi" w:cstheme="minorHAnsi"/>
          <w:b/>
        </w:rPr>
        <w:t>A</w:t>
      </w:r>
      <w:r w:rsidR="006B6A5F" w:rsidRPr="008366A9">
        <w:rPr>
          <w:rFonts w:asciiTheme="minorHAnsi" w:hAnsiTheme="minorHAnsi" w:cstheme="minorHAnsi"/>
          <w:b/>
        </w:rPr>
        <w:t>rticle 19 ICCPR</w:t>
      </w:r>
      <w:r w:rsidRPr="008366A9">
        <w:rPr>
          <w:rFonts w:asciiTheme="minorHAnsi" w:hAnsiTheme="minorHAnsi" w:cstheme="minorHAnsi"/>
          <w:b/>
        </w:rPr>
        <w:t>.</w:t>
      </w:r>
      <w:r w:rsidR="00524A55" w:rsidRPr="008366A9">
        <w:rPr>
          <w:rFonts w:asciiTheme="minorHAnsi" w:hAnsiTheme="minorHAnsi" w:cstheme="minorHAnsi"/>
          <w:b/>
        </w:rPr>
        <w:t xml:space="preserve"> Access to information is necessary in order to enable individuals to exercise their rights in the context of assemblies and to ensure accountability.</w:t>
      </w:r>
    </w:p>
    <w:p w14:paraId="3EF28CC6" w14:textId="77777777" w:rsidR="00BF425F" w:rsidRDefault="00BF425F" w:rsidP="003D0E65">
      <w:pPr>
        <w:pStyle w:val="ListParagraph"/>
        <w:jc w:val="both"/>
        <w:rPr>
          <w:rFonts w:asciiTheme="minorHAnsi" w:hAnsiTheme="minorHAnsi" w:cstheme="minorHAnsi"/>
          <w:b/>
        </w:rPr>
      </w:pPr>
    </w:p>
    <w:p w14:paraId="744F8B8B" w14:textId="78ACA4A2" w:rsidR="00BF425F" w:rsidRPr="00126572" w:rsidRDefault="000F0E56" w:rsidP="003D0E65">
      <w:pPr>
        <w:pStyle w:val="ListParagraph"/>
        <w:numPr>
          <w:ilvl w:val="3"/>
          <w:numId w:val="37"/>
        </w:numPr>
        <w:ind w:left="0"/>
        <w:jc w:val="both"/>
        <w:rPr>
          <w:rFonts w:asciiTheme="minorHAnsi" w:hAnsiTheme="minorHAnsi" w:cstheme="minorHAnsi"/>
          <w:bCs/>
          <w:lang w:val="en-GB"/>
        </w:rPr>
      </w:pPr>
      <w:r w:rsidRPr="00BF425F">
        <w:rPr>
          <w:rFonts w:asciiTheme="minorHAnsi" w:hAnsiTheme="minorHAnsi" w:cstheme="minorHAnsi"/>
          <w:b/>
          <w:bCs/>
        </w:rPr>
        <w:t xml:space="preserve">Public authorities should proactively </w:t>
      </w:r>
      <w:r w:rsidR="00522D93" w:rsidRPr="00BF425F">
        <w:rPr>
          <w:rFonts w:asciiTheme="minorHAnsi" w:hAnsiTheme="minorHAnsi" w:cstheme="minorHAnsi"/>
          <w:b/>
          <w:bCs/>
        </w:rPr>
        <w:t xml:space="preserve">make </w:t>
      </w:r>
      <w:r w:rsidRPr="00BF425F">
        <w:rPr>
          <w:rFonts w:asciiTheme="minorHAnsi" w:hAnsiTheme="minorHAnsi" w:cstheme="minorHAnsi"/>
          <w:b/>
          <w:bCs/>
        </w:rPr>
        <w:t xml:space="preserve">available information that individuals and watchdogs need in order </w:t>
      </w:r>
      <w:r w:rsidRPr="00BF425F">
        <w:rPr>
          <w:rFonts w:asciiTheme="minorHAnsi" w:hAnsiTheme="minorHAnsi" w:cstheme="minorHAnsi"/>
          <w:b/>
          <w:bCs/>
          <w:lang w:val="en-GB"/>
        </w:rPr>
        <w:t xml:space="preserve">to be able to: (a) exercise democratic oversight of the policing of </w:t>
      </w:r>
      <w:r w:rsidR="00126572">
        <w:rPr>
          <w:rFonts w:asciiTheme="minorHAnsi" w:hAnsiTheme="minorHAnsi" w:cstheme="minorHAnsi"/>
          <w:b/>
          <w:bCs/>
          <w:lang w:val="en-GB"/>
        </w:rPr>
        <w:t xml:space="preserve">assemblies </w:t>
      </w:r>
      <w:r w:rsidRPr="00BF425F">
        <w:rPr>
          <w:rFonts w:asciiTheme="minorHAnsi" w:hAnsiTheme="minorHAnsi" w:cstheme="minorHAnsi"/>
          <w:b/>
          <w:bCs/>
          <w:lang w:val="en-GB"/>
        </w:rPr>
        <w:t>and promote accountability; (b) safeguard rights to freedom of assembly and expression; and (c) be aware of conduct that could result in penalties.</w:t>
      </w:r>
      <w:r w:rsidR="00EE2C50">
        <w:rPr>
          <w:rStyle w:val="FootnoteReference"/>
          <w:rFonts w:asciiTheme="minorHAnsi" w:hAnsiTheme="minorHAnsi" w:cstheme="minorHAnsi"/>
          <w:b/>
          <w:bCs/>
          <w:lang w:val="en-GB"/>
        </w:rPr>
        <w:footnoteReference w:id="3"/>
      </w:r>
    </w:p>
    <w:p w14:paraId="0A58A304" w14:textId="77777777" w:rsidR="00126572" w:rsidRPr="00126572" w:rsidRDefault="00126572" w:rsidP="003D0E65">
      <w:pPr>
        <w:pStyle w:val="ListParagraph"/>
        <w:jc w:val="both"/>
        <w:rPr>
          <w:rFonts w:asciiTheme="minorHAnsi" w:hAnsiTheme="minorHAnsi" w:cstheme="minorHAnsi"/>
          <w:bCs/>
          <w:lang w:val="en-GB"/>
        </w:rPr>
      </w:pPr>
    </w:p>
    <w:p w14:paraId="2B869A3F" w14:textId="77777777" w:rsidR="00126572" w:rsidRPr="00126572" w:rsidRDefault="00126572" w:rsidP="003D0E65">
      <w:pPr>
        <w:pStyle w:val="ListParagraph"/>
        <w:numPr>
          <w:ilvl w:val="3"/>
          <w:numId w:val="37"/>
        </w:numPr>
        <w:ind w:left="0"/>
        <w:jc w:val="both"/>
        <w:rPr>
          <w:rFonts w:asciiTheme="minorHAnsi" w:hAnsiTheme="minorHAnsi" w:cstheme="minorHAnsi"/>
          <w:b/>
          <w:bCs/>
        </w:rPr>
      </w:pPr>
      <w:r w:rsidRPr="00126572">
        <w:rPr>
          <w:rFonts w:asciiTheme="minorHAnsi" w:hAnsiTheme="minorHAnsi" w:cstheme="minorHAnsi"/>
          <w:b/>
          <w:bCs/>
        </w:rPr>
        <w:t>Public authorities are obliged to take concrete steps to ensure easy, prompt, effective, and practical access to such information; and establish procedures for the timely processing of requests for information according to clear rules.</w:t>
      </w:r>
    </w:p>
    <w:p w14:paraId="558DBE8C" w14:textId="77777777" w:rsidR="00BF425F" w:rsidRDefault="00BF425F" w:rsidP="00BF425F">
      <w:pPr>
        <w:pStyle w:val="ListParagraph"/>
        <w:ind w:left="720"/>
        <w:rPr>
          <w:rFonts w:asciiTheme="minorHAnsi" w:hAnsiTheme="minorHAnsi" w:cstheme="minorHAnsi"/>
          <w:b/>
          <w:bCs/>
          <w:lang w:val="en-GB"/>
        </w:rPr>
      </w:pPr>
    </w:p>
    <w:p w14:paraId="452D8D55" w14:textId="7A5F96FC" w:rsidR="00BF425F" w:rsidRDefault="00F70FC0" w:rsidP="003D0E65">
      <w:pPr>
        <w:pStyle w:val="ListParagraph"/>
        <w:ind w:left="720"/>
        <w:jc w:val="both"/>
        <w:rPr>
          <w:rFonts w:asciiTheme="minorHAnsi" w:hAnsiTheme="minorHAnsi" w:cstheme="minorHAnsi"/>
          <w:bCs/>
          <w:lang w:val="en-GB"/>
        </w:rPr>
      </w:pPr>
      <w:r>
        <w:rPr>
          <w:rFonts w:asciiTheme="minorHAnsi" w:hAnsiTheme="minorHAnsi" w:cstheme="minorHAnsi"/>
          <w:bCs/>
          <w:lang w:val="en-GB"/>
        </w:rPr>
        <w:t>T</w:t>
      </w:r>
      <w:r w:rsidR="009373B6" w:rsidRPr="009373B6">
        <w:rPr>
          <w:rFonts w:asciiTheme="minorHAnsi" w:hAnsiTheme="minorHAnsi" w:cstheme="minorHAnsi"/>
          <w:bCs/>
          <w:lang w:val="en-GB"/>
        </w:rPr>
        <w:t xml:space="preserve">he categories of information </w:t>
      </w:r>
      <w:r w:rsidR="00126572">
        <w:rPr>
          <w:rFonts w:asciiTheme="minorHAnsi" w:hAnsiTheme="minorHAnsi" w:cstheme="minorHAnsi"/>
          <w:bCs/>
          <w:lang w:val="en-GB"/>
        </w:rPr>
        <w:t xml:space="preserve">that should be proactively made available and disclosed upon request </w:t>
      </w:r>
      <w:r w:rsidR="009373B6" w:rsidRPr="009373B6">
        <w:rPr>
          <w:rFonts w:asciiTheme="minorHAnsi" w:hAnsiTheme="minorHAnsi" w:cstheme="minorHAnsi"/>
          <w:bCs/>
          <w:lang w:val="en-GB"/>
        </w:rPr>
        <w:t xml:space="preserve">include the laws, regulations, decrees, judicial orders, policy documents, standard operating procedures, training manuals, disciplinary codes and other documents that bind or </w:t>
      </w:r>
      <w:r w:rsidR="009373B6" w:rsidRPr="009373B6">
        <w:rPr>
          <w:rFonts w:asciiTheme="minorHAnsi" w:hAnsiTheme="minorHAnsi" w:cstheme="minorHAnsi"/>
          <w:bCs/>
          <w:lang w:val="en-GB"/>
        </w:rPr>
        <w:lastRenderedPageBreak/>
        <w:t>guide law enforcement and other decision-makers concerning matters that may arise in relation to assemblies; the types of equipment used in managing assemblies; information about bodies that manage assemblies, including special military units and private security companies; and the procedures for requesting information. These documents should, at a minimum, address circumstances in which dispersal of assemblies or arrest of protesters are permissible; the permissible uses of force in various circumstances; the handling of counter-protests; the right of the media and other public watchdogs to observe and record assemblies; the use of surveillance and undercover agents; and any duties imposed on protesters, including notification requirements.</w:t>
      </w:r>
    </w:p>
    <w:p w14:paraId="25E3E82A" w14:textId="77777777" w:rsidR="00BF425F" w:rsidRPr="00BF425F" w:rsidRDefault="00BF425F" w:rsidP="003D0E65">
      <w:pPr>
        <w:pStyle w:val="ListParagraph"/>
        <w:ind w:left="720"/>
        <w:jc w:val="both"/>
        <w:rPr>
          <w:rFonts w:asciiTheme="minorHAnsi" w:hAnsiTheme="minorHAnsi" w:cstheme="minorHAnsi"/>
          <w:bCs/>
          <w:lang w:val="en-GB"/>
        </w:rPr>
      </w:pPr>
    </w:p>
    <w:p w14:paraId="6F0D677B" w14:textId="037F4041" w:rsidR="009373B6" w:rsidRPr="000A75A4" w:rsidRDefault="00F661D9" w:rsidP="003D0E65">
      <w:pPr>
        <w:pStyle w:val="ListParagraph"/>
        <w:ind w:left="720"/>
        <w:jc w:val="both"/>
        <w:rPr>
          <w:rFonts w:asciiTheme="minorHAnsi" w:hAnsiTheme="minorHAnsi" w:cstheme="minorHAnsi"/>
        </w:rPr>
      </w:pPr>
      <w:r w:rsidRPr="00522D93">
        <w:rPr>
          <w:rFonts w:asciiTheme="minorHAnsi" w:hAnsiTheme="minorHAnsi" w:cstheme="minorHAnsi"/>
        </w:rPr>
        <w:t xml:space="preserve">Public access to information </w:t>
      </w:r>
      <w:r w:rsidR="00126572">
        <w:rPr>
          <w:rFonts w:asciiTheme="minorHAnsi" w:hAnsiTheme="minorHAnsi" w:cstheme="minorHAnsi"/>
        </w:rPr>
        <w:t xml:space="preserve">about assemblies </w:t>
      </w:r>
      <w:r w:rsidRPr="00522D93">
        <w:rPr>
          <w:rFonts w:asciiTheme="minorHAnsi" w:hAnsiTheme="minorHAnsi" w:cstheme="minorHAnsi"/>
        </w:rPr>
        <w:t xml:space="preserve">is important for at least </w:t>
      </w:r>
      <w:r w:rsidRPr="000A75A4">
        <w:rPr>
          <w:rFonts w:asciiTheme="minorHAnsi" w:hAnsiTheme="minorHAnsi" w:cstheme="minorHAnsi"/>
        </w:rPr>
        <w:t>three reasons. First, public watchdogs – including groups that engage in protests,</w:t>
      </w:r>
      <w:r w:rsidR="000468A3" w:rsidRPr="000A75A4">
        <w:rPr>
          <w:rFonts w:asciiTheme="minorHAnsi" w:hAnsiTheme="minorHAnsi" w:cstheme="minorHAnsi"/>
        </w:rPr>
        <w:t xml:space="preserve"> police reformers, journalists, </w:t>
      </w:r>
      <w:r w:rsidRPr="000A75A4">
        <w:rPr>
          <w:rFonts w:asciiTheme="minorHAnsi" w:hAnsiTheme="minorHAnsi" w:cstheme="minorHAnsi"/>
        </w:rPr>
        <w:t>and legislators – need access to this information in order to be assured that the police are prepared to handle protests; assess whether the laws, policies and SOPs adequately respect human rights; challenge the SOPs if they think they encroach on rights; and monitor police conduct according to the rules the police set for themselves.</w:t>
      </w:r>
      <w:r w:rsidR="00C71D40" w:rsidRPr="000A75A4">
        <w:rPr>
          <w:rStyle w:val="FootnoteReference"/>
          <w:rFonts w:asciiTheme="minorHAnsi" w:hAnsiTheme="minorHAnsi" w:cstheme="minorHAnsi"/>
        </w:rPr>
        <w:footnoteReference w:id="4"/>
      </w:r>
      <w:r w:rsidRPr="000A75A4">
        <w:rPr>
          <w:rFonts w:asciiTheme="minorHAnsi" w:hAnsiTheme="minorHAnsi" w:cstheme="minorHAnsi"/>
        </w:rPr>
        <w:t xml:space="preserve"> </w:t>
      </w:r>
    </w:p>
    <w:p w14:paraId="63948DF1" w14:textId="77777777" w:rsidR="00DC1CB7" w:rsidRPr="000A75A4" w:rsidRDefault="00DC1CB7" w:rsidP="003D0E65">
      <w:pPr>
        <w:pStyle w:val="ListParagraph"/>
        <w:ind w:left="720"/>
        <w:jc w:val="both"/>
        <w:rPr>
          <w:rFonts w:asciiTheme="minorHAnsi" w:hAnsiTheme="minorHAnsi" w:cstheme="minorHAnsi"/>
        </w:rPr>
      </w:pPr>
    </w:p>
    <w:p w14:paraId="4C8D266E" w14:textId="57681B5B" w:rsidR="000468A3" w:rsidRPr="000A75A4" w:rsidRDefault="00F661D9" w:rsidP="003D0E65">
      <w:pPr>
        <w:pStyle w:val="ListParagraph"/>
        <w:ind w:left="720"/>
        <w:jc w:val="both"/>
        <w:rPr>
          <w:rFonts w:asciiTheme="minorHAnsi" w:hAnsiTheme="minorHAnsi" w:cstheme="minorHAnsi"/>
        </w:rPr>
      </w:pPr>
      <w:r w:rsidRPr="000A75A4">
        <w:rPr>
          <w:rFonts w:asciiTheme="minorHAnsi" w:hAnsiTheme="minorHAnsi" w:cstheme="minorHAnsi"/>
        </w:rPr>
        <w:t xml:space="preserve">Second, the police need information in order to be prepared to manage </w:t>
      </w:r>
      <w:r w:rsidR="00126572" w:rsidRPr="000A75A4">
        <w:rPr>
          <w:rFonts w:asciiTheme="minorHAnsi" w:hAnsiTheme="minorHAnsi" w:cstheme="minorHAnsi"/>
        </w:rPr>
        <w:t xml:space="preserve">assemblies </w:t>
      </w:r>
      <w:r w:rsidR="000468A3" w:rsidRPr="000A75A4">
        <w:rPr>
          <w:rFonts w:asciiTheme="minorHAnsi" w:hAnsiTheme="minorHAnsi" w:cstheme="minorHAnsi"/>
        </w:rPr>
        <w:t>so as to e</w:t>
      </w:r>
      <w:r w:rsidRPr="000A75A4">
        <w:rPr>
          <w:rFonts w:asciiTheme="minorHAnsi" w:hAnsiTheme="minorHAnsi" w:cstheme="minorHAnsi"/>
        </w:rPr>
        <w:t xml:space="preserve">nsure that protesters are able to exercise their rights to freedom of assembly and expression while minimizing negative impacts on the mobility and interests of others. </w:t>
      </w:r>
      <w:r w:rsidR="00FC23C3" w:rsidRPr="000A75A4">
        <w:rPr>
          <w:rFonts w:asciiTheme="minorHAnsi" w:hAnsiTheme="minorHAnsi" w:cstheme="minorHAnsi"/>
        </w:rPr>
        <w:t>I</w:t>
      </w:r>
      <w:r w:rsidRPr="000A75A4">
        <w:rPr>
          <w:rFonts w:asciiTheme="minorHAnsi" w:hAnsiTheme="minorHAnsi" w:cstheme="minorHAnsi"/>
        </w:rPr>
        <w:t xml:space="preserve">nformation should be made public to improve </w:t>
      </w:r>
      <w:r w:rsidR="00D5566B" w:rsidRPr="000A75A4">
        <w:rPr>
          <w:rFonts w:asciiTheme="minorHAnsi" w:hAnsiTheme="minorHAnsi" w:cstheme="minorHAnsi"/>
        </w:rPr>
        <w:t xml:space="preserve">its </w:t>
      </w:r>
      <w:r w:rsidRPr="000A75A4">
        <w:rPr>
          <w:rFonts w:asciiTheme="minorHAnsi" w:hAnsiTheme="minorHAnsi" w:cstheme="minorHAnsi"/>
        </w:rPr>
        <w:t>accuracy.</w:t>
      </w:r>
      <w:r w:rsidR="006038AB" w:rsidRPr="000A75A4">
        <w:rPr>
          <w:rFonts w:asciiTheme="minorHAnsi" w:hAnsiTheme="minorHAnsi" w:cstheme="minorHAnsi"/>
        </w:rPr>
        <w:t xml:space="preserve"> As noted by two UN Special Rapporteurs in their practical recommendations for the proper management of assemblies, submitted to the Human Rights Council in February 2016 (hereafter referenced as “two UN Rapporteurs”),  “States should plan properly for assemblies, which requires the collection and analysis of information” and “[t]ransparent decision-making is central to the process of planning and facilitating of assemblies and in ensuring that any action taken by law enforcement is proportionate and necessary... .”</w:t>
      </w:r>
      <w:r w:rsidR="006038AB" w:rsidRPr="000A75A4">
        <w:rPr>
          <w:vertAlign w:val="superscript"/>
        </w:rPr>
        <w:footnoteReference w:id="5"/>
      </w:r>
    </w:p>
    <w:p w14:paraId="5E083901" w14:textId="77777777" w:rsidR="000468A3" w:rsidRPr="000A75A4" w:rsidRDefault="000468A3" w:rsidP="003D0E65">
      <w:pPr>
        <w:pStyle w:val="ListParagraph"/>
        <w:jc w:val="both"/>
        <w:rPr>
          <w:rFonts w:asciiTheme="minorHAnsi" w:hAnsiTheme="minorHAnsi" w:cstheme="minorHAnsi"/>
        </w:rPr>
      </w:pPr>
    </w:p>
    <w:p w14:paraId="28CE4B65" w14:textId="59B2D44B" w:rsidR="00F661D9" w:rsidRPr="000A75A4" w:rsidRDefault="00F661D9" w:rsidP="003D0E65">
      <w:pPr>
        <w:pStyle w:val="ListParagraph"/>
        <w:ind w:left="720"/>
        <w:jc w:val="both"/>
        <w:rPr>
          <w:rFonts w:asciiTheme="minorHAnsi" w:hAnsiTheme="minorHAnsi" w:cstheme="minorHAnsi"/>
        </w:rPr>
      </w:pPr>
      <w:r w:rsidRPr="000A75A4">
        <w:rPr>
          <w:rFonts w:asciiTheme="minorHAnsi" w:hAnsiTheme="minorHAnsi" w:cstheme="minorHAnsi"/>
        </w:rPr>
        <w:t xml:space="preserve">Third, </w:t>
      </w:r>
      <w:r w:rsidR="00056D88" w:rsidRPr="000A75A4">
        <w:rPr>
          <w:rFonts w:asciiTheme="minorHAnsi" w:hAnsiTheme="minorHAnsi" w:cstheme="minorHAnsi"/>
        </w:rPr>
        <w:t xml:space="preserve">members of the public need access to the information so that they can make informed decisions as to whether or not, </w:t>
      </w:r>
      <w:r w:rsidR="00FC23C3" w:rsidRPr="000A75A4">
        <w:rPr>
          <w:rFonts w:asciiTheme="minorHAnsi" w:hAnsiTheme="minorHAnsi" w:cstheme="minorHAnsi"/>
        </w:rPr>
        <w:t xml:space="preserve">and </w:t>
      </w:r>
      <w:r w:rsidR="00056D88" w:rsidRPr="000A75A4">
        <w:rPr>
          <w:rFonts w:asciiTheme="minorHAnsi" w:hAnsiTheme="minorHAnsi" w:cstheme="minorHAnsi"/>
        </w:rPr>
        <w:t>how</w:t>
      </w:r>
      <w:r w:rsidR="00FC23C3" w:rsidRPr="000A75A4">
        <w:rPr>
          <w:rFonts w:asciiTheme="minorHAnsi" w:hAnsiTheme="minorHAnsi" w:cstheme="minorHAnsi"/>
        </w:rPr>
        <w:t>,</w:t>
      </w:r>
      <w:r w:rsidR="00056D88" w:rsidRPr="000A75A4">
        <w:rPr>
          <w:rFonts w:asciiTheme="minorHAnsi" w:hAnsiTheme="minorHAnsi" w:cstheme="minorHAnsi"/>
        </w:rPr>
        <w:t xml:space="preserve"> to comply with the law and policies.  </w:t>
      </w:r>
      <w:r w:rsidR="00D5566B" w:rsidRPr="000A75A4">
        <w:rPr>
          <w:rFonts w:asciiTheme="minorHAnsi" w:hAnsiTheme="minorHAnsi" w:cstheme="minorHAnsi"/>
        </w:rPr>
        <w:t>Access to legislation and policies is all the more important where needed to ensure that the exercise of a fundamental human right, such as the right to free assembly, is not chilled.</w:t>
      </w:r>
    </w:p>
    <w:p w14:paraId="0EB7A5EA" w14:textId="3664BA5B" w:rsidR="00F661D9" w:rsidRPr="000A75A4" w:rsidRDefault="00F661D9" w:rsidP="003D0E65">
      <w:pPr>
        <w:pStyle w:val="ListParagraph"/>
        <w:ind w:left="1080"/>
        <w:jc w:val="both"/>
        <w:rPr>
          <w:rFonts w:asciiTheme="minorHAnsi" w:hAnsiTheme="minorHAnsi" w:cstheme="minorHAnsi"/>
        </w:rPr>
      </w:pPr>
    </w:p>
    <w:p w14:paraId="632C2325" w14:textId="013217A0" w:rsidR="009373B6" w:rsidRPr="00EE2C50" w:rsidRDefault="00F661D9" w:rsidP="003D0E65">
      <w:pPr>
        <w:pStyle w:val="ListParagraph"/>
        <w:ind w:left="720"/>
        <w:jc w:val="both"/>
        <w:rPr>
          <w:rFonts w:asciiTheme="minorHAnsi" w:hAnsiTheme="minorHAnsi" w:cstheme="minorHAnsi"/>
        </w:rPr>
      </w:pPr>
      <w:r w:rsidRPr="009373B6">
        <w:rPr>
          <w:rFonts w:asciiTheme="minorHAnsi" w:hAnsiTheme="minorHAnsi" w:cstheme="minorHAnsi"/>
        </w:rPr>
        <w:t xml:space="preserve">Support for the </w:t>
      </w:r>
      <w:r w:rsidR="00FC23C3" w:rsidRPr="009373B6">
        <w:rPr>
          <w:rFonts w:asciiTheme="minorHAnsi" w:hAnsiTheme="minorHAnsi" w:cstheme="minorHAnsi"/>
        </w:rPr>
        <w:t>p</w:t>
      </w:r>
      <w:r w:rsidRPr="009373B6">
        <w:rPr>
          <w:rFonts w:asciiTheme="minorHAnsi" w:hAnsiTheme="minorHAnsi" w:cstheme="minorHAnsi"/>
        </w:rPr>
        <w:t xml:space="preserve">rinciple that public authorities are obliged to make a range of categories of information proactively available concerning their handling of protests </w:t>
      </w:r>
      <w:r w:rsidR="00FC23C3" w:rsidRPr="009373B6">
        <w:rPr>
          <w:rFonts w:asciiTheme="minorHAnsi" w:hAnsiTheme="minorHAnsi" w:cstheme="minorHAnsi"/>
        </w:rPr>
        <w:t xml:space="preserve">is supplied by several </w:t>
      </w:r>
      <w:r w:rsidR="00FC23C3" w:rsidRPr="00EE2C50">
        <w:rPr>
          <w:rFonts w:asciiTheme="minorHAnsi" w:hAnsiTheme="minorHAnsi" w:cstheme="minorHAnsi"/>
        </w:rPr>
        <w:t>international and national laws, instruments, and standards</w:t>
      </w:r>
      <w:r w:rsidRPr="00EE2C50">
        <w:rPr>
          <w:rFonts w:asciiTheme="minorHAnsi" w:hAnsiTheme="minorHAnsi" w:cstheme="minorHAnsi"/>
        </w:rPr>
        <w:t xml:space="preserve">.  </w:t>
      </w:r>
    </w:p>
    <w:p w14:paraId="440C7773" w14:textId="77777777" w:rsidR="00BF425F" w:rsidRPr="00EE2C50" w:rsidRDefault="00BF425F" w:rsidP="003D0E65">
      <w:pPr>
        <w:pStyle w:val="ListParagraph"/>
        <w:jc w:val="both"/>
        <w:rPr>
          <w:rFonts w:asciiTheme="minorHAnsi" w:hAnsiTheme="minorHAnsi" w:cstheme="minorHAnsi"/>
        </w:rPr>
      </w:pPr>
    </w:p>
    <w:p w14:paraId="0E840DBC" w14:textId="037864C5" w:rsidR="00885235" w:rsidRPr="000A75A4" w:rsidRDefault="00501B0A" w:rsidP="003D0E65">
      <w:pPr>
        <w:pStyle w:val="ListParagraph"/>
        <w:ind w:left="720"/>
        <w:jc w:val="both"/>
        <w:rPr>
          <w:rFonts w:asciiTheme="minorHAnsi" w:hAnsiTheme="minorHAnsi" w:cstheme="minorHAnsi"/>
        </w:rPr>
      </w:pPr>
      <w:r w:rsidRPr="000A75A4">
        <w:rPr>
          <w:rFonts w:asciiTheme="minorHAnsi" w:hAnsiTheme="minorHAnsi" w:cstheme="minorHAnsi"/>
        </w:rPr>
        <w:t>M</w:t>
      </w:r>
      <w:r w:rsidR="00F661D9" w:rsidRPr="000A75A4">
        <w:rPr>
          <w:rFonts w:asciiTheme="minorHAnsi" w:hAnsiTheme="minorHAnsi" w:cstheme="minorHAnsi"/>
        </w:rPr>
        <w:t>ost importantly, t</w:t>
      </w:r>
      <w:r w:rsidR="00885235" w:rsidRPr="000A75A4">
        <w:rPr>
          <w:rFonts w:asciiTheme="minorHAnsi" w:hAnsiTheme="minorHAnsi" w:cstheme="minorHAnsi"/>
        </w:rPr>
        <w:t>h</w:t>
      </w:r>
      <w:r w:rsidR="00381C96" w:rsidRPr="000A75A4">
        <w:rPr>
          <w:rFonts w:asciiTheme="minorHAnsi" w:hAnsiTheme="minorHAnsi" w:cstheme="minorHAnsi"/>
        </w:rPr>
        <w:t>e</w:t>
      </w:r>
      <w:r w:rsidR="00885235" w:rsidRPr="000A75A4">
        <w:rPr>
          <w:rFonts w:asciiTheme="minorHAnsi" w:hAnsiTheme="minorHAnsi" w:cstheme="minorHAnsi"/>
        </w:rPr>
        <w:t xml:space="preserve"> Committee </w:t>
      </w:r>
      <w:r w:rsidR="00381C96" w:rsidRPr="000A75A4">
        <w:rPr>
          <w:rFonts w:asciiTheme="minorHAnsi" w:hAnsiTheme="minorHAnsi" w:cstheme="minorHAnsi"/>
        </w:rPr>
        <w:t xml:space="preserve">affirmed </w:t>
      </w:r>
      <w:r w:rsidR="00024E60" w:rsidRPr="000A75A4">
        <w:rPr>
          <w:rFonts w:asciiTheme="minorHAnsi" w:hAnsiTheme="minorHAnsi" w:cstheme="minorHAnsi"/>
        </w:rPr>
        <w:t xml:space="preserve">in General Comment No. 34 </w:t>
      </w:r>
      <w:r w:rsidR="00885235" w:rsidRPr="000A75A4">
        <w:rPr>
          <w:rFonts w:asciiTheme="minorHAnsi" w:hAnsiTheme="minorHAnsi" w:cstheme="minorHAnsi"/>
        </w:rPr>
        <w:t xml:space="preserve">that </w:t>
      </w:r>
      <w:r w:rsidR="00381E2A" w:rsidRPr="000A75A4">
        <w:rPr>
          <w:rFonts w:asciiTheme="minorHAnsi" w:hAnsiTheme="minorHAnsi" w:cstheme="minorHAnsi"/>
        </w:rPr>
        <w:t xml:space="preserve">Article 19 </w:t>
      </w:r>
      <w:r w:rsidR="00024E60" w:rsidRPr="000A75A4">
        <w:rPr>
          <w:rFonts w:asciiTheme="minorHAnsi" w:hAnsiTheme="minorHAnsi" w:cstheme="minorHAnsi"/>
        </w:rPr>
        <w:t xml:space="preserve">ICCPR </w:t>
      </w:r>
      <w:r w:rsidR="00885235" w:rsidRPr="000A75A4">
        <w:rPr>
          <w:rFonts w:asciiTheme="minorHAnsi" w:hAnsiTheme="minorHAnsi" w:cstheme="minorHAnsi"/>
        </w:rPr>
        <w:t>“embraces a right of access to inf</w:t>
      </w:r>
      <w:r w:rsidR="00227EB9" w:rsidRPr="000A75A4">
        <w:rPr>
          <w:rFonts w:asciiTheme="minorHAnsi" w:hAnsiTheme="minorHAnsi" w:cstheme="minorHAnsi"/>
        </w:rPr>
        <w:t xml:space="preserve">ormation held by public bodies” </w:t>
      </w:r>
      <w:r w:rsidR="00885235" w:rsidRPr="000A75A4">
        <w:rPr>
          <w:rFonts w:asciiTheme="minorHAnsi" w:hAnsiTheme="minorHAnsi" w:cstheme="minorHAnsi"/>
        </w:rPr>
        <w:t xml:space="preserve">and </w:t>
      </w:r>
      <w:r w:rsidR="00227EB9" w:rsidRPr="000A75A4">
        <w:rPr>
          <w:rFonts w:asciiTheme="minorHAnsi" w:hAnsiTheme="minorHAnsi" w:cstheme="minorHAnsi"/>
        </w:rPr>
        <w:t xml:space="preserve">that public bodies include </w:t>
      </w:r>
      <w:r w:rsidR="008E40D2" w:rsidRPr="000A75A4">
        <w:rPr>
          <w:rFonts w:asciiTheme="minorHAnsi" w:hAnsiTheme="minorHAnsi" w:cstheme="minorHAnsi"/>
        </w:rPr>
        <w:t xml:space="preserve">“all public or governmental authorities at whatever level,” as well as other entities “when such </w:t>
      </w:r>
      <w:r w:rsidR="008E40D2" w:rsidRPr="000A75A4">
        <w:rPr>
          <w:rFonts w:asciiTheme="minorHAnsi" w:hAnsiTheme="minorHAnsi" w:cstheme="minorHAnsi"/>
        </w:rPr>
        <w:lastRenderedPageBreak/>
        <w:t>entities are carrying out public functions</w:t>
      </w:r>
      <w:r w:rsidR="00FA0257" w:rsidRPr="000A75A4">
        <w:rPr>
          <w:rFonts w:asciiTheme="minorHAnsi" w:hAnsiTheme="minorHAnsi" w:cstheme="minorHAnsi"/>
        </w:rPr>
        <w:t>”</w:t>
      </w:r>
      <w:r w:rsidR="008E40D2" w:rsidRPr="000A75A4">
        <w:rPr>
          <w:rFonts w:asciiTheme="minorHAnsi" w:hAnsiTheme="minorHAnsi" w:cstheme="minorHAnsi"/>
          <w:vertAlign w:val="superscript"/>
        </w:rPr>
        <w:t xml:space="preserve"> </w:t>
      </w:r>
      <w:r w:rsidR="0059348B" w:rsidRPr="000A75A4">
        <w:rPr>
          <w:rFonts w:asciiTheme="minorHAnsi" w:hAnsiTheme="minorHAnsi" w:cstheme="minorHAnsi"/>
        </w:rPr>
        <w:t>or their actions “would impair” the right.</w:t>
      </w:r>
      <w:r w:rsidR="008E40D2" w:rsidRPr="000A75A4">
        <w:rPr>
          <w:vertAlign w:val="superscript"/>
        </w:rPr>
        <w:footnoteReference w:id="6"/>
      </w:r>
      <w:r w:rsidR="008E40D2" w:rsidRPr="000A75A4">
        <w:rPr>
          <w:rFonts w:asciiTheme="minorHAnsi" w:hAnsiTheme="minorHAnsi" w:cstheme="minorHAnsi"/>
          <w:vertAlign w:val="superscript"/>
        </w:rPr>
        <w:t xml:space="preserve">    </w:t>
      </w:r>
      <w:r w:rsidR="00885235" w:rsidRPr="000A75A4">
        <w:rPr>
          <w:rFonts w:asciiTheme="minorHAnsi" w:hAnsiTheme="minorHAnsi" w:cstheme="minorHAnsi"/>
        </w:rPr>
        <w:t xml:space="preserve"> </w:t>
      </w:r>
      <w:r w:rsidR="0059348B" w:rsidRPr="000A75A4">
        <w:rPr>
          <w:rFonts w:asciiTheme="minorHAnsi" w:hAnsiTheme="minorHAnsi" w:cstheme="minorHAnsi"/>
        </w:rPr>
        <w:t xml:space="preserve">Moreover, </w:t>
      </w:r>
      <w:r w:rsidR="00885235" w:rsidRPr="000A75A4">
        <w:rPr>
          <w:rFonts w:asciiTheme="minorHAnsi" w:hAnsiTheme="minorHAnsi" w:cstheme="minorHAnsi"/>
        </w:rPr>
        <w:t>“</w:t>
      </w:r>
      <w:r w:rsidR="004F6EFB" w:rsidRPr="000A75A4">
        <w:rPr>
          <w:rFonts w:asciiTheme="minorHAnsi" w:hAnsiTheme="minorHAnsi" w:cstheme="minorHAnsi"/>
        </w:rPr>
        <w:t>[t]</w:t>
      </w:r>
      <w:r w:rsidR="00885235" w:rsidRPr="000A75A4">
        <w:rPr>
          <w:rFonts w:asciiTheme="minorHAnsi" w:hAnsiTheme="minorHAnsi" w:cstheme="minorHAnsi"/>
        </w:rPr>
        <w:t xml:space="preserve">o give effect to the right of access to information, States parties should proactively put in the public domain Government information of public interest” </w:t>
      </w:r>
      <w:r w:rsidR="00227EB9" w:rsidRPr="000A75A4">
        <w:rPr>
          <w:rFonts w:asciiTheme="minorHAnsi" w:hAnsiTheme="minorHAnsi" w:cstheme="minorHAnsi"/>
        </w:rPr>
        <w:t>and “</w:t>
      </w:r>
      <w:r w:rsidRPr="000A75A4">
        <w:rPr>
          <w:rFonts w:asciiTheme="minorHAnsi" w:hAnsiTheme="minorHAnsi" w:cstheme="minorHAnsi"/>
        </w:rPr>
        <w:t xml:space="preserve">should </w:t>
      </w:r>
      <w:r w:rsidR="00227EB9" w:rsidRPr="000A75A4">
        <w:rPr>
          <w:rFonts w:asciiTheme="minorHAnsi" w:hAnsiTheme="minorHAnsi" w:cstheme="minorHAnsi"/>
        </w:rPr>
        <w:t xml:space="preserve">make every effort to ensure </w:t>
      </w:r>
      <w:r w:rsidRPr="000A75A4">
        <w:rPr>
          <w:rFonts w:asciiTheme="minorHAnsi" w:hAnsiTheme="minorHAnsi" w:cstheme="minorHAnsi"/>
        </w:rPr>
        <w:t xml:space="preserve">easy, prompt, effective and practical access to </w:t>
      </w:r>
      <w:r w:rsidR="00227EB9" w:rsidRPr="000A75A4">
        <w:rPr>
          <w:rFonts w:asciiTheme="minorHAnsi" w:hAnsiTheme="minorHAnsi" w:cstheme="minorHAnsi"/>
        </w:rPr>
        <w:t xml:space="preserve">such </w:t>
      </w:r>
      <w:r w:rsidRPr="000A75A4">
        <w:rPr>
          <w:rFonts w:asciiTheme="minorHAnsi" w:hAnsiTheme="minorHAnsi" w:cstheme="minorHAnsi"/>
        </w:rPr>
        <w:t>information.</w:t>
      </w:r>
      <w:r w:rsidR="00FA0257" w:rsidRPr="000A75A4">
        <w:rPr>
          <w:rFonts w:asciiTheme="minorHAnsi" w:hAnsiTheme="minorHAnsi" w:cstheme="minorHAnsi"/>
        </w:rPr>
        <w:t>”</w:t>
      </w:r>
      <w:r w:rsidRPr="000A75A4">
        <w:rPr>
          <w:rStyle w:val="FootnoteReference"/>
          <w:rFonts w:asciiTheme="minorHAnsi" w:hAnsiTheme="minorHAnsi" w:cstheme="minorHAnsi"/>
        </w:rPr>
        <w:footnoteReference w:id="7"/>
      </w:r>
      <w:r w:rsidRPr="000A75A4">
        <w:rPr>
          <w:rFonts w:asciiTheme="minorHAnsi" w:hAnsiTheme="minorHAnsi" w:cstheme="minorHAnsi"/>
        </w:rPr>
        <w:t xml:space="preserve"> </w:t>
      </w:r>
      <w:r w:rsidR="00885235" w:rsidRPr="000A75A4">
        <w:rPr>
          <w:rFonts w:asciiTheme="minorHAnsi" w:hAnsiTheme="minorHAnsi" w:cstheme="minorHAnsi"/>
        </w:rPr>
        <w:t xml:space="preserve">Laws </w:t>
      </w:r>
      <w:r w:rsidR="00736AAE" w:rsidRPr="000A75A4">
        <w:rPr>
          <w:rFonts w:asciiTheme="minorHAnsi" w:hAnsiTheme="minorHAnsi" w:cstheme="minorHAnsi"/>
        </w:rPr>
        <w:t xml:space="preserve">of </w:t>
      </w:r>
      <w:r w:rsidR="00885235" w:rsidRPr="000A75A4">
        <w:rPr>
          <w:rFonts w:asciiTheme="minorHAnsi" w:hAnsiTheme="minorHAnsi" w:cstheme="minorHAnsi"/>
        </w:rPr>
        <w:t xml:space="preserve">more </w:t>
      </w:r>
      <w:r w:rsidR="001124EC" w:rsidRPr="000A75A4">
        <w:rPr>
          <w:rFonts w:asciiTheme="minorHAnsi" w:hAnsiTheme="minorHAnsi" w:cstheme="minorHAnsi"/>
        </w:rPr>
        <w:t>than 1</w:t>
      </w:r>
      <w:r w:rsidR="00381C96" w:rsidRPr="000A75A4">
        <w:rPr>
          <w:rFonts w:asciiTheme="minorHAnsi" w:hAnsiTheme="minorHAnsi" w:cstheme="minorHAnsi"/>
        </w:rPr>
        <w:t>2</w:t>
      </w:r>
      <w:r w:rsidR="001124EC" w:rsidRPr="000A75A4">
        <w:rPr>
          <w:rFonts w:asciiTheme="minorHAnsi" w:hAnsiTheme="minorHAnsi" w:cstheme="minorHAnsi"/>
        </w:rPr>
        <w:t xml:space="preserve">0 countries </w:t>
      </w:r>
      <w:r w:rsidR="00885235" w:rsidRPr="000A75A4">
        <w:rPr>
          <w:rFonts w:asciiTheme="minorHAnsi" w:hAnsiTheme="minorHAnsi" w:cstheme="minorHAnsi"/>
        </w:rPr>
        <w:t>now entrench th</w:t>
      </w:r>
      <w:r w:rsidRPr="000A75A4">
        <w:rPr>
          <w:rFonts w:asciiTheme="minorHAnsi" w:hAnsiTheme="minorHAnsi" w:cstheme="minorHAnsi"/>
        </w:rPr>
        <w:t>e</w:t>
      </w:r>
      <w:r w:rsidR="00885235" w:rsidRPr="000A75A4">
        <w:rPr>
          <w:rFonts w:asciiTheme="minorHAnsi" w:hAnsiTheme="minorHAnsi" w:cstheme="minorHAnsi"/>
        </w:rPr>
        <w:t xml:space="preserve"> </w:t>
      </w:r>
      <w:r w:rsidR="00736AAE" w:rsidRPr="000A75A4">
        <w:rPr>
          <w:rFonts w:asciiTheme="minorHAnsi" w:hAnsiTheme="minorHAnsi" w:cstheme="minorHAnsi"/>
        </w:rPr>
        <w:t xml:space="preserve">right </w:t>
      </w:r>
      <w:r w:rsidRPr="000A75A4">
        <w:rPr>
          <w:rFonts w:asciiTheme="minorHAnsi" w:hAnsiTheme="minorHAnsi" w:cstheme="minorHAnsi"/>
        </w:rPr>
        <w:t xml:space="preserve">of access to information </w:t>
      </w:r>
      <w:r w:rsidR="00885235" w:rsidRPr="000A75A4">
        <w:rPr>
          <w:rFonts w:asciiTheme="minorHAnsi" w:hAnsiTheme="minorHAnsi" w:cstheme="minorHAnsi"/>
        </w:rPr>
        <w:t xml:space="preserve">in national </w:t>
      </w:r>
      <w:r w:rsidR="00885235" w:rsidRPr="000A75A4">
        <w:rPr>
          <w:rFonts w:asciiTheme="minorHAnsi" w:hAnsiTheme="minorHAnsi" w:cstheme="minorHAnsi"/>
          <w:spacing w:val="-3"/>
        </w:rPr>
        <w:t>law</w:t>
      </w:r>
      <w:r w:rsidR="00381C96" w:rsidRPr="000A75A4">
        <w:rPr>
          <w:rFonts w:asciiTheme="minorHAnsi" w:hAnsiTheme="minorHAnsi" w:cstheme="minorHAnsi"/>
          <w:spacing w:val="-3"/>
        </w:rPr>
        <w:t xml:space="preserve">, guaranteeing </w:t>
      </w:r>
      <w:r w:rsidRPr="000A75A4">
        <w:rPr>
          <w:rFonts w:asciiTheme="minorHAnsi" w:hAnsiTheme="minorHAnsi" w:cstheme="minorHAnsi"/>
          <w:spacing w:val="-3"/>
        </w:rPr>
        <w:t xml:space="preserve">the </w:t>
      </w:r>
      <w:r w:rsidR="00381C96" w:rsidRPr="000A75A4">
        <w:rPr>
          <w:rFonts w:asciiTheme="minorHAnsi" w:hAnsiTheme="minorHAnsi" w:cstheme="minorHAnsi"/>
          <w:spacing w:val="-3"/>
        </w:rPr>
        <w:t>right, at least</w:t>
      </w:r>
      <w:r w:rsidR="00163146" w:rsidRPr="000A75A4">
        <w:rPr>
          <w:rFonts w:asciiTheme="minorHAnsi" w:hAnsiTheme="minorHAnsi" w:cstheme="minorHAnsi"/>
          <w:spacing w:val="-3"/>
        </w:rPr>
        <w:t xml:space="preserve"> </w:t>
      </w:r>
      <w:r w:rsidR="007B4C7C" w:rsidRPr="000A75A4">
        <w:rPr>
          <w:rFonts w:asciiTheme="minorHAnsi" w:hAnsiTheme="minorHAnsi" w:cstheme="minorHAnsi"/>
          <w:spacing w:val="-3"/>
        </w:rPr>
        <w:t>on paper</w:t>
      </w:r>
      <w:r w:rsidR="00381C96" w:rsidRPr="000A75A4">
        <w:rPr>
          <w:rFonts w:asciiTheme="minorHAnsi" w:hAnsiTheme="minorHAnsi" w:cstheme="minorHAnsi"/>
          <w:spacing w:val="-3"/>
        </w:rPr>
        <w:t xml:space="preserve">, to </w:t>
      </w:r>
      <w:r w:rsidR="00163146" w:rsidRPr="000A75A4">
        <w:rPr>
          <w:rFonts w:asciiTheme="minorHAnsi" w:hAnsiTheme="minorHAnsi" w:cstheme="minorHAnsi"/>
          <w:spacing w:val="-3"/>
        </w:rPr>
        <w:t>nearly 90% of the world’s 7.</w:t>
      </w:r>
      <w:r w:rsidR="00725AD8" w:rsidRPr="000A75A4">
        <w:rPr>
          <w:rFonts w:asciiTheme="minorHAnsi" w:hAnsiTheme="minorHAnsi" w:cstheme="minorHAnsi"/>
          <w:spacing w:val="-3"/>
        </w:rPr>
        <w:t>7</w:t>
      </w:r>
      <w:r w:rsidR="00163146" w:rsidRPr="000A75A4">
        <w:rPr>
          <w:rFonts w:asciiTheme="minorHAnsi" w:hAnsiTheme="minorHAnsi" w:cstheme="minorHAnsi"/>
          <w:spacing w:val="-3"/>
        </w:rPr>
        <w:t xml:space="preserve"> billion total population.</w:t>
      </w:r>
      <w:r w:rsidR="00885235" w:rsidRPr="000A75A4">
        <w:rPr>
          <w:rStyle w:val="FootnoteReference"/>
          <w:rFonts w:asciiTheme="minorHAnsi" w:hAnsiTheme="minorHAnsi" w:cstheme="minorHAnsi"/>
          <w:spacing w:val="-3"/>
        </w:rPr>
        <w:footnoteReference w:id="8"/>
      </w:r>
      <w:r w:rsidR="00885235" w:rsidRPr="000A75A4">
        <w:rPr>
          <w:rFonts w:asciiTheme="minorHAnsi" w:hAnsiTheme="minorHAnsi" w:cstheme="minorHAnsi"/>
          <w:spacing w:val="-3"/>
          <w:position w:val="7"/>
        </w:rPr>
        <w:t xml:space="preserve"> </w:t>
      </w:r>
    </w:p>
    <w:p w14:paraId="7B0FAD99" w14:textId="77777777" w:rsidR="00885235" w:rsidRPr="000A75A4" w:rsidRDefault="00885235" w:rsidP="003D0E65">
      <w:pPr>
        <w:pStyle w:val="ListParagraph"/>
        <w:ind w:left="1080"/>
        <w:jc w:val="both"/>
        <w:rPr>
          <w:rFonts w:asciiTheme="minorHAnsi" w:hAnsiTheme="minorHAnsi" w:cstheme="minorHAnsi"/>
        </w:rPr>
      </w:pPr>
    </w:p>
    <w:p w14:paraId="4D205DFE" w14:textId="54A00786" w:rsidR="00413C1C" w:rsidRPr="000A75A4" w:rsidRDefault="004F6EFB" w:rsidP="003D0E65">
      <w:pPr>
        <w:pStyle w:val="ListParagraph"/>
        <w:ind w:left="720"/>
        <w:jc w:val="both"/>
        <w:rPr>
          <w:rFonts w:asciiTheme="minorHAnsi" w:hAnsiTheme="minorHAnsi" w:cstheme="minorHAnsi"/>
        </w:rPr>
      </w:pPr>
      <w:r w:rsidRPr="000A75A4">
        <w:rPr>
          <w:rFonts w:asciiTheme="minorHAnsi" w:hAnsiTheme="minorHAnsi" w:cstheme="minorHAnsi"/>
        </w:rPr>
        <w:t xml:space="preserve">The right to protest-related information is further bolstered by </w:t>
      </w:r>
      <w:r w:rsidR="00885235" w:rsidRPr="000A75A4">
        <w:rPr>
          <w:rFonts w:asciiTheme="minorHAnsi" w:hAnsiTheme="minorHAnsi" w:cstheme="minorHAnsi"/>
        </w:rPr>
        <w:t xml:space="preserve">the right of individuals to information </w:t>
      </w:r>
      <w:r w:rsidR="00885235" w:rsidRPr="000A75A4">
        <w:rPr>
          <w:rFonts w:asciiTheme="minorHAnsi" w:hAnsiTheme="minorHAnsi" w:cstheme="minorHAnsi"/>
          <w:iCs/>
        </w:rPr>
        <w:t>concerning them</w:t>
      </w:r>
      <w:r w:rsidR="004434B3" w:rsidRPr="000A75A4">
        <w:rPr>
          <w:rFonts w:asciiTheme="minorHAnsi" w:hAnsiTheme="minorHAnsi" w:cstheme="minorHAnsi"/>
          <w:iCs/>
        </w:rPr>
        <w:t>selves</w:t>
      </w:r>
      <w:r w:rsidR="00885235" w:rsidRPr="000A75A4">
        <w:rPr>
          <w:rFonts w:asciiTheme="minorHAnsi" w:hAnsiTheme="minorHAnsi" w:cstheme="minorHAnsi"/>
        </w:rPr>
        <w:t xml:space="preserve"> that may affect their rights</w:t>
      </w:r>
      <w:r w:rsidR="001F049C" w:rsidRPr="000A75A4">
        <w:rPr>
          <w:rFonts w:asciiTheme="minorHAnsi" w:hAnsiTheme="minorHAnsi" w:cstheme="minorHAnsi"/>
        </w:rPr>
        <w:t xml:space="preserve">, pursuant to </w:t>
      </w:r>
      <w:r w:rsidR="0059348B" w:rsidRPr="000A75A4">
        <w:rPr>
          <w:rFonts w:asciiTheme="minorHAnsi" w:hAnsiTheme="minorHAnsi" w:cstheme="minorHAnsi"/>
        </w:rPr>
        <w:t>the right to privacy under A</w:t>
      </w:r>
      <w:r w:rsidR="001F049C" w:rsidRPr="000A75A4">
        <w:rPr>
          <w:rFonts w:asciiTheme="minorHAnsi" w:hAnsiTheme="minorHAnsi" w:cstheme="minorHAnsi"/>
        </w:rPr>
        <w:t>rticle 17 ICCPR</w:t>
      </w:r>
      <w:r w:rsidR="00F776C7" w:rsidRPr="000A75A4">
        <w:rPr>
          <w:rFonts w:asciiTheme="minorHAnsi" w:hAnsiTheme="minorHAnsi" w:cstheme="minorHAnsi"/>
        </w:rPr>
        <w:t>.</w:t>
      </w:r>
      <w:r w:rsidR="00885235" w:rsidRPr="000A75A4">
        <w:rPr>
          <w:rStyle w:val="FootnoteReference"/>
          <w:rFonts w:asciiTheme="minorHAnsi" w:hAnsiTheme="minorHAnsi" w:cstheme="minorHAnsi"/>
        </w:rPr>
        <w:footnoteReference w:id="9"/>
      </w:r>
      <w:r w:rsidR="00885235" w:rsidRPr="000A75A4">
        <w:rPr>
          <w:rFonts w:asciiTheme="minorHAnsi" w:hAnsiTheme="minorHAnsi" w:cstheme="minorHAnsi"/>
        </w:rPr>
        <w:t xml:space="preserve"> </w:t>
      </w:r>
    </w:p>
    <w:p w14:paraId="6DC2B85B" w14:textId="77777777" w:rsidR="00413C1C" w:rsidRPr="000A75A4" w:rsidRDefault="00413C1C" w:rsidP="003D0E65">
      <w:pPr>
        <w:pStyle w:val="ListParagraph"/>
        <w:ind w:left="360"/>
        <w:jc w:val="both"/>
        <w:rPr>
          <w:rFonts w:asciiTheme="minorHAnsi" w:hAnsiTheme="minorHAnsi" w:cstheme="minorHAnsi"/>
        </w:rPr>
      </w:pPr>
    </w:p>
    <w:p w14:paraId="2383D1A7" w14:textId="23F20DA5" w:rsidR="00885235" w:rsidRPr="000A75A4" w:rsidRDefault="00F776C7" w:rsidP="003D0E65">
      <w:pPr>
        <w:pStyle w:val="ListParagraph"/>
        <w:ind w:left="720"/>
        <w:jc w:val="both"/>
        <w:rPr>
          <w:rFonts w:asciiTheme="minorHAnsi" w:hAnsiTheme="minorHAnsi" w:cstheme="minorHAnsi"/>
        </w:rPr>
      </w:pPr>
      <w:r w:rsidRPr="000A75A4">
        <w:rPr>
          <w:rFonts w:asciiTheme="minorHAnsi" w:hAnsiTheme="minorHAnsi" w:cstheme="minorHAnsi"/>
        </w:rPr>
        <w:t xml:space="preserve">Protesters who suffer grave human rights violations, for instance as the result of excessive use of force, </w:t>
      </w:r>
      <w:r w:rsidR="00885235" w:rsidRPr="000A75A4">
        <w:rPr>
          <w:rFonts w:asciiTheme="minorHAnsi" w:hAnsiTheme="minorHAnsi" w:cstheme="minorHAnsi"/>
        </w:rPr>
        <w:t xml:space="preserve">also </w:t>
      </w:r>
      <w:r w:rsidRPr="000A75A4">
        <w:rPr>
          <w:rFonts w:asciiTheme="minorHAnsi" w:hAnsiTheme="minorHAnsi" w:cstheme="minorHAnsi"/>
        </w:rPr>
        <w:t xml:space="preserve">have a </w:t>
      </w:r>
      <w:r w:rsidR="00885235" w:rsidRPr="000A75A4">
        <w:rPr>
          <w:rFonts w:asciiTheme="minorHAnsi" w:hAnsiTheme="minorHAnsi" w:cstheme="minorHAnsi"/>
        </w:rPr>
        <w:t>right to truth</w:t>
      </w:r>
      <w:r w:rsidR="000167F5" w:rsidRPr="000A75A4">
        <w:rPr>
          <w:rFonts w:asciiTheme="minorHAnsi" w:hAnsiTheme="minorHAnsi" w:cstheme="minorHAnsi"/>
        </w:rPr>
        <w:t xml:space="preserve"> (namely, the right of human rights victims, their families and society at large to know about </w:t>
      </w:r>
      <w:r w:rsidRPr="000A75A4">
        <w:rPr>
          <w:rFonts w:asciiTheme="minorHAnsi" w:hAnsiTheme="minorHAnsi" w:cstheme="minorHAnsi"/>
        </w:rPr>
        <w:t>grave</w:t>
      </w:r>
      <w:r w:rsidR="008A1B90" w:rsidRPr="000A75A4">
        <w:rPr>
          <w:rFonts w:asciiTheme="minorHAnsi" w:hAnsiTheme="minorHAnsi" w:cstheme="minorHAnsi"/>
        </w:rPr>
        <w:t xml:space="preserve"> human rights</w:t>
      </w:r>
      <w:r w:rsidRPr="000A75A4">
        <w:rPr>
          <w:rFonts w:asciiTheme="minorHAnsi" w:hAnsiTheme="minorHAnsi" w:cstheme="minorHAnsi"/>
        </w:rPr>
        <w:t xml:space="preserve"> </w:t>
      </w:r>
      <w:r w:rsidR="000167F5" w:rsidRPr="000A75A4">
        <w:rPr>
          <w:rFonts w:asciiTheme="minorHAnsi" w:hAnsiTheme="minorHAnsi" w:cstheme="minorHAnsi"/>
        </w:rPr>
        <w:t>violations, including why committed and by whom</w:t>
      </w:r>
      <w:r w:rsidR="00885235" w:rsidRPr="000A75A4">
        <w:rPr>
          <w:rFonts w:asciiTheme="minorHAnsi" w:hAnsiTheme="minorHAnsi" w:cstheme="minorHAnsi"/>
        </w:rPr>
        <w:t>,</w:t>
      </w:r>
      <w:r w:rsidR="000167F5" w:rsidRPr="000A75A4">
        <w:rPr>
          <w:rFonts w:asciiTheme="minorHAnsi" w:hAnsiTheme="minorHAnsi" w:cstheme="minorHAnsi"/>
        </w:rPr>
        <w:t xml:space="preserve"> and to be able to seek and obtain appropriate remedies)</w:t>
      </w:r>
      <w:r w:rsidR="008D0300" w:rsidRPr="000A75A4">
        <w:rPr>
          <w:rFonts w:asciiTheme="minorHAnsi" w:hAnsiTheme="minorHAnsi" w:cstheme="minorHAnsi"/>
        </w:rPr>
        <w:t>.</w:t>
      </w:r>
      <w:r w:rsidR="00413C1C" w:rsidRPr="000A75A4">
        <w:rPr>
          <w:rStyle w:val="FootnoteReference"/>
          <w:rFonts w:asciiTheme="minorHAnsi" w:hAnsiTheme="minorHAnsi" w:cstheme="minorHAnsi"/>
        </w:rPr>
        <w:footnoteReference w:id="10"/>
      </w:r>
      <w:r w:rsidR="008D0300" w:rsidRPr="000A75A4">
        <w:rPr>
          <w:rFonts w:asciiTheme="minorHAnsi" w:hAnsiTheme="minorHAnsi" w:cstheme="minorHAnsi"/>
        </w:rPr>
        <w:t xml:space="preserve"> </w:t>
      </w:r>
      <w:r w:rsidR="00E907A8" w:rsidRPr="000A75A4">
        <w:rPr>
          <w:rFonts w:asciiTheme="minorHAnsi" w:hAnsiTheme="minorHAnsi" w:cstheme="minorHAnsi"/>
        </w:rPr>
        <w:t xml:space="preserve">The Human Rights Council </w:t>
      </w:r>
      <w:r w:rsidR="0059348B" w:rsidRPr="000A75A4">
        <w:rPr>
          <w:rFonts w:asciiTheme="minorHAnsi" w:hAnsiTheme="minorHAnsi" w:cstheme="minorHAnsi"/>
        </w:rPr>
        <w:t xml:space="preserve">has </w:t>
      </w:r>
      <w:r w:rsidR="00E907A8" w:rsidRPr="000A75A4">
        <w:rPr>
          <w:rFonts w:asciiTheme="minorHAnsi" w:hAnsiTheme="minorHAnsi" w:cstheme="minorHAnsi"/>
        </w:rPr>
        <w:t>emphasized that the public and individuals are entitled to know the truth regarding such violations “to the fullest extent practicable, in particular, the identity of the perpetrators, the causes and facts of such violations, and the circumstances under which they occurred.</w:t>
      </w:r>
      <w:r w:rsidR="00843D6A" w:rsidRPr="000A75A4">
        <w:rPr>
          <w:rFonts w:asciiTheme="minorHAnsi" w:hAnsiTheme="minorHAnsi" w:cstheme="minorHAnsi"/>
        </w:rPr>
        <w:t>”</w:t>
      </w:r>
      <w:r w:rsidR="00E907A8" w:rsidRPr="000A75A4">
        <w:rPr>
          <w:vertAlign w:val="superscript"/>
        </w:rPr>
        <w:footnoteReference w:id="11"/>
      </w:r>
      <w:r w:rsidR="00E907A8" w:rsidRPr="000A75A4">
        <w:rPr>
          <w:rFonts w:asciiTheme="minorHAnsi" w:hAnsiTheme="minorHAnsi" w:cstheme="minorHAnsi"/>
        </w:rPr>
        <w:t xml:space="preserve"> </w:t>
      </w:r>
    </w:p>
    <w:p w14:paraId="130EABF1" w14:textId="77777777" w:rsidR="00885235" w:rsidRPr="000A75A4" w:rsidRDefault="00885235" w:rsidP="003D0E65">
      <w:pPr>
        <w:pStyle w:val="ListParagraph"/>
        <w:ind w:left="360"/>
        <w:jc w:val="both"/>
        <w:rPr>
          <w:rFonts w:asciiTheme="minorHAnsi" w:hAnsiTheme="minorHAnsi" w:cstheme="minorHAnsi"/>
        </w:rPr>
      </w:pPr>
    </w:p>
    <w:p w14:paraId="22FCB438" w14:textId="54353AB3" w:rsidR="002C1FEF" w:rsidRPr="000A75A4" w:rsidRDefault="00F71AC6" w:rsidP="003D0E65">
      <w:pPr>
        <w:pStyle w:val="ListParagraph"/>
        <w:ind w:left="720"/>
        <w:jc w:val="both"/>
        <w:rPr>
          <w:rFonts w:asciiTheme="minorHAnsi" w:hAnsiTheme="minorHAnsi" w:cstheme="minorHAnsi"/>
        </w:rPr>
      </w:pPr>
      <w:r w:rsidRPr="000A75A4">
        <w:rPr>
          <w:rFonts w:asciiTheme="minorHAnsi" w:hAnsiTheme="minorHAnsi" w:cstheme="minorHAnsi"/>
        </w:rPr>
        <w:t>D</w:t>
      </w:r>
      <w:r w:rsidR="006856C6" w:rsidRPr="000A75A4">
        <w:rPr>
          <w:rFonts w:asciiTheme="minorHAnsi" w:hAnsiTheme="minorHAnsi" w:cstheme="minorHAnsi"/>
        </w:rPr>
        <w:t xml:space="preserve">ecisions concerning the </w:t>
      </w:r>
      <w:r w:rsidR="00407658" w:rsidRPr="000A75A4">
        <w:rPr>
          <w:rFonts w:asciiTheme="minorHAnsi" w:hAnsiTheme="minorHAnsi" w:cstheme="minorHAnsi"/>
        </w:rPr>
        <w:t xml:space="preserve">management </w:t>
      </w:r>
      <w:r w:rsidR="00885235" w:rsidRPr="000A75A4">
        <w:rPr>
          <w:rFonts w:asciiTheme="minorHAnsi" w:hAnsiTheme="minorHAnsi" w:cstheme="minorHAnsi"/>
        </w:rPr>
        <w:t xml:space="preserve">of protests </w:t>
      </w:r>
      <w:r w:rsidR="001E1635" w:rsidRPr="000A75A4">
        <w:rPr>
          <w:rFonts w:asciiTheme="minorHAnsi" w:hAnsiTheme="minorHAnsi" w:cstheme="minorHAnsi"/>
          <w:lang w:val="en-GB"/>
        </w:rPr>
        <w:t xml:space="preserve">may affect the civil </w:t>
      </w:r>
      <w:r w:rsidR="008A1B90" w:rsidRPr="000A75A4">
        <w:rPr>
          <w:rFonts w:asciiTheme="minorHAnsi" w:hAnsiTheme="minorHAnsi" w:cstheme="minorHAnsi"/>
          <w:lang w:val="en-GB"/>
        </w:rPr>
        <w:t xml:space="preserve">and political </w:t>
      </w:r>
      <w:r w:rsidR="001E1635" w:rsidRPr="000A75A4">
        <w:rPr>
          <w:rFonts w:asciiTheme="minorHAnsi" w:hAnsiTheme="minorHAnsi" w:cstheme="minorHAnsi"/>
          <w:lang w:val="en-GB"/>
        </w:rPr>
        <w:t>rights of protestors</w:t>
      </w:r>
      <w:r w:rsidR="008A1B90" w:rsidRPr="000A75A4">
        <w:rPr>
          <w:rFonts w:asciiTheme="minorHAnsi" w:hAnsiTheme="minorHAnsi" w:cstheme="minorHAnsi"/>
          <w:lang w:val="en-GB"/>
        </w:rPr>
        <w:t>, including</w:t>
      </w:r>
      <w:r w:rsidR="001E1635" w:rsidRPr="000A75A4">
        <w:rPr>
          <w:rFonts w:asciiTheme="minorHAnsi" w:hAnsiTheme="minorHAnsi" w:cstheme="minorHAnsi"/>
          <w:lang w:val="en-GB"/>
        </w:rPr>
        <w:t xml:space="preserve"> to free</w:t>
      </w:r>
      <w:r w:rsidR="005F0FEA" w:rsidRPr="000A75A4">
        <w:rPr>
          <w:rFonts w:asciiTheme="minorHAnsi" w:hAnsiTheme="minorHAnsi" w:cstheme="minorHAnsi"/>
          <w:lang w:val="en-GB"/>
        </w:rPr>
        <w:t>dom of</w:t>
      </w:r>
      <w:r w:rsidR="001E1635" w:rsidRPr="000A75A4">
        <w:rPr>
          <w:rFonts w:asciiTheme="minorHAnsi" w:hAnsiTheme="minorHAnsi" w:cstheme="minorHAnsi"/>
          <w:lang w:val="en-GB"/>
        </w:rPr>
        <w:t xml:space="preserve"> expression</w:t>
      </w:r>
      <w:r w:rsidR="008A1B90" w:rsidRPr="000A75A4">
        <w:rPr>
          <w:rFonts w:asciiTheme="minorHAnsi" w:hAnsiTheme="minorHAnsi" w:cstheme="minorHAnsi"/>
          <w:lang w:val="en-GB"/>
        </w:rPr>
        <w:t>,</w:t>
      </w:r>
      <w:r w:rsidR="001E1635" w:rsidRPr="000A75A4">
        <w:rPr>
          <w:rFonts w:asciiTheme="minorHAnsi" w:hAnsiTheme="minorHAnsi" w:cstheme="minorHAnsi"/>
          <w:lang w:val="en-GB"/>
        </w:rPr>
        <w:t xml:space="preserve"> assembly</w:t>
      </w:r>
      <w:r w:rsidR="008A1B90" w:rsidRPr="000A75A4">
        <w:rPr>
          <w:rFonts w:asciiTheme="minorHAnsi" w:hAnsiTheme="minorHAnsi" w:cstheme="minorHAnsi"/>
          <w:lang w:val="en-GB"/>
        </w:rPr>
        <w:t>, association, and participation in public affairs</w:t>
      </w:r>
      <w:r w:rsidR="001E1635" w:rsidRPr="000A75A4">
        <w:rPr>
          <w:rFonts w:asciiTheme="minorHAnsi" w:hAnsiTheme="minorHAnsi" w:cstheme="minorHAnsi"/>
          <w:lang w:val="en-GB"/>
        </w:rPr>
        <w:t xml:space="preserve">. </w:t>
      </w:r>
      <w:r w:rsidR="00B3643B" w:rsidRPr="000A75A4">
        <w:rPr>
          <w:rFonts w:asciiTheme="minorHAnsi" w:hAnsiTheme="minorHAnsi" w:cstheme="minorHAnsi"/>
          <w:lang w:val="en-GB"/>
        </w:rPr>
        <w:t>G</w:t>
      </w:r>
      <w:r w:rsidR="001E1635" w:rsidRPr="000A75A4">
        <w:rPr>
          <w:rFonts w:asciiTheme="minorHAnsi" w:hAnsiTheme="minorHAnsi" w:cstheme="minorHAnsi"/>
          <w:lang w:val="en-GB"/>
        </w:rPr>
        <w:t xml:space="preserve">iven </w:t>
      </w:r>
      <w:r w:rsidR="00B3643B" w:rsidRPr="000A75A4">
        <w:rPr>
          <w:rFonts w:asciiTheme="minorHAnsi" w:hAnsiTheme="minorHAnsi" w:cstheme="minorHAnsi"/>
          <w:lang w:val="en-GB"/>
        </w:rPr>
        <w:t xml:space="preserve">the right to a fair hearing </w:t>
      </w:r>
      <w:r w:rsidR="001F049C" w:rsidRPr="000A75A4">
        <w:rPr>
          <w:rFonts w:asciiTheme="minorHAnsi" w:hAnsiTheme="minorHAnsi" w:cstheme="minorHAnsi"/>
          <w:lang w:val="en-GB"/>
        </w:rPr>
        <w:t xml:space="preserve">under </w:t>
      </w:r>
      <w:r w:rsidR="0059348B" w:rsidRPr="000A75A4">
        <w:rPr>
          <w:rFonts w:asciiTheme="minorHAnsi" w:hAnsiTheme="minorHAnsi" w:cstheme="minorHAnsi"/>
          <w:lang w:val="en-GB"/>
        </w:rPr>
        <w:t>A</w:t>
      </w:r>
      <w:r w:rsidR="001F049C" w:rsidRPr="000A75A4">
        <w:rPr>
          <w:rFonts w:asciiTheme="minorHAnsi" w:hAnsiTheme="minorHAnsi" w:cstheme="minorHAnsi"/>
          <w:lang w:val="en-GB"/>
        </w:rPr>
        <w:t xml:space="preserve">rticle 14 ICCPR </w:t>
      </w:r>
      <w:r w:rsidR="00B3643B" w:rsidRPr="000A75A4">
        <w:rPr>
          <w:rFonts w:asciiTheme="minorHAnsi" w:hAnsiTheme="minorHAnsi" w:cstheme="minorHAnsi"/>
          <w:lang w:val="en-GB"/>
        </w:rPr>
        <w:t xml:space="preserve">for the determination of civil </w:t>
      </w:r>
      <w:r w:rsidR="008A1B90" w:rsidRPr="000A75A4">
        <w:rPr>
          <w:rFonts w:asciiTheme="minorHAnsi" w:hAnsiTheme="minorHAnsi" w:cstheme="minorHAnsi"/>
          <w:lang w:val="en-GB"/>
        </w:rPr>
        <w:t xml:space="preserve">and political </w:t>
      </w:r>
      <w:r w:rsidR="00B3643B" w:rsidRPr="000A75A4">
        <w:rPr>
          <w:rFonts w:asciiTheme="minorHAnsi" w:hAnsiTheme="minorHAnsi" w:cstheme="minorHAnsi"/>
          <w:lang w:val="en-GB"/>
        </w:rPr>
        <w:t>rights,</w:t>
      </w:r>
      <w:r w:rsidR="00B3643B" w:rsidRPr="000A75A4">
        <w:rPr>
          <w:rStyle w:val="FootnoteReference"/>
          <w:rFonts w:asciiTheme="minorHAnsi" w:hAnsiTheme="minorHAnsi" w:cstheme="minorHAnsi"/>
          <w:lang w:val="en-GB"/>
        </w:rPr>
        <w:footnoteReference w:id="12"/>
      </w:r>
      <w:r w:rsidR="00B3643B" w:rsidRPr="000A75A4">
        <w:rPr>
          <w:rFonts w:asciiTheme="minorHAnsi" w:hAnsiTheme="minorHAnsi" w:cstheme="minorHAnsi"/>
          <w:lang w:val="en-GB"/>
        </w:rPr>
        <w:t xml:space="preserve"> protesters also need </w:t>
      </w:r>
      <w:r w:rsidR="00885235" w:rsidRPr="000A75A4">
        <w:rPr>
          <w:rFonts w:asciiTheme="minorHAnsi" w:hAnsiTheme="minorHAnsi" w:cstheme="minorHAnsi"/>
        </w:rPr>
        <w:t xml:space="preserve">information </w:t>
      </w:r>
      <w:r w:rsidRPr="000A75A4">
        <w:rPr>
          <w:rFonts w:asciiTheme="minorHAnsi" w:hAnsiTheme="minorHAnsi" w:cstheme="minorHAnsi"/>
        </w:rPr>
        <w:t xml:space="preserve">to defend their rights in </w:t>
      </w:r>
      <w:r w:rsidR="00885235" w:rsidRPr="000A75A4">
        <w:rPr>
          <w:rFonts w:asciiTheme="minorHAnsi" w:hAnsiTheme="minorHAnsi" w:cstheme="minorHAnsi"/>
        </w:rPr>
        <w:t xml:space="preserve">such proceedings. </w:t>
      </w:r>
    </w:p>
    <w:p w14:paraId="539A97EB" w14:textId="77777777" w:rsidR="002C1FEF" w:rsidRPr="000A75A4" w:rsidRDefault="002C1FEF" w:rsidP="003D0E65">
      <w:pPr>
        <w:pStyle w:val="ListParagraph"/>
        <w:ind w:left="360"/>
        <w:jc w:val="both"/>
        <w:rPr>
          <w:rFonts w:asciiTheme="minorHAnsi" w:hAnsiTheme="minorHAnsi" w:cstheme="minorHAnsi"/>
        </w:rPr>
      </w:pPr>
    </w:p>
    <w:p w14:paraId="02F11A92" w14:textId="61279E4C" w:rsidR="00752561" w:rsidRPr="00EE2C50" w:rsidRDefault="002C1FEF" w:rsidP="003D0E65">
      <w:pPr>
        <w:pStyle w:val="ListParagraph"/>
        <w:ind w:left="720"/>
        <w:jc w:val="both"/>
        <w:rPr>
          <w:rFonts w:asciiTheme="minorHAnsi" w:hAnsiTheme="minorHAnsi" w:cstheme="minorHAnsi"/>
        </w:rPr>
      </w:pPr>
      <w:r w:rsidRPr="000A75A4">
        <w:rPr>
          <w:rFonts w:asciiTheme="minorHAnsi" w:hAnsiTheme="minorHAnsi" w:cstheme="minorHAnsi"/>
        </w:rPr>
        <w:t xml:space="preserve">The </w:t>
      </w:r>
      <w:r w:rsidR="00885235" w:rsidRPr="000A75A4">
        <w:rPr>
          <w:rFonts w:asciiTheme="minorHAnsi" w:hAnsiTheme="minorHAnsi" w:cstheme="minorHAnsi"/>
        </w:rPr>
        <w:t>two UN</w:t>
      </w:r>
      <w:r w:rsidR="007B4C7C" w:rsidRPr="000A75A4">
        <w:rPr>
          <w:rFonts w:asciiTheme="minorHAnsi" w:hAnsiTheme="minorHAnsi" w:cstheme="minorHAnsi"/>
        </w:rPr>
        <w:t xml:space="preserve"> Special</w:t>
      </w:r>
      <w:r w:rsidR="00885235" w:rsidRPr="000A75A4">
        <w:rPr>
          <w:rFonts w:asciiTheme="minorHAnsi" w:hAnsiTheme="minorHAnsi" w:cstheme="minorHAnsi"/>
        </w:rPr>
        <w:t xml:space="preserve"> Rapporteurs </w:t>
      </w:r>
      <w:r w:rsidRPr="000A75A4">
        <w:rPr>
          <w:rFonts w:asciiTheme="minorHAnsi" w:hAnsiTheme="minorHAnsi" w:cstheme="minorHAnsi"/>
        </w:rPr>
        <w:t xml:space="preserve">affirm the importance of the right of access to information in </w:t>
      </w:r>
      <w:r w:rsidR="00D225FD" w:rsidRPr="000A75A4">
        <w:rPr>
          <w:rFonts w:asciiTheme="minorHAnsi" w:hAnsiTheme="minorHAnsi" w:cstheme="minorHAnsi"/>
        </w:rPr>
        <w:t>several sections</w:t>
      </w:r>
      <w:r w:rsidR="00845EB5" w:rsidRPr="000A75A4">
        <w:rPr>
          <w:rFonts w:asciiTheme="minorHAnsi" w:hAnsiTheme="minorHAnsi" w:cstheme="minorHAnsi"/>
        </w:rPr>
        <w:t xml:space="preserve"> of their report</w:t>
      </w:r>
      <w:r w:rsidR="00D225FD" w:rsidRPr="000A75A4">
        <w:rPr>
          <w:rFonts w:asciiTheme="minorHAnsi" w:hAnsiTheme="minorHAnsi" w:cstheme="minorHAnsi"/>
        </w:rPr>
        <w:t>.</w:t>
      </w:r>
      <w:r w:rsidR="00845EB5" w:rsidRPr="000A75A4">
        <w:rPr>
          <w:rFonts w:asciiTheme="minorHAnsi" w:hAnsiTheme="minorHAnsi" w:cstheme="minorHAnsi"/>
        </w:rPr>
        <w:t xml:space="preserve"> </w:t>
      </w:r>
      <w:r w:rsidR="00D225FD" w:rsidRPr="000A75A4">
        <w:rPr>
          <w:rFonts w:asciiTheme="minorHAnsi" w:hAnsiTheme="minorHAnsi" w:cstheme="minorHAnsi"/>
        </w:rPr>
        <w:t xml:space="preserve"> </w:t>
      </w:r>
      <w:r w:rsidR="00885235" w:rsidRPr="000A75A4">
        <w:rPr>
          <w:rFonts w:asciiTheme="minorHAnsi" w:hAnsiTheme="minorHAnsi" w:cstheme="minorHAnsi"/>
        </w:rPr>
        <w:t>Recommendation H</w:t>
      </w:r>
      <w:r w:rsidR="00D225FD" w:rsidRPr="000A75A4">
        <w:rPr>
          <w:rFonts w:asciiTheme="minorHAnsi" w:hAnsiTheme="minorHAnsi" w:cstheme="minorHAnsi"/>
        </w:rPr>
        <w:t xml:space="preserve"> begins with the assertion that the “ability to access information is essential to enabling individuals to exercise their rights in the context of </w:t>
      </w:r>
      <w:r w:rsidR="00D225FD" w:rsidRPr="00EE2C50">
        <w:rPr>
          <w:rFonts w:asciiTheme="minorHAnsi" w:hAnsiTheme="minorHAnsi" w:cstheme="minorHAnsi"/>
        </w:rPr>
        <w:t>assemblies and to ensuring accountability.”</w:t>
      </w:r>
      <w:r w:rsidR="00D225FD" w:rsidRPr="00EE2C50">
        <w:rPr>
          <w:rStyle w:val="FootnoteReference"/>
          <w:rFonts w:asciiTheme="minorHAnsi" w:hAnsiTheme="minorHAnsi" w:cstheme="minorHAnsi"/>
        </w:rPr>
        <w:footnoteReference w:id="13"/>
      </w:r>
      <w:r w:rsidR="008C0631" w:rsidRPr="00EE2C50">
        <w:rPr>
          <w:rFonts w:asciiTheme="minorHAnsi" w:hAnsiTheme="minorHAnsi" w:cstheme="minorHAnsi"/>
        </w:rPr>
        <w:t xml:space="preserve"> </w:t>
      </w:r>
      <w:r w:rsidR="008D7BA4" w:rsidRPr="00EE2C50">
        <w:rPr>
          <w:rFonts w:asciiTheme="minorHAnsi" w:hAnsiTheme="minorHAnsi" w:cstheme="minorHAnsi"/>
        </w:rPr>
        <w:t xml:space="preserve">The section lists </w:t>
      </w:r>
      <w:r w:rsidR="00845EB5" w:rsidRPr="00EE2C50">
        <w:rPr>
          <w:rFonts w:asciiTheme="minorHAnsi" w:hAnsiTheme="minorHAnsi" w:cstheme="minorHAnsi"/>
        </w:rPr>
        <w:t xml:space="preserve">several </w:t>
      </w:r>
      <w:r w:rsidR="008D7BA4" w:rsidRPr="00EE2C50">
        <w:rPr>
          <w:rFonts w:asciiTheme="minorHAnsi" w:hAnsiTheme="minorHAnsi" w:cstheme="minorHAnsi"/>
        </w:rPr>
        <w:t xml:space="preserve">categories of information </w:t>
      </w:r>
      <w:r w:rsidR="00752561" w:rsidRPr="00EE2C50">
        <w:rPr>
          <w:rFonts w:asciiTheme="minorHAnsi" w:hAnsiTheme="minorHAnsi" w:cstheme="minorHAnsi"/>
        </w:rPr>
        <w:t xml:space="preserve">that </w:t>
      </w:r>
      <w:r w:rsidR="00FA0257" w:rsidRPr="00EE2C50">
        <w:rPr>
          <w:rFonts w:asciiTheme="minorHAnsi" w:hAnsiTheme="minorHAnsi" w:cstheme="minorHAnsi"/>
        </w:rPr>
        <w:t>S</w:t>
      </w:r>
      <w:r w:rsidR="00752561" w:rsidRPr="00EE2C50">
        <w:rPr>
          <w:rFonts w:asciiTheme="minorHAnsi" w:hAnsiTheme="minorHAnsi" w:cstheme="minorHAnsi"/>
        </w:rPr>
        <w:t>tates should proactively disseminate relating to the management of assemblies.</w:t>
      </w:r>
      <w:r w:rsidR="00752561" w:rsidRPr="00EE2C50">
        <w:rPr>
          <w:rStyle w:val="FootnoteReference"/>
          <w:rFonts w:asciiTheme="minorHAnsi" w:hAnsiTheme="minorHAnsi" w:cstheme="minorHAnsi"/>
        </w:rPr>
        <w:footnoteReference w:id="14"/>
      </w:r>
      <w:r w:rsidR="00752561" w:rsidRPr="00EE2C50">
        <w:rPr>
          <w:rFonts w:asciiTheme="minorHAnsi" w:hAnsiTheme="minorHAnsi" w:cstheme="minorHAnsi"/>
        </w:rPr>
        <w:t xml:space="preserve"> </w:t>
      </w:r>
      <w:r w:rsidR="00416CC5" w:rsidRPr="00EE2C50">
        <w:rPr>
          <w:rFonts w:asciiTheme="minorHAnsi" w:hAnsiTheme="minorHAnsi" w:cstheme="minorHAnsi"/>
        </w:rPr>
        <w:lastRenderedPageBreak/>
        <w:t>Recommendation D addresses the duty of States to facilitate the exercise of the right to peaceful assembly</w:t>
      </w:r>
      <w:r w:rsidR="00892FC8" w:rsidRPr="00EE2C50">
        <w:rPr>
          <w:rFonts w:asciiTheme="minorHAnsi" w:hAnsiTheme="minorHAnsi" w:cstheme="minorHAnsi"/>
        </w:rPr>
        <w:t>, including to collect, analyze and make available information in advance of a planned assembly</w:t>
      </w:r>
      <w:r w:rsidR="00416CC5" w:rsidRPr="00EE2C50">
        <w:rPr>
          <w:rFonts w:asciiTheme="minorHAnsi" w:hAnsiTheme="minorHAnsi" w:cstheme="minorHAnsi"/>
        </w:rPr>
        <w:t>.</w:t>
      </w:r>
      <w:r w:rsidR="00416CC5" w:rsidRPr="00EE2C50">
        <w:rPr>
          <w:rStyle w:val="FootnoteReference"/>
          <w:rFonts w:asciiTheme="minorHAnsi" w:hAnsiTheme="minorHAnsi" w:cstheme="minorHAnsi"/>
        </w:rPr>
        <w:footnoteReference w:id="15"/>
      </w:r>
      <w:r w:rsidR="00416CC5" w:rsidRPr="00EE2C50">
        <w:rPr>
          <w:rFonts w:asciiTheme="minorHAnsi" w:hAnsiTheme="minorHAnsi" w:cstheme="minorHAnsi"/>
        </w:rPr>
        <w:t xml:space="preserve"> </w:t>
      </w:r>
      <w:r w:rsidRPr="00EE2C50">
        <w:rPr>
          <w:rFonts w:asciiTheme="minorHAnsi" w:hAnsiTheme="minorHAnsi" w:cstheme="minorHAnsi"/>
        </w:rPr>
        <w:t>Recommendation J on State accountability note</w:t>
      </w:r>
      <w:r w:rsidR="00D225FD" w:rsidRPr="00EE2C50">
        <w:rPr>
          <w:rFonts w:asciiTheme="minorHAnsi" w:hAnsiTheme="minorHAnsi" w:cstheme="minorHAnsi"/>
        </w:rPr>
        <w:t>s</w:t>
      </w:r>
      <w:r w:rsidRPr="00EE2C50">
        <w:rPr>
          <w:rFonts w:asciiTheme="minorHAnsi" w:hAnsiTheme="minorHAnsi" w:cstheme="minorHAnsi"/>
        </w:rPr>
        <w:t xml:space="preserve"> that the right to a remedy includes “access to relevant information concerning violations and reparation mechanisms.”</w:t>
      </w:r>
      <w:r w:rsidRPr="00EE2C50">
        <w:rPr>
          <w:rStyle w:val="FootnoteReference"/>
          <w:rFonts w:asciiTheme="minorHAnsi" w:hAnsiTheme="minorHAnsi" w:cstheme="minorHAnsi"/>
        </w:rPr>
        <w:footnoteReference w:id="16"/>
      </w:r>
    </w:p>
    <w:p w14:paraId="4CC357AA" w14:textId="77777777" w:rsidR="00752561" w:rsidRPr="00EE2C50" w:rsidRDefault="00752561" w:rsidP="003D0E65">
      <w:pPr>
        <w:pStyle w:val="ListParagraph"/>
        <w:ind w:left="1080"/>
        <w:jc w:val="both"/>
        <w:rPr>
          <w:rFonts w:asciiTheme="minorHAnsi" w:hAnsiTheme="minorHAnsi" w:cstheme="minorHAnsi"/>
        </w:rPr>
      </w:pPr>
    </w:p>
    <w:p w14:paraId="14788739" w14:textId="00483D4E" w:rsidR="00752561" w:rsidRPr="00EE2C50" w:rsidRDefault="00752561" w:rsidP="003D0E65">
      <w:pPr>
        <w:pStyle w:val="ListParagraph"/>
        <w:ind w:left="720"/>
        <w:jc w:val="both"/>
        <w:rPr>
          <w:rFonts w:asciiTheme="minorHAnsi" w:hAnsiTheme="minorHAnsi" w:cstheme="minorHAnsi"/>
        </w:rPr>
      </w:pPr>
      <w:r w:rsidRPr="00EE2C50">
        <w:rPr>
          <w:rFonts w:asciiTheme="minorHAnsi" w:hAnsiTheme="minorHAnsi" w:cstheme="minorHAnsi"/>
        </w:rPr>
        <w:t xml:space="preserve">The Parliamentary Assembly of the Council of Europe (PACE), in 2016, called on the Council’s member </w:t>
      </w:r>
      <w:r w:rsidR="00B546D9" w:rsidRPr="00EE2C50">
        <w:rPr>
          <w:rFonts w:asciiTheme="minorHAnsi" w:hAnsiTheme="minorHAnsi" w:cstheme="minorHAnsi"/>
        </w:rPr>
        <w:t>S</w:t>
      </w:r>
      <w:r w:rsidRPr="00EE2C50">
        <w:rPr>
          <w:rFonts w:asciiTheme="minorHAnsi" w:hAnsiTheme="minorHAnsi" w:cstheme="minorHAnsi"/>
        </w:rPr>
        <w:t>tates to “</w:t>
      </w:r>
      <w:r w:rsidRPr="00EE2C50">
        <w:rPr>
          <w:rFonts w:asciiTheme="minorHAnsi" w:hAnsiTheme="minorHAnsi" w:cstheme="minorHAnsi"/>
          <w:iCs/>
        </w:rPr>
        <w:t>ensure that information concerning legislation and regulations guiding the police’s actions regarding peaceful protests is accessible to the public.</w:t>
      </w:r>
      <w:r w:rsidRPr="00EE2C50">
        <w:rPr>
          <w:rFonts w:asciiTheme="minorHAnsi" w:hAnsiTheme="minorHAnsi" w:cstheme="minorHAnsi"/>
        </w:rPr>
        <w:t>”</w:t>
      </w:r>
      <w:r w:rsidRPr="00EE2C50">
        <w:rPr>
          <w:rStyle w:val="FootnoteReference"/>
          <w:rFonts w:asciiTheme="minorHAnsi" w:hAnsiTheme="minorHAnsi" w:cstheme="minorHAnsi"/>
        </w:rPr>
        <w:footnoteReference w:id="17"/>
      </w:r>
      <w:r w:rsidRPr="00EE2C50">
        <w:rPr>
          <w:rFonts w:asciiTheme="minorHAnsi" w:hAnsiTheme="minorHAnsi" w:cstheme="minorHAnsi"/>
        </w:rPr>
        <w:t xml:space="preserve"> </w:t>
      </w:r>
    </w:p>
    <w:p w14:paraId="6EE85C96" w14:textId="77777777" w:rsidR="00752561" w:rsidRPr="00EE2C50" w:rsidRDefault="00752561" w:rsidP="003D0E65">
      <w:pPr>
        <w:pStyle w:val="ListParagraph"/>
        <w:ind w:left="360"/>
        <w:jc w:val="both"/>
        <w:rPr>
          <w:rFonts w:asciiTheme="minorHAnsi" w:hAnsiTheme="minorHAnsi" w:cstheme="minorHAnsi"/>
        </w:rPr>
      </w:pPr>
    </w:p>
    <w:p w14:paraId="6E38F85E" w14:textId="10DB9152" w:rsidR="00C1383C" w:rsidRPr="00EE2C50" w:rsidRDefault="00052D87" w:rsidP="003D0E65">
      <w:pPr>
        <w:pStyle w:val="ListParagraph"/>
        <w:ind w:left="720"/>
        <w:jc w:val="both"/>
        <w:rPr>
          <w:rFonts w:asciiTheme="minorHAnsi" w:hAnsiTheme="minorHAnsi" w:cstheme="minorHAnsi"/>
        </w:rPr>
      </w:pPr>
      <w:r w:rsidRPr="00EE2C50">
        <w:rPr>
          <w:rFonts w:asciiTheme="minorHAnsi" w:hAnsiTheme="minorHAnsi" w:cstheme="minorHAnsi"/>
        </w:rPr>
        <w:t>The Principles on the Protection of Human Rights in Protests, developed by Article 19</w:t>
      </w:r>
      <w:r w:rsidR="004327E4" w:rsidRPr="00EE2C50">
        <w:rPr>
          <w:rFonts w:asciiTheme="minorHAnsi" w:hAnsiTheme="minorHAnsi" w:cstheme="minorHAnsi"/>
        </w:rPr>
        <w:t xml:space="preserve">, </w:t>
      </w:r>
      <w:r w:rsidRPr="00EE2C50">
        <w:rPr>
          <w:rFonts w:asciiTheme="minorHAnsi" w:hAnsiTheme="minorHAnsi" w:cstheme="minorHAnsi"/>
        </w:rPr>
        <w:t>similarly highlight the obligation</w:t>
      </w:r>
      <w:r w:rsidR="004327E4" w:rsidRPr="00EE2C50">
        <w:rPr>
          <w:rFonts w:asciiTheme="minorHAnsi" w:hAnsiTheme="minorHAnsi" w:cstheme="minorHAnsi"/>
        </w:rPr>
        <w:t>s</w:t>
      </w:r>
      <w:r w:rsidRPr="00EE2C50">
        <w:rPr>
          <w:rFonts w:asciiTheme="minorHAnsi" w:hAnsiTheme="minorHAnsi" w:cstheme="minorHAnsi"/>
        </w:rPr>
        <w:t xml:space="preserve"> of </w:t>
      </w:r>
      <w:r w:rsidR="00B546D9" w:rsidRPr="00EE2C50">
        <w:rPr>
          <w:rFonts w:asciiTheme="minorHAnsi" w:hAnsiTheme="minorHAnsi" w:cstheme="minorHAnsi"/>
        </w:rPr>
        <w:t>S</w:t>
      </w:r>
      <w:r w:rsidRPr="00EE2C50">
        <w:rPr>
          <w:rFonts w:asciiTheme="minorHAnsi" w:hAnsiTheme="minorHAnsi" w:cstheme="minorHAnsi"/>
        </w:rPr>
        <w:t xml:space="preserve">tates to </w:t>
      </w:r>
      <w:r w:rsidR="004327E4" w:rsidRPr="00EE2C50">
        <w:rPr>
          <w:rFonts w:asciiTheme="minorHAnsi" w:hAnsiTheme="minorHAnsi" w:cstheme="minorHAnsi"/>
        </w:rPr>
        <w:t>“</w:t>
      </w:r>
      <w:r w:rsidRPr="00EE2C50">
        <w:rPr>
          <w:rFonts w:asciiTheme="minorHAnsi" w:hAnsiTheme="minorHAnsi" w:cstheme="minorHAnsi"/>
        </w:rPr>
        <w:t xml:space="preserve">ensure that all decision-making processes relating to protests are </w:t>
      </w:r>
      <w:r w:rsidR="004327E4" w:rsidRPr="00EE2C50">
        <w:rPr>
          <w:rFonts w:asciiTheme="minorHAnsi" w:hAnsiTheme="minorHAnsi" w:cstheme="minorHAnsi"/>
        </w:rPr>
        <w:t>transparent,” and to “enable the free flow of information relating to protests including through all types of media</w:t>
      </w:r>
      <w:r w:rsidR="00B917C6" w:rsidRPr="00EE2C50">
        <w:rPr>
          <w:rFonts w:asciiTheme="minorHAnsi" w:hAnsiTheme="minorHAnsi" w:cstheme="minorHAnsi"/>
        </w:rPr>
        <w:t>, so that everybody can freely impart and receive information about protests before, during and after them.</w:t>
      </w:r>
      <w:r w:rsidR="004327E4" w:rsidRPr="00EE2C50">
        <w:rPr>
          <w:rFonts w:asciiTheme="minorHAnsi" w:hAnsiTheme="minorHAnsi" w:cstheme="minorHAnsi"/>
        </w:rPr>
        <w:t>”</w:t>
      </w:r>
      <w:r w:rsidR="004327E4" w:rsidRPr="00EE2C50">
        <w:rPr>
          <w:rStyle w:val="FootnoteReference"/>
          <w:rFonts w:asciiTheme="minorHAnsi" w:hAnsiTheme="minorHAnsi" w:cstheme="minorHAnsi"/>
        </w:rPr>
        <w:footnoteReference w:id="18"/>
      </w:r>
    </w:p>
    <w:p w14:paraId="1A9D218A" w14:textId="77777777" w:rsidR="00C1383C" w:rsidRPr="00EE2C50" w:rsidRDefault="00C1383C" w:rsidP="003D0E65">
      <w:pPr>
        <w:pStyle w:val="ListParagraph"/>
        <w:ind w:left="360"/>
        <w:jc w:val="both"/>
        <w:rPr>
          <w:rFonts w:asciiTheme="minorHAnsi" w:hAnsiTheme="minorHAnsi" w:cstheme="minorHAnsi"/>
        </w:rPr>
      </w:pPr>
    </w:p>
    <w:p w14:paraId="5F3CCB7A" w14:textId="57363C2B" w:rsidR="00F661D9" w:rsidRPr="009373B6" w:rsidRDefault="00C1383C" w:rsidP="003D0E65">
      <w:pPr>
        <w:pStyle w:val="ListParagraph"/>
        <w:ind w:left="720"/>
        <w:jc w:val="both"/>
        <w:rPr>
          <w:rFonts w:asciiTheme="minorHAnsi" w:hAnsiTheme="minorHAnsi" w:cstheme="minorHAnsi"/>
        </w:rPr>
      </w:pPr>
      <w:r w:rsidRPr="00EE2C50">
        <w:rPr>
          <w:rFonts w:asciiTheme="minorHAnsi" w:hAnsiTheme="minorHAnsi" w:cstheme="minorHAnsi"/>
        </w:rPr>
        <w:t>T</w:t>
      </w:r>
      <w:r w:rsidR="00885235" w:rsidRPr="00EE2C50">
        <w:rPr>
          <w:rFonts w:asciiTheme="minorHAnsi" w:hAnsiTheme="minorHAnsi" w:cstheme="minorHAnsi"/>
        </w:rPr>
        <w:t xml:space="preserve">he </w:t>
      </w:r>
      <w:r w:rsidR="0063231D" w:rsidRPr="00EE2C50">
        <w:rPr>
          <w:rFonts w:asciiTheme="minorHAnsi" w:hAnsiTheme="minorHAnsi" w:cstheme="minorHAnsi"/>
        </w:rPr>
        <w:t xml:space="preserve">Inter-American </w:t>
      </w:r>
      <w:r w:rsidR="00885235" w:rsidRPr="00EE2C50">
        <w:rPr>
          <w:rFonts w:asciiTheme="minorHAnsi" w:hAnsiTheme="minorHAnsi" w:cstheme="minorHAnsi"/>
        </w:rPr>
        <w:t xml:space="preserve">Model Law on </w:t>
      </w:r>
      <w:r w:rsidR="0063231D" w:rsidRPr="00EE2C50">
        <w:rPr>
          <w:rFonts w:asciiTheme="minorHAnsi" w:hAnsiTheme="minorHAnsi" w:cstheme="minorHAnsi"/>
        </w:rPr>
        <w:t>A</w:t>
      </w:r>
      <w:r w:rsidR="00885235" w:rsidRPr="00EE2C50">
        <w:rPr>
          <w:rFonts w:asciiTheme="minorHAnsi" w:hAnsiTheme="minorHAnsi" w:cstheme="minorHAnsi"/>
        </w:rPr>
        <w:t xml:space="preserve">ccess to </w:t>
      </w:r>
      <w:r w:rsidR="0063231D" w:rsidRPr="00EE2C50">
        <w:rPr>
          <w:rFonts w:asciiTheme="minorHAnsi" w:hAnsiTheme="minorHAnsi" w:cstheme="minorHAnsi"/>
        </w:rPr>
        <w:t>I</w:t>
      </w:r>
      <w:r w:rsidR="00885235" w:rsidRPr="00EE2C50">
        <w:rPr>
          <w:rFonts w:asciiTheme="minorHAnsi" w:hAnsiTheme="minorHAnsi" w:cstheme="minorHAnsi"/>
        </w:rPr>
        <w:t>nformation</w:t>
      </w:r>
      <w:r w:rsidR="000F0E56" w:rsidRPr="00EE2C50">
        <w:rPr>
          <w:rFonts w:asciiTheme="minorHAnsi" w:hAnsiTheme="minorHAnsi" w:cstheme="minorHAnsi"/>
        </w:rPr>
        <w:t xml:space="preserve">, welcomed by the OAS General Assembly, and the Model Law on Access to Information for Africa, </w:t>
      </w:r>
      <w:r w:rsidR="00607D6F" w:rsidRPr="00EE2C50">
        <w:rPr>
          <w:rFonts w:asciiTheme="minorHAnsi" w:hAnsiTheme="minorHAnsi" w:cstheme="minorHAnsi"/>
        </w:rPr>
        <w:t>endorsed by the African Commission on Human and Peoples Rights</w:t>
      </w:r>
      <w:r w:rsidRPr="00EE2C50">
        <w:rPr>
          <w:rFonts w:asciiTheme="minorHAnsi" w:hAnsiTheme="minorHAnsi" w:cstheme="minorHAnsi"/>
        </w:rPr>
        <w:t>,</w:t>
      </w:r>
      <w:r w:rsidR="00607D6F" w:rsidRPr="00EE2C50">
        <w:rPr>
          <w:rFonts w:asciiTheme="minorHAnsi" w:hAnsiTheme="minorHAnsi" w:cstheme="minorHAnsi"/>
        </w:rPr>
        <w:t xml:space="preserve"> </w:t>
      </w:r>
      <w:r w:rsidRPr="00EE2C50">
        <w:rPr>
          <w:rFonts w:asciiTheme="minorHAnsi" w:hAnsiTheme="minorHAnsi" w:cstheme="minorHAnsi"/>
        </w:rPr>
        <w:t>b</w:t>
      </w:r>
      <w:r w:rsidR="00607D6F" w:rsidRPr="00EE2C50">
        <w:rPr>
          <w:rFonts w:asciiTheme="minorHAnsi" w:hAnsiTheme="minorHAnsi" w:cstheme="minorHAnsi"/>
        </w:rPr>
        <w:t xml:space="preserve">oth </w:t>
      </w:r>
      <w:r w:rsidR="00885235" w:rsidRPr="00EE2C50">
        <w:rPr>
          <w:rFonts w:asciiTheme="minorHAnsi" w:hAnsiTheme="minorHAnsi" w:cstheme="minorHAnsi"/>
        </w:rPr>
        <w:t xml:space="preserve">set out </w:t>
      </w:r>
      <w:r w:rsidR="00FC23C3" w:rsidRPr="00EE2C50">
        <w:rPr>
          <w:rFonts w:asciiTheme="minorHAnsi" w:hAnsiTheme="minorHAnsi" w:cstheme="minorHAnsi"/>
        </w:rPr>
        <w:t xml:space="preserve">several </w:t>
      </w:r>
      <w:r w:rsidR="00885235" w:rsidRPr="00EE2C50">
        <w:rPr>
          <w:rFonts w:asciiTheme="minorHAnsi" w:hAnsiTheme="minorHAnsi" w:cstheme="minorHAnsi"/>
          <w:i/>
        </w:rPr>
        <w:t>key classes of information</w:t>
      </w:r>
      <w:r w:rsidR="00885235" w:rsidRPr="00EE2C50">
        <w:rPr>
          <w:rFonts w:asciiTheme="minorHAnsi" w:hAnsiTheme="minorHAnsi" w:cstheme="minorHAnsi"/>
        </w:rPr>
        <w:t xml:space="preserve"> that should be proactive</w:t>
      </w:r>
      <w:r w:rsidR="00B64E08" w:rsidRPr="00EE2C50">
        <w:rPr>
          <w:rFonts w:asciiTheme="minorHAnsi" w:hAnsiTheme="minorHAnsi" w:cstheme="minorHAnsi"/>
        </w:rPr>
        <w:t>ly</w:t>
      </w:r>
      <w:r w:rsidR="00885235" w:rsidRPr="00EE2C50">
        <w:rPr>
          <w:rFonts w:asciiTheme="minorHAnsi" w:hAnsiTheme="minorHAnsi" w:cstheme="minorHAnsi"/>
        </w:rPr>
        <w:t xml:space="preserve"> disclose</w:t>
      </w:r>
      <w:r w:rsidR="00B64E08" w:rsidRPr="00EE2C50">
        <w:rPr>
          <w:rFonts w:asciiTheme="minorHAnsi" w:hAnsiTheme="minorHAnsi" w:cstheme="minorHAnsi"/>
        </w:rPr>
        <w:t>d</w:t>
      </w:r>
      <w:r w:rsidR="00885235" w:rsidRPr="00EE2C50">
        <w:rPr>
          <w:rFonts w:asciiTheme="minorHAnsi" w:hAnsiTheme="minorHAnsi" w:cstheme="minorHAnsi"/>
        </w:rPr>
        <w:t xml:space="preserve"> by public authorities</w:t>
      </w:r>
      <w:r w:rsidR="0063231D" w:rsidRPr="00EE2C50">
        <w:rPr>
          <w:rFonts w:asciiTheme="minorHAnsi" w:hAnsiTheme="minorHAnsi" w:cstheme="minorHAnsi"/>
        </w:rPr>
        <w:t>,</w:t>
      </w:r>
      <w:r w:rsidR="00885235" w:rsidRPr="00EE2C50">
        <w:rPr>
          <w:rFonts w:asciiTheme="minorHAnsi" w:hAnsiTheme="minorHAnsi" w:cstheme="minorHAnsi"/>
        </w:rPr>
        <w:t xml:space="preserve"> includ</w:t>
      </w:r>
      <w:r w:rsidR="0063231D" w:rsidRPr="00EE2C50">
        <w:rPr>
          <w:rFonts w:asciiTheme="minorHAnsi" w:hAnsiTheme="minorHAnsi" w:cstheme="minorHAnsi"/>
        </w:rPr>
        <w:t>ing</w:t>
      </w:r>
      <w:r w:rsidR="00885235" w:rsidRPr="00EE2C50">
        <w:rPr>
          <w:rFonts w:asciiTheme="minorHAnsi" w:hAnsiTheme="minorHAnsi" w:cstheme="minorHAnsi"/>
        </w:rPr>
        <w:t xml:space="preserve"> </w:t>
      </w:r>
      <w:r w:rsidR="00752561" w:rsidRPr="00EE2C50">
        <w:rPr>
          <w:rFonts w:asciiTheme="minorHAnsi" w:hAnsiTheme="minorHAnsi" w:cstheme="minorHAnsi"/>
        </w:rPr>
        <w:t xml:space="preserve">policy documents, rules, </w:t>
      </w:r>
      <w:r w:rsidR="00752561" w:rsidRPr="009373B6">
        <w:rPr>
          <w:rFonts w:asciiTheme="minorHAnsi" w:hAnsiTheme="minorHAnsi" w:cstheme="minorHAnsi"/>
        </w:rPr>
        <w:t xml:space="preserve">guidelines, manuals and other </w:t>
      </w:r>
      <w:r w:rsidR="00885235" w:rsidRPr="009373B6">
        <w:rPr>
          <w:rFonts w:asciiTheme="minorHAnsi" w:hAnsiTheme="minorHAnsi" w:cstheme="minorHAnsi"/>
        </w:rPr>
        <w:t xml:space="preserve">classes of information directly relevant to human rights </w:t>
      </w:r>
      <w:r w:rsidR="0063231D" w:rsidRPr="009373B6">
        <w:rPr>
          <w:rFonts w:asciiTheme="minorHAnsi" w:hAnsiTheme="minorHAnsi" w:cstheme="minorHAnsi"/>
        </w:rPr>
        <w:t xml:space="preserve">in the context of </w:t>
      </w:r>
      <w:r w:rsidR="00885235" w:rsidRPr="009373B6">
        <w:rPr>
          <w:rFonts w:asciiTheme="minorHAnsi" w:hAnsiTheme="minorHAnsi" w:cstheme="minorHAnsi"/>
        </w:rPr>
        <w:t>protest.</w:t>
      </w:r>
      <w:r w:rsidR="00885235" w:rsidRPr="001B1A3F">
        <w:rPr>
          <w:rStyle w:val="FootnoteReference"/>
          <w:rFonts w:asciiTheme="minorHAnsi" w:hAnsiTheme="minorHAnsi" w:cstheme="minorHAnsi"/>
        </w:rPr>
        <w:footnoteReference w:id="19"/>
      </w:r>
      <w:r w:rsidR="00885235" w:rsidRPr="009373B6">
        <w:rPr>
          <w:rFonts w:asciiTheme="minorHAnsi" w:hAnsiTheme="minorHAnsi" w:cstheme="minorHAnsi"/>
        </w:rPr>
        <w:t xml:space="preserve"> </w:t>
      </w:r>
    </w:p>
    <w:p w14:paraId="3A56ED99" w14:textId="77777777" w:rsidR="00F661D9" w:rsidRPr="001B1A3F" w:rsidRDefault="00F661D9" w:rsidP="003D0E65">
      <w:pPr>
        <w:pStyle w:val="ListParagraph"/>
        <w:ind w:left="360"/>
        <w:jc w:val="both"/>
        <w:rPr>
          <w:rFonts w:asciiTheme="minorHAnsi" w:hAnsiTheme="minorHAnsi" w:cstheme="minorHAnsi"/>
        </w:rPr>
      </w:pPr>
    </w:p>
    <w:p w14:paraId="4A34B5F2" w14:textId="359D474A" w:rsidR="00AB43E7" w:rsidRPr="009373B6" w:rsidRDefault="00F661D9" w:rsidP="003D0E65">
      <w:pPr>
        <w:pStyle w:val="ListParagraph"/>
        <w:ind w:left="720"/>
        <w:jc w:val="both"/>
        <w:rPr>
          <w:rFonts w:asciiTheme="minorHAnsi" w:hAnsiTheme="minorHAnsi" w:cstheme="minorHAnsi"/>
        </w:rPr>
      </w:pPr>
      <w:r w:rsidRPr="009373B6">
        <w:rPr>
          <w:rFonts w:asciiTheme="minorHAnsi" w:hAnsiTheme="minorHAnsi" w:cstheme="minorHAnsi"/>
        </w:rPr>
        <w:t>The</w:t>
      </w:r>
      <w:r w:rsidR="00B43C38" w:rsidRPr="009373B6">
        <w:rPr>
          <w:rFonts w:asciiTheme="minorHAnsi" w:hAnsiTheme="minorHAnsi" w:cstheme="minorHAnsi"/>
        </w:rPr>
        <w:t xml:space="preserve"> Council of Europe’s </w:t>
      </w:r>
      <w:r w:rsidRPr="009373B6">
        <w:rPr>
          <w:rFonts w:asciiTheme="minorHAnsi" w:hAnsiTheme="minorHAnsi" w:cstheme="minorHAnsi"/>
        </w:rPr>
        <w:t xml:space="preserve">European Code of Police Ethics similarly provides that </w:t>
      </w:r>
      <w:r w:rsidRPr="009373B6">
        <w:rPr>
          <w:rFonts w:asciiTheme="minorHAnsi" w:hAnsiTheme="minorHAnsi" w:cstheme="minorHAnsi"/>
          <w:color w:val="000000"/>
          <w:lang w:val="en-GB"/>
        </w:rPr>
        <w:t>“Legislation guiding the police shall be accessible to the public and sufficiently clear</w:t>
      </w:r>
      <w:r w:rsidR="00416CC5" w:rsidRPr="009373B6">
        <w:rPr>
          <w:rFonts w:asciiTheme="minorHAnsi" w:hAnsiTheme="minorHAnsi" w:cstheme="minorHAnsi"/>
          <w:color w:val="000000"/>
          <w:lang w:val="en-GB"/>
        </w:rPr>
        <w:t xml:space="preserve"> </w:t>
      </w:r>
      <w:r w:rsidRPr="009373B6">
        <w:rPr>
          <w:rFonts w:asciiTheme="minorHAnsi" w:hAnsiTheme="minorHAnsi" w:cstheme="minorHAnsi"/>
          <w:color w:val="000000"/>
          <w:lang w:val="en-GB"/>
        </w:rPr>
        <w:t>and precise, and, if need be, supported by clear regulations equally accessible to the public.”</w:t>
      </w:r>
      <w:r w:rsidR="007602D0" w:rsidRPr="00345A8A">
        <w:rPr>
          <w:rStyle w:val="FootnoteReference"/>
          <w:rFonts w:asciiTheme="minorHAnsi" w:hAnsiTheme="minorHAnsi" w:cstheme="minorHAnsi"/>
          <w:color w:val="000000"/>
          <w:lang w:val="en-GB"/>
        </w:rPr>
        <w:footnoteReference w:id="20"/>
      </w:r>
    </w:p>
    <w:p w14:paraId="6334CE6B" w14:textId="77777777" w:rsidR="00AB43E7" w:rsidRPr="001B1A3F" w:rsidRDefault="00AB43E7" w:rsidP="003D0E65">
      <w:pPr>
        <w:pStyle w:val="ListParagraph"/>
        <w:ind w:left="360"/>
        <w:jc w:val="both"/>
        <w:rPr>
          <w:rFonts w:asciiTheme="minorHAnsi" w:hAnsiTheme="minorHAnsi" w:cstheme="minorHAnsi"/>
        </w:rPr>
      </w:pPr>
    </w:p>
    <w:p w14:paraId="1560B673" w14:textId="116CC3BC" w:rsidR="00885235" w:rsidRPr="00D71E57" w:rsidRDefault="00AB43E7" w:rsidP="00D71E57">
      <w:pPr>
        <w:pStyle w:val="ListParagraph"/>
        <w:numPr>
          <w:ilvl w:val="3"/>
          <w:numId w:val="37"/>
        </w:numPr>
        <w:spacing w:after="160"/>
        <w:jc w:val="both"/>
        <w:rPr>
          <w:rFonts w:asciiTheme="minorHAnsi" w:hAnsiTheme="minorHAnsi" w:cstheme="minorHAnsi"/>
          <w:b/>
        </w:rPr>
      </w:pPr>
      <w:r w:rsidRPr="00D71E57">
        <w:rPr>
          <w:rFonts w:asciiTheme="minorHAnsi" w:hAnsiTheme="minorHAnsi" w:cstheme="minorHAnsi"/>
          <w:b/>
        </w:rPr>
        <w:t>T</w:t>
      </w:r>
      <w:r w:rsidR="00885235" w:rsidRPr="00D71E57">
        <w:rPr>
          <w:rFonts w:asciiTheme="minorHAnsi" w:hAnsiTheme="minorHAnsi" w:cstheme="minorHAnsi"/>
          <w:b/>
        </w:rPr>
        <w:t xml:space="preserve">he </w:t>
      </w:r>
      <w:r w:rsidR="002157B9" w:rsidRPr="00D71E57">
        <w:rPr>
          <w:rFonts w:asciiTheme="minorHAnsi" w:hAnsiTheme="minorHAnsi" w:cstheme="minorHAnsi"/>
          <w:b/>
        </w:rPr>
        <w:t xml:space="preserve">right of </w:t>
      </w:r>
      <w:r w:rsidR="00885235" w:rsidRPr="00D71E57">
        <w:rPr>
          <w:rFonts w:asciiTheme="minorHAnsi" w:hAnsiTheme="minorHAnsi" w:cstheme="minorHAnsi"/>
          <w:b/>
        </w:rPr>
        <w:t xml:space="preserve">access to </w:t>
      </w:r>
      <w:r w:rsidR="002157B9" w:rsidRPr="00D71E57">
        <w:rPr>
          <w:rFonts w:asciiTheme="minorHAnsi" w:hAnsiTheme="minorHAnsi" w:cstheme="minorHAnsi"/>
          <w:b/>
        </w:rPr>
        <w:t xml:space="preserve">information </w:t>
      </w:r>
      <w:r w:rsidR="00885235" w:rsidRPr="00D71E57">
        <w:rPr>
          <w:rFonts w:asciiTheme="minorHAnsi" w:hAnsiTheme="minorHAnsi" w:cstheme="minorHAnsi"/>
          <w:b/>
        </w:rPr>
        <w:t>from public authorities</w:t>
      </w:r>
      <w:r w:rsidR="006856C6" w:rsidRPr="00D71E57">
        <w:rPr>
          <w:rFonts w:asciiTheme="minorHAnsi" w:hAnsiTheme="minorHAnsi" w:cstheme="minorHAnsi"/>
          <w:b/>
        </w:rPr>
        <w:t>,</w:t>
      </w:r>
      <w:r w:rsidR="00885235" w:rsidRPr="00D71E57">
        <w:rPr>
          <w:rFonts w:asciiTheme="minorHAnsi" w:hAnsiTheme="minorHAnsi" w:cstheme="minorHAnsi"/>
          <w:b/>
        </w:rPr>
        <w:t xml:space="preserve"> including police forces</w:t>
      </w:r>
      <w:r w:rsidR="006856C6" w:rsidRPr="00D71E57">
        <w:rPr>
          <w:rFonts w:asciiTheme="minorHAnsi" w:hAnsiTheme="minorHAnsi" w:cstheme="minorHAnsi"/>
          <w:b/>
        </w:rPr>
        <w:t>,</w:t>
      </w:r>
      <w:r w:rsidR="00885235" w:rsidRPr="00D71E57">
        <w:rPr>
          <w:rFonts w:asciiTheme="minorHAnsi" w:hAnsiTheme="minorHAnsi" w:cstheme="minorHAnsi"/>
          <w:b/>
        </w:rPr>
        <w:t xml:space="preserve"> should be restricted </w:t>
      </w:r>
      <w:r w:rsidR="007602D0" w:rsidRPr="00D71E57">
        <w:rPr>
          <w:rFonts w:asciiTheme="minorHAnsi" w:hAnsiTheme="minorHAnsi" w:cstheme="minorHAnsi"/>
          <w:b/>
        </w:rPr>
        <w:t xml:space="preserve">only </w:t>
      </w:r>
      <w:r w:rsidR="00885235" w:rsidRPr="00D71E57">
        <w:rPr>
          <w:rFonts w:asciiTheme="minorHAnsi" w:hAnsiTheme="minorHAnsi" w:cstheme="minorHAnsi"/>
          <w:b/>
        </w:rPr>
        <w:t>when there is a compelling reason to withhold the information – one that is set forth in law, and that outweighs the public interest in having access to the information.</w:t>
      </w:r>
      <w:r w:rsidR="00885235" w:rsidRPr="00522D93">
        <w:rPr>
          <w:vertAlign w:val="superscript"/>
        </w:rPr>
        <w:footnoteReference w:id="21"/>
      </w:r>
      <w:r w:rsidR="00885235" w:rsidRPr="00D71E57">
        <w:rPr>
          <w:rFonts w:asciiTheme="minorHAnsi" w:hAnsiTheme="minorHAnsi" w:cstheme="minorHAnsi"/>
          <w:b/>
        </w:rPr>
        <w:t xml:space="preserve"> Such restrictions must not put the realization of </w:t>
      </w:r>
      <w:r w:rsidR="00AD6FF3" w:rsidRPr="00D71E57">
        <w:rPr>
          <w:rFonts w:asciiTheme="minorHAnsi" w:hAnsiTheme="minorHAnsi" w:cstheme="minorHAnsi"/>
          <w:b/>
        </w:rPr>
        <w:t xml:space="preserve">the </w:t>
      </w:r>
      <w:r w:rsidR="00885235" w:rsidRPr="00D71E57">
        <w:rPr>
          <w:rFonts w:asciiTheme="minorHAnsi" w:hAnsiTheme="minorHAnsi" w:cstheme="minorHAnsi"/>
          <w:b/>
        </w:rPr>
        <w:t>right itself in jeopardy,</w:t>
      </w:r>
      <w:r w:rsidR="00CF7B5E" w:rsidRPr="00D71E57">
        <w:rPr>
          <w:rStyle w:val="FootnoteReference"/>
          <w:rFonts w:asciiTheme="minorHAnsi" w:hAnsiTheme="minorHAnsi" w:cstheme="minorHAnsi"/>
          <w:b/>
        </w:rPr>
        <w:t xml:space="preserve"> </w:t>
      </w:r>
      <w:r w:rsidR="00CF7B5E" w:rsidRPr="00522D93">
        <w:rPr>
          <w:rStyle w:val="FootnoteReference"/>
          <w:rFonts w:asciiTheme="minorHAnsi" w:hAnsiTheme="minorHAnsi" w:cstheme="minorHAnsi"/>
          <w:b/>
        </w:rPr>
        <w:footnoteReference w:id="22"/>
      </w:r>
      <w:r w:rsidR="00CF7B5E" w:rsidRPr="00D71E57">
        <w:rPr>
          <w:rFonts w:asciiTheme="minorHAnsi" w:hAnsiTheme="minorHAnsi" w:cstheme="minorHAnsi"/>
          <w:b/>
        </w:rPr>
        <w:t xml:space="preserve"> </w:t>
      </w:r>
      <w:r w:rsidR="00885235" w:rsidRPr="00D71E57">
        <w:rPr>
          <w:rFonts w:asciiTheme="minorHAnsi" w:hAnsiTheme="minorHAnsi" w:cstheme="minorHAnsi"/>
          <w:b/>
        </w:rPr>
        <w:t xml:space="preserve">and restrictions should not be used to </w:t>
      </w:r>
      <w:r w:rsidR="00885235" w:rsidRPr="00D71E57">
        <w:rPr>
          <w:rFonts w:asciiTheme="minorHAnsi" w:hAnsiTheme="minorHAnsi" w:cstheme="minorHAnsi"/>
          <w:b/>
        </w:rPr>
        <w:lastRenderedPageBreak/>
        <w:t>conceal human rights violations or to advance any other improper purpose.</w:t>
      </w:r>
      <w:r w:rsidR="00CF7B5E" w:rsidRPr="00522D93">
        <w:rPr>
          <w:rStyle w:val="FootnoteReference"/>
          <w:rFonts w:asciiTheme="minorHAnsi" w:hAnsiTheme="minorHAnsi" w:cstheme="minorHAnsi"/>
          <w:b/>
        </w:rPr>
        <w:footnoteReference w:id="23"/>
      </w:r>
    </w:p>
    <w:p w14:paraId="110AAD5A" w14:textId="20316CDB" w:rsidR="00522D93" w:rsidRPr="00D71E57" w:rsidRDefault="007602D0" w:rsidP="00F70FC0">
      <w:pPr>
        <w:spacing w:line="240" w:lineRule="auto"/>
        <w:ind w:left="720"/>
        <w:jc w:val="both"/>
        <w:rPr>
          <w:rFonts w:asciiTheme="minorHAnsi" w:hAnsiTheme="minorHAnsi" w:cstheme="minorHAnsi"/>
          <w:bCs/>
        </w:rPr>
      </w:pPr>
      <w:r w:rsidRPr="00D71E57">
        <w:rPr>
          <w:rFonts w:asciiTheme="minorHAnsi" w:hAnsiTheme="minorHAnsi" w:cstheme="minorHAnsi"/>
          <w:bCs/>
        </w:rPr>
        <w:t>P</w:t>
      </w:r>
      <w:r w:rsidR="00BE6EE9" w:rsidRPr="00D71E57">
        <w:rPr>
          <w:rFonts w:asciiTheme="minorHAnsi" w:hAnsiTheme="minorHAnsi" w:cstheme="minorHAnsi"/>
          <w:bCs/>
        </w:rPr>
        <w:t>ublic authorities</w:t>
      </w:r>
      <w:r w:rsidRPr="00D71E57">
        <w:rPr>
          <w:rFonts w:asciiTheme="minorHAnsi" w:hAnsiTheme="minorHAnsi" w:cstheme="minorHAnsi"/>
          <w:bCs/>
        </w:rPr>
        <w:t>, undeniably,</w:t>
      </w:r>
      <w:r w:rsidR="00BE6EE9" w:rsidRPr="00D71E57">
        <w:rPr>
          <w:rFonts w:asciiTheme="minorHAnsi" w:hAnsiTheme="minorHAnsi" w:cstheme="minorHAnsi"/>
          <w:bCs/>
        </w:rPr>
        <w:t xml:space="preserve"> are entitled to withhold </w:t>
      </w:r>
      <w:r w:rsidR="00BE6EE9" w:rsidRPr="00D71E57">
        <w:rPr>
          <w:rFonts w:asciiTheme="minorHAnsi" w:hAnsiTheme="minorHAnsi" w:cstheme="minorHAnsi"/>
          <w:bCs/>
          <w:i/>
        </w:rPr>
        <w:t>some</w:t>
      </w:r>
      <w:r w:rsidR="00BE6EE9" w:rsidRPr="00D71E57">
        <w:rPr>
          <w:rFonts w:asciiTheme="minorHAnsi" w:hAnsiTheme="minorHAnsi" w:cstheme="minorHAnsi"/>
          <w:bCs/>
        </w:rPr>
        <w:t xml:space="preserve"> types of information </w:t>
      </w:r>
      <w:r w:rsidR="00F33C71" w:rsidRPr="00D71E57">
        <w:rPr>
          <w:rFonts w:asciiTheme="minorHAnsi" w:hAnsiTheme="minorHAnsi" w:cstheme="minorHAnsi"/>
          <w:bCs/>
        </w:rPr>
        <w:t xml:space="preserve">– such as rules of engagement – about </w:t>
      </w:r>
      <w:r w:rsidR="00BE6EE9" w:rsidRPr="00D71E57">
        <w:rPr>
          <w:rFonts w:asciiTheme="minorHAnsi" w:hAnsiTheme="minorHAnsi" w:cstheme="minorHAnsi"/>
          <w:bCs/>
        </w:rPr>
        <w:t xml:space="preserve">the management of </w:t>
      </w:r>
      <w:r w:rsidR="00970AA0" w:rsidRPr="00D71E57">
        <w:rPr>
          <w:rFonts w:asciiTheme="minorHAnsi" w:hAnsiTheme="minorHAnsi" w:cstheme="minorHAnsi"/>
          <w:bCs/>
        </w:rPr>
        <w:t xml:space="preserve">assemblies </w:t>
      </w:r>
      <w:r w:rsidR="00F33C71" w:rsidRPr="00D71E57">
        <w:rPr>
          <w:rFonts w:asciiTheme="minorHAnsi" w:hAnsiTheme="minorHAnsi" w:cstheme="minorHAnsi"/>
          <w:bCs/>
        </w:rPr>
        <w:t xml:space="preserve">where necessary </w:t>
      </w:r>
      <w:r w:rsidR="00BE6EE9" w:rsidRPr="00D71E57">
        <w:rPr>
          <w:rFonts w:asciiTheme="minorHAnsi" w:hAnsiTheme="minorHAnsi" w:cstheme="minorHAnsi"/>
          <w:bCs/>
        </w:rPr>
        <w:t xml:space="preserve">to prevent violent crime, advance the interests of justice, </w:t>
      </w:r>
      <w:r w:rsidR="00F33C71" w:rsidRPr="00D71E57">
        <w:rPr>
          <w:rFonts w:asciiTheme="minorHAnsi" w:hAnsiTheme="minorHAnsi" w:cstheme="minorHAnsi"/>
          <w:bCs/>
        </w:rPr>
        <w:t xml:space="preserve">or </w:t>
      </w:r>
      <w:r w:rsidR="00BE6EE9" w:rsidRPr="00D71E57">
        <w:rPr>
          <w:rFonts w:asciiTheme="minorHAnsi" w:hAnsiTheme="minorHAnsi" w:cstheme="minorHAnsi"/>
          <w:bCs/>
        </w:rPr>
        <w:t>protect privacy interests.</w:t>
      </w:r>
      <w:r w:rsidR="002D1B76">
        <w:rPr>
          <w:rStyle w:val="FootnoteReference"/>
          <w:rFonts w:asciiTheme="minorHAnsi" w:hAnsiTheme="minorHAnsi" w:cstheme="minorHAnsi"/>
          <w:bCs/>
        </w:rPr>
        <w:footnoteReference w:id="24"/>
      </w:r>
    </w:p>
    <w:p w14:paraId="3A6ED0BA" w14:textId="14D62848" w:rsidR="00DC1CB7" w:rsidRPr="00F70FC0" w:rsidRDefault="00EE2C50" w:rsidP="00F70FC0">
      <w:pPr>
        <w:spacing w:line="240" w:lineRule="auto"/>
        <w:ind w:left="720"/>
        <w:jc w:val="both"/>
        <w:rPr>
          <w:rFonts w:asciiTheme="minorHAnsi" w:hAnsiTheme="minorHAnsi" w:cstheme="minorHAnsi"/>
        </w:rPr>
      </w:pPr>
      <w:r w:rsidRPr="00F70FC0">
        <w:rPr>
          <w:rFonts w:asciiTheme="minorHAnsi" w:hAnsiTheme="minorHAnsi" w:cstheme="minorHAnsi"/>
          <w:bCs/>
        </w:rPr>
        <w:t>I</w:t>
      </w:r>
      <w:r w:rsidR="00416CC5" w:rsidRPr="00F70FC0">
        <w:rPr>
          <w:rFonts w:asciiTheme="minorHAnsi" w:hAnsiTheme="minorHAnsi" w:cstheme="minorHAnsi"/>
          <w:bCs/>
        </w:rPr>
        <w:t xml:space="preserve">n practice, police forces </w:t>
      </w:r>
      <w:r w:rsidR="007B4C7C" w:rsidRPr="00F70FC0">
        <w:rPr>
          <w:rFonts w:asciiTheme="minorHAnsi" w:hAnsiTheme="minorHAnsi" w:cstheme="minorHAnsi"/>
          <w:bCs/>
        </w:rPr>
        <w:t xml:space="preserve">have </w:t>
      </w:r>
      <w:r w:rsidR="00416CC5" w:rsidRPr="00F70FC0">
        <w:rPr>
          <w:rFonts w:asciiTheme="minorHAnsi" w:hAnsiTheme="minorHAnsi" w:cstheme="minorHAnsi"/>
          <w:bCs/>
        </w:rPr>
        <w:t xml:space="preserve">been able </w:t>
      </w:r>
      <w:r w:rsidR="00D01702" w:rsidRPr="00F70FC0">
        <w:rPr>
          <w:rFonts w:asciiTheme="minorHAnsi" w:hAnsiTheme="minorHAnsi" w:cstheme="minorHAnsi"/>
          <w:bCs/>
        </w:rPr>
        <w:t xml:space="preserve">to reconcile the obligations of transparency and effective policing, recognizing the importance </w:t>
      </w:r>
      <w:r w:rsidR="008057D1" w:rsidRPr="00F70FC0">
        <w:rPr>
          <w:rFonts w:asciiTheme="minorHAnsi" w:hAnsiTheme="minorHAnsi" w:cstheme="minorHAnsi"/>
          <w:bCs/>
        </w:rPr>
        <w:t xml:space="preserve">to both effective and </w:t>
      </w:r>
      <w:r w:rsidR="006217B9" w:rsidRPr="00F70FC0">
        <w:rPr>
          <w:rFonts w:asciiTheme="minorHAnsi" w:hAnsiTheme="minorHAnsi" w:cstheme="minorHAnsi"/>
          <w:bCs/>
        </w:rPr>
        <w:t>accountable</w:t>
      </w:r>
      <w:r w:rsidR="008057D1" w:rsidRPr="00F70FC0">
        <w:rPr>
          <w:rFonts w:asciiTheme="minorHAnsi" w:hAnsiTheme="minorHAnsi" w:cstheme="minorHAnsi"/>
          <w:bCs/>
        </w:rPr>
        <w:t xml:space="preserve"> policing </w:t>
      </w:r>
      <w:r w:rsidR="00D01702" w:rsidRPr="00F70FC0">
        <w:rPr>
          <w:rFonts w:asciiTheme="minorHAnsi" w:hAnsiTheme="minorHAnsi" w:cstheme="minorHAnsi"/>
          <w:bCs/>
        </w:rPr>
        <w:t xml:space="preserve">of publishing police codes, legal and ethical guidelines, and </w:t>
      </w:r>
      <w:r w:rsidR="008057D1" w:rsidRPr="00F70FC0">
        <w:rPr>
          <w:rFonts w:asciiTheme="minorHAnsi" w:hAnsiTheme="minorHAnsi" w:cstheme="minorHAnsi"/>
          <w:bCs/>
        </w:rPr>
        <w:t xml:space="preserve">other </w:t>
      </w:r>
      <w:r w:rsidR="00D01702" w:rsidRPr="00F70FC0">
        <w:rPr>
          <w:rFonts w:asciiTheme="minorHAnsi" w:hAnsiTheme="minorHAnsi" w:cstheme="minorHAnsi"/>
          <w:bCs/>
        </w:rPr>
        <w:t xml:space="preserve">matters of public interest. </w:t>
      </w:r>
      <w:r w:rsidR="00F33C71" w:rsidRPr="00F70FC0">
        <w:rPr>
          <w:rFonts w:asciiTheme="minorHAnsi" w:hAnsiTheme="minorHAnsi" w:cstheme="minorHAnsi"/>
          <w:bCs/>
        </w:rPr>
        <w:t xml:space="preserve">For instance, </w:t>
      </w:r>
      <w:r w:rsidR="00F33C71" w:rsidRPr="00F70FC0">
        <w:rPr>
          <w:rFonts w:asciiTheme="minorHAnsi" w:hAnsiTheme="minorHAnsi" w:cstheme="minorHAnsi"/>
        </w:rPr>
        <w:t xml:space="preserve">in Northern Ireland, an Independent Commission on Policing established as part of the peace settlement, recommended: </w:t>
      </w:r>
    </w:p>
    <w:p w14:paraId="69850BC2" w14:textId="43A3D621" w:rsidR="00603FDE" w:rsidRPr="00522D93" w:rsidRDefault="00F33C71" w:rsidP="00D71E57">
      <w:pPr>
        <w:spacing w:after="0" w:line="240" w:lineRule="auto"/>
        <w:ind w:left="1077"/>
        <w:jc w:val="both"/>
        <w:rPr>
          <w:rFonts w:asciiTheme="minorHAnsi" w:hAnsiTheme="minorHAnsi" w:cstheme="minorHAnsi"/>
          <w:color w:val="000000"/>
          <w:lang w:val="en-GB"/>
        </w:rPr>
      </w:pPr>
      <w:r w:rsidRPr="001B1A3F">
        <w:rPr>
          <w:rFonts w:asciiTheme="minorHAnsi" w:hAnsiTheme="minorHAnsi" w:cstheme="minorHAnsi"/>
          <w:color w:val="000000"/>
          <w:lang w:val="en-GB"/>
        </w:rPr>
        <w:t xml:space="preserve">Police codes of practice should be publicly available; this does not mean, for example, that all details of police operational techniques should be released – they clearly should not – but the principles, and legal and ethical guidelines governing all aspects of police work should be, including such covert aspects as surveillance and the handling of informants ... </w:t>
      </w:r>
      <w:r w:rsidRPr="001B1A3F">
        <w:rPr>
          <w:rFonts w:asciiTheme="minorHAnsi" w:hAnsiTheme="minorHAnsi" w:cstheme="minorHAnsi"/>
          <w:bCs/>
          <w:iCs/>
          <w:lang w:val="en-GB"/>
        </w:rPr>
        <w:t xml:space="preserve">The presumption should be that everything should be available for public scrutiny unless it is in the public interest – not the police interest – to hold it back. </w:t>
      </w:r>
      <w:r w:rsidRPr="001B1A3F">
        <w:rPr>
          <w:rFonts w:asciiTheme="minorHAnsi" w:hAnsiTheme="minorHAnsi" w:cstheme="minorHAnsi"/>
          <w:lang w:val="en-GB"/>
        </w:rPr>
        <w:t>It fo</w:t>
      </w:r>
      <w:r w:rsidRPr="001B1A3F">
        <w:rPr>
          <w:rFonts w:asciiTheme="minorHAnsi" w:hAnsiTheme="minorHAnsi" w:cstheme="minorHAnsi"/>
          <w:color w:val="000000"/>
          <w:lang w:val="en-GB"/>
        </w:rPr>
        <w:t>llows that there should be readily available and clearly drafted notes on matters which the public are likely to be interested to see. .... Transparency is not a discrete issue but part and parcel of a more accountable, more community-based and more rights-based approach to policing.</w:t>
      </w:r>
      <w:r w:rsidRPr="001B1A3F">
        <w:rPr>
          <w:rStyle w:val="FootnoteReference"/>
          <w:rFonts w:asciiTheme="minorHAnsi" w:hAnsiTheme="minorHAnsi" w:cstheme="minorHAnsi"/>
          <w:color w:val="000000"/>
          <w:lang w:val="en-GB"/>
        </w:rPr>
        <w:footnoteReference w:id="25"/>
      </w:r>
    </w:p>
    <w:p w14:paraId="276E8173" w14:textId="77777777" w:rsidR="00885235" w:rsidRPr="001B1A3F" w:rsidRDefault="00885235" w:rsidP="005A1985">
      <w:pPr>
        <w:pStyle w:val="ListParagraph"/>
        <w:autoSpaceDE w:val="0"/>
        <w:autoSpaceDN w:val="0"/>
        <w:adjustRightInd w:val="0"/>
        <w:ind w:left="720"/>
        <w:rPr>
          <w:rFonts w:asciiTheme="minorHAnsi" w:hAnsiTheme="minorHAnsi" w:cstheme="minorHAnsi"/>
        </w:rPr>
      </w:pPr>
    </w:p>
    <w:p w14:paraId="0DFB4836" w14:textId="17A89974" w:rsidR="00655D38" w:rsidRPr="00F70FC0" w:rsidRDefault="00AB43E7" w:rsidP="00F70FC0">
      <w:pPr>
        <w:pStyle w:val="ListParagraph"/>
        <w:numPr>
          <w:ilvl w:val="3"/>
          <w:numId w:val="37"/>
        </w:numPr>
        <w:autoSpaceDE w:val="0"/>
        <w:autoSpaceDN w:val="0"/>
        <w:adjustRightInd w:val="0"/>
        <w:spacing w:after="160"/>
        <w:rPr>
          <w:rFonts w:asciiTheme="minorHAnsi" w:hAnsiTheme="minorHAnsi" w:cstheme="minorHAnsi"/>
          <w:b/>
          <w:bCs/>
        </w:rPr>
      </w:pPr>
      <w:r w:rsidRPr="00F70FC0">
        <w:rPr>
          <w:rFonts w:asciiTheme="minorHAnsi" w:hAnsiTheme="minorHAnsi" w:cstheme="minorHAnsi"/>
          <w:b/>
          <w:bCs/>
        </w:rPr>
        <w:t xml:space="preserve">Public authorities should devote special attention to collecting and making available information needed to protect against arbitrary or discriminatory treatment in the handling of </w:t>
      </w:r>
      <w:r w:rsidR="00970AA0" w:rsidRPr="00F70FC0">
        <w:rPr>
          <w:rFonts w:asciiTheme="minorHAnsi" w:hAnsiTheme="minorHAnsi" w:cstheme="minorHAnsi"/>
          <w:b/>
          <w:bCs/>
        </w:rPr>
        <w:t>assemblie</w:t>
      </w:r>
      <w:r w:rsidRPr="00F70FC0">
        <w:rPr>
          <w:rFonts w:asciiTheme="minorHAnsi" w:hAnsiTheme="minorHAnsi" w:cstheme="minorHAnsi"/>
          <w:b/>
          <w:bCs/>
        </w:rPr>
        <w:t xml:space="preserve">s. </w:t>
      </w:r>
    </w:p>
    <w:p w14:paraId="7C0E029A" w14:textId="04DC71F0" w:rsidR="00885235" w:rsidRPr="00EE2C50" w:rsidRDefault="00690C35" w:rsidP="00F70FC0">
      <w:pPr>
        <w:autoSpaceDE w:val="0"/>
        <w:autoSpaceDN w:val="0"/>
        <w:adjustRightInd w:val="0"/>
        <w:ind w:left="720"/>
        <w:rPr>
          <w:rFonts w:asciiTheme="minorHAnsi" w:hAnsiTheme="minorHAnsi" w:cstheme="minorHAnsi"/>
        </w:rPr>
      </w:pPr>
      <w:r w:rsidRPr="00EE2C50">
        <w:rPr>
          <w:rFonts w:asciiTheme="minorHAnsi" w:hAnsiTheme="minorHAnsi" w:cstheme="minorHAnsi"/>
        </w:rPr>
        <w:t xml:space="preserve">As stated by the two </w:t>
      </w:r>
      <w:r w:rsidR="007602D0" w:rsidRPr="00EE2C50">
        <w:rPr>
          <w:rFonts w:asciiTheme="minorHAnsi" w:hAnsiTheme="minorHAnsi" w:cstheme="minorHAnsi"/>
        </w:rPr>
        <w:t>UN</w:t>
      </w:r>
      <w:r w:rsidR="007B4C7C" w:rsidRPr="00EE2C50">
        <w:rPr>
          <w:rFonts w:asciiTheme="minorHAnsi" w:hAnsiTheme="minorHAnsi" w:cstheme="minorHAnsi"/>
        </w:rPr>
        <w:t xml:space="preserve"> Special</w:t>
      </w:r>
      <w:r w:rsidR="007602D0" w:rsidRPr="00EE2C50">
        <w:rPr>
          <w:rFonts w:asciiTheme="minorHAnsi" w:hAnsiTheme="minorHAnsi" w:cstheme="minorHAnsi"/>
        </w:rPr>
        <w:t xml:space="preserve"> </w:t>
      </w:r>
      <w:r w:rsidR="008A4CA2" w:rsidRPr="00EE2C50">
        <w:rPr>
          <w:rFonts w:asciiTheme="minorHAnsi" w:hAnsiTheme="minorHAnsi" w:cstheme="minorHAnsi"/>
        </w:rPr>
        <w:t>Rapporteurs</w:t>
      </w:r>
      <w:r w:rsidR="00885235" w:rsidRPr="00EE2C50">
        <w:rPr>
          <w:rFonts w:asciiTheme="minorHAnsi" w:hAnsiTheme="minorHAnsi" w:cstheme="minorHAnsi"/>
        </w:rPr>
        <w:t xml:space="preserve">: </w:t>
      </w:r>
    </w:p>
    <w:p w14:paraId="0B18C22A" w14:textId="1C72DEC0" w:rsidR="00885235" w:rsidRPr="001B1A3F" w:rsidRDefault="00885235" w:rsidP="00F70FC0">
      <w:pPr>
        <w:autoSpaceDE w:val="0"/>
        <w:autoSpaceDN w:val="0"/>
        <w:adjustRightInd w:val="0"/>
        <w:spacing w:after="0" w:line="240" w:lineRule="auto"/>
        <w:ind w:left="720" w:right="360"/>
        <w:jc w:val="both"/>
        <w:rPr>
          <w:rFonts w:asciiTheme="minorHAnsi" w:hAnsiTheme="minorHAnsi" w:cstheme="minorHAnsi"/>
        </w:rPr>
      </w:pPr>
      <w:r w:rsidRPr="001B1A3F">
        <w:rPr>
          <w:rFonts w:asciiTheme="minorHAnsi" w:hAnsiTheme="minorHAnsi" w:cstheme="minorHAnsi"/>
        </w:rPr>
        <w:t>Particular effort should be made to ensure equal and effective protection of the rights of groups or individuals who have historically experienced discrimination</w:t>
      </w:r>
      <w:r w:rsidR="00D71E57">
        <w:rPr>
          <w:rFonts w:asciiTheme="minorHAnsi" w:hAnsiTheme="minorHAnsi" w:cstheme="minorHAnsi"/>
        </w:rPr>
        <w:t xml:space="preserve">…. </w:t>
      </w:r>
      <w:r w:rsidRPr="001B1A3F">
        <w:rPr>
          <w:rFonts w:asciiTheme="minorHAnsi" w:hAnsiTheme="minorHAnsi" w:cstheme="minorHAnsi"/>
        </w:rPr>
        <w:t>This duty may require that authorities take additional measures to protect and facilitate the exercise of the right to freedom of assembly by such groups.</w:t>
      </w:r>
      <w:r w:rsidRPr="001B1A3F">
        <w:rPr>
          <w:rStyle w:val="FootnoteReference"/>
          <w:rFonts w:asciiTheme="minorHAnsi" w:hAnsiTheme="minorHAnsi" w:cstheme="minorHAnsi"/>
        </w:rPr>
        <w:footnoteReference w:id="26"/>
      </w:r>
    </w:p>
    <w:p w14:paraId="4FDD74E9" w14:textId="77777777" w:rsidR="00885235" w:rsidRPr="001B1A3F" w:rsidRDefault="00885235" w:rsidP="00D71E57">
      <w:pPr>
        <w:pStyle w:val="ListParagraph"/>
        <w:autoSpaceDE w:val="0"/>
        <w:autoSpaceDN w:val="0"/>
        <w:adjustRightInd w:val="0"/>
        <w:ind w:left="1080"/>
        <w:jc w:val="both"/>
        <w:rPr>
          <w:rFonts w:asciiTheme="minorHAnsi" w:hAnsiTheme="minorHAnsi" w:cstheme="minorHAnsi"/>
        </w:rPr>
      </w:pPr>
    </w:p>
    <w:p w14:paraId="21572931" w14:textId="7582C85E" w:rsidR="003A378A" w:rsidRPr="00F70FC0" w:rsidRDefault="00690C35" w:rsidP="00F70FC0">
      <w:pPr>
        <w:autoSpaceDE w:val="0"/>
        <w:autoSpaceDN w:val="0"/>
        <w:adjustRightInd w:val="0"/>
        <w:spacing w:line="240" w:lineRule="auto"/>
        <w:ind w:left="720"/>
        <w:jc w:val="both"/>
        <w:rPr>
          <w:rFonts w:asciiTheme="minorHAnsi" w:hAnsiTheme="minorHAnsi" w:cstheme="minorHAnsi"/>
        </w:rPr>
      </w:pPr>
      <w:r w:rsidRPr="00F70FC0">
        <w:rPr>
          <w:rFonts w:asciiTheme="minorHAnsi" w:hAnsiTheme="minorHAnsi" w:cstheme="minorHAnsi"/>
          <w:lang w:val="en-GB"/>
        </w:rPr>
        <w:t xml:space="preserve">In order to ensure compliance with non-discrimination requirements, including that due attention should be paid to the situation of groups at risk of marginalization or vulnerability, an increasing number of IGO bodies </w:t>
      </w:r>
      <w:r w:rsidR="003A378A" w:rsidRPr="00F70FC0">
        <w:rPr>
          <w:rFonts w:asciiTheme="minorHAnsi" w:hAnsiTheme="minorHAnsi" w:cstheme="minorHAnsi"/>
          <w:lang w:val="en-GB"/>
        </w:rPr>
        <w:t xml:space="preserve">and bureaux </w:t>
      </w:r>
      <w:r w:rsidRPr="00F70FC0">
        <w:rPr>
          <w:rFonts w:asciiTheme="minorHAnsi" w:hAnsiTheme="minorHAnsi" w:cstheme="minorHAnsi"/>
          <w:lang w:val="en-GB"/>
        </w:rPr>
        <w:t xml:space="preserve">recommend that relevant information be </w:t>
      </w:r>
      <w:r w:rsidR="00827F30" w:rsidRPr="00F70FC0">
        <w:rPr>
          <w:rFonts w:asciiTheme="minorHAnsi" w:hAnsiTheme="minorHAnsi" w:cstheme="minorHAnsi"/>
          <w:lang w:val="en-GB"/>
        </w:rPr>
        <w:t>disaggregated</w:t>
      </w:r>
      <w:r w:rsidRPr="00F70FC0">
        <w:rPr>
          <w:rFonts w:asciiTheme="minorHAnsi" w:hAnsiTheme="minorHAnsi" w:cstheme="minorHAnsi"/>
          <w:lang w:val="en-GB"/>
        </w:rPr>
        <w:t xml:space="preserve"> by gender, disability, age, religion, ethnicity, income segment and any other ground considered relevant, based on a contextual, country-level appreciation of groups at risk of marginalization.</w:t>
      </w:r>
      <w:r w:rsidRPr="001B1A3F">
        <w:rPr>
          <w:vertAlign w:val="superscript"/>
          <w:lang w:val="en-GB"/>
        </w:rPr>
        <w:footnoteReference w:id="27"/>
      </w:r>
    </w:p>
    <w:p w14:paraId="3810FBC7" w14:textId="7E97D1C3" w:rsidR="003A378A" w:rsidRPr="001B1A3F" w:rsidRDefault="00690C35" w:rsidP="00A949C9">
      <w:pPr>
        <w:pStyle w:val="ListParagraph"/>
        <w:autoSpaceDE w:val="0"/>
        <w:autoSpaceDN w:val="0"/>
        <w:adjustRightInd w:val="0"/>
        <w:ind w:left="1246"/>
        <w:rPr>
          <w:rFonts w:asciiTheme="minorHAnsi" w:hAnsiTheme="minorHAnsi" w:cstheme="minorHAnsi"/>
        </w:rPr>
      </w:pPr>
      <w:r w:rsidRPr="001B1A3F">
        <w:rPr>
          <w:rFonts w:asciiTheme="minorHAnsi" w:hAnsiTheme="minorHAnsi" w:cstheme="minorHAnsi"/>
          <w:lang w:val="en-GB"/>
        </w:rPr>
        <w:lastRenderedPageBreak/>
        <w:t xml:space="preserve"> </w:t>
      </w:r>
    </w:p>
    <w:p w14:paraId="757F1648" w14:textId="0CCAD793" w:rsidR="00DC1CB7" w:rsidRPr="00F70FC0" w:rsidRDefault="003A378A" w:rsidP="00F70FC0">
      <w:pPr>
        <w:autoSpaceDE w:val="0"/>
        <w:autoSpaceDN w:val="0"/>
        <w:adjustRightInd w:val="0"/>
        <w:spacing w:line="240" w:lineRule="auto"/>
        <w:ind w:left="720"/>
        <w:jc w:val="both"/>
        <w:rPr>
          <w:rFonts w:asciiTheme="minorHAnsi" w:hAnsiTheme="minorHAnsi" w:cstheme="minorHAnsi"/>
        </w:rPr>
      </w:pPr>
      <w:r w:rsidRPr="00F70FC0">
        <w:rPr>
          <w:rFonts w:asciiTheme="minorHAnsi" w:hAnsiTheme="minorHAnsi" w:cstheme="minorHAnsi"/>
        </w:rPr>
        <w:t>For instance, t</w:t>
      </w:r>
      <w:r w:rsidR="00796CE0" w:rsidRPr="00F70FC0">
        <w:rPr>
          <w:rFonts w:asciiTheme="minorHAnsi" w:hAnsiTheme="minorHAnsi" w:cstheme="minorHAnsi"/>
        </w:rPr>
        <w:t xml:space="preserve">he UN Committee </w:t>
      </w:r>
      <w:r w:rsidR="007602D0" w:rsidRPr="00F70FC0">
        <w:rPr>
          <w:rFonts w:asciiTheme="minorHAnsi" w:hAnsiTheme="minorHAnsi" w:cstheme="minorHAnsi"/>
        </w:rPr>
        <w:t xml:space="preserve">on </w:t>
      </w:r>
      <w:r w:rsidR="00796CE0" w:rsidRPr="00F70FC0">
        <w:rPr>
          <w:rFonts w:asciiTheme="minorHAnsi" w:hAnsiTheme="minorHAnsi" w:cstheme="minorHAnsi"/>
        </w:rPr>
        <w:t>the Elimination of Racial Discrimination</w:t>
      </w:r>
      <w:r w:rsidR="00885235" w:rsidRPr="00F70FC0">
        <w:rPr>
          <w:rFonts w:asciiTheme="minorHAnsi" w:hAnsiTheme="minorHAnsi" w:cstheme="minorHAnsi"/>
        </w:rPr>
        <w:t xml:space="preserve"> </w:t>
      </w:r>
      <w:r w:rsidR="00796CE0" w:rsidRPr="00F70FC0">
        <w:rPr>
          <w:rFonts w:asciiTheme="minorHAnsi" w:hAnsiTheme="minorHAnsi" w:cstheme="minorHAnsi"/>
        </w:rPr>
        <w:t>(</w:t>
      </w:r>
      <w:r w:rsidR="00885235" w:rsidRPr="00F70FC0">
        <w:rPr>
          <w:rFonts w:asciiTheme="minorHAnsi" w:hAnsiTheme="minorHAnsi" w:cstheme="minorHAnsi"/>
        </w:rPr>
        <w:t>CERD</w:t>
      </w:r>
      <w:r w:rsidR="00796CE0" w:rsidRPr="00F70FC0">
        <w:rPr>
          <w:rFonts w:asciiTheme="minorHAnsi" w:hAnsiTheme="minorHAnsi" w:cstheme="minorHAnsi"/>
        </w:rPr>
        <w:t>)</w:t>
      </w:r>
      <w:r w:rsidR="007F4501" w:rsidRPr="00F70FC0">
        <w:rPr>
          <w:rFonts w:asciiTheme="minorHAnsi" w:hAnsiTheme="minorHAnsi" w:cstheme="minorHAnsi"/>
        </w:rPr>
        <w:t xml:space="preserve"> </w:t>
      </w:r>
      <w:r w:rsidR="00796CE0" w:rsidRPr="00F70FC0">
        <w:rPr>
          <w:rFonts w:asciiTheme="minorHAnsi" w:hAnsiTheme="minorHAnsi" w:cstheme="minorHAnsi"/>
        </w:rPr>
        <w:t xml:space="preserve">has recommended </w:t>
      </w:r>
      <w:r w:rsidR="00885235" w:rsidRPr="00F70FC0">
        <w:rPr>
          <w:rFonts w:asciiTheme="minorHAnsi" w:hAnsiTheme="minorHAnsi" w:cstheme="minorHAnsi"/>
        </w:rPr>
        <w:t>steps to better gauge the existence and extent of racial discrimination within the justice system</w:t>
      </w:r>
      <w:r w:rsidR="00CE3641" w:rsidRPr="00F70FC0">
        <w:rPr>
          <w:rFonts w:asciiTheme="minorHAnsi" w:hAnsiTheme="minorHAnsi" w:cstheme="minorHAnsi"/>
        </w:rPr>
        <w:t xml:space="preserve">, including </w:t>
      </w:r>
      <w:r w:rsidR="00885235" w:rsidRPr="00F70FC0">
        <w:rPr>
          <w:rFonts w:asciiTheme="minorHAnsi" w:hAnsiTheme="minorHAnsi" w:cstheme="minorHAnsi"/>
        </w:rPr>
        <w:t xml:space="preserve">statistical indicators that would </w:t>
      </w:r>
      <w:r w:rsidR="00460DC2" w:rsidRPr="00F70FC0">
        <w:rPr>
          <w:rFonts w:asciiTheme="minorHAnsi" w:hAnsiTheme="minorHAnsi" w:cstheme="minorHAnsi"/>
        </w:rPr>
        <w:t xml:space="preserve">expose excessive use of force or imposition of </w:t>
      </w:r>
      <w:r w:rsidR="00885235" w:rsidRPr="00F70FC0">
        <w:rPr>
          <w:rFonts w:asciiTheme="minorHAnsi" w:hAnsiTheme="minorHAnsi" w:cstheme="minorHAnsi"/>
        </w:rPr>
        <w:t>harsher sentences against persons belonging to protected groups.</w:t>
      </w:r>
      <w:r w:rsidR="00885235" w:rsidRPr="001B1A3F">
        <w:rPr>
          <w:rStyle w:val="FootnoteReference"/>
          <w:rFonts w:asciiTheme="minorHAnsi" w:hAnsiTheme="minorHAnsi" w:cstheme="minorHAnsi"/>
        </w:rPr>
        <w:footnoteReference w:id="28"/>
      </w:r>
      <w:r w:rsidR="00885235" w:rsidRPr="00F70FC0">
        <w:rPr>
          <w:rFonts w:asciiTheme="minorHAnsi" w:hAnsiTheme="minorHAnsi" w:cstheme="minorHAnsi"/>
        </w:rPr>
        <w:t xml:space="preserve"> </w:t>
      </w:r>
      <w:r w:rsidRPr="00F70FC0">
        <w:rPr>
          <w:rFonts w:asciiTheme="minorHAnsi" w:hAnsiTheme="minorHAnsi" w:cstheme="minorHAnsi"/>
        </w:rPr>
        <w:t xml:space="preserve"> </w:t>
      </w:r>
    </w:p>
    <w:p w14:paraId="12F7024D" w14:textId="67AF36B9" w:rsidR="00DC1CB7" w:rsidRPr="00F70FC0" w:rsidRDefault="00CE3641" w:rsidP="00F70FC0">
      <w:pPr>
        <w:autoSpaceDE w:val="0"/>
        <w:autoSpaceDN w:val="0"/>
        <w:adjustRightInd w:val="0"/>
        <w:spacing w:line="240" w:lineRule="auto"/>
        <w:ind w:left="720"/>
        <w:jc w:val="both"/>
        <w:rPr>
          <w:rFonts w:asciiTheme="minorHAnsi" w:hAnsiTheme="minorHAnsi" w:cstheme="minorHAnsi"/>
        </w:rPr>
      </w:pPr>
      <w:r w:rsidRPr="00F70FC0">
        <w:rPr>
          <w:rFonts w:asciiTheme="minorHAnsi" w:hAnsiTheme="minorHAnsi" w:cstheme="minorHAnsi"/>
        </w:rPr>
        <w:t>T</w:t>
      </w:r>
      <w:r w:rsidR="00D33A4C" w:rsidRPr="00F70FC0">
        <w:rPr>
          <w:rFonts w:asciiTheme="minorHAnsi" w:hAnsiTheme="minorHAnsi" w:cstheme="minorHAnsi"/>
        </w:rPr>
        <w:t xml:space="preserve">he </w:t>
      </w:r>
      <w:r w:rsidR="007602D0" w:rsidRPr="00F70FC0">
        <w:rPr>
          <w:rFonts w:asciiTheme="minorHAnsi" w:hAnsiTheme="minorHAnsi" w:cstheme="minorHAnsi"/>
        </w:rPr>
        <w:t>Inter-American Commission on Human Rights (</w:t>
      </w:r>
      <w:r w:rsidR="00D33A4C" w:rsidRPr="00F70FC0">
        <w:rPr>
          <w:rFonts w:asciiTheme="minorHAnsi" w:hAnsiTheme="minorHAnsi" w:cstheme="minorHAnsi"/>
        </w:rPr>
        <w:t>IACHR</w:t>
      </w:r>
      <w:r w:rsidR="007602D0" w:rsidRPr="00F70FC0">
        <w:rPr>
          <w:rFonts w:asciiTheme="minorHAnsi" w:hAnsiTheme="minorHAnsi" w:cstheme="minorHAnsi"/>
        </w:rPr>
        <w:t>)</w:t>
      </w:r>
      <w:r w:rsidR="00D33A4C" w:rsidRPr="00F70FC0">
        <w:rPr>
          <w:rFonts w:asciiTheme="minorHAnsi" w:hAnsiTheme="minorHAnsi" w:cstheme="minorHAnsi"/>
        </w:rPr>
        <w:t xml:space="preserve"> has called on authorities to “consistently gather[</w:t>
      </w:r>
      <w:r w:rsidR="00603FDE" w:rsidRPr="00F70FC0">
        <w:rPr>
          <w:rFonts w:asciiTheme="minorHAnsi" w:hAnsiTheme="minorHAnsi" w:cstheme="minorHAnsi"/>
        </w:rPr>
        <w:t>…</w:t>
      </w:r>
      <w:r w:rsidR="00D33A4C" w:rsidRPr="00F70FC0">
        <w:rPr>
          <w:rFonts w:asciiTheme="minorHAnsi" w:hAnsiTheme="minorHAnsi" w:cstheme="minorHAnsi"/>
        </w:rPr>
        <w:t>] official statistics” disaggregated by race, ethnicity, gender, sexual orientation, language and other</w:t>
      </w:r>
      <w:r w:rsidR="000468A3" w:rsidRPr="00F70FC0">
        <w:rPr>
          <w:rFonts w:asciiTheme="minorHAnsi" w:hAnsiTheme="minorHAnsi" w:cstheme="minorHAnsi"/>
        </w:rPr>
        <w:t xml:space="preserve"> protected grounds concerning th</w:t>
      </w:r>
      <w:r w:rsidR="00D33A4C" w:rsidRPr="00F70FC0">
        <w:rPr>
          <w:rFonts w:asciiTheme="minorHAnsi" w:hAnsiTheme="minorHAnsi" w:cstheme="minorHAnsi"/>
        </w:rPr>
        <w:t>e victims of the use of force by law enforcement personnel, inclu</w:t>
      </w:r>
      <w:r w:rsidR="000468A3" w:rsidRPr="00F70FC0">
        <w:rPr>
          <w:rFonts w:asciiTheme="minorHAnsi" w:hAnsiTheme="minorHAnsi" w:cstheme="minorHAnsi"/>
        </w:rPr>
        <w:t>ding in the context of public de</w:t>
      </w:r>
      <w:r w:rsidR="00D33A4C" w:rsidRPr="00F70FC0">
        <w:rPr>
          <w:rFonts w:asciiTheme="minorHAnsi" w:hAnsiTheme="minorHAnsi" w:cstheme="minorHAnsi"/>
        </w:rPr>
        <w:t>monstrations.</w:t>
      </w:r>
      <w:r w:rsidR="00D33A4C" w:rsidRPr="001B1A3F">
        <w:rPr>
          <w:rStyle w:val="FootnoteReference"/>
          <w:rFonts w:asciiTheme="minorHAnsi" w:hAnsiTheme="minorHAnsi" w:cstheme="minorHAnsi"/>
        </w:rPr>
        <w:footnoteReference w:id="29"/>
      </w:r>
      <w:r w:rsidR="00762524" w:rsidRPr="00F70FC0">
        <w:rPr>
          <w:rFonts w:asciiTheme="minorHAnsi" w:hAnsiTheme="minorHAnsi" w:cstheme="minorHAnsi"/>
        </w:rPr>
        <w:t xml:space="preserve">  </w:t>
      </w:r>
    </w:p>
    <w:p w14:paraId="2E044A9B" w14:textId="5E52A2D0" w:rsidR="00885235" w:rsidRPr="00F70FC0" w:rsidRDefault="00F70FC0" w:rsidP="00F70FC0">
      <w:pPr>
        <w:autoSpaceDE w:val="0"/>
        <w:autoSpaceDN w:val="0"/>
        <w:adjustRightInd w:val="0"/>
        <w:spacing w:line="240" w:lineRule="auto"/>
        <w:ind w:left="720"/>
        <w:jc w:val="both"/>
        <w:rPr>
          <w:rFonts w:asciiTheme="minorHAnsi" w:hAnsiTheme="minorHAnsi" w:cstheme="minorHAnsi"/>
        </w:rPr>
      </w:pPr>
      <w:r>
        <w:rPr>
          <w:rFonts w:asciiTheme="minorHAnsi" w:hAnsiTheme="minorHAnsi" w:cstheme="minorHAnsi"/>
        </w:rPr>
        <w:t>T</w:t>
      </w:r>
      <w:r w:rsidR="003A378A" w:rsidRPr="00F70FC0">
        <w:rPr>
          <w:rFonts w:asciiTheme="minorHAnsi" w:hAnsiTheme="minorHAnsi" w:cstheme="minorHAnsi"/>
        </w:rPr>
        <w:t xml:space="preserve">he </w:t>
      </w:r>
      <w:r w:rsidR="003A378A" w:rsidRPr="00F70FC0">
        <w:rPr>
          <w:rFonts w:asciiTheme="minorHAnsi" w:hAnsiTheme="minorHAnsi" w:cstheme="minorHAnsi"/>
          <w:lang w:val="en-GB"/>
        </w:rPr>
        <w:t xml:space="preserve">European Commission against Racism and Intolerance of the Council of Europe issued a recommendation </w:t>
      </w:r>
      <w:r w:rsidR="003A378A" w:rsidRPr="00F70FC0">
        <w:rPr>
          <w:rFonts w:asciiTheme="minorHAnsi" w:hAnsiTheme="minorHAnsi" w:cstheme="minorHAnsi"/>
        </w:rPr>
        <w:t>that member states should “monitor police activities in order to identify racial profiling practices, including by collecting data broken down by grounds such as national or ethnic origin, language, religion and nationality in respect of relevant police activities.”</w:t>
      </w:r>
      <w:r w:rsidR="003A378A" w:rsidRPr="001B1A3F">
        <w:rPr>
          <w:rStyle w:val="FootnoteReference"/>
          <w:rFonts w:asciiTheme="minorHAnsi" w:hAnsiTheme="minorHAnsi" w:cstheme="minorHAnsi"/>
        </w:rPr>
        <w:footnoteReference w:id="30"/>
      </w:r>
    </w:p>
    <w:p w14:paraId="75AEEB21" w14:textId="152BF745" w:rsidR="00885235" w:rsidRDefault="00885235" w:rsidP="00A949C9">
      <w:pPr>
        <w:pStyle w:val="ListParagraph"/>
        <w:autoSpaceDE w:val="0"/>
        <w:autoSpaceDN w:val="0"/>
        <w:adjustRightInd w:val="0"/>
        <w:ind w:left="1080"/>
        <w:rPr>
          <w:rFonts w:asciiTheme="minorHAnsi" w:hAnsiTheme="minorHAnsi" w:cstheme="minorHAnsi"/>
        </w:rPr>
      </w:pPr>
    </w:p>
    <w:p w14:paraId="1B01E6B9" w14:textId="30CF22A3" w:rsidR="00786DFA" w:rsidRPr="00DD3544" w:rsidRDefault="00786DFA" w:rsidP="00786DFA">
      <w:pPr>
        <w:pStyle w:val="ListParagraph"/>
        <w:ind w:firstLine="720"/>
        <w:rPr>
          <w:b/>
          <w:i/>
          <w:color w:val="0070C0"/>
          <w:sz w:val="24"/>
          <w:szCs w:val="24"/>
        </w:rPr>
      </w:pPr>
      <w:r w:rsidRPr="00DD3544">
        <w:rPr>
          <w:b/>
          <w:i/>
          <w:color w:val="0070C0"/>
          <w:sz w:val="24"/>
          <w:szCs w:val="24"/>
        </w:rPr>
        <w:t>Transparency and timely communication of decisions</w:t>
      </w:r>
      <w:r w:rsidR="00126572">
        <w:rPr>
          <w:b/>
          <w:i/>
          <w:color w:val="0070C0"/>
          <w:sz w:val="24"/>
          <w:szCs w:val="24"/>
        </w:rPr>
        <w:t xml:space="preserve"> concerning an assembly</w:t>
      </w:r>
    </w:p>
    <w:p w14:paraId="1391C745" w14:textId="77777777" w:rsidR="00786DFA" w:rsidRPr="001B1A3F" w:rsidRDefault="00786DFA" w:rsidP="00A949C9">
      <w:pPr>
        <w:pStyle w:val="ListParagraph"/>
        <w:autoSpaceDE w:val="0"/>
        <w:autoSpaceDN w:val="0"/>
        <w:adjustRightInd w:val="0"/>
        <w:ind w:left="1080"/>
        <w:rPr>
          <w:rFonts w:asciiTheme="minorHAnsi" w:hAnsiTheme="minorHAnsi" w:cstheme="minorHAnsi"/>
        </w:rPr>
      </w:pPr>
    </w:p>
    <w:p w14:paraId="0DB82907" w14:textId="69CD8D1D" w:rsidR="00DC1CB7" w:rsidRDefault="00DC1CB7" w:rsidP="00F70FC0">
      <w:pPr>
        <w:pStyle w:val="ListParagraph"/>
        <w:numPr>
          <w:ilvl w:val="3"/>
          <w:numId w:val="37"/>
        </w:numPr>
        <w:contextualSpacing/>
        <w:jc w:val="both"/>
        <w:rPr>
          <w:b/>
          <w:lang w:val="en-GB"/>
        </w:rPr>
      </w:pPr>
      <w:r w:rsidRPr="00F70FC0">
        <w:rPr>
          <w:b/>
          <w:lang w:val="en-GB"/>
        </w:rPr>
        <w:t>Public authorities, including the police should document and communicate in a timely manner to the organizers of an assembly, and should supply upon request and free of charge to other members of the public, any decisions about the assembly, especially those that could affect an individual’s rights or freedoms, taken prior to, during, or after an assembly.</w:t>
      </w:r>
    </w:p>
    <w:p w14:paraId="0DAB7844" w14:textId="77777777" w:rsidR="00F70FC0" w:rsidRDefault="00F70FC0" w:rsidP="00F70FC0">
      <w:pPr>
        <w:pStyle w:val="ListParagraph"/>
        <w:ind w:left="360"/>
        <w:contextualSpacing/>
        <w:jc w:val="both"/>
        <w:rPr>
          <w:b/>
          <w:lang w:val="en-GB"/>
        </w:rPr>
      </w:pPr>
    </w:p>
    <w:p w14:paraId="569DE7A4" w14:textId="4926DA89" w:rsidR="006B1478" w:rsidRPr="00F70FC0" w:rsidRDefault="00DC1CB7" w:rsidP="00F70FC0">
      <w:pPr>
        <w:pStyle w:val="ListParagraph"/>
        <w:numPr>
          <w:ilvl w:val="3"/>
          <w:numId w:val="37"/>
        </w:numPr>
        <w:contextualSpacing/>
        <w:jc w:val="both"/>
        <w:rPr>
          <w:b/>
          <w:lang w:val="en-GB"/>
        </w:rPr>
      </w:pPr>
      <w:r w:rsidRPr="00F70FC0">
        <w:rPr>
          <w:b/>
          <w:color w:val="000000"/>
        </w:rPr>
        <w:t>In advance of an assembly, and during an assembly to the extent possible, the authorities should communi</w:t>
      </w:r>
      <w:r w:rsidRPr="00F70FC0">
        <w:rPr>
          <w:b/>
          <w:color w:val="000000"/>
        </w:rPr>
        <w:softHyphen/>
        <w:t>cate a clear rationale for suggesting or imposing restrictions and the organ</w:t>
      </w:r>
      <w:r w:rsidRPr="00F70FC0">
        <w:rPr>
          <w:b/>
          <w:color w:val="000000"/>
        </w:rPr>
        <w:softHyphen/>
        <w:t>izers should be offered reasonable alternatives when a restriction imposes a significant burden on the assembly.</w:t>
      </w:r>
    </w:p>
    <w:p w14:paraId="321A36F2" w14:textId="77777777" w:rsidR="00F70FC0" w:rsidRPr="00F70FC0" w:rsidRDefault="00F70FC0" w:rsidP="00F70FC0">
      <w:pPr>
        <w:pStyle w:val="ListParagraph"/>
        <w:jc w:val="both"/>
        <w:rPr>
          <w:b/>
          <w:lang w:val="en-GB"/>
        </w:rPr>
      </w:pPr>
    </w:p>
    <w:p w14:paraId="5158BD89" w14:textId="6683772D" w:rsidR="006B1478" w:rsidRPr="00F70FC0" w:rsidRDefault="006B1478" w:rsidP="00F70FC0">
      <w:pPr>
        <w:pStyle w:val="ListParagraph"/>
        <w:numPr>
          <w:ilvl w:val="3"/>
          <w:numId w:val="37"/>
        </w:numPr>
        <w:contextualSpacing/>
        <w:jc w:val="both"/>
        <w:rPr>
          <w:b/>
          <w:lang w:val="en-GB"/>
        </w:rPr>
      </w:pPr>
      <w:r w:rsidRPr="00F70FC0">
        <w:rPr>
          <w:rFonts w:asciiTheme="minorHAnsi" w:hAnsiTheme="minorHAnsi" w:cstheme="minorHAnsi"/>
          <w:b/>
        </w:rPr>
        <w:t xml:space="preserve">On the day of a protest, law enforcement officers should make themselves identifiable and should take steps necessary to identify contact points, and communicate clearly and in a non-threatening manner. </w:t>
      </w:r>
    </w:p>
    <w:p w14:paraId="154B662B" w14:textId="77777777" w:rsidR="001666A4" w:rsidRPr="001666A4" w:rsidRDefault="001666A4" w:rsidP="001666A4">
      <w:pPr>
        <w:pStyle w:val="ListParagraph"/>
        <w:rPr>
          <w:rFonts w:asciiTheme="minorHAnsi" w:hAnsiTheme="minorHAnsi" w:cstheme="minorHAnsi"/>
        </w:rPr>
      </w:pPr>
    </w:p>
    <w:p w14:paraId="63D8008E" w14:textId="47018653" w:rsidR="00885235" w:rsidRPr="00F70FC0" w:rsidRDefault="00885235" w:rsidP="00F70FC0">
      <w:pPr>
        <w:autoSpaceDE w:val="0"/>
        <w:autoSpaceDN w:val="0"/>
        <w:adjustRightInd w:val="0"/>
        <w:spacing w:after="160" w:line="240" w:lineRule="auto"/>
        <w:ind w:left="720"/>
        <w:jc w:val="both"/>
        <w:rPr>
          <w:rFonts w:asciiTheme="minorHAnsi" w:hAnsiTheme="minorHAnsi" w:cstheme="minorHAnsi"/>
        </w:rPr>
      </w:pPr>
      <w:r w:rsidRPr="00F70FC0">
        <w:rPr>
          <w:rFonts w:asciiTheme="minorHAnsi" w:hAnsiTheme="minorHAnsi" w:cstheme="minorHAnsi"/>
        </w:rPr>
        <w:t xml:space="preserve">Accurate information on how and when decisions were taken and the basis for them is the only way to ensure </w:t>
      </w:r>
      <w:r w:rsidR="006467AD" w:rsidRPr="00F70FC0">
        <w:rPr>
          <w:rFonts w:asciiTheme="minorHAnsi" w:hAnsiTheme="minorHAnsi" w:cstheme="minorHAnsi"/>
        </w:rPr>
        <w:t xml:space="preserve">that </w:t>
      </w:r>
      <w:r w:rsidRPr="00F70FC0">
        <w:rPr>
          <w:rFonts w:asciiTheme="minorHAnsi" w:hAnsiTheme="minorHAnsi" w:cstheme="minorHAnsi"/>
        </w:rPr>
        <w:t xml:space="preserve">decisions </w:t>
      </w:r>
      <w:r w:rsidR="007602D0" w:rsidRPr="00F70FC0">
        <w:rPr>
          <w:rFonts w:asciiTheme="minorHAnsi" w:hAnsiTheme="minorHAnsi" w:cstheme="minorHAnsi"/>
        </w:rPr>
        <w:t xml:space="preserve">were </w:t>
      </w:r>
      <w:r w:rsidRPr="00F70FC0">
        <w:rPr>
          <w:rFonts w:asciiTheme="minorHAnsi" w:hAnsiTheme="minorHAnsi" w:cstheme="minorHAnsi"/>
        </w:rPr>
        <w:t>made in a human-rights compliant manner. For</w:t>
      </w:r>
      <w:r w:rsidR="006467AD" w:rsidRPr="00F70FC0">
        <w:rPr>
          <w:rFonts w:asciiTheme="minorHAnsi" w:hAnsiTheme="minorHAnsi" w:cstheme="minorHAnsi"/>
        </w:rPr>
        <w:t xml:space="preserve"> this reason</w:t>
      </w:r>
      <w:r w:rsidRPr="00F70FC0">
        <w:rPr>
          <w:rFonts w:asciiTheme="minorHAnsi" w:hAnsiTheme="minorHAnsi" w:cstheme="minorHAnsi"/>
        </w:rPr>
        <w:t xml:space="preserve">, the </w:t>
      </w:r>
      <w:r w:rsidR="003A378A" w:rsidRPr="00F70FC0">
        <w:rPr>
          <w:rFonts w:asciiTheme="minorHAnsi" w:hAnsiTheme="minorHAnsi" w:cstheme="minorHAnsi"/>
        </w:rPr>
        <w:t xml:space="preserve">two </w:t>
      </w:r>
      <w:r w:rsidR="00B72703" w:rsidRPr="00F70FC0">
        <w:rPr>
          <w:rFonts w:asciiTheme="minorHAnsi" w:hAnsiTheme="minorHAnsi" w:cstheme="minorHAnsi"/>
        </w:rPr>
        <w:t xml:space="preserve">UN </w:t>
      </w:r>
      <w:r w:rsidRPr="00F70FC0">
        <w:rPr>
          <w:rFonts w:asciiTheme="minorHAnsi" w:hAnsiTheme="minorHAnsi" w:cstheme="minorHAnsi"/>
        </w:rPr>
        <w:t>Special Rapporte</w:t>
      </w:r>
      <w:r w:rsidR="00992A00" w:rsidRPr="00F70FC0">
        <w:rPr>
          <w:rFonts w:asciiTheme="minorHAnsi" w:hAnsiTheme="minorHAnsi" w:cstheme="minorHAnsi"/>
        </w:rPr>
        <w:t>u</w:t>
      </w:r>
      <w:r w:rsidRPr="00F70FC0">
        <w:rPr>
          <w:rFonts w:asciiTheme="minorHAnsi" w:hAnsiTheme="minorHAnsi" w:cstheme="minorHAnsi"/>
        </w:rPr>
        <w:t xml:space="preserve">rs </w:t>
      </w:r>
      <w:r w:rsidR="006467AD" w:rsidRPr="00F70FC0">
        <w:rPr>
          <w:rFonts w:asciiTheme="minorHAnsi" w:hAnsiTheme="minorHAnsi" w:cstheme="minorHAnsi"/>
        </w:rPr>
        <w:t>have recommended</w:t>
      </w:r>
      <w:r w:rsidR="00CE5807" w:rsidRPr="00F70FC0">
        <w:rPr>
          <w:rFonts w:asciiTheme="minorHAnsi" w:hAnsiTheme="minorHAnsi" w:cstheme="minorHAnsi"/>
        </w:rPr>
        <w:t>, among other measures,</w:t>
      </w:r>
      <w:r w:rsidR="006467AD" w:rsidRPr="00F70FC0">
        <w:rPr>
          <w:rFonts w:asciiTheme="minorHAnsi" w:hAnsiTheme="minorHAnsi" w:cstheme="minorHAnsi"/>
        </w:rPr>
        <w:t xml:space="preserve"> </w:t>
      </w:r>
      <w:r w:rsidRPr="00F70FC0">
        <w:rPr>
          <w:rFonts w:asciiTheme="minorHAnsi" w:hAnsiTheme="minorHAnsi" w:cstheme="minorHAnsi"/>
        </w:rPr>
        <w:t xml:space="preserve">that: </w:t>
      </w:r>
    </w:p>
    <w:p w14:paraId="709A2877" w14:textId="6639FC2B" w:rsidR="00885235" w:rsidRPr="001B1A3F" w:rsidRDefault="002451A6" w:rsidP="00F70FC0">
      <w:pPr>
        <w:pStyle w:val="ListParagraph"/>
        <w:numPr>
          <w:ilvl w:val="0"/>
          <w:numId w:val="3"/>
        </w:numPr>
        <w:autoSpaceDE w:val="0"/>
        <w:autoSpaceDN w:val="0"/>
        <w:adjustRightInd w:val="0"/>
        <w:jc w:val="both"/>
        <w:rPr>
          <w:rFonts w:asciiTheme="minorHAnsi" w:hAnsiTheme="minorHAnsi" w:cstheme="minorHAnsi"/>
        </w:rPr>
      </w:pPr>
      <w:r w:rsidRPr="001B1A3F">
        <w:rPr>
          <w:rFonts w:asciiTheme="minorHAnsi" w:hAnsiTheme="minorHAnsi" w:cstheme="minorHAnsi"/>
        </w:rPr>
        <w:t>“</w:t>
      </w:r>
      <w:r w:rsidR="00372641">
        <w:rPr>
          <w:rFonts w:asciiTheme="minorHAnsi" w:hAnsiTheme="minorHAnsi" w:cstheme="minorHAnsi"/>
        </w:rPr>
        <w:t>[</w:t>
      </w:r>
      <w:r w:rsidR="005E5010">
        <w:rPr>
          <w:rFonts w:asciiTheme="minorHAnsi" w:hAnsiTheme="minorHAnsi" w:cstheme="minorHAnsi"/>
        </w:rPr>
        <w:t>A</w:t>
      </w:r>
      <w:r w:rsidR="00885235" w:rsidRPr="001B1A3F">
        <w:rPr>
          <w:rFonts w:asciiTheme="minorHAnsi" w:hAnsiTheme="minorHAnsi" w:cstheme="minorHAnsi"/>
        </w:rPr>
        <w:t>ny] proposed restrictions should be put in writing, justified and communicated to the organizers, including the justification for the restriction, allowing an opportunity for the organizers to make submissions and to respond to any proposed restriction.</w:t>
      </w:r>
      <w:r w:rsidR="00CE5807" w:rsidRPr="001B1A3F">
        <w:rPr>
          <w:rFonts w:asciiTheme="minorHAnsi" w:hAnsiTheme="minorHAnsi" w:cstheme="minorHAnsi"/>
        </w:rPr>
        <w:t>”</w:t>
      </w:r>
      <w:r w:rsidR="00885235" w:rsidRPr="001B1A3F">
        <w:rPr>
          <w:rStyle w:val="FootnoteReference"/>
          <w:rFonts w:asciiTheme="minorHAnsi" w:hAnsiTheme="minorHAnsi" w:cstheme="minorHAnsi"/>
        </w:rPr>
        <w:footnoteReference w:id="31"/>
      </w:r>
    </w:p>
    <w:p w14:paraId="18B4262E" w14:textId="67AF81FE" w:rsidR="00582FF3" w:rsidRPr="001B1A3F" w:rsidRDefault="00CE5807" w:rsidP="00F70FC0">
      <w:pPr>
        <w:pStyle w:val="ListParagraph"/>
        <w:numPr>
          <w:ilvl w:val="0"/>
          <w:numId w:val="1"/>
        </w:numPr>
        <w:tabs>
          <w:tab w:val="left" w:pos="-720"/>
        </w:tabs>
        <w:suppressAutoHyphens/>
        <w:jc w:val="both"/>
        <w:rPr>
          <w:rFonts w:asciiTheme="minorHAnsi" w:hAnsiTheme="minorHAnsi" w:cstheme="minorHAnsi"/>
        </w:rPr>
      </w:pPr>
      <w:r w:rsidRPr="001B1A3F">
        <w:rPr>
          <w:rFonts w:asciiTheme="minorHAnsi" w:hAnsiTheme="minorHAnsi" w:cstheme="minorHAnsi"/>
        </w:rPr>
        <w:t>“</w:t>
      </w:r>
      <w:r w:rsidR="00582FF3" w:rsidRPr="001B1A3F">
        <w:rPr>
          <w:rFonts w:asciiTheme="minorHAnsi" w:hAnsiTheme="minorHAnsi" w:cstheme="minorHAnsi"/>
        </w:rPr>
        <w:t xml:space="preserve">A clear and transparent command structure must be established to minimize the risk of violence or the use of force, and to ensure responsibility for unlawful acts or omissions by </w:t>
      </w:r>
      <w:r w:rsidR="00582FF3" w:rsidRPr="001B1A3F">
        <w:rPr>
          <w:rFonts w:asciiTheme="minorHAnsi" w:hAnsiTheme="minorHAnsi" w:cstheme="minorHAnsi"/>
        </w:rPr>
        <w:lastRenderedPageBreak/>
        <w:t xml:space="preserve">officers. </w:t>
      </w:r>
      <w:r w:rsidR="003A378A" w:rsidRPr="001B1A3F">
        <w:rPr>
          <w:rStyle w:val="FootnoteReference"/>
          <w:rFonts w:asciiTheme="minorHAnsi" w:hAnsiTheme="minorHAnsi" w:cstheme="minorHAnsi"/>
        </w:rPr>
        <w:footnoteReference w:id="32"/>
      </w:r>
    </w:p>
    <w:p w14:paraId="1CCB8860" w14:textId="3A5B9398" w:rsidR="00582FF3" w:rsidRDefault="00CE5807" w:rsidP="00F70FC0">
      <w:pPr>
        <w:pStyle w:val="ListParagraph"/>
        <w:numPr>
          <w:ilvl w:val="0"/>
          <w:numId w:val="1"/>
        </w:numPr>
        <w:tabs>
          <w:tab w:val="left" w:pos="-720"/>
        </w:tabs>
        <w:suppressAutoHyphens/>
        <w:jc w:val="both"/>
        <w:rPr>
          <w:rFonts w:asciiTheme="minorHAnsi" w:hAnsiTheme="minorHAnsi" w:cstheme="minorHAnsi"/>
        </w:rPr>
      </w:pPr>
      <w:r w:rsidRPr="001B1A3F">
        <w:rPr>
          <w:rFonts w:asciiTheme="minorHAnsi" w:hAnsiTheme="minorHAnsi" w:cstheme="minorHAnsi"/>
        </w:rPr>
        <w:t>“</w:t>
      </w:r>
      <w:r w:rsidR="00582FF3" w:rsidRPr="001B1A3F">
        <w:rPr>
          <w:rFonts w:asciiTheme="minorHAnsi" w:hAnsiTheme="minorHAnsi" w:cstheme="minorHAnsi"/>
        </w:rPr>
        <w:t>Proper record keeping of decisions made by command officers at all levels</w:t>
      </w:r>
      <w:r w:rsidRPr="001B1A3F">
        <w:rPr>
          <w:rFonts w:asciiTheme="minorHAnsi" w:hAnsiTheme="minorHAnsi" w:cstheme="minorHAnsi"/>
        </w:rPr>
        <w:t xml:space="preserve"> is also required</w:t>
      </w:r>
      <w:r w:rsidR="00582FF3" w:rsidRPr="001B1A3F">
        <w:rPr>
          <w:rFonts w:asciiTheme="minorHAnsi" w:hAnsiTheme="minorHAnsi" w:cstheme="minorHAnsi"/>
        </w:rPr>
        <w:t>.</w:t>
      </w:r>
      <w:r w:rsidRPr="001B1A3F">
        <w:rPr>
          <w:rFonts w:asciiTheme="minorHAnsi" w:hAnsiTheme="minorHAnsi" w:cstheme="minorHAnsi"/>
        </w:rPr>
        <w:t>”</w:t>
      </w:r>
      <w:r w:rsidR="00582FF3" w:rsidRPr="001B1A3F">
        <w:rPr>
          <w:rStyle w:val="FootnoteReference"/>
          <w:rFonts w:asciiTheme="minorHAnsi" w:hAnsiTheme="minorHAnsi" w:cstheme="minorHAnsi"/>
        </w:rPr>
        <w:footnoteReference w:id="33"/>
      </w:r>
    </w:p>
    <w:p w14:paraId="663A062F" w14:textId="793283E1" w:rsidR="005E5010" w:rsidRPr="001B1A3F" w:rsidRDefault="005E5010" w:rsidP="00F70FC0">
      <w:pPr>
        <w:pStyle w:val="ListParagraph"/>
        <w:numPr>
          <w:ilvl w:val="0"/>
          <w:numId w:val="1"/>
        </w:numPr>
        <w:tabs>
          <w:tab w:val="left" w:pos="-720"/>
        </w:tabs>
        <w:suppressAutoHyphens/>
        <w:jc w:val="both"/>
        <w:rPr>
          <w:rFonts w:asciiTheme="minorHAnsi" w:hAnsiTheme="minorHAnsi" w:cstheme="minorHAnsi"/>
        </w:rPr>
      </w:pPr>
      <w:r>
        <w:rPr>
          <w:rFonts w:asciiTheme="minorHAnsi" w:hAnsiTheme="minorHAnsi" w:cstheme="minorHAnsi"/>
        </w:rPr>
        <w:t>“Law enforcement officials must be clearly and individually identifiable, for example by displaying a nameplate or number.”</w:t>
      </w:r>
      <w:r>
        <w:rPr>
          <w:rStyle w:val="FootnoteReference"/>
          <w:rFonts w:asciiTheme="minorHAnsi" w:hAnsiTheme="minorHAnsi" w:cstheme="minorHAnsi"/>
        </w:rPr>
        <w:footnoteReference w:id="34"/>
      </w:r>
    </w:p>
    <w:p w14:paraId="473B841F" w14:textId="77777777" w:rsidR="00582FF3" w:rsidRPr="001B1A3F" w:rsidRDefault="00582FF3" w:rsidP="00F70FC0">
      <w:pPr>
        <w:autoSpaceDE w:val="0"/>
        <w:autoSpaceDN w:val="0"/>
        <w:adjustRightInd w:val="0"/>
        <w:spacing w:after="0"/>
        <w:ind w:left="360"/>
        <w:jc w:val="both"/>
        <w:rPr>
          <w:rFonts w:asciiTheme="minorHAnsi" w:hAnsiTheme="minorHAnsi" w:cstheme="minorHAnsi"/>
          <w:b/>
          <w:bCs/>
        </w:rPr>
      </w:pPr>
    </w:p>
    <w:p w14:paraId="51486A69" w14:textId="12C77280" w:rsidR="00885235" w:rsidRPr="001666A4" w:rsidRDefault="00885235" w:rsidP="00F70FC0">
      <w:pPr>
        <w:pStyle w:val="ListParagraph"/>
        <w:autoSpaceDE w:val="0"/>
        <w:autoSpaceDN w:val="0"/>
        <w:adjustRightInd w:val="0"/>
        <w:ind w:left="720"/>
        <w:jc w:val="both"/>
        <w:rPr>
          <w:rFonts w:asciiTheme="minorHAnsi" w:hAnsiTheme="minorHAnsi" w:cstheme="minorHAnsi"/>
        </w:rPr>
      </w:pPr>
      <w:r w:rsidRPr="001666A4">
        <w:rPr>
          <w:rFonts w:asciiTheme="minorHAnsi" w:hAnsiTheme="minorHAnsi" w:cstheme="minorHAnsi"/>
        </w:rPr>
        <w:t xml:space="preserve">The OSCE Handbook on </w:t>
      </w:r>
      <w:r w:rsidR="008B6934" w:rsidRPr="001666A4">
        <w:rPr>
          <w:rFonts w:asciiTheme="minorHAnsi" w:hAnsiTheme="minorHAnsi" w:cstheme="minorHAnsi"/>
        </w:rPr>
        <w:t>P</w:t>
      </w:r>
      <w:r w:rsidRPr="001666A4">
        <w:rPr>
          <w:rFonts w:asciiTheme="minorHAnsi" w:hAnsiTheme="minorHAnsi" w:cstheme="minorHAnsi"/>
        </w:rPr>
        <w:t xml:space="preserve">olicing </w:t>
      </w:r>
      <w:r w:rsidR="008B6934" w:rsidRPr="001666A4">
        <w:rPr>
          <w:rFonts w:asciiTheme="minorHAnsi" w:hAnsiTheme="minorHAnsi" w:cstheme="minorHAnsi"/>
        </w:rPr>
        <w:t>A</w:t>
      </w:r>
      <w:r w:rsidRPr="001666A4">
        <w:rPr>
          <w:rFonts w:asciiTheme="minorHAnsi" w:hAnsiTheme="minorHAnsi" w:cstheme="minorHAnsi"/>
        </w:rPr>
        <w:t>ssemblies</w:t>
      </w:r>
      <w:r w:rsidR="00CE5807" w:rsidRPr="001666A4">
        <w:rPr>
          <w:rFonts w:asciiTheme="minorHAnsi" w:hAnsiTheme="minorHAnsi" w:cstheme="minorHAnsi"/>
        </w:rPr>
        <w:t xml:space="preserve"> similarly</w:t>
      </w:r>
      <w:r w:rsidRPr="001666A4">
        <w:rPr>
          <w:rFonts w:asciiTheme="minorHAnsi" w:hAnsiTheme="minorHAnsi" w:cstheme="minorHAnsi"/>
        </w:rPr>
        <w:t xml:space="preserve"> recommends: </w:t>
      </w:r>
    </w:p>
    <w:p w14:paraId="62270D1E" w14:textId="77777777" w:rsidR="00885235" w:rsidRPr="001B1A3F" w:rsidRDefault="00885235" w:rsidP="00F70FC0">
      <w:pPr>
        <w:pStyle w:val="ListParagraph"/>
        <w:ind w:left="360"/>
        <w:jc w:val="both"/>
        <w:rPr>
          <w:rFonts w:asciiTheme="minorHAnsi" w:hAnsiTheme="minorHAnsi" w:cstheme="minorHAnsi"/>
        </w:rPr>
      </w:pPr>
    </w:p>
    <w:p w14:paraId="0F2F22F9" w14:textId="1CD06497" w:rsidR="00885235" w:rsidRPr="001B1A3F" w:rsidRDefault="00885235" w:rsidP="00F70FC0">
      <w:pPr>
        <w:pStyle w:val="ListParagraph"/>
        <w:numPr>
          <w:ilvl w:val="0"/>
          <w:numId w:val="2"/>
        </w:numPr>
        <w:ind w:left="1080"/>
        <w:jc w:val="both"/>
        <w:rPr>
          <w:rFonts w:asciiTheme="minorHAnsi" w:hAnsiTheme="minorHAnsi" w:cstheme="minorHAnsi"/>
        </w:rPr>
      </w:pPr>
      <w:r w:rsidRPr="00786DFA">
        <w:rPr>
          <w:rFonts w:asciiTheme="minorHAnsi" w:hAnsiTheme="minorHAnsi" w:cstheme="minorHAnsi"/>
        </w:rPr>
        <w:t>Record Keeping</w:t>
      </w:r>
      <w:r w:rsidRPr="001B1A3F">
        <w:rPr>
          <w:rFonts w:asciiTheme="minorHAnsi" w:hAnsiTheme="minorHAnsi" w:cstheme="minorHAnsi"/>
        </w:rPr>
        <w:t>: Information on the planning process, roles and responsi</w:t>
      </w:r>
      <w:r w:rsidRPr="001B1A3F">
        <w:rPr>
          <w:rFonts w:asciiTheme="minorHAnsi" w:hAnsiTheme="minorHAnsi" w:cstheme="minorHAnsi"/>
        </w:rPr>
        <w:softHyphen/>
        <w:t>bilities, and the strategic intentions that shape decision-making processes and the outcome of those decisions, needs to be available for examination, especially for those decisions that impact an individual’s rights and freedoms</w:t>
      </w:r>
      <w:r w:rsidR="00FD0890">
        <w:rPr>
          <w:rFonts w:asciiTheme="minorHAnsi" w:hAnsiTheme="minorHAnsi" w:cstheme="minorHAnsi"/>
        </w:rPr>
        <w:t>.</w:t>
      </w:r>
      <w:r w:rsidR="00FD0890" w:rsidRPr="00FD0890">
        <w:rPr>
          <w:rFonts w:asciiTheme="minorHAnsi" w:hAnsiTheme="minorHAnsi" w:cstheme="minorHAnsi"/>
          <w:vertAlign w:val="superscript"/>
        </w:rPr>
        <w:footnoteReference w:id="35"/>
      </w:r>
    </w:p>
    <w:p w14:paraId="388653DF" w14:textId="77777777" w:rsidR="00885235" w:rsidRPr="001B1A3F" w:rsidRDefault="00885235" w:rsidP="00F70FC0">
      <w:pPr>
        <w:pStyle w:val="ListParagraph"/>
        <w:numPr>
          <w:ilvl w:val="0"/>
          <w:numId w:val="2"/>
        </w:numPr>
        <w:ind w:left="1080"/>
        <w:jc w:val="both"/>
        <w:rPr>
          <w:rFonts w:asciiTheme="minorHAnsi" w:hAnsiTheme="minorHAnsi" w:cstheme="minorHAnsi"/>
          <w:color w:val="000000"/>
        </w:rPr>
      </w:pPr>
      <w:r w:rsidRPr="00786DFA">
        <w:rPr>
          <w:rFonts w:asciiTheme="minorHAnsi" w:hAnsiTheme="minorHAnsi" w:cstheme="minorHAnsi"/>
          <w:bCs/>
          <w:color w:val="000000"/>
        </w:rPr>
        <w:t>Imposing Restrictions</w:t>
      </w:r>
      <w:r w:rsidRPr="001B1A3F">
        <w:rPr>
          <w:rFonts w:asciiTheme="minorHAnsi" w:hAnsiTheme="minorHAnsi" w:cstheme="minorHAnsi"/>
          <w:b/>
          <w:bCs/>
          <w:color w:val="000000"/>
        </w:rPr>
        <w:t xml:space="preserve">: </w:t>
      </w:r>
      <w:r w:rsidRPr="001B1A3F">
        <w:rPr>
          <w:rFonts w:asciiTheme="minorHAnsi" w:hAnsiTheme="minorHAnsi" w:cstheme="minorHAnsi"/>
          <w:color w:val="000000"/>
        </w:rPr>
        <w:t>If a decision is made to impose restrictions on an assembly, either by the relevant authority in advance of the event or by the police during its course, then any decision to do so must be informed by the human rights principles outlined above. The police should always communi</w:t>
      </w:r>
      <w:r w:rsidRPr="001B1A3F">
        <w:rPr>
          <w:rFonts w:asciiTheme="minorHAnsi" w:hAnsiTheme="minorHAnsi" w:cstheme="minorHAnsi"/>
          <w:color w:val="000000"/>
        </w:rPr>
        <w:softHyphen/>
        <w:t>cate a clear rationale for suggesting or imposing restrictions and the organ</w:t>
      </w:r>
      <w:r w:rsidRPr="001B1A3F">
        <w:rPr>
          <w:rFonts w:asciiTheme="minorHAnsi" w:hAnsiTheme="minorHAnsi" w:cstheme="minorHAnsi"/>
          <w:color w:val="000000"/>
        </w:rPr>
        <w:softHyphen/>
        <w:t>izers should always be offered reasonable alternatives when a restriction imposes a significant burden on the assembly.</w:t>
      </w:r>
      <w:r w:rsidRPr="001B1A3F">
        <w:rPr>
          <w:rStyle w:val="FootnoteReference"/>
          <w:rFonts w:asciiTheme="minorHAnsi" w:hAnsiTheme="minorHAnsi" w:cstheme="minorHAnsi"/>
        </w:rPr>
        <w:footnoteReference w:id="36"/>
      </w:r>
    </w:p>
    <w:p w14:paraId="33AEF761" w14:textId="77777777" w:rsidR="005A1985" w:rsidRDefault="005A1985" w:rsidP="00B829CE">
      <w:pPr>
        <w:autoSpaceDE w:val="0"/>
        <w:autoSpaceDN w:val="0"/>
        <w:adjustRightInd w:val="0"/>
        <w:spacing w:after="0" w:line="240" w:lineRule="auto"/>
        <w:rPr>
          <w:rFonts w:asciiTheme="minorHAnsi" w:hAnsiTheme="minorHAnsi" w:cstheme="minorHAnsi"/>
          <w:b/>
          <w:bCs/>
          <w:color w:val="0070C0"/>
          <w:sz w:val="28"/>
          <w:szCs w:val="28"/>
          <w:lang w:val="en-GB"/>
        </w:rPr>
      </w:pPr>
    </w:p>
    <w:p w14:paraId="171AFE36" w14:textId="2824D4EC" w:rsidR="000468A3" w:rsidRPr="004A769B" w:rsidRDefault="0028288D" w:rsidP="00F70FC0">
      <w:pPr>
        <w:pStyle w:val="ListParagraph"/>
        <w:numPr>
          <w:ilvl w:val="2"/>
          <w:numId w:val="37"/>
        </w:numPr>
        <w:autoSpaceDE w:val="0"/>
        <w:autoSpaceDN w:val="0"/>
        <w:adjustRightInd w:val="0"/>
        <w:ind w:left="720"/>
        <w:jc w:val="both"/>
        <w:rPr>
          <w:rFonts w:asciiTheme="minorHAnsi" w:hAnsiTheme="minorHAnsi" w:cstheme="minorHAnsi"/>
          <w:b/>
          <w:bCs/>
          <w:color w:val="0070C0"/>
          <w:sz w:val="28"/>
          <w:szCs w:val="28"/>
          <w:lang w:val="en-GB"/>
        </w:rPr>
      </w:pPr>
      <w:r w:rsidRPr="004A769B">
        <w:rPr>
          <w:rFonts w:asciiTheme="minorHAnsi" w:hAnsiTheme="minorHAnsi" w:cstheme="minorHAnsi"/>
          <w:b/>
          <w:bCs/>
          <w:color w:val="0070C0"/>
          <w:sz w:val="28"/>
          <w:szCs w:val="28"/>
          <w:lang w:val="en-GB"/>
        </w:rPr>
        <w:t xml:space="preserve">USE OF UNDERCOVER </w:t>
      </w:r>
      <w:r w:rsidR="008B6934" w:rsidRPr="004A769B">
        <w:rPr>
          <w:rFonts w:asciiTheme="minorHAnsi" w:hAnsiTheme="minorHAnsi" w:cstheme="minorHAnsi"/>
          <w:b/>
          <w:bCs/>
          <w:color w:val="0070C0"/>
          <w:sz w:val="28"/>
          <w:szCs w:val="28"/>
          <w:lang w:val="en-GB"/>
        </w:rPr>
        <w:t xml:space="preserve">AGENTS </w:t>
      </w:r>
      <w:r w:rsidRPr="004A769B">
        <w:rPr>
          <w:rFonts w:asciiTheme="minorHAnsi" w:hAnsiTheme="minorHAnsi" w:cstheme="minorHAnsi"/>
          <w:b/>
          <w:bCs/>
          <w:color w:val="0070C0"/>
          <w:sz w:val="28"/>
          <w:szCs w:val="28"/>
          <w:lang w:val="en-GB"/>
        </w:rPr>
        <w:t xml:space="preserve">AND </w:t>
      </w:r>
      <w:r w:rsidR="008B6934" w:rsidRPr="004A769B">
        <w:rPr>
          <w:rFonts w:asciiTheme="minorHAnsi" w:hAnsiTheme="minorHAnsi" w:cstheme="minorHAnsi"/>
          <w:b/>
          <w:bCs/>
          <w:color w:val="0070C0"/>
          <w:sz w:val="28"/>
          <w:szCs w:val="28"/>
          <w:lang w:val="en-GB"/>
        </w:rPr>
        <w:t xml:space="preserve">OTHER FORMS OF </w:t>
      </w:r>
      <w:r w:rsidR="00CF1673" w:rsidRPr="004A769B">
        <w:rPr>
          <w:rFonts w:asciiTheme="minorHAnsi" w:hAnsiTheme="minorHAnsi" w:cstheme="minorHAnsi"/>
          <w:b/>
          <w:bCs/>
          <w:color w:val="0070C0"/>
          <w:sz w:val="28"/>
          <w:szCs w:val="28"/>
          <w:lang w:val="en-GB"/>
        </w:rPr>
        <w:t>SURVEILLANCE</w:t>
      </w:r>
    </w:p>
    <w:p w14:paraId="17674695" w14:textId="77777777" w:rsidR="004A769B" w:rsidRDefault="004A769B" w:rsidP="00F70FC0">
      <w:pPr>
        <w:autoSpaceDE w:val="0"/>
        <w:autoSpaceDN w:val="0"/>
        <w:adjustRightInd w:val="0"/>
        <w:spacing w:after="0" w:line="240" w:lineRule="auto"/>
        <w:jc w:val="both"/>
        <w:rPr>
          <w:rFonts w:asciiTheme="minorHAnsi" w:hAnsiTheme="minorHAnsi" w:cstheme="minorHAnsi"/>
          <w:lang w:val="en-GB"/>
        </w:rPr>
      </w:pPr>
    </w:p>
    <w:p w14:paraId="5AC35DB0" w14:textId="4FA0AD84" w:rsidR="00B829CE" w:rsidRPr="00A5243D" w:rsidRDefault="00CF1673" w:rsidP="00F70FC0">
      <w:pPr>
        <w:autoSpaceDE w:val="0"/>
        <w:autoSpaceDN w:val="0"/>
        <w:adjustRightInd w:val="0"/>
        <w:spacing w:after="160" w:line="240" w:lineRule="auto"/>
        <w:ind w:left="360"/>
        <w:jc w:val="both"/>
        <w:rPr>
          <w:rFonts w:asciiTheme="minorHAnsi" w:hAnsiTheme="minorHAnsi" w:cstheme="minorHAnsi"/>
          <w:lang w:val="en-GB"/>
        </w:rPr>
      </w:pPr>
      <w:r w:rsidRPr="00A5243D">
        <w:rPr>
          <w:rFonts w:asciiTheme="minorHAnsi" w:hAnsiTheme="minorHAnsi" w:cstheme="minorHAnsi"/>
          <w:lang w:val="en-GB"/>
        </w:rPr>
        <w:t xml:space="preserve">The Justice Initiative and CAJ </w:t>
      </w:r>
      <w:r w:rsidR="00BF425F">
        <w:rPr>
          <w:rFonts w:asciiTheme="minorHAnsi" w:hAnsiTheme="minorHAnsi" w:cstheme="minorHAnsi"/>
          <w:lang w:val="en-GB"/>
        </w:rPr>
        <w:t xml:space="preserve">are pleased that the Committee’s Rapporteur on this </w:t>
      </w:r>
      <w:r w:rsidR="000468A3" w:rsidRPr="00A5243D">
        <w:rPr>
          <w:rFonts w:asciiTheme="minorHAnsi" w:hAnsiTheme="minorHAnsi" w:cstheme="minorHAnsi"/>
          <w:lang w:val="en-GB"/>
        </w:rPr>
        <w:t xml:space="preserve">General Comment </w:t>
      </w:r>
      <w:r w:rsidR="00BF425F">
        <w:rPr>
          <w:rFonts w:asciiTheme="minorHAnsi" w:hAnsiTheme="minorHAnsi" w:cstheme="minorHAnsi"/>
          <w:lang w:val="en-GB"/>
        </w:rPr>
        <w:t xml:space="preserve">has indicated in the Background paper his interest to address </w:t>
      </w:r>
      <w:r w:rsidR="000468A3" w:rsidRPr="00A5243D">
        <w:rPr>
          <w:rFonts w:asciiTheme="minorHAnsi" w:hAnsiTheme="minorHAnsi" w:cstheme="minorHAnsi"/>
          <w:lang w:val="en-GB"/>
        </w:rPr>
        <w:t xml:space="preserve">the compatibility with the </w:t>
      </w:r>
      <w:r w:rsidRPr="00A5243D">
        <w:rPr>
          <w:rFonts w:asciiTheme="minorHAnsi" w:hAnsiTheme="minorHAnsi" w:cstheme="minorHAnsi"/>
          <w:lang w:val="en-GB"/>
        </w:rPr>
        <w:t xml:space="preserve">ICCPR </w:t>
      </w:r>
      <w:r w:rsidR="000468A3" w:rsidRPr="00A5243D">
        <w:rPr>
          <w:rFonts w:asciiTheme="minorHAnsi" w:hAnsiTheme="minorHAnsi" w:cstheme="minorHAnsi"/>
          <w:lang w:val="en-GB"/>
        </w:rPr>
        <w:t xml:space="preserve">of </w:t>
      </w:r>
      <w:r w:rsidR="00BF425F">
        <w:rPr>
          <w:rFonts w:asciiTheme="minorHAnsi" w:hAnsiTheme="minorHAnsi" w:cstheme="minorHAnsi"/>
          <w:lang w:val="en-GB"/>
        </w:rPr>
        <w:t>undercover policing. We not</w:t>
      </w:r>
      <w:r w:rsidR="004A769B">
        <w:rPr>
          <w:rFonts w:asciiTheme="minorHAnsi" w:hAnsiTheme="minorHAnsi" w:cstheme="minorHAnsi"/>
          <w:lang w:val="en-GB"/>
        </w:rPr>
        <w:t xml:space="preserve">e that </w:t>
      </w:r>
      <w:r w:rsidR="000468A3" w:rsidRPr="00A5243D">
        <w:rPr>
          <w:rFonts w:asciiTheme="minorHAnsi" w:hAnsiTheme="minorHAnsi" w:cstheme="minorHAnsi"/>
          <w:lang w:val="en-GB"/>
        </w:rPr>
        <w:t>undercover</w:t>
      </w:r>
      <w:r w:rsidR="004A769B">
        <w:rPr>
          <w:rFonts w:asciiTheme="minorHAnsi" w:hAnsiTheme="minorHAnsi" w:cstheme="minorHAnsi"/>
          <w:lang w:val="en-GB"/>
        </w:rPr>
        <w:t xml:space="preserve"> policing </w:t>
      </w:r>
      <w:r w:rsidR="00C16F84" w:rsidRPr="00A5243D">
        <w:rPr>
          <w:rFonts w:asciiTheme="minorHAnsi" w:hAnsiTheme="minorHAnsi" w:cstheme="minorHAnsi"/>
          <w:lang w:val="en-GB"/>
        </w:rPr>
        <w:t>includ</w:t>
      </w:r>
      <w:r w:rsidR="004A769B">
        <w:rPr>
          <w:rFonts w:asciiTheme="minorHAnsi" w:hAnsiTheme="minorHAnsi" w:cstheme="minorHAnsi"/>
          <w:lang w:val="en-GB"/>
        </w:rPr>
        <w:t>es the use of</w:t>
      </w:r>
      <w:r w:rsidR="00C16F84" w:rsidRPr="00A5243D">
        <w:rPr>
          <w:rFonts w:asciiTheme="minorHAnsi" w:hAnsiTheme="minorHAnsi" w:cstheme="minorHAnsi"/>
          <w:lang w:val="en-GB"/>
        </w:rPr>
        <w:t xml:space="preserve"> law enforcement officers and private security contractors </w:t>
      </w:r>
      <w:r w:rsidR="000468A3" w:rsidRPr="00A5243D">
        <w:rPr>
          <w:rFonts w:asciiTheme="minorHAnsi" w:hAnsiTheme="minorHAnsi" w:cstheme="minorHAnsi"/>
          <w:lang w:val="en-GB"/>
        </w:rPr>
        <w:t>to infiltrate groups of persons engaged in peaceful assembly</w:t>
      </w:r>
      <w:r w:rsidR="00C16F84" w:rsidRPr="00A5243D">
        <w:rPr>
          <w:rFonts w:asciiTheme="minorHAnsi" w:hAnsiTheme="minorHAnsi" w:cstheme="minorHAnsi"/>
          <w:lang w:val="en-GB"/>
        </w:rPr>
        <w:t xml:space="preserve">; </w:t>
      </w:r>
      <w:r w:rsidR="004A769B">
        <w:rPr>
          <w:rFonts w:asciiTheme="minorHAnsi" w:hAnsiTheme="minorHAnsi" w:cstheme="minorHAnsi"/>
          <w:lang w:val="en-GB"/>
        </w:rPr>
        <w:t xml:space="preserve">and the </w:t>
      </w:r>
      <w:r w:rsidR="00C16F84" w:rsidRPr="00A5243D">
        <w:rPr>
          <w:rFonts w:asciiTheme="minorHAnsi" w:hAnsiTheme="minorHAnsi" w:cstheme="minorHAnsi"/>
          <w:lang w:val="en-GB"/>
        </w:rPr>
        <w:t>recruit</w:t>
      </w:r>
      <w:r w:rsidR="004A769B">
        <w:rPr>
          <w:rFonts w:asciiTheme="minorHAnsi" w:hAnsiTheme="minorHAnsi" w:cstheme="minorHAnsi"/>
          <w:lang w:val="en-GB"/>
        </w:rPr>
        <w:t>ment</w:t>
      </w:r>
      <w:r w:rsidR="00C16F84" w:rsidRPr="00A5243D">
        <w:rPr>
          <w:rFonts w:asciiTheme="minorHAnsi" w:hAnsiTheme="minorHAnsi" w:cstheme="minorHAnsi"/>
          <w:lang w:val="en-GB"/>
        </w:rPr>
        <w:t xml:space="preserve"> and </w:t>
      </w:r>
      <w:r w:rsidR="004A769B">
        <w:rPr>
          <w:rFonts w:asciiTheme="minorHAnsi" w:hAnsiTheme="minorHAnsi" w:cstheme="minorHAnsi"/>
          <w:lang w:val="en-GB"/>
        </w:rPr>
        <w:t xml:space="preserve">use of </w:t>
      </w:r>
      <w:r w:rsidR="00C16F84" w:rsidRPr="00A5243D">
        <w:rPr>
          <w:rFonts w:asciiTheme="minorHAnsi" w:hAnsiTheme="minorHAnsi" w:cstheme="minorHAnsi"/>
          <w:lang w:val="en-GB"/>
        </w:rPr>
        <w:t>informants within target groups</w:t>
      </w:r>
      <w:r w:rsidR="004A769B">
        <w:rPr>
          <w:rFonts w:asciiTheme="minorHAnsi" w:hAnsiTheme="minorHAnsi" w:cstheme="minorHAnsi"/>
          <w:lang w:val="en-GB"/>
        </w:rPr>
        <w:t xml:space="preserve">. It also includes on-line (or digital) and other forms </w:t>
      </w:r>
      <w:r w:rsidR="00C16F84" w:rsidRPr="00A5243D">
        <w:rPr>
          <w:rFonts w:asciiTheme="minorHAnsi" w:hAnsiTheme="minorHAnsi" w:cstheme="minorHAnsi"/>
          <w:lang w:val="en-GB"/>
        </w:rPr>
        <w:t xml:space="preserve">of surveillance. </w:t>
      </w:r>
      <w:r w:rsidR="000468A3" w:rsidRPr="00A5243D">
        <w:rPr>
          <w:rFonts w:asciiTheme="minorHAnsi" w:hAnsiTheme="minorHAnsi" w:cstheme="minorHAnsi"/>
          <w:lang w:val="en-GB"/>
        </w:rPr>
        <w:t>Such practices</w:t>
      </w:r>
      <w:r w:rsidR="00F64F8D">
        <w:rPr>
          <w:rFonts w:asciiTheme="minorHAnsi" w:hAnsiTheme="minorHAnsi" w:cstheme="minorHAnsi"/>
          <w:lang w:val="en-GB"/>
        </w:rPr>
        <w:t xml:space="preserve"> impact the right to privacy protected by Article 1</w:t>
      </w:r>
      <w:r w:rsidR="00AB7A66">
        <w:rPr>
          <w:rFonts w:asciiTheme="minorHAnsi" w:hAnsiTheme="minorHAnsi" w:cstheme="minorHAnsi"/>
          <w:lang w:val="en-GB"/>
        </w:rPr>
        <w:t>7</w:t>
      </w:r>
      <w:r w:rsidR="00F64F8D">
        <w:rPr>
          <w:rFonts w:asciiTheme="minorHAnsi" w:hAnsiTheme="minorHAnsi" w:cstheme="minorHAnsi"/>
          <w:lang w:val="en-GB"/>
        </w:rPr>
        <w:t xml:space="preserve"> and</w:t>
      </w:r>
      <w:r w:rsidR="000468A3" w:rsidRPr="00A5243D">
        <w:rPr>
          <w:rFonts w:asciiTheme="minorHAnsi" w:hAnsiTheme="minorHAnsi" w:cstheme="minorHAnsi"/>
          <w:lang w:val="en-GB"/>
        </w:rPr>
        <w:t xml:space="preserve"> </w:t>
      </w:r>
      <w:r w:rsidR="00F64F8D">
        <w:rPr>
          <w:rFonts w:asciiTheme="minorHAnsi" w:hAnsiTheme="minorHAnsi" w:cstheme="minorHAnsi"/>
          <w:lang w:val="en-GB"/>
        </w:rPr>
        <w:t xml:space="preserve">can also </w:t>
      </w:r>
      <w:r w:rsidR="000468A3" w:rsidRPr="00A5243D">
        <w:rPr>
          <w:rFonts w:asciiTheme="minorHAnsi" w:hAnsiTheme="minorHAnsi" w:cstheme="minorHAnsi"/>
          <w:lang w:val="en-GB"/>
        </w:rPr>
        <w:t>interfere w</w:t>
      </w:r>
      <w:r w:rsidR="0059348B" w:rsidRPr="00A5243D">
        <w:rPr>
          <w:rFonts w:asciiTheme="minorHAnsi" w:hAnsiTheme="minorHAnsi" w:cstheme="minorHAnsi"/>
          <w:lang w:val="en-GB"/>
        </w:rPr>
        <w:t>ith the right</w:t>
      </w:r>
      <w:r w:rsidR="00F64F8D">
        <w:rPr>
          <w:rFonts w:asciiTheme="minorHAnsi" w:hAnsiTheme="minorHAnsi" w:cstheme="minorHAnsi"/>
          <w:lang w:val="en-GB"/>
        </w:rPr>
        <w:t xml:space="preserve"> to peaceful assembly</w:t>
      </w:r>
      <w:r w:rsidR="0059348B" w:rsidRPr="00A5243D">
        <w:rPr>
          <w:rFonts w:asciiTheme="minorHAnsi" w:hAnsiTheme="minorHAnsi" w:cstheme="minorHAnsi"/>
          <w:lang w:val="en-GB"/>
        </w:rPr>
        <w:t xml:space="preserve"> protected </w:t>
      </w:r>
      <w:r w:rsidR="00C16F84" w:rsidRPr="00A5243D">
        <w:rPr>
          <w:rFonts w:asciiTheme="minorHAnsi" w:hAnsiTheme="minorHAnsi" w:cstheme="minorHAnsi"/>
          <w:lang w:val="en-GB"/>
        </w:rPr>
        <w:t xml:space="preserve">by </w:t>
      </w:r>
      <w:r w:rsidR="0059348B" w:rsidRPr="00A5243D">
        <w:rPr>
          <w:rFonts w:asciiTheme="minorHAnsi" w:hAnsiTheme="minorHAnsi" w:cstheme="minorHAnsi"/>
          <w:lang w:val="en-GB"/>
        </w:rPr>
        <w:t>A</w:t>
      </w:r>
      <w:r w:rsidR="000468A3" w:rsidRPr="00A5243D">
        <w:rPr>
          <w:rFonts w:asciiTheme="minorHAnsi" w:hAnsiTheme="minorHAnsi" w:cstheme="minorHAnsi"/>
          <w:lang w:val="en-GB"/>
        </w:rPr>
        <w:t>rticle 21 through a variety of means including</w:t>
      </w:r>
      <w:r w:rsidR="00F64F8D">
        <w:rPr>
          <w:rFonts w:asciiTheme="minorHAnsi" w:hAnsiTheme="minorHAnsi" w:cstheme="minorHAnsi"/>
          <w:lang w:val="en-GB"/>
        </w:rPr>
        <w:t xml:space="preserve"> by</w:t>
      </w:r>
      <w:r w:rsidR="000468A3" w:rsidRPr="00A5243D">
        <w:rPr>
          <w:rFonts w:asciiTheme="minorHAnsi" w:hAnsiTheme="minorHAnsi" w:cstheme="minorHAnsi"/>
          <w:lang w:val="en-GB"/>
        </w:rPr>
        <w:t xml:space="preserve">: </w:t>
      </w:r>
    </w:p>
    <w:p w14:paraId="2FC2ACD9" w14:textId="505F861C" w:rsidR="000468A3" w:rsidRPr="00A5243D" w:rsidRDefault="000468A3" w:rsidP="00F70FC0">
      <w:pPr>
        <w:numPr>
          <w:ilvl w:val="0"/>
          <w:numId w:val="8"/>
        </w:numPr>
        <w:autoSpaceDE w:val="0"/>
        <w:autoSpaceDN w:val="0"/>
        <w:adjustRightInd w:val="0"/>
        <w:spacing w:after="0" w:line="240" w:lineRule="auto"/>
        <w:jc w:val="both"/>
        <w:rPr>
          <w:rFonts w:asciiTheme="minorHAnsi" w:hAnsiTheme="minorHAnsi" w:cstheme="minorHAnsi"/>
          <w:lang w:val="en-GB"/>
        </w:rPr>
      </w:pPr>
      <w:r w:rsidRPr="00A5243D">
        <w:rPr>
          <w:rFonts w:asciiTheme="minorHAnsi" w:hAnsiTheme="minorHAnsi" w:cstheme="minorHAnsi"/>
          <w:lang w:val="en-GB"/>
        </w:rPr>
        <w:t xml:space="preserve">directly </w:t>
      </w:r>
      <w:r w:rsidR="00C16F84" w:rsidRPr="00A5243D">
        <w:rPr>
          <w:rFonts w:asciiTheme="minorHAnsi" w:hAnsiTheme="minorHAnsi" w:cstheme="minorHAnsi"/>
          <w:lang w:val="en-GB"/>
        </w:rPr>
        <w:t xml:space="preserve">and intentionally </w:t>
      </w:r>
      <w:r w:rsidRPr="00A5243D">
        <w:rPr>
          <w:rFonts w:asciiTheme="minorHAnsi" w:hAnsiTheme="minorHAnsi" w:cstheme="minorHAnsi"/>
          <w:lang w:val="en-GB"/>
        </w:rPr>
        <w:t>restrict</w:t>
      </w:r>
      <w:r w:rsidR="00C16F84" w:rsidRPr="00A5243D">
        <w:rPr>
          <w:rFonts w:asciiTheme="minorHAnsi" w:hAnsiTheme="minorHAnsi" w:cstheme="minorHAnsi"/>
          <w:lang w:val="en-GB"/>
        </w:rPr>
        <w:t>ing</w:t>
      </w:r>
      <w:r w:rsidRPr="00A5243D">
        <w:rPr>
          <w:rFonts w:asciiTheme="minorHAnsi" w:hAnsiTheme="minorHAnsi" w:cstheme="minorHAnsi"/>
          <w:lang w:val="en-GB"/>
        </w:rPr>
        <w:t xml:space="preserve"> peaceful assembly; </w:t>
      </w:r>
    </w:p>
    <w:p w14:paraId="5A6DD773" w14:textId="13F78EE3" w:rsidR="000468A3" w:rsidRPr="00A5243D" w:rsidRDefault="00C16F84" w:rsidP="00F70FC0">
      <w:pPr>
        <w:numPr>
          <w:ilvl w:val="0"/>
          <w:numId w:val="8"/>
        </w:numPr>
        <w:autoSpaceDE w:val="0"/>
        <w:autoSpaceDN w:val="0"/>
        <w:adjustRightInd w:val="0"/>
        <w:spacing w:after="0" w:line="240" w:lineRule="auto"/>
        <w:jc w:val="both"/>
        <w:rPr>
          <w:rFonts w:asciiTheme="minorHAnsi" w:hAnsiTheme="minorHAnsi" w:cstheme="minorHAnsi"/>
          <w:lang w:val="en-GB"/>
        </w:rPr>
      </w:pPr>
      <w:r w:rsidRPr="00A5243D">
        <w:rPr>
          <w:rFonts w:asciiTheme="minorHAnsi" w:hAnsiTheme="minorHAnsi" w:cstheme="minorHAnsi"/>
          <w:lang w:val="en-GB"/>
        </w:rPr>
        <w:t xml:space="preserve">creating </w:t>
      </w:r>
      <w:r w:rsidR="000468A3" w:rsidRPr="00A5243D">
        <w:rPr>
          <w:rFonts w:asciiTheme="minorHAnsi" w:hAnsiTheme="minorHAnsi" w:cstheme="minorHAnsi"/>
          <w:lang w:val="en-GB"/>
        </w:rPr>
        <w:t>a chilling effect on rights holders;</w:t>
      </w:r>
    </w:p>
    <w:p w14:paraId="42EF2FB8" w14:textId="17AE1E04" w:rsidR="000468A3" w:rsidRPr="00A5243D" w:rsidRDefault="000468A3" w:rsidP="00F70FC0">
      <w:pPr>
        <w:numPr>
          <w:ilvl w:val="0"/>
          <w:numId w:val="8"/>
        </w:numPr>
        <w:autoSpaceDE w:val="0"/>
        <w:autoSpaceDN w:val="0"/>
        <w:adjustRightInd w:val="0"/>
        <w:spacing w:after="0" w:line="240" w:lineRule="auto"/>
        <w:jc w:val="both"/>
        <w:rPr>
          <w:rFonts w:asciiTheme="minorHAnsi" w:hAnsiTheme="minorHAnsi" w:cstheme="minorHAnsi"/>
          <w:lang w:val="en-GB"/>
        </w:rPr>
      </w:pPr>
      <w:r w:rsidRPr="00A5243D">
        <w:rPr>
          <w:rFonts w:asciiTheme="minorHAnsi" w:hAnsiTheme="minorHAnsi" w:cstheme="minorHAnsi"/>
          <w:lang w:val="en-GB"/>
        </w:rPr>
        <w:t>targeting particular individuals for criminali</w:t>
      </w:r>
      <w:r w:rsidR="00C16F84" w:rsidRPr="00A5243D">
        <w:rPr>
          <w:rFonts w:asciiTheme="minorHAnsi" w:hAnsiTheme="minorHAnsi" w:cstheme="minorHAnsi"/>
          <w:lang w:val="en-GB"/>
        </w:rPr>
        <w:t>z</w:t>
      </w:r>
      <w:r w:rsidRPr="00A5243D">
        <w:rPr>
          <w:rFonts w:asciiTheme="minorHAnsi" w:hAnsiTheme="minorHAnsi" w:cstheme="minorHAnsi"/>
          <w:lang w:val="en-GB"/>
        </w:rPr>
        <w:t>ation for acts protected by the</w:t>
      </w:r>
      <w:r w:rsidR="00C16F84" w:rsidRPr="00A5243D">
        <w:rPr>
          <w:rFonts w:asciiTheme="minorHAnsi" w:hAnsiTheme="minorHAnsi" w:cstheme="minorHAnsi"/>
          <w:lang w:val="en-GB"/>
        </w:rPr>
        <w:t xml:space="preserve"> ICCPR</w:t>
      </w:r>
      <w:r w:rsidRPr="00A5243D">
        <w:rPr>
          <w:rFonts w:asciiTheme="minorHAnsi" w:hAnsiTheme="minorHAnsi" w:cstheme="minorHAnsi"/>
          <w:lang w:val="en-GB"/>
        </w:rPr>
        <w:t xml:space="preserve">; </w:t>
      </w:r>
    </w:p>
    <w:p w14:paraId="6D06709F" w14:textId="381084A7" w:rsidR="000468A3" w:rsidRDefault="000468A3" w:rsidP="00F70FC0">
      <w:pPr>
        <w:numPr>
          <w:ilvl w:val="0"/>
          <w:numId w:val="8"/>
        </w:numPr>
        <w:autoSpaceDE w:val="0"/>
        <w:autoSpaceDN w:val="0"/>
        <w:adjustRightInd w:val="0"/>
        <w:spacing w:after="0" w:line="240" w:lineRule="auto"/>
        <w:jc w:val="both"/>
        <w:rPr>
          <w:rFonts w:asciiTheme="minorHAnsi" w:hAnsiTheme="minorHAnsi" w:cstheme="minorHAnsi"/>
          <w:lang w:val="en-GB"/>
        </w:rPr>
      </w:pPr>
      <w:r w:rsidRPr="00A5243D">
        <w:rPr>
          <w:rFonts w:asciiTheme="minorHAnsi" w:hAnsiTheme="minorHAnsi" w:cstheme="minorHAnsi"/>
          <w:lang w:val="en-GB"/>
        </w:rPr>
        <w:t>us</w:t>
      </w:r>
      <w:r w:rsidR="00C16F84" w:rsidRPr="00A5243D">
        <w:rPr>
          <w:rFonts w:asciiTheme="minorHAnsi" w:hAnsiTheme="minorHAnsi" w:cstheme="minorHAnsi"/>
          <w:lang w:val="en-GB"/>
        </w:rPr>
        <w:t>ing</w:t>
      </w:r>
      <w:r w:rsidRPr="00A5243D">
        <w:rPr>
          <w:rFonts w:asciiTheme="minorHAnsi" w:hAnsiTheme="minorHAnsi" w:cstheme="minorHAnsi"/>
          <w:lang w:val="en-GB"/>
        </w:rPr>
        <w:t xml:space="preserve"> </w:t>
      </w:r>
      <w:r w:rsidR="003B6A29" w:rsidRPr="00A5243D">
        <w:rPr>
          <w:rFonts w:asciiTheme="minorHAnsi" w:hAnsiTheme="minorHAnsi" w:cstheme="minorHAnsi"/>
          <w:i/>
          <w:lang w:val="en-GB"/>
        </w:rPr>
        <w:t>a</w:t>
      </w:r>
      <w:r w:rsidRPr="00A5243D">
        <w:rPr>
          <w:rFonts w:asciiTheme="minorHAnsi" w:hAnsiTheme="minorHAnsi" w:cstheme="minorHAnsi"/>
          <w:i/>
          <w:lang w:val="en-GB"/>
        </w:rPr>
        <w:t>gents provocateurs</w:t>
      </w:r>
      <w:r w:rsidRPr="00A5243D">
        <w:rPr>
          <w:rFonts w:asciiTheme="minorHAnsi" w:hAnsiTheme="minorHAnsi" w:cstheme="minorHAnsi"/>
          <w:lang w:val="en-GB"/>
        </w:rPr>
        <w:t xml:space="preserve">, in the planning or at the actual site of demonstrations, luring protestors into acts that otherwise would not have occurred (including the incitement </w:t>
      </w:r>
      <w:r w:rsidR="003B6A29" w:rsidRPr="00A5243D">
        <w:rPr>
          <w:rFonts w:asciiTheme="minorHAnsi" w:hAnsiTheme="minorHAnsi" w:cstheme="minorHAnsi"/>
          <w:lang w:val="en-GB"/>
        </w:rPr>
        <w:t xml:space="preserve">or use </w:t>
      </w:r>
      <w:r w:rsidRPr="00A5243D">
        <w:rPr>
          <w:rFonts w:asciiTheme="minorHAnsi" w:hAnsiTheme="minorHAnsi" w:cstheme="minorHAnsi"/>
          <w:lang w:val="en-GB"/>
        </w:rPr>
        <w:t>of violence, to justify the suppression of the protest, or the criminali</w:t>
      </w:r>
      <w:r w:rsidR="00C16F84" w:rsidRPr="00A5243D">
        <w:rPr>
          <w:rFonts w:asciiTheme="minorHAnsi" w:hAnsiTheme="minorHAnsi" w:cstheme="minorHAnsi"/>
          <w:lang w:val="en-GB"/>
        </w:rPr>
        <w:t>z</w:t>
      </w:r>
      <w:r w:rsidRPr="00A5243D">
        <w:rPr>
          <w:rFonts w:asciiTheme="minorHAnsi" w:hAnsiTheme="minorHAnsi" w:cstheme="minorHAnsi"/>
          <w:lang w:val="en-GB"/>
        </w:rPr>
        <w:t xml:space="preserve">ation of its participants). </w:t>
      </w:r>
    </w:p>
    <w:p w14:paraId="7E47ADCC" w14:textId="77777777" w:rsidR="00F70FC0" w:rsidRPr="00A5243D" w:rsidRDefault="00F70FC0" w:rsidP="00F70FC0">
      <w:pPr>
        <w:autoSpaceDE w:val="0"/>
        <w:autoSpaceDN w:val="0"/>
        <w:adjustRightInd w:val="0"/>
        <w:spacing w:after="0" w:line="240" w:lineRule="auto"/>
        <w:jc w:val="both"/>
        <w:rPr>
          <w:rFonts w:asciiTheme="minorHAnsi" w:hAnsiTheme="minorHAnsi" w:cstheme="minorHAnsi"/>
          <w:lang w:val="en-GB"/>
        </w:rPr>
      </w:pPr>
    </w:p>
    <w:p w14:paraId="3F3BC23B" w14:textId="431079AC" w:rsidR="001666A4" w:rsidRPr="00F70FC0" w:rsidRDefault="00540779" w:rsidP="00F70FC0">
      <w:pPr>
        <w:pStyle w:val="ListParagraph"/>
        <w:numPr>
          <w:ilvl w:val="0"/>
          <w:numId w:val="46"/>
        </w:numPr>
        <w:autoSpaceDE w:val="0"/>
        <w:autoSpaceDN w:val="0"/>
        <w:adjustRightInd w:val="0"/>
        <w:jc w:val="both"/>
        <w:rPr>
          <w:rFonts w:asciiTheme="minorHAnsi" w:hAnsiTheme="minorHAnsi" w:cstheme="minorHAnsi"/>
          <w:b/>
        </w:rPr>
      </w:pPr>
      <w:r>
        <w:rPr>
          <w:rFonts w:asciiTheme="minorHAnsi" w:hAnsiTheme="minorHAnsi" w:cstheme="minorHAnsi"/>
          <w:b/>
          <w:lang w:val="en-GB"/>
        </w:rPr>
        <w:t>Th</w:t>
      </w:r>
      <w:r w:rsidR="008E04A3">
        <w:rPr>
          <w:rFonts w:asciiTheme="minorHAnsi" w:hAnsiTheme="minorHAnsi" w:cstheme="minorHAnsi"/>
          <w:b/>
          <w:lang w:val="en-GB"/>
        </w:rPr>
        <w:t>e collection of accurate information by law enforcement may be useful to the proper management of assemblies. However, g</w:t>
      </w:r>
      <w:r w:rsidR="003F070E" w:rsidRPr="00F70FC0">
        <w:rPr>
          <w:rFonts w:asciiTheme="minorHAnsi" w:hAnsiTheme="minorHAnsi" w:cstheme="minorHAnsi"/>
          <w:b/>
          <w:lang w:val="en-GB"/>
        </w:rPr>
        <w:t>iven that t</w:t>
      </w:r>
      <w:r w:rsidR="00223A0A" w:rsidRPr="00F70FC0">
        <w:rPr>
          <w:rFonts w:asciiTheme="minorHAnsi" w:hAnsiTheme="minorHAnsi" w:cstheme="minorHAnsi"/>
          <w:b/>
          <w:lang w:val="en-GB"/>
        </w:rPr>
        <w:t xml:space="preserve">he use of </w:t>
      </w:r>
      <w:r w:rsidR="008E04A3">
        <w:rPr>
          <w:rFonts w:asciiTheme="minorHAnsi" w:hAnsiTheme="minorHAnsi" w:cstheme="minorHAnsi"/>
          <w:b/>
          <w:lang w:val="en-GB"/>
        </w:rPr>
        <w:t xml:space="preserve">undercover agents </w:t>
      </w:r>
      <w:r w:rsidR="00223A0A" w:rsidRPr="00F70FC0">
        <w:rPr>
          <w:rFonts w:asciiTheme="minorHAnsi" w:hAnsiTheme="minorHAnsi" w:cstheme="minorHAnsi"/>
          <w:b/>
          <w:lang w:val="en-GB"/>
        </w:rPr>
        <w:t xml:space="preserve">and </w:t>
      </w:r>
      <w:r w:rsidR="008E04A3">
        <w:rPr>
          <w:rFonts w:asciiTheme="minorHAnsi" w:hAnsiTheme="minorHAnsi" w:cstheme="minorHAnsi"/>
          <w:b/>
          <w:lang w:val="en-GB"/>
        </w:rPr>
        <w:t xml:space="preserve">other forms of </w:t>
      </w:r>
      <w:r w:rsidR="00223A0A" w:rsidRPr="00F70FC0">
        <w:rPr>
          <w:rFonts w:asciiTheme="minorHAnsi" w:hAnsiTheme="minorHAnsi" w:cstheme="minorHAnsi"/>
          <w:b/>
          <w:lang w:val="en-GB"/>
        </w:rPr>
        <w:t xml:space="preserve">surveillance </w:t>
      </w:r>
      <w:r w:rsidR="003F070E" w:rsidRPr="00F70FC0">
        <w:rPr>
          <w:rFonts w:asciiTheme="minorHAnsi" w:hAnsiTheme="minorHAnsi" w:cstheme="minorHAnsi"/>
          <w:b/>
          <w:lang w:val="en-GB"/>
        </w:rPr>
        <w:t xml:space="preserve">interfere with the right to privacy, their </w:t>
      </w:r>
      <w:r w:rsidR="009E4A73" w:rsidRPr="00F70FC0">
        <w:rPr>
          <w:rFonts w:asciiTheme="minorHAnsi" w:hAnsiTheme="minorHAnsi" w:cstheme="minorHAnsi"/>
          <w:b/>
          <w:lang w:val="en-GB"/>
        </w:rPr>
        <w:t xml:space="preserve">deployment </w:t>
      </w:r>
      <w:r w:rsidR="00223A0A" w:rsidRPr="00F70FC0">
        <w:rPr>
          <w:rFonts w:asciiTheme="minorHAnsi" w:hAnsiTheme="minorHAnsi" w:cstheme="minorHAnsi"/>
          <w:b/>
          <w:lang w:val="en-GB"/>
        </w:rPr>
        <w:t xml:space="preserve">must not be </w:t>
      </w:r>
      <w:r w:rsidR="00B66A68" w:rsidRPr="00F70FC0">
        <w:rPr>
          <w:rFonts w:asciiTheme="minorHAnsi" w:hAnsiTheme="minorHAnsi" w:cstheme="minorHAnsi"/>
          <w:b/>
          <w:lang w:val="en-GB"/>
        </w:rPr>
        <w:t xml:space="preserve">unlawful or </w:t>
      </w:r>
      <w:r w:rsidR="00223A0A" w:rsidRPr="00F70FC0">
        <w:rPr>
          <w:rFonts w:asciiTheme="minorHAnsi" w:hAnsiTheme="minorHAnsi" w:cstheme="minorHAnsi"/>
          <w:b/>
          <w:lang w:val="en-GB"/>
        </w:rPr>
        <w:t xml:space="preserve">arbitrary. </w:t>
      </w:r>
    </w:p>
    <w:p w14:paraId="2D64A169" w14:textId="294735A3" w:rsidR="001666A4" w:rsidRDefault="001666A4" w:rsidP="00F70FC0">
      <w:pPr>
        <w:pStyle w:val="ListParagraph"/>
        <w:autoSpaceDE w:val="0"/>
        <w:autoSpaceDN w:val="0"/>
        <w:adjustRightInd w:val="0"/>
        <w:ind w:left="360"/>
        <w:jc w:val="both"/>
        <w:rPr>
          <w:rFonts w:asciiTheme="minorHAnsi" w:hAnsiTheme="minorHAnsi" w:cstheme="minorHAnsi"/>
          <w:lang w:val="en-GB"/>
        </w:rPr>
      </w:pPr>
    </w:p>
    <w:p w14:paraId="264B4E6E" w14:textId="3AF934A8" w:rsidR="001666A4" w:rsidRPr="001666A4" w:rsidRDefault="001666A4" w:rsidP="00F70FC0">
      <w:pPr>
        <w:pStyle w:val="ListParagraph"/>
        <w:autoSpaceDE w:val="0"/>
        <w:autoSpaceDN w:val="0"/>
        <w:adjustRightInd w:val="0"/>
        <w:ind w:left="720"/>
        <w:jc w:val="both"/>
        <w:rPr>
          <w:rFonts w:asciiTheme="minorHAnsi" w:hAnsiTheme="minorHAnsi" w:cstheme="minorHAnsi"/>
          <w:lang w:val="en-GB"/>
        </w:rPr>
      </w:pPr>
      <w:r w:rsidRPr="001666A4">
        <w:rPr>
          <w:rFonts w:asciiTheme="minorHAnsi" w:hAnsiTheme="minorHAnsi" w:cstheme="minorHAnsi"/>
        </w:rPr>
        <w:t xml:space="preserve">Article 17 ICCPR provides that “No one shall be subjected to arbitrary or unlawful interference </w:t>
      </w:r>
      <w:r w:rsidRPr="001666A4">
        <w:rPr>
          <w:rFonts w:asciiTheme="minorHAnsi" w:hAnsiTheme="minorHAnsi" w:cstheme="minorHAnsi"/>
        </w:rPr>
        <w:lastRenderedPageBreak/>
        <w:t>with his privacy, family, home, or correspondence</w:t>
      </w:r>
      <w:r w:rsidR="00F70FC0">
        <w:rPr>
          <w:rFonts w:asciiTheme="minorHAnsi" w:hAnsiTheme="minorHAnsi" w:cstheme="minorHAnsi"/>
        </w:rPr>
        <w:t>….</w:t>
      </w:r>
      <w:r w:rsidRPr="001666A4">
        <w:rPr>
          <w:rFonts w:asciiTheme="minorHAnsi" w:hAnsiTheme="minorHAnsi" w:cstheme="minorHAnsi"/>
        </w:rPr>
        <w:t>”</w:t>
      </w:r>
    </w:p>
    <w:p w14:paraId="173B9B22" w14:textId="77777777" w:rsidR="001666A4" w:rsidRDefault="001666A4" w:rsidP="00F70FC0">
      <w:pPr>
        <w:pStyle w:val="ListParagraph"/>
        <w:autoSpaceDE w:val="0"/>
        <w:autoSpaceDN w:val="0"/>
        <w:adjustRightInd w:val="0"/>
        <w:jc w:val="both"/>
        <w:rPr>
          <w:rFonts w:asciiTheme="minorHAnsi" w:hAnsiTheme="minorHAnsi" w:cstheme="minorHAnsi"/>
          <w:lang w:val="en-GB"/>
        </w:rPr>
      </w:pPr>
    </w:p>
    <w:p w14:paraId="02960161" w14:textId="36E9D5D9" w:rsidR="00223A0A" w:rsidRPr="00801852" w:rsidRDefault="00223A0A" w:rsidP="00F70FC0">
      <w:pPr>
        <w:pStyle w:val="ListParagraph"/>
        <w:autoSpaceDE w:val="0"/>
        <w:autoSpaceDN w:val="0"/>
        <w:adjustRightInd w:val="0"/>
        <w:ind w:left="720"/>
        <w:jc w:val="both"/>
        <w:rPr>
          <w:rFonts w:asciiTheme="minorHAnsi" w:hAnsiTheme="minorHAnsi" w:cstheme="minorHAnsi"/>
        </w:rPr>
      </w:pPr>
      <w:r w:rsidRPr="00801852">
        <w:rPr>
          <w:rFonts w:asciiTheme="minorHAnsi" w:hAnsiTheme="minorHAnsi" w:cstheme="minorHAnsi"/>
          <w:lang w:val="en-GB"/>
        </w:rPr>
        <w:t xml:space="preserve">As noted by Committee </w:t>
      </w:r>
      <w:r w:rsidR="0014026C" w:rsidRPr="00801852">
        <w:rPr>
          <w:rFonts w:asciiTheme="minorHAnsi" w:hAnsiTheme="minorHAnsi" w:cstheme="minorHAnsi"/>
          <w:lang w:val="en-GB"/>
        </w:rPr>
        <w:t xml:space="preserve">Chairperson </w:t>
      </w:r>
      <w:r w:rsidRPr="00801852">
        <w:rPr>
          <w:rFonts w:asciiTheme="minorHAnsi" w:hAnsiTheme="minorHAnsi" w:cstheme="minorHAnsi"/>
          <w:lang w:val="en-GB"/>
        </w:rPr>
        <w:t>Yuval Shany</w:t>
      </w:r>
      <w:r w:rsidR="004A769B">
        <w:rPr>
          <w:rFonts w:asciiTheme="minorHAnsi" w:hAnsiTheme="minorHAnsi" w:cstheme="minorHAnsi"/>
          <w:lang w:val="en-GB"/>
        </w:rPr>
        <w:t xml:space="preserve"> in a recent article</w:t>
      </w:r>
      <w:r w:rsidRPr="00801852">
        <w:rPr>
          <w:rFonts w:asciiTheme="minorHAnsi" w:hAnsiTheme="minorHAnsi" w:cstheme="minorHAnsi"/>
          <w:lang w:val="en-GB"/>
        </w:rPr>
        <w:t xml:space="preserve">, </w:t>
      </w:r>
      <w:r w:rsidR="00A5243D" w:rsidRPr="00801852">
        <w:rPr>
          <w:rFonts w:asciiTheme="minorHAnsi" w:hAnsiTheme="minorHAnsi" w:cstheme="minorHAnsi"/>
          <w:lang w:val="en-GB"/>
        </w:rPr>
        <w:t>the Committee elaborated the meaning of the term “</w:t>
      </w:r>
      <w:r w:rsidRPr="00801852">
        <w:rPr>
          <w:rFonts w:asciiTheme="minorHAnsi" w:hAnsiTheme="minorHAnsi" w:cstheme="minorHAnsi"/>
        </w:rPr>
        <w:t>arbitrariness</w:t>
      </w:r>
      <w:r w:rsidR="00A5243D" w:rsidRPr="00801852">
        <w:rPr>
          <w:rFonts w:asciiTheme="minorHAnsi" w:hAnsiTheme="minorHAnsi" w:cstheme="minorHAnsi"/>
        </w:rPr>
        <w:t>”</w:t>
      </w:r>
      <w:r w:rsidRPr="00801852">
        <w:rPr>
          <w:rFonts w:asciiTheme="minorHAnsi" w:hAnsiTheme="minorHAnsi" w:cstheme="minorHAnsi"/>
        </w:rPr>
        <w:t xml:space="preserve"> in </w:t>
      </w:r>
      <w:r w:rsidR="00A5243D" w:rsidRPr="00801852">
        <w:rPr>
          <w:rFonts w:asciiTheme="minorHAnsi" w:hAnsiTheme="minorHAnsi" w:cstheme="minorHAnsi"/>
        </w:rPr>
        <w:t>G</w:t>
      </w:r>
      <w:r w:rsidRPr="00801852">
        <w:rPr>
          <w:rFonts w:asciiTheme="minorHAnsi" w:hAnsiTheme="minorHAnsi" w:cstheme="minorHAnsi"/>
        </w:rPr>
        <w:t xml:space="preserve">eneral </w:t>
      </w:r>
      <w:r w:rsidR="00A5243D" w:rsidRPr="00801852">
        <w:rPr>
          <w:rFonts w:asciiTheme="minorHAnsi" w:hAnsiTheme="minorHAnsi" w:cstheme="minorHAnsi"/>
        </w:rPr>
        <w:t>C</w:t>
      </w:r>
      <w:r w:rsidRPr="00801852">
        <w:rPr>
          <w:rFonts w:asciiTheme="minorHAnsi" w:hAnsiTheme="minorHAnsi" w:cstheme="minorHAnsi"/>
        </w:rPr>
        <w:t xml:space="preserve">omment </w:t>
      </w:r>
      <w:r w:rsidR="00A5243D" w:rsidRPr="00801852">
        <w:rPr>
          <w:rFonts w:asciiTheme="minorHAnsi" w:hAnsiTheme="minorHAnsi" w:cstheme="minorHAnsi"/>
        </w:rPr>
        <w:t xml:space="preserve">No. </w:t>
      </w:r>
      <w:r w:rsidRPr="00801852">
        <w:rPr>
          <w:rFonts w:asciiTheme="minorHAnsi" w:hAnsiTheme="minorHAnsi" w:cstheme="minorHAnsi"/>
        </w:rPr>
        <w:t>35</w:t>
      </w:r>
      <w:r w:rsidR="00A5243D" w:rsidRPr="00801852">
        <w:rPr>
          <w:rFonts w:asciiTheme="minorHAnsi" w:hAnsiTheme="minorHAnsi" w:cstheme="minorHAnsi"/>
        </w:rPr>
        <w:t xml:space="preserve"> </w:t>
      </w:r>
      <w:r w:rsidRPr="00801852">
        <w:rPr>
          <w:rFonts w:asciiTheme="minorHAnsi" w:hAnsiTheme="minorHAnsi" w:cstheme="minorHAnsi"/>
        </w:rPr>
        <w:t xml:space="preserve">(2014) </w:t>
      </w:r>
      <w:r w:rsidR="00A5243D" w:rsidRPr="00801852">
        <w:rPr>
          <w:rFonts w:asciiTheme="minorHAnsi" w:hAnsiTheme="minorHAnsi" w:cstheme="minorHAnsi"/>
        </w:rPr>
        <w:t xml:space="preserve">on </w:t>
      </w:r>
      <w:r w:rsidRPr="00801852">
        <w:rPr>
          <w:rFonts w:asciiTheme="minorHAnsi" w:hAnsiTheme="minorHAnsi" w:cstheme="minorHAnsi"/>
        </w:rPr>
        <w:t>arbitrary detention:</w:t>
      </w:r>
    </w:p>
    <w:p w14:paraId="033CA162" w14:textId="1511AB7C" w:rsidR="00223A0A" w:rsidRDefault="00223A0A" w:rsidP="00F70FC0">
      <w:pPr>
        <w:autoSpaceDE w:val="0"/>
        <w:autoSpaceDN w:val="0"/>
        <w:adjustRightInd w:val="0"/>
        <w:spacing w:after="0" w:line="240" w:lineRule="auto"/>
        <w:ind w:left="1440" w:right="720"/>
        <w:jc w:val="both"/>
        <w:rPr>
          <w:rFonts w:asciiTheme="minorHAnsi" w:hAnsiTheme="minorHAnsi" w:cstheme="minorHAnsi"/>
        </w:rPr>
      </w:pPr>
      <w:r w:rsidRPr="00A5243D">
        <w:rPr>
          <w:rFonts w:asciiTheme="minorHAnsi" w:hAnsiTheme="minorHAnsi" w:cstheme="minorHAnsi"/>
        </w:rPr>
        <w:t>The notion of “arbitrariness” is not to be equated with “against the law”, but must be interpreted more broadly to include elements of inappropriateness, injustice, lack of predictability and due process of law, as well as elements of reasonableness, necessity and proportionality. </w:t>
      </w:r>
      <w:r w:rsidR="0014026C">
        <w:rPr>
          <w:rStyle w:val="FootnoteReference"/>
          <w:rFonts w:asciiTheme="minorHAnsi" w:hAnsiTheme="minorHAnsi" w:cstheme="minorHAnsi"/>
        </w:rPr>
        <w:footnoteReference w:id="37"/>
      </w:r>
    </w:p>
    <w:p w14:paraId="61EC7DB3" w14:textId="77777777" w:rsidR="00B829CE" w:rsidRPr="00A5243D" w:rsidRDefault="00B829CE" w:rsidP="00F70FC0">
      <w:pPr>
        <w:autoSpaceDE w:val="0"/>
        <w:autoSpaceDN w:val="0"/>
        <w:adjustRightInd w:val="0"/>
        <w:spacing w:after="0" w:line="240" w:lineRule="auto"/>
        <w:ind w:left="720" w:right="720"/>
        <w:jc w:val="both"/>
        <w:rPr>
          <w:rFonts w:asciiTheme="minorHAnsi" w:hAnsiTheme="minorHAnsi" w:cstheme="minorHAnsi"/>
        </w:rPr>
      </w:pPr>
    </w:p>
    <w:p w14:paraId="565179FC" w14:textId="782B21FF" w:rsidR="00CB5F7D" w:rsidRPr="00EE2C50" w:rsidRDefault="007F3755" w:rsidP="00F70FC0">
      <w:pPr>
        <w:pStyle w:val="ListParagraph"/>
        <w:numPr>
          <w:ilvl w:val="0"/>
          <w:numId w:val="46"/>
        </w:numPr>
        <w:jc w:val="both"/>
        <w:rPr>
          <w:rFonts w:eastAsia="Times New Roman"/>
          <w:b/>
          <w:color w:val="1E1E1E"/>
        </w:rPr>
      </w:pPr>
      <w:r w:rsidRPr="00EE2C50">
        <w:rPr>
          <w:rFonts w:eastAsia="Times New Roman"/>
          <w:b/>
          <w:color w:val="1E1E1E"/>
        </w:rPr>
        <w:t xml:space="preserve">States should ensure that all types of interference with privacy, including infiltration and other forms of surveillance, </w:t>
      </w:r>
      <w:r w:rsidRPr="00EE2C50">
        <w:rPr>
          <w:rFonts w:eastAsia="Times New Roman"/>
          <w:b/>
          <w:bCs/>
          <w:color w:val="1E1E1E"/>
        </w:rPr>
        <w:t>are governed by appropriate legislation </w:t>
      </w:r>
      <w:r w:rsidRPr="00EE2C50">
        <w:rPr>
          <w:rFonts w:eastAsia="Times New Roman"/>
          <w:b/>
          <w:color w:val="1E1E1E"/>
        </w:rPr>
        <w:t xml:space="preserve">that is in full conformity with the ICCPR, including with the principles of legality, proportionality and necessity.  In particular, such laws should be </w:t>
      </w:r>
      <w:r w:rsidRPr="00EE2C50">
        <w:rPr>
          <w:rFonts w:eastAsia="Times New Roman"/>
          <w:b/>
          <w:bCs/>
          <w:color w:val="1E1E1E"/>
        </w:rPr>
        <w:t>publicly accessible and sufficiently precise, that is, they should specify in detail</w:t>
      </w:r>
      <w:r w:rsidRPr="00EE2C50">
        <w:rPr>
          <w:rFonts w:eastAsia="Times New Roman"/>
          <w:b/>
          <w:color w:val="1E1E1E"/>
        </w:rPr>
        <w:t xml:space="preserve"> the precise circumstances in which any such interference may be permitted, the procedures for authorization, the categories of persons who may be placed under surveillance, the limit on the duration of surveillance, and procedures for the use and storage of data collected.  </w:t>
      </w:r>
      <w:r w:rsidR="000F4C44" w:rsidRPr="00EE2C50">
        <w:rPr>
          <w:rFonts w:eastAsia="Times New Roman"/>
          <w:b/>
          <w:color w:val="1E1E1E"/>
        </w:rPr>
        <w:t>Such laws should also require that any surveillance is tailored to promote a specific and legitimate aim; should be permissible only if the value of the information sought outweighs the interference with rights to privacy and freedom of peaceful assembly, association and expression of all those affected; and should be the least intrusive means possible.</w:t>
      </w:r>
      <w:r w:rsidR="00CB5F7D" w:rsidRPr="00EE2C50">
        <w:rPr>
          <w:rFonts w:eastAsia="Times New Roman"/>
          <w:b/>
          <w:color w:val="1E1E1E"/>
        </w:rPr>
        <w:t xml:space="preserve"> </w:t>
      </w:r>
    </w:p>
    <w:p w14:paraId="442517A7" w14:textId="77777777" w:rsidR="007F3755" w:rsidRPr="007F3755" w:rsidRDefault="007F3755" w:rsidP="00F70FC0">
      <w:pPr>
        <w:pStyle w:val="ListParagraph"/>
        <w:autoSpaceDE w:val="0"/>
        <w:autoSpaceDN w:val="0"/>
        <w:adjustRightInd w:val="0"/>
        <w:ind w:left="526"/>
        <w:jc w:val="both"/>
        <w:rPr>
          <w:rFonts w:asciiTheme="minorHAnsi" w:hAnsiTheme="minorHAnsi" w:cstheme="minorHAnsi"/>
          <w:lang w:val="en-GB"/>
        </w:rPr>
      </w:pPr>
    </w:p>
    <w:p w14:paraId="2C267A79" w14:textId="18B40A59" w:rsidR="0014026C" w:rsidRDefault="00B66A68" w:rsidP="00F70FC0">
      <w:pPr>
        <w:spacing w:after="0" w:line="240" w:lineRule="auto"/>
        <w:ind w:left="720"/>
        <w:jc w:val="both"/>
        <w:rPr>
          <w:rFonts w:asciiTheme="minorHAnsi" w:eastAsia="Times New Roman" w:hAnsiTheme="minorHAnsi" w:cstheme="minorHAnsi"/>
          <w:color w:val="1E1E1E"/>
        </w:rPr>
      </w:pPr>
      <w:r w:rsidRPr="003F070E">
        <w:rPr>
          <w:rFonts w:asciiTheme="minorHAnsi" w:hAnsiTheme="minorHAnsi" w:cstheme="minorHAnsi"/>
        </w:rPr>
        <w:t>Prof. Shany</w:t>
      </w:r>
      <w:r w:rsidR="004A769B">
        <w:rPr>
          <w:rFonts w:asciiTheme="minorHAnsi" w:hAnsiTheme="minorHAnsi" w:cstheme="minorHAnsi"/>
        </w:rPr>
        <w:t>, in his article,</w:t>
      </w:r>
      <w:r w:rsidRPr="003F070E">
        <w:rPr>
          <w:rFonts w:asciiTheme="minorHAnsi" w:hAnsiTheme="minorHAnsi" w:cstheme="minorHAnsi"/>
        </w:rPr>
        <w:t xml:space="preserve"> </w:t>
      </w:r>
      <w:r w:rsidR="009E4A73">
        <w:rPr>
          <w:rFonts w:asciiTheme="minorHAnsi" w:hAnsiTheme="minorHAnsi" w:cstheme="minorHAnsi"/>
        </w:rPr>
        <w:t xml:space="preserve">noted the </w:t>
      </w:r>
      <w:r w:rsidR="007F3755">
        <w:rPr>
          <w:rFonts w:asciiTheme="minorHAnsi" w:hAnsiTheme="minorHAnsi" w:cstheme="minorHAnsi"/>
        </w:rPr>
        <w:t xml:space="preserve">many </w:t>
      </w:r>
      <w:r w:rsidR="009E4A73">
        <w:rPr>
          <w:rFonts w:asciiTheme="minorHAnsi" w:hAnsiTheme="minorHAnsi" w:cstheme="minorHAnsi"/>
        </w:rPr>
        <w:t>recommendations the Committee has made in its concluding observations to gu</w:t>
      </w:r>
      <w:r w:rsidR="009E4A73" w:rsidRPr="007F3755">
        <w:rPr>
          <w:rFonts w:asciiTheme="minorHAnsi" w:hAnsiTheme="minorHAnsi" w:cstheme="minorHAnsi"/>
        </w:rPr>
        <w:t>ard against arbitrariness and unlawfulness in t</w:t>
      </w:r>
      <w:r w:rsidR="007F3755" w:rsidRPr="007F3755">
        <w:rPr>
          <w:rFonts w:asciiTheme="minorHAnsi" w:hAnsiTheme="minorHAnsi" w:cstheme="minorHAnsi"/>
        </w:rPr>
        <w:t xml:space="preserve">he use of on-line surveillance. </w:t>
      </w:r>
      <w:r w:rsidR="00A949C9">
        <w:rPr>
          <w:rFonts w:asciiTheme="minorHAnsi" w:eastAsia="Times New Roman" w:hAnsiTheme="minorHAnsi" w:cstheme="minorHAnsi"/>
          <w:color w:val="1E1E1E"/>
        </w:rPr>
        <w:t xml:space="preserve">These principles are equally applicable to other forms of surveillance, including covert policing.  </w:t>
      </w:r>
      <w:r w:rsidR="007F3755" w:rsidRPr="00A949C9">
        <w:rPr>
          <w:rFonts w:asciiTheme="minorHAnsi" w:hAnsiTheme="minorHAnsi" w:cstheme="minorHAnsi"/>
        </w:rPr>
        <w:t>The</w:t>
      </w:r>
      <w:r w:rsidR="00A949C9">
        <w:rPr>
          <w:rFonts w:asciiTheme="minorHAnsi" w:hAnsiTheme="minorHAnsi" w:cstheme="minorHAnsi"/>
        </w:rPr>
        <w:t>y</w:t>
      </w:r>
      <w:r w:rsidR="007F3755" w:rsidRPr="00A949C9">
        <w:rPr>
          <w:rFonts w:asciiTheme="minorHAnsi" w:hAnsiTheme="minorHAnsi" w:cstheme="minorHAnsi"/>
        </w:rPr>
        <w:t xml:space="preserve"> include that </w:t>
      </w:r>
      <w:r w:rsidR="0014026C" w:rsidRPr="00A949C9">
        <w:rPr>
          <w:rFonts w:asciiTheme="minorHAnsi" w:eastAsia="Times New Roman" w:hAnsiTheme="minorHAnsi" w:cstheme="minorHAnsi"/>
          <w:color w:val="1E1E1E"/>
        </w:rPr>
        <w:t xml:space="preserve">States should </w:t>
      </w:r>
      <w:r w:rsidR="00F34085" w:rsidRPr="00A949C9">
        <w:rPr>
          <w:rFonts w:asciiTheme="minorHAnsi" w:eastAsia="Times New Roman" w:hAnsiTheme="minorHAnsi" w:cstheme="minorHAnsi"/>
          <w:color w:val="1E1E1E"/>
        </w:rPr>
        <w:t>ensure that all types of interference with privacy, including online surveillance</w:t>
      </w:r>
      <w:r w:rsidR="00DF11D6" w:rsidRPr="00A949C9">
        <w:rPr>
          <w:rFonts w:asciiTheme="minorHAnsi" w:eastAsia="Times New Roman" w:hAnsiTheme="minorHAnsi" w:cstheme="minorHAnsi"/>
          <w:color w:val="1E1E1E"/>
        </w:rPr>
        <w:t>,</w:t>
      </w:r>
      <w:r w:rsidR="00F34085" w:rsidRPr="00A949C9">
        <w:rPr>
          <w:rFonts w:asciiTheme="minorHAnsi" w:eastAsia="Times New Roman" w:hAnsiTheme="minorHAnsi" w:cstheme="minorHAnsi"/>
          <w:color w:val="1E1E1E"/>
        </w:rPr>
        <w:t xml:space="preserve"> </w:t>
      </w:r>
      <w:r w:rsidR="00F34085" w:rsidRPr="00A949C9">
        <w:rPr>
          <w:rFonts w:asciiTheme="minorHAnsi" w:eastAsia="Times New Roman" w:hAnsiTheme="minorHAnsi" w:cstheme="minorHAnsi"/>
          <w:bCs/>
          <w:color w:val="1E1E1E"/>
        </w:rPr>
        <w:t>are governed by appropriate legislation </w:t>
      </w:r>
      <w:r w:rsidR="00F34085" w:rsidRPr="00A949C9">
        <w:rPr>
          <w:rFonts w:asciiTheme="minorHAnsi" w:eastAsia="Times New Roman" w:hAnsiTheme="minorHAnsi" w:cstheme="minorHAnsi"/>
          <w:color w:val="1E1E1E"/>
        </w:rPr>
        <w:t>that is in full conformity with the</w:t>
      </w:r>
      <w:r w:rsidR="003F070E" w:rsidRPr="00A949C9">
        <w:rPr>
          <w:rFonts w:asciiTheme="minorHAnsi" w:eastAsia="Times New Roman" w:hAnsiTheme="minorHAnsi" w:cstheme="minorHAnsi"/>
          <w:color w:val="1E1E1E"/>
        </w:rPr>
        <w:t xml:space="preserve"> ICCPR</w:t>
      </w:r>
      <w:r w:rsidR="00F34085" w:rsidRPr="00A949C9">
        <w:rPr>
          <w:rFonts w:asciiTheme="minorHAnsi" w:eastAsia="Times New Roman" w:hAnsiTheme="minorHAnsi" w:cstheme="minorHAnsi"/>
          <w:color w:val="1E1E1E"/>
        </w:rPr>
        <w:t>, including with the principles of legality, proportionality and necessity.</w:t>
      </w:r>
      <w:r w:rsidR="00DF11D6" w:rsidRPr="007F3755">
        <w:rPr>
          <w:vertAlign w:val="superscript"/>
        </w:rPr>
        <w:footnoteReference w:id="38"/>
      </w:r>
      <w:r w:rsidR="00DF11D6" w:rsidRPr="00A949C9">
        <w:rPr>
          <w:rFonts w:asciiTheme="minorHAnsi" w:eastAsia="Times New Roman" w:hAnsiTheme="minorHAnsi" w:cstheme="minorHAnsi"/>
          <w:color w:val="1E1E1E"/>
        </w:rPr>
        <w:t xml:space="preserve"> </w:t>
      </w:r>
    </w:p>
    <w:p w14:paraId="4DFDC44F" w14:textId="77777777" w:rsidR="00EE2C50" w:rsidRPr="00A949C9" w:rsidRDefault="00EE2C50" w:rsidP="00F70FC0">
      <w:pPr>
        <w:spacing w:after="0" w:line="240" w:lineRule="auto"/>
        <w:ind w:left="720"/>
        <w:rPr>
          <w:rFonts w:asciiTheme="minorHAnsi" w:eastAsia="Times New Roman" w:hAnsiTheme="minorHAnsi" w:cstheme="minorHAnsi"/>
          <w:color w:val="1E1E1E"/>
        </w:rPr>
      </w:pPr>
    </w:p>
    <w:p w14:paraId="343F423F" w14:textId="77777777" w:rsidR="0014026C" w:rsidRPr="00EE2C50" w:rsidRDefault="00DF11D6" w:rsidP="00F70FC0">
      <w:pPr>
        <w:spacing w:line="240" w:lineRule="auto"/>
        <w:ind w:left="720"/>
        <w:jc w:val="both"/>
        <w:rPr>
          <w:rFonts w:asciiTheme="minorHAnsi" w:eastAsia="Times New Roman" w:hAnsiTheme="minorHAnsi" w:cstheme="minorHAnsi"/>
          <w:color w:val="1E1E1E"/>
        </w:rPr>
      </w:pPr>
      <w:r w:rsidRPr="00EE2C50">
        <w:rPr>
          <w:rFonts w:asciiTheme="minorHAnsi" w:eastAsia="Times New Roman" w:hAnsiTheme="minorHAnsi" w:cstheme="minorHAnsi"/>
          <w:color w:val="1E1E1E"/>
        </w:rPr>
        <w:t>In particular, such laws should be “</w:t>
      </w:r>
      <w:r w:rsidR="00F34085" w:rsidRPr="00EE2C50">
        <w:rPr>
          <w:rFonts w:asciiTheme="minorHAnsi" w:eastAsia="Times New Roman" w:hAnsiTheme="minorHAnsi" w:cstheme="minorHAnsi"/>
          <w:bCs/>
          <w:color w:val="1E1E1E"/>
        </w:rPr>
        <w:t>publicly accessible</w:t>
      </w:r>
      <w:r w:rsidRPr="00EE2C50">
        <w:rPr>
          <w:rFonts w:asciiTheme="minorHAnsi" w:eastAsia="Times New Roman" w:hAnsiTheme="minorHAnsi" w:cstheme="minorHAnsi"/>
          <w:bCs/>
          <w:color w:val="1E1E1E"/>
        </w:rPr>
        <w:t>” and “</w:t>
      </w:r>
      <w:r w:rsidR="00F34085" w:rsidRPr="00EE2C50">
        <w:rPr>
          <w:rFonts w:asciiTheme="minorHAnsi" w:eastAsia="Times New Roman" w:hAnsiTheme="minorHAnsi" w:cstheme="minorHAnsi"/>
          <w:bCs/>
          <w:color w:val="1E1E1E"/>
        </w:rPr>
        <w:t>sufficiently precise</w:t>
      </w:r>
      <w:r w:rsidRPr="00EE2C50">
        <w:rPr>
          <w:rFonts w:asciiTheme="minorHAnsi" w:eastAsia="Times New Roman" w:hAnsiTheme="minorHAnsi" w:cstheme="minorHAnsi"/>
          <w:bCs/>
          <w:color w:val="1E1E1E"/>
        </w:rPr>
        <w:t>,”</w:t>
      </w:r>
      <w:r w:rsidR="003F070E" w:rsidRPr="00EE2C50">
        <w:rPr>
          <w:rFonts w:asciiTheme="minorHAnsi" w:eastAsia="Times New Roman" w:hAnsiTheme="minorHAnsi" w:cstheme="minorHAnsi"/>
          <w:bCs/>
          <w:color w:val="1E1E1E"/>
        </w:rPr>
        <w:t xml:space="preserve"> that is</w:t>
      </w:r>
      <w:r w:rsidRPr="00EE2C50">
        <w:rPr>
          <w:rFonts w:asciiTheme="minorHAnsi" w:eastAsia="Times New Roman" w:hAnsiTheme="minorHAnsi" w:cstheme="minorHAnsi"/>
          <w:bCs/>
          <w:color w:val="1E1E1E"/>
        </w:rPr>
        <w:t>, they should “</w:t>
      </w:r>
      <w:r w:rsidR="00F34085" w:rsidRPr="00EE2C50">
        <w:rPr>
          <w:rFonts w:asciiTheme="minorHAnsi" w:eastAsia="Times New Roman" w:hAnsiTheme="minorHAnsi" w:cstheme="minorHAnsi"/>
          <w:bCs/>
          <w:color w:val="1E1E1E"/>
        </w:rPr>
        <w:t>specify in detail</w:t>
      </w:r>
      <w:r w:rsidR="00F34085" w:rsidRPr="00EE2C50">
        <w:rPr>
          <w:rFonts w:asciiTheme="minorHAnsi" w:eastAsia="Times New Roman" w:hAnsiTheme="minorHAnsi" w:cstheme="minorHAnsi"/>
          <w:color w:val="1E1E1E"/>
        </w:rPr>
        <w:t> the precise circumstances in which any such interference may be permitted, the procedures for authorization, the categories of persons who may be placed under surveillance, the limit on the duration of surveillance</w:t>
      </w:r>
      <w:r w:rsidRPr="00EE2C50">
        <w:rPr>
          <w:rFonts w:asciiTheme="minorHAnsi" w:eastAsia="Times New Roman" w:hAnsiTheme="minorHAnsi" w:cstheme="minorHAnsi"/>
          <w:color w:val="1E1E1E"/>
        </w:rPr>
        <w:t>,</w:t>
      </w:r>
      <w:r w:rsidR="00F34085" w:rsidRPr="00EE2C50">
        <w:rPr>
          <w:rFonts w:asciiTheme="minorHAnsi" w:eastAsia="Times New Roman" w:hAnsiTheme="minorHAnsi" w:cstheme="minorHAnsi"/>
          <w:color w:val="1E1E1E"/>
        </w:rPr>
        <w:t xml:space="preserve"> </w:t>
      </w:r>
      <w:r w:rsidR="00564AB9" w:rsidRPr="00EE2C50">
        <w:rPr>
          <w:rFonts w:asciiTheme="minorHAnsi" w:eastAsia="Times New Roman" w:hAnsiTheme="minorHAnsi" w:cstheme="minorHAnsi"/>
          <w:color w:val="1E1E1E"/>
        </w:rPr>
        <w:t xml:space="preserve">[and] </w:t>
      </w:r>
      <w:r w:rsidR="00F34085" w:rsidRPr="00EE2C50">
        <w:rPr>
          <w:rFonts w:asciiTheme="minorHAnsi" w:eastAsia="Times New Roman" w:hAnsiTheme="minorHAnsi" w:cstheme="minorHAnsi"/>
          <w:color w:val="1E1E1E"/>
        </w:rPr>
        <w:t>procedures for the use and storage of data collected</w:t>
      </w:r>
      <w:r w:rsidR="00AF6144" w:rsidRPr="00EE2C50">
        <w:rPr>
          <w:rFonts w:asciiTheme="minorHAnsi" w:eastAsia="Times New Roman" w:hAnsiTheme="minorHAnsi" w:cstheme="minorHAnsi"/>
          <w:color w:val="1E1E1E"/>
        </w:rPr>
        <w:t>.</w:t>
      </w:r>
      <w:r w:rsidR="00564AB9" w:rsidRPr="00EE2C50">
        <w:rPr>
          <w:rFonts w:asciiTheme="minorHAnsi" w:eastAsia="Times New Roman" w:hAnsiTheme="minorHAnsi" w:cstheme="minorHAnsi"/>
          <w:color w:val="1E1E1E"/>
        </w:rPr>
        <w:t>”</w:t>
      </w:r>
      <w:r w:rsidR="00AF6144" w:rsidRPr="00A5243D">
        <w:rPr>
          <w:vertAlign w:val="superscript"/>
        </w:rPr>
        <w:footnoteReference w:id="39"/>
      </w:r>
      <w:r w:rsidR="00F34085" w:rsidRPr="00EE2C50">
        <w:rPr>
          <w:rFonts w:asciiTheme="minorHAnsi" w:eastAsia="Times New Roman" w:hAnsiTheme="minorHAnsi" w:cstheme="minorHAnsi"/>
          <w:color w:val="1E1E1E"/>
        </w:rPr>
        <w:t> </w:t>
      </w:r>
    </w:p>
    <w:p w14:paraId="7D60047A" w14:textId="31DA9F26" w:rsidR="00564AB9" w:rsidRPr="00EE2C50" w:rsidRDefault="00564AB9" w:rsidP="00F70FC0">
      <w:pPr>
        <w:spacing w:after="160" w:line="240" w:lineRule="auto"/>
        <w:ind w:left="720"/>
        <w:jc w:val="both"/>
        <w:rPr>
          <w:rFonts w:asciiTheme="minorHAnsi" w:eastAsia="Times New Roman" w:hAnsiTheme="minorHAnsi" w:cstheme="minorHAnsi"/>
          <w:color w:val="1E1E1E"/>
        </w:rPr>
      </w:pPr>
      <w:r w:rsidRPr="00EE2C50">
        <w:rPr>
          <w:rFonts w:asciiTheme="minorHAnsi" w:eastAsia="Times New Roman" w:hAnsiTheme="minorHAnsi" w:cstheme="minorHAnsi"/>
          <w:color w:val="1E1E1E"/>
        </w:rPr>
        <w:t xml:space="preserve">Such laws should also </w:t>
      </w:r>
      <w:r w:rsidR="00CB32CC" w:rsidRPr="00EE2C50">
        <w:rPr>
          <w:rFonts w:asciiTheme="minorHAnsi" w:eastAsia="Times New Roman" w:hAnsiTheme="minorHAnsi" w:cstheme="minorHAnsi"/>
          <w:color w:val="1E1E1E"/>
        </w:rPr>
        <w:t xml:space="preserve">require </w:t>
      </w:r>
      <w:r w:rsidRPr="00EE2C50">
        <w:rPr>
          <w:rFonts w:asciiTheme="minorHAnsi" w:eastAsia="Times New Roman" w:hAnsiTheme="minorHAnsi" w:cstheme="minorHAnsi"/>
          <w:color w:val="1E1E1E"/>
        </w:rPr>
        <w:t>that any surveillance is tailored to p</w:t>
      </w:r>
      <w:r w:rsidR="00A5243D" w:rsidRPr="00EE2C50">
        <w:rPr>
          <w:rFonts w:asciiTheme="minorHAnsi" w:eastAsia="Times New Roman" w:hAnsiTheme="minorHAnsi" w:cstheme="minorHAnsi"/>
          <w:color w:val="1E1E1E"/>
        </w:rPr>
        <w:t>romote a “specific and legitimate aim.”</w:t>
      </w:r>
      <w:r w:rsidR="00A5243D" w:rsidRPr="00A5243D">
        <w:rPr>
          <w:rStyle w:val="FootnoteReference"/>
          <w:rFonts w:asciiTheme="minorHAnsi" w:eastAsia="Times New Roman" w:hAnsiTheme="minorHAnsi" w:cstheme="minorHAnsi"/>
          <w:color w:val="1E1E1E"/>
        </w:rPr>
        <w:footnoteReference w:id="40"/>
      </w:r>
      <w:r w:rsidR="00A5243D" w:rsidRPr="00EE2C50">
        <w:rPr>
          <w:rFonts w:asciiTheme="minorHAnsi" w:eastAsia="Times New Roman" w:hAnsiTheme="minorHAnsi" w:cstheme="minorHAnsi"/>
          <w:color w:val="1E1E1E"/>
        </w:rPr>
        <w:t xml:space="preserve"> </w:t>
      </w:r>
    </w:p>
    <w:p w14:paraId="64140661" w14:textId="7F8831EE" w:rsidR="005A1985" w:rsidRPr="00F70FC0" w:rsidRDefault="00CB5F7D" w:rsidP="00F70FC0">
      <w:pPr>
        <w:spacing w:after="160" w:line="240" w:lineRule="auto"/>
        <w:ind w:left="720"/>
        <w:jc w:val="both"/>
        <w:rPr>
          <w:rFonts w:asciiTheme="minorHAnsi" w:eastAsia="Times New Roman" w:hAnsiTheme="minorHAnsi" w:cstheme="minorHAnsi"/>
          <w:color w:val="1E1E1E"/>
        </w:rPr>
      </w:pPr>
      <w:r w:rsidRPr="00EE2C50">
        <w:rPr>
          <w:rFonts w:asciiTheme="minorHAnsi" w:eastAsia="Times New Roman" w:hAnsiTheme="minorHAnsi" w:cstheme="minorHAnsi"/>
          <w:color w:val="1E1E1E"/>
        </w:rPr>
        <w:t xml:space="preserve">As stated by the two UN Special Rapporteurs, authorities should “consider whether the proposed undercover activity is the only way to secure the required information, and whether the value of </w:t>
      </w:r>
      <w:r w:rsidRPr="00EE2C50">
        <w:rPr>
          <w:rFonts w:asciiTheme="minorHAnsi" w:eastAsia="Times New Roman" w:hAnsiTheme="minorHAnsi" w:cstheme="minorHAnsi"/>
          <w:color w:val="1E1E1E"/>
        </w:rPr>
        <w:lastRenderedPageBreak/>
        <w:t>the information justifies the intrusion. This should take into account the impact on the rights of all those affected, not only the targets.”   The Rapporteurs also urge that “Collection of information must not unlawfully or arbitrarily interfere with privacy rights, and legislation in the area should incorporate “legality, necessity and proportionality tests</w:t>
      </w:r>
      <w:r w:rsidR="000F4C44" w:rsidRPr="00EE2C50">
        <w:rPr>
          <w:rFonts w:asciiTheme="minorHAnsi" w:eastAsia="Times New Roman" w:hAnsiTheme="minorHAnsi" w:cstheme="minorHAnsi"/>
          <w:color w:val="1E1E1E"/>
        </w:rPr>
        <w:t>,</w:t>
      </w:r>
      <w:r w:rsidRPr="00EE2C50">
        <w:rPr>
          <w:rFonts w:asciiTheme="minorHAnsi" w:eastAsia="Times New Roman" w:hAnsiTheme="minorHAnsi" w:cstheme="minorHAnsi"/>
          <w:color w:val="1E1E1E"/>
        </w:rPr>
        <w:t xml:space="preserve">”  </w:t>
      </w:r>
      <w:r w:rsidR="000F4C44" w:rsidRPr="00EE2C50">
        <w:rPr>
          <w:rFonts w:asciiTheme="minorHAnsi" w:eastAsia="Times New Roman" w:hAnsiTheme="minorHAnsi" w:cstheme="minorHAnsi"/>
          <w:color w:val="1E1E1E"/>
        </w:rPr>
        <w:t>and that “a</w:t>
      </w:r>
      <w:r w:rsidR="000F4C44" w:rsidRPr="00EE2C50">
        <w:rPr>
          <w:rFonts w:asciiTheme="minorHAnsi" w:eastAsia="Times New Roman" w:hAnsiTheme="minorHAnsi" w:cstheme="minorHAnsi"/>
          <w:color w:val="1E1E1E"/>
          <w:lang w:val="en-GB"/>
        </w:rPr>
        <w:t>uthorities should consider whether the proposed undercover activity is the only way to secure the required information and whether the value of the information justifies the intrusion …</w:t>
      </w:r>
      <w:r w:rsidR="000F4C44" w:rsidRPr="00EE2C50">
        <w:rPr>
          <w:rFonts w:asciiTheme="minorHAnsi" w:eastAsia="Times New Roman" w:hAnsiTheme="minorHAnsi" w:cstheme="minorHAnsi"/>
          <w:bCs/>
          <w:color w:val="1E1E1E"/>
          <w:lang w:val="en-GB"/>
        </w:rPr>
        <w:t xml:space="preserve"> [and] … </w:t>
      </w:r>
      <w:r w:rsidR="000F4C44" w:rsidRPr="00EE2C50">
        <w:rPr>
          <w:rFonts w:asciiTheme="minorHAnsi" w:eastAsia="Times New Roman" w:hAnsiTheme="minorHAnsi" w:cstheme="minorHAnsi"/>
          <w:color w:val="1E1E1E"/>
          <w:lang w:val="en-GB"/>
        </w:rPr>
        <w:t>should take into account the impact on the rights of all those affected, not only the targets.”</w:t>
      </w:r>
      <w:r w:rsidR="000F4C44" w:rsidRPr="000F4C44">
        <w:rPr>
          <w:vertAlign w:val="superscript"/>
          <w:lang w:val="en-CA"/>
        </w:rPr>
        <w:footnoteReference w:id="41"/>
      </w:r>
    </w:p>
    <w:p w14:paraId="01C9A240" w14:textId="77777777" w:rsidR="00320D5C" w:rsidRPr="00EE2C50" w:rsidRDefault="007F3755" w:rsidP="00F70FC0">
      <w:pPr>
        <w:pStyle w:val="ListParagraph"/>
        <w:numPr>
          <w:ilvl w:val="0"/>
          <w:numId w:val="46"/>
        </w:numPr>
        <w:shd w:val="clear" w:color="auto" w:fill="FFFFFF"/>
        <w:jc w:val="both"/>
        <w:rPr>
          <w:rFonts w:asciiTheme="minorHAnsi" w:eastAsia="Times New Roman" w:hAnsiTheme="minorHAnsi" w:cstheme="minorHAnsi"/>
          <w:b/>
          <w:color w:val="1E1E1E"/>
        </w:rPr>
      </w:pPr>
      <w:r w:rsidRPr="00EE2C50">
        <w:rPr>
          <w:rFonts w:eastAsia="Times New Roman"/>
          <w:b/>
          <w:color w:val="1E1E1E"/>
        </w:rPr>
        <w:t>States should ensure that their practice conforms to the laws.</w:t>
      </w:r>
      <w:r w:rsidRPr="00EE2C50">
        <w:rPr>
          <w:rFonts w:asciiTheme="minorHAnsi" w:hAnsiTheme="minorHAnsi" w:cstheme="minorHAnsi"/>
          <w:b/>
          <w:vertAlign w:val="superscript"/>
        </w:rPr>
        <w:footnoteReference w:id="42"/>
      </w:r>
      <w:r w:rsidRPr="00EE2C50">
        <w:rPr>
          <w:rFonts w:asciiTheme="minorHAnsi" w:eastAsia="Times New Roman" w:hAnsiTheme="minorHAnsi" w:cstheme="minorHAnsi"/>
          <w:b/>
          <w:color w:val="1E1E1E"/>
        </w:rPr>
        <w:t xml:space="preserve"> </w:t>
      </w:r>
      <w:r w:rsidRPr="00EE2C50">
        <w:rPr>
          <w:rFonts w:eastAsia="Times New Roman"/>
          <w:b/>
          <w:color w:val="1E1E1E"/>
        </w:rPr>
        <w:t xml:space="preserve"> In particular, they should ensure that the categories of persons likely to be placed under surveillance are </w:t>
      </w:r>
      <w:r w:rsidRPr="00EE2C50">
        <w:rPr>
          <w:rFonts w:eastAsia="Times New Roman"/>
          <w:b/>
          <w:bCs/>
          <w:color w:val="1E1E1E"/>
        </w:rPr>
        <w:t>set forth in detail</w:t>
      </w:r>
      <w:r w:rsidRPr="00EE2C50">
        <w:rPr>
          <w:rFonts w:eastAsia="Times New Roman"/>
          <w:b/>
          <w:color w:val="1E1E1E"/>
        </w:rPr>
        <w:t xml:space="preserve">. </w:t>
      </w:r>
    </w:p>
    <w:p w14:paraId="74A3288F" w14:textId="517A481B" w:rsidR="007F3755" w:rsidRPr="007F3755" w:rsidRDefault="007F3755" w:rsidP="00F70FC0">
      <w:pPr>
        <w:pStyle w:val="ListParagraph"/>
        <w:ind w:left="526"/>
        <w:contextualSpacing/>
        <w:jc w:val="both"/>
        <w:rPr>
          <w:rFonts w:eastAsia="Times New Roman"/>
          <w:color w:val="1E1E1E"/>
        </w:rPr>
      </w:pPr>
    </w:p>
    <w:p w14:paraId="0B201525" w14:textId="77777777" w:rsidR="00B829CE" w:rsidRPr="000A75A4" w:rsidRDefault="007F3755" w:rsidP="00F70FC0">
      <w:pPr>
        <w:shd w:val="clear" w:color="auto" w:fill="FFFFFF"/>
        <w:spacing w:after="0" w:line="240" w:lineRule="auto"/>
        <w:ind w:left="720"/>
        <w:jc w:val="both"/>
        <w:rPr>
          <w:rFonts w:asciiTheme="minorHAnsi" w:eastAsia="Times New Roman" w:hAnsiTheme="minorHAnsi" w:cstheme="minorHAnsi"/>
          <w:color w:val="1E1E1E"/>
        </w:rPr>
      </w:pPr>
      <w:r>
        <w:rPr>
          <w:rFonts w:asciiTheme="minorHAnsi" w:eastAsia="Times New Roman" w:hAnsiTheme="minorHAnsi" w:cstheme="minorHAnsi"/>
          <w:color w:val="1E1E1E"/>
        </w:rPr>
        <w:t xml:space="preserve">The Human Rights Committee has recommended that States </w:t>
      </w:r>
      <w:r w:rsidR="0014026C" w:rsidRPr="007F3755">
        <w:rPr>
          <w:rFonts w:asciiTheme="minorHAnsi" w:eastAsia="Times New Roman" w:hAnsiTheme="minorHAnsi" w:cstheme="minorHAnsi"/>
          <w:color w:val="1E1E1E"/>
        </w:rPr>
        <w:t xml:space="preserve">should </w:t>
      </w:r>
      <w:r w:rsidR="00564AB9" w:rsidRPr="007F3755">
        <w:rPr>
          <w:rFonts w:asciiTheme="minorHAnsi" w:eastAsia="Times New Roman" w:hAnsiTheme="minorHAnsi" w:cstheme="minorHAnsi"/>
          <w:color w:val="1E1E1E"/>
        </w:rPr>
        <w:t>“ensure that the collection and use of data on communications take place on the basis of specific and legitimate objectives and that th</w:t>
      </w:r>
      <w:r w:rsidR="00564AB9" w:rsidRPr="000A75A4">
        <w:rPr>
          <w:rFonts w:asciiTheme="minorHAnsi" w:eastAsia="Times New Roman" w:hAnsiTheme="minorHAnsi" w:cstheme="minorHAnsi"/>
          <w:color w:val="1E1E1E"/>
        </w:rPr>
        <w:t>e </w:t>
      </w:r>
      <w:r w:rsidR="00564AB9" w:rsidRPr="000A75A4">
        <w:rPr>
          <w:rFonts w:asciiTheme="minorHAnsi" w:eastAsia="Times New Roman" w:hAnsiTheme="minorHAnsi" w:cstheme="minorHAnsi"/>
          <w:bCs/>
          <w:color w:val="1E1E1E"/>
        </w:rPr>
        <w:t>exact circumstances </w:t>
      </w:r>
      <w:r w:rsidR="00564AB9" w:rsidRPr="000A75A4">
        <w:rPr>
          <w:rFonts w:asciiTheme="minorHAnsi" w:eastAsia="Times New Roman" w:hAnsiTheme="minorHAnsi" w:cstheme="minorHAnsi"/>
          <w:color w:val="1E1E1E"/>
        </w:rPr>
        <w:t>in which such interference may be authorized and the categories of persons likely to be placed under surveillance are </w:t>
      </w:r>
      <w:r w:rsidR="00564AB9" w:rsidRPr="000A75A4">
        <w:rPr>
          <w:rFonts w:asciiTheme="minorHAnsi" w:eastAsia="Times New Roman" w:hAnsiTheme="minorHAnsi" w:cstheme="minorHAnsi"/>
          <w:bCs/>
          <w:color w:val="1E1E1E"/>
        </w:rPr>
        <w:t>set out in detail</w:t>
      </w:r>
      <w:r w:rsidR="00564AB9" w:rsidRPr="000A75A4">
        <w:rPr>
          <w:rFonts w:asciiTheme="minorHAnsi" w:eastAsia="Times New Roman" w:hAnsiTheme="minorHAnsi" w:cstheme="minorHAnsi"/>
          <w:color w:val="1E1E1E"/>
        </w:rPr>
        <w:t>”</w:t>
      </w:r>
      <w:r w:rsidR="003F070E" w:rsidRPr="000A75A4">
        <w:rPr>
          <w:rFonts w:asciiTheme="minorHAnsi" w:eastAsia="Times New Roman" w:hAnsiTheme="minorHAnsi" w:cstheme="minorHAnsi"/>
          <w:color w:val="1E1E1E"/>
        </w:rPr>
        <w:t>.</w:t>
      </w:r>
      <w:r w:rsidR="00564AB9" w:rsidRPr="000A75A4">
        <w:rPr>
          <w:rStyle w:val="FootnoteReference"/>
          <w:rFonts w:asciiTheme="minorHAnsi" w:eastAsia="Times New Roman" w:hAnsiTheme="minorHAnsi" w:cstheme="minorHAnsi"/>
          <w:color w:val="1E1E1E"/>
        </w:rPr>
        <w:footnoteReference w:id="43"/>
      </w:r>
    </w:p>
    <w:p w14:paraId="2962D2FC" w14:textId="5FA65537" w:rsidR="00564AB9" w:rsidRPr="000A75A4" w:rsidRDefault="00564AB9" w:rsidP="00F70FC0">
      <w:pPr>
        <w:shd w:val="clear" w:color="auto" w:fill="FFFFFF"/>
        <w:spacing w:after="0" w:line="240" w:lineRule="auto"/>
        <w:ind w:left="886"/>
        <w:jc w:val="both"/>
        <w:rPr>
          <w:rFonts w:asciiTheme="minorHAnsi" w:eastAsia="Times New Roman" w:hAnsiTheme="minorHAnsi" w:cstheme="minorHAnsi"/>
          <w:color w:val="1E1E1E"/>
        </w:rPr>
      </w:pPr>
      <w:r w:rsidRPr="000A75A4">
        <w:rPr>
          <w:rFonts w:asciiTheme="minorHAnsi" w:eastAsia="Times New Roman" w:hAnsiTheme="minorHAnsi" w:cstheme="minorHAnsi"/>
          <w:color w:val="1E1E1E"/>
        </w:rPr>
        <w:t xml:space="preserve"> </w:t>
      </w:r>
    </w:p>
    <w:p w14:paraId="0BD93744" w14:textId="202425C2" w:rsidR="00320D5C" w:rsidRDefault="00320D5C" w:rsidP="00F70FC0">
      <w:pPr>
        <w:pStyle w:val="ListParagraph"/>
        <w:numPr>
          <w:ilvl w:val="0"/>
          <w:numId w:val="46"/>
        </w:numPr>
        <w:shd w:val="clear" w:color="auto" w:fill="FFFFFF"/>
        <w:jc w:val="both"/>
        <w:rPr>
          <w:rFonts w:asciiTheme="minorHAnsi" w:eastAsia="Times New Roman" w:hAnsiTheme="minorHAnsi" w:cstheme="minorHAnsi"/>
          <w:b/>
          <w:color w:val="1E1E1E"/>
        </w:rPr>
      </w:pPr>
      <w:r w:rsidRPr="00320D5C">
        <w:rPr>
          <w:rFonts w:asciiTheme="minorHAnsi" w:eastAsia="Times New Roman" w:hAnsiTheme="minorHAnsi" w:cstheme="minorHAnsi"/>
          <w:b/>
          <w:color w:val="1E1E1E"/>
        </w:rPr>
        <w:t>States should implement “sufficient judicial safeguards” to protect against arbitrariness.</w:t>
      </w:r>
      <w:r w:rsidRPr="00A5243D">
        <w:rPr>
          <w:rStyle w:val="FootnoteReference"/>
          <w:rFonts w:asciiTheme="minorHAnsi" w:eastAsia="Times New Roman" w:hAnsiTheme="minorHAnsi" w:cstheme="minorHAnsi"/>
          <w:color w:val="1E1E1E"/>
        </w:rPr>
        <w:footnoteReference w:id="44"/>
      </w:r>
    </w:p>
    <w:p w14:paraId="25C94B43" w14:textId="77777777" w:rsidR="00320D5C" w:rsidRDefault="00320D5C" w:rsidP="00F70FC0">
      <w:pPr>
        <w:pStyle w:val="ListParagraph"/>
        <w:shd w:val="clear" w:color="auto" w:fill="FFFFFF"/>
        <w:ind w:left="526"/>
        <w:jc w:val="both"/>
        <w:rPr>
          <w:rFonts w:asciiTheme="minorHAnsi" w:eastAsia="Times New Roman" w:hAnsiTheme="minorHAnsi" w:cstheme="minorHAnsi"/>
          <w:b/>
          <w:color w:val="1E1E1E"/>
        </w:rPr>
      </w:pPr>
    </w:p>
    <w:p w14:paraId="3B333031" w14:textId="0AFFA13C" w:rsidR="00DF11D6" w:rsidRPr="00EE2C50" w:rsidRDefault="0014026C" w:rsidP="00F70FC0">
      <w:pPr>
        <w:pStyle w:val="ListParagraph"/>
        <w:numPr>
          <w:ilvl w:val="0"/>
          <w:numId w:val="46"/>
        </w:numPr>
        <w:shd w:val="clear" w:color="auto" w:fill="FFFFFF"/>
        <w:ind w:left="446"/>
        <w:jc w:val="both"/>
        <w:rPr>
          <w:rFonts w:asciiTheme="minorHAnsi" w:eastAsia="Times New Roman" w:hAnsiTheme="minorHAnsi" w:cstheme="minorHAnsi"/>
          <w:b/>
          <w:color w:val="1E1E1E"/>
        </w:rPr>
      </w:pPr>
      <w:r w:rsidRPr="00EE2C50">
        <w:rPr>
          <w:rFonts w:asciiTheme="minorHAnsi" w:eastAsia="Times New Roman" w:hAnsiTheme="minorHAnsi" w:cstheme="minorHAnsi"/>
          <w:b/>
          <w:bCs/>
          <w:color w:val="1E1E1E"/>
        </w:rPr>
        <w:t xml:space="preserve">States should </w:t>
      </w:r>
      <w:r w:rsidR="00F34085" w:rsidRPr="00EE2C50">
        <w:rPr>
          <w:rFonts w:asciiTheme="minorHAnsi" w:eastAsia="Times New Roman" w:hAnsiTheme="minorHAnsi" w:cstheme="minorHAnsi"/>
          <w:b/>
          <w:bCs/>
          <w:color w:val="1E1E1E"/>
        </w:rPr>
        <w:t>increase the transparency </w:t>
      </w:r>
      <w:r w:rsidR="00F34085" w:rsidRPr="00EE2C50">
        <w:rPr>
          <w:rFonts w:asciiTheme="minorHAnsi" w:eastAsia="Times New Roman" w:hAnsiTheme="minorHAnsi" w:cstheme="minorHAnsi"/>
          <w:b/>
          <w:color w:val="1E1E1E"/>
        </w:rPr>
        <w:t>of the powers of</w:t>
      </w:r>
      <w:r w:rsidR="001F67B5" w:rsidRPr="00EE2C50">
        <w:rPr>
          <w:rFonts w:asciiTheme="minorHAnsi" w:eastAsia="Times New Roman" w:hAnsiTheme="minorHAnsi" w:cstheme="minorHAnsi"/>
          <w:b/>
          <w:color w:val="1E1E1E"/>
        </w:rPr>
        <w:t>,</w:t>
      </w:r>
      <w:r w:rsidR="00F34085" w:rsidRPr="00EE2C50">
        <w:rPr>
          <w:rFonts w:asciiTheme="minorHAnsi" w:eastAsia="Times New Roman" w:hAnsiTheme="minorHAnsi" w:cstheme="minorHAnsi"/>
          <w:b/>
          <w:color w:val="1E1E1E"/>
        </w:rPr>
        <w:t xml:space="preserve"> and safeguards on</w:t>
      </w:r>
      <w:r w:rsidR="001F67B5" w:rsidRPr="00EE2C50">
        <w:rPr>
          <w:rFonts w:asciiTheme="minorHAnsi" w:eastAsia="Times New Roman" w:hAnsiTheme="minorHAnsi" w:cstheme="minorHAnsi"/>
          <w:b/>
          <w:color w:val="1E1E1E"/>
        </w:rPr>
        <w:t>,</w:t>
      </w:r>
      <w:r w:rsidR="00F34085" w:rsidRPr="00EE2C50">
        <w:rPr>
          <w:rFonts w:asciiTheme="minorHAnsi" w:eastAsia="Times New Roman" w:hAnsiTheme="minorHAnsi" w:cstheme="minorHAnsi"/>
          <w:b/>
          <w:color w:val="1E1E1E"/>
        </w:rPr>
        <w:t xml:space="preserve"> the </w:t>
      </w:r>
      <w:r w:rsidR="001F67B5" w:rsidRPr="00EE2C50">
        <w:rPr>
          <w:rFonts w:asciiTheme="minorHAnsi" w:eastAsia="Times New Roman" w:hAnsiTheme="minorHAnsi" w:cstheme="minorHAnsi"/>
          <w:b/>
          <w:color w:val="1E1E1E"/>
        </w:rPr>
        <w:t xml:space="preserve">bodies that may order surveillance, including specialized courts, </w:t>
      </w:r>
      <w:r w:rsidR="00F34085" w:rsidRPr="00EE2C50">
        <w:rPr>
          <w:rFonts w:asciiTheme="minorHAnsi" w:eastAsia="Times New Roman" w:hAnsiTheme="minorHAnsi" w:cstheme="minorHAnsi"/>
          <w:b/>
          <w:color w:val="1E1E1E"/>
        </w:rPr>
        <w:t xml:space="preserve">by considering to </w:t>
      </w:r>
      <w:r w:rsidR="003F070E" w:rsidRPr="00EE2C50">
        <w:rPr>
          <w:rFonts w:asciiTheme="minorHAnsi" w:eastAsia="Times New Roman" w:hAnsiTheme="minorHAnsi" w:cstheme="minorHAnsi"/>
          <w:b/>
          <w:color w:val="1E1E1E"/>
        </w:rPr>
        <w:t xml:space="preserve">make public </w:t>
      </w:r>
      <w:r w:rsidR="00F34085" w:rsidRPr="00EE2C50">
        <w:rPr>
          <w:rFonts w:asciiTheme="minorHAnsi" w:eastAsia="Times New Roman" w:hAnsiTheme="minorHAnsi" w:cstheme="minorHAnsi"/>
          <w:b/>
          <w:color w:val="1E1E1E"/>
        </w:rPr>
        <w:t>their </w:t>
      </w:r>
      <w:r w:rsidR="00F34085" w:rsidRPr="00EE2C50">
        <w:rPr>
          <w:rFonts w:asciiTheme="minorHAnsi" w:eastAsia="Times New Roman" w:hAnsiTheme="minorHAnsi" w:cstheme="minorHAnsi"/>
          <w:b/>
          <w:bCs/>
          <w:color w:val="1E1E1E"/>
        </w:rPr>
        <w:t>policy guidelines and decisions,</w:t>
      </w:r>
      <w:r w:rsidR="00F34085" w:rsidRPr="00EE2C50">
        <w:rPr>
          <w:rFonts w:asciiTheme="minorHAnsi" w:eastAsia="Times New Roman" w:hAnsiTheme="minorHAnsi" w:cstheme="minorHAnsi"/>
          <w:b/>
          <w:color w:val="1E1E1E"/>
        </w:rPr>
        <w:t> in full or in part, subject to national security considerations and the privacy interests of individuals concerned by those decisions</w:t>
      </w:r>
      <w:r w:rsidRPr="00EE2C50">
        <w:rPr>
          <w:rFonts w:asciiTheme="minorHAnsi" w:eastAsia="Times New Roman" w:hAnsiTheme="minorHAnsi" w:cstheme="minorHAnsi"/>
          <w:b/>
          <w:color w:val="1E1E1E"/>
        </w:rPr>
        <w:t>.</w:t>
      </w:r>
      <w:r w:rsidR="00F34085" w:rsidRPr="00EE2C50">
        <w:rPr>
          <w:rFonts w:asciiTheme="minorHAnsi" w:eastAsia="Times New Roman" w:hAnsiTheme="minorHAnsi" w:cstheme="minorHAnsi"/>
          <w:b/>
          <w:color w:val="1E1E1E"/>
        </w:rPr>
        <w:t>”</w:t>
      </w:r>
      <w:r w:rsidR="001F67B5" w:rsidRPr="00EE2C50">
        <w:rPr>
          <w:rStyle w:val="FootnoteReference"/>
          <w:rFonts w:asciiTheme="minorHAnsi" w:eastAsia="Times New Roman" w:hAnsiTheme="minorHAnsi" w:cstheme="minorHAnsi"/>
          <w:b/>
          <w:color w:val="1E1E1E"/>
        </w:rPr>
        <w:footnoteReference w:id="45"/>
      </w:r>
    </w:p>
    <w:p w14:paraId="1DC78354" w14:textId="2DFC180B" w:rsidR="001F67B5" w:rsidRPr="00A949C9" w:rsidRDefault="00F34085" w:rsidP="00F70FC0">
      <w:pPr>
        <w:pStyle w:val="ListParagraph"/>
        <w:shd w:val="clear" w:color="auto" w:fill="FFFFFF"/>
        <w:spacing w:line="276" w:lineRule="auto"/>
        <w:ind w:left="720"/>
        <w:jc w:val="both"/>
        <w:rPr>
          <w:rFonts w:asciiTheme="minorHAnsi" w:eastAsia="Times New Roman" w:hAnsiTheme="minorHAnsi" w:cstheme="minorHAnsi"/>
          <w:color w:val="1E1E1E"/>
        </w:rPr>
      </w:pPr>
      <w:r w:rsidRPr="00A949C9">
        <w:rPr>
          <w:rFonts w:asciiTheme="minorHAnsi" w:eastAsia="Times New Roman" w:hAnsiTheme="minorHAnsi" w:cstheme="minorHAnsi"/>
          <w:color w:val="1E1E1E"/>
        </w:rPr>
        <w:t xml:space="preserve"> </w:t>
      </w:r>
    </w:p>
    <w:p w14:paraId="66268E8B" w14:textId="2824C60B" w:rsidR="00F113B8" w:rsidRPr="000C0545" w:rsidRDefault="000C0545" w:rsidP="008E04A3">
      <w:pPr>
        <w:numPr>
          <w:ilvl w:val="0"/>
          <w:numId w:val="46"/>
        </w:numPr>
        <w:autoSpaceDE w:val="0"/>
        <w:autoSpaceDN w:val="0"/>
        <w:adjustRightInd w:val="0"/>
        <w:spacing w:line="240" w:lineRule="auto"/>
        <w:ind w:left="446"/>
        <w:jc w:val="both"/>
        <w:rPr>
          <w:rFonts w:asciiTheme="minorHAnsi" w:hAnsiTheme="minorHAnsi" w:cstheme="minorHAnsi"/>
          <w:lang w:val="en-GB"/>
        </w:rPr>
      </w:pPr>
      <w:r w:rsidRPr="000C0545">
        <w:rPr>
          <w:rFonts w:asciiTheme="minorHAnsi" w:hAnsiTheme="minorHAnsi" w:cstheme="minorHAnsi"/>
          <w:b/>
          <w:lang w:val="en-CA"/>
        </w:rPr>
        <w:t>Infiltration and surveillance are consistent with the ICCPR only if</w:t>
      </w:r>
      <w:r w:rsidRPr="000C0545">
        <w:rPr>
          <w:rFonts w:asciiTheme="minorHAnsi" w:hAnsiTheme="minorHAnsi" w:cstheme="minorHAnsi"/>
          <w:lang w:val="en-CA"/>
        </w:rPr>
        <w:t xml:space="preserve"> “</w:t>
      </w:r>
      <w:r w:rsidRPr="000C0545">
        <w:rPr>
          <w:rFonts w:asciiTheme="minorHAnsi" w:hAnsiTheme="minorHAnsi" w:cstheme="minorHAnsi"/>
          <w:b/>
          <w:lang w:val="en-GB"/>
        </w:rPr>
        <w:t>reasonable grounds exist to suspect that a serious criminal act is likely to be committed.”</w:t>
      </w:r>
      <w:r w:rsidRPr="000C0545">
        <w:rPr>
          <w:rFonts w:asciiTheme="minorHAnsi" w:hAnsiTheme="minorHAnsi" w:cstheme="minorHAnsi"/>
          <w:b/>
          <w:vertAlign w:val="superscript"/>
          <w:lang w:val="en-GB"/>
        </w:rPr>
        <w:footnoteReference w:id="46"/>
      </w:r>
      <w:r w:rsidRPr="000C0545">
        <w:rPr>
          <w:rFonts w:asciiTheme="minorHAnsi" w:hAnsiTheme="minorHAnsi" w:cstheme="minorHAnsi"/>
          <w:lang w:val="en-GB"/>
        </w:rPr>
        <w:t xml:space="preserve"> </w:t>
      </w:r>
      <w:r w:rsidR="008E04A3">
        <w:rPr>
          <w:rFonts w:asciiTheme="minorHAnsi" w:hAnsiTheme="minorHAnsi" w:cstheme="minorHAnsi"/>
          <w:b/>
          <w:lang w:val="en-GB"/>
        </w:rPr>
        <w:t>I</w:t>
      </w:r>
      <w:r w:rsidR="008E04A3" w:rsidRPr="001B1A3F">
        <w:rPr>
          <w:rFonts w:asciiTheme="minorHAnsi" w:hAnsiTheme="minorHAnsi" w:cstheme="minorHAnsi"/>
          <w:b/>
          <w:lang w:val="en-GB"/>
        </w:rPr>
        <w:t xml:space="preserve">t is not compatible with the ICCPR to </w:t>
      </w:r>
      <w:r w:rsidR="008E04A3">
        <w:rPr>
          <w:rFonts w:asciiTheme="minorHAnsi" w:hAnsiTheme="minorHAnsi" w:cstheme="minorHAnsi"/>
          <w:b/>
          <w:lang w:val="en-GB"/>
        </w:rPr>
        <w:t xml:space="preserve">engage in surveillance of, or </w:t>
      </w:r>
      <w:r w:rsidR="008E04A3" w:rsidRPr="001B1A3F">
        <w:rPr>
          <w:rFonts w:asciiTheme="minorHAnsi" w:hAnsiTheme="minorHAnsi" w:cstheme="minorHAnsi"/>
          <w:b/>
          <w:lang w:val="en-GB"/>
        </w:rPr>
        <w:t>infiltrate informants, undercover officers or private agents into</w:t>
      </w:r>
      <w:r w:rsidR="008E04A3">
        <w:rPr>
          <w:rFonts w:asciiTheme="minorHAnsi" w:hAnsiTheme="minorHAnsi" w:cstheme="minorHAnsi"/>
          <w:b/>
          <w:lang w:val="en-GB"/>
        </w:rPr>
        <w:t>,</w:t>
      </w:r>
      <w:r w:rsidR="008E04A3" w:rsidRPr="001B1A3F">
        <w:rPr>
          <w:rFonts w:asciiTheme="minorHAnsi" w:hAnsiTheme="minorHAnsi" w:cstheme="minorHAnsi"/>
          <w:b/>
          <w:lang w:val="en-GB"/>
        </w:rPr>
        <w:t xml:space="preserve"> groups engaged in entirely lawful expressive activity</w:t>
      </w:r>
      <w:r w:rsidR="008E04A3" w:rsidRPr="001B1A3F">
        <w:rPr>
          <w:rFonts w:asciiTheme="minorHAnsi" w:hAnsiTheme="minorHAnsi" w:cstheme="minorHAnsi"/>
          <w:lang w:val="en-GB"/>
        </w:rPr>
        <w:t>.</w:t>
      </w:r>
    </w:p>
    <w:p w14:paraId="65635921" w14:textId="674808B8" w:rsidR="000468A3" w:rsidRDefault="000468A3" w:rsidP="00F70FC0">
      <w:pPr>
        <w:autoSpaceDE w:val="0"/>
        <w:autoSpaceDN w:val="0"/>
        <w:adjustRightInd w:val="0"/>
        <w:spacing w:after="0" w:line="240" w:lineRule="auto"/>
        <w:ind w:left="720"/>
        <w:jc w:val="both"/>
        <w:rPr>
          <w:rFonts w:asciiTheme="minorHAnsi" w:hAnsiTheme="minorHAnsi" w:cstheme="minorHAnsi"/>
          <w:lang w:val="en-GB"/>
        </w:rPr>
      </w:pPr>
      <w:r w:rsidRPr="001B1A3F">
        <w:rPr>
          <w:rFonts w:asciiTheme="minorHAnsi" w:hAnsiTheme="minorHAnsi" w:cstheme="minorHAnsi"/>
          <w:lang w:val="en-GB"/>
        </w:rPr>
        <w:t xml:space="preserve">Such </w:t>
      </w:r>
      <w:r w:rsidR="00F113B8" w:rsidRPr="001B1A3F">
        <w:rPr>
          <w:rFonts w:asciiTheme="minorHAnsi" w:hAnsiTheme="minorHAnsi" w:cstheme="minorHAnsi"/>
          <w:lang w:val="en-GB"/>
        </w:rPr>
        <w:t xml:space="preserve">practices </w:t>
      </w:r>
      <w:r w:rsidRPr="001B1A3F">
        <w:rPr>
          <w:rFonts w:asciiTheme="minorHAnsi" w:hAnsiTheme="minorHAnsi" w:cstheme="minorHAnsi"/>
          <w:lang w:val="en-GB"/>
        </w:rPr>
        <w:t xml:space="preserve">do not meet the necessity test in a democratic society and do not </w:t>
      </w:r>
      <w:r w:rsidR="00F113B8" w:rsidRPr="001B1A3F">
        <w:rPr>
          <w:rFonts w:asciiTheme="minorHAnsi" w:hAnsiTheme="minorHAnsi" w:cstheme="minorHAnsi"/>
          <w:lang w:val="en-GB"/>
        </w:rPr>
        <w:t xml:space="preserve">advance </w:t>
      </w:r>
      <w:r w:rsidRPr="001B1A3F">
        <w:rPr>
          <w:rFonts w:asciiTheme="minorHAnsi" w:hAnsiTheme="minorHAnsi" w:cstheme="minorHAnsi"/>
          <w:lang w:val="en-GB"/>
        </w:rPr>
        <w:t xml:space="preserve">any of the legitimate aims permitted under Article 21. </w:t>
      </w:r>
      <w:r w:rsidR="00646C93" w:rsidRPr="001B1A3F">
        <w:rPr>
          <w:rFonts w:asciiTheme="minorHAnsi" w:hAnsiTheme="minorHAnsi" w:cstheme="minorHAnsi"/>
          <w:lang w:val="en-GB"/>
        </w:rPr>
        <w:t>F</w:t>
      </w:r>
      <w:r w:rsidRPr="001B1A3F">
        <w:rPr>
          <w:rFonts w:asciiTheme="minorHAnsi" w:hAnsiTheme="minorHAnsi" w:cstheme="minorHAnsi"/>
          <w:lang w:val="en-GB"/>
        </w:rPr>
        <w:t xml:space="preserve">or similar reasons, such practices </w:t>
      </w:r>
      <w:r w:rsidR="00646C93" w:rsidRPr="001B1A3F">
        <w:rPr>
          <w:rFonts w:asciiTheme="minorHAnsi" w:hAnsiTheme="minorHAnsi" w:cstheme="minorHAnsi"/>
          <w:lang w:val="en-GB"/>
        </w:rPr>
        <w:t xml:space="preserve">also </w:t>
      </w:r>
      <w:r w:rsidRPr="001B1A3F">
        <w:rPr>
          <w:rFonts w:asciiTheme="minorHAnsi" w:hAnsiTheme="minorHAnsi" w:cstheme="minorHAnsi"/>
          <w:lang w:val="en-GB"/>
        </w:rPr>
        <w:t>unjustifiably interfere with the right to priva</w:t>
      </w:r>
      <w:r w:rsidR="00F113B8" w:rsidRPr="001B1A3F">
        <w:rPr>
          <w:rFonts w:asciiTheme="minorHAnsi" w:hAnsiTheme="minorHAnsi" w:cstheme="minorHAnsi"/>
          <w:lang w:val="en-GB"/>
        </w:rPr>
        <w:t>cy</w:t>
      </w:r>
      <w:r w:rsidRPr="001B1A3F">
        <w:rPr>
          <w:rFonts w:asciiTheme="minorHAnsi" w:hAnsiTheme="minorHAnsi" w:cstheme="minorHAnsi"/>
          <w:lang w:val="en-GB"/>
        </w:rPr>
        <w:t xml:space="preserve"> under Article 17.  </w:t>
      </w:r>
    </w:p>
    <w:p w14:paraId="518373B4" w14:textId="77777777" w:rsidR="00B829CE" w:rsidRDefault="00B829CE" w:rsidP="00B829CE">
      <w:pPr>
        <w:autoSpaceDE w:val="0"/>
        <w:autoSpaceDN w:val="0"/>
        <w:adjustRightInd w:val="0"/>
        <w:spacing w:after="0" w:line="240" w:lineRule="auto"/>
        <w:ind w:left="720"/>
        <w:rPr>
          <w:rFonts w:asciiTheme="minorHAnsi" w:hAnsiTheme="minorHAnsi" w:cstheme="minorHAnsi"/>
          <w:lang w:val="en-GB"/>
        </w:rPr>
      </w:pPr>
    </w:p>
    <w:p w14:paraId="20869038" w14:textId="7928831D" w:rsidR="00253D98" w:rsidRDefault="00253D98" w:rsidP="00B829CE">
      <w:pPr>
        <w:autoSpaceDE w:val="0"/>
        <w:autoSpaceDN w:val="0"/>
        <w:adjustRightInd w:val="0"/>
        <w:spacing w:after="0" w:line="240" w:lineRule="auto"/>
        <w:ind w:left="720"/>
        <w:rPr>
          <w:rFonts w:asciiTheme="minorHAnsi" w:hAnsiTheme="minorHAnsi" w:cstheme="minorHAnsi"/>
          <w:lang w:val="en-CA"/>
        </w:rPr>
      </w:pPr>
      <w:r w:rsidRPr="001B1A3F">
        <w:rPr>
          <w:rFonts w:asciiTheme="minorHAnsi" w:hAnsiTheme="minorHAnsi" w:cstheme="minorHAnsi"/>
          <w:lang w:val="en-GB"/>
        </w:rPr>
        <w:t xml:space="preserve">In relation to the use of </w:t>
      </w:r>
      <w:r w:rsidRPr="001B1A3F">
        <w:rPr>
          <w:rFonts w:asciiTheme="minorHAnsi" w:hAnsiTheme="minorHAnsi" w:cstheme="minorHAnsi"/>
          <w:i/>
          <w:lang w:val="en-GB"/>
        </w:rPr>
        <w:t>agent provocateurs</w:t>
      </w:r>
      <w:r w:rsidRPr="001B1A3F">
        <w:rPr>
          <w:rFonts w:asciiTheme="minorHAnsi" w:hAnsiTheme="minorHAnsi" w:cstheme="minorHAnsi"/>
          <w:lang w:val="en-GB"/>
        </w:rPr>
        <w:t xml:space="preserve">, there are examples of </w:t>
      </w:r>
      <w:r>
        <w:rPr>
          <w:rFonts w:asciiTheme="minorHAnsi" w:hAnsiTheme="minorHAnsi" w:cstheme="minorHAnsi"/>
          <w:lang w:val="en-GB"/>
        </w:rPr>
        <w:t>c</w:t>
      </w:r>
      <w:r w:rsidRPr="001B1A3F">
        <w:rPr>
          <w:rFonts w:asciiTheme="minorHAnsi" w:hAnsiTheme="minorHAnsi" w:cstheme="minorHAnsi"/>
          <w:lang w:val="en-GB"/>
        </w:rPr>
        <w:t>odes and guidelines preventing such practices;</w:t>
      </w:r>
      <w:r w:rsidRPr="001B1A3F">
        <w:rPr>
          <w:rFonts w:asciiTheme="minorHAnsi" w:hAnsiTheme="minorHAnsi" w:cstheme="minorHAnsi"/>
          <w:vertAlign w:val="superscript"/>
          <w:lang w:val="en-GB"/>
        </w:rPr>
        <w:footnoteReference w:id="47"/>
      </w:r>
      <w:r w:rsidRPr="001B1A3F">
        <w:rPr>
          <w:rFonts w:asciiTheme="minorHAnsi" w:hAnsiTheme="minorHAnsi" w:cstheme="minorHAnsi"/>
          <w:lang w:val="en-GB"/>
        </w:rPr>
        <w:t xml:space="preserve"> as well as regional case law</w:t>
      </w:r>
      <w:r>
        <w:rPr>
          <w:rFonts w:asciiTheme="minorHAnsi" w:hAnsiTheme="minorHAnsi" w:cstheme="minorHAnsi"/>
          <w:lang w:val="en-GB"/>
        </w:rPr>
        <w:t xml:space="preserve"> </w:t>
      </w:r>
      <w:r w:rsidRPr="001B1A3F">
        <w:rPr>
          <w:rFonts w:asciiTheme="minorHAnsi" w:hAnsiTheme="minorHAnsi" w:cstheme="minorHAnsi"/>
          <w:lang w:val="en-GB"/>
        </w:rPr>
        <w:t>in relation to entrapment and the right to a fair trial protected under Article 14.</w:t>
      </w:r>
      <w:r w:rsidRPr="001B1A3F">
        <w:rPr>
          <w:rFonts w:asciiTheme="minorHAnsi" w:hAnsiTheme="minorHAnsi" w:cstheme="minorHAnsi"/>
          <w:vertAlign w:val="superscript"/>
          <w:lang w:val="en-GB"/>
        </w:rPr>
        <w:footnoteReference w:id="48"/>
      </w:r>
      <w:r w:rsidRPr="001B1A3F">
        <w:rPr>
          <w:rFonts w:asciiTheme="minorHAnsi" w:hAnsiTheme="minorHAnsi" w:cstheme="minorHAnsi"/>
          <w:lang w:val="en-CA"/>
        </w:rPr>
        <w:t xml:space="preserve"> </w:t>
      </w:r>
    </w:p>
    <w:p w14:paraId="223AD7C3" w14:textId="77777777" w:rsidR="00B829CE" w:rsidRPr="001B1A3F" w:rsidRDefault="00B829CE" w:rsidP="00B829CE">
      <w:pPr>
        <w:autoSpaceDE w:val="0"/>
        <w:autoSpaceDN w:val="0"/>
        <w:adjustRightInd w:val="0"/>
        <w:spacing w:after="0" w:line="240" w:lineRule="auto"/>
        <w:ind w:left="720"/>
        <w:rPr>
          <w:rFonts w:asciiTheme="minorHAnsi" w:hAnsiTheme="minorHAnsi" w:cstheme="minorHAnsi"/>
          <w:i/>
          <w:lang w:val="en-GB"/>
        </w:rPr>
      </w:pPr>
    </w:p>
    <w:p w14:paraId="0B6621A9" w14:textId="77777777" w:rsidR="00B829CE" w:rsidRDefault="000468A3" w:rsidP="00F30169">
      <w:pPr>
        <w:autoSpaceDE w:val="0"/>
        <w:autoSpaceDN w:val="0"/>
        <w:adjustRightInd w:val="0"/>
        <w:spacing w:after="0" w:line="240" w:lineRule="auto"/>
        <w:ind w:left="720"/>
        <w:jc w:val="both"/>
        <w:rPr>
          <w:rFonts w:asciiTheme="minorHAnsi" w:hAnsiTheme="minorHAnsi" w:cstheme="minorHAnsi"/>
          <w:lang w:val="en-CA"/>
        </w:rPr>
      </w:pPr>
      <w:r w:rsidRPr="001B1A3F">
        <w:rPr>
          <w:rFonts w:asciiTheme="minorHAnsi" w:hAnsiTheme="minorHAnsi" w:cstheme="minorHAnsi"/>
          <w:lang w:val="en-CA"/>
        </w:rPr>
        <w:lastRenderedPageBreak/>
        <w:t>In several</w:t>
      </w:r>
      <w:r w:rsidR="007255B0">
        <w:rPr>
          <w:rFonts w:asciiTheme="minorHAnsi" w:hAnsiTheme="minorHAnsi" w:cstheme="minorHAnsi"/>
          <w:lang w:val="en-CA"/>
        </w:rPr>
        <w:t xml:space="preserve"> jurisdictions</w:t>
      </w:r>
      <w:r w:rsidRPr="001B1A3F">
        <w:rPr>
          <w:rFonts w:asciiTheme="minorHAnsi" w:hAnsiTheme="minorHAnsi" w:cstheme="minorHAnsi"/>
          <w:lang w:val="en-CA"/>
        </w:rPr>
        <w:t>, police departments and/or municipal governments have established that infiltration of groups engaged in legitimate expression</w:t>
      </w:r>
      <w:r w:rsidR="008B6934">
        <w:rPr>
          <w:rFonts w:asciiTheme="minorHAnsi" w:hAnsiTheme="minorHAnsi" w:cstheme="minorHAnsi"/>
          <w:lang w:val="en-CA"/>
        </w:rPr>
        <w:t xml:space="preserve"> is prohibited</w:t>
      </w:r>
      <w:r w:rsidRPr="001B1A3F">
        <w:rPr>
          <w:rFonts w:asciiTheme="minorHAnsi" w:hAnsiTheme="minorHAnsi" w:cstheme="minorHAnsi"/>
          <w:lang w:val="en-CA"/>
        </w:rPr>
        <w:t xml:space="preserve">, unless there exists reasonable suspicion </w:t>
      </w:r>
      <w:r w:rsidRPr="001B1A3F">
        <w:rPr>
          <w:rFonts w:asciiTheme="minorHAnsi" w:hAnsiTheme="minorHAnsi" w:cstheme="minorHAnsi"/>
          <w:lang w:val="en-GB"/>
        </w:rPr>
        <w:t>that a crime has occurred, is occurring or is about to occur, and additional information from a reliable inside source is necessary to prevent serious injury to the public or to assure identification and apprehension of the persons engaging in criminal conduct</w:t>
      </w:r>
      <w:r w:rsidRPr="001B1A3F">
        <w:rPr>
          <w:rFonts w:asciiTheme="minorHAnsi" w:hAnsiTheme="minorHAnsi" w:cstheme="minorHAnsi"/>
          <w:lang w:val="en-CA"/>
        </w:rPr>
        <w:t>.</w:t>
      </w:r>
      <w:r w:rsidRPr="001B1A3F">
        <w:rPr>
          <w:rFonts w:asciiTheme="minorHAnsi" w:hAnsiTheme="minorHAnsi" w:cstheme="minorHAnsi"/>
          <w:vertAlign w:val="superscript"/>
          <w:lang w:val="en-CA"/>
        </w:rPr>
        <w:footnoteReference w:id="49"/>
      </w:r>
    </w:p>
    <w:p w14:paraId="04772534" w14:textId="7534F349" w:rsidR="000468A3" w:rsidRPr="001B1A3F" w:rsidRDefault="000468A3" w:rsidP="00F30169">
      <w:pPr>
        <w:autoSpaceDE w:val="0"/>
        <w:autoSpaceDN w:val="0"/>
        <w:adjustRightInd w:val="0"/>
        <w:spacing w:after="0" w:line="240" w:lineRule="auto"/>
        <w:ind w:left="720"/>
        <w:jc w:val="both"/>
        <w:rPr>
          <w:rFonts w:asciiTheme="minorHAnsi" w:hAnsiTheme="minorHAnsi" w:cstheme="minorHAnsi"/>
          <w:lang w:val="en-GB"/>
        </w:rPr>
      </w:pPr>
      <w:r w:rsidRPr="001B1A3F">
        <w:rPr>
          <w:rFonts w:asciiTheme="minorHAnsi" w:hAnsiTheme="minorHAnsi" w:cstheme="minorHAnsi"/>
          <w:lang w:val="en-CA"/>
        </w:rPr>
        <w:t xml:space="preserve"> </w:t>
      </w:r>
    </w:p>
    <w:p w14:paraId="451918C1" w14:textId="77777777" w:rsidR="00253D98" w:rsidRDefault="00253D98" w:rsidP="00F30169">
      <w:pPr>
        <w:pStyle w:val="ListParagraph"/>
        <w:numPr>
          <w:ilvl w:val="0"/>
          <w:numId w:val="46"/>
        </w:numPr>
        <w:jc w:val="both"/>
        <w:rPr>
          <w:rFonts w:asciiTheme="minorHAnsi" w:hAnsiTheme="minorHAnsi" w:cstheme="minorHAnsi"/>
          <w:color w:val="000000"/>
        </w:rPr>
      </w:pPr>
      <w:r>
        <w:rPr>
          <w:rFonts w:asciiTheme="minorHAnsi" w:hAnsiTheme="minorHAnsi" w:cstheme="minorHAnsi"/>
          <w:b/>
          <w:color w:val="000000"/>
        </w:rPr>
        <w:t>W</w:t>
      </w:r>
      <w:r w:rsidR="00A841A3" w:rsidRPr="001B1A3F">
        <w:rPr>
          <w:rFonts w:asciiTheme="minorHAnsi" w:hAnsiTheme="minorHAnsi" w:cstheme="minorHAnsi"/>
          <w:b/>
          <w:color w:val="000000"/>
        </w:rPr>
        <w:t>here a decision is made to</w:t>
      </w:r>
      <w:r w:rsidR="00191C56" w:rsidRPr="001B1A3F">
        <w:rPr>
          <w:rFonts w:asciiTheme="minorHAnsi" w:hAnsiTheme="minorHAnsi" w:cstheme="minorHAnsi"/>
          <w:b/>
          <w:color w:val="000000"/>
        </w:rPr>
        <w:t xml:space="preserve"> engage in infiltration or surveillance,</w:t>
      </w:r>
      <w:r w:rsidR="00A841A3" w:rsidRPr="001B1A3F">
        <w:rPr>
          <w:rFonts w:asciiTheme="minorHAnsi" w:hAnsiTheme="minorHAnsi" w:cstheme="minorHAnsi"/>
          <w:b/>
          <w:color w:val="000000"/>
        </w:rPr>
        <w:t xml:space="preserve"> a clear and transparent written record of the decision </w:t>
      </w:r>
      <w:r w:rsidR="00637B76">
        <w:rPr>
          <w:rFonts w:asciiTheme="minorHAnsi" w:hAnsiTheme="minorHAnsi" w:cstheme="minorHAnsi"/>
          <w:b/>
          <w:color w:val="000000"/>
        </w:rPr>
        <w:t xml:space="preserve">should </w:t>
      </w:r>
      <w:r w:rsidR="00A841A3" w:rsidRPr="001B1A3F">
        <w:rPr>
          <w:rFonts w:asciiTheme="minorHAnsi" w:hAnsiTheme="minorHAnsi" w:cstheme="minorHAnsi"/>
          <w:b/>
          <w:color w:val="000000"/>
        </w:rPr>
        <w:t xml:space="preserve">be made </w:t>
      </w:r>
      <w:r w:rsidR="002C1B98" w:rsidRPr="001B1A3F">
        <w:rPr>
          <w:rFonts w:asciiTheme="minorHAnsi" w:hAnsiTheme="minorHAnsi" w:cstheme="minorHAnsi"/>
          <w:b/>
          <w:color w:val="000000"/>
        </w:rPr>
        <w:t>and maintained, and the identity of the officer who made the decision should be available to any entity that reviews the decision</w:t>
      </w:r>
      <w:r w:rsidR="00A841A3" w:rsidRPr="001B1A3F">
        <w:rPr>
          <w:rFonts w:asciiTheme="minorHAnsi" w:hAnsiTheme="minorHAnsi" w:cstheme="minorHAnsi"/>
          <w:color w:val="000000"/>
        </w:rPr>
        <w:t>.</w:t>
      </w:r>
      <w:r w:rsidR="002C1B98" w:rsidRPr="001B1A3F">
        <w:rPr>
          <w:rFonts w:asciiTheme="minorHAnsi" w:hAnsiTheme="minorHAnsi" w:cstheme="minorHAnsi"/>
          <w:color w:val="000000"/>
        </w:rPr>
        <w:t xml:space="preserve">  </w:t>
      </w:r>
    </w:p>
    <w:p w14:paraId="37902B1E" w14:textId="77777777" w:rsidR="00253D98" w:rsidRDefault="00253D98" w:rsidP="00F30169">
      <w:pPr>
        <w:pStyle w:val="ListParagraph"/>
        <w:ind w:left="526"/>
        <w:jc w:val="both"/>
        <w:rPr>
          <w:rFonts w:asciiTheme="minorHAnsi" w:hAnsiTheme="minorHAnsi" w:cstheme="minorHAnsi"/>
          <w:color w:val="000000"/>
        </w:rPr>
      </w:pPr>
    </w:p>
    <w:p w14:paraId="05DB1A38" w14:textId="39C72D55" w:rsidR="00A841A3" w:rsidRPr="001B1A3F" w:rsidRDefault="002C1B98" w:rsidP="00F30169">
      <w:pPr>
        <w:pStyle w:val="ListParagraph"/>
        <w:ind w:left="720"/>
        <w:jc w:val="both"/>
        <w:rPr>
          <w:rFonts w:asciiTheme="minorHAnsi" w:hAnsiTheme="minorHAnsi" w:cstheme="minorHAnsi"/>
          <w:color w:val="000000"/>
        </w:rPr>
      </w:pPr>
      <w:r w:rsidRPr="001B1A3F">
        <w:rPr>
          <w:rFonts w:asciiTheme="minorHAnsi" w:hAnsiTheme="minorHAnsi" w:cstheme="minorHAnsi"/>
          <w:color w:val="000000"/>
        </w:rPr>
        <w:t>This principle is supported by the sources cited in Part I of this submission, as well as by the OSCE Handbook</w:t>
      </w:r>
      <w:r w:rsidR="00D7097D" w:rsidRPr="001B1A3F">
        <w:rPr>
          <w:rFonts w:asciiTheme="minorHAnsi" w:hAnsiTheme="minorHAnsi" w:cstheme="minorHAnsi"/>
          <w:color w:val="000000"/>
        </w:rPr>
        <w:t xml:space="preserve"> on Policing Assemblies</w:t>
      </w:r>
      <w:r w:rsidRPr="001B1A3F">
        <w:rPr>
          <w:rFonts w:asciiTheme="minorHAnsi" w:hAnsiTheme="minorHAnsi" w:cstheme="minorHAnsi"/>
          <w:color w:val="000000"/>
        </w:rPr>
        <w:t>.</w:t>
      </w:r>
      <w:r w:rsidR="00A841A3" w:rsidRPr="001B1A3F">
        <w:rPr>
          <w:rStyle w:val="FootnoteReference"/>
          <w:rFonts w:asciiTheme="minorHAnsi" w:hAnsiTheme="minorHAnsi" w:cstheme="minorHAnsi"/>
          <w:color w:val="000000"/>
        </w:rPr>
        <w:footnoteReference w:id="50"/>
      </w:r>
      <w:r w:rsidR="00A841A3" w:rsidRPr="001B1A3F">
        <w:rPr>
          <w:rStyle w:val="FootnoteReference"/>
          <w:rFonts w:asciiTheme="minorHAnsi" w:hAnsiTheme="minorHAnsi" w:cstheme="minorHAnsi"/>
        </w:rPr>
        <w:t xml:space="preserve"> </w:t>
      </w:r>
    </w:p>
    <w:p w14:paraId="2C8D7D1A" w14:textId="77777777" w:rsidR="00A841A3" w:rsidRPr="001B1A3F" w:rsidRDefault="00A841A3" w:rsidP="00F30169">
      <w:pPr>
        <w:pStyle w:val="ListParagraph"/>
        <w:ind w:left="526"/>
        <w:jc w:val="both"/>
        <w:rPr>
          <w:rFonts w:asciiTheme="minorHAnsi" w:hAnsiTheme="minorHAnsi" w:cstheme="minorHAnsi"/>
          <w:color w:val="000000"/>
        </w:rPr>
      </w:pPr>
    </w:p>
    <w:p w14:paraId="7AB23EFE" w14:textId="77777777" w:rsidR="00253D98" w:rsidRDefault="00253D98" w:rsidP="00F30169">
      <w:pPr>
        <w:numPr>
          <w:ilvl w:val="0"/>
          <w:numId w:val="46"/>
        </w:numPr>
        <w:autoSpaceDE w:val="0"/>
        <w:autoSpaceDN w:val="0"/>
        <w:adjustRightInd w:val="0"/>
        <w:spacing w:line="240" w:lineRule="auto"/>
        <w:ind w:left="446"/>
        <w:jc w:val="both"/>
        <w:rPr>
          <w:rFonts w:asciiTheme="minorHAnsi" w:hAnsiTheme="minorHAnsi" w:cstheme="minorHAnsi"/>
          <w:lang w:val="en-GB"/>
        </w:rPr>
      </w:pPr>
      <w:r>
        <w:rPr>
          <w:rFonts w:asciiTheme="minorHAnsi" w:hAnsiTheme="minorHAnsi" w:cstheme="minorHAnsi"/>
          <w:b/>
          <w:lang w:val="en-GB"/>
        </w:rPr>
        <w:t>I</w:t>
      </w:r>
      <w:r w:rsidR="0044613B" w:rsidRPr="0044613B">
        <w:rPr>
          <w:rFonts w:asciiTheme="minorHAnsi" w:hAnsiTheme="minorHAnsi" w:cstheme="minorHAnsi"/>
          <w:b/>
          <w:lang w:val="en-GB"/>
        </w:rPr>
        <w:t>nfiltration and other forms of surveillance</w:t>
      </w:r>
      <w:r w:rsidR="0044613B">
        <w:rPr>
          <w:rFonts w:asciiTheme="minorHAnsi" w:hAnsiTheme="minorHAnsi" w:cstheme="minorHAnsi"/>
          <w:lang w:val="en-GB"/>
        </w:rPr>
        <w:t xml:space="preserve"> </w:t>
      </w:r>
      <w:r w:rsidR="000468A3" w:rsidRPr="001B1A3F">
        <w:rPr>
          <w:rFonts w:asciiTheme="minorHAnsi" w:hAnsiTheme="minorHAnsi" w:cstheme="minorHAnsi"/>
          <w:b/>
          <w:lang w:val="en-GB"/>
        </w:rPr>
        <w:t>should never involve the facilitation, tolerance or direction of activities which</w:t>
      </w:r>
      <w:r w:rsidR="00D7097D" w:rsidRPr="001B1A3F">
        <w:rPr>
          <w:rFonts w:asciiTheme="minorHAnsi" w:hAnsiTheme="minorHAnsi" w:cstheme="minorHAnsi"/>
          <w:b/>
          <w:lang w:val="en-GB"/>
        </w:rPr>
        <w:t>,</w:t>
      </w:r>
      <w:r w:rsidR="000468A3" w:rsidRPr="001B1A3F">
        <w:rPr>
          <w:rFonts w:asciiTheme="minorHAnsi" w:hAnsiTheme="minorHAnsi" w:cstheme="minorHAnsi"/>
          <w:b/>
          <w:lang w:val="en-GB"/>
        </w:rPr>
        <w:t xml:space="preserve"> </w:t>
      </w:r>
      <w:r w:rsidR="00186D5A" w:rsidRPr="001B1A3F">
        <w:rPr>
          <w:rFonts w:asciiTheme="minorHAnsi" w:hAnsiTheme="minorHAnsi" w:cstheme="minorHAnsi"/>
          <w:b/>
          <w:lang w:val="en-GB"/>
        </w:rPr>
        <w:t xml:space="preserve">if </w:t>
      </w:r>
      <w:r w:rsidR="000468A3" w:rsidRPr="001B1A3F">
        <w:rPr>
          <w:rFonts w:asciiTheme="minorHAnsi" w:hAnsiTheme="minorHAnsi" w:cstheme="minorHAnsi"/>
          <w:b/>
          <w:lang w:val="en-GB"/>
        </w:rPr>
        <w:t xml:space="preserve">perpetrated by </w:t>
      </w:r>
      <w:r w:rsidR="003B499A">
        <w:rPr>
          <w:rFonts w:asciiTheme="minorHAnsi" w:hAnsiTheme="minorHAnsi" w:cstheme="minorHAnsi"/>
          <w:b/>
          <w:lang w:val="en-GB"/>
        </w:rPr>
        <w:t>S</w:t>
      </w:r>
      <w:r w:rsidR="000468A3" w:rsidRPr="001B1A3F">
        <w:rPr>
          <w:rFonts w:asciiTheme="minorHAnsi" w:hAnsiTheme="minorHAnsi" w:cstheme="minorHAnsi"/>
          <w:b/>
          <w:lang w:val="en-GB"/>
        </w:rPr>
        <w:t>tate agents</w:t>
      </w:r>
      <w:r w:rsidR="00D7097D" w:rsidRPr="001B1A3F">
        <w:rPr>
          <w:rFonts w:asciiTheme="minorHAnsi" w:hAnsiTheme="minorHAnsi" w:cstheme="minorHAnsi"/>
          <w:b/>
          <w:lang w:val="en-GB"/>
        </w:rPr>
        <w:t>,</w:t>
      </w:r>
      <w:r w:rsidR="000468A3" w:rsidRPr="001B1A3F">
        <w:rPr>
          <w:rFonts w:asciiTheme="minorHAnsi" w:hAnsiTheme="minorHAnsi" w:cstheme="minorHAnsi"/>
          <w:b/>
          <w:lang w:val="en-GB"/>
        </w:rPr>
        <w:t xml:space="preserve"> would constitute human rights violations, including acts of violence</w:t>
      </w:r>
      <w:r w:rsidR="00186D5A" w:rsidRPr="001B1A3F">
        <w:rPr>
          <w:rFonts w:asciiTheme="minorHAnsi" w:hAnsiTheme="minorHAnsi" w:cstheme="minorHAnsi"/>
          <w:b/>
          <w:lang w:val="en-GB"/>
        </w:rPr>
        <w:t>,</w:t>
      </w:r>
      <w:r w:rsidR="000468A3" w:rsidRPr="001B1A3F">
        <w:rPr>
          <w:rFonts w:asciiTheme="minorHAnsi" w:hAnsiTheme="minorHAnsi" w:cstheme="minorHAnsi"/>
          <w:b/>
          <w:lang w:val="en-GB"/>
        </w:rPr>
        <w:t xml:space="preserve"> entrapment, or disproportionate interference in privacy rights, </w:t>
      </w:r>
      <w:r w:rsidR="00CF785B">
        <w:rPr>
          <w:rFonts w:asciiTheme="minorHAnsi" w:hAnsiTheme="minorHAnsi" w:cstheme="minorHAnsi"/>
          <w:b/>
          <w:lang w:val="en-GB"/>
        </w:rPr>
        <w:t xml:space="preserve">such as </w:t>
      </w:r>
      <w:r w:rsidR="000468A3" w:rsidRPr="001B1A3F">
        <w:rPr>
          <w:rFonts w:asciiTheme="minorHAnsi" w:hAnsiTheme="minorHAnsi" w:cstheme="minorHAnsi"/>
          <w:b/>
          <w:lang w:val="en-GB"/>
        </w:rPr>
        <w:t>the forming of intimate sexual relationships with the subjects of surveillance.</w:t>
      </w:r>
      <w:r w:rsidR="000468A3" w:rsidRPr="001B1A3F">
        <w:rPr>
          <w:rFonts w:asciiTheme="minorHAnsi" w:hAnsiTheme="minorHAnsi" w:cstheme="minorHAnsi"/>
          <w:lang w:val="en-GB"/>
        </w:rPr>
        <w:t xml:space="preserve">   </w:t>
      </w:r>
    </w:p>
    <w:p w14:paraId="7B422942" w14:textId="7D343482" w:rsidR="00A949C9" w:rsidRPr="00CF785B" w:rsidRDefault="00253D98" w:rsidP="00F30169">
      <w:pPr>
        <w:autoSpaceDE w:val="0"/>
        <w:autoSpaceDN w:val="0"/>
        <w:adjustRightInd w:val="0"/>
        <w:spacing w:line="240" w:lineRule="auto"/>
        <w:ind w:left="720"/>
        <w:jc w:val="both"/>
        <w:rPr>
          <w:rFonts w:asciiTheme="minorHAnsi" w:hAnsiTheme="minorHAnsi" w:cstheme="minorHAnsi"/>
          <w:lang w:val="en-GB"/>
        </w:rPr>
      </w:pPr>
      <w:r>
        <w:rPr>
          <w:rFonts w:asciiTheme="minorHAnsi" w:hAnsiTheme="minorHAnsi" w:cstheme="minorHAnsi"/>
          <w:lang w:val="en-GB"/>
        </w:rPr>
        <w:t>The Committee has made clear that assembly organizers and participants should not face intimidation, including from the police.</w:t>
      </w:r>
      <w:r w:rsidRPr="00CF785B">
        <w:rPr>
          <w:rFonts w:asciiTheme="minorHAnsi" w:hAnsiTheme="minorHAnsi" w:cstheme="minorHAnsi"/>
          <w:vertAlign w:val="superscript"/>
          <w:lang w:val="en-GB"/>
        </w:rPr>
        <w:footnoteReference w:id="51"/>
      </w:r>
      <w:r w:rsidRPr="00CF785B">
        <w:rPr>
          <w:rFonts w:asciiTheme="minorHAnsi" w:hAnsiTheme="minorHAnsi" w:cstheme="minorHAnsi"/>
          <w:lang w:val="en-GB"/>
        </w:rPr>
        <w:t xml:space="preserve"> </w:t>
      </w:r>
    </w:p>
    <w:p w14:paraId="4CD621F9" w14:textId="61C6130F" w:rsidR="00C16F84" w:rsidRPr="006248B2" w:rsidRDefault="00A949C9" w:rsidP="00C16F84">
      <w:pPr>
        <w:autoSpaceDE w:val="0"/>
        <w:autoSpaceDN w:val="0"/>
        <w:adjustRightInd w:val="0"/>
        <w:rPr>
          <w:rFonts w:asciiTheme="minorHAnsi" w:hAnsiTheme="minorHAnsi" w:cstheme="minorHAnsi"/>
          <w:b/>
          <w:bCs/>
          <w:color w:val="0070C0"/>
          <w:sz w:val="28"/>
          <w:szCs w:val="28"/>
          <w:lang w:val="en-GB"/>
        </w:rPr>
      </w:pPr>
      <w:r>
        <w:rPr>
          <w:rFonts w:asciiTheme="minorHAnsi" w:hAnsiTheme="minorHAnsi" w:cstheme="minorHAnsi"/>
          <w:b/>
          <w:bCs/>
          <w:color w:val="0070C0"/>
          <w:sz w:val="28"/>
          <w:szCs w:val="28"/>
          <w:lang w:val="en-GB"/>
        </w:rPr>
        <w:t>C</w:t>
      </w:r>
      <w:r w:rsidR="00C16F84" w:rsidRPr="006248B2">
        <w:rPr>
          <w:rFonts w:asciiTheme="minorHAnsi" w:hAnsiTheme="minorHAnsi" w:cstheme="minorHAnsi"/>
          <w:b/>
          <w:bCs/>
          <w:color w:val="0070C0"/>
          <w:sz w:val="28"/>
          <w:szCs w:val="28"/>
          <w:lang w:val="en-GB"/>
        </w:rPr>
        <w:t xml:space="preserve">. Facilitation of Simultaneous and Counter-Demonstrations </w:t>
      </w:r>
    </w:p>
    <w:p w14:paraId="5077B8BE" w14:textId="77777777" w:rsidR="006F1FB7" w:rsidRDefault="00FA657A" w:rsidP="00F30169">
      <w:pPr>
        <w:numPr>
          <w:ilvl w:val="0"/>
          <w:numId w:val="46"/>
        </w:numPr>
        <w:autoSpaceDE w:val="0"/>
        <w:autoSpaceDN w:val="0"/>
        <w:adjustRightInd w:val="0"/>
        <w:spacing w:after="0" w:line="240" w:lineRule="auto"/>
        <w:jc w:val="both"/>
        <w:rPr>
          <w:rFonts w:asciiTheme="minorHAnsi" w:hAnsiTheme="minorHAnsi" w:cstheme="minorHAnsi"/>
          <w:lang w:val="en-GB"/>
        </w:rPr>
      </w:pPr>
      <w:r w:rsidRPr="001B1A3F">
        <w:rPr>
          <w:rFonts w:asciiTheme="minorHAnsi" w:hAnsiTheme="minorHAnsi" w:cstheme="minorHAnsi"/>
          <w:b/>
          <w:lang w:val="en-GB"/>
        </w:rPr>
        <w:t>When organizers wish to conduct peaceful assemblies at the same time and place, the State is obliged to protect and facilitate both</w:t>
      </w:r>
      <w:r w:rsidR="00FA0257">
        <w:rPr>
          <w:rFonts w:asciiTheme="minorHAnsi" w:hAnsiTheme="minorHAnsi" w:cstheme="minorHAnsi"/>
          <w:b/>
          <w:lang w:val="en-GB"/>
        </w:rPr>
        <w:t xml:space="preserve"> or all</w:t>
      </w:r>
      <w:r w:rsidRPr="001B1A3F">
        <w:rPr>
          <w:rFonts w:asciiTheme="minorHAnsi" w:hAnsiTheme="minorHAnsi" w:cstheme="minorHAnsi"/>
          <w:b/>
          <w:lang w:val="en-GB"/>
        </w:rPr>
        <w:t xml:space="preserve">, to the extent possible. The obligation to accommodate assemblies within a reasonable vicinity (“sight and sound”) of each other is all the stronger where </w:t>
      </w:r>
      <w:r w:rsidR="00C16F84" w:rsidRPr="001B1A3F">
        <w:rPr>
          <w:rFonts w:asciiTheme="minorHAnsi" w:hAnsiTheme="minorHAnsi" w:cstheme="minorHAnsi"/>
          <w:b/>
          <w:lang w:val="en-GB"/>
        </w:rPr>
        <w:t>one is a counter-</w:t>
      </w:r>
      <w:r w:rsidR="00A30F50" w:rsidRPr="001B1A3F">
        <w:rPr>
          <w:rFonts w:asciiTheme="minorHAnsi" w:hAnsiTheme="minorHAnsi" w:cstheme="minorHAnsi"/>
          <w:b/>
          <w:lang w:val="en-GB"/>
        </w:rPr>
        <w:t>d</w:t>
      </w:r>
      <w:r w:rsidR="00C16F84" w:rsidRPr="001B1A3F">
        <w:rPr>
          <w:rFonts w:asciiTheme="minorHAnsi" w:hAnsiTheme="minorHAnsi" w:cstheme="minorHAnsi"/>
          <w:b/>
          <w:lang w:val="en-GB"/>
        </w:rPr>
        <w:t>emonstration to the other.</w:t>
      </w:r>
      <w:r w:rsidR="00C16F84" w:rsidRPr="001B1A3F">
        <w:rPr>
          <w:rFonts w:asciiTheme="minorHAnsi" w:hAnsiTheme="minorHAnsi" w:cstheme="minorHAnsi"/>
          <w:lang w:val="en-GB"/>
        </w:rPr>
        <w:t xml:space="preserve"> </w:t>
      </w:r>
    </w:p>
    <w:p w14:paraId="3A4A6826" w14:textId="77777777" w:rsidR="006F1FB7" w:rsidRDefault="006F1FB7" w:rsidP="00F30169">
      <w:pPr>
        <w:autoSpaceDE w:val="0"/>
        <w:autoSpaceDN w:val="0"/>
        <w:adjustRightInd w:val="0"/>
        <w:spacing w:after="0" w:line="240" w:lineRule="auto"/>
        <w:ind w:left="526"/>
        <w:jc w:val="both"/>
        <w:rPr>
          <w:rFonts w:asciiTheme="minorHAnsi" w:hAnsiTheme="minorHAnsi" w:cstheme="minorHAnsi"/>
          <w:lang w:val="en-GB"/>
        </w:rPr>
      </w:pPr>
    </w:p>
    <w:p w14:paraId="72194756" w14:textId="5576C4BD" w:rsidR="00C16F84" w:rsidRPr="000C0545" w:rsidRDefault="00883740" w:rsidP="00F30169">
      <w:pPr>
        <w:autoSpaceDE w:val="0"/>
        <w:autoSpaceDN w:val="0"/>
        <w:adjustRightInd w:val="0"/>
        <w:spacing w:after="0" w:line="240" w:lineRule="auto"/>
        <w:ind w:left="720"/>
        <w:jc w:val="both"/>
        <w:rPr>
          <w:rFonts w:asciiTheme="minorHAnsi" w:hAnsiTheme="minorHAnsi" w:cstheme="minorHAnsi"/>
          <w:lang w:val="en-GB"/>
        </w:rPr>
      </w:pPr>
      <w:r w:rsidRPr="000C0545">
        <w:rPr>
          <w:rFonts w:asciiTheme="minorHAnsi" w:hAnsiTheme="minorHAnsi" w:cstheme="minorHAnsi"/>
          <w:lang w:val="en-GB"/>
        </w:rPr>
        <w:t xml:space="preserve">The </w:t>
      </w:r>
      <w:r w:rsidR="00C16F84" w:rsidRPr="000C0545">
        <w:rPr>
          <w:rFonts w:asciiTheme="minorHAnsi" w:hAnsiTheme="minorHAnsi" w:cstheme="minorHAnsi"/>
          <w:lang w:val="en-GB"/>
        </w:rPr>
        <w:t xml:space="preserve">OSCE/ODIHR </w:t>
      </w:r>
      <w:r w:rsidR="006F1FB7" w:rsidRPr="000C0545">
        <w:rPr>
          <w:rFonts w:asciiTheme="minorHAnsi" w:hAnsiTheme="minorHAnsi" w:cstheme="minorHAnsi"/>
          <w:lang w:val="en-GB"/>
        </w:rPr>
        <w:t xml:space="preserve">and Venice Commission </w:t>
      </w:r>
      <w:r w:rsidR="00C16F84" w:rsidRPr="000C0545">
        <w:rPr>
          <w:rFonts w:asciiTheme="minorHAnsi" w:hAnsiTheme="minorHAnsi" w:cstheme="minorHAnsi"/>
          <w:lang w:val="en-GB"/>
        </w:rPr>
        <w:t xml:space="preserve">Guidelines </w:t>
      </w:r>
      <w:r w:rsidRPr="000C0545">
        <w:rPr>
          <w:rFonts w:asciiTheme="minorHAnsi" w:hAnsiTheme="minorHAnsi" w:cstheme="minorHAnsi"/>
          <w:lang w:val="en-GB"/>
        </w:rPr>
        <w:t xml:space="preserve">on Peaceful Assembly provide </w:t>
      </w:r>
      <w:r w:rsidR="00C16F84" w:rsidRPr="000C0545">
        <w:rPr>
          <w:rFonts w:asciiTheme="minorHAnsi" w:hAnsiTheme="minorHAnsi" w:cstheme="minorHAnsi"/>
          <w:lang w:val="en-GB"/>
        </w:rPr>
        <w:t>that:</w:t>
      </w:r>
    </w:p>
    <w:p w14:paraId="4ED2A65A" w14:textId="77777777" w:rsidR="00C16F84" w:rsidRPr="001B1A3F" w:rsidRDefault="00C16F84" w:rsidP="00F30169">
      <w:pPr>
        <w:autoSpaceDE w:val="0"/>
        <w:autoSpaceDN w:val="0"/>
        <w:adjustRightInd w:val="0"/>
        <w:spacing w:after="0" w:line="240" w:lineRule="auto"/>
        <w:ind w:left="1332"/>
        <w:jc w:val="both"/>
        <w:rPr>
          <w:rFonts w:asciiTheme="minorHAnsi" w:hAnsiTheme="minorHAnsi" w:cstheme="minorHAnsi"/>
          <w:i/>
          <w:lang w:val="en-GB"/>
        </w:rPr>
      </w:pPr>
    </w:p>
    <w:p w14:paraId="0244AB22" w14:textId="4C48297A" w:rsidR="00C16F84" w:rsidRPr="001B1A3F" w:rsidRDefault="00883740" w:rsidP="00F30169">
      <w:pPr>
        <w:autoSpaceDE w:val="0"/>
        <w:autoSpaceDN w:val="0"/>
        <w:adjustRightInd w:val="0"/>
        <w:spacing w:after="0" w:line="240" w:lineRule="auto"/>
        <w:ind w:left="1080" w:right="720"/>
        <w:jc w:val="both"/>
        <w:rPr>
          <w:rFonts w:asciiTheme="minorHAnsi" w:hAnsiTheme="minorHAnsi" w:cstheme="minorHAnsi"/>
          <w:lang w:val="en-GB"/>
        </w:rPr>
      </w:pPr>
      <w:r w:rsidRPr="001B1A3F">
        <w:rPr>
          <w:rFonts w:asciiTheme="minorHAnsi" w:hAnsiTheme="minorHAnsi" w:cstheme="minorHAnsi"/>
          <w:lang w:val="en-GB"/>
        </w:rPr>
        <w:t>The right to counter-demonstrate does not extend to inhibiting the right of others to demonstrate. Indeed, demonstrators should respect the rights of others to demonstrate as well</w:t>
      </w:r>
      <w:r w:rsidR="00F30169">
        <w:rPr>
          <w:rFonts w:asciiTheme="minorHAnsi" w:hAnsiTheme="minorHAnsi" w:cstheme="minorHAnsi"/>
          <w:lang w:val="en-GB"/>
        </w:rPr>
        <w:t xml:space="preserve">…. </w:t>
      </w:r>
      <w:r w:rsidR="00C16F84" w:rsidRPr="001B1A3F">
        <w:rPr>
          <w:rFonts w:asciiTheme="minorHAnsi" w:hAnsiTheme="minorHAnsi" w:cstheme="minorHAnsi"/>
          <w:lang w:val="en-GB"/>
        </w:rPr>
        <w:t xml:space="preserve">Emphasis should be placed on the State’s duty to protect and facilitate each event where counter-demonstrations are organized or occur, and the State should make available adequate policing resources to facilitate such related </w:t>
      </w:r>
      <w:r w:rsidR="00C16F84" w:rsidRPr="001B1A3F">
        <w:rPr>
          <w:rFonts w:asciiTheme="minorHAnsi" w:hAnsiTheme="minorHAnsi" w:cstheme="minorHAnsi"/>
          <w:lang w:val="en-GB"/>
        </w:rPr>
        <w:lastRenderedPageBreak/>
        <w:t>simultaneous assemblies, to the extent possible, within “sight and sound” of one another.</w:t>
      </w:r>
      <w:r w:rsidR="00C16F84" w:rsidRPr="001B1A3F">
        <w:rPr>
          <w:rFonts w:asciiTheme="minorHAnsi" w:hAnsiTheme="minorHAnsi" w:cstheme="minorHAnsi"/>
          <w:vertAlign w:val="superscript"/>
          <w:lang w:val="en-GB"/>
        </w:rPr>
        <w:footnoteReference w:id="52"/>
      </w:r>
    </w:p>
    <w:p w14:paraId="1F65E210" w14:textId="77777777" w:rsidR="00C16F84" w:rsidRPr="001B1A3F" w:rsidRDefault="00C16F84" w:rsidP="00F30169">
      <w:pPr>
        <w:autoSpaceDE w:val="0"/>
        <w:autoSpaceDN w:val="0"/>
        <w:adjustRightInd w:val="0"/>
        <w:spacing w:after="0" w:line="240" w:lineRule="auto"/>
        <w:ind w:left="720"/>
        <w:jc w:val="both"/>
        <w:rPr>
          <w:rFonts w:asciiTheme="minorHAnsi" w:hAnsiTheme="minorHAnsi" w:cstheme="minorHAnsi"/>
          <w:i/>
          <w:lang w:val="en-GB"/>
        </w:rPr>
      </w:pPr>
    </w:p>
    <w:p w14:paraId="550F3654" w14:textId="7D3A0EA7" w:rsidR="00883740" w:rsidRPr="000C0545" w:rsidRDefault="00883740" w:rsidP="00F30169">
      <w:pPr>
        <w:autoSpaceDE w:val="0"/>
        <w:autoSpaceDN w:val="0"/>
        <w:adjustRightInd w:val="0"/>
        <w:spacing w:after="0" w:line="240" w:lineRule="auto"/>
        <w:ind w:left="720"/>
        <w:jc w:val="both"/>
        <w:rPr>
          <w:rFonts w:asciiTheme="minorHAnsi" w:hAnsiTheme="minorHAnsi" w:cstheme="minorHAnsi"/>
          <w:i/>
          <w:lang w:val="en-GB"/>
        </w:rPr>
      </w:pPr>
      <w:r w:rsidRPr="000C0545">
        <w:rPr>
          <w:rFonts w:asciiTheme="minorHAnsi" w:hAnsiTheme="minorHAnsi" w:cstheme="minorHAnsi"/>
          <w:lang w:val="en-CA"/>
        </w:rPr>
        <w:t>The t</w:t>
      </w:r>
      <w:r w:rsidR="00C16F84" w:rsidRPr="000C0545">
        <w:rPr>
          <w:rFonts w:asciiTheme="minorHAnsi" w:hAnsiTheme="minorHAnsi" w:cstheme="minorHAnsi"/>
          <w:lang w:val="en-CA"/>
        </w:rPr>
        <w:t xml:space="preserve">wo UN </w:t>
      </w:r>
      <w:r w:rsidR="00BC3E8C" w:rsidRPr="000C0545">
        <w:rPr>
          <w:rFonts w:asciiTheme="minorHAnsi" w:hAnsiTheme="minorHAnsi" w:cstheme="minorHAnsi"/>
          <w:lang w:val="en-CA"/>
        </w:rPr>
        <w:t xml:space="preserve">Special </w:t>
      </w:r>
      <w:r w:rsidR="00C16F84" w:rsidRPr="000C0545">
        <w:rPr>
          <w:rFonts w:asciiTheme="minorHAnsi" w:hAnsiTheme="minorHAnsi" w:cstheme="minorHAnsi"/>
          <w:lang w:val="en-CA"/>
        </w:rPr>
        <w:t xml:space="preserve">Rapporteurs </w:t>
      </w:r>
      <w:r w:rsidRPr="000C0545">
        <w:rPr>
          <w:rFonts w:asciiTheme="minorHAnsi" w:hAnsiTheme="minorHAnsi" w:cstheme="minorHAnsi"/>
          <w:lang w:val="en-CA"/>
        </w:rPr>
        <w:t xml:space="preserve">affirm </w:t>
      </w:r>
      <w:r w:rsidR="00C16F84" w:rsidRPr="000C0545">
        <w:rPr>
          <w:rFonts w:asciiTheme="minorHAnsi" w:hAnsiTheme="minorHAnsi" w:cstheme="minorHAnsi"/>
          <w:lang w:val="en-CA"/>
        </w:rPr>
        <w:t xml:space="preserve">that: </w:t>
      </w:r>
    </w:p>
    <w:p w14:paraId="27D70C91" w14:textId="77777777" w:rsidR="00A949C9" w:rsidRPr="00A949C9" w:rsidRDefault="00A949C9" w:rsidP="00F30169">
      <w:pPr>
        <w:pStyle w:val="ListParagraph"/>
        <w:autoSpaceDE w:val="0"/>
        <w:autoSpaceDN w:val="0"/>
        <w:adjustRightInd w:val="0"/>
        <w:ind w:left="1095"/>
        <w:jc w:val="both"/>
        <w:rPr>
          <w:rFonts w:asciiTheme="minorHAnsi" w:hAnsiTheme="minorHAnsi" w:cstheme="minorHAnsi"/>
          <w:i/>
          <w:lang w:val="en-GB"/>
        </w:rPr>
      </w:pPr>
    </w:p>
    <w:p w14:paraId="229E47D3" w14:textId="60786702" w:rsidR="00C16F84" w:rsidRPr="001B1A3F" w:rsidRDefault="00C16F84" w:rsidP="00F30169">
      <w:pPr>
        <w:autoSpaceDE w:val="0"/>
        <w:autoSpaceDN w:val="0"/>
        <w:adjustRightInd w:val="0"/>
        <w:spacing w:after="0" w:line="240" w:lineRule="auto"/>
        <w:ind w:left="1095" w:right="720"/>
        <w:jc w:val="both"/>
        <w:rPr>
          <w:rFonts w:asciiTheme="minorHAnsi" w:hAnsiTheme="minorHAnsi" w:cstheme="minorHAnsi"/>
          <w:lang w:val="en-GB"/>
        </w:rPr>
      </w:pPr>
      <w:r w:rsidRPr="001B1A3F">
        <w:rPr>
          <w:rFonts w:asciiTheme="minorHAnsi" w:hAnsiTheme="minorHAnsi" w:cstheme="minorHAnsi"/>
          <w:lang w:val="en-GB"/>
        </w:rPr>
        <w:t xml:space="preserve">The State’s obligation to facilitate and protect assemblies includes simultaneous assemblies and counter-protests, in which one or more assemblies aim to express discontent with the message of other assemblies. Assemblies, including spontaneous assemblies and counter-protests, should, as far as possible, be facilitated to take place within sight and sound of their target </w:t>
      </w:r>
      <w:r w:rsidR="00883740" w:rsidRPr="001B1A3F">
        <w:rPr>
          <w:rFonts w:asciiTheme="minorHAnsi" w:hAnsiTheme="minorHAnsi" w:cstheme="minorHAnsi"/>
          <w:lang w:val="en-GB"/>
        </w:rPr>
        <w:t xml:space="preserve">. . . </w:t>
      </w:r>
      <w:r w:rsidRPr="001B1A3F">
        <w:rPr>
          <w:rFonts w:asciiTheme="minorHAnsi" w:hAnsiTheme="minorHAnsi" w:cstheme="minorHAnsi"/>
          <w:lang w:val="en-GB"/>
        </w:rPr>
        <w:t>.”</w:t>
      </w:r>
      <w:r w:rsidRPr="001B1A3F">
        <w:rPr>
          <w:rFonts w:asciiTheme="minorHAnsi" w:hAnsiTheme="minorHAnsi" w:cstheme="minorHAnsi"/>
          <w:vertAlign w:val="superscript"/>
          <w:lang w:val="en-GB"/>
        </w:rPr>
        <w:footnoteReference w:id="53"/>
      </w:r>
    </w:p>
    <w:p w14:paraId="68A976C9" w14:textId="77777777" w:rsidR="000C0545" w:rsidRDefault="000C0545" w:rsidP="00F30169">
      <w:pPr>
        <w:autoSpaceDE w:val="0"/>
        <w:autoSpaceDN w:val="0"/>
        <w:adjustRightInd w:val="0"/>
        <w:spacing w:after="0" w:line="240" w:lineRule="auto"/>
        <w:ind w:left="720"/>
        <w:jc w:val="both"/>
        <w:rPr>
          <w:rFonts w:asciiTheme="minorHAnsi" w:hAnsiTheme="minorHAnsi" w:cstheme="minorHAnsi"/>
          <w:lang w:val="en-GB"/>
        </w:rPr>
      </w:pPr>
    </w:p>
    <w:p w14:paraId="7F337C00" w14:textId="279618FC" w:rsidR="00173B34" w:rsidRPr="000C0545" w:rsidRDefault="00173B34" w:rsidP="00F30169">
      <w:pPr>
        <w:autoSpaceDE w:val="0"/>
        <w:autoSpaceDN w:val="0"/>
        <w:adjustRightInd w:val="0"/>
        <w:spacing w:after="0" w:line="240" w:lineRule="auto"/>
        <w:ind w:left="720"/>
        <w:jc w:val="both"/>
        <w:rPr>
          <w:rFonts w:asciiTheme="minorHAnsi" w:hAnsiTheme="minorHAnsi" w:cstheme="minorHAnsi"/>
          <w:lang w:val="en-GB"/>
        </w:rPr>
      </w:pPr>
      <w:r w:rsidRPr="000C0545">
        <w:rPr>
          <w:rFonts w:asciiTheme="minorHAnsi" w:hAnsiTheme="minorHAnsi" w:cstheme="minorHAnsi"/>
          <w:lang w:val="en-GB"/>
        </w:rPr>
        <w:t>Of course</w:t>
      </w:r>
      <w:r w:rsidR="00EE2C50">
        <w:rPr>
          <w:rFonts w:asciiTheme="minorHAnsi" w:hAnsiTheme="minorHAnsi" w:cstheme="minorHAnsi"/>
          <w:lang w:val="en-GB"/>
        </w:rPr>
        <w:t>.</w:t>
      </w:r>
      <w:r w:rsidRPr="000C0545">
        <w:rPr>
          <w:rFonts w:asciiTheme="minorHAnsi" w:hAnsiTheme="minorHAnsi" w:cstheme="minorHAnsi"/>
          <w:lang w:val="en-GB"/>
        </w:rPr>
        <w:t xml:space="preserve"> when “a counter-demonstration has been organized with the intention of interfering with the rights of others to lawfully assemble,”</w:t>
      </w:r>
      <w:r w:rsidRPr="000C0545">
        <w:rPr>
          <w:rFonts w:asciiTheme="minorHAnsi" w:hAnsiTheme="minorHAnsi" w:cstheme="minorHAnsi"/>
          <w:vertAlign w:val="superscript"/>
          <w:lang w:val="en-GB"/>
        </w:rPr>
        <w:t xml:space="preserve"> </w:t>
      </w:r>
      <w:r w:rsidRPr="001B1A3F">
        <w:rPr>
          <w:vertAlign w:val="superscript"/>
          <w:lang w:val="en-GB"/>
        </w:rPr>
        <w:footnoteReference w:id="54"/>
      </w:r>
      <w:r w:rsidRPr="000C0545">
        <w:rPr>
          <w:rFonts w:asciiTheme="minorHAnsi" w:hAnsiTheme="minorHAnsi" w:cstheme="minorHAnsi"/>
          <w:lang w:val="en-GB"/>
        </w:rPr>
        <w:t xml:space="preserve"> Article 5 ICCPR is engaged and the State may prevent, or in other ways limit, the counter-demonstration. </w:t>
      </w:r>
    </w:p>
    <w:p w14:paraId="10EE4251" w14:textId="7D75ED80" w:rsidR="00C16F84" w:rsidRPr="00605ED6" w:rsidRDefault="00C16F84" w:rsidP="000C0545">
      <w:pPr>
        <w:pStyle w:val="ListParagraph"/>
        <w:autoSpaceDE w:val="0"/>
        <w:autoSpaceDN w:val="0"/>
        <w:adjustRightInd w:val="0"/>
        <w:ind w:left="1440"/>
        <w:rPr>
          <w:rFonts w:asciiTheme="minorHAnsi" w:hAnsiTheme="minorHAnsi" w:cstheme="minorHAnsi"/>
          <w:b/>
          <w:i/>
          <w:color w:val="0070C0"/>
          <w:lang w:val="en-GB"/>
        </w:rPr>
      </w:pPr>
    </w:p>
    <w:p w14:paraId="1509A578" w14:textId="02B43134" w:rsidR="00C16F84" w:rsidRPr="00A949C9" w:rsidRDefault="00173B34" w:rsidP="00F30169">
      <w:pPr>
        <w:pStyle w:val="ListParagraph"/>
        <w:numPr>
          <w:ilvl w:val="0"/>
          <w:numId w:val="46"/>
        </w:numPr>
        <w:autoSpaceDE w:val="0"/>
        <w:autoSpaceDN w:val="0"/>
        <w:adjustRightInd w:val="0"/>
        <w:jc w:val="both"/>
        <w:rPr>
          <w:rFonts w:asciiTheme="minorHAnsi" w:hAnsiTheme="minorHAnsi" w:cstheme="minorHAnsi"/>
          <w:lang w:val="en-GB"/>
        </w:rPr>
      </w:pPr>
      <w:r w:rsidRPr="00A949C9">
        <w:rPr>
          <w:rFonts w:asciiTheme="minorHAnsi" w:hAnsiTheme="minorHAnsi" w:cstheme="minorHAnsi"/>
          <w:b/>
          <w:lang w:val="en-CA"/>
        </w:rPr>
        <w:t>P</w:t>
      </w:r>
      <w:r w:rsidR="00C16F84" w:rsidRPr="00A949C9">
        <w:rPr>
          <w:rFonts w:asciiTheme="minorHAnsi" w:hAnsiTheme="minorHAnsi" w:cstheme="minorHAnsi"/>
          <w:b/>
          <w:lang w:val="en-CA"/>
        </w:rPr>
        <w:t>eaceful assembl</w:t>
      </w:r>
      <w:r w:rsidRPr="00A949C9">
        <w:rPr>
          <w:rFonts w:asciiTheme="minorHAnsi" w:hAnsiTheme="minorHAnsi" w:cstheme="minorHAnsi"/>
          <w:b/>
          <w:lang w:val="en-CA"/>
        </w:rPr>
        <w:t>ies</w:t>
      </w:r>
      <w:r w:rsidR="00C16F84" w:rsidRPr="00A949C9">
        <w:rPr>
          <w:rFonts w:asciiTheme="minorHAnsi" w:hAnsiTheme="minorHAnsi" w:cstheme="minorHAnsi"/>
          <w:b/>
          <w:lang w:val="en-CA"/>
        </w:rPr>
        <w:t xml:space="preserve">, </w:t>
      </w:r>
      <w:r w:rsidRPr="00A949C9">
        <w:rPr>
          <w:rFonts w:asciiTheme="minorHAnsi" w:hAnsiTheme="minorHAnsi" w:cstheme="minorHAnsi"/>
          <w:b/>
          <w:lang w:val="en-CA"/>
        </w:rPr>
        <w:t xml:space="preserve">including </w:t>
      </w:r>
      <w:r w:rsidR="00C16F84" w:rsidRPr="00A949C9">
        <w:rPr>
          <w:rFonts w:asciiTheme="minorHAnsi" w:hAnsiTheme="minorHAnsi" w:cstheme="minorHAnsi"/>
          <w:b/>
          <w:lang w:val="en-CA"/>
        </w:rPr>
        <w:t>one</w:t>
      </w:r>
      <w:r w:rsidRPr="00A949C9">
        <w:rPr>
          <w:rFonts w:asciiTheme="minorHAnsi" w:hAnsiTheme="minorHAnsi" w:cstheme="minorHAnsi"/>
          <w:b/>
          <w:lang w:val="en-CA"/>
        </w:rPr>
        <w:t>s</w:t>
      </w:r>
      <w:r w:rsidR="00C16F84" w:rsidRPr="00A949C9">
        <w:rPr>
          <w:rFonts w:asciiTheme="minorHAnsi" w:hAnsiTheme="minorHAnsi" w:cstheme="minorHAnsi"/>
          <w:b/>
          <w:lang w:val="en-CA"/>
        </w:rPr>
        <w:t xml:space="preserve"> involving protected expression that may “shock, offend or disturb</w:t>
      </w:r>
      <w:r w:rsidR="001D0C18" w:rsidRPr="00A949C9">
        <w:rPr>
          <w:rFonts w:asciiTheme="minorHAnsi" w:hAnsiTheme="minorHAnsi" w:cstheme="minorHAnsi"/>
          <w:b/>
          <w:lang w:val="en-CA"/>
        </w:rPr>
        <w:t>,</w:t>
      </w:r>
      <w:r w:rsidR="00C16F84" w:rsidRPr="00A949C9">
        <w:rPr>
          <w:rFonts w:asciiTheme="minorHAnsi" w:hAnsiTheme="minorHAnsi" w:cstheme="minorHAnsi"/>
          <w:b/>
          <w:lang w:val="en-CA"/>
        </w:rPr>
        <w:t>”</w:t>
      </w:r>
      <w:r w:rsidR="006217B9">
        <w:rPr>
          <w:rStyle w:val="FootnoteReference"/>
          <w:rFonts w:asciiTheme="minorHAnsi" w:hAnsiTheme="minorHAnsi" w:cstheme="minorHAnsi"/>
          <w:b/>
          <w:lang w:val="en-CA"/>
        </w:rPr>
        <w:footnoteReference w:id="55"/>
      </w:r>
      <w:r w:rsidR="00C16F84" w:rsidRPr="00A949C9">
        <w:rPr>
          <w:rFonts w:asciiTheme="minorHAnsi" w:hAnsiTheme="minorHAnsi" w:cstheme="minorHAnsi"/>
          <w:b/>
          <w:lang w:val="en-CA"/>
        </w:rPr>
        <w:t xml:space="preserve"> </w:t>
      </w:r>
      <w:r w:rsidR="001D0C18" w:rsidRPr="00A949C9">
        <w:rPr>
          <w:rFonts w:asciiTheme="minorHAnsi" w:hAnsiTheme="minorHAnsi" w:cstheme="minorHAnsi"/>
          <w:b/>
          <w:lang w:val="en-CA"/>
        </w:rPr>
        <w:t xml:space="preserve">may not be prohibited or moved to locations deemed undesirable by the organizers, </w:t>
      </w:r>
      <w:r w:rsidR="00C16F84" w:rsidRPr="00A949C9">
        <w:rPr>
          <w:rFonts w:asciiTheme="minorHAnsi" w:hAnsiTheme="minorHAnsi" w:cstheme="minorHAnsi"/>
          <w:b/>
          <w:lang w:val="en-CA"/>
        </w:rPr>
        <w:t>on the pretext that an adverse public reaction threatening public order would likely be provoked.</w:t>
      </w:r>
      <w:r w:rsidR="00C16F84" w:rsidRPr="00A949C9">
        <w:rPr>
          <w:rFonts w:asciiTheme="minorHAnsi" w:hAnsiTheme="minorHAnsi" w:cstheme="minorHAnsi"/>
          <w:lang w:val="en-CA"/>
        </w:rPr>
        <w:t xml:space="preserve"> </w:t>
      </w:r>
    </w:p>
    <w:p w14:paraId="55392016" w14:textId="77777777" w:rsidR="00A949C9" w:rsidRDefault="00A949C9" w:rsidP="00F30169">
      <w:pPr>
        <w:autoSpaceDE w:val="0"/>
        <w:autoSpaceDN w:val="0"/>
        <w:adjustRightInd w:val="0"/>
        <w:spacing w:after="0" w:line="240" w:lineRule="auto"/>
        <w:jc w:val="both"/>
        <w:rPr>
          <w:rFonts w:asciiTheme="minorHAnsi" w:hAnsiTheme="minorHAnsi" w:cstheme="minorHAnsi"/>
          <w:lang w:val="en-GB"/>
        </w:rPr>
      </w:pPr>
    </w:p>
    <w:p w14:paraId="2E1DAB29" w14:textId="4B1F273D" w:rsidR="00C16F84" w:rsidRPr="000C0545" w:rsidRDefault="00C16F84" w:rsidP="00F30169">
      <w:pPr>
        <w:autoSpaceDE w:val="0"/>
        <w:autoSpaceDN w:val="0"/>
        <w:adjustRightInd w:val="0"/>
        <w:spacing w:after="0" w:line="240" w:lineRule="auto"/>
        <w:ind w:left="720"/>
        <w:jc w:val="both"/>
        <w:rPr>
          <w:rFonts w:asciiTheme="minorHAnsi" w:hAnsiTheme="minorHAnsi" w:cstheme="minorHAnsi"/>
        </w:rPr>
      </w:pPr>
      <w:r w:rsidRPr="000C0545">
        <w:rPr>
          <w:rFonts w:asciiTheme="minorHAnsi" w:hAnsiTheme="minorHAnsi" w:cstheme="minorHAnsi"/>
          <w:lang w:val="en-GB"/>
        </w:rPr>
        <w:t xml:space="preserve">In the </w:t>
      </w:r>
      <w:bookmarkStart w:id="1" w:name="_Toc513826470"/>
      <w:r w:rsidRPr="000C0545">
        <w:rPr>
          <w:rFonts w:asciiTheme="minorHAnsi" w:hAnsiTheme="minorHAnsi" w:cstheme="minorHAnsi"/>
          <w:lang w:val="en-GB"/>
        </w:rPr>
        <w:t xml:space="preserve">case of </w:t>
      </w:r>
      <w:r w:rsidRPr="000C0545">
        <w:rPr>
          <w:rFonts w:asciiTheme="minorHAnsi" w:hAnsiTheme="minorHAnsi" w:cstheme="minorHAnsi"/>
          <w:i/>
        </w:rPr>
        <w:t>Nikolai Alekseev vs Russian Federation,</w:t>
      </w:r>
      <w:r w:rsidRPr="000C0545">
        <w:rPr>
          <w:rFonts w:asciiTheme="minorHAnsi" w:hAnsiTheme="minorHAnsi" w:cstheme="minorHAnsi"/>
        </w:rPr>
        <w:t xml:space="preserve"> the Committee found a violation of Article 21 where the State denied an application for a picket concerning gay rights in front of the Iranian embassy </w:t>
      </w:r>
      <w:r w:rsidR="00270CCF" w:rsidRPr="000C0545">
        <w:rPr>
          <w:rFonts w:asciiTheme="minorHAnsi" w:hAnsiTheme="minorHAnsi" w:cstheme="minorHAnsi"/>
        </w:rPr>
        <w:t xml:space="preserve">to call for a ban on the execution of homosexuals and minors in Iran </w:t>
      </w:r>
      <w:r w:rsidRPr="000C0545">
        <w:rPr>
          <w:rFonts w:asciiTheme="minorHAnsi" w:hAnsiTheme="minorHAnsi" w:cstheme="minorHAnsi"/>
        </w:rPr>
        <w:t xml:space="preserve">on the ground that the event would trigger </w:t>
      </w:r>
      <w:bookmarkEnd w:id="1"/>
      <w:r w:rsidRPr="000C0545">
        <w:rPr>
          <w:rFonts w:asciiTheme="minorHAnsi" w:hAnsiTheme="minorHAnsi" w:cstheme="minorHAnsi"/>
        </w:rPr>
        <w:t>“a negative reaction in society”.</w:t>
      </w:r>
      <w:r w:rsidR="004B7BB4" w:rsidRPr="001B1A3F">
        <w:rPr>
          <w:vertAlign w:val="superscript"/>
        </w:rPr>
        <w:footnoteReference w:id="56"/>
      </w:r>
      <w:r w:rsidR="004B7BB4" w:rsidRPr="000C0545">
        <w:rPr>
          <w:rFonts w:asciiTheme="minorHAnsi" w:hAnsiTheme="minorHAnsi" w:cstheme="minorHAnsi"/>
        </w:rPr>
        <w:t xml:space="preserve"> </w:t>
      </w:r>
      <w:r w:rsidRPr="000C0545">
        <w:rPr>
          <w:rFonts w:asciiTheme="minorHAnsi" w:hAnsiTheme="minorHAnsi" w:cstheme="minorHAnsi"/>
        </w:rPr>
        <w:t xml:space="preserve"> The Committee noted that the picket was denied on the basis of its subject matter and that “an unspecified and general risk of a violent counter</w:t>
      </w:r>
      <w:r w:rsidR="004B7BB4" w:rsidRPr="000C0545">
        <w:rPr>
          <w:rFonts w:asciiTheme="minorHAnsi" w:hAnsiTheme="minorHAnsi" w:cstheme="minorHAnsi"/>
        </w:rPr>
        <w:t>-</w:t>
      </w:r>
      <w:r w:rsidRPr="000C0545">
        <w:rPr>
          <w:rFonts w:asciiTheme="minorHAnsi" w:hAnsiTheme="minorHAnsi" w:cstheme="minorHAnsi"/>
        </w:rPr>
        <w:t>demonstration or the mere possibility that the authorities would be unable to prevent or neutralize such violence is not sufficient to ban a demonstration.”</w:t>
      </w:r>
      <w:r w:rsidRPr="001B1A3F">
        <w:rPr>
          <w:vertAlign w:val="superscript"/>
        </w:rPr>
        <w:footnoteReference w:id="57"/>
      </w:r>
    </w:p>
    <w:p w14:paraId="401C94A3" w14:textId="77777777" w:rsidR="007F4021" w:rsidRPr="007F4021" w:rsidRDefault="007F4021" w:rsidP="00F30169">
      <w:pPr>
        <w:pStyle w:val="ListParagraph"/>
        <w:autoSpaceDE w:val="0"/>
        <w:autoSpaceDN w:val="0"/>
        <w:adjustRightInd w:val="0"/>
        <w:ind w:left="2190"/>
        <w:jc w:val="both"/>
        <w:rPr>
          <w:rFonts w:asciiTheme="minorHAnsi" w:hAnsiTheme="minorHAnsi" w:cstheme="minorHAnsi"/>
        </w:rPr>
      </w:pPr>
    </w:p>
    <w:p w14:paraId="433C1112" w14:textId="1E404964" w:rsidR="00C16F84" w:rsidRPr="000C0545" w:rsidRDefault="00C16F84" w:rsidP="00F30169">
      <w:pPr>
        <w:autoSpaceDE w:val="0"/>
        <w:autoSpaceDN w:val="0"/>
        <w:adjustRightInd w:val="0"/>
        <w:spacing w:after="0" w:line="240" w:lineRule="auto"/>
        <w:ind w:left="720"/>
        <w:jc w:val="both"/>
        <w:rPr>
          <w:rFonts w:asciiTheme="minorHAnsi" w:hAnsiTheme="minorHAnsi" w:cstheme="minorHAnsi"/>
          <w:lang w:val="en-GB"/>
        </w:rPr>
      </w:pPr>
      <w:r w:rsidRPr="000C0545">
        <w:rPr>
          <w:rFonts w:asciiTheme="minorHAnsi" w:hAnsiTheme="minorHAnsi" w:cstheme="minorHAnsi"/>
        </w:rPr>
        <w:t xml:space="preserve">Such considerations are linked to duties </w:t>
      </w:r>
      <w:r w:rsidRPr="000C0545">
        <w:rPr>
          <w:rFonts w:asciiTheme="minorHAnsi" w:hAnsiTheme="minorHAnsi" w:cstheme="minorHAnsi"/>
          <w:lang w:val="en-GB"/>
        </w:rPr>
        <w:t xml:space="preserve">to take positive steps to protect protestors, including from violence or other attacks from </w:t>
      </w:r>
      <w:r w:rsidR="004B7BB4" w:rsidRPr="000C0545">
        <w:rPr>
          <w:rFonts w:asciiTheme="minorHAnsi" w:hAnsiTheme="minorHAnsi" w:cstheme="minorHAnsi"/>
          <w:lang w:val="en-GB"/>
        </w:rPr>
        <w:t>S</w:t>
      </w:r>
      <w:r w:rsidRPr="000C0545">
        <w:rPr>
          <w:rFonts w:asciiTheme="minorHAnsi" w:hAnsiTheme="minorHAnsi" w:cstheme="minorHAnsi"/>
          <w:lang w:val="en-GB"/>
        </w:rPr>
        <w:t>tate and non-</w:t>
      </w:r>
      <w:r w:rsidR="004B7BB4" w:rsidRPr="000C0545">
        <w:rPr>
          <w:rFonts w:asciiTheme="minorHAnsi" w:hAnsiTheme="minorHAnsi" w:cstheme="minorHAnsi"/>
          <w:lang w:val="en-GB"/>
        </w:rPr>
        <w:t>S</w:t>
      </w:r>
      <w:r w:rsidRPr="000C0545">
        <w:rPr>
          <w:rFonts w:asciiTheme="minorHAnsi" w:hAnsiTheme="minorHAnsi" w:cstheme="minorHAnsi"/>
          <w:lang w:val="en-GB"/>
        </w:rPr>
        <w:t xml:space="preserve">tate actors who may oppose the protest. </w:t>
      </w:r>
      <w:r w:rsidR="007F4021" w:rsidRPr="000C0545">
        <w:rPr>
          <w:rFonts w:asciiTheme="minorHAnsi" w:hAnsiTheme="minorHAnsi" w:cstheme="minorHAnsi"/>
          <w:lang w:val="en-GB"/>
        </w:rPr>
        <w:t>In many countries, p</w:t>
      </w:r>
      <w:r w:rsidRPr="000C0545">
        <w:rPr>
          <w:rFonts w:asciiTheme="minorHAnsi" w:hAnsiTheme="minorHAnsi" w:cstheme="minorHAnsi"/>
          <w:lang w:val="en-GB"/>
        </w:rPr>
        <w:t>articipants in certain protests and marches – such as those concerning LGBTI, women’s or indigenous rights – may require special protection.</w:t>
      </w:r>
      <w:r w:rsidRPr="001B1A3F">
        <w:rPr>
          <w:vertAlign w:val="superscript"/>
          <w:lang w:val="en-GB"/>
        </w:rPr>
        <w:footnoteReference w:id="58"/>
      </w:r>
      <w:r w:rsidR="007F4021" w:rsidRPr="000C0545">
        <w:rPr>
          <w:rFonts w:asciiTheme="minorHAnsi" w:hAnsiTheme="minorHAnsi" w:cstheme="minorHAnsi"/>
          <w:lang w:val="en-GB"/>
        </w:rPr>
        <w:t xml:space="preserve"> </w:t>
      </w:r>
    </w:p>
    <w:p w14:paraId="1093321A" w14:textId="77777777" w:rsidR="007F4021" w:rsidRPr="007F4021" w:rsidRDefault="007F4021" w:rsidP="00F30169">
      <w:pPr>
        <w:pStyle w:val="ListParagraph"/>
        <w:autoSpaceDE w:val="0"/>
        <w:autoSpaceDN w:val="0"/>
        <w:adjustRightInd w:val="0"/>
        <w:ind w:left="1095"/>
        <w:jc w:val="both"/>
        <w:rPr>
          <w:rFonts w:asciiTheme="minorHAnsi" w:hAnsiTheme="minorHAnsi" w:cstheme="minorHAnsi"/>
          <w:lang w:val="en-GB"/>
        </w:rPr>
      </w:pPr>
    </w:p>
    <w:p w14:paraId="09B10BD3" w14:textId="78A4F2A9" w:rsidR="00C16F84" w:rsidRDefault="006D79DD" w:rsidP="00F30169">
      <w:pPr>
        <w:pStyle w:val="ListParagraph"/>
        <w:numPr>
          <w:ilvl w:val="0"/>
          <w:numId w:val="46"/>
        </w:numPr>
        <w:jc w:val="both"/>
        <w:rPr>
          <w:rFonts w:asciiTheme="minorHAnsi" w:hAnsiTheme="minorHAnsi" w:cstheme="minorHAnsi"/>
          <w:b/>
          <w:lang w:val="en-GB"/>
        </w:rPr>
      </w:pPr>
      <w:r w:rsidRPr="00A949C9">
        <w:rPr>
          <w:rFonts w:asciiTheme="minorHAnsi" w:hAnsiTheme="minorHAnsi" w:cstheme="minorHAnsi"/>
          <w:b/>
          <w:lang w:val="en-GB"/>
        </w:rPr>
        <w:t xml:space="preserve">Where two assemblies cannot be accommodated in the same location at the same time, </w:t>
      </w:r>
      <w:r w:rsidR="00B96A7E" w:rsidRPr="00A949C9">
        <w:rPr>
          <w:rFonts w:asciiTheme="minorHAnsi" w:hAnsiTheme="minorHAnsi" w:cstheme="minorHAnsi"/>
          <w:b/>
          <w:lang w:val="en-GB"/>
        </w:rPr>
        <w:t xml:space="preserve">clearly-stated, </w:t>
      </w:r>
      <w:r w:rsidRPr="00A949C9">
        <w:rPr>
          <w:rFonts w:asciiTheme="minorHAnsi" w:hAnsiTheme="minorHAnsi" w:cstheme="minorHAnsi"/>
          <w:b/>
          <w:lang w:val="en-GB"/>
        </w:rPr>
        <w:t xml:space="preserve">neutral criteria must be applied in determining which assembly is to be authorized to use the </w:t>
      </w:r>
      <w:r w:rsidR="005F2774" w:rsidRPr="00A949C9">
        <w:rPr>
          <w:rFonts w:asciiTheme="minorHAnsi" w:hAnsiTheme="minorHAnsi" w:cstheme="minorHAnsi"/>
          <w:b/>
          <w:lang w:val="en-GB"/>
        </w:rPr>
        <w:t xml:space="preserve">contested </w:t>
      </w:r>
      <w:r w:rsidRPr="00A949C9">
        <w:rPr>
          <w:rFonts w:asciiTheme="minorHAnsi" w:hAnsiTheme="minorHAnsi" w:cstheme="minorHAnsi"/>
          <w:b/>
          <w:lang w:val="en-GB"/>
        </w:rPr>
        <w:t xml:space="preserve">location. </w:t>
      </w:r>
      <w:r w:rsidR="006F1FB7" w:rsidRPr="00A949C9">
        <w:rPr>
          <w:rFonts w:asciiTheme="minorHAnsi" w:hAnsiTheme="minorHAnsi" w:cstheme="minorHAnsi"/>
          <w:b/>
          <w:lang w:val="en-GB"/>
        </w:rPr>
        <w:t>P</w:t>
      </w:r>
      <w:r w:rsidRPr="00A949C9">
        <w:rPr>
          <w:rFonts w:asciiTheme="minorHAnsi" w:hAnsiTheme="minorHAnsi" w:cstheme="minorHAnsi"/>
          <w:b/>
          <w:lang w:val="en-GB"/>
        </w:rPr>
        <w:t>riority may not be given to</w:t>
      </w:r>
      <w:r w:rsidR="00056C8E" w:rsidRPr="00A949C9">
        <w:rPr>
          <w:rFonts w:asciiTheme="minorHAnsi" w:hAnsiTheme="minorHAnsi" w:cstheme="minorHAnsi"/>
          <w:b/>
          <w:lang w:val="en-GB"/>
        </w:rPr>
        <w:t xml:space="preserve"> government-supported</w:t>
      </w:r>
      <w:r w:rsidRPr="00A949C9">
        <w:rPr>
          <w:rFonts w:asciiTheme="minorHAnsi" w:hAnsiTheme="minorHAnsi" w:cstheme="minorHAnsi"/>
          <w:b/>
          <w:lang w:val="en-GB"/>
        </w:rPr>
        <w:t xml:space="preserve">, </w:t>
      </w:r>
      <w:r w:rsidR="00056C8E" w:rsidRPr="00A949C9">
        <w:rPr>
          <w:rFonts w:asciiTheme="minorHAnsi" w:hAnsiTheme="minorHAnsi" w:cstheme="minorHAnsi"/>
          <w:b/>
          <w:lang w:val="en-GB"/>
        </w:rPr>
        <w:t xml:space="preserve">pro-government, </w:t>
      </w:r>
      <w:r w:rsidRPr="00A949C9">
        <w:rPr>
          <w:rFonts w:asciiTheme="minorHAnsi" w:hAnsiTheme="minorHAnsi" w:cstheme="minorHAnsi"/>
          <w:b/>
          <w:lang w:val="en-GB"/>
        </w:rPr>
        <w:t xml:space="preserve">or </w:t>
      </w:r>
      <w:r w:rsidR="00056C8E" w:rsidRPr="00A949C9">
        <w:rPr>
          <w:rFonts w:asciiTheme="minorHAnsi" w:hAnsiTheme="minorHAnsi" w:cstheme="minorHAnsi"/>
          <w:b/>
          <w:lang w:val="en-GB"/>
        </w:rPr>
        <w:t xml:space="preserve">regularly-held </w:t>
      </w:r>
      <w:r w:rsidRPr="00A949C9">
        <w:rPr>
          <w:rFonts w:asciiTheme="minorHAnsi" w:hAnsiTheme="minorHAnsi" w:cstheme="minorHAnsi"/>
          <w:b/>
          <w:lang w:val="en-GB"/>
        </w:rPr>
        <w:t xml:space="preserve">assemblies. </w:t>
      </w:r>
      <w:r w:rsidR="007F4021" w:rsidRPr="00A949C9">
        <w:rPr>
          <w:rFonts w:asciiTheme="minorHAnsi" w:hAnsiTheme="minorHAnsi" w:cstheme="minorHAnsi"/>
          <w:b/>
          <w:lang w:val="en-GB"/>
        </w:rPr>
        <w:t>P</w:t>
      </w:r>
      <w:r w:rsidR="00C16F84" w:rsidRPr="00A949C9">
        <w:rPr>
          <w:rFonts w:asciiTheme="minorHAnsi" w:hAnsiTheme="minorHAnsi" w:cstheme="minorHAnsi"/>
          <w:b/>
          <w:lang w:val="en-CA"/>
        </w:rPr>
        <w:t>articular effort should be taken to ensure “</w:t>
      </w:r>
      <w:r w:rsidR="00C16F84" w:rsidRPr="00A949C9">
        <w:rPr>
          <w:rFonts w:asciiTheme="minorHAnsi" w:hAnsiTheme="minorHAnsi" w:cstheme="minorHAnsi"/>
          <w:b/>
          <w:lang w:val="en-GB"/>
        </w:rPr>
        <w:t>equal and effective protection of the rights of groups or individuals who have historically experienced discrimination.”</w:t>
      </w:r>
      <w:r w:rsidR="00C16F84" w:rsidRPr="007F4021">
        <w:rPr>
          <w:vertAlign w:val="superscript"/>
          <w:lang w:val="en-GB"/>
        </w:rPr>
        <w:footnoteReference w:id="59"/>
      </w:r>
    </w:p>
    <w:p w14:paraId="6AFE277E" w14:textId="77777777" w:rsidR="00A949C9" w:rsidRPr="00A949C9" w:rsidRDefault="00A949C9" w:rsidP="000C0545">
      <w:pPr>
        <w:pStyle w:val="ListParagraph"/>
        <w:ind w:left="720"/>
        <w:rPr>
          <w:rFonts w:asciiTheme="minorHAnsi" w:hAnsiTheme="minorHAnsi" w:cstheme="minorHAnsi"/>
          <w:b/>
          <w:lang w:val="en-GB"/>
        </w:rPr>
      </w:pPr>
    </w:p>
    <w:p w14:paraId="52D2499B" w14:textId="634F84B7" w:rsidR="007F4021" w:rsidRPr="000C0545" w:rsidRDefault="007F4021" w:rsidP="00F30169">
      <w:pPr>
        <w:autoSpaceDE w:val="0"/>
        <w:autoSpaceDN w:val="0"/>
        <w:adjustRightInd w:val="0"/>
        <w:spacing w:after="0" w:line="240" w:lineRule="auto"/>
        <w:ind w:left="720"/>
        <w:jc w:val="both"/>
        <w:rPr>
          <w:rFonts w:asciiTheme="minorHAnsi" w:hAnsiTheme="minorHAnsi" w:cstheme="minorHAnsi"/>
          <w:lang w:val="en-GB"/>
        </w:rPr>
      </w:pPr>
      <w:r w:rsidRPr="000C0545">
        <w:rPr>
          <w:rFonts w:asciiTheme="minorHAnsi" w:hAnsiTheme="minorHAnsi" w:cstheme="minorHAnsi"/>
          <w:lang w:val="en-CA"/>
        </w:rPr>
        <w:t>A key principle of decision-making in relation to assigning locations for simultaneous demonstrations should be that of non-discrimination on protected grounds.</w:t>
      </w:r>
      <w:r w:rsidRPr="001B1A3F">
        <w:rPr>
          <w:vertAlign w:val="superscript"/>
          <w:lang w:val="en-CA"/>
        </w:rPr>
        <w:footnoteReference w:id="60"/>
      </w:r>
      <w:r w:rsidRPr="000C0545">
        <w:rPr>
          <w:rFonts w:asciiTheme="minorHAnsi" w:hAnsiTheme="minorHAnsi" w:cstheme="minorHAnsi"/>
          <w:lang w:val="en-CA"/>
        </w:rPr>
        <w:t xml:space="preserve"> </w:t>
      </w:r>
    </w:p>
    <w:p w14:paraId="59B83BC2" w14:textId="77777777" w:rsidR="007F4021" w:rsidRPr="007F4021" w:rsidRDefault="007F4021" w:rsidP="00F30169">
      <w:pPr>
        <w:pStyle w:val="ListParagraph"/>
        <w:autoSpaceDE w:val="0"/>
        <w:autoSpaceDN w:val="0"/>
        <w:adjustRightInd w:val="0"/>
        <w:ind w:left="15"/>
        <w:jc w:val="both"/>
        <w:rPr>
          <w:rFonts w:asciiTheme="minorHAnsi" w:hAnsiTheme="minorHAnsi" w:cstheme="minorHAnsi"/>
          <w:lang w:val="en-GB"/>
        </w:rPr>
      </w:pPr>
    </w:p>
    <w:p w14:paraId="681F60DC" w14:textId="433BE19A" w:rsidR="00C16F84" w:rsidRPr="000C0545" w:rsidRDefault="00C16F84" w:rsidP="00F30169">
      <w:pPr>
        <w:autoSpaceDE w:val="0"/>
        <w:autoSpaceDN w:val="0"/>
        <w:adjustRightInd w:val="0"/>
        <w:spacing w:after="0" w:line="240" w:lineRule="auto"/>
        <w:ind w:left="720"/>
        <w:jc w:val="both"/>
        <w:rPr>
          <w:rFonts w:asciiTheme="minorHAnsi" w:hAnsiTheme="minorHAnsi" w:cstheme="minorHAnsi"/>
          <w:lang w:val="en-GB"/>
        </w:rPr>
      </w:pPr>
      <w:r w:rsidRPr="000C0545">
        <w:rPr>
          <w:rFonts w:asciiTheme="minorHAnsi" w:hAnsiTheme="minorHAnsi" w:cstheme="minorHAnsi"/>
          <w:lang w:val="en-GB"/>
        </w:rPr>
        <w:t xml:space="preserve">An example </w:t>
      </w:r>
      <w:r w:rsidR="006D79DD" w:rsidRPr="000C0545">
        <w:rPr>
          <w:rFonts w:asciiTheme="minorHAnsi" w:hAnsiTheme="minorHAnsi" w:cstheme="minorHAnsi"/>
          <w:lang w:val="en-GB"/>
        </w:rPr>
        <w:t xml:space="preserve">of a violation of this norm </w:t>
      </w:r>
      <w:r w:rsidRPr="000C0545">
        <w:rPr>
          <w:rFonts w:asciiTheme="minorHAnsi" w:hAnsiTheme="minorHAnsi" w:cstheme="minorHAnsi"/>
          <w:lang w:val="en-GB"/>
        </w:rPr>
        <w:t xml:space="preserve">is provided by </w:t>
      </w:r>
      <w:r w:rsidR="006D79DD" w:rsidRPr="000C0545">
        <w:rPr>
          <w:rFonts w:asciiTheme="minorHAnsi" w:hAnsiTheme="minorHAnsi" w:cstheme="minorHAnsi"/>
          <w:lang w:val="en-GB"/>
        </w:rPr>
        <w:t xml:space="preserve">an </w:t>
      </w:r>
      <w:r w:rsidRPr="000C0545">
        <w:rPr>
          <w:rFonts w:asciiTheme="minorHAnsi" w:hAnsiTheme="minorHAnsi" w:cstheme="minorHAnsi"/>
          <w:lang w:val="en-GB"/>
        </w:rPr>
        <w:t>amendment to Poland’s Law on Assemblies, which entered into force in April 2017.</w:t>
      </w:r>
      <w:r w:rsidRPr="001B1A3F">
        <w:rPr>
          <w:vertAlign w:val="superscript"/>
          <w:lang w:val="en-GB"/>
        </w:rPr>
        <w:footnoteReference w:id="61"/>
      </w:r>
      <w:r w:rsidRPr="000C0545">
        <w:rPr>
          <w:rFonts w:asciiTheme="minorHAnsi" w:hAnsiTheme="minorHAnsi" w:cstheme="minorHAnsi"/>
          <w:lang w:val="en-GB"/>
        </w:rPr>
        <w:t xml:space="preserve"> Th</w:t>
      </w:r>
      <w:r w:rsidR="006D79DD" w:rsidRPr="000C0545">
        <w:rPr>
          <w:rFonts w:asciiTheme="minorHAnsi" w:hAnsiTheme="minorHAnsi" w:cstheme="minorHAnsi"/>
          <w:lang w:val="en-GB"/>
        </w:rPr>
        <w:t>e amendment</w:t>
      </w:r>
      <w:r w:rsidRPr="000C0545">
        <w:rPr>
          <w:rFonts w:asciiTheme="minorHAnsi" w:hAnsiTheme="minorHAnsi" w:cstheme="minorHAnsi"/>
          <w:lang w:val="en-GB"/>
        </w:rPr>
        <w:t xml:space="preserve"> provides for “cyclical demonstrations” organized by the same entity and at the same location to take priority over other assemblies at the same time and location, with the effect of preventing counter-demonstrations. The legislative change occurred against the backdrop of recurring pro-government </w:t>
      </w:r>
      <w:r w:rsidR="004B7BB4" w:rsidRPr="000C0545">
        <w:rPr>
          <w:rFonts w:asciiTheme="minorHAnsi" w:hAnsiTheme="minorHAnsi" w:cstheme="minorHAnsi"/>
          <w:lang w:val="en-GB"/>
        </w:rPr>
        <w:t xml:space="preserve">rallies and marches to the Presidential Palace </w:t>
      </w:r>
      <w:r w:rsidRPr="000C0545">
        <w:rPr>
          <w:rFonts w:asciiTheme="minorHAnsi" w:hAnsiTheme="minorHAnsi" w:cstheme="minorHAnsi"/>
          <w:lang w:val="en-GB"/>
        </w:rPr>
        <w:t>on the same day each month to commemorate the 2010 Smoleńsk air crash. The legislation has been used to ban counter demonstrations to the rallies. Those who have nevertheless sought to counter-protest have been prosecuted for minor offences relating to interference with the rally, or criminal offences such as malicious interference with a religious act.</w:t>
      </w:r>
      <w:r w:rsidRPr="001B1A3F">
        <w:rPr>
          <w:vertAlign w:val="superscript"/>
          <w:lang w:val="en-GB"/>
        </w:rPr>
        <w:footnoteReference w:id="62"/>
      </w:r>
    </w:p>
    <w:p w14:paraId="51BA7346" w14:textId="77777777" w:rsidR="000C0545" w:rsidRDefault="000C0545" w:rsidP="00F30169">
      <w:pPr>
        <w:autoSpaceDE w:val="0"/>
        <w:autoSpaceDN w:val="0"/>
        <w:adjustRightInd w:val="0"/>
        <w:spacing w:after="0" w:line="240" w:lineRule="auto"/>
        <w:ind w:left="720"/>
        <w:jc w:val="both"/>
        <w:rPr>
          <w:rFonts w:asciiTheme="minorHAnsi" w:hAnsiTheme="minorHAnsi" w:cstheme="minorHAnsi"/>
          <w:lang w:val="en-GB"/>
        </w:rPr>
      </w:pPr>
    </w:p>
    <w:p w14:paraId="16D3D581" w14:textId="31BD999A" w:rsidR="00C16F84" w:rsidRPr="000C0545" w:rsidRDefault="00C16F84" w:rsidP="00F30169">
      <w:pPr>
        <w:autoSpaceDE w:val="0"/>
        <w:autoSpaceDN w:val="0"/>
        <w:adjustRightInd w:val="0"/>
        <w:spacing w:after="0" w:line="240" w:lineRule="auto"/>
        <w:ind w:left="720"/>
        <w:jc w:val="both"/>
        <w:rPr>
          <w:rFonts w:asciiTheme="minorHAnsi" w:hAnsiTheme="minorHAnsi" w:cstheme="minorHAnsi"/>
          <w:lang w:val="en-GB"/>
        </w:rPr>
      </w:pPr>
      <w:r w:rsidRPr="000C0545">
        <w:rPr>
          <w:rFonts w:asciiTheme="minorHAnsi" w:hAnsiTheme="minorHAnsi" w:cstheme="minorHAnsi"/>
          <w:lang w:val="en-GB"/>
        </w:rPr>
        <w:t>Northern Ireland provides an example of a jurisdiction where there has been reform in relation to the regulation of parades and counter-protests. Whil</w:t>
      </w:r>
      <w:r w:rsidR="00FE2CDB" w:rsidRPr="000C0545">
        <w:rPr>
          <w:rFonts w:asciiTheme="minorHAnsi" w:hAnsiTheme="minorHAnsi" w:cstheme="minorHAnsi"/>
          <w:lang w:val="en-GB"/>
        </w:rPr>
        <w:t>e</w:t>
      </w:r>
      <w:r w:rsidRPr="000C0545">
        <w:rPr>
          <w:rFonts w:asciiTheme="minorHAnsi" w:hAnsiTheme="minorHAnsi" w:cstheme="minorHAnsi"/>
          <w:lang w:val="en-GB"/>
        </w:rPr>
        <w:t xml:space="preserve"> legislation previously gave more favorable treatment to traditional or official parades along customary routes, reforms introduced in the context of the peace process led to the establishment of an independent Parades Commission</w:t>
      </w:r>
      <w:r w:rsidR="005F2774" w:rsidRPr="000C0545">
        <w:rPr>
          <w:rFonts w:asciiTheme="minorHAnsi" w:hAnsiTheme="minorHAnsi" w:cstheme="minorHAnsi"/>
          <w:lang w:val="en-GB"/>
        </w:rPr>
        <w:t xml:space="preserve">, which is </w:t>
      </w:r>
      <w:r w:rsidRPr="000C0545">
        <w:rPr>
          <w:rFonts w:asciiTheme="minorHAnsi" w:hAnsiTheme="minorHAnsi" w:cstheme="minorHAnsi"/>
          <w:lang w:val="en-GB"/>
        </w:rPr>
        <w:t xml:space="preserve">obliged to apply </w:t>
      </w:r>
      <w:r w:rsidR="00226F75" w:rsidRPr="000C0545">
        <w:rPr>
          <w:rFonts w:asciiTheme="minorHAnsi" w:hAnsiTheme="minorHAnsi" w:cstheme="minorHAnsi"/>
          <w:lang w:val="en-GB"/>
        </w:rPr>
        <w:t xml:space="preserve">specific </w:t>
      </w:r>
      <w:r w:rsidRPr="000C0545">
        <w:rPr>
          <w:rFonts w:asciiTheme="minorHAnsi" w:hAnsiTheme="minorHAnsi" w:cstheme="minorHAnsi"/>
          <w:lang w:val="en-GB"/>
        </w:rPr>
        <w:t>criteria.</w:t>
      </w:r>
      <w:r w:rsidRPr="001B1A3F">
        <w:rPr>
          <w:vertAlign w:val="superscript"/>
          <w:lang w:val="en-GB"/>
        </w:rPr>
        <w:footnoteReference w:id="63"/>
      </w:r>
    </w:p>
    <w:p w14:paraId="74F863D3" w14:textId="77777777" w:rsidR="00C16F84" w:rsidRPr="001B1A3F" w:rsidRDefault="00C16F84" w:rsidP="00F30169">
      <w:pPr>
        <w:pStyle w:val="ListParagraph"/>
        <w:autoSpaceDE w:val="0"/>
        <w:autoSpaceDN w:val="0"/>
        <w:adjustRightInd w:val="0"/>
        <w:ind w:left="360"/>
        <w:jc w:val="both"/>
        <w:rPr>
          <w:rFonts w:asciiTheme="minorHAnsi" w:hAnsiTheme="minorHAnsi" w:cstheme="minorHAnsi"/>
          <w:b/>
          <w:lang w:val="en-GB"/>
        </w:rPr>
      </w:pPr>
    </w:p>
    <w:p w14:paraId="200D98C1" w14:textId="1F9EAB1B" w:rsidR="00001BDB" w:rsidRPr="000C0545" w:rsidRDefault="00C16F84" w:rsidP="00F30169">
      <w:pPr>
        <w:autoSpaceDE w:val="0"/>
        <w:autoSpaceDN w:val="0"/>
        <w:adjustRightInd w:val="0"/>
        <w:spacing w:after="0" w:line="240" w:lineRule="auto"/>
        <w:ind w:left="720"/>
        <w:jc w:val="both"/>
        <w:rPr>
          <w:rFonts w:asciiTheme="minorHAnsi" w:hAnsiTheme="minorHAnsi" w:cstheme="minorHAnsi"/>
          <w:lang w:val="en-GB"/>
        </w:rPr>
      </w:pPr>
      <w:r w:rsidRPr="000C0545">
        <w:rPr>
          <w:rFonts w:asciiTheme="minorHAnsi" w:hAnsiTheme="minorHAnsi" w:cstheme="minorHAnsi"/>
          <w:lang w:val="en-GB"/>
        </w:rPr>
        <w:t>The State is duty-bound to ensure the prevention of incitement to hatred on national, racial or religious grounds, and to combat dissemination of ideas or theories based on racial superiority or hatred.</w:t>
      </w:r>
      <w:r w:rsidRPr="001B1A3F">
        <w:rPr>
          <w:vertAlign w:val="superscript"/>
          <w:lang w:val="en-GB"/>
        </w:rPr>
        <w:footnoteReference w:id="64"/>
      </w:r>
      <w:r w:rsidRPr="000C0545">
        <w:rPr>
          <w:rFonts w:asciiTheme="minorHAnsi" w:hAnsiTheme="minorHAnsi" w:cstheme="minorHAnsi"/>
          <w:lang w:val="en-GB"/>
        </w:rPr>
        <w:t xml:space="preserve"> CERD has recommended that “the criminalization of forms of racist expression should be reserved for serious cases, to be proven beyond reasonable doubt, while less serious cases should be addressed by means other than criminal law, taking into account, </w:t>
      </w:r>
      <w:r w:rsidRPr="000C0545">
        <w:rPr>
          <w:rFonts w:asciiTheme="minorHAnsi" w:hAnsiTheme="minorHAnsi" w:cstheme="minorHAnsi"/>
          <w:i/>
          <w:lang w:val="en-GB"/>
        </w:rPr>
        <w:t>inter alia</w:t>
      </w:r>
      <w:r w:rsidRPr="000C0545">
        <w:rPr>
          <w:rFonts w:asciiTheme="minorHAnsi" w:hAnsiTheme="minorHAnsi" w:cstheme="minorHAnsi"/>
          <w:lang w:val="en-GB"/>
        </w:rPr>
        <w:t>, the nature and extent of the impact on targeted persons and groups</w:t>
      </w:r>
      <w:r w:rsidR="005F2774" w:rsidRPr="000C0545">
        <w:rPr>
          <w:rFonts w:asciiTheme="minorHAnsi" w:hAnsiTheme="minorHAnsi" w:cstheme="minorHAnsi"/>
          <w:lang w:val="en-GB"/>
        </w:rPr>
        <w:t>.</w:t>
      </w:r>
      <w:r w:rsidRPr="000C0545">
        <w:rPr>
          <w:rFonts w:asciiTheme="minorHAnsi" w:hAnsiTheme="minorHAnsi" w:cstheme="minorHAnsi"/>
          <w:lang w:val="en-GB"/>
        </w:rPr>
        <w:t>”</w:t>
      </w:r>
      <w:r w:rsidRPr="000C0545">
        <w:rPr>
          <w:rFonts w:asciiTheme="minorHAnsi" w:hAnsiTheme="minorHAnsi" w:cstheme="minorHAnsi"/>
          <w:vertAlign w:val="superscript"/>
          <w:lang w:val="en-GB"/>
        </w:rPr>
        <w:t xml:space="preserve"> </w:t>
      </w:r>
      <w:r w:rsidRPr="001B1A3F">
        <w:rPr>
          <w:vertAlign w:val="superscript"/>
          <w:lang w:val="en-GB"/>
        </w:rPr>
        <w:footnoteReference w:id="65"/>
      </w:r>
      <w:r w:rsidRPr="000C0545">
        <w:rPr>
          <w:rFonts w:asciiTheme="minorHAnsi" w:hAnsiTheme="minorHAnsi" w:cstheme="minorHAnsi"/>
          <w:lang w:val="en-GB"/>
        </w:rPr>
        <w:t xml:space="preserve"> This implies lesser sanctions should be imposed in other cases, taking into account the context and the likelihood of violence or harm to individuals.  This may include restrictions on assemblies or counter-protests. </w:t>
      </w:r>
    </w:p>
    <w:p w14:paraId="2516ED7F" w14:textId="41E86BFE" w:rsidR="00001BDB" w:rsidRPr="00001BDB" w:rsidRDefault="00001BDB" w:rsidP="000C0545">
      <w:pPr>
        <w:autoSpaceDE w:val="0"/>
        <w:autoSpaceDN w:val="0"/>
        <w:adjustRightInd w:val="0"/>
        <w:spacing w:after="0" w:line="240" w:lineRule="auto"/>
        <w:rPr>
          <w:rFonts w:asciiTheme="minorHAnsi" w:hAnsiTheme="minorHAnsi" w:cstheme="minorHAnsi"/>
          <w:lang w:val="en-GB"/>
        </w:rPr>
      </w:pPr>
    </w:p>
    <w:p w14:paraId="2B3F2EFC" w14:textId="0D45EAF7" w:rsidR="00C16F84" w:rsidRPr="001B1A3F" w:rsidRDefault="00C16F84" w:rsidP="00F30169">
      <w:pPr>
        <w:numPr>
          <w:ilvl w:val="0"/>
          <w:numId w:val="46"/>
        </w:numPr>
        <w:autoSpaceDE w:val="0"/>
        <w:autoSpaceDN w:val="0"/>
        <w:adjustRightInd w:val="0"/>
        <w:spacing w:after="0" w:line="240" w:lineRule="auto"/>
        <w:jc w:val="both"/>
        <w:rPr>
          <w:rFonts w:asciiTheme="minorHAnsi" w:hAnsiTheme="minorHAnsi" w:cstheme="minorHAnsi"/>
          <w:b/>
          <w:lang w:val="en-GB"/>
        </w:rPr>
      </w:pPr>
      <w:r w:rsidRPr="001B1A3F">
        <w:rPr>
          <w:rFonts w:asciiTheme="minorHAnsi" w:hAnsiTheme="minorHAnsi" w:cstheme="minorHAnsi"/>
          <w:b/>
          <w:lang w:val="en-GB"/>
        </w:rPr>
        <w:t xml:space="preserve">While incitement to violence or hatred provides one of the limited circumstances in which public authorities may </w:t>
      </w:r>
      <w:r w:rsidR="005F2774" w:rsidRPr="001B1A3F">
        <w:rPr>
          <w:rFonts w:asciiTheme="minorHAnsi" w:hAnsiTheme="minorHAnsi" w:cstheme="minorHAnsi"/>
          <w:b/>
          <w:lang w:val="en-GB"/>
        </w:rPr>
        <w:t xml:space="preserve">be obliged to restrict </w:t>
      </w:r>
      <w:r w:rsidR="00173B34" w:rsidRPr="001B1A3F">
        <w:rPr>
          <w:rFonts w:asciiTheme="minorHAnsi" w:hAnsiTheme="minorHAnsi" w:cstheme="minorHAnsi"/>
          <w:b/>
          <w:lang w:val="en-GB"/>
        </w:rPr>
        <w:t>an assembly</w:t>
      </w:r>
      <w:r w:rsidRPr="001B1A3F">
        <w:rPr>
          <w:rFonts w:asciiTheme="minorHAnsi" w:hAnsiTheme="minorHAnsi" w:cstheme="minorHAnsi"/>
          <w:b/>
          <w:lang w:val="en-GB"/>
        </w:rPr>
        <w:t xml:space="preserve">, any restriction must comply with the principles </w:t>
      </w:r>
      <w:r w:rsidRPr="001B1A3F">
        <w:rPr>
          <w:rFonts w:asciiTheme="minorHAnsi" w:hAnsiTheme="minorHAnsi" w:cstheme="minorHAnsi"/>
          <w:b/>
          <w:lang w:val="en-GB"/>
        </w:rPr>
        <w:lastRenderedPageBreak/>
        <w:t xml:space="preserve">of </w:t>
      </w:r>
      <w:r w:rsidR="00173B34" w:rsidRPr="001B1A3F">
        <w:rPr>
          <w:rFonts w:asciiTheme="minorHAnsi" w:hAnsiTheme="minorHAnsi" w:cstheme="minorHAnsi"/>
          <w:b/>
          <w:lang w:val="en-GB"/>
        </w:rPr>
        <w:t xml:space="preserve">legality, </w:t>
      </w:r>
      <w:r w:rsidRPr="001B1A3F">
        <w:rPr>
          <w:rFonts w:asciiTheme="minorHAnsi" w:hAnsiTheme="minorHAnsi" w:cstheme="minorHAnsi"/>
          <w:b/>
          <w:lang w:val="en-GB"/>
        </w:rPr>
        <w:t>necessity and proportionality, and be the least intrusive mea</w:t>
      </w:r>
      <w:r w:rsidR="007F4021">
        <w:rPr>
          <w:rFonts w:asciiTheme="minorHAnsi" w:hAnsiTheme="minorHAnsi" w:cstheme="minorHAnsi"/>
          <w:b/>
          <w:lang w:val="en-GB"/>
        </w:rPr>
        <w:t>ns</w:t>
      </w:r>
      <w:r w:rsidRPr="001B1A3F">
        <w:rPr>
          <w:rFonts w:asciiTheme="minorHAnsi" w:hAnsiTheme="minorHAnsi" w:cstheme="minorHAnsi"/>
          <w:b/>
          <w:lang w:val="en-GB"/>
        </w:rPr>
        <w:t xml:space="preserve"> possible. </w:t>
      </w:r>
      <w:r w:rsidR="007F4021">
        <w:rPr>
          <w:rFonts w:asciiTheme="minorHAnsi" w:hAnsiTheme="minorHAnsi" w:cstheme="minorHAnsi"/>
          <w:b/>
          <w:lang w:val="en-GB"/>
        </w:rPr>
        <w:t>D</w:t>
      </w:r>
      <w:r w:rsidR="007F4021" w:rsidRPr="001B1A3F">
        <w:rPr>
          <w:rFonts w:asciiTheme="minorHAnsi" w:hAnsiTheme="minorHAnsi" w:cstheme="minorHAnsi"/>
          <w:b/>
          <w:lang w:val="en-GB"/>
        </w:rPr>
        <w:t>ispersal of an assembly</w:t>
      </w:r>
      <w:r w:rsidR="007F4021">
        <w:rPr>
          <w:rFonts w:asciiTheme="minorHAnsi" w:hAnsiTheme="minorHAnsi" w:cstheme="minorHAnsi"/>
          <w:b/>
          <w:lang w:val="en-GB"/>
        </w:rPr>
        <w:t xml:space="preserve"> is justified</w:t>
      </w:r>
      <w:r w:rsidR="007F4021" w:rsidRPr="001B1A3F">
        <w:rPr>
          <w:rFonts w:asciiTheme="minorHAnsi" w:hAnsiTheme="minorHAnsi" w:cstheme="minorHAnsi"/>
          <w:b/>
          <w:lang w:val="en-GB"/>
        </w:rPr>
        <w:t xml:space="preserve"> </w:t>
      </w:r>
      <w:r w:rsidR="007F4021">
        <w:rPr>
          <w:rFonts w:asciiTheme="minorHAnsi" w:hAnsiTheme="minorHAnsi" w:cstheme="minorHAnsi"/>
          <w:b/>
          <w:lang w:val="en-GB"/>
        </w:rPr>
        <w:t>o</w:t>
      </w:r>
      <w:r w:rsidRPr="001B1A3F">
        <w:rPr>
          <w:rFonts w:asciiTheme="minorHAnsi" w:hAnsiTheme="minorHAnsi" w:cstheme="minorHAnsi"/>
          <w:b/>
          <w:lang w:val="en-GB"/>
        </w:rPr>
        <w:t xml:space="preserve">nly in extreme cases, such as where violence appears </w:t>
      </w:r>
      <w:r w:rsidR="005F2774" w:rsidRPr="001B1A3F">
        <w:rPr>
          <w:rFonts w:asciiTheme="minorHAnsi" w:hAnsiTheme="minorHAnsi" w:cstheme="minorHAnsi"/>
          <w:b/>
          <w:lang w:val="en-GB"/>
        </w:rPr>
        <w:t xml:space="preserve">unpreventable </w:t>
      </w:r>
      <w:r w:rsidRPr="001B1A3F">
        <w:rPr>
          <w:rFonts w:asciiTheme="minorHAnsi" w:hAnsiTheme="minorHAnsi" w:cstheme="minorHAnsi"/>
          <w:b/>
          <w:lang w:val="en-GB"/>
        </w:rPr>
        <w:t xml:space="preserve">by other means, </w:t>
      </w:r>
      <w:r w:rsidR="009D4E1F">
        <w:rPr>
          <w:rFonts w:asciiTheme="minorHAnsi" w:hAnsiTheme="minorHAnsi" w:cstheme="minorHAnsi"/>
          <w:b/>
          <w:lang w:val="en-GB"/>
        </w:rPr>
        <w:t xml:space="preserve">is </w:t>
      </w:r>
      <w:r w:rsidR="00173B34" w:rsidRPr="001B1A3F">
        <w:rPr>
          <w:rFonts w:asciiTheme="minorHAnsi" w:hAnsiTheme="minorHAnsi" w:cstheme="minorHAnsi"/>
          <w:b/>
          <w:lang w:val="en-GB"/>
        </w:rPr>
        <w:t>including</w:t>
      </w:r>
      <w:r w:rsidRPr="001B1A3F">
        <w:rPr>
          <w:rFonts w:asciiTheme="minorHAnsi" w:hAnsiTheme="minorHAnsi" w:cstheme="minorHAnsi"/>
          <w:b/>
          <w:lang w:val="en-GB"/>
        </w:rPr>
        <w:t>.</w:t>
      </w:r>
      <w:r w:rsidRPr="001B1A3F">
        <w:rPr>
          <w:rFonts w:asciiTheme="minorHAnsi" w:hAnsiTheme="minorHAnsi" w:cstheme="minorHAnsi"/>
          <w:b/>
          <w:vertAlign w:val="superscript"/>
          <w:lang w:val="en-GB"/>
        </w:rPr>
        <w:footnoteReference w:id="66"/>
      </w:r>
      <w:r w:rsidRPr="001B1A3F">
        <w:rPr>
          <w:rFonts w:asciiTheme="minorHAnsi" w:hAnsiTheme="minorHAnsi" w:cstheme="minorHAnsi"/>
          <w:b/>
          <w:lang w:val="en-GB"/>
        </w:rPr>
        <w:t xml:space="preserve"> </w:t>
      </w:r>
      <w:r w:rsidR="007F4021">
        <w:rPr>
          <w:rFonts w:asciiTheme="minorHAnsi" w:hAnsiTheme="minorHAnsi" w:cstheme="minorHAnsi"/>
          <w:b/>
          <w:lang w:val="en-GB"/>
        </w:rPr>
        <w:t xml:space="preserve">Authorities </w:t>
      </w:r>
      <w:r w:rsidR="007F4021" w:rsidRPr="001B1A3F">
        <w:rPr>
          <w:rFonts w:asciiTheme="minorHAnsi" w:hAnsiTheme="minorHAnsi" w:cstheme="minorHAnsi"/>
          <w:b/>
          <w:lang w:val="en-GB"/>
        </w:rPr>
        <w:t>should take</w:t>
      </w:r>
      <w:r w:rsidR="007F4021">
        <w:rPr>
          <w:rFonts w:asciiTheme="minorHAnsi" w:hAnsiTheme="minorHAnsi" w:cstheme="minorHAnsi"/>
          <w:b/>
          <w:lang w:val="en-GB"/>
        </w:rPr>
        <w:t xml:space="preserve"> care not </w:t>
      </w:r>
      <w:r w:rsidR="007F4021" w:rsidRPr="001B1A3F">
        <w:rPr>
          <w:rFonts w:asciiTheme="minorHAnsi" w:hAnsiTheme="minorHAnsi" w:cstheme="minorHAnsi"/>
          <w:b/>
          <w:lang w:val="en-GB"/>
        </w:rPr>
        <w:t xml:space="preserve">to stifle legitimate protest </w:t>
      </w:r>
      <w:r w:rsidR="007F4021">
        <w:rPr>
          <w:rFonts w:asciiTheme="minorHAnsi" w:hAnsiTheme="minorHAnsi" w:cstheme="minorHAnsi"/>
          <w:b/>
          <w:lang w:val="en-GB"/>
        </w:rPr>
        <w:t xml:space="preserve">by imposing </w:t>
      </w:r>
      <w:r w:rsidR="007F4021" w:rsidRPr="001B1A3F">
        <w:rPr>
          <w:rFonts w:asciiTheme="minorHAnsi" w:hAnsiTheme="minorHAnsi" w:cstheme="minorHAnsi"/>
          <w:b/>
          <w:lang w:val="en-GB"/>
        </w:rPr>
        <w:t>broad or vague restrictions under the pretext of combatting hate expression</w:t>
      </w:r>
      <w:r w:rsidR="007F4021" w:rsidRPr="001B1A3F">
        <w:rPr>
          <w:rFonts w:asciiTheme="minorHAnsi" w:hAnsiTheme="minorHAnsi" w:cstheme="minorHAnsi"/>
          <w:lang w:val="en-GB"/>
        </w:rPr>
        <w:t>.</w:t>
      </w:r>
      <w:r w:rsidR="007F4021" w:rsidRPr="001B1A3F">
        <w:rPr>
          <w:rFonts w:asciiTheme="minorHAnsi" w:hAnsiTheme="minorHAnsi" w:cstheme="minorHAnsi"/>
          <w:vertAlign w:val="superscript"/>
          <w:lang w:val="en-GB"/>
        </w:rPr>
        <w:footnoteReference w:id="67"/>
      </w:r>
    </w:p>
    <w:p w14:paraId="48C81213" w14:textId="77777777" w:rsidR="000C0545" w:rsidRDefault="000C0545" w:rsidP="00F30169">
      <w:pPr>
        <w:autoSpaceDE w:val="0"/>
        <w:autoSpaceDN w:val="0"/>
        <w:adjustRightInd w:val="0"/>
        <w:spacing w:after="0" w:line="240" w:lineRule="auto"/>
        <w:ind w:left="375"/>
        <w:jc w:val="both"/>
        <w:rPr>
          <w:rFonts w:asciiTheme="minorHAnsi" w:hAnsiTheme="minorHAnsi" w:cstheme="minorHAnsi"/>
          <w:lang w:val="en-GB"/>
        </w:rPr>
      </w:pPr>
    </w:p>
    <w:p w14:paraId="31FA44DA" w14:textId="12EA7CF2" w:rsidR="00C16F84" w:rsidRPr="001B1A3F" w:rsidRDefault="00C16F84" w:rsidP="00F30169">
      <w:pPr>
        <w:autoSpaceDE w:val="0"/>
        <w:autoSpaceDN w:val="0"/>
        <w:adjustRightInd w:val="0"/>
        <w:spacing w:after="0" w:line="240" w:lineRule="auto"/>
        <w:ind w:left="720"/>
        <w:jc w:val="both"/>
        <w:rPr>
          <w:rFonts w:asciiTheme="minorHAnsi" w:hAnsiTheme="minorHAnsi" w:cstheme="minorHAnsi"/>
          <w:lang w:val="en-GB"/>
        </w:rPr>
      </w:pPr>
      <w:r w:rsidRPr="001B1A3F">
        <w:rPr>
          <w:rFonts w:asciiTheme="minorHAnsi" w:hAnsiTheme="minorHAnsi" w:cstheme="minorHAnsi"/>
          <w:lang w:val="en-GB"/>
        </w:rPr>
        <w:t xml:space="preserve">Such considerations will be particularly relevant when peaceful assemblies </w:t>
      </w:r>
      <w:r w:rsidR="006F567C" w:rsidRPr="001B1A3F">
        <w:rPr>
          <w:rFonts w:asciiTheme="minorHAnsi" w:hAnsiTheme="minorHAnsi" w:cstheme="minorHAnsi"/>
          <w:lang w:val="en-GB"/>
        </w:rPr>
        <w:t xml:space="preserve">advocating </w:t>
      </w:r>
      <w:r w:rsidRPr="001B1A3F">
        <w:rPr>
          <w:rFonts w:asciiTheme="minorHAnsi" w:hAnsiTheme="minorHAnsi" w:cstheme="minorHAnsi"/>
          <w:lang w:val="en-GB"/>
        </w:rPr>
        <w:t xml:space="preserve">for migrant, LGBTI, or other minority rights are </w:t>
      </w:r>
      <w:r w:rsidR="006F567C" w:rsidRPr="001B1A3F">
        <w:rPr>
          <w:rFonts w:asciiTheme="minorHAnsi" w:hAnsiTheme="minorHAnsi" w:cstheme="minorHAnsi"/>
          <w:lang w:val="en-GB"/>
        </w:rPr>
        <w:t xml:space="preserve">met with </w:t>
      </w:r>
      <w:r w:rsidRPr="001B1A3F">
        <w:rPr>
          <w:rFonts w:asciiTheme="minorHAnsi" w:hAnsiTheme="minorHAnsi" w:cstheme="minorHAnsi"/>
          <w:lang w:val="en-GB"/>
        </w:rPr>
        <w:t>counter-protest</w:t>
      </w:r>
      <w:r w:rsidR="006F567C" w:rsidRPr="001B1A3F">
        <w:rPr>
          <w:rFonts w:asciiTheme="minorHAnsi" w:hAnsiTheme="minorHAnsi" w:cstheme="minorHAnsi"/>
          <w:lang w:val="en-GB"/>
        </w:rPr>
        <w:t>s</w:t>
      </w:r>
      <w:r w:rsidRPr="001B1A3F">
        <w:rPr>
          <w:rFonts w:asciiTheme="minorHAnsi" w:hAnsiTheme="minorHAnsi" w:cstheme="minorHAnsi"/>
          <w:lang w:val="en-GB"/>
        </w:rPr>
        <w:t xml:space="preserve"> </w:t>
      </w:r>
      <w:r w:rsidR="006F567C" w:rsidRPr="001B1A3F">
        <w:rPr>
          <w:rFonts w:asciiTheme="minorHAnsi" w:hAnsiTheme="minorHAnsi" w:cstheme="minorHAnsi"/>
          <w:lang w:val="en-GB"/>
        </w:rPr>
        <w:t xml:space="preserve">characterized by </w:t>
      </w:r>
      <w:r w:rsidRPr="001B1A3F">
        <w:rPr>
          <w:rFonts w:asciiTheme="minorHAnsi" w:hAnsiTheme="minorHAnsi" w:cstheme="minorHAnsi"/>
          <w:lang w:val="en-GB"/>
        </w:rPr>
        <w:t xml:space="preserve">incitement to hatred. </w:t>
      </w:r>
      <w:r w:rsidR="005F2774" w:rsidRPr="001B1A3F">
        <w:rPr>
          <w:rFonts w:asciiTheme="minorHAnsi" w:hAnsiTheme="minorHAnsi" w:cstheme="minorHAnsi"/>
          <w:lang w:val="en-GB"/>
        </w:rPr>
        <w:t xml:space="preserve">The European Court of Human Rights </w:t>
      </w:r>
      <w:r w:rsidR="006F567C" w:rsidRPr="001B1A3F">
        <w:rPr>
          <w:rFonts w:asciiTheme="minorHAnsi" w:hAnsiTheme="minorHAnsi" w:cstheme="minorHAnsi"/>
          <w:lang w:val="en-GB"/>
        </w:rPr>
        <w:t xml:space="preserve">has issued several judgments </w:t>
      </w:r>
      <w:r w:rsidRPr="001B1A3F">
        <w:rPr>
          <w:rFonts w:asciiTheme="minorHAnsi" w:hAnsiTheme="minorHAnsi" w:cstheme="minorHAnsi"/>
          <w:lang w:val="en-GB"/>
        </w:rPr>
        <w:t xml:space="preserve">in recent years developing duties under Article 8 </w:t>
      </w:r>
      <w:r w:rsidR="006F567C" w:rsidRPr="001B1A3F">
        <w:rPr>
          <w:rFonts w:asciiTheme="minorHAnsi" w:hAnsiTheme="minorHAnsi" w:cstheme="minorHAnsi"/>
          <w:lang w:val="en-GB"/>
        </w:rPr>
        <w:t xml:space="preserve">of the European Convention on Human Rights </w:t>
      </w:r>
      <w:r w:rsidRPr="001B1A3F">
        <w:rPr>
          <w:rFonts w:asciiTheme="minorHAnsi" w:hAnsiTheme="minorHAnsi" w:cstheme="minorHAnsi"/>
          <w:lang w:val="en-GB"/>
        </w:rPr>
        <w:t>(private and family life) to limit racist expression in protest context</w:t>
      </w:r>
      <w:r w:rsidR="006F567C" w:rsidRPr="001B1A3F">
        <w:rPr>
          <w:rFonts w:asciiTheme="minorHAnsi" w:hAnsiTheme="minorHAnsi" w:cstheme="minorHAnsi"/>
          <w:lang w:val="en-GB"/>
        </w:rPr>
        <w:t>s</w:t>
      </w:r>
      <w:r w:rsidRPr="001B1A3F">
        <w:rPr>
          <w:rFonts w:asciiTheme="minorHAnsi" w:hAnsiTheme="minorHAnsi" w:cstheme="minorHAnsi"/>
          <w:lang w:val="en-GB"/>
        </w:rPr>
        <w:t>.</w:t>
      </w:r>
      <w:r w:rsidRPr="001B1A3F">
        <w:rPr>
          <w:rFonts w:asciiTheme="minorHAnsi" w:hAnsiTheme="minorHAnsi" w:cstheme="minorHAnsi"/>
          <w:vertAlign w:val="superscript"/>
          <w:lang w:val="en-GB"/>
        </w:rPr>
        <w:footnoteReference w:id="68"/>
      </w:r>
    </w:p>
    <w:p w14:paraId="6CA0D176" w14:textId="7417C0CD" w:rsidR="000E591A" w:rsidRPr="006248B2" w:rsidRDefault="00AB668F" w:rsidP="008A399A">
      <w:pPr>
        <w:spacing w:after="0" w:line="240" w:lineRule="auto"/>
        <w:jc w:val="center"/>
        <w:rPr>
          <w:rFonts w:asciiTheme="minorHAnsi" w:hAnsiTheme="minorHAnsi" w:cstheme="minorHAnsi"/>
          <w:b/>
          <w:color w:val="0070C0"/>
          <w:sz w:val="28"/>
          <w:szCs w:val="28"/>
        </w:rPr>
      </w:pPr>
      <w:r>
        <w:rPr>
          <w:rFonts w:asciiTheme="minorHAnsi" w:hAnsiTheme="minorHAnsi" w:cstheme="minorHAnsi"/>
        </w:rPr>
        <w:br w:type="page"/>
      </w:r>
      <w:r w:rsidR="000E591A" w:rsidRPr="006248B2">
        <w:rPr>
          <w:rFonts w:asciiTheme="minorHAnsi" w:hAnsiTheme="minorHAnsi" w:cstheme="minorHAnsi"/>
          <w:b/>
          <w:color w:val="0070C0"/>
          <w:sz w:val="28"/>
          <w:szCs w:val="28"/>
        </w:rPr>
        <w:lastRenderedPageBreak/>
        <w:t>ANNEX A:</w:t>
      </w:r>
    </w:p>
    <w:p w14:paraId="1C5B2717" w14:textId="1670A7CC" w:rsidR="006248B2" w:rsidRDefault="000E591A" w:rsidP="00F30169">
      <w:pPr>
        <w:autoSpaceDE w:val="0"/>
        <w:autoSpaceDN w:val="0"/>
        <w:adjustRightInd w:val="0"/>
        <w:spacing w:after="120"/>
        <w:jc w:val="center"/>
        <w:rPr>
          <w:rFonts w:asciiTheme="minorHAnsi" w:hAnsiTheme="minorHAnsi" w:cstheme="minorHAnsi"/>
          <w:b/>
        </w:rPr>
      </w:pPr>
      <w:r>
        <w:rPr>
          <w:rFonts w:asciiTheme="minorHAnsi" w:hAnsiTheme="minorHAnsi" w:cstheme="minorHAnsi"/>
          <w:b/>
        </w:rPr>
        <w:t>PRINCIPLE 1 AND ACCOMPANYING GUIDELINES</w:t>
      </w:r>
      <w:r w:rsidR="006248B2" w:rsidRPr="006248B2">
        <w:rPr>
          <w:rFonts w:asciiTheme="minorHAnsi" w:hAnsiTheme="minorHAnsi" w:cstheme="minorHAnsi"/>
          <w:b/>
        </w:rPr>
        <w:t xml:space="preserve"> </w:t>
      </w:r>
    </w:p>
    <w:p w14:paraId="7AE2082F" w14:textId="2E4D3F92" w:rsidR="006248B2" w:rsidRDefault="006248B2" w:rsidP="00F30169">
      <w:pPr>
        <w:autoSpaceDE w:val="0"/>
        <w:autoSpaceDN w:val="0"/>
        <w:adjustRightInd w:val="0"/>
        <w:spacing w:after="120"/>
        <w:jc w:val="center"/>
        <w:rPr>
          <w:rFonts w:asciiTheme="minorHAnsi" w:hAnsiTheme="minorHAnsi" w:cstheme="minorHAnsi"/>
          <w:b/>
        </w:rPr>
      </w:pPr>
      <w:r>
        <w:rPr>
          <w:rFonts w:asciiTheme="minorHAnsi" w:hAnsiTheme="minorHAnsi" w:cstheme="minorHAnsi"/>
          <w:b/>
        </w:rPr>
        <w:t>of the</w:t>
      </w:r>
    </w:p>
    <w:p w14:paraId="3D2BEC6C" w14:textId="35A5B6E5" w:rsidR="006248B2" w:rsidRDefault="006248B2" w:rsidP="00F30169">
      <w:pPr>
        <w:autoSpaceDE w:val="0"/>
        <w:autoSpaceDN w:val="0"/>
        <w:adjustRightInd w:val="0"/>
        <w:spacing w:after="120"/>
        <w:jc w:val="center"/>
        <w:rPr>
          <w:rFonts w:asciiTheme="minorHAnsi" w:hAnsiTheme="minorHAnsi" w:cstheme="minorHAnsi"/>
          <w:b/>
        </w:rPr>
      </w:pPr>
      <w:r w:rsidRPr="000E591A">
        <w:rPr>
          <w:rFonts w:asciiTheme="minorHAnsi" w:hAnsiTheme="minorHAnsi" w:cstheme="minorHAnsi"/>
          <w:b/>
        </w:rPr>
        <w:t>PRINCIPLES AND GUIDELINES ON PROTEST AND THE RIGHT TO INFORMATION</w:t>
      </w:r>
    </w:p>
    <w:p w14:paraId="31665013" w14:textId="5F712206" w:rsidR="006248B2" w:rsidRDefault="006248B2" w:rsidP="006248B2">
      <w:pPr>
        <w:autoSpaceDE w:val="0"/>
        <w:autoSpaceDN w:val="0"/>
        <w:adjustRightInd w:val="0"/>
        <w:jc w:val="center"/>
        <w:rPr>
          <w:rFonts w:asciiTheme="minorHAnsi" w:hAnsiTheme="minorHAnsi" w:cstheme="minorHAnsi"/>
          <w:b/>
        </w:rPr>
      </w:pPr>
      <w:r>
        <w:rPr>
          <w:rFonts w:asciiTheme="minorHAnsi" w:hAnsiTheme="minorHAnsi" w:cstheme="minorHAnsi"/>
          <w:b/>
        </w:rPr>
        <w:t>Issued by the Open Society Justice Initiative and the Committee on the Administration of Justice (2018)</w:t>
      </w:r>
    </w:p>
    <w:p w14:paraId="09210E7A" w14:textId="629BC3AF" w:rsidR="000E591A" w:rsidRPr="00605ED6" w:rsidRDefault="00605ED6" w:rsidP="000E591A">
      <w:pPr>
        <w:autoSpaceDE w:val="0"/>
        <w:autoSpaceDN w:val="0"/>
        <w:adjustRightInd w:val="0"/>
        <w:jc w:val="center"/>
        <w:rPr>
          <w:rFonts w:asciiTheme="minorHAnsi" w:hAnsiTheme="minorHAnsi" w:cstheme="minorHAnsi"/>
          <w:color w:val="0070C0"/>
        </w:rPr>
      </w:pPr>
      <w:r w:rsidRPr="00605ED6">
        <w:rPr>
          <w:rFonts w:asciiTheme="minorHAnsi" w:hAnsiTheme="minorHAnsi" w:cstheme="minorHAnsi"/>
          <w:color w:val="0070C0"/>
        </w:rPr>
        <w:t>https://www.right2info.org/resources/publications/principles-and-guidelines-on-protest-and-the-right-to-information/view</w:t>
      </w:r>
    </w:p>
    <w:p w14:paraId="43C07AAC" w14:textId="77777777" w:rsidR="000E591A" w:rsidRPr="000E591A" w:rsidRDefault="000E591A" w:rsidP="00F30169">
      <w:pPr>
        <w:spacing w:after="0" w:line="240" w:lineRule="auto"/>
        <w:jc w:val="both"/>
        <w:rPr>
          <w:rFonts w:ascii="Times New Roman" w:hAnsi="Times New Roman" w:cs="Times New Roman"/>
          <w:b/>
          <w:bCs/>
          <w:sz w:val="24"/>
          <w:szCs w:val="24"/>
        </w:rPr>
      </w:pPr>
      <w:r w:rsidRPr="000E591A">
        <w:rPr>
          <w:rFonts w:ascii="Times New Roman" w:hAnsi="Times New Roman" w:cs="Times New Roman"/>
          <w:b/>
          <w:bCs/>
          <w:sz w:val="24"/>
          <w:szCs w:val="24"/>
        </w:rPr>
        <w:t>PRINCIPLE 1</w:t>
      </w:r>
      <w:r w:rsidRPr="000E591A">
        <w:rPr>
          <w:rFonts w:ascii="Times New Roman" w:hAnsi="Times New Roman" w:cs="Times New Roman"/>
          <w:sz w:val="24"/>
          <w:szCs w:val="24"/>
        </w:rPr>
        <w:t>:</w:t>
      </w:r>
      <w:r w:rsidRPr="000E591A">
        <w:rPr>
          <w:rFonts w:ascii="Times New Roman" w:hAnsi="Times New Roman" w:cs="Times New Roman"/>
          <w:b/>
          <w:bCs/>
          <w:sz w:val="24"/>
          <w:szCs w:val="24"/>
        </w:rPr>
        <w:t xml:space="preserve"> Public authorities should make proactively available information that individuals and watchdogs need in order </w:t>
      </w:r>
      <w:r w:rsidRPr="000E591A">
        <w:rPr>
          <w:rFonts w:ascii="Times New Roman" w:hAnsi="Times New Roman" w:cs="Times New Roman"/>
          <w:b/>
          <w:bCs/>
          <w:sz w:val="24"/>
          <w:szCs w:val="24"/>
          <w:lang w:val="en-GB"/>
        </w:rPr>
        <w:t xml:space="preserve">to be able to: (a) exercise democratic oversight of the policing of protest and promote accountability; (b) safeguard rights to freedom of assembly and expression; and (c) be aware of conduct that could result in penalties.  </w:t>
      </w:r>
    </w:p>
    <w:p w14:paraId="4A2EEF8D" w14:textId="77777777" w:rsidR="000E591A" w:rsidRPr="000E591A" w:rsidRDefault="000E591A" w:rsidP="000E591A">
      <w:pPr>
        <w:spacing w:after="0"/>
        <w:jc w:val="both"/>
        <w:rPr>
          <w:rFonts w:ascii="Times New Roman" w:hAnsi="Times New Roman" w:cs="Times New Roman"/>
          <w:sz w:val="24"/>
          <w:szCs w:val="24"/>
        </w:rPr>
      </w:pPr>
    </w:p>
    <w:p w14:paraId="05A8D09D" w14:textId="77777777" w:rsidR="000E591A" w:rsidRPr="000E591A" w:rsidRDefault="000E591A" w:rsidP="000E591A">
      <w:pPr>
        <w:spacing w:after="0"/>
        <w:jc w:val="both"/>
        <w:rPr>
          <w:rFonts w:ascii="Times New Roman" w:hAnsi="Times New Roman" w:cs="Times New Roman"/>
          <w:b/>
          <w:i/>
          <w:sz w:val="24"/>
          <w:szCs w:val="24"/>
        </w:rPr>
      </w:pPr>
      <w:r w:rsidRPr="000E591A">
        <w:rPr>
          <w:rFonts w:ascii="Times New Roman" w:hAnsi="Times New Roman" w:cs="Times New Roman"/>
          <w:b/>
          <w:i/>
          <w:sz w:val="24"/>
          <w:szCs w:val="24"/>
        </w:rPr>
        <w:t>GUIDELINES:</w:t>
      </w:r>
    </w:p>
    <w:p w14:paraId="3857C917" w14:textId="77777777" w:rsidR="000E591A" w:rsidRPr="000E591A" w:rsidRDefault="000E591A" w:rsidP="000E591A">
      <w:pPr>
        <w:spacing w:after="0"/>
        <w:jc w:val="both"/>
        <w:rPr>
          <w:rFonts w:ascii="Times New Roman" w:hAnsi="Times New Roman" w:cs="Times New Roman"/>
          <w:sz w:val="24"/>
          <w:szCs w:val="24"/>
        </w:rPr>
      </w:pPr>
    </w:p>
    <w:p w14:paraId="1ACA37B9" w14:textId="77777777" w:rsidR="000E591A" w:rsidRPr="000E591A" w:rsidRDefault="000E591A" w:rsidP="000E591A">
      <w:pPr>
        <w:numPr>
          <w:ilvl w:val="0"/>
          <w:numId w:val="13"/>
        </w:numPr>
        <w:spacing w:after="0"/>
        <w:jc w:val="both"/>
        <w:rPr>
          <w:rFonts w:ascii="Times New Roman" w:hAnsi="Times New Roman" w:cs="Times New Roman"/>
        </w:rPr>
      </w:pPr>
      <w:r w:rsidRPr="000E591A">
        <w:rPr>
          <w:rFonts w:ascii="Times New Roman" w:hAnsi="Times New Roman" w:cs="Times New Roman"/>
        </w:rPr>
        <w:t>Public authorities should proactively publish in accessible formats,</w:t>
      </w:r>
      <w:r w:rsidRPr="000E591A">
        <w:rPr>
          <w:rFonts w:ascii="Times New Roman" w:hAnsi="Times New Roman" w:cs="Times New Roman"/>
          <w:vertAlign w:val="superscript"/>
        </w:rPr>
        <w:footnoteReference w:id="69"/>
      </w:r>
      <w:r w:rsidRPr="000E591A">
        <w:rPr>
          <w:rFonts w:ascii="Times New Roman" w:hAnsi="Times New Roman" w:cs="Times New Roman"/>
        </w:rPr>
        <w:t xml:space="preserve"> including for persons with disabilities, and in all of the jurisdiction’s official languages, and should supply upon request and free of charge: </w:t>
      </w:r>
    </w:p>
    <w:p w14:paraId="5AC868CE" w14:textId="77777777" w:rsidR="000E591A" w:rsidRPr="000E591A" w:rsidRDefault="000E591A" w:rsidP="000E591A">
      <w:pPr>
        <w:numPr>
          <w:ilvl w:val="0"/>
          <w:numId w:val="14"/>
        </w:numPr>
        <w:spacing w:after="0"/>
        <w:jc w:val="both"/>
        <w:rPr>
          <w:rFonts w:ascii="Times New Roman" w:hAnsi="Times New Roman" w:cs="Times New Roman"/>
        </w:rPr>
      </w:pPr>
      <w:r w:rsidRPr="000E591A">
        <w:rPr>
          <w:rFonts w:ascii="Times New Roman" w:hAnsi="Times New Roman" w:cs="Times New Roman"/>
        </w:rPr>
        <w:t xml:space="preserve">the laws, regulations, executive decrees, judicial orders, official interpretations, and other legally binding documents that can be used to facilitate or limit protests (hereafter referred to as “the legal framework”); </w:t>
      </w:r>
    </w:p>
    <w:p w14:paraId="5569944E" w14:textId="77777777" w:rsidR="000E591A" w:rsidRPr="000E591A" w:rsidRDefault="000E591A" w:rsidP="000E591A">
      <w:pPr>
        <w:numPr>
          <w:ilvl w:val="0"/>
          <w:numId w:val="14"/>
        </w:numPr>
        <w:spacing w:after="0"/>
        <w:jc w:val="both"/>
        <w:rPr>
          <w:rFonts w:ascii="Times New Roman" w:hAnsi="Times New Roman" w:cs="Times New Roman"/>
        </w:rPr>
      </w:pPr>
      <w:r w:rsidRPr="000E591A">
        <w:rPr>
          <w:rFonts w:ascii="Times New Roman" w:hAnsi="Times New Roman" w:cs="Times New Roman"/>
        </w:rPr>
        <w:t xml:space="preserve">the policy documents concerning protests that bind or guide decision-makers, as well as police standard operating procedures (SOPs), training manuals (both in-service and trainee), and disciplinary codes and procedures concerning matters that may arise during protests; </w:t>
      </w:r>
    </w:p>
    <w:p w14:paraId="4E6B5CA3" w14:textId="77777777" w:rsidR="000E591A" w:rsidRPr="000E591A" w:rsidRDefault="000E591A" w:rsidP="000E591A">
      <w:pPr>
        <w:numPr>
          <w:ilvl w:val="0"/>
          <w:numId w:val="14"/>
        </w:numPr>
        <w:spacing w:after="0"/>
        <w:jc w:val="both"/>
        <w:rPr>
          <w:rFonts w:ascii="Times New Roman" w:hAnsi="Times New Roman" w:cs="Times New Roman"/>
        </w:rPr>
      </w:pPr>
      <w:r w:rsidRPr="000E591A">
        <w:rPr>
          <w:rFonts w:ascii="Times New Roman" w:hAnsi="Times New Roman" w:cs="Times New Roman"/>
        </w:rPr>
        <w:t xml:space="preserve">the types of equipment routinely used in managing assemblies, and equipment available for exceptional situations, including appropriate protective gear; </w:t>
      </w:r>
    </w:p>
    <w:p w14:paraId="07CDAD10" w14:textId="77777777" w:rsidR="000E591A" w:rsidRPr="000E591A" w:rsidRDefault="000E591A" w:rsidP="000E591A">
      <w:pPr>
        <w:numPr>
          <w:ilvl w:val="0"/>
          <w:numId w:val="14"/>
        </w:numPr>
        <w:spacing w:after="0"/>
        <w:jc w:val="both"/>
        <w:rPr>
          <w:rFonts w:ascii="Times New Roman" w:hAnsi="Times New Roman" w:cs="Times New Roman"/>
        </w:rPr>
      </w:pPr>
      <w:r w:rsidRPr="000E591A">
        <w:rPr>
          <w:rFonts w:ascii="Times New Roman" w:hAnsi="Times New Roman" w:cs="Times New Roman"/>
        </w:rPr>
        <w:t xml:space="preserve">information regarding the responsibilities and procedures of agencies and bodies that manage protests;  </w:t>
      </w:r>
    </w:p>
    <w:p w14:paraId="7874FC1A" w14:textId="77777777" w:rsidR="000E591A" w:rsidRPr="000E591A" w:rsidRDefault="000E591A" w:rsidP="000E591A">
      <w:pPr>
        <w:numPr>
          <w:ilvl w:val="0"/>
          <w:numId w:val="14"/>
        </w:numPr>
        <w:spacing w:after="0"/>
        <w:jc w:val="both"/>
        <w:rPr>
          <w:rFonts w:ascii="Times New Roman" w:hAnsi="Times New Roman" w:cs="Times New Roman"/>
        </w:rPr>
      </w:pPr>
      <w:r w:rsidRPr="000E591A">
        <w:rPr>
          <w:rFonts w:ascii="Times New Roman" w:hAnsi="Times New Roman" w:cs="Times New Roman"/>
        </w:rPr>
        <w:t>information about special units that may be deployed, including military units and private security companies; and</w:t>
      </w:r>
    </w:p>
    <w:p w14:paraId="3AF8619D" w14:textId="77777777" w:rsidR="000E591A" w:rsidRPr="000E591A" w:rsidRDefault="000E591A" w:rsidP="000E591A">
      <w:pPr>
        <w:numPr>
          <w:ilvl w:val="0"/>
          <w:numId w:val="14"/>
        </w:numPr>
        <w:spacing w:after="0"/>
        <w:jc w:val="both"/>
        <w:rPr>
          <w:rFonts w:ascii="Times New Roman" w:hAnsi="Times New Roman" w:cs="Times New Roman"/>
        </w:rPr>
      </w:pPr>
      <w:r w:rsidRPr="000E591A">
        <w:rPr>
          <w:rFonts w:ascii="Times New Roman" w:hAnsi="Times New Roman" w:cs="Times New Roman"/>
        </w:rPr>
        <w:t>the procedures for requesting information from, submitting complaints to, and lodging appeals with, relevant public authorities, including oversight bodies.</w:t>
      </w:r>
    </w:p>
    <w:p w14:paraId="65C59ABA" w14:textId="77777777" w:rsidR="000E591A" w:rsidRPr="000E591A" w:rsidRDefault="000E591A" w:rsidP="000E591A">
      <w:pPr>
        <w:spacing w:after="0"/>
        <w:ind w:left="720"/>
        <w:jc w:val="both"/>
        <w:rPr>
          <w:rFonts w:ascii="Times New Roman" w:hAnsi="Times New Roman" w:cs="Times New Roman"/>
        </w:rPr>
      </w:pPr>
    </w:p>
    <w:p w14:paraId="68CDB17A" w14:textId="77777777" w:rsidR="000E591A" w:rsidRPr="000E591A" w:rsidRDefault="000E591A" w:rsidP="000E591A">
      <w:pPr>
        <w:numPr>
          <w:ilvl w:val="0"/>
          <w:numId w:val="13"/>
        </w:numPr>
        <w:spacing w:after="0"/>
        <w:jc w:val="both"/>
        <w:rPr>
          <w:rFonts w:ascii="Times New Roman" w:hAnsi="Times New Roman" w:cs="Times New Roman"/>
        </w:rPr>
      </w:pPr>
      <w:r w:rsidRPr="000E591A">
        <w:rPr>
          <w:rFonts w:ascii="Times New Roman" w:hAnsi="Times New Roman" w:cs="Times New Roman"/>
        </w:rPr>
        <w:t xml:space="preserve">The above-listed information should never be withheld. Authorities should routinely generate such information and draft said documents bearing in mind the public’s right of access to them, and should include any operational details in separate annexes to facilitate transparency without imposing unnecessary administrative burdens. If a document includes both information that falls into any of the above categories as well as operational details, the operational details may be redacted in accordance </w:t>
      </w:r>
      <w:r w:rsidRPr="000E591A">
        <w:rPr>
          <w:rFonts w:ascii="Times New Roman" w:hAnsi="Times New Roman" w:cs="Times New Roman"/>
        </w:rPr>
        <w:lastRenderedPageBreak/>
        <w:t>with permissible restrictions on the right of access to information set forth in international law, if necessary and proportionate to protect a legitimate interest such as public safety or crime prevention. Release of annexes containing operational details should also be subject to such a test.</w:t>
      </w:r>
      <w:r w:rsidRPr="000E591A">
        <w:rPr>
          <w:rFonts w:ascii="Times New Roman" w:hAnsi="Times New Roman" w:cs="Times New Roman"/>
          <w:vertAlign w:val="superscript"/>
        </w:rPr>
        <w:footnoteReference w:id="70"/>
      </w:r>
      <w:r w:rsidRPr="000E591A">
        <w:rPr>
          <w:rFonts w:ascii="Times New Roman" w:hAnsi="Times New Roman" w:cs="Times New Roman"/>
        </w:rPr>
        <w:t xml:space="preserve"> </w:t>
      </w:r>
    </w:p>
    <w:p w14:paraId="361E8258" w14:textId="77777777" w:rsidR="000E591A" w:rsidRPr="000E591A" w:rsidRDefault="000E591A" w:rsidP="000E591A">
      <w:pPr>
        <w:spacing w:after="0"/>
        <w:ind w:left="360"/>
        <w:jc w:val="both"/>
        <w:rPr>
          <w:rFonts w:ascii="Times New Roman" w:hAnsi="Times New Roman" w:cs="Times New Roman"/>
        </w:rPr>
      </w:pPr>
      <w:r w:rsidRPr="000E591A">
        <w:rPr>
          <w:rFonts w:ascii="Times New Roman" w:hAnsi="Times New Roman" w:cs="Times New Roman"/>
          <w:lang w:val="en-GB"/>
        </w:rPr>
        <w:t xml:space="preserve"> </w:t>
      </w:r>
    </w:p>
    <w:p w14:paraId="4B7B2875" w14:textId="207F92CB" w:rsidR="000E591A" w:rsidRPr="000E591A" w:rsidRDefault="000E591A" w:rsidP="000E591A">
      <w:pPr>
        <w:numPr>
          <w:ilvl w:val="0"/>
          <w:numId w:val="13"/>
        </w:numPr>
        <w:spacing w:after="0"/>
        <w:jc w:val="both"/>
        <w:rPr>
          <w:rFonts w:ascii="Times New Roman" w:hAnsi="Times New Roman" w:cs="Times New Roman"/>
        </w:rPr>
      </w:pPr>
      <w:r w:rsidRPr="000E591A">
        <w:rPr>
          <w:rFonts w:ascii="Times New Roman" w:hAnsi="Times New Roman" w:cs="Times New Roman"/>
        </w:rPr>
        <w:t xml:space="preserve">The legal framework, policy documents, SOPs, training manuals, and disciplinary codes and procedures should address, in particular, the following items, because missteps in these areas could result in human rights violations and/or injuries to police, protesters or by-standers,  </w:t>
      </w:r>
      <w:r w:rsidR="006217B9" w:rsidRPr="000E591A">
        <w:rPr>
          <w:rFonts w:ascii="Times New Roman" w:hAnsi="Times New Roman" w:cs="Times New Roman"/>
        </w:rPr>
        <w:t>and</w:t>
      </w:r>
      <w:r w:rsidRPr="000E591A">
        <w:rPr>
          <w:rFonts w:ascii="Times New Roman" w:hAnsi="Times New Roman" w:cs="Times New Roman"/>
        </w:rPr>
        <w:t xml:space="preserve"> because detailed written policies and related materials can assist in promoting compliance and effective monitoring:</w:t>
      </w:r>
      <w:r w:rsidRPr="000E591A">
        <w:rPr>
          <w:rFonts w:ascii="Times New Roman" w:hAnsi="Times New Roman" w:cs="Times New Roman"/>
          <w:vertAlign w:val="superscript"/>
        </w:rPr>
        <w:footnoteReference w:id="71"/>
      </w:r>
    </w:p>
    <w:p w14:paraId="4ECBFD13" w14:textId="77777777" w:rsidR="000E591A" w:rsidRPr="000E591A" w:rsidRDefault="000E591A" w:rsidP="000E591A">
      <w:pPr>
        <w:numPr>
          <w:ilvl w:val="0"/>
          <w:numId w:val="15"/>
        </w:numPr>
        <w:spacing w:after="0"/>
        <w:jc w:val="both"/>
        <w:rPr>
          <w:rFonts w:ascii="Times New Roman" w:hAnsi="Times New Roman" w:cs="Times New Roman"/>
        </w:rPr>
      </w:pPr>
      <w:r w:rsidRPr="000E591A">
        <w:rPr>
          <w:rFonts w:ascii="Times New Roman" w:hAnsi="Times New Roman" w:cs="Times New Roman"/>
        </w:rPr>
        <w:t xml:space="preserve">the circumstances in which dispersal of protests or arrest of protesters are permissible; </w:t>
      </w:r>
    </w:p>
    <w:p w14:paraId="02B8A350" w14:textId="77777777" w:rsidR="000E591A" w:rsidRPr="000E591A" w:rsidRDefault="000E591A" w:rsidP="000E591A">
      <w:pPr>
        <w:numPr>
          <w:ilvl w:val="0"/>
          <w:numId w:val="15"/>
        </w:numPr>
        <w:spacing w:after="0"/>
        <w:jc w:val="both"/>
        <w:rPr>
          <w:rFonts w:ascii="Times New Roman" w:hAnsi="Times New Roman" w:cs="Times New Roman"/>
        </w:rPr>
      </w:pPr>
      <w:r w:rsidRPr="000E591A">
        <w:rPr>
          <w:rFonts w:ascii="Times New Roman" w:hAnsi="Times New Roman" w:cs="Times New Roman"/>
        </w:rPr>
        <w:t>the permissible uses of force in various circumstances;</w:t>
      </w:r>
    </w:p>
    <w:p w14:paraId="005DECA3" w14:textId="77777777" w:rsidR="000E591A" w:rsidRPr="000E591A" w:rsidRDefault="000E591A" w:rsidP="000E591A">
      <w:pPr>
        <w:numPr>
          <w:ilvl w:val="0"/>
          <w:numId w:val="15"/>
        </w:numPr>
        <w:spacing w:after="0"/>
        <w:jc w:val="both"/>
        <w:rPr>
          <w:rFonts w:ascii="Times New Roman" w:hAnsi="Times New Roman" w:cs="Times New Roman"/>
        </w:rPr>
      </w:pPr>
      <w:r w:rsidRPr="000E591A">
        <w:rPr>
          <w:rFonts w:ascii="Times New Roman" w:hAnsi="Times New Roman" w:cs="Times New Roman"/>
        </w:rPr>
        <w:t xml:space="preserve">the handling of counter-protests; </w:t>
      </w:r>
    </w:p>
    <w:p w14:paraId="2E4BE204" w14:textId="77777777" w:rsidR="000E591A" w:rsidRPr="000E591A" w:rsidRDefault="000E591A" w:rsidP="000E591A">
      <w:pPr>
        <w:numPr>
          <w:ilvl w:val="0"/>
          <w:numId w:val="15"/>
        </w:numPr>
        <w:spacing w:after="0"/>
        <w:jc w:val="both"/>
        <w:rPr>
          <w:rFonts w:ascii="Times New Roman" w:hAnsi="Times New Roman" w:cs="Times New Roman"/>
        </w:rPr>
      </w:pPr>
      <w:r w:rsidRPr="000E591A">
        <w:rPr>
          <w:rFonts w:ascii="Times New Roman" w:hAnsi="Times New Roman" w:cs="Times New Roman"/>
        </w:rPr>
        <w:t>the right of the media and other public watchdogs to observe and record protests;</w:t>
      </w:r>
    </w:p>
    <w:p w14:paraId="302A71CA" w14:textId="77777777" w:rsidR="000E591A" w:rsidRPr="000E591A" w:rsidRDefault="000E591A" w:rsidP="000E591A">
      <w:pPr>
        <w:numPr>
          <w:ilvl w:val="0"/>
          <w:numId w:val="15"/>
        </w:numPr>
        <w:spacing w:after="0"/>
        <w:jc w:val="both"/>
        <w:rPr>
          <w:rFonts w:ascii="Times New Roman" w:hAnsi="Times New Roman" w:cs="Times New Roman"/>
        </w:rPr>
      </w:pPr>
      <w:r w:rsidRPr="000E591A">
        <w:rPr>
          <w:rFonts w:ascii="Times New Roman" w:hAnsi="Times New Roman" w:cs="Times New Roman"/>
        </w:rPr>
        <w:t>the use of surveillance and agents (informants and undercover officers) in a protest context; and</w:t>
      </w:r>
    </w:p>
    <w:p w14:paraId="675C20C1" w14:textId="77777777" w:rsidR="000E591A" w:rsidRPr="000E591A" w:rsidRDefault="000E591A" w:rsidP="000E591A">
      <w:pPr>
        <w:numPr>
          <w:ilvl w:val="0"/>
          <w:numId w:val="15"/>
        </w:numPr>
        <w:spacing w:after="0"/>
        <w:jc w:val="both"/>
        <w:rPr>
          <w:rFonts w:ascii="Times New Roman" w:hAnsi="Times New Roman" w:cs="Times New Roman"/>
        </w:rPr>
      </w:pPr>
      <w:r w:rsidRPr="000E591A">
        <w:rPr>
          <w:rFonts w:ascii="Times New Roman" w:hAnsi="Times New Roman" w:cs="Times New Roman"/>
        </w:rPr>
        <w:t>any duties imposed on protestors, including any notification requirements.</w:t>
      </w:r>
    </w:p>
    <w:p w14:paraId="54618C2A" w14:textId="77777777" w:rsidR="000E591A" w:rsidRPr="000E591A" w:rsidRDefault="000E591A" w:rsidP="000E591A">
      <w:pPr>
        <w:spacing w:after="0"/>
        <w:ind w:left="360"/>
        <w:jc w:val="both"/>
        <w:rPr>
          <w:rFonts w:ascii="Times New Roman" w:hAnsi="Times New Roman" w:cs="Times New Roman"/>
        </w:rPr>
      </w:pPr>
    </w:p>
    <w:p w14:paraId="3D4B115B" w14:textId="77777777" w:rsidR="000E591A" w:rsidRPr="000E591A" w:rsidRDefault="000E591A" w:rsidP="000E591A">
      <w:pPr>
        <w:numPr>
          <w:ilvl w:val="0"/>
          <w:numId w:val="13"/>
        </w:numPr>
        <w:spacing w:after="0"/>
        <w:jc w:val="both"/>
        <w:rPr>
          <w:rFonts w:ascii="Times New Roman" w:hAnsi="Times New Roman" w:cs="Times New Roman"/>
        </w:rPr>
      </w:pPr>
      <w:r w:rsidRPr="000E591A">
        <w:rPr>
          <w:rFonts w:ascii="Times New Roman" w:hAnsi="Times New Roman" w:cs="Times New Roman"/>
        </w:rPr>
        <w:t>Policy documents, SOPs, training manuals, and disciplinary codes and procedures (but not necessarily the legal framework itself) should, in addition to the matters noted in section (c), above, address the following topics:</w:t>
      </w:r>
      <w:r w:rsidRPr="000E591A">
        <w:rPr>
          <w:rFonts w:ascii="Times New Roman" w:hAnsi="Times New Roman" w:cs="Times New Roman"/>
          <w:vertAlign w:val="superscript"/>
        </w:rPr>
        <w:footnoteReference w:id="72"/>
      </w:r>
      <w:r w:rsidRPr="000E591A">
        <w:rPr>
          <w:rFonts w:ascii="Times New Roman" w:hAnsi="Times New Roman" w:cs="Times New Roman"/>
        </w:rPr>
        <w:t xml:space="preserve"> </w:t>
      </w:r>
    </w:p>
    <w:p w14:paraId="03E5B1B2" w14:textId="77777777" w:rsidR="000E591A" w:rsidRPr="000E591A" w:rsidRDefault="000E591A" w:rsidP="000E591A">
      <w:pPr>
        <w:spacing w:after="0"/>
        <w:ind w:left="360"/>
        <w:jc w:val="both"/>
        <w:rPr>
          <w:rFonts w:ascii="Times New Roman" w:hAnsi="Times New Roman" w:cs="Times New Roman"/>
        </w:rPr>
      </w:pPr>
    </w:p>
    <w:p w14:paraId="1DDEA0C7" w14:textId="77777777" w:rsidR="000E591A" w:rsidRPr="000E591A" w:rsidRDefault="000E591A" w:rsidP="000E591A">
      <w:pPr>
        <w:numPr>
          <w:ilvl w:val="0"/>
          <w:numId w:val="16"/>
        </w:numPr>
        <w:spacing w:after="0"/>
        <w:jc w:val="both"/>
        <w:rPr>
          <w:rFonts w:ascii="Times New Roman" w:hAnsi="Times New Roman" w:cs="Times New Roman"/>
        </w:rPr>
      </w:pPr>
      <w:r w:rsidRPr="000E591A">
        <w:rPr>
          <w:rFonts w:ascii="Times New Roman" w:hAnsi="Times New Roman" w:cs="Times New Roman"/>
        </w:rPr>
        <w:t>procedures for communicating with protesters, the media, and bystanders;</w:t>
      </w:r>
    </w:p>
    <w:p w14:paraId="00CAC518" w14:textId="77777777" w:rsidR="000E591A" w:rsidRPr="000E591A" w:rsidRDefault="000E591A" w:rsidP="000E591A">
      <w:pPr>
        <w:numPr>
          <w:ilvl w:val="0"/>
          <w:numId w:val="16"/>
        </w:numPr>
        <w:spacing w:after="0"/>
        <w:jc w:val="both"/>
        <w:rPr>
          <w:rFonts w:ascii="Times New Roman" w:hAnsi="Times New Roman" w:cs="Times New Roman"/>
        </w:rPr>
      </w:pPr>
      <w:r w:rsidRPr="000E591A">
        <w:rPr>
          <w:rFonts w:ascii="Times New Roman" w:hAnsi="Times New Roman" w:cs="Times New Roman"/>
        </w:rPr>
        <w:t xml:space="preserve">use of equipment (including weapons, offensive equipment, drones, and other new technologies), and the basis for approving the acquisition of new equipment; </w:t>
      </w:r>
    </w:p>
    <w:p w14:paraId="7DF7D22D" w14:textId="77777777" w:rsidR="000E591A" w:rsidRPr="000E591A" w:rsidRDefault="000E591A" w:rsidP="000E591A">
      <w:pPr>
        <w:numPr>
          <w:ilvl w:val="0"/>
          <w:numId w:val="16"/>
        </w:numPr>
        <w:spacing w:after="0"/>
        <w:jc w:val="both"/>
        <w:rPr>
          <w:rFonts w:ascii="Times New Roman" w:hAnsi="Times New Roman" w:cs="Times New Roman"/>
        </w:rPr>
      </w:pPr>
      <w:r w:rsidRPr="000E591A">
        <w:rPr>
          <w:rFonts w:ascii="Times New Roman" w:hAnsi="Times New Roman" w:cs="Times New Roman"/>
        </w:rPr>
        <w:t xml:space="preserve">handling of traffic to accommodate protests, and planning for safe and sufficient routes for dispersal of demonstrators; </w:t>
      </w:r>
    </w:p>
    <w:p w14:paraId="27470BDA" w14:textId="77777777" w:rsidR="000E591A" w:rsidRPr="000E591A" w:rsidRDefault="000E591A" w:rsidP="000E591A">
      <w:pPr>
        <w:numPr>
          <w:ilvl w:val="0"/>
          <w:numId w:val="16"/>
        </w:numPr>
        <w:spacing w:after="0"/>
        <w:jc w:val="both"/>
        <w:rPr>
          <w:rFonts w:ascii="Times New Roman" w:hAnsi="Times New Roman" w:cs="Times New Roman"/>
        </w:rPr>
      </w:pPr>
      <w:r w:rsidRPr="000E591A">
        <w:rPr>
          <w:rFonts w:ascii="Times New Roman" w:hAnsi="Times New Roman" w:cs="Times New Roman"/>
        </w:rPr>
        <w:t>duties to document information, including as elaborated in Principles 4, 5, 6, 8, and 10;</w:t>
      </w:r>
    </w:p>
    <w:p w14:paraId="6B9E60D1" w14:textId="77777777" w:rsidR="000E591A" w:rsidRPr="000E591A" w:rsidRDefault="000E591A" w:rsidP="000E591A">
      <w:pPr>
        <w:numPr>
          <w:ilvl w:val="0"/>
          <w:numId w:val="16"/>
        </w:numPr>
        <w:spacing w:after="0"/>
        <w:jc w:val="both"/>
        <w:rPr>
          <w:rFonts w:ascii="Times New Roman" w:hAnsi="Times New Roman" w:cs="Times New Roman"/>
        </w:rPr>
      </w:pPr>
      <w:r w:rsidRPr="000E591A">
        <w:rPr>
          <w:rFonts w:ascii="Times New Roman" w:hAnsi="Times New Roman" w:cs="Times New Roman"/>
        </w:rPr>
        <w:t xml:space="preserve">details of the relevant law enforcement leadership chain of command; </w:t>
      </w:r>
    </w:p>
    <w:p w14:paraId="35F51BBA" w14:textId="77777777" w:rsidR="000E591A" w:rsidRPr="000E591A" w:rsidRDefault="000E591A" w:rsidP="000E591A">
      <w:pPr>
        <w:numPr>
          <w:ilvl w:val="0"/>
          <w:numId w:val="16"/>
        </w:numPr>
        <w:spacing w:after="0"/>
        <w:jc w:val="both"/>
        <w:rPr>
          <w:rFonts w:ascii="Times New Roman" w:hAnsi="Times New Roman" w:cs="Times New Roman"/>
        </w:rPr>
      </w:pPr>
      <w:r w:rsidRPr="000E591A">
        <w:rPr>
          <w:rFonts w:ascii="Times New Roman" w:hAnsi="Times New Roman" w:cs="Times New Roman"/>
        </w:rPr>
        <w:t>procedures for handling injuries suffered by police, protesters, and bystanders; and</w:t>
      </w:r>
    </w:p>
    <w:p w14:paraId="17357455" w14:textId="77777777" w:rsidR="000E591A" w:rsidRPr="000E591A" w:rsidRDefault="000E591A" w:rsidP="000E591A">
      <w:pPr>
        <w:numPr>
          <w:ilvl w:val="0"/>
          <w:numId w:val="16"/>
        </w:numPr>
        <w:spacing w:after="0"/>
        <w:jc w:val="both"/>
        <w:rPr>
          <w:rFonts w:ascii="Times New Roman" w:hAnsi="Times New Roman" w:cs="Times New Roman"/>
        </w:rPr>
      </w:pPr>
      <w:r w:rsidRPr="000E591A">
        <w:rPr>
          <w:rFonts w:ascii="Times New Roman" w:hAnsi="Times New Roman" w:cs="Times New Roman"/>
        </w:rPr>
        <w:t>protest-related criminal investigation procedures, bail criteria, interpretation of offenses, and test for prosecution.</w:t>
      </w:r>
    </w:p>
    <w:p w14:paraId="6FAD4D3F" w14:textId="4A440CBD" w:rsidR="000E591A" w:rsidRPr="000E591A" w:rsidRDefault="00467984" w:rsidP="000E591A">
      <w:pPr>
        <w:autoSpaceDE w:val="0"/>
        <w:autoSpaceDN w:val="0"/>
        <w:adjustRightInd w:val="0"/>
        <w:rPr>
          <w:rFonts w:asciiTheme="minorHAnsi" w:hAnsiTheme="minorHAnsi" w:cstheme="minorHAnsi"/>
          <w:b/>
        </w:rPr>
      </w:pPr>
      <w:r>
        <w:rPr>
          <w:rFonts w:asciiTheme="minorHAnsi" w:hAnsiTheme="minorHAnsi" w:cstheme="minorHAnsi"/>
          <w:b/>
        </w:rPr>
        <w:t xml:space="preserve"> </w:t>
      </w:r>
    </w:p>
    <w:sectPr w:rsidR="000E591A" w:rsidRPr="000E591A" w:rsidSect="003D0E65">
      <w:footerReference w:type="default" r:id="rId10"/>
      <w:pgSz w:w="12240" w:h="15840"/>
      <w:pgMar w:top="1440" w:right="1440" w:bottom="1440" w:left="1440" w:header="720" w:footer="720" w:gutter="0"/>
      <w:cols w:space="720"/>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221ECC" w16cid:durableId="20273D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45785" w14:textId="77777777" w:rsidR="00FE6A37" w:rsidRDefault="00FE6A37" w:rsidP="00726890">
      <w:pPr>
        <w:spacing w:after="0" w:line="240" w:lineRule="auto"/>
      </w:pPr>
      <w:r>
        <w:separator/>
      </w:r>
    </w:p>
  </w:endnote>
  <w:endnote w:type="continuationSeparator" w:id="0">
    <w:p w14:paraId="67F77137" w14:textId="77777777" w:rsidR="00FE6A37" w:rsidRDefault="00FE6A37" w:rsidP="0072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00"/>
    <w:family w:val="roman"/>
    <w:pitch w:val="variable"/>
  </w:font>
  <w:font w:name="PF Centro Serif Pro">
    <w:altName w:val="PF Centro Serif Pro"/>
    <w:panose1 w:val="00000000000000000000"/>
    <w:charset w:val="00"/>
    <w:family w:val="roman"/>
    <w:notTrueType/>
    <w:pitch w:val="default"/>
    <w:sig w:usb0="00000003" w:usb1="00000000" w:usb2="00000000" w:usb3="00000000" w:csb0="00000001" w:csb1="00000000"/>
  </w:font>
  <w:font w:name="PF Centro Serif Pro Medium">
    <w:altName w:val="PF Centro Serif Pro Mediu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562903"/>
      <w:docPartObj>
        <w:docPartGallery w:val="Page Numbers (Bottom of Page)"/>
        <w:docPartUnique/>
      </w:docPartObj>
    </w:sdtPr>
    <w:sdtEndPr>
      <w:rPr>
        <w:color w:val="7F7F7F" w:themeColor="background1" w:themeShade="7F"/>
        <w:spacing w:val="60"/>
      </w:rPr>
    </w:sdtEndPr>
    <w:sdtContent>
      <w:p w14:paraId="442B3A6A" w14:textId="4BDA7BE0" w:rsidR="00320D5C" w:rsidRDefault="00320D5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A75A4">
          <w:rPr>
            <w:noProof/>
          </w:rPr>
          <w:t>13</w:t>
        </w:r>
        <w:r>
          <w:rPr>
            <w:noProof/>
          </w:rPr>
          <w:fldChar w:fldCharType="end"/>
        </w:r>
        <w:r>
          <w:t xml:space="preserve"> | </w:t>
        </w:r>
        <w:r>
          <w:rPr>
            <w:color w:val="7F7F7F" w:themeColor="background1" w:themeShade="7F"/>
            <w:spacing w:val="60"/>
          </w:rPr>
          <w:t>Page</w:t>
        </w:r>
      </w:p>
    </w:sdtContent>
  </w:sdt>
  <w:p w14:paraId="19DE9778" w14:textId="77777777" w:rsidR="00320D5C" w:rsidRDefault="00320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5EEFE" w14:textId="77777777" w:rsidR="00FE6A37" w:rsidRDefault="00FE6A37" w:rsidP="00726890">
      <w:pPr>
        <w:spacing w:after="0" w:line="240" w:lineRule="auto"/>
      </w:pPr>
      <w:r>
        <w:separator/>
      </w:r>
    </w:p>
  </w:footnote>
  <w:footnote w:type="continuationSeparator" w:id="0">
    <w:p w14:paraId="534B7B17" w14:textId="77777777" w:rsidR="00FE6A37" w:rsidRDefault="00FE6A37" w:rsidP="00726890">
      <w:pPr>
        <w:spacing w:after="0" w:line="240" w:lineRule="auto"/>
      </w:pPr>
      <w:r>
        <w:continuationSeparator/>
      </w:r>
    </w:p>
  </w:footnote>
  <w:footnote w:id="1">
    <w:p w14:paraId="4B4A2561" w14:textId="77777777" w:rsidR="008366A9" w:rsidRDefault="008366A9" w:rsidP="003D0E65">
      <w:pPr>
        <w:pStyle w:val="FootnoteText"/>
        <w:jc w:val="both"/>
      </w:pPr>
      <w:r>
        <w:rPr>
          <w:rStyle w:val="FootnoteReference"/>
        </w:rPr>
        <w:footnoteRef/>
      </w:r>
      <w:r>
        <w:t xml:space="preserve"> The Principles define “protest” to “cover all types of activity involving expressive assembly, including one person, </w:t>
      </w:r>
      <w:r w:rsidRPr="00F73E0E">
        <w:rPr>
          <w:i/>
        </w:rPr>
        <w:t>ad hoc</w:t>
      </w:r>
      <w:r>
        <w:t xml:space="preserve"> or spontaneous protests, long-term occupations, and all manifestations in between, including where there is no identifiable or actual organizer(s).” `</w:t>
      </w:r>
    </w:p>
  </w:footnote>
  <w:footnote w:id="2">
    <w:p w14:paraId="7688DC9E" w14:textId="14D606A5" w:rsidR="008366A9" w:rsidRPr="00FD0890" w:rsidRDefault="008366A9" w:rsidP="003D0E65">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These Principles and Guidelines are posted, in English and Spanish, at </w:t>
      </w:r>
      <w:hyperlink r:id="rId1" w:history="1">
        <w:r w:rsidRPr="00FD0890">
          <w:rPr>
            <w:rStyle w:val="Hyperlink"/>
            <w:rFonts w:asciiTheme="minorHAnsi" w:hAnsiTheme="minorHAnsi" w:cstheme="minorHAnsi"/>
          </w:rPr>
          <w:t>https://www.right2info.org/resources/publications/principles-and-guidelines-on-protest-and-the-right-to-information/view</w:t>
        </w:r>
      </w:hyperlink>
      <w:r w:rsidRPr="00FD0890">
        <w:rPr>
          <w:rFonts w:asciiTheme="minorHAnsi" w:hAnsiTheme="minorHAnsi" w:cstheme="minorHAnsi"/>
        </w:rPr>
        <w:t xml:space="preserve">.  They </w:t>
      </w:r>
      <w:r w:rsidR="00126572">
        <w:rPr>
          <w:rFonts w:asciiTheme="minorHAnsi" w:hAnsiTheme="minorHAnsi" w:cstheme="minorHAnsi"/>
        </w:rPr>
        <w:t xml:space="preserve">have been proposed for inclusion in </w:t>
      </w:r>
      <w:r w:rsidRPr="00FD0890">
        <w:rPr>
          <w:rFonts w:asciiTheme="minorHAnsi" w:hAnsiTheme="minorHAnsi" w:cstheme="minorHAnsi"/>
        </w:rPr>
        <w:t xml:space="preserve">reports to be issued in 2019 </w:t>
      </w:r>
      <w:r>
        <w:rPr>
          <w:rFonts w:asciiTheme="minorHAnsi" w:hAnsiTheme="minorHAnsi" w:cstheme="minorHAnsi"/>
        </w:rPr>
        <w:t xml:space="preserve">by </w:t>
      </w:r>
      <w:r w:rsidRPr="00FD0890">
        <w:rPr>
          <w:rFonts w:asciiTheme="minorHAnsi" w:hAnsiTheme="minorHAnsi" w:cstheme="minorHAnsi"/>
        </w:rPr>
        <w:t xml:space="preserve">the Inter-American Commission on Human Rights and the OSCE-ODIHR and Venice Commission Working Group on Freedom of Peaceful Assembly. They are under consideration by the Ibero-American Network of Information Commissioners, and will be discussed at the 2019 International Conference of Information Commissioners in Johannesburg. </w:t>
      </w:r>
    </w:p>
  </w:footnote>
  <w:footnote w:id="3">
    <w:p w14:paraId="3231205C" w14:textId="3DA210E0" w:rsidR="00EE2C50" w:rsidRDefault="00EE2C50" w:rsidP="003D0E65">
      <w:pPr>
        <w:pStyle w:val="FootnoteText"/>
        <w:jc w:val="both"/>
      </w:pPr>
      <w:r>
        <w:rPr>
          <w:rStyle w:val="FootnoteReference"/>
        </w:rPr>
        <w:footnoteRef/>
      </w:r>
      <w:r>
        <w:t xml:space="preserve"> This principle forms Principle 1 of the Justice Initiative-CAJ Principles on Protest and the Right to Information</w:t>
      </w:r>
      <w:r w:rsidR="005A1985">
        <w:t>, which is attached, together with accompanying Guidelines, to this submission, as Annex A.</w:t>
      </w:r>
    </w:p>
  </w:footnote>
  <w:footnote w:id="4">
    <w:p w14:paraId="2CA535AF" w14:textId="1A08D3F3" w:rsidR="00320D5C" w:rsidRDefault="00320D5C" w:rsidP="003D0E65">
      <w:pPr>
        <w:pStyle w:val="FootnoteText"/>
        <w:jc w:val="both"/>
      </w:pPr>
      <w:r>
        <w:rPr>
          <w:rStyle w:val="FootnoteReference"/>
        </w:rPr>
        <w:footnoteRef/>
      </w:r>
      <w:r>
        <w:t xml:space="preserve"> See. e.g., </w:t>
      </w:r>
      <w:r w:rsidRPr="00C71D40">
        <w:t xml:space="preserve">Report to the General Assembly of the Special Representative of the Secretary-General on the situation of human rights defenders, </w:t>
      </w:r>
      <w:r>
        <w:t xml:space="preserve">UN Doc. </w:t>
      </w:r>
      <w:r w:rsidRPr="00C71D40">
        <w:t>A/62/225,</w:t>
      </w:r>
      <w:r>
        <w:t xml:space="preserve"> 13 August 2007,</w:t>
      </w:r>
      <w:r w:rsidRPr="00C71D40">
        <w:t xml:space="preserve"> para. 91</w:t>
      </w:r>
      <w:r>
        <w:t xml:space="preserve"> (regarding the importance of </w:t>
      </w:r>
      <w:r w:rsidRPr="00C71D40">
        <w:t>monitoring to the effective enjoyment of the right to peaceful assembly</w:t>
      </w:r>
      <w:r>
        <w:t xml:space="preserve">). </w:t>
      </w:r>
    </w:p>
  </w:footnote>
  <w:footnote w:id="5">
    <w:p w14:paraId="70A6F7DB" w14:textId="77777777" w:rsidR="00320D5C" w:rsidRPr="00FD0890" w:rsidRDefault="00320D5C" w:rsidP="003D0E65">
      <w:pPr>
        <w:autoSpaceDE w:val="0"/>
        <w:autoSpaceDN w:val="0"/>
        <w:adjustRightInd w:val="0"/>
        <w:spacing w:after="0" w:line="240" w:lineRule="auto"/>
        <w:jc w:val="both"/>
        <w:rPr>
          <w:rFonts w:asciiTheme="minorHAnsi" w:hAnsiTheme="minorHAnsi" w:cstheme="minorHAnsi"/>
          <w:sz w:val="20"/>
          <w:szCs w:val="20"/>
          <w:lang w:val="en-GB"/>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lang w:val="en-GB"/>
        </w:rPr>
        <w:t xml:space="preserve"> Joint Report of the Special Rapporteur on the rights to freedom of peaceful assembly and of</w:t>
      </w:r>
    </w:p>
    <w:p w14:paraId="27DAD20C" w14:textId="7DAE2674" w:rsidR="00320D5C" w:rsidRPr="00FD0890" w:rsidRDefault="00320D5C" w:rsidP="003D0E65">
      <w:pPr>
        <w:autoSpaceDE w:val="0"/>
        <w:autoSpaceDN w:val="0"/>
        <w:adjustRightInd w:val="0"/>
        <w:spacing w:after="0" w:line="240" w:lineRule="auto"/>
        <w:jc w:val="both"/>
        <w:rPr>
          <w:rFonts w:asciiTheme="minorHAnsi" w:hAnsiTheme="minorHAnsi" w:cstheme="minorHAnsi"/>
          <w:sz w:val="20"/>
          <w:szCs w:val="20"/>
        </w:rPr>
      </w:pPr>
      <w:r w:rsidRPr="00FD0890">
        <w:rPr>
          <w:rFonts w:asciiTheme="minorHAnsi" w:hAnsiTheme="minorHAnsi" w:cstheme="minorHAnsi"/>
          <w:sz w:val="20"/>
          <w:szCs w:val="20"/>
          <w:lang w:val="en-GB"/>
        </w:rPr>
        <w:t xml:space="preserve">association, Maina Kiai, and the Special Rapporteur on extrajudicial, summary or arbitrary executions, Christof Heyns, on the proper management of assemblies, UN Doc A/HRC/31/66 (4 February 2016) [“Joint Report”], </w:t>
      </w:r>
      <w:r w:rsidRPr="00FD0890">
        <w:rPr>
          <w:rFonts w:asciiTheme="minorHAnsi" w:hAnsiTheme="minorHAnsi" w:cstheme="minorHAnsi"/>
          <w:sz w:val="20"/>
          <w:szCs w:val="20"/>
        </w:rPr>
        <w:t xml:space="preserve">Recommendation D on the duty of States to facilitate the exercise of the right to peaceful assembly, </w:t>
      </w:r>
      <w:r w:rsidRPr="00FD0890">
        <w:rPr>
          <w:rFonts w:asciiTheme="minorHAnsi" w:hAnsiTheme="minorHAnsi" w:cstheme="minorHAnsi"/>
          <w:sz w:val="20"/>
          <w:szCs w:val="20"/>
          <w:lang w:val="en-GB"/>
        </w:rPr>
        <w:t>para. 37.</w:t>
      </w:r>
    </w:p>
  </w:footnote>
  <w:footnote w:id="6">
    <w:p w14:paraId="7E0B15AE" w14:textId="43F9E6B0" w:rsidR="00320D5C" w:rsidRPr="00FD0890" w:rsidRDefault="00320D5C" w:rsidP="003D0E65">
      <w:pPr>
        <w:autoSpaceDE w:val="0"/>
        <w:autoSpaceDN w:val="0"/>
        <w:adjustRightInd w:val="0"/>
        <w:spacing w:after="0" w:line="240" w:lineRule="auto"/>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HRC General Comment 34, 12 September 2011, paras. 18 and 7.</w:t>
      </w:r>
      <w:r>
        <w:rPr>
          <w:rFonts w:asciiTheme="minorHAnsi" w:hAnsiTheme="minorHAnsi" w:cstheme="minorHAnsi"/>
          <w:sz w:val="20"/>
          <w:szCs w:val="20"/>
        </w:rPr>
        <w:t xml:space="preserve"> </w:t>
      </w:r>
      <w:r w:rsidRPr="00164A0E">
        <w:rPr>
          <w:rFonts w:asciiTheme="minorHAnsi" w:hAnsiTheme="minorHAnsi" w:cstheme="minorHAnsi"/>
          <w:i/>
          <w:sz w:val="20"/>
          <w:szCs w:val="20"/>
        </w:rPr>
        <w:t>See also</w:t>
      </w:r>
      <w:r>
        <w:rPr>
          <w:rFonts w:asciiTheme="minorHAnsi" w:hAnsiTheme="minorHAnsi" w:cstheme="minorHAnsi"/>
          <w:sz w:val="20"/>
          <w:szCs w:val="20"/>
        </w:rPr>
        <w:t xml:space="preserve"> Inter-American Court of Human Rights, Claude Reyes, et al., v. Chile, 19 Sept. 2006, paras. 77-82;</w:t>
      </w:r>
      <w:r w:rsidRPr="00FD0890">
        <w:rPr>
          <w:rFonts w:asciiTheme="minorHAnsi" w:hAnsiTheme="minorHAnsi" w:cstheme="minorHAnsi"/>
          <w:sz w:val="20"/>
          <w:szCs w:val="20"/>
        </w:rPr>
        <w:t xml:space="preserve"> </w:t>
      </w:r>
      <w:r>
        <w:rPr>
          <w:rFonts w:asciiTheme="minorHAnsi" w:hAnsiTheme="minorHAnsi" w:cstheme="minorHAnsi"/>
          <w:sz w:val="20"/>
          <w:szCs w:val="20"/>
        </w:rPr>
        <w:t xml:space="preserve">and European Court of Human Rights, </w:t>
      </w:r>
      <w:r w:rsidRPr="00FD0890">
        <w:rPr>
          <w:rFonts w:asciiTheme="minorHAnsi" w:hAnsiTheme="minorHAnsi" w:cstheme="minorHAnsi"/>
          <w:sz w:val="20"/>
          <w:szCs w:val="20"/>
        </w:rPr>
        <w:t>Magyar Helsinki Bizottság v Hungary, Grand Chamber Judgment</w:t>
      </w:r>
      <w:r>
        <w:rPr>
          <w:rFonts w:asciiTheme="minorHAnsi" w:hAnsiTheme="minorHAnsi" w:cstheme="minorHAnsi"/>
          <w:sz w:val="20"/>
          <w:szCs w:val="20"/>
        </w:rPr>
        <w:t>,</w:t>
      </w:r>
      <w:r w:rsidRPr="00FD0890">
        <w:rPr>
          <w:rFonts w:asciiTheme="minorHAnsi" w:hAnsiTheme="minorHAnsi" w:cstheme="minorHAnsi"/>
          <w:sz w:val="20"/>
          <w:szCs w:val="20"/>
        </w:rPr>
        <w:t xml:space="preserve"> 8 Nov</w:t>
      </w:r>
      <w:r>
        <w:rPr>
          <w:rFonts w:asciiTheme="minorHAnsi" w:hAnsiTheme="minorHAnsi" w:cstheme="minorHAnsi"/>
          <w:sz w:val="20"/>
          <w:szCs w:val="20"/>
        </w:rPr>
        <w:t>.</w:t>
      </w:r>
      <w:r w:rsidRPr="00FD0890">
        <w:rPr>
          <w:rFonts w:asciiTheme="minorHAnsi" w:hAnsiTheme="minorHAnsi" w:cstheme="minorHAnsi"/>
          <w:sz w:val="20"/>
          <w:szCs w:val="20"/>
        </w:rPr>
        <w:t xml:space="preserve"> 2016</w:t>
      </w:r>
      <w:r>
        <w:rPr>
          <w:rFonts w:asciiTheme="minorHAnsi" w:hAnsiTheme="minorHAnsi" w:cstheme="minorHAnsi"/>
          <w:sz w:val="20"/>
          <w:szCs w:val="20"/>
        </w:rPr>
        <w:t>, paras. 157-168</w:t>
      </w:r>
      <w:r w:rsidRPr="00FD0890">
        <w:rPr>
          <w:rFonts w:asciiTheme="minorHAnsi" w:hAnsiTheme="minorHAnsi" w:cstheme="minorHAnsi"/>
          <w:sz w:val="20"/>
          <w:szCs w:val="20"/>
        </w:rPr>
        <w:t>.</w:t>
      </w:r>
    </w:p>
  </w:footnote>
  <w:footnote w:id="7">
    <w:p w14:paraId="6D60AC05" w14:textId="50769356" w:rsidR="00320D5C" w:rsidRPr="00FD0890" w:rsidRDefault="00320D5C" w:rsidP="003D0E65">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General Comment 34, para. 19.</w:t>
      </w:r>
    </w:p>
  </w:footnote>
  <w:footnote w:id="8">
    <w:p w14:paraId="59919B06" w14:textId="43488A9B" w:rsidR="00320D5C" w:rsidRPr="00FD0890" w:rsidRDefault="00320D5C" w:rsidP="003D0E65">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See the Global Right to Information Rating, produced by Access Info Europe and the Center for Law and Democracy, at </w:t>
      </w:r>
      <w:hyperlink r:id="rId2">
        <w:r w:rsidRPr="00FD0890">
          <w:rPr>
            <w:rStyle w:val="Hyperlink"/>
            <w:rFonts w:asciiTheme="minorHAnsi" w:hAnsiTheme="minorHAnsi" w:cstheme="minorHAnsi"/>
          </w:rPr>
          <w:t>http://www.rti-rating.org/country-data</w:t>
        </w:r>
      </w:hyperlink>
      <w:r w:rsidRPr="00FD0890">
        <w:rPr>
          <w:rStyle w:val="Hyperlink"/>
          <w:rFonts w:asciiTheme="minorHAnsi" w:hAnsiTheme="minorHAnsi" w:cstheme="minorHAnsi"/>
        </w:rPr>
        <w:t>;</w:t>
      </w:r>
      <w:r w:rsidRPr="00FD0890">
        <w:rPr>
          <w:rFonts w:asciiTheme="minorHAnsi" w:hAnsiTheme="minorHAnsi" w:cstheme="minorHAnsi"/>
        </w:rPr>
        <w:t xml:space="preserve"> and a list of the 127 laws, as of Sept. 2018, organized by region, compiled by the Justice Initiative, at </w:t>
      </w:r>
      <w:hyperlink r:id="rId3" w:history="1">
        <w:r w:rsidRPr="00FD0890">
          <w:rPr>
            <w:rStyle w:val="Hyperlink"/>
            <w:rFonts w:asciiTheme="minorHAnsi" w:hAnsiTheme="minorHAnsi" w:cstheme="minorHAnsi"/>
          </w:rPr>
          <w:t>https://www.right2info.org/laws/constitutional-provisions-laws-and-regulations</w:t>
        </w:r>
      </w:hyperlink>
      <w:r w:rsidRPr="00FD0890">
        <w:rPr>
          <w:rFonts w:asciiTheme="minorHAnsi" w:hAnsiTheme="minorHAnsi" w:cstheme="minorHAnsi"/>
        </w:rPr>
        <w:t xml:space="preserve">. </w:t>
      </w:r>
      <w:r w:rsidRPr="00345A8A">
        <w:rPr>
          <w:rFonts w:asciiTheme="minorHAnsi" w:hAnsiTheme="minorHAnsi" w:cstheme="minorHAnsi"/>
          <w:lang w:val="en-GB"/>
        </w:rPr>
        <w:t>Th</w:t>
      </w:r>
      <w:r>
        <w:rPr>
          <w:rFonts w:asciiTheme="minorHAnsi" w:hAnsiTheme="minorHAnsi" w:cstheme="minorHAnsi"/>
          <w:lang w:val="en-GB"/>
        </w:rPr>
        <w:t xml:space="preserve"> 90% figure </w:t>
      </w:r>
      <w:r w:rsidRPr="00345A8A">
        <w:rPr>
          <w:rFonts w:asciiTheme="minorHAnsi" w:hAnsiTheme="minorHAnsi" w:cstheme="minorHAnsi"/>
          <w:lang w:val="en-GB"/>
        </w:rPr>
        <w:t xml:space="preserve">was calculated from the </w:t>
      </w:r>
      <w:r>
        <w:rPr>
          <w:rFonts w:asciiTheme="minorHAnsi" w:hAnsiTheme="minorHAnsi" w:cstheme="minorHAnsi"/>
          <w:lang w:val="en-GB"/>
        </w:rPr>
        <w:t xml:space="preserve">data </w:t>
      </w:r>
      <w:r w:rsidRPr="00345A8A">
        <w:rPr>
          <w:rFonts w:asciiTheme="minorHAnsi" w:hAnsiTheme="minorHAnsi" w:cstheme="minorHAnsi"/>
          <w:lang w:val="en-GB"/>
        </w:rPr>
        <w:t>provided on the Worldometers website, “Countries of the world by population” (2018), based on data from the latest </w:t>
      </w:r>
      <w:r w:rsidRPr="00345A8A">
        <w:rPr>
          <w:rFonts w:asciiTheme="minorHAnsi" w:hAnsiTheme="minorHAnsi" w:cstheme="minorHAnsi"/>
          <w:i/>
          <w:iCs/>
          <w:lang w:val="en-GB"/>
        </w:rPr>
        <w:t>United Nations Population Division</w:t>
      </w:r>
      <w:r w:rsidRPr="00345A8A">
        <w:rPr>
          <w:rFonts w:asciiTheme="minorHAnsi" w:hAnsiTheme="minorHAnsi" w:cstheme="minorHAnsi"/>
          <w:lang w:val="en-GB"/>
        </w:rPr>
        <w:t xml:space="preserve"> estimates:  http://www.worldometers.info/world-population/population-by-country/.</w:t>
      </w:r>
    </w:p>
  </w:footnote>
  <w:footnote w:id="9">
    <w:p w14:paraId="41F508BA" w14:textId="3B869C8D" w:rsidR="00320D5C" w:rsidRPr="00FD0890" w:rsidRDefault="00320D5C" w:rsidP="003D0E65">
      <w:pPr>
        <w:pStyle w:val="Default"/>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See Report of the Special Rapporteur on the promotion and protection of the right to freedom of opinion and expression, Frank La Rue, UN Doc. A/68/362 (4 Sept. 2013) [UN FOE Report A/68/362 2013], para. 19; see also HRC General Comment 16 (on Article 17 Right to Privacy), para. 10; and HRC General Comment 34, para. 18.  </w:t>
      </w:r>
    </w:p>
  </w:footnote>
  <w:footnote w:id="10">
    <w:p w14:paraId="75683741" w14:textId="7ADAA5E5" w:rsidR="00320D5C" w:rsidRPr="00FD0890" w:rsidRDefault="00320D5C" w:rsidP="003D0E65">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Updated set of principles for the protection and promotion of human rights through action  to combat impunity (</w:t>
      </w:r>
      <w:hyperlink r:id="rId4">
        <w:r w:rsidRPr="00FD0890">
          <w:rPr>
            <w:rStyle w:val="Hyperlink"/>
            <w:rFonts w:asciiTheme="minorHAnsi" w:hAnsiTheme="minorHAnsi" w:cstheme="minorHAnsi"/>
          </w:rPr>
          <w:t>E/CN.4/2005/102/Add.1</w:t>
        </w:r>
      </w:hyperlink>
      <w:r w:rsidRPr="00FD0890">
        <w:rPr>
          <w:rFonts w:asciiTheme="minorHAnsi" w:hAnsiTheme="minorHAnsi" w:cstheme="minorHAnsi"/>
        </w:rPr>
        <w:t>), Principle 4.</w:t>
      </w:r>
    </w:p>
  </w:footnote>
  <w:footnote w:id="11">
    <w:p w14:paraId="6C3C5FD6" w14:textId="77777777" w:rsidR="00320D5C" w:rsidRPr="00FD0890" w:rsidRDefault="00320D5C" w:rsidP="003D0E65">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HR Council Res. 12, UN Doc. A/HRC/Res/12/12, issued 12 Oct 2009, pream. para. 14.</w:t>
      </w:r>
    </w:p>
  </w:footnote>
  <w:footnote w:id="12">
    <w:p w14:paraId="29F449FC" w14:textId="77777777" w:rsidR="00320D5C" w:rsidRPr="00FD0890" w:rsidRDefault="00320D5C" w:rsidP="003D0E65">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See ICCPR Art. 14, ACHR Art. 8(1), and ECHR Art. 6(1).</w:t>
      </w:r>
    </w:p>
  </w:footnote>
  <w:footnote w:id="13">
    <w:p w14:paraId="3EE6C969" w14:textId="0A1BB48B" w:rsidR="00320D5C" w:rsidRPr="00FD0890" w:rsidRDefault="00320D5C" w:rsidP="003D0E65">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Joint Report, para. 79.</w:t>
      </w:r>
    </w:p>
  </w:footnote>
  <w:footnote w:id="14">
    <w:p w14:paraId="20594C2A" w14:textId="0C3938CF" w:rsidR="00320D5C" w:rsidRPr="00FD0890" w:rsidRDefault="00320D5C" w:rsidP="003D0E65">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Id., para. 82(a).</w:t>
      </w:r>
    </w:p>
  </w:footnote>
  <w:footnote w:id="15">
    <w:p w14:paraId="0226A416" w14:textId="49F47EDC" w:rsidR="00320D5C" w:rsidRPr="00FD0890" w:rsidRDefault="00320D5C" w:rsidP="00D71E57">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See para. 8, </w:t>
      </w:r>
      <w:r w:rsidRPr="00FD0890">
        <w:rPr>
          <w:rFonts w:asciiTheme="minorHAnsi" w:hAnsiTheme="minorHAnsi" w:cstheme="minorHAnsi"/>
          <w:i/>
        </w:rPr>
        <w:t>supra</w:t>
      </w:r>
      <w:r w:rsidRPr="00FD0890">
        <w:rPr>
          <w:rFonts w:asciiTheme="minorHAnsi" w:hAnsiTheme="minorHAnsi" w:cstheme="minorHAnsi"/>
        </w:rPr>
        <w:t>.</w:t>
      </w:r>
    </w:p>
  </w:footnote>
  <w:footnote w:id="16">
    <w:p w14:paraId="320D9510" w14:textId="20C821B9" w:rsidR="00320D5C" w:rsidRPr="00FD0890" w:rsidRDefault="00320D5C" w:rsidP="00D71E57">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Joint Report, para. 89</w:t>
      </w:r>
    </w:p>
  </w:footnote>
  <w:footnote w:id="17">
    <w:p w14:paraId="2D59C4BA" w14:textId="77777777" w:rsidR="00320D5C" w:rsidRPr="00FD0890" w:rsidRDefault="00320D5C" w:rsidP="00D71E57">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PACE Resolution 2116 (2016).   </w:t>
      </w:r>
    </w:p>
  </w:footnote>
  <w:footnote w:id="18">
    <w:p w14:paraId="230BD2F7" w14:textId="18B2E9D7" w:rsidR="00320D5C" w:rsidRPr="00FD0890" w:rsidRDefault="00320D5C" w:rsidP="00D71E57">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Article 19, “The Right to Protest: Principles on the Protection of Human Rights in Protests” (London: 2016), Principles 17.1, 18.1, and 18.2. </w:t>
      </w:r>
    </w:p>
  </w:footnote>
  <w:footnote w:id="19">
    <w:p w14:paraId="17A90DA6" w14:textId="594E2DD3" w:rsidR="00320D5C" w:rsidRPr="00FD0890" w:rsidRDefault="00320D5C" w:rsidP="00D71E57">
      <w:pPr>
        <w:autoSpaceDE w:val="0"/>
        <w:autoSpaceDN w:val="0"/>
        <w:adjustRightInd w:val="0"/>
        <w:spacing w:after="0" w:line="240" w:lineRule="auto"/>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w:t>
      </w:r>
      <w:r w:rsidRPr="00FD0890">
        <w:rPr>
          <w:rFonts w:asciiTheme="minorHAnsi" w:hAnsiTheme="minorHAnsi" w:cstheme="minorHAnsi"/>
          <w:sz w:val="20"/>
          <w:szCs w:val="20"/>
          <w:lang w:val="en-GB"/>
        </w:rPr>
        <w:t xml:space="preserve">Model Inter-American Law on access to public information, adopted by the General Assembly of the Organization of American States, June 8, 2010, AG/RES. 2607 (XL-O/10) [Model Inter-American ATI Law], arts. 12 and 13; </w:t>
      </w:r>
      <w:r w:rsidRPr="00FD0890">
        <w:rPr>
          <w:rFonts w:asciiTheme="minorHAnsi" w:hAnsiTheme="minorHAnsi" w:cstheme="minorHAnsi"/>
          <w:sz w:val="20"/>
          <w:szCs w:val="20"/>
        </w:rPr>
        <w:t xml:space="preserve">Model Law on Access to Information for Africa, adopted by the African Commission on Human and Peoples' Rights on 25 Feb. 2013, and launched on April 2013 [Model ATI Law for Africa], </w:t>
      </w:r>
      <w:r>
        <w:rPr>
          <w:rFonts w:asciiTheme="minorHAnsi" w:hAnsiTheme="minorHAnsi" w:cstheme="minorHAnsi"/>
          <w:sz w:val="20"/>
          <w:szCs w:val="20"/>
        </w:rPr>
        <w:t>secs</w:t>
      </w:r>
      <w:r w:rsidRPr="00FD0890">
        <w:rPr>
          <w:rFonts w:asciiTheme="minorHAnsi" w:hAnsiTheme="minorHAnsi" w:cstheme="minorHAnsi"/>
          <w:sz w:val="20"/>
          <w:szCs w:val="20"/>
        </w:rPr>
        <w:t>. 6 and 7</w:t>
      </w:r>
      <w:r w:rsidRPr="00FD0890">
        <w:rPr>
          <w:rFonts w:asciiTheme="minorHAnsi" w:hAnsiTheme="minorHAnsi" w:cstheme="minorHAnsi"/>
          <w:sz w:val="20"/>
          <w:szCs w:val="20"/>
          <w:lang w:val="en-GB"/>
        </w:rPr>
        <w:t xml:space="preserve">. </w:t>
      </w:r>
    </w:p>
  </w:footnote>
  <w:footnote w:id="20">
    <w:p w14:paraId="465F9734" w14:textId="0753CDA6" w:rsidR="00320D5C" w:rsidRPr="00FD0890" w:rsidRDefault="00320D5C" w:rsidP="00D71E57">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w:t>
      </w:r>
      <w:r>
        <w:rPr>
          <w:rFonts w:asciiTheme="minorHAnsi" w:hAnsiTheme="minorHAnsi" w:cstheme="minorHAnsi"/>
        </w:rPr>
        <w:t xml:space="preserve">European Code of Police Ethics, Recommendation Rec(2001)10 adopted by the Committee of Ministers of the Council of Europe on 19 Sept. 2001, Appendix, Legal basis of the police under the rule of law, </w:t>
      </w:r>
      <w:r w:rsidRPr="00FD0890">
        <w:rPr>
          <w:rFonts w:asciiTheme="minorHAnsi" w:hAnsiTheme="minorHAnsi" w:cstheme="minorHAnsi"/>
        </w:rPr>
        <w:t>point 4.</w:t>
      </w:r>
    </w:p>
  </w:footnote>
  <w:footnote w:id="21">
    <w:p w14:paraId="7396AB4B" w14:textId="4C53D482" w:rsidR="00320D5C" w:rsidRPr="00FD0890" w:rsidRDefault="00320D5C" w:rsidP="00D71E57">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General Comment No. 34, para. 18; Joint Report, para. 81; Joint Declaration by the UN Special Rapporteur on the promotion and protection of the right to freedom of opinion and expression, the OSCE Representative on Freedom of the Media and the OAS Special Rapporteur for freedom of expression (6 December 2004); Model Inter-American ATI Law: public authorities may deny access to information only when “it is legitimate and strictly necessary in a democratic society [to do so], based on the standards and jurisprudence of the Inter-American system.”</w:t>
      </w:r>
    </w:p>
  </w:footnote>
  <w:footnote w:id="22">
    <w:p w14:paraId="190C2FA9" w14:textId="102642F5" w:rsidR="00320D5C" w:rsidRPr="00FD0890" w:rsidRDefault="00320D5C" w:rsidP="00F70FC0">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w:t>
      </w:r>
      <w:r w:rsidRPr="00FD0890">
        <w:rPr>
          <w:rFonts w:asciiTheme="minorHAnsi" w:hAnsiTheme="minorHAnsi" w:cstheme="minorHAnsi"/>
          <w:lang w:val="en-GB"/>
        </w:rPr>
        <w:t xml:space="preserve">See for example UN FOE </w:t>
      </w:r>
      <w:r w:rsidRPr="00FD0890">
        <w:rPr>
          <w:rFonts w:asciiTheme="minorHAnsi" w:hAnsiTheme="minorHAnsi" w:cstheme="minorHAnsi"/>
        </w:rPr>
        <w:t xml:space="preserve">Report A/68/362 2013: “whenever a State imposes restrictions on the exercise of the right to freedom of expression, such restrictions may not put in jeopardy the right itself, much less when the information requested relates to human rights violations.” </w:t>
      </w:r>
    </w:p>
  </w:footnote>
  <w:footnote w:id="23">
    <w:p w14:paraId="47AD6CEA" w14:textId="7591E6AE" w:rsidR="00320D5C" w:rsidRPr="00FD0890" w:rsidRDefault="00320D5C" w:rsidP="00F70FC0">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Model Inter-American ATI Law, Arts. 41 and 44 (“these exemptions do not apply to information concerning serious violations of human rights”).</w:t>
      </w:r>
    </w:p>
  </w:footnote>
  <w:footnote w:id="24">
    <w:p w14:paraId="212AD360" w14:textId="4085BCE4" w:rsidR="00320D5C" w:rsidRDefault="00320D5C" w:rsidP="00F70FC0">
      <w:pPr>
        <w:pStyle w:val="FootnoteText"/>
        <w:jc w:val="both"/>
      </w:pPr>
      <w:r>
        <w:rPr>
          <w:rStyle w:val="FootnoteReference"/>
        </w:rPr>
        <w:footnoteRef/>
      </w:r>
      <w:r>
        <w:t xml:space="preserve"> See, e.g., the Justice Initiative – CAJ Principles on Protest and RTI, fn. 9: “’Operational details’ that legitimately may be withheld from the public include details of plans, operations, and capabilities whose disclosure could thwart legitimate law enforcement activities.”</w:t>
      </w:r>
    </w:p>
  </w:footnote>
  <w:footnote w:id="25">
    <w:p w14:paraId="7466E209" w14:textId="7EF3E6AE" w:rsidR="00320D5C" w:rsidRPr="00FD0890" w:rsidRDefault="00320D5C" w:rsidP="00F70FC0">
      <w:pPr>
        <w:autoSpaceDE w:val="0"/>
        <w:autoSpaceDN w:val="0"/>
        <w:adjustRightInd w:val="0"/>
        <w:spacing w:after="0" w:line="240" w:lineRule="auto"/>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w:t>
      </w:r>
      <w:r w:rsidRPr="00FD0890">
        <w:rPr>
          <w:rFonts w:asciiTheme="minorHAnsi" w:hAnsiTheme="minorHAnsi" w:cstheme="minorHAnsi"/>
          <w:sz w:val="20"/>
          <w:szCs w:val="20"/>
          <w:lang w:val="en-GB"/>
        </w:rPr>
        <w:t xml:space="preserve">The Report of the Independent Commission on Policing for Northern Ireland (the Patten Commission), Sept. 1999, para. 6.38.  </w:t>
      </w:r>
    </w:p>
  </w:footnote>
  <w:footnote w:id="26">
    <w:p w14:paraId="7EB191C4" w14:textId="2D7F4AA0" w:rsidR="00320D5C" w:rsidRPr="00FD0890" w:rsidRDefault="00320D5C" w:rsidP="00F70FC0">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lang w:val="en-GB"/>
        </w:rPr>
        <w:t xml:space="preserve"> Joint Report, para. 16.</w:t>
      </w:r>
    </w:p>
  </w:footnote>
  <w:footnote w:id="27">
    <w:p w14:paraId="7E83F053" w14:textId="4357648C" w:rsidR="00320D5C" w:rsidRPr="00FD0890" w:rsidRDefault="00320D5C" w:rsidP="00F70FC0">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Relevant resources in the area of human rights indicators include OHCHR, </w:t>
      </w:r>
      <w:r w:rsidRPr="003332BA">
        <w:rPr>
          <w:rFonts w:asciiTheme="minorHAnsi" w:hAnsiTheme="minorHAnsi" w:cstheme="minorHAnsi"/>
          <w:i/>
        </w:rPr>
        <w:t>Human Rights Indicators: A Guide to Measurement and Implementation</w:t>
      </w:r>
      <w:r w:rsidRPr="00FD0890">
        <w:rPr>
          <w:rFonts w:asciiTheme="minorHAnsi" w:hAnsiTheme="minorHAnsi" w:cstheme="minorHAnsi"/>
        </w:rPr>
        <w:t xml:space="preserve">, </w:t>
      </w:r>
      <w:r>
        <w:rPr>
          <w:rFonts w:asciiTheme="minorHAnsi" w:hAnsiTheme="minorHAnsi" w:cstheme="minorHAnsi"/>
        </w:rPr>
        <w:t xml:space="preserve">UN Doc </w:t>
      </w:r>
      <w:r w:rsidRPr="008151E6">
        <w:rPr>
          <w:rFonts w:asciiTheme="minorHAnsi" w:hAnsiTheme="minorHAnsi" w:cstheme="minorHAnsi"/>
        </w:rPr>
        <w:t>HR/PUB/12/5 (2012);; and OAS and Working Group on the Protocol of San Salvador, Progress Indicators for Measuring Rights under the Protocol of San Salvador [on Economic, Social and Cultural Rights], OEA/Ser.D/XXVI.11 (2015).</w:t>
      </w:r>
    </w:p>
  </w:footnote>
  <w:footnote w:id="28">
    <w:p w14:paraId="0121A56A" w14:textId="5ADEFE1C" w:rsidR="00320D5C" w:rsidRPr="00FD0890" w:rsidRDefault="00320D5C" w:rsidP="00F70FC0">
      <w:pPr>
        <w:spacing w:after="0" w:line="240" w:lineRule="auto"/>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CERD </w:t>
      </w:r>
      <w:r w:rsidRPr="00C66BC3">
        <w:rPr>
          <w:rFonts w:asciiTheme="minorHAnsi" w:hAnsiTheme="minorHAnsi" w:cstheme="minorHAnsi"/>
          <w:sz w:val="20"/>
          <w:szCs w:val="20"/>
          <w:lang w:val="en-GB"/>
        </w:rPr>
        <w:t xml:space="preserve">General recommendation </w:t>
      </w:r>
      <w:r>
        <w:rPr>
          <w:rFonts w:asciiTheme="minorHAnsi" w:hAnsiTheme="minorHAnsi" w:cstheme="minorHAnsi"/>
          <w:sz w:val="20"/>
          <w:szCs w:val="20"/>
          <w:lang w:val="en-GB"/>
        </w:rPr>
        <w:t xml:space="preserve">No. 31 </w:t>
      </w:r>
      <w:r w:rsidRPr="00C66BC3">
        <w:rPr>
          <w:rFonts w:asciiTheme="minorHAnsi" w:hAnsiTheme="minorHAnsi" w:cstheme="minorHAnsi"/>
          <w:sz w:val="20"/>
          <w:szCs w:val="20"/>
          <w:lang w:val="en-GB"/>
        </w:rPr>
        <w:t>on the prevention of racial discrimination in the administration and functioning of the criminal justice system</w:t>
      </w:r>
      <w:r>
        <w:rPr>
          <w:rFonts w:asciiTheme="minorHAnsi" w:hAnsiTheme="minorHAnsi" w:cstheme="minorHAnsi"/>
          <w:sz w:val="20"/>
          <w:szCs w:val="20"/>
          <w:lang w:val="en-GB"/>
        </w:rPr>
        <w:t xml:space="preserve">, UN Doc. CERD/C/GC/31, </w:t>
      </w:r>
      <w:r w:rsidRPr="00FD0890">
        <w:rPr>
          <w:rFonts w:asciiTheme="minorHAnsi" w:hAnsiTheme="minorHAnsi" w:cstheme="minorHAnsi"/>
          <w:sz w:val="20"/>
          <w:szCs w:val="20"/>
        </w:rPr>
        <w:t>paras</w:t>
      </w:r>
      <w:r>
        <w:rPr>
          <w:rFonts w:asciiTheme="minorHAnsi" w:hAnsiTheme="minorHAnsi" w:cstheme="minorHAnsi"/>
          <w:sz w:val="20"/>
          <w:szCs w:val="20"/>
        </w:rPr>
        <w:t>.</w:t>
      </w:r>
      <w:r w:rsidRPr="00FD0890">
        <w:rPr>
          <w:rFonts w:asciiTheme="minorHAnsi" w:hAnsiTheme="minorHAnsi" w:cstheme="minorHAnsi"/>
          <w:sz w:val="20"/>
          <w:szCs w:val="20"/>
        </w:rPr>
        <w:t xml:space="preserve"> 1(f), 13, 20 &amp; 22. </w:t>
      </w:r>
    </w:p>
  </w:footnote>
  <w:footnote w:id="29">
    <w:p w14:paraId="2324A286" w14:textId="55B88D61" w:rsidR="00320D5C" w:rsidRPr="00FD0890" w:rsidRDefault="00320D5C" w:rsidP="00F70FC0">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IACHR, Annual Report 2015, Chapter VI, para. 215. </w:t>
      </w:r>
    </w:p>
  </w:footnote>
  <w:footnote w:id="30">
    <w:p w14:paraId="3D8EC42E" w14:textId="3CFD2A44" w:rsidR="00320D5C" w:rsidRPr="00FD0890" w:rsidRDefault="00320D5C" w:rsidP="00F70FC0">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ECRI </w:t>
      </w:r>
      <w:r w:rsidRPr="00FD0890">
        <w:rPr>
          <w:rFonts w:asciiTheme="minorHAnsi" w:hAnsiTheme="minorHAnsi" w:cstheme="minorHAnsi"/>
          <w:lang w:val="en-GB"/>
        </w:rPr>
        <w:t xml:space="preserve">General </w:t>
      </w:r>
      <w:r w:rsidRPr="00FD0890">
        <w:rPr>
          <w:rFonts w:asciiTheme="minorHAnsi" w:hAnsiTheme="minorHAnsi" w:cstheme="minorHAnsi"/>
        </w:rPr>
        <w:t>Policy Recommendation N°11 on Combating racism and racial discrimination in policing,</w:t>
      </w:r>
      <w:r w:rsidRPr="00FD0890">
        <w:rPr>
          <w:rFonts w:asciiTheme="minorHAnsi" w:hAnsiTheme="minorHAnsi" w:cstheme="minorHAnsi"/>
          <w:bCs/>
        </w:rPr>
        <w:t xml:space="preserve"> a</w:t>
      </w:r>
      <w:r w:rsidRPr="00FD0890">
        <w:rPr>
          <w:rFonts w:asciiTheme="minorHAnsi" w:hAnsiTheme="minorHAnsi" w:cstheme="minorHAnsi"/>
        </w:rPr>
        <w:t xml:space="preserve">dopted on 29 June 2007, Recommendation I(2). </w:t>
      </w:r>
    </w:p>
  </w:footnote>
  <w:footnote w:id="31">
    <w:p w14:paraId="34412A81" w14:textId="70B12056" w:rsidR="00320D5C" w:rsidRPr="00FD0890" w:rsidRDefault="00320D5C" w:rsidP="00F70FC0">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Joint Report, </w:t>
      </w:r>
      <w:r w:rsidRPr="00FD0890">
        <w:rPr>
          <w:rFonts w:asciiTheme="minorHAnsi" w:hAnsiTheme="minorHAnsi" w:cstheme="minorHAnsi"/>
          <w:lang w:val="en-GB"/>
        </w:rPr>
        <w:t xml:space="preserve">para. 36(b), see also para. 21. </w:t>
      </w:r>
    </w:p>
  </w:footnote>
  <w:footnote w:id="32">
    <w:p w14:paraId="531AEE26" w14:textId="7CA5B2CB" w:rsidR="00320D5C" w:rsidRPr="00FD0890" w:rsidRDefault="00320D5C">
      <w:pPr>
        <w:pStyle w:val="FootnoteText"/>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Id., para. 65.</w:t>
      </w:r>
    </w:p>
  </w:footnote>
  <w:footnote w:id="33">
    <w:p w14:paraId="430863AA" w14:textId="798E8B3E" w:rsidR="00320D5C" w:rsidRPr="00FD0890" w:rsidRDefault="00320D5C" w:rsidP="00582FF3">
      <w:pPr>
        <w:autoSpaceDE w:val="0"/>
        <w:autoSpaceDN w:val="0"/>
        <w:adjustRightInd w:val="0"/>
        <w:spacing w:after="0" w:line="240" w:lineRule="auto"/>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Id. </w:t>
      </w:r>
    </w:p>
  </w:footnote>
  <w:footnote w:id="34">
    <w:p w14:paraId="21FA589C" w14:textId="0F13B1F3" w:rsidR="00320D5C" w:rsidRDefault="00320D5C">
      <w:pPr>
        <w:pStyle w:val="FootnoteText"/>
      </w:pPr>
      <w:r>
        <w:rPr>
          <w:rStyle w:val="FootnoteReference"/>
        </w:rPr>
        <w:footnoteRef/>
      </w:r>
      <w:r>
        <w:t xml:space="preserve"> Id.</w:t>
      </w:r>
    </w:p>
  </w:footnote>
  <w:footnote w:id="35">
    <w:p w14:paraId="0B968A31" w14:textId="37564126" w:rsidR="00320D5C" w:rsidRPr="00FD0890" w:rsidRDefault="00320D5C" w:rsidP="00FD0890">
      <w:pPr>
        <w:pStyle w:val="FootnoteText"/>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OSCE/ODI</w:t>
      </w:r>
      <w:r>
        <w:rPr>
          <w:rFonts w:asciiTheme="minorHAnsi" w:hAnsiTheme="minorHAnsi" w:cstheme="minorHAnsi"/>
        </w:rPr>
        <w:t xml:space="preserve">HR </w:t>
      </w:r>
      <w:r w:rsidRPr="00FD0890">
        <w:rPr>
          <w:rFonts w:asciiTheme="minorHAnsi" w:hAnsiTheme="minorHAnsi" w:cstheme="minorHAnsi"/>
          <w:lang w:val="en-GB"/>
        </w:rPr>
        <w:t xml:space="preserve">Human Rights Handbook on Policing Assemblies (March </w:t>
      </w:r>
      <w:r w:rsidRPr="00FD0890">
        <w:rPr>
          <w:rFonts w:asciiTheme="minorHAnsi" w:hAnsiTheme="minorHAnsi" w:cstheme="minorHAnsi"/>
          <w:color w:val="000000"/>
        </w:rPr>
        <w:t xml:space="preserve">2016), page 116. </w:t>
      </w:r>
    </w:p>
  </w:footnote>
  <w:footnote w:id="36">
    <w:p w14:paraId="33E45191" w14:textId="18915FA8" w:rsidR="00320D5C" w:rsidRPr="00FD0890" w:rsidRDefault="00320D5C" w:rsidP="009B3569">
      <w:pPr>
        <w:pStyle w:val="FootnoteText"/>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Id., </w:t>
      </w:r>
      <w:r w:rsidRPr="00FD0890">
        <w:rPr>
          <w:rFonts w:asciiTheme="minorHAnsi" w:hAnsiTheme="minorHAnsi" w:cstheme="minorHAnsi"/>
          <w:color w:val="000000"/>
        </w:rPr>
        <w:t xml:space="preserve">page 62. </w:t>
      </w:r>
    </w:p>
  </w:footnote>
  <w:footnote w:id="37">
    <w:p w14:paraId="63E1E5C6" w14:textId="31CB08E6" w:rsidR="00320D5C" w:rsidRDefault="00320D5C" w:rsidP="00F70FC0">
      <w:pPr>
        <w:pStyle w:val="FootnoteText"/>
        <w:jc w:val="both"/>
      </w:pPr>
      <w:r>
        <w:rPr>
          <w:rStyle w:val="FootnoteReference"/>
        </w:rPr>
        <w:footnoteRef/>
      </w:r>
      <w:r>
        <w:t xml:space="preserve"> Prof. Yuval Shany, “On-Line Surveillance in the case-law of the UN Human Rights Committee,” 13 July 2017, citing General Comment No 35, para. 12, at </w:t>
      </w:r>
      <w:hyperlink r:id="rId5" w:history="1">
        <w:r w:rsidRPr="00D14073">
          <w:rPr>
            <w:rStyle w:val="Hyperlink"/>
          </w:rPr>
          <w:t>https://csrcl.huji.ac.il/people/line-surveillance-case-law-un-human-rights-committee</w:t>
        </w:r>
      </w:hyperlink>
      <w:r>
        <w:t xml:space="preserve">. </w:t>
      </w:r>
    </w:p>
  </w:footnote>
  <w:footnote w:id="38">
    <w:p w14:paraId="46219C14" w14:textId="1F056C80" w:rsidR="00320D5C" w:rsidRDefault="00320D5C" w:rsidP="00F70FC0">
      <w:pPr>
        <w:pStyle w:val="FootnoteText"/>
        <w:jc w:val="both"/>
      </w:pPr>
      <w:r>
        <w:rPr>
          <w:rStyle w:val="FootnoteReference"/>
        </w:rPr>
        <w:footnoteRef/>
      </w:r>
      <w:r>
        <w:t xml:space="preserve"> </w:t>
      </w:r>
      <w:r w:rsidRPr="00DF11D6">
        <w:t>HRC Concluding Observations: Turkmenistan (2017)</w:t>
      </w:r>
      <w:r>
        <w:t>;</w:t>
      </w:r>
      <w:r w:rsidRPr="00DF11D6">
        <w:t xml:space="preserve"> </w:t>
      </w:r>
      <w:r>
        <w:t xml:space="preserve">and </w:t>
      </w:r>
      <w:r w:rsidRPr="00F34085">
        <w:t>USA (2014)</w:t>
      </w:r>
      <w:r>
        <w:t xml:space="preserve">. See also </w:t>
      </w:r>
      <w:r w:rsidRPr="00F34085">
        <w:t>Concluding Observations: UK (2015)</w:t>
      </w:r>
      <w:r>
        <w:t xml:space="preserve">; and New Zealand (2016) </w:t>
      </w:r>
    </w:p>
  </w:footnote>
  <w:footnote w:id="39">
    <w:p w14:paraId="7258B488" w14:textId="1298AC3F" w:rsidR="00320D5C" w:rsidRDefault="00320D5C" w:rsidP="00F70FC0">
      <w:pPr>
        <w:pStyle w:val="FootnoteText"/>
        <w:jc w:val="both"/>
      </w:pPr>
      <w:r>
        <w:rPr>
          <w:rStyle w:val="FootnoteReference"/>
        </w:rPr>
        <w:footnoteRef/>
      </w:r>
      <w:r>
        <w:t xml:space="preserve"> </w:t>
      </w:r>
      <w:r w:rsidRPr="00AF6144">
        <w:t>HRC Concluding Observations: USA (2014)</w:t>
      </w:r>
      <w:r>
        <w:t xml:space="preserve">; and </w:t>
      </w:r>
      <w:r w:rsidRPr="00AF6144">
        <w:t>UK (2015)</w:t>
      </w:r>
      <w:r>
        <w:t xml:space="preserve">. See also Concluding Observations: South Africa (2016); and </w:t>
      </w:r>
      <w:r w:rsidRPr="00DF11D6">
        <w:t>Turkmenistan (2017)</w:t>
      </w:r>
      <w:r>
        <w:t>.</w:t>
      </w:r>
    </w:p>
  </w:footnote>
  <w:footnote w:id="40">
    <w:p w14:paraId="1DE14231" w14:textId="10C21EC9" w:rsidR="00320D5C" w:rsidRDefault="00320D5C">
      <w:pPr>
        <w:pStyle w:val="FootnoteText"/>
      </w:pPr>
      <w:r>
        <w:rPr>
          <w:rStyle w:val="FootnoteReference"/>
        </w:rPr>
        <w:footnoteRef/>
      </w:r>
      <w:r>
        <w:t xml:space="preserve"> HRC Concluding Observations: UK (2015); France (2015); Rwanda (2016); Namibia (2016)</w:t>
      </w:r>
    </w:p>
  </w:footnote>
  <w:footnote w:id="41">
    <w:p w14:paraId="1E6E1101" w14:textId="77777777" w:rsidR="000F4C44" w:rsidRPr="00FD0890" w:rsidRDefault="000F4C44" w:rsidP="00F30169">
      <w:pPr>
        <w:autoSpaceDE w:val="0"/>
        <w:autoSpaceDN w:val="0"/>
        <w:adjustRightInd w:val="0"/>
        <w:spacing w:after="0" w:line="240" w:lineRule="auto"/>
        <w:jc w:val="both"/>
        <w:rPr>
          <w:rFonts w:asciiTheme="minorHAnsi" w:hAnsiTheme="minorHAnsi" w:cstheme="minorHAnsi"/>
          <w:sz w:val="20"/>
          <w:szCs w:val="20"/>
          <w:lang w:val="en-CA"/>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Joint Report, </w:t>
      </w:r>
      <w:r w:rsidRPr="00FD0890">
        <w:rPr>
          <w:rFonts w:asciiTheme="minorHAnsi" w:hAnsiTheme="minorHAnsi" w:cstheme="minorHAnsi"/>
          <w:sz w:val="20"/>
          <w:szCs w:val="20"/>
          <w:lang w:val="en-CA"/>
        </w:rPr>
        <w:t>para. 7</w:t>
      </w:r>
      <w:bookmarkStart w:id="0" w:name="_GoBack"/>
      <w:bookmarkEnd w:id="0"/>
      <w:r w:rsidRPr="00FD0890">
        <w:rPr>
          <w:rFonts w:asciiTheme="minorHAnsi" w:hAnsiTheme="minorHAnsi" w:cstheme="minorHAnsi"/>
          <w:sz w:val="20"/>
          <w:szCs w:val="20"/>
          <w:lang w:val="en-CA"/>
        </w:rPr>
        <w:t>7</w:t>
      </w:r>
      <w:r w:rsidRPr="00FD0890">
        <w:rPr>
          <w:rFonts w:asciiTheme="minorHAnsi" w:hAnsiTheme="minorHAnsi" w:cstheme="minorHAnsi"/>
          <w:sz w:val="20"/>
          <w:szCs w:val="20"/>
        </w:rPr>
        <w:t xml:space="preserve">. </w:t>
      </w:r>
      <w:r w:rsidRPr="00FD0890">
        <w:rPr>
          <w:rFonts w:asciiTheme="minorHAnsi" w:hAnsiTheme="minorHAnsi" w:cstheme="minorHAnsi"/>
          <w:sz w:val="20"/>
          <w:szCs w:val="20"/>
          <w:lang w:val="en-CA"/>
        </w:rPr>
        <w:t xml:space="preserve">  </w:t>
      </w:r>
    </w:p>
  </w:footnote>
  <w:footnote w:id="42">
    <w:p w14:paraId="41A7F558" w14:textId="2A267E65" w:rsidR="00320D5C" w:rsidRDefault="00320D5C" w:rsidP="00F30169">
      <w:pPr>
        <w:pStyle w:val="FootnoteText"/>
        <w:jc w:val="both"/>
      </w:pPr>
      <w:r>
        <w:rPr>
          <w:rStyle w:val="FootnoteReference"/>
        </w:rPr>
        <w:footnoteRef/>
      </w:r>
      <w:r>
        <w:t xml:space="preserve"> </w:t>
      </w:r>
      <w:r w:rsidRPr="00DF11D6">
        <w:t>HRC Concluding Observations: Turkmenistan (2017)</w:t>
      </w:r>
      <w:r>
        <w:t>.</w:t>
      </w:r>
    </w:p>
  </w:footnote>
  <w:footnote w:id="43">
    <w:p w14:paraId="4F44D21B" w14:textId="487146BE" w:rsidR="00320D5C" w:rsidRDefault="00320D5C" w:rsidP="00F30169">
      <w:pPr>
        <w:pStyle w:val="FootnoteText"/>
        <w:jc w:val="both"/>
      </w:pPr>
      <w:r>
        <w:rPr>
          <w:rStyle w:val="FootnoteReference"/>
        </w:rPr>
        <w:footnoteRef/>
      </w:r>
      <w:r>
        <w:t xml:space="preserve"> </w:t>
      </w:r>
      <w:r w:rsidRPr="00AF6144">
        <w:t>HRC Concluding Observations: France (2015)</w:t>
      </w:r>
      <w:r>
        <w:t>.</w:t>
      </w:r>
    </w:p>
  </w:footnote>
  <w:footnote w:id="44">
    <w:p w14:paraId="328C3924" w14:textId="6BFF0AE2" w:rsidR="00320D5C" w:rsidRDefault="00320D5C" w:rsidP="00F30169">
      <w:pPr>
        <w:pStyle w:val="FootnoteText"/>
        <w:jc w:val="both"/>
      </w:pPr>
      <w:r>
        <w:rPr>
          <w:rStyle w:val="FootnoteReference"/>
        </w:rPr>
        <w:footnoteRef/>
      </w:r>
      <w:r>
        <w:t xml:space="preserve"> See also </w:t>
      </w:r>
      <w:r w:rsidRPr="001F67B5">
        <w:t>HRC Concluding Observations: South Africa (2016)</w:t>
      </w:r>
      <w:r>
        <w:t>.</w:t>
      </w:r>
    </w:p>
  </w:footnote>
  <w:footnote w:id="45">
    <w:p w14:paraId="16064E63" w14:textId="5724B91B" w:rsidR="00320D5C" w:rsidRDefault="00320D5C" w:rsidP="00F30169">
      <w:pPr>
        <w:pStyle w:val="FootnoteText"/>
        <w:jc w:val="both"/>
      </w:pPr>
      <w:r>
        <w:rPr>
          <w:rStyle w:val="FootnoteReference"/>
        </w:rPr>
        <w:footnoteRef/>
      </w:r>
      <w:r>
        <w:t xml:space="preserve"> </w:t>
      </w:r>
      <w:r w:rsidRPr="001F67B5">
        <w:t>HRC Concluding Observations: Sweden (2016)</w:t>
      </w:r>
      <w:r>
        <w:t>.</w:t>
      </w:r>
    </w:p>
  </w:footnote>
  <w:footnote w:id="46">
    <w:p w14:paraId="0FC90504" w14:textId="77777777" w:rsidR="000C0545" w:rsidRDefault="000C0545" w:rsidP="00F30169">
      <w:pPr>
        <w:pStyle w:val="FootnoteText"/>
        <w:jc w:val="both"/>
      </w:pPr>
      <w:r>
        <w:rPr>
          <w:rStyle w:val="FootnoteReference"/>
        </w:rPr>
        <w:footnoteRef/>
      </w:r>
      <w:r>
        <w:t xml:space="preserve"> Joint Report, para. 77.</w:t>
      </w:r>
    </w:p>
  </w:footnote>
  <w:footnote w:id="47">
    <w:p w14:paraId="7897FA22" w14:textId="77777777" w:rsidR="00253D98" w:rsidRPr="00FD0890" w:rsidRDefault="00253D98" w:rsidP="00F30169">
      <w:pPr>
        <w:pStyle w:val="NormalWeb"/>
        <w:shd w:val="clear" w:color="auto" w:fill="FFFFFF"/>
        <w:spacing w:before="0" w:beforeAutospacing="0" w:after="0" w:afterAutospacing="0"/>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w:t>
      </w:r>
      <w:r w:rsidRPr="00FD0890">
        <w:rPr>
          <w:rFonts w:asciiTheme="minorHAnsi" w:hAnsiTheme="minorHAnsi" w:cstheme="minorHAnsi"/>
          <w:sz w:val="20"/>
          <w:szCs w:val="20"/>
          <w:lang w:val="en-CA"/>
        </w:rPr>
        <w:t xml:space="preserve">For example, the </w:t>
      </w:r>
      <w:r w:rsidRPr="00FD0890">
        <w:rPr>
          <w:rFonts w:asciiTheme="minorHAnsi" w:hAnsiTheme="minorHAnsi" w:cstheme="minorHAnsi"/>
          <w:sz w:val="20"/>
          <w:szCs w:val="20"/>
        </w:rPr>
        <w:t>Code of the [US] District of Columbia</w:t>
      </w:r>
      <w:r w:rsidRPr="00FD0890">
        <w:rPr>
          <w:rFonts w:asciiTheme="minorHAnsi" w:hAnsiTheme="minorHAnsi" w:cstheme="minorHAnsi"/>
          <w:sz w:val="20"/>
          <w:szCs w:val="20"/>
          <w:lang w:val="en-CA"/>
        </w:rPr>
        <w:t xml:space="preserve"> </w:t>
      </w:r>
      <w:r w:rsidRPr="00FD0890">
        <w:rPr>
          <w:rFonts w:asciiTheme="minorHAnsi" w:hAnsiTheme="minorHAnsi" w:cstheme="minorHAnsi"/>
          <w:i/>
          <w:sz w:val="20"/>
          <w:szCs w:val="20"/>
          <w:lang w:val="en-CA"/>
        </w:rPr>
        <w:t xml:space="preserve">Rules for investigations and preliminary inquiries </w:t>
      </w:r>
      <w:r w:rsidRPr="00FD0890">
        <w:rPr>
          <w:rFonts w:asciiTheme="minorHAnsi" w:hAnsiTheme="minorHAnsi" w:cstheme="minorHAnsi"/>
          <w:sz w:val="20"/>
          <w:szCs w:val="20"/>
          <w:lang w:val="en-CA"/>
        </w:rPr>
        <w:t xml:space="preserve"> prohibit undercover officers and informants from “[e]ngaging in any conduct the purpose of which is to disrupt, prevent, or hinder the lawful exercise of First Amendment [free expression] activities” or “[i]nitiating, proposing, approving, directing, or suggesting unlawful acts or a plan to commit unlawful acts . . . .”  </w:t>
      </w:r>
      <w:r w:rsidRPr="00FD0890">
        <w:rPr>
          <w:rFonts w:asciiTheme="minorHAnsi" w:hAnsiTheme="minorHAnsi" w:cstheme="minorHAnsi"/>
          <w:sz w:val="20"/>
          <w:szCs w:val="20"/>
        </w:rPr>
        <w:t xml:space="preserve">§5-333.08(b)(5) and (3). </w:t>
      </w:r>
      <w:r w:rsidRPr="00FD0890">
        <w:rPr>
          <w:rFonts w:asciiTheme="minorHAnsi" w:hAnsiTheme="minorHAnsi" w:cstheme="minorHAnsi"/>
          <w:sz w:val="20"/>
          <w:szCs w:val="20"/>
          <w:lang w:val="en-CA"/>
        </w:rPr>
        <w:t xml:space="preserve"> </w:t>
      </w:r>
    </w:p>
  </w:footnote>
  <w:footnote w:id="48">
    <w:p w14:paraId="7963F185" w14:textId="063288FF" w:rsidR="00253D98" w:rsidRPr="007F019D" w:rsidRDefault="00253D98" w:rsidP="007F019D">
      <w:pPr>
        <w:spacing w:after="0" w:line="240" w:lineRule="auto"/>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E.g., European Court of Human Rights, </w:t>
      </w:r>
      <w:r w:rsidRPr="00FD0890">
        <w:rPr>
          <w:rFonts w:asciiTheme="minorHAnsi" w:hAnsiTheme="minorHAnsi" w:cstheme="minorHAnsi"/>
          <w:i/>
          <w:sz w:val="20"/>
          <w:szCs w:val="20"/>
        </w:rPr>
        <w:t>Bannikova v Russia</w:t>
      </w:r>
      <w:r w:rsidRPr="00FD0890">
        <w:rPr>
          <w:rFonts w:asciiTheme="minorHAnsi" w:hAnsiTheme="minorHAnsi" w:cstheme="minorHAnsi"/>
          <w:sz w:val="20"/>
          <w:szCs w:val="20"/>
        </w:rPr>
        <w:t xml:space="preserve">, </w:t>
      </w:r>
      <w:r w:rsidRPr="00FD0890">
        <w:rPr>
          <w:rFonts w:asciiTheme="minorHAnsi" w:eastAsia="Times New Roman" w:hAnsiTheme="minorHAnsi" w:cstheme="minorHAnsi"/>
          <w:bCs/>
          <w:iCs/>
          <w:color w:val="000000"/>
          <w:sz w:val="20"/>
          <w:szCs w:val="20"/>
          <w:shd w:val="clear" w:color="auto" w:fill="FFFFFF"/>
        </w:rPr>
        <w:t>Application no</w:t>
      </w:r>
      <w:r w:rsidRPr="00FD0890">
        <w:rPr>
          <w:rFonts w:asciiTheme="minorHAnsi" w:eastAsia="Times New Roman" w:hAnsiTheme="minorHAnsi" w:cstheme="minorHAnsi"/>
          <w:bCs/>
          <w:i/>
          <w:iCs/>
          <w:color w:val="000000"/>
          <w:sz w:val="20"/>
          <w:szCs w:val="20"/>
          <w:shd w:val="clear" w:color="auto" w:fill="FFFFFF"/>
        </w:rPr>
        <w:t xml:space="preserve"> </w:t>
      </w:r>
      <w:r w:rsidRPr="00FD0890">
        <w:rPr>
          <w:rFonts w:asciiTheme="minorHAnsi" w:eastAsia="Times New Roman" w:hAnsiTheme="minorHAnsi" w:cstheme="minorHAnsi"/>
          <w:bCs/>
          <w:color w:val="000000"/>
          <w:sz w:val="20"/>
          <w:szCs w:val="20"/>
          <w:shd w:val="clear" w:color="auto" w:fill="FFFFFF"/>
        </w:rPr>
        <w:t>18757/06, Judgment of 4 Nov</w:t>
      </w:r>
      <w:r w:rsidR="007F019D">
        <w:rPr>
          <w:rFonts w:asciiTheme="minorHAnsi" w:eastAsia="Times New Roman" w:hAnsiTheme="minorHAnsi" w:cstheme="minorHAnsi"/>
          <w:bCs/>
          <w:color w:val="000000"/>
          <w:sz w:val="20"/>
          <w:szCs w:val="20"/>
          <w:shd w:val="clear" w:color="auto" w:fill="FFFFFF"/>
        </w:rPr>
        <w:t>.</w:t>
      </w:r>
      <w:r w:rsidRPr="00FD0890">
        <w:rPr>
          <w:rFonts w:asciiTheme="minorHAnsi" w:eastAsia="Times New Roman" w:hAnsiTheme="minorHAnsi" w:cstheme="minorHAnsi"/>
          <w:bCs/>
          <w:color w:val="000000"/>
          <w:sz w:val="20"/>
          <w:szCs w:val="20"/>
          <w:shd w:val="clear" w:color="auto" w:fill="FFFFFF"/>
        </w:rPr>
        <w:t xml:space="preserve"> 2010, para 35; and</w:t>
      </w:r>
      <w:r w:rsidRPr="00FD0890">
        <w:rPr>
          <w:rFonts w:asciiTheme="minorHAnsi" w:hAnsiTheme="minorHAnsi" w:cstheme="minorHAnsi"/>
          <w:sz w:val="20"/>
          <w:szCs w:val="20"/>
        </w:rPr>
        <w:t xml:space="preserve"> </w:t>
      </w:r>
      <w:r w:rsidRPr="00FD0890">
        <w:rPr>
          <w:rStyle w:val="Emphasis"/>
          <w:rFonts w:asciiTheme="minorHAnsi" w:hAnsiTheme="minorHAnsi" w:cstheme="minorHAnsi"/>
          <w:sz w:val="20"/>
          <w:szCs w:val="20"/>
        </w:rPr>
        <w:t>Teixeira</w:t>
      </w:r>
      <w:r w:rsidRPr="00FD0890">
        <w:rPr>
          <w:rFonts w:asciiTheme="minorHAnsi" w:hAnsiTheme="minorHAnsi" w:cstheme="minorHAnsi"/>
          <w:sz w:val="20"/>
          <w:szCs w:val="20"/>
        </w:rPr>
        <w:t xml:space="preserve"> de </w:t>
      </w:r>
      <w:r w:rsidRPr="00FD0890">
        <w:rPr>
          <w:rStyle w:val="Emphasis"/>
          <w:rFonts w:asciiTheme="minorHAnsi" w:hAnsiTheme="minorHAnsi" w:cstheme="minorHAnsi"/>
          <w:sz w:val="20"/>
          <w:szCs w:val="20"/>
        </w:rPr>
        <w:t>Castro v Portugal</w:t>
      </w:r>
      <w:r w:rsidRPr="00FD0890">
        <w:rPr>
          <w:rFonts w:asciiTheme="minorHAnsi" w:hAnsiTheme="minorHAnsi" w:cstheme="minorHAnsi"/>
          <w:sz w:val="20"/>
          <w:szCs w:val="20"/>
        </w:rPr>
        <w:t>.</w:t>
      </w:r>
      <w:r w:rsidR="007F019D" w:rsidRPr="007F019D">
        <w:t xml:space="preserve"> </w:t>
      </w:r>
      <w:r w:rsidR="007F019D">
        <w:rPr>
          <w:rFonts w:asciiTheme="minorHAnsi" w:hAnsiTheme="minorHAnsi" w:cstheme="minorHAnsi"/>
          <w:sz w:val="20"/>
          <w:szCs w:val="20"/>
        </w:rPr>
        <w:t xml:space="preserve">Application no </w:t>
      </w:r>
      <w:r w:rsidR="007F019D" w:rsidRPr="007F019D">
        <w:rPr>
          <w:rFonts w:asciiTheme="minorHAnsi" w:hAnsiTheme="minorHAnsi" w:cstheme="minorHAnsi"/>
          <w:sz w:val="20"/>
          <w:szCs w:val="20"/>
        </w:rPr>
        <w:t>44/1997/828/1034</w:t>
      </w:r>
      <w:r w:rsidR="007F019D">
        <w:rPr>
          <w:rFonts w:asciiTheme="minorHAnsi" w:hAnsiTheme="minorHAnsi" w:cstheme="minorHAnsi"/>
          <w:sz w:val="20"/>
          <w:szCs w:val="20"/>
        </w:rPr>
        <w:t>, Judgment of 9 June 1998.</w:t>
      </w:r>
    </w:p>
  </w:footnote>
  <w:footnote w:id="49">
    <w:p w14:paraId="5B58D776" w14:textId="329AFDDC" w:rsidR="00320D5C" w:rsidRPr="00FD0890" w:rsidRDefault="00320D5C" w:rsidP="00F30169">
      <w:pPr>
        <w:pStyle w:val="FootnoteText"/>
        <w:jc w:val="both"/>
        <w:rPr>
          <w:rFonts w:asciiTheme="minorHAnsi" w:hAnsiTheme="minorHAnsi" w:cstheme="minorHAnsi"/>
          <w:lang w:val="en-GB"/>
        </w:rPr>
      </w:pPr>
      <w:r w:rsidRPr="00FD0890">
        <w:rPr>
          <w:rStyle w:val="FootnoteReference"/>
          <w:rFonts w:asciiTheme="minorHAnsi" w:hAnsiTheme="minorHAnsi" w:cstheme="minorHAnsi"/>
        </w:rPr>
        <w:footnoteRef/>
      </w:r>
      <w:r w:rsidRPr="00FD0890">
        <w:rPr>
          <w:rFonts w:asciiTheme="minorHAnsi" w:hAnsiTheme="minorHAnsi" w:cstheme="minorHAnsi"/>
        </w:rPr>
        <w:t xml:space="preserve"> For instance, i</w:t>
      </w:r>
      <w:r w:rsidRPr="00FD0890">
        <w:rPr>
          <w:rFonts w:asciiTheme="minorHAnsi" w:hAnsiTheme="minorHAnsi" w:cstheme="minorHAnsi"/>
          <w:lang w:val="en-GB"/>
        </w:rPr>
        <w:t xml:space="preserve">n several US States, </w:t>
      </w:r>
      <w:r w:rsidRPr="00FD0890">
        <w:rPr>
          <w:rFonts w:asciiTheme="minorHAnsi" w:eastAsia="Times New Roman" w:hAnsiTheme="minorHAnsi" w:cstheme="minorHAnsi"/>
          <w:color w:val="281E1E"/>
          <w:lang w:eastAsia="en-GB"/>
        </w:rPr>
        <w:t xml:space="preserve">legally binding consent decrees were entered into to preclude practices of police spying on non-violent political and protest groups. E.g., </w:t>
      </w:r>
      <w:r w:rsidRPr="00FD0890">
        <w:rPr>
          <w:rFonts w:asciiTheme="minorHAnsi" w:hAnsiTheme="minorHAnsi" w:cstheme="minorHAnsi"/>
        </w:rPr>
        <w:t xml:space="preserve">American Civil Liberties Union, et al. v. City Of Chicago, et al., Nos. 74 C 3268, 75 C 3295, 30 March 1982, Agreed Order, Judgment and Decree issued 8 April 1982, at paras 3.6.2 &amp; 3.6.3.1. </w:t>
      </w:r>
    </w:p>
  </w:footnote>
  <w:footnote w:id="50">
    <w:p w14:paraId="1CE20CFC" w14:textId="50D3921D" w:rsidR="00320D5C" w:rsidRPr="00FD0890" w:rsidRDefault="00320D5C" w:rsidP="00F30169">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OSCE Human Rights Handbook on Policing Assemblies (March 2016), p. 38: “Where a decision is made to restrict the rights of those participating in the assembly … (such as the use of covert officers), then a clear and transparent written record of the decision must be made, and it must be linked to the individual officer who made the decision. Any such decisions should be subject to review in the debriefing process and may be provided in any enquiry into police practice.”</w:t>
      </w:r>
      <w:r>
        <w:rPr>
          <w:rFonts w:asciiTheme="minorHAnsi" w:hAnsiTheme="minorHAnsi" w:cstheme="minorHAnsi"/>
        </w:rPr>
        <w:t xml:space="preserve"> See also </w:t>
      </w:r>
      <w:r w:rsidRPr="00637B76">
        <w:rPr>
          <w:rFonts w:asciiTheme="minorHAnsi" w:hAnsiTheme="minorHAnsi" w:cstheme="minorHAnsi"/>
        </w:rPr>
        <w:t>HRC Concluding Observations: Sweden (2016).</w:t>
      </w:r>
    </w:p>
  </w:footnote>
  <w:footnote w:id="51">
    <w:p w14:paraId="05B83225" w14:textId="77777777" w:rsidR="00253D98" w:rsidRPr="003C42A3" w:rsidRDefault="00253D98" w:rsidP="00F30169">
      <w:pPr>
        <w:pStyle w:val="FootnoteText"/>
        <w:jc w:val="both"/>
        <w:rPr>
          <w:rFonts w:ascii="Times New Roman" w:hAnsi="Times New Roman" w:cs="Times New Roman"/>
          <w:lang w:val="en-GB"/>
        </w:rPr>
      </w:pPr>
      <w:r w:rsidRPr="003C42A3">
        <w:rPr>
          <w:rStyle w:val="FootnoteReference"/>
        </w:rPr>
        <w:footnoteRef/>
      </w:r>
      <w:r w:rsidRPr="003C42A3">
        <w:rPr>
          <w:rFonts w:ascii="Times New Roman" w:hAnsi="Times New Roman" w:cs="Times New Roman"/>
        </w:rPr>
        <w:t xml:space="preserve"> </w:t>
      </w:r>
      <w:r w:rsidRPr="00CF785B">
        <w:rPr>
          <w:rFonts w:ascii="Times New Roman" w:hAnsi="Times New Roman" w:cs="Times New Roman"/>
          <w:bCs/>
          <w:lang w:val="en-GB"/>
        </w:rPr>
        <w:t>Concluding observations on the third periodic report of the Republic of Moldova, UN Doc. CCPR/C/MDA/CO/3 (18 November 2016), para 34: “</w:t>
      </w:r>
      <w:r w:rsidRPr="00CF785B">
        <w:rPr>
          <w:rFonts w:ascii="Times New Roman" w:hAnsi="Times New Roman" w:cs="Times New Roman"/>
        </w:rPr>
        <w:t>The State party should… take appropriate measures to ensure that organizers and participants of assemblies do not face any acts of intimidation, including police interference prior to the organization of assemblies.”</w:t>
      </w:r>
      <w:r w:rsidRPr="003C42A3">
        <w:rPr>
          <w:rFonts w:ascii="Times New Roman" w:hAnsi="Times New Roman" w:cs="Times New Roman"/>
        </w:rPr>
        <w:t xml:space="preserve"> </w:t>
      </w:r>
    </w:p>
  </w:footnote>
  <w:footnote w:id="52">
    <w:p w14:paraId="3FFA6D33" w14:textId="09832A8E" w:rsidR="00320D5C" w:rsidRPr="00FD0890" w:rsidRDefault="00320D5C" w:rsidP="00F30169">
      <w:pPr>
        <w:spacing w:after="0" w:line="240" w:lineRule="auto"/>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OSCE/ODI</w:t>
      </w:r>
      <w:r w:rsidR="006F1FB7">
        <w:rPr>
          <w:rFonts w:asciiTheme="minorHAnsi" w:hAnsiTheme="minorHAnsi" w:cstheme="minorHAnsi"/>
          <w:sz w:val="20"/>
          <w:szCs w:val="20"/>
        </w:rPr>
        <w:t>H</w:t>
      </w:r>
      <w:r w:rsidRPr="00FD0890">
        <w:rPr>
          <w:rFonts w:asciiTheme="minorHAnsi" w:hAnsiTheme="minorHAnsi" w:cstheme="minorHAnsi"/>
          <w:sz w:val="20"/>
          <w:szCs w:val="20"/>
        </w:rPr>
        <w:t xml:space="preserve">R </w:t>
      </w:r>
      <w:r w:rsidR="006F1FB7">
        <w:rPr>
          <w:rFonts w:asciiTheme="minorHAnsi" w:hAnsiTheme="minorHAnsi" w:cstheme="minorHAnsi"/>
          <w:sz w:val="20"/>
          <w:szCs w:val="20"/>
        </w:rPr>
        <w:t xml:space="preserve">and Venice Commission </w:t>
      </w:r>
      <w:r w:rsidRPr="00FD0890">
        <w:rPr>
          <w:rFonts w:asciiTheme="minorHAnsi" w:hAnsiTheme="minorHAnsi" w:cstheme="minorHAnsi"/>
          <w:sz w:val="20"/>
          <w:szCs w:val="20"/>
        </w:rPr>
        <w:t>Guidelines on Freedom of Peaceful Assembly (Second Edition, 2010), paragraph 4.4.</w:t>
      </w:r>
    </w:p>
  </w:footnote>
  <w:footnote w:id="53">
    <w:p w14:paraId="6A28E78C" w14:textId="4ED33B77" w:rsidR="00320D5C" w:rsidRPr="00FD0890" w:rsidRDefault="00320D5C" w:rsidP="00F30169">
      <w:pPr>
        <w:autoSpaceDE w:val="0"/>
        <w:autoSpaceDN w:val="0"/>
        <w:adjustRightInd w:val="0"/>
        <w:spacing w:after="0" w:line="240" w:lineRule="auto"/>
        <w:jc w:val="both"/>
        <w:rPr>
          <w:rFonts w:asciiTheme="minorHAnsi" w:hAnsiTheme="minorHAnsi" w:cstheme="minorHAnsi"/>
          <w:sz w:val="20"/>
          <w:szCs w:val="20"/>
          <w:lang w:val="en-GB"/>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Joint Report,</w:t>
      </w:r>
      <w:r w:rsidRPr="00FD0890">
        <w:rPr>
          <w:rFonts w:asciiTheme="minorHAnsi" w:hAnsiTheme="minorHAnsi" w:cstheme="minorHAnsi"/>
          <w:sz w:val="20"/>
          <w:szCs w:val="20"/>
          <w:lang w:val="en-CA"/>
        </w:rPr>
        <w:t xml:space="preserve"> para </w:t>
      </w:r>
      <w:r w:rsidRPr="00FD0890">
        <w:rPr>
          <w:rFonts w:asciiTheme="minorHAnsi" w:hAnsiTheme="minorHAnsi" w:cstheme="minorHAnsi"/>
          <w:sz w:val="20"/>
          <w:szCs w:val="20"/>
          <w:lang w:val="en-GB"/>
        </w:rPr>
        <w:t xml:space="preserve">24. </w:t>
      </w:r>
    </w:p>
  </w:footnote>
  <w:footnote w:id="54">
    <w:p w14:paraId="404D9517" w14:textId="4DEFE816" w:rsidR="00320D5C" w:rsidRPr="00FD0890" w:rsidRDefault="00320D5C" w:rsidP="00F30169">
      <w:pPr>
        <w:autoSpaceDE w:val="0"/>
        <w:autoSpaceDN w:val="0"/>
        <w:adjustRightInd w:val="0"/>
        <w:spacing w:after="0" w:line="240" w:lineRule="auto"/>
        <w:jc w:val="both"/>
        <w:rPr>
          <w:rFonts w:asciiTheme="minorHAnsi" w:hAnsiTheme="minorHAnsi" w:cstheme="minorHAnsi"/>
          <w:sz w:val="20"/>
          <w:szCs w:val="20"/>
          <w:lang w:val="en-GB"/>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Joint Report, </w:t>
      </w:r>
      <w:r w:rsidRPr="00FD0890">
        <w:rPr>
          <w:rFonts w:asciiTheme="minorHAnsi" w:hAnsiTheme="minorHAnsi" w:cstheme="minorHAnsi"/>
          <w:sz w:val="20"/>
          <w:szCs w:val="20"/>
          <w:lang w:val="en-CA"/>
        </w:rPr>
        <w:t>fn. 14</w:t>
      </w:r>
      <w:r w:rsidRPr="00FD0890">
        <w:rPr>
          <w:rFonts w:asciiTheme="minorHAnsi" w:hAnsiTheme="minorHAnsi" w:cstheme="minorHAnsi"/>
          <w:sz w:val="20"/>
          <w:szCs w:val="20"/>
          <w:lang w:val="en-GB"/>
        </w:rPr>
        <w:t>.</w:t>
      </w:r>
    </w:p>
  </w:footnote>
  <w:footnote w:id="55">
    <w:p w14:paraId="55D05050" w14:textId="7D4C7ED9" w:rsidR="006217B9" w:rsidRPr="006217B9" w:rsidRDefault="006217B9">
      <w:pPr>
        <w:pStyle w:val="FootnoteText"/>
      </w:pPr>
      <w:r>
        <w:rPr>
          <w:rStyle w:val="FootnoteReference"/>
        </w:rPr>
        <w:footnoteRef/>
      </w:r>
      <w:r>
        <w:t xml:space="preserve"> See Handyside v. United Kingdom</w:t>
      </w:r>
      <w:r w:rsidRPr="006217B9">
        <w:t>, a</w:t>
      </w:r>
      <w:r w:rsidRPr="006217B9">
        <w:rPr>
          <w:iCs/>
        </w:rPr>
        <w:t>pplication no. </w:t>
      </w:r>
      <w:hyperlink r:id="rId6" w:anchor="{%22appno%22:[%225493/72%22]}" w:tgtFrame="_blank" w:history="1">
        <w:r w:rsidRPr="006217B9">
          <w:rPr>
            <w:rStyle w:val="Hyperlink"/>
            <w:iCs/>
          </w:rPr>
          <w:t>5493/72</w:t>
        </w:r>
      </w:hyperlink>
      <w:r w:rsidRPr="006217B9">
        <w:rPr>
          <w:iCs/>
        </w:rPr>
        <w:t>, 7 Dec. 1976.</w:t>
      </w:r>
    </w:p>
  </w:footnote>
  <w:footnote w:id="56">
    <w:p w14:paraId="4D8B8109" w14:textId="6922F676" w:rsidR="00320D5C" w:rsidRPr="00FD0890" w:rsidRDefault="00320D5C" w:rsidP="00F30169">
      <w:pPr>
        <w:pStyle w:val="FootnoteText"/>
        <w:jc w:val="both"/>
        <w:rPr>
          <w:rFonts w:asciiTheme="minorHAnsi" w:hAnsiTheme="minorHAnsi" w:cstheme="minorHAnsi"/>
          <w:lang w:val="en-GB"/>
        </w:rPr>
      </w:pPr>
      <w:r w:rsidRPr="00FD0890">
        <w:rPr>
          <w:rStyle w:val="FootnoteReference"/>
          <w:rFonts w:asciiTheme="minorHAnsi" w:hAnsiTheme="minorHAnsi" w:cstheme="minorHAnsi"/>
        </w:rPr>
        <w:footnoteRef/>
      </w:r>
      <w:r w:rsidRPr="00FD0890">
        <w:rPr>
          <w:rFonts w:asciiTheme="minorHAnsi" w:hAnsiTheme="minorHAnsi" w:cstheme="minorHAnsi"/>
        </w:rPr>
        <w:t xml:space="preserve"> Communication No</w:t>
      </w:r>
      <w:r>
        <w:rPr>
          <w:rFonts w:asciiTheme="minorHAnsi" w:hAnsiTheme="minorHAnsi" w:cstheme="minorHAnsi"/>
        </w:rPr>
        <w:t>.</w:t>
      </w:r>
      <w:r w:rsidRPr="00FD0890">
        <w:rPr>
          <w:rFonts w:asciiTheme="minorHAnsi" w:hAnsiTheme="minorHAnsi" w:cstheme="minorHAnsi"/>
        </w:rPr>
        <w:t xml:space="preserve"> 1873/2009</w:t>
      </w:r>
      <w:r>
        <w:rPr>
          <w:rFonts w:asciiTheme="minorHAnsi" w:hAnsiTheme="minorHAnsi" w:cstheme="minorHAnsi"/>
        </w:rPr>
        <w:t>, UN Doc.</w:t>
      </w:r>
      <w:r w:rsidRPr="00FD0890">
        <w:rPr>
          <w:rFonts w:asciiTheme="minorHAnsi" w:hAnsiTheme="minorHAnsi" w:cstheme="minorHAnsi"/>
        </w:rPr>
        <w:t xml:space="preserve"> CCPR/C/109/D/1873/2009, issued 2 Dec</w:t>
      </w:r>
      <w:r>
        <w:rPr>
          <w:rFonts w:asciiTheme="minorHAnsi" w:hAnsiTheme="minorHAnsi" w:cstheme="minorHAnsi"/>
        </w:rPr>
        <w:t>.</w:t>
      </w:r>
      <w:r w:rsidRPr="00FD0890">
        <w:rPr>
          <w:rFonts w:asciiTheme="minorHAnsi" w:hAnsiTheme="minorHAnsi" w:cstheme="minorHAnsi"/>
        </w:rPr>
        <w:t xml:space="preserve"> 2013, </w:t>
      </w:r>
      <w:r w:rsidRPr="00270CCF">
        <w:rPr>
          <w:rFonts w:asciiTheme="minorHAnsi" w:hAnsiTheme="minorHAnsi" w:cstheme="minorHAnsi"/>
        </w:rPr>
        <w:t>para. 2.3.</w:t>
      </w:r>
    </w:p>
  </w:footnote>
  <w:footnote w:id="57">
    <w:p w14:paraId="4AB043F5" w14:textId="6269216B" w:rsidR="00320D5C" w:rsidRPr="00FD0890" w:rsidRDefault="00320D5C" w:rsidP="00F30169">
      <w:pPr>
        <w:pStyle w:val="FootnoteText"/>
        <w:jc w:val="both"/>
        <w:rPr>
          <w:rFonts w:asciiTheme="minorHAnsi" w:hAnsiTheme="minorHAnsi" w:cstheme="minorHAnsi"/>
          <w:lang w:val="en-GB"/>
        </w:rPr>
      </w:pPr>
      <w:r w:rsidRPr="00FD0890">
        <w:rPr>
          <w:rStyle w:val="FootnoteReference"/>
          <w:rFonts w:asciiTheme="minorHAnsi" w:hAnsiTheme="minorHAnsi" w:cstheme="minorHAnsi"/>
        </w:rPr>
        <w:footnoteRef/>
      </w:r>
      <w:r>
        <w:rPr>
          <w:rFonts w:asciiTheme="minorHAnsi" w:eastAsiaTheme="majorEastAsia" w:hAnsiTheme="minorHAnsi" w:cstheme="minorHAnsi"/>
          <w:color w:val="000000" w:themeColor="text1"/>
        </w:rPr>
        <w:t>Id.</w:t>
      </w:r>
      <w:r w:rsidRPr="00FD0890">
        <w:rPr>
          <w:rFonts w:asciiTheme="minorHAnsi" w:eastAsiaTheme="majorEastAsia" w:hAnsiTheme="minorHAnsi" w:cstheme="minorHAnsi"/>
          <w:color w:val="000000" w:themeColor="text1"/>
        </w:rPr>
        <w:t xml:space="preserve">, </w:t>
      </w:r>
      <w:r>
        <w:rPr>
          <w:rFonts w:asciiTheme="minorHAnsi" w:eastAsiaTheme="majorEastAsia" w:hAnsiTheme="minorHAnsi" w:cstheme="minorHAnsi"/>
          <w:color w:val="000000" w:themeColor="text1"/>
        </w:rPr>
        <w:t>para. 9.6.</w:t>
      </w:r>
    </w:p>
  </w:footnote>
  <w:footnote w:id="58">
    <w:p w14:paraId="672BD7F5" w14:textId="77777777" w:rsidR="00320D5C" w:rsidRPr="00FD0890" w:rsidRDefault="00320D5C" w:rsidP="00F30169">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w:t>
      </w:r>
      <w:r w:rsidRPr="00FD0890">
        <w:rPr>
          <w:rFonts w:asciiTheme="minorHAnsi" w:hAnsiTheme="minorHAnsi" w:cstheme="minorHAnsi"/>
          <w:lang w:val="en-GB"/>
        </w:rPr>
        <w:t xml:space="preserve">See Amnesty International Dutch Section, Policing Assemblies, Short Paper Series 1, p. 5; and </w:t>
      </w:r>
      <w:r w:rsidRPr="00FD0890">
        <w:rPr>
          <w:rFonts w:asciiTheme="minorHAnsi" w:hAnsiTheme="minorHAnsi" w:cstheme="minorHAnsi"/>
        </w:rPr>
        <w:t xml:space="preserve">IACHR Hearing on Social Protest and Human Rights in the Americas, cited in IACHR Annual Report 2015, p. </w:t>
      </w:r>
      <w:r w:rsidRPr="00FD0890">
        <w:rPr>
          <w:rFonts w:asciiTheme="minorHAnsi" w:hAnsiTheme="minorHAnsi" w:cstheme="minorHAnsi"/>
          <w:lang w:val="en-GB"/>
        </w:rPr>
        <w:t>525.</w:t>
      </w:r>
    </w:p>
  </w:footnote>
  <w:footnote w:id="59">
    <w:p w14:paraId="047AF23E" w14:textId="77777777" w:rsidR="007F4021" w:rsidRPr="00FD0890" w:rsidRDefault="007F4021" w:rsidP="00F30169">
      <w:pPr>
        <w:autoSpaceDE w:val="0"/>
        <w:autoSpaceDN w:val="0"/>
        <w:adjustRightInd w:val="0"/>
        <w:spacing w:after="0" w:line="240" w:lineRule="auto"/>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Joint Report, </w:t>
      </w:r>
      <w:r w:rsidRPr="00FD0890">
        <w:rPr>
          <w:rFonts w:asciiTheme="minorHAnsi" w:hAnsiTheme="minorHAnsi" w:cstheme="minorHAnsi"/>
          <w:sz w:val="20"/>
          <w:szCs w:val="20"/>
          <w:lang w:val="en-CA"/>
        </w:rPr>
        <w:t xml:space="preserve">para </w:t>
      </w:r>
      <w:r w:rsidRPr="00FD0890">
        <w:rPr>
          <w:rFonts w:asciiTheme="minorHAnsi" w:hAnsiTheme="minorHAnsi" w:cstheme="minorHAnsi"/>
          <w:sz w:val="20"/>
          <w:szCs w:val="20"/>
          <w:lang w:val="en-GB"/>
        </w:rPr>
        <w:t>16.</w:t>
      </w:r>
    </w:p>
  </w:footnote>
  <w:footnote w:id="60">
    <w:p w14:paraId="76B53194" w14:textId="5BBE57F5" w:rsidR="007F4021" w:rsidRPr="00FD0890" w:rsidRDefault="007F4021" w:rsidP="00F30169">
      <w:pPr>
        <w:spacing w:after="0" w:line="240" w:lineRule="auto"/>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Protected grounds include “race, colour, ethnicity, descent, sex, pregnancy, maternity, civil, family or </w:t>
      </w:r>
      <w:r w:rsidR="006217B9" w:rsidRPr="00FD0890">
        <w:rPr>
          <w:rFonts w:asciiTheme="minorHAnsi" w:hAnsiTheme="minorHAnsi" w:cstheme="minorHAnsi"/>
          <w:sz w:val="20"/>
          <w:szCs w:val="20"/>
        </w:rPr>
        <w:t>career</w:t>
      </w:r>
      <w:r w:rsidRPr="00FD0890">
        <w:rPr>
          <w:rFonts w:asciiTheme="minorHAnsi" w:hAnsiTheme="minorHAnsi" w:cstheme="minorHAnsi"/>
          <w:sz w:val="20"/>
          <w:szCs w:val="20"/>
        </w:rPr>
        <w:t xml:space="preserve"> status, language, religion or belief, political or other opinion, national or social origin, nationality, economic status, association with a national minority, sexual orientation, gender, identity, age, disability, property or other established status.” See, e.g., ICESCR General Comment No. 20: Non-discrimination in economic, social and cultural rights”; OSCE</w:t>
      </w:r>
      <w:r>
        <w:rPr>
          <w:rFonts w:asciiTheme="minorHAnsi" w:hAnsiTheme="minorHAnsi" w:cstheme="minorHAnsi"/>
          <w:sz w:val="20"/>
          <w:szCs w:val="20"/>
        </w:rPr>
        <w:t>/ODIHR-Venice Commission</w:t>
      </w:r>
      <w:r w:rsidRPr="00FD0890">
        <w:rPr>
          <w:rFonts w:asciiTheme="minorHAnsi" w:hAnsiTheme="minorHAnsi" w:cstheme="minorHAnsi"/>
          <w:sz w:val="20"/>
          <w:szCs w:val="20"/>
        </w:rPr>
        <w:t xml:space="preserve"> Guidelines on Peaceful Assembly (Second Edition, 2010), at para. 48</w:t>
      </w:r>
      <w:r>
        <w:rPr>
          <w:rFonts w:asciiTheme="minorHAnsi" w:hAnsiTheme="minorHAnsi" w:cstheme="minorHAnsi"/>
          <w:sz w:val="20"/>
          <w:szCs w:val="20"/>
        </w:rPr>
        <w:t>.</w:t>
      </w:r>
      <w:r w:rsidRPr="00FD0890">
        <w:rPr>
          <w:rFonts w:asciiTheme="minorHAnsi" w:hAnsiTheme="minorHAnsi" w:cstheme="minorHAnsi"/>
          <w:sz w:val="20"/>
          <w:szCs w:val="20"/>
        </w:rPr>
        <w:t xml:space="preserve"> </w:t>
      </w:r>
    </w:p>
  </w:footnote>
  <w:footnote w:id="61">
    <w:p w14:paraId="61701444" w14:textId="692B3A9F" w:rsidR="00320D5C" w:rsidRPr="00FD0890" w:rsidRDefault="00320D5C" w:rsidP="00F30169">
      <w:pPr>
        <w:pStyle w:val="FootnoteText"/>
        <w:jc w:val="both"/>
        <w:rPr>
          <w:rFonts w:asciiTheme="minorHAnsi" w:hAnsiTheme="minorHAnsi" w:cstheme="minorHAnsi"/>
          <w:lang w:val="en-GB"/>
        </w:rPr>
      </w:pPr>
      <w:r w:rsidRPr="00FD0890">
        <w:rPr>
          <w:rStyle w:val="FootnoteReference"/>
          <w:rFonts w:asciiTheme="minorHAnsi" w:hAnsiTheme="minorHAnsi" w:cstheme="minorHAnsi"/>
        </w:rPr>
        <w:footnoteRef/>
      </w:r>
      <w:r w:rsidRPr="00FD0890">
        <w:rPr>
          <w:rFonts w:asciiTheme="minorHAnsi" w:hAnsiTheme="minorHAnsi" w:cstheme="minorHAnsi"/>
        </w:rPr>
        <w:t xml:space="preserve"> Helsinki Foundation for Human Rights</w:t>
      </w:r>
      <w:r>
        <w:rPr>
          <w:rFonts w:asciiTheme="minorHAnsi" w:hAnsiTheme="minorHAnsi" w:cstheme="minorHAnsi"/>
        </w:rPr>
        <w:t>,</w:t>
      </w:r>
      <w:r w:rsidRPr="00FD0890">
        <w:rPr>
          <w:rFonts w:asciiTheme="minorHAnsi" w:hAnsiTheme="minorHAnsi" w:cstheme="minorHAnsi"/>
        </w:rPr>
        <w:t xml:space="preserve"> “Constitutional Tribunal: amendments to Assemblies Act constitutional despite all objections</w:t>
      </w:r>
      <w:r>
        <w:rPr>
          <w:rFonts w:asciiTheme="minorHAnsi" w:hAnsiTheme="minorHAnsi" w:cstheme="minorHAnsi"/>
        </w:rPr>
        <w:t>,</w:t>
      </w:r>
      <w:r w:rsidRPr="00FD0890">
        <w:rPr>
          <w:rFonts w:asciiTheme="minorHAnsi" w:hAnsiTheme="minorHAnsi" w:cstheme="minorHAnsi"/>
        </w:rPr>
        <w:t>” 16 March 2017</w:t>
      </w:r>
      <w:r>
        <w:rPr>
          <w:rFonts w:asciiTheme="minorHAnsi" w:hAnsiTheme="minorHAnsi" w:cstheme="minorHAnsi"/>
        </w:rPr>
        <w:t>, at</w:t>
      </w:r>
      <w:r w:rsidRPr="00FD0890">
        <w:rPr>
          <w:rFonts w:asciiTheme="minorHAnsi" w:hAnsiTheme="minorHAnsi" w:cstheme="minorHAnsi"/>
        </w:rPr>
        <w:t xml:space="preserve"> </w:t>
      </w:r>
      <w:hyperlink r:id="rId7" w:history="1">
        <w:r w:rsidRPr="003A5774">
          <w:rPr>
            <w:rStyle w:val="Hyperlink"/>
            <w:rFonts w:asciiTheme="minorHAnsi" w:hAnsiTheme="minorHAnsi" w:cstheme="minorHAnsi"/>
          </w:rPr>
          <w:t>http://www.hfhr.pl/en/constitutional-tribunal-amendments-to-assemblies-act-constitutional-despite-all-objections/</w:t>
        </w:r>
      </w:hyperlink>
      <w:r>
        <w:rPr>
          <w:rFonts w:asciiTheme="minorHAnsi" w:hAnsiTheme="minorHAnsi" w:cstheme="minorHAnsi"/>
        </w:rPr>
        <w:t>.</w:t>
      </w:r>
    </w:p>
  </w:footnote>
  <w:footnote w:id="62">
    <w:p w14:paraId="23C65211" w14:textId="4EF6FE07" w:rsidR="00320D5C" w:rsidRPr="00FD0890" w:rsidRDefault="00320D5C" w:rsidP="00F30169">
      <w:pPr>
        <w:spacing w:after="0" w:line="240" w:lineRule="auto"/>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Article 52.1 of the Code of Minor Offences, Article 195 of the Criminal Code. S</w:t>
      </w:r>
      <w:r>
        <w:rPr>
          <w:rFonts w:asciiTheme="minorHAnsi" w:hAnsiTheme="minorHAnsi" w:cstheme="minorHAnsi"/>
          <w:sz w:val="20"/>
          <w:szCs w:val="20"/>
        </w:rPr>
        <w:t>ee</w:t>
      </w:r>
      <w:r w:rsidRPr="00FD0890">
        <w:rPr>
          <w:rFonts w:asciiTheme="minorHAnsi" w:hAnsiTheme="minorHAnsi" w:cstheme="minorHAnsi"/>
          <w:sz w:val="20"/>
          <w:szCs w:val="20"/>
        </w:rPr>
        <w:t xml:space="preserve"> Amnesty International. “Poland: Concerns over large-scale prosecution of protesters”, 22 June 2017</w:t>
      </w:r>
      <w:r w:rsidR="000C0545">
        <w:rPr>
          <w:rFonts w:asciiTheme="minorHAnsi" w:hAnsiTheme="minorHAnsi" w:cstheme="minorHAnsi"/>
          <w:sz w:val="20"/>
          <w:szCs w:val="20"/>
        </w:rPr>
        <w:t>.</w:t>
      </w:r>
      <w:r w:rsidRPr="00FD0890">
        <w:rPr>
          <w:rFonts w:asciiTheme="minorHAnsi" w:hAnsiTheme="minorHAnsi" w:cstheme="minorHAnsi"/>
          <w:sz w:val="20"/>
          <w:szCs w:val="20"/>
        </w:rPr>
        <w:t xml:space="preserve"> </w:t>
      </w:r>
    </w:p>
  </w:footnote>
  <w:footnote w:id="63">
    <w:p w14:paraId="0A471618" w14:textId="77777777" w:rsidR="00320D5C" w:rsidRPr="00FD0890" w:rsidRDefault="00320D5C" w:rsidP="00F30169">
      <w:pPr>
        <w:spacing w:after="0" w:line="240" w:lineRule="auto"/>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Under the Public Processions (Northern Ireland) Act 1998 (as amended).</w:t>
      </w:r>
    </w:p>
  </w:footnote>
  <w:footnote w:id="64">
    <w:p w14:paraId="642747DF" w14:textId="1A34103B" w:rsidR="00320D5C" w:rsidRPr="00FD0890" w:rsidRDefault="00320D5C" w:rsidP="00F30169">
      <w:pPr>
        <w:spacing w:after="0" w:line="240" w:lineRule="auto"/>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ICCPR Article 20 (2); and ICERD Article 4(a)</w:t>
      </w:r>
      <w:r w:rsidRPr="00FD0890">
        <w:rPr>
          <w:rFonts w:asciiTheme="minorHAnsi" w:hAnsiTheme="minorHAnsi" w:cstheme="minorHAnsi"/>
          <w:i/>
          <w:sz w:val="20"/>
          <w:szCs w:val="20"/>
        </w:rPr>
        <w:t>.</w:t>
      </w:r>
      <w:r w:rsidRPr="00FD0890">
        <w:rPr>
          <w:rFonts w:asciiTheme="minorHAnsi" w:hAnsiTheme="minorHAnsi" w:cstheme="minorHAnsi"/>
          <w:sz w:val="20"/>
          <w:szCs w:val="20"/>
        </w:rPr>
        <w:t xml:space="preserve"> See also </w:t>
      </w:r>
      <w:r>
        <w:rPr>
          <w:rFonts w:asciiTheme="minorHAnsi" w:hAnsiTheme="minorHAnsi" w:cstheme="minorHAnsi"/>
          <w:sz w:val="20"/>
          <w:szCs w:val="20"/>
        </w:rPr>
        <w:t xml:space="preserve">HRC </w:t>
      </w:r>
      <w:r w:rsidRPr="00FD0890">
        <w:rPr>
          <w:rFonts w:asciiTheme="minorHAnsi" w:hAnsiTheme="minorHAnsi" w:cstheme="minorHAnsi"/>
          <w:sz w:val="20"/>
          <w:szCs w:val="20"/>
        </w:rPr>
        <w:t>General Comment 34 (CCPR/C/GC/34), paragraph 28, concerning “the rights of others”.</w:t>
      </w:r>
    </w:p>
  </w:footnote>
  <w:footnote w:id="65">
    <w:p w14:paraId="51FD15D8" w14:textId="29818934" w:rsidR="00320D5C" w:rsidRPr="00FD0890" w:rsidRDefault="00320D5C" w:rsidP="00F30169">
      <w:pPr>
        <w:autoSpaceDE w:val="0"/>
        <w:autoSpaceDN w:val="0"/>
        <w:adjustRightInd w:val="0"/>
        <w:spacing w:after="0" w:line="240" w:lineRule="auto"/>
        <w:jc w:val="both"/>
        <w:rPr>
          <w:rFonts w:asciiTheme="minorHAnsi" w:hAnsiTheme="minorHAnsi" w:cstheme="minorHAnsi"/>
          <w:sz w:val="20"/>
          <w:szCs w:val="20"/>
        </w:rPr>
      </w:pPr>
      <w:r w:rsidRPr="00FD0890">
        <w:rPr>
          <w:rStyle w:val="FootnoteReference"/>
          <w:rFonts w:asciiTheme="minorHAnsi" w:hAnsiTheme="minorHAnsi" w:cstheme="minorHAnsi"/>
          <w:sz w:val="20"/>
          <w:szCs w:val="20"/>
        </w:rPr>
        <w:footnoteRef/>
      </w:r>
      <w:r w:rsidRPr="00FD0890">
        <w:rPr>
          <w:rFonts w:asciiTheme="minorHAnsi" w:hAnsiTheme="minorHAnsi" w:cstheme="minorHAnsi"/>
          <w:sz w:val="20"/>
          <w:szCs w:val="20"/>
        </w:rPr>
        <w:t xml:space="preserve"> CERD/C/GC/35 General Recommendation 35, para</w:t>
      </w:r>
      <w:r>
        <w:rPr>
          <w:rFonts w:asciiTheme="minorHAnsi" w:hAnsiTheme="minorHAnsi" w:cstheme="minorHAnsi"/>
          <w:sz w:val="20"/>
          <w:szCs w:val="20"/>
        </w:rPr>
        <w:t>.</w:t>
      </w:r>
      <w:r w:rsidRPr="00FD0890">
        <w:rPr>
          <w:rFonts w:asciiTheme="minorHAnsi" w:hAnsiTheme="minorHAnsi" w:cstheme="minorHAnsi"/>
          <w:sz w:val="20"/>
          <w:szCs w:val="20"/>
        </w:rPr>
        <w:t xml:space="preserve"> 12</w:t>
      </w:r>
      <w:r>
        <w:rPr>
          <w:rFonts w:asciiTheme="minorHAnsi" w:hAnsiTheme="minorHAnsi" w:cstheme="minorHAnsi"/>
          <w:sz w:val="20"/>
          <w:szCs w:val="20"/>
        </w:rPr>
        <w:t>;</w:t>
      </w:r>
      <w:r w:rsidRPr="00FD0890">
        <w:rPr>
          <w:rFonts w:asciiTheme="minorHAnsi" w:hAnsiTheme="minorHAnsi" w:cstheme="minorHAnsi"/>
          <w:sz w:val="20"/>
          <w:szCs w:val="20"/>
        </w:rPr>
        <w:t xml:space="preserve"> see also UN Rabat Plan of Action on the prohibition of advocacy of national, racial or religious hatred that constitutes incitement to discrimination, hostility or violence (2012). </w:t>
      </w:r>
    </w:p>
  </w:footnote>
  <w:footnote w:id="66">
    <w:p w14:paraId="15E1084B" w14:textId="775D3C98" w:rsidR="00320D5C" w:rsidRPr="00FD0890" w:rsidRDefault="00320D5C" w:rsidP="00F30169">
      <w:pPr>
        <w:pStyle w:val="FootnoteText"/>
        <w:jc w:val="both"/>
        <w:rPr>
          <w:rFonts w:asciiTheme="minorHAnsi" w:hAnsiTheme="minorHAnsi" w:cstheme="minorHAnsi"/>
        </w:rPr>
      </w:pPr>
      <w:r w:rsidRPr="00FD0890">
        <w:rPr>
          <w:rStyle w:val="FootnoteReference"/>
          <w:rFonts w:asciiTheme="minorHAnsi" w:hAnsiTheme="minorHAnsi" w:cstheme="minorHAnsi"/>
        </w:rPr>
        <w:footnoteRef/>
      </w:r>
      <w:r w:rsidRPr="00FD0890">
        <w:rPr>
          <w:rFonts w:asciiTheme="minorHAnsi" w:hAnsiTheme="minorHAnsi" w:cstheme="minorHAnsi"/>
        </w:rPr>
        <w:t xml:space="preserve"> See Joint Report, paras. 33 and 62.  See also R.B. V. Hungary (no. 64602/12) 12 April 2016 [99] “</w:t>
      </w:r>
      <w:r w:rsidRPr="00FD0890">
        <w:rPr>
          <w:rFonts w:asciiTheme="minorHAnsi" w:eastAsia="Times New Roman" w:hAnsiTheme="minorHAnsi" w:cstheme="minorHAnsi"/>
          <w:i/>
          <w:color w:val="111111"/>
          <w:lang w:eastAsia="en-GB"/>
        </w:rPr>
        <w:t>in certain situations the domestic authorities might be required to proceed with the dispersal of a violent and blatantly intolerant demonstration for the protection of an individual’s private life under Article 8</w:t>
      </w:r>
      <w:r w:rsidRPr="00FD0890">
        <w:rPr>
          <w:rFonts w:asciiTheme="minorHAnsi" w:eastAsia="Times New Roman" w:hAnsiTheme="minorHAnsi" w:cstheme="minorHAnsi"/>
          <w:color w:val="111111"/>
          <w:lang w:eastAsia="en-GB"/>
        </w:rPr>
        <w:t>.”</w:t>
      </w:r>
    </w:p>
  </w:footnote>
  <w:footnote w:id="67">
    <w:p w14:paraId="5FBF4B04" w14:textId="77777777" w:rsidR="007F4021" w:rsidRPr="00FD0890" w:rsidRDefault="007F4021" w:rsidP="00F30169">
      <w:pPr>
        <w:pStyle w:val="FootnoteText"/>
        <w:jc w:val="both"/>
        <w:rPr>
          <w:rFonts w:asciiTheme="minorHAnsi" w:hAnsiTheme="minorHAnsi" w:cstheme="minorHAnsi"/>
          <w:lang w:val="en-GB"/>
        </w:rPr>
      </w:pPr>
      <w:r w:rsidRPr="00FD0890">
        <w:rPr>
          <w:rStyle w:val="FootnoteReference"/>
          <w:rFonts w:asciiTheme="minorHAnsi" w:hAnsiTheme="minorHAnsi" w:cstheme="minorHAnsi"/>
        </w:rPr>
        <w:footnoteRef/>
      </w:r>
      <w:r w:rsidRPr="00FD0890">
        <w:rPr>
          <w:rFonts w:asciiTheme="minorHAnsi" w:hAnsiTheme="minorHAnsi" w:cstheme="minorHAnsi"/>
        </w:rPr>
        <w:t xml:space="preserve"> See CERD/C/GC/35 General Recommendation 35, para</w:t>
      </w:r>
      <w:r>
        <w:rPr>
          <w:rFonts w:asciiTheme="minorHAnsi" w:hAnsiTheme="minorHAnsi" w:cstheme="minorHAnsi"/>
        </w:rPr>
        <w:t>.</w:t>
      </w:r>
      <w:r w:rsidRPr="00FD0890">
        <w:rPr>
          <w:rFonts w:asciiTheme="minorHAnsi" w:hAnsiTheme="minorHAnsi" w:cstheme="minorHAnsi"/>
        </w:rPr>
        <w:t xml:space="preserve"> 20. </w:t>
      </w:r>
    </w:p>
  </w:footnote>
  <w:footnote w:id="68">
    <w:p w14:paraId="4BD52310" w14:textId="7F6A25B9" w:rsidR="00320D5C" w:rsidRPr="00FD0890" w:rsidRDefault="00320D5C" w:rsidP="00F30169">
      <w:pPr>
        <w:spacing w:after="0" w:line="240" w:lineRule="auto"/>
        <w:jc w:val="both"/>
        <w:rPr>
          <w:rFonts w:asciiTheme="minorHAnsi" w:hAnsiTheme="minorHAnsi" w:cstheme="minorHAnsi"/>
          <w:sz w:val="20"/>
          <w:szCs w:val="20"/>
        </w:rPr>
      </w:pPr>
      <w:r w:rsidRPr="008D4B7A">
        <w:rPr>
          <w:rStyle w:val="FootnoteReference"/>
          <w:rFonts w:asciiTheme="minorHAnsi" w:hAnsiTheme="minorHAnsi" w:cstheme="minorHAnsi"/>
          <w:sz w:val="20"/>
          <w:szCs w:val="20"/>
        </w:rPr>
        <w:footnoteRef/>
      </w:r>
      <w:r w:rsidRPr="008D4B7A">
        <w:rPr>
          <w:rFonts w:asciiTheme="minorHAnsi" w:hAnsiTheme="minorHAnsi" w:cstheme="minorHAnsi"/>
          <w:sz w:val="20"/>
          <w:szCs w:val="20"/>
        </w:rPr>
        <w:t xml:space="preserve"> </w:t>
      </w:r>
      <w:r w:rsidRPr="008D4B7A">
        <w:rPr>
          <w:rFonts w:asciiTheme="minorHAnsi" w:eastAsia="Times New Roman" w:hAnsiTheme="minorHAnsi" w:cstheme="minorHAnsi"/>
          <w:color w:val="111111"/>
          <w:sz w:val="20"/>
          <w:szCs w:val="20"/>
          <w:lang w:eastAsia="en-GB"/>
        </w:rPr>
        <w:t xml:space="preserve">See, e.g., </w:t>
      </w:r>
      <w:r w:rsidRPr="003332BA">
        <w:rPr>
          <w:rFonts w:asciiTheme="minorHAnsi" w:hAnsiTheme="minorHAnsi" w:cstheme="minorHAnsi"/>
          <w:sz w:val="20"/>
          <w:szCs w:val="20"/>
        </w:rPr>
        <w:t xml:space="preserve">Vona v. Hungary, application no. 35943/10, issued 9 July 2013. </w:t>
      </w:r>
      <w:r w:rsidRPr="003332BA">
        <w:rPr>
          <w:rFonts w:asciiTheme="minorHAnsi" w:hAnsiTheme="minorHAnsi" w:cstheme="minorHAnsi"/>
          <w:i/>
          <w:sz w:val="20"/>
          <w:szCs w:val="20"/>
        </w:rPr>
        <w:t>Compare</w:t>
      </w:r>
      <w:r w:rsidRPr="003332BA">
        <w:rPr>
          <w:rFonts w:asciiTheme="minorHAnsi" w:hAnsiTheme="minorHAnsi" w:cstheme="minorHAnsi"/>
          <w:sz w:val="20"/>
          <w:szCs w:val="20"/>
        </w:rPr>
        <w:t xml:space="preserve"> Aksu v. Turkey [GC], application nos. 4149/04 and 41029/04, paras. 58-60, 15 March 2012 (“[A]ny negative stereotyping of a group, when it reaches a certain level, is capable of impacting on the group’s sense of identity and the feelings of self-worth and self-confidence of members of the group. It is in this sense that it can be seen as affecting the private life of members of the group.”)</w:t>
      </w:r>
    </w:p>
  </w:footnote>
  <w:footnote w:id="69">
    <w:p w14:paraId="78BC9879" w14:textId="77777777" w:rsidR="00320D5C" w:rsidRPr="005F75C5" w:rsidRDefault="00320D5C" w:rsidP="000E591A">
      <w:pPr>
        <w:pStyle w:val="FootnoteText"/>
        <w:jc w:val="both"/>
        <w:rPr>
          <w:rFonts w:ascii="Times New Roman" w:hAnsi="Times New Roman" w:cs="Times New Roman"/>
          <w:sz w:val="22"/>
          <w:szCs w:val="22"/>
          <w:lang w:val="en-GB"/>
        </w:rPr>
      </w:pPr>
      <w:r w:rsidRPr="005F75C5">
        <w:rPr>
          <w:rStyle w:val="FootnoteReference"/>
          <w:sz w:val="22"/>
          <w:szCs w:val="22"/>
        </w:rPr>
        <w:footnoteRef/>
      </w:r>
      <w:r w:rsidRPr="005F75C5">
        <w:rPr>
          <w:rFonts w:ascii="Times New Roman" w:hAnsi="Times New Roman" w:cs="Times New Roman"/>
          <w:sz w:val="22"/>
          <w:szCs w:val="22"/>
        </w:rPr>
        <w:t xml:space="preserve"> In jurisdictions where a significant percentage of the population communicates orally, it is good practice to make information available orally as well.</w:t>
      </w:r>
    </w:p>
  </w:footnote>
  <w:footnote w:id="70">
    <w:p w14:paraId="7632519D" w14:textId="77777777" w:rsidR="00320D5C" w:rsidRPr="005F75C5" w:rsidRDefault="00320D5C" w:rsidP="000E591A">
      <w:pPr>
        <w:pStyle w:val="FootnoteText"/>
        <w:jc w:val="both"/>
        <w:rPr>
          <w:rFonts w:ascii="Times New Roman" w:hAnsi="Times New Roman" w:cs="Times New Roman"/>
          <w:sz w:val="22"/>
          <w:szCs w:val="22"/>
        </w:rPr>
      </w:pPr>
      <w:r w:rsidRPr="005F75C5">
        <w:rPr>
          <w:rStyle w:val="FootnoteReference"/>
          <w:sz w:val="22"/>
          <w:szCs w:val="22"/>
        </w:rPr>
        <w:footnoteRef/>
      </w:r>
      <w:r w:rsidRPr="005F75C5">
        <w:rPr>
          <w:rFonts w:ascii="Times New Roman" w:hAnsi="Times New Roman" w:cs="Times New Roman"/>
          <w:sz w:val="22"/>
          <w:szCs w:val="22"/>
        </w:rPr>
        <w:t xml:space="preserve"> “Operational details” that legitimately may be withheld from the public include details of </w:t>
      </w:r>
      <w:r w:rsidRPr="005F75C5">
        <w:rPr>
          <w:rFonts w:ascii="Times New Roman" w:hAnsi="Times New Roman" w:cs="Times New Roman"/>
          <w:sz w:val="22"/>
          <w:szCs w:val="22"/>
          <w:lang w:val="en-GB"/>
        </w:rPr>
        <w:t>plans, operations, and capabilities whose disclosure could thwart legitimate law enforcement activities.</w:t>
      </w:r>
    </w:p>
  </w:footnote>
  <w:footnote w:id="71">
    <w:p w14:paraId="0371F763" w14:textId="77777777" w:rsidR="00320D5C" w:rsidRPr="005F75C5" w:rsidRDefault="00320D5C" w:rsidP="000E591A">
      <w:pPr>
        <w:pStyle w:val="FootnoteText"/>
        <w:jc w:val="both"/>
        <w:rPr>
          <w:rFonts w:ascii="Times New Roman" w:hAnsi="Times New Roman" w:cs="Times New Roman"/>
          <w:sz w:val="22"/>
          <w:szCs w:val="22"/>
        </w:rPr>
      </w:pPr>
      <w:r w:rsidRPr="005F75C5">
        <w:rPr>
          <w:rStyle w:val="FootnoteReference"/>
          <w:sz w:val="22"/>
          <w:szCs w:val="22"/>
        </w:rPr>
        <w:footnoteRef/>
      </w:r>
      <w:r w:rsidRPr="005F75C5">
        <w:rPr>
          <w:rFonts w:ascii="Times New Roman" w:hAnsi="Times New Roman" w:cs="Times New Roman"/>
          <w:sz w:val="22"/>
          <w:szCs w:val="22"/>
        </w:rPr>
        <w:t xml:space="preserve">  For instance, written and publicly available notification requirements can help public watchdogs ensure that the requirements are not so onerous as to constitute </w:t>
      </w:r>
      <w:r w:rsidRPr="005F75C5">
        <w:rPr>
          <w:rFonts w:ascii="Times New Roman" w:hAnsi="Times New Roman" w:cs="Times New Roman"/>
          <w:i/>
          <w:sz w:val="22"/>
          <w:szCs w:val="22"/>
        </w:rPr>
        <w:t>de facto</w:t>
      </w:r>
      <w:r w:rsidRPr="005F75C5">
        <w:rPr>
          <w:rFonts w:ascii="Times New Roman" w:hAnsi="Times New Roman" w:cs="Times New Roman"/>
          <w:sz w:val="22"/>
          <w:szCs w:val="22"/>
        </w:rPr>
        <w:t xml:space="preserve"> authorization requirements, which violate protest rights. An assessment of these documents can also determine whether any protest-related powers granted to the military or private security contractors are human rights compliant.</w:t>
      </w:r>
      <w:r w:rsidRPr="005F75C5">
        <w:rPr>
          <w:rFonts w:ascii="Times New Roman" w:hAnsi="Times New Roman" w:cs="Times New Roman"/>
          <w:i/>
          <w:iCs/>
          <w:sz w:val="22"/>
          <w:szCs w:val="22"/>
        </w:rPr>
        <w:t xml:space="preserve">  </w:t>
      </w:r>
    </w:p>
  </w:footnote>
  <w:footnote w:id="72">
    <w:p w14:paraId="462C547A" w14:textId="77777777" w:rsidR="00320D5C" w:rsidRPr="005F75C5" w:rsidRDefault="00320D5C" w:rsidP="000E591A">
      <w:pPr>
        <w:pStyle w:val="FootnoteText"/>
        <w:jc w:val="both"/>
        <w:rPr>
          <w:rFonts w:ascii="Times New Roman" w:hAnsi="Times New Roman" w:cs="Times New Roman"/>
          <w:sz w:val="22"/>
          <w:szCs w:val="22"/>
        </w:rPr>
      </w:pPr>
      <w:r w:rsidRPr="005F75C5">
        <w:rPr>
          <w:rStyle w:val="FootnoteReference"/>
          <w:sz w:val="22"/>
          <w:szCs w:val="22"/>
        </w:rPr>
        <w:footnoteRef/>
      </w:r>
      <w:r w:rsidRPr="005F75C5">
        <w:rPr>
          <w:rFonts w:ascii="Times New Roman" w:hAnsi="Times New Roman" w:cs="Times New Roman"/>
          <w:sz w:val="22"/>
          <w:szCs w:val="22"/>
        </w:rPr>
        <w:t xml:space="preserve"> The items in this sub-paragraph, while important, are more detailed than the types of information typically addressed by the legal framework, and for that reason </w:t>
      </w:r>
      <w:r>
        <w:rPr>
          <w:rFonts w:ascii="Times New Roman" w:hAnsi="Times New Roman" w:cs="Times New Roman"/>
          <w:sz w:val="22"/>
          <w:szCs w:val="22"/>
        </w:rPr>
        <w:t xml:space="preserve">they </w:t>
      </w:r>
      <w:r w:rsidRPr="005F75C5">
        <w:rPr>
          <w:rFonts w:ascii="Times New Roman" w:hAnsi="Times New Roman" w:cs="Times New Roman"/>
          <w:sz w:val="22"/>
          <w:szCs w:val="22"/>
        </w:rPr>
        <w:t>are listed separately from the items in sub-paragraph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AF28E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2370E"/>
    <w:multiLevelType w:val="hybridMultilevel"/>
    <w:tmpl w:val="869A6D08"/>
    <w:lvl w:ilvl="0" w:tplc="F5BE1522">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14C23"/>
    <w:multiLevelType w:val="multilevel"/>
    <w:tmpl w:val="EEC46800"/>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931C51"/>
    <w:multiLevelType w:val="multilevel"/>
    <w:tmpl w:val="EEC4680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A306B"/>
    <w:multiLevelType w:val="hybridMultilevel"/>
    <w:tmpl w:val="531838F2"/>
    <w:lvl w:ilvl="0" w:tplc="08090001">
      <w:start w:val="1"/>
      <w:numFmt w:val="bullet"/>
      <w:lvlText w:val=""/>
      <w:lvlJc w:val="left"/>
      <w:pPr>
        <w:ind w:left="2160" w:hanging="360"/>
      </w:pPr>
      <w:rPr>
        <w:rFonts w:ascii="Symbol" w:hAnsi="Symbol" w:cs="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cs="Wingdings" w:hint="default"/>
      </w:rPr>
    </w:lvl>
    <w:lvl w:ilvl="3" w:tplc="08090001">
      <w:start w:val="1"/>
      <w:numFmt w:val="bullet"/>
      <w:lvlText w:val=""/>
      <w:lvlJc w:val="left"/>
      <w:pPr>
        <w:ind w:left="4320" w:hanging="360"/>
      </w:pPr>
      <w:rPr>
        <w:rFonts w:ascii="Symbol" w:hAnsi="Symbol" w:cs="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cs="Wingdings" w:hint="default"/>
      </w:rPr>
    </w:lvl>
    <w:lvl w:ilvl="6" w:tplc="08090001">
      <w:start w:val="1"/>
      <w:numFmt w:val="bullet"/>
      <w:lvlText w:val=""/>
      <w:lvlJc w:val="left"/>
      <w:pPr>
        <w:ind w:left="6480" w:hanging="360"/>
      </w:pPr>
      <w:rPr>
        <w:rFonts w:ascii="Symbol" w:hAnsi="Symbol" w:cs="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cs="Wingdings" w:hint="default"/>
      </w:rPr>
    </w:lvl>
  </w:abstractNum>
  <w:abstractNum w:abstractNumId="5" w15:restartNumberingAfterBreak="0">
    <w:nsid w:val="132472D8"/>
    <w:multiLevelType w:val="hybridMultilevel"/>
    <w:tmpl w:val="3FAE4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8349B7"/>
    <w:multiLevelType w:val="hybridMultilevel"/>
    <w:tmpl w:val="6DAC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35E7B"/>
    <w:multiLevelType w:val="hybridMultilevel"/>
    <w:tmpl w:val="ABFEA34C"/>
    <w:lvl w:ilvl="0" w:tplc="402A1FC2">
      <w:start w:val="1"/>
      <w:numFmt w:val="upperLetter"/>
      <w:lvlText w:val="%1."/>
      <w:lvlJc w:val="left"/>
      <w:pPr>
        <w:ind w:left="886"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8" w15:restartNumberingAfterBreak="0">
    <w:nsid w:val="1C1A52BC"/>
    <w:multiLevelType w:val="hybridMultilevel"/>
    <w:tmpl w:val="CB32D11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91DB5"/>
    <w:multiLevelType w:val="hybridMultilevel"/>
    <w:tmpl w:val="33BE4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F26DE"/>
    <w:multiLevelType w:val="hybridMultilevel"/>
    <w:tmpl w:val="D26E8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0705F"/>
    <w:multiLevelType w:val="hybridMultilevel"/>
    <w:tmpl w:val="146A7DF0"/>
    <w:lvl w:ilvl="0" w:tplc="77D2572C">
      <w:start w:val="1"/>
      <w:numFmt w:val="decimal"/>
      <w:lvlText w:val="%1."/>
      <w:lvlJc w:val="left"/>
      <w:pPr>
        <w:ind w:left="526" w:hanging="360"/>
      </w:pPr>
      <w:rPr>
        <w:rFonts w:ascii="Verdana" w:eastAsia="Verdana" w:hAnsi="Verdana" w:cs="Verdana" w:hint="default"/>
        <w:spacing w:val="0"/>
        <w:w w:val="104"/>
        <w:sz w:val="18"/>
        <w:szCs w:val="18"/>
      </w:rPr>
    </w:lvl>
    <w:lvl w:ilvl="1" w:tplc="BBBC901A">
      <w:start w:val="1"/>
      <w:numFmt w:val="upperRoman"/>
      <w:lvlText w:val="%2."/>
      <w:lvlJc w:val="left"/>
      <w:pPr>
        <w:ind w:left="886" w:hanging="265"/>
      </w:pPr>
      <w:rPr>
        <w:rFonts w:ascii="Verdana" w:eastAsia="Verdana" w:hAnsi="Verdana" w:cs="Verdana" w:hint="default"/>
        <w:spacing w:val="0"/>
        <w:w w:val="104"/>
        <w:sz w:val="18"/>
        <w:szCs w:val="18"/>
      </w:rPr>
    </w:lvl>
    <w:lvl w:ilvl="2" w:tplc="CD30333C">
      <w:numFmt w:val="bullet"/>
      <w:lvlText w:val="•"/>
      <w:lvlJc w:val="left"/>
      <w:pPr>
        <w:ind w:left="1813" w:hanging="265"/>
      </w:pPr>
      <w:rPr>
        <w:rFonts w:hint="default"/>
      </w:rPr>
    </w:lvl>
    <w:lvl w:ilvl="3" w:tplc="D8AA9D72">
      <w:numFmt w:val="bullet"/>
      <w:lvlText w:val="•"/>
      <w:lvlJc w:val="left"/>
      <w:pPr>
        <w:ind w:left="2746" w:hanging="265"/>
      </w:pPr>
      <w:rPr>
        <w:rFonts w:hint="default"/>
      </w:rPr>
    </w:lvl>
    <w:lvl w:ilvl="4" w:tplc="91ECA2BC">
      <w:numFmt w:val="bullet"/>
      <w:lvlText w:val="•"/>
      <w:lvlJc w:val="left"/>
      <w:pPr>
        <w:ind w:left="3680" w:hanging="265"/>
      </w:pPr>
      <w:rPr>
        <w:rFonts w:hint="default"/>
      </w:rPr>
    </w:lvl>
    <w:lvl w:ilvl="5" w:tplc="B62A165E">
      <w:numFmt w:val="bullet"/>
      <w:lvlText w:val="•"/>
      <w:lvlJc w:val="left"/>
      <w:pPr>
        <w:ind w:left="4613" w:hanging="265"/>
      </w:pPr>
      <w:rPr>
        <w:rFonts w:hint="default"/>
      </w:rPr>
    </w:lvl>
    <w:lvl w:ilvl="6" w:tplc="895C0FD2">
      <w:numFmt w:val="bullet"/>
      <w:lvlText w:val="•"/>
      <w:lvlJc w:val="left"/>
      <w:pPr>
        <w:ind w:left="5546" w:hanging="265"/>
      </w:pPr>
      <w:rPr>
        <w:rFonts w:hint="default"/>
      </w:rPr>
    </w:lvl>
    <w:lvl w:ilvl="7" w:tplc="3A9E1DF8">
      <w:numFmt w:val="bullet"/>
      <w:lvlText w:val="•"/>
      <w:lvlJc w:val="left"/>
      <w:pPr>
        <w:ind w:left="6480" w:hanging="265"/>
      </w:pPr>
      <w:rPr>
        <w:rFonts w:hint="default"/>
      </w:rPr>
    </w:lvl>
    <w:lvl w:ilvl="8" w:tplc="F99222C8">
      <w:numFmt w:val="bullet"/>
      <w:lvlText w:val="•"/>
      <w:lvlJc w:val="left"/>
      <w:pPr>
        <w:ind w:left="7413" w:hanging="265"/>
      </w:pPr>
      <w:rPr>
        <w:rFonts w:hint="default"/>
      </w:rPr>
    </w:lvl>
  </w:abstractNum>
  <w:abstractNum w:abstractNumId="12" w15:restartNumberingAfterBreak="0">
    <w:nsid w:val="27522915"/>
    <w:multiLevelType w:val="hybridMultilevel"/>
    <w:tmpl w:val="76562708"/>
    <w:lvl w:ilvl="0" w:tplc="2A58C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9B4090B"/>
    <w:multiLevelType w:val="hybridMultilevel"/>
    <w:tmpl w:val="22EE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53780"/>
    <w:multiLevelType w:val="hybridMultilevel"/>
    <w:tmpl w:val="BD366950"/>
    <w:lvl w:ilvl="0" w:tplc="E4F8AE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DD2BA3"/>
    <w:multiLevelType w:val="hybridMultilevel"/>
    <w:tmpl w:val="8B62C0D6"/>
    <w:lvl w:ilvl="0" w:tplc="77D2572C">
      <w:start w:val="1"/>
      <w:numFmt w:val="decimal"/>
      <w:lvlText w:val="%1."/>
      <w:lvlJc w:val="left"/>
      <w:pPr>
        <w:ind w:left="526" w:hanging="360"/>
      </w:pPr>
      <w:rPr>
        <w:rFonts w:ascii="Verdana" w:eastAsia="Verdana" w:hAnsi="Verdana" w:cs="Verdana" w:hint="default"/>
        <w:spacing w:val="0"/>
        <w:w w:val="104"/>
        <w:sz w:val="18"/>
        <w:szCs w:val="18"/>
      </w:rPr>
    </w:lvl>
    <w:lvl w:ilvl="1" w:tplc="BBBC901A">
      <w:start w:val="1"/>
      <w:numFmt w:val="upperRoman"/>
      <w:lvlText w:val="%2."/>
      <w:lvlJc w:val="left"/>
      <w:pPr>
        <w:ind w:left="886" w:hanging="265"/>
      </w:pPr>
      <w:rPr>
        <w:rFonts w:ascii="Verdana" w:eastAsia="Verdana" w:hAnsi="Verdana" w:cs="Verdana" w:hint="default"/>
        <w:spacing w:val="0"/>
        <w:w w:val="104"/>
        <w:sz w:val="18"/>
        <w:szCs w:val="18"/>
      </w:rPr>
    </w:lvl>
    <w:lvl w:ilvl="2" w:tplc="CD30333C">
      <w:numFmt w:val="bullet"/>
      <w:lvlText w:val="•"/>
      <w:lvlJc w:val="left"/>
      <w:pPr>
        <w:ind w:left="1813" w:hanging="265"/>
      </w:pPr>
      <w:rPr>
        <w:rFonts w:hint="default"/>
      </w:rPr>
    </w:lvl>
    <w:lvl w:ilvl="3" w:tplc="D8AA9D72">
      <w:numFmt w:val="bullet"/>
      <w:lvlText w:val="•"/>
      <w:lvlJc w:val="left"/>
      <w:pPr>
        <w:ind w:left="2746" w:hanging="265"/>
      </w:pPr>
      <w:rPr>
        <w:rFonts w:hint="default"/>
      </w:rPr>
    </w:lvl>
    <w:lvl w:ilvl="4" w:tplc="91ECA2BC">
      <w:numFmt w:val="bullet"/>
      <w:lvlText w:val="•"/>
      <w:lvlJc w:val="left"/>
      <w:pPr>
        <w:ind w:left="3680" w:hanging="265"/>
      </w:pPr>
      <w:rPr>
        <w:rFonts w:hint="default"/>
      </w:rPr>
    </w:lvl>
    <w:lvl w:ilvl="5" w:tplc="B62A165E">
      <w:numFmt w:val="bullet"/>
      <w:lvlText w:val="•"/>
      <w:lvlJc w:val="left"/>
      <w:pPr>
        <w:ind w:left="4613" w:hanging="265"/>
      </w:pPr>
      <w:rPr>
        <w:rFonts w:hint="default"/>
      </w:rPr>
    </w:lvl>
    <w:lvl w:ilvl="6" w:tplc="895C0FD2">
      <w:numFmt w:val="bullet"/>
      <w:lvlText w:val="•"/>
      <w:lvlJc w:val="left"/>
      <w:pPr>
        <w:ind w:left="5546" w:hanging="265"/>
      </w:pPr>
      <w:rPr>
        <w:rFonts w:hint="default"/>
      </w:rPr>
    </w:lvl>
    <w:lvl w:ilvl="7" w:tplc="3A9E1DF8">
      <w:numFmt w:val="bullet"/>
      <w:lvlText w:val="•"/>
      <w:lvlJc w:val="left"/>
      <w:pPr>
        <w:ind w:left="6480" w:hanging="265"/>
      </w:pPr>
      <w:rPr>
        <w:rFonts w:hint="default"/>
      </w:rPr>
    </w:lvl>
    <w:lvl w:ilvl="8" w:tplc="F99222C8">
      <w:numFmt w:val="bullet"/>
      <w:lvlText w:val="•"/>
      <w:lvlJc w:val="left"/>
      <w:pPr>
        <w:ind w:left="7413" w:hanging="265"/>
      </w:pPr>
      <w:rPr>
        <w:rFonts w:hint="default"/>
      </w:rPr>
    </w:lvl>
  </w:abstractNum>
  <w:abstractNum w:abstractNumId="16" w15:restartNumberingAfterBreak="0">
    <w:nsid w:val="2B9C4D6E"/>
    <w:multiLevelType w:val="hybridMultilevel"/>
    <w:tmpl w:val="8B048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3138F7"/>
    <w:multiLevelType w:val="hybridMultilevel"/>
    <w:tmpl w:val="A0A0B8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115B9"/>
    <w:multiLevelType w:val="hybridMultilevel"/>
    <w:tmpl w:val="F95E12D6"/>
    <w:lvl w:ilvl="0" w:tplc="B292F8B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1EB8C5A8">
      <w:start w:val="1"/>
      <w:numFmt w:val="upperLetter"/>
      <w:lvlText w:val="%3."/>
      <w:lvlJc w:val="left"/>
      <w:pPr>
        <w:ind w:left="1980" w:hanging="360"/>
      </w:pPr>
      <w:rPr>
        <w:rFonts w:hint="default"/>
      </w:r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BA1E8F"/>
    <w:multiLevelType w:val="hybridMultilevel"/>
    <w:tmpl w:val="FC4C8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269BE"/>
    <w:multiLevelType w:val="hybridMultilevel"/>
    <w:tmpl w:val="D95AF62A"/>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21" w15:restartNumberingAfterBreak="0">
    <w:nsid w:val="36127E2C"/>
    <w:multiLevelType w:val="multilevel"/>
    <w:tmpl w:val="EEC4680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4E12F6"/>
    <w:multiLevelType w:val="hybridMultilevel"/>
    <w:tmpl w:val="2BDE33F6"/>
    <w:lvl w:ilvl="0" w:tplc="04090015">
      <w:start w:val="1"/>
      <w:numFmt w:val="upperLetter"/>
      <w:lvlText w:val="%1."/>
      <w:lvlJc w:val="left"/>
      <w:pPr>
        <w:ind w:left="886" w:hanging="360"/>
      </w:pPr>
      <w:rPr>
        <w:rFonts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23" w15:restartNumberingAfterBreak="0">
    <w:nsid w:val="3E4C2ECF"/>
    <w:multiLevelType w:val="multilevel"/>
    <w:tmpl w:val="ECDAEDE6"/>
    <w:lvl w:ilvl="0">
      <w:start w:val="10"/>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6D5BFE"/>
    <w:multiLevelType w:val="hybridMultilevel"/>
    <w:tmpl w:val="E5DA5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116CEE"/>
    <w:multiLevelType w:val="multilevel"/>
    <w:tmpl w:val="8362B4A2"/>
    <w:lvl w:ilvl="0">
      <w:start w:val="10"/>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6" w15:restartNumberingAfterBreak="0">
    <w:nsid w:val="43E0246B"/>
    <w:multiLevelType w:val="hybridMultilevel"/>
    <w:tmpl w:val="2DC67040"/>
    <w:lvl w:ilvl="0" w:tplc="B9488C34">
      <w:start w:val="1"/>
      <w:numFmt w:val="upperLetter"/>
      <w:lvlText w:val="%1."/>
      <w:lvlJc w:val="left"/>
      <w:pPr>
        <w:ind w:left="886"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7" w15:restartNumberingAfterBreak="0">
    <w:nsid w:val="48651B0F"/>
    <w:multiLevelType w:val="multilevel"/>
    <w:tmpl w:val="EEC4680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840CA9"/>
    <w:multiLevelType w:val="hybridMultilevel"/>
    <w:tmpl w:val="598EF7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078D9"/>
    <w:multiLevelType w:val="multilevel"/>
    <w:tmpl w:val="C70EDF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D5161A0"/>
    <w:multiLevelType w:val="multilevel"/>
    <w:tmpl w:val="0CF80A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2320D4A"/>
    <w:multiLevelType w:val="hybridMultilevel"/>
    <w:tmpl w:val="E43C822E"/>
    <w:lvl w:ilvl="0" w:tplc="04090015">
      <w:start w:val="1"/>
      <w:numFmt w:val="upperLetter"/>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2" w15:restartNumberingAfterBreak="0">
    <w:nsid w:val="595F5D69"/>
    <w:multiLevelType w:val="hybridMultilevel"/>
    <w:tmpl w:val="9072D02A"/>
    <w:lvl w:ilvl="0" w:tplc="8F285B74">
      <w:start w:val="1"/>
      <w:numFmt w:val="upperLetter"/>
      <w:lvlText w:val="%1."/>
      <w:lvlJc w:val="right"/>
      <w:pPr>
        <w:ind w:left="1080" w:hanging="360"/>
      </w:pPr>
      <w:rPr>
        <w:rFonts w:asciiTheme="minorHAnsi" w:eastAsia="Calibri" w:hAnsiTheme="minorHAnsi" w:cstheme="minorHAns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A64E48"/>
    <w:multiLevelType w:val="hybridMultilevel"/>
    <w:tmpl w:val="3E2C7C9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4" w15:restartNumberingAfterBreak="0">
    <w:nsid w:val="612E684E"/>
    <w:multiLevelType w:val="hybridMultilevel"/>
    <w:tmpl w:val="6E32D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3E76F05"/>
    <w:multiLevelType w:val="hybridMultilevel"/>
    <w:tmpl w:val="CC6CF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47066B4"/>
    <w:multiLevelType w:val="hybridMultilevel"/>
    <w:tmpl w:val="54BE5F4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5640797"/>
    <w:multiLevelType w:val="multilevel"/>
    <w:tmpl w:val="9A8ED11C"/>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80D0A2C"/>
    <w:multiLevelType w:val="multilevel"/>
    <w:tmpl w:val="C36ED8E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91F0947"/>
    <w:multiLevelType w:val="hybridMultilevel"/>
    <w:tmpl w:val="2B48D452"/>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91318"/>
    <w:multiLevelType w:val="hybridMultilevel"/>
    <w:tmpl w:val="F0F69B78"/>
    <w:lvl w:ilvl="0" w:tplc="DF28AFA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DF41EF"/>
    <w:multiLevelType w:val="hybridMultilevel"/>
    <w:tmpl w:val="CEF06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331D5"/>
    <w:multiLevelType w:val="hybridMultilevel"/>
    <w:tmpl w:val="FE943F9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375621"/>
    <w:multiLevelType w:val="hybridMultilevel"/>
    <w:tmpl w:val="BDA2A578"/>
    <w:lvl w:ilvl="0" w:tplc="8C16CEE4">
      <w:start w:val="9"/>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6054F"/>
    <w:multiLevelType w:val="multilevel"/>
    <w:tmpl w:val="B4665A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F7927FD"/>
    <w:multiLevelType w:val="hybridMultilevel"/>
    <w:tmpl w:val="CE485D50"/>
    <w:lvl w:ilvl="0" w:tplc="12BE7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6"/>
  </w:num>
  <w:num w:numId="4">
    <w:abstractNumId w:val="11"/>
  </w:num>
  <w:num w:numId="5">
    <w:abstractNumId w:val="32"/>
  </w:num>
  <w:num w:numId="6">
    <w:abstractNumId w:val="1"/>
  </w:num>
  <w:num w:numId="7">
    <w:abstractNumId w:val="14"/>
  </w:num>
  <w:num w:numId="8">
    <w:abstractNumId w:val="24"/>
  </w:num>
  <w:num w:numId="9">
    <w:abstractNumId w:val="22"/>
  </w:num>
  <w:num w:numId="10">
    <w:abstractNumId w:val="19"/>
  </w:num>
  <w:num w:numId="11">
    <w:abstractNumId w:val="9"/>
  </w:num>
  <w:num w:numId="12">
    <w:abstractNumId w:val="15"/>
  </w:num>
  <w:num w:numId="13">
    <w:abstractNumId w:val="12"/>
  </w:num>
  <w:num w:numId="14">
    <w:abstractNumId w:val="5"/>
  </w:num>
  <w:num w:numId="15">
    <w:abstractNumId w:val="34"/>
  </w:num>
  <w:num w:numId="16">
    <w:abstractNumId w:val="35"/>
  </w:num>
  <w:num w:numId="17">
    <w:abstractNumId w:val="26"/>
  </w:num>
  <w:num w:numId="18">
    <w:abstractNumId w:val="20"/>
  </w:num>
  <w:num w:numId="19">
    <w:abstractNumId w:val="6"/>
  </w:num>
  <w:num w:numId="20">
    <w:abstractNumId w:val="7"/>
  </w:num>
  <w:num w:numId="21">
    <w:abstractNumId w:val="41"/>
  </w:num>
  <w:num w:numId="22">
    <w:abstractNumId w:val="40"/>
  </w:num>
  <w:num w:numId="23">
    <w:abstractNumId w:val="0"/>
  </w:num>
  <w:num w:numId="24">
    <w:abstractNumId w:val="38"/>
  </w:num>
  <w:num w:numId="25">
    <w:abstractNumId w:val="23"/>
  </w:num>
  <w:num w:numId="26">
    <w:abstractNumId w:val="25"/>
  </w:num>
  <w:num w:numId="27">
    <w:abstractNumId w:val="37"/>
  </w:num>
  <w:num w:numId="28">
    <w:abstractNumId w:val="44"/>
  </w:num>
  <w:num w:numId="29">
    <w:abstractNumId w:val="29"/>
  </w:num>
  <w:num w:numId="30">
    <w:abstractNumId w:val="30"/>
  </w:num>
  <w:num w:numId="31">
    <w:abstractNumId w:val="3"/>
  </w:num>
  <w:num w:numId="32">
    <w:abstractNumId w:val="21"/>
  </w:num>
  <w:num w:numId="33">
    <w:abstractNumId w:val="17"/>
  </w:num>
  <w:num w:numId="34">
    <w:abstractNumId w:val="45"/>
  </w:num>
  <w:num w:numId="35">
    <w:abstractNumId w:val="28"/>
  </w:num>
  <w:num w:numId="36">
    <w:abstractNumId w:val="39"/>
  </w:num>
  <w:num w:numId="37">
    <w:abstractNumId w:val="18"/>
  </w:num>
  <w:num w:numId="38">
    <w:abstractNumId w:val="36"/>
  </w:num>
  <w:num w:numId="39">
    <w:abstractNumId w:val="13"/>
  </w:num>
  <w:num w:numId="40">
    <w:abstractNumId w:val="8"/>
  </w:num>
  <w:num w:numId="41">
    <w:abstractNumId w:val="10"/>
  </w:num>
  <w:num w:numId="42">
    <w:abstractNumId w:val="27"/>
  </w:num>
  <w:num w:numId="43">
    <w:abstractNumId w:val="2"/>
  </w:num>
  <w:num w:numId="44">
    <w:abstractNumId w:val="31"/>
  </w:num>
  <w:num w:numId="45">
    <w:abstractNumId w:val="42"/>
  </w:num>
  <w:num w:numId="46">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GB" w:vendorID="64" w:dllVersion="131078" w:nlCheck="1" w:checkStyle="1"/>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90"/>
    <w:rsid w:val="00001BDB"/>
    <w:rsid w:val="000026D5"/>
    <w:rsid w:val="000042F4"/>
    <w:rsid w:val="00004E38"/>
    <w:rsid w:val="000062E9"/>
    <w:rsid w:val="00007071"/>
    <w:rsid w:val="000075D9"/>
    <w:rsid w:val="00010637"/>
    <w:rsid w:val="00011BDC"/>
    <w:rsid w:val="000167F5"/>
    <w:rsid w:val="00020BB8"/>
    <w:rsid w:val="000210B1"/>
    <w:rsid w:val="00024E60"/>
    <w:rsid w:val="000320DB"/>
    <w:rsid w:val="0003538B"/>
    <w:rsid w:val="00035A5D"/>
    <w:rsid w:val="00036EAC"/>
    <w:rsid w:val="000468A3"/>
    <w:rsid w:val="0005098D"/>
    <w:rsid w:val="0005134A"/>
    <w:rsid w:val="000528B8"/>
    <w:rsid w:val="00052D87"/>
    <w:rsid w:val="00052F57"/>
    <w:rsid w:val="00056A29"/>
    <w:rsid w:val="00056C8E"/>
    <w:rsid w:val="00056D88"/>
    <w:rsid w:val="00070445"/>
    <w:rsid w:val="00074B35"/>
    <w:rsid w:val="000762C6"/>
    <w:rsid w:val="000847CE"/>
    <w:rsid w:val="00091752"/>
    <w:rsid w:val="000943F7"/>
    <w:rsid w:val="00094E77"/>
    <w:rsid w:val="00096554"/>
    <w:rsid w:val="000A1B82"/>
    <w:rsid w:val="000A4748"/>
    <w:rsid w:val="000A5AA9"/>
    <w:rsid w:val="000A5FCA"/>
    <w:rsid w:val="000A742B"/>
    <w:rsid w:val="000A75A4"/>
    <w:rsid w:val="000B2FC0"/>
    <w:rsid w:val="000B6174"/>
    <w:rsid w:val="000B7CFD"/>
    <w:rsid w:val="000C0545"/>
    <w:rsid w:val="000C054C"/>
    <w:rsid w:val="000C24C0"/>
    <w:rsid w:val="000C2AC7"/>
    <w:rsid w:val="000C341E"/>
    <w:rsid w:val="000C3698"/>
    <w:rsid w:val="000C3854"/>
    <w:rsid w:val="000C41BA"/>
    <w:rsid w:val="000C460E"/>
    <w:rsid w:val="000C531E"/>
    <w:rsid w:val="000D3EA9"/>
    <w:rsid w:val="000E2FF4"/>
    <w:rsid w:val="000E3B24"/>
    <w:rsid w:val="000E591A"/>
    <w:rsid w:val="000E7A2A"/>
    <w:rsid w:val="000F0E56"/>
    <w:rsid w:val="000F4C44"/>
    <w:rsid w:val="000F5ED0"/>
    <w:rsid w:val="00100D44"/>
    <w:rsid w:val="00102992"/>
    <w:rsid w:val="001045FE"/>
    <w:rsid w:val="001124EC"/>
    <w:rsid w:val="00112999"/>
    <w:rsid w:val="00126572"/>
    <w:rsid w:val="00127723"/>
    <w:rsid w:val="001314F1"/>
    <w:rsid w:val="00133061"/>
    <w:rsid w:val="0013509B"/>
    <w:rsid w:val="0013555C"/>
    <w:rsid w:val="0013565B"/>
    <w:rsid w:val="00136D9C"/>
    <w:rsid w:val="0014026C"/>
    <w:rsid w:val="00143DA4"/>
    <w:rsid w:val="00144F93"/>
    <w:rsid w:val="00145A39"/>
    <w:rsid w:val="00147C56"/>
    <w:rsid w:val="00150821"/>
    <w:rsid w:val="0015145A"/>
    <w:rsid w:val="001551C0"/>
    <w:rsid w:val="00163146"/>
    <w:rsid w:val="00163499"/>
    <w:rsid w:val="00164A0E"/>
    <w:rsid w:val="001666A4"/>
    <w:rsid w:val="001669FC"/>
    <w:rsid w:val="00170B4E"/>
    <w:rsid w:val="00173B34"/>
    <w:rsid w:val="001740FE"/>
    <w:rsid w:val="001775A0"/>
    <w:rsid w:val="001778FF"/>
    <w:rsid w:val="001805B6"/>
    <w:rsid w:val="001814B6"/>
    <w:rsid w:val="001837A8"/>
    <w:rsid w:val="00184F6C"/>
    <w:rsid w:val="00185072"/>
    <w:rsid w:val="001861CE"/>
    <w:rsid w:val="00186D5A"/>
    <w:rsid w:val="001905A4"/>
    <w:rsid w:val="00191C56"/>
    <w:rsid w:val="0019249A"/>
    <w:rsid w:val="00192920"/>
    <w:rsid w:val="00192BA6"/>
    <w:rsid w:val="00194AD7"/>
    <w:rsid w:val="00195D47"/>
    <w:rsid w:val="001A7D55"/>
    <w:rsid w:val="001B1A3F"/>
    <w:rsid w:val="001B22BD"/>
    <w:rsid w:val="001B5F03"/>
    <w:rsid w:val="001C1343"/>
    <w:rsid w:val="001C6DE5"/>
    <w:rsid w:val="001D0C18"/>
    <w:rsid w:val="001D21C2"/>
    <w:rsid w:val="001D7A54"/>
    <w:rsid w:val="001D7AAB"/>
    <w:rsid w:val="001E1635"/>
    <w:rsid w:val="001E6093"/>
    <w:rsid w:val="001E7CB2"/>
    <w:rsid w:val="001E7EE9"/>
    <w:rsid w:val="001F049C"/>
    <w:rsid w:val="001F67B5"/>
    <w:rsid w:val="002041D6"/>
    <w:rsid w:val="00204E34"/>
    <w:rsid w:val="00207EEC"/>
    <w:rsid w:val="00212E69"/>
    <w:rsid w:val="002157B9"/>
    <w:rsid w:val="00216276"/>
    <w:rsid w:val="0022200C"/>
    <w:rsid w:val="00223A0A"/>
    <w:rsid w:val="00226F75"/>
    <w:rsid w:val="00227EB9"/>
    <w:rsid w:val="00232E60"/>
    <w:rsid w:val="00242968"/>
    <w:rsid w:val="00243A16"/>
    <w:rsid w:val="002451A6"/>
    <w:rsid w:val="00245ABE"/>
    <w:rsid w:val="00246B34"/>
    <w:rsid w:val="002507DD"/>
    <w:rsid w:val="00253D98"/>
    <w:rsid w:val="00254294"/>
    <w:rsid w:val="00255748"/>
    <w:rsid w:val="002579EB"/>
    <w:rsid w:val="00260DA1"/>
    <w:rsid w:val="0026572C"/>
    <w:rsid w:val="00266839"/>
    <w:rsid w:val="002671EA"/>
    <w:rsid w:val="0027001B"/>
    <w:rsid w:val="00270CCF"/>
    <w:rsid w:val="00272254"/>
    <w:rsid w:val="00272E62"/>
    <w:rsid w:val="002733F1"/>
    <w:rsid w:val="00275620"/>
    <w:rsid w:val="00276BA6"/>
    <w:rsid w:val="00281CF3"/>
    <w:rsid w:val="0028288D"/>
    <w:rsid w:val="002829EB"/>
    <w:rsid w:val="00286BE5"/>
    <w:rsid w:val="00292D5D"/>
    <w:rsid w:val="002949AB"/>
    <w:rsid w:val="00295773"/>
    <w:rsid w:val="00297164"/>
    <w:rsid w:val="002A147D"/>
    <w:rsid w:val="002A20A2"/>
    <w:rsid w:val="002A3DB6"/>
    <w:rsid w:val="002A4A40"/>
    <w:rsid w:val="002B24AA"/>
    <w:rsid w:val="002B5AEA"/>
    <w:rsid w:val="002B75B5"/>
    <w:rsid w:val="002C1665"/>
    <w:rsid w:val="002C1B98"/>
    <w:rsid w:val="002C1FEF"/>
    <w:rsid w:val="002C2921"/>
    <w:rsid w:val="002C339E"/>
    <w:rsid w:val="002D1B76"/>
    <w:rsid w:val="002D287F"/>
    <w:rsid w:val="002D35FB"/>
    <w:rsid w:val="002D36C7"/>
    <w:rsid w:val="002D4011"/>
    <w:rsid w:val="002E0F4F"/>
    <w:rsid w:val="002E1665"/>
    <w:rsid w:val="002F5152"/>
    <w:rsid w:val="002F79C1"/>
    <w:rsid w:val="002F7F4F"/>
    <w:rsid w:val="003011DC"/>
    <w:rsid w:val="0030724E"/>
    <w:rsid w:val="0031248B"/>
    <w:rsid w:val="00313E5B"/>
    <w:rsid w:val="00320D5C"/>
    <w:rsid w:val="003264E3"/>
    <w:rsid w:val="003332BA"/>
    <w:rsid w:val="003341BE"/>
    <w:rsid w:val="00337103"/>
    <w:rsid w:val="00345A8A"/>
    <w:rsid w:val="003576BF"/>
    <w:rsid w:val="00357DA2"/>
    <w:rsid w:val="00357F4F"/>
    <w:rsid w:val="00361228"/>
    <w:rsid w:val="00363942"/>
    <w:rsid w:val="00370000"/>
    <w:rsid w:val="00371CF5"/>
    <w:rsid w:val="00372641"/>
    <w:rsid w:val="00381C96"/>
    <w:rsid w:val="00381E2A"/>
    <w:rsid w:val="0038235B"/>
    <w:rsid w:val="00392A50"/>
    <w:rsid w:val="003948E1"/>
    <w:rsid w:val="00394A5A"/>
    <w:rsid w:val="0039764D"/>
    <w:rsid w:val="003A08F5"/>
    <w:rsid w:val="003A378A"/>
    <w:rsid w:val="003A5F8D"/>
    <w:rsid w:val="003A68F9"/>
    <w:rsid w:val="003B2A1E"/>
    <w:rsid w:val="003B499A"/>
    <w:rsid w:val="003B55C2"/>
    <w:rsid w:val="003B679A"/>
    <w:rsid w:val="003B6A29"/>
    <w:rsid w:val="003C3142"/>
    <w:rsid w:val="003C4FE2"/>
    <w:rsid w:val="003D0D59"/>
    <w:rsid w:val="003D0E65"/>
    <w:rsid w:val="003D42E0"/>
    <w:rsid w:val="003D5308"/>
    <w:rsid w:val="003E1D23"/>
    <w:rsid w:val="003E23EC"/>
    <w:rsid w:val="003E4E4F"/>
    <w:rsid w:val="003E52D2"/>
    <w:rsid w:val="003F070E"/>
    <w:rsid w:val="003F15A6"/>
    <w:rsid w:val="003F479B"/>
    <w:rsid w:val="004055F0"/>
    <w:rsid w:val="00407658"/>
    <w:rsid w:val="00410834"/>
    <w:rsid w:val="00413C1C"/>
    <w:rsid w:val="00414B7D"/>
    <w:rsid w:val="00415241"/>
    <w:rsid w:val="00416CC5"/>
    <w:rsid w:val="00416CDC"/>
    <w:rsid w:val="00420155"/>
    <w:rsid w:val="00427658"/>
    <w:rsid w:val="00427DFA"/>
    <w:rsid w:val="004305F8"/>
    <w:rsid w:val="004327E4"/>
    <w:rsid w:val="00435345"/>
    <w:rsid w:val="004434B3"/>
    <w:rsid w:val="0044613B"/>
    <w:rsid w:val="0045798E"/>
    <w:rsid w:val="00460DC2"/>
    <w:rsid w:val="00462415"/>
    <w:rsid w:val="004651E1"/>
    <w:rsid w:val="00467984"/>
    <w:rsid w:val="0047333D"/>
    <w:rsid w:val="00475043"/>
    <w:rsid w:val="00475564"/>
    <w:rsid w:val="0048026B"/>
    <w:rsid w:val="004861B1"/>
    <w:rsid w:val="00490327"/>
    <w:rsid w:val="004927AA"/>
    <w:rsid w:val="00495214"/>
    <w:rsid w:val="004A5C5A"/>
    <w:rsid w:val="004A769B"/>
    <w:rsid w:val="004B1855"/>
    <w:rsid w:val="004B4703"/>
    <w:rsid w:val="004B7BB4"/>
    <w:rsid w:val="004C0750"/>
    <w:rsid w:val="004D055A"/>
    <w:rsid w:val="004D062F"/>
    <w:rsid w:val="004D129E"/>
    <w:rsid w:val="004D1710"/>
    <w:rsid w:val="004D3C64"/>
    <w:rsid w:val="004D76D4"/>
    <w:rsid w:val="004E3A93"/>
    <w:rsid w:val="004E7676"/>
    <w:rsid w:val="004F6EFB"/>
    <w:rsid w:val="0050159D"/>
    <w:rsid w:val="00501B0A"/>
    <w:rsid w:val="005027D1"/>
    <w:rsid w:val="0050394F"/>
    <w:rsid w:val="00506F2A"/>
    <w:rsid w:val="005103EC"/>
    <w:rsid w:val="005117CF"/>
    <w:rsid w:val="00513CB3"/>
    <w:rsid w:val="00522D93"/>
    <w:rsid w:val="00524A55"/>
    <w:rsid w:val="005262ED"/>
    <w:rsid w:val="00531B74"/>
    <w:rsid w:val="00532CB1"/>
    <w:rsid w:val="005355BC"/>
    <w:rsid w:val="00537E91"/>
    <w:rsid w:val="00537F6A"/>
    <w:rsid w:val="00540779"/>
    <w:rsid w:val="0054241E"/>
    <w:rsid w:val="00545B20"/>
    <w:rsid w:val="00545ECC"/>
    <w:rsid w:val="0054628D"/>
    <w:rsid w:val="00546482"/>
    <w:rsid w:val="00547C94"/>
    <w:rsid w:val="005536EA"/>
    <w:rsid w:val="00553FC3"/>
    <w:rsid w:val="00564AB9"/>
    <w:rsid w:val="00566E24"/>
    <w:rsid w:val="00567513"/>
    <w:rsid w:val="005708AA"/>
    <w:rsid w:val="0057465B"/>
    <w:rsid w:val="00580902"/>
    <w:rsid w:val="00582FF3"/>
    <w:rsid w:val="00583232"/>
    <w:rsid w:val="005837F2"/>
    <w:rsid w:val="005856CB"/>
    <w:rsid w:val="00587059"/>
    <w:rsid w:val="0059348B"/>
    <w:rsid w:val="00597E31"/>
    <w:rsid w:val="005A1985"/>
    <w:rsid w:val="005A35D6"/>
    <w:rsid w:val="005A5A56"/>
    <w:rsid w:val="005A64D9"/>
    <w:rsid w:val="005B312A"/>
    <w:rsid w:val="005B5028"/>
    <w:rsid w:val="005B746A"/>
    <w:rsid w:val="005B7984"/>
    <w:rsid w:val="005B7D88"/>
    <w:rsid w:val="005C7418"/>
    <w:rsid w:val="005D355A"/>
    <w:rsid w:val="005E5010"/>
    <w:rsid w:val="005E6A9C"/>
    <w:rsid w:val="005E7F13"/>
    <w:rsid w:val="005F0FEA"/>
    <w:rsid w:val="005F2774"/>
    <w:rsid w:val="005F561B"/>
    <w:rsid w:val="005F5929"/>
    <w:rsid w:val="005F7C58"/>
    <w:rsid w:val="00601193"/>
    <w:rsid w:val="006025B8"/>
    <w:rsid w:val="006038AB"/>
    <w:rsid w:val="00603FDE"/>
    <w:rsid w:val="006054B9"/>
    <w:rsid w:val="00605ED6"/>
    <w:rsid w:val="00606AAD"/>
    <w:rsid w:val="00607D6F"/>
    <w:rsid w:val="00613C79"/>
    <w:rsid w:val="00613D25"/>
    <w:rsid w:val="00615A06"/>
    <w:rsid w:val="0062066F"/>
    <w:rsid w:val="006217B9"/>
    <w:rsid w:val="00623E3F"/>
    <w:rsid w:val="006248B2"/>
    <w:rsid w:val="00624C98"/>
    <w:rsid w:val="006278EC"/>
    <w:rsid w:val="00627901"/>
    <w:rsid w:val="00630C41"/>
    <w:rsid w:val="0063231D"/>
    <w:rsid w:val="00633026"/>
    <w:rsid w:val="0063386D"/>
    <w:rsid w:val="0063492D"/>
    <w:rsid w:val="00634D76"/>
    <w:rsid w:val="00637B76"/>
    <w:rsid w:val="006467AD"/>
    <w:rsid w:val="00646C93"/>
    <w:rsid w:val="00647C16"/>
    <w:rsid w:val="006504E5"/>
    <w:rsid w:val="00654DD3"/>
    <w:rsid w:val="00655D38"/>
    <w:rsid w:val="00675D9F"/>
    <w:rsid w:val="00675F67"/>
    <w:rsid w:val="006856C6"/>
    <w:rsid w:val="00687126"/>
    <w:rsid w:val="00690872"/>
    <w:rsid w:val="00690C35"/>
    <w:rsid w:val="00691E03"/>
    <w:rsid w:val="00696690"/>
    <w:rsid w:val="00696C95"/>
    <w:rsid w:val="006A2396"/>
    <w:rsid w:val="006B06B9"/>
    <w:rsid w:val="006B1478"/>
    <w:rsid w:val="006B6A5F"/>
    <w:rsid w:val="006B6DB1"/>
    <w:rsid w:val="006C1013"/>
    <w:rsid w:val="006C72B9"/>
    <w:rsid w:val="006D3BA0"/>
    <w:rsid w:val="006D79DD"/>
    <w:rsid w:val="006E07B5"/>
    <w:rsid w:val="006E2D2F"/>
    <w:rsid w:val="006E398E"/>
    <w:rsid w:val="006E47E2"/>
    <w:rsid w:val="006E50C2"/>
    <w:rsid w:val="006E50FB"/>
    <w:rsid w:val="006F1FB7"/>
    <w:rsid w:val="006F31AE"/>
    <w:rsid w:val="006F567C"/>
    <w:rsid w:val="006F5D7C"/>
    <w:rsid w:val="00706439"/>
    <w:rsid w:val="00711BDE"/>
    <w:rsid w:val="00713F6E"/>
    <w:rsid w:val="00714A71"/>
    <w:rsid w:val="007171A5"/>
    <w:rsid w:val="00722329"/>
    <w:rsid w:val="007224A7"/>
    <w:rsid w:val="00723FB8"/>
    <w:rsid w:val="007255B0"/>
    <w:rsid w:val="00725AD8"/>
    <w:rsid w:val="00726890"/>
    <w:rsid w:val="0073365C"/>
    <w:rsid w:val="00734F03"/>
    <w:rsid w:val="0073608A"/>
    <w:rsid w:val="00736AAE"/>
    <w:rsid w:val="007445F3"/>
    <w:rsid w:val="007463AC"/>
    <w:rsid w:val="00746E7E"/>
    <w:rsid w:val="007508C8"/>
    <w:rsid w:val="0075156F"/>
    <w:rsid w:val="00752561"/>
    <w:rsid w:val="007602D0"/>
    <w:rsid w:val="00762524"/>
    <w:rsid w:val="00765A96"/>
    <w:rsid w:val="0077242F"/>
    <w:rsid w:val="00777FE5"/>
    <w:rsid w:val="0078255F"/>
    <w:rsid w:val="00783691"/>
    <w:rsid w:val="00784A15"/>
    <w:rsid w:val="00786DFA"/>
    <w:rsid w:val="00790881"/>
    <w:rsid w:val="00795C4C"/>
    <w:rsid w:val="00796CE0"/>
    <w:rsid w:val="007A122B"/>
    <w:rsid w:val="007A1DF4"/>
    <w:rsid w:val="007A1E01"/>
    <w:rsid w:val="007B03FB"/>
    <w:rsid w:val="007B4C7C"/>
    <w:rsid w:val="007B5646"/>
    <w:rsid w:val="007B57D6"/>
    <w:rsid w:val="007B6A7F"/>
    <w:rsid w:val="007B7D77"/>
    <w:rsid w:val="007C2FF3"/>
    <w:rsid w:val="007C345D"/>
    <w:rsid w:val="007D07E1"/>
    <w:rsid w:val="007D530A"/>
    <w:rsid w:val="007E0927"/>
    <w:rsid w:val="007E1591"/>
    <w:rsid w:val="007E21ED"/>
    <w:rsid w:val="007E3660"/>
    <w:rsid w:val="007E565E"/>
    <w:rsid w:val="007F019D"/>
    <w:rsid w:val="007F2E1B"/>
    <w:rsid w:val="007F3133"/>
    <w:rsid w:val="007F347B"/>
    <w:rsid w:val="007F3755"/>
    <w:rsid w:val="007F4021"/>
    <w:rsid w:val="007F4501"/>
    <w:rsid w:val="0080178C"/>
    <w:rsid w:val="00801852"/>
    <w:rsid w:val="008057D1"/>
    <w:rsid w:val="008066B4"/>
    <w:rsid w:val="008151E6"/>
    <w:rsid w:val="00820683"/>
    <w:rsid w:val="008227C6"/>
    <w:rsid w:val="00827F30"/>
    <w:rsid w:val="008324ED"/>
    <w:rsid w:val="008366A9"/>
    <w:rsid w:val="00843D6A"/>
    <w:rsid w:val="008444F9"/>
    <w:rsid w:val="00845EB5"/>
    <w:rsid w:val="008534B4"/>
    <w:rsid w:val="0085400E"/>
    <w:rsid w:val="008544F9"/>
    <w:rsid w:val="00854797"/>
    <w:rsid w:val="00855E36"/>
    <w:rsid w:val="00856749"/>
    <w:rsid w:val="00863A2B"/>
    <w:rsid w:val="00864184"/>
    <w:rsid w:val="00871424"/>
    <w:rsid w:val="00877B32"/>
    <w:rsid w:val="00883740"/>
    <w:rsid w:val="00885235"/>
    <w:rsid w:val="00886CA8"/>
    <w:rsid w:val="00892E6A"/>
    <w:rsid w:val="00892FC8"/>
    <w:rsid w:val="00895A04"/>
    <w:rsid w:val="0089695E"/>
    <w:rsid w:val="008A06D0"/>
    <w:rsid w:val="008A0F73"/>
    <w:rsid w:val="008A1ACD"/>
    <w:rsid w:val="008A1B90"/>
    <w:rsid w:val="008A399A"/>
    <w:rsid w:val="008A49CC"/>
    <w:rsid w:val="008A4CA2"/>
    <w:rsid w:val="008A542F"/>
    <w:rsid w:val="008B2C95"/>
    <w:rsid w:val="008B6934"/>
    <w:rsid w:val="008B7298"/>
    <w:rsid w:val="008C0631"/>
    <w:rsid w:val="008C0EB2"/>
    <w:rsid w:val="008C6417"/>
    <w:rsid w:val="008D0300"/>
    <w:rsid w:val="008D15FD"/>
    <w:rsid w:val="008D1921"/>
    <w:rsid w:val="008D303D"/>
    <w:rsid w:val="008D483D"/>
    <w:rsid w:val="008D4B7A"/>
    <w:rsid w:val="008D7BA4"/>
    <w:rsid w:val="008E04A3"/>
    <w:rsid w:val="008E2B80"/>
    <w:rsid w:val="008E3012"/>
    <w:rsid w:val="008E40D2"/>
    <w:rsid w:val="008E4225"/>
    <w:rsid w:val="008F5B03"/>
    <w:rsid w:val="00900EB9"/>
    <w:rsid w:val="00905859"/>
    <w:rsid w:val="00912473"/>
    <w:rsid w:val="00912CB3"/>
    <w:rsid w:val="00915E6D"/>
    <w:rsid w:val="00916845"/>
    <w:rsid w:val="0093078A"/>
    <w:rsid w:val="00932947"/>
    <w:rsid w:val="00933E52"/>
    <w:rsid w:val="009373B6"/>
    <w:rsid w:val="009410E5"/>
    <w:rsid w:val="00943CAE"/>
    <w:rsid w:val="00945978"/>
    <w:rsid w:val="0094638F"/>
    <w:rsid w:val="00951518"/>
    <w:rsid w:val="0096455D"/>
    <w:rsid w:val="0096643A"/>
    <w:rsid w:val="00967AEA"/>
    <w:rsid w:val="00970AA0"/>
    <w:rsid w:val="00972EBE"/>
    <w:rsid w:val="00973E06"/>
    <w:rsid w:val="0098663C"/>
    <w:rsid w:val="00987ECF"/>
    <w:rsid w:val="00990005"/>
    <w:rsid w:val="0099074F"/>
    <w:rsid w:val="009919AE"/>
    <w:rsid w:val="00992A00"/>
    <w:rsid w:val="009A2573"/>
    <w:rsid w:val="009A2DEC"/>
    <w:rsid w:val="009A337B"/>
    <w:rsid w:val="009A34D3"/>
    <w:rsid w:val="009A639D"/>
    <w:rsid w:val="009A6657"/>
    <w:rsid w:val="009A76A4"/>
    <w:rsid w:val="009B3569"/>
    <w:rsid w:val="009C1D49"/>
    <w:rsid w:val="009C31C2"/>
    <w:rsid w:val="009C71CA"/>
    <w:rsid w:val="009D18F4"/>
    <w:rsid w:val="009D495D"/>
    <w:rsid w:val="009D4E1F"/>
    <w:rsid w:val="009D65CE"/>
    <w:rsid w:val="009D6F73"/>
    <w:rsid w:val="009D74B6"/>
    <w:rsid w:val="009E09AA"/>
    <w:rsid w:val="009E15A0"/>
    <w:rsid w:val="009E4A73"/>
    <w:rsid w:val="009F11F3"/>
    <w:rsid w:val="009F205B"/>
    <w:rsid w:val="009F5665"/>
    <w:rsid w:val="009F757F"/>
    <w:rsid w:val="00A00F50"/>
    <w:rsid w:val="00A024A8"/>
    <w:rsid w:val="00A02F64"/>
    <w:rsid w:val="00A06D19"/>
    <w:rsid w:val="00A107A6"/>
    <w:rsid w:val="00A15216"/>
    <w:rsid w:val="00A16821"/>
    <w:rsid w:val="00A1765B"/>
    <w:rsid w:val="00A213FC"/>
    <w:rsid w:val="00A23A70"/>
    <w:rsid w:val="00A25CC8"/>
    <w:rsid w:val="00A26F7C"/>
    <w:rsid w:val="00A27ABD"/>
    <w:rsid w:val="00A30F50"/>
    <w:rsid w:val="00A31F09"/>
    <w:rsid w:val="00A32F7A"/>
    <w:rsid w:val="00A3396F"/>
    <w:rsid w:val="00A34246"/>
    <w:rsid w:val="00A36DC0"/>
    <w:rsid w:val="00A43115"/>
    <w:rsid w:val="00A451EF"/>
    <w:rsid w:val="00A454E6"/>
    <w:rsid w:val="00A4716D"/>
    <w:rsid w:val="00A51FAF"/>
    <w:rsid w:val="00A5243D"/>
    <w:rsid w:val="00A56C20"/>
    <w:rsid w:val="00A573C8"/>
    <w:rsid w:val="00A57F7C"/>
    <w:rsid w:val="00A71034"/>
    <w:rsid w:val="00A734F0"/>
    <w:rsid w:val="00A803E0"/>
    <w:rsid w:val="00A83009"/>
    <w:rsid w:val="00A8399A"/>
    <w:rsid w:val="00A841A3"/>
    <w:rsid w:val="00A8622B"/>
    <w:rsid w:val="00A86BF8"/>
    <w:rsid w:val="00A8727B"/>
    <w:rsid w:val="00A910EB"/>
    <w:rsid w:val="00A93DDC"/>
    <w:rsid w:val="00A949C9"/>
    <w:rsid w:val="00AA712F"/>
    <w:rsid w:val="00AB186A"/>
    <w:rsid w:val="00AB20C1"/>
    <w:rsid w:val="00AB26DF"/>
    <w:rsid w:val="00AB43E7"/>
    <w:rsid w:val="00AB668F"/>
    <w:rsid w:val="00AB7A66"/>
    <w:rsid w:val="00AC0505"/>
    <w:rsid w:val="00AC19A9"/>
    <w:rsid w:val="00AC328D"/>
    <w:rsid w:val="00AC3AF4"/>
    <w:rsid w:val="00AC5D1E"/>
    <w:rsid w:val="00AD0C4A"/>
    <w:rsid w:val="00AD1125"/>
    <w:rsid w:val="00AD1131"/>
    <w:rsid w:val="00AD11E4"/>
    <w:rsid w:val="00AD270B"/>
    <w:rsid w:val="00AD5249"/>
    <w:rsid w:val="00AD52E7"/>
    <w:rsid w:val="00AD5311"/>
    <w:rsid w:val="00AD5BA9"/>
    <w:rsid w:val="00AD5C40"/>
    <w:rsid w:val="00AD6FF3"/>
    <w:rsid w:val="00AD71D6"/>
    <w:rsid w:val="00AE1D35"/>
    <w:rsid w:val="00AF41AC"/>
    <w:rsid w:val="00AF51DE"/>
    <w:rsid w:val="00AF6144"/>
    <w:rsid w:val="00B01250"/>
    <w:rsid w:val="00B01288"/>
    <w:rsid w:val="00B0476B"/>
    <w:rsid w:val="00B060E7"/>
    <w:rsid w:val="00B070B9"/>
    <w:rsid w:val="00B24E6A"/>
    <w:rsid w:val="00B24FA6"/>
    <w:rsid w:val="00B2749C"/>
    <w:rsid w:val="00B27EE6"/>
    <w:rsid w:val="00B30A2C"/>
    <w:rsid w:val="00B31BCB"/>
    <w:rsid w:val="00B343FE"/>
    <w:rsid w:val="00B3643B"/>
    <w:rsid w:val="00B416E6"/>
    <w:rsid w:val="00B43A5F"/>
    <w:rsid w:val="00B43C38"/>
    <w:rsid w:val="00B44158"/>
    <w:rsid w:val="00B52BD0"/>
    <w:rsid w:val="00B53F31"/>
    <w:rsid w:val="00B546D9"/>
    <w:rsid w:val="00B54849"/>
    <w:rsid w:val="00B54951"/>
    <w:rsid w:val="00B561F3"/>
    <w:rsid w:val="00B57246"/>
    <w:rsid w:val="00B57E22"/>
    <w:rsid w:val="00B63D14"/>
    <w:rsid w:val="00B64E08"/>
    <w:rsid w:val="00B66A68"/>
    <w:rsid w:val="00B72703"/>
    <w:rsid w:val="00B743C4"/>
    <w:rsid w:val="00B77EE7"/>
    <w:rsid w:val="00B80E45"/>
    <w:rsid w:val="00B829CE"/>
    <w:rsid w:val="00B906E9"/>
    <w:rsid w:val="00B917C6"/>
    <w:rsid w:val="00B95E22"/>
    <w:rsid w:val="00B96A7E"/>
    <w:rsid w:val="00BC0796"/>
    <w:rsid w:val="00BC2385"/>
    <w:rsid w:val="00BC3E8C"/>
    <w:rsid w:val="00BC43FD"/>
    <w:rsid w:val="00BD30E5"/>
    <w:rsid w:val="00BE4196"/>
    <w:rsid w:val="00BE6EE9"/>
    <w:rsid w:val="00BF06B3"/>
    <w:rsid w:val="00BF0D93"/>
    <w:rsid w:val="00BF2465"/>
    <w:rsid w:val="00BF2B03"/>
    <w:rsid w:val="00BF342D"/>
    <w:rsid w:val="00BF425F"/>
    <w:rsid w:val="00C014A2"/>
    <w:rsid w:val="00C01CA2"/>
    <w:rsid w:val="00C07F03"/>
    <w:rsid w:val="00C12FEF"/>
    <w:rsid w:val="00C1383C"/>
    <w:rsid w:val="00C16F84"/>
    <w:rsid w:val="00C21557"/>
    <w:rsid w:val="00C25C7F"/>
    <w:rsid w:val="00C26C8E"/>
    <w:rsid w:val="00C30A82"/>
    <w:rsid w:val="00C35E05"/>
    <w:rsid w:val="00C4152F"/>
    <w:rsid w:val="00C4213F"/>
    <w:rsid w:val="00C46566"/>
    <w:rsid w:val="00C57A4A"/>
    <w:rsid w:val="00C61DAE"/>
    <w:rsid w:val="00C620E7"/>
    <w:rsid w:val="00C63365"/>
    <w:rsid w:val="00C65BFB"/>
    <w:rsid w:val="00C66BC3"/>
    <w:rsid w:val="00C7066A"/>
    <w:rsid w:val="00C70E5B"/>
    <w:rsid w:val="00C71D40"/>
    <w:rsid w:val="00C725B7"/>
    <w:rsid w:val="00C7367E"/>
    <w:rsid w:val="00C7586D"/>
    <w:rsid w:val="00C81EAC"/>
    <w:rsid w:val="00C85320"/>
    <w:rsid w:val="00C9104C"/>
    <w:rsid w:val="00C968D3"/>
    <w:rsid w:val="00C97DBC"/>
    <w:rsid w:val="00CA2D4C"/>
    <w:rsid w:val="00CA3905"/>
    <w:rsid w:val="00CB1010"/>
    <w:rsid w:val="00CB1942"/>
    <w:rsid w:val="00CB32CC"/>
    <w:rsid w:val="00CB5F7D"/>
    <w:rsid w:val="00CB7A9D"/>
    <w:rsid w:val="00CB7C81"/>
    <w:rsid w:val="00CC0757"/>
    <w:rsid w:val="00CC1F17"/>
    <w:rsid w:val="00CC766C"/>
    <w:rsid w:val="00CD24F5"/>
    <w:rsid w:val="00CD71DA"/>
    <w:rsid w:val="00CD78F4"/>
    <w:rsid w:val="00CE2307"/>
    <w:rsid w:val="00CE3641"/>
    <w:rsid w:val="00CE5807"/>
    <w:rsid w:val="00CE7114"/>
    <w:rsid w:val="00CF1673"/>
    <w:rsid w:val="00CF16EA"/>
    <w:rsid w:val="00CF587B"/>
    <w:rsid w:val="00CF59A2"/>
    <w:rsid w:val="00CF7614"/>
    <w:rsid w:val="00CF785B"/>
    <w:rsid w:val="00CF794B"/>
    <w:rsid w:val="00CF7B5E"/>
    <w:rsid w:val="00D01702"/>
    <w:rsid w:val="00D01C96"/>
    <w:rsid w:val="00D03782"/>
    <w:rsid w:val="00D0627E"/>
    <w:rsid w:val="00D0741E"/>
    <w:rsid w:val="00D11E86"/>
    <w:rsid w:val="00D20508"/>
    <w:rsid w:val="00D20CB8"/>
    <w:rsid w:val="00D225FD"/>
    <w:rsid w:val="00D27E00"/>
    <w:rsid w:val="00D323BC"/>
    <w:rsid w:val="00D328CE"/>
    <w:rsid w:val="00D33A4C"/>
    <w:rsid w:val="00D34E1D"/>
    <w:rsid w:val="00D41025"/>
    <w:rsid w:val="00D41E9C"/>
    <w:rsid w:val="00D421E1"/>
    <w:rsid w:val="00D42E40"/>
    <w:rsid w:val="00D44E50"/>
    <w:rsid w:val="00D4638F"/>
    <w:rsid w:val="00D5384D"/>
    <w:rsid w:val="00D54351"/>
    <w:rsid w:val="00D5566B"/>
    <w:rsid w:val="00D57FD3"/>
    <w:rsid w:val="00D64D98"/>
    <w:rsid w:val="00D67151"/>
    <w:rsid w:val="00D7097D"/>
    <w:rsid w:val="00D70EBD"/>
    <w:rsid w:val="00D7193D"/>
    <w:rsid w:val="00D71E57"/>
    <w:rsid w:val="00D728BB"/>
    <w:rsid w:val="00D753C9"/>
    <w:rsid w:val="00D839F7"/>
    <w:rsid w:val="00D947D1"/>
    <w:rsid w:val="00D95462"/>
    <w:rsid w:val="00DA08E8"/>
    <w:rsid w:val="00DA10AF"/>
    <w:rsid w:val="00DA2411"/>
    <w:rsid w:val="00DB02F1"/>
    <w:rsid w:val="00DB30E0"/>
    <w:rsid w:val="00DB31DF"/>
    <w:rsid w:val="00DB33C6"/>
    <w:rsid w:val="00DB4565"/>
    <w:rsid w:val="00DB61F1"/>
    <w:rsid w:val="00DC1CB7"/>
    <w:rsid w:val="00DC1D5B"/>
    <w:rsid w:val="00DD1986"/>
    <w:rsid w:val="00DD3544"/>
    <w:rsid w:val="00DD35E0"/>
    <w:rsid w:val="00DD7B51"/>
    <w:rsid w:val="00DE024D"/>
    <w:rsid w:val="00DE0BD2"/>
    <w:rsid w:val="00DE6515"/>
    <w:rsid w:val="00DF11D6"/>
    <w:rsid w:val="00DF23FC"/>
    <w:rsid w:val="00DF5F40"/>
    <w:rsid w:val="00E000B7"/>
    <w:rsid w:val="00E008DD"/>
    <w:rsid w:val="00E1208A"/>
    <w:rsid w:val="00E16752"/>
    <w:rsid w:val="00E23BEC"/>
    <w:rsid w:val="00E24CD4"/>
    <w:rsid w:val="00E2574E"/>
    <w:rsid w:val="00E322FB"/>
    <w:rsid w:val="00E33A0E"/>
    <w:rsid w:val="00E34C46"/>
    <w:rsid w:val="00E42E52"/>
    <w:rsid w:val="00E439F4"/>
    <w:rsid w:val="00E4586F"/>
    <w:rsid w:val="00E5081E"/>
    <w:rsid w:val="00E526A2"/>
    <w:rsid w:val="00E53F82"/>
    <w:rsid w:val="00E560FA"/>
    <w:rsid w:val="00E6133B"/>
    <w:rsid w:val="00E70324"/>
    <w:rsid w:val="00E71159"/>
    <w:rsid w:val="00E73CFC"/>
    <w:rsid w:val="00E74ECB"/>
    <w:rsid w:val="00E769A7"/>
    <w:rsid w:val="00E85BF7"/>
    <w:rsid w:val="00E87631"/>
    <w:rsid w:val="00E907A8"/>
    <w:rsid w:val="00E923CB"/>
    <w:rsid w:val="00EA6A45"/>
    <w:rsid w:val="00EB602A"/>
    <w:rsid w:val="00EB68F5"/>
    <w:rsid w:val="00EB6947"/>
    <w:rsid w:val="00EC4EA4"/>
    <w:rsid w:val="00EC5CCB"/>
    <w:rsid w:val="00EC729B"/>
    <w:rsid w:val="00ED439D"/>
    <w:rsid w:val="00ED5B66"/>
    <w:rsid w:val="00ED7B87"/>
    <w:rsid w:val="00ED7F01"/>
    <w:rsid w:val="00EE010F"/>
    <w:rsid w:val="00EE19E5"/>
    <w:rsid w:val="00EE2C50"/>
    <w:rsid w:val="00EE3AA7"/>
    <w:rsid w:val="00EE671B"/>
    <w:rsid w:val="00EE6983"/>
    <w:rsid w:val="00EE6E1A"/>
    <w:rsid w:val="00EF7D0D"/>
    <w:rsid w:val="00F113B8"/>
    <w:rsid w:val="00F160C6"/>
    <w:rsid w:val="00F17D18"/>
    <w:rsid w:val="00F25AE8"/>
    <w:rsid w:val="00F30169"/>
    <w:rsid w:val="00F33C71"/>
    <w:rsid w:val="00F34085"/>
    <w:rsid w:val="00F41CA3"/>
    <w:rsid w:val="00F42EC9"/>
    <w:rsid w:val="00F455C1"/>
    <w:rsid w:val="00F4607C"/>
    <w:rsid w:val="00F50F91"/>
    <w:rsid w:val="00F5372C"/>
    <w:rsid w:val="00F53E42"/>
    <w:rsid w:val="00F551AE"/>
    <w:rsid w:val="00F57976"/>
    <w:rsid w:val="00F64F8D"/>
    <w:rsid w:val="00F661D9"/>
    <w:rsid w:val="00F70FC0"/>
    <w:rsid w:val="00F71AC6"/>
    <w:rsid w:val="00F722F1"/>
    <w:rsid w:val="00F73E0E"/>
    <w:rsid w:val="00F75A68"/>
    <w:rsid w:val="00F7701E"/>
    <w:rsid w:val="00F776C7"/>
    <w:rsid w:val="00F84488"/>
    <w:rsid w:val="00F92DDD"/>
    <w:rsid w:val="00FA0257"/>
    <w:rsid w:val="00FA03ED"/>
    <w:rsid w:val="00FA657A"/>
    <w:rsid w:val="00FA6E40"/>
    <w:rsid w:val="00FB18C1"/>
    <w:rsid w:val="00FC23C3"/>
    <w:rsid w:val="00FD02C4"/>
    <w:rsid w:val="00FD0890"/>
    <w:rsid w:val="00FD16AE"/>
    <w:rsid w:val="00FD1D16"/>
    <w:rsid w:val="00FD1F59"/>
    <w:rsid w:val="00FD2D47"/>
    <w:rsid w:val="00FD78C3"/>
    <w:rsid w:val="00FE2A19"/>
    <w:rsid w:val="00FE2CDB"/>
    <w:rsid w:val="00FE6A37"/>
    <w:rsid w:val="00FF1181"/>
    <w:rsid w:val="00FF1C73"/>
    <w:rsid w:val="00FF3101"/>
    <w:rsid w:val="00FF4248"/>
    <w:rsid w:val="00FF79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EBFB3"/>
  <w15:docId w15:val="{4DE548DC-440F-4A85-A324-D443A37F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8BB"/>
    <w:pPr>
      <w:spacing w:after="200" w:line="276" w:lineRule="auto"/>
    </w:pPr>
    <w:rPr>
      <w:rFonts w:cs="Calibri"/>
      <w:lang w:val="en-US" w:eastAsia="en-US"/>
    </w:rPr>
  </w:style>
  <w:style w:type="paragraph" w:styleId="Heading1">
    <w:name w:val="heading 1"/>
    <w:basedOn w:val="Normal"/>
    <w:link w:val="Heading1Char"/>
    <w:uiPriority w:val="99"/>
    <w:qFormat/>
    <w:rsid w:val="00726890"/>
    <w:pPr>
      <w:widowControl w:val="0"/>
      <w:spacing w:before="64" w:after="0" w:line="240" w:lineRule="auto"/>
      <w:ind w:left="1102"/>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9"/>
    <w:qFormat/>
    <w:rsid w:val="00726890"/>
    <w:pPr>
      <w:widowControl w:val="0"/>
      <w:spacing w:after="0" w:line="240" w:lineRule="auto"/>
      <w:ind w:left="510" w:hanging="455"/>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99"/>
    <w:qFormat/>
    <w:rsid w:val="00726890"/>
    <w:pPr>
      <w:widowControl w:val="0"/>
      <w:spacing w:before="8" w:after="0" w:line="240" w:lineRule="auto"/>
      <w:ind w:left="7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6890"/>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726890"/>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sid w:val="00726890"/>
    <w:rPr>
      <w:rFonts w:ascii="Times New Roman" w:hAnsi="Times New Roman" w:cs="Times New Roman"/>
      <w:b/>
      <w:bCs/>
      <w:sz w:val="24"/>
      <w:szCs w:val="24"/>
    </w:rPr>
  </w:style>
  <w:style w:type="paragraph" w:styleId="TOC1">
    <w:name w:val="toc 1"/>
    <w:basedOn w:val="Normal"/>
    <w:autoRedefine/>
    <w:uiPriority w:val="99"/>
    <w:semiHidden/>
    <w:rsid w:val="00726890"/>
    <w:pPr>
      <w:widowControl w:val="0"/>
      <w:spacing w:before="364" w:after="0" w:line="240" w:lineRule="auto"/>
      <w:ind w:left="840" w:hanging="720"/>
    </w:pPr>
    <w:rPr>
      <w:rFonts w:ascii="Times New Roman" w:eastAsia="Times New Roman" w:hAnsi="Times New Roman" w:cs="Times New Roman"/>
      <w:b/>
      <w:bCs/>
      <w:sz w:val="24"/>
      <w:szCs w:val="24"/>
    </w:rPr>
  </w:style>
  <w:style w:type="paragraph" w:styleId="TOC2">
    <w:name w:val="toc 2"/>
    <w:basedOn w:val="Normal"/>
    <w:autoRedefine/>
    <w:uiPriority w:val="99"/>
    <w:semiHidden/>
    <w:rsid w:val="00726890"/>
    <w:pPr>
      <w:widowControl w:val="0"/>
      <w:spacing w:before="44" w:after="0" w:line="240" w:lineRule="auto"/>
      <w:ind w:left="840" w:hanging="720"/>
    </w:pPr>
    <w:rPr>
      <w:rFonts w:ascii="Times New Roman" w:eastAsia="Times New Roman" w:hAnsi="Times New Roman" w:cs="Times New Roman"/>
      <w:sz w:val="24"/>
      <w:szCs w:val="24"/>
    </w:rPr>
  </w:style>
  <w:style w:type="paragraph" w:styleId="TOC3">
    <w:name w:val="toc 3"/>
    <w:basedOn w:val="Normal"/>
    <w:autoRedefine/>
    <w:uiPriority w:val="99"/>
    <w:semiHidden/>
    <w:rsid w:val="00726890"/>
    <w:pPr>
      <w:widowControl w:val="0"/>
      <w:spacing w:before="44" w:after="0" w:line="240" w:lineRule="auto"/>
      <w:ind w:left="839"/>
    </w:pPr>
    <w:rPr>
      <w:rFonts w:ascii="Times New Roman" w:eastAsia="Times New Roman" w:hAnsi="Times New Roman" w:cs="Times New Roman"/>
      <w:sz w:val="24"/>
      <w:szCs w:val="24"/>
    </w:rPr>
  </w:style>
  <w:style w:type="paragraph" w:styleId="BodyText">
    <w:name w:val="Body Text"/>
    <w:basedOn w:val="Normal"/>
    <w:link w:val="BodyTextChar"/>
    <w:uiPriority w:val="99"/>
    <w:rsid w:val="00726890"/>
    <w:pPr>
      <w:widowControl w:val="0"/>
      <w:spacing w:after="0" w:line="240" w:lineRule="auto"/>
      <w:ind w:left="8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726890"/>
    <w:rPr>
      <w:rFonts w:ascii="Times New Roman" w:hAnsi="Times New Roman" w:cs="Times New Roman"/>
      <w:sz w:val="24"/>
      <w:szCs w:val="24"/>
    </w:rPr>
  </w:style>
  <w:style w:type="paragraph" w:styleId="ListParagraph">
    <w:name w:val="List Paragraph"/>
    <w:basedOn w:val="Normal"/>
    <w:uiPriority w:val="34"/>
    <w:qFormat/>
    <w:rsid w:val="00726890"/>
    <w:pPr>
      <w:widowControl w:val="0"/>
      <w:spacing w:after="0" w:line="240" w:lineRule="auto"/>
    </w:pPr>
  </w:style>
  <w:style w:type="paragraph" w:customStyle="1" w:styleId="TableParagraph">
    <w:name w:val="Table Paragraph"/>
    <w:basedOn w:val="Normal"/>
    <w:uiPriority w:val="99"/>
    <w:rsid w:val="00726890"/>
    <w:pPr>
      <w:widowControl w:val="0"/>
      <w:spacing w:after="0" w:line="240" w:lineRule="auto"/>
    </w:pPr>
  </w:style>
  <w:style w:type="paragraph" w:styleId="BalloonText">
    <w:name w:val="Balloon Text"/>
    <w:basedOn w:val="Normal"/>
    <w:link w:val="BalloonTextChar"/>
    <w:uiPriority w:val="99"/>
    <w:semiHidden/>
    <w:rsid w:val="00726890"/>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6890"/>
    <w:rPr>
      <w:rFonts w:ascii="Tahoma" w:hAnsi="Tahoma" w:cs="Tahoma"/>
      <w:sz w:val="16"/>
      <w:szCs w:val="16"/>
    </w:rPr>
  </w:style>
  <w:style w:type="character" w:styleId="CommentReference">
    <w:name w:val="annotation reference"/>
    <w:basedOn w:val="DefaultParagraphFont"/>
    <w:uiPriority w:val="99"/>
    <w:semiHidden/>
    <w:rsid w:val="00726890"/>
    <w:rPr>
      <w:sz w:val="16"/>
      <w:szCs w:val="16"/>
    </w:rPr>
  </w:style>
  <w:style w:type="paragraph" w:styleId="CommentText">
    <w:name w:val="annotation text"/>
    <w:basedOn w:val="Normal"/>
    <w:link w:val="CommentTextChar"/>
    <w:uiPriority w:val="99"/>
    <w:semiHidden/>
    <w:rsid w:val="00726890"/>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locked/>
    <w:rsid w:val="00726890"/>
    <w:rPr>
      <w:sz w:val="20"/>
      <w:szCs w:val="20"/>
    </w:rPr>
  </w:style>
  <w:style w:type="paragraph" w:styleId="CommentSubject">
    <w:name w:val="annotation subject"/>
    <w:basedOn w:val="CommentText"/>
    <w:next w:val="CommentText"/>
    <w:link w:val="CommentSubjectChar"/>
    <w:uiPriority w:val="99"/>
    <w:semiHidden/>
    <w:rsid w:val="00726890"/>
    <w:rPr>
      <w:b/>
      <w:bCs/>
    </w:rPr>
  </w:style>
  <w:style w:type="character" w:customStyle="1" w:styleId="CommentSubjectChar">
    <w:name w:val="Comment Subject Char"/>
    <w:basedOn w:val="CommentTextChar"/>
    <w:link w:val="CommentSubject"/>
    <w:uiPriority w:val="99"/>
    <w:semiHidden/>
    <w:locked/>
    <w:rsid w:val="00726890"/>
    <w:rPr>
      <w:b/>
      <w:bCs/>
      <w:sz w:val="20"/>
      <w:szCs w:val="20"/>
    </w:rPr>
  </w:style>
  <w:style w:type="paragraph" w:styleId="FootnoteText">
    <w:name w:val="footnote text"/>
    <w:aliases w:val="5_G,Char,FA Fu,Thesis Footnote Text,Footnote Text Char Char,Footnote Text Char1 Char Char,Footnote Text Char Char Char Char,Footnote Text Char Char1,Footnote Text Char Char1 Char Char, Char"/>
    <w:basedOn w:val="Normal"/>
    <w:link w:val="FootnoteTextChar"/>
    <w:uiPriority w:val="99"/>
    <w:rsid w:val="00726890"/>
    <w:pPr>
      <w:widowControl w:val="0"/>
      <w:spacing w:after="0" w:line="240" w:lineRule="auto"/>
    </w:pPr>
    <w:rPr>
      <w:sz w:val="20"/>
      <w:szCs w:val="20"/>
    </w:rPr>
  </w:style>
  <w:style w:type="character" w:customStyle="1" w:styleId="FootnoteTextChar">
    <w:name w:val="Footnote Text Char"/>
    <w:aliases w:val="5_G Char,Char Char,FA Fu Char,Thesis Footnote Text Char,Footnote Text Char Char Char,Footnote Text Char1 Char Char Char,Footnote Text Char Char Char Char Char,Footnote Text Char Char1 Char,Footnote Text Char Char1 Char Char Char"/>
    <w:basedOn w:val="DefaultParagraphFont"/>
    <w:link w:val="FootnoteText"/>
    <w:uiPriority w:val="99"/>
    <w:locked/>
    <w:rsid w:val="00726890"/>
    <w:rPr>
      <w:sz w:val="20"/>
      <w:szCs w:val="20"/>
    </w:rPr>
  </w:style>
  <w:style w:type="character" w:styleId="FootnoteReference">
    <w:name w:val="footnote reference"/>
    <w:aliases w:val="4_G,Footnotes refss,Footnote Reference Superscript,BVI fnr,Footnote symbol,Footnote reference number,note TESI,Appel note de bas de p,Nota,SUPERS,Footnote number,EN Footnote Reference,-E Fußnotenzeichen,number Char Char,number,Ref"/>
    <w:basedOn w:val="DefaultParagraphFont"/>
    <w:uiPriority w:val="99"/>
    <w:qFormat/>
    <w:rsid w:val="00726890"/>
    <w:rPr>
      <w:vertAlign w:val="superscript"/>
    </w:rPr>
  </w:style>
  <w:style w:type="character" w:styleId="Hyperlink">
    <w:name w:val="Hyperlink"/>
    <w:basedOn w:val="DefaultParagraphFont"/>
    <w:uiPriority w:val="99"/>
    <w:rsid w:val="00863A2B"/>
    <w:rPr>
      <w:color w:val="0000FF"/>
      <w:u w:val="single"/>
    </w:rPr>
  </w:style>
  <w:style w:type="paragraph" w:styleId="Header">
    <w:name w:val="header"/>
    <w:basedOn w:val="Normal"/>
    <w:link w:val="HeaderChar"/>
    <w:uiPriority w:val="99"/>
    <w:rsid w:val="0049521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5214"/>
  </w:style>
  <w:style w:type="paragraph" w:styleId="Footer">
    <w:name w:val="footer"/>
    <w:basedOn w:val="Normal"/>
    <w:link w:val="FooterChar"/>
    <w:uiPriority w:val="99"/>
    <w:rsid w:val="0049521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5214"/>
  </w:style>
  <w:style w:type="paragraph" w:styleId="NormalWeb">
    <w:name w:val="Normal (Web)"/>
    <w:basedOn w:val="Normal"/>
    <w:uiPriority w:val="99"/>
    <w:semiHidden/>
    <w:rsid w:val="005870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rsid w:val="00F17D18"/>
    <w:rPr>
      <w:color w:val="800080"/>
      <w:u w:val="single"/>
    </w:rPr>
  </w:style>
  <w:style w:type="character" w:customStyle="1" w:styleId="s6b621b36">
    <w:name w:val="s6b621b36"/>
    <w:basedOn w:val="DefaultParagraphFont"/>
    <w:rsid w:val="00410834"/>
  </w:style>
  <w:style w:type="character" w:customStyle="1" w:styleId="s7d2086b4">
    <w:name w:val="s7d2086b4"/>
    <w:basedOn w:val="DefaultParagraphFont"/>
    <w:uiPriority w:val="99"/>
    <w:rsid w:val="00410834"/>
  </w:style>
  <w:style w:type="paragraph" w:customStyle="1" w:styleId="s32b251d">
    <w:name w:val="s32b251d"/>
    <w:basedOn w:val="Normal"/>
    <w:uiPriority w:val="99"/>
    <w:rsid w:val="004108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b8d990e2">
    <w:name w:val="sb8d990e2"/>
    <w:basedOn w:val="DefaultParagraphFont"/>
    <w:rsid w:val="00D41E9C"/>
  </w:style>
  <w:style w:type="paragraph" w:customStyle="1" w:styleId="s9e9b0cd7">
    <w:name w:val="s9e9b0cd7"/>
    <w:basedOn w:val="Normal"/>
    <w:uiPriority w:val="99"/>
    <w:rsid w:val="00D41E9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fbbfee58">
    <w:name w:val="sfbbfee58"/>
    <w:basedOn w:val="DefaultParagraphFont"/>
    <w:uiPriority w:val="99"/>
    <w:rsid w:val="00D41E9C"/>
  </w:style>
  <w:style w:type="paragraph" w:customStyle="1" w:styleId="SingleTxtG">
    <w:name w:val="_ Single Txt_G"/>
    <w:basedOn w:val="Normal"/>
    <w:rsid w:val="00D41E9C"/>
    <w:pPr>
      <w:suppressAutoHyphens/>
      <w:spacing w:after="120" w:line="240" w:lineRule="atLeast"/>
      <w:ind w:left="1134" w:right="1134"/>
      <w:jc w:val="both"/>
    </w:pPr>
    <w:rPr>
      <w:rFonts w:ascii="Times New Roman" w:eastAsia="PMingLiU" w:hAnsi="Times New Roman" w:cs="Times New Roman"/>
      <w:sz w:val="20"/>
      <w:szCs w:val="20"/>
      <w:lang w:val="en-GB"/>
    </w:rPr>
  </w:style>
  <w:style w:type="paragraph" w:customStyle="1" w:styleId="Pa5">
    <w:name w:val="Pa5"/>
    <w:basedOn w:val="Normal"/>
    <w:next w:val="Normal"/>
    <w:uiPriority w:val="99"/>
    <w:rsid w:val="00A16821"/>
    <w:pPr>
      <w:autoSpaceDE w:val="0"/>
      <w:autoSpaceDN w:val="0"/>
      <w:adjustRightInd w:val="0"/>
      <w:spacing w:after="0" w:line="191" w:lineRule="atLeast"/>
    </w:pPr>
    <w:rPr>
      <w:rFonts w:ascii="PF Centro Serif Pro" w:hAnsi="PF Centro Serif Pro" w:cs="PF Centro Serif Pro"/>
      <w:sz w:val="24"/>
      <w:szCs w:val="24"/>
      <w:lang w:val="en-GB"/>
    </w:rPr>
  </w:style>
  <w:style w:type="character" w:customStyle="1" w:styleId="A10">
    <w:name w:val="A10"/>
    <w:uiPriority w:val="99"/>
    <w:rsid w:val="00DF23FC"/>
    <w:rPr>
      <w:color w:val="000000"/>
      <w:sz w:val="11"/>
      <w:szCs w:val="11"/>
    </w:rPr>
  </w:style>
  <w:style w:type="paragraph" w:customStyle="1" w:styleId="Pa14">
    <w:name w:val="Pa14"/>
    <w:basedOn w:val="Normal"/>
    <w:next w:val="Normal"/>
    <w:uiPriority w:val="99"/>
    <w:rsid w:val="00DF23FC"/>
    <w:pPr>
      <w:autoSpaceDE w:val="0"/>
      <w:autoSpaceDN w:val="0"/>
      <w:adjustRightInd w:val="0"/>
      <w:spacing w:after="0" w:line="191" w:lineRule="atLeast"/>
    </w:pPr>
    <w:rPr>
      <w:rFonts w:ascii="PF Centro Serif Pro" w:hAnsi="PF Centro Serif Pro" w:cs="PF Centro Serif Pro"/>
      <w:sz w:val="24"/>
      <w:szCs w:val="24"/>
      <w:lang w:val="en-GB"/>
    </w:rPr>
  </w:style>
  <w:style w:type="paragraph" w:customStyle="1" w:styleId="Pa10">
    <w:name w:val="Pa10"/>
    <w:basedOn w:val="Normal"/>
    <w:next w:val="Normal"/>
    <w:uiPriority w:val="99"/>
    <w:rsid w:val="00DF23FC"/>
    <w:pPr>
      <w:autoSpaceDE w:val="0"/>
      <w:autoSpaceDN w:val="0"/>
      <w:adjustRightInd w:val="0"/>
      <w:spacing w:after="0" w:line="156" w:lineRule="atLeast"/>
    </w:pPr>
    <w:rPr>
      <w:rFonts w:ascii="PF Centro Serif Pro" w:hAnsi="PF Centro Serif Pro" w:cs="PF Centro Serif Pro"/>
      <w:sz w:val="24"/>
      <w:szCs w:val="24"/>
      <w:lang w:val="en-GB"/>
    </w:rPr>
  </w:style>
  <w:style w:type="paragraph" w:customStyle="1" w:styleId="Pa12">
    <w:name w:val="Pa12"/>
    <w:basedOn w:val="Normal"/>
    <w:next w:val="Normal"/>
    <w:uiPriority w:val="99"/>
    <w:rsid w:val="00FD2D47"/>
    <w:pPr>
      <w:autoSpaceDE w:val="0"/>
      <w:autoSpaceDN w:val="0"/>
      <w:adjustRightInd w:val="0"/>
      <w:spacing w:after="0" w:line="191" w:lineRule="atLeast"/>
    </w:pPr>
    <w:rPr>
      <w:rFonts w:ascii="PF Centro Serif Pro Medium" w:hAnsi="PF Centro Serif Pro Medium" w:cs="PF Centro Serif Pro Medium"/>
      <w:sz w:val="24"/>
      <w:szCs w:val="24"/>
      <w:lang w:val="en-GB"/>
    </w:rPr>
  </w:style>
  <w:style w:type="paragraph" w:customStyle="1" w:styleId="gmail-msolistparagraph">
    <w:name w:val="gmail-msolistparagraph"/>
    <w:basedOn w:val="Normal"/>
    <w:uiPriority w:val="99"/>
    <w:rsid w:val="00281CF3"/>
    <w:pPr>
      <w:spacing w:before="100" w:beforeAutospacing="1" w:after="100" w:afterAutospacing="1" w:line="240" w:lineRule="auto"/>
    </w:pPr>
    <w:rPr>
      <w:sz w:val="24"/>
      <w:szCs w:val="24"/>
      <w:lang w:val="en-GB" w:eastAsia="en-GB"/>
    </w:rPr>
  </w:style>
  <w:style w:type="paragraph" w:customStyle="1" w:styleId="Default">
    <w:name w:val="Default"/>
    <w:rsid w:val="00361228"/>
    <w:pPr>
      <w:autoSpaceDE w:val="0"/>
      <w:autoSpaceDN w:val="0"/>
      <w:adjustRightInd w:val="0"/>
    </w:pPr>
    <w:rPr>
      <w:rFonts w:cs="Calibri"/>
      <w:color w:val="000000"/>
      <w:sz w:val="24"/>
      <w:szCs w:val="24"/>
      <w:lang w:val="en-GB" w:eastAsia="en-US"/>
    </w:rPr>
  </w:style>
  <w:style w:type="character" w:customStyle="1" w:styleId="apple-converted-space">
    <w:name w:val="apple-converted-space"/>
    <w:basedOn w:val="DefaultParagraphFont"/>
    <w:rsid w:val="000A742B"/>
  </w:style>
  <w:style w:type="paragraph" w:customStyle="1" w:styleId="s30eec3f8">
    <w:name w:val="s30eec3f8"/>
    <w:basedOn w:val="Normal"/>
    <w:rsid w:val="009A25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locked/>
    <w:rsid w:val="009A2573"/>
    <w:rPr>
      <w:i/>
      <w:iCs/>
    </w:rPr>
  </w:style>
  <w:style w:type="paragraph" w:styleId="EndnoteText">
    <w:name w:val="endnote text"/>
    <w:basedOn w:val="Normal"/>
    <w:link w:val="EndnoteTextChar"/>
    <w:uiPriority w:val="99"/>
    <w:semiHidden/>
    <w:unhideWhenUsed/>
    <w:rsid w:val="00163146"/>
    <w:pPr>
      <w:spacing w:after="0" w:line="240" w:lineRule="auto"/>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163146"/>
    <w:rPr>
      <w:rFonts w:asciiTheme="minorHAnsi" w:eastAsiaTheme="minorHAnsi" w:hAnsiTheme="minorHAnsi" w:cstheme="minorBidi"/>
      <w:sz w:val="20"/>
      <w:szCs w:val="20"/>
      <w:lang w:val="en-GB" w:eastAsia="en-US"/>
    </w:rPr>
  </w:style>
  <w:style w:type="character" w:styleId="EndnoteReference">
    <w:name w:val="endnote reference"/>
    <w:basedOn w:val="DefaultParagraphFont"/>
    <w:uiPriority w:val="99"/>
    <w:semiHidden/>
    <w:unhideWhenUsed/>
    <w:rsid w:val="00163146"/>
    <w:rPr>
      <w:vertAlign w:val="superscript"/>
    </w:rPr>
  </w:style>
  <w:style w:type="paragraph" w:styleId="ListBullet">
    <w:name w:val="List Bullet"/>
    <w:basedOn w:val="Normal"/>
    <w:uiPriority w:val="99"/>
    <w:unhideWhenUsed/>
    <w:rsid w:val="009373B6"/>
    <w:pPr>
      <w:numPr>
        <w:numId w:val="23"/>
      </w:numPr>
      <w:contextualSpacing/>
    </w:pPr>
  </w:style>
  <w:style w:type="paragraph" w:styleId="Revision">
    <w:name w:val="Revision"/>
    <w:hidden/>
    <w:uiPriority w:val="99"/>
    <w:semiHidden/>
    <w:rsid w:val="00C7586D"/>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8294">
      <w:bodyDiv w:val="1"/>
      <w:marLeft w:val="0"/>
      <w:marRight w:val="0"/>
      <w:marTop w:val="0"/>
      <w:marBottom w:val="0"/>
      <w:divBdr>
        <w:top w:val="none" w:sz="0" w:space="0" w:color="auto"/>
        <w:left w:val="none" w:sz="0" w:space="0" w:color="auto"/>
        <w:bottom w:val="none" w:sz="0" w:space="0" w:color="auto"/>
        <w:right w:val="none" w:sz="0" w:space="0" w:color="auto"/>
      </w:divBdr>
    </w:div>
    <w:div w:id="192622938">
      <w:bodyDiv w:val="1"/>
      <w:marLeft w:val="0"/>
      <w:marRight w:val="0"/>
      <w:marTop w:val="0"/>
      <w:marBottom w:val="0"/>
      <w:divBdr>
        <w:top w:val="none" w:sz="0" w:space="0" w:color="auto"/>
        <w:left w:val="none" w:sz="0" w:space="0" w:color="auto"/>
        <w:bottom w:val="none" w:sz="0" w:space="0" w:color="auto"/>
        <w:right w:val="none" w:sz="0" w:space="0" w:color="auto"/>
      </w:divBdr>
    </w:div>
    <w:div w:id="691034310">
      <w:bodyDiv w:val="1"/>
      <w:marLeft w:val="0"/>
      <w:marRight w:val="0"/>
      <w:marTop w:val="0"/>
      <w:marBottom w:val="0"/>
      <w:divBdr>
        <w:top w:val="none" w:sz="0" w:space="0" w:color="auto"/>
        <w:left w:val="none" w:sz="0" w:space="0" w:color="auto"/>
        <w:bottom w:val="none" w:sz="0" w:space="0" w:color="auto"/>
        <w:right w:val="none" w:sz="0" w:space="0" w:color="auto"/>
      </w:divBdr>
    </w:div>
    <w:div w:id="725645516">
      <w:bodyDiv w:val="1"/>
      <w:marLeft w:val="0"/>
      <w:marRight w:val="0"/>
      <w:marTop w:val="0"/>
      <w:marBottom w:val="0"/>
      <w:divBdr>
        <w:top w:val="none" w:sz="0" w:space="0" w:color="auto"/>
        <w:left w:val="none" w:sz="0" w:space="0" w:color="auto"/>
        <w:bottom w:val="none" w:sz="0" w:space="0" w:color="auto"/>
        <w:right w:val="none" w:sz="0" w:space="0" w:color="auto"/>
      </w:divBdr>
    </w:div>
    <w:div w:id="797145528">
      <w:bodyDiv w:val="1"/>
      <w:marLeft w:val="0"/>
      <w:marRight w:val="0"/>
      <w:marTop w:val="0"/>
      <w:marBottom w:val="0"/>
      <w:divBdr>
        <w:top w:val="none" w:sz="0" w:space="0" w:color="auto"/>
        <w:left w:val="none" w:sz="0" w:space="0" w:color="auto"/>
        <w:bottom w:val="none" w:sz="0" w:space="0" w:color="auto"/>
        <w:right w:val="none" w:sz="0" w:space="0" w:color="auto"/>
      </w:divBdr>
    </w:div>
    <w:div w:id="1187717316">
      <w:bodyDiv w:val="1"/>
      <w:marLeft w:val="0"/>
      <w:marRight w:val="0"/>
      <w:marTop w:val="0"/>
      <w:marBottom w:val="0"/>
      <w:divBdr>
        <w:top w:val="none" w:sz="0" w:space="0" w:color="auto"/>
        <w:left w:val="none" w:sz="0" w:space="0" w:color="auto"/>
        <w:bottom w:val="none" w:sz="0" w:space="0" w:color="auto"/>
        <w:right w:val="none" w:sz="0" w:space="0" w:color="auto"/>
      </w:divBdr>
    </w:div>
    <w:div w:id="1193034603">
      <w:bodyDiv w:val="1"/>
      <w:marLeft w:val="0"/>
      <w:marRight w:val="0"/>
      <w:marTop w:val="0"/>
      <w:marBottom w:val="0"/>
      <w:divBdr>
        <w:top w:val="none" w:sz="0" w:space="0" w:color="auto"/>
        <w:left w:val="none" w:sz="0" w:space="0" w:color="auto"/>
        <w:bottom w:val="none" w:sz="0" w:space="0" w:color="auto"/>
        <w:right w:val="none" w:sz="0" w:space="0" w:color="auto"/>
      </w:divBdr>
    </w:div>
    <w:div w:id="1428503402">
      <w:marLeft w:val="0"/>
      <w:marRight w:val="0"/>
      <w:marTop w:val="0"/>
      <w:marBottom w:val="0"/>
      <w:divBdr>
        <w:top w:val="none" w:sz="0" w:space="0" w:color="auto"/>
        <w:left w:val="none" w:sz="0" w:space="0" w:color="auto"/>
        <w:bottom w:val="none" w:sz="0" w:space="0" w:color="auto"/>
        <w:right w:val="none" w:sz="0" w:space="0" w:color="auto"/>
      </w:divBdr>
    </w:div>
    <w:div w:id="1428503406">
      <w:marLeft w:val="0"/>
      <w:marRight w:val="0"/>
      <w:marTop w:val="0"/>
      <w:marBottom w:val="0"/>
      <w:divBdr>
        <w:top w:val="none" w:sz="0" w:space="0" w:color="auto"/>
        <w:left w:val="none" w:sz="0" w:space="0" w:color="auto"/>
        <w:bottom w:val="none" w:sz="0" w:space="0" w:color="auto"/>
        <w:right w:val="none" w:sz="0" w:space="0" w:color="auto"/>
      </w:divBdr>
      <w:divsChild>
        <w:div w:id="1428503404">
          <w:marLeft w:val="0"/>
          <w:marRight w:val="0"/>
          <w:marTop w:val="0"/>
          <w:marBottom w:val="0"/>
          <w:divBdr>
            <w:top w:val="none" w:sz="0" w:space="0" w:color="auto"/>
            <w:left w:val="none" w:sz="0" w:space="0" w:color="auto"/>
            <w:bottom w:val="none" w:sz="0" w:space="0" w:color="auto"/>
            <w:right w:val="none" w:sz="0" w:space="0" w:color="auto"/>
          </w:divBdr>
          <w:divsChild>
            <w:div w:id="14285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3409">
      <w:marLeft w:val="0"/>
      <w:marRight w:val="0"/>
      <w:marTop w:val="0"/>
      <w:marBottom w:val="0"/>
      <w:divBdr>
        <w:top w:val="none" w:sz="0" w:space="0" w:color="auto"/>
        <w:left w:val="none" w:sz="0" w:space="0" w:color="auto"/>
        <w:bottom w:val="none" w:sz="0" w:space="0" w:color="auto"/>
        <w:right w:val="none" w:sz="0" w:space="0" w:color="auto"/>
      </w:divBdr>
      <w:divsChild>
        <w:div w:id="1428503408">
          <w:marLeft w:val="0"/>
          <w:marRight w:val="0"/>
          <w:marTop w:val="0"/>
          <w:marBottom w:val="0"/>
          <w:divBdr>
            <w:top w:val="none" w:sz="0" w:space="0" w:color="auto"/>
            <w:left w:val="none" w:sz="0" w:space="0" w:color="auto"/>
            <w:bottom w:val="none" w:sz="0" w:space="0" w:color="auto"/>
            <w:right w:val="none" w:sz="0" w:space="0" w:color="auto"/>
          </w:divBdr>
          <w:divsChild>
            <w:div w:id="1428503407">
              <w:marLeft w:val="0"/>
              <w:marRight w:val="0"/>
              <w:marTop w:val="0"/>
              <w:marBottom w:val="0"/>
              <w:divBdr>
                <w:top w:val="none" w:sz="0" w:space="0" w:color="auto"/>
                <w:left w:val="none" w:sz="0" w:space="0" w:color="auto"/>
                <w:bottom w:val="none" w:sz="0" w:space="0" w:color="auto"/>
                <w:right w:val="none" w:sz="0" w:space="0" w:color="auto"/>
              </w:divBdr>
              <w:divsChild>
                <w:div w:id="1428503405">
                  <w:marLeft w:val="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right2info.org/laws/constitutional-provisions-laws-and-regulations" TargetMode="External"/><Relationship Id="rId7" Type="http://schemas.openxmlformats.org/officeDocument/2006/relationships/hyperlink" Target="http://www.hfhr.pl/en/constitutional-tribunal-amendments-to-assemblies-act-constitutional-despite-all-objections/" TargetMode="External"/><Relationship Id="rId2" Type="http://schemas.openxmlformats.org/officeDocument/2006/relationships/hyperlink" Target="http://www.rti-rating.org/country-data" TargetMode="External"/><Relationship Id="rId1" Type="http://schemas.openxmlformats.org/officeDocument/2006/relationships/hyperlink" Target="https://www.right2info.org/resources/publications/principles-and-guidelines-on-protest-and-the-right-to-information/view" TargetMode="External"/><Relationship Id="rId6" Type="http://schemas.openxmlformats.org/officeDocument/2006/relationships/hyperlink" Target="https://hudoc.echr.coe.int/eng" TargetMode="External"/><Relationship Id="rId5" Type="http://schemas.openxmlformats.org/officeDocument/2006/relationships/hyperlink" Target="https://csrcl.huji.ac.il/people/line-surveillance-case-law-un-human-rights-committee" TargetMode="External"/><Relationship Id="rId4" Type="http://schemas.openxmlformats.org/officeDocument/2006/relationships/hyperlink" Target="http://undocs.org/E/CN.4/2005/102/Ad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9EB406-7E02-42DD-A107-8F8D3C34724F}">
  <ds:schemaRefs>
    <ds:schemaRef ds:uri="http://schemas.openxmlformats.org/officeDocument/2006/bibliography"/>
  </ds:schemaRefs>
</ds:datastoreItem>
</file>

<file path=customXml/itemProps2.xml><?xml version="1.0" encoding="utf-8"?>
<ds:datastoreItem xmlns:ds="http://schemas.openxmlformats.org/officeDocument/2006/customXml" ds:itemID="{C0DA4219-6EC4-4532-8242-222C5B51BF14}"/>
</file>

<file path=customXml/itemProps3.xml><?xml version="1.0" encoding="utf-8"?>
<ds:datastoreItem xmlns:ds="http://schemas.openxmlformats.org/officeDocument/2006/customXml" ds:itemID="{D6A8B379-7E93-4B5C-A9DB-CF436B0E7F09}"/>
</file>

<file path=customXml/itemProps4.xml><?xml version="1.0" encoding="utf-8"?>
<ds:datastoreItem xmlns:ds="http://schemas.openxmlformats.org/officeDocument/2006/customXml" ds:itemID="{C6FAEF48-6009-46E6-8A19-22E7371E0F66}"/>
</file>

<file path=docProps/app.xml><?xml version="1.0" encoding="utf-8"?>
<Properties xmlns="http://schemas.openxmlformats.org/officeDocument/2006/extended-properties" xmlns:vt="http://schemas.openxmlformats.org/officeDocument/2006/docPropsVTypes">
  <Template>Normal.dotm</Template>
  <TotalTime>6</TotalTime>
  <Pages>18</Pages>
  <Words>6861</Words>
  <Characters>39109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BEST PRACTICE GUIDELINES ON CATEGORIES OF INFORMATION THAT THE POLICE, PROSECUTING AUTHORITIES, AND OVERSIGHT BODIES SHOULD COLLECT OR GENERATE, AND MAKE AVAILABLE TO THE PUBLIC, CONCERNING THEIR HANDLING OF PROTESTS</vt:lpstr>
    </vt:vector>
  </TitlesOfParts>
  <Company>OSF</Company>
  <LinksUpToDate>false</LinksUpToDate>
  <CharactersWithSpaces>45879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OpenSocietyJusticeInitiative_and_CAJ</dc:title>
  <dc:creator>Sandra Coliver</dc:creator>
  <cp:lastModifiedBy>Sandra Coliver</cp:lastModifiedBy>
  <cp:revision>3</cp:revision>
  <cp:lastPrinted>2019-03-04T14:57:00Z</cp:lastPrinted>
  <dcterms:created xsi:type="dcterms:W3CDTF">2019-03-04T14:56:00Z</dcterms:created>
  <dcterms:modified xsi:type="dcterms:W3CDTF">2019-03-04T15:01:00Z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