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E45E6" w14:textId="77777777" w:rsidR="00D775AE" w:rsidRPr="00B81F8E" w:rsidRDefault="00D775AE" w:rsidP="007F5B1F">
      <w:pPr>
        <w:pBdr>
          <w:top w:val="nil"/>
          <w:left w:val="nil"/>
          <w:bottom w:val="nil"/>
          <w:right w:val="nil"/>
          <w:between w:val="nil"/>
          <w:bar w:val="nil"/>
        </w:pBdr>
        <w:jc w:val="center"/>
        <w:rPr>
          <w:rFonts w:eastAsia="Arial Unicode MS" w:cs="Times New Roman"/>
          <w:b/>
          <w:bCs/>
          <w:color w:val="000000"/>
          <w:sz w:val="28"/>
          <w:u w:color="000000"/>
          <w:bdr w:val="nil"/>
        </w:rPr>
      </w:pPr>
      <w:r w:rsidRPr="00B81F8E">
        <w:rPr>
          <w:rFonts w:eastAsia="Arial Unicode MS" w:cs="Times New Roman"/>
          <w:b/>
          <w:bCs/>
          <w:noProof/>
          <w:color w:val="000000"/>
          <w:sz w:val="28"/>
          <w:u w:color="000000"/>
          <w:bdr w:val="nil"/>
        </w:rPr>
        <w:drawing>
          <wp:inline distT="0" distB="0" distL="0" distR="0" wp14:anchorId="423640D5" wp14:editId="3661F961">
            <wp:extent cx="3486150" cy="2930835"/>
            <wp:effectExtent l="19050" t="0" r="0" b="0"/>
            <wp:docPr id="3" name="Picture 1" descr="C:\Users\cbordewich\Desktop\Useful reference documents\Carter Center Logo - No 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bordewich\Desktop\Useful reference documents\Carter Center Logo - No Tag.jpg"/>
                    <pic:cNvPicPr>
                      <a:picLocks noChangeAspect="1" noChangeArrowheads="1"/>
                    </pic:cNvPicPr>
                  </pic:nvPicPr>
                  <pic:blipFill>
                    <a:blip r:embed="rId12" cstate="print"/>
                    <a:srcRect/>
                    <a:stretch>
                      <a:fillRect/>
                    </a:stretch>
                  </pic:blipFill>
                  <pic:spPr bwMode="auto">
                    <a:xfrm>
                      <a:off x="0" y="0"/>
                      <a:ext cx="3487540" cy="2932004"/>
                    </a:xfrm>
                    <a:prstGeom prst="rect">
                      <a:avLst/>
                    </a:prstGeom>
                    <a:noFill/>
                    <a:ln w="9525">
                      <a:noFill/>
                      <a:miter lim="800000"/>
                      <a:headEnd/>
                      <a:tailEnd/>
                    </a:ln>
                  </pic:spPr>
                </pic:pic>
              </a:graphicData>
            </a:graphic>
          </wp:inline>
        </w:drawing>
      </w:r>
    </w:p>
    <w:p w14:paraId="7D0C81A3" w14:textId="77777777" w:rsidR="00D775AE" w:rsidRPr="00B81F8E" w:rsidRDefault="00D775AE" w:rsidP="007F5B1F">
      <w:pPr>
        <w:pBdr>
          <w:top w:val="nil"/>
          <w:left w:val="nil"/>
          <w:bottom w:val="nil"/>
          <w:right w:val="nil"/>
          <w:between w:val="nil"/>
          <w:bar w:val="nil"/>
        </w:pBdr>
        <w:rPr>
          <w:rFonts w:eastAsia="Arial Unicode MS" w:cs="Times New Roman"/>
          <w:b/>
          <w:bCs/>
          <w:color w:val="000000"/>
          <w:sz w:val="28"/>
          <w:u w:color="000000"/>
          <w:bdr w:val="nil"/>
        </w:rPr>
      </w:pPr>
    </w:p>
    <w:p w14:paraId="63D6386F" w14:textId="77777777" w:rsidR="00D775AE" w:rsidRPr="007F5B1F" w:rsidRDefault="00D775AE" w:rsidP="007F5B1F">
      <w:pPr>
        <w:pBdr>
          <w:top w:val="nil"/>
          <w:left w:val="nil"/>
          <w:bottom w:val="nil"/>
          <w:right w:val="nil"/>
          <w:between w:val="nil"/>
          <w:bar w:val="nil"/>
        </w:pBdr>
        <w:jc w:val="center"/>
        <w:rPr>
          <w:rFonts w:ascii="Times New Roman" w:eastAsia="Arial Unicode MS" w:hAnsi="Times New Roman" w:cs="Times New Roman"/>
          <w:b/>
          <w:bCs/>
          <w:sz w:val="28"/>
          <w:bdr w:val="nil"/>
        </w:rPr>
      </w:pPr>
      <w:r w:rsidRPr="007F5B1F">
        <w:rPr>
          <w:rFonts w:ascii="Times New Roman" w:eastAsia="Arial Unicode MS" w:hAnsi="Times New Roman" w:cs="Times New Roman"/>
          <w:b/>
          <w:bCs/>
          <w:sz w:val="28"/>
          <w:bdr w:val="nil"/>
        </w:rPr>
        <w:t>Submission to the Human Rights Committee</w:t>
      </w:r>
    </w:p>
    <w:p w14:paraId="2C3FDBA8" w14:textId="77777777" w:rsidR="00D775AE" w:rsidRPr="007F5B1F" w:rsidRDefault="00D775AE" w:rsidP="007F5B1F">
      <w:pPr>
        <w:pBdr>
          <w:top w:val="nil"/>
          <w:left w:val="nil"/>
          <w:bottom w:val="nil"/>
          <w:right w:val="nil"/>
          <w:between w:val="nil"/>
          <w:bar w:val="nil"/>
        </w:pBdr>
        <w:jc w:val="center"/>
        <w:rPr>
          <w:rFonts w:ascii="Times New Roman" w:eastAsia="Arial Unicode MS" w:hAnsi="Times New Roman" w:cs="Times New Roman"/>
          <w:b/>
          <w:bCs/>
          <w:sz w:val="28"/>
          <w:bdr w:val="nil"/>
        </w:rPr>
      </w:pPr>
      <w:r w:rsidRPr="007F5B1F">
        <w:rPr>
          <w:rFonts w:ascii="Times New Roman" w:eastAsia="Arial Unicode MS" w:hAnsi="Times New Roman" w:cs="Times New Roman"/>
          <w:b/>
          <w:bCs/>
          <w:sz w:val="28"/>
          <w:bdr w:val="nil"/>
        </w:rPr>
        <w:t xml:space="preserve">For the </w:t>
      </w:r>
    </w:p>
    <w:p w14:paraId="28DA9400" w14:textId="77777777" w:rsidR="00D775AE" w:rsidRPr="007F5B1F" w:rsidRDefault="00D775AE" w:rsidP="007F5B1F">
      <w:pPr>
        <w:pBdr>
          <w:top w:val="nil"/>
          <w:left w:val="nil"/>
          <w:bottom w:val="nil"/>
          <w:right w:val="nil"/>
          <w:between w:val="nil"/>
          <w:bar w:val="nil"/>
        </w:pBdr>
        <w:jc w:val="center"/>
        <w:rPr>
          <w:rFonts w:ascii="Times New Roman" w:eastAsia="Arial Unicode MS" w:hAnsi="Times New Roman" w:cs="Times New Roman"/>
          <w:b/>
          <w:bCs/>
          <w:sz w:val="28"/>
          <w:bdr w:val="nil"/>
        </w:rPr>
      </w:pPr>
      <w:r w:rsidRPr="007F5B1F">
        <w:rPr>
          <w:rFonts w:ascii="Times New Roman" w:eastAsia="Arial Unicode MS" w:hAnsi="Times New Roman" w:cs="Times New Roman"/>
          <w:b/>
          <w:bCs/>
          <w:sz w:val="28"/>
          <w:bdr w:val="nil"/>
        </w:rPr>
        <w:t>Half Day General Discussion on Article 21</w:t>
      </w:r>
    </w:p>
    <w:p w14:paraId="646C80EA" w14:textId="77777777" w:rsidR="00D775AE" w:rsidRPr="007F5B1F" w:rsidRDefault="00D775AE" w:rsidP="007F5B1F">
      <w:pPr>
        <w:pBdr>
          <w:top w:val="nil"/>
          <w:left w:val="nil"/>
          <w:bottom w:val="nil"/>
          <w:right w:val="nil"/>
          <w:between w:val="nil"/>
          <w:bar w:val="nil"/>
        </w:pBdr>
        <w:jc w:val="center"/>
        <w:rPr>
          <w:rFonts w:ascii="Times New Roman" w:eastAsia="Arial Unicode MS" w:hAnsi="Times New Roman" w:cs="Times New Roman"/>
          <w:b/>
          <w:bCs/>
          <w:sz w:val="28"/>
          <w:bdr w:val="nil"/>
        </w:rPr>
      </w:pPr>
    </w:p>
    <w:p w14:paraId="319A84B3" w14:textId="77777777" w:rsidR="00D775AE" w:rsidRPr="007F5B1F" w:rsidRDefault="00D775AE" w:rsidP="007F5B1F">
      <w:pPr>
        <w:pBdr>
          <w:top w:val="nil"/>
          <w:left w:val="nil"/>
          <w:bottom w:val="nil"/>
          <w:right w:val="nil"/>
          <w:between w:val="nil"/>
          <w:bar w:val="nil"/>
        </w:pBdr>
        <w:jc w:val="center"/>
        <w:rPr>
          <w:rFonts w:ascii="Times New Roman" w:eastAsia="Arial Unicode MS" w:hAnsi="Times New Roman" w:cs="Times New Roman"/>
          <w:b/>
          <w:bCs/>
          <w:sz w:val="28"/>
          <w:bdr w:val="nil"/>
        </w:rPr>
      </w:pPr>
      <w:r w:rsidRPr="007F5B1F">
        <w:rPr>
          <w:rFonts w:ascii="Times New Roman" w:eastAsia="Arial Unicode MS" w:hAnsi="Times New Roman" w:cs="Times New Roman"/>
          <w:b/>
          <w:bCs/>
          <w:sz w:val="28"/>
          <w:bdr w:val="nil"/>
        </w:rPr>
        <w:t>March 2019</w:t>
      </w:r>
    </w:p>
    <w:p w14:paraId="0FE18BE4" w14:textId="77777777" w:rsidR="00D775AE" w:rsidRPr="007F5B1F" w:rsidRDefault="00D775AE" w:rsidP="007F5B1F">
      <w:pPr>
        <w:pBdr>
          <w:top w:val="nil"/>
          <w:left w:val="nil"/>
          <w:bottom w:val="nil"/>
          <w:right w:val="nil"/>
          <w:between w:val="nil"/>
          <w:bar w:val="nil"/>
        </w:pBdr>
        <w:jc w:val="center"/>
        <w:rPr>
          <w:rFonts w:ascii="Times New Roman" w:eastAsia="Arial Unicode MS" w:hAnsi="Times New Roman" w:cs="Times New Roman"/>
          <w:b/>
          <w:bCs/>
          <w:sz w:val="28"/>
          <w:bdr w:val="nil"/>
        </w:rPr>
      </w:pPr>
    </w:p>
    <w:p w14:paraId="5AC05A88" w14:textId="77777777" w:rsidR="00D775AE" w:rsidRPr="007F5B1F" w:rsidRDefault="00D775AE" w:rsidP="007F5B1F">
      <w:pPr>
        <w:pBdr>
          <w:top w:val="nil"/>
          <w:left w:val="nil"/>
          <w:bottom w:val="nil"/>
          <w:right w:val="nil"/>
          <w:between w:val="nil"/>
          <w:bar w:val="nil"/>
        </w:pBdr>
        <w:jc w:val="center"/>
        <w:rPr>
          <w:rFonts w:ascii="Times New Roman" w:eastAsia="Arial Unicode MS" w:hAnsi="Times New Roman" w:cs="Times New Roman"/>
          <w:b/>
          <w:bCs/>
          <w:sz w:val="28"/>
          <w:bdr w:val="nil"/>
        </w:rPr>
      </w:pPr>
    </w:p>
    <w:p w14:paraId="205DEFCC" w14:textId="77777777" w:rsidR="00D775AE" w:rsidRPr="007F5B1F" w:rsidRDefault="00D775AE" w:rsidP="007F5B1F">
      <w:pPr>
        <w:pBdr>
          <w:top w:val="nil"/>
          <w:left w:val="nil"/>
          <w:bottom w:val="nil"/>
          <w:right w:val="nil"/>
          <w:between w:val="nil"/>
          <w:bar w:val="nil"/>
        </w:pBdr>
        <w:rPr>
          <w:rFonts w:ascii="Times New Roman" w:eastAsia="Arial Unicode MS" w:hAnsi="Times New Roman" w:cs="Times New Roman"/>
          <w:b/>
          <w:bCs/>
          <w:sz w:val="28"/>
          <w:bdr w:val="nil"/>
        </w:rPr>
      </w:pPr>
    </w:p>
    <w:p w14:paraId="4EC51729" w14:textId="77777777" w:rsidR="00D775AE" w:rsidRPr="007F5B1F" w:rsidRDefault="00D775AE" w:rsidP="007F5B1F">
      <w:pPr>
        <w:pBdr>
          <w:top w:val="nil"/>
          <w:left w:val="nil"/>
          <w:bottom w:val="nil"/>
          <w:right w:val="nil"/>
          <w:between w:val="nil"/>
          <w:bar w:val="nil"/>
        </w:pBdr>
        <w:rPr>
          <w:rFonts w:ascii="Times New Roman" w:eastAsia="Arial Unicode MS" w:hAnsi="Times New Roman" w:cs="Times New Roman"/>
          <w:b/>
          <w:bCs/>
          <w:sz w:val="28"/>
          <w:bdr w:val="nil"/>
        </w:rPr>
      </w:pPr>
    </w:p>
    <w:p w14:paraId="7A16669E" w14:textId="3CF233EA" w:rsidR="00D775AE" w:rsidRPr="007F5B1F" w:rsidRDefault="00D775AE" w:rsidP="007F5B1F">
      <w:pPr>
        <w:pBdr>
          <w:top w:val="nil"/>
          <w:left w:val="nil"/>
          <w:bottom w:val="nil"/>
          <w:right w:val="nil"/>
          <w:between w:val="nil"/>
          <w:bar w:val="nil"/>
        </w:pBdr>
        <w:rPr>
          <w:rFonts w:ascii="Times New Roman" w:eastAsia="Arial Unicode MS" w:hAnsi="Times New Roman" w:cs="Times New Roman"/>
          <w:b/>
          <w:bCs/>
          <w:bdr w:val="nil"/>
        </w:rPr>
      </w:pPr>
      <w:r w:rsidRPr="007F5B1F">
        <w:rPr>
          <w:rFonts w:ascii="Times New Roman" w:eastAsia="Arial Unicode MS" w:hAnsi="Times New Roman" w:cs="Times New Roman"/>
          <w:b/>
          <w:bCs/>
          <w:bdr w:val="nil"/>
        </w:rPr>
        <w:t xml:space="preserve">Submitted by: </w:t>
      </w:r>
      <w:r w:rsidR="004729E8">
        <w:rPr>
          <w:rFonts w:ascii="Times New Roman" w:eastAsia="Arial Unicode MS" w:hAnsi="Times New Roman" w:cs="Times New Roman"/>
          <w:b/>
          <w:bCs/>
          <w:bdr w:val="nil"/>
        </w:rPr>
        <w:tab/>
      </w:r>
      <w:r w:rsidRPr="007F5B1F">
        <w:rPr>
          <w:rFonts w:ascii="Times New Roman" w:eastAsia="Arial Unicode MS" w:hAnsi="Times New Roman" w:cs="Times New Roman"/>
          <w:b/>
          <w:bCs/>
          <w:bdr w:val="nil"/>
        </w:rPr>
        <w:t>The Carter Center</w:t>
      </w:r>
    </w:p>
    <w:p w14:paraId="486BBCB9" w14:textId="0630188C" w:rsidR="00D775AE" w:rsidRDefault="00D775AE" w:rsidP="007F5B1F">
      <w:pPr>
        <w:pBdr>
          <w:top w:val="nil"/>
          <w:left w:val="nil"/>
          <w:bottom w:val="nil"/>
          <w:right w:val="nil"/>
          <w:between w:val="nil"/>
          <w:bar w:val="nil"/>
        </w:pBdr>
        <w:rPr>
          <w:rFonts w:ascii="Times New Roman" w:eastAsia="Arial Unicode MS" w:hAnsi="Times New Roman" w:cs="Times New Roman"/>
          <w:b/>
          <w:bCs/>
          <w:bdr w:val="nil"/>
        </w:rPr>
      </w:pPr>
      <w:r w:rsidRPr="007F5B1F">
        <w:rPr>
          <w:rFonts w:ascii="Times New Roman" w:eastAsia="Arial Unicode MS" w:hAnsi="Times New Roman" w:cs="Times New Roman"/>
          <w:b/>
          <w:bCs/>
          <w:bdr w:val="nil"/>
        </w:rPr>
        <w:t>Contact name</w:t>
      </w:r>
      <w:r w:rsidR="003F5A21">
        <w:rPr>
          <w:rFonts w:ascii="Times New Roman" w:eastAsia="Arial Unicode MS" w:hAnsi="Times New Roman" w:cs="Times New Roman"/>
          <w:b/>
          <w:bCs/>
          <w:bdr w:val="nil"/>
        </w:rPr>
        <w:t>s</w:t>
      </w:r>
      <w:r w:rsidRPr="007F5B1F">
        <w:rPr>
          <w:rFonts w:ascii="Times New Roman" w:eastAsia="Arial Unicode MS" w:hAnsi="Times New Roman" w:cs="Times New Roman"/>
          <w:b/>
          <w:bCs/>
          <w:bdr w:val="nil"/>
        </w:rPr>
        <w:t xml:space="preserve">: </w:t>
      </w:r>
      <w:r w:rsidR="004729E8">
        <w:rPr>
          <w:rFonts w:ascii="Times New Roman" w:eastAsia="Arial Unicode MS" w:hAnsi="Times New Roman" w:cs="Times New Roman"/>
          <w:b/>
          <w:bCs/>
          <w:bdr w:val="nil"/>
        </w:rPr>
        <w:tab/>
      </w:r>
      <w:r w:rsidRPr="007F5B1F">
        <w:rPr>
          <w:rFonts w:ascii="Times New Roman" w:eastAsia="Arial Unicode MS" w:hAnsi="Times New Roman" w:cs="Times New Roman"/>
          <w:b/>
          <w:bCs/>
          <w:bdr w:val="nil"/>
        </w:rPr>
        <w:t>David Carroll, Director, Democracy Program</w:t>
      </w:r>
    </w:p>
    <w:p w14:paraId="5A690189" w14:textId="7E2A6F06" w:rsidR="003F5A21" w:rsidRPr="003F5A21" w:rsidRDefault="003F5A21" w:rsidP="007F5B1F">
      <w:pPr>
        <w:pBdr>
          <w:top w:val="nil"/>
          <w:left w:val="nil"/>
          <w:bottom w:val="nil"/>
          <w:right w:val="nil"/>
          <w:between w:val="nil"/>
          <w:bar w:val="nil"/>
        </w:pBdr>
        <w:rPr>
          <w:rFonts w:ascii="Times New Roman" w:eastAsia="Arial Unicode MS" w:hAnsi="Times New Roman" w:cs="Times New Roman"/>
          <w:b/>
          <w:bCs/>
          <w:bdr w:val="nil"/>
        </w:rPr>
      </w:pPr>
      <w:r>
        <w:rPr>
          <w:rFonts w:ascii="Times New Roman" w:eastAsia="Arial Unicode MS" w:hAnsi="Times New Roman" w:cs="Times New Roman"/>
          <w:b/>
          <w:bCs/>
          <w:bdr w:val="nil"/>
        </w:rPr>
        <w:tab/>
      </w:r>
      <w:r>
        <w:rPr>
          <w:rFonts w:ascii="Times New Roman" w:eastAsia="Arial Unicode MS" w:hAnsi="Times New Roman" w:cs="Times New Roman"/>
          <w:b/>
          <w:bCs/>
          <w:bdr w:val="nil"/>
        </w:rPr>
        <w:tab/>
      </w:r>
      <w:r w:rsidRPr="003F5A21">
        <w:rPr>
          <w:rFonts w:ascii="Times New Roman" w:eastAsia="Arial Unicode MS" w:hAnsi="Times New Roman" w:cs="Times New Roman"/>
          <w:b/>
          <w:bCs/>
          <w:bdr w:val="nil"/>
        </w:rPr>
        <w:t xml:space="preserve">   </w:t>
      </w:r>
      <w:r w:rsidR="004729E8">
        <w:rPr>
          <w:rFonts w:ascii="Times New Roman" w:eastAsia="Arial Unicode MS" w:hAnsi="Times New Roman" w:cs="Times New Roman"/>
          <w:b/>
          <w:bCs/>
          <w:bdr w:val="nil"/>
        </w:rPr>
        <w:tab/>
      </w:r>
      <w:r w:rsidRPr="003F5A21">
        <w:rPr>
          <w:rFonts w:ascii="Times New Roman" w:eastAsia="Arial Unicode MS" w:hAnsi="Times New Roman" w:cs="Times New Roman"/>
          <w:b/>
          <w:bCs/>
          <w:bdr w:val="nil"/>
        </w:rPr>
        <w:t xml:space="preserve"> Aver</w:t>
      </w:r>
      <w:r w:rsidRPr="000D38AA">
        <w:rPr>
          <w:rFonts w:ascii="Times New Roman" w:eastAsia="Arial Unicode MS" w:hAnsi="Times New Roman" w:cs="Times New Roman"/>
          <w:b/>
          <w:bCs/>
          <w:bdr w:val="nil"/>
        </w:rPr>
        <w:t xml:space="preserve">y </w:t>
      </w:r>
      <w:r>
        <w:rPr>
          <w:rFonts w:ascii="Times New Roman" w:eastAsia="Arial Unicode MS" w:hAnsi="Times New Roman" w:cs="Times New Roman"/>
          <w:b/>
          <w:bCs/>
          <w:bdr w:val="nil"/>
        </w:rPr>
        <w:t>Davis-Roberts, Associate Director, Democracy Program</w:t>
      </w:r>
    </w:p>
    <w:p w14:paraId="6833F2D3" w14:textId="4004E2E5" w:rsidR="00D775AE" w:rsidRPr="000D38AA" w:rsidRDefault="00D775AE" w:rsidP="007F5B1F">
      <w:pPr>
        <w:pBdr>
          <w:top w:val="nil"/>
          <w:left w:val="nil"/>
          <w:bottom w:val="nil"/>
          <w:right w:val="nil"/>
          <w:between w:val="nil"/>
          <w:bar w:val="nil"/>
        </w:pBdr>
        <w:rPr>
          <w:rFonts w:ascii="Times New Roman" w:eastAsia="Arial Unicode MS" w:hAnsi="Times New Roman" w:cs="Times New Roman"/>
          <w:b/>
          <w:bCs/>
          <w:bdr w:val="nil"/>
          <w:lang w:val="fr-FR"/>
        </w:rPr>
      </w:pPr>
      <w:r w:rsidRPr="000D38AA">
        <w:rPr>
          <w:rFonts w:ascii="Times New Roman" w:eastAsia="Arial Unicode MS" w:hAnsi="Times New Roman" w:cs="Times New Roman"/>
          <w:b/>
          <w:bCs/>
          <w:bdr w:val="nil"/>
          <w:lang w:val="fr-FR"/>
        </w:rPr>
        <w:t xml:space="preserve">Contact email: </w:t>
      </w:r>
      <w:r w:rsidR="004729E8">
        <w:rPr>
          <w:rFonts w:ascii="Times New Roman" w:eastAsia="Arial Unicode MS" w:hAnsi="Times New Roman" w:cs="Times New Roman"/>
          <w:b/>
          <w:bCs/>
          <w:bdr w:val="nil"/>
          <w:lang w:val="fr-FR"/>
        </w:rPr>
        <w:tab/>
      </w:r>
      <w:hyperlink r:id="rId13" w:history="1"/>
      <w:r w:rsidR="005A755D">
        <w:rPr>
          <w:rFonts w:ascii="Times New Roman" w:eastAsia="Arial Unicode MS" w:hAnsi="Times New Roman" w:cs="Times New Roman"/>
          <w:b/>
          <w:bCs/>
          <w:bdr w:val="nil"/>
        </w:rPr>
        <w:fldChar w:fldCharType="begin"/>
      </w:r>
      <w:r w:rsidR="005A755D">
        <w:rPr>
          <w:rFonts w:ascii="Times New Roman" w:eastAsia="Arial Unicode MS" w:hAnsi="Times New Roman" w:cs="Times New Roman"/>
          <w:b/>
          <w:bCs/>
          <w:bdr w:val="nil"/>
        </w:rPr>
        <w:instrText xml:space="preserve"> HYPERLINK "mailto:David.Carroll@cartercenter.org" </w:instrText>
      </w:r>
      <w:r w:rsidR="005A755D">
        <w:rPr>
          <w:rFonts w:ascii="Times New Roman" w:eastAsia="Arial Unicode MS" w:hAnsi="Times New Roman" w:cs="Times New Roman"/>
          <w:b/>
          <w:bCs/>
          <w:bdr w:val="nil"/>
        </w:rPr>
        <w:fldChar w:fldCharType="separate"/>
      </w:r>
      <w:r w:rsidR="005A755D" w:rsidRPr="002F2CE2">
        <w:rPr>
          <w:rStyle w:val="Hyperlink"/>
          <w:rFonts w:ascii="Times New Roman" w:eastAsia="Arial Unicode MS" w:hAnsi="Times New Roman" w:cs="Times New Roman"/>
          <w:b/>
          <w:bCs/>
          <w:bdr w:val="nil"/>
        </w:rPr>
        <w:t>David.Carroll@cartercenter.org</w:t>
      </w:r>
      <w:r w:rsidR="005A755D">
        <w:rPr>
          <w:rFonts w:ascii="Times New Roman" w:eastAsia="Arial Unicode MS" w:hAnsi="Times New Roman" w:cs="Times New Roman"/>
          <w:b/>
          <w:bCs/>
          <w:bdr w:val="nil"/>
        </w:rPr>
        <w:fldChar w:fldCharType="end"/>
      </w:r>
      <w:r w:rsidR="005A755D">
        <w:rPr>
          <w:rFonts w:ascii="Times New Roman" w:eastAsia="Arial Unicode MS" w:hAnsi="Times New Roman" w:cs="Times New Roman"/>
          <w:b/>
          <w:bCs/>
          <w:bdr w:val="nil"/>
        </w:rPr>
        <w:t xml:space="preserve"> | </w:t>
      </w:r>
      <w:hyperlink r:id="rId14" w:history="1">
        <w:r w:rsidR="0032535B" w:rsidRPr="002F2CE2">
          <w:rPr>
            <w:rStyle w:val="Hyperlink"/>
            <w:rFonts w:ascii="Times New Roman" w:eastAsia="Arial Unicode MS" w:hAnsi="Times New Roman" w:cs="Times New Roman"/>
            <w:b/>
            <w:bCs/>
            <w:bdr w:val="nil"/>
          </w:rPr>
          <w:t>avery@cartercenter.org</w:t>
        </w:r>
      </w:hyperlink>
      <w:r w:rsidR="0032535B">
        <w:rPr>
          <w:rFonts w:ascii="Times New Roman" w:eastAsia="Arial Unicode MS" w:hAnsi="Times New Roman" w:cs="Times New Roman"/>
          <w:b/>
          <w:bCs/>
          <w:bdr w:val="nil"/>
        </w:rPr>
        <w:t xml:space="preserve"> </w:t>
      </w:r>
      <w:bookmarkStart w:id="0" w:name="_GoBack"/>
      <w:bookmarkEnd w:id="0"/>
    </w:p>
    <w:p w14:paraId="2BF77EE4" w14:textId="670F5F1A" w:rsidR="00D775AE" w:rsidRPr="007F5B1F" w:rsidRDefault="00D775AE" w:rsidP="007F5B1F">
      <w:pPr>
        <w:pBdr>
          <w:top w:val="nil"/>
          <w:left w:val="nil"/>
          <w:bottom w:val="nil"/>
          <w:right w:val="nil"/>
          <w:between w:val="nil"/>
          <w:bar w:val="nil"/>
        </w:pBdr>
        <w:rPr>
          <w:rFonts w:ascii="Times New Roman" w:eastAsia="Arial Unicode MS" w:hAnsi="Times New Roman" w:cs="Times New Roman"/>
          <w:b/>
          <w:bCs/>
          <w:bdr w:val="nil"/>
        </w:rPr>
      </w:pPr>
      <w:r w:rsidRPr="007F5B1F">
        <w:rPr>
          <w:rFonts w:ascii="Times New Roman" w:eastAsia="Arial Unicode MS" w:hAnsi="Times New Roman" w:cs="Times New Roman"/>
          <w:b/>
          <w:bCs/>
          <w:bdr w:val="nil"/>
        </w:rPr>
        <w:t xml:space="preserve">Website: </w:t>
      </w:r>
      <w:r w:rsidR="004729E8">
        <w:rPr>
          <w:rFonts w:ascii="Times New Roman" w:eastAsia="Arial Unicode MS" w:hAnsi="Times New Roman" w:cs="Times New Roman"/>
          <w:b/>
          <w:bCs/>
          <w:bdr w:val="nil"/>
        </w:rPr>
        <w:tab/>
      </w:r>
      <w:r w:rsidR="004729E8">
        <w:rPr>
          <w:rFonts w:ascii="Times New Roman" w:eastAsia="Arial Unicode MS" w:hAnsi="Times New Roman" w:cs="Times New Roman"/>
          <w:b/>
          <w:bCs/>
          <w:bdr w:val="nil"/>
        </w:rPr>
        <w:tab/>
      </w:r>
      <w:hyperlink r:id="rId15" w:history="1">
        <w:r w:rsidR="004729E8" w:rsidRPr="002F2CE2">
          <w:rPr>
            <w:rStyle w:val="Hyperlink"/>
            <w:rFonts w:ascii="Times New Roman" w:eastAsia="Arial Unicode MS" w:hAnsi="Times New Roman" w:cs="Times New Roman"/>
            <w:b/>
            <w:bCs/>
            <w:bdr w:val="nil"/>
          </w:rPr>
          <w:t>www.cartercenter.org</w:t>
        </w:r>
      </w:hyperlink>
    </w:p>
    <w:p w14:paraId="50CBBC6E" w14:textId="77777777" w:rsidR="00D775AE" w:rsidRPr="007F5B1F" w:rsidRDefault="00D775AE" w:rsidP="007F5B1F">
      <w:pPr>
        <w:pBdr>
          <w:top w:val="nil"/>
          <w:left w:val="nil"/>
          <w:bottom w:val="nil"/>
          <w:right w:val="nil"/>
          <w:between w:val="nil"/>
          <w:bar w:val="nil"/>
        </w:pBdr>
        <w:jc w:val="both"/>
        <w:rPr>
          <w:rFonts w:ascii="Times New Roman" w:eastAsia="Arial Unicode MS" w:hAnsi="Times New Roman" w:cs="Times New Roman"/>
          <w:b/>
          <w:bCs/>
          <w:sz w:val="28"/>
          <w:bdr w:val="nil"/>
        </w:rPr>
      </w:pPr>
    </w:p>
    <w:p w14:paraId="3308AC5E" w14:textId="77777777" w:rsidR="00D775AE" w:rsidRPr="007F5B1F" w:rsidRDefault="00D775AE" w:rsidP="007F5B1F">
      <w:pPr>
        <w:pBdr>
          <w:top w:val="nil"/>
          <w:left w:val="nil"/>
          <w:bottom w:val="nil"/>
          <w:right w:val="nil"/>
          <w:between w:val="nil"/>
          <w:bar w:val="nil"/>
        </w:pBdr>
        <w:jc w:val="both"/>
        <w:rPr>
          <w:rFonts w:ascii="Times New Roman" w:eastAsia="Arial Unicode MS" w:hAnsi="Times New Roman" w:cs="Times New Roman"/>
          <w:i/>
          <w:iCs/>
          <w:sz w:val="20"/>
          <w:szCs w:val="20"/>
          <w:bdr w:val="nil"/>
        </w:rPr>
      </w:pPr>
      <w:r w:rsidRPr="007F5B1F">
        <w:rPr>
          <w:rFonts w:ascii="Times New Roman" w:eastAsia="Arial Unicode MS" w:hAnsi="Times New Roman" w:cs="Times New Roman"/>
          <w:i/>
          <w:iCs/>
          <w:sz w:val="20"/>
          <w:szCs w:val="20"/>
          <w:bdr w:val="nil"/>
        </w:rPr>
        <w:t>The Carter Center is a not-for-profit, nongovernmental organization that has helped to improve life for people in more than 80 countries by resolving conflicts; advancing democracy, human rights, and economic opportunity; preventing diseases; and improving mental health care. The Carter Center was founded in 1982 by former U.S. President Jimmy Carter and his wife, Rosalynn, in partnership with Emory University to advance peace and health worldwide.</w:t>
      </w:r>
    </w:p>
    <w:p w14:paraId="6EC954E8" w14:textId="77777777" w:rsidR="00D775AE" w:rsidRPr="007F5B1F" w:rsidRDefault="00D775AE" w:rsidP="007F5B1F">
      <w:pPr>
        <w:pBdr>
          <w:top w:val="nil"/>
          <w:left w:val="nil"/>
          <w:bottom w:val="nil"/>
          <w:right w:val="nil"/>
          <w:between w:val="nil"/>
          <w:bar w:val="nil"/>
        </w:pBdr>
        <w:jc w:val="both"/>
        <w:rPr>
          <w:rFonts w:ascii="Times New Roman" w:eastAsia="Arial Unicode MS" w:hAnsi="Times New Roman" w:cs="Times New Roman"/>
          <w:i/>
          <w:iCs/>
          <w:sz w:val="20"/>
          <w:szCs w:val="20"/>
          <w:bdr w:val="nil"/>
        </w:rPr>
      </w:pPr>
    </w:p>
    <w:p w14:paraId="3CCB426A" w14:textId="20CE439A" w:rsidR="00D775AE" w:rsidRPr="007F5B1F" w:rsidRDefault="00D775AE" w:rsidP="007F5B1F">
      <w:pPr>
        <w:pBdr>
          <w:top w:val="nil"/>
          <w:left w:val="nil"/>
          <w:bottom w:val="nil"/>
          <w:right w:val="nil"/>
          <w:between w:val="nil"/>
          <w:bar w:val="nil"/>
        </w:pBdr>
        <w:jc w:val="both"/>
        <w:rPr>
          <w:rFonts w:ascii="Times New Roman" w:eastAsia="Arial Unicode MS" w:hAnsi="Times New Roman" w:cs="Times New Roman"/>
          <w:i/>
          <w:iCs/>
          <w:sz w:val="20"/>
          <w:szCs w:val="20"/>
          <w:bdr w:val="nil"/>
        </w:rPr>
      </w:pPr>
      <w:r w:rsidRPr="007F5B1F">
        <w:rPr>
          <w:rFonts w:ascii="Times New Roman" w:eastAsia="Arial Unicode MS" w:hAnsi="Times New Roman" w:cs="Times New Roman"/>
          <w:i/>
          <w:iCs/>
          <w:sz w:val="20"/>
          <w:szCs w:val="20"/>
          <w:bdr w:val="nil"/>
        </w:rPr>
        <w:t>The Carter Center’s Democracy Program works globally to promote democratic elections and governance consistent with human rights. The Center has monitored more than 100 elections in 3</w:t>
      </w:r>
      <w:r w:rsidR="000D4792">
        <w:rPr>
          <w:rFonts w:ascii="Times New Roman" w:eastAsia="Arial Unicode MS" w:hAnsi="Times New Roman" w:cs="Times New Roman"/>
          <w:i/>
          <w:iCs/>
          <w:sz w:val="20"/>
          <w:szCs w:val="20"/>
          <w:bdr w:val="nil"/>
        </w:rPr>
        <w:t>9</w:t>
      </w:r>
      <w:r w:rsidRPr="007F5B1F">
        <w:rPr>
          <w:rFonts w:ascii="Times New Roman" w:eastAsia="Arial Unicode MS" w:hAnsi="Times New Roman" w:cs="Times New Roman"/>
          <w:i/>
          <w:iCs/>
          <w:sz w:val="20"/>
          <w:szCs w:val="20"/>
          <w:bdr w:val="nil"/>
        </w:rPr>
        <w:t xml:space="preserve"> countries since 1989, forging many of the techniques now common to the field. Recognizing that democratic transitions involve much more than elections, the Center also conducts long-term monitoring of political transitions and works to strengthen civil society organizations to support democratic governance. The Democracy Program has led initiatives to develop a </w:t>
      </w:r>
      <w:proofErr w:type="gramStart"/>
      <w:r w:rsidRPr="007F5B1F">
        <w:rPr>
          <w:rFonts w:ascii="Times New Roman" w:eastAsia="Arial Unicode MS" w:hAnsi="Times New Roman" w:cs="Times New Roman"/>
          <w:i/>
          <w:iCs/>
          <w:sz w:val="20"/>
          <w:szCs w:val="20"/>
          <w:bdr w:val="nil"/>
        </w:rPr>
        <w:t>rights based</w:t>
      </w:r>
      <w:proofErr w:type="gramEnd"/>
      <w:r w:rsidRPr="007F5B1F">
        <w:rPr>
          <w:rFonts w:ascii="Times New Roman" w:eastAsia="Arial Unicode MS" w:hAnsi="Times New Roman" w:cs="Times New Roman"/>
          <w:i/>
          <w:iCs/>
          <w:sz w:val="20"/>
          <w:szCs w:val="20"/>
          <w:bdr w:val="nil"/>
        </w:rPr>
        <w:t xml:space="preserve"> approach to election observation, to build consensus on standards for democratic elections based on international human rights law, and to support coordination between the human rights and election communities. </w:t>
      </w:r>
      <w:r w:rsidR="004729E8">
        <w:rPr>
          <w:rFonts w:ascii="Times New Roman" w:eastAsia="Arial Unicode MS" w:hAnsi="Times New Roman" w:cs="Times New Roman"/>
          <w:i/>
          <w:iCs/>
          <w:sz w:val="20"/>
          <w:szCs w:val="20"/>
          <w:bdr w:val="nil"/>
        </w:rPr>
        <w:t>This submission also reflects input from colleagues at Meedan</w:t>
      </w:r>
      <w:r w:rsidR="00704995">
        <w:rPr>
          <w:rFonts w:ascii="Times New Roman" w:eastAsia="Arial Unicode MS" w:hAnsi="Times New Roman" w:cs="Times New Roman"/>
          <w:i/>
          <w:iCs/>
          <w:sz w:val="20"/>
          <w:szCs w:val="20"/>
          <w:bdr w:val="nil"/>
        </w:rPr>
        <w:t xml:space="preserve">.org. </w:t>
      </w:r>
      <w:r w:rsidRPr="007F5B1F">
        <w:rPr>
          <w:rFonts w:ascii="Times New Roman" w:eastAsia="Arial Unicode MS" w:hAnsi="Times New Roman" w:cs="Times New Roman"/>
          <w:i/>
          <w:iCs/>
          <w:sz w:val="20"/>
          <w:szCs w:val="20"/>
          <w:bdr w:val="nil"/>
        </w:rPr>
        <w:t xml:space="preserve"> </w:t>
      </w:r>
    </w:p>
    <w:p w14:paraId="43A3308A" w14:textId="3CD4474E" w:rsidR="0024772E" w:rsidRPr="00AC7826" w:rsidRDefault="0024772E" w:rsidP="007F5B1F">
      <w:pPr>
        <w:rPr>
          <w:rFonts w:ascii="Times New Roman" w:hAnsi="Times New Roman" w:cs="Times New Roman"/>
        </w:rPr>
      </w:pPr>
      <w:r w:rsidRPr="00AC7826">
        <w:rPr>
          <w:rFonts w:ascii="Times New Roman" w:hAnsi="Times New Roman" w:cs="Times New Roman"/>
        </w:rPr>
        <w:lastRenderedPageBreak/>
        <w:t xml:space="preserve">The right to </w:t>
      </w:r>
      <w:r w:rsidR="00FA121A" w:rsidRPr="00AC7826">
        <w:rPr>
          <w:rFonts w:ascii="Times New Roman" w:hAnsi="Times New Roman" w:cs="Times New Roman"/>
        </w:rPr>
        <w:t>freedom of peaceful assembly</w:t>
      </w:r>
      <w:r w:rsidR="005B1924" w:rsidRPr="00AC7826">
        <w:rPr>
          <w:rFonts w:ascii="Times New Roman" w:hAnsi="Times New Roman" w:cs="Times New Roman"/>
        </w:rPr>
        <w:t xml:space="preserve">, articulated in Art. 21 of the </w:t>
      </w:r>
      <w:r w:rsidR="005B1924" w:rsidRPr="000D38AA">
        <w:rPr>
          <w:rFonts w:ascii="Times New Roman" w:hAnsi="Times New Roman" w:cs="Times New Roman"/>
          <w:i/>
          <w:iCs/>
        </w:rPr>
        <w:t xml:space="preserve">International </w:t>
      </w:r>
      <w:r w:rsidR="00943BB8" w:rsidRPr="000D38AA">
        <w:rPr>
          <w:rFonts w:ascii="Times New Roman" w:hAnsi="Times New Roman" w:cs="Times New Roman"/>
          <w:i/>
          <w:iCs/>
        </w:rPr>
        <w:t>Covenant</w:t>
      </w:r>
      <w:r w:rsidR="005B1924" w:rsidRPr="000D38AA">
        <w:rPr>
          <w:rFonts w:ascii="Times New Roman" w:hAnsi="Times New Roman" w:cs="Times New Roman"/>
          <w:i/>
          <w:iCs/>
        </w:rPr>
        <w:t xml:space="preserve"> on Civil and Political Rights</w:t>
      </w:r>
      <w:r w:rsidR="005B1924" w:rsidRPr="00AC7826">
        <w:rPr>
          <w:rFonts w:ascii="Times New Roman" w:hAnsi="Times New Roman" w:cs="Times New Roman"/>
        </w:rPr>
        <w:t xml:space="preserve"> (ICCPR),</w:t>
      </w:r>
      <w:r w:rsidR="005B1924" w:rsidRPr="00AC7826">
        <w:rPr>
          <w:rStyle w:val="FootnoteReference"/>
          <w:rFonts w:ascii="Times New Roman" w:hAnsi="Times New Roman" w:cs="Times New Roman"/>
        </w:rPr>
        <w:footnoteReference w:id="1"/>
      </w:r>
      <w:r w:rsidRPr="00AC7826">
        <w:rPr>
          <w:rFonts w:ascii="Times New Roman" w:hAnsi="Times New Roman" w:cs="Times New Roman"/>
        </w:rPr>
        <w:t xml:space="preserve"> is inextricably linked to</w:t>
      </w:r>
      <w:r w:rsidR="00FA121A" w:rsidRPr="00AC7826">
        <w:rPr>
          <w:rFonts w:ascii="Times New Roman" w:hAnsi="Times New Roman" w:cs="Times New Roman"/>
        </w:rPr>
        <w:t xml:space="preserve"> the right to participate in public affairs, including through electoral processes</w:t>
      </w:r>
      <w:r w:rsidRPr="00AC7826">
        <w:rPr>
          <w:rFonts w:ascii="Times New Roman" w:hAnsi="Times New Roman" w:cs="Times New Roman"/>
        </w:rPr>
        <w:t>.</w:t>
      </w:r>
      <w:r w:rsidR="00460ABB" w:rsidRPr="00AC7826">
        <w:rPr>
          <w:rStyle w:val="FootnoteReference"/>
          <w:rFonts w:ascii="Times New Roman" w:hAnsi="Times New Roman" w:cs="Times New Roman"/>
        </w:rPr>
        <w:footnoteReference w:id="2"/>
      </w:r>
      <w:r w:rsidRPr="00AC7826">
        <w:rPr>
          <w:rFonts w:ascii="Times New Roman" w:hAnsi="Times New Roman" w:cs="Times New Roman"/>
        </w:rPr>
        <w:t xml:space="preserve"> </w:t>
      </w:r>
      <w:r w:rsidR="00CA50C3" w:rsidRPr="00AC7826">
        <w:rPr>
          <w:rFonts w:ascii="Times New Roman" w:hAnsi="Times New Roman" w:cs="Times New Roman"/>
        </w:rPr>
        <w:t>As the Human Rights Committee noted in General Comment 25, “Freedom of expression, assembly and association are essential conditions for the effective exercise of the right to vote…”</w:t>
      </w:r>
      <w:r w:rsidR="00CA50C3" w:rsidRPr="00AC7826">
        <w:rPr>
          <w:rStyle w:val="FootnoteReference"/>
          <w:rFonts w:ascii="Times New Roman" w:hAnsi="Times New Roman" w:cs="Times New Roman"/>
        </w:rPr>
        <w:footnoteReference w:id="3"/>
      </w:r>
      <w:r w:rsidR="00CA50C3" w:rsidRPr="00AC7826">
        <w:rPr>
          <w:rFonts w:ascii="Times New Roman" w:hAnsi="Times New Roman" w:cs="Times New Roman"/>
        </w:rPr>
        <w:t xml:space="preserve"> </w:t>
      </w:r>
      <w:r w:rsidRPr="00AC7826">
        <w:rPr>
          <w:rFonts w:ascii="Times New Roman" w:hAnsi="Times New Roman" w:cs="Times New Roman"/>
        </w:rPr>
        <w:t xml:space="preserve">Without freedom of </w:t>
      </w:r>
      <w:r w:rsidR="00460ABB" w:rsidRPr="00AC7826">
        <w:rPr>
          <w:rFonts w:ascii="Times New Roman" w:hAnsi="Times New Roman" w:cs="Times New Roman"/>
        </w:rPr>
        <w:t xml:space="preserve">peaceful </w:t>
      </w:r>
      <w:r w:rsidRPr="00AC7826">
        <w:rPr>
          <w:rFonts w:ascii="Times New Roman" w:hAnsi="Times New Roman" w:cs="Times New Roman"/>
        </w:rPr>
        <w:t>assembly, the ability of voters, candidates, political parties and civil society to effectively communicate, and share political ideas and messages would be limited</w:t>
      </w:r>
      <w:r w:rsidR="00EB5D32" w:rsidRPr="00AC7826">
        <w:rPr>
          <w:rFonts w:ascii="Times New Roman" w:hAnsi="Times New Roman" w:cs="Times New Roman"/>
        </w:rPr>
        <w:t xml:space="preserve"> and thus the rights enshrined in article 25 would also be undermined</w:t>
      </w:r>
      <w:r w:rsidRPr="00AC7826">
        <w:rPr>
          <w:rFonts w:ascii="Times New Roman" w:hAnsi="Times New Roman" w:cs="Times New Roman"/>
        </w:rPr>
        <w:t>.</w:t>
      </w:r>
      <w:r w:rsidR="00CA50C3" w:rsidRPr="00AC7826">
        <w:rPr>
          <w:rStyle w:val="FootnoteReference"/>
          <w:rFonts w:ascii="Times New Roman" w:hAnsi="Times New Roman" w:cs="Times New Roman"/>
        </w:rPr>
        <w:footnoteReference w:id="4"/>
      </w:r>
      <w:r w:rsidRPr="00AC7826">
        <w:rPr>
          <w:rFonts w:ascii="Times New Roman" w:hAnsi="Times New Roman" w:cs="Times New Roman"/>
        </w:rPr>
        <w:t xml:space="preserve"> </w:t>
      </w:r>
      <w:r w:rsidR="00EB5D32" w:rsidRPr="00AC7826">
        <w:rPr>
          <w:rFonts w:ascii="Times New Roman" w:hAnsi="Times New Roman" w:cs="Times New Roman"/>
        </w:rPr>
        <w:t xml:space="preserve">The Special Rapporteur on Freedom of Assembly and Association, in his 2013 report on elections, </w:t>
      </w:r>
      <w:r w:rsidRPr="00AC7826">
        <w:rPr>
          <w:rFonts w:ascii="Times New Roman" w:hAnsi="Times New Roman" w:cs="Times New Roman"/>
        </w:rPr>
        <w:t>stressed that elections in which freedom of assembly (and freedom of association) are restricted should not be considered “genuine.”</w:t>
      </w:r>
      <w:r w:rsidR="00EB5D32" w:rsidRPr="00AC7826">
        <w:rPr>
          <w:rStyle w:val="FootnoteReference"/>
          <w:rFonts w:ascii="Times New Roman" w:hAnsi="Times New Roman" w:cs="Times New Roman"/>
        </w:rPr>
        <w:footnoteReference w:id="5"/>
      </w:r>
    </w:p>
    <w:p w14:paraId="6689EE14" w14:textId="77777777" w:rsidR="00EB5D32" w:rsidRPr="00AC7826" w:rsidRDefault="00EB5D32" w:rsidP="007F5B1F">
      <w:pPr>
        <w:rPr>
          <w:rFonts w:ascii="Times New Roman" w:hAnsi="Times New Roman" w:cs="Times New Roman"/>
        </w:rPr>
      </w:pPr>
    </w:p>
    <w:p w14:paraId="547F6E33" w14:textId="2C9F6226" w:rsidR="00EB5D32" w:rsidRPr="00804C58" w:rsidRDefault="00EB5D32" w:rsidP="007F5B1F">
      <w:pPr>
        <w:rPr>
          <w:rFonts w:ascii="Times New Roman" w:hAnsi="Times New Roman" w:cs="Times New Roman"/>
        </w:rPr>
      </w:pPr>
      <w:r w:rsidRPr="00AC7826">
        <w:rPr>
          <w:rFonts w:ascii="Times New Roman" w:hAnsi="Times New Roman" w:cs="Times New Roman"/>
        </w:rPr>
        <w:t>Several international instruments and Guideline documents provide definition</w:t>
      </w:r>
      <w:r w:rsidR="000215B5">
        <w:rPr>
          <w:rFonts w:ascii="Times New Roman" w:hAnsi="Times New Roman" w:cs="Times New Roman"/>
        </w:rPr>
        <w:t>s</w:t>
      </w:r>
      <w:r w:rsidRPr="00AC7826">
        <w:rPr>
          <w:rFonts w:ascii="Times New Roman" w:hAnsi="Times New Roman" w:cs="Times New Roman"/>
        </w:rPr>
        <w:t xml:space="preserve"> for freedom of assembly, as well as the obligations (both positive and negative) on the State to protect this freedom.  </w:t>
      </w:r>
      <w:r w:rsidRPr="000D38AA">
        <w:rPr>
          <w:rFonts w:ascii="Times New Roman" w:hAnsi="Times New Roman" w:cs="Times New Roman"/>
          <w:i/>
          <w:iCs/>
        </w:rPr>
        <w:t xml:space="preserve">The African Union Guidelines on </w:t>
      </w:r>
      <w:r w:rsidR="00363BC1" w:rsidRPr="000D38AA">
        <w:rPr>
          <w:rFonts w:ascii="Times New Roman" w:hAnsi="Times New Roman" w:cs="Times New Roman"/>
          <w:i/>
          <w:iCs/>
        </w:rPr>
        <w:t>Freedom of Association and Assembly in Africa</w:t>
      </w:r>
      <w:r w:rsidR="00363BC1" w:rsidRPr="00AC7826">
        <w:rPr>
          <w:rFonts w:ascii="Times New Roman" w:hAnsi="Times New Roman" w:cs="Times New Roman"/>
        </w:rPr>
        <w:t xml:space="preserve">, for example, list 10 ‘fundamental principles’ for the protection of </w:t>
      </w:r>
      <w:r w:rsidR="00460ABB" w:rsidRPr="00AC7826">
        <w:rPr>
          <w:rFonts w:ascii="Times New Roman" w:hAnsi="Times New Roman" w:cs="Times New Roman"/>
        </w:rPr>
        <w:t>f</w:t>
      </w:r>
      <w:r w:rsidR="00363BC1" w:rsidRPr="00AC7826">
        <w:rPr>
          <w:rFonts w:ascii="Times New Roman" w:hAnsi="Times New Roman" w:cs="Times New Roman"/>
        </w:rPr>
        <w:t xml:space="preserve">reedom of </w:t>
      </w:r>
      <w:r w:rsidR="00460ABB" w:rsidRPr="00AC7826">
        <w:rPr>
          <w:rFonts w:ascii="Times New Roman" w:hAnsi="Times New Roman" w:cs="Times New Roman"/>
        </w:rPr>
        <w:t>a</w:t>
      </w:r>
      <w:r w:rsidR="00363BC1" w:rsidRPr="00AC7826">
        <w:rPr>
          <w:rFonts w:ascii="Times New Roman" w:hAnsi="Times New Roman" w:cs="Times New Roman"/>
        </w:rPr>
        <w:t>ssembly. These include: (1) presumption in favor of the right; (2) creation and maintenance of an enabling framework; (3) political and social participation of an independent civil society; (4) human rights compliance; (5) impartiality of governance agencies; (6) simple, transparent procedures; (7) reasoned decisions and judicial review; (8) limited sanctions; (9) the right to remedy; and (10) erring on the side of the most protective standard.</w:t>
      </w:r>
      <w:r w:rsidR="00363BC1" w:rsidRPr="00AC7826">
        <w:rPr>
          <w:rStyle w:val="FootnoteReference"/>
          <w:rFonts w:ascii="Times New Roman" w:hAnsi="Times New Roman" w:cs="Times New Roman"/>
        </w:rPr>
        <w:footnoteReference w:id="6"/>
      </w:r>
      <w:r w:rsidR="00804C58">
        <w:rPr>
          <w:rFonts w:ascii="Times New Roman" w:hAnsi="Times New Roman" w:cs="Times New Roman"/>
        </w:rPr>
        <w:t xml:space="preserve">  Further, the </w:t>
      </w:r>
      <w:r w:rsidR="00804C58">
        <w:rPr>
          <w:rFonts w:ascii="Times New Roman" w:hAnsi="Times New Roman" w:cs="Times New Roman"/>
          <w:i/>
          <w:iCs/>
        </w:rPr>
        <w:t xml:space="preserve">Guidelines </w:t>
      </w:r>
      <w:r w:rsidR="00804C58">
        <w:rPr>
          <w:rFonts w:ascii="Times New Roman" w:hAnsi="Times New Roman" w:cs="Times New Roman"/>
        </w:rPr>
        <w:t xml:space="preserve">make clear that any restrictions on </w:t>
      </w:r>
      <w:r w:rsidR="00A91436">
        <w:rPr>
          <w:rFonts w:ascii="Times New Roman" w:hAnsi="Times New Roman" w:cs="Times New Roman"/>
        </w:rPr>
        <w:t xml:space="preserve">freedom of assembly </w:t>
      </w:r>
      <w:r w:rsidR="00922152">
        <w:rPr>
          <w:rFonts w:ascii="Times New Roman" w:hAnsi="Times New Roman" w:cs="Times New Roman"/>
        </w:rPr>
        <w:t>and other rights must meet the tests of legality, necessity, and proportionality.</w:t>
      </w:r>
      <w:r w:rsidR="00A91436">
        <w:rPr>
          <w:rFonts w:ascii="Times New Roman" w:hAnsi="Times New Roman" w:cs="Times New Roman"/>
        </w:rPr>
        <w:t xml:space="preserve"> </w:t>
      </w:r>
      <w:r w:rsidR="00063BD1">
        <w:rPr>
          <w:rStyle w:val="FootnoteReference"/>
          <w:rFonts w:ascii="Times New Roman" w:hAnsi="Times New Roman" w:cs="Times New Roman"/>
        </w:rPr>
        <w:footnoteReference w:id="7"/>
      </w:r>
    </w:p>
    <w:p w14:paraId="37B37AD0" w14:textId="77777777" w:rsidR="0024772E" w:rsidRPr="00AC7826" w:rsidRDefault="0024772E" w:rsidP="007F5B1F">
      <w:pPr>
        <w:rPr>
          <w:rFonts w:ascii="Times New Roman" w:hAnsi="Times New Roman" w:cs="Times New Roman"/>
        </w:rPr>
      </w:pPr>
    </w:p>
    <w:p w14:paraId="7B7B40B2" w14:textId="07C3100D" w:rsidR="00460ABB" w:rsidRDefault="00884104" w:rsidP="007F5B1F">
      <w:pPr>
        <w:rPr>
          <w:rFonts w:ascii="Times New Roman" w:hAnsi="Times New Roman" w:cs="Times New Roman"/>
        </w:rPr>
      </w:pPr>
      <w:r>
        <w:rPr>
          <w:rFonts w:ascii="Times New Roman" w:hAnsi="Times New Roman" w:cs="Times New Roman"/>
        </w:rPr>
        <w:t xml:space="preserve">The </w:t>
      </w:r>
      <w:r w:rsidRPr="00AC7826">
        <w:rPr>
          <w:rFonts w:ascii="Times New Roman" w:hAnsi="Times New Roman" w:cs="Times New Roman"/>
        </w:rPr>
        <w:t>principles</w:t>
      </w:r>
      <w:r w:rsidR="009D0863">
        <w:rPr>
          <w:rFonts w:ascii="Times New Roman" w:hAnsi="Times New Roman" w:cs="Times New Roman"/>
        </w:rPr>
        <w:t>, above</w:t>
      </w:r>
      <w:r w:rsidR="00BC6FD4">
        <w:rPr>
          <w:rFonts w:ascii="Times New Roman" w:hAnsi="Times New Roman" w:cs="Times New Roman"/>
        </w:rPr>
        <w:t>,</w:t>
      </w:r>
      <w:r w:rsidRPr="00AC7826">
        <w:rPr>
          <w:rFonts w:ascii="Times New Roman" w:hAnsi="Times New Roman" w:cs="Times New Roman"/>
        </w:rPr>
        <w:t xml:space="preserve"> elucidated by the </w:t>
      </w:r>
      <w:r>
        <w:rPr>
          <w:rFonts w:ascii="Times New Roman" w:hAnsi="Times New Roman" w:cs="Times New Roman"/>
        </w:rPr>
        <w:t xml:space="preserve">Human Rights Committee, the </w:t>
      </w:r>
      <w:r w:rsidRPr="00AC7826">
        <w:rPr>
          <w:rFonts w:ascii="Times New Roman" w:hAnsi="Times New Roman" w:cs="Times New Roman"/>
        </w:rPr>
        <w:t xml:space="preserve">African Union </w:t>
      </w:r>
      <w:r>
        <w:rPr>
          <w:rFonts w:ascii="Times New Roman" w:hAnsi="Times New Roman" w:cs="Times New Roman"/>
        </w:rPr>
        <w:t xml:space="preserve">and others, </w:t>
      </w:r>
      <w:r w:rsidRPr="00AC7826">
        <w:rPr>
          <w:rFonts w:ascii="Times New Roman" w:hAnsi="Times New Roman" w:cs="Times New Roman"/>
        </w:rPr>
        <w:t>are fundamental for the enjoyment of freedom of peaceful assembly</w:t>
      </w:r>
      <w:r w:rsidR="009D0863">
        <w:rPr>
          <w:rFonts w:ascii="Times New Roman" w:hAnsi="Times New Roman" w:cs="Times New Roman"/>
        </w:rPr>
        <w:t>. While the</w:t>
      </w:r>
      <w:r w:rsidR="00673DF6">
        <w:rPr>
          <w:rFonts w:ascii="Times New Roman" w:hAnsi="Times New Roman" w:cs="Times New Roman"/>
        </w:rPr>
        <w:t xml:space="preserve">se principles are fundamental </w:t>
      </w:r>
      <w:r w:rsidR="00CB788F">
        <w:rPr>
          <w:rFonts w:ascii="Times New Roman" w:hAnsi="Times New Roman" w:cs="Times New Roman"/>
        </w:rPr>
        <w:t xml:space="preserve">at any and </w:t>
      </w:r>
      <w:r w:rsidRPr="00AC7826">
        <w:rPr>
          <w:rFonts w:ascii="Times New Roman" w:hAnsi="Times New Roman" w:cs="Times New Roman"/>
        </w:rPr>
        <w:t>all times</w:t>
      </w:r>
      <w:r w:rsidR="00CB788F">
        <w:rPr>
          <w:rFonts w:ascii="Times New Roman" w:hAnsi="Times New Roman" w:cs="Times New Roman"/>
        </w:rPr>
        <w:t>, The Carter Center</w:t>
      </w:r>
      <w:r w:rsidR="00704995">
        <w:rPr>
          <w:rFonts w:ascii="Times New Roman" w:hAnsi="Times New Roman" w:cs="Times New Roman"/>
        </w:rPr>
        <w:t xml:space="preserve"> - </w:t>
      </w:r>
      <w:r w:rsidR="009517F0">
        <w:rPr>
          <w:rFonts w:ascii="Times New Roman" w:hAnsi="Times New Roman" w:cs="Times New Roman"/>
        </w:rPr>
        <w:t>with</w:t>
      </w:r>
      <w:r w:rsidR="00A81892">
        <w:rPr>
          <w:rFonts w:ascii="Times New Roman" w:hAnsi="Times New Roman" w:cs="Times New Roman"/>
        </w:rPr>
        <w:t xml:space="preserve"> </w:t>
      </w:r>
      <w:r w:rsidR="006771B6" w:rsidRPr="00AC7826">
        <w:rPr>
          <w:rFonts w:ascii="Times New Roman" w:hAnsi="Times New Roman" w:cs="Times New Roman"/>
        </w:rPr>
        <w:t xml:space="preserve">experience observing </w:t>
      </w:r>
      <w:r w:rsidR="009517F0">
        <w:rPr>
          <w:rFonts w:ascii="Times New Roman" w:hAnsi="Times New Roman" w:cs="Times New Roman"/>
        </w:rPr>
        <w:t xml:space="preserve">more than </w:t>
      </w:r>
      <w:r w:rsidR="006771B6" w:rsidRPr="00AC7826">
        <w:rPr>
          <w:rFonts w:ascii="Times New Roman" w:hAnsi="Times New Roman" w:cs="Times New Roman"/>
        </w:rPr>
        <w:t>100 elections in 3</w:t>
      </w:r>
      <w:r w:rsidR="006771B6">
        <w:rPr>
          <w:rFonts w:ascii="Times New Roman" w:hAnsi="Times New Roman" w:cs="Times New Roman"/>
        </w:rPr>
        <w:t>9</w:t>
      </w:r>
      <w:r w:rsidR="006771B6" w:rsidRPr="00AC7826">
        <w:rPr>
          <w:rFonts w:ascii="Times New Roman" w:hAnsi="Times New Roman" w:cs="Times New Roman"/>
        </w:rPr>
        <w:t xml:space="preserve"> countries worldwide</w:t>
      </w:r>
      <w:r w:rsidR="009517F0">
        <w:rPr>
          <w:rFonts w:ascii="Times New Roman" w:hAnsi="Times New Roman" w:cs="Times New Roman"/>
        </w:rPr>
        <w:t xml:space="preserve"> – believes </w:t>
      </w:r>
      <w:r w:rsidR="00A81892">
        <w:rPr>
          <w:rFonts w:ascii="Times New Roman" w:hAnsi="Times New Roman" w:cs="Times New Roman"/>
        </w:rPr>
        <w:t xml:space="preserve">that </w:t>
      </w:r>
      <w:r w:rsidR="00A81892" w:rsidRPr="00AC7826">
        <w:rPr>
          <w:rFonts w:ascii="Times New Roman" w:hAnsi="Times New Roman" w:cs="Times New Roman"/>
        </w:rPr>
        <w:t>election</w:t>
      </w:r>
      <w:r w:rsidR="002779D3">
        <w:rPr>
          <w:rFonts w:ascii="Times New Roman" w:hAnsi="Times New Roman" w:cs="Times New Roman"/>
        </w:rPr>
        <w:t xml:space="preserve"> periods</w:t>
      </w:r>
      <w:r w:rsidR="00A81892">
        <w:rPr>
          <w:rFonts w:ascii="Times New Roman" w:hAnsi="Times New Roman" w:cs="Times New Roman"/>
        </w:rPr>
        <w:t xml:space="preserve"> </w:t>
      </w:r>
      <w:r w:rsidR="002779D3">
        <w:rPr>
          <w:rFonts w:ascii="Times New Roman" w:hAnsi="Times New Roman" w:cs="Times New Roman"/>
        </w:rPr>
        <w:t xml:space="preserve">are </w:t>
      </w:r>
      <w:r w:rsidR="00A81892" w:rsidRPr="00AC7826">
        <w:rPr>
          <w:rFonts w:ascii="Times New Roman" w:hAnsi="Times New Roman" w:cs="Times New Roman"/>
        </w:rPr>
        <w:t>unique</w:t>
      </w:r>
      <w:r w:rsidR="00913A6C">
        <w:rPr>
          <w:rFonts w:ascii="Times New Roman" w:hAnsi="Times New Roman" w:cs="Times New Roman"/>
        </w:rPr>
        <w:t>ly important</w:t>
      </w:r>
      <w:r w:rsidR="00A81892" w:rsidRPr="00AC7826">
        <w:rPr>
          <w:rFonts w:ascii="Times New Roman" w:hAnsi="Times New Roman" w:cs="Times New Roman"/>
        </w:rPr>
        <w:t xml:space="preserve"> political and social contexts</w:t>
      </w:r>
      <w:r w:rsidR="006771B6">
        <w:rPr>
          <w:rFonts w:ascii="Times New Roman" w:hAnsi="Times New Roman" w:cs="Times New Roman"/>
        </w:rPr>
        <w:t xml:space="preserve">, during which </w:t>
      </w:r>
      <w:r w:rsidR="00A81892" w:rsidRPr="00AC7826">
        <w:rPr>
          <w:rFonts w:ascii="Times New Roman" w:hAnsi="Times New Roman" w:cs="Times New Roman"/>
        </w:rPr>
        <w:t xml:space="preserve">the obligations of the </w:t>
      </w:r>
      <w:r w:rsidR="000D7451">
        <w:rPr>
          <w:rFonts w:ascii="Times New Roman" w:hAnsi="Times New Roman" w:cs="Times New Roman"/>
        </w:rPr>
        <w:t>S</w:t>
      </w:r>
      <w:r w:rsidR="00A81892" w:rsidRPr="00AC7826">
        <w:rPr>
          <w:rFonts w:ascii="Times New Roman" w:hAnsi="Times New Roman" w:cs="Times New Roman"/>
        </w:rPr>
        <w:t xml:space="preserve">tate may </w:t>
      </w:r>
      <w:r w:rsidR="009517F0">
        <w:rPr>
          <w:rFonts w:ascii="Times New Roman" w:hAnsi="Times New Roman" w:cs="Times New Roman"/>
        </w:rPr>
        <w:t xml:space="preserve">be </w:t>
      </w:r>
      <w:r w:rsidR="00A81892" w:rsidRPr="00AC7826">
        <w:rPr>
          <w:rFonts w:ascii="Times New Roman" w:hAnsi="Times New Roman" w:cs="Times New Roman"/>
        </w:rPr>
        <w:t xml:space="preserve">heightened. </w:t>
      </w:r>
      <w:r w:rsidR="00242AD1">
        <w:rPr>
          <w:rFonts w:ascii="Times New Roman" w:hAnsi="Times New Roman" w:cs="Times New Roman"/>
        </w:rPr>
        <w:t xml:space="preserve">This </w:t>
      </w:r>
      <w:r w:rsidR="00363BC1" w:rsidRPr="00AC7826">
        <w:rPr>
          <w:rFonts w:ascii="Times New Roman" w:hAnsi="Times New Roman" w:cs="Times New Roman"/>
        </w:rPr>
        <w:t xml:space="preserve">short document, submitted in support of the Human Rights Committee’s efforts to draft a new General Comment on Art. 21 of the </w:t>
      </w:r>
      <w:r w:rsidR="005B1924" w:rsidRPr="00AC7826">
        <w:rPr>
          <w:rFonts w:ascii="Times New Roman" w:hAnsi="Times New Roman" w:cs="Times New Roman"/>
        </w:rPr>
        <w:t>ICCPR</w:t>
      </w:r>
      <w:r w:rsidR="00363BC1" w:rsidRPr="00AC7826">
        <w:rPr>
          <w:rFonts w:ascii="Times New Roman" w:hAnsi="Times New Roman" w:cs="Times New Roman"/>
        </w:rPr>
        <w:t xml:space="preserve"> </w:t>
      </w:r>
      <w:r w:rsidR="00006EC4">
        <w:rPr>
          <w:rFonts w:ascii="Times New Roman" w:hAnsi="Times New Roman" w:cs="Times New Roman"/>
        </w:rPr>
        <w:t xml:space="preserve">underscores </w:t>
      </w:r>
      <w:r w:rsidR="00363BC1" w:rsidRPr="00AC7826">
        <w:rPr>
          <w:rFonts w:ascii="Times New Roman" w:hAnsi="Times New Roman" w:cs="Times New Roman"/>
        </w:rPr>
        <w:t xml:space="preserve">how elections </w:t>
      </w:r>
      <w:r w:rsidR="00F37960">
        <w:rPr>
          <w:rFonts w:ascii="Times New Roman" w:hAnsi="Times New Roman" w:cs="Times New Roman"/>
        </w:rPr>
        <w:t xml:space="preserve">are uniquely important moments for political participation, and hence </w:t>
      </w:r>
      <w:r w:rsidR="00ED5439">
        <w:rPr>
          <w:rFonts w:ascii="Times New Roman" w:hAnsi="Times New Roman" w:cs="Times New Roman"/>
        </w:rPr>
        <w:t xml:space="preserve">create greater </w:t>
      </w:r>
      <w:r w:rsidR="00460ABB" w:rsidRPr="00AC7826">
        <w:rPr>
          <w:rFonts w:ascii="Times New Roman" w:hAnsi="Times New Roman" w:cs="Times New Roman"/>
        </w:rPr>
        <w:t xml:space="preserve">expectations </w:t>
      </w:r>
      <w:r w:rsidR="00ED5439">
        <w:rPr>
          <w:rFonts w:ascii="Times New Roman" w:hAnsi="Times New Roman" w:cs="Times New Roman"/>
        </w:rPr>
        <w:t xml:space="preserve">on the part </w:t>
      </w:r>
      <w:r w:rsidR="00460ABB" w:rsidRPr="00AC7826">
        <w:rPr>
          <w:rFonts w:ascii="Times New Roman" w:hAnsi="Times New Roman" w:cs="Times New Roman"/>
        </w:rPr>
        <w:t>of</w:t>
      </w:r>
      <w:r w:rsidR="00363BC1" w:rsidRPr="00AC7826">
        <w:rPr>
          <w:rFonts w:ascii="Times New Roman" w:hAnsi="Times New Roman" w:cs="Times New Roman"/>
        </w:rPr>
        <w:t xml:space="preserve"> duty bearers</w:t>
      </w:r>
      <w:r w:rsidR="00460ABB" w:rsidRPr="00AC7826">
        <w:rPr>
          <w:rFonts w:ascii="Times New Roman" w:hAnsi="Times New Roman" w:cs="Times New Roman"/>
        </w:rPr>
        <w:t xml:space="preserve"> with regard to the protection of freedom of assembly. </w:t>
      </w:r>
    </w:p>
    <w:p w14:paraId="426DE347" w14:textId="77777777" w:rsidR="00460ABB" w:rsidRPr="00AC7826" w:rsidRDefault="00460ABB" w:rsidP="007F5B1F">
      <w:pPr>
        <w:rPr>
          <w:rFonts w:ascii="Times New Roman" w:hAnsi="Times New Roman" w:cs="Times New Roman"/>
        </w:rPr>
      </w:pPr>
    </w:p>
    <w:p w14:paraId="3D6DEA47" w14:textId="3BB6B30A" w:rsidR="003B3870" w:rsidRDefault="000C398E" w:rsidP="007F5B1F">
      <w:pPr>
        <w:rPr>
          <w:rFonts w:ascii="Times New Roman" w:hAnsi="Times New Roman" w:cs="Times New Roman"/>
          <w:b/>
        </w:rPr>
      </w:pPr>
      <w:r w:rsidRPr="00AC7826">
        <w:rPr>
          <w:rFonts w:ascii="Times New Roman" w:hAnsi="Times New Roman" w:cs="Times New Roman"/>
          <w:b/>
        </w:rPr>
        <w:t>Restrictions on Freedom of Assembly Around Elections</w:t>
      </w:r>
    </w:p>
    <w:p w14:paraId="12735B0C" w14:textId="71A6EA9B" w:rsidR="000C398E" w:rsidRPr="00AC7826" w:rsidRDefault="00F02518" w:rsidP="007F5B1F">
      <w:pPr>
        <w:rPr>
          <w:rFonts w:ascii="Times New Roman" w:hAnsi="Times New Roman" w:cs="Times New Roman"/>
        </w:rPr>
      </w:pPr>
      <w:r>
        <w:rPr>
          <w:rFonts w:ascii="Times New Roman" w:hAnsi="Times New Roman" w:cs="Times New Roman"/>
        </w:rPr>
        <w:t>A</w:t>
      </w:r>
      <w:r w:rsidR="005B1924" w:rsidRPr="00AC7826">
        <w:rPr>
          <w:rFonts w:ascii="Times New Roman" w:hAnsi="Times New Roman" w:cs="Times New Roman"/>
        </w:rPr>
        <w:t xml:space="preserve">s outlined in Article 21 of the ICCPR, </w:t>
      </w:r>
      <w:r w:rsidR="00363F30">
        <w:rPr>
          <w:rFonts w:ascii="Times New Roman" w:hAnsi="Times New Roman" w:cs="Times New Roman"/>
        </w:rPr>
        <w:t xml:space="preserve">no restrictions may be placed on the right to peaceful assembly other than those </w:t>
      </w:r>
      <w:r w:rsidR="00427D41" w:rsidRPr="00AC7826">
        <w:rPr>
          <w:rFonts w:ascii="Times New Roman" w:hAnsi="Times New Roman" w:cs="Times New Roman"/>
        </w:rPr>
        <w:t xml:space="preserve">imposed in conformity with the law and </w:t>
      </w:r>
      <w:r w:rsidR="006317FA">
        <w:rPr>
          <w:rFonts w:ascii="Times New Roman" w:hAnsi="Times New Roman" w:cs="Times New Roman"/>
        </w:rPr>
        <w:t xml:space="preserve">that </w:t>
      </w:r>
      <w:r w:rsidR="00427D41" w:rsidRPr="00AC7826">
        <w:rPr>
          <w:rFonts w:ascii="Times New Roman" w:hAnsi="Times New Roman" w:cs="Times New Roman"/>
        </w:rPr>
        <w:t>are necessary in a democratic society in the interests of national security or public safety, public order (</w:t>
      </w:r>
      <w:proofErr w:type="spellStart"/>
      <w:r w:rsidR="00427D41" w:rsidRPr="00AC7826">
        <w:rPr>
          <w:rFonts w:ascii="Times New Roman" w:hAnsi="Times New Roman" w:cs="Times New Roman"/>
        </w:rPr>
        <w:t>ordre</w:t>
      </w:r>
      <w:proofErr w:type="spellEnd"/>
      <w:r w:rsidR="00427D41" w:rsidRPr="00AC7826">
        <w:rPr>
          <w:rFonts w:ascii="Times New Roman" w:hAnsi="Times New Roman" w:cs="Times New Roman"/>
        </w:rPr>
        <w:t xml:space="preserve"> public), the protection of public health or morals or the protection of the rights and freedoms of others. </w:t>
      </w:r>
      <w:r w:rsidR="001428D7" w:rsidRPr="00AC7826">
        <w:rPr>
          <w:rFonts w:ascii="Times New Roman" w:hAnsi="Times New Roman" w:cs="Times New Roman"/>
        </w:rPr>
        <w:t>The Human Rights Committee, in views related to Art. 21, has been clear that any restrictions must meet the criteria above</w:t>
      </w:r>
      <w:r w:rsidR="001730A0">
        <w:rPr>
          <w:rFonts w:ascii="Times New Roman" w:hAnsi="Times New Roman" w:cs="Times New Roman"/>
        </w:rPr>
        <w:t xml:space="preserve">. In addition, the Human Rights Committee has </w:t>
      </w:r>
      <w:r w:rsidR="00C36AE4">
        <w:rPr>
          <w:rFonts w:ascii="Times New Roman" w:hAnsi="Times New Roman" w:cs="Times New Roman"/>
        </w:rPr>
        <w:t xml:space="preserve">indicated </w:t>
      </w:r>
      <w:r w:rsidR="001428D7" w:rsidRPr="00AC7826">
        <w:rPr>
          <w:rFonts w:ascii="Times New Roman" w:hAnsi="Times New Roman" w:cs="Times New Roman"/>
        </w:rPr>
        <w:t>that it was also a responsibility of the State to provide an explanation of why the restriction is necessary, and that the State must be “guided by the objective to facilitate the right, rather than seeking unnecessary or disproportionate limitations to it.”</w:t>
      </w:r>
      <w:r w:rsidR="001428D7" w:rsidRPr="00AC7826">
        <w:rPr>
          <w:rStyle w:val="FootnoteReference"/>
          <w:rFonts w:ascii="Times New Roman" w:hAnsi="Times New Roman" w:cs="Times New Roman"/>
        </w:rPr>
        <w:footnoteReference w:id="8"/>
      </w:r>
      <w:r w:rsidR="001428D7" w:rsidRPr="00AC7826">
        <w:rPr>
          <w:rFonts w:ascii="Times New Roman" w:hAnsi="Times New Roman" w:cs="Times New Roman"/>
        </w:rPr>
        <w:t xml:space="preserve"> These principles are also reflected in th</w:t>
      </w:r>
      <w:r w:rsidR="00CB22D6" w:rsidRPr="00AC7826">
        <w:rPr>
          <w:rFonts w:ascii="Times New Roman" w:hAnsi="Times New Roman" w:cs="Times New Roman"/>
        </w:rPr>
        <w:t>e</w:t>
      </w:r>
      <w:r w:rsidR="001428D7" w:rsidRPr="00AC7826">
        <w:rPr>
          <w:rFonts w:ascii="Times New Roman" w:hAnsi="Times New Roman" w:cs="Times New Roman"/>
        </w:rPr>
        <w:t xml:space="preserve"> AU Guidelines.</w:t>
      </w:r>
    </w:p>
    <w:p w14:paraId="6E789BDF" w14:textId="77777777" w:rsidR="001428D7" w:rsidRPr="00AC7826" w:rsidRDefault="001428D7" w:rsidP="007F5B1F">
      <w:pPr>
        <w:rPr>
          <w:rFonts w:ascii="Times New Roman" w:hAnsi="Times New Roman" w:cs="Times New Roman"/>
        </w:rPr>
      </w:pPr>
    </w:p>
    <w:p w14:paraId="2400A2EA" w14:textId="2B832EF3" w:rsidR="001428D7" w:rsidRPr="00AC7826" w:rsidRDefault="001428D7" w:rsidP="007F5B1F">
      <w:pPr>
        <w:rPr>
          <w:rFonts w:ascii="Times New Roman" w:hAnsi="Times New Roman" w:cs="Times New Roman"/>
        </w:rPr>
      </w:pPr>
      <w:r w:rsidRPr="00AC7826">
        <w:rPr>
          <w:rFonts w:ascii="Times New Roman" w:hAnsi="Times New Roman" w:cs="Times New Roman"/>
        </w:rPr>
        <w:t>In the context of elections, the Special Rapporteur</w:t>
      </w:r>
      <w:r w:rsidR="00C36AE4" w:rsidRPr="00C36AE4">
        <w:rPr>
          <w:rFonts w:ascii="Times New Roman" w:hAnsi="Times New Roman" w:cs="Times New Roman"/>
        </w:rPr>
        <w:t xml:space="preserve"> </w:t>
      </w:r>
      <w:r w:rsidR="00C36AE4" w:rsidRPr="00AC7826">
        <w:rPr>
          <w:rFonts w:ascii="Times New Roman" w:hAnsi="Times New Roman" w:cs="Times New Roman"/>
        </w:rPr>
        <w:t>on Freedom of Assembly and Association</w:t>
      </w:r>
      <w:r w:rsidRPr="00AC7826">
        <w:rPr>
          <w:rFonts w:ascii="Times New Roman" w:hAnsi="Times New Roman" w:cs="Times New Roman"/>
        </w:rPr>
        <w:t xml:space="preserve"> </w:t>
      </w:r>
      <w:r w:rsidR="00C36AE4">
        <w:rPr>
          <w:rFonts w:ascii="Times New Roman" w:hAnsi="Times New Roman" w:cs="Times New Roman"/>
        </w:rPr>
        <w:t xml:space="preserve">has </w:t>
      </w:r>
      <w:r w:rsidRPr="00AC7826">
        <w:rPr>
          <w:rFonts w:ascii="Times New Roman" w:hAnsi="Times New Roman" w:cs="Times New Roman"/>
        </w:rPr>
        <w:t>note</w:t>
      </w:r>
      <w:r w:rsidR="00C36AE4">
        <w:rPr>
          <w:rFonts w:ascii="Times New Roman" w:hAnsi="Times New Roman" w:cs="Times New Roman"/>
        </w:rPr>
        <w:t>d</w:t>
      </w:r>
      <w:r w:rsidRPr="00AC7826">
        <w:rPr>
          <w:rFonts w:ascii="Times New Roman" w:hAnsi="Times New Roman" w:cs="Times New Roman"/>
        </w:rPr>
        <w:t xml:space="preserve"> that although the right to peaceful assembly is central to the enjoyment of the right to participate in public affairs, all too often </w:t>
      </w:r>
      <w:r w:rsidR="00C60FA3" w:rsidRPr="00AC7826">
        <w:rPr>
          <w:rFonts w:ascii="Times New Roman" w:hAnsi="Times New Roman" w:cs="Times New Roman"/>
        </w:rPr>
        <w:t>assembly is subject to restrictions that do not meet the test laid out above. He argues that at times, restrictions are used to stifle critics or to silence political opposition.</w:t>
      </w:r>
      <w:r w:rsidR="00C60FA3" w:rsidRPr="00AC7826">
        <w:rPr>
          <w:rStyle w:val="FootnoteReference"/>
          <w:rFonts w:ascii="Times New Roman" w:hAnsi="Times New Roman" w:cs="Times New Roman"/>
        </w:rPr>
        <w:footnoteReference w:id="9"/>
      </w:r>
      <w:r w:rsidR="00C60FA3" w:rsidRPr="00AC7826">
        <w:rPr>
          <w:rFonts w:ascii="Times New Roman" w:hAnsi="Times New Roman" w:cs="Times New Roman"/>
        </w:rPr>
        <w:t xml:space="preserve"> In some cases, a number of individually legitimate restrictions on freedom of peaceful assembly</w:t>
      </w:r>
      <w:r w:rsidR="0003507F" w:rsidRPr="00AC7826">
        <w:rPr>
          <w:rFonts w:ascii="Times New Roman" w:hAnsi="Times New Roman" w:cs="Times New Roman"/>
        </w:rPr>
        <w:t xml:space="preserve"> may</w:t>
      </w:r>
      <w:r w:rsidR="00C60FA3" w:rsidRPr="00AC7826">
        <w:rPr>
          <w:rFonts w:ascii="Times New Roman" w:hAnsi="Times New Roman" w:cs="Times New Roman"/>
        </w:rPr>
        <w:t xml:space="preserve"> have the cumulative effect of undermining the right</w:t>
      </w:r>
      <w:r w:rsidR="00CB22D6" w:rsidRPr="00AC7826">
        <w:rPr>
          <w:rFonts w:ascii="Times New Roman" w:hAnsi="Times New Roman" w:cs="Times New Roman"/>
        </w:rPr>
        <w:t xml:space="preserve"> and effectively narrowing civic space</w:t>
      </w:r>
      <w:r w:rsidR="00C60FA3" w:rsidRPr="00AC7826">
        <w:rPr>
          <w:rFonts w:ascii="Times New Roman" w:hAnsi="Times New Roman" w:cs="Times New Roman"/>
        </w:rPr>
        <w:t xml:space="preserve">. </w:t>
      </w:r>
      <w:r w:rsidR="002D3341" w:rsidRPr="00AC7826">
        <w:rPr>
          <w:rFonts w:ascii="Times New Roman" w:hAnsi="Times New Roman" w:cs="Times New Roman"/>
        </w:rPr>
        <w:t>Based on</w:t>
      </w:r>
      <w:r w:rsidR="003336F6">
        <w:rPr>
          <w:rFonts w:ascii="Times New Roman" w:hAnsi="Times New Roman" w:cs="Times New Roman"/>
        </w:rPr>
        <w:t xml:space="preserve"> </w:t>
      </w:r>
      <w:proofErr w:type="spellStart"/>
      <w:proofErr w:type="gramStart"/>
      <w:r w:rsidR="003336F6">
        <w:rPr>
          <w:rFonts w:ascii="Times New Roman" w:hAnsi="Times New Roman" w:cs="Times New Roman"/>
        </w:rPr>
        <w:t>it</w:t>
      </w:r>
      <w:r w:rsidR="00B60BA7">
        <w:rPr>
          <w:rFonts w:ascii="Times New Roman" w:hAnsi="Times New Roman" w:cs="Times New Roman"/>
        </w:rPr>
        <w:t>’</w:t>
      </w:r>
      <w:r w:rsidR="003336F6">
        <w:rPr>
          <w:rFonts w:ascii="Times New Roman" w:hAnsi="Times New Roman" w:cs="Times New Roman"/>
        </w:rPr>
        <w:t>s</w:t>
      </w:r>
      <w:proofErr w:type="spellEnd"/>
      <w:proofErr w:type="gramEnd"/>
      <w:r w:rsidR="002D3341" w:rsidRPr="00AC7826">
        <w:rPr>
          <w:rFonts w:ascii="Times New Roman" w:hAnsi="Times New Roman" w:cs="Times New Roman"/>
        </w:rPr>
        <w:t xml:space="preserve"> election observation experience</w:t>
      </w:r>
      <w:r w:rsidR="006317FA">
        <w:rPr>
          <w:rFonts w:ascii="Times New Roman" w:hAnsi="Times New Roman" w:cs="Times New Roman"/>
        </w:rPr>
        <w:t>,</w:t>
      </w:r>
      <w:r w:rsidR="00214544">
        <w:rPr>
          <w:rFonts w:ascii="Times New Roman" w:hAnsi="Times New Roman" w:cs="Times New Roman"/>
        </w:rPr>
        <w:t xml:space="preserve"> and </w:t>
      </w:r>
      <w:r w:rsidR="00A4571B">
        <w:rPr>
          <w:rFonts w:ascii="Times New Roman" w:hAnsi="Times New Roman" w:cs="Times New Roman"/>
        </w:rPr>
        <w:t>recognizing the role that elections should play in enabling political participation</w:t>
      </w:r>
      <w:r w:rsidR="002D3341" w:rsidRPr="00AC7826">
        <w:rPr>
          <w:rFonts w:ascii="Times New Roman" w:hAnsi="Times New Roman" w:cs="Times New Roman"/>
        </w:rPr>
        <w:t xml:space="preserve">, </w:t>
      </w:r>
      <w:r w:rsidR="003336F6">
        <w:rPr>
          <w:rFonts w:ascii="Times New Roman" w:hAnsi="Times New Roman" w:cs="Times New Roman"/>
        </w:rPr>
        <w:t xml:space="preserve">The Carter Center </w:t>
      </w:r>
      <w:r w:rsidR="002D3341" w:rsidRPr="00AC7826">
        <w:rPr>
          <w:rFonts w:ascii="Times New Roman" w:hAnsi="Times New Roman" w:cs="Times New Roman"/>
        </w:rPr>
        <w:t>agree</w:t>
      </w:r>
      <w:r w:rsidR="00214544">
        <w:rPr>
          <w:rFonts w:ascii="Times New Roman" w:hAnsi="Times New Roman" w:cs="Times New Roman"/>
        </w:rPr>
        <w:t>s</w:t>
      </w:r>
      <w:r w:rsidR="002D3341" w:rsidRPr="00AC7826">
        <w:rPr>
          <w:rFonts w:ascii="Times New Roman" w:hAnsi="Times New Roman" w:cs="Times New Roman"/>
        </w:rPr>
        <w:t xml:space="preserve"> with the Special Rapporteur that during elections, spontaneous peaceful assemblies should </w:t>
      </w:r>
      <w:r w:rsidR="00171E76">
        <w:rPr>
          <w:rFonts w:ascii="Times New Roman" w:hAnsi="Times New Roman" w:cs="Times New Roman"/>
        </w:rPr>
        <w:t xml:space="preserve">be </w:t>
      </w:r>
      <w:r w:rsidR="002D3341" w:rsidRPr="00AC7826">
        <w:rPr>
          <w:rFonts w:ascii="Times New Roman" w:hAnsi="Times New Roman" w:cs="Times New Roman"/>
        </w:rPr>
        <w:t>more tolerated and that greater efforts should be made by the state to allow, protect and facilitate peaceful assemblies, simultaneous peaceful assemblies and peaceful counterdemonstrations.</w:t>
      </w:r>
      <w:r w:rsidR="002D3341" w:rsidRPr="00AC7826">
        <w:rPr>
          <w:rStyle w:val="FootnoteReference"/>
          <w:rFonts w:ascii="Times New Roman" w:hAnsi="Times New Roman" w:cs="Times New Roman"/>
        </w:rPr>
        <w:footnoteReference w:id="10"/>
      </w:r>
      <w:r w:rsidR="002D3341" w:rsidRPr="00AC7826">
        <w:rPr>
          <w:rFonts w:ascii="Times New Roman" w:hAnsi="Times New Roman" w:cs="Times New Roman"/>
        </w:rPr>
        <w:t xml:space="preserve"> </w:t>
      </w:r>
    </w:p>
    <w:p w14:paraId="4776A9DF" w14:textId="77777777" w:rsidR="000C398E" w:rsidRPr="00AC7826" w:rsidRDefault="000C398E" w:rsidP="007F5B1F">
      <w:pPr>
        <w:rPr>
          <w:rFonts w:ascii="Times New Roman" w:hAnsi="Times New Roman" w:cs="Times New Roman"/>
        </w:rPr>
      </w:pPr>
    </w:p>
    <w:p w14:paraId="2E5FB910" w14:textId="0EA327A5" w:rsidR="000C398E" w:rsidRPr="00AC7826" w:rsidRDefault="00A4571B" w:rsidP="007F5B1F">
      <w:pPr>
        <w:rPr>
          <w:rFonts w:ascii="Times New Roman" w:hAnsi="Times New Roman" w:cs="Times New Roman"/>
        </w:rPr>
      </w:pPr>
      <w:r>
        <w:rPr>
          <w:rFonts w:ascii="Times New Roman" w:hAnsi="Times New Roman" w:cs="Times New Roman"/>
        </w:rPr>
        <w:t>Notwithstanding the above, w</w:t>
      </w:r>
      <w:r w:rsidR="00C60FA3" w:rsidRPr="00AC7826">
        <w:rPr>
          <w:rFonts w:ascii="Times New Roman" w:hAnsi="Times New Roman" w:cs="Times New Roman"/>
        </w:rPr>
        <w:t xml:space="preserve">e note that it is </w:t>
      </w:r>
      <w:r w:rsidR="008C3628">
        <w:rPr>
          <w:rFonts w:ascii="Times New Roman" w:hAnsi="Times New Roman" w:cs="Times New Roman"/>
        </w:rPr>
        <w:t xml:space="preserve">generally accepted </w:t>
      </w:r>
      <w:r w:rsidR="00C60FA3" w:rsidRPr="00AC7826">
        <w:rPr>
          <w:rFonts w:ascii="Times New Roman" w:hAnsi="Times New Roman" w:cs="Times New Roman"/>
        </w:rPr>
        <w:t>practice in many countries to prohibit campaign events and large demonstrations on election day</w:t>
      </w:r>
      <w:r w:rsidR="0003507F" w:rsidRPr="00AC7826">
        <w:rPr>
          <w:rFonts w:ascii="Times New Roman" w:hAnsi="Times New Roman" w:cs="Times New Roman"/>
        </w:rPr>
        <w:t xml:space="preserve"> and/or around polling stations </w:t>
      </w:r>
      <w:r w:rsidR="008C3628">
        <w:rPr>
          <w:rFonts w:ascii="Times New Roman" w:hAnsi="Times New Roman" w:cs="Times New Roman"/>
        </w:rPr>
        <w:t xml:space="preserve">in order to </w:t>
      </w:r>
      <w:r w:rsidR="00C60FA3" w:rsidRPr="00AC7826">
        <w:rPr>
          <w:rFonts w:ascii="Times New Roman" w:hAnsi="Times New Roman" w:cs="Times New Roman"/>
        </w:rPr>
        <w:t xml:space="preserve">protect the right of voters to express their will free from interference or influence.  </w:t>
      </w:r>
    </w:p>
    <w:p w14:paraId="294B679E" w14:textId="77777777" w:rsidR="000C398E" w:rsidRPr="00AC7826" w:rsidRDefault="000C398E" w:rsidP="007F5B1F">
      <w:pPr>
        <w:rPr>
          <w:rFonts w:ascii="Times New Roman" w:hAnsi="Times New Roman" w:cs="Times New Roman"/>
        </w:rPr>
      </w:pPr>
    </w:p>
    <w:p w14:paraId="4CD2D2D8" w14:textId="326C0107" w:rsidR="00C60FA3" w:rsidRPr="00AC7826" w:rsidRDefault="00C343BA" w:rsidP="007F5B1F">
      <w:pPr>
        <w:rPr>
          <w:rFonts w:ascii="Times New Roman" w:hAnsi="Times New Roman" w:cs="Times New Roman"/>
          <w:b/>
        </w:rPr>
      </w:pPr>
      <w:r>
        <w:rPr>
          <w:rFonts w:ascii="Times New Roman" w:hAnsi="Times New Roman" w:cs="Times New Roman"/>
          <w:b/>
        </w:rPr>
        <w:t xml:space="preserve">Non-discrimination and </w:t>
      </w:r>
      <w:r w:rsidR="000C398E" w:rsidRPr="00AC7826">
        <w:rPr>
          <w:rFonts w:ascii="Times New Roman" w:hAnsi="Times New Roman" w:cs="Times New Roman"/>
          <w:b/>
        </w:rPr>
        <w:t xml:space="preserve">Impartiality </w:t>
      </w:r>
      <w:r>
        <w:rPr>
          <w:rFonts w:ascii="Times New Roman" w:hAnsi="Times New Roman" w:cs="Times New Roman"/>
          <w:b/>
        </w:rPr>
        <w:t>in Decision-Making</w:t>
      </w:r>
    </w:p>
    <w:p w14:paraId="586B5358" w14:textId="26E4AAAF" w:rsidR="001B6BA2" w:rsidRPr="001B6BA2" w:rsidRDefault="001D5F87" w:rsidP="007F5B1F">
      <w:pPr>
        <w:pStyle w:val="NormalWeb"/>
        <w:rPr>
          <w:rFonts w:eastAsiaTheme="minorHAnsi"/>
        </w:rPr>
      </w:pPr>
      <w:r w:rsidRPr="001B6BA2">
        <w:rPr>
          <w:rFonts w:eastAsiaTheme="minorHAnsi"/>
        </w:rPr>
        <w:t>Articles 2 and 21 of the ICCPR</w:t>
      </w:r>
      <w:r w:rsidR="002739EE" w:rsidRPr="001B6BA2">
        <w:rPr>
          <w:rFonts w:eastAsiaTheme="minorHAnsi"/>
        </w:rPr>
        <w:t xml:space="preserve">, when read together, </w:t>
      </w:r>
      <w:r w:rsidR="001B6BA2" w:rsidRPr="001B6BA2">
        <w:rPr>
          <w:rFonts w:eastAsiaTheme="minorHAnsi"/>
        </w:rPr>
        <w:t>protect enjoyment of the right to freedom of peaceful assembly free from distinction of any kind</w:t>
      </w:r>
      <w:r w:rsidR="00D43B35">
        <w:rPr>
          <w:rFonts w:eastAsiaTheme="minorHAnsi"/>
        </w:rPr>
        <w:t xml:space="preserve"> based on prohibited grounds</w:t>
      </w:r>
      <w:r w:rsidR="00936560">
        <w:rPr>
          <w:rFonts w:eastAsiaTheme="minorHAnsi"/>
        </w:rPr>
        <w:t xml:space="preserve">, including on the basis of political or other opinion. </w:t>
      </w:r>
      <w:r w:rsidR="0099589D">
        <w:rPr>
          <w:rFonts w:eastAsiaTheme="minorHAnsi"/>
        </w:rPr>
        <w:t xml:space="preserve">However, </w:t>
      </w:r>
      <w:r w:rsidR="00873312">
        <w:rPr>
          <w:rFonts w:eastAsiaTheme="minorHAnsi"/>
        </w:rPr>
        <w:t xml:space="preserve">in his 2013 report </w:t>
      </w:r>
      <w:r w:rsidR="0099589D">
        <w:rPr>
          <w:rFonts w:eastAsiaTheme="minorHAnsi"/>
        </w:rPr>
        <w:t xml:space="preserve">the Special Rapporteur </w:t>
      </w:r>
      <w:r w:rsidR="00873312" w:rsidRPr="00AC7826">
        <w:t xml:space="preserve">on Freedom of Assembly and Association </w:t>
      </w:r>
      <w:r w:rsidR="0099589D">
        <w:rPr>
          <w:rFonts w:eastAsiaTheme="minorHAnsi"/>
        </w:rPr>
        <w:t>noted</w:t>
      </w:r>
      <w:r w:rsidR="00934B1B">
        <w:rPr>
          <w:rFonts w:eastAsiaTheme="minorHAnsi"/>
        </w:rPr>
        <w:t xml:space="preserve"> </w:t>
      </w:r>
      <w:r w:rsidR="00F433EF">
        <w:rPr>
          <w:rFonts w:eastAsiaTheme="minorHAnsi"/>
        </w:rPr>
        <w:t>“</w:t>
      </w:r>
      <w:r w:rsidR="00934B1B" w:rsidRPr="00934B1B">
        <w:t>the inclination of actors in the electoral contest</w:t>
      </w:r>
      <w:r w:rsidR="00934B1B">
        <w:t xml:space="preserve"> </w:t>
      </w:r>
      <w:r w:rsidR="00934B1B" w:rsidRPr="00934B1B">
        <w:t>to exploit racial, ethnic, religious, political, national or social origin, among other</w:t>
      </w:r>
      <w:r w:rsidR="00934B1B">
        <w:t xml:space="preserve"> </w:t>
      </w:r>
      <w:r w:rsidR="00934B1B" w:rsidRPr="00934B1B">
        <w:t>distinctions explicitly prohibited in article 2 of the International Covenant on Civil</w:t>
      </w:r>
      <w:r w:rsidR="00934B1B">
        <w:t xml:space="preserve"> </w:t>
      </w:r>
      <w:r w:rsidR="00934B1B" w:rsidRPr="00934B1B">
        <w:t xml:space="preserve">and Political Rights, with a view to excluding opponents. </w:t>
      </w:r>
      <w:r w:rsidR="00873312">
        <w:t xml:space="preserve"> </w:t>
      </w:r>
      <w:r w:rsidR="00934B1B" w:rsidRPr="00934B1B">
        <w:t xml:space="preserve">He </w:t>
      </w:r>
      <w:r w:rsidR="00FD56B5">
        <w:t xml:space="preserve">[the Special Rapporteur] </w:t>
      </w:r>
      <w:r w:rsidR="00934B1B" w:rsidRPr="00934B1B">
        <w:t>emphasizes that these</w:t>
      </w:r>
      <w:r w:rsidR="00934B1B">
        <w:t xml:space="preserve"> </w:t>
      </w:r>
      <w:r w:rsidR="00934B1B" w:rsidRPr="00934B1B">
        <w:t>rights are guaranteed for everyone on the basis of equality and that States therefore have the obligation to offer effective protection against</w:t>
      </w:r>
      <w:r w:rsidR="00934B1B">
        <w:t xml:space="preserve"> </w:t>
      </w:r>
      <w:r w:rsidR="00934B1B" w:rsidRPr="00934B1B">
        <w:rPr>
          <w:rFonts w:eastAsiaTheme="minorHAnsi"/>
        </w:rPr>
        <w:t>discrimination.</w:t>
      </w:r>
      <w:r w:rsidR="00F433EF">
        <w:rPr>
          <w:rFonts w:eastAsiaTheme="minorHAnsi"/>
        </w:rPr>
        <w:t>”</w:t>
      </w:r>
      <w:r w:rsidR="0064093C">
        <w:rPr>
          <w:rStyle w:val="FootnoteReference"/>
          <w:rFonts w:eastAsiaTheme="minorHAnsi"/>
        </w:rPr>
        <w:footnoteReference w:id="11"/>
      </w:r>
    </w:p>
    <w:p w14:paraId="571C2E07" w14:textId="108BD15C" w:rsidR="0013017A" w:rsidRDefault="001C38B4" w:rsidP="007F5B1F">
      <w:pPr>
        <w:rPr>
          <w:rFonts w:ascii="Times New Roman" w:hAnsi="Times New Roman" w:cs="Times New Roman"/>
        </w:rPr>
      </w:pPr>
      <w:r>
        <w:rPr>
          <w:rFonts w:ascii="Times New Roman" w:hAnsi="Times New Roman" w:cs="Times New Roman"/>
        </w:rPr>
        <w:t xml:space="preserve">In this regard, </w:t>
      </w:r>
      <w:r w:rsidRPr="00AC7826">
        <w:rPr>
          <w:rFonts w:ascii="Times New Roman" w:hAnsi="Times New Roman" w:cs="Times New Roman"/>
        </w:rPr>
        <w:t xml:space="preserve">the impartiality of decision-making authorities </w:t>
      </w:r>
      <w:r w:rsidR="00A35053">
        <w:rPr>
          <w:rFonts w:ascii="Times New Roman" w:hAnsi="Times New Roman" w:cs="Times New Roman"/>
        </w:rPr>
        <w:t>is critically important</w:t>
      </w:r>
      <w:r w:rsidR="0055778D">
        <w:rPr>
          <w:rFonts w:ascii="Times New Roman" w:hAnsi="Times New Roman" w:cs="Times New Roman"/>
        </w:rPr>
        <w:t xml:space="preserve"> as it r</w:t>
      </w:r>
      <w:r w:rsidR="0013017A" w:rsidRPr="00AC7826">
        <w:rPr>
          <w:rFonts w:ascii="Times New Roman" w:hAnsi="Times New Roman" w:cs="Times New Roman"/>
        </w:rPr>
        <w:t>elate</w:t>
      </w:r>
      <w:r w:rsidR="0055778D">
        <w:rPr>
          <w:rFonts w:ascii="Times New Roman" w:hAnsi="Times New Roman" w:cs="Times New Roman"/>
        </w:rPr>
        <w:t>s</w:t>
      </w:r>
      <w:r w:rsidR="0013017A" w:rsidRPr="00AC7826">
        <w:rPr>
          <w:rFonts w:ascii="Times New Roman" w:hAnsi="Times New Roman" w:cs="Times New Roman"/>
        </w:rPr>
        <w:t xml:space="preserve"> to issues </w:t>
      </w:r>
      <w:r w:rsidR="0055778D">
        <w:rPr>
          <w:rFonts w:ascii="Times New Roman" w:hAnsi="Times New Roman" w:cs="Times New Roman"/>
        </w:rPr>
        <w:t xml:space="preserve">of nondiscrimination and </w:t>
      </w:r>
      <w:r w:rsidR="0013017A" w:rsidRPr="00AC7826">
        <w:rPr>
          <w:rFonts w:ascii="Times New Roman" w:hAnsi="Times New Roman" w:cs="Times New Roman"/>
        </w:rPr>
        <w:t xml:space="preserve">restrictions of the freedom of peaceful assembly. Impartiality </w:t>
      </w:r>
      <w:r w:rsidR="0013017A" w:rsidRPr="00AC7826">
        <w:rPr>
          <w:rFonts w:ascii="Times New Roman" w:hAnsi="Times New Roman" w:cs="Times New Roman"/>
        </w:rPr>
        <w:lastRenderedPageBreak/>
        <w:t xml:space="preserve">is a cornerstone of trust and public confidence in electoral processes. </w:t>
      </w:r>
      <w:r w:rsidR="0013017A">
        <w:rPr>
          <w:rFonts w:ascii="Times New Roman" w:hAnsi="Times New Roman" w:cs="Times New Roman"/>
        </w:rPr>
        <w:t>Where impartiality of decision-making authorities is</w:t>
      </w:r>
      <w:r w:rsidR="00156FC9">
        <w:rPr>
          <w:rFonts w:ascii="Times New Roman" w:hAnsi="Times New Roman" w:cs="Times New Roman"/>
        </w:rPr>
        <w:t xml:space="preserve"> lacking or unclear</w:t>
      </w:r>
      <w:r w:rsidR="0013017A">
        <w:rPr>
          <w:rFonts w:ascii="Times New Roman" w:hAnsi="Times New Roman" w:cs="Times New Roman"/>
        </w:rPr>
        <w:t xml:space="preserve">, trust in elections can falter.  The need for impartiality in decision making regarding freedom of assembly </w:t>
      </w:r>
      <w:r w:rsidR="00156FC9">
        <w:rPr>
          <w:rFonts w:ascii="Times New Roman" w:hAnsi="Times New Roman" w:cs="Times New Roman"/>
        </w:rPr>
        <w:t xml:space="preserve">is especially important </w:t>
      </w:r>
      <w:r w:rsidR="0013017A">
        <w:rPr>
          <w:rFonts w:ascii="Times New Roman" w:hAnsi="Times New Roman" w:cs="Times New Roman"/>
        </w:rPr>
        <w:t>in the context of elections where stakeholder</w:t>
      </w:r>
      <w:r w:rsidR="00156FC9">
        <w:rPr>
          <w:rFonts w:ascii="Times New Roman" w:hAnsi="Times New Roman" w:cs="Times New Roman"/>
        </w:rPr>
        <w:t>s’</w:t>
      </w:r>
      <w:r w:rsidR="0013017A">
        <w:rPr>
          <w:rFonts w:ascii="Times New Roman" w:hAnsi="Times New Roman" w:cs="Times New Roman"/>
        </w:rPr>
        <w:t xml:space="preserve"> concerns about partisanship and the need for a level playing field may already be heightened. </w:t>
      </w:r>
      <w:r w:rsidR="004E16CE">
        <w:rPr>
          <w:rFonts w:ascii="Times New Roman" w:hAnsi="Times New Roman" w:cs="Times New Roman"/>
        </w:rPr>
        <w:t>To increase perceptions of impartiality, d</w:t>
      </w:r>
      <w:r w:rsidR="0013017A">
        <w:rPr>
          <w:rFonts w:ascii="Times New Roman" w:hAnsi="Times New Roman" w:cs="Times New Roman"/>
        </w:rPr>
        <w:t xml:space="preserve">ecision making authorities should give equal treatment to all </w:t>
      </w:r>
      <w:r w:rsidR="004E16CE">
        <w:rPr>
          <w:rFonts w:ascii="Times New Roman" w:hAnsi="Times New Roman" w:cs="Times New Roman"/>
        </w:rPr>
        <w:t>electoral stakeholders regard</w:t>
      </w:r>
      <w:r w:rsidR="00527CA1">
        <w:rPr>
          <w:rFonts w:ascii="Times New Roman" w:hAnsi="Times New Roman" w:cs="Times New Roman"/>
        </w:rPr>
        <w:t>ing</w:t>
      </w:r>
      <w:r w:rsidR="004E16CE">
        <w:rPr>
          <w:rFonts w:ascii="Times New Roman" w:hAnsi="Times New Roman" w:cs="Times New Roman"/>
        </w:rPr>
        <w:t xml:space="preserve"> freedom of peaceful assembly and should take extra measures to ensure that the reasoning of their decisions is clear, transparent and publicly available. </w:t>
      </w:r>
      <w:r w:rsidR="00411915">
        <w:rPr>
          <w:rFonts w:ascii="Times New Roman" w:hAnsi="Times New Roman" w:cs="Times New Roman"/>
        </w:rPr>
        <w:t>In addition, equal treatment should be given to all</w:t>
      </w:r>
      <w:r w:rsidR="00CA14C4">
        <w:rPr>
          <w:rFonts w:ascii="Times New Roman" w:hAnsi="Times New Roman" w:cs="Times New Roman"/>
        </w:rPr>
        <w:t xml:space="preserve"> assemblies with regard to facilitation of the event, and</w:t>
      </w:r>
      <w:r w:rsidR="009E1A78">
        <w:rPr>
          <w:rFonts w:ascii="Times New Roman" w:hAnsi="Times New Roman" w:cs="Times New Roman"/>
        </w:rPr>
        <w:t xml:space="preserve"> the safety and security</w:t>
      </w:r>
      <w:r w:rsidR="00CA14C4">
        <w:rPr>
          <w:rFonts w:ascii="Times New Roman" w:hAnsi="Times New Roman" w:cs="Times New Roman"/>
        </w:rPr>
        <w:t xml:space="preserve"> of those involved.  </w:t>
      </w:r>
    </w:p>
    <w:p w14:paraId="5AF3D416" w14:textId="77777777" w:rsidR="0013017A" w:rsidRDefault="0013017A" w:rsidP="007F5B1F">
      <w:pPr>
        <w:rPr>
          <w:rFonts w:ascii="Times New Roman" w:hAnsi="Times New Roman" w:cs="Times New Roman"/>
          <w:b/>
        </w:rPr>
      </w:pPr>
    </w:p>
    <w:p w14:paraId="6387E163" w14:textId="5DCEDE5E" w:rsidR="00460ABB" w:rsidRPr="00AC7826" w:rsidRDefault="00460ABB" w:rsidP="007F5B1F">
      <w:pPr>
        <w:rPr>
          <w:rFonts w:ascii="Times New Roman" w:hAnsi="Times New Roman" w:cs="Times New Roman"/>
          <w:b/>
        </w:rPr>
      </w:pPr>
      <w:r w:rsidRPr="00AC7826">
        <w:rPr>
          <w:rFonts w:ascii="Times New Roman" w:hAnsi="Times New Roman" w:cs="Times New Roman"/>
          <w:b/>
        </w:rPr>
        <w:t xml:space="preserve">Freedom of Peaceful Assembly and Electoral </w:t>
      </w:r>
      <w:r w:rsidR="00E544A8">
        <w:rPr>
          <w:rFonts w:ascii="Times New Roman" w:hAnsi="Times New Roman" w:cs="Times New Roman"/>
          <w:b/>
        </w:rPr>
        <w:t xml:space="preserve">Processes </w:t>
      </w:r>
    </w:p>
    <w:p w14:paraId="6D841F3D" w14:textId="77777777" w:rsidR="005D598B" w:rsidRDefault="0003507F" w:rsidP="007F5B1F">
      <w:pPr>
        <w:rPr>
          <w:rFonts w:ascii="Times New Roman" w:hAnsi="Times New Roman" w:cs="Times New Roman"/>
        </w:rPr>
      </w:pPr>
      <w:r w:rsidRPr="00AC7826">
        <w:rPr>
          <w:rFonts w:ascii="Times New Roman" w:hAnsi="Times New Roman" w:cs="Times New Roman"/>
        </w:rPr>
        <w:t>El</w:t>
      </w:r>
      <w:r w:rsidR="00460ABB" w:rsidRPr="00AC7826">
        <w:rPr>
          <w:rFonts w:ascii="Times New Roman" w:hAnsi="Times New Roman" w:cs="Times New Roman"/>
        </w:rPr>
        <w:t>ect</w:t>
      </w:r>
      <w:r w:rsidR="00C80032" w:rsidRPr="00AC7826">
        <w:rPr>
          <w:rFonts w:ascii="Times New Roman" w:hAnsi="Times New Roman" w:cs="Times New Roman"/>
        </w:rPr>
        <w:t>ions are not single</w:t>
      </w:r>
      <w:r w:rsidR="00460ABB" w:rsidRPr="00AC7826">
        <w:rPr>
          <w:rFonts w:ascii="Times New Roman" w:hAnsi="Times New Roman" w:cs="Times New Roman"/>
        </w:rPr>
        <w:t xml:space="preserve"> event</w:t>
      </w:r>
      <w:r w:rsidR="00C80032" w:rsidRPr="00AC7826">
        <w:rPr>
          <w:rFonts w:ascii="Times New Roman" w:hAnsi="Times New Roman" w:cs="Times New Roman"/>
        </w:rPr>
        <w:t>s</w:t>
      </w:r>
      <w:r w:rsidR="00460ABB" w:rsidRPr="00AC7826">
        <w:rPr>
          <w:rFonts w:ascii="Times New Roman" w:hAnsi="Times New Roman" w:cs="Times New Roman"/>
        </w:rPr>
        <w:t xml:space="preserve">, but </w:t>
      </w:r>
      <w:r w:rsidR="00C80032" w:rsidRPr="00AC7826">
        <w:rPr>
          <w:rFonts w:ascii="Times New Roman" w:hAnsi="Times New Roman" w:cs="Times New Roman"/>
        </w:rPr>
        <w:t xml:space="preserve">rather </w:t>
      </w:r>
      <w:r w:rsidR="00460ABB" w:rsidRPr="00AC7826">
        <w:rPr>
          <w:rFonts w:ascii="Times New Roman" w:hAnsi="Times New Roman" w:cs="Times New Roman"/>
        </w:rPr>
        <w:t>a cycle of interwoven processes</w:t>
      </w:r>
      <w:r w:rsidR="00C80032" w:rsidRPr="00AC7826">
        <w:rPr>
          <w:rFonts w:ascii="Times New Roman" w:hAnsi="Times New Roman" w:cs="Times New Roman"/>
        </w:rPr>
        <w:t xml:space="preserve"> that occur before, during and after voting day.</w:t>
      </w:r>
      <w:r w:rsidR="00460ABB" w:rsidRPr="00AC7826">
        <w:rPr>
          <w:rStyle w:val="FootnoteReference"/>
          <w:rFonts w:ascii="Times New Roman" w:hAnsi="Times New Roman" w:cs="Times New Roman"/>
        </w:rPr>
        <w:footnoteReference w:id="12"/>
      </w:r>
      <w:r w:rsidR="00C80032" w:rsidRPr="00AC7826">
        <w:rPr>
          <w:rFonts w:ascii="Times New Roman" w:hAnsi="Times New Roman" w:cs="Times New Roman"/>
        </w:rPr>
        <w:t xml:space="preserve"> </w:t>
      </w:r>
      <w:r w:rsidR="00607B4C">
        <w:rPr>
          <w:rFonts w:ascii="Times New Roman" w:hAnsi="Times New Roman" w:cs="Times New Roman"/>
        </w:rPr>
        <w:t xml:space="preserve">While some aspects of </w:t>
      </w:r>
      <w:r w:rsidR="00B67D85">
        <w:rPr>
          <w:rFonts w:ascii="Times New Roman" w:hAnsi="Times New Roman" w:cs="Times New Roman"/>
        </w:rPr>
        <w:t>the e</w:t>
      </w:r>
      <w:r w:rsidR="00C80032" w:rsidRPr="00AC7826">
        <w:rPr>
          <w:rFonts w:ascii="Times New Roman" w:hAnsi="Times New Roman" w:cs="Times New Roman"/>
        </w:rPr>
        <w:t xml:space="preserve">lectoral </w:t>
      </w:r>
      <w:r w:rsidR="00B67D85">
        <w:rPr>
          <w:rFonts w:ascii="Times New Roman" w:hAnsi="Times New Roman" w:cs="Times New Roman"/>
        </w:rPr>
        <w:t xml:space="preserve">process </w:t>
      </w:r>
      <w:r w:rsidR="00607B4C">
        <w:rPr>
          <w:rFonts w:ascii="Times New Roman" w:hAnsi="Times New Roman" w:cs="Times New Roman"/>
        </w:rPr>
        <w:t xml:space="preserve">are </w:t>
      </w:r>
      <w:r w:rsidR="005D598B">
        <w:rPr>
          <w:rFonts w:ascii="Times New Roman" w:hAnsi="Times New Roman" w:cs="Times New Roman"/>
        </w:rPr>
        <w:t xml:space="preserve">essentially </w:t>
      </w:r>
      <w:r w:rsidR="00607B4C">
        <w:rPr>
          <w:rFonts w:ascii="Times New Roman" w:hAnsi="Times New Roman" w:cs="Times New Roman"/>
        </w:rPr>
        <w:t>ongoing</w:t>
      </w:r>
      <w:r w:rsidR="0094567A">
        <w:rPr>
          <w:rFonts w:ascii="Times New Roman" w:hAnsi="Times New Roman" w:cs="Times New Roman"/>
        </w:rPr>
        <w:t xml:space="preserve"> at all times, others </w:t>
      </w:r>
      <w:r w:rsidR="00C80032" w:rsidRPr="00AC7826">
        <w:rPr>
          <w:rFonts w:ascii="Times New Roman" w:hAnsi="Times New Roman" w:cs="Times New Roman"/>
        </w:rPr>
        <w:t xml:space="preserve">are timebound and have clear deadlines. </w:t>
      </w:r>
    </w:p>
    <w:p w14:paraId="60DE71FB" w14:textId="77777777" w:rsidR="005D598B" w:rsidRDefault="005D598B" w:rsidP="007F5B1F">
      <w:pPr>
        <w:rPr>
          <w:rFonts w:ascii="Times New Roman" w:hAnsi="Times New Roman" w:cs="Times New Roman"/>
        </w:rPr>
      </w:pPr>
    </w:p>
    <w:p w14:paraId="18F9F837" w14:textId="273C3887" w:rsidR="00B5372F" w:rsidRPr="00AC7826" w:rsidRDefault="00C80032" w:rsidP="007F5B1F">
      <w:pPr>
        <w:rPr>
          <w:rFonts w:ascii="Times New Roman" w:hAnsi="Times New Roman" w:cs="Times New Roman"/>
        </w:rPr>
      </w:pPr>
      <w:r w:rsidRPr="00AC7826">
        <w:rPr>
          <w:rFonts w:ascii="Times New Roman" w:hAnsi="Times New Roman" w:cs="Times New Roman"/>
        </w:rPr>
        <w:t>A</w:t>
      </w:r>
      <w:r w:rsidR="00FA121A" w:rsidRPr="00AC7826">
        <w:rPr>
          <w:rFonts w:ascii="Times New Roman" w:hAnsi="Times New Roman" w:cs="Times New Roman"/>
        </w:rPr>
        <w:t xml:space="preserve"> pertinent</w:t>
      </w:r>
      <w:r w:rsidRPr="00AC7826">
        <w:rPr>
          <w:rFonts w:ascii="Times New Roman" w:hAnsi="Times New Roman" w:cs="Times New Roman"/>
        </w:rPr>
        <w:t xml:space="preserve"> example</w:t>
      </w:r>
      <w:r w:rsidR="00B5372F" w:rsidRPr="00AC7826">
        <w:rPr>
          <w:rFonts w:ascii="Times New Roman" w:hAnsi="Times New Roman" w:cs="Times New Roman"/>
        </w:rPr>
        <w:t xml:space="preserve"> </w:t>
      </w:r>
      <w:r w:rsidRPr="00AC7826">
        <w:rPr>
          <w:rFonts w:ascii="Times New Roman" w:hAnsi="Times New Roman" w:cs="Times New Roman"/>
        </w:rPr>
        <w:t xml:space="preserve">would </w:t>
      </w:r>
      <w:r w:rsidR="00B5372F" w:rsidRPr="00AC7826">
        <w:rPr>
          <w:rFonts w:ascii="Times New Roman" w:hAnsi="Times New Roman" w:cs="Times New Roman"/>
        </w:rPr>
        <w:t xml:space="preserve">be that of </w:t>
      </w:r>
      <w:r w:rsidRPr="00AC7826">
        <w:rPr>
          <w:rFonts w:ascii="Times New Roman" w:hAnsi="Times New Roman" w:cs="Times New Roman"/>
        </w:rPr>
        <w:t xml:space="preserve">established </w:t>
      </w:r>
      <w:r w:rsidR="00B5372F" w:rsidRPr="00AC7826">
        <w:rPr>
          <w:rFonts w:ascii="Times New Roman" w:hAnsi="Times New Roman" w:cs="Times New Roman"/>
        </w:rPr>
        <w:t xml:space="preserve">and fixed </w:t>
      </w:r>
      <w:r w:rsidRPr="00AC7826">
        <w:rPr>
          <w:rFonts w:ascii="Times New Roman" w:hAnsi="Times New Roman" w:cs="Times New Roman"/>
        </w:rPr>
        <w:t>campaign periods during which candidates and political parties are able to hold rallies and communicate their message to the electorate.</w:t>
      </w:r>
      <w:r w:rsidR="00B5372F" w:rsidRPr="00AC7826">
        <w:rPr>
          <w:rFonts w:ascii="Times New Roman" w:hAnsi="Times New Roman" w:cs="Times New Roman"/>
        </w:rPr>
        <w:t xml:space="preserve"> </w:t>
      </w:r>
      <w:r w:rsidR="0094567A">
        <w:rPr>
          <w:rFonts w:ascii="Times New Roman" w:hAnsi="Times New Roman" w:cs="Times New Roman"/>
        </w:rPr>
        <w:t>Campaign periods</w:t>
      </w:r>
      <w:r w:rsidR="000A1857">
        <w:rPr>
          <w:rFonts w:ascii="Times New Roman" w:hAnsi="Times New Roman" w:cs="Times New Roman"/>
        </w:rPr>
        <w:t xml:space="preserve"> - </w:t>
      </w:r>
      <w:r w:rsidR="0094567A">
        <w:rPr>
          <w:rFonts w:ascii="Times New Roman" w:hAnsi="Times New Roman" w:cs="Times New Roman"/>
        </w:rPr>
        <w:t xml:space="preserve">those formally established by law, as well as broader </w:t>
      </w:r>
      <w:r w:rsidR="003576AD">
        <w:rPr>
          <w:rFonts w:ascii="Times New Roman" w:hAnsi="Times New Roman" w:cs="Times New Roman"/>
        </w:rPr>
        <w:t>periods around elections during which it is to be expected that political participation will be heightened</w:t>
      </w:r>
      <w:r w:rsidR="000A1857">
        <w:rPr>
          <w:rFonts w:ascii="Times New Roman" w:hAnsi="Times New Roman" w:cs="Times New Roman"/>
        </w:rPr>
        <w:t xml:space="preserve"> - </w:t>
      </w:r>
      <w:r w:rsidR="00B5372F" w:rsidRPr="00AC7826">
        <w:rPr>
          <w:rFonts w:ascii="Times New Roman" w:hAnsi="Times New Roman" w:cs="Times New Roman"/>
        </w:rPr>
        <w:t>create additional burdens on duty-bearers to respond promptly to issues related to freedom of peaceful assembly.</w:t>
      </w:r>
    </w:p>
    <w:p w14:paraId="48B41DC3" w14:textId="77777777" w:rsidR="00C80032" w:rsidRPr="00AC7826" w:rsidRDefault="00C80032" w:rsidP="007F5B1F">
      <w:pPr>
        <w:rPr>
          <w:rFonts w:ascii="Times New Roman" w:hAnsi="Times New Roman" w:cs="Times New Roman"/>
        </w:rPr>
      </w:pPr>
    </w:p>
    <w:p w14:paraId="40E69C21" w14:textId="26C85EC7" w:rsidR="00B5372F" w:rsidRPr="00AC7826" w:rsidRDefault="003576AD" w:rsidP="007F5B1F">
      <w:pPr>
        <w:rPr>
          <w:rFonts w:ascii="Times New Roman" w:hAnsi="Times New Roman" w:cs="Times New Roman"/>
        </w:rPr>
      </w:pPr>
      <w:r>
        <w:rPr>
          <w:rFonts w:ascii="Times New Roman" w:hAnsi="Times New Roman" w:cs="Times New Roman"/>
        </w:rPr>
        <w:t>At the same time, a</w:t>
      </w:r>
      <w:r w:rsidR="000C398E" w:rsidRPr="00AC7826">
        <w:rPr>
          <w:rFonts w:ascii="Times New Roman" w:hAnsi="Times New Roman" w:cs="Times New Roman"/>
        </w:rPr>
        <w:t>s the Special Rapporteur note</w:t>
      </w:r>
      <w:r w:rsidR="005D598B">
        <w:rPr>
          <w:rFonts w:ascii="Times New Roman" w:hAnsi="Times New Roman" w:cs="Times New Roman"/>
        </w:rPr>
        <w:t>d</w:t>
      </w:r>
      <w:r w:rsidR="000C398E" w:rsidRPr="00AC7826">
        <w:rPr>
          <w:rFonts w:ascii="Times New Roman" w:hAnsi="Times New Roman" w:cs="Times New Roman"/>
        </w:rPr>
        <w:t>, it may be reasonable for State authorities to establish prior notification procedures to facilitate the right to freedom of peaceful assembly and to take measures to protect public safety and order and the rights and freedoms of others.</w:t>
      </w:r>
      <w:r w:rsidR="000C398E" w:rsidRPr="00AC7826">
        <w:rPr>
          <w:rStyle w:val="FootnoteReference"/>
          <w:rFonts w:ascii="Times New Roman" w:hAnsi="Times New Roman" w:cs="Times New Roman"/>
        </w:rPr>
        <w:footnoteReference w:id="13"/>
      </w:r>
      <w:r w:rsidR="000C398E" w:rsidRPr="00AC7826">
        <w:rPr>
          <w:rFonts w:ascii="Times New Roman" w:hAnsi="Times New Roman" w:cs="Times New Roman"/>
        </w:rPr>
        <w:t xml:space="preserve"> In the context of electoral processes, it </w:t>
      </w:r>
      <w:r>
        <w:rPr>
          <w:rFonts w:ascii="Times New Roman" w:hAnsi="Times New Roman" w:cs="Times New Roman"/>
        </w:rPr>
        <w:t xml:space="preserve">is </w:t>
      </w:r>
      <w:r w:rsidR="000C398E" w:rsidRPr="00AC7826">
        <w:rPr>
          <w:rFonts w:ascii="Times New Roman" w:hAnsi="Times New Roman" w:cs="Times New Roman"/>
        </w:rPr>
        <w:t xml:space="preserve">essential that the notification procedures </w:t>
      </w:r>
      <w:r w:rsidR="00CD1109">
        <w:rPr>
          <w:rFonts w:ascii="Times New Roman" w:hAnsi="Times New Roman" w:cs="Times New Roman"/>
        </w:rPr>
        <w:t xml:space="preserve">are </w:t>
      </w:r>
      <w:r w:rsidR="000C398E" w:rsidRPr="00AC7826">
        <w:rPr>
          <w:rFonts w:ascii="Times New Roman" w:hAnsi="Times New Roman" w:cs="Times New Roman"/>
        </w:rPr>
        <w:t xml:space="preserve">not overly burdensome (see above regarding restrictions) and that any decisions regarding </w:t>
      </w:r>
      <w:r w:rsidR="007B47B1">
        <w:rPr>
          <w:rFonts w:ascii="Times New Roman" w:hAnsi="Times New Roman" w:cs="Times New Roman"/>
        </w:rPr>
        <w:t xml:space="preserve">proposed </w:t>
      </w:r>
      <w:r w:rsidR="000C398E" w:rsidRPr="00AC7826">
        <w:rPr>
          <w:rFonts w:ascii="Times New Roman" w:hAnsi="Times New Roman" w:cs="Times New Roman"/>
        </w:rPr>
        <w:t>peaceful assembl</w:t>
      </w:r>
      <w:r w:rsidR="00F6448B">
        <w:rPr>
          <w:rFonts w:ascii="Times New Roman" w:hAnsi="Times New Roman" w:cs="Times New Roman"/>
        </w:rPr>
        <w:t xml:space="preserve">ies </w:t>
      </w:r>
      <w:r w:rsidR="007B47B1">
        <w:rPr>
          <w:rFonts w:ascii="Times New Roman" w:hAnsi="Times New Roman" w:cs="Times New Roman"/>
        </w:rPr>
        <w:t xml:space="preserve">be </w:t>
      </w:r>
      <w:r w:rsidR="000C398E" w:rsidRPr="00AC7826">
        <w:rPr>
          <w:rFonts w:ascii="Times New Roman" w:hAnsi="Times New Roman" w:cs="Times New Roman"/>
        </w:rPr>
        <w:t>taken quickly so that the right to assembly is not undermined.</w:t>
      </w:r>
    </w:p>
    <w:p w14:paraId="6A00731B" w14:textId="77777777" w:rsidR="000C398E" w:rsidRPr="00AC7826" w:rsidRDefault="000C398E" w:rsidP="007F5B1F">
      <w:pPr>
        <w:rPr>
          <w:rFonts w:ascii="Times New Roman" w:hAnsi="Times New Roman" w:cs="Times New Roman"/>
        </w:rPr>
      </w:pPr>
    </w:p>
    <w:p w14:paraId="2E4CB9D6" w14:textId="24021C93" w:rsidR="000C398E" w:rsidRDefault="005B1924" w:rsidP="007F5B1F">
      <w:pPr>
        <w:rPr>
          <w:rFonts w:ascii="Times New Roman" w:hAnsi="Times New Roman" w:cs="Times New Roman"/>
        </w:rPr>
      </w:pPr>
      <w:r w:rsidRPr="00AC7826">
        <w:rPr>
          <w:rFonts w:ascii="Times New Roman" w:hAnsi="Times New Roman" w:cs="Times New Roman"/>
        </w:rPr>
        <w:t>Organizers and participants in peaceful assemblies have a right to remedy</w:t>
      </w:r>
      <w:r w:rsidR="00B35A48">
        <w:rPr>
          <w:rFonts w:ascii="Times New Roman" w:hAnsi="Times New Roman" w:cs="Times New Roman"/>
        </w:rPr>
        <w:t xml:space="preserve"> if their rights </w:t>
      </w:r>
      <w:r w:rsidR="0002166D">
        <w:rPr>
          <w:rFonts w:ascii="Times New Roman" w:hAnsi="Times New Roman" w:cs="Times New Roman"/>
        </w:rPr>
        <w:t>are infringed</w:t>
      </w:r>
      <w:r w:rsidRPr="00AC7826">
        <w:rPr>
          <w:rFonts w:ascii="Times New Roman" w:hAnsi="Times New Roman" w:cs="Times New Roman"/>
        </w:rPr>
        <w:t xml:space="preserve">.  As the AU Guidelines point out, the remedy should include facilitation of future assemblies as necessary. </w:t>
      </w:r>
      <w:r w:rsidR="00E513C1">
        <w:rPr>
          <w:rFonts w:ascii="Times New Roman" w:hAnsi="Times New Roman" w:cs="Times New Roman"/>
        </w:rPr>
        <w:t xml:space="preserve">In the context of election processes, </w:t>
      </w:r>
      <w:r w:rsidR="00D2009E">
        <w:rPr>
          <w:rFonts w:ascii="Times New Roman" w:hAnsi="Times New Roman" w:cs="Times New Roman"/>
        </w:rPr>
        <w:t xml:space="preserve">an effective and timely remedy </w:t>
      </w:r>
      <w:r w:rsidR="001C4788">
        <w:rPr>
          <w:rFonts w:ascii="Times New Roman" w:hAnsi="Times New Roman" w:cs="Times New Roman"/>
        </w:rPr>
        <w:t xml:space="preserve">may require </w:t>
      </w:r>
      <w:r w:rsidR="00031DD7">
        <w:rPr>
          <w:rFonts w:ascii="Times New Roman" w:hAnsi="Times New Roman" w:cs="Times New Roman"/>
        </w:rPr>
        <w:t xml:space="preserve">that the </w:t>
      </w:r>
      <w:r w:rsidRPr="00AC7826">
        <w:rPr>
          <w:rFonts w:ascii="Times New Roman" w:hAnsi="Times New Roman" w:cs="Times New Roman"/>
        </w:rPr>
        <w:t xml:space="preserve">future assembly </w:t>
      </w:r>
      <w:r w:rsidR="001C4788">
        <w:rPr>
          <w:rFonts w:ascii="Times New Roman" w:hAnsi="Times New Roman" w:cs="Times New Roman"/>
        </w:rPr>
        <w:t>occurs in close temporal proximity</w:t>
      </w:r>
      <w:r w:rsidR="008E3AF2">
        <w:rPr>
          <w:rFonts w:ascii="Times New Roman" w:hAnsi="Times New Roman" w:cs="Times New Roman"/>
        </w:rPr>
        <w:t xml:space="preserve"> to the requested </w:t>
      </w:r>
      <w:proofErr w:type="gramStart"/>
      <w:r w:rsidR="008E3AF2">
        <w:rPr>
          <w:rFonts w:ascii="Times New Roman" w:hAnsi="Times New Roman" w:cs="Times New Roman"/>
        </w:rPr>
        <w:t>time</w:t>
      </w:r>
      <w:r w:rsidR="001C4788">
        <w:rPr>
          <w:rFonts w:ascii="Times New Roman" w:hAnsi="Times New Roman" w:cs="Times New Roman"/>
        </w:rPr>
        <w:t>,</w:t>
      </w:r>
      <w:r w:rsidR="00031DD7">
        <w:rPr>
          <w:rFonts w:ascii="Times New Roman" w:hAnsi="Times New Roman" w:cs="Times New Roman"/>
        </w:rPr>
        <w:t xml:space="preserve"> and</w:t>
      </w:r>
      <w:proofErr w:type="gramEnd"/>
      <w:r w:rsidR="00031DD7">
        <w:rPr>
          <w:rFonts w:ascii="Times New Roman" w:hAnsi="Times New Roman" w:cs="Times New Roman"/>
        </w:rPr>
        <w:t xml:space="preserve"> should not be delayed until </w:t>
      </w:r>
      <w:r w:rsidRPr="00AC7826">
        <w:rPr>
          <w:rFonts w:ascii="Times New Roman" w:hAnsi="Times New Roman" w:cs="Times New Roman"/>
        </w:rPr>
        <w:t xml:space="preserve">the political moment has passed, or when the campaign period is over.  </w:t>
      </w:r>
    </w:p>
    <w:p w14:paraId="57B2958B" w14:textId="791FEAD5" w:rsidR="00F433EF" w:rsidRDefault="00F433EF" w:rsidP="007F5B1F">
      <w:pPr>
        <w:rPr>
          <w:rFonts w:ascii="Times New Roman" w:hAnsi="Times New Roman" w:cs="Times New Roman"/>
        </w:rPr>
      </w:pPr>
    </w:p>
    <w:p w14:paraId="5880D873" w14:textId="38629F5A" w:rsidR="00F433EF" w:rsidRPr="00E40A1B" w:rsidRDefault="00F433EF" w:rsidP="007F5B1F">
      <w:pPr>
        <w:rPr>
          <w:rFonts w:ascii="Times New Roman" w:hAnsi="Times New Roman" w:cs="Times New Roman"/>
          <w:b/>
        </w:rPr>
      </w:pPr>
      <w:r w:rsidRPr="00E40A1B">
        <w:rPr>
          <w:rFonts w:ascii="Times New Roman" w:hAnsi="Times New Roman" w:cs="Times New Roman"/>
          <w:b/>
        </w:rPr>
        <w:t>Freedom of peaceful assembly and the broader electoral environment</w:t>
      </w:r>
    </w:p>
    <w:p w14:paraId="384CCDFA" w14:textId="118FCB03" w:rsidR="0064093C" w:rsidRPr="00AC7826" w:rsidRDefault="00CE1452" w:rsidP="007F5B1F">
      <w:pPr>
        <w:rPr>
          <w:rFonts w:ascii="Times New Roman" w:hAnsi="Times New Roman" w:cs="Times New Roman"/>
        </w:rPr>
      </w:pPr>
      <w:r>
        <w:rPr>
          <w:rFonts w:ascii="Times New Roman" w:hAnsi="Times New Roman" w:cs="Times New Roman"/>
        </w:rPr>
        <w:t>T</w:t>
      </w:r>
      <w:r w:rsidR="00F433EF">
        <w:rPr>
          <w:rFonts w:ascii="Times New Roman" w:hAnsi="Times New Roman" w:cs="Times New Roman"/>
        </w:rPr>
        <w:t>here are periods in the lead up to and immediately after voting day</w:t>
      </w:r>
      <w:r w:rsidR="00AC7BCE">
        <w:rPr>
          <w:rFonts w:ascii="Times New Roman" w:hAnsi="Times New Roman" w:cs="Times New Roman"/>
        </w:rPr>
        <w:t xml:space="preserve">, when peaceful assemblies (campaign rallies, or other demonstrations or events) will be more </w:t>
      </w:r>
      <w:r w:rsidR="00E40A1B">
        <w:rPr>
          <w:rFonts w:ascii="Times New Roman" w:hAnsi="Times New Roman" w:cs="Times New Roman"/>
        </w:rPr>
        <w:t>frequent. This may correspond with periods of heightened political tension</w:t>
      </w:r>
      <w:r>
        <w:rPr>
          <w:rFonts w:ascii="Times New Roman" w:hAnsi="Times New Roman" w:cs="Times New Roman"/>
        </w:rPr>
        <w:t xml:space="preserve">, especially if </w:t>
      </w:r>
      <w:r w:rsidR="00680F54">
        <w:rPr>
          <w:rFonts w:ascii="Times New Roman" w:hAnsi="Times New Roman" w:cs="Times New Roman"/>
        </w:rPr>
        <w:t xml:space="preserve">the </w:t>
      </w:r>
      <w:r w:rsidR="0064093C">
        <w:rPr>
          <w:rFonts w:ascii="Times New Roman" w:hAnsi="Times New Roman" w:cs="Times New Roman"/>
        </w:rPr>
        <w:t>elections</w:t>
      </w:r>
      <w:r w:rsidR="00680F54">
        <w:rPr>
          <w:rFonts w:ascii="Times New Roman" w:hAnsi="Times New Roman" w:cs="Times New Roman"/>
        </w:rPr>
        <w:t xml:space="preserve"> are </w:t>
      </w:r>
      <w:r w:rsidR="00E513C1">
        <w:rPr>
          <w:rFonts w:ascii="Times New Roman" w:hAnsi="Times New Roman" w:cs="Times New Roman"/>
        </w:rPr>
        <w:t xml:space="preserve">high stakes or </w:t>
      </w:r>
      <w:r w:rsidR="00680F54">
        <w:rPr>
          <w:rFonts w:ascii="Times New Roman" w:hAnsi="Times New Roman" w:cs="Times New Roman"/>
        </w:rPr>
        <w:t>closely contested</w:t>
      </w:r>
      <w:r w:rsidR="0064093C">
        <w:rPr>
          <w:rFonts w:ascii="Times New Roman" w:hAnsi="Times New Roman" w:cs="Times New Roman"/>
        </w:rPr>
        <w:t>.</w:t>
      </w:r>
      <w:r w:rsidR="00093948">
        <w:rPr>
          <w:rFonts w:ascii="Times New Roman" w:hAnsi="Times New Roman" w:cs="Times New Roman"/>
        </w:rPr>
        <w:t xml:space="preserve"> Duty bearers may need to take additional measures to ensure that authorities (e.g. security forces) are trained on human rights and the need for restraint when responding in the context of peaceful assemblies.</w:t>
      </w:r>
    </w:p>
    <w:p w14:paraId="50821737" w14:textId="77777777" w:rsidR="000C398E" w:rsidRPr="00AC7826" w:rsidRDefault="000C398E" w:rsidP="007F5B1F">
      <w:pPr>
        <w:rPr>
          <w:rFonts w:ascii="Times New Roman" w:hAnsi="Times New Roman" w:cs="Times New Roman"/>
        </w:rPr>
      </w:pPr>
    </w:p>
    <w:p w14:paraId="29C175F8" w14:textId="77777777" w:rsidR="00C80032" w:rsidRPr="00AC7826" w:rsidRDefault="00C80032" w:rsidP="007F5B1F">
      <w:pPr>
        <w:rPr>
          <w:rFonts w:ascii="Times New Roman" w:hAnsi="Times New Roman" w:cs="Times New Roman"/>
          <w:b/>
        </w:rPr>
      </w:pPr>
      <w:r w:rsidRPr="00AC7826">
        <w:rPr>
          <w:rFonts w:ascii="Times New Roman" w:hAnsi="Times New Roman" w:cs="Times New Roman"/>
          <w:b/>
        </w:rPr>
        <w:t>Freedom of assembly in online spaces</w:t>
      </w:r>
    </w:p>
    <w:p w14:paraId="7998FE19" w14:textId="12F96AD7" w:rsidR="00093948" w:rsidRDefault="00CB22D6" w:rsidP="007F5B1F">
      <w:pPr>
        <w:rPr>
          <w:rFonts w:ascii="Times New Roman" w:hAnsi="Times New Roman" w:cs="Times New Roman"/>
        </w:rPr>
      </w:pPr>
      <w:r w:rsidRPr="00AC7826">
        <w:rPr>
          <w:rFonts w:ascii="Times New Roman" w:hAnsi="Times New Roman" w:cs="Times New Roman"/>
        </w:rPr>
        <w:lastRenderedPageBreak/>
        <w:t>The Human Rights Council, in resolution 24/5 reiterated the important role of new information and communications technologies on the right to freedom of peaceful assembly and reminded all States of their obligation to protect rights both online and off.</w:t>
      </w:r>
      <w:r w:rsidRPr="00AC7826">
        <w:rPr>
          <w:rStyle w:val="FootnoteReference"/>
          <w:rFonts w:ascii="Times New Roman" w:hAnsi="Times New Roman" w:cs="Times New Roman"/>
        </w:rPr>
        <w:footnoteReference w:id="14"/>
      </w:r>
      <w:r w:rsidRPr="00AC7826">
        <w:rPr>
          <w:rFonts w:ascii="Times New Roman" w:hAnsi="Times New Roman" w:cs="Times New Roman"/>
        </w:rPr>
        <w:t xml:space="preserve"> </w:t>
      </w:r>
    </w:p>
    <w:p w14:paraId="0BBCC0EE" w14:textId="77777777" w:rsidR="00D4755B" w:rsidRPr="00D4755B" w:rsidRDefault="00D4755B" w:rsidP="00D4755B">
      <w:pPr>
        <w:rPr>
          <w:rFonts w:ascii="Times New Roman" w:eastAsia="Times New Roman" w:hAnsi="Times New Roman" w:cs="Times New Roman"/>
        </w:rPr>
      </w:pPr>
    </w:p>
    <w:p w14:paraId="4911CF78" w14:textId="436BC2BD" w:rsidR="00C77AC5" w:rsidRDefault="00C77AC5" w:rsidP="00D4755B">
      <w:pPr>
        <w:rPr>
          <w:rFonts w:ascii="Times New Roman" w:hAnsi="Times New Roman" w:cs="Times New Roman"/>
        </w:rPr>
      </w:pPr>
      <w:r w:rsidRPr="00AC7826">
        <w:rPr>
          <w:rFonts w:ascii="Times New Roman" w:hAnsi="Times New Roman" w:cs="Times New Roman"/>
        </w:rPr>
        <w:t>While the Special Rapporteur</w:t>
      </w:r>
      <w:r>
        <w:rPr>
          <w:rFonts w:ascii="Times New Roman" w:hAnsi="Times New Roman" w:cs="Times New Roman"/>
        </w:rPr>
        <w:t xml:space="preserve"> on Freedom of Assembly Association’</w:t>
      </w:r>
      <w:r w:rsidRPr="00AC7826">
        <w:rPr>
          <w:rFonts w:ascii="Times New Roman" w:hAnsi="Times New Roman" w:cs="Times New Roman"/>
        </w:rPr>
        <w:t xml:space="preserve">s next report, which will focus on </w:t>
      </w:r>
      <w:r>
        <w:rPr>
          <w:rFonts w:ascii="Times New Roman" w:hAnsi="Times New Roman" w:cs="Times New Roman"/>
        </w:rPr>
        <w:t>peaceful assembly online</w:t>
      </w:r>
      <w:r w:rsidRPr="00AC7826">
        <w:rPr>
          <w:rFonts w:ascii="Times New Roman" w:hAnsi="Times New Roman" w:cs="Times New Roman"/>
        </w:rPr>
        <w:t xml:space="preserve">, will no doubt provide useful context and analysis on this topic, </w:t>
      </w:r>
      <w:r>
        <w:rPr>
          <w:rFonts w:ascii="Times New Roman" w:hAnsi="Times New Roman" w:cs="Times New Roman"/>
        </w:rPr>
        <w:t>we would note the following points:</w:t>
      </w:r>
    </w:p>
    <w:p w14:paraId="7EA0A8C0" w14:textId="77777777" w:rsidR="00C77AC5" w:rsidRDefault="00C77AC5" w:rsidP="00D4755B">
      <w:pPr>
        <w:rPr>
          <w:rFonts w:ascii="Times New Roman" w:hAnsi="Times New Roman" w:cs="Times New Roman"/>
        </w:rPr>
      </w:pPr>
    </w:p>
    <w:p w14:paraId="634222BB" w14:textId="4B5107AF" w:rsidR="00D4755B" w:rsidRPr="00C77AC5" w:rsidRDefault="00D4755B" w:rsidP="00C77AC5">
      <w:pPr>
        <w:pStyle w:val="ListParagraph"/>
        <w:numPr>
          <w:ilvl w:val="0"/>
          <w:numId w:val="5"/>
        </w:numPr>
        <w:rPr>
          <w:rFonts w:asciiTheme="majorBidi" w:eastAsia="Times New Roman" w:hAnsiTheme="majorBidi" w:cstheme="majorBidi"/>
        </w:rPr>
      </w:pPr>
      <w:r w:rsidRPr="00C77AC5">
        <w:rPr>
          <w:rFonts w:asciiTheme="majorBidi" w:eastAsia="Times New Roman" w:hAnsiTheme="majorBidi" w:cstheme="majorBidi"/>
          <w:i/>
          <w:color w:val="000000"/>
        </w:rPr>
        <w:t xml:space="preserve">The definition of </w:t>
      </w:r>
      <w:r w:rsidR="00E573D9" w:rsidRPr="00C77AC5">
        <w:rPr>
          <w:rFonts w:asciiTheme="majorBidi" w:eastAsia="Times New Roman" w:hAnsiTheme="majorBidi" w:cstheme="majorBidi"/>
          <w:i/>
          <w:color w:val="000000"/>
        </w:rPr>
        <w:t>freedom of p</w:t>
      </w:r>
      <w:r w:rsidRPr="00C77AC5">
        <w:rPr>
          <w:rFonts w:asciiTheme="majorBidi" w:eastAsia="Times New Roman" w:hAnsiTheme="majorBidi" w:cstheme="majorBidi"/>
          <w:i/>
          <w:color w:val="000000"/>
        </w:rPr>
        <w:t>eaceful assembly in online spaces</w:t>
      </w:r>
      <w:r w:rsidR="00E573D9" w:rsidRPr="00C77AC5">
        <w:rPr>
          <w:rFonts w:asciiTheme="majorBidi" w:eastAsia="Times New Roman" w:hAnsiTheme="majorBidi" w:cstheme="majorBidi"/>
          <w:i/>
          <w:color w:val="000000"/>
        </w:rPr>
        <w:t xml:space="preserve"> poses unique challenges.  </w:t>
      </w:r>
      <w:r w:rsidR="00E573D9" w:rsidRPr="00C77AC5">
        <w:rPr>
          <w:rFonts w:asciiTheme="majorBidi" w:eastAsia="Times New Roman" w:hAnsiTheme="majorBidi" w:cstheme="majorBidi"/>
          <w:color w:val="000000"/>
        </w:rPr>
        <w:t xml:space="preserve">Unlike physical assemblies, which occur in </w:t>
      </w:r>
      <w:r w:rsidRPr="00C77AC5">
        <w:rPr>
          <w:rFonts w:asciiTheme="majorBidi" w:eastAsia="Times New Roman" w:hAnsiTheme="majorBidi" w:cstheme="majorBidi"/>
          <w:color w:val="000000"/>
        </w:rPr>
        <w:t xml:space="preserve">finite </w:t>
      </w:r>
      <w:r w:rsidR="00E573D9" w:rsidRPr="00C77AC5">
        <w:rPr>
          <w:rFonts w:asciiTheme="majorBidi" w:eastAsia="Times New Roman" w:hAnsiTheme="majorBidi" w:cstheme="majorBidi"/>
          <w:color w:val="000000"/>
        </w:rPr>
        <w:t xml:space="preserve">and </w:t>
      </w:r>
      <w:r w:rsidR="000B138B" w:rsidRPr="00C77AC5">
        <w:rPr>
          <w:rFonts w:asciiTheme="majorBidi" w:eastAsia="Times New Roman" w:hAnsiTheme="majorBidi" w:cstheme="majorBidi"/>
          <w:color w:val="000000"/>
        </w:rPr>
        <w:t xml:space="preserve">recognizable </w:t>
      </w:r>
      <w:r w:rsidRPr="00C77AC5">
        <w:rPr>
          <w:rFonts w:asciiTheme="majorBidi" w:eastAsia="Times New Roman" w:hAnsiTheme="majorBidi" w:cstheme="majorBidi"/>
          <w:color w:val="000000"/>
        </w:rPr>
        <w:t>geograph</w:t>
      </w:r>
      <w:r w:rsidR="000B138B" w:rsidRPr="00C77AC5">
        <w:rPr>
          <w:rFonts w:asciiTheme="majorBidi" w:eastAsia="Times New Roman" w:hAnsiTheme="majorBidi" w:cstheme="majorBidi"/>
          <w:color w:val="000000"/>
        </w:rPr>
        <w:t>ical spaces,</w:t>
      </w:r>
      <w:r w:rsidR="0039792A" w:rsidRPr="00C77AC5">
        <w:rPr>
          <w:rFonts w:asciiTheme="majorBidi" w:eastAsia="Times New Roman" w:hAnsiTheme="majorBidi" w:cstheme="majorBidi"/>
          <w:color w:val="000000"/>
        </w:rPr>
        <w:t xml:space="preserve"> online assemblies are more difficult to delineate</w:t>
      </w:r>
      <w:r w:rsidR="00903FA2" w:rsidRPr="00C77AC5">
        <w:rPr>
          <w:rFonts w:asciiTheme="majorBidi" w:eastAsia="Times New Roman" w:hAnsiTheme="majorBidi" w:cstheme="majorBidi"/>
          <w:color w:val="000000"/>
        </w:rPr>
        <w:t xml:space="preserve">, but </w:t>
      </w:r>
      <w:r w:rsidRPr="00C77AC5">
        <w:rPr>
          <w:rFonts w:asciiTheme="majorBidi" w:eastAsia="Times New Roman" w:hAnsiTheme="majorBidi" w:cstheme="majorBidi"/>
          <w:color w:val="000000"/>
        </w:rPr>
        <w:t xml:space="preserve">can be bounded by </w:t>
      </w:r>
      <w:r w:rsidR="0044769C" w:rsidRPr="00C77AC5">
        <w:rPr>
          <w:rFonts w:asciiTheme="majorBidi" w:eastAsia="Times New Roman" w:hAnsiTheme="majorBidi" w:cstheme="majorBidi"/>
          <w:color w:val="000000"/>
        </w:rPr>
        <w:t>various means that identify participation</w:t>
      </w:r>
      <w:r w:rsidR="00AB05B9" w:rsidRPr="00C77AC5">
        <w:rPr>
          <w:rFonts w:asciiTheme="majorBidi" w:eastAsia="Times New Roman" w:hAnsiTheme="majorBidi" w:cstheme="majorBidi"/>
          <w:color w:val="000000"/>
        </w:rPr>
        <w:t xml:space="preserve"> in specific </w:t>
      </w:r>
      <w:r w:rsidR="00AE2ADF" w:rsidRPr="00C77AC5">
        <w:rPr>
          <w:rFonts w:asciiTheme="majorBidi" w:eastAsia="Times New Roman" w:hAnsiTheme="majorBidi" w:cstheme="majorBidi"/>
          <w:color w:val="000000"/>
        </w:rPr>
        <w:t xml:space="preserve">virtual spaces.  These could include, for example, the use of specific </w:t>
      </w:r>
      <w:r w:rsidRPr="00C77AC5">
        <w:rPr>
          <w:rFonts w:asciiTheme="majorBidi" w:eastAsia="Times New Roman" w:hAnsiTheme="majorBidi" w:cstheme="majorBidi"/>
          <w:color w:val="000000"/>
        </w:rPr>
        <w:t>hashtags</w:t>
      </w:r>
      <w:r w:rsidR="00AE2ADF" w:rsidRPr="00C77AC5">
        <w:rPr>
          <w:rFonts w:asciiTheme="majorBidi" w:eastAsia="Times New Roman" w:hAnsiTheme="majorBidi" w:cstheme="majorBidi"/>
          <w:color w:val="000000"/>
        </w:rPr>
        <w:t xml:space="preserve">, engagement on thematic Facebook </w:t>
      </w:r>
      <w:r w:rsidRPr="00C77AC5">
        <w:rPr>
          <w:rFonts w:asciiTheme="majorBidi" w:eastAsia="Times New Roman" w:hAnsiTheme="majorBidi" w:cstheme="majorBidi"/>
          <w:color w:val="000000"/>
        </w:rPr>
        <w:t>pages, or even comment stream</w:t>
      </w:r>
      <w:r w:rsidR="0044769C" w:rsidRPr="00C77AC5">
        <w:rPr>
          <w:rFonts w:asciiTheme="majorBidi" w:eastAsia="Times New Roman" w:hAnsiTheme="majorBidi" w:cstheme="majorBidi"/>
          <w:color w:val="000000"/>
        </w:rPr>
        <w:t>s</w:t>
      </w:r>
      <w:r w:rsidRPr="00C77AC5">
        <w:rPr>
          <w:rFonts w:asciiTheme="majorBidi" w:eastAsia="Times New Roman" w:hAnsiTheme="majorBidi" w:cstheme="majorBidi"/>
          <w:color w:val="000000"/>
        </w:rPr>
        <w:t xml:space="preserve"> under a video. Digital public space </w:t>
      </w:r>
      <w:r w:rsidR="006D4AB0" w:rsidRPr="00C77AC5">
        <w:rPr>
          <w:rFonts w:asciiTheme="majorBidi" w:eastAsia="Times New Roman" w:hAnsiTheme="majorBidi" w:cstheme="majorBidi"/>
          <w:color w:val="000000"/>
        </w:rPr>
        <w:t xml:space="preserve">and assembly arguably </w:t>
      </w:r>
      <w:r w:rsidRPr="00C77AC5">
        <w:rPr>
          <w:rFonts w:asciiTheme="majorBidi" w:eastAsia="Times New Roman" w:hAnsiTheme="majorBidi" w:cstheme="majorBidi"/>
          <w:color w:val="000000"/>
        </w:rPr>
        <w:t>includes everyone who is permissioned to take part in a given conversation</w:t>
      </w:r>
      <w:r w:rsidR="009F28E8" w:rsidRPr="00C77AC5">
        <w:rPr>
          <w:rFonts w:asciiTheme="majorBidi" w:eastAsia="Times New Roman" w:hAnsiTheme="majorBidi" w:cstheme="majorBidi"/>
          <w:color w:val="000000"/>
        </w:rPr>
        <w:t>.</w:t>
      </w:r>
      <w:r w:rsidR="006D4AB0" w:rsidRPr="00C77AC5">
        <w:rPr>
          <w:rFonts w:asciiTheme="majorBidi" w:eastAsia="Times New Roman" w:hAnsiTheme="majorBidi" w:cstheme="majorBidi"/>
          <w:color w:val="000000"/>
        </w:rPr>
        <w:t xml:space="preserve"> </w:t>
      </w:r>
    </w:p>
    <w:p w14:paraId="680F317E" w14:textId="77777777" w:rsidR="00E74C68" w:rsidRDefault="00E74C68" w:rsidP="007F5B1F">
      <w:pPr>
        <w:rPr>
          <w:rFonts w:ascii="Times New Roman" w:hAnsi="Times New Roman" w:cs="Times New Roman"/>
        </w:rPr>
      </w:pPr>
    </w:p>
    <w:p w14:paraId="4BDA07D7" w14:textId="6AD02E3B" w:rsidR="00E74C68" w:rsidRDefault="004821BC" w:rsidP="00C77AC5">
      <w:pPr>
        <w:pStyle w:val="NormalWeb"/>
        <w:numPr>
          <w:ilvl w:val="0"/>
          <w:numId w:val="5"/>
        </w:numPr>
        <w:spacing w:before="0" w:beforeAutospacing="0" w:after="0" w:afterAutospacing="0"/>
      </w:pPr>
      <w:r w:rsidRPr="004821BC">
        <w:rPr>
          <w:rFonts w:asciiTheme="majorBidi" w:hAnsiTheme="majorBidi" w:cstheme="majorBidi"/>
          <w:i/>
          <w:color w:val="000000"/>
        </w:rPr>
        <w:t xml:space="preserve">Harassment and hostile online environments </w:t>
      </w:r>
      <w:r>
        <w:rPr>
          <w:rFonts w:asciiTheme="majorBidi" w:hAnsiTheme="majorBidi" w:cstheme="majorBidi"/>
          <w:i/>
          <w:color w:val="000000"/>
        </w:rPr>
        <w:t xml:space="preserve">can </w:t>
      </w:r>
      <w:r w:rsidRPr="004821BC">
        <w:rPr>
          <w:rFonts w:asciiTheme="majorBidi" w:hAnsiTheme="majorBidi" w:cstheme="majorBidi"/>
          <w:i/>
          <w:color w:val="000000"/>
        </w:rPr>
        <w:t xml:space="preserve">create a chilling </w:t>
      </w:r>
      <w:proofErr w:type="gramStart"/>
      <w:r w:rsidRPr="004821BC">
        <w:rPr>
          <w:rFonts w:asciiTheme="majorBidi" w:hAnsiTheme="majorBidi" w:cstheme="majorBidi"/>
          <w:i/>
          <w:color w:val="000000"/>
        </w:rPr>
        <w:t>effect</w:t>
      </w:r>
      <w:r>
        <w:rPr>
          <w:rFonts w:asciiTheme="majorBidi" w:hAnsiTheme="majorBidi" w:cstheme="majorBidi"/>
          <w:i/>
          <w:color w:val="000000"/>
        </w:rPr>
        <w:t>,</w:t>
      </w:r>
      <w:r w:rsidRPr="004821BC">
        <w:rPr>
          <w:rFonts w:asciiTheme="majorBidi" w:hAnsiTheme="majorBidi" w:cstheme="majorBidi"/>
          <w:i/>
          <w:color w:val="000000"/>
        </w:rPr>
        <w:t xml:space="preserve"> and</w:t>
      </w:r>
      <w:proofErr w:type="gramEnd"/>
      <w:r w:rsidRPr="004821BC">
        <w:rPr>
          <w:rFonts w:asciiTheme="majorBidi" w:hAnsiTheme="majorBidi" w:cstheme="majorBidi"/>
          <w:i/>
          <w:color w:val="000000"/>
        </w:rPr>
        <w:t xml:space="preserve"> may violate the freedom of peaceful assembly.</w:t>
      </w:r>
      <w:r>
        <w:rPr>
          <w:rFonts w:asciiTheme="majorBidi" w:hAnsiTheme="majorBidi" w:cstheme="majorBidi"/>
          <w:color w:val="000000"/>
        </w:rPr>
        <w:t xml:space="preserve"> </w:t>
      </w:r>
      <w:r w:rsidR="009F28E8">
        <w:rPr>
          <w:rFonts w:asciiTheme="majorBidi" w:hAnsiTheme="majorBidi" w:cstheme="majorBidi"/>
          <w:color w:val="000000"/>
        </w:rPr>
        <w:t>In online contexts,</w:t>
      </w:r>
      <w:r w:rsidR="00064B4F">
        <w:rPr>
          <w:rFonts w:asciiTheme="majorBidi" w:hAnsiTheme="majorBidi" w:cstheme="majorBidi"/>
          <w:color w:val="000000"/>
        </w:rPr>
        <w:t xml:space="preserve"> </w:t>
      </w:r>
      <w:r w:rsidR="00ED6645">
        <w:rPr>
          <w:rFonts w:asciiTheme="majorBidi" w:hAnsiTheme="majorBidi" w:cstheme="majorBidi"/>
          <w:color w:val="000000"/>
        </w:rPr>
        <w:t>where harassment</w:t>
      </w:r>
      <w:r w:rsidR="00CD0D85">
        <w:rPr>
          <w:rFonts w:asciiTheme="majorBidi" w:hAnsiTheme="majorBidi" w:cstheme="majorBidi"/>
          <w:color w:val="000000"/>
        </w:rPr>
        <w:t xml:space="preserve"> (</w:t>
      </w:r>
      <w:r w:rsidR="005A195B">
        <w:rPr>
          <w:rFonts w:asciiTheme="majorBidi" w:hAnsiTheme="majorBidi" w:cstheme="majorBidi"/>
          <w:color w:val="000000"/>
        </w:rPr>
        <w:t>particularly of women and minorities</w:t>
      </w:r>
      <w:r w:rsidR="00CD0D85">
        <w:rPr>
          <w:rFonts w:asciiTheme="majorBidi" w:hAnsiTheme="majorBidi" w:cstheme="majorBidi"/>
          <w:color w:val="000000"/>
        </w:rPr>
        <w:t>)</w:t>
      </w:r>
      <w:r w:rsidR="005A195B">
        <w:rPr>
          <w:rFonts w:asciiTheme="majorBidi" w:hAnsiTheme="majorBidi" w:cstheme="majorBidi"/>
          <w:color w:val="000000"/>
        </w:rPr>
        <w:t xml:space="preserve"> is rampant,</w:t>
      </w:r>
      <w:r w:rsidR="009F28E8">
        <w:rPr>
          <w:rFonts w:asciiTheme="majorBidi" w:hAnsiTheme="majorBidi" w:cstheme="majorBidi"/>
          <w:color w:val="000000"/>
        </w:rPr>
        <w:t xml:space="preserve"> the right to assembly </w:t>
      </w:r>
      <w:r w:rsidR="00922CFB">
        <w:rPr>
          <w:rFonts w:asciiTheme="majorBidi" w:hAnsiTheme="majorBidi" w:cstheme="majorBidi"/>
          <w:color w:val="000000"/>
        </w:rPr>
        <w:t xml:space="preserve">may be </w:t>
      </w:r>
      <w:r w:rsidR="00260503">
        <w:rPr>
          <w:rFonts w:asciiTheme="majorBidi" w:hAnsiTheme="majorBidi" w:cstheme="majorBidi"/>
          <w:color w:val="000000"/>
        </w:rPr>
        <w:t xml:space="preserve">harmed, and potentially </w:t>
      </w:r>
      <w:r w:rsidR="00922CFB">
        <w:rPr>
          <w:rFonts w:asciiTheme="majorBidi" w:hAnsiTheme="majorBidi" w:cstheme="majorBidi"/>
          <w:color w:val="000000"/>
        </w:rPr>
        <w:t>violated, by h</w:t>
      </w:r>
      <w:r w:rsidR="00E74C68" w:rsidRPr="00A917A4">
        <w:rPr>
          <w:rFonts w:asciiTheme="majorBidi" w:hAnsiTheme="majorBidi" w:cstheme="majorBidi"/>
          <w:color w:val="000000"/>
        </w:rPr>
        <w:t xml:space="preserve">ate speech </w:t>
      </w:r>
      <w:r w:rsidR="00EC00C9">
        <w:rPr>
          <w:rFonts w:asciiTheme="majorBidi" w:hAnsiTheme="majorBidi" w:cstheme="majorBidi"/>
          <w:color w:val="000000"/>
        </w:rPr>
        <w:t xml:space="preserve">or </w:t>
      </w:r>
      <w:r w:rsidR="00922CFB">
        <w:rPr>
          <w:rFonts w:asciiTheme="majorBidi" w:hAnsiTheme="majorBidi" w:cstheme="majorBidi"/>
          <w:color w:val="000000"/>
        </w:rPr>
        <w:t xml:space="preserve">other </w:t>
      </w:r>
      <w:r w:rsidR="00E74C68" w:rsidRPr="00A917A4">
        <w:rPr>
          <w:rFonts w:asciiTheme="majorBidi" w:hAnsiTheme="majorBidi" w:cstheme="majorBidi"/>
          <w:color w:val="000000"/>
        </w:rPr>
        <w:t>threatening speech</w:t>
      </w:r>
      <w:r w:rsidR="00922CFB">
        <w:rPr>
          <w:rFonts w:asciiTheme="majorBidi" w:hAnsiTheme="majorBidi" w:cstheme="majorBidi"/>
          <w:color w:val="000000"/>
        </w:rPr>
        <w:t xml:space="preserve">, which </w:t>
      </w:r>
      <w:r w:rsidR="00E74C68" w:rsidRPr="00A917A4">
        <w:rPr>
          <w:rFonts w:asciiTheme="majorBidi" w:hAnsiTheme="majorBidi" w:cstheme="majorBidi"/>
          <w:color w:val="000000"/>
        </w:rPr>
        <w:t>infring</w:t>
      </w:r>
      <w:r w:rsidR="00922CFB">
        <w:rPr>
          <w:rFonts w:asciiTheme="majorBidi" w:hAnsiTheme="majorBidi" w:cstheme="majorBidi"/>
          <w:color w:val="000000"/>
        </w:rPr>
        <w:t>e</w:t>
      </w:r>
      <w:r w:rsidR="00E74C68" w:rsidRPr="00A917A4">
        <w:rPr>
          <w:rFonts w:asciiTheme="majorBidi" w:hAnsiTheme="majorBidi" w:cstheme="majorBidi"/>
          <w:color w:val="000000"/>
        </w:rPr>
        <w:t xml:space="preserve"> </w:t>
      </w:r>
      <w:r w:rsidR="00922CFB">
        <w:rPr>
          <w:rFonts w:asciiTheme="majorBidi" w:hAnsiTheme="majorBidi" w:cstheme="majorBidi"/>
          <w:color w:val="000000"/>
        </w:rPr>
        <w:t xml:space="preserve">on </w:t>
      </w:r>
      <w:r w:rsidR="00E74C68" w:rsidRPr="00A917A4">
        <w:rPr>
          <w:rFonts w:asciiTheme="majorBidi" w:hAnsiTheme="majorBidi" w:cstheme="majorBidi"/>
          <w:color w:val="000000"/>
        </w:rPr>
        <w:t xml:space="preserve">the right to ‘assemble’ and ‘speak’ or publish on the public web. </w:t>
      </w:r>
      <w:r w:rsidR="00DA0416">
        <w:rPr>
          <w:rFonts w:asciiTheme="majorBidi" w:hAnsiTheme="majorBidi" w:cstheme="majorBidi"/>
          <w:color w:val="000000"/>
        </w:rPr>
        <w:t xml:space="preserve">The role of privately-owned </w:t>
      </w:r>
      <w:r w:rsidR="00E74C68" w:rsidRPr="00A917A4">
        <w:rPr>
          <w:rFonts w:asciiTheme="majorBidi" w:hAnsiTheme="majorBidi" w:cstheme="majorBidi"/>
          <w:color w:val="000000"/>
        </w:rPr>
        <w:t>platform</w:t>
      </w:r>
      <w:r w:rsidR="00DA0416">
        <w:rPr>
          <w:rFonts w:asciiTheme="majorBidi" w:hAnsiTheme="majorBidi" w:cstheme="majorBidi"/>
          <w:color w:val="000000"/>
        </w:rPr>
        <w:t xml:space="preserve">s in enabling the enjoyment of the right of peaceful assembly </w:t>
      </w:r>
      <w:r w:rsidR="00200A9A">
        <w:rPr>
          <w:rFonts w:asciiTheme="majorBidi" w:hAnsiTheme="majorBidi" w:cstheme="majorBidi"/>
          <w:color w:val="000000"/>
        </w:rPr>
        <w:t>poses especially difficult issues</w:t>
      </w:r>
      <w:r w:rsidR="00092ED1">
        <w:rPr>
          <w:rFonts w:asciiTheme="majorBidi" w:hAnsiTheme="majorBidi" w:cstheme="majorBidi"/>
          <w:color w:val="000000"/>
        </w:rPr>
        <w:t xml:space="preserve"> in this regard</w:t>
      </w:r>
      <w:r w:rsidR="00200A9A">
        <w:rPr>
          <w:rFonts w:asciiTheme="majorBidi" w:hAnsiTheme="majorBidi" w:cstheme="majorBidi"/>
          <w:color w:val="000000"/>
        </w:rPr>
        <w:t>.</w:t>
      </w:r>
      <w:r w:rsidR="008573C5">
        <w:rPr>
          <w:rFonts w:asciiTheme="majorBidi" w:hAnsiTheme="majorBidi" w:cstheme="majorBidi"/>
          <w:color w:val="000000"/>
        </w:rPr>
        <w:t xml:space="preserve"> </w:t>
      </w:r>
      <w:r w:rsidR="00D90A0B">
        <w:rPr>
          <w:rFonts w:asciiTheme="majorBidi" w:hAnsiTheme="majorBidi" w:cstheme="majorBidi"/>
          <w:color w:val="000000"/>
        </w:rPr>
        <w:t>T</w:t>
      </w:r>
      <w:r w:rsidR="00E74C68" w:rsidRPr="00A917A4">
        <w:rPr>
          <w:rFonts w:asciiTheme="majorBidi" w:hAnsiTheme="majorBidi" w:cstheme="majorBidi"/>
          <w:color w:val="000000"/>
        </w:rPr>
        <w:t xml:space="preserve">he platforms </w:t>
      </w:r>
      <w:r w:rsidR="00E73152">
        <w:rPr>
          <w:rFonts w:asciiTheme="majorBidi" w:hAnsiTheme="majorBidi" w:cstheme="majorBidi"/>
          <w:color w:val="000000"/>
        </w:rPr>
        <w:t xml:space="preserve">should </w:t>
      </w:r>
      <w:r w:rsidR="00E74C68" w:rsidRPr="00A917A4">
        <w:rPr>
          <w:rFonts w:asciiTheme="majorBidi" w:hAnsiTheme="majorBidi" w:cstheme="majorBidi"/>
          <w:color w:val="000000"/>
        </w:rPr>
        <w:t xml:space="preserve">work closely with national bodies to </w:t>
      </w:r>
      <w:r w:rsidR="009774ED">
        <w:rPr>
          <w:rFonts w:asciiTheme="majorBidi" w:hAnsiTheme="majorBidi" w:cstheme="majorBidi"/>
          <w:color w:val="000000"/>
        </w:rPr>
        <w:t xml:space="preserve">ensure that their practices are fully consistent with international obligations regarding the right to peaceful assembly. </w:t>
      </w:r>
      <w:r w:rsidR="00E74C68">
        <w:rPr>
          <w:rFonts w:ascii="Arial" w:hAnsi="Arial" w:cs="Arial"/>
          <w:color w:val="000000"/>
          <w:sz w:val="22"/>
          <w:szCs w:val="22"/>
        </w:rPr>
        <w:t xml:space="preserve"> </w:t>
      </w:r>
    </w:p>
    <w:p w14:paraId="5C5BD5A9" w14:textId="77777777" w:rsidR="00093948" w:rsidRDefault="00093948" w:rsidP="007F5B1F">
      <w:pPr>
        <w:rPr>
          <w:rFonts w:ascii="Times New Roman" w:hAnsi="Times New Roman" w:cs="Times New Roman"/>
        </w:rPr>
      </w:pPr>
    </w:p>
    <w:p w14:paraId="4CB81D2A" w14:textId="6089704E" w:rsidR="00CB22D6" w:rsidRPr="00C77AC5" w:rsidRDefault="00C77AC5" w:rsidP="00C77AC5">
      <w:pPr>
        <w:pStyle w:val="ListParagraph"/>
        <w:numPr>
          <w:ilvl w:val="0"/>
          <w:numId w:val="5"/>
        </w:numPr>
        <w:rPr>
          <w:rFonts w:ascii="Times New Roman" w:hAnsi="Times New Roman" w:cs="Times New Roman"/>
        </w:rPr>
      </w:pPr>
      <w:r w:rsidRPr="004821BC">
        <w:rPr>
          <w:rFonts w:ascii="Times New Roman" w:hAnsi="Times New Roman" w:cs="Times New Roman"/>
          <w:i/>
        </w:rPr>
        <w:t>In</w:t>
      </w:r>
      <w:r w:rsidR="00CB22D6" w:rsidRPr="004821BC">
        <w:rPr>
          <w:rFonts w:ascii="Times New Roman" w:hAnsi="Times New Roman" w:cs="Times New Roman"/>
          <w:i/>
        </w:rPr>
        <w:t>ternet shut-downs are equivalent to blanket bans</w:t>
      </w:r>
      <w:r w:rsidR="00093948" w:rsidRPr="004821BC">
        <w:rPr>
          <w:rFonts w:ascii="Times New Roman" w:hAnsi="Times New Roman" w:cs="Times New Roman"/>
          <w:i/>
        </w:rPr>
        <w:t>.</w:t>
      </w:r>
      <w:r w:rsidR="00093948" w:rsidRPr="00C77AC5">
        <w:rPr>
          <w:rFonts w:ascii="Times New Roman" w:hAnsi="Times New Roman" w:cs="Times New Roman"/>
          <w:i/>
        </w:rPr>
        <w:t xml:space="preserve">  </w:t>
      </w:r>
      <w:r w:rsidR="00093948" w:rsidRPr="00C77AC5">
        <w:rPr>
          <w:rFonts w:ascii="Times New Roman" w:hAnsi="Times New Roman" w:cs="Times New Roman"/>
        </w:rPr>
        <w:t>T</w:t>
      </w:r>
      <w:r w:rsidR="00AC7826" w:rsidRPr="00C77AC5">
        <w:rPr>
          <w:rFonts w:ascii="Times New Roman" w:hAnsi="Times New Roman" w:cs="Times New Roman"/>
        </w:rPr>
        <w:t>he African Union Guidelines state that the blanket application of restrictions should only be applied as a last resort, where the ban in question complies with the principle of proportionality.  We would argue that internet shut-downs, where all online, peaceful assembly is curtailed, is equivalent to a blanket ban and would constitute a violation of art. 21 of the ICCPR.</w:t>
      </w:r>
    </w:p>
    <w:p w14:paraId="4E43B24B" w14:textId="77777777" w:rsidR="000C398E" w:rsidRPr="00AC7826" w:rsidRDefault="000C398E" w:rsidP="007F5B1F">
      <w:pPr>
        <w:rPr>
          <w:rFonts w:ascii="Times New Roman" w:hAnsi="Times New Roman" w:cs="Times New Roman"/>
        </w:rPr>
      </w:pPr>
    </w:p>
    <w:p w14:paraId="161BBF84" w14:textId="77777777" w:rsidR="00C80032" w:rsidRPr="00AC7826" w:rsidRDefault="00C80032" w:rsidP="007F5B1F">
      <w:pPr>
        <w:rPr>
          <w:rFonts w:ascii="Times New Roman" w:hAnsi="Times New Roman" w:cs="Times New Roman"/>
        </w:rPr>
      </w:pPr>
    </w:p>
    <w:p w14:paraId="418EDD61" w14:textId="77777777" w:rsidR="00460ABB" w:rsidRPr="00AC7826" w:rsidRDefault="00460ABB" w:rsidP="007F5B1F">
      <w:pPr>
        <w:rPr>
          <w:rFonts w:ascii="Times New Roman" w:hAnsi="Times New Roman" w:cs="Times New Roman"/>
        </w:rPr>
      </w:pPr>
    </w:p>
    <w:p w14:paraId="20CFB572" w14:textId="77777777" w:rsidR="0024772E" w:rsidRPr="00AC7826" w:rsidRDefault="0024772E" w:rsidP="007F5B1F">
      <w:pPr>
        <w:rPr>
          <w:rFonts w:ascii="Times New Roman" w:hAnsi="Times New Roman" w:cs="Times New Roman"/>
        </w:rPr>
      </w:pPr>
      <w:r w:rsidRPr="00AC7826">
        <w:rPr>
          <w:rFonts w:ascii="Times New Roman" w:hAnsi="Times New Roman" w:cs="Times New Roman"/>
        </w:rPr>
        <w:t xml:space="preserve"> </w:t>
      </w:r>
    </w:p>
    <w:p w14:paraId="5B709CC5" w14:textId="77777777" w:rsidR="0024772E" w:rsidRPr="00AC7826" w:rsidRDefault="0024772E" w:rsidP="007F5B1F">
      <w:pPr>
        <w:rPr>
          <w:rFonts w:ascii="Times New Roman" w:hAnsi="Times New Roman" w:cs="Times New Roman"/>
        </w:rPr>
      </w:pPr>
    </w:p>
    <w:p w14:paraId="0A3B20EA" w14:textId="77777777" w:rsidR="0024772E" w:rsidRPr="00AC7826" w:rsidRDefault="0024772E" w:rsidP="007F5B1F">
      <w:pPr>
        <w:rPr>
          <w:rFonts w:ascii="Times New Roman" w:hAnsi="Times New Roman" w:cs="Times New Roman"/>
        </w:rPr>
      </w:pPr>
    </w:p>
    <w:p w14:paraId="196A6157" w14:textId="77777777" w:rsidR="00FA121A" w:rsidRPr="00AC7826" w:rsidRDefault="00FA121A" w:rsidP="007F5B1F">
      <w:pPr>
        <w:rPr>
          <w:rFonts w:ascii="Times New Roman" w:hAnsi="Times New Roman" w:cs="Times New Roman"/>
        </w:rPr>
      </w:pPr>
    </w:p>
    <w:p w14:paraId="21250027" w14:textId="77777777" w:rsidR="00FA121A" w:rsidRPr="00AC7826" w:rsidRDefault="00FA121A" w:rsidP="007F5B1F">
      <w:pPr>
        <w:rPr>
          <w:rFonts w:ascii="Times New Roman" w:hAnsi="Times New Roman" w:cs="Times New Roman"/>
        </w:rPr>
      </w:pPr>
    </w:p>
    <w:p w14:paraId="23839ED4" w14:textId="77777777" w:rsidR="00FA121A" w:rsidRPr="00AC7826" w:rsidRDefault="00FA121A" w:rsidP="007F5B1F">
      <w:pPr>
        <w:rPr>
          <w:rFonts w:ascii="Times New Roman" w:hAnsi="Times New Roman" w:cs="Times New Roman"/>
        </w:rPr>
      </w:pPr>
    </w:p>
    <w:sectPr w:rsidR="00FA121A" w:rsidRPr="00AC7826" w:rsidSect="00C80032">
      <w:footerReference w:type="even" r:id="rId16"/>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25FB9" w14:textId="77777777" w:rsidR="00245D88" w:rsidRDefault="00245D88" w:rsidP="00CA50C3">
      <w:r>
        <w:separator/>
      </w:r>
    </w:p>
  </w:endnote>
  <w:endnote w:type="continuationSeparator" w:id="0">
    <w:p w14:paraId="74C36C53" w14:textId="77777777" w:rsidR="00245D88" w:rsidRDefault="00245D88" w:rsidP="00CA5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8855019"/>
      <w:docPartObj>
        <w:docPartGallery w:val="Page Numbers (Bottom of Page)"/>
        <w:docPartUnique/>
      </w:docPartObj>
    </w:sdtPr>
    <w:sdtEndPr>
      <w:rPr>
        <w:rStyle w:val="PageNumber"/>
      </w:rPr>
    </w:sdtEndPr>
    <w:sdtContent>
      <w:p w14:paraId="06D4DC30" w14:textId="77777777" w:rsidR="00C80032" w:rsidRDefault="00C80032" w:rsidP="00C800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0FD1AA" w14:textId="77777777" w:rsidR="00C80032" w:rsidRDefault="00C80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37845633"/>
      <w:docPartObj>
        <w:docPartGallery w:val="Page Numbers (Bottom of Page)"/>
        <w:docPartUnique/>
      </w:docPartObj>
    </w:sdtPr>
    <w:sdtEndPr>
      <w:rPr>
        <w:rStyle w:val="PageNumber"/>
      </w:rPr>
    </w:sdtEndPr>
    <w:sdtContent>
      <w:p w14:paraId="35D27982" w14:textId="77777777" w:rsidR="00C80032" w:rsidRDefault="00C80032" w:rsidP="00C800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8C4232" w14:textId="77777777" w:rsidR="00C80032" w:rsidRDefault="00C80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40A00" w14:textId="77777777" w:rsidR="00245D88" w:rsidRDefault="00245D88" w:rsidP="00CA50C3">
      <w:r>
        <w:separator/>
      </w:r>
    </w:p>
  </w:footnote>
  <w:footnote w:type="continuationSeparator" w:id="0">
    <w:p w14:paraId="49E9BAF6" w14:textId="77777777" w:rsidR="00245D88" w:rsidRDefault="00245D88" w:rsidP="00CA50C3">
      <w:r>
        <w:continuationSeparator/>
      </w:r>
    </w:p>
  </w:footnote>
  <w:footnote w:id="1">
    <w:p w14:paraId="6E7E10A4" w14:textId="77777777" w:rsidR="005B1924" w:rsidRPr="000C701B" w:rsidRDefault="005B1924" w:rsidP="005B1924">
      <w:pPr>
        <w:rPr>
          <w:rFonts w:ascii="Times New Roman" w:eastAsia="Times New Roman" w:hAnsi="Times New Roman" w:cs="Times New Roman"/>
        </w:rPr>
      </w:pPr>
      <w:r w:rsidRPr="000C701B">
        <w:rPr>
          <w:rStyle w:val="FootnoteReference"/>
          <w:rFonts w:ascii="Times New Roman" w:hAnsi="Times New Roman" w:cs="Times New Roman"/>
        </w:rPr>
        <w:footnoteRef/>
      </w:r>
      <w:r w:rsidRPr="000C701B">
        <w:rPr>
          <w:rFonts w:ascii="Times New Roman" w:hAnsi="Times New Roman" w:cs="Times New Roman"/>
        </w:rPr>
        <w:t xml:space="preserve"> “</w:t>
      </w:r>
      <w:r w:rsidRPr="000C701B">
        <w:rPr>
          <w:rFonts w:ascii="Times New Roman" w:hAnsi="Times New Roman" w:cs="Times New Roman"/>
          <w:sz w:val="20"/>
          <w:szCs w:val="20"/>
        </w:rPr>
        <w:t>The right of peaceful assembly shall be recognized. No restrictions may be placed on the exercise of this right other than those imposed in conformity with the law and which are necessary in a democratic society in the interests of national security or public safety, public order (</w:t>
      </w:r>
      <w:proofErr w:type="spellStart"/>
      <w:r w:rsidRPr="000C701B">
        <w:rPr>
          <w:rFonts w:ascii="Times New Roman" w:hAnsi="Times New Roman" w:cs="Times New Roman"/>
          <w:sz w:val="20"/>
          <w:szCs w:val="20"/>
        </w:rPr>
        <w:t>ordre</w:t>
      </w:r>
      <w:proofErr w:type="spellEnd"/>
      <w:r w:rsidRPr="000C701B">
        <w:rPr>
          <w:rFonts w:ascii="Times New Roman" w:hAnsi="Times New Roman" w:cs="Times New Roman"/>
          <w:sz w:val="20"/>
          <w:szCs w:val="20"/>
        </w:rPr>
        <w:t xml:space="preserve"> public), the protection of public health or morals or the protection of the rights and freedoms of others.”</w:t>
      </w:r>
      <w:r w:rsidR="00AD6FD9" w:rsidRPr="000C701B">
        <w:rPr>
          <w:rFonts w:ascii="Times New Roman" w:hAnsi="Times New Roman" w:cs="Times New Roman"/>
          <w:sz w:val="20"/>
          <w:szCs w:val="20"/>
        </w:rPr>
        <w:t xml:space="preserve"> </w:t>
      </w:r>
    </w:p>
  </w:footnote>
  <w:footnote w:id="2">
    <w:p w14:paraId="755147D4" w14:textId="77777777" w:rsidR="00460ABB" w:rsidRPr="000C701B" w:rsidRDefault="00460ABB">
      <w:pPr>
        <w:pStyle w:val="FootnoteText"/>
        <w:rPr>
          <w:rFonts w:ascii="Times New Roman" w:hAnsi="Times New Roman" w:cs="Times New Roman"/>
        </w:rPr>
      </w:pPr>
      <w:r w:rsidRPr="000C701B">
        <w:rPr>
          <w:rStyle w:val="FootnoteReference"/>
          <w:rFonts w:ascii="Times New Roman" w:hAnsi="Times New Roman" w:cs="Times New Roman"/>
        </w:rPr>
        <w:footnoteRef/>
      </w:r>
      <w:r w:rsidRPr="000C701B">
        <w:rPr>
          <w:rFonts w:ascii="Times New Roman" w:hAnsi="Times New Roman" w:cs="Times New Roman"/>
        </w:rPr>
        <w:t xml:space="preserve"> For the purposes of this paper we define freedom of assembly as an intentional and temporary gathering in a private or public space for a</w:t>
      </w:r>
      <w:r w:rsidR="00AD6FD9" w:rsidRPr="000C701B">
        <w:rPr>
          <w:rFonts w:ascii="Times New Roman" w:hAnsi="Times New Roman" w:cs="Times New Roman"/>
        </w:rPr>
        <w:t xml:space="preserve">n expressive purpose. We note that assemblies may also take place through the use of online platforms.  For this definition we draw from the </w:t>
      </w:r>
      <w:r w:rsidRPr="000C701B">
        <w:rPr>
          <w:rFonts w:ascii="Times New Roman" w:hAnsi="Times New Roman" w:cs="Times New Roman"/>
        </w:rPr>
        <w:t>Report of the Special Rapporteur on rights to freedom of peaceful assembly and association, A/HRC/20/27, (21 May 2012) para. 24</w:t>
      </w:r>
      <w:r w:rsidR="00AD6FD9" w:rsidRPr="000C701B">
        <w:rPr>
          <w:rFonts w:ascii="Times New Roman" w:hAnsi="Times New Roman" w:cs="Times New Roman"/>
        </w:rPr>
        <w:t>, and the AU Guidelines on Freedom of Association and Assembly in Africa, para. 3.</w:t>
      </w:r>
    </w:p>
  </w:footnote>
  <w:footnote w:id="3">
    <w:p w14:paraId="4A3D91B7" w14:textId="77777777" w:rsidR="00CA50C3" w:rsidRPr="000C701B" w:rsidRDefault="00CA50C3">
      <w:pPr>
        <w:pStyle w:val="FootnoteText"/>
        <w:rPr>
          <w:rFonts w:ascii="Times New Roman" w:hAnsi="Times New Roman" w:cs="Times New Roman"/>
        </w:rPr>
      </w:pPr>
      <w:r w:rsidRPr="000C701B">
        <w:rPr>
          <w:rStyle w:val="FootnoteReference"/>
          <w:rFonts w:ascii="Times New Roman" w:hAnsi="Times New Roman" w:cs="Times New Roman"/>
        </w:rPr>
        <w:footnoteRef/>
      </w:r>
      <w:r w:rsidRPr="000C701B">
        <w:rPr>
          <w:rFonts w:ascii="Times New Roman" w:hAnsi="Times New Roman" w:cs="Times New Roman"/>
        </w:rPr>
        <w:t xml:space="preserve"> </w:t>
      </w:r>
      <w:r w:rsidR="00EB5D32" w:rsidRPr="000C701B">
        <w:rPr>
          <w:rFonts w:ascii="Times New Roman" w:hAnsi="Times New Roman" w:cs="Times New Roman"/>
        </w:rPr>
        <w:t xml:space="preserve">United Nations Human Rights Committee, </w:t>
      </w:r>
      <w:r w:rsidR="00EB5D32" w:rsidRPr="000C701B">
        <w:rPr>
          <w:rFonts w:ascii="Times New Roman" w:hAnsi="Times New Roman" w:cs="Times New Roman"/>
          <w:i/>
        </w:rPr>
        <w:t xml:space="preserve">General Comment No. 25: the right to participate in public affairs, voting rights and the right of equal access to public services (Art. 25), </w:t>
      </w:r>
      <w:r w:rsidR="00EB5D32" w:rsidRPr="000C701B">
        <w:rPr>
          <w:rFonts w:ascii="Times New Roman" w:hAnsi="Times New Roman" w:cs="Times New Roman"/>
        </w:rPr>
        <w:t>CCPR/C/21/Rev.1/Add.7, para. 12</w:t>
      </w:r>
    </w:p>
  </w:footnote>
  <w:footnote w:id="4">
    <w:p w14:paraId="370C0381" w14:textId="77777777" w:rsidR="00CA50C3" w:rsidRPr="000C701B" w:rsidRDefault="00CA50C3">
      <w:pPr>
        <w:pStyle w:val="FootnoteText"/>
        <w:rPr>
          <w:rFonts w:ascii="Times New Roman" w:hAnsi="Times New Roman" w:cs="Times New Roman"/>
        </w:rPr>
      </w:pPr>
      <w:r w:rsidRPr="000C701B">
        <w:rPr>
          <w:rStyle w:val="FootnoteReference"/>
          <w:rFonts w:ascii="Times New Roman" w:hAnsi="Times New Roman" w:cs="Times New Roman"/>
        </w:rPr>
        <w:footnoteRef/>
      </w:r>
      <w:r w:rsidRPr="000C701B">
        <w:rPr>
          <w:rFonts w:ascii="Times New Roman" w:hAnsi="Times New Roman" w:cs="Times New Roman"/>
          <w:i/>
        </w:rPr>
        <w:t xml:space="preserve"> </w:t>
      </w:r>
      <w:r w:rsidR="00EB5D32" w:rsidRPr="000C701B">
        <w:rPr>
          <w:rFonts w:ascii="Times New Roman" w:hAnsi="Times New Roman" w:cs="Times New Roman"/>
          <w:i/>
        </w:rPr>
        <w:t>Ibid</w:t>
      </w:r>
      <w:r w:rsidR="00EB5D32" w:rsidRPr="000C701B">
        <w:rPr>
          <w:rFonts w:ascii="Times New Roman" w:hAnsi="Times New Roman" w:cs="Times New Roman"/>
        </w:rPr>
        <w:t>, para</w:t>
      </w:r>
      <w:r w:rsidR="00363BC1" w:rsidRPr="000C701B">
        <w:rPr>
          <w:rFonts w:ascii="Times New Roman" w:hAnsi="Times New Roman" w:cs="Times New Roman"/>
        </w:rPr>
        <w:t>.</w:t>
      </w:r>
      <w:r w:rsidR="00EB5D32" w:rsidRPr="000C701B">
        <w:rPr>
          <w:rFonts w:ascii="Times New Roman" w:hAnsi="Times New Roman" w:cs="Times New Roman"/>
        </w:rPr>
        <w:t xml:space="preserve"> 25.</w:t>
      </w:r>
      <w:r w:rsidR="00427D41" w:rsidRPr="000C701B">
        <w:rPr>
          <w:rFonts w:ascii="Times New Roman" w:hAnsi="Times New Roman" w:cs="Times New Roman"/>
        </w:rPr>
        <w:t xml:space="preserve"> See also, Human Rights </w:t>
      </w:r>
      <w:r w:rsidR="001428D7" w:rsidRPr="000C701B">
        <w:rPr>
          <w:rFonts w:ascii="Times New Roman" w:hAnsi="Times New Roman" w:cs="Times New Roman"/>
        </w:rPr>
        <w:t xml:space="preserve">Committee, </w:t>
      </w:r>
      <w:r w:rsidR="001428D7" w:rsidRPr="000C701B">
        <w:rPr>
          <w:rFonts w:ascii="Times New Roman" w:hAnsi="Times New Roman" w:cs="Times New Roman"/>
          <w:i/>
        </w:rPr>
        <w:t xml:space="preserve">Leonid </w:t>
      </w:r>
      <w:proofErr w:type="spellStart"/>
      <w:r w:rsidR="001428D7" w:rsidRPr="000C701B">
        <w:rPr>
          <w:rFonts w:ascii="Times New Roman" w:hAnsi="Times New Roman" w:cs="Times New Roman"/>
          <w:i/>
        </w:rPr>
        <w:t>Sudalenko</w:t>
      </w:r>
      <w:proofErr w:type="spellEnd"/>
      <w:r w:rsidR="001428D7" w:rsidRPr="000C701B">
        <w:rPr>
          <w:rFonts w:ascii="Times New Roman" w:hAnsi="Times New Roman" w:cs="Times New Roman"/>
          <w:i/>
        </w:rPr>
        <w:t xml:space="preserve"> v Belarus</w:t>
      </w:r>
      <w:r w:rsidR="001428D7" w:rsidRPr="000C701B">
        <w:rPr>
          <w:rFonts w:ascii="Times New Roman" w:hAnsi="Times New Roman" w:cs="Times New Roman"/>
        </w:rPr>
        <w:t>, (17 April 2007), Communication No. 1992/2010.</w:t>
      </w:r>
    </w:p>
  </w:footnote>
  <w:footnote w:id="5">
    <w:p w14:paraId="62EF4686" w14:textId="77777777" w:rsidR="00EB5D32" w:rsidRPr="000C701B" w:rsidRDefault="00EB5D32">
      <w:pPr>
        <w:pStyle w:val="FootnoteText"/>
        <w:rPr>
          <w:rFonts w:ascii="Times New Roman" w:hAnsi="Times New Roman" w:cs="Times New Roman"/>
        </w:rPr>
      </w:pPr>
      <w:r w:rsidRPr="000C701B">
        <w:rPr>
          <w:rStyle w:val="FootnoteReference"/>
          <w:rFonts w:ascii="Times New Roman" w:hAnsi="Times New Roman" w:cs="Times New Roman"/>
        </w:rPr>
        <w:footnoteRef/>
      </w:r>
      <w:r w:rsidRPr="000C701B">
        <w:rPr>
          <w:rFonts w:ascii="Times New Roman" w:hAnsi="Times New Roman" w:cs="Times New Roman"/>
        </w:rPr>
        <w:t xml:space="preserve"> </w:t>
      </w:r>
      <w:r w:rsidR="00363BC1" w:rsidRPr="000C701B">
        <w:rPr>
          <w:rFonts w:ascii="Times New Roman" w:hAnsi="Times New Roman" w:cs="Times New Roman"/>
        </w:rPr>
        <w:t xml:space="preserve">OHCHR, </w:t>
      </w:r>
      <w:r w:rsidRPr="000C701B">
        <w:rPr>
          <w:rFonts w:ascii="Times New Roman" w:hAnsi="Times New Roman" w:cs="Times New Roman"/>
        </w:rPr>
        <w:t>Report of the Special Rapporteur on rights to freedom of peaceful assembly and association, A/68/299 (</w:t>
      </w:r>
      <w:r w:rsidR="00363BC1" w:rsidRPr="000C701B">
        <w:rPr>
          <w:rFonts w:ascii="Times New Roman" w:hAnsi="Times New Roman" w:cs="Times New Roman"/>
        </w:rPr>
        <w:t>7 August 2013), para. 7</w:t>
      </w:r>
    </w:p>
  </w:footnote>
  <w:footnote w:id="6">
    <w:p w14:paraId="10717AA5" w14:textId="77777777" w:rsidR="00363BC1" w:rsidRPr="000C701B" w:rsidRDefault="00363BC1">
      <w:pPr>
        <w:pStyle w:val="FootnoteText"/>
        <w:rPr>
          <w:rFonts w:ascii="Times New Roman" w:hAnsi="Times New Roman" w:cs="Times New Roman"/>
        </w:rPr>
      </w:pPr>
      <w:r w:rsidRPr="000C701B">
        <w:rPr>
          <w:rStyle w:val="FootnoteReference"/>
          <w:rFonts w:ascii="Times New Roman" w:hAnsi="Times New Roman" w:cs="Times New Roman"/>
        </w:rPr>
        <w:footnoteRef/>
      </w:r>
      <w:r w:rsidRPr="000C701B">
        <w:rPr>
          <w:rFonts w:ascii="Times New Roman" w:hAnsi="Times New Roman" w:cs="Times New Roman"/>
        </w:rPr>
        <w:t xml:space="preserve"> African Commission on Human and Peoples’ Rights, </w:t>
      </w:r>
      <w:r w:rsidRPr="000C701B">
        <w:rPr>
          <w:rFonts w:ascii="Times New Roman" w:hAnsi="Times New Roman" w:cs="Times New Roman"/>
          <w:i/>
        </w:rPr>
        <w:t>Guidelines on Freedom of Association and Assembly in Africa</w:t>
      </w:r>
      <w:r w:rsidRPr="000C701B">
        <w:rPr>
          <w:rFonts w:ascii="Times New Roman" w:hAnsi="Times New Roman" w:cs="Times New Roman"/>
        </w:rPr>
        <w:t>, p. 8</w:t>
      </w:r>
      <w:r w:rsidR="00427D41" w:rsidRPr="000C701B">
        <w:rPr>
          <w:rFonts w:ascii="Times New Roman" w:hAnsi="Times New Roman" w:cs="Times New Roman"/>
        </w:rPr>
        <w:t xml:space="preserve">.  These principles are also outlined in various views of the Human Rights Committee. </w:t>
      </w:r>
    </w:p>
  </w:footnote>
  <w:footnote w:id="7">
    <w:p w14:paraId="798512FC" w14:textId="0017A2E8" w:rsidR="00063BD1" w:rsidRPr="000C701B" w:rsidRDefault="00063BD1">
      <w:pPr>
        <w:pStyle w:val="FootnoteText"/>
        <w:rPr>
          <w:rFonts w:ascii="Times New Roman" w:hAnsi="Times New Roman" w:cs="Times New Roman"/>
        </w:rPr>
      </w:pPr>
      <w:r w:rsidRPr="000C701B">
        <w:rPr>
          <w:rStyle w:val="FootnoteReference"/>
          <w:rFonts w:ascii="Times New Roman" w:hAnsi="Times New Roman" w:cs="Times New Roman"/>
        </w:rPr>
        <w:footnoteRef/>
      </w:r>
      <w:r w:rsidRPr="000C701B">
        <w:rPr>
          <w:rFonts w:ascii="Times New Roman" w:hAnsi="Times New Roman" w:cs="Times New Roman"/>
        </w:rPr>
        <w:t xml:space="preserve"> </w:t>
      </w:r>
      <w:r w:rsidR="00D21732" w:rsidRPr="000C701B">
        <w:rPr>
          <w:rFonts w:ascii="Times New Roman" w:hAnsi="Times New Roman" w:cs="Times New Roman"/>
          <w:i/>
          <w:iCs/>
        </w:rPr>
        <w:t xml:space="preserve">Ibid, </w:t>
      </w:r>
      <w:r w:rsidR="00D21732" w:rsidRPr="000C701B">
        <w:rPr>
          <w:rFonts w:ascii="Times New Roman" w:hAnsi="Times New Roman" w:cs="Times New Roman"/>
        </w:rPr>
        <w:t xml:space="preserve">p. 27.  </w:t>
      </w:r>
    </w:p>
  </w:footnote>
  <w:footnote w:id="8">
    <w:p w14:paraId="6C7AB7FF" w14:textId="77777777" w:rsidR="001428D7" w:rsidRPr="000C701B" w:rsidRDefault="001428D7">
      <w:pPr>
        <w:pStyle w:val="FootnoteText"/>
        <w:rPr>
          <w:rFonts w:ascii="Times New Roman" w:hAnsi="Times New Roman" w:cs="Times New Roman"/>
        </w:rPr>
      </w:pPr>
      <w:r w:rsidRPr="000C701B">
        <w:rPr>
          <w:rStyle w:val="FootnoteReference"/>
          <w:rFonts w:ascii="Times New Roman" w:hAnsi="Times New Roman" w:cs="Times New Roman"/>
        </w:rPr>
        <w:footnoteRef/>
      </w:r>
      <w:r w:rsidRPr="000C701B">
        <w:rPr>
          <w:rFonts w:ascii="Times New Roman" w:hAnsi="Times New Roman" w:cs="Times New Roman"/>
        </w:rPr>
        <w:t xml:space="preserve"> Human Rights Committee, Valentin </w:t>
      </w:r>
      <w:proofErr w:type="spellStart"/>
      <w:r w:rsidRPr="000C701B">
        <w:rPr>
          <w:rFonts w:ascii="Times New Roman" w:hAnsi="Times New Roman" w:cs="Times New Roman"/>
        </w:rPr>
        <w:t>Evrezov</w:t>
      </w:r>
      <w:proofErr w:type="spellEnd"/>
      <w:r w:rsidRPr="000C701B">
        <w:rPr>
          <w:rFonts w:ascii="Times New Roman" w:hAnsi="Times New Roman" w:cs="Times New Roman"/>
        </w:rPr>
        <w:t xml:space="preserve"> v Belarus, 15 July 2015, Communication 1988/2010.</w:t>
      </w:r>
    </w:p>
  </w:footnote>
  <w:footnote w:id="9">
    <w:p w14:paraId="3AF1AA59" w14:textId="77777777" w:rsidR="00C60FA3" w:rsidRPr="000C701B" w:rsidRDefault="00C60FA3">
      <w:pPr>
        <w:pStyle w:val="FootnoteText"/>
        <w:rPr>
          <w:rFonts w:ascii="Times New Roman" w:hAnsi="Times New Roman" w:cs="Times New Roman"/>
        </w:rPr>
      </w:pPr>
      <w:r w:rsidRPr="000C701B">
        <w:rPr>
          <w:rStyle w:val="FootnoteReference"/>
          <w:rFonts w:ascii="Times New Roman" w:hAnsi="Times New Roman" w:cs="Times New Roman"/>
        </w:rPr>
        <w:footnoteRef/>
      </w:r>
      <w:r w:rsidRPr="000C701B">
        <w:rPr>
          <w:rFonts w:ascii="Times New Roman" w:hAnsi="Times New Roman" w:cs="Times New Roman"/>
        </w:rPr>
        <w:t xml:space="preserve"> </w:t>
      </w:r>
      <w:r w:rsidR="002D3341" w:rsidRPr="000C701B">
        <w:rPr>
          <w:rFonts w:ascii="Times New Roman" w:hAnsi="Times New Roman" w:cs="Times New Roman"/>
        </w:rPr>
        <w:t>Report of the Special Rapporteur, A/68/299, para. 14</w:t>
      </w:r>
      <w:r w:rsidR="00CB22D6" w:rsidRPr="000C701B">
        <w:rPr>
          <w:rFonts w:ascii="Times New Roman" w:hAnsi="Times New Roman" w:cs="Times New Roman"/>
        </w:rPr>
        <w:t>. See also the report of the Special Rapporteur, A/HRC/38/34 (26 July 2018), para. 66 – 73.</w:t>
      </w:r>
    </w:p>
  </w:footnote>
  <w:footnote w:id="10">
    <w:p w14:paraId="6420E3C8" w14:textId="4A0BF77E" w:rsidR="002D3341" w:rsidRPr="000C701B" w:rsidRDefault="002D3341">
      <w:pPr>
        <w:pStyle w:val="FootnoteText"/>
        <w:rPr>
          <w:rFonts w:ascii="Times New Roman" w:hAnsi="Times New Roman" w:cs="Times New Roman"/>
        </w:rPr>
      </w:pPr>
      <w:r w:rsidRPr="000C701B">
        <w:rPr>
          <w:rStyle w:val="FootnoteReference"/>
          <w:rFonts w:ascii="Times New Roman" w:hAnsi="Times New Roman" w:cs="Times New Roman"/>
        </w:rPr>
        <w:footnoteRef/>
      </w:r>
      <w:r w:rsidRPr="000C701B">
        <w:rPr>
          <w:rFonts w:ascii="Times New Roman" w:hAnsi="Times New Roman" w:cs="Times New Roman"/>
        </w:rPr>
        <w:t xml:space="preserve"> </w:t>
      </w:r>
      <w:r w:rsidR="0064093C" w:rsidRPr="000C701B">
        <w:rPr>
          <w:rFonts w:ascii="Times New Roman" w:hAnsi="Times New Roman" w:cs="Times New Roman"/>
          <w:i/>
        </w:rPr>
        <w:t>Report of the Special Rapporteur, A/68/299</w:t>
      </w:r>
      <w:r w:rsidRPr="000C701B">
        <w:rPr>
          <w:rFonts w:ascii="Times New Roman" w:hAnsi="Times New Roman" w:cs="Times New Roman"/>
        </w:rPr>
        <w:t>, paras. 23-24.</w:t>
      </w:r>
    </w:p>
  </w:footnote>
  <w:footnote w:id="11">
    <w:p w14:paraId="7A363685" w14:textId="6B3A89AA" w:rsidR="0064093C" w:rsidRDefault="0064093C">
      <w:pPr>
        <w:pStyle w:val="FootnoteText"/>
      </w:pPr>
      <w:r w:rsidRPr="000C701B">
        <w:rPr>
          <w:rStyle w:val="FootnoteReference"/>
          <w:rFonts w:ascii="Times New Roman" w:hAnsi="Times New Roman" w:cs="Times New Roman"/>
        </w:rPr>
        <w:footnoteRef/>
      </w:r>
      <w:r w:rsidRPr="000C701B">
        <w:rPr>
          <w:rFonts w:ascii="Times New Roman" w:hAnsi="Times New Roman" w:cs="Times New Roman"/>
        </w:rPr>
        <w:t xml:space="preserve"> </w:t>
      </w:r>
      <w:r w:rsidR="00A33357" w:rsidRPr="000C701B">
        <w:rPr>
          <w:rFonts w:ascii="Times New Roman" w:hAnsi="Times New Roman" w:cs="Times New Roman"/>
        </w:rPr>
        <w:t xml:space="preserve">Report of the Special Rapporteur, A/68/299, para. </w:t>
      </w:r>
      <w:r w:rsidR="0017038D" w:rsidRPr="000C701B">
        <w:rPr>
          <w:rFonts w:ascii="Times New Roman" w:hAnsi="Times New Roman" w:cs="Times New Roman"/>
        </w:rPr>
        <w:t>15.</w:t>
      </w:r>
    </w:p>
  </w:footnote>
  <w:footnote w:id="12">
    <w:p w14:paraId="5CCF6C7C" w14:textId="77777777" w:rsidR="00460ABB" w:rsidRPr="000C701B" w:rsidRDefault="00460ABB">
      <w:pPr>
        <w:pStyle w:val="FootnoteText"/>
        <w:rPr>
          <w:rFonts w:ascii="Times New Roman" w:hAnsi="Times New Roman" w:cs="Times New Roman"/>
        </w:rPr>
      </w:pPr>
      <w:r w:rsidRPr="000C701B">
        <w:rPr>
          <w:rStyle w:val="FootnoteReference"/>
          <w:rFonts w:ascii="Times New Roman" w:hAnsi="Times New Roman" w:cs="Times New Roman"/>
        </w:rPr>
        <w:footnoteRef/>
      </w:r>
      <w:r w:rsidRPr="000C701B">
        <w:rPr>
          <w:rFonts w:ascii="Times New Roman" w:hAnsi="Times New Roman" w:cs="Times New Roman"/>
        </w:rPr>
        <w:t xml:space="preserve"> ACE Electoral Knowledge Network, ‘The Electoral Cycle,’ </w:t>
      </w:r>
      <w:hyperlink r:id="rId1" w:history="1">
        <w:r w:rsidRPr="000C701B">
          <w:rPr>
            <w:rStyle w:val="Hyperlink"/>
            <w:rFonts w:ascii="Times New Roman" w:hAnsi="Times New Roman" w:cs="Times New Roman"/>
          </w:rPr>
          <w:t>http://aceproject.org/electoral-advice/electoral-assistance/electoral-cycle</w:t>
        </w:r>
      </w:hyperlink>
      <w:r w:rsidRPr="000C701B">
        <w:rPr>
          <w:rFonts w:ascii="Times New Roman" w:hAnsi="Times New Roman" w:cs="Times New Roman"/>
        </w:rPr>
        <w:t xml:space="preserve"> accessed </w:t>
      </w:r>
      <w:r w:rsidR="00C80032" w:rsidRPr="000C701B">
        <w:rPr>
          <w:rFonts w:ascii="Times New Roman" w:hAnsi="Times New Roman" w:cs="Times New Roman"/>
        </w:rPr>
        <w:t>26 February, 2019.</w:t>
      </w:r>
    </w:p>
  </w:footnote>
  <w:footnote w:id="13">
    <w:p w14:paraId="1C81C26A" w14:textId="77777777" w:rsidR="000C398E" w:rsidRDefault="000C398E">
      <w:pPr>
        <w:pStyle w:val="FootnoteText"/>
      </w:pPr>
      <w:r w:rsidRPr="000C701B">
        <w:rPr>
          <w:rStyle w:val="FootnoteReference"/>
          <w:rFonts w:ascii="Times New Roman" w:hAnsi="Times New Roman" w:cs="Times New Roman"/>
        </w:rPr>
        <w:footnoteRef/>
      </w:r>
      <w:r w:rsidRPr="000C701B">
        <w:rPr>
          <w:rFonts w:ascii="Times New Roman" w:hAnsi="Times New Roman" w:cs="Times New Roman"/>
        </w:rPr>
        <w:t xml:space="preserve"> </w:t>
      </w:r>
      <w:r w:rsidR="002D3341" w:rsidRPr="000C701B">
        <w:rPr>
          <w:rFonts w:ascii="Times New Roman" w:hAnsi="Times New Roman" w:cs="Times New Roman"/>
        </w:rPr>
        <w:t>Report of the Special Rapporteur</w:t>
      </w:r>
      <w:r w:rsidRPr="000C701B">
        <w:rPr>
          <w:rFonts w:ascii="Times New Roman" w:hAnsi="Times New Roman" w:cs="Times New Roman"/>
        </w:rPr>
        <w:t>, A/HRC/20/27, para. 28</w:t>
      </w:r>
    </w:p>
  </w:footnote>
  <w:footnote w:id="14">
    <w:p w14:paraId="390C2F87" w14:textId="77777777" w:rsidR="00CB22D6" w:rsidRPr="000C701B" w:rsidRDefault="00CB22D6">
      <w:pPr>
        <w:pStyle w:val="FootnoteText"/>
        <w:rPr>
          <w:rFonts w:ascii="Times New Roman" w:hAnsi="Times New Roman" w:cs="Times New Roman"/>
        </w:rPr>
      </w:pPr>
      <w:r w:rsidRPr="000C701B">
        <w:rPr>
          <w:rStyle w:val="FootnoteReference"/>
          <w:rFonts w:ascii="Times New Roman" w:hAnsi="Times New Roman" w:cs="Times New Roman"/>
        </w:rPr>
        <w:footnoteRef/>
      </w:r>
      <w:r w:rsidRPr="000C701B">
        <w:rPr>
          <w:rFonts w:ascii="Times New Roman" w:hAnsi="Times New Roman" w:cs="Times New Roman"/>
        </w:rPr>
        <w:t xml:space="preserve"> Human Rights Council, Resolution on the rights to freedom of peaceful assembly and association, A/HRC/RES/24/5.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66E53"/>
    <w:multiLevelType w:val="hybridMultilevel"/>
    <w:tmpl w:val="6144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83E03"/>
    <w:multiLevelType w:val="hybridMultilevel"/>
    <w:tmpl w:val="36886212"/>
    <w:lvl w:ilvl="0" w:tplc="FADA10D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664F4F"/>
    <w:multiLevelType w:val="hybridMultilevel"/>
    <w:tmpl w:val="3F76264A"/>
    <w:lvl w:ilvl="0" w:tplc="7410ED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85862"/>
    <w:multiLevelType w:val="hybridMultilevel"/>
    <w:tmpl w:val="80BE8DB6"/>
    <w:lvl w:ilvl="0" w:tplc="9878B4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3D17E3"/>
    <w:multiLevelType w:val="hybridMultilevel"/>
    <w:tmpl w:val="F7F4E62E"/>
    <w:lvl w:ilvl="0" w:tplc="CB96CC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72E"/>
    <w:rsid w:val="00006EC4"/>
    <w:rsid w:val="000144A0"/>
    <w:rsid w:val="000215B5"/>
    <w:rsid w:val="0002166D"/>
    <w:rsid w:val="00031DD7"/>
    <w:rsid w:val="0003507F"/>
    <w:rsid w:val="00041FAA"/>
    <w:rsid w:val="00063BD1"/>
    <w:rsid w:val="00064B4F"/>
    <w:rsid w:val="00075165"/>
    <w:rsid w:val="00092ED1"/>
    <w:rsid w:val="00093948"/>
    <w:rsid w:val="000A1857"/>
    <w:rsid w:val="000B138B"/>
    <w:rsid w:val="000C398E"/>
    <w:rsid w:val="000C701B"/>
    <w:rsid w:val="000D38AA"/>
    <w:rsid w:val="000D4792"/>
    <w:rsid w:val="000D7451"/>
    <w:rsid w:val="0013017A"/>
    <w:rsid w:val="001428D7"/>
    <w:rsid w:val="00156FC9"/>
    <w:rsid w:val="0017038D"/>
    <w:rsid w:val="00171E76"/>
    <w:rsid w:val="001730A0"/>
    <w:rsid w:val="001B6BA2"/>
    <w:rsid w:val="001C38B4"/>
    <w:rsid w:val="001C4788"/>
    <w:rsid w:val="001D5F87"/>
    <w:rsid w:val="00200A9A"/>
    <w:rsid w:val="00214544"/>
    <w:rsid w:val="00230174"/>
    <w:rsid w:val="0024077B"/>
    <w:rsid w:val="00242AD1"/>
    <w:rsid w:val="00245209"/>
    <w:rsid w:val="00245D88"/>
    <w:rsid w:val="0024772E"/>
    <w:rsid w:val="00260503"/>
    <w:rsid w:val="002739EE"/>
    <w:rsid w:val="002779D3"/>
    <w:rsid w:val="002A484A"/>
    <w:rsid w:val="002D3341"/>
    <w:rsid w:val="002E0D7F"/>
    <w:rsid w:val="0032535B"/>
    <w:rsid w:val="003336F6"/>
    <w:rsid w:val="003576AD"/>
    <w:rsid w:val="00363BC1"/>
    <w:rsid w:val="00363F30"/>
    <w:rsid w:val="0037398A"/>
    <w:rsid w:val="0039792A"/>
    <w:rsid w:val="003B1F71"/>
    <w:rsid w:val="003B3870"/>
    <w:rsid w:val="003D1516"/>
    <w:rsid w:val="003F5A21"/>
    <w:rsid w:val="00411915"/>
    <w:rsid w:val="00427D41"/>
    <w:rsid w:val="0044769C"/>
    <w:rsid w:val="00460ABB"/>
    <w:rsid w:val="00462936"/>
    <w:rsid w:val="004729E8"/>
    <w:rsid w:val="004821BC"/>
    <w:rsid w:val="004C5AD4"/>
    <w:rsid w:val="004E16CE"/>
    <w:rsid w:val="00527CA1"/>
    <w:rsid w:val="0055778D"/>
    <w:rsid w:val="00574353"/>
    <w:rsid w:val="005A195B"/>
    <w:rsid w:val="005A755D"/>
    <w:rsid w:val="005B1924"/>
    <w:rsid w:val="005B2F34"/>
    <w:rsid w:val="005C3120"/>
    <w:rsid w:val="005C57D2"/>
    <w:rsid w:val="005D598B"/>
    <w:rsid w:val="00607B4C"/>
    <w:rsid w:val="00616D64"/>
    <w:rsid w:val="006317FA"/>
    <w:rsid w:val="0064093C"/>
    <w:rsid w:val="00673DF6"/>
    <w:rsid w:val="006771B6"/>
    <w:rsid w:val="00680F54"/>
    <w:rsid w:val="006845C4"/>
    <w:rsid w:val="006C0BFF"/>
    <w:rsid w:val="006D4AB0"/>
    <w:rsid w:val="00704995"/>
    <w:rsid w:val="00775464"/>
    <w:rsid w:val="007B47B1"/>
    <w:rsid w:val="007D594E"/>
    <w:rsid w:val="007D6AAA"/>
    <w:rsid w:val="007F5B1F"/>
    <w:rsid w:val="00804C58"/>
    <w:rsid w:val="0085286C"/>
    <w:rsid w:val="008573C5"/>
    <w:rsid w:val="00873312"/>
    <w:rsid w:val="00884104"/>
    <w:rsid w:val="008B7B3C"/>
    <w:rsid w:val="008C3628"/>
    <w:rsid w:val="008D4EB1"/>
    <w:rsid w:val="008E3AF2"/>
    <w:rsid w:val="00903FA2"/>
    <w:rsid w:val="00913A6C"/>
    <w:rsid w:val="00922152"/>
    <w:rsid w:val="00922CFB"/>
    <w:rsid w:val="00926D2A"/>
    <w:rsid w:val="00934B1B"/>
    <w:rsid w:val="00936560"/>
    <w:rsid w:val="00943BB8"/>
    <w:rsid w:val="0094567A"/>
    <w:rsid w:val="009517F0"/>
    <w:rsid w:val="00976BBA"/>
    <w:rsid w:val="009774ED"/>
    <w:rsid w:val="00985042"/>
    <w:rsid w:val="0099589D"/>
    <w:rsid w:val="009D0863"/>
    <w:rsid w:val="009E1A78"/>
    <w:rsid w:val="009E7A80"/>
    <w:rsid w:val="009F28E8"/>
    <w:rsid w:val="009F7FA0"/>
    <w:rsid w:val="00A1107D"/>
    <w:rsid w:val="00A33357"/>
    <w:rsid w:val="00A35053"/>
    <w:rsid w:val="00A4571B"/>
    <w:rsid w:val="00A77420"/>
    <w:rsid w:val="00A81892"/>
    <w:rsid w:val="00A91436"/>
    <w:rsid w:val="00AB05B9"/>
    <w:rsid w:val="00AC7826"/>
    <w:rsid w:val="00AC7BCE"/>
    <w:rsid w:val="00AD6FD9"/>
    <w:rsid w:val="00AE2ADF"/>
    <w:rsid w:val="00B35A48"/>
    <w:rsid w:val="00B5372F"/>
    <w:rsid w:val="00B60BA7"/>
    <w:rsid w:val="00B67D85"/>
    <w:rsid w:val="00B911A4"/>
    <w:rsid w:val="00BC6FD4"/>
    <w:rsid w:val="00C343BA"/>
    <w:rsid w:val="00C36AE4"/>
    <w:rsid w:val="00C60FA3"/>
    <w:rsid w:val="00C77AC5"/>
    <w:rsid w:val="00C80032"/>
    <w:rsid w:val="00C81CCA"/>
    <w:rsid w:val="00CA14C4"/>
    <w:rsid w:val="00CA50C3"/>
    <w:rsid w:val="00CB22D6"/>
    <w:rsid w:val="00CB788F"/>
    <w:rsid w:val="00CD0D85"/>
    <w:rsid w:val="00CD1109"/>
    <w:rsid w:val="00CE1452"/>
    <w:rsid w:val="00D2009E"/>
    <w:rsid w:val="00D21732"/>
    <w:rsid w:val="00D43B35"/>
    <w:rsid w:val="00D4755B"/>
    <w:rsid w:val="00D775AE"/>
    <w:rsid w:val="00D90A0B"/>
    <w:rsid w:val="00DA0416"/>
    <w:rsid w:val="00DA1ACF"/>
    <w:rsid w:val="00DA68F9"/>
    <w:rsid w:val="00DD407A"/>
    <w:rsid w:val="00E40A1B"/>
    <w:rsid w:val="00E5110D"/>
    <w:rsid w:val="00E513C1"/>
    <w:rsid w:val="00E544A8"/>
    <w:rsid w:val="00E573D9"/>
    <w:rsid w:val="00E73152"/>
    <w:rsid w:val="00E74C68"/>
    <w:rsid w:val="00E836C8"/>
    <w:rsid w:val="00EB5D32"/>
    <w:rsid w:val="00EB6CB9"/>
    <w:rsid w:val="00EC00C9"/>
    <w:rsid w:val="00EC3513"/>
    <w:rsid w:val="00ED5439"/>
    <w:rsid w:val="00ED6645"/>
    <w:rsid w:val="00ED7B2E"/>
    <w:rsid w:val="00EF2EB9"/>
    <w:rsid w:val="00F02518"/>
    <w:rsid w:val="00F37960"/>
    <w:rsid w:val="00F433EF"/>
    <w:rsid w:val="00F6448B"/>
    <w:rsid w:val="00FA121A"/>
    <w:rsid w:val="00FB234A"/>
    <w:rsid w:val="00FD56B5"/>
    <w:rsid w:val="00FE6B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19C1BD"/>
  <w15:chartTrackingRefBased/>
  <w15:docId w15:val="{2CAAE0B3-4484-8A40-971D-BA2A2C11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A50C3"/>
    <w:rPr>
      <w:sz w:val="20"/>
      <w:szCs w:val="20"/>
    </w:rPr>
  </w:style>
  <w:style w:type="character" w:customStyle="1" w:styleId="FootnoteTextChar">
    <w:name w:val="Footnote Text Char"/>
    <w:basedOn w:val="DefaultParagraphFont"/>
    <w:link w:val="FootnoteText"/>
    <w:uiPriority w:val="99"/>
    <w:semiHidden/>
    <w:rsid w:val="00CA50C3"/>
    <w:rPr>
      <w:sz w:val="20"/>
      <w:szCs w:val="20"/>
    </w:rPr>
  </w:style>
  <w:style w:type="character" w:styleId="FootnoteReference">
    <w:name w:val="footnote reference"/>
    <w:basedOn w:val="DefaultParagraphFont"/>
    <w:uiPriority w:val="99"/>
    <w:semiHidden/>
    <w:unhideWhenUsed/>
    <w:rsid w:val="00CA50C3"/>
    <w:rPr>
      <w:vertAlign w:val="superscript"/>
    </w:rPr>
  </w:style>
  <w:style w:type="character" w:styleId="Hyperlink">
    <w:name w:val="Hyperlink"/>
    <w:basedOn w:val="DefaultParagraphFont"/>
    <w:uiPriority w:val="99"/>
    <w:unhideWhenUsed/>
    <w:rsid w:val="00460ABB"/>
    <w:rPr>
      <w:color w:val="0563C1" w:themeColor="hyperlink"/>
      <w:u w:val="single"/>
    </w:rPr>
  </w:style>
  <w:style w:type="character" w:styleId="UnresolvedMention">
    <w:name w:val="Unresolved Mention"/>
    <w:basedOn w:val="DefaultParagraphFont"/>
    <w:uiPriority w:val="99"/>
    <w:rsid w:val="00460ABB"/>
    <w:rPr>
      <w:color w:val="605E5C"/>
      <w:shd w:val="clear" w:color="auto" w:fill="E1DFDD"/>
    </w:rPr>
  </w:style>
  <w:style w:type="paragraph" w:styleId="ListParagraph">
    <w:name w:val="List Paragraph"/>
    <w:basedOn w:val="Normal"/>
    <w:uiPriority w:val="34"/>
    <w:qFormat/>
    <w:rsid w:val="00C80032"/>
    <w:pPr>
      <w:ind w:left="720"/>
      <w:contextualSpacing/>
    </w:pPr>
  </w:style>
  <w:style w:type="paragraph" w:styleId="Footer">
    <w:name w:val="footer"/>
    <w:basedOn w:val="Normal"/>
    <w:link w:val="FooterChar"/>
    <w:uiPriority w:val="99"/>
    <w:unhideWhenUsed/>
    <w:rsid w:val="00C80032"/>
    <w:pPr>
      <w:tabs>
        <w:tab w:val="center" w:pos="4680"/>
        <w:tab w:val="right" w:pos="9360"/>
      </w:tabs>
    </w:pPr>
  </w:style>
  <w:style w:type="character" w:customStyle="1" w:styleId="FooterChar">
    <w:name w:val="Footer Char"/>
    <w:basedOn w:val="DefaultParagraphFont"/>
    <w:link w:val="Footer"/>
    <w:uiPriority w:val="99"/>
    <w:rsid w:val="00C80032"/>
  </w:style>
  <w:style w:type="character" w:styleId="PageNumber">
    <w:name w:val="page number"/>
    <w:basedOn w:val="DefaultParagraphFont"/>
    <w:uiPriority w:val="99"/>
    <w:semiHidden/>
    <w:unhideWhenUsed/>
    <w:rsid w:val="00C80032"/>
  </w:style>
  <w:style w:type="paragraph" w:styleId="NormalWeb">
    <w:name w:val="Normal (Web)"/>
    <w:basedOn w:val="Normal"/>
    <w:uiPriority w:val="99"/>
    <w:unhideWhenUsed/>
    <w:rsid w:val="001B6BA2"/>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D7B2E"/>
    <w:rPr>
      <w:sz w:val="16"/>
      <w:szCs w:val="16"/>
    </w:rPr>
  </w:style>
  <w:style w:type="paragraph" w:styleId="CommentText">
    <w:name w:val="annotation text"/>
    <w:basedOn w:val="Normal"/>
    <w:link w:val="CommentTextChar"/>
    <w:uiPriority w:val="99"/>
    <w:semiHidden/>
    <w:unhideWhenUsed/>
    <w:rsid w:val="00ED7B2E"/>
    <w:rPr>
      <w:sz w:val="20"/>
      <w:szCs w:val="20"/>
    </w:rPr>
  </w:style>
  <w:style w:type="character" w:customStyle="1" w:styleId="CommentTextChar">
    <w:name w:val="Comment Text Char"/>
    <w:basedOn w:val="DefaultParagraphFont"/>
    <w:link w:val="CommentText"/>
    <w:uiPriority w:val="99"/>
    <w:semiHidden/>
    <w:rsid w:val="00ED7B2E"/>
    <w:rPr>
      <w:sz w:val="20"/>
      <w:szCs w:val="20"/>
    </w:rPr>
  </w:style>
  <w:style w:type="paragraph" w:styleId="CommentSubject">
    <w:name w:val="annotation subject"/>
    <w:basedOn w:val="CommentText"/>
    <w:next w:val="CommentText"/>
    <w:link w:val="CommentSubjectChar"/>
    <w:uiPriority w:val="99"/>
    <w:semiHidden/>
    <w:unhideWhenUsed/>
    <w:rsid w:val="00ED7B2E"/>
    <w:rPr>
      <w:b/>
      <w:bCs/>
    </w:rPr>
  </w:style>
  <w:style w:type="character" w:customStyle="1" w:styleId="CommentSubjectChar">
    <w:name w:val="Comment Subject Char"/>
    <w:basedOn w:val="CommentTextChar"/>
    <w:link w:val="CommentSubject"/>
    <w:uiPriority w:val="99"/>
    <w:semiHidden/>
    <w:rsid w:val="00ED7B2E"/>
    <w:rPr>
      <w:b/>
      <w:bCs/>
      <w:sz w:val="20"/>
      <w:szCs w:val="20"/>
    </w:rPr>
  </w:style>
  <w:style w:type="paragraph" w:styleId="BalloonText">
    <w:name w:val="Balloon Text"/>
    <w:basedOn w:val="Normal"/>
    <w:link w:val="BalloonTextChar"/>
    <w:uiPriority w:val="99"/>
    <w:semiHidden/>
    <w:unhideWhenUsed/>
    <w:rsid w:val="00ED7B2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D7B2E"/>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4729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38602">
      <w:bodyDiv w:val="1"/>
      <w:marLeft w:val="0"/>
      <w:marRight w:val="0"/>
      <w:marTop w:val="0"/>
      <w:marBottom w:val="0"/>
      <w:divBdr>
        <w:top w:val="none" w:sz="0" w:space="0" w:color="auto"/>
        <w:left w:val="none" w:sz="0" w:space="0" w:color="auto"/>
        <w:bottom w:val="none" w:sz="0" w:space="0" w:color="auto"/>
        <w:right w:val="none" w:sz="0" w:space="0" w:color="auto"/>
      </w:divBdr>
      <w:divsChild>
        <w:div w:id="1890070252">
          <w:marLeft w:val="0"/>
          <w:marRight w:val="0"/>
          <w:marTop w:val="0"/>
          <w:marBottom w:val="0"/>
          <w:divBdr>
            <w:top w:val="none" w:sz="0" w:space="0" w:color="auto"/>
            <w:left w:val="none" w:sz="0" w:space="0" w:color="auto"/>
            <w:bottom w:val="none" w:sz="0" w:space="0" w:color="auto"/>
            <w:right w:val="none" w:sz="0" w:space="0" w:color="auto"/>
          </w:divBdr>
          <w:divsChild>
            <w:div w:id="1937668161">
              <w:marLeft w:val="0"/>
              <w:marRight w:val="0"/>
              <w:marTop w:val="0"/>
              <w:marBottom w:val="0"/>
              <w:divBdr>
                <w:top w:val="none" w:sz="0" w:space="0" w:color="auto"/>
                <w:left w:val="none" w:sz="0" w:space="0" w:color="auto"/>
                <w:bottom w:val="none" w:sz="0" w:space="0" w:color="auto"/>
                <w:right w:val="none" w:sz="0" w:space="0" w:color="auto"/>
              </w:divBdr>
              <w:divsChild>
                <w:div w:id="3630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729761">
      <w:bodyDiv w:val="1"/>
      <w:marLeft w:val="0"/>
      <w:marRight w:val="0"/>
      <w:marTop w:val="0"/>
      <w:marBottom w:val="0"/>
      <w:divBdr>
        <w:top w:val="none" w:sz="0" w:space="0" w:color="auto"/>
        <w:left w:val="none" w:sz="0" w:space="0" w:color="auto"/>
        <w:bottom w:val="none" w:sz="0" w:space="0" w:color="auto"/>
        <w:right w:val="none" w:sz="0" w:space="0" w:color="auto"/>
      </w:divBdr>
    </w:div>
    <w:div w:id="910164407">
      <w:bodyDiv w:val="1"/>
      <w:marLeft w:val="0"/>
      <w:marRight w:val="0"/>
      <w:marTop w:val="0"/>
      <w:marBottom w:val="0"/>
      <w:divBdr>
        <w:top w:val="none" w:sz="0" w:space="0" w:color="auto"/>
        <w:left w:val="none" w:sz="0" w:space="0" w:color="auto"/>
        <w:bottom w:val="none" w:sz="0" w:space="0" w:color="auto"/>
        <w:right w:val="none" w:sz="0" w:space="0" w:color="auto"/>
      </w:divBdr>
    </w:div>
    <w:div w:id="1492602696">
      <w:bodyDiv w:val="1"/>
      <w:marLeft w:val="0"/>
      <w:marRight w:val="0"/>
      <w:marTop w:val="0"/>
      <w:marBottom w:val="0"/>
      <w:divBdr>
        <w:top w:val="none" w:sz="0" w:space="0" w:color="auto"/>
        <w:left w:val="none" w:sz="0" w:space="0" w:color="auto"/>
        <w:bottom w:val="none" w:sz="0" w:space="0" w:color="auto"/>
        <w:right w:val="none" w:sz="0" w:space="0" w:color="auto"/>
      </w:divBdr>
    </w:div>
    <w:div w:id="1540124320">
      <w:bodyDiv w:val="1"/>
      <w:marLeft w:val="0"/>
      <w:marRight w:val="0"/>
      <w:marTop w:val="0"/>
      <w:marBottom w:val="0"/>
      <w:divBdr>
        <w:top w:val="none" w:sz="0" w:space="0" w:color="auto"/>
        <w:left w:val="none" w:sz="0" w:space="0" w:color="auto"/>
        <w:bottom w:val="none" w:sz="0" w:space="0" w:color="auto"/>
        <w:right w:val="none" w:sz="0" w:space="0" w:color="auto"/>
      </w:divBdr>
    </w:div>
    <w:div w:id="156876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artercenter.org" TargetMode="Externa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hyperlink" Target="mailto:avery@cartercenter.org" TargetMode="Externa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aceproject.org/electoral-advice/electoral-assistance/electoral-cy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C8F09-9AB8-424A-9AB7-72B61112EF21}"/>
</file>

<file path=customXml/itemProps2.xml><?xml version="1.0" encoding="utf-8"?>
<ds:datastoreItem xmlns:ds="http://schemas.openxmlformats.org/officeDocument/2006/customXml" ds:itemID="{9943AB0E-3025-4ED4-88BC-1379E8F2A959}">
  <ds:schemaRefs>
    <ds:schemaRef ds:uri="http://purl.org/dc/elements/1.1/"/>
    <ds:schemaRef ds:uri="7490cfc2-d400-4658-b71e-b28e5845fba7"/>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ff4bde7b-5461-4a0d-8110-fa7728fd129d"/>
  </ds:schemaRefs>
</ds:datastoreItem>
</file>

<file path=customXml/itemProps3.xml><?xml version="1.0" encoding="utf-8"?>
<ds:datastoreItem xmlns:ds="http://schemas.openxmlformats.org/officeDocument/2006/customXml" ds:itemID="{F460FDE6-136C-445E-8139-814E612C9853}">
  <ds:schemaRefs>
    <ds:schemaRef ds:uri="http://schemas.microsoft.com/sharepoint/v3/contenttype/forms"/>
  </ds:schemaRefs>
</ds:datastoreItem>
</file>

<file path=customXml/itemProps4.xml><?xml version="1.0" encoding="utf-8"?>
<ds:datastoreItem xmlns:ds="http://schemas.openxmlformats.org/officeDocument/2006/customXml" ds:itemID="{3F94D279-F207-40C6-8981-1EF52F92D31C}">
  <ds:schemaRefs>
    <ds:schemaRef ds:uri="http://schemas.microsoft.com/office/2006/metadata/customXsn"/>
  </ds:schemaRefs>
</ds:datastoreItem>
</file>

<file path=customXml/itemProps5.xml><?xml version="1.0" encoding="utf-8"?>
<ds:datastoreItem xmlns:ds="http://schemas.openxmlformats.org/officeDocument/2006/customXml" ds:itemID="{1DA0D8C9-416D-3F48-9C86-8275A4083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2013</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Davis-Roberts</dc:creator>
  <cp:keywords/>
  <dc:description/>
  <cp:lastModifiedBy>Avery Davis-Roberts</cp:lastModifiedBy>
  <cp:revision>36</cp:revision>
  <cp:lastPrinted>2019-03-06T19:32:00Z</cp:lastPrinted>
  <dcterms:created xsi:type="dcterms:W3CDTF">2019-03-11T12:55:00Z</dcterms:created>
  <dcterms:modified xsi:type="dcterms:W3CDTF">2019-03-11T14:56:00Z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56</vt:lpwstr>
  </property>
  <property fmtid="{D5CDD505-2E9C-101B-9397-08002B2CF9AE}" pid="3" name="ContentTypeId">
    <vt:lpwstr>0x0101008822B9E06671B54FA89F14538B9B0FEA</vt:lpwstr>
  </property>
</Properties>
</file>