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AB65" w14:textId="054FC43C" w:rsidR="007C791E" w:rsidRPr="00DE41C5" w:rsidRDefault="007C791E" w:rsidP="007C791E">
      <w:pPr>
        <w:jc w:val="center"/>
        <w:rPr>
          <w:rFonts w:asciiTheme="minorHAnsi" w:hAnsiTheme="minorHAnsi" w:cstheme="minorHAnsi"/>
          <w:b/>
          <w:sz w:val="22"/>
          <w:szCs w:val="22"/>
        </w:rPr>
      </w:pPr>
      <w:r w:rsidRPr="00DE41C5">
        <w:rPr>
          <w:rFonts w:asciiTheme="minorHAnsi" w:hAnsiTheme="minorHAnsi" w:cstheme="minorHAnsi"/>
          <w:b/>
          <w:sz w:val="22"/>
          <w:szCs w:val="22"/>
        </w:rPr>
        <w:t>World Movement for Democracy Submission to the Human Rights Committee</w:t>
      </w:r>
    </w:p>
    <w:p w14:paraId="0820F95E" w14:textId="77777777" w:rsidR="007C791E" w:rsidRPr="00DE41C5" w:rsidRDefault="007C791E" w:rsidP="007C791E">
      <w:pPr>
        <w:jc w:val="center"/>
        <w:rPr>
          <w:rFonts w:asciiTheme="minorHAnsi" w:hAnsiTheme="minorHAnsi" w:cstheme="minorHAnsi"/>
          <w:b/>
          <w:color w:val="000000"/>
          <w:sz w:val="22"/>
          <w:szCs w:val="22"/>
          <w:shd w:val="clear" w:color="auto" w:fill="FFFFFF"/>
        </w:rPr>
      </w:pPr>
      <w:r w:rsidRPr="00DE41C5">
        <w:rPr>
          <w:rFonts w:asciiTheme="minorHAnsi" w:hAnsiTheme="minorHAnsi" w:cstheme="minorHAnsi"/>
          <w:b/>
          <w:sz w:val="22"/>
          <w:szCs w:val="22"/>
        </w:rPr>
        <w:t>General Comment on ICCPR Article 21 (Right to Peaceful Assembly)</w:t>
      </w:r>
    </w:p>
    <w:p w14:paraId="740B3D0D" w14:textId="77777777" w:rsidR="003E03FB" w:rsidRPr="00DE41C5" w:rsidRDefault="003E03FB" w:rsidP="003E03FB">
      <w:pPr>
        <w:rPr>
          <w:rFonts w:asciiTheme="minorHAnsi" w:hAnsiTheme="minorHAnsi" w:cstheme="minorHAnsi"/>
          <w:color w:val="000000"/>
          <w:sz w:val="22"/>
          <w:szCs w:val="22"/>
          <w:shd w:val="clear" w:color="auto" w:fill="FFFFFF"/>
        </w:rPr>
      </w:pPr>
    </w:p>
    <w:p w14:paraId="6E320003" w14:textId="607EC7A7" w:rsidR="003E03FB" w:rsidRPr="00DE41C5" w:rsidRDefault="00DD7FC3" w:rsidP="00F60524">
      <w:pPr>
        <w:jc w:val="cente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March 11</w:t>
      </w:r>
      <w:r w:rsidR="003E03FB" w:rsidRPr="00DE41C5">
        <w:rPr>
          <w:rFonts w:asciiTheme="minorHAnsi" w:hAnsiTheme="minorHAnsi" w:cstheme="minorHAnsi"/>
          <w:color w:val="000000"/>
          <w:sz w:val="22"/>
          <w:szCs w:val="22"/>
          <w:shd w:val="clear" w:color="auto" w:fill="FFFFFF"/>
        </w:rPr>
        <w:t>, 2019</w:t>
      </w:r>
    </w:p>
    <w:p w14:paraId="0F37650F" w14:textId="77777777" w:rsidR="004E25C8" w:rsidRPr="00DE41C5" w:rsidRDefault="004E25C8" w:rsidP="003E03FB">
      <w:pPr>
        <w:rPr>
          <w:rFonts w:asciiTheme="minorHAnsi" w:hAnsiTheme="minorHAnsi" w:cstheme="minorHAnsi"/>
          <w:color w:val="000000"/>
          <w:sz w:val="22"/>
          <w:szCs w:val="22"/>
          <w:shd w:val="clear" w:color="auto" w:fill="FFFFFF"/>
        </w:rPr>
      </w:pPr>
    </w:p>
    <w:p w14:paraId="5B2CAE90" w14:textId="5A404E4B" w:rsidR="00261B5C" w:rsidRPr="00DE41C5" w:rsidRDefault="00910757" w:rsidP="003E03FB">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The World Movement for Democracy is a global network of civil society activists, scholars, parliamentarians, thought leaders, journalists, and funders who are committed to advancing democracy. On behalf of the network, we applaud the Human Rights Committee for initiating a general comment on Article 21 of the </w:t>
      </w:r>
      <w:r w:rsidR="00ED5B9E" w:rsidRPr="00DE41C5">
        <w:rPr>
          <w:rFonts w:asciiTheme="minorHAnsi" w:hAnsiTheme="minorHAnsi" w:cstheme="minorHAnsi"/>
          <w:color w:val="000000"/>
          <w:sz w:val="22"/>
          <w:szCs w:val="22"/>
          <w:shd w:val="clear" w:color="auto" w:fill="FFFFFF"/>
        </w:rPr>
        <w:t xml:space="preserve">International </w:t>
      </w:r>
      <w:r w:rsidR="00281FD9" w:rsidRPr="00DE41C5">
        <w:rPr>
          <w:rFonts w:asciiTheme="minorHAnsi" w:hAnsiTheme="minorHAnsi" w:cstheme="minorHAnsi"/>
          <w:color w:val="000000"/>
          <w:sz w:val="22"/>
          <w:szCs w:val="22"/>
          <w:shd w:val="clear" w:color="auto" w:fill="FFFFFF"/>
        </w:rPr>
        <w:t>Covenant</w:t>
      </w:r>
      <w:r w:rsidR="00ED5B9E" w:rsidRPr="00DE41C5">
        <w:rPr>
          <w:rFonts w:asciiTheme="minorHAnsi" w:hAnsiTheme="minorHAnsi" w:cstheme="minorHAnsi"/>
          <w:color w:val="000000"/>
          <w:sz w:val="22"/>
          <w:szCs w:val="22"/>
          <w:shd w:val="clear" w:color="auto" w:fill="FFFFFF"/>
        </w:rPr>
        <w:t xml:space="preserve"> on Civil and Political Rights (</w:t>
      </w:r>
      <w:r w:rsidRPr="00DE41C5">
        <w:rPr>
          <w:rFonts w:asciiTheme="minorHAnsi" w:hAnsiTheme="minorHAnsi" w:cstheme="minorHAnsi"/>
          <w:color w:val="000000"/>
          <w:sz w:val="22"/>
          <w:szCs w:val="22"/>
          <w:shd w:val="clear" w:color="auto" w:fill="FFFFFF"/>
        </w:rPr>
        <w:t>ICCPR</w:t>
      </w:r>
      <w:r w:rsidR="00ED5B9E"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and thank you for</w:t>
      </w:r>
      <w:r w:rsidR="005F3CDF" w:rsidRPr="00DE41C5">
        <w:rPr>
          <w:rFonts w:asciiTheme="minorHAnsi" w:hAnsiTheme="minorHAnsi" w:cstheme="minorHAnsi"/>
          <w:color w:val="000000"/>
          <w:sz w:val="22"/>
          <w:szCs w:val="22"/>
          <w:shd w:val="clear" w:color="auto" w:fill="FFFFFF"/>
        </w:rPr>
        <w:t xml:space="preserve"> providing</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an</w:t>
      </w:r>
      <w:r w:rsidRPr="00DE41C5">
        <w:rPr>
          <w:rFonts w:asciiTheme="minorHAnsi" w:hAnsiTheme="minorHAnsi" w:cstheme="minorHAnsi"/>
          <w:color w:val="000000"/>
          <w:sz w:val="22"/>
          <w:szCs w:val="22"/>
          <w:shd w:val="clear" w:color="auto" w:fill="FFFFFF"/>
        </w:rPr>
        <w:t xml:space="preserve"> opportunity </w:t>
      </w:r>
      <w:r w:rsidR="005F3CDF" w:rsidRPr="00DE41C5">
        <w:rPr>
          <w:rFonts w:asciiTheme="minorHAnsi" w:hAnsiTheme="minorHAnsi" w:cstheme="minorHAnsi"/>
          <w:color w:val="000000"/>
          <w:sz w:val="22"/>
          <w:szCs w:val="22"/>
          <w:shd w:val="clear" w:color="auto" w:fill="FFFFFF"/>
        </w:rPr>
        <w:t xml:space="preserve">for civil society to </w:t>
      </w:r>
      <w:r w:rsidR="00F722BF" w:rsidRPr="00DE41C5">
        <w:rPr>
          <w:rFonts w:asciiTheme="minorHAnsi" w:hAnsiTheme="minorHAnsi" w:cstheme="minorHAnsi"/>
          <w:color w:val="000000"/>
          <w:sz w:val="22"/>
          <w:szCs w:val="22"/>
          <w:shd w:val="clear" w:color="auto" w:fill="FFFFFF"/>
        </w:rPr>
        <w:t xml:space="preserve">participate in this </w:t>
      </w:r>
      <w:r w:rsidR="005F3CDF" w:rsidRPr="00DE41C5">
        <w:rPr>
          <w:rFonts w:asciiTheme="minorHAnsi" w:hAnsiTheme="minorHAnsi" w:cstheme="minorHAnsi"/>
          <w:color w:val="000000"/>
          <w:sz w:val="22"/>
          <w:szCs w:val="22"/>
          <w:shd w:val="clear" w:color="auto" w:fill="FFFFFF"/>
        </w:rPr>
        <w:t>process</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by responding to</w:t>
      </w:r>
      <w:r w:rsidRPr="00DE41C5">
        <w:rPr>
          <w:rFonts w:asciiTheme="minorHAnsi" w:hAnsiTheme="minorHAnsi" w:cstheme="minorHAnsi"/>
          <w:color w:val="000000"/>
          <w:sz w:val="22"/>
          <w:szCs w:val="22"/>
          <w:shd w:val="clear" w:color="auto" w:fill="FFFFFF"/>
        </w:rPr>
        <w:t xml:space="preserve"> the </w:t>
      </w:r>
      <w:r w:rsidRPr="00DE41C5">
        <w:rPr>
          <w:rFonts w:asciiTheme="minorHAnsi" w:hAnsiTheme="minorHAnsi" w:cstheme="minorHAnsi"/>
          <w:color w:val="000000"/>
          <w:sz w:val="22"/>
          <w:szCs w:val="22"/>
        </w:rPr>
        <w:t>questions</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posed by the Committee</w:t>
      </w:r>
      <w:r w:rsidR="00615D5D" w:rsidRPr="00DE41C5">
        <w:rPr>
          <w:rStyle w:val="FootnoteReference"/>
          <w:rFonts w:asciiTheme="minorHAnsi" w:hAnsiTheme="minorHAnsi" w:cstheme="minorHAnsi"/>
          <w:color w:val="000000"/>
          <w:sz w:val="22"/>
          <w:szCs w:val="22"/>
          <w:shd w:val="clear" w:color="auto" w:fill="FFFFFF"/>
        </w:rPr>
        <w:footnoteReference w:id="1"/>
      </w:r>
      <w:r w:rsidRPr="00DE41C5">
        <w:rPr>
          <w:rFonts w:asciiTheme="minorHAnsi" w:hAnsiTheme="minorHAnsi" w:cstheme="minorHAnsi"/>
          <w:color w:val="000000"/>
          <w:sz w:val="22"/>
          <w:szCs w:val="22"/>
          <w:shd w:val="clear" w:color="auto" w:fill="FFFFFF"/>
        </w:rPr>
        <w:t xml:space="preserve">. </w:t>
      </w:r>
    </w:p>
    <w:p w14:paraId="5C31BA67" w14:textId="77777777" w:rsidR="00261B5C" w:rsidRPr="00DE41C5" w:rsidRDefault="00261B5C" w:rsidP="003E03FB">
      <w:pPr>
        <w:rPr>
          <w:rFonts w:asciiTheme="minorHAnsi" w:hAnsiTheme="minorHAnsi" w:cstheme="minorHAnsi"/>
          <w:color w:val="000000"/>
          <w:sz w:val="22"/>
          <w:szCs w:val="22"/>
          <w:shd w:val="clear" w:color="auto" w:fill="FFFFFF"/>
        </w:rPr>
      </w:pPr>
    </w:p>
    <w:p w14:paraId="7AC8F76D" w14:textId="6B4590CB" w:rsidR="004E25C8" w:rsidRPr="00DE41C5" w:rsidRDefault="00B54899" w:rsidP="003E03FB">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We </w:t>
      </w:r>
      <w:r w:rsidR="004E25C8" w:rsidRPr="00DE41C5">
        <w:rPr>
          <w:rFonts w:asciiTheme="minorHAnsi" w:hAnsiTheme="minorHAnsi" w:cstheme="minorHAnsi"/>
          <w:color w:val="000000"/>
          <w:sz w:val="22"/>
          <w:szCs w:val="22"/>
          <w:shd w:val="clear" w:color="auto" w:fill="FFFFFF"/>
        </w:rPr>
        <w:t xml:space="preserve">are </w:t>
      </w:r>
      <w:r w:rsidRPr="00DE41C5">
        <w:rPr>
          <w:rFonts w:asciiTheme="minorHAnsi" w:hAnsiTheme="minorHAnsi" w:cstheme="minorHAnsi"/>
          <w:color w:val="000000"/>
          <w:sz w:val="22"/>
          <w:szCs w:val="22"/>
          <w:shd w:val="clear" w:color="auto" w:fill="FFFFFF"/>
        </w:rPr>
        <w:t>pleased</w:t>
      </w:r>
      <w:r w:rsidR="004E25C8" w:rsidRPr="00DE41C5">
        <w:rPr>
          <w:rFonts w:asciiTheme="minorHAnsi" w:hAnsiTheme="minorHAnsi" w:cstheme="minorHAnsi"/>
          <w:color w:val="000000"/>
          <w:sz w:val="22"/>
          <w:szCs w:val="22"/>
          <w:shd w:val="clear" w:color="auto" w:fill="FFFFFF"/>
        </w:rPr>
        <w:t xml:space="preserve"> to submit responses</w:t>
      </w:r>
      <w:r w:rsidR="00F722BF" w:rsidRPr="00DE41C5">
        <w:rPr>
          <w:rFonts w:asciiTheme="minorHAnsi" w:hAnsiTheme="minorHAnsi" w:cstheme="minorHAnsi"/>
          <w:color w:val="000000"/>
          <w:sz w:val="22"/>
          <w:szCs w:val="22"/>
          <w:shd w:val="clear" w:color="auto" w:fill="FFFFFF"/>
        </w:rPr>
        <w:t xml:space="preserve"> to the questions</w:t>
      </w:r>
      <w:r w:rsidR="004E25C8" w:rsidRPr="00DE41C5">
        <w:rPr>
          <w:rFonts w:asciiTheme="minorHAnsi" w:hAnsiTheme="minorHAnsi" w:cstheme="minorHAnsi"/>
          <w:color w:val="000000"/>
          <w:sz w:val="22"/>
          <w:szCs w:val="22"/>
          <w:shd w:val="clear" w:color="auto" w:fill="FFFFFF"/>
        </w:rPr>
        <w:t xml:space="preserve"> </w:t>
      </w:r>
      <w:r w:rsidR="005F3CDF" w:rsidRPr="00DE41C5">
        <w:rPr>
          <w:rFonts w:asciiTheme="minorHAnsi" w:hAnsiTheme="minorHAnsi" w:cstheme="minorHAnsi"/>
          <w:color w:val="000000"/>
          <w:sz w:val="22"/>
          <w:szCs w:val="22"/>
          <w:shd w:val="clear" w:color="auto" w:fill="FFFFFF"/>
        </w:rPr>
        <w:t>below</w:t>
      </w:r>
      <w:r w:rsidR="00F722BF" w:rsidRPr="00DE41C5">
        <w:rPr>
          <w:rFonts w:asciiTheme="minorHAnsi" w:hAnsiTheme="minorHAnsi" w:cstheme="minorHAnsi"/>
          <w:color w:val="000000"/>
          <w:sz w:val="22"/>
          <w:szCs w:val="22"/>
          <w:shd w:val="clear" w:color="auto" w:fill="FFFFFF"/>
        </w:rPr>
        <w:t>,</w:t>
      </w:r>
      <w:r w:rsidR="004E25C8" w:rsidRPr="00DE41C5">
        <w:rPr>
          <w:rFonts w:asciiTheme="minorHAnsi" w:hAnsiTheme="minorHAnsi" w:cstheme="minorHAnsi"/>
          <w:color w:val="000000"/>
          <w:sz w:val="22"/>
          <w:szCs w:val="22"/>
          <w:shd w:val="clear" w:color="auto" w:fill="FFFFFF"/>
        </w:rPr>
        <w:t xml:space="preserve"> which focus on the right of individuals and </w:t>
      </w:r>
      <w:r w:rsidR="00F43E92" w:rsidRPr="00DE41C5">
        <w:rPr>
          <w:rFonts w:asciiTheme="minorHAnsi" w:hAnsiTheme="minorHAnsi" w:cstheme="minorHAnsi"/>
          <w:color w:val="000000"/>
          <w:sz w:val="22"/>
          <w:szCs w:val="22"/>
          <w:shd w:val="clear" w:color="auto" w:fill="FFFFFF"/>
        </w:rPr>
        <w:t>associations</w:t>
      </w:r>
      <w:r w:rsidR="00F722BF" w:rsidRPr="00DE41C5">
        <w:rPr>
          <w:rFonts w:asciiTheme="minorHAnsi" w:hAnsiTheme="minorHAnsi" w:cstheme="minorHAnsi"/>
          <w:color w:val="000000"/>
          <w:sz w:val="22"/>
          <w:szCs w:val="22"/>
          <w:shd w:val="clear" w:color="auto" w:fill="FFFFFF"/>
        </w:rPr>
        <w:t>, including civil society</w:t>
      </w:r>
      <w:r w:rsidR="00ED5B9E" w:rsidRPr="00DE41C5">
        <w:rPr>
          <w:rFonts w:asciiTheme="minorHAnsi" w:hAnsiTheme="minorHAnsi" w:cstheme="minorHAnsi"/>
          <w:color w:val="000000"/>
          <w:sz w:val="22"/>
          <w:szCs w:val="22"/>
          <w:shd w:val="clear" w:color="auto" w:fill="FFFFFF"/>
        </w:rPr>
        <w:t xml:space="preserve"> activist</w:t>
      </w:r>
      <w:r w:rsidR="000A54BB" w:rsidRPr="00DE41C5">
        <w:rPr>
          <w:rFonts w:asciiTheme="minorHAnsi" w:hAnsiTheme="minorHAnsi" w:cstheme="minorHAnsi"/>
          <w:color w:val="000000"/>
          <w:sz w:val="22"/>
          <w:szCs w:val="22"/>
          <w:shd w:val="clear" w:color="auto" w:fill="FFFFFF"/>
        </w:rPr>
        <w:t>s</w:t>
      </w:r>
      <w:r w:rsidR="00ED5B9E" w:rsidRPr="00DE41C5">
        <w:rPr>
          <w:rFonts w:asciiTheme="minorHAnsi" w:hAnsiTheme="minorHAnsi" w:cstheme="minorHAnsi"/>
          <w:color w:val="000000"/>
          <w:sz w:val="22"/>
          <w:szCs w:val="22"/>
          <w:shd w:val="clear" w:color="auto" w:fill="FFFFFF"/>
        </w:rPr>
        <w:t xml:space="preserve"> and</w:t>
      </w:r>
      <w:r w:rsidR="00F722BF" w:rsidRPr="00DE41C5">
        <w:rPr>
          <w:rFonts w:asciiTheme="minorHAnsi" w:hAnsiTheme="minorHAnsi" w:cstheme="minorHAnsi"/>
          <w:color w:val="000000"/>
          <w:sz w:val="22"/>
          <w:szCs w:val="22"/>
          <w:shd w:val="clear" w:color="auto" w:fill="FFFFFF"/>
        </w:rPr>
        <w:t xml:space="preserve"> organizations,</w:t>
      </w:r>
      <w:r w:rsidR="004E25C8" w:rsidRPr="00DE41C5">
        <w:rPr>
          <w:rFonts w:asciiTheme="minorHAnsi" w:hAnsiTheme="minorHAnsi" w:cstheme="minorHAnsi"/>
          <w:color w:val="000000"/>
          <w:sz w:val="22"/>
          <w:szCs w:val="22"/>
          <w:shd w:val="clear" w:color="auto" w:fill="FFFFFF"/>
        </w:rPr>
        <w:t xml:space="preserve"> </w:t>
      </w:r>
      <w:r w:rsidR="00B05BC6" w:rsidRPr="00DE41C5">
        <w:rPr>
          <w:rFonts w:asciiTheme="minorHAnsi" w:hAnsiTheme="minorHAnsi" w:cstheme="minorHAnsi"/>
          <w:color w:val="000000"/>
          <w:sz w:val="22"/>
          <w:szCs w:val="22"/>
          <w:shd w:val="clear" w:color="auto" w:fill="FFFFFF"/>
        </w:rPr>
        <w:t>who</w:t>
      </w:r>
      <w:r w:rsidR="004E25C8" w:rsidRPr="00DE41C5">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 xml:space="preserve">plan and </w:t>
      </w:r>
      <w:r w:rsidR="00B05BC6" w:rsidRPr="00DE41C5">
        <w:rPr>
          <w:rFonts w:asciiTheme="minorHAnsi" w:hAnsiTheme="minorHAnsi" w:cstheme="minorHAnsi"/>
          <w:color w:val="000000"/>
          <w:sz w:val="22"/>
          <w:szCs w:val="22"/>
          <w:shd w:val="clear" w:color="auto" w:fill="FFFFFF"/>
        </w:rPr>
        <w:t>participate in assemblie</w:t>
      </w:r>
      <w:r w:rsidR="004E25C8" w:rsidRPr="00DE41C5">
        <w:rPr>
          <w:rFonts w:asciiTheme="minorHAnsi" w:hAnsiTheme="minorHAnsi" w:cstheme="minorHAnsi"/>
          <w:color w:val="000000"/>
          <w:sz w:val="22"/>
          <w:szCs w:val="22"/>
          <w:shd w:val="clear" w:color="auto" w:fill="FFFFFF"/>
        </w:rPr>
        <w:t>s</w:t>
      </w:r>
      <w:r w:rsidR="000A54BB" w:rsidRPr="00DE41C5">
        <w:rPr>
          <w:rFonts w:asciiTheme="minorHAnsi" w:hAnsiTheme="minorHAnsi" w:cstheme="minorHAnsi"/>
          <w:color w:val="000000"/>
          <w:sz w:val="22"/>
          <w:szCs w:val="22"/>
          <w:shd w:val="clear" w:color="auto" w:fill="FFFFFF"/>
        </w:rPr>
        <w:t>,</w:t>
      </w:r>
      <w:r w:rsidR="004E25C8" w:rsidRPr="00DE41C5">
        <w:rPr>
          <w:rFonts w:asciiTheme="minorHAnsi" w:hAnsiTheme="minorHAnsi" w:cstheme="minorHAnsi"/>
          <w:color w:val="000000"/>
          <w:sz w:val="22"/>
          <w:szCs w:val="22"/>
          <w:shd w:val="clear" w:color="auto" w:fill="FFFFFF"/>
        </w:rPr>
        <w:t xml:space="preserve"> to seek and receive </w:t>
      </w:r>
      <w:r w:rsidR="007C791E" w:rsidRPr="00DE41C5">
        <w:rPr>
          <w:rFonts w:asciiTheme="minorHAnsi" w:hAnsiTheme="minorHAnsi" w:cstheme="minorHAnsi"/>
          <w:color w:val="000000"/>
          <w:sz w:val="22"/>
          <w:szCs w:val="22"/>
          <w:shd w:val="clear" w:color="auto" w:fill="FFFFFF"/>
        </w:rPr>
        <w:t>resources</w:t>
      </w:r>
      <w:r w:rsidR="004E25C8" w:rsidRPr="00DE41C5">
        <w:rPr>
          <w:rFonts w:asciiTheme="minorHAnsi" w:hAnsiTheme="minorHAnsi" w:cstheme="minorHAnsi"/>
          <w:color w:val="000000"/>
          <w:sz w:val="22"/>
          <w:szCs w:val="22"/>
          <w:shd w:val="clear" w:color="auto" w:fill="FFFFFF"/>
        </w:rPr>
        <w:t xml:space="preserve"> by legal means from domestic and foreign donors</w:t>
      </w:r>
      <w:r w:rsidRPr="00DE41C5">
        <w:rPr>
          <w:rFonts w:asciiTheme="minorHAnsi" w:hAnsiTheme="minorHAnsi" w:cstheme="minorHAnsi"/>
          <w:color w:val="000000"/>
          <w:sz w:val="22"/>
          <w:szCs w:val="22"/>
          <w:shd w:val="clear" w:color="auto" w:fill="FFFFFF"/>
        </w:rPr>
        <w:t xml:space="preserve"> to support </w:t>
      </w:r>
      <w:r w:rsidR="007C791E" w:rsidRPr="00DE41C5">
        <w:rPr>
          <w:rFonts w:asciiTheme="minorHAnsi" w:hAnsiTheme="minorHAnsi" w:cstheme="minorHAnsi"/>
          <w:color w:val="000000"/>
          <w:sz w:val="22"/>
          <w:szCs w:val="22"/>
          <w:shd w:val="clear" w:color="auto" w:fill="FFFFFF"/>
        </w:rPr>
        <w:t>their</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 xml:space="preserve">statutory </w:t>
      </w:r>
      <w:r w:rsidRPr="00DE41C5">
        <w:rPr>
          <w:rFonts w:asciiTheme="minorHAnsi" w:hAnsiTheme="minorHAnsi" w:cstheme="minorHAnsi"/>
          <w:color w:val="000000"/>
          <w:sz w:val="22"/>
          <w:szCs w:val="22"/>
          <w:shd w:val="clear" w:color="auto" w:fill="FFFFFF"/>
        </w:rPr>
        <w:t>activities</w:t>
      </w:r>
      <w:r w:rsidR="004E25C8" w:rsidRPr="00DE41C5">
        <w:rPr>
          <w:rFonts w:asciiTheme="minorHAnsi" w:hAnsiTheme="minorHAnsi" w:cstheme="minorHAnsi"/>
          <w:color w:val="000000"/>
          <w:sz w:val="22"/>
          <w:szCs w:val="22"/>
          <w:shd w:val="clear" w:color="auto" w:fill="FFFFFF"/>
        </w:rPr>
        <w:t xml:space="preserve">. </w:t>
      </w:r>
    </w:p>
    <w:p w14:paraId="0AC91407" w14:textId="77777777" w:rsidR="00E93E6E" w:rsidRPr="00DE41C5" w:rsidRDefault="00E93E6E" w:rsidP="003E03FB">
      <w:pPr>
        <w:rPr>
          <w:rFonts w:asciiTheme="minorHAnsi" w:hAnsiTheme="minorHAnsi" w:cstheme="minorHAnsi"/>
          <w:color w:val="000000"/>
          <w:sz w:val="22"/>
          <w:szCs w:val="22"/>
          <w:shd w:val="clear" w:color="auto" w:fill="FFFFFF"/>
        </w:rPr>
      </w:pPr>
    </w:p>
    <w:p w14:paraId="5F11F4BB" w14:textId="77777777" w:rsidR="000B327C" w:rsidRPr="00DE41C5" w:rsidRDefault="00BE4277" w:rsidP="00BE4277">
      <w:pPr>
        <w:rPr>
          <w:rFonts w:asciiTheme="minorHAnsi" w:hAnsiTheme="minorHAnsi" w:cstheme="minorHAnsi"/>
          <w:color w:val="000000"/>
          <w:sz w:val="22"/>
          <w:szCs w:val="22"/>
          <w:shd w:val="clear" w:color="auto" w:fill="FFFFFF"/>
        </w:rPr>
      </w:pPr>
      <w:proofErr w:type="gramStart"/>
      <w:r w:rsidRPr="00DE41C5">
        <w:rPr>
          <w:rFonts w:asciiTheme="minorHAnsi" w:hAnsiTheme="minorHAnsi" w:cstheme="minorHAnsi"/>
          <w:color w:val="000000"/>
          <w:sz w:val="22"/>
          <w:szCs w:val="22"/>
          <w:shd w:val="clear" w:color="auto" w:fill="FFFFFF"/>
        </w:rPr>
        <w:t>The mandate of the UN Special Rapporteur on the rights to freedom of peacef</w:t>
      </w:r>
      <w:r w:rsidR="007C791E" w:rsidRPr="00DE41C5">
        <w:rPr>
          <w:rFonts w:asciiTheme="minorHAnsi" w:hAnsiTheme="minorHAnsi" w:cstheme="minorHAnsi"/>
          <w:color w:val="000000"/>
          <w:sz w:val="22"/>
          <w:szCs w:val="22"/>
          <w:shd w:val="clear" w:color="auto" w:fill="FFFFFF"/>
        </w:rPr>
        <w:t xml:space="preserve">ul assembly and of association </w:t>
      </w:r>
      <w:r w:rsidR="00B05BC6" w:rsidRPr="00DE41C5">
        <w:rPr>
          <w:rFonts w:asciiTheme="minorHAnsi" w:hAnsiTheme="minorHAnsi" w:cstheme="minorHAnsi"/>
          <w:color w:val="000000"/>
          <w:sz w:val="22"/>
          <w:szCs w:val="22"/>
          <w:shd w:val="clear" w:color="auto" w:fill="FFFFFF"/>
        </w:rPr>
        <w:t>has defined</w:t>
      </w:r>
      <w:r w:rsidR="007C791E" w:rsidRPr="00DE41C5">
        <w:rPr>
          <w:rFonts w:asciiTheme="minorHAnsi" w:hAnsiTheme="minorHAnsi" w:cstheme="minorHAnsi"/>
          <w:color w:val="000000"/>
          <w:sz w:val="22"/>
          <w:szCs w:val="22"/>
          <w:shd w:val="clear" w:color="auto" w:fill="FFFFFF"/>
        </w:rPr>
        <w:t xml:space="preserve"> </w:t>
      </w:r>
      <w:r w:rsidR="00D77520"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resources</w:t>
      </w:r>
      <w:r w:rsidR="00D77520"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 xml:space="preserve"> as:</w:t>
      </w:r>
      <w:r w:rsidRPr="00DE41C5">
        <w:rPr>
          <w:rFonts w:asciiTheme="minorHAnsi" w:hAnsiTheme="minorHAnsi" w:cstheme="minorHAnsi"/>
          <w:color w:val="000000"/>
          <w:sz w:val="22"/>
          <w:szCs w:val="22"/>
          <w:shd w:val="clear" w:color="auto" w:fill="FFFFFF"/>
        </w:rPr>
        <w:t xml:space="preserve"> </w:t>
      </w:r>
      <w:r w:rsidR="007C791E"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financial transfers (e.g., donations, grants, contracts, sponsorships, social investments, etc.); loan guarantees and other forms of financial assistance from natural and legal persons; in-kind donations (e.g., contributions of goods, services, software and other forms of intellectual property, real property, etc.); material resources (e.g. office supplies, IT equipment, etc.); human resources (e.g. paid staff, volunteers, etc.); access to international assistance, solidarity; ability to travel and communicate without undue interference and the right to benefit from the protection of the State</w:t>
      </w:r>
      <w:r w:rsidR="00ED5B9E"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w:t>
      </w:r>
      <w:r w:rsidR="005F3CDF" w:rsidRPr="00DE41C5">
        <w:rPr>
          <w:rStyle w:val="FootnoteReference"/>
          <w:rFonts w:asciiTheme="minorHAnsi" w:hAnsiTheme="minorHAnsi" w:cstheme="minorHAnsi"/>
          <w:color w:val="000000"/>
          <w:sz w:val="22"/>
          <w:szCs w:val="22"/>
          <w:shd w:val="clear" w:color="auto" w:fill="FFFFFF"/>
        </w:rPr>
        <w:footnoteReference w:id="2"/>
      </w:r>
      <w:proofErr w:type="gramEnd"/>
      <w:r w:rsidR="00D77520" w:rsidRPr="00DE41C5">
        <w:rPr>
          <w:rFonts w:asciiTheme="minorHAnsi" w:hAnsiTheme="minorHAnsi" w:cstheme="minorHAnsi"/>
          <w:color w:val="000000"/>
          <w:sz w:val="22"/>
          <w:szCs w:val="22"/>
          <w:shd w:val="clear" w:color="auto" w:fill="FFFFFF"/>
        </w:rPr>
        <w:t xml:space="preserve"> </w:t>
      </w:r>
    </w:p>
    <w:p w14:paraId="4EE69FDF" w14:textId="77777777" w:rsidR="00B05BC6" w:rsidRPr="00DE41C5" w:rsidRDefault="00B05BC6" w:rsidP="00BE4277">
      <w:pPr>
        <w:rPr>
          <w:rFonts w:asciiTheme="minorHAnsi" w:hAnsiTheme="minorHAnsi" w:cstheme="minorHAnsi"/>
          <w:color w:val="000000"/>
          <w:sz w:val="22"/>
          <w:szCs w:val="22"/>
          <w:shd w:val="clear" w:color="auto" w:fill="FFFFFF"/>
        </w:rPr>
      </w:pPr>
    </w:p>
    <w:p w14:paraId="0090041C" w14:textId="443B8BE6" w:rsidR="000B327C" w:rsidRPr="00DE41C5" w:rsidRDefault="00281FD9" w:rsidP="00BE4277">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Numerous</w:t>
      </w:r>
      <w:r w:rsidR="00B05BC6" w:rsidRPr="00DE41C5">
        <w:rPr>
          <w:rFonts w:asciiTheme="minorHAnsi" w:hAnsiTheme="minorHAnsi" w:cstheme="minorHAnsi"/>
          <w:color w:val="000000"/>
          <w:sz w:val="22"/>
          <w:szCs w:val="22"/>
          <w:shd w:val="clear" w:color="auto" w:fill="FFFFFF"/>
        </w:rPr>
        <w:t xml:space="preserve"> international and regional norms referenced below protect the right of </w:t>
      </w:r>
      <w:r w:rsidRPr="00DE41C5">
        <w:rPr>
          <w:rFonts w:asciiTheme="minorHAnsi" w:hAnsiTheme="minorHAnsi" w:cstheme="minorHAnsi"/>
          <w:color w:val="000000"/>
          <w:sz w:val="22"/>
          <w:szCs w:val="22"/>
          <w:shd w:val="clear" w:color="auto" w:fill="FFFFFF"/>
        </w:rPr>
        <w:t>individuals</w:t>
      </w:r>
      <w:r w:rsidR="00B05BC6" w:rsidRPr="00DE41C5">
        <w:rPr>
          <w:rFonts w:asciiTheme="minorHAnsi" w:hAnsiTheme="minorHAnsi" w:cstheme="minorHAnsi"/>
          <w:color w:val="000000"/>
          <w:sz w:val="22"/>
          <w:szCs w:val="22"/>
          <w:shd w:val="clear" w:color="auto" w:fill="FFFFFF"/>
        </w:rPr>
        <w:t xml:space="preserve"> and associations to receive funding to support assemblies and other activities. Yet, increasing restrictions</w:t>
      </w:r>
      <w:r w:rsidR="000E63E7" w:rsidRPr="00DE41C5">
        <w:rPr>
          <w:rFonts w:asciiTheme="minorHAnsi" w:hAnsiTheme="minorHAnsi" w:cstheme="minorHAnsi"/>
          <w:color w:val="000000"/>
          <w:sz w:val="22"/>
          <w:szCs w:val="22"/>
          <w:shd w:val="clear" w:color="auto" w:fill="FFFFFF"/>
        </w:rPr>
        <w:t xml:space="preserve"> placed by S</w:t>
      </w:r>
      <w:r w:rsidR="0025755C" w:rsidRPr="00DE41C5">
        <w:rPr>
          <w:rFonts w:asciiTheme="minorHAnsi" w:hAnsiTheme="minorHAnsi" w:cstheme="minorHAnsi"/>
          <w:color w:val="000000"/>
          <w:sz w:val="22"/>
          <w:szCs w:val="22"/>
          <w:shd w:val="clear" w:color="auto" w:fill="FFFFFF"/>
        </w:rPr>
        <w:t>tates</w:t>
      </w:r>
      <w:r w:rsidR="00B05BC6" w:rsidRPr="00DE41C5">
        <w:rPr>
          <w:rFonts w:asciiTheme="minorHAnsi" w:hAnsiTheme="minorHAnsi" w:cstheme="minorHAnsi"/>
          <w:color w:val="000000"/>
          <w:sz w:val="22"/>
          <w:szCs w:val="22"/>
          <w:shd w:val="clear" w:color="auto" w:fill="FFFFFF"/>
        </w:rPr>
        <w:t xml:space="preserve"> on the ability of individuals and associations </w:t>
      </w:r>
      <w:r w:rsidR="0025755C" w:rsidRPr="00DE41C5">
        <w:rPr>
          <w:rFonts w:asciiTheme="minorHAnsi" w:hAnsiTheme="minorHAnsi" w:cstheme="minorHAnsi"/>
          <w:color w:val="000000"/>
          <w:sz w:val="22"/>
          <w:szCs w:val="22"/>
          <w:shd w:val="clear" w:color="auto" w:fill="FFFFFF"/>
        </w:rPr>
        <w:t xml:space="preserve">to receive </w:t>
      </w:r>
      <w:r w:rsidR="0029154C" w:rsidRPr="00DE41C5">
        <w:rPr>
          <w:rFonts w:asciiTheme="minorHAnsi" w:hAnsiTheme="minorHAnsi" w:cstheme="minorHAnsi"/>
          <w:color w:val="000000"/>
          <w:sz w:val="22"/>
          <w:szCs w:val="22"/>
          <w:shd w:val="clear" w:color="auto" w:fill="FFFFFF"/>
        </w:rPr>
        <w:t>resources</w:t>
      </w:r>
      <w:r w:rsidR="0025755C" w:rsidRPr="00DE41C5">
        <w:rPr>
          <w:rFonts w:asciiTheme="minorHAnsi" w:hAnsiTheme="minorHAnsi" w:cstheme="minorHAnsi"/>
          <w:color w:val="000000"/>
          <w:sz w:val="22"/>
          <w:szCs w:val="22"/>
          <w:shd w:val="clear" w:color="auto" w:fill="FFFFFF"/>
        </w:rPr>
        <w:t xml:space="preserve"> </w:t>
      </w:r>
      <w:proofErr w:type="gramStart"/>
      <w:r w:rsidR="0025755C" w:rsidRPr="00DE41C5">
        <w:rPr>
          <w:rFonts w:asciiTheme="minorHAnsi" w:hAnsiTheme="minorHAnsi" w:cstheme="minorHAnsi"/>
          <w:color w:val="000000"/>
          <w:sz w:val="22"/>
          <w:szCs w:val="22"/>
          <w:shd w:val="clear" w:color="auto" w:fill="FFFFFF"/>
        </w:rPr>
        <w:t xml:space="preserve">have been well </w:t>
      </w:r>
      <w:r w:rsidR="00FB05BD" w:rsidRPr="00DE41C5">
        <w:rPr>
          <w:rFonts w:asciiTheme="minorHAnsi" w:hAnsiTheme="minorHAnsi" w:cstheme="minorHAnsi"/>
          <w:color w:val="000000"/>
          <w:sz w:val="22"/>
          <w:szCs w:val="22"/>
          <w:shd w:val="clear" w:color="auto" w:fill="FFFFFF"/>
        </w:rPr>
        <w:t>documented</w:t>
      </w:r>
      <w:proofErr w:type="gramEnd"/>
      <w:r w:rsidR="00FB05BD" w:rsidRPr="00DE41C5">
        <w:rPr>
          <w:rStyle w:val="FootnoteReference"/>
          <w:rFonts w:asciiTheme="minorHAnsi" w:hAnsiTheme="minorHAnsi" w:cstheme="minorHAnsi"/>
          <w:color w:val="000000"/>
          <w:sz w:val="22"/>
          <w:szCs w:val="22"/>
          <w:shd w:val="clear" w:color="auto" w:fill="FFFFFF"/>
        </w:rPr>
        <w:footnoteReference w:id="3"/>
      </w:r>
      <w:r w:rsidR="0025755C" w:rsidRPr="00DE41C5">
        <w:rPr>
          <w:rFonts w:asciiTheme="minorHAnsi" w:hAnsiTheme="minorHAnsi" w:cstheme="minorHAnsi"/>
          <w:color w:val="000000"/>
          <w:sz w:val="22"/>
          <w:szCs w:val="22"/>
          <w:shd w:val="clear" w:color="auto" w:fill="FFFFFF"/>
        </w:rPr>
        <w:t xml:space="preserve"> and include:</w:t>
      </w:r>
    </w:p>
    <w:p w14:paraId="2FFA4E56" w14:textId="77777777" w:rsidR="0025755C" w:rsidRPr="00DE41C5" w:rsidRDefault="0025755C" w:rsidP="0025755C">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outright restrictions on the receipt of funding sometimes justified as anti-money laundering or counter terrorism efforts</w:t>
      </w:r>
      <w:r w:rsidR="00360285" w:rsidRPr="00DE41C5">
        <w:rPr>
          <w:rFonts w:asciiTheme="minorHAnsi" w:hAnsiTheme="minorHAnsi" w:cstheme="minorHAnsi"/>
          <w:color w:val="000000"/>
          <w:sz w:val="22"/>
          <w:szCs w:val="22"/>
          <w:shd w:val="clear" w:color="auto" w:fill="FFFFFF"/>
        </w:rPr>
        <w:t>;</w:t>
      </w:r>
      <w:r w:rsidR="0029154C" w:rsidRPr="00DE41C5">
        <w:rPr>
          <w:rFonts w:asciiTheme="minorHAnsi" w:hAnsiTheme="minorHAnsi" w:cstheme="minorHAnsi"/>
          <w:color w:val="000000"/>
          <w:sz w:val="22"/>
          <w:szCs w:val="22"/>
          <w:shd w:val="clear" w:color="auto" w:fill="FFFFFF"/>
        </w:rPr>
        <w:t xml:space="preserve"> </w:t>
      </w:r>
    </w:p>
    <w:p w14:paraId="309BFA82" w14:textId="52369205" w:rsidR="0025755C" w:rsidRPr="00DE41C5" w:rsidRDefault="0025755C" w:rsidP="00FB05BD">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limitations on how funding can be used sometimes justified in terms of </w:t>
      </w:r>
      <w:r w:rsidR="00FB05BD" w:rsidRPr="00DE41C5">
        <w:rPr>
          <w:rFonts w:asciiTheme="minorHAnsi" w:hAnsiTheme="minorHAnsi" w:cstheme="minorHAnsi"/>
          <w:color w:val="000000"/>
          <w:sz w:val="22"/>
          <w:szCs w:val="22"/>
          <w:shd w:val="clear" w:color="auto" w:fill="FFFFFF"/>
        </w:rPr>
        <w:t xml:space="preserve">development coordination, aid conditionality, </w:t>
      </w:r>
      <w:r w:rsidR="00F43E92" w:rsidRPr="00DE41C5">
        <w:rPr>
          <w:rFonts w:asciiTheme="minorHAnsi" w:hAnsiTheme="minorHAnsi" w:cstheme="minorHAnsi"/>
          <w:color w:val="000000"/>
          <w:sz w:val="22"/>
          <w:szCs w:val="22"/>
          <w:shd w:val="clear" w:color="auto" w:fill="FFFFFF"/>
        </w:rPr>
        <w:t xml:space="preserve">or </w:t>
      </w:r>
      <w:r w:rsidR="0029154C" w:rsidRPr="00DE41C5">
        <w:rPr>
          <w:rFonts w:asciiTheme="minorHAnsi" w:hAnsiTheme="minorHAnsi" w:cstheme="minorHAnsi"/>
          <w:color w:val="000000"/>
          <w:sz w:val="22"/>
          <w:szCs w:val="22"/>
          <w:shd w:val="clear" w:color="auto" w:fill="FFFFFF"/>
        </w:rPr>
        <w:t>combating</w:t>
      </w:r>
      <w:r w:rsidR="00F43E92" w:rsidRPr="00DE41C5">
        <w:rPr>
          <w:rFonts w:asciiTheme="minorHAnsi" w:hAnsiTheme="minorHAnsi" w:cstheme="minorHAnsi"/>
          <w:color w:val="000000"/>
          <w:sz w:val="22"/>
          <w:szCs w:val="22"/>
          <w:shd w:val="clear" w:color="auto" w:fill="FFFFFF"/>
        </w:rPr>
        <w:t xml:space="preserve"> foreign influence</w:t>
      </w:r>
      <w:r w:rsidR="00652411" w:rsidRPr="00DE41C5">
        <w:rPr>
          <w:rFonts w:asciiTheme="minorHAnsi" w:hAnsiTheme="minorHAnsi" w:cstheme="minorHAnsi"/>
          <w:color w:val="000000"/>
          <w:sz w:val="22"/>
          <w:szCs w:val="22"/>
          <w:shd w:val="clear" w:color="auto" w:fill="FFFFFF"/>
        </w:rPr>
        <w:t xml:space="preserve"> in “</w:t>
      </w:r>
      <w:r w:rsidR="003C4708" w:rsidRPr="00DE41C5">
        <w:rPr>
          <w:rFonts w:asciiTheme="minorHAnsi" w:hAnsiTheme="minorHAnsi" w:cstheme="minorHAnsi"/>
          <w:color w:val="000000"/>
          <w:sz w:val="22"/>
          <w:szCs w:val="22"/>
          <w:shd w:val="clear" w:color="auto" w:fill="FFFFFF"/>
        </w:rPr>
        <w:t>political</w:t>
      </w:r>
      <w:r w:rsidR="00652411" w:rsidRPr="00DE41C5">
        <w:rPr>
          <w:rFonts w:asciiTheme="minorHAnsi" w:hAnsiTheme="minorHAnsi" w:cstheme="minorHAnsi"/>
          <w:color w:val="000000"/>
          <w:sz w:val="22"/>
          <w:szCs w:val="22"/>
          <w:shd w:val="clear" w:color="auto" w:fill="FFFFFF"/>
        </w:rPr>
        <w:t xml:space="preserve"> activities</w:t>
      </w:r>
      <w:r w:rsidR="00F43E92" w:rsidRPr="00DE41C5">
        <w:rPr>
          <w:rFonts w:asciiTheme="minorHAnsi" w:hAnsiTheme="minorHAnsi" w:cstheme="minorHAnsi"/>
          <w:color w:val="000000"/>
          <w:sz w:val="22"/>
          <w:szCs w:val="22"/>
          <w:shd w:val="clear" w:color="auto" w:fill="FFFFFF"/>
        </w:rPr>
        <w:t>;</w:t>
      </w:r>
      <w:r w:rsidR="00652411" w:rsidRPr="00DE41C5">
        <w:rPr>
          <w:rFonts w:asciiTheme="minorHAnsi" w:hAnsiTheme="minorHAnsi" w:cstheme="minorHAnsi"/>
          <w:color w:val="000000"/>
          <w:sz w:val="22"/>
          <w:szCs w:val="22"/>
          <w:shd w:val="clear" w:color="auto" w:fill="FFFFFF"/>
        </w:rPr>
        <w:t>”</w:t>
      </w:r>
      <w:r w:rsidR="00360285" w:rsidRPr="00DE41C5">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 xml:space="preserve"> </w:t>
      </w:r>
    </w:p>
    <w:p w14:paraId="6AE61438" w14:textId="6AF8312A" w:rsidR="00652411" w:rsidRPr="00DE41C5" w:rsidRDefault="00281FD9" w:rsidP="00652411">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vaguely</w:t>
      </w:r>
      <w:r w:rsidR="00652411" w:rsidRPr="00DE41C5">
        <w:rPr>
          <w:rFonts w:asciiTheme="minorHAnsi" w:hAnsiTheme="minorHAnsi" w:cstheme="minorHAnsi"/>
          <w:color w:val="000000"/>
          <w:sz w:val="22"/>
          <w:szCs w:val="22"/>
          <w:shd w:val="clear" w:color="auto" w:fill="FFFFFF"/>
        </w:rPr>
        <w:t xml:space="preserve"> written laws, often regarding registration or taxes, that are intentionally difficult to comply with and </w:t>
      </w:r>
      <w:r w:rsidR="00B84012" w:rsidRPr="00DE41C5">
        <w:rPr>
          <w:rFonts w:asciiTheme="minorHAnsi" w:hAnsiTheme="minorHAnsi" w:cstheme="minorHAnsi"/>
          <w:color w:val="000000"/>
          <w:sz w:val="22"/>
          <w:szCs w:val="22"/>
          <w:shd w:val="clear" w:color="auto" w:fill="FFFFFF"/>
        </w:rPr>
        <w:t>often</w:t>
      </w:r>
      <w:r w:rsidR="00652411" w:rsidRPr="00DE41C5">
        <w:rPr>
          <w:rFonts w:asciiTheme="minorHAnsi" w:hAnsiTheme="minorHAnsi" w:cstheme="minorHAnsi"/>
          <w:color w:val="000000"/>
          <w:sz w:val="22"/>
          <w:szCs w:val="22"/>
          <w:shd w:val="clear" w:color="auto" w:fill="FFFFFF"/>
        </w:rPr>
        <w:t xml:space="preserve"> result in the arbitrary prosecution of civil society activists or </w:t>
      </w:r>
      <w:r w:rsidRPr="00DE41C5">
        <w:rPr>
          <w:rFonts w:asciiTheme="minorHAnsi" w:hAnsiTheme="minorHAnsi" w:cstheme="minorHAnsi"/>
          <w:color w:val="000000"/>
          <w:sz w:val="22"/>
          <w:szCs w:val="22"/>
          <w:shd w:val="clear" w:color="auto" w:fill="FFFFFF"/>
        </w:rPr>
        <w:t>dissolution</w:t>
      </w:r>
      <w:r w:rsidR="00652411" w:rsidRPr="00DE41C5">
        <w:rPr>
          <w:rFonts w:asciiTheme="minorHAnsi" w:hAnsiTheme="minorHAnsi" w:cstheme="minorHAnsi"/>
          <w:color w:val="000000"/>
          <w:sz w:val="22"/>
          <w:szCs w:val="22"/>
          <w:shd w:val="clear" w:color="auto" w:fill="FFFFFF"/>
        </w:rPr>
        <w:t xml:space="preserve"> of associations; </w:t>
      </w:r>
    </w:p>
    <w:p w14:paraId="17A29960" w14:textId="77777777" w:rsidR="00F43E92" w:rsidRPr="00DE41C5" w:rsidRDefault="00F43E92" w:rsidP="00F43E92">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burdensome administrative and reporting requirements placed on those receiving </w:t>
      </w:r>
      <w:r w:rsidR="0029154C" w:rsidRPr="00DE41C5">
        <w:rPr>
          <w:rFonts w:asciiTheme="minorHAnsi" w:hAnsiTheme="minorHAnsi" w:cstheme="minorHAnsi"/>
          <w:color w:val="000000"/>
          <w:sz w:val="22"/>
          <w:szCs w:val="22"/>
          <w:shd w:val="clear" w:color="auto" w:fill="FFFFFF"/>
        </w:rPr>
        <w:t>resources</w:t>
      </w:r>
      <w:r w:rsidRPr="00DE41C5">
        <w:rPr>
          <w:rFonts w:asciiTheme="minorHAnsi" w:hAnsiTheme="minorHAnsi" w:cstheme="minorHAnsi"/>
          <w:color w:val="000000"/>
          <w:sz w:val="22"/>
          <w:szCs w:val="22"/>
          <w:shd w:val="clear" w:color="auto" w:fill="FFFFFF"/>
        </w:rPr>
        <w:t>;</w:t>
      </w:r>
    </w:p>
    <w:p w14:paraId="53E2BED5" w14:textId="77777777" w:rsidR="00F43E92" w:rsidRPr="00DE41C5" w:rsidRDefault="00F43E92" w:rsidP="00F43E92">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restrictions placed on entities that provide services to civil society actors such as banks and </w:t>
      </w:r>
      <w:r w:rsidR="00281FD9" w:rsidRPr="00DE41C5">
        <w:rPr>
          <w:rFonts w:asciiTheme="minorHAnsi" w:hAnsiTheme="minorHAnsi" w:cstheme="minorHAnsi"/>
          <w:color w:val="000000"/>
          <w:sz w:val="22"/>
          <w:szCs w:val="22"/>
          <w:shd w:val="clear" w:color="auto" w:fill="FFFFFF"/>
        </w:rPr>
        <w:t>insurers</w:t>
      </w:r>
      <w:r w:rsidRPr="00DE41C5">
        <w:rPr>
          <w:rFonts w:asciiTheme="minorHAnsi" w:hAnsiTheme="minorHAnsi" w:cstheme="minorHAnsi"/>
          <w:color w:val="000000"/>
          <w:sz w:val="22"/>
          <w:szCs w:val="22"/>
          <w:shd w:val="clear" w:color="auto" w:fill="FFFFFF"/>
        </w:rPr>
        <w:t xml:space="preserve">; </w:t>
      </w:r>
    </w:p>
    <w:p w14:paraId="3CBFCBBE" w14:textId="56C439B6" w:rsidR="0025755C" w:rsidRPr="00DE41C5" w:rsidRDefault="00281FD9" w:rsidP="0025755C">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lastRenderedPageBreak/>
        <w:t>surveillance</w:t>
      </w:r>
      <w:r w:rsidR="00360285" w:rsidRPr="00DE41C5">
        <w:rPr>
          <w:rFonts w:asciiTheme="minorHAnsi" w:hAnsiTheme="minorHAnsi" w:cstheme="minorHAnsi"/>
          <w:color w:val="000000"/>
          <w:sz w:val="22"/>
          <w:szCs w:val="22"/>
          <w:shd w:val="clear" w:color="auto" w:fill="FFFFFF"/>
        </w:rPr>
        <w:t xml:space="preserve"> of civil society actors</w:t>
      </w:r>
      <w:r w:rsidR="00FB05BD" w:rsidRPr="00DE41C5">
        <w:rPr>
          <w:rFonts w:asciiTheme="minorHAnsi" w:hAnsiTheme="minorHAnsi" w:cstheme="minorHAnsi"/>
          <w:color w:val="000000"/>
          <w:sz w:val="22"/>
          <w:szCs w:val="22"/>
          <w:shd w:val="clear" w:color="auto" w:fill="FFFFFF"/>
        </w:rPr>
        <w:t xml:space="preserve"> sometimes conducted </w:t>
      </w:r>
      <w:r w:rsidRPr="00DE41C5">
        <w:rPr>
          <w:rFonts w:asciiTheme="minorHAnsi" w:hAnsiTheme="minorHAnsi" w:cstheme="minorHAnsi"/>
          <w:color w:val="000000"/>
          <w:sz w:val="22"/>
          <w:szCs w:val="22"/>
          <w:shd w:val="clear" w:color="auto" w:fill="FFFFFF"/>
        </w:rPr>
        <w:t>through</w:t>
      </w:r>
      <w:r w:rsidR="00FB05BD" w:rsidRPr="00DE41C5">
        <w:rPr>
          <w:rFonts w:asciiTheme="minorHAnsi" w:hAnsiTheme="minorHAnsi" w:cstheme="minorHAnsi"/>
          <w:color w:val="000000"/>
          <w:sz w:val="22"/>
          <w:szCs w:val="22"/>
          <w:shd w:val="clear" w:color="auto" w:fill="FFFFFF"/>
        </w:rPr>
        <w:t xml:space="preserve"> </w:t>
      </w:r>
      <w:r w:rsidR="00360285" w:rsidRPr="00DE41C5">
        <w:rPr>
          <w:rFonts w:asciiTheme="minorHAnsi" w:hAnsiTheme="minorHAnsi" w:cstheme="minorHAnsi"/>
          <w:color w:val="000000"/>
          <w:sz w:val="22"/>
          <w:szCs w:val="22"/>
          <w:shd w:val="clear" w:color="auto" w:fill="FFFFFF"/>
        </w:rPr>
        <w:t xml:space="preserve">the Financial Action Task Force (FATF) or international financial reporting systems such as the Common Reporting </w:t>
      </w:r>
      <w:r w:rsidRPr="00DE41C5">
        <w:rPr>
          <w:rFonts w:asciiTheme="minorHAnsi" w:hAnsiTheme="minorHAnsi" w:cstheme="minorHAnsi"/>
          <w:color w:val="000000"/>
          <w:sz w:val="22"/>
          <w:szCs w:val="22"/>
          <w:shd w:val="clear" w:color="auto" w:fill="FFFFFF"/>
        </w:rPr>
        <w:t>Standards</w:t>
      </w:r>
      <w:r w:rsidR="00360285" w:rsidRPr="00DE41C5">
        <w:rPr>
          <w:rFonts w:asciiTheme="minorHAnsi" w:hAnsiTheme="minorHAnsi" w:cstheme="minorHAnsi"/>
          <w:color w:val="000000"/>
          <w:sz w:val="22"/>
          <w:szCs w:val="22"/>
          <w:shd w:val="clear" w:color="auto" w:fill="FFFFFF"/>
        </w:rPr>
        <w:t xml:space="preserve"> (CRS); </w:t>
      </w:r>
      <w:r w:rsidR="00A920EB" w:rsidRPr="00DE41C5">
        <w:rPr>
          <w:rFonts w:asciiTheme="minorHAnsi" w:hAnsiTheme="minorHAnsi" w:cstheme="minorHAnsi"/>
          <w:color w:val="000000"/>
          <w:sz w:val="22"/>
          <w:szCs w:val="22"/>
          <w:shd w:val="clear" w:color="auto" w:fill="FFFFFF"/>
        </w:rPr>
        <w:t>and</w:t>
      </w:r>
    </w:p>
    <w:p w14:paraId="24F8141D" w14:textId="2190E441" w:rsidR="0025755C" w:rsidRPr="00DE41C5" w:rsidRDefault="0025755C" w:rsidP="00FB05BD">
      <w:pPr>
        <w:pStyle w:val="ListParagraph"/>
        <w:numPr>
          <w:ilvl w:val="0"/>
          <w:numId w:val="10"/>
        </w:numPr>
        <w:rPr>
          <w:rFonts w:asciiTheme="minorHAnsi" w:hAnsiTheme="minorHAnsi" w:cstheme="minorHAnsi"/>
          <w:color w:val="000000"/>
          <w:sz w:val="22"/>
          <w:szCs w:val="22"/>
          <w:shd w:val="clear" w:color="auto" w:fill="FFFFFF"/>
        </w:rPr>
      </w:pPr>
      <w:proofErr w:type="gramStart"/>
      <w:r w:rsidRPr="00DE41C5">
        <w:rPr>
          <w:rFonts w:asciiTheme="minorHAnsi" w:hAnsiTheme="minorHAnsi" w:cstheme="minorHAnsi"/>
          <w:color w:val="000000"/>
          <w:sz w:val="22"/>
          <w:szCs w:val="22"/>
          <w:shd w:val="clear" w:color="auto" w:fill="FFFFFF"/>
        </w:rPr>
        <w:t>harassment</w:t>
      </w:r>
      <w:proofErr w:type="gramEnd"/>
      <w:r w:rsidR="00281FD9" w:rsidRPr="00DE41C5">
        <w:rPr>
          <w:rFonts w:asciiTheme="minorHAnsi" w:hAnsiTheme="minorHAnsi" w:cstheme="minorHAnsi"/>
          <w:color w:val="000000"/>
          <w:sz w:val="22"/>
          <w:szCs w:val="22"/>
          <w:shd w:val="clear" w:color="auto" w:fill="FFFFFF"/>
        </w:rPr>
        <w:t xml:space="preserve"> by the government or extra-</w:t>
      </w:r>
      <w:r w:rsidR="00FB05BD" w:rsidRPr="00DE41C5">
        <w:rPr>
          <w:rFonts w:asciiTheme="minorHAnsi" w:hAnsiTheme="minorHAnsi" w:cstheme="minorHAnsi"/>
          <w:color w:val="000000"/>
          <w:sz w:val="22"/>
          <w:szCs w:val="22"/>
          <w:shd w:val="clear" w:color="auto" w:fill="FFFFFF"/>
        </w:rPr>
        <w:t>government</w:t>
      </w:r>
      <w:r w:rsidR="00281FD9" w:rsidRPr="00DE41C5">
        <w:rPr>
          <w:rFonts w:asciiTheme="minorHAnsi" w:hAnsiTheme="minorHAnsi" w:cstheme="minorHAnsi"/>
          <w:color w:val="000000"/>
          <w:sz w:val="22"/>
          <w:szCs w:val="22"/>
          <w:shd w:val="clear" w:color="auto" w:fill="FFFFFF"/>
        </w:rPr>
        <w:t>al</w:t>
      </w:r>
      <w:r w:rsidR="00FB05BD" w:rsidRPr="00DE41C5">
        <w:rPr>
          <w:rFonts w:asciiTheme="minorHAnsi" w:hAnsiTheme="minorHAnsi" w:cstheme="minorHAnsi"/>
          <w:color w:val="000000"/>
          <w:sz w:val="22"/>
          <w:szCs w:val="22"/>
          <w:shd w:val="clear" w:color="auto" w:fill="FFFFFF"/>
        </w:rPr>
        <w:t xml:space="preserve"> entities that attempt to </w:t>
      </w:r>
      <w:r w:rsidR="00281FD9" w:rsidRPr="00DE41C5">
        <w:rPr>
          <w:rFonts w:asciiTheme="minorHAnsi" w:hAnsiTheme="minorHAnsi" w:cstheme="minorHAnsi"/>
          <w:color w:val="000000"/>
          <w:sz w:val="22"/>
          <w:szCs w:val="22"/>
          <w:shd w:val="clear" w:color="auto" w:fill="FFFFFF"/>
        </w:rPr>
        <w:t>delegitimize</w:t>
      </w:r>
      <w:r w:rsidR="00FB05BD" w:rsidRPr="00DE41C5">
        <w:rPr>
          <w:rFonts w:asciiTheme="minorHAnsi" w:hAnsiTheme="minorHAnsi" w:cstheme="minorHAnsi"/>
          <w:color w:val="000000"/>
          <w:sz w:val="22"/>
          <w:szCs w:val="22"/>
          <w:shd w:val="clear" w:color="auto" w:fill="FFFFFF"/>
        </w:rPr>
        <w:t xml:space="preserve"> independent civil society actors often by branding them foreign agents.</w:t>
      </w:r>
    </w:p>
    <w:p w14:paraId="5C285913" w14:textId="77777777" w:rsidR="0025755C" w:rsidRPr="00DE41C5" w:rsidRDefault="0025755C" w:rsidP="00BE4277">
      <w:pPr>
        <w:rPr>
          <w:rFonts w:asciiTheme="minorHAnsi" w:hAnsiTheme="minorHAnsi" w:cstheme="minorHAnsi"/>
          <w:color w:val="000000"/>
          <w:sz w:val="22"/>
          <w:szCs w:val="22"/>
          <w:shd w:val="clear" w:color="auto" w:fill="FFFFFF"/>
        </w:rPr>
      </w:pPr>
    </w:p>
    <w:p w14:paraId="12EE251E" w14:textId="77777777" w:rsidR="00652411" w:rsidRPr="00DE41C5" w:rsidRDefault="00652411" w:rsidP="00BE4277">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Given these threats, we are pleased to submit responses to the following questions: </w:t>
      </w:r>
    </w:p>
    <w:p w14:paraId="5512A300" w14:textId="77777777" w:rsidR="00AD388C" w:rsidRPr="00DE41C5" w:rsidRDefault="00AD388C" w:rsidP="003E03FB">
      <w:pPr>
        <w:rPr>
          <w:rFonts w:asciiTheme="minorHAnsi" w:hAnsiTheme="minorHAnsi" w:cstheme="minorHAnsi"/>
          <w:sz w:val="22"/>
          <w:szCs w:val="22"/>
        </w:rPr>
      </w:pPr>
    </w:p>
    <w:p w14:paraId="47040C32" w14:textId="77777777" w:rsidR="00BC67B4" w:rsidRPr="00DE41C5" w:rsidRDefault="00D13D16" w:rsidP="00462F63">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 xml:space="preserve">Question </w:t>
      </w:r>
      <w:r w:rsidR="00BC67B4" w:rsidRPr="00DE41C5">
        <w:rPr>
          <w:rFonts w:asciiTheme="minorHAnsi" w:hAnsiTheme="minorHAnsi" w:cstheme="minorHAnsi"/>
          <w:b/>
          <w:sz w:val="22"/>
          <w:szCs w:val="22"/>
          <w:u w:val="single"/>
        </w:rPr>
        <w:t>3</w:t>
      </w:r>
      <w:r w:rsidRPr="00DE41C5">
        <w:rPr>
          <w:rFonts w:asciiTheme="minorHAnsi" w:hAnsiTheme="minorHAnsi" w:cstheme="minorHAnsi"/>
          <w:b/>
          <w:sz w:val="22"/>
          <w:szCs w:val="22"/>
          <w:u w:val="single"/>
        </w:rPr>
        <w:t>:</w:t>
      </w:r>
    </w:p>
    <w:p w14:paraId="0154A1CD" w14:textId="77777777" w:rsidR="003650D2" w:rsidRPr="00DE41C5" w:rsidRDefault="00BC67B4" w:rsidP="009E6244">
      <w:pPr>
        <w:rPr>
          <w:rFonts w:asciiTheme="minorHAnsi" w:eastAsia="Times New Roman" w:hAnsiTheme="minorHAnsi" w:cstheme="minorHAnsi"/>
          <w:sz w:val="22"/>
          <w:szCs w:val="22"/>
        </w:rPr>
      </w:pPr>
      <w:r w:rsidRPr="00DE41C5">
        <w:rPr>
          <w:rFonts w:asciiTheme="minorHAnsi" w:hAnsiTheme="minorHAnsi" w:cstheme="minorHAnsi"/>
          <w:b/>
          <w:sz w:val="22"/>
          <w:szCs w:val="22"/>
        </w:rPr>
        <w:t xml:space="preserve">Is freedom of assembly an individual or a collective right, or both? Who is the bearer of the right? The participants – individually or collectively? The organizers? Does the right cover planning/publication/advertisement of the event, and if so when </w:t>
      </w:r>
      <w:proofErr w:type="gramStart"/>
      <w:r w:rsidRPr="00DE41C5">
        <w:rPr>
          <w:rFonts w:asciiTheme="minorHAnsi" w:hAnsiTheme="minorHAnsi" w:cstheme="minorHAnsi"/>
          <w:b/>
          <w:sz w:val="22"/>
          <w:szCs w:val="22"/>
        </w:rPr>
        <w:t>does this start - before notification or other similar requirements have been met</w:t>
      </w:r>
      <w:proofErr w:type="gramEnd"/>
      <w:r w:rsidRPr="00DE41C5">
        <w:rPr>
          <w:rFonts w:asciiTheme="minorHAnsi" w:hAnsiTheme="minorHAnsi" w:cstheme="minorHAnsi"/>
          <w:b/>
          <w:sz w:val="22"/>
          <w:szCs w:val="22"/>
        </w:rPr>
        <w:t>?</w:t>
      </w:r>
    </w:p>
    <w:p w14:paraId="26CFDB77" w14:textId="6386F83F" w:rsidR="003650D2" w:rsidRPr="00DE41C5" w:rsidRDefault="003842F3"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Both i</w:t>
      </w:r>
      <w:r w:rsidR="00EF7C53" w:rsidRPr="00DE41C5">
        <w:rPr>
          <w:rFonts w:asciiTheme="minorHAnsi" w:eastAsia="Times New Roman" w:hAnsiTheme="minorHAnsi" w:cstheme="minorHAnsi"/>
          <w:sz w:val="22"/>
          <w:szCs w:val="22"/>
        </w:rPr>
        <w:t>ndividuals and</w:t>
      </w:r>
      <w:r w:rsidR="00F722BF" w:rsidRPr="00DE41C5">
        <w:rPr>
          <w:rFonts w:asciiTheme="minorHAnsi" w:eastAsia="Times New Roman" w:hAnsiTheme="minorHAnsi" w:cstheme="minorHAnsi"/>
          <w:sz w:val="22"/>
          <w:szCs w:val="22"/>
        </w:rPr>
        <w:t xml:space="preserve"> associations have the right to plan</w:t>
      </w:r>
      <w:r w:rsidR="003650D2" w:rsidRPr="00DE41C5">
        <w:rPr>
          <w:rFonts w:asciiTheme="minorHAnsi" w:eastAsia="Times New Roman" w:hAnsiTheme="minorHAnsi" w:cstheme="minorHAnsi"/>
          <w:sz w:val="22"/>
          <w:szCs w:val="22"/>
        </w:rPr>
        <w:t>, organize</w:t>
      </w:r>
      <w:r w:rsidR="00EF7C53" w:rsidRPr="00DE41C5">
        <w:rPr>
          <w:rFonts w:asciiTheme="minorHAnsi" w:eastAsia="Times New Roman" w:hAnsiTheme="minorHAnsi" w:cstheme="minorHAnsi"/>
          <w:sz w:val="22"/>
          <w:szCs w:val="22"/>
        </w:rPr>
        <w:t>, promote</w:t>
      </w:r>
      <w:r w:rsidR="00112345" w:rsidRPr="00DE41C5">
        <w:rPr>
          <w:rFonts w:asciiTheme="minorHAnsi" w:eastAsia="Times New Roman" w:hAnsiTheme="minorHAnsi" w:cstheme="minorHAnsi"/>
          <w:sz w:val="22"/>
          <w:szCs w:val="22"/>
        </w:rPr>
        <w:t>,</w:t>
      </w:r>
      <w:r w:rsidR="00EF7C53" w:rsidRPr="00DE41C5">
        <w:rPr>
          <w:rFonts w:asciiTheme="minorHAnsi" w:eastAsia="Times New Roman" w:hAnsiTheme="minorHAnsi" w:cstheme="minorHAnsi"/>
          <w:sz w:val="22"/>
          <w:szCs w:val="22"/>
        </w:rPr>
        <w:t xml:space="preserve"> and facilita</w:t>
      </w:r>
      <w:r w:rsidR="00B56DE8" w:rsidRPr="00DE41C5">
        <w:rPr>
          <w:rFonts w:asciiTheme="minorHAnsi" w:eastAsia="Times New Roman" w:hAnsiTheme="minorHAnsi" w:cstheme="minorHAnsi"/>
          <w:sz w:val="22"/>
          <w:szCs w:val="22"/>
        </w:rPr>
        <w:t>te assemblies</w:t>
      </w:r>
      <w:r w:rsidR="003650D2" w:rsidRPr="00DE41C5">
        <w:rPr>
          <w:rFonts w:asciiTheme="minorHAnsi" w:eastAsia="Times New Roman" w:hAnsiTheme="minorHAnsi" w:cstheme="minorHAnsi"/>
          <w:sz w:val="22"/>
          <w:szCs w:val="22"/>
        </w:rPr>
        <w:t xml:space="preserve"> and other events</w:t>
      </w:r>
      <w:r w:rsidR="00462F63" w:rsidRPr="00DE41C5">
        <w:rPr>
          <w:rFonts w:asciiTheme="minorHAnsi" w:eastAsia="Times New Roman" w:hAnsiTheme="minorHAnsi" w:cstheme="minorHAnsi"/>
          <w:sz w:val="22"/>
          <w:szCs w:val="22"/>
        </w:rPr>
        <w:t>.</w:t>
      </w:r>
      <w:r w:rsidR="0049511F" w:rsidRPr="00DE41C5">
        <w:rPr>
          <w:rFonts w:asciiTheme="minorHAnsi" w:eastAsia="Times New Roman" w:hAnsiTheme="minorHAnsi" w:cstheme="minorHAnsi"/>
          <w:sz w:val="22"/>
          <w:szCs w:val="22"/>
        </w:rPr>
        <w:t xml:space="preserve"> </w:t>
      </w:r>
    </w:p>
    <w:p w14:paraId="0F231B3B" w14:textId="6B6492A6" w:rsidR="003650D2" w:rsidRPr="00DE41C5" w:rsidRDefault="0041186C"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 xml:space="preserve">The exercise of this right by an individual should not be contingent upon others also exercising this right. </w:t>
      </w:r>
      <w:r w:rsidR="000A6CD2" w:rsidRPr="00DE41C5">
        <w:rPr>
          <w:rFonts w:asciiTheme="minorHAnsi" w:eastAsia="Times New Roman" w:hAnsiTheme="minorHAnsi" w:cstheme="minorHAnsi"/>
          <w:sz w:val="22"/>
          <w:szCs w:val="22"/>
        </w:rPr>
        <w:t xml:space="preserve">Therefore, it is an individual right. </w:t>
      </w:r>
      <w:r w:rsidRPr="00DE41C5">
        <w:rPr>
          <w:rFonts w:asciiTheme="minorHAnsi" w:eastAsia="Times New Roman" w:hAnsiTheme="minorHAnsi" w:cstheme="minorHAnsi"/>
          <w:sz w:val="22"/>
          <w:szCs w:val="22"/>
        </w:rPr>
        <w:t>Moreover, if an individual participating in an assembly violates a law, w</w:t>
      </w:r>
      <w:r w:rsidR="002A2F9A" w:rsidRPr="00DE41C5">
        <w:rPr>
          <w:rFonts w:asciiTheme="minorHAnsi" w:eastAsia="Times New Roman" w:hAnsiTheme="minorHAnsi" w:cstheme="minorHAnsi"/>
          <w:sz w:val="22"/>
          <w:szCs w:val="22"/>
        </w:rPr>
        <w:t xml:space="preserve">hich </w:t>
      </w:r>
      <w:proofErr w:type="gramStart"/>
      <w:r w:rsidR="002A2F9A" w:rsidRPr="00DE41C5">
        <w:rPr>
          <w:rFonts w:asciiTheme="minorHAnsi" w:eastAsia="Times New Roman" w:hAnsiTheme="minorHAnsi" w:cstheme="minorHAnsi"/>
          <w:sz w:val="22"/>
          <w:szCs w:val="22"/>
        </w:rPr>
        <w:t xml:space="preserve">is written and enforced </w:t>
      </w:r>
      <w:r w:rsidRPr="00DE41C5">
        <w:rPr>
          <w:rFonts w:asciiTheme="minorHAnsi" w:eastAsia="Times New Roman" w:hAnsiTheme="minorHAnsi" w:cstheme="minorHAnsi"/>
          <w:sz w:val="22"/>
          <w:szCs w:val="22"/>
        </w:rPr>
        <w:t>in accordance with international human rights norms,</w:t>
      </w:r>
      <w:proofErr w:type="gramEnd"/>
      <w:r w:rsidRPr="00DE41C5">
        <w:rPr>
          <w:rFonts w:asciiTheme="minorHAnsi" w:eastAsia="Times New Roman" w:hAnsiTheme="minorHAnsi" w:cstheme="minorHAnsi"/>
          <w:sz w:val="22"/>
          <w:szCs w:val="22"/>
        </w:rPr>
        <w:t xml:space="preserve"> the individual may forfeit his or her individual right</w:t>
      </w:r>
      <w:r w:rsidR="00ED5B9E" w:rsidRPr="00DE41C5">
        <w:rPr>
          <w:rFonts w:asciiTheme="minorHAnsi" w:eastAsia="Times New Roman" w:hAnsiTheme="minorHAnsi" w:cstheme="minorHAnsi"/>
          <w:sz w:val="22"/>
          <w:szCs w:val="22"/>
        </w:rPr>
        <w:t>s</w:t>
      </w:r>
      <w:r w:rsidR="002A2F9A" w:rsidRPr="00DE41C5">
        <w:rPr>
          <w:rFonts w:asciiTheme="minorHAnsi" w:eastAsia="Times New Roman" w:hAnsiTheme="minorHAnsi" w:cstheme="minorHAnsi"/>
          <w:sz w:val="22"/>
          <w:szCs w:val="22"/>
        </w:rPr>
        <w:t>,</w:t>
      </w:r>
      <w:r w:rsidR="003C6AE8" w:rsidRPr="00DE41C5">
        <w:rPr>
          <w:rFonts w:asciiTheme="minorHAnsi" w:eastAsia="Times New Roman" w:hAnsiTheme="minorHAnsi" w:cstheme="minorHAnsi"/>
          <w:sz w:val="22"/>
          <w:szCs w:val="22"/>
        </w:rPr>
        <w:t xml:space="preserve"> pursuant to due process</w:t>
      </w:r>
      <w:r w:rsidRPr="00DE41C5">
        <w:rPr>
          <w:rFonts w:asciiTheme="minorHAnsi" w:eastAsia="Times New Roman" w:hAnsiTheme="minorHAnsi" w:cstheme="minorHAnsi"/>
          <w:sz w:val="22"/>
          <w:szCs w:val="22"/>
        </w:rPr>
        <w:t>. However, the conduct of such</w:t>
      </w:r>
      <w:r w:rsidR="000E63E7" w:rsidRPr="00DE41C5">
        <w:rPr>
          <w:rFonts w:asciiTheme="minorHAnsi" w:eastAsia="Times New Roman" w:hAnsiTheme="minorHAnsi" w:cstheme="minorHAnsi"/>
          <w:sz w:val="22"/>
          <w:szCs w:val="22"/>
        </w:rPr>
        <w:t xml:space="preserve"> an individual must not give a S</w:t>
      </w:r>
      <w:r w:rsidRPr="00DE41C5">
        <w:rPr>
          <w:rFonts w:asciiTheme="minorHAnsi" w:eastAsia="Times New Roman" w:hAnsiTheme="minorHAnsi" w:cstheme="minorHAnsi"/>
          <w:sz w:val="22"/>
          <w:szCs w:val="22"/>
        </w:rPr>
        <w:t>tate license to restrict the right of others who lawfully participate in the same assembly</w:t>
      </w:r>
      <w:r w:rsidR="002A2F9A" w:rsidRPr="00DE41C5">
        <w:rPr>
          <w:rFonts w:asciiTheme="minorHAnsi" w:eastAsia="Times New Roman" w:hAnsiTheme="minorHAnsi" w:cstheme="minorHAnsi"/>
          <w:sz w:val="22"/>
          <w:szCs w:val="22"/>
        </w:rPr>
        <w:t xml:space="preserve"> or future assemblies</w:t>
      </w:r>
      <w:r w:rsidRPr="00DE41C5">
        <w:rPr>
          <w:rFonts w:asciiTheme="minorHAnsi" w:eastAsia="Times New Roman" w:hAnsiTheme="minorHAnsi" w:cstheme="minorHAnsi"/>
          <w:sz w:val="22"/>
          <w:szCs w:val="22"/>
        </w:rPr>
        <w:t>.</w:t>
      </w:r>
      <w:r w:rsidR="000A6CD2" w:rsidRPr="00DE41C5">
        <w:rPr>
          <w:rFonts w:asciiTheme="minorHAnsi" w:eastAsia="Times New Roman" w:hAnsiTheme="minorHAnsi" w:cstheme="minorHAnsi"/>
          <w:sz w:val="22"/>
          <w:szCs w:val="22"/>
        </w:rPr>
        <w:t xml:space="preserve"> </w:t>
      </w:r>
    </w:p>
    <w:p w14:paraId="50D871D9" w14:textId="77777777" w:rsidR="003650D2" w:rsidRPr="00DE41C5" w:rsidRDefault="000A6CD2"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 xml:space="preserve">However, the term </w:t>
      </w:r>
      <w:r w:rsidR="00830516" w:rsidRPr="00DE41C5">
        <w:rPr>
          <w:rFonts w:asciiTheme="minorHAnsi" w:eastAsia="Times New Roman" w:hAnsiTheme="minorHAnsi" w:cstheme="minorHAnsi"/>
          <w:sz w:val="22"/>
          <w:szCs w:val="22"/>
        </w:rPr>
        <w:t>“</w:t>
      </w:r>
      <w:r w:rsidRPr="00DE41C5">
        <w:rPr>
          <w:rFonts w:asciiTheme="minorHAnsi" w:eastAsia="Times New Roman" w:hAnsiTheme="minorHAnsi" w:cstheme="minorHAnsi"/>
          <w:sz w:val="22"/>
          <w:szCs w:val="22"/>
        </w:rPr>
        <w:t>assembly</w:t>
      </w:r>
      <w:r w:rsidR="00830516" w:rsidRPr="00DE41C5">
        <w:rPr>
          <w:rFonts w:asciiTheme="minorHAnsi" w:eastAsia="Times New Roman" w:hAnsiTheme="minorHAnsi" w:cstheme="minorHAnsi"/>
          <w:sz w:val="22"/>
          <w:szCs w:val="22"/>
        </w:rPr>
        <w:t>”</w:t>
      </w:r>
      <w:r w:rsidRPr="00DE41C5">
        <w:rPr>
          <w:rFonts w:asciiTheme="minorHAnsi" w:eastAsia="Times New Roman" w:hAnsiTheme="minorHAnsi" w:cstheme="minorHAnsi"/>
          <w:sz w:val="22"/>
          <w:szCs w:val="22"/>
        </w:rPr>
        <w:t xml:space="preserve"> implies</w:t>
      </w:r>
      <w:r w:rsidR="00462F63" w:rsidRPr="00DE41C5">
        <w:rPr>
          <w:rFonts w:asciiTheme="minorHAnsi" w:eastAsia="Times New Roman" w:hAnsiTheme="minorHAnsi" w:cstheme="minorHAnsi"/>
          <w:sz w:val="22"/>
          <w:szCs w:val="22"/>
        </w:rPr>
        <w:t>,</w:t>
      </w:r>
      <w:r w:rsidR="003842F3" w:rsidRPr="00DE41C5">
        <w:rPr>
          <w:rFonts w:asciiTheme="minorHAnsi" w:eastAsia="Times New Roman" w:hAnsiTheme="minorHAnsi" w:cstheme="minorHAnsi"/>
          <w:sz w:val="22"/>
          <w:szCs w:val="22"/>
        </w:rPr>
        <w:t xml:space="preserve"> at the very least</w:t>
      </w:r>
      <w:r w:rsidR="00462F63" w:rsidRPr="00DE41C5">
        <w:rPr>
          <w:rFonts w:asciiTheme="minorHAnsi" w:eastAsia="Times New Roman" w:hAnsiTheme="minorHAnsi" w:cstheme="minorHAnsi"/>
          <w:sz w:val="22"/>
          <w:szCs w:val="22"/>
        </w:rPr>
        <w:t>,</w:t>
      </w:r>
      <w:r w:rsidR="003842F3" w:rsidRPr="00DE41C5">
        <w:rPr>
          <w:rFonts w:asciiTheme="minorHAnsi" w:eastAsia="Times New Roman" w:hAnsiTheme="minorHAnsi" w:cstheme="minorHAnsi"/>
          <w:sz w:val="22"/>
          <w:szCs w:val="22"/>
        </w:rPr>
        <w:t xml:space="preserve"> a gathering of more than one individual who are associated through their </w:t>
      </w:r>
      <w:r w:rsidR="00462F63" w:rsidRPr="00DE41C5">
        <w:rPr>
          <w:rFonts w:asciiTheme="minorHAnsi" w:eastAsia="Times New Roman" w:hAnsiTheme="minorHAnsi" w:cstheme="minorHAnsi"/>
          <w:sz w:val="22"/>
          <w:szCs w:val="22"/>
        </w:rPr>
        <w:t>participation</w:t>
      </w:r>
      <w:r w:rsidR="003842F3" w:rsidRPr="00DE41C5">
        <w:rPr>
          <w:rFonts w:asciiTheme="minorHAnsi" w:eastAsia="Times New Roman" w:hAnsiTheme="minorHAnsi" w:cstheme="minorHAnsi"/>
          <w:sz w:val="22"/>
          <w:szCs w:val="22"/>
        </w:rPr>
        <w:t xml:space="preserve"> in the gathering. </w:t>
      </w:r>
      <w:r w:rsidRPr="00DE41C5">
        <w:rPr>
          <w:rFonts w:asciiTheme="minorHAnsi" w:eastAsia="Times New Roman" w:hAnsiTheme="minorHAnsi" w:cstheme="minorHAnsi"/>
          <w:sz w:val="22"/>
          <w:szCs w:val="22"/>
        </w:rPr>
        <w:t xml:space="preserve">Therefore, this right </w:t>
      </w:r>
      <w:proofErr w:type="gramStart"/>
      <w:r w:rsidR="003C6AE8" w:rsidRPr="00DE41C5">
        <w:rPr>
          <w:rFonts w:asciiTheme="minorHAnsi" w:eastAsia="Times New Roman" w:hAnsiTheme="minorHAnsi" w:cstheme="minorHAnsi"/>
          <w:sz w:val="22"/>
          <w:szCs w:val="22"/>
        </w:rPr>
        <w:t>must</w:t>
      </w:r>
      <w:r w:rsidRPr="00DE41C5">
        <w:rPr>
          <w:rFonts w:asciiTheme="minorHAnsi" w:eastAsia="Times New Roman" w:hAnsiTheme="minorHAnsi" w:cstheme="minorHAnsi"/>
          <w:sz w:val="22"/>
          <w:szCs w:val="22"/>
        </w:rPr>
        <w:t xml:space="preserve"> also </w:t>
      </w:r>
      <w:r w:rsidR="003C6AE8" w:rsidRPr="00DE41C5">
        <w:rPr>
          <w:rFonts w:asciiTheme="minorHAnsi" w:eastAsia="Times New Roman" w:hAnsiTheme="minorHAnsi" w:cstheme="minorHAnsi"/>
          <w:sz w:val="22"/>
          <w:szCs w:val="22"/>
        </w:rPr>
        <w:t xml:space="preserve">be </w:t>
      </w:r>
      <w:r w:rsidRPr="00DE41C5">
        <w:rPr>
          <w:rFonts w:asciiTheme="minorHAnsi" w:eastAsia="Times New Roman" w:hAnsiTheme="minorHAnsi" w:cstheme="minorHAnsi"/>
          <w:sz w:val="22"/>
          <w:szCs w:val="22"/>
        </w:rPr>
        <w:t>considered</w:t>
      </w:r>
      <w:proofErr w:type="gramEnd"/>
      <w:r w:rsidRPr="00DE41C5">
        <w:rPr>
          <w:rFonts w:asciiTheme="minorHAnsi" w:eastAsia="Times New Roman" w:hAnsiTheme="minorHAnsi" w:cstheme="minorHAnsi"/>
          <w:sz w:val="22"/>
          <w:szCs w:val="22"/>
        </w:rPr>
        <w:t xml:space="preserve"> a collective right. </w:t>
      </w:r>
    </w:p>
    <w:p w14:paraId="79230D74" w14:textId="7351420D" w:rsidR="0049511F" w:rsidRPr="00DE41C5" w:rsidRDefault="000D3893" w:rsidP="00A3111C">
      <w:pPr>
        <w:pStyle w:val="ListParagraph"/>
        <w:numPr>
          <w:ilvl w:val="0"/>
          <w:numId w:val="4"/>
        </w:numPr>
        <w:rPr>
          <w:rFonts w:asciiTheme="minorHAnsi" w:hAnsiTheme="minorHAnsi" w:cstheme="minorHAnsi"/>
          <w:sz w:val="22"/>
          <w:szCs w:val="22"/>
        </w:rPr>
      </w:pPr>
      <w:r w:rsidRPr="00DE41C5">
        <w:rPr>
          <w:rFonts w:asciiTheme="minorHAnsi" w:hAnsiTheme="minorHAnsi" w:cstheme="minorHAnsi"/>
          <w:color w:val="000000"/>
          <w:sz w:val="22"/>
          <w:szCs w:val="22"/>
          <w:shd w:val="clear" w:color="auto" w:fill="FFFFFF"/>
        </w:rPr>
        <w:t>This right is universal</w:t>
      </w:r>
      <w:r w:rsidR="0049511F" w:rsidRPr="00DE41C5">
        <w:rPr>
          <w:rFonts w:asciiTheme="minorHAnsi" w:hAnsiTheme="minorHAnsi" w:cstheme="minorHAnsi"/>
          <w:color w:val="000000"/>
          <w:sz w:val="22"/>
          <w:szCs w:val="22"/>
          <w:shd w:val="clear" w:color="auto" w:fill="FFFFFF"/>
        </w:rPr>
        <w:t xml:space="preserve"> and inalienable</w:t>
      </w:r>
      <w:r w:rsidRPr="00DE41C5">
        <w:rPr>
          <w:rFonts w:asciiTheme="minorHAnsi" w:hAnsiTheme="minorHAnsi" w:cstheme="minorHAnsi"/>
          <w:color w:val="000000"/>
          <w:sz w:val="22"/>
          <w:szCs w:val="22"/>
          <w:shd w:val="clear" w:color="auto" w:fill="FFFFFF"/>
        </w:rPr>
        <w:t>. As such, it is not necessary to assign a beginning and an ending.</w:t>
      </w:r>
      <w:r w:rsidR="009E6244" w:rsidRPr="00DE41C5">
        <w:rPr>
          <w:rFonts w:asciiTheme="minorHAnsi" w:hAnsiTheme="minorHAnsi" w:cstheme="minorHAnsi"/>
          <w:color w:val="000000"/>
          <w:sz w:val="22"/>
          <w:szCs w:val="22"/>
          <w:shd w:val="clear" w:color="auto" w:fill="FFFFFF"/>
        </w:rPr>
        <w:t xml:space="preserve"> </w:t>
      </w:r>
      <w:r w:rsidR="00686904" w:rsidRPr="00DE41C5">
        <w:rPr>
          <w:rFonts w:asciiTheme="minorHAnsi" w:hAnsiTheme="minorHAnsi" w:cstheme="minorHAnsi"/>
          <w:color w:val="000000"/>
          <w:sz w:val="22"/>
          <w:szCs w:val="22"/>
          <w:shd w:val="clear" w:color="auto" w:fill="FFFFFF"/>
        </w:rPr>
        <w:t xml:space="preserve">Some assemblies </w:t>
      </w:r>
      <w:r w:rsidR="001526FD" w:rsidRPr="00DE41C5">
        <w:rPr>
          <w:rFonts w:asciiTheme="minorHAnsi" w:hAnsiTheme="minorHAnsi" w:cstheme="minorHAnsi"/>
          <w:color w:val="000000"/>
          <w:sz w:val="22"/>
          <w:szCs w:val="22"/>
          <w:shd w:val="clear" w:color="auto" w:fill="FFFFFF"/>
        </w:rPr>
        <w:t xml:space="preserve">or counter assemblies </w:t>
      </w:r>
      <w:r w:rsidR="00686904" w:rsidRPr="00DE41C5">
        <w:rPr>
          <w:rFonts w:asciiTheme="minorHAnsi" w:hAnsiTheme="minorHAnsi" w:cstheme="minorHAnsi"/>
          <w:color w:val="000000"/>
          <w:sz w:val="22"/>
          <w:szCs w:val="22"/>
          <w:shd w:val="clear" w:color="auto" w:fill="FFFFFF"/>
        </w:rPr>
        <w:t>may occur spontaneously and may not have a defined organizer or the opportunity to provide prior notification to local authorities. Such assemblies</w:t>
      </w:r>
      <w:r w:rsidR="0049511F" w:rsidRPr="00DE41C5">
        <w:rPr>
          <w:rFonts w:asciiTheme="minorHAnsi" w:hAnsiTheme="minorHAnsi" w:cstheme="minorHAnsi"/>
          <w:color w:val="000000"/>
          <w:sz w:val="22"/>
          <w:szCs w:val="22"/>
          <w:shd w:val="clear" w:color="auto" w:fill="FFFFFF"/>
        </w:rPr>
        <w:t xml:space="preserve">, taking form of workshops, trainings, conferences organized </w:t>
      </w:r>
      <w:r w:rsidR="00686904" w:rsidRPr="00DE41C5">
        <w:rPr>
          <w:rFonts w:asciiTheme="minorHAnsi" w:hAnsiTheme="minorHAnsi" w:cstheme="minorHAnsi"/>
          <w:color w:val="000000"/>
          <w:sz w:val="22"/>
          <w:szCs w:val="22"/>
          <w:shd w:val="clear" w:color="auto" w:fill="FFFFFF"/>
        </w:rPr>
        <w:t xml:space="preserve">should still be considered </w:t>
      </w:r>
      <w:proofErr w:type="gramStart"/>
      <w:r w:rsidR="00061EFB" w:rsidRPr="00DE41C5">
        <w:rPr>
          <w:rFonts w:asciiTheme="minorHAnsi" w:hAnsiTheme="minorHAnsi" w:cstheme="minorHAnsi"/>
          <w:color w:val="000000"/>
          <w:sz w:val="22"/>
          <w:szCs w:val="22"/>
          <w:shd w:val="clear" w:color="auto" w:fill="FFFFFF"/>
        </w:rPr>
        <w:t xml:space="preserve">to be </w:t>
      </w:r>
      <w:r w:rsidR="00686904" w:rsidRPr="00DE41C5">
        <w:rPr>
          <w:rFonts w:asciiTheme="minorHAnsi" w:hAnsiTheme="minorHAnsi" w:cstheme="minorHAnsi"/>
          <w:color w:val="000000"/>
          <w:sz w:val="22"/>
          <w:szCs w:val="22"/>
          <w:shd w:val="clear" w:color="auto" w:fill="FFFFFF"/>
        </w:rPr>
        <w:t>legitimate</w:t>
      </w:r>
      <w:proofErr w:type="gramEnd"/>
      <w:r w:rsidR="00686904" w:rsidRPr="00DE41C5">
        <w:rPr>
          <w:rFonts w:asciiTheme="minorHAnsi" w:hAnsiTheme="minorHAnsi" w:cstheme="minorHAnsi"/>
          <w:color w:val="000000"/>
          <w:sz w:val="22"/>
          <w:szCs w:val="22"/>
          <w:shd w:val="clear" w:color="auto" w:fill="FFFFFF"/>
        </w:rPr>
        <w:t xml:space="preserve"> and lawful exercise</w:t>
      </w:r>
      <w:r w:rsidR="00061EFB" w:rsidRPr="00DE41C5">
        <w:rPr>
          <w:rFonts w:asciiTheme="minorHAnsi" w:hAnsiTheme="minorHAnsi" w:cstheme="minorHAnsi"/>
          <w:color w:val="000000"/>
          <w:sz w:val="22"/>
          <w:szCs w:val="22"/>
          <w:shd w:val="clear" w:color="auto" w:fill="FFFFFF"/>
        </w:rPr>
        <w:t>s</w:t>
      </w:r>
      <w:r w:rsidR="00686904" w:rsidRPr="00DE41C5">
        <w:rPr>
          <w:rFonts w:asciiTheme="minorHAnsi" w:hAnsiTheme="minorHAnsi" w:cstheme="minorHAnsi"/>
          <w:color w:val="000000"/>
          <w:sz w:val="22"/>
          <w:szCs w:val="22"/>
          <w:shd w:val="clear" w:color="auto" w:fill="FFFFFF"/>
        </w:rPr>
        <w:t xml:space="preserve"> of this right. </w:t>
      </w:r>
    </w:p>
    <w:p w14:paraId="4CCC51D8" w14:textId="70B30DF3" w:rsidR="00805A33" w:rsidRPr="00DE41C5" w:rsidRDefault="00061EFB" w:rsidP="006A7138">
      <w:pPr>
        <w:pStyle w:val="ListParagraph"/>
        <w:numPr>
          <w:ilvl w:val="0"/>
          <w:numId w:val="4"/>
        </w:numPr>
        <w:rPr>
          <w:rFonts w:asciiTheme="minorHAnsi" w:hAnsiTheme="minorHAnsi" w:cstheme="minorHAnsi"/>
          <w:sz w:val="22"/>
          <w:szCs w:val="22"/>
        </w:rPr>
      </w:pPr>
      <w:r w:rsidRPr="00DE41C5">
        <w:rPr>
          <w:rFonts w:asciiTheme="minorHAnsi" w:hAnsiTheme="minorHAnsi" w:cstheme="minorHAnsi"/>
          <w:sz w:val="22"/>
          <w:szCs w:val="22"/>
        </w:rPr>
        <w:t xml:space="preserve">When assemblies </w:t>
      </w:r>
      <w:proofErr w:type="gramStart"/>
      <w:r w:rsidRPr="00DE41C5">
        <w:rPr>
          <w:rFonts w:asciiTheme="minorHAnsi" w:hAnsiTheme="minorHAnsi" w:cstheme="minorHAnsi"/>
          <w:sz w:val="22"/>
          <w:szCs w:val="22"/>
        </w:rPr>
        <w:t>are organized</w:t>
      </w:r>
      <w:proofErr w:type="gramEnd"/>
      <w:r w:rsidRPr="00DE41C5">
        <w:rPr>
          <w:rFonts w:asciiTheme="minorHAnsi" w:hAnsiTheme="minorHAnsi" w:cstheme="minorHAnsi"/>
          <w:sz w:val="22"/>
          <w:szCs w:val="22"/>
        </w:rPr>
        <w:t xml:space="preserve"> in advance, the </w:t>
      </w:r>
      <w:r w:rsidR="002963F8" w:rsidRPr="00DE41C5">
        <w:rPr>
          <w:rFonts w:asciiTheme="minorHAnsi" w:hAnsiTheme="minorHAnsi" w:cstheme="minorHAnsi"/>
          <w:sz w:val="22"/>
          <w:szCs w:val="22"/>
        </w:rPr>
        <w:t xml:space="preserve">right to freedom of peaceful assembly </w:t>
      </w:r>
      <w:r w:rsidRPr="00DE41C5">
        <w:rPr>
          <w:rFonts w:asciiTheme="minorHAnsi" w:hAnsiTheme="minorHAnsi" w:cstheme="minorHAnsi"/>
          <w:sz w:val="22"/>
          <w:szCs w:val="22"/>
        </w:rPr>
        <w:t>should</w:t>
      </w:r>
      <w:r w:rsidR="002963F8" w:rsidRPr="00DE41C5">
        <w:rPr>
          <w:rFonts w:asciiTheme="minorHAnsi" w:hAnsiTheme="minorHAnsi" w:cstheme="minorHAnsi"/>
          <w:sz w:val="22"/>
          <w:szCs w:val="22"/>
        </w:rPr>
        <w:t xml:space="preserve"> not require the issuance of a permit to hold an assembly.</w:t>
      </w:r>
      <w:r w:rsidR="003650D2" w:rsidRPr="00DE41C5">
        <w:rPr>
          <w:rStyle w:val="FootnoteReference"/>
          <w:rFonts w:asciiTheme="minorHAnsi" w:hAnsiTheme="minorHAnsi" w:cstheme="minorHAnsi"/>
          <w:sz w:val="22"/>
          <w:szCs w:val="22"/>
        </w:rPr>
        <w:footnoteReference w:id="4"/>
      </w:r>
      <w:r w:rsidR="002963F8" w:rsidRPr="00DE41C5">
        <w:rPr>
          <w:rFonts w:asciiTheme="minorHAnsi" w:hAnsiTheme="minorHAnsi" w:cstheme="minorHAnsi"/>
          <w:sz w:val="22"/>
          <w:szCs w:val="22"/>
        </w:rPr>
        <w:t xml:space="preserve"> At most, authorities may require notification for large assemblies or for assemblies where a certain degree o</w:t>
      </w:r>
      <w:r w:rsidR="003C6AE8" w:rsidRPr="00DE41C5">
        <w:rPr>
          <w:rFonts w:asciiTheme="minorHAnsi" w:hAnsiTheme="minorHAnsi" w:cstheme="minorHAnsi"/>
          <w:sz w:val="22"/>
          <w:szCs w:val="22"/>
        </w:rPr>
        <w:t xml:space="preserve">f disruption </w:t>
      </w:r>
      <w:proofErr w:type="gramStart"/>
      <w:r w:rsidR="003C6AE8" w:rsidRPr="00DE41C5">
        <w:rPr>
          <w:rFonts w:asciiTheme="minorHAnsi" w:hAnsiTheme="minorHAnsi" w:cstheme="minorHAnsi"/>
          <w:sz w:val="22"/>
          <w:szCs w:val="22"/>
        </w:rPr>
        <w:t>is anticipated</w:t>
      </w:r>
      <w:proofErr w:type="gramEnd"/>
      <w:r w:rsidR="002963F8" w:rsidRPr="00DE41C5">
        <w:rPr>
          <w:rFonts w:asciiTheme="minorHAnsi" w:hAnsiTheme="minorHAnsi" w:cstheme="minorHAnsi"/>
          <w:sz w:val="22"/>
          <w:szCs w:val="22"/>
        </w:rPr>
        <w:t>.</w:t>
      </w:r>
      <w:r w:rsidR="00061D04" w:rsidRPr="00DE41C5">
        <w:rPr>
          <w:rStyle w:val="FootnoteReference"/>
          <w:rFonts w:asciiTheme="minorHAnsi" w:hAnsiTheme="minorHAnsi" w:cstheme="minorHAnsi"/>
          <w:sz w:val="22"/>
          <w:szCs w:val="22"/>
        </w:rPr>
        <w:footnoteReference w:id="5"/>
      </w:r>
      <w:r w:rsidR="002963F8" w:rsidRPr="00DE41C5">
        <w:rPr>
          <w:rFonts w:asciiTheme="minorHAnsi" w:hAnsiTheme="minorHAnsi" w:cstheme="minorHAnsi"/>
          <w:sz w:val="22"/>
          <w:szCs w:val="22"/>
        </w:rPr>
        <w:t xml:space="preserve"> Organizers should be able to notify the designated primary authority of the holding of a peaceful assembly in the simplest and fastest way, by filling, for instance, a clear and concise form, available in the main language(s) spoken in the country, preferably online to avoid uncertainties and possible delays in postage.</w:t>
      </w:r>
      <w:r w:rsidR="00061D04" w:rsidRPr="00DE41C5">
        <w:rPr>
          <w:rStyle w:val="FootnoteReference"/>
          <w:rFonts w:asciiTheme="minorHAnsi" w:hAnsiTheme="minorHAnsi" w:cstheme="minorHAnsi"/>
          <w:sz w:val="22"/>
          <w:szCs w:val="22"/>
        </w:rPr>
        <w:footnoteReference w:id="6"/>
      </w:r>
      <w:r w:rsidR="002963F8" w:rsidRPr="00DE41C5">
        <w:rPr>
          <w:rFonts w:asciiTheme="minorHAnsi" w:hAnsiTheme="minorHAnsi" w:cstheme="minorHAnsi"/>
          <w:sz w:val="22"/>
          <w:szCs w:val="22"/>
        </w:rPr>
        <w:t xml:space="preserve"> </w:t>
      </w:r>
      <w:r w:rsidR="0049511F" w:rsidRPr="00DE41C5">
        <w:rPr>
          <w:rFonts w:asciiTheme="minorHAnsi" w:hAnsiTheme="minorHAnsi" w:cstheme="minorHAnsi"/>
          <w:sz w:val="22"/>
          <w:szCs w:val="22"/>
        </w:rPr>
        <w:t>Notification should not turn into a tool in the hands of duty bearers to violate the freedom of peaceful assembly, but rather should help better facilitation, coordination</w:t>
      </w:r>
      <w:r w:rsidR="00246875" w:rsidRPr="00DE41C5">
        <w:rPr>
          <w:rFonts w:asciiTheme="minorHAnsi" w:hAnsiTheme="minorHAnsi" w:cstheme="minorHAnsi"/>
          <w:sz w:val="22"/>
          <w:szCs w:val="22"/>
        </w:rPr>
        <w:t>,</w:t>
      </w:r>
      <w:r w:rsidR="0049511F" w:rsidRPr="00DE41C5">
        <w:rPr>
          <w:rFonts w:asciiTheme="minorHAnsi" w:hAnsiTheme="minorHAnsi" w:cstheme="minorHAnsi"/>
          <w:sz w:val="22"/>
          <w:szCs w:val="22"/>
        </w:rPr>
        <w:t xml:space="preserve"> and provision of safeguard measures.</w:t>
      </w:r>
    </w:p>
    <w:p w14:paraId="202B0955" w14:textId="77777777" w:rsidR="00615D5D" w:rsidRPr="00DE41C5" w:rsidRDefault="00615D5D" w:rsidP="00615D5D">
      <w:pPr>
        <w:pStyle w:val="ListParagraph"/>
        <w:rPr>
          <w:rFonts w:asciiTheme="minorHAnsi" w:hAnsiTheme="minorHAnsi" w:cstheme="minorHAnsi"/>
          <w:sz w:val="22"/>
          <w:szCs w:val="22"/>
        </w:rPr>
      </w:pPr>
    </w:p>
    <w:p w14:paraId="556CAE00" w14:textId="77777777" w:rsidR="00830516" w:rsidRPr="00DE41C5" w:rsidRDefault="00805A33" w:rsidP="00830516">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5:</w:t>
      </w:r>
    </w:p>
    <w:p w14:paraId="455C0A5F" w14:textId="77777777" w:rsidR="00805A33" w:rsidRPr="00DE41C5" w:rsidRDefault="00830516" w:rsidP="00805A33">
      <w:pPr>
        <w:rPr>
          <w:rFonts w:asciiTheme="minorHAnsi" w:hAnsiTheme="minorHAnsi" w:cstheme="minorHAnsi"/>
          <w:b/>
          <w:sz w:val="22"/>
          <w:szCs w:val="22"/>
        </w:rPr>
      </w:pPr>
      <w:r w:rsidRPr="00DE41C5">
        <w:rPr>
          <w:rFonts w:asciiTheme="minorHAnsi" w:hAnsiTheme="minorHAnsi" w:cstheme="minorHAnsi"/>
          <w:b/>
          <w:sz w:val="22"/>
          <w:szCs w:val="22"/>
        </w:rPr>
        <w:t>[W]</w:t>
      </w:r>
      <w:r w:rsidR="00805A33" w:rsidRPr="00DE41C5">
        <w:rPr>
          <w:rFonts w:asciiTheme="minorHAnsi" w:hAnsiTheme="minorHAnsi" w:cstheme="minorHAnsi"/>
          <w:b/>
          <w:sz w:val="22"/>
          <w:szCs w:val="22"/>
        </w:rPr>
        <w:t xml:space="preserve">hat are the (negative and positive) obligations placed by the right of peaceful assembly on the </w:t>
      </w:r>
      <w:proofErr w:type="gramStart"/>
      <w:r w:rsidR="00805A33" w:rsidRPr="00DE41C5">
        <w:rPr>
          <w:rFonts w:asciiTheme="minorHAnsi" w:hAnsiTheme="minorHAnsi" w:cstheme="minorHAnsi"/>
          <w:b/>
          <w:sz w:val="22"/>
          <w:szCs w:val="22"/>
        </w:rPr>
        <w:t>State?</w:t>
      </w:r>
      <w:proofErr w:type="gramEnd"/>
      <w:r w:rsidR="00805A33" w:rsidRPr="00DE41C5">
        <w:rPr>
          <w:rFonts w:asciiTheme="minorHAnsi" w:hAnsiTheme="minorHAnsi" w:cstheme="minorHAnsi"/>
          <w:b/>
          <w:sz w:val="22"/>
          <w:szCs w:val="22"/>
        </w:rPr>
        <w:t xml:space="preserve"> How should the right be respected by the State (e.g. through the adoption of laws providing for and regulating its exercise in accordance with international law)? How </w:t>
      </w:r>
      <w:proofErr w:type="gramStart"/>
      <w:r w:rsidR="00805A33" w:rsidRPr="00DE41C5">
        <w:rPr>
          <w:rFonts w:asciiTheme="minorHAnsi" w:hAnsiTheme="minorHAnsi" w:cstheme="minorHAnsi"/>
          <w:b/>
          <w:sz w:val="22"/>
          <w:szCs w:val="22"/>
        </w:rPr>
        <w:t>should it be protected</w:t>
      </w:r>
      <w:proofErr w:type="gramEnd"/>
      <w:r w:rsidR="00805A33" w:rsidRPr="00DE41C5">
        <w:rPr>
          <w:rFonts w:asciiTheme="minorHAnsi" w:hAnsiTheme="minorHAnsi" w:cstheme="minorHAnsi"/>
          <w:b/>
          <w:sz w:val="22"/>
          <w:szCs w:val="22"/>
        </w:rPr>
        <w:t>?</w:t>
      </w:r>
    </w:p>
    <w:p w14:paraId="7706A637" w14:textId="1AD630F3" w:rsidR="00805A33" w:rsidRPr="00DE41C5" w:rsidRDefault="00805A33" w:rsidP="00805A33">
      <w:pPr>
        <w:pStyle w:val="ListParagraph"/>
        <w:widowControl w:val="0"/>
        <w:numPr>
          <w:ilvl w:val="0"/>
          <w:numId w:val="8"/>
        </w:numPr>
        <w:autoSpaceDE w:val="0"/>
        <w:autoSpaceDN w:val="0"/>
        <w:adjustRightInd w:val="0"/>
        <w:jc w:val="both"/>
        <w:rPr>
          <w:rFonts w:asciiTheme="minorHAnsi" w:hAnsiTheme="minorHAnsi" w:cstheme="minorHAnsi"/>
          <w:sz w:val="22"/>
          <w:szCs w:val="22"/>
        </w:rPr>
      </w:pPr>
      <w:r w:rsidRPr="00DE41C5">
        <w:rPr>
          <w:rFonts w:asciiTheme="minorHAnsi" w:hAnsiTheme="minorHAnsi" w:cstheme="minorHAnsi"/>
          <w:sz w:val="22"/>
          <w:szCs w:val="22"/>
        </w:rPr>
        <w:t xml:space="preserve">States should </w:t>
      </w:r>
      <w:r w:rsidR="00281FD9" w:rsidRPr="00DE41C5">
        <w:rPr>
          <w:rFonts w:asciiTheme="minorHAnsi" w:hAnsiTheme="minorHAnsi" w:cstheme="minorHAnsi"/>
          <w:sz w:val="22"/>
          <w:szCs w:val="22"/>
        </w:rPr>
        <w:t>enact</w:t>
      </w:r>
      <w:r w:rsidRPr="00DE41C5">
        <w:rPr>
          <w:rFonts w:asciiTheme="minorHAnsi" w:hAnsiTheme="minorHAnsi" w:cstheme="minorHAnsi"/>
          <w:sz w:val="22"/>
          <w:szCs w:val="22"/>
        </w:rPr>
        <w:t xml:space="preserve"> laws protecting the right to freedom of peaceful assembly that are </w:t>
      </w:r>
      <w:r w:rsidR="00281FD9" w:rsidRPr="00DE41C5">
        <w:rPr>
          <w:rFonts w:asciiTheme="minorHAnsi" w:hAnsiTheme="minorHAnsi" w:cstheme="minorHAnsi"/>
          <w:sz w:val="22"/>
          <w:szCs w:val="22"/>
        </w:rPr>
        <w:t>consistent</w:t>
      </w:r>
      <w:r w:rsidRPr="00DE41C5">
        <w:rPr>
          <w:rFonts w:asciiTheme="minorHAnsi" w:hAnsiTheme="minorHAnsi" w:cstheme="minorHAnsi"/>
          <w:sz w:val="22"/>
          <w:szCs w:val="22"/>
        </w:rPr>
        <w:t xml:space="preserve"> with </w:t>
      </w:r>
      <w:r w:rsidRPr="00DE41C5">
        <w:rPr>
          <w:rFonts w:asciiTheme="minorHAnsi" w:hAnsiTheme="minorHAnsi" w:cstheme="minorHAnsi"/>
          <w:sz w:val="22"/>
          <w:szCs w:val="22"/>
        </w:rPr>
        <w:lastRenderedPageBreak/>
        <w:t xml:space="preserve">international law and that </w:t>
      </w:r>
      <w:proofErr w:type="gramStart"/>
      <w:r w:rsidRPr="00DE41C5">
        <w:rPr>
          <w:rFonts w:asciiTheme="minorHAnsi" w:hAnsiTheme="minorHAnsi" w:cstheme="minorHAnsi"/>
          <w:sz w:val="22"/>
          <w:szCs w:val="22"/>
        </w:rPr>
        <w:t>are developed</w:t>
      </w:r>
      <w:proofErr w:type="gramEnd"/>
      <w:r w:rsidRPr="00DE41C5">
        <w:rPr>
          <w:rFonts w:asciiTheme="minorHAnsi" w:hAnsiTheme="minorHAnsi" w:cstheme="minorHAnsi"/>
          <w:sz w:val="22"/>
          <w:szCs w:val="22"/>
        </w:rPr>
        <w:t xml:space="preserve"> with broad input from, and consensus with, civil society.</w:t>
      </w:r>
      <w:r w:rsidR="008D5C6D" w:rsidRPr="00DE41C5">
        <w:rPr>
          <w:rFonts w:asciiTheme="minorHAnsi" w:hAnsiTheme="minorHAnsi" w:cstheme="minorHAnsi"/>
          <w:sz w:val="22"/>
          <w:szCs w:val="22"/>
        </w:rPr>
        <w:t xml:space="preserve">  </w:t>
      </w:r>
      <w:r w:rsidR="008D5C6D" w:rsidRPr="00DE41C5">
        <w:rPr>
          <w:rFonts w:asciiTheme="minorHAnsi" w:eastAsia="Times New Roman" w:hAnsiTheme="minorHAnsi" w:cstheme="minorHAnsi"/>
          <w:sz w:val="22"/>
          <w:szCs w:val="22"/>
        </w:rPr>
        <w:t>The right to peaceful assembly is interdependent and interrelated to the freedom of expression; as well as access to timely, accurate information. Furthermore,</w:t>
      </w:r>
      <w:r w:rsidR="002861B9" w:rsidRPr="00DE41C5">
        <w:rPr>
          <w:rFonts w:asciiTheme="minorHAnsi" w:eastAsia="Times New Roman" w:hAnsiTheme="minorHAnsi" w:cstheme="minorHAnsi"/>
          <w:sz w:val="22"/>
          <w:szCs w:val="22"/>
        </w:rPr>
        <w:t xml:space="preserve"> </w:t>
      </w:r>
      <w:r w:rsidR="008D5C6D" w:rsidRPr="00DE41C5">
        <w:rPr>
          <w:rFonts w:asciiTheme="minorHAnsi" w:hAnsiTheme="minorHAnsi" w:cstheme="minorHAnsi"/>
          <w:sz w:val="22"/>
          <w:szCs w:val="22"/>
        </w:rPr>
        <w:t>i</w:t>
      </w:r>
      <w:r w:rsidR="00ED1978" w:rsidRPr="00DE41C5">
        <w:rPr>
          <w:rFonts w:asciiTheme="minorHAnsi" w:hAnsiTheme="minorHAnsi" w:cstheme="minorHAnsi"/>
          <w:sz w:val="22"/>
          <w:szCs w:val="22"/>
        </w:rPr>
        <w:t xml:space="preserve">n order for this right to be exercised meaningfully, the </w:t>
      </w:r>
      <w:r w:rsidRPr="00DE41C5">
        <w:rPr>
          <w:rFonts w:asciiTheme="minorHAnsi" w:hAnsiTheme="minorHAnsi" w:cstheme="minorHAnsi"/>
          <w:sz w:val="22"/>
          <w:szCs w:val="22"/>
        </w:rPr>
        <w:t xml:space="preserve">law should grant </w:t>
      </w:r>
      <w:r w:rsidR="00281FD9" w:rsidRPr="00DE41C5">
        <w:rPr>
          <w:rFonts w:asciiTheme="minorHAnsi" w:hAnsiTheme="minorHAnsi" w:cstheme="minorHAnsi"/>
          <w:sz w:val="22"/>
          <w:szCs w:val="22"/>
        </w:rPr>
        <w:t>individuals</w:t>
      </w:r>
      <w:r w:rsidRPr="00DE41C5">
        <w:rPr>
          <w:rFonts w:asciiTheme="minorHAnsi" w:hAnsiTheme="minorHAnsi" w:cstheme="minorHAnsi"/>
          <w:sz w:val="22"/>
          <w:szCs w:val="22"/>
        </w:rPr>
        <w:t xml:space="preserve"> and</w:t>
      </w:r>
      <w:r w:rsidR="00ED1978" w:rsidRPr="00DE41C5">
        <w:rPr>
          <w:rFonts w:asciiTheme="minorHAnsi" w:hAnsiTheme="minorHAnsi" w:cstheme="minorHAnsi"/>
          <w:sz w:val="22"/>
          <w:szCs w:val="22"/>
        </w:rPr>
        <w:t xml:space="preserve"> formal and informal</w:t>
      </w:r>
      <w:r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associations</w:t>
      </w:r>
      <w:r w:rsidRPr="00DE41C5">
        <w:rPr>
          <w:rFonts w:asciiTheme="minorHAnsi" w:hAnsiTheme="minorHAnsi" w:cstheme="minorHAnsi"/>
          <w:sz w:val="22"/>
          <w:szCs w:val="22"/>
        </w:rPr>
        <w:t xml:space="preserve"> the right to seek funding from domestic and foreign sources </w:t>
      </w:r>
      <w:r w:rsidR="00A3111C" w:rsidRPr="00DE41C5">
        <w:rPr>
          <w:rFonts w:asciiTheme="minorHAnsi" w:hAnsiTheme="minorHAnsi" w:cstheme="minorHAnsi"/>
          <w:sz w:val="22"/>
          <w:szCs w:val="22"/>
        </w:rPr>
        <w:t>without</w:t>
      </w:r>
      <w:r w:rsidRPr="00DE41C5">
        <w:rPr>
          <w:rFonts w:asciiTheme="minorHAnsi" w:hAnsiTheme="minorHAnsi" w:cstheme="minorHAnsi"/>
          <w:sz w:val="22"/>
          <w:szCs w:val="22"/>
        </w:rPr>
        <w:t xml:space="preserve"> fear of harassment or reprisal </w:t>
      </w:r>
      <w:r w:rsidR="00830516" w:rsidRPr="00DE41C5">
        <w:rPr>
          <w:rFonts w:asciiTheme="minorHAnsi" w:hAnsiTheme="minorHAnsi" w:cstheme="minorHAnsi"/>
          <w:sz w:val="22"/>
          <w:szCs w:val="22"/>
        </w:rPr>
        <w:t xml:space="preserve">by </w:t>
      </w:r>
      <w:r w:rsidR="00281FD9" w:rsidRPr="00DE41C5">
        <w:rPr>
          <w:rFonts w:asciiTheme="minorHAnsi" w:hAnsiTheme="minorHAnsi" w:cstheme="minorHAnsi"/>
          <w:sz w:val="22"/>
          <w:szCs w:val="22"/>
        </w:rPr>
        <w:t>governments or extra-governmental</w:t>
      </w:r>
      <w:r w:rsidR="00830516" w:rsidRPr="00DE41C5">
        <w:rPr>
          <w:rFonts w:asciiTheme="minorHAnsi" w:hAnsiTheme="minorHAnsi" w:cstheme="minorHAnsi"/>
          <w:sz w:val="22"/>
          <w:szCs w:val="22"/>
        </w:rPr>
        <w:t xml:space="preserve"> actors</w:t>
      </w:r>
      <w:r w:rsidRPr="00DE41C5">
        <w:rPr>
          <w:rFonts w:asciiTheme="minorHAnsi" w:hAnsiTheme="minorHAnsi" w:cstheme="minorHAnsi"/>
          <w:sz w:val="22"/>
          <w:szCs w:val="22"/>
        </w:rPr>
        <w:t xml:space="preserve">. </w:t>
      </w:r>
      <w:r w:rsidR="00A3111C" w:rsidRPr="00DE41C5">
        <w:rPr>
          <w:rFonts w:asciiTheme="minorHAnsi" w:hAnsiTheme="minorHAnsi" w:cstheme="minorHAnsi"/>
          <w:sz w:val="22"/>
          <w:szCs w:val="22"/>
        </w:rPr>
        <w:t>It should not place burdensome registration, reporting</w:t>
      </w:r>
      <w:r w:rsidR="00246875" w:rsidRPr="00DE41C5">
        <w:rPr>
          <w:rFonts w:asciiTheme="minorHAnsi" w:hAnsiTheme="minorHAnsi" w:cstheme="minorHAnsi"/>
          <w:sz w:val="22"/>
          <w:szCs w:val="22"/>
        </w:rPr>
        <w:t>,</w:t>
      </w:r>
      <w:r w:rsidR="00A3111C" w:rsidRPr="00DE41C5">
        <w:rPr>
          <w:rFonts w:asciiTheme="minorHAnsi" w:hAnsiTheme="minorHAnsi" w:cstheme="minorHAnsi"/>
          <w:sz w:val="22"/>
          <w:szCs w:val="22"/>
        </w:rPr>
        <w:t xml:space="preserve"> or other administrative requirements on assembly organizers</w:t>
      </w:r>
      <w:r w:rsidR="00426AED" w:rsidRPr="00DE41C5">
        <w:rPr>
          <w:rFonts w:asciiTheme="minorHAnsi" w:hAnsiTheme="minorHAnsi" w:cstheme="minorHAnsi"/>
          <w:sz w:val="22"/>
          <w:szCs w:val="22"/>
        </w:rPr>
        <w:t xml:space="preserve"> who receive funding</w:t>
      </w:r>
      <w:r w:rsidR="00A3111C" w:rsidRPr="00DE41C5">
        <w:rPr>
          <w:rFonts w:asciiTheme="minorHAnsi" w:hAnsiTheme="minorHAnsi" w:cstheme="minorHAnsi"/>
          <w:sz w:val="22"/>
          <w:szCs w:val="22"/>
        </w:rPr>
        <w:t>.</w:t>
      </w:r>
      <w:r w:rsidR="00426AED" w:rsidRPr="00DE41C5">
        <w:rPr>
          <w:rStyle w:val="FootnoteReference"/>
          <w:rFonts w:asciiTheme="minorHAnsi" w:hAnsiTheme="minorHAnsi" w:cstheme="minorHAnsi"/>
          <w:sz w:val="22"/>
          <w:szCs w:val="22"/>
        </w:rPr>
        <w:footnoteReference w:id="7"/>
      </w:r>
      <w:r w:rsidR="00A3111C" w:rsidRPr="00DE41C5">
        <w:rPr>
          <w:rFonts w:asciiTheme="minorHAnsi" w:hAnsiTheme="minorHAnsi" w:cstheme="minorHAnsi"/>
          <w:sz w:val="22"/>
          <w:szCs w:val="22"/>
        </w:rPr>
        <w:t xml:space="preserve"> This applies equally to funding used to organize assemblies that are critical of </w:t>
      </w:r>
      <w:r w:rsidR="000E63E7" w:rsidRPr="00DE41C5">
        <w:rPr>
          <w:rFonts w:asciiTheme="minorHAnsi" w:hAnsiTheme="minorHAnsi" w:cstheme="minorHAnsi"/>
          <w:sz w:val="22"/>
          <w:szCs w:val="22"/>
        </w:rPr>
        <w:t>S</w:t>
      </w:r>
      <w:r w:rsidR="00ED1978" w:rsidRPr="00DE41C5">
        <w:rPr>
          <w:rFonts w:asciiTheme="minorHAnsi" w:hAnsiTheme="minorHAnsi" w:cstheme="minorHAnsi"/>
          <w:sz w:val="22"/>
          <w:szCs w:val="22"/>
        </w:rPr>
        <w:t>tate</w:t>
      </w:r>
      <w:r w:rsidR="00A3111C" w:rsidRPr="00DE41C5">
        <w:rPr>
          <w:rFonts w:asciiTheme="minorHAnsi" w:hAnsiTheme="minorHAnsi" w:cstheme="minorHAnsi"/>
          <w:sz w:val="22"/>
          <w:szCs w:val="22"/>
        </w:rPr>
        <w:t xml:space="preserve"> authorities.</w:t>
      </w:r>
    </w:p>
    <w:p w14:paraId="552385AA" w14:textId="051E800C" w:rsidR="00D01E19" w:rsidRPr="00DE41C5" w:rsidRDefault="00D01E19" w:rsidP="00D01E19">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States have a positive obligation to facilitate peaceful assemblies.</w:t>
      </w:r>
      <w:r w:rsidRPr="00DE41C5">
        <w:rPr>
          <w:rStyle w:val="FootnoteReference"/>
          <w:rFonts w:asciiTheme="minorHAnsi" w:hAnsiTheme="minorHAnsi" w:cstheme="minorHAnsi"/>
          <w:color w:val="000000"/>
          <w:sz w:val="22"/>
          <w:szCs w:val="22"/>
          <w:shd w:val="clear" w:color="auto" w:fill="FFFFFF"/>
        </w:rPr>
        <w:footnoteReference w:id="8"/>
      </w:r>
      <w:r w:rsidRPr="00DE41C5">
        <w:rPr>
          <w:rFonts w:asciiTheme="minorHAnsi" w:hAnsiTheme="minorHAnsi" w:cstheme="minorHAnsi"/>
          <w:color w:val="000000"/>
          <w:sz w:val="22"/>
          <w:szCs w:val="22"/>
          <w:shd w:val="clear" w:color="auto" w:fill="FFFFFF"/>
        </w:rPr>
        <w:t xml:space="preserve"> This includes the protection of participants of peaceful assemblies from individuals or groups of individuals, including agents</w:t>
      </w:r>
      <w:r w:rsidR="00246875"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provocateurs</w:t>
      </w:r>
      <w:r w:rsidR="00246875"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and counter-demonstrators, who aim at disrupting or dispersing such assemblies. Such individuals include those belonging to the State apparatus or working on its behalf.</w:t>
      </w:r>
      <w:r w:rsidRPr="00DE41C5">
        <w:rPr>
          <w:rStyle w:val="FootnoteReference"/>
          <w:rFonts w:asciiTheme="minorHAnsi" w:hAnsiTheme="minorHAnsi" w:cstheme="minorHAnsi"/>
          <w:color w:val="000000"/>
          <w:sz w:val="22"/>
          <w:szCs w:val="22"/>
          <w:shd w:val="clear" w:color="auto" w:fill="FFFFFF"/>
        </w:rPr>
        <w:footnoteReference w:id="9"/>
      </w:r>
      <w:r w:rsidR="008D5C6D" w:rsidRPr="00DE41C5">
        <w:rPr>
          <w:rFonts w:asciiTheme="minorHAnsi" w:hAnsiTheme="minorHAnsi" w:cstheme="minorHAnsi"/>
          <w:color w:val="000000"/>
          <w:sz w:val="22"/>
          <w:szCs w:val="22"/>
          <w:shd w:val="clear" w:color="auto" w:fill="FFFFFF"/>
        </w:rPr>
        <w:t xml:space="preserve"> </w:t>
      </w:r>
    </w:p>
    <w:p w14:paraId="53E80FC2" w14:textId="0B5E3F3D" w:rsidR="006A7138" w:rsidRPr="00DE41C5" w:rsidRDefault="008D5C6D" w:rsidP="006A7138">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Likewise, </w:t>
      </w:r>
      <w:proofErr w:type="spellStart"/>
      <w:r w:rsidRPr="00DE41C5">
        <w:rPr>
          <w:rFonts w:asciiTheme="minorHAnsi" w:hAnsiTheme="minorHAnsi" w:cstheme="minorHAnsi"/>
          <w:color w:val="000000"/>
          <w:sz w:val="22"/>
          <w:szCs w:val="22"/>
          <w:shd w:val="clear" w:color="auto" w:fill="FFFFFF"/>
        </w:rPr>
        <w:t>p</w:t>
      </w:r>
      <w:r w:rsidR="00AB1382" w:rsidRPr="00DE41C5">
        <w:rPr>
          <w:rFonts w:asciiTheme="minorHAnsi" w:hAnsiTheme="minorHAnsi" w:cstheme="minorHAnsi"/>
          <w:color w:val="000000"/>
          <w:sz w:val="22"/>
          <w:szCs w:val="22"/>
          <w:shd w:val="clear" w:color="auto" w:fill="FFFFFF"/>
        </w:rPr>
        <w:t>o</w:t>
      </w:r>
      <w:r w:rsidR="00AB1382" w:rsidRPr="00DE41C5">
        <w:rPr>
          <w:rFonts w:asciiTheme="minorHAnsi" w:hAnsiTheme="minorHAnsi" w:cstheme="minorHAnsi"/>
          <w:color w:val="000000"/>
          <w:sz w:val="22"/>
          <w:szCs w:val="22"/>
          <w:shd w:val="clear" w:color="auto" w:fill="FFFFFF"/>
          <w:lang w:val="tr-TR"/>
        </w:rPr>
        <w:t>sitive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obligations</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also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entail</w:t>
      </w:r>
      <w:proofErr w:type="spellEnd"/>
      <w:r w:rsidR="00AB1382" w:rsidRPr="00DE41C5">
        <w:rPr>
          <w:rFonts w:asciiTheme="minorHAnsi" w:hAnsiTheme="minorHAnsi" w:cstheme="minorHAnsi"/>
          <w:color w:val="000000"/>
          <w:sz w:val="22"/>
          <w:szCs w:val="22"/>
          <w:shd w:val="clear" w:color="auto" w:fill="FFFFFF"/>
          <w:lang w:val="tr-TR"/>
        </w:rPr>
        <w:t xml:space="preserve"> the </w:t>
      </w:r>
      <w:proofErr w:type="spellStart"/>
      <w:r w:rsidR="00AB1382" w:rsidRPr="00DE41C5">
        <w:rPr>
          <w:rFonts w:asciiTheme="minorHAnsi" w:hAnsiTheme="minorHAnsi" w:cstheme="minorHAnsi"/>
          <w:color w:val="000000"/>
          <w:sz w:val="22"/>
          <w:szCs w:val="22"/>
          <w:shd w:val="clear" w:color="auto" w:fill="FFFFFF"/>
          <w:lang w:val="tr-TR"/>
        </w:rPr>
        <w:t>state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take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effective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measures</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protect</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indiviudals</w:t>
      </w:r>
      <w:proofErr w:type="spellEnd"/>
      <w:r w:rsidR="00AB1382" w:rsidRPr="00DE41C5">
        <w:rPr>
          <w:rFonts w:asciiTheme="minorHAnsi" w:hAnsiTheme="minorHAnsi" w:cstheme="minorHAnsi"/>
          <w:color w:val="000000"/>
          <w:sz w:val="22"/>
          <w:szCs w:val="22"/>
          <w:shd w:val="clear" w:color="auto" w:fill="FFFFFF"/>
          <w:lang w:val="tr-TR"/>
        </w:rPr>
        <w:t xml:space="preserve"> from </w:t>
      </w:r>
      <w:proofErr w:type="spellStart"/>
      <w:r w:rsidR="0071473B" w:rsidRPr="00DE41C5">
        <w:rPr>
          <w:rFonts w:asciiTheme="minorHAnsi" w:hAnsiTheme="minorHAnsi" w:cstheme="minorHAnsi"/>
          <w:color w:val="000000"/>
          <w:sz w:val="22"/>
          <w:szCs w:val="22"/>
          <w:shd w:val="clear" w:color="auto" w:fill="FFFFFF"/>
          <w:lang w:val="tr-TR"/>
        </w:rPr>
        <w:t>any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hindrance</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caused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by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third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parties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like</w:t>
      </w:r>
      <w:proofErr w:type="spellEnd"/>
      <w:r w:rsidRPr="00DE41C5">
        <w:rPr>
          <w:rFonts w:asciiTheme="minorHAnsi" w:hAnsiTheme="minorHAnsi" w:cstheme="minorHAnsi"/>
          <w:color w:val="000000"/>
          <w:sz w:val="22"/>
          <w:szCs w:val="22"/>
          <w:shd w:val="clear" w:color="auto" w:fill="FFFFFF"/>
          <w:lang w:val="tr-TR"/>
        </w:rPr>
        <w:t xml:space="preserve"> </w:t>
      </w:r>
      <w:r w:rsidR="00246875" w:rsidRPr="00DE41C5">
        <w:rPr>
          <w:rFonts w:asciiTheme="minorHAnsi" w:hAnsiTheme="minorHAnsi" w:cstheme="minorHAnsi"/>
          <w:color w:val="000000"/>
          <w:sz w:val="22"/>
          <w:szCs w:val="22"/>
          <w:shd w:val="clear" w:color="auto" w:fill="FFFFFF"/>
          <w:lang w:val="tr-TR"/>
        </w:rPr>
        <w:t xml:space="preserve">the </w:t>
      </w:r>
      <w:r w:rsidRPr="00DE41C5">
        <w:rPr>
          <w:rFonts w:asciiTheme="minorHAnsi" w:hAnsiTheme="minorHAnsi" w:cstheme="minorHAnsi"/>
          <w:color w:val="000000"/>
          <w:sz w:val="22"/>
          <w:szCs w:val="22"/>
          <w:shd w:val="clear" w:color="auto" w:fill="FFFFFF"/>
          <w:lang w:val="tr-TR"/>
        </w:rPr>
        <w:t xml:space="preserve">private </w:t>
      </w:r>
      <w:proofErr w:type="spellStart"/>
      <w:r w:rsidRPr="00DE41C5">
        <w:rPr>
          <w:rFonts w:asciiTheme="minorHAnsi" w:hAnsiTheme="minorHAnsi" w:cstheme="minorHAnsi"/>
          <w:color w:val="000000"/>
          <w:sz w:val="22"/>
          <w:szCs w:val="22"/>
          <w:shd w:val="clear" w:color="auto" w:fill="FFFFFF"/>
          <w:lang w:val="tr-TR"/>
        </w:rPr>
        <w:t>sector</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national</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or</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multinational</w:t>
      </w:r>
      <w:proofErr w:type="spellEnd"/>
      <w:r w:rsidRPr="00DE41C5">
        <w:rPr>
          <w:rFonts w:asciiTheme="minorHAnsi" w:hAnsiTheme="minorHAnsi" w:cstheme="minorHAnsi"/>
          <w:color w:val="000000"/>
          <w:sz w:val="22"/>
          <w:szCs w:val="22"/>
          <w:shd w:val="clear" w:color="auto" w:fill="FFFFFF"/>
          <w:lang w:val="tr-TR"/>
        </w:rPr>
        <w:t>)</w:t>
      </w:r>
      <w:r w:rsidR="00246875" w:rsidRPr="00DE41C5">
        <w:rPr>
          <w:rFonts w:asciiTheme="minorHAnsi" w:hAnsiTheme="minorHAnsi" w:cstheme="minorHAnsi"/>
          <w:color w:val="000000"/>
          <w:sz w:val="22"/>
          <w:szCs w:val="22"/>
          <w:shd w:val="clear" w:color="auto" w:fill="FFFFFF"/>
          <w:lang w:val="tr-TR"/>
        </w:rPr>
        <w:t>,</w:t>
      </w:r>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particularly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within</w:t>
      </w:r>
      <w:proofErr w:type="spellEnd"/>
      <w:r w:rsidR="0071473B" w:rsidRPr="00DE41C5">
        <w:rPr>
          <w:rFonts w:asciiTheme="minorHAnsi" w:hAnsiTheme="minorHAnsi" w:cstheme="minorHAnsi"/>
          <w:color w:val="000000"/>
          <w:sz w:val="22"/>
          <w:szCs w:val="22"/>
          <w:shd w:val="clear" w:color="auto" w:fill="FFFFFF"/>
          <w:lang w:val="tr-TR"/>
        </w:rPr>
        <w:t xml:space="preserve"> the </w:t>
      </w:r>
      <w:proofErr w:type="spellStart"/>
      <w:r w:rsidR="0071473B" w:rsidRPr="00DE41C5">
        <w:rPr>
          <w:rFonts w:asciiTheme="minorHAnsi" w:hAnsiTheme="minorHAnsi" w:cstheme="minorHAnsi"/>
          <w:color w:val="000000"/>
          <w:sz w:val="22"/>
          <w:szCs w:val="22"/>
          <w:shd w:val="clear" w:color="auto" w:fill="FFFFFF"/>
          <w:lang w:val="tr-TR"/>
        </w:rPr>
        <w:t>context</w:t>
      </w:r>
      <w:proofErr w:type="spellEnd"/>
      <w:r w:rsidR="0071473B" w:rsidRPr="00DE41C5">
        <w:rPr>
          <w:rFonts w:asciiTheme="minorHAnsi" w:hAnsiTheme="minorHAnsi" w:cstheme="minorHAnsi"/>
          <w:color w:val="000000"/>
          <w:sz w:val="22"/>
          <w:szCs w:val="22"/>
          <w:shd w:val="clear" w:color="auto" w:fill="FFFFFF"/>
          <w:lang w:val="tr-TR"/>
        </w:rPr>
        <w:t xml:space="preserve"> of </w:t>
      </w:r>
      <w:proofErr w:type="spellStart"/>
      <w:r w:rsidR="0071473B" w:rsidRPr="00DE41C5">
        <w:rPr>
          <w:rFonts w:asciiTheme="minorHAnsi" w:hAnsiTheme="minorHAnsi" w:cstheme="minorHAnsi"/>
          <w:color w:val="000000"/>
          <w:sz w:val="22"/>
          <w:szCs w:val="22"/>
          <w:shd w:val="clear" w:color="auto" w:fill="FFFFFF"/>
          <w:lang w:val="tr-TR"/>
        </w:rPr>
        <w:t>assemblies</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organized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by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trade</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and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labor</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unions</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and</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environmental</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activists</w:t>
      </w:r>
      <w:proofErr w:type="spellEnd"/>
      <w:r w:rsidR="0071473B" w:rsidRPr="00DE41C5">
        <w:rPr>
          <w:rFonts w:asciiTheme="minorHAnsi" w:hAnsiTheme="minorHAnsi" w:cstheme="minorHAnsi"/>
          <w:color w:val="000000"/>
          <w:sz w:val="22"/>
          <w:szCs w:val="22"/>
          <w:shd w:val="clear" w:color="auto" w:fill="FFFFFF"/>
          <w:lang w:val="tr-TR"/>
        </w:rPr>
        <w:t xml:space="preserve">. </w:t>
      </w:r>
    </w:p>
    <w:p w14:paraId="4ECBA3FF" w14:textId="30E8A341" w:rsidR="00805A33" w:rsidRPr="00DE41C5" w:rsidRDefault="008D5C6D" w:rsidP="00805A33">
      <w:pPr>
        <w:pStyle w:val="ListParagraph"/>
        <w:numPr>
          <w:ilvl w:val="0"/>
          <w:numId w:val="8"/>
        </w:numPr>
        <w:rPr>
          <w:rFonts w:asciiTheme="minorHAnsi" w:hAnsiTheme="minorHAnsi" w:cstheme="minorHAnsi"/>
          <w:color w:val="000000"/>
          <w:sz w:val="22"/>
          <w:szCs w:val="22"/>
          <w:shd w:val="clear" w:color="auto" w:fill="FFFFFF"/>
        </w:rPr>
      </w:pPr>
      <w:proofErr w:type="spellStart"/>
      <w:r w:rsidRPr="00DE41C5">
        <w:rPr>
          <w:rFonts w:asciiTheme="minorHAnsi" w:hAnsiTheme="minorHAnsi" w:cstheme="minorHAnsi"/>
          <w:color w:val="000000"/>
          <w:sz w:val="22"/>
          <w:szCs w:val="22"/>
          <w:shd w:val="clear" w:color="auto" w:fill="FFFFFF"/>
          <w:lang w:val="tr-TR"/>
        </w:rPr>
        <w:t>Given</w:t>
      </w:r>
      <w:proofErr w:type="spellEnd"/>
      <w:r w:rsidRPr="00DE41C5">
        <w:rPr>
          <w:rFonts w:asciiTheme="minorHAnsi" w:hAnsiTheme="minorHAnsi" w:cstheme="minorHAnsi"/>
          <w:color w:val="000000"/>
          <w:sz w:val="22"/>
          <w:szCs w:val="22"/>
          <w:shd w:val="clear" w:color="auto" w:fill="FFFFFF"/>
          <w:lang w:val="tr-TR"/>
        </w:rPr>
        <w:t xml:space="preserve"> the </w:t>
      </w:r>
      <w:proofErr w:type="spellStart"/>
      <w:r w:rsidRPr="00DE41C5">
        <w:rPr>
          <w:rFonts w:asciiTheme="minorHAnsi" w:hAnsiTheme="minorHAnsi" w:cstheme="minorHAnsi"/>
          <w:color w:val="000000"/>
          <w:sz w:val="22"/>
          <w:szCs w:val="22"/>
          <w:shd w:val="clear" w:color="auto" w:fill="FFFFFF"/>
          <w:lang w:val="tr-TR"/>
        </w:rPr>
        <w:t>increasing</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use</w:t>
      </w:r>
      <w:proofErr w:type="spellEnd"/>
      <w:r w:rsidRPr="00DE41C5">
        <w:rPr>
          <w:rFonts w:asciiTheme="minorHAnsi" w:hAnsiTheme="minorHAnsi" w:cstheme="minorHAnsi"/>
          <w:color w:val="000000"/>
          <w:sz w:val="22"/>
          <w:szCs w:val="22"/>
          <w:shd w:val="clear" w:color="auto" w:fill="FFFFFF"/>
          <w:lang w:val="tr-TR"/>
        </w:rPr>
        <w:t xml:space="preserve"> of </w:t>
      </w:r>
      <w:proofErr w:type="gramStart"/>
      <w:r w:rsidRPr="00DE41C5">
        <w:rPr>
          <w:rFonts w:asciiTheme="minorHAnsi" w:hAnsiTheme="minorHAnsi" w:cstheme="minorHAnsi"/>
          <w:color w:val="000000"/>
          <w:sz w:val="22"/>
          <w:szCs w:val="22"/>
          <w:shd w:val="clear" w:color="auto" w:fill="FFFFFF"/>
          <w:lang w:val="tr-TR"/>
        </w:rPr>
        <w:t>online</w:t>
      </w:r>
      <w:proofErr w:type="gramEnd"/>
      <w:r w:rsidRPr="00DE41C5">
        <w:rPr>
          <w:rFonts w:asciiTheme="minorHAnsi" w:hAnsiTheme="minorHAnsi" w:cstheme="minorHAnsi"/>
          <w:color w:val="000000"/>
          <w:sz w:val="22"/>
          <w:szCs w:val="22"/>
          <w:shd w:val="clear" w:color="auto" w:fill="FFFFFF"/>
          <w:lang w:val="tr-TR"/>
        </w:rPr>
        <w:t xml:space="preserve"> assembly as a </w:t>
      </w:r>
      <w:proofErr w:type="spellStart"/>
      <w:r w:rsidRPr="00DE41C5">
        <w:rPr>
          <w:rFonts w:asciiTheme="minorHAnsi" w:hAnsiTheme="minorHAnsi" w:cstheme="minorHAnsi"/>
          <w:color w:val="000000"/>
          <w:sz w:val="22"/>
          <w:szCs w:val="22"/>
          <w:shd w:val="clear" w:color="auto" w:fill="FFFFFF"/>
          <w:lang w:val="tr-TR"/>
        </w:rPr>
        <w:t>means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exercise</w:t>
      </w:r>
      <w:proofErr w:type="spellEnd"/>
      <w:r w:rsidRPr="00DE41C5">
        <w:rPr>
          <w:rFonts w:asciiTheme="minorHAnsi" w:hAnsiTheme="minorHAnsi" w:cstheme="minorHAnsi"/>
          <w:color w:val="000000"/>
          <w:sz w:val="22"/>
          <w:szCs w:val="22"/>
          <w:shd w:val="clear" w:color="auto" w:fill="FFFFFF"/>
          <w:lang w:val="tr-TR"/>
        </w:rPr>
        <w:t xml:space="preserve"> peaceful assembly</w:t>
      </w:r>
      <w:r w:rsidR="00246875" w:rsidRPr="00DE41C5">
        <w:rPr>
          <w:rFonts w:asciiTheme="minorHAnsi" w:hAnsiTheme="minorHAnsi" w:cstheme="minorHAnsi"/>
          <w:color w:val="000000"/>
          <w:sz w:val="22"/>
          <w:szCs w:val="22"/>
          <w:shd w:val="clear" w:color="auto" w:fill="FFFFFF"/>
          <w:lang w:val="tr-TR"/>
        </w:rPr>
        <w:t>,</w:t>
      </w:r>
      <w:r w:rsidRPr="00DE41C5">
        <w:rPr>
          <w:rFonts w:asciiTheme="minorHAnsi" w:hAnsiTheme="minorHAnsi" w:cstheme="minorHAnsi"/>
          <w:color w:val="000000"/>
          <w:sz w:val="22"/>
          <w:szCs w:val="22"/>
          <w:shd w:val="clear" w:color="auto" w:fill="FFFFFF"/>
          <w:lang w:val="tr-TR"/>
        </w:rPr>
        <w:t xml:space="preserve"> the </w:t>
      </w:r>
      <w:proofErr w:type="spellStart"/>
      <w:r w:rsidRPr="00DE41C5">
        <w:rPr>
          <w:rFonts w:asciiTheme="minorHAnsi" w:hAnsiTheme="minorHAnsi" w:cstheme="minorHAnsi"/>
          <w:color w:val="000000"/>
          <w:sz w:val="22"/>
          <w:szCs w:val="22"/>
          <w:shd w:val="clear" w:color="auto" w:fill="FFFFFF"/>
          <w:lang w:val="tr-TR"/>
        </w:rPr>
        <w:t>state</w:t>
      </w:r>
      <w:proofErr w:type="spellEnd"/>
      <w:r w:rsidRPr="00DE41C5">
        <w:rPr>
          <w:rFonts w:asciiTheme="minorHAnsi" w:hAnsiTheme="minorHAnsi" w:cstheme="minorHAnsi"/>
          <w:color w:val="000000"/>
          <w:sz w:val="22"/>
          <w:szCs w:val="22"/>
          <w:shd w:val="clear" w:color="auto" w:fill="FFFFFF"/>
          <w:lang w:val="tr-TR"/>
        </w:rPr>
        <w:t xml:space="preserve"> has a </w:t>
      </w:r>
      <w:proofErr w:type="spellStart"/>
      <w:r w:rsidRPr="00DE41C5">
        <w:rPr>
          <w:rFonts w:asciiTheme="minorHAnsi" w:hAnsiTheme="minorHAnsi" w:cstheme="minorHAnsi"/>
          <w:color w:val="000000"/>
          <w:sz w:val="22"/>
          <w:szCs w:val="22"/>
          <w:shd w:val="clear" w:color="auto" w:fill="FFFFFF"/>
          <w:lang w:val="tr-TR"/>
        </w:rPr>
        <w:t>positive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obligation</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protect</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and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ensure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safe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and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easy</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access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online </w:t>
      </w:r>
      <w:proofErr w:type="spellStart"/>
      <w:r w:rsidRPr="00DE41C5">
        <w:rPr>
          <w:rFonts w:asciiTheme="minorHAnsi" w:hAnsiTheme="minorHAnsi" w:cstheme="minorHAnsi"/>
          <w:color w:val="000000"/>
          <w:sz w:val="22"/>
          <w:szCs w:val="22"/>
          <w:shd w:val="clear" w:color="auto" w:fill="FFFFFF"/>
          <w:lang w:val="tr-TR"/>
        </w:rPr>
        <w:t>platforms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Restrictive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cybercrime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laws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should</w:t>
      </w:r>
      <w:proofErr w:type="spellEnd"/>
      <w:r w:rsidRPr="00DE41C5">
        <w:rPr>
          <w:rFonts w:asciiTheme="minorHAnsi" w:hAnsiTheme="minorHAnsi" w:cstheme="minorHAnsi"/>
          <w:color w:val="000000"/>
          <w:sz w:val="22"/>
          <w:szCs w:val="22"/>
          <w:shd w:val="clear" w:color="auto" w:fill="FFFFFF"/>
          <w:lang w:val="tr-TR"/>
        </w:rPr>
        <w:t xml:space="preserve"> not be a </w:t>
      </w:r>
      <w:proofErr w:type="spellStart"/>
      <w:r w:rsidRPr="00DE41C5">
        <w:rPr>
          <w:rFonts w:asciiTheme="minorHAnsi" w:hAnsiTheme="minorHAnsi" w:cstheme="minorHAnsi"/>
          <w:color w:val="000000"/>
          <w:sz w:val="22"/>
          <w:szCs w:val="22"/>
          <w:shd w:val="clear" w:color="auto" w:fill="FFFFFF"/>
          <w:lang w:val="tr-TR"/>
        </w:rPr>
        <w:t>means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restrict</w:t>
      </w:r>
      <w:proofErr w:type="spellEnd"/>
      <w:r w:rsidRPr="00DE41C5">
        <w:rPr>
          <w:rFonts w:asciiTheme="minorHAnsi" w:hAnsiTheme="minorHAnsi" w:cstheme="minorHAnsi"/>
          <w:color w:val="000000"/>
          <w:sz w:val="22"/>
          <w:szCs w:val="22"/>
          <w:shd w:val="clear" w:color="auto" w:fill="FFFFFF"/>
          <w:lang w:val="tr-TR"/>
        </w:rPr>
        <w:t xml:space="preserve"> freedom of </w:t>
      </w:r>
      <w:proofErr w:type="spellStart"/>
      <w:r w:rsidRPr="00DE41C5">
        <w:rPr>
          <w:rFonts w:asciiTheme="minorHAnsi" w:hAnsiTheme="minorHAnsi" w:cstheme="minorHAnsi"/>
          <w:color w:val="000000"/>
          <w:sz w:val="22"/>
          <w:szCs w:val="22"/>
          <w:shd w:val="clear" w:color="auto" w:fill="FFFFFF"/>
          <w:lang w:val="tr-TR"/>
        </w:rPr>
        <w:t>expression</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nor</w:t>
      </w:r>
      <w:proofErr w:type="spellEnd"/>
      <w:r w:rsidRPr="00DE41C5">
        <w:rPr>
          <w:rFonts w:asciiTheme="minorHAnsi" w:hAnsiTheme="minorHAnsi" w:cstheme="minorHAnsi"/>
          <w:color w:val="000000"/>
          <w:sz w:val="22"/>
          <w:szCs w:val="22"/>
          <w:shd w:val="clear" w:color="auto" w:fill="FFFFFF"/>
          <w:lang w:val="tr-TR"/>
        </w:rPr>
        <w:t xml:space="preserve"> assembly.</w:t>
      </w:r>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Similarly</w:t>
      </w:r>
      <w:proofErr w:type="spellEnd"/>
      <w:r w:rsidR="00555B75" w:rsidRPr="00DE41C5">
        <w:rPr>
          <w:rFonts w:asciiTheme="minorHAnsi" w:hAnsiTheme="minorHAnsi" w:cstheme="minorHAnsi"/>
          <w:color w:val="000000"/>
          <w:sz w:val="22"/>
          <w:szCs w:val="22"/>
          <w:shd w:val="clear" w:color="auto" w:fill="FFFFFF"/>
          <w:lang w:val="tr-TR"/>
        </w:rPr>
        <w:t>, the</w:t>
      </w:r>
      <w:r w:rsidR="006D1FF2" w:rsidRPr="00DE41C5">
        <w:rPr>
          <w:rFonts w:asciiTheme="minorHAnsi" w:hAnsiTheme="minorHAnsi" w:cstheme="minorHAnsi"/>
          <w:color w:val="000000"/>
          <w:sz w:val="22"/>
          <w:szCs w:val="22"/>
          <w:shd w:val="clear" w:color="auto" w:fill="FFFFFF"/>
          <w:lang w:val="tr-TR"/>
        </w:rPr>
        <w:t xml:space="preserve"> </w:t>
      </w:r>
      <w:proofErr w:type="spellStart"/>
      <w:r w:rsidR="00555B75" w:rsidRPr="00DE41C5">
        <w:rPr>
          <w:rFonts w:asciiTheme="minorHAnsi" w:hAnsiTheme="minorHAnsi" w:cstheme="minorHAnsi"/>
          <w:color w:val="000000"/>
          <w:sz w:val="22"/>
          <w:szCs w:val="22"/>
          <w:shd w:val="clear" w:color="auto" w:fill="FFFFFF"/>
          <w:lang w:val="tr-TR"/>
        </w:rPr>
        <w:t>S</w:t>
      </w:r>
      <w:r w:rsidR="006D1FF2" w:rsidRPr="00DE41C5">
        <w:rPr>
          <w:rFonts w:asciiTheme="minorHAnsi" w:hAnsiTheme="minorHAnsi" w:cstheme="minorHAnsi"/>
          <w:color w:val="000000"/>
          <w:sz w:val="22"/>
          <w:szCs w:val="22"/>
          <w:shd w:val="clear" w:color="auto" w:fill="FFFFFF"/>
          <w:lang w:val="tr-TR"/>
        </w:rPr>
        <w:t>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should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facilitate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dissemination</w:t>
      </w:r>
      <w:proofErr w:type="spellEnd"/>
      <w:r w:rsidR="006D1FF2" w:rsidRPr="00DE41C5">
        <w:rPr>
          <w:rFonts w:asciiTheme="minorHAnsi" w:hAnsiTheme="minorHAnsi" w:cstheme="minorHAnsi"/>
          <w:color w:val="000000"/>
          <w:sz w:val="22"/>
          <w:szCs w:val="22"/>
          <w:shd w:val="clear" w:color="auto" w:fill="FFFFFF"/>
          <w:lang w:val="tr-TR"/>
        </w:rPr>
        <w:t xml:space="preserve"> of </w:t>
      </w:r>
      <w:proofErr w:type="spellStart"/>
      <w:r w:rsidR="006D1FF2" w:rsidRPr="00DE41C5">
        <w:rPr>
          <w:rFonts w:asciiTheme="minorHAnsi" w:hAnsiTheme="minorHAnsi" w:cstheme="minorHAnsi"/>
          <w:color w:val="000000"/>
          <w:sz w:val="22"/>
          <w:szCs w:val="22"/>
          <w:shd w:val="clear" w:color="auto" w:fill="FFFFFF"/>
          <w:lang w:val="tr-TR"/>
        </w:rPr>
        <w:t>information</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through</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mass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and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gramStart"/>
      <w:r w:rsidR="006D1FF2" w:rsidRPr="00DE41C5">
        <w:rPr>
          <w:rFonts w:asciiTheme="minorHAnsi" w:hAnsiTheme="minorHAnsi" w:cstheme="minorHAnsi"/>
          <w:color w:val="000000"/>
          <w:sz w:val="22"/>
          <w:szCs w:val="22"/>
          <w:shd w:val="clear" w:color="auto" w:fill="FFFFFF"/>
          <w:lang w:val="tr-TR"/>
        </w:rPr>
        <w:t>online</w:t>
      </w:r>
      <w:proofErr w:type="gram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communication</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tools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that</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would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facilitate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engagement</w:t>
      </w:r>
      <w:proofErr w:type="spellEnd"/>
      <w:r w:rsidR="006D1FF2" w:rsidRPr="00DE41C5">
        <w:rPr>
          <w:rFonts w:asciiTheme="minorHAnsi" w:hAnsiTheme="minorHAnsi" w:cstheme="minorHAnsi"/>
          <w:color w:val="000000"/>
          <w:sz w:val="22"/>
          <w:szCs w:val="22"/>
          <w:shd w:val="clear" w:color="auto" w:fill="FFFFFF"/>
          <w:lang w:val="tr-TR"/>
        </w:rPr>
        <w:t xml:space="preserve"> of </w:t>
      </w:r>
      <w:proofErr w:type="spellStart"/>
      <w:r w:rsidR="006D1FF2" w:rsidRPr="00DE41C5">
        <w:rPr>
          <w:rFonts w:asciiTheme="minorHAnsi" w:hAnsiTheme="minorHAnsi" w:cstheme="minorHAnsi"/>
          <w:color w:val="000000"/>
          <w:sz w:val="22"/>
          <w:szCs w:val="22"/>
          <w:shd w:val="clear" w:color="auto" w:fill="FFFFFF"/>
          <w:lang w:val="tr-TR"/>
        </w:rPr>
        <w:t>groups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and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their</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exercise</w:t>
      </w:r>
      <w:proofErr w:type="spellEnd"/>
      <w:r w:rsidR="006D1FF2" w:rsidRPr="00DE41C5">
        <w:rPr>
          <w:rFonts w:asciiTheme="minorHAnsi" w:hAnsiTheme="minorHAnsi" w:cstheme="minorHAnsi"/>
          <w:color w:val="000000"/>
          <w:sz w:val="22"/>
          <w:szCs w:val="22"/>
          <w:shd w:val="clear" w:color="auto" w:fill="FFFFFF"/>
          <w:lang w:val="tr-TR"/>
        </w:rPr>
        <w:t xml:space="preserve"> of the </w:t>
      </w:r>
      <w:proofErr w:type="spellStart"/>
      <w:r w:rsidR="006D1FF2" w:rsidRPr="00DE41C5">
        <w:rPr>
          <w:rFonts w:asciiTheme="minorHAnsi" w:hAnsiTheme="minorHAnsi" w:cstheme="minorHAnsi"/>
          <w:color w:val="000000"/>
          <w:sz w:val="22"/>
          <w:szCs w:val="22"/>
          <w:shd w:val="clear" w:color="auto" w:fill="FFFFFF"/>
          <w:lang w:val="tr-TR"/>
        </w:rPr>
        <w:t>right</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learning</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about</w:t>
      </w:r>
      <w:proofErr w:type="spellEnd"/>
      <w:r w:rsidR="006D1FF2" w:rsidRPr="00DE41C5">
        <w:rPr>
          <w:rFonts w:asciiTheme="minorHAnsi" w:hAnsiTheme="minorHAnsi" w:cstheme="minorHAnsi"/>
          <w:color w:val="000000"/>
          <w:sz w:val="22"/>
          <w:szCs w:val="22"/>
          <w:shd w:val="clear" w:color="auto" w:fill="FFFFFF"/>
          <w:lang w:val="tr-TR"/>
        </w:rPr>
        <w:t xml:space="preserve"> the </w:t>
      </w:r>
      <w:proofErr w:type="spellStart"/>
      <w:r w:rsidR="006D1FF2" w:rsidRPr="00DE41C5">
        <w:rPr>
          <w:rFonts w:asciiTheme="minorHAnsi" w:hAnsiTheme="minorHAnsi" w:cstheme="minorHAnsi"/>
          <w:color w:val="000000"/>
          <w:sz w:val="22"/>
          <w:szCs w:val="22"/>
          <w:shd w:val="clear" w:color="auto" w:fill="FFFFFF"/>
          <w:lang w:val="tr-TR"/>
        </w:rPr>
        <w:t>upcoming</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assemblies</w:t>
      </w:r>
      <w:proofErr w:type="spellEnd"/>
      <w:r w:rsidR="006D1FF2" w:rsidRPr="00DE41C5">
        <w:rPr>
          <w:rFonts w:asciiTheme="minorHAnsi" w:hAnsiTheme="minorHAnsi" w:cstheme="minorHAnsi"/>
          <w:color w:val="000000"/>
          <w:sz w:val="22"/>
          <w:szCs w:val="22"/>
          <w:shd w:val="clear" w:color="auto" w:fill="FFFFFF"/>
          <w:lang w:val="tr-TR"/>
        </w:rPr>
        <w:t xml:space="preserve">. </w:t>
      </w:r>
      <w:r w:rsidR="00805A33" w:rsidRPr="00DE41C5">
        <w:rPr>
          <w:rFonts w:asciiTheme="minorHAnsi" w:hAnsiTheme="minorHAnsi" w:cstheme="minorHAnsi"/>
          <w:color w:val="000000"/>
          <w:sz w:val="22"/>
          <w:szCs w:val="22"/>
          <w:shd w:val="clear" w:color="auto" w:fill="FFFFFF"/>
        </w:rPr>
        <w:t>Proper m</w:t>
      </w:r>
      <w:r w:rsidR="000E63E7" w:rsidRPr="00DE41C5">
        <w:rPr>
          <w:rFonts w:asciiTheme="minorHAnsi" w:hAnsiTheme="minorHAnsi" w:cstheme="minorHAnsi"/>
          <w:color w:val="000000"/>
          <w:sz w:val="22"/>
          <w:szCs w:val="22"/>
          <w:shd w:val="clear" w:color="auto" w:fill="FFFFFF"/>
        </w:rPr>
        <w:t>anagement of assemblies by the S</w:t>
      </w:r>
      <w:r w:rsidR="00805A33" w:rsidRPr="00DE41C5">
        <w:rPr>
          <w:rFonts w:asciiTheme="minorHAnsi" w:hAnsiTheme="minorHAnsi" w:cstheme="minorHAnsi"/>
          <w:color w:val="000000"/>
          <w:sz w:val="22"/>
          <w:szCs w:val="22"/>
          <w:shd w:val="clear" w:color="auto" w:fill="FFFFFF"/>
        </w:rPr>
        <w:t>tate requires the protection and enjoyment of a broad range of rights by all the parties involved.</w:t>
      </w:r>
      <w:r w:rsidR="00805A33" w:rsidRPr="00DE41C5">
        <w:rPr>
          <w:rStyle w:val="FootnoteReference"/>
          <w:rFonts w:asciiTheme="minorHAnsi" w:hAnsiTheme="minorHAnsi" w:cstheme="minorHAnsi"/>
          <w:color w:val="000000"/>
          <w:sz w:val="22"/>
          <w:szCs w:val="22"/>
          <w:shd w:val="clear" w:color="auto" w:fill="FFFFFF"/>
        </w:rPr>
        <w:footnoteReference w:id="10"/>
      </w:r>
      <w:r w:rsidR="00805A33" w:rsidRPr="00DE41C5">
        <w:rPr>
          <w:rFonts w:asciiTheme="minorHAnsi" w:hAnsiTheme="minorHAnsi" w:cstheme="minorHAnsi"/>
          <w:color w:val="000000"/>
          <w:sz w:val="22"/>
          <w:szCs w:val="22"/>
          <w:shd w:val="clear" w:color="auto" w:fill="FFFFFF"/>
        </w:rPr>
        <w:t xml:space="preserve"> Those who take part in assemblies have a number of protected rights, including the rights to: freedom of peaceful assembly, expression, association</w:t>
      </w:r>
      <w:r w:rsidR="00555B75" w:rsidRPr="00DE41C5">
        <w:rPr>
          <w:rFonts w:asciiTheme="minorHAnsi" w:hAnsiTheme="minorHAnsi" w:cstheme="minorHAnsi"/>
          <w:color w:val="000000"/>
          <w:sz w:val="22"/>
          <w:szCs w:val="22"/>
          <w:shd w:val="clear" w:color="auto" w:fill="FFFFFF"/>
        </w:rPr>
        <w:t>,</w:t>
      </w:r>
      <w:r w:rsidR="00805A33" w:rsidRPr="00DE41C5">
        <w:rPr>
          <w:rFonts w:asciiTheme="minorHAnsi" w:hAnsiTheme="minorHAnsi" w:cstheme="minorHAnsi"/>
          <w:color w:val="000000"/>
          <w:sz w:val="22"/>
          <w:szCs w:val="22"/>
          <w:shd w:val="clear" w:color="auto" w:fill="FFFFFF"/>
        </w:rPr>
        <w:t xml:space="preserve"> and belief.</w:t>
      </w:r>
      <w:r w:rsidR="00805A33" w:rsidRPr="00DE41C5">
        <w:rPr>
          <w:rStyle w:val="FootnoteReference"/>
          <w:rFonts w:asciiTheme="minorHAnsi" w:hAnsiTheme="minorHAnsi" w:cstheme="minorHAnsi"/>
          <w:color w:val="000000"/>
          <w:sz w:val="22"/>
          <w:szCs w:val="22"/>
          <w:shd w:val="clear" w:color="auto" w:fill="FFFFFF"/>
        </w:rPr>
        <w:footnoteReference w:id="11"/>
      </w:r>
      <w:r w:rsidRPr="00DE41C5">
        <w:rPr>
          <w:rFonts w:asciiTheme="minorHAnsi" w:hAnsiTheme="minorHAnsi" w:cstheme="minorHAnsi"/>
          <w:color w:val="000000"/>
          <w:sz w:val="22"/>
          <w:szCs w:val="22"/>
          <w:shd w:val="clear" w:color="auto" w:fill="FFFFFF"/>
        </w:rPr>
        <w:t xml:space="preserve"> </w:t>
      </w:r>
    </w:p>
    <w:p w14:paraId="5997C59B" w14:textId="67CBB161" w:rsidR="006D1FF2" w:rsidRPr="00DE41C5" w:rsidRDefault="006D1FF2" w:rsidP="00805A33">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The </w:t>
      </w:r>
      <w:r w:rsidR="000E63E7" w:rsidRPr="00DE41C5">
        <w:rPr>
          <w:rFonts w:asciiTheme="minorHAnsi" w:hAnsiTheme="minorHAnsi" w:cstheme="minorHAnsi"/>
          <w:color w:val="000000"/>
          <w:sz w:val="22"/>
          <w:szCs w:val="22"/>
          <w:shd w:val="clear" w:color="auto" w:fill="FFFFFF"/>
        </w:rPr>
        <w:t>S</w:t>
      </w:r>
      <w:r w:rsidRPr="00DE41C5">
        <w:rPr>
          <w:rFonts w:asciiTheme="minorHAnsi" w:hAnsiTheme="minorHAnsi" w:cstheme="minorHAnsi"/>
          <w:color w:val="000000"/>
          <w:sz w:val="22"/>
          <w:szCs w:val="22"/>
          <w:shd w:val="clear" w:color="auto" w:fill="FFFFFF"/>
        </w:rPr>
        <w:t xml:space="preserve">tate should also ensure </w:t>
      </w:r>
      <w:r w:rsidR="003503AF" w:rsidRPr="00DE41C5">
        <w:rPr>
          <w:rFonts w:asciiTheme="minorHAnsi" w:hAnsiTheme="minorHAnsi" w:cstheme="minorHAnsi"/>
          <w:color w:val="000000"/>
          <w:sz w:val="22"/>
          <w:szCs w:val="22"/>
          <w:shd w:val="clear" w:color="auto" w:fill="FFFFFF"/>
        </w:rPr>
        <w:t xml:space="preserve">effective human rights training to law enforcement officials that join in public assemblies. They should be equipped to avoid escalation of violence; and any violations (i.e. excessive use of force against the assemblers…) </w:t>
      </w:r>
      <w:proofErr w:type="gramStart"/>
      <w:r w:rsidR="003503AF" w:rsidRPr="00DE41C5">
        <w:rPr>
          <w:rFonts w:asciiTheme="minorHAnsi" w:hAnsiTheme="minorHAnsi" w:cstheme="minorHAnsi"/>
          <w:color w:val="000000"/>
          <w:sz w:val="22"/>
          <w:szCs w:val="22"/>
          <w:shd w:val="clear" w:color="auto" w:fill="FFFFFF"/>
        </w:rPr>
        <w:t>should be investigated</w:t>
      </w:r>
      <w:proofErr w:type="gramEnd"/>
      <w:r w:rsidR="003503AF" w:rsidRPr="00DE41C5">
        <w:rPr>
          <w:rFonts w:asciiTheme="minorHAnsi" w:hAnsiTheme="minorHAnsi" w:cstheme="minorHAnsi"/>
          <w:color w:val="000000"/>
          <w:sz w:val="22"/>
          <w:szCs w:val="22"/>
          <w:shd w:val="clear" w:color="auto" w:fill="FFFFFF"/>
        </w:rPr>
        <w:t xml:space="preserve"> impartially and independently in order to eliminate impunity. </w:t>
      </w:r>
    </w:p>
    <w:p w14:paraId="755F5449" w14:textId="60BE86C7" w:rsidR="002A2F9A" w:rsidRPr="00DE41C5" w:rsidRDefault="002A2F9A" w:rsidP="002A2F9A">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Article 13 of the Declaration on Human Rights Defenders states: “everyone has the right, individually and in association with others, to solicit, receive and utilize resources for the express purpose of promoting and protecting human rights and fundamental fre</w:t>
      </w:r>
      <w:r w:rsidR="00D01E19" w:rsidRPr="00DE41C5">
        <w:rPr>
          <w:rFonts w:asciiTheme="minorHAnsi" w:hAnsiTheme="minorHAnsi" w:cstheme="minorHAnsi"/>
          <w:color w:val="000000"/>
          <w:sz w:val="22"/>
          <w:szCs w:val="22"/>
          <w:shd w:val="clear" w:color="auto" w:fill="FFFFFF"/>
        </w:rPr>
        <w:t>edoms through peaceful means.” Protection of</w:t>
      </w:r>
      <w:r w:rsidR="00555B75" w:rsidRPr="00DE41C5">
        <w:rPr>
          <w:rFonts w:asciiTheme="minorHAnsi" w:hAnsiTheme="minorHAnsi" w:cstheme="minorHAnsi"/>
          <w:color w:val="000000"/>
          <w:sz w:val="22"/>
          <w:szCs w:val="22"/>
          <w:shd w:val="clear" w:color="auto" w:fill="FFFFFF"/>
        </w:rPr>
        <w:t xml:space="preserve"> the</w:t>
      </w:r>
      <w:r w:rsidR="00D01E19" w:rsidRPr="00DE41C5">
        <w:rPr>
          <w:rFonts w:asciiTheme="minorHAnsi" w:hAnsiTheme="minorHAnsi" w:cstheme="minorHAnsi"/>
          <w:color w:val="000000"/>
          <w:sz w:val="22"/>
          <w:szCs w:val="22"/>
          <w:shd w:val="clear" w:color="auto" w:fill="FFFFFF"/>
        </w:rPr>
        <w:t xml:space="preserve"> right</w:t>
      </w:r>
      <w:r w:rsidR="00830516" w:rsidRPr="00DE41C5">
        <w:rPr>
          <w:rFonts w:asciiTheme="minorHAnsi" w:hAnsiTheme="minorHAnsi" w:cstheme="minorHAnsi"/>
          <w:color w:val="000000"/>
          <w:sz w:val="22"/>
          <w:szCs w:val="22"/>
          <w:shd w:val="clear" w:color="auto" w:fill="FFFFFF"/>
        </w:rPr>
        <w:t xml:space="preserve"> of </w:t>
      </w:r>
      <w:r w:rsidR="00ED1978" w:rsidRPr="00DE41C5">
        <w:rPr>
          <w:rFonts w:asciiTheme="minorHAnsi" w:hAnsiTheme="minorHAnsi" w:cstheme="minorHAnsi"/>
          <w:color w:val="000000"/>
          <w:sz w:val="22"/>
          <w:szCs w:val="22"/>
          <w:shd w:val="clear" w:color="auto" w:fill="FFFFFF"/>
        </w:rPr>
        <w:t>individuals and associations</w:t>
      </w:r>
      <w:r w:rsidR="00D01E19" w:rsidRPr="00DE41C5">
        <w:rPr>
          <w:rFonts w:asciiTheme="minorHAnsi" w:hAnsiTheme="minorHAnsi" w:cstheme="minorHAnsi"/>
          <w:color w:val="000000"/>
          <w:sz w:val="22"/>
          <w:szCs w:val="22"/>
          <w:shd w:val="clear" w:color="auto" w:fill="FFFFFF"/>
        </w:rPr>
        <w:t xml:space="preserve"> </w:t>
      </w:r>
      <w:r w:rsidR="00830516" w:rsidRPr="00DE41C5">
        <w:rPr>
          <w:rFonts w:asciiTheme="minorHAnsi" w:hAnsiTheme="minorHAnsi" w:cstheme="minorHAnsi"/>
          <w:color w:val="000000"/>
          <w:sz w:val="22"/>
          <w:szCs w:val="22"/>
          <w:shd w:val="clear" w:color="auto" w:fill="FFFFFF"/>
        </w:rPr>
        <w:t xml:space="preserve">to receive resources </w:t>
      </w:r>
      <w:r w:rsidR="00D01E19" w:rsidRPr="00DE41C5">
        <w:rPr>
          <w:rFonts w:asciiTheme="minorHAnsi" w:hAnsiTheme="minorHAnsi" w:cstheme="minorHAnsi"/>
          <w:color w:val="000000"/>
          <w:sz w:val="22"/>
          <w:szCs w:val="22"/>
          <w:shd w:val="clear" w:color="auto" w:fill="FFFFFF"/>
        </w:rPr>
        <w:t xml:space="preserve">is essential for insuring </w:t>
      </w:r>
      <w:r w:rsidR="00FA68DA" w:rsidRPr="00DE41C5">
        <w:rPr>
          <w:rFonts w:asciiTheme="minorHAnsi" w:hAnsiTheme="minorHAnsi" w:cstheme="minorHAnsi"/>
          <w:color w:val="000000"/>
          <w:sz w:val="22"/>
          <w:szCs w:val="22"/>
          <w:shd w:val="clear" w:color="auto" w:fill="FFFFFF"/>
        </w:rPr>
        <w:t>the unimpeded</w:t>
      </w:r>
      <w:r w:rsidR="00D01E19" w:rsidRPr="00DE41C5">
        <w:rPr>
          <w:rFonts w:asciiTheme="minorHAnsi" w:hAnsiTheme="minorHAnsi" w:cstheme="minorHAnsi"/>
          <w:color w:val="000000"/>
          <w:sz w:val="22"/>
          <w:szCs w:val="22"/>
          <w:shd w:val="clear" w:color="auto" w:fill="FFFFFF"/>
        </w:rPr>
        <w:t xml:space="preserve"> exercise of the freedom of peaceful assembly.</w:t>
      </w:r>
    </w:p>
    <w:p w14:paraId="65316EE0" w14:textId="77777777" w:rsidR="00805A33" w:rsidRPr="00DE41C5" w:rsidRDefault="00805A33" w:rsidP="00805A33">
      <w:pPr>
        <w:rPr>
          <w:rFonts w:asciiTheme="minorHAnsi" w:hAnsiTheme="minorHAnsi" w:cstheme="minorHAnsi"/>
          <w:b/>
          <w:sz w:val="22"/>
          <w:szCs w:val="22"/>
        </w:rPr>
      </w:pPr>
    </w:p>
    <w:p w14:paraId="3477790B" w14:textId="77777777" w:rsidR="00805A33" w:rsidRPr="00DE41C5" w:rsidRDefault="00805A33" w:rsidP="0095403B">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6:</w:t>
      </w:r>
    </w:p>
    <w:p w14:paraId="666B6386" w14:textId="77777777" w:rsidR="00805A33" w:rsidRPr="00DE41C5" w:rsidRDefault="00805A33" w:rsidP="00805A33">
      <w:pPr>
        <w:rPr>
          <w:rFonts w:asciiTheme="minorHAnsi" w:hAnsiTheme="minorHAnsi" w:cstheme="minorHAnsi"/>
          <w:b/>
          <w:sz w:val="22"/>
          <w:szCs w:val="22"/>
        </w:rPr>
      </w:pPr>
      <w:r w:rsidRPr="00DE41C5">
        <w:rPr>
          <w:rFonts w:asciiTheme="minorHAnsi" w:hAnsiTheme="minorHAnsi" w:cstheme="minorHAnsi"/>
          <w:b/>
          <w:sz w:val="22"/>
          <w:szCs w:val="22"/>
        </w:rPr>
        <w:t>When and how may the right of peaceful assembly be limited?</w:t>
      </w:r>
      <w:r w:rsidR="0095403B" w:rsidRPr="00DE41C5">
        <w:rPr>
          <w:rFonts w:asciiTheme="minorHAnsi" w:hAnsiTheme="minorHAnsi" w:cstheme="minorHAnsi"/>
          <w:b/>
          <w:sz w:val="22"/>
          <w:szCs w:val="22"/>
        </w:rPr>
        <w:t xml:space="preserve"> [ ] </w:t>
      </w:r>
      <w:r w:rsidRPr="00DE41C5">
        <w:rPr>
          <w:rFonts w:asciiTheme="minorHAnsi" w:hAnsiTheme="minorHAnsi" w:cstheme="minorHAnsi"/>
          <w:b/>
          <w:sz w:val="22"/>
          <w:szCs w:val="22"/>
        </w:rPr>
        <w:t xml:space="preserve">How should the procedural requirement for limitations on the right in sentence two of article 21 (that limitations can only be imposed ‘by law’) and the </w:t>
      </w:r>
      <w:r w:rsidRPr="00DE41C5">
        <w:rPr>
          <w:rFonts w:asciiTheme="minorHAnsi" w:hAnsiTheme="minorHAnsi" w:cstheme="minorHAnsi"/>
          <w:b/>
          <w:sz w:val="22"/>
          <w:szCs w:val="22"/>
        </w:rPr>
        <w:lastRenderedPageBreak/>
        <w:t>substantive requirements (this can be done only where it is necessary to protect national security, etc.) be understood? What is their relationship to other articles of the Covenant, including article 22?</w:t>
      </w:r>
    </w:p>
    <w:p w14:paraId="40D6054A" w14:textId="77777777" w:rsidR="00805A33" w:rsidRPr="00DE41C5" w:rsidRDefault="00805A33" w:rsidP="00805A33">
      <w:pPr>
        <w:rPr>
          <w:rFonts w:asciiTheme="minorHAnsi" w:hAnsiTheme="minorHAnsi" w:cstheme="minorHAnsi"/>
          <w:b/>
          <w:sz w:val="22"/>
          <w:szCs w:val="22"/>
        </w:rPr>
      </w:pPr>
    </w:p>
    <w:p w14:paraId="7B67D957" w14:textId="53371174" w:rsidR="008D5C6D" w:rsidRPr="00DE41C5" w:rsidRDefault="00805A33" w:rsidP="008D5C6D">
      <w:pPr>
        <w:pStyle w:val="ListParagraph"/>
        <w:numPr>
          <w:ilvl w:val="0"/>
          <w:numId w:val="7"/>
        </w:numPr>
        <w:rPr>
          <w:rFonts w:asciiTheme="minorHAnsi" w:hAnsiTheme="minorHAnsi" w:cstheme="minorHAnsi"/>
          <w:b/>
          <w:sz w:val="22"/>
          <w:szCs w:val="22"/>
        </w:rPr>
      </w:pPr>
      <w:r w:rsidRPr="00DE41C5">
        <w:rPr>
          <w:rFonts w:asciiTheme="minorHAnsi" w:hAnsiTheme="minorHAnsi" w:cstheme="minorHAnsi"/>
          <w:sz w:val="22"/>
          <w:szCs w:val="22"/>
        </w:rPr>
        <w:t>The rights of peaceful assembly may be limited under very specific a</w:t>
      </w:r>
      <w:r w:rsidR="0095403B" w:rsidRPr="00DE41C5">
        <w:rPr>
          <w:rFonts w:asciiTheme="minorHAnsi" w:hAnsiTheme="minorHAnsi" w:cstheme="minorHAnsi"/>
          <w:sz w:val="22"/>
          <w:szCs w:val="22"/>
        </w:rPr>
        <w:t xml:space="preserve">nd limited circumstances. Art. 22, para </w:t>
      </w:r>
      <w:proofErr w:type="gramStart"/>
      <w:r w:rsidR="0095403B" w:rsidRPr="00DE41C5">
        <w:rPr>
          <w:rFonts w:asciiTheme="minorHAnsi" w:hAnsiTheme="minorHAnsi" w:cstheme="minorHAnsi"/>
          <w:sz w:val="22"/>
          <w:szCs w:val="22"/>
        </w:rPr>
        <w:t>2</w:t>
      </w:r>
      <w:proofErr w:type="gramEnd"/>
      <w:r w:rsidR="0095403B" w:rsidRPr="00DE41C5">
        <w:rPr>
          <w:rFonts w:asciiTheme="minorHAnsi" w:hAnsiTheme="minorHAnsi" w:cstheme="minorHAnsi"/>
          <w:sz w:val="22"/>
          <w:szCs w:val="22"/>
        </w:rPr>
        <w:t xml:space="preserve"> of ICCPR states that </w:t>
      </w:r>
      <w:r w:rsidRPr="00DE41C5">
        <w:rPr>
          <w:rFonts w:asciiTheme="minorHAnsi" w:hAnsiTheme="minorHAnsi" w:cstheme="minorHAnsi"/>
          <w:sz w:val="22"/>
          <w:szCs w:val="22"/>
        </w:rPr>
        <w:t>such limitations must be “prescribed by law and … necessary in a democratic society in the interests of national security or public safety, public order (</w:t>
      </w:r>
      <w:proofErr w:type="spellStart"/>
      <w:r w:rsidRPr="00DE41C5">
        <w:rPr>
          <w:rFonts w:asciiTheme="minorHAnsi" w:hAnsiTheme="minorHAnsi" w:cstheme="minorHAnsi"/>
          <w:sz w:val="22"/>
          <w:szCs w:val="22"/>
        </w:rPr>
        <w:t>ordre</w:t>
      </w:r>
      <w:proofErr w:type="spellEnd"/>
      <w:r w:rsidRPr="00DE41C5">
        <w:rPr>
          <w:rFonts w:asciiTheme="minorHAnsi" w:hAnsiTheme="minorHAnsi" w:cstheme="minorHAnsi"/>
          <w:sz w:val="22"/>
          <w:szCs w:val="22"/>
        </w:rPr>
        <w:t xml:space="preserve"> public), the protection of public health or morals or the protection of the rights and freedoms of others.” These conditions are cumulative, meaning that restrictions must be (1) motivated by one of the above limited interests, (2) have a legal basis and (3) conform to the strict tests of necessity and proportionality</w:t>
      </w:r>
      <w:r w:rsidR="00555B75"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12"/>
      </w:r>
      <w:r w:rsidRPr="00DE41C5">
        <w:rPr>
          <w:rFonts w:asciiTheme="minorHAnsi" w:hAnsiTheme="minorHAnsi" w:cstheme="minorHAnsi"/>
          <w:sz w:val="22"/>
          <w:szCs w:val="22"/>
        </w:rPr>
        <w:t xml:space="preserve"> </w:t>
      </w:r>
    </w:p>
    <w:p w14:paraId="2387AF2F" w14:textId="01D6EACD" w:rsidR="006D1FF2" w:rsidRPr="00DE41C5" w:rsidRDefault="008D5C6D" w:rsidP="008D5C6D">
      <w:pPr>
        <w:pStyle w:val="ListParagraph"/>
        <w:numPr>
          <w:ilvl w:val="0"/>
          <w:numId w:val="7"/>
        </w:numPr>
        <w:rPr>
          <w:rFonts w:asciiTheme="minorHAnsi" w:hAnsiTheme="minorHAnsi" w:cstheme="minorHAnsi"/>
          <w:b/>
          <w:sz w:val="22"/>
          <w:szCs w:val="22"/>
        </w:rPr>
      </w:pPr>
      <w:r w:rsidRPr="00DE41C5">
        <w:rPr>
          <w:rFonts w:asciiTheme="minorHAnsi" w:hAnsiTheme="minorHAnsi" w:cstheme="minorHAnsi"/>
          <w:sz w:val="22"/>
          <w:szCs w:val="22"/>
        </w:rPr>
        <w:t>“National security” should not</w:t>
      </w:r>
      <w:r w:rsidR="006D1FF2" w:rsidRPr="00DE41C5">
        <w:rPr>
          <w:rFonts w:asciiTheme="minorHAnsi" w:hAnsiTheme="minorHAnsi" w:cstheme="minorHAnsi"/>
          <w:sz w:val="22"/>
          <w:szCs w:val="22"/>
        </w:rPr>
        <w:t xml:space="preserve"> turn into a means to </w:t>
      </w:r>
      <w:r w:rsidRPr="00DE41C5">
        <w:rPr>
          <w:rFonts w:asciiTheme="minorHAnsi" w:hAnsiTheme="minorHAnsi" w:cstheme="minorHAnsi"/>
          <w:sz w:val="22"/>
          <w:szCs w:val="22"/>
        </w:rPr>
        <w:t xml:space="preserve">impose </w:t>
      </w:r>
      <w:r w:rsidR="006D1FF2" w:rsidRPr="00DE41C5">
        <w:rPr>
          <w:rFonts w:asciiTheme="minorHAnsi" w:hAnsiTheme="minorHAnsi" w:cstheme="minorHAnsi"/>
          <w:sz w:val="22"/>
          <w:szCs w:val="22"/>
        </w:rPr>
        <w:t xml:space="preserve">arbitrary </w:t>
      </w:r>
      <w:r w:rsidRPr="00DE41C5">
        <w:rPr>
          <w:rFonts w:asciiTheme="minorHAnsi" w:hAnsiTheme="minorHAnsi" w:cstheme="minorHAnsi"/>
          <w:sz w:val="22"/>
          <w:szCs w:val="22"/>
        </w:rPr>
        <w:t xml:space="preserve">restrictions. </w:t>
      </w:r>
      <w:r w:rsidR="006D1FF2" w:rsidRPr="00DE41C5">
        <w:rPr>
          <w:rFonts w:asciiTheme="minorHAnsi" w:hAnsiTheme="minorHAnsi" w:cstheme="minorHAnsi"/>
          <w:sz w:val="22"/>
          <w:szCs w:val="22"/>
        </w:rPr>
        <w:t xml:space="preserve">Restrictions in conformity with law </w:t>
      </w:r>
      <w:proofErr w:type="gramStart"/>
      <w:r w:rsidR="006D1FF2" w:rsidRPr="00DE41C5">
        <w:rPr>
          <w:rFonts w:asciiTheme="minorHAnsi" w:hAnsiTheme="minorHAnsi" w:cstheme="minorHAnsi"/>
          <w:sz w:val="22"/>
          <w:szCs w:val="22"/>
        </w:rPr>
        <w:t>should be well explained</w:t>
      </w:r>
      <w:proofErr w:type="gramEnd"/>
      <w:r w:rsidR="00555B75" w:rsidRPr="00DE41C5">
        <w:rPr>
          <w:rFonts w:asciiTheme="minorHAnsi" w:hAnsiTheme="minorHAnsi" w:cstheme="minorHAnsi"/>
          <w:sz w:val="22"/>
          <w:szCs w:val="22"/>
        </w:rPr>
        <w:t>,</w:t>
      </w:r>
      <w:r w:rsidR="006D1FF2" w:rsidRPr="00DE41C5">
        <w:rPr>
          <w:rFonts w:asciiTheme="minorHAnsi" w:hAnsiTheme="minorHAnsi" w:cstheme="minorHAnsi"/>
          <w:sz w:val="22"/>
          <w:szCs w:val="22"/>
        </w:rPr>
        <w:t xml:space="preserve"> eliminating any manipulation. Similarly, restrictions should not be discriminatory, directed to marginalized and vulnerable groups only (refugees, disabled</w:t>
      </w:r>
      <w:r w:rsidR="00A920EB" w:rsidRPr="00DE41C5">
        <w:rPr>
          <w:rFonts w:asciiTheme="minorHAnsi" w:hAnsiTheme="minorHAnsi" w:cstheme="minorHAnsi"/>
          <w:sz w:val="22"/>
          <w:szCs w:val="22"/>
        </w:rPr>
        <w:t xml:space="preserve"> people, women, migrant workers, </w:t>
      </w:r>
      <w:r w:rsidR="006D1FF2" w:rsidRPr="00DE41C5">
        <w:rPr>
          <w:rFonts w:asciiTheme="minorHAnsi" w:hAnsiTheme="minorHAnsi" w:cstheme="minorHAnsi"/>
          <w:sz w:val="22"/>
          <w:szCs w:val="22"/>
        </w:rPr>
        <w:t>etc.)</w:t>
      </w:r>
    </w:p>
    <w:p w14:paraId="241354F1" w14:textId="5E4C2F0F" w:rsidR="00805A33" w:rsidRPr="00DE41C5" w:rsidRDefault="00805A33" w:rsidP="00805A33">
      <w:pPr>
        <w:pStyle w:val="ListParagraph"/>
        <w:numPr>
          <w:ilvl w:val="0"/>
          <w:numId w:val="7"/>
        </w:numPr>
        <w:rPr>
          <w:rFonts w:asciiTheme="minorHAnsi" w:hAnsiTheme="minorHAnsi" w:cstheme="minorHAnsi"/>
          <w:sz w:val="22"/>
          <w:szCs w:val="22"/>
        </w:rPr>
      </w:pPr>
      <w:proofErr w:type="gramStart"/>
      <w:r w:rsidRPr="00DE41C5">
        <w:rPr>
          <w:rFonts w:asciiTheme="minorHAnsi" w:hAnsiTheme="minorHAnsi" w:cstheme="minorHAnsi"/>
          <w:sz w:val="22"/>
          <w:szCs w:val="22"/>
        </w:rPr>
        <w:t>Article 11 of the European Convention on Human Rights (ECHR) states that: “No restrictions shall be placed on the exercise of these [assembly and association] rights other than such as are prescribed by law and are necessary in a democratic society in the interests of national security or public safety, for the prevention of disorder or crime, for the protection of health or morals</w:t>
      </w:r>
      <w:r w:rsidR="00483639" w:rsidRPr="00DE41C5">
        <w:rPr>
          <w:rFonts w:asciiTheme="minorHAnsi" w:hAnsiTheme="minorHAnsi" w:cstheme="minorHAnsi"/>
          <w:sz w:val="22"/>
          <w:szCs w:val="22"/>
        </w:rPr>
        <w:t>,</w:t>
      </w:r>
      <w:r w:rsidRPr="00DE41C5">
        <w:rPr>
          <w:rFonts w:asciiTheme="minorHAnsi" w:hAnsiTheme="minorHAnsi" w:cstheme="minorHAnsi"/>
          <w:sz w:val="22"/>
          <w:szCs w:val="22"/>
        </w:rPr>
        <w:t xml:space="preserve"> or for the protection of the rights and freedoms of others.</w:t>
      </w:r>
      <w:r w:rsidR="0095403B" w:rsidRPr="00DE41C5">
        <w:rPr>
          <w:rFonts w:asciiTheme="minorHAnsi" w:hAnsiTheme="minorHAnsi" w:cstheme="minorHAnsi"/>
          <w:sz w:val="22"/>
          <w:szCs w:val="22"/>
        </w:rPr>
        <w:t>”</w:t>
      </w:r>
      <w:r w:rsidR="0095403B" w:rsidRPr="00DE41C5">
        <w:rPr>
          <w:rStyle w:val="FootnoteReference"/>
          <w:rFonts w:asciiTheme="minorHAnsi" w:hAnsiTheme="minorHAnsi" w:cstheme="minorHAnsi"/>
          <w:sz w:val="22"/>
          <w:szCs w:val="22"/>
        </w:rPr>
        <w:footnoteReference w:id="13"/>
      </w:r>
      <w:proofErr w:type="gramEnd"/>
    </w:p>
    <w:p w14:paraId="14AE7540" w14:textId="77777777" w:rsidR="00805A33" w:rsidRPr="00DE41C5" w:rsidRDefault="00805A33" w:rsidP="00805A33">
      <w:pPr>
        <w:rPr>
          <w:rFonts w:asciiTheme="minorHAnsi" w:hAnsiTheme="minorHAnsi" w:cstheme="minorHAnsi"/>
          <w:b/>
          <w:sz w:val="22"/>
          <w:szCs w:val="22"/>
        </w:rPr>
      </w:pPr>
    </w:p>
    <w:p w14:paraId="03D4C79C" w14:textId="77777777" w:rsidR="00805A33" w:rsidRPr="00DE41C5" w:rsidRDefault="00805A33" w:rsidP="0095403B">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7:</w:t>
      </w:r>
    </w:p>
    <w:p w14:paraId="14FA575C" w14:textId="77777777" w:rsidR="00805A33" w:rsidRPr="00DE41C5" w:rsidRDefault="00805A33" w:rsidP="00805A33">
      <w:pPr>
        <w:rPr>
          <w:rFonts w:asciiTheme="minorHAnsi" w:hAnsiTheme="minorHAnsi" w:cstheme="minorHAnsi"/>
          <w:sz w:val="22"/>
          <w:szCs w:val="22"/>
        </w:rPr>
      </w:pPr>
      <w:r w:rsidRPr="00DE41C5">
        <w:rPr>
          <w:rFonts w:asciiTheme="minorHAnsi" w:hAnsiTheme="minorHAnsi" w:cstheme="minorHAnsi"/>
          <w:b/>
          <w:sz w:val="22"/>
          <w:szCs w:val="22"/>
        </w:rPr>
        <w:t xml:space="preserve">Can the </w:t>
      </w:r>
      <w:proofErr w:type="spellStart"/>
      <w:r w:rsidRPr="00DE41C5">
        <w:rPr>
          <w:rFonts w:asciiTheme="minorHAnsi" w:hAnsiTheme="minorHAnsi" w:cstheme="minorHAnsi"/>
          <w:b/>
          <w:sz w:val="22"/>
          <w:szCs w:val="22"/>
        </w:rPr>
        <w:t>organisers</w:t>
      </w:r>
      <w:proofErr w:type="spellEnd"/>
      <w:r w:rsidRPr="00DE41C5">
        <w:rPr>
          <w:rFonts w:asciiTheme="minorHAnsi" w:hAnsiTheme="minorHAnsi" w:cstheme="minorHAnsi"/>
          <w:b/>
          <w:sz w:val="22"/>
          <w:szCs w:val="22"/>
        </w:rPr>
        <w:t xml:space="preserve"> be required to cover police costs, provide assurances in advance as far as reparations for damages </w:t>
      </w:r>
      <w:proofErr w:type="gramStart"/>
      <w:r w:rsidRPr="00DE41C5">
        <w:rPr>
          <w:rFonts w:asciiTheme="minorHAnsi" w:hAnsiTheme="minorHAnsi" w:cstheme="minorHAnsi"/>
          <w:b/>
          <w:sz w:val="22"/>
          <w:szCs w:val="22"/>
        </w:rPr>
        <w:t>are</w:t>
      </w:r>
      <w:proofErr w:type="gramEnd"/>
      <w:r w:rsidRPr="00DE41C5">
        <w:rPr>
          <w:rFonts w:asciiTheme="minorHAnsi" w:hAnsiTheme="minorHAnsi" w:cstheme="minorHAnsi"/>
          <w:b/>
          <w:sz w:val="22"/>
          <w:szCs w:val="22"/>
        </w:rPr>
        <w:t xml:space="preserve"> concerned, cleaning up services, medical services, etc.?</w:t>
      </w:r>
    </w:p>
    <w:p w14:paraId="62F613ED" w14:textId="11C1C712" w:rsidR="00805A33" w:rsidRPr="00DE41C5" w:rsidRDefault="00805A33" w:rsidP="000E1ACB">
      <w:pPr>
        <w:pStyle w:val="ListParagraph"/>
        <w:numPr>
          <w:ilvl w:val="0"/>
          <w:numId w:val="6"/>
        </w:numPr>
        <w:rPr>
          <w:rFonts w:asciiTheme="minorHAnsi" w:hAnsiTheme="minorHAnsi" w:cstheme="minorHAnsi"/>
          <w:sz w:val="22"/>
          <w:szCs w:val="22"/>
        </w:rPr>
      </w:pPr>
      <w:r w:rsidRPr="00DE41C5">
        <w:rPr>
          <w:rFonts w:asciiTheme="minorHAnsi" w:hAnsiTheme="minorHAnsi" w:cstheme="minorHAnsi"/>
          <w:sz w:val="22"/>
          <w:szCs w:val="22"/>
        </w:rPr>
        <w:t>Organizers should not incur any financial charges for the provision of public services during an assembly such as policing, medical services and other health and safety measures.</w:t>
      </w:r>
      <w:r w:rsidRPr="00DE41C5">
        <w:rPr>
          <w:rStyle w:val="FootnoteReference"/>
          <w:rFonts w:asciiTheme="minorHAnsi" w:hAnsiTheme="minorHAnsi" w:cstheme="minorHAnsi"/>
          <w:sz w:val="22"/>
          <w:szCs w:val="22"/>
        </w:rPr>
        <w:footnoteReference w:id="14"/>
      </w:r>
      <w:r w:rsidRPr="00DE41C5">
        <w:rPr>
          <w:rFonts w:asciiTheme="minorHAnsi" w:hAnsiTheme="minorHAnsi" w:cstheme="minorHAnsi"/>
          <w:sz w:val="22"/>
          <w:szCs w:val="22"/>
        </w:rPr>
        <w:t xml:space="preserve"> </w:t>
      </w:r>
      <w:r w:rsidR="000E1ACB" w:rsidRPr="00DE41C5">
        <w:rPr>
          <w:rFonts w:asciiTheme="minorHAnsi" w:hAnsiTheme="minorHAnsi" w:cstheme="minorHAnsi"/>
          <w:sz w:val="22"/>
          <w:szCs w:val="22"/>
        </w:rPr>
        <w:t>These services are part of the State’s obligations to facilitate</w:t>
      </w:r>
      <w:r w:rsidR="006D1FF2" w:rsidRPr="00DE41C5">
        <w:rPr>
          <w:rFonts w:asciiTheme="minorHAnsi" w:hAnsiTheme="minorHAnsi" w:cstheme="minorHAnsi"/>
          <w:sz w:val="22"/>
          <w:szCs w:val="22"/>
        </w:rPr>
        <w:t xml:space="preserve"> and safeguard</w:t>
      </w:r>
      <w:r w:rsidR="000E1ACB" w:rsidRPr="00DE41C5">
        <w:rPr>
          <w:rFonts w:asciiTheme="minorHAnsi" w:hAnsiTheme="minorHAnsi" w:cstheme="minorHAnsi"/>
          <w:sz w:val="22"/>
          <w:szCs w:val="22"/>
        </w:rPr>
        <w:t xml:space="preserve"> assemblies. Such requirements on organizers will limit those without sufficient resources to exercise this right fully. </w:t>
      </w:r>
      <w:r w:rsidRPr="00DE41C5">
        <w:rPr>
          <w:rFonts w:asciiTheme="minorHAnsi" w:hAnsiTheme="minorHAnsi" w:cstheme="minorHAnsi"/>
          <w:sz w:val="22"/>
          <w:szCs w:val="22"/>
        </w:rPr>
        <w:t xml:space="preserve">Nor </w:t>
      </w:r>
      <w:proofErr w:type="gramStart"/>
      <w:r w:rsidRPr="00DE41C5">
        <w:rPr>
          <w:rFonts w:asciiTheme="minorHAnsi" w:hAnsiTheme="minorHAnsi" w:cstheme="minorHAnsi"/>
          <w:sz w:val="22"/>
          <w:szCs w:val="22"/>
        </w:rPr>
        <w:t>should they be held</w:t>
      </w:r>
      <w:proofErr w:type="gramEnd"/>
      <w:r w:rsidRPr="00DE41C5">
        <w:rPr>
          <w:rFonts w:asciiTheme="minorHAnsi" w:hAnsiTheme="minorHAnsi" w:cstheme="minorHAnsi"/>
          <w:sz w:val="22"/>
          <w:szCs w:val="22"/>
        </w:rPr>
        <w:t xml:space="preserve"> responsible or liable for the unlawful conduct of others, or be held responsible for the maintenance of public order.</w:t>
      </w:r>
    </w:p>
    <w:p w14:paraId="68C5FDED" w14:textId="03860953" w:rsidR="00ED1978" w:rsidRPr="00DE41C5" w:rsidRDefault="000E63E7" w:rsidP="000E1ACB">
      <w:pPr>
        <w:pStyle w:val="ListParagraph"/>
        <w:numPr>
          <w:ilvl w:val="0"/>
          <w:numId w:val="6"/>
        </w:numPr>
        <w:rPr>
          <w:rFonts w:asciiTheme="minorHAnsi" w:hAnsiTheme="minorHAnsi" w:cstheme="minorHAnsi"/>
          <w:sz w:val="22"/>
          <w:szCs w:val="22"/>
        </w:rPr>
      </w:pPr>
      <w:r w:rsidRPr="00DE41C5">
        <w:rPr>
          <w:rFonts w:asciiTheme="minorHAnsi" w:hAnsiTheme="minorHAnsi" w:cstheme="minorHAnsi"/>
          <w:sz w:val="22"/>
          <w:szCs w:val="22"/>
        </w:rPr>
        <w:t>However, if a S</w:t>
      </w:r>
      <w:r w:rsidR="00ED1978" w:rsidRPr="00DE41C5">
        <w:rPr>
          <w:rFonts w:asciiTheme="minorHAnsi" w:hAnsiTheme="minorHAnsi" w:cstheme="minorHAnsi"/>
          <w:sz w:val="22"/>
          <w:szCs w:val="22"/>
        </w:rPr>
        <w:t xml:space="preserve">tate requires organizers to share some burden of these costs, it is more reason why individuals and associations organizing assemblies should be able to seek and receive resources without restriction. </w:t>
      </w:r>
    </w:p>
    <w:p w14:paraId="36B83241" w14:textId="77777777" w:rsidR="00805A33" w:rsidRPr="00DE41C5" w:rsidRDefault="00805A33" w:rsidP="00805A33">
      <w:pPr>
        <w:rPr>
          <w:rFonts w:asciiTheme="minorHAnsi" w:hAnsiTheme="minorHAnsi" w:cstheme="minorHAnsi"/>
          <w:sz w:val="22"/>
          <w:szCs w:val="22"/>
        </w:rPr>
      </w:pPr>
    </w:p>
    <w:p w14:paraId="536CC858" w14:textId="77777777" w:rsidR="009E6244" w:rsidRPr="00DE41C5" w:rsidRDefault="009E6244" w:rsidP="005F659E">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17:</w:t>
      </w:r>
    </w:p>
    <w:p w14:paraId="0F4EC4EB" w14:textId="77777777" w:rsidR="009E6244" w:rsidRPr="00DE41C5" w:rsidRDefault="009E6244" w:rsidP="009E6244">
      <w:pPr>
        <w:rPr>
          <w:rFonts w:asciiTheme="minorHAnsi" w:hAnsiTheme="minorHAnsi" w:cstheme="minorHAnsi"/>
          <w:b/>
          <w:sz w:val="22"/>
          <w:szCs w:val="22"/>
        </w:rPr>
      </w:pPr>
      <w:r w:rsidRPr="00DE41C5">
        <w:rPr>
          <w:rFonts w:asciiTheme="minorHAnsi" w:hAnsiTheme="minorHAnsi" w:cstheme="minorHAnsi"/>
          <w:b/>
          <w:sz w:val="22"/>
          <w:szCs w:val="22"/>
        </w:rPr>
        <w:t xml:space="preserve">What is the relationship between </w:t>
      </w:r>
      <w:proofErr w:type="gramStart"/>
      <w:r w:rsidRPr="00DE41C5">
        <w:rPr>
          <w:rFonts w:asciiTheme="minorHAnsi" w:hAnsiTheme="minorHAnsi" w:cstheme="minorHAnsi"/>
          <w:b/>
          <w:sz w:val="22"/>
          <w:szCs w:val="22"/>
        </w:rPr>
        <w:t>article</w:t>
      </w:r>
      <w:proofErr w:type="gramEnd"/>
      <w:r w:rsidRPr="00DE41C5">
        <w:rPr>
          <w:rFonts w:asciiTheme="minorHAnsi" w:hAnsiTheme="minorHAnsi" w:cstheme="minorHAnsi"/>
          <w:b/>
          <w:sz w:val="22"/>
          <w:szCs w:val="22"/>
        </w:rPr>
        <w:t xml:space="preserve"> 21 and …; association (article 22)</w:t>
      </w:r>
    </w:p>
    <w:p w14:paraId="5BE522E4" w14:textId="53B659CA" w:rsidR="000B6D93" w:rsidRPr="00DE41C5" w:rsidRDefault="000B6D93" w:rsidP="00DD77C4">
      <w:pPr>
        <w:pStyle w:val="ListParagraph"/>
        <w:numPr>
          <w:ilvl w:val="0"/>
          <w:numId w:val="5"/>
        </w:numPr>
        <w:rPr>
          <w:rFonts w:asciiTheme="minorHAnsi" w:hAnsiTheme="minorHAnsi" w:cstheme="minorHAnsi"/>
          <w:color w:val="000000"/>
          <w:sz w:val="22"/>
          <w:szCs w:val="22"/>
          <w:shd w:val="clear" w:color="auto" w:fill="FFFFFF"/>
        </w:rPr>
      </w:pPr>
      <w:r w:rsidRPr="00DE41C5">
        <w:rPr>
          <w:rFonts w:asciiTheme="minorHAnsi" w:eastAsia="Times New Roman" w:hAnsiTheme="minorHAnsi" w:cstheme="minorHAnsi"/>
          <w:sz w:val="22"/>
          <w:szCs w:val="22"/>
        </w:rPr>
        <w:t xml:space="preserve">While assemblies may occur </w:t>
      </w:r>
      <w:r w:rsidR="00281FD9" w:rsidRPr="00DE41C5">
        <w:rPr>
          <w:rFonts w:asciiTheme="minorHAnsi" w:eastAsia="Times New Roman" w:hAnsiTheme="minorHAnsi" w:cstheme="minorHAnsi"/>
          <w:sz w:val="22"/>
          <w:szCs w:val="22"/>
        </w:rPr>
        <w:t>spontaneously</w:t>
      </w:r>
      <w:r w:rsidR="00A3111C" w:rsidRPr="00DE41C5">
        <w:rPr>
          <w:rFonts w:asciiTheme="minorHAnsi" w:eastAsia="Times New Roman" w:hAnsiTheme="minorHAnsi" w:cstheme="minorHAnsi"/>
          <w:sz w:val="22"/>
          <w:szCs w:val="22"/>
        </w:rPr>
        <w:t xml:space="preserve"> </w:t>
      </w:r>
      <w:r w:rsidRPr="00DE41C5">
        <w:rPr>
          <w:rFonts w:asciiTheme="minorHAnsi" w:eastAsia="Times New Roman" w:hAnsiTheme="minorHAnsi" w:cstheme="minorHAnsi"/>
          <w:sz w:val="22"/>
          <w:szCs w:val="22"/>
        </w:rPr>
        <w:t xml:space="preserve">without any prior planning or coordination, </w:t>
      </w:r>
      <w:r w:rsidR="00A3111C" w:rsidRPr="00DE41C5">
        <w:rPr>
          <w:rFonts w:asciiTheme="minorHAnsi" w:eastAsia="Times New Roman" w:hAnsiTheme="minorHAnsi" w:cstheme="minorHAnsi"/>
          <w:sz w:val="22"/>
          <w:szCs w:val="22"/>
        </w:rPr>
        <w:t xml:space="preserve">as noted above, </w:t>
      </w:r>
      <w:r w:rsidRPr="00DE41C5">
        <w:rPr>
          <w:rFonts w:asciiTheme="minorHAnsi" w:eastAsia="Times New Roman" w:hAnsiTheme="minorHAnsi" w:cstheme="minorHAnsi"/>
          <w:sz w:val="22"/>
          <w:szCs w:val="22"/>
        </w:rPr>
        <w:t xml:space="preserve">the vast majority </w:t>
      </w:r>
      <w:r w:rsidR="005F659E" w:rsidRPr="00DE41C5">
        <w:rPr>
          <w:rFonts w:asciiTheme="minorHAnsi" w:eastAsia="Times New Roman" w:hAnsiTheme="minorHAnsi" w:cstheme="minorHAnsi"/>
          <w:sz w:val="22"/>
          <w:szCs w:val="22"/>
        </w:rPr>
        <w:t xml:space="preserve">of assemblies </w:t>
      </w:r>
      <w:r w:rsidRPr="00DE41C5">
        <w:rPr>
          <w:rFonts w:asciiTheme="minorHAnsi" w:eastAsia="Times New Roman" w:hAnsiTheme="minorHAnsi" w:cstheme="minorHAnsi"/>
          <w:sz w:val="22"/>
          <w:szCs w:val="22"/>
        </w:rPr>
        <w:t>take place as the result of some degree of planning on the part of formal and informal associations. Therefore, the right to freedom of association</w:t>
      </w:r>
      <w:r w:rsidR="000C2E54" w:rsidRPr="00DE41C5">
        <w:rPr>
          <w:rFonts w:asciiTheme="minorHAnsi" w:eastAsia="Times New Roman" w:hAnsiTheme="minorHAnsi" w:cstheme="minorHAnsi"/>
          <w:sz w:val="22"/>
          <w:szCs w:val="22"/>
        </w:rPr>
        <w:t>, and the protection of functions and activities that allow associations to sustain themselves,</w:t>
      </w:r>
      <w:r w:rsidR="0095403B" w:rsidRPr="00DE41C5">
        <w:rPr>
          <w:rFonts w:asciiTheme="minorHAnsi" w:eastAsia="Times New Roman" w:hAnsiTheme="minorHAnsi" w:cstheme="minorHAnsi"/>
          <w:sz w:val="22"/>
          <w:szCs w:val="22"/>
        </w:rPr>
        <w:t xml:space="preserve"> is essential for</w:t>
      </w:r>
      <w:r w:rsidRPr="00DE41C5">
        <w:rPr>
          <w:rFonts w:asciiTheme="minorHAnsi" w:eastAsia="Times New Roman" w:hAnsiTheme="minorHAnsi" w:cstheme="minorHAnsi"/>
          <w:sz w:val="22"/>
          <w:szCs w:val="22"/>
        </w:rPr>
        <w:t xml:space="preserve"> guaranteeing the</w:t>
      </w:r>
      <w:r w:rsidR="0095403B" w:rsidRPr="00DE41C5">
        <w:rPr>
          <w:rFonts w:asciiTheme="minorHAnsi" w:eastAsia="Times New Roman" w:hAnsiTheme="minorHAnsi" w:cstheme="minorHAnsi"/>
          <w:sz w:val="22"/>
          <w:szCs w:val="22"/>
        </w:rPr>
        <w:t xml:space="preserve"> </w:t>
      </w:r>
      <w:r w:rsidR="00281FD9" w:rsidRPr="00DE41C5">
        <w:rPr>
          <w:rFonts w:asciiTheme="minorHAnsi" w:eastAsia="Times New Roman" w:hAnsiTheme="minorHAnsi" w:cstheme="minorHAnsi"/>
          <w:sz w:val="22"/>
          <w:szCs w:val="22"/>
        </w:rPr>
        <w:t>unimpeded</w:t>
      </w:r>
      <w:r w:rsidR="0095403B" w:rsidRPr="00DE41C5">
        <w:rPr>
          <w:rFonts w:asciiTheme="minorHAnsi" w:eastAsia="Times New Roman" w:hAnsiTheme="minorHAnsi" w:cstheme="minorHAnsi"/>
          <w:sz w:val="22"/>
          <w:szCs w:val="22"/>
        </w:rPr>
        <w:t xml:space="preserve"> exercise of</w:t>
      </w:r>
      <w:r w:rsidRPr="00DE41C5">
        <w:rPr>
          <w:rFonts w:asciiTheme="minorHAnsi" w:eastAsia="Times New Roman" w:hAnsiTheme="minorHAnsi" w:cstheme="minorHAnsi"/>
          <w:sz w:val="22"/>
          <w:szCs w:val="22"/>
        </w:rPr>
        <w:t xml:space="preserve"> right </w:t>
      </w:r>
      <w:r w:rsidR="00DD77C4" w:rsidRPr="00DE41C5">
        <w:rPr>
          <w:rFonts w:asciiTheme="minorHAnsi" w:eastAsia="Times New Roman" w:hAnsiTheme="minorHAnsi" w:cstheme="minorHAnsi"/>
          <w:sz w:val="22"/>
          <w:szCs w:val="22"/>
        </w:rPr>
        <w:t xml:space="preserve">and </w:t>
      </w:r>
      <w:r w:rsidRPr="00DE41C5">
        <w:rPr>
          <w:rFonts w:asciiTheme="minorHAnsi" w:eastAsia="Times New Roman" w:hAnsiTheme="minorHAnsi" w:cstheme="minorHAnsi"/>
          <w:sz w:val="22"/>
          <w:szCs w:val="22"/>
        </w:rPr>
        <w:t>of peaceful assembly.</w:t>
      </w:r>
    </w:p>
    <w:p w14:paraId="00787586" w14:textId="398A522A" w:rsidR="009E6244" w:rsidRPr="00DE41C5" w:rsidRDefault="000C2E54" w:rsidP="00774E73">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Human Rights Committee has stated</w:t>
      </w:r>
      <w:r w:rsidR="00061D04" w:rsidRPr="00DE41C5">
        <w:rPr>
          <w:rFonts w:asciiTheme="minorHAnsi" w:hAnsiTheme="minorHAnsi" w:cstheme="minorHAnsi"/>
          <w:sz w:val="22"/>
          <w:szCs w:val="22"/>
        </w:rPr>
        <w:t>,</w:t>
      </w:r>
      <w:r w:rsidR="009E6244" w:rsidRPr="00DE41C5">
        <w:rPr>
          <w:rFonts w:asciiTheme="minorHAnsi" w:hAnsiTheme="minorHAnsi" w:cstheme="minorHAnsi"/>
          <w:sz w:val="22"/>
          <w:szCs w:val="22"/>
        </w:rPr>
        <w:t xml:space="preserve"> “the right to freedom of association relates not only to the right to form an association, but also guarantees the right of such an association freely to carry out its statutory </w:t>
      </w:r>
      <w:r w:rsidR="009E6244" w:rsidRPr="00DE41C5">
        <w:rPr>
          <w:rFonts w:asciiTheme="minorHAnsi" w:hAnsiTheme="minorHAnsi" w:cstheme="minorHAnsi"/>
          <w:sz w:val="22"/>
          <w:szCs w:val="22"/>
        </w:rPr>
        <w:lastRenderedPageBreak/>
        <w:t>activities.”</w:t>
      </w:r>
      <w:r w:rsidR="009E6244" w:rsidRPr="00DE41C5">
        <w:rPr>
          <w:rStyle w:val="FootnoteReference"/>
          <w:rFonts w:asciiTheme="minorHAnsi" w:hAnsiTheme="minorHAnsi" w:cstheme="minorHAnsi"/>
          <w:sz w:val="22"/>
          <w:szCs w:val="22"/>
        </w:rPr>
        <w:footnoteReference w:id="15"/>
      </w:r>
      <w:r w:rsidR="000E1ACB" w:rsidRPr="00DE41C5">
        <w:rPr>
          <w:rFonts w:asciiTheme="minorHAnsi" w:hAnsiTheme="minorHAnsi" w:cstheme="minorHAnsi"/>
          <w:sz w:val="22"/>
          <w:szCs w:val="22"/>
        </w:rPr>
        <w:t xml:space="preserve"> An</w:t>
      </w:r>
      <w:r w:rsidR="00DD77C4" w:rsidRPr="00DE41C5">
        <w:rPr>
          <w:rFonts w:asciiTheme="minorHAnsi" w:hAnsiTheme="minorHAnsi" w:cstheme="minorHAnsi"/>
          <w:sz w:val="22"/>
          <w:szCs w:val="22"/>
        </w:rPr>
        <w:t xml:space="preserve"> important element of the activities of </w:t>
      </w:r>
      <w:r w:rsidR="003F6E5A" w:rsidRPr="00DE41C5">
        <w:rPr>
          <w:rFonts w:asciiTheme="minorHAnsi" w:hAnsiTheme="minorHAnsi" w:cstheme="minorHAnsi"/>
          <w:sz w:val="22"/>
          <w:szCs w:val="22"/>
        </w:rPr>
        <w:t>associations</w:t>
      </w:r>
      <w:r w:rsidR="00DD77C4" w:rsidRPr="00DE41C5">
        <w:rPr>
          <w:rFonts w:asciiTheme="minorHAnsi" w:hAnsiTheme="minorHAnsi" w:cstheme="minorHAnsi"/>
          <w:sz w:val="22"/>
          <w:szCs w:val="22"/>
        </w:rPr>
        <w:t xml:space="preserve">, across geographic regions, cultures, and history, </w:t>
      </w:r>
      <w:r w:rsidR="003F6E5A" w:rsidRPr="00DE41C5">
        <w:rPr>
          <w:rFonts w:asciiTheme="minorHAnsi" w:hAnsiTheme="minorHAnsi" w:cstheme="minorHAnsi"/>
          <w:sz w:val="22"/>
          <w:szCs w:val="22"/>
        </w:rPr>
        <w:t>is</w:t>
      </w:r>
      <w:r w:rsidR="00DD77C4" w:rsidRPr="00DE41C5">
        <w:rPr>
          <w:rFonts w:asciiTheme="minorHAnsi" w:hAnsiTheme="minorHAnsi" w:cstheme="minorHAnsi"/>
          <w:sz w:val="22"/>
          <w:szCs w:val="22"/>
        </w:rPr>
        <w:t xml:space="preserve"> to organize and facilitate </w:t>
      </w:r>
      <w:r w:rsidR="001D5F91" w:rsidRPr="00DE41C5">
        <w:rPr>
          <w:rFonts w:asciiTheme="minorHAnsi" w:hAnsiTheme="minorHAnsi" w:cstheme="minorHAnsi"/>
          <w:sz w:val="22"/>
          <w:szCs w:val="22"/>
        </w:rPr>
        <w:t xml:space="preserve">a broad variety of meetings, </w:t>
      </w:r>
      <w:r w:rsidR="00DD77C4" w:rsidRPr="00DE41C5">
        <w:rPr>
          <w:rFonts w:asciiTheme="minorHAnsi" w:hAnsiTheme="minorHAnsi" w:cstheme="minorHAnsi"/>
          <w:sz w:val="22"/>
          <w:szCs w:val="22"/>
        </w:rPr>
        <w:t>assemblies</w:t>
      </w:r>
      <w:r w:rsidR="00483639" w:rsidRPr="00DE41C5">
        <w:rPr>
          <w:rFonts w:asciiTheme="minorHAnsi" w:hAnsiTheme="minorHAnsi" w:cstheme="minorHAnsi"/>
          <w:sz w:val="22"/>
          <w:szCs w:val="22"/>
        </w:rPr>
        <w:t>,</w:t>
      </w:r>
      <w:r w:rsidR="001D5F91" w:rsidRPr="00DE41C5">
        <w:rPr>
          <w:rFonts w:asciiTheme="minorHAnsi" w:hAnsiTheme="minorHAnsi" w:cstheme="minorHAnsi"/>
          <w:sz w:val="22"/>
          <w:szCs w:val="22"/>
        </w:rPr>
        <w:t xml:space="preserve"> and other activities involving multiple individuals</w:t>
      </w:r>
      <w:r w:rsidR="00DD77C4" w:rsidRPr="00DE41C5">
        <w:rPr>
          <w:rFonts w:asciiTheme="minorHAnsi" w:hAnsiTheme="minorHAnsi" w:cstheme="minorHAnsi"/>
          <w:sz w:val="22"/>
          <w:szCs w:val="22"/>
        </w:rPr>
        <w:t xml:space="preserve">. </w:t>
      </w:r>
    </w:p>
    <w:p w14:paraId="2841505A" w14:textId="0C60BBFF" w:rsidR="00AC4D2E" w:rsidRPr="00DE41C5" w:rsidRDefault="00AC4D2E" w:rsidP="00AC4D2E">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 xml:space="preserve">Human Rights Council </w:t>
      </w:r>
      <w:r w:rsidR="003F6E5A" w:rsidRPr="00DE41C5">
        <w:rPr>
          <w:rFonts w:asciiTheme="minorHAnsi" w:hAnsiTheme="minorHAnsi" w:cstheme="minorHAnsi"/>
          <w:sz w:val="22"/>
          <w:szCs w:val="22"/>
        </w:rPr>
        <w:t>has called</w:t>
      </w:r>
      <w:r w:rsidRPr="00DE41C5">
        <w:rPr>
          <w:rFonts w:asciiTheme="minorHAnsi" w:hAnsiTheme="minorHAnsi" w:cstheme="minorHAnsi"/>
          <w:sz w:val="22"/>
          <w:szCs w:val="22"/>
        </w:rPr>
        <w:t xml:space="preserve"> upon States to ensure that they do not hinder the work of</w:t>
      </w:r>
      <w:r w:rsidR="003F6E5A" w:rsidRPr="00DE41C5">
        <w:rPr>
          <w:rFonts w:asciiTheme="minorHAnsi" w:hAnsiTheme="minorHAnsi" w:cstheme="minorHAnsi"/>
          <w:sz w:val="22"/>
          <w:szCs w:val="22"/>
        </w:rPr>
        <w:t xml:space="preserve"> associations</w:t>
      </w:r>
      <w:r w:rsidRPr="00DE41C5">
        <w:rPr>
          <w:rFonts w:asciiTheme="minorHAnsi" w:hAnsiTheme="minorHAnsi" w:cstheme="minorHAnsi"/>
          <w:sz w:val="22"/>
          <w:szCs w:val="22"/>
        </w:rPr>
        <w:t xml:space="preserve"> and “underlines the importance of the ability to solicit, receive and utilize resources for their work.”</w:t>
      </w:r>
      <w:r w:rsidR="003F6E5A" w:rsidRPr="00DE41C5">
        <w:rPr>
          <w:rStyle w:val="FootnoteReference"/>
          <w:rFonts w:asciiTheme="minorHAnsi" w:hAnsiTheme="minorHAnsi" w:cstheme="minorHAnsi"/>
          <w:sz w:val="22"/>
          <w:szCs w:val="22"/>
        </w:rPr>
        <w:footnoteReference w:id="16"/>
      </w:r>
      <w:r w:rsidRPr="00DE41C5">
        <w:rPr>
          <w:rFonts w:asciiTheme="minorHAnsi" w:hAnsiTheme="minorHAnsi" w:cstheme="minorHAnsi"/>
          <w:sz w:val="22"/>
          <w:szCs w:val="22"/>
        </w:rPr>
        <w:t xml:space="preserve"> Because civil society plays an important role in organizing assemblies, hindering the ability of </w:t>
      </w:r>
      <w:r w:rsidR="00FA68DA" w:rsidRPr="00DE41C5">
        <w:rPr>
          <w:rFonts w:asciiTheme="minorHAnsi" w:hAnsiTheme="minorHAnsi" w:cstheme="minorHAnsi"/>
          <w:sz w:val="22"/>
          <w:szCs w:val="22"/>
        </w:rPr>
        <w:t xml:space="preserve">associations </w:t>
      </w:r>
      <w:r w:rsidRPr="00DE41C5">
        <w:rPr>
          <w:rFonts w:asciiTheme="minorHAnsi" w:hAnsiTheme="minorHAnsi" w:cstheme="minorHAnsi"/>
          <w:sz w:val="22"/>
          <w:szCs w:val="22"/>
        </w:rPr>
        <w:t xml:space="preserve">to receive resources </w:t>
      </w:r>
      <w:r w:rsidR="003F6E5A" w:rsidRPr="00DE41C5">
        <w:rPr>
          <w:rFonts w:asciiTheme="minorHAnsi" w:hAnsiTheme="minorHAnsi" w:cstheme="minorHAnsi"/>
          <w:sz w:val="22"/>
          <w:szCs w:val="22"/>
        </w:rPr>
        <w:t>severely</w:t>
      </w:r>
      <w:r w:rsidRPr="00DE41C5">
        <w:rPr>
          <w:rFonts w:asciiTheme="minorHAnsi" w:hAnsiTheme="minorHAnsi" w:cstheme="minorHAnsi"/>
          <w:sz w:val="22"/>
          <w:szCs w:val="22"/>
        </w:rPr>
        <w:t xml:space="preserve"> limit</w:t>
      </w:r>
      <w:r w:rsidR="003F6E5A" w:rsidRPr="00DE41C5">
        <w:rPr>
          <w:rFonts w:asciiTheme="minorHAnsi" w:hAnsiTheme="minorHAnsi" w:cstheme="minorHAnsi"/>
          <w:sz w:val="22"/>
          <w:szCs w:val="22"/>
        </w:rPr>
        <w:t>s</w:t>
      </w:r>
      <w:r w:rsidRPr="00DE41C5">
        <w:rPr>
          <w:rFonts w:asciiTheme="minorHAnsi" w:hAnsiTheme="minorHAnsi" w:cstheme="minorHAnsi"/>
          <w:sz w:val="22"/>
          <w:szCs w:val="22"/>
        </w:rPr>
        <w:t xml:space="preserve"> the ability of society</w:t>
      </w:r>
      <w:r w:rsidR="00FA68DA" w:rsidRPr="00DE41C5">
        <w:rPr>
          <w:rFonts w:asciiTheme="minorHAnsi" w:hAnsiTheme="minorHAnsi" w:cstheme="minorHAnsi"/>
          <w:sz w:val="22"/>
          <w:szCs w:val="22"/>
        </w:rPr>
        <w:t>,</w:t>
      </w:r>
      <w:r w:rsidRPr="00DE41C5">
        <w:rPr>
          <w:rFonts w:asciiTheme="minorHAnsi" w:hAnsiTheme="minorHAnsi" w:cstheme="minorHAnsi"/>
          <w:sz w:val="22"/>
          <w:szCs w:val="22"/>
        </w:rPr>
        <w:t xml:space="preserve"> as a </w:t>
      </w:r>
      <w:r w:rsidR="008C39D4" w:rsidRPr="00DE41C5">
        <w:rPr>
          <w:rFonts w:asciiTheme="minorHAnsi" w:hAnsiTheme="minorHAnsi" w:cstheme="minorHAnsi"/>
          <w:sz w:val="22"/>
          <w:szCs w:val="22"/>
        </w:rPr>
        <w:t>w</w:t>
      </w:r>
      <w:r w:rsidRPr="00DE41C5">
        <w:rPr>
          <w:rFonts w:asciiTheme="minorHAnsi" w:hAnsiTheme="minorHAnsi" w:cstheme="minorHAnsi"/>
          <w:sz w:val="22"/>
          <w:szCs w:val="22"/>
        </w:rPr>
        <w:t>hole</w:t>
      </w:r>
      <w:r w:rsidR="00FA68DA" w:rsidRPr="00DE41C5">
        <w:rPr>
          <w:rFonts w:asciiTheme="minorHAnsi" w:hAnsiTheme="minorHAnsi" w:cstheme="minorHAnsi"/>
          <w:sz w:val="22"/>
          <w:szCs w:val="22"/>
        </w:rPr>
        <w:t>,</w:t>
      </w:r>
      <w:r w:rsidRPr="00DE41C5">
        <w:rPr>
          <w:rFonts w:asciiTheme="minorHAnsi" w:hAnsiTheme="minorHAnsi" w:cstheme="minorHAnsi"/>
          <w:sz w:val="22"/>
          <w:szCs w:val="22"/>
        </w:rPr>
        <w:t xml:space="preserve"> to exercise the right to assembly peacefully. </w:t>
      </w:r>
    </w:p>
    <w:p w14:paraId="6CB448C9" w14:textId="77777777" w:rsidR="00127E06" w:rsidRPr="00DE41C5" w:rsidRDefault="00FA68DA" w:rsidP="00127E06">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Moreover, the</w:t>
      </w:r>
      <w:r w:rsidR="003F6E5A" w:rsidRPr="00DE41C5">
        <w:rPr>
          <w:rFonts w:asciiTheme="minorHAnsi" w:hAnsiTheme="minorHAnsi" w:cstheme="minorHAnsi"/>
          <w:sz w:val="22"/>
          <w:szCs w:val="22"/>
        </w:rPr>
        <w:t xml:space="preserve"> </w:t>
      </w:r>
      <w:r w:rsidR="00127E06" w:rsidRPr="00DE41C5">
        <w:rPr>
          <w:rFonts w:asciiTheme="minorHAnsi" w:hAnsiTheme="minorHAnsi" w:cstheme="minorHAnsi"/>
          <w:sz w:val="22"/>
          <w:szCs w:val="22"/>
        </w:rPr>
        <w:t>Declaration on the Elimination of All Forms of Intolerance and of Discrimination Based on Religion or Belief</w:t>
      </w:r>
      <w:r w:rsidR="003F6E5A" w:rsidRPr="00DE41C5">
        <w:rPr>
          <w:rFonts w:asciiTheme="minorHAnsi" w:hAnsiTheme="minorHAnsi" w:cstheme="minorHAnsi"/>
          <w:sz w:val="22"/>
          <w:szCs w:val="22"/>
        </w:rPr>
        <w:t xml:space="preserve"> </w:t>
      </w:r>
      <w:r w:rsidR="00127E06" w:rsidRPr="00DE41C5">
        <w:rPr>
          <w:rFonts w:asciiTheme="minorHAnsi" w:hAnsiTheme="minorHAnsi" w:cstheme="minorHAnsi"/>
          <w:sz w:val="22"/>
          <w:szCs w:val="22"/>
        </w:rPr>
        <w:t>explicitly refers to the freedom to access funding, stating that the right to freedom of thought, conscience, religion or belief shall include, inter alia, the free</w:t>
      </w:r>
      <w:r w:rsidR="00127E06" w:rsidRPr="00DE41C5">
        <w:rPr>
          <w:rFonts w:asciiTheme="minorHAnsi" w:hAnsiTheme="minorHAnsi" w:cstheme="minorHAnsi"/>
          <w:sz w:val="22"/>
          <w:szCs w:val="22"/>
        </w:rPr>
        <w:softHyphen/>
        <w:t>dom “to solicit and receive voluntary financial and other contributions from individuals and institutions.”</w:t>
      </w:r>
      <w:r w:rsidR="00127E06" w:rsidRPr="00DE41C5">
        <w:rPr>
          <w:rStyle w:val="FootnoteReference"/>
          <w:rFonts w:asciiTheme="minorHAnsi" w:hAnsiTheme="minorHAnsi" w:cstheme="minorHAnsi"/>
          <w:sz w:val="22"/>
          <w:szCs w:val="22"/>
        </w:rPr>
        <w:footnoteReference w:id="17"/>
      </w:r>
    </w:p>
    <w:p w14:paraId="5B594649" w14:textId="0C2A5D29" w:rsidR="00464E21" w:rsidRPr="00DE41C5" w:rsidRDefault="00FA68DA" w:rsidP="004139CC">
      <w:pPr>
        <w:pStyle w:val="ListParagraph"/>
        <w:numPr>
          <w:ilvl w:val="0"/>
          <w:numId w:val="9"/>
        </w:numPr>
        <w:contextualSpacing w:val="0"/>
        <w:rPr>
          <w:rFonts w:asciiTheme="minorHAnsi" w:hAnsiTheme="minorHAnsi" w:cstheme="minorHAnsi"/>
          <w:sz w:val="22"/>
          <w:szCs w:val="22"/>
        </w:rPr>
      </w:pPr>
      <w:r w:rsidRPr="00DE41C5">
        <w:rPr>
          <w:rFonts w:asciiTheme="minorHAnsi" w:hAnsiTheme="minorHAnsi" w:cstheme="minorHAnsi"/>
          <w:sz w:val="22"/>
          <w:szCs w:val="22"/>
        </w:rPr>
        <w:t>Moreover, t</w:t>
      </w:r>
      <w:r w:rsidR="00464E21" w:rsidRPr="00DE41C5">
        <w:rPr>
          <w:rFonts w:asciiTheme="minorHAnsi" w:hAnsiTheme="minorHAnsi" w:cstheme="minorHAnsi"/>
          <w:sz w:val="22"/>
          <w:szCs w:val="22"/>
        </w:rPr>
        <w:t>he UN Special Rapporteur on the rights to freedom of peaceful assembly and of association,</w:t>
      </w:r>
      <w:r w:rsidR="004139CC" w:rsidRPr="00DE41C5">
        <w:rPr>
          <w:rFonts w:asciiTheme="minorHAnsi" w:hAnsiTheme="minorHAnsi" w:cstheme="minorHAnsi"/>
          <w:sz w:val="22"/>
          <w:szCs w:val="22"/>
        </w:rPr>
        <w:t xml:space="preserve"> Maina Kiai</w:t>
      </w:r>
      <w:r w:rsidR="003F6E5A" w:rsidRPr="00DE41C5">
        <w:rPr>
          <w:rFonts w:asciiTheme="minorHAnsi" w:hAnsiTheme="minorHAnsi" w:cstheme="minorHAnsi"/>
          <w:sz w:val="22"/>
          <w:szCs w:val="22"/>
        </w:rPr>
        <w:t xml:space="preserve"> has</w:t>
      </w:r>
      <w:r w:rsidR="004139CC" w:rsidRPr="00DE41C5">
        <w:rPr>
          <w:rFonts w:asciiTheme="minorHAnsi" w:hAnsiTheme="minorHAnsi" w:cstheme="minorHAnsi"/>
          <w:sz w:val="22"/>
          <w:szCs w:val="22"/>
        </w:rPr>
        <w:t xml:space="preserve"> </w:t>
      </w:r>
      <w:proofErr w:type="gramStart"/>
      <w:r w:rsidR="004139CC" w:rsidRPr="00DE41C5">
        <w:rPr>
          <w:rFonts w:asciiTheme="minorHAnsi" w:hAnsiTheme="minorHAnsi" w:cstheme="minorHAnsi"/>
          <w:sz w:val="22"/>
          <w:szCs w:val="22"/>
        </w:rPr>
        <w:t>stated:</w:t>
      </w:r>
      <w:proofErr w:type="gramEnd"/>
      <w:r w:rsidR="004139CC" w:rsidRPr="00DE41C5">
        <w:rPr>
          <w:rFonts w:asciiTheme="minorHAnsi" w:hAnsiTheme="minorHAnsi" w:cstheme="minorHAnsi"/>
          <w:sz w:val="22"/>
          <w:szCs w:val="22"/>
        </w:rPr>
        <w:t xml:space="preserve"> “[t]he ability to seek, secure and use resources is essential to the existence and effective operations of any association, no matter how small. The right to freedom of association not only includes the ability of individuals or legal entities to form and join an association but also to seek, receive and use resources – human, material and financial – from domestic, foreign, and international sources.</w:t>
      </w:r>
      <w:r w:rsidR="002F57BB" w:rsidRPr="00DE41C5">
        <w:rPr>
          <w:rFonts w:asciiTheme="minorHAnsi" w:hAnsiTheme="minorHAnsi" w:cstheme="minorHAnsi"/>
          <w:sz w:val="22"/>
          <w:szCs w:val="22"/>
        </w:rPr>
        <w:t>”</w:t>
      </w:r>
      <w:r w:rsidR="004139CC" w:rsidRPr="00DE41C5">
        <w:rPr>
          <w:rStyle w:val="FootnoteReference"/>
          <w:rFonts w:asciiTheme="minorHAnsi" w:hAnsiTheme="minorHAnsi" w:cstheme="minorHAnsi"/>
          <w:sz w:val="22"/>
          <w:szCs w:val="22"/>
        </w:rPr>
        <w:footnoteReference w:id="18"/>
      </w:r>
    </w:p>
    <w:p w14:paraId="0AEA391D" w14:textId="029E995A" w:rsidR="00DD77C4" w:rsidRPr="00DE41C5" w:rsidRDefault="0006166D" w:rsidP="00DD77C4">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 xml:space="preserve">The right of </w:t>
      </w:r>
      <w:r w:rsidR="001C54EA" w:rsidRPr="00DE41C5">
        <w:rPr>
          <w:rFonts w:asciiTheme="minorHAnsi" w:hAnsiTheme="minorHAnsi" w:cstheme="minorHAnsi"/>
          <w:sz w:val="22"/>
          <w:szCs w:val="22"/>
        </w:rPr>
        <w:t xml:space="preserve">individuals and </w:t>
      </w:r>
      <w:r w:rsidRPr="00DE41C5">
        <w:rPr>
          <w:rFonts w:asciiTheme="minorHAnsi" w:hAnsiTheme="minorHAnsi" w:cstheme="minorHAnsi"/>
          <w:sz w:val="22"/>
          <w:szCs w:val="22"/>
        </w:rPr>
        <w:t>associations</w:t>
      </w:r>
      <w:r w:rsidR="00FA68DA" w:rsidRPr="00DE41C5">
        <w:rPr>
          <w:rFonts w:asciiTheme="minorHAnsi" w:hAnsiTheme="minorHAnsi" w:cstheme="minorHAnsi"/>
          <w:sz w:val="22"/>
          <w:szCs w:val="22"/>
        </w:rPr>
        <w:t xml:space="preserve"> </w:t>
      </w:r>
      <w:r w:rsidRPr="00DE41C5">
        <w:rPr>
          <w:rFonts w:asciiTheme="minorHAnsi" w:hAnsiTheme="minorHAnsi" w:cstheme="minorHAnsi"/>
          <w:sz w:val="22"/>
          <w:szCs w:val="22"/>
        </w:rPr>
        <w:t>to receive resources has</w:t>
      </w:r>
      <w:r w:rsidR="004E5B3D" w:rsidRPr="00DE41C5">
        <w:rPr>
          <w:rFonts w:asciiTheme="minorHAnsi" w:hAnsiTheme="minorHAnsi" w:cstheme="minorHAnsi"/>
          <w:sz w:val="22"/>
          <w:szCs w:val="22"/>
        </w:rPr>
        <w:t xml:space="preserve"> </w:t>
      </w:r>
      <w:r w:rsidRPr="00DE41C5">
        <w:rPr>
          <w:rFonts w:asciiTheme="minorHAnsi" w:hAnsiTheme="minorHAnsi" w:cstheme="minorHAnsi"/>
          <w:sz w:val="22"/>
          <w:szCs w:val="22"/>
        </w:rPr>
        <w:t xml:space="preserve">been </w:t>
      </w:r>
      <w:r w:rsidR="004F7C8C" w:rsidRPr="00DE41C5">
        <w:rPr>
          <w:rFonts w:asciiTheme="minorHAnsi" w:hAnsiTheme="minorHAnsi" w:cstheme="minorHAnsi"/>
          <w:sz w:val="22"/>
          <w:szCs w:val="22"/>
        </w:rPr>
        <w:t>affirmed</w:t>
      </w:r>
      <w:r w:rsidRPr="00DE41C5">
        <w:rPr>
          <w:rFonts w:asciiTheme="minorHAnsi" w:hAnsiTheme="minorHAnsi" w:cstheme="minorHAnsi"/>
          <w:sz w:val="22"/>
          <w:szCs w:val="22"/>
        </w:rPr>
        <w:t xml:space="preserve"> by a number of</w:t>
      </w:r>
      <w:r w:rsidR="004F7C8C" w:rsidRPr="00DE41C5">
        <w:rPr>
          <w:rFonts w:asciiTheme="minorHAnsi" w:hAnsiTheme="minorHAnsi" w:cstheme="minorHAnsi"/>
          <w:sz w:val="22"/>
          <w:szCs w:val="22"/>
        </w:rPr>
        <w:t xml:space="preserve"> international and</w:t>
      </w:r>
      <w:r w:rsidRPr="00DE41C5">
        <w:rPr>
          <w:rFonts w:asciiTheme="minorHAnsi" w:hAnsiTheme="minorHAnsi" w:cstheme="minorHAnsi"/>
          <w:sz w:val="22"/>
          <w:szCs w:val="22"/>
        </w:rPr>
        <w:t xml:space="preserve"> regional bodies</w:t>
      </w:r>
      <w:r w:rsidR="004F7C8C" w:rsidRPr="00DE41C5">
        <w:rPr>
          <w:rFonts w:asciiTheme="minorHAnsi" w:hAnsiTheme="minorHAnsi" w:cstheme="minorHAnsi"/>
          <w:sz w:val="22"/>
          <w:szCs w:val="22"/>
        </w:rPr>
        <w:t>:</w:t>
      </w:r>
      <w:r w:rsidRPr="00DE41C5">
        <w:rPr>
          <w:rFonts w:asciiTheme="minorHAnsi" w:hAnsiTheme="minorHAnsi" w:cstheme="minorHAnsi"/>
          <w:sz w:val="22"/>
          <w:szCs w:val="22"/>
        </w:rPr>
        <w:t xml:space="preserve"> </w:t>
      </w:r>
    </w:p>
    <w:p w14:paraId="569DB1CD" w14:textId="44B7B0BC" w:rsidR="004F7C8C" w:rsidRPr="00DE41C5" w:rsidRDefault="004F7C8C" w:rsidP="004F7C8C">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200</w:t>
      </w:r>
      <w:r w:rsidR="003C4708" w:rsidRPr="00DE41C5">
        <w:rPr>
          <w:rFonts w:asciiTheme="minorHAnsi" w:hAnsiTheme="minorHAnsi" w:cstheme="minorHAnsi"/>
          <w:sz w:val="22"/>
          <w:szCs w:val="22"/>
        </w:rPr>
        <w:t>2, the UN Human Rights Committee</w:t>
      </w:r>
      <w:r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expressed</w:t>
      </w:r>
      <w:r w:rsidRPr="00DE41C5">
        <w:rPr>
          <w:rFonts w:asciiTheme="minorHAnsi" w:hAnsiTheme="minorHAnsi" w:cstheme="minorHAnsi"/>
          <w:sz w:val="22"/>
          <w:szCs w:val="22"/>
        </w:rPr>
        <w:t xml:space="preserve"> concern over funding restrictions in Egypt stating: </w:t>
      </w:r>
      <w:r w:rsidR="00655F47" w:rsidRPr="00DE41C5">
        <w:rPr>
          <w:rFonts w:asciiTheme="minorHAnsi" w:hAnsiTheme="minorHAnsi" w:cstheme="minorHAnsi"/>
          <w:sz w:val="22"/>
          <w:szCs w:val="22"/>
        </w:rPr>
        <w:t>“</w:t>
      </w:r>
      <w:r w:rsidRPr="00DE41C5">
        <w:rPr>
          <w:rFonts w:asciiTheme="minorHAnsi" w:hAnsiTheme="minorHAnsi" w:cstheme="minorHAnsi"/>
          <w:sz w:val="22"/>
          <w:szCs w:val="22"/>
        </w:rPr>
        <w:t>[t]he State Party should review its legislation and practice in order to enable non-governmental organizations to discharge their functions without impediments, which are inconsistent with the provisions of article 22 of the Covenant, such as prior authorization, funding controls, and administrative dissolution.</w:t>
      </w:r>
      <w:r w:rsidR="00655F47"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19"/>
      </w:r>
      <w:r w:rsidRPr="00DE41C5">
        <w:rPr>
          <w:rFonts w:asciiTheme="minorHAnsi" w:hAnsiTheme="minorHAnsi" w:cstheme="minorHAnsi"/>
          <w:sz w:val="22"/>
          <w:szCs w:val="22"/>
        </w:rPr>
        <w:t xml:space="preserve"> </w:t>
      </w:r>
    </w:p>
    <w:p w14:paraId="7ABADC03" w14:textId="7618CC5F" w:rsidR="001A5D84" w:rsidRPr="00DE41C5" w:rsidRDefault="00DD77C4" w:rsidP="001A5D84">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2007, t</w:t>
      </w:r>
      <w:r w:rsidR="00FA68DA" w:rsidRPr="00DE41C5">
        <w:rPr>
          <w:rFonts w:asciiTheme="minorHAnsi" w:hAnsiTheme="minorHAnsi" w:cstheme="minorHAnsi"/>
          <w:sz w:val="22"/>
          <w:szCs w:val="22"/>
        </w:rPr>
        <w:t>he C</w:t>
      </w:r>
      <w:r w:rsidR="00DD6712" w:rsidRPr="00DE41C5">
        <w:rPr>
          <w:rFonts w:asciiTheme="minorHAnsi" w:hAnsiTheme="minorHAnsi" w:cstheme="minorHAnsi"/>
          <w:sz w:val="22"/>
          <w:szCs w:val="22"/>
        </w:rPr>
        <w:t xml:space="preserve">ommittee of Ministers of the Council of Europe adopted a resolution requiring States to allow </w:t>
      </w:r>
      <w:r w:rsidRPr="00DE41C5">
        <w:rPr>
          <w:rFonts w:asciiTheme="minorHAnsi" w:hAnsiTheme="minorHAnsi" w:cstheme="minorHAnsi"/>
          <w:sz w:val="22"/>
          <w:szCs w:val="22"/>
        </w:rPr>
        <w:t>associations</w:t>
      </w:r>
      <w:r w:rsidR="00DD6712" w:rsidRPr="00DE41C5">
        <w:rPr>
          <w:rFonts w:asciiTheme="minorHAnsi" w:hAnsiTheme="minorHAnsi" w:cstheme="minorHAnsi"/>
          <w:sz w:val="22"/>
          <w:szCs w:val="22"/>
        </w:rPr>
        <w:t xml:space="preserve"> to engage freely in “any lawful economic, business or commercial activities in order to support their non-for-profit activities without any special authorization being required”. </w:t>
      </w:r>
      <w:r w:rsidR="006E7576" w:rsidRPr="00DE41C5">
        <w:rPr>
          <w:rFonts w:asciiTheme="minorHAnsi" w:hAnsiTheme="minorHAnsi" w:cstheme="minorHAnsi"/>
          <w:sz w:val="22"/>
          <w:szCs w:val="22"/>
        </w:rPr>
        <w:t xml:space="preserve">The Committee </w:t>
      </w:r>
      <w:r w:rsidR="00DD6712" w:rsidRPr="00DE41C5">
        <w:rPr>
          <w:rFonts w:asciiTheme="minorHAnsi" w:hAnsiTheme="minorHAnsi" w:cstheme="minorHAnsi"/>
          <w:sz w:val="22"/>
          <w:szCs w:val="22"/>
        </w:rPr>
        <w:t xml:space="preserve">explicitly </w:t>
      </w:r>
      <w:r w:rsidR="006E7576" w:rsidRPr="00DE41C5">
        <w:rPr>
          <w:rFonts w:asciiTheme="minorHAnsi" w:hAnsiTheme="minorHAnsi" w:cstheme="minorHAnsi"/>
          <w:sz w:val="22"/>
          <w:szCs w:val="22"/>
        </w:rPr>
        <w:t>affirmed</w:t>
      </w:r>
      <w:r w:rsidR="00DD6712" w:rsidRPr="00DE41C5">
        <w:rPr>
          <w:rFonts w:asciiTheme="minorHAnsi" w:hAnsiTheme="minorHAnsi" w:cstheme="minorHAnsi"/>
          <w:sz w:val="22"/>
          <w:szCs w:val="22"/>
        </w:rPr>
        <w:t xml:space="preserve"> that </w:t>
      </w:r>
      <w:r w:rsidRPr="00DE41C5">
        <w:rPr>
          <w:rFonts w:asciiTheme="minorHAnsi" w:hAnsiTheme="minorHAnsi" w:cstheme="minorHAnsi"/>
          <w:sz w:val="22"/>
          <w:szCs w:val="22"/>
        </w:rPr>
        <w:t>associations</w:t>
      </w:r>
      <w:r w:rsidR="00DD6712" w:rsidRPr="00DE41C5">
        <w:rPr>
          <w:rFonts w:asciiTheme="minorHAnsi" w:hAnsiTheme="minorHAnsi" w:cstheme="minorHAnsi"/>
          <w:sz w:val="22"/>
          <w:szCs w:val="22"/>
        </w:rPr>
        <w:t xml:space="preserve"> should be free to solicit and receive funding “not only from public bodies in their own State but also from institutional or individual donors, another State or multilateral agencies</w:t>
      </w:r>
      <w:r w:rsidR="002F57BB" w:rsidRPr="00DE41C5">
        <w:rPr>
          <w:rFonts w:asciiTheme="minorHAnsi" w:hAnsiTheme="minorHAnsi" w:cstheme="minorHAnsi"/>
          <w:sz w:val="22"/>
          <w:szCs w:val="22"/>
        </w:rPr>
        <w:t>.</w:t>
      </w:r>
      <w:r w:rsidR="00DD6712" w:rsidRPr="00DE41C5">
        <w:rPr>
          <w:rFonts w:asciiTheme="minorHAnsi" w:hAnsiTheme="minorHAnsi" w:cstheme="minorHAnsi"/>
          <w:sz w:val="22"/>
          <w:szCs w:val="22"/>
        </w:rPr>
        <w:t>”</w:t>
      </w:r>
      <w:r w:rsidR="00774E73" w:rsidRPr="00DE41C5">
        <w:rPr>
          <w:rStyle w:val="FootnoteReference"/>
          <w:rFonts w:asciiTheme="minorHAnsi" w:hAnsiTheme="minorHAnsi" w:cstheme="minorHAnsi"/>
          <w:sz w:val="22"/>
          <w:szCs w:val="22"/>
        </w:rPr>
        <w:footnoteReference w:id="20"/>
      </w:r>
      <w:r w:rsidR="001A5D84" w:rsidRPr="00DE41C5">
        <w:rPr>
          <w:rFonts w:asciiTheme="minorHAnsi" w:hAnsiTheme="minorHAnsi" w:cstheme="minorHAnsi"/>
          <w:sz w:val="22"/>
          <w:szCs w:val="22"/>
        </w:rPr>
        <w:t xml:space="preserve"> </w:t>
      </w:r>
    </w:p>
    <w:p w14:paraId="6D97576C" w14:textId="7479B88C" w:rsidR="00746380" w:rsidRPr="00DE41C5" w:rsidRDefault="00746380" w:rsidP="001A5D84">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t>In 2008</w:t>
      </w:r>
      <w:r w:rsidR="00A15E68" w:rsidRPr="00DE41C5">
        <w:rPr>
          <w:rFonts w:asciiTheme="minorHAnsi" w:hAnsiTheme="minorHAnsi" w:cstheme="minorHAnsi"/>
          <w:sz w:val="22"/>
          <w:szCs w:val="22"/>
        </w:rPr>
        <w:t>,</w:t>
      </w:r>
      <w:r w:rsidRPr="00DE41C5">
        <w:rPr>
          <w:rFonts w:asciiTheme="minorHAnsi" w:hAnsiTheme="minorHAnsi" w:cstheme="minorHAnsi"/>
          <w:sz w:val="22"/>
          <w:szCs w:val="22"/>
        </w:rPr>
        <w:t xml:space="preserve"> the Council of Europe published </w:t>
      </w:r>
      <w:r w:rsidR="00FA68DA" w:rsidRPr="00DE41C5">
        <w:rPr>
          <w:rFonts w:asciiTheme="minorHAnsi" w:hAnsiTheme="minorHAnsi" w:cstheme="minorHAnsi"/>
          <w:sz w:val="22"/>
          <w:szCs w:val="22"/>
        </w:rPr>
        <w:t>r</w:t>
      </w:r>
      <w:r w:rsidRPr="00DE41C5">
        <w:rPr>
          <w:rFonts w:asciiTheme="minorHAnsi" w:hAnsiTheme="minorHAnsi" w:cstheme="minorHAnsi"/>
          <w:sz w:val="22"/>
          <w:szCs w:val="22"/>
        </w:rPr>
        <w:t xml:space="preserve">ecommendations on the legal status of non-governmental organizations in Europe that states: </w:t>
      </w:r>
      <w:r w:rsidR="006E7576" w:rsidRPr="00DE41C5">
        <w:rPr>
          <w:rFonts w:asciiTheme="minorHAnsi" w:hAnsiTheme="minorHAnsi" w:cstheme="minorHAnsi"/>
          <w:sz w:val="22"/>
          <w:szCs w:val="22"/>
        </w:rPr>
        <w:t>“</w:t>
      </w:r>
      <w:r w:rsidRPr="00DE41C5">
        <w:rPr>
          <w:rFonts w:asciiTheme="minorHAnsi" w:hAnsiTheme="minorHAnsi" w:cstheme="minorHAnsi"/>
          <w:sz w:val="22"/>
          <w:szCs w:val="22"/>
        </w:rPr>
        <w:t>NGO’s sho</w:t>
      </w:r>
      <w:r w:rsidR="006E7576" w:rsidRPr="00DE41C5">
        <w:rPr>
          <w:rFonts w:asciiTheme="minorHAnsi" w:hAnsiTheme="minorHAnsi" w:cstheme="minorHAnsi"/>
          <w:sz w:val="22"/>
          <w:szCs w:val="22"/>
        </w:rPr>
        <w:t>u</w:t>
      </w:r>
      <w:r w:rsidRPr="00DE41C5">
        <w:rPr>
          <w:rFonts w:asciiTheme="minorHAnsi" w:hAnsiTheme="minorHAnsi" w:cstheme="minorHAnsi"/>
          <w:sz w:val="22"/>
          <w:szCs w:val="22"/>
        </w:rPr>
        <w:t>ld be free to solicit and receive funding – Cash or in-kind donations – not only f</w:t>
      </w:r>
      <w:r w:rsidR="000E63E7" w:rsidRPr="00DE41C5">
        <w:rPr>
          <w:rFonts w:asciiTheme="minorHAnsi" w:hAnsiTheme="minorHAnsi" w:cstheme="minorHAnsi"/>
          <w:sz w:val="22"/>
          <w:szCs w:val="22"/>
        </w:rPr>
        <w:t>rom public bodies in their own S</w:t>
      </w:r>
      <w:r w:rsidRPr="00DE41C5">
        <w:rPr>
          <w:rFonts w:asciiTheme="minorHAnsi" w:hAnsiTheme="minorHAnsi" w:cstheme="minorHAnsi"/>
          <w:sz w:val="22"/>
          <w:szCs w:val="22"/>
        </w:rPr>
        <w:t>tate but also from institutional</w:t>
      </w:r>
      <w:r w:rsidR="000E63E7" w:rsidRPr="00DE41C5">
        <w:rPr>
          <w:rFonts w:asciiTheme="minorHAnsi" w:hAnsiTheme="minorHAnsi" w:cstheme="minorHAnsi"/>
          <w:sz w:val="22"/>
          <w:szCs w:val="22"/>
        </w:rPr>
        <w:t xml:space="preserve"> or individual donors, another S</w:t>
      </w:r>
      <w:r w:rsidRPr="00DE41C5">
        <w:rPr>
          <w:rFonts w:asciiTheme="minorHAnsi" w:hAnsiTheme="minorHAnsi" w:cstheme="minorHAnsi"/>
          <w:sz w:val="22"/>
          <w:szCs w:val="22"/>
        </w:rPr>
        <w:t xml:space="preserve">tate or multilateral agencies, subject only to </w:t>
      </w:r>
      <w:r w:rsidRPr="00DE41C5">
        <w:rPr>
          <w:rFonts w:asciiTheme="minorHAnsi" w:hAnsiTheme="minorHAnsi" w:cstheme="minorHAnsi"/>
          <w:sz w:val="22"/>
          <w:szCs w:val="22"/>
        </w:rPr>
        <w:lastRenderedPageBreak/>
        <w:t>the laws generally applicable to c</w:t>
      </w:r>
      <w:r w:rsidR="00A920EB" w:rsidRPr="00DE41C5">
        <w:rPr>
          <w:rFonts w:asciiTheme="minorHAnsi" w:hAnsiTheme="minorHAnsi" w:cstheme="minorHAnsi"/>
          <w:sz w:val="22"/>
          <w:szCs w:val="22"/>
        </w:rPr>
        <w:t>u</w:t>
      </w:r>
      <w:r w:rsidRPr="00DE41C5">
        <w:rPr>
          <w:rFonts w:asciiTheme="minorHAnsi" w:hAnsiTheme="minorHAnsi" w:cstheme="minorHAnsi"/>
          <w:sz w:val="22"/>
          <w:szCs w:val="22"/>
        </w:rPr>
        <w:t>stoms, foreign exchange and money laundering and those on the funding of elections and political parties.</w:t>
      </w:r>
      <w:r w:rsidR="00E55A4E"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1"/>
      </w:r>
      <w:proofErr w:type="gramEnd"/>
      <w:r w:rsidRPr="00DE41C5">
        <w:rPr>
          <w:rFonts w:asciiTheme="minorHAnsi" w:hAnsiTheme="minorHAnsi" w:cstheme="minorHAnsi"/>
          <w:sz w:val="22"/>
          <w:szCs w:val="22"/>
        </w:rPr>
        <w:t xml:space="preserve"> </w:t>
      </w:r>
    </w:p>
    <w:p w14:paraId="6201BFA5" w14:textId="56CAA2C0" w:rsidR="001A5D84" w:rsidRPr="00DE41C5" w:rsidRDefault="001A5D84" w:rsidP="001A5D84">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t>In 2009,</w:t>
      </w:r>
      <w:r w:rsidR="002F57BB" w:rsidRPr="00DE41C5">
        <w:rPr>
          <w:rFonts w:asciiTheme="minorHAnsi" w:hAnsiTheme="minorHAnsi" w:cstheme="minorHAnsi"/>
          <w:sz w:val="22"/>
          <w:szCs w:val="22"/>
        </w:rPr>
        <w:t xml:space="preserve"> </w:t>
      </w:r>
      <w:r w:rsidR="00E55A4E" w:rsidRPr="00DE41C5">
        <w:rPr>
          <w:rFonts w:asciiTheme="minorHAnsi" w:hAnsiTheme="minorHAnsi" w:cstheme="minorHAnsi"/>
          <w:sz w:val="22"/>
          <w:szCs w:val="22"/>
        </w:rPr>
        <w:t>Inter-American Commission of Human Rights (IACHR)</w:t>
      </w:r>
      <w:r w:rsidRPr="00DE41C5">
        <w:rPr>
          <w:rFonts w:asciiTheme="minorHAnsi" w:hAnsiTheme="minorHAnsi" w:cstheme="minorHAnsi"/>
          <w:sz w:val="22"/>
          <w:szCs w:val="22"/>
        </w:rPr>
        <w:t xml:space="preserve"> </w:t>
      </w:r>
      <w:r w:rsidR="00F656AA" w:rsidRPr="00DE41C5">
        <w:rPr>
          <w:rFonts w:asciiTheme="minorHAnsi" w:hAnsiTheme="minorHAnsi" w:cstheme="minorHAnsi"/>
          <w:sz w:val="22"/>
          <w:szCs w:val="22"/>
        </w:rPr>
        <w:t>stated</w:t>
      </w:r>
      <w:r w:rsidRPr="00DE41C5">
        <w:rPr>
          <w:rFonts w:asciiTheme="minorHAnsi" w:hAnsiTheme="minorHAnsi" w:cstheme="minorHAnsi"/>
          <w:sz w:val="22"/>
          <w:szCs w:val="22"/>
        </w:rPr>
        <w:t xml:space="preserve"> that: “[t]he right to receive international funds in the context of international cooperation for the defense and promotion of human rights is protected by freedom of association, and the State is obligated to respect this right without any restrictions that go beyond those allowed by the r</w:t>
      </w:r>
      <w:r w:rsidR="003C4708" w:rsidRPr="00DE41C5">
        <w:rPr>
          <w:rFonts w:asciiTheme="minorHAnsi" w:hAnsiTheme="minorHAnsi" w:cstheme="minorHAnsi"/>
          <w:sz w:val="22"/>
          <w:szCs w:val="22"/>
        </w:rPr>
        <w:t>ight of freedom of association</w:t>
      </w:r>
      <w:r w:rsidR="00F656AA" w:rsidRPr="00DE41C5">
        <w:rPr>
          <w:rFonts w:asciiTheme="minorHAnsi" w:hAnsiTheme="minorHAnsi" w:cstheme="minorHAnsi"/>
          <w:sz w:val="22"/>
          <w:szCs w:val="22"/>
        </w:rPr>
        <w:t>.”</w:t>
      </w:r>
      <w:r w:rsidR="00F656AA" w:rsidRPr="00DE41C5">
        <w:rPr>
          <w:rStyle w:val="FootnoteReference"/>
          <w:rFonts w:asciiTheme="minorHAnsi" w:hAnsiTheme="minorHAnsi" w:cstheme="minorHAnsi"/>
          <w:sz w:val="22"/>
          <w:szCs w:val="22"/>
        </w:rPr>
        <w:footnoteReference w:id="22"/>
      </w:r>
      <w:proofErr w:type="gramEnd"/>
    </w:p>
    <w:p w14:paraId="78220F0E" w14:textId="279CAFAE" w:rsidR="004C0BEC" w:rsidRPr="00DE41C5" w:rsidRDefault="00E76CEF" w:rsidP="0006166D">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 xml:space="preserve">In 2011, </w:t>
      </w:r>
      <w:r w:rsidR="00655F47" w:rsidRPr="00DE41C5">
        <w:rPr>
          <w:rFonts w:asciiTheme="minorHAnsi" w:hAnsiTheme="minorHAnsi" w:cstheme="minorHAnsi"/>
          <w:sz w:val="22"/>
          <w:szCs w:val="22"/>
        </w:rPr>
        <w:t>IACHR</w:t>
      </w:r>
      <w:r w:rsidRPr="00DE41C5">
        <w:rPr>
          <w:rFonts w:asciiTheme="minorHAnsi" w:hAnsiTheme="minorHAnsi" w:cstheme="minorHAnsi"/>
          <w:sz w:val="22"/>
          <w:szCs w:val="22"/>
        </w:rPr>
        <w:t xml:space="preserve"> </w:t>
      </w:r>
      <w:r w:rsidR="00F656AA" w:rsidRPr="00DE41C5">
        <w:rPr>
          <w:rFonts w:asciiTheme="minorHAnsi" w:hAnsiTheme="minorHAnsi" w:cstheme="minorHAnsi"/>
          <w:sz w:val="22"/>
          <w:szCs w:val="22"/>
        </w:rPr>
        <w:t>stated</w:t>
      </w:r>
      <w:r w:rsidR="004C0BEC" w:rsidRPr="00DE41C5">
        <w:rPr>
          <w:rFonts w:asciiTheme="minorHAnsi" w:hAnsiTheme="minorHAnsi" w:cstheme="minorHAnsi"/>
          <w:sz w:val="22"/>
          <w:szCs w:val="22"/>
        </w:rPr>
        <w:t xml:space="preserve"> </w:t>
      </w:r>
      <w:proofErr w:type="gramStart"/>
      <w:r w:rsidR="004C0BEC" w:rsidRPr="00DE41C5">
        <w:rPr>
          <w:rFonts w:asciiTheme="minorHAnsi" w:hAnsiTheme="minorHAnsi" w:cstheme="minorHAnsi"/>
          <w:sz w:val="22"/>
          <w:szCs w:val="22"/>
        </w:rPr>
        <w:t>that</w:t>
      </w:r>
      <w:r w:rsidR="00F656AA" w:rsidRPr="00DE41C5">
        <w:rPr>
          <w:rFonts w:asciiTheme="minorHAnsi" w:hAnsiTheme="minorHAnsi" w:cstheme="minorHAnsi"/>
          <w:sz w:val="22"/>
          <w:szCs w:val="22"/>
        </w:rPr>
        <w:t>:</w:t>
      </w:r>
      <w:proofErr w:type="gramEnd"/>
      <w:r w:rsidR="004C0BEC" w:rsidRPr="00DE41C5">
        <w:rPr>
          <w:rFonts w:asciiTheme="minorHAnsi" w:hAnsiTheme="minorHAnsi" w:cstheme="minorHAnsi"/>
          <w:sz w:val="22"/>
          <w:szCs w:val="22"/>
        </w:rPr>
        <w:t xml:space="preserve"> “one of the State’s duties stemming from freedom of association is to refrain from restricting the means of financing of human rights organizations</w:t>
      </w:r>
      <w:r w:rsidR="002F57BB" w:rsidRPr="00DE41C5">
        <w:rPr>
          <w:rFonts w:asciiTheme="minorHAnsi" w:hAnsiTheme="minorHAnsi" w:cstheme="minorHAnsi"/>
          <w:sz w:val="22"/>
          <w:szCs w:val="22"/>
        </w:rPr>
        <w:t>.</w:t>
      </w:r>
      <w:r w:rsidR="004C0BEC"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3"/>
      </w:r>
    </w:p>
    <w:p w14:paraId="4DA87E6D" w14:textId="77777777" w:rsidR="00DE756E" w:rsidRPr="00DE41C5" w:rsidRDefault="00DE756E" w:rsidP="00DE756E">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t xml:space="preserve">In 2011, </w:t>
      </w:r>
      <w:r w:rsidR="00F656AA" w:rsidRPr="00DE41C5">
        <w:rPr>
          <w:rFonts w:asciiTheme="minorHAnsi" w:hAnsiTheme="minorHAnsi" w:cstheme="minorHAnsi"/>
          <w:sz w:val="22"/>
          <w:szCs w:val="22"/>
        </w:rPr>
        <w:t xml:space="preserve">regarding Ethiopia, </w:t>
      </w:r>
      <w:r w:rsidRPr="00DE41C5">
        <w:rPr>
          <w:rFonts w:asciiTheme="minorHAnsi" w:hAnsiTheme="minorHAnsi" w:cstheme="minorHAnsi"/>
          <w:sz w:val="22"/>
          <w:szCs w:val="22"/>
        </w:rPr>
        <w:t xml:space="preserve">the UN Human Rights Committee concluded that: </w:t>
      </w:r>
      <w:r w:rsidR="00F656AA" w:rsidRPr="00DE41C5">
        <w:rPr>
          <w:rFonts w:asciiTheme="minorHAnsi" w:hAnsiTheme="minorHAnsi" w:cstheme="minorHAnsi"/>
          <w:sz w:val="22"/>
          <w:szCs w:val="22"/>
        </w:rPr>
        <w:t>“</w:t>
      </w:r>
      <w:r w:rsidRPr="00DE41C5">
        <w:rPr>
          <w:rFonts w:asciiTheme="minorHAnsi" w:hAnsiTheme="minorHAnsi" w:cstheme="minorHAnsi"/>
          <w:sz w:val="22"/>
          <w:szCs w:val="22"/>
        </w:rPr>
        <w:t>[t]he State party should revise its legislation to ensure that any limitations on the right to freedom of association and assembly are in strict compliance with articles 21 and 22 of the Covenant, and in particular it should reconsider the funding restrictions on local NGOs in the light of the Covenant and it should authorize all NGOs to work in the field of human rights.</w:t>
      </w:r>
      <w:proofErr w:type="gramEnd"/>
      <w:r w:rsidRPr="00DE41C5">
        <w:rPr>
          <w:rFonts w:asciiTheme="minorHAnsi" w:hAnsiTheme="minorHAnsi" w:cstheme="minorHAnsi"/>
          <w:sz w:val="22"/>
          <w:szCs w:val="22"/>
        </w:rPr>
        <w:t xml:space="preserve"> The State party should not discriminate against NGOs that have some members who reside outside of its borders.</w:t>
      </w:r>
      <w:r w:rsidR="00F656AA"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4"/>
      </w:r>
    </w:p>
    <w:p w14:paraId="5406FCA1" w14:textId="30655532" w:rsidR="00264AD8" w:rsidRPr="00DE41C5" w:rsidRDefault="00655F47" w:rsidP="00264AD8">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2012,</w:t>
      </w:r>
      <w:r w:rsidR="002D62BD" w:rsidRPr="00DE41C5">
        <w:rPr>
          <w:rFonts w:asciiTheme="minorHAnsi" w:hAnsiTheme="minorHAnsi" w:cstheme="minorHAnsi"/>
          <w:sz w:val="22"/>
          <w:szCs w:val="22"/>
        </w:rPr>
        <w:t xml:space="preserve"> </w:t>
      </w:r>
      <w:r w:rsidRPr="00DE41C5">
        <w:rPr>
          <w:rFonts w:asciiTheme="minorHAnsi" w:hAnsiTheme="minorHAnsi" w:cstheme="minorHAnsi"/>
          <w:sz w:val="22"/>
          <w:szCs w:val="22"/>
        </w:rPr>
        <w:t>t</w:t>
      </w:r>
      <w:r w:rsidR="004C0BEC" w:rsidRPr="00DE41C5">
        <w:rPr>
          <w:rFonts w:asciiTheme="minorHAnsi" w:hAnsiTheme="minorHAnsi" w:cstheme="minorHAnsi"/>
          <w:sz w:val="22"/>
          <w:szCs w:val="22"/>
        </w:rPr>
        <w:t xml:space="preserve">he African Commission adopted resolutions on Egypt and Ethiopia </w:t>
      </w:r>
      <w:r w:rsidR="00281FD9" w:rsidRPr="00DE41C5">
        <w:rPr>
          <w:rFonts w:asciiTheme="minorHAnsi" w:hAnsiTheme="minorHAnsi" w:cstheme="minorHAnsi"/>
          <w:sz w:val="22"/>
          <w:szCs w:val="22"/>
        </w:rPr>
        <w:t>condemning</w:t>
      </w:r>
      <w:r w:rsidR="004C0BEC" w:rsidRPr="00DE41C5">
        <w:rPr>
          <w:rFonts w:asciiTheme="minorHAnsi" w:hAnsiTheme="minorHAnsi" w:cstheme="minorHAnsi"/>
          <w:sz w:val="22"/>
          <w:szCs w:val="22"/>
        </w:rPr>
        <w:t xml:space="preserve"> restrictions placed on human rights </w:t>
      </w:r>
      <w:r w:rsidR="00281FD9" w:rsidRPr="00DE41C5">
        <w:rPr>
          <w:rFonts w:asciiTheme="minorHAnsi" w:hAnsiTheme="minorHAnsi" w:cstheme="minorHAnsi"/>
          <w:sz w:val="22"/>
          <w:szCs w:val="22"/>
        </w:rPr>
        <w:t>organizations</w:t>
      </w:r>
      <w:r w:rsidR="004C0BEC" w:rsidRPr="00DE41C5">
        <w:rPr>
          <w:rFonts w:asciiTheme="minorHAnsi" w:hAnsiTheme="minorHAnsi" w:cstheme="minorHAnsi"/>
          <w:sz w:val="22"/>
          <w:szCs w:val="22"/>
        </w:rPr>
        <w:t xml:space="preserve"> denying them access to essential funding</w:t>
      </w:r>
      <w:r w:rsidR="002F57BB" w:rsidRPr="00DE41C5">
        <w:rPr>
          <w:rFonts w:asciiTheme="minorHAnsi" w:hAnsiTheme="minorHAnsi" w:cstheme="minorHAnsi"/>
          <w:sz w:val="22"/>
          <w:szCs w:val="22"/>
        </w:rPr>
        <w:t>.</w:t>
      </w:r>
      <w:r w:rsidR="00BB2A1D" w:rsidRPr="00DE41C5">
        <w:rPr>
          <w:rStyle w:val="FootnoteReference"/>
          <w:rFonts w:asciiTheme="minorHAnsi" w:hAnsiTheme="minorHAnsi" w:cstheme="minorHAnsi"/>
          <w:sz w:val="22"/>
          <w:szCs w:val="22"/>
        </w:rPr>
        <w:footnoteReference w:id="25"/>
      </w:r>
      <w:r w:rsidR="004C0BEC" w:rsidRPr="00DE41C5">
        <w:rPr>
          <w:rFonts w:asciiTheme="minorHAnsi" w:hAnsiTheme="minorHAnsi" w:cstheme="minorHAnsi"/>
          <w:sz w:val="22"/>
          <w:szCs w:val="22"/>
        </w:rPr>
        <w:t xml:space="preserve"> </w:t>
      </w:r>
    </w:p>
    <w:p w14:paraId="2B168EF2" w14:textId="3A821C3B" w:rsidR="00666435" w:rsidRPr="00DE41C5" w:rsidRDefault="00666435" w:rsidP="00666435">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March 2013, the Human Rights Council called upon States to “ensure that reporting requirements for civil society do not inhibit functional autonomy of association and do not discriminatorily impose restrictions on potential sources of funding</w:t>
      </w:r>
      <w:r w:rsidR="002F57BB" w:rsidRPr="00DE41C5">
        <w:rPr>
          <w:rFonts w:asciiTheme="minorHAnsi" w:hAnsiTheme="minorHAnsi" w:cstheme="minorHAnsi"/>
          <w:sz w:val="22"/>
          <w:szCs w:val="22"/>
        </w:rPr>
        <w:t>.</w:t>
      </w:r>
      <w:r w:rsidRPr="00DE41C5">
        <w:rPr>
          <w:rFonts w:asciiTheme="minorHAnsi" w:hAnsiTheme="minorHAnsi" w:cstheme="minorHAnsi"/>
          <w:sz w:val="22"/>
          <w:szCs w:val="22"/>
        </w:rPr>
        <w:t>”</w:t>
      </w:r>
      <w:r w:rsidR="00BB2A1D" w:rsidRPr="00DE41C5">
        <w:rPr>
          <w:rStyle w:val="FootnoteReference"/>
          <w:rFonts w:asciiTheme="minorHAnsi" w:hAnsiTheme="minorHAnsi" w:cstheme="minorHAnsi"/>
          <w:sz w:val="22"/>
          <w:szCs w:val="22"/>
        </w:rPr>
        <w:footnoteReference w:id="26"/>
      </w:r>
      <w:r w:rsidRPr="00DE41C5">
        <w:rPr>
          <w:rFonts w:asciiTheme="minorHAnsi" w:hAnsiTheme="minorHAnsi" w:cstheme="minorHAnsi"/>
          <w:sz w:val="22"/>
          <w:szCs w:val="22"/>
        </w:rPr>
        <w:t xml:space="preserve"> </w:t>
      </w:r>
    </w:p>
    <w:p w14:paraId="1B76A751" w14:textId="789B1EC6" w:rsidR="00746380" w:rsidRPr="00DE41C5" w:rsidRDefault="00A15E68" w:rsidP="00DE756E">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w:t>
      </w:r>
      <w:r w:rsidR="00746380" w:rsidRPr="00DE41C5">
        <w:rPr>
          <w:rFonts w:asciiTheme="minorHAnsi" w:hAnsiTheme="minorHAnsi" w:cstheme="minorHAnsi"/>
          <w:sz w:val="22"/>
          <w:szCs w:val="22"/>
        </w:rPr>
        <w:t>n 2015, the Council of Europe issued guidelines on freedom of association that state</w:t>
      </w:r>
      <w:r w:rsidRPr="00DE41C5">
        <w:rPr>
          <w:rFonts w:asciiTheme="minorHAnsi" w:hAnsiTheme="minorHAnsi" w:cstheme="minorHAnsi"/>
          <w:sz w:val="22"/>
          <w:szCs w:val="22"/>
        </w:rPr>
        <w:t>s: “[a]</w:t>
      </w:r>
      <w:proofErr w:type="spellStart"/>
      <w:r w:rsidR="00746380" w:rsidRPr="00DE41C5">
        <w:rPr>
          <w:rFonts w:asciiTheme="minorHAnsi" w:hAnsiTheme="minorHAnsi" w:cstheme="minorHAnsi"/>
          <w:sz w:val="22"/>
          <w:szCs w:val="22"/>
        </w:rPr>
        <w:t>ssociations</w:t>
      </w:r>
      <w:proofErr w:type="spellEnd"/>
      <w:r w:rsidR="00746380" w:rsidRPr="00DE41C5">
        <w:rPr>
          <w:rFonts w:asciiTheme="minorHAnsi" w:hAnsiTheme="minorHAnsi" w:cstheme="minorHAnsi"/>
          <w:sz w:val="22"/>
          <w:szCs w:val="22"/>
        </w:rPr>
        <w:t xml:space="preserve"> shall have the freedom to seek, receive and use financial, material and human resources, whether domestic, foreign or international, for the pursuit of th</w:t>
      </w:r>
      <w:r w:rsidR="006A7138" w:rsidRPr="00DE41C5">
        <w:rPr>
          <w:rFonts w:asciiTheme="minorHAnsi" w:hAnsiTheme="minorHAnsi" w:cstheme="minorHAnsi"/>
          <w:sz w:val="22"/>
          <w:szCs w:val="22"/>
        </w:rPr>
        <w:t>eir activities. In particular, S</w:t>
      </w:r>
      <w:r w:rsidR="00746380" w:rsidRPr="00DE41C5">
        <w:rPr>
          <w:rFonts w:asciiTheme="minorHAnsi" w:hAnsiTheme="minorHAnsi" w:cstheme="minorHAnsi"/>
          <w:sz w:val="22"/>
          <w:szCs w:val="22"/>
        </w:rPr>
        <w:t>tates shall not restrict or block the access of associations to resources on the grounds of the nationality or the country of origin of their source, nor stigmatize those who receive such</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resources. This freedom shall be subject only to the requirements in laws</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that are generally applicable to customs, foreign exchange, the prevention</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of money laundering and terrorism, as well as those concerning transparency and the funding of elections and political parties, to the extent that</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these requirements are themselves consistent with international human</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rights standards.</w:t>
      </w:r>
      <w:r w:rsidR="00F656AA"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7"/>
      </w:r>
    </w:p>
    <w:p w14:paraId="31FD9A41" w14:textId="151B3F5E" w:rsidR="001A5D84" w:rsidRPr="00DE41C5" w:rsidRDefault="001A5D84" w:rsidP="001A5D84">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2018, the African Commission on</w:t>
      </w:r>
      <w:r w:rsidR="003C4708" w:rsidRPr="00DE41C5">
        <w:rPr>
          <w:rFonts w:asciiTheme="minorHAnsi" w:hAnsiTheme="minorHAnsi" w:cstheme="minorHAnsi"/>
          <w:sz w:val="22"/>
          <w:szCs w:val="22"/>
        </w:rPr>
        <w:t xml:space="preserve"> Human and Peoples Rights issued</w:t>
      </w:r>
      <w:r w:rsidRPr="00DE41C5">
        <w:rPr>
          <w:rFonts w:asciiTheme="minorHAnsi" w:hAnsiTheme="minorHAnsi" w:cstheme="minorHAnsi"/>
          <w:sz w:val="22"/>
          <w:szCs w:val="22"/>
        </w:rPr>
        <w:t xml:space="preserve"> guidelines on freedom of association and ass</w:t>
      </w:r>
      <w:r w:rsidR="0055158E" w:rsidRPr="00DE41C5">
        <w:rPr>
          <w:rFonts w:asciiTheme="minorHAnsi" w:hAnsiTheme="minorHAnsi" w:cstheme="minorHAnsi"/>
          <w:sz w:val="22"/>
          <w:szCs w:val="22"/>
        </w:rPr>
        <w:t>embly in Africa</w:t>
      </w:r>
      <w:r w:rsidR="00A15E68" w:rsidRPr="00DE41C5">
        <w:rPr>
          <w:rFonts w:asciiTheme="minorHAnsi" w:hAnsiTheme="minorHAnsi" w:cstheme="minorHAnsi"/>
          <w:sz w:val="22"/>
          <w:szCs w:val="22"/>
        </w:rPr>
        <w:t>,</w:t>
      </w:r>
      <w:r w:rsidR="0055158E" w:rsidRPr="00DE41C5">
        <w:rPr>
          <w:rFonts w:asciiTheme="minorHAnsi" w:hAnsiTheme="minorHAnsi" w:cstheme="minorHAnsi"/>
          <w:sz w:val="22"/>
          <w:szCs w:val="22"/>
        </w:rPr>
        <w:t xml:space="preserve"> which </w:t>
      </w:r>
      <w:r w:rsidR="00281FD9" w:rsidRPr="00DE41C5">
        <w:rPr>
          <w:rFonts w:asciiTheme="minorHAnsi" w:hAnsiTheme="minorHAnsi" w:cstheme="minorHAnsi"/>
          <w:sz w:val="22"/>
          <w:szCs w:val="22"/>
        </w:rPr>
        <w:t>indicate</w:t>
      </w:r>
      <w:r w:rsidRPr="00DE41C5">
        <w:rPr>
          <w:rFonts w:asciiTheme="minorHAnsi" w:hAnsiTheme="minorHAnsi" w:cstheme="minorHAnsi"/>
          <w:sz w:val="22"/>
          <w:szCs w:val="22"/>
        </w:rPr>
        <w:t xml:space="preserve"> that laws should “clearly state that </w:t>
      </w:r>
      <w:r w:rsidRPr="00DE41C5">
        <w:rPr>
          <w:rFonts w:asciiTheme="minorHAnsi" w:hAnsiTheme="minorHAnsi" w:cstheme="minorHAnsi"/>
          <w:sz w:val="22"/>
          <w:szCs w:val="22"/>
        </w:rPr>
        <w:lastRenderedPageBreak/>
        <w:t>association</w:t>
      </w:r>
      <w:r w:rsidR="00C82666" w:rsidRPr="00DE41C5">
        <w:rPr>
          <w:rFonts w:asciiTheme="minorHAnsi" w:hAnsiTheme="minorHAnsi" w:cstheme="minorHAnsi"/>
          <w:sz w:val="22"/>
          <w:szCs w:val="22"/>
        </w:rPr>
        <w:t>s</w:t>
      </w:r>
      <w:r w:rsidRPr="00DE41C5">
        <w:rPr>
          <w:rFonts w:asciiTheme="minorHAnsi" w:hAnsiTheme="minorHAnsi" w:cstheme="minorHAnsi"/>
          <w:sz w:val="22"/>
          <w:szCs w:val="22"/>
        </w:rPr>
        <w:t xml:space="preserve"> have the right to seek, receive and use funds freely in compliance with not-for-profit aims.”</w:t>
      </w:r>
      <w:r w:rsidR="0055158E" w:rsidRPr="00DE41C5">
        <w:rPr>
          <w:rFonts w:asciiTheme="minorHAnsi" w:hAnsiTheme="minorHAnsi" w:cstheme="minorHAnsi"/>
          <w:sz w:val="22"/>
          <w:szCs w:val="22"/>
        </w:rPr>
        <w:t xml:space="preserve"> The guidelines go on to clarify that associations should be able to conduct </w:t>
      </w:r>
      <w:r w:rsidR="00281FD9" w:rsidRPr="00DE41C5">
        <w:rPr>
          <w:rFonts w:asciiTheme="minorHAnsi" w:hAnsiTheme="minorHAnsi" w:cstheme="minorHAnsi"/>
          <w:sz w:val="22"/>
          <w:szCs w:val="22"/>
        </w:rPr>
        <w:t>fundraising</w:t>
      </w:r>
      <w:r w:rsidR="0055158E" w:rsidRPr="00DE41C5">
        <w:rPr>
          <w:rFonts w:asciiTheme="minorHAnsi" w:hAnsiTheme="minorHAnsi" w:cstheme="minorHAnsi"/>
          <w:sz w:val="22"/>
          <w:szCs w:val="22"/>
        </w:rPr>
        <w:t>; resources are not limited to “cash;” resources can come from international</w:t>
      </w:r>
      <w:r w:rsidR="00336372" w:rsidRPr="00DE41C5">
        <w:rPr>
          <w:rFonts w:asciiTheme="minorHAnsi" w:hAnsiTheme="minorHAnsi" w:cstheme="minorHAnsi"/>
          <w:sz w:val="22"/>
          <w:szCs w:val="22"/>
        </w:rPr>
        <w:t xml:space="preserve"> or transnational organizations;</w:t>
      </w:r>
      <w:r w:rsidR="0055158E" w:rsidRPr="00DE41C5">
        <w:rPr>
          <w:rFonts w:asciiTheme="minorHAnsi" w:hAnsiTheme="minorHAnsi" w:cstheme="minorHAnsi"/>
          <w:sz w:val="22"/>
          <w:szCs w:val="22"/>
        </w:rPr>
        <w:t xml:space="preserve"> </w:t>
      </w:r>
      <w:r w:rsidR="00336372" w:rsidRPr="00DE41C5">
        <w:rPr>
          <w:rFonts w:asciiTheme="minorHAnsi" w:hAnsiTheme="minorHAnsi" w:cstheme="minorHAnsi"/>
          <w:sz w:val="22"/>
          <w:szCs w:val="22"/>
        </w:rPr>
        <w:t>and</w:t>
      </w:r>
      <w:r w:rsidR="0055158E"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associations</w:t>
      </w:r>
      <w:r w:rsidR="0055158E" w:rsidRPr="00DE41C5">
        <w:rPr>
          <w:rFonts w:asciiTheme="minorHAnsi" w:hAnsiTheme="minorHAnsi" w:cstheme="minorHAnsi"/>
          <w:sz w:val="22"/>
          <w:szCs w:val="22"/>
        </w:rPr>
        <w:t xml:space="preserve"> should not be </w:t>
      </w:r>
      <w:r w:rsidR="00281FD9" w:rsidRPr="00DE41C5">
        <w:rPr>
          <w:rFonts w:asciiTheme="minorHAnsi" w:hAnsiTheme="minorHAnsi" w:cstheme="minorHAnsi"/>
          <w:sz w:val="22"/>
          <w:szCs w:val="22"/>
        </w:rPr>
        <w:t>unduly</w:t>
      </w:r>
      <w:r w:rsidR="0055158E" w:rsidRPr="00DE41C5">
        <w:rPr>
          <w:rFonts w:asciiTheme="minorHAnsi" w:hAnsiTheme="minorHAnsi" w:cstheme="minorHAnsi"/>
          <w:sz w:val="22"/>
          <w:szCs w:val="22"/>
        </w:rPr>
        <w:t xml:space="preserve"> subject to the same financial </w:t>
      </w:r>
      <w:r w:rsidR="00281FD9" w:rsidRPr="00DE41C5">
        <w:rPr>
          <w:rFonts w:asciiTheme="minorHAnsi" w:hAnsiTheme="minorHAnsi" w:cstheme="minorHAnsi"/>
          <w:sz w:val="22"/>
          <w:szCs w:val="22"/>
        </w:rPr>
        <w:t>regulations</w:t>
      </w:r>
      <w:r w:rsidR="0055158E" w:rsidRPr="00DE41C5">
        <w:rPr>
          <w:rFonts w:asciiTheme="minorHAnsi" w:hAnsiTheme="minorHAnsi" w:cstheme="minorHAnsi"/>
          <w:sz w:val="22"/>
          <w:szCs w:val="22"/>
        </w:rPr>
        <w:t xml:space="preserve"> as for-profit entities.</w:t>
      </w:r>
      <w:r w:rsidR="00336372" w:rsidRPr="00DE41C5">
        <w:rPr>
          <w:rStyle w:val="FootnoteReference"/>
          <w:rFonts w:asciiTheme="minorHAnsi" w:hAnsiTheme="minorHAnsi" w:cstheme="minorHAnsi"/>
          <w:sz w:val="22"/>
          <w:szCs w:val="22"/>
        </w:rPr>
        <w:footnoteReference w:id="28"/>
      </w:r>
      <w:r w:rsidR="0055158E" w:rsidRPr="00DE41C5">
        <w:rPr>
          <w:rFonts w:asciiTheme="minorHAnsi" w:hAnsiTheme="minorHAnsi" w:cstheme="minorHAnsi"/>
          <w:sz w:val="22"/>
          <w:szCs w:val="22"/>
        </w:rPr>
        <w:t xml:space="preserve"> </w:t>
      </w:r>
    </w:p>
    <w:p w14:paraId="6913828F" w14:textId="77777777" w:rsidR="004C0BEC" w:rsidRPr="00DE41C5" w:rsidRDefault="004C0BEC" w:rsidP="00DD6712">
      <w:pPr>
        <w:rPr>
          <w:rFonts w:asciiTheme="minorHAnsi" w:hAnsiTheme="minorHAnsi" w:cstheme="minorHAnsi"/>
          <w:sz w:val="22"/>
          <w:szCs w:val="22"/>
        </w:rPr>
      </w:pPr>
    </w:p>
    <w:p w14:paraId="2C8484B6" w14:textId="53BFDF93" w:rsidR="00093163" w:rsidRPr="00DE41C5" w:rsidRDefault="00756AAE" w:rsidP="00F60524">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We</w:t>
      </w:r>
      <w:r w:rsidR="00BB2A1D" w:rsidRPr="00DE41C5">
        <w:rPr>
          <w:rFonts w:asciiTheme="minorHAnsi" w:hAnsiTheme="minorHAnsi" w:cstheme="minorHAnsi"/>
          <w:sz w:val="22"/>
          <w:szCs w:val="22"/>
        </w:rPr>
        <w:t xml:space="preserve"> strongly </w:t>
      </w:r>
      <w:r w:rsidRPr="00DE41C5">
        <w:rPr>
          <w:rFonts w:asciiTheme="minorHAnsi" w:hAnsiTheme="minorHAnsi" w:cstheme="minorHAnsi"/>
          <w:sz w:val="22"/>
          <w:szCs w:val="22"/>
        </w:rPr>
        <w:t xml:space="preserve">urge the </w:t>
      </w:r>
      <w:r w:rsidR="00281FD9" w:rsidRPr="00DE41C5">
        <w:rPr>
          <w:rFonts w:asciiTheme="minorHAnsi" w:hAnsiTheme="minorHAnsi" w:cstheme="minorHAnsi"/>
          <w:sz w:val="22"/>
          <w:szCs w:val="22"/>
        </w:rPr>
        <w:t>Human</w:t>
      </w:r>
      <w:r w:rsidRPr="00DE41C5">
        <w:rPr>
          <w:rFonts w:asciiTheme="minorHAnsi" w:hAnsiTheme="minorHAnsi" w:cstheme="minorHAnsi"/>
          <w:sz w:val="22"/>
          <w:szCs w:val="22"/>
        </w:rPr>
        <w:t xml:space="preserve"> R</w:t>
      </w:r>
      <w:r w:rsidR="00BB2A1D" w:rsidRPr="00DE41C5">
        <w:rPr>
          <w:rFonts w:asciiTheme="minorHAnsi" w:hAnsiTheme="minorHAnsi" w:cstheme="minorHAnsi"/>
          <w:sz w:val="22"/>
          <w:szCs w:val="22"/>
        </w:rPr>
        <w:t>ights Committee to underline the importance of independent associations to the exercise of the right of peaceful assembly in its general commen</w:t>
      </w:r>
      <w:r w:rsidRPr="00DE41C5">
        <w:rPr>
          <w:rFonts w:asciiTheme="minorHAnsi" w:hAnsiTheme="minorHAnsi" w:cstheme="minorHAnsi"/>
          <w:sz w:val="22"/>
          <w:szCs w:val="22"/>
        </w:rPr>
        <w:t xml:space="preserve">t to Article 21 of the ICCPR. We urge the </w:t>
      </w:r>
      <w:r w:rsidR="00BB2A1D" w:rsidRPr="00DE41C5">
        <w:rPr>
          <w:rFonts w:asciiTheme="minorHAnsi" w:hAnsiTheme="minorHAnsi" w:cstheme="minorHAnsi"/>
          <w:sz w:val="22"/>
          <w:szCs w:val="22"/>
        </w:rPr>
        <w:t xml:space="preserve">Committee to </w:t>
      </w:r>
      <w:r w:rsidRPr="00DE41C5">
        <w:rPr>
          <w:rFonts w:asciiTheme="minorHAnsi" w:hAnsiTheme="minorHAnsi" w:cstheme="minorHAnsi"/>
          <w:sz w:val="22"/>
          <w:szCs w:val="22"/>
        </w:rPr>
        <w:t>re</w:t>
      </w:r>
      <w:r w:rsidR="00BB2A1D" w:rsidRPr="00DE41C5">
        <w:rPr>
          <w:rFonts w:asciiTheme="minorHAnsi" w:hAnsiTheme="minorHAnsi" w:cstheme="minorHAnsi"/>
          <w:sz w:val="22"/>
          <w:szCs w:val="22"/>
        </w:rPr>
        <w:t>affirm its assertion that “the right to freedom of association relates not only to the right to form an association, but also guarantees the right of such an association freely to car</w:t>
      </w:r>
      <w:r w:rsidRPr="00DE41C5">
        <w:rPr>
          <w:rFonts w:asciiTheme="minorHAnsi" w:hAnsiTheme="minorHAnsi" w:cstheme="minorHAnsi"/>
          <w:sz w:val="22"/>
          <w:szCs w:val="22"/>
        </w:rPr>
        <w:t xml:space="preserve">ry out its statutory activities,” </w:t>
      </w:r>
      <w:r w:rsidR="00C0473D" w:rsidRPr="00DE41C5">
        <w:rPr>
          <w:rFonts w:asciiTheme="minorHAnsi" w:hAnsiTheme="minorHAnsi" w:cstheme="minorHAnsi"/>
          <w:sz w:val="22"/>
          <w:szCs w:val="22"/>
        </w:rPr>
        <w:t xml:space="preserve">which is made possible </w:t>
      </w:r>
      <w:r w:rsidR="00E427DE" w:rsidRPr="00DE41C5">
        <w:rPr>
          <w:rFonts w:asciiTheme="minorHAnsi" w:hAnsiTheme="minorHAnsi" w:cstheme="minorHAnsi"/>
          <w:sz w:val="22"/>
          <w:szCs w:val="22"/>
        </w:rPr>
        <w:t>through</w:t>
      </w:r>
      <w:r w:rsidR="00C0473D" w:rsidRPr="00DE41C5">
        <w:rPr>
          <w:rFonts w:asciiTheme="minorHAnsi" w:hAnsiTheme="minorHAnsi" w:cstheme="minorHAnsi"/>
          <w:sz w:val="22"/>
          <w:szCs w:val="22"/>
        </w:rPr>
        <w:t xml:space="preserve"> the acquisition of resources</w:t>
      </w:r>
      <w:r w:rsidRPr="00DE41C5">
        <w:rPr>
          <w:rFonts w:asciiTheme="minorHAnsi" w:hAnsiTheme="minorHAnsi" w:cstheme="minorHAnsi"/>
          <w:sz w:val="22"/>
          <w:szCs w:val="22"/>
        </w:rPr>
        <w:t xml:space="preserve">. </w:t>
      </w:r>
      <w:r w:rsidR="008975F3" w:rsidRPr="00DE41C5">
        <w:rPr>
          <w:rFonts w:asciiTheme="minorHAnsi" w:hAnsiTheme="minorHAnsi" w:cstheme="minorHAnsi"/>
          <w:sz w:val="22"/>
          <w:szCs w:val="22"/>
        </w:rPr>
        <w:t>Moreover</w:t>
      </w:r>
      <w:r w:rsidRPr="00DE41C5">
        <w:rPr>
          <w:rFonts w:asciiTheme="minorHAnsi" w:hAnsiTheme="minorHAnsi" w:cstheme="minorHAnsi"/>
          <w:sz w:val="22"/>
          <w:szCs w:val="22"/>
        </w:rPr>
        <w:t xml:space="preserve">, we urge the Committee to reiterate </w:t>
      </w:r>
      <w:r w:rsidR="00C0473D" w:rsidRPr="00DE41C5">
        <w:rPr>
          <w:rFonts w:asciiTheme="minorHAnsi" w:hAnsiTheme="minorHAnsi" w:cstheme="minorHAnsi"/>
          <w:sz w:val="22"/>
          <w:szCs w:val="22"/>
        </w:rPr>
        <w:t>its position regarding that</w:t>
      </w:r>
      <w:r w:rsidRPr="00DE41C5">
        <w:rPr>
          <w:rFonts w:asciiTheme="minorHAnsi" w:hAnsiTheme="minorHAnsi" w:cstheme="minorHAnsi"/>
          <w:sz w:val="22"/>
          <w:szCs w:val="22"/>
        </w:rPr>
        <w:t xml:space="preserve"> </w:t>
      </w:r>
      <w:r w:rsidR="005903BF" w:rsidRPr="00DE41C5">
        <w:rPr>
          <w:rFonts w:asciiTheme="minorHAnsi" w:hAnsiTheme="minorHAnsi" w:cstheme="minorHAnsi"/>
          <w:sz w:val="22"/>
          <w:szCs w:val="22"/>
        </w:rPr>
        <w:t>S</w:t>
      </w:r>
      <w:r w:rsidR="00C0473D" w:rsidRPr="00DE41C5">
        <w:rPr>
          <w:rFonts w:asciiTheme="minorHAnsi" w:hAnsiTheme="minorHAnsi" w:cstheme="minorHAnsi"/>
          <w:sz w:val="22"/>
          <w:szCs w:val="22"/>
        </w:rPr>
        <w:t>tates should enact legislation that</w:t>
      </w:r>
      <w:r w:rsidRPr="00DE41C5">
        <w:rPr>
          <w:rFonts w:asciiTheme="minorHAnsi" w:hAnsiTheme="minorHAnsi" w:cstheme="minorHAnsi"/>
          <w:sz w:val="22"/>
          <w:szCs w:val="22"/>
        </w:rPr>
        <w:t xml:space="preserve"> </w:t>
      </w:r>
      <w:r w:rsidR="00C0473D" w:rsidRPr="00DE41C5">
        <w:rPr>
          <w:rFonts w:asciiTheme="minorHAnsi" w:hAnsiTheme="minorHAnsi" w:cstheme="minorHAnsi"/>
          <w:sz w:val="22"/>
          <w:szCs w:val="22"/>
        </w:rPr>
        <w:t>“</w:t>
      </w:r>
      <w:r w:rsidRPr="00DE41C5">
        <w:rPr>
          <w:rFonts w:asciiTheme="minorHAnsi" w:hAnsiTheme="minorHAnsi" w:cstheme="minorHAnsi"/>
          <w:sz w:val="22"/>
          <w:szCs w:val="22"/>
        </w:rPr>
        <w:t>ensure that any limitations on the right to freedom of association and assembly are in strict compliance with articles 21 and 22 of the Covenant</w:t>
      </w:r>
      <w:r w:rsidR="00F60524" w:rsidRPr="00DE41C5">
        <w:rPr>
          <w:rFonts w:asciiTheme="minorHAnsi" w:hAnsiTheme="minorHAnsi" w:cstheme="minorHAnsi"/>
          <w:sz w:val="22"/>
          <w:szCs w:val="22"/>
        </w:rPr>
        <w:t>.</w:t>
      </w:r>
      <w:r w:rsidR="00C0473D" w:rsidRPr="00DE41C5">
        <w:rPr>
          <w:rFonts w:asciiTheme="minorHAnsi" w:hAnsiTheme="minorHAnsi" w:cstheme="minorHAnsi"/>
          <w:sz w:val="22"/>
          <w:szCs w:val="22"/>
        </w:rPr>
        <w:t xml:space="preserve">” </w:t>
      </w:r>
      <w:r w:rsidR="00F60524" w:rsidRPr="00DE41C5">
        <w:rPr>
          <w:rFonts w:asciiTheme="minorHAnsi" w:hAnsiTheme="minorHAnsi" w:cstheme="minorHAnsi"/>
          <w:sz w:val="22"/>
          <w:szCs w:val="22"/>
        </w:rPr>
        <w:t xml:space="preserve">This should include </w:t>
      </w:r>
      <w:r w:rsidR="009915A5" w:rsidRPr="00DE41C5">
        <w:rPr>
          <w:rFonts w:asciiTheme="minorHAnsi" w:hAnsiTheme="minorHAnsi" w:cstheme="minorHAnsi"/>
          <w:sz w:val="22"/>
          <w:szCs w:val="22"/>
        </w:rPr>
        <w:t>language expressly</w:t>
      </w:r>
      <w:r w:rsidR="00F60524" w:rsidRPr="00DE41C5">
        <w:rPr>
          <w:rFonts w:asciiTheme="minorHAnsi" w:hAnsiTheme="minorHAnsi" w:cstheme="minorHAnsi"/>
          <w:sz w:val="22"/>
          <w:szCs w:val="22"/>
        </w:rPr>
        <w:t xml:space="preserve"> protecting the right of individuals and associations who </w:t>
      </w:r>
      <w:r w:rsidR="00F60524" w:rsidRPr="00DE41C5">
        <w:rPr>
          <w:rFonts w:asciiTheme="minorHAnsi" w:hAnsiTheme="minorHAnsi" w:cstheme="minorHAnsi"/>
          <w:color w:val="000000"/>
          <w:sz w:val="22"/>
          <w:szCs w:val="22"/>
          <w:shd w:val="clear" w:color="auto" w:fill="FFFFFF"/>
        </w:rPr>
        <w:t>plan and participate in assemblies to seek and receive resources by legal means from domestic and foreign donors to support their statutory activities.</w:t>
      </w:r>
    </w:p>
    <w:p w14:paraId="5BD511B5" w14:textId="6D40AE8E" w:rsidR="00840865" w:rsidRPr="00DE41C5" w:rsidRDefault="00207895" w:rsidP="00F60524">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Thank you again for affording civil society the opportunity to participate in this process</w:t>
      </w:r>
      <w:r w:rsidR="00840865" w:rsidRPr="00DE41C5">
        <w:rPr>
          <w:rFonts w:asciiTheme="minorHAnsi" w:hAnsiTheme="minorHAnsi" w:cstheme="minorHAnsi"/>
          <w:sz w:val="22"/>
          <w:szCs w:val="22"/>
        </w:rPr>
        <w:t>.</w:t>
      </w:r>
    </w:p>
    <w:p w14:paraId="7C0BB7A2" w14:textId="0DAF01C9" w:rsidR="00840865" w:rsidRPr="00DE41C5" w:rsidRDefault="00840865" w:rsidP="00840865">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Signed</w:t>
      </w:r>
      <w:r w:rsidR="002861B9" w:rsidRPr="00DE41C5">
        <w:rPr>
          <w:rFonts w:asciiTheme="minorHAnsi" w:hAnsiTheme="minorHAnsi" w:cstheme="minorHAnsi"/>
          <w:sz w:val="22"/>
          <w:szCs w:val="22"/>
        </w:rPr>
        <w:t>:</w:t>
      </w:r>
    </w:p>
    <w:p w14:paraId="27C02D69" w14:textId="77777777" w:rsidR="00840865" w:rsidRPr="00DE41C5" w:rsidRDefault="00840865" w:rsidP="00840865">
      <w:pPr>
        <w:spacing w:after="160" w:line="259" w:lineRule="auto"/>
        <w:rPr>
          <w:rFonts w:asciiTheme="minorHAnsi" w:hAnsiTheme="minorHAnsi" w:cstheme="minorHAnsi"/>
          <w:sz w:val="22"/>
          <w:szCs w:val="22"/>
        </w:rPr>
        <w:sectPr w:rsidR="00840865" w:rsidRPr="00DE41C5" w:rsidSect="00834DF6">
          <w:footerReference w:type="default" r:id="rId8"/>
          <w:pgSz w:w="12240" w:h="15840"/>
          <w:pgMar w:top="1440" w:right="1080" w:bottom="1440" w:left="1080" w:header="720" w:footer="720" w:gutter="0"/>
          <w:cols w:space="720"/>
          <w:docGrid w:linePitch="360"/>
        </w:sectPr>
      </w:pPr>
    </w:p>
    <w:p w14:paraId="789F25B8"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Acción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Solidaria</w:t>
      </w:r>
      <w:proofErr w:type="spellEnd"/>
      <w:r w:rsidRPr="00DE41C5">
        <w:rPr>
          <w:rFonts w:asciiTheme="minorHAnsi" w:hAnsiTheme="minorHAnsi" w:cstheme="minorHAnsi"/>
          <w:sz w:val="22"/>
          <w:szCs w:val="22"/>
        </w:rPr>
        <w:t>, Venezuela</w:t>
      </w:r>
    </w:p>
    <w:p w14:paraId="0C76F8F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ActionAid International, South Africa</w:t>
      </w:r>
    </w:p>
    <w:p w14:paraId="4B39A53F"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Andrew Khoo, Malaysia</w:t>
      </w:r>
    </w:p>
    <w:p w14:paraId="7D853E58"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Arab NGO Network for Development, Lebanon</w:t>
      </w:r>
    </w:p>
    <w:p w14:paraId="7BB5BBB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Asian Democracy Network, South Korea</w:t>
      </w:r>
    </w:p>
    <w:p w14:paraId="05EF3E2A"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Assembly of pro-democratic NGOs, Belarus</w:t>
      </w:r>
    </w:p>
    <w:p w14:paraId="46308D46"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Brot</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für</w:t>
      </w:r>
      <w:proofErr w:type="spellEnd"/>
      <w:r w:rsidRPr="00DE41C5">
        <w:rPr>
          <w:rFonts w:asciiTheme="minorHAnsi" w:hAnsiTheme="minorHAnsi" w:cstheme="minorHAnsi"/>
          <w:sz w:val="22"/>
          <w:szCs w:val="22"/>
        </w:rPr>
        <w:t xml:space="preserve"> die Welt, Germany</w:t>
      </w:r>
    </w:p>
    <w:p w14:paraId="4FA8A33A" w14:textId="16D06336" w:rsidR="005072EC" w:rsidRPr="00DE41C5" w:rsidRDefault="00853A7F" w:rsidP="00DE41C5">
      <w:pPr>
        <w:spacing w:after="120" w:line="259" w:lineRule="auto"/>
        <w:jc w:val="center"/>
        <w:rPr>
          <w:rFonts w:asciiTheme="minorHAnsi" w:hAnsiTheme="minorHAnsi" w:cstheme="minorHAnsi"/>
          <w:sz w:val="22"/>
          <w:szCs w:val="22"/>
        </w:rPr>
      </w:pPr>
      <w:r w:rsidRPr="00853A7F">
        <w:rPr>
          <w:rFonts w:asciiTheme="minorHAnsi" w:hAnsiTheme="minorHAnsi" w:cstheme="minorHAnsi"/>
          <w:sz w:val="22"/>
          <w:szCs w:val="22"/>
        </w:rPr>
        <w:t>Center for Civil Liberties</w:t>
      </w:r>
      <w:r>
        <w:rPr>
          <w:rFonts w:asciiTheme="minorHAnsi" w:hAnsiTheme="minorHAnsi" w:cstheme="minorHAnsi"/>
          <w:sz w:val="22"/>
          <w:szCs w:val="22"/>
        </w:rPr>
        <w:t>, Ukraine</w:t>
      </w:r>
      <w:r w:rsidRPr="00853A7F">
        <w:rPr>
          <w:rFonts w:asciiTheme="minorHAnsi" w:hAnsiTheme="minorHAnsi" w:cstheme="minorHAnsi"/>
          <w:sz w:val="22"/>
          <w:szCs w:val="22"/>
        </w:rPr>
        <w:t xml:space="preserve"> </w:t>
      </w:r>
      <w:r w:rsidR="005072EC" w:rsidRPr="00DE41C5">
        <w:rPr>
          <w:rFonts w:asciiTheme="minorHAnsi" w:hAnsiTheme="minorHAnsi" w:cstheme="minorHAnsi"/>
          <w:sz w:val="22"/>
          <w:szCs w:val="22"/>
        </w:rPr>
        <w:t>Center for Development and Democracy, Georgia</w:t>
      </w:r>
    </w:p>
    <w:p w14:paraId="138AB80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Civic Space Institute, United States</w:t>
      </w:r>
    </w:p>
    <w:p w14:paraId="4BC26A6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CIVILIS Human Rights, Venezuela</w:t>
      </w:r>
    </w:p>
    <w:p w14:paraId="7C78383F"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Debebe</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Hailegebriel</w:t>
      </w:r>
      <w:proofErr w:type="spellEnd"/>
      <w:r w:rsidRPr="00DE41C5">
        <w:rPr>
          <w:rFonts w:asciiTheme="minorHAnsi" w:hAnsiTheme="minorHAnsi" w:cstheme="minorHAnsi"/>
          <w:sz w:val="22"/>
          <w:szCs w:val="22"/>
        </w:rPr>
        <w:t xml:space="preserve"> Law Office, Ethiopia</w:t>
      </w:r>
    </w:p>
    <w:p w14:paraId="2B12B26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Free Sight Association, Tunisia</w:t>
      </w:r>
    </w:p>
    <w:p w14:paraId="07525038"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Fundación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Ciudadanía</w:t>
      </w:r>
      <w:proofErr w:type="spellEnd"/>
      <w:r w:rsidRPr="00DE41C5">
        <w:rPr>
          <w:rFonts w:asciiTheme="minorHAnsi" w:hAnsiTheme="minorHAnsi" w:cstheme="minorHAnsi"/>
          <w:sz w:val="22"/>
          <w:szCs w:val="22"/>
        </w:rPr>
        <w:t xml:space="preserve"> y </w:t>
      </w:r>
      <w:proofErr w:type="spellStart"/>
      <w:r w:rsidRPr="00DE41C5">
        <w:rPr>
          <w:rFonts w:asciiTheme="minorHAnsi" w:hAnsiTheme="minorHAnsi" w:cstheme="minorHAnsi"/>
          <w:sz w:val="22"/>
          <w:szCs w:val="22"/>
        </w:rPr>
        <w:t>Desarrollo</w:t>
      </w:r>
      <w:proofErr w:type="spellEnd"/>
      <w:r w:rsidRPr="00DE41C5">
        <w:rPr>
          <w:rFonts w:asciiTheme="minorHAnsi" w:hAnsiTheme="minorHAnsi" w:cstheme="minorHAnsi"/>
          <w:sz w:val="22"/>
          <w:szCs w:val="22"/>
        </w:rPr>
        <w:t>, Ecuador</w:t>
      </w:r>
    </w:p>
    <w:p w14:paraId="7BDC160F"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Fundación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Pachamama</w:t>
      </w:r>
      <w:proofErr w:type="spellEnd"/>
      <w:r w:rsidRPr="00DE41C5">
        <w:rPr>
          <w:rFonts w:asciiTheme="minorHAnsi" w:hAnsiTheme="minorHAnsi" w:cstheme="minorHAnsi"/>
          <w:sz w:val="22"/>
          <w:szCs w:val="22"/>
        </w:rPr>
        <w:t>, Ecuador</w:t>
      </w:r>
    </w:p>
    <w:p w14:paraId="4547339C"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HAKI Africa, Kenya</w:t>
      </w:r>
    </w:p>
    <w:p w14:paraId="5793D2BE"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Ichal Supriadi, Indonesia</w:t>
      </w:r>
    </w:p>
    <w:p w14:paraId="5D08B284"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Khalid Hussein, Kenya</w:t>
      </w:r>
    </w:p>
    <w:p w14:paraId="31B55695"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Maina Kiai, Kenya</w:t>
      </w:r>
    </w:p>
    <w:p w14:paraId="14C769CC"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NewSETA</w:t>
      </w:r>
      <w:proofErr w:type="spellEnd"/>
      <w:r w:rsidRPr="00DE41C5">
        <w:rPr>
          <w:rFonts w:asciiTheme="minorHAnsi" w:hAnsiTheme="minorHAnsi" w:cstheme="minorHAnsi"/>
          <w:sz w:val="22"/>
          <w:szCs w:val="22"/>
        </w:rPr>
        <w:t>, Cameroon</w:t>
      </w:r>
    </w:p>
    <w:p w14:paraId="41327E84"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Network for Chinese Human Rights Defenders, China</w:t>
      </w:r>
    </w:p>
    <w:p w14:paraId="492C6BC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NIDA Civic Movement, Azerbaijan</w:t>
      </w:r>
    </w:p>
    <w:p w14:paraId="2FDEBB88" w14:textId="77777777" w:rsidR="00853A7F" w:rsidRPr="00747F19" w:rsidRDefault="00853A7F" w:rsidP="00853A7F">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Secretariat of the World Movement for Democracy, United States</w:t>
      </w:r>
    </w:p>
    <w:p w14:paraId="482F0190"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Terra Mater</w:t>
      </w:r>
      <w:bookmarkStart w:id="0" w:name="_GoBack"/>
      <w:bookmarkEnd w:id="0"/>
      <w:r w:rsidRPr="00DE41C5">
        <w:rPr>
          <w:rFonts w:asciiTheme="minorHAnsi" w:hAnsiTheme="minorHAnsi" w:cstheme="minorHAnsi"/>
          <w:sz w:val="22"/>
          <w:szCs w:val="22"/>
        </w:rPr>
        <w:t>, Ecuador</w:t>
      </w:r>
    </w:p>
    <w:p w14:paraId="4E5BD677"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Ukrainian Center for Independent Political Research, Ukraine</w:t>
      </w:r>
    </w:p>
    <w:p w14:paraId="01844EFD" w14:textId="6205CDFD" w:rsidR="005072EC"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Uttam Uprety, Nepal</w:t>
      </w:r>
    </w:p>
    <w:p w14:paraId="3F9C8841" w14:textId="77777777" w:rsidR="00853A7F" w:rsidRPr="00DE41C5" w:rsidRDefault="00853A7F" w:rsidP="00DE41C5">
      <w:pPr>
        <w:spacing w:after="120" w:line="259" w:lineRule="auto"/>
        <w:jc w:val="center"/>
        <w:rPr>
          <w:rFonts w:asciiTheme="minorHAnsi" w:hAnsiTheme="minorHAnsi" w:cstheme="minorHAnsi"/>
          <w:sz w:val="22"/>
          <w:szCs w:val="22"/>
        </w:rPr>
        <w:sectPr w:rsidR="00853A7F" w:rsidRPr="00DE41C5" w:rsidSect="00840865">
          <w:type w:val="continuous"/>
          <w:pgSz w:w="12240" w:h="15840"/>
          <w:pgMar w:top="1440" w:right="1080" w:bottom="1440" w:left="1080" w:header="720" w:footer="720" w:gutter="0"/>
          <w:cols w:num="2" w:space="720"/>
          <w:docGrid w:linePitch="360"/>
        </w:sectPr>
      </w:pPr>
    </w:p>
    <w:p w14:paraId="40B77525" w14:textId="77777777" w:rsidR="00DE41C5" w:rsidRDefault="00DE41C5" w:rsidP="00DE41C5">
      <w:pPr>
        <w:spacing w:after="120" w:line="259" w:lineRule="auto"/>
        <w:jc w:val="center"/>
        <w:rPr>
          <w:rFonts w:asciiTheme="minorHAnsi" w:hAnsiTheme="minorHAnsi" w:cstheme="minorHAnsi"/>
          <w:sz w:val="22"/>
          <w:szCs w:val="22"/>
        </w:rPr>
      </w:pPr>
    </w:p>
    <w:sectPr w:rsidR="00DE41C5" w:rsidSect="00840865">
      <w:type w:val="continuous"/>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E84A8" w16cid:durableId="2022D9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89D7" w14:textId="77777777" w:rsidR="00615D5D" w:rsidRDefault="00615D5D" w:rsidP="007C791E">
      <w:r>
        <w:separator/>
      </w:r>
    </w:p>
  </w:endnote>
  <w:endnote w:type="continuationSeparator" w:id="0">
    <w:p w14:paraId="1C05ED83" w14:textId="77777777" w:rsidR="00615D5D" w:rsidRDefault="00615D5D" w:rsidP="007C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1A99" w14:textId="79D4F4E8" w:rsidR="00615D5D" w:rsidRDefault="00615D5D" w:rsidP="0040371F">
    <w:pPr>
      <w:pStyle w:val="Footer"/>
      <w:jc w:val="both"/>
    </w:pPr>
    <w:r>
      <w:tab/>
      <w:t xml:space="preserve">World Movement for Democracy  </w:t>
    </w:r>
    <w:r>
      <w:tab/>
    </w:r>
    <w:sdt>
      <w:sdtPr>
        <w:id w:val="1357852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3A7F">
          <w:rPr>
            <w:noProof/>
          </w:rPr>
          <w:t>6</w:t>
        </w:r>
        <w:r>
          <w:rPr>
            <w:noProof/>
          </w:rPr>
          <w:fldChar w:fldCharType="end"/>
        </w:r>
        <w:r>
          <w:rPr>
            <w:noProof/>
          </w:rPr>
          <w:tab/>
        </w:r>
      </w:sdtContent>
    </w:sdt>
  </w:p>
  <w:p w14:paraId="5A3ACF31" w14:textId="21DA187C" w:rsidR="00615D5D" w:rsidRDefault="00615D5D" w:rsidP="00C826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36AF" w14:textId="77777777" w:rsidR="00615D5D" w:rsidRDefault="00615D5D" w:rsidP="007C791E">
      <w:r>
        <w:separator/>
      </w:r>
    </w:p>
  </w:footnote>
  <w:footnote w:type="continuationSeparator" w:id="0">
    <w:p w14:paraId="50F9E40A" w14:textId="77777777" w:rsidR="00615D5D" w:rsidRDefault="00615D5D" w:rsidP="007C791E">
      <w:r>
        <w:continuationSeparator/>
      </w:r>
    </w:p>
  </w:footnote>
  <w:footnote w:id="1">
    <w:p w14:paraId="70086B22" w14:textId="67632C0B"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United Nations, Human Right Committee, </w:t>
      </w:r>
      <w:proofErr w:type="gramStart"/>
      <w:r w:rsidRPr="00DE41C5">
        <w:rPr>
          <w:rFonts w:asciiTheme="majorHAnsi" w:hAnsiTheme="majorHAnsi" w:cstheme="majorHAnsi"/>
          <w:i/>
        </w:rPr>
        <w:t>Half</w:t>
      </w:r>
      <w:proofErr w:type="gramEnd"/>
      <w:r w:rsidRPr="00DE41C5">
        <w:rPr>
          <w:rFonts w:asciiTheme="majorHAnsi" w:hAnsiTheme="majorHAnsi" w:cstheme="majorHAnsi"/>
          <w:i/>
        </w:rPr>
        <w:t xml:space="preserve">-Day General Discussion in preparation for a General Comment on Article 21. </w:t>
      </w:r>
      <w:r w:rsidRPr="00DE41C5">
        <w:rPr>
          <w:rFonts w:asciiTheme="majorHAnsi" w:hAnsiTheme="majorHAnsi" w:cstheme="majorHAnsi"/>
        </w:rPr>
        <w:t xml:space="preserve">Available from </w:t>
      </w:r>
      <w:hyperlink r:id="rId1" w:history="1">
        <w:r w:rsidRPr="00DE41C5">
          <w:rPr>
            <w:rStyle w:val="Hyperlink"/>
            <w:rFonts w:asciiTheme="majorHAnsi" w:hAnsiTheme="majorHAnsi" w:cstheme="majorHAnsi"/>
          </w:rPr>
          <w:t>https://www.ohchr.org/EN/HRBodies/CCPR/Pages/GC37.aspx</w:t>
        </w:r>
      </w:hyperlink>
    </w:p>
  </w:footnote>
  <w:footnote w:id="2">
    <w:p w14:paraId="07FB2C88" w14:textId="34884B4F"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United Nations, General Assembly, </w:t>
      </w:r>
      <w:r w:rsidRPr="00DE41C5">
        <w:rPr>
          <w:rFonts w:asciiTheme="majorHAnsi" w:hAnsiTheme="majorHAnsi" w:cstheme="majorHAnsi"/>
          <w:i/>
        </w:rPr>
        <w:t>Report of the Special Rapporteur on the rights to freedom of peaceful assembly and of association, Maina Kiai</w:t>
      </w:r>
      <w:r w:rsidRPr="00DE41C5">
        <w:rPr>
          <w:rFonts w:asciiTheme="majorHAnsi" w:hAnsiTheme="majorHAnsi" w:cstheme="majorHAnsi"/>
        </w:rPr>
        <w:t xml:space="preserve">, A/HRC/23/39, para. 10. (April 24, 2013). Available from </w:t>
      </w:r>
      <w:hyperlink r:id="rId2" w:history="1">
        <w:r w:rsidRPr="00DE41C5">
          <w:rPr>
            <w:rStyle w:val="Hyperlink"/>
            <w:rFonts w:asciiTheme="majorHAnsi" w:hAnsiTheme="majorHAnsi" w:cstheme="majorHAnsi"/>
          </w:rPr>
          <w:t>https://www.ohchr.org/Documents/HRBodies/HRCouncil/RegularSession/Session23/A.HRC.23.39_EN.pdf</w:t>
        </w:r>
      </w:hyperlink>
      <w:r w:rsidRPr="00DE41C5">
        <w:rPr>
          <w:rFonts w:asciiTheme="majorHAnsi" w:hAnsiTheme="majorHAnsi" w:cstheme="majorHAnsi"/>
        </w:rPr>
        <w:t>.</w:t>
      </w:r>
    </w:p>
  </w:footnote>
  <w:footnote w:id="3">
    <w:p w14:paraId="47B91B4A" w14:textId="7B402E07"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See World Movement for Democracy, Right to Receive Funding website. Available from </w:t>
      </w:r>
      <w:hyperlink r:id="rId3" w:history="1">
        <w:r w:rsidRPr="00DE41C5">
          <w:rPr>
            <w:rStyle w:val="Hyperlink"/>
            <w:rFonts w:asciiTheme="majorHAnsi" w:hAnsiTheme="majorHAnsi" w:cstheme="majorHAnsi"/>
          </w:rPr>
          <w:t>https://www.movedemocracy.org/defending-democratic-space/right-to-receive-funding</w:t>
        </w:r>
      </w:hyperlink>
      <w:r w:rsidRPr="00DE41C5">
        <w:rPr>
          <w:rFonts w:asciiTheme="majorHAnsi" w:hAnsiTheme="majorHAnsi" w:cstheme="majorHAnsi"/>
        </w:rPr>
        <w:t xml:space="preserve">; International Center for Not-for-Profit Law, </w:t>
      </w:r>
      <w:r w:rsidRPr="00DE41C5">
        <w:rPr>
          <w:rFonts w:asciiTheme="majorHAnsi" w:hAnsiTheme="majorHAnsi" w:cstheme="majorHAnsi"/>
          <w:i/>
        </w:rPr>
        <w:t xml:space="preserve">Effective Donor Responses to the Challenge of Closing Civic Space, </w:t>
      </w:r>
      <w:proofErr w:type="gramStart"/>
      <w:r w:rsidRPr="00DE41C5">
        <w:rPr>
          <w:rFonts w:asciiTheme="majorHAnsi" w:hAnsiTheme="majorHAnsi" w:cstheme="majorHAnsi"/>
        </w:rPr>
        <w:t>April,</w:t>
      </w:r>
      <w:proofErr w:type="gramEnd"/>
      <w:r w:rsidRPr="00DE41C5">
        <w:rPr>
          <w:rFonts w:asciiTheme="majorHAnsi" w:hAnsiTheme="majorHAnsi" w:cstheme="majorHAnsi"/>
        </w:rPr>
        <w:t xml:space="preserve"> 2018. Available from</w:t>
      </w:r>
      <w:r w:rsidRPr="00DE41C5">
        <w:rPr>
          <w:rFonts w:asciiTheme="majorHAnsi" w:hAnsiTheme="majorHAnsi" w:cstheme="majorHAnsi"/>
          <w:i/>
        </w:rPr>
        <w:t xml:space="preserve"> </w:t>
      </w:r>
      <w:hyperlink r:id="rId4" w:history="1">
        <w:r w:rsidRPr="00DE41C5">
          <w:rPr>
            <w:rStyle w:val="Hyperlink"/>
            <w:rFonts w:asciiTheme="majorHAnsi" w:hAnsiTheme="majorHAnsi" w:cstheme="majorHAnsi"/>
            <w:i/>
          </w:rPr>
          <w:t>http://www.icnl.org/news/2018/Effective%20donor%20responses%20FINAL%201%20May%202018.pdf</w:t>
        </w:r>
      </w:hyperlink>
      <w:r w:rsidRPr="00DE41C5">
        <w:rPr>
          <w:rFonts w:asciiTheme="majorHAnsi" w:hAnsiTheme="majorHAnsi" w:cstheme="majorHAnsi"/>
        </w:rPr>
        <w:t xml:space="preserve">; Center for Strategic and International Studies, </w:t>
      </w:r>
      <w:r w:rsidRPr="00DE41C5">
        <w:rPr>
          <w:rFonts w:asciiTheme="majorHAnsi" w:hAnsiTheme="majorHAnsi" w:cstheme="majorHAnsi"/>
          <w:i/>
        </w:rPr>
        <w:t xml:space="preserve">Donor’s Perspectives on Closing Civic Space, </w:t>
      </w:r>
      <w:r w:rsidRPr="00DE41C5">
        <w:rPr>
          <w:rFonts w:asciiTheme="majorHAnsi" w:hAnsiTheme="majorHAnsi" w:cstheme="majorHAnsi"/>
        </w:rPr>
        <w:t xml:space="preserve">June 2018. Available from </w:t>
      </w:r>
      <w:hyperlink r:id="rId5" w:history="1">
        <w:r w:rsidRPr="00DE41C5">
          <w:rPr>
            <w:rStyle w:val="Hyperlink"/>
            <w:rFonts w:asciiTheme="majorHAnsi" w:hAnsiTheme="majorHAnsi" w:cstheme="majorHAnsi"/>
          </w:rPr>
          <w:t>https://www.csis.org/analysis/donors-perspectives-closing-civic-space</w:t>
        </w:r>
      </w:hyperlink>
      <w:r w:rsidRPr="00DE41C5">
        <w:rPr>
          <w:rFonts w:asciiTheme="majorHAnsi" w:hAnsiTheme="majorHAnsi" w:cstheme="majorHAnsi"/>
        </w:rPr>
        <w:t xml:space="preserve">; and Carnegie Endowment for International Peace, </w:t>
      </w:r>
      <w:r w:rsidRPr="00DE41C5">
        <w:rPr>
          <w:rFonts w:asciiTheme="majorHAnsi" w:hAnsiTheme="majorHAnsi" w:cstheme="majorHAnsi"/>
          <w:i/>
        </w:rPr>
        <w:t xml:space="preserve">The Closing Space Challenge, How are </w:t>
      </w:r>
      <w:proofErr w:type="gramStart"/>
      <w:r w:rsidRPr="00DE41C5">
        <w:rPr>
          <w:rFonts w:asciiTheme="majorHAnsi" w:hAnsiTheme="majorHAnsi" w:cstheme="majorHAnsi"/>
          <w:i/>
        </w:rPr>
        <w:t>Funder’s</w:t>
      </w:r>
      <w:proofErr w:type="gramEnd"/>
      <w:r w:rsidRPr="00DE41C5">
        <w:rPr>
          <w:rFonts w:asciiTheme="majorHAnsi" w:hAnsiTheme="majorHAnsi" w:cstheme="majorHAnsi"/>
          <w:i/>
        </w:rPr>
        <w:t xml:space="preserve"> Responding? </w:t>
      </w:r>
      <w:r w:rsidRPr="00DE41C5">
        <w:rPr>
          <w:rFonts w:asciiTheme="majorHAnsi" w:hAnsiTheme="majorHAnsi" w:cstheme="majorHAnsi"/>
        </w:rPr>
        <w:t xml:space="preserve">November 2015. Available from </w:t>
      </w:r>
      <w:hyperlink r:id="rId6" w:history="1">
        <w:r w:rsidRPr="00DE41C5">
          <w:rPr>
            <w:rStyle w:val="Hyperlink"/>
            <w:rFonts w:asciiTheme="majorHAnsi" w:hAnsiTheme="majorHAnsi" w:cstheme="majorHAnsi"/>
          </w:rPr>
          <w:t>https://carnegieendowment.org/files/Brief-Carothers-CP_258_Closing_Spacee.pdf</w:t>
        </w:r>
      </w:hyperlink>
    </w:p>
  </w:footnote>
  <w:footnote w:id="4">
    <w:p w14:paraId="68FBC754" w14:textId="234AEBD7" w:rsidR="00615D5D" w:rsidRPr="00DE41C5" w:rsidRDefault="00615D5D" w:rsidP="00A77CF2">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Rights to freedom of peaceful assembly and association</w:t>
      </w:r>
      <w:r w:rsidRPr="00DE41C5">
        <w:rPr>
          <w:rFonts w:asciiTheme="majorHAnsi" w:hAnsiTheme="majorHAnsi" w:cstheme="majorHAnsi"/>
        </w:rPr>
        <w:t xml:space="preserve">, A/68/299, p. 10, para. </w:t>
      </w:r>
      <w:proofErr w:type="gramStart"/>
      <w:r w:rsidRPr="00DE41C5">
        <w:rPr>
          <w:rFonts w:asciiTheme="majorHAnsi" w:hAnsiTheme="majorHAnsi" w:cstheme="majorHAnsi"/>
        </w:rPr>
        <w:t>24</w:t>
      </w:r>
      <w:proofErr w:type="gramEnd"/>
      <w:r w:rsidRPr="00DE41C5">
        <w:rPr>
          <w:rFonts w:asciiTheme="majorHAnsi" w:hAnsiTheme="majorHAnsi" w:cstheme="majorHAnsi"/>
        </w:rPr>
        <w:t xml:space="preserve"> (August 7, 2013). Available from </w:t>
      </w:r>
      <w:hyperlink r:id="rId7" w:history="1">
        <w:r w:rsidRPr="00DE41C5">
          <w:rPr>
            <w:rStyle w:val="Hyperlink"/>
            <w:rFonts w:asciiTheme="majorHAnsi" w:hAnsiTheme="majorHAnsi" w:cstheme="majorHAnsi"/>
          </w:rPr>
          <w:t>https://undocs.org/A/68/299</w:t>
        </w:r>
      </w:hyperlink>
      <w:r w:rsidRPr="00DE41C5">
        <w:rPr>
          <w:rFonts w:asciiTheme="majorHAnsi" w:hAnsiTheme="majorHAnsi" w:cstheme="majorHAnsi"/>
        </w:rPr>
        <w:t>.</w:t>
      </w:r>
    </w:p>
  </w:footnote>
  <w:footnote w:id="5">
    <w:p w14:paraId="1E1AD5A8" w14:textId="557FD684"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A/HRC/23/39, para. 10.</w:t>
      </w:r>
    </w:p>
  </w:footnote>
  <w:footnote w:id="6">
    <w:p w14:paraId="06835657" w14:textId="6F2DFC16"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proofErr w:type="gramStart"/>
      <w:r w:rsidRPr="00DE41C5">
        <w:rPr>
          <w:rFonts w:asciiTheme="majorHAnsi" w:hAnsiTheme="majorHAnsi" w:cstheme="majorHAnsi"/>
        </w:rPr>
        <w:t>Ibid.,</w:t>
      </w:r>
      <w:proofErr w:type="gramEnd"/>
      <w:r w:rsidRPr="00DE41C5">
        <w:rPr>
          <w:rFonts w:asciiTheme="majorHAnsi" w:hAnsiTheme="majorHAnsi" w:cstheme="majorHAnsi"/>
        </w:rPr>
        <w:t xml:space="preserve"> para. 53.</w:t>
      </w:r>
    </w:p>
  </w:footnote>
  <w:footnote w:id="7">
    <w:p w14:paraId="7348C887" w14:textId="11859D81"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Council, Resolution “Protecting human rights defenders”, doc. A/HRC/22/L.13. (March 15, 2013). Available from </w:t>
      </w:r>
      <w:hyperlink r:id="rId8" w:history="1">
        <w:r w:rsidRPr="00DE41C5">
          <w:rPr>
            <w:rStyle w:val="Hyperlink"/>
            <w:rFonts w:asciiTheme="majorHAnsi" w:hAnsiTheme="majorHAnsi" w:cstheme="majorHAnsi"/>
          </w:rPr>
          <w:t>https://documents-dds-ny.un.org/doc/RESOLUTION/LTD/G13/120/26/PDF/G1312026.pdf?OpenElement</w:t>
        </w:r>
      </w:hyperlink>
      <w:r w:rsidRPr="00DE41C5">
        <w:rPr>
          <w:rStyle w:val="Hyperlink"/>
          <w:rFonts w:asciiTheme="majorHAnsi" w:hAnsiTheme="majorHAnsi" w:cstheme="majorHAnsi"/>
        </w:rPr>
        <w:t>.</w:t>
      </w:r>
    </w:p>
  </w:footnote>
  <w:footnote w:id="8">
    <w:p w14:paraId="779405F1" w14:textId="068BE7CF" w:rsidR="00615D5D" w:rsidRPr="00DE41C5" w:rsidRDefault="00615D5D" w:rsidP="00AA4387">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r w:rsidRPr="00DE41C5">
        <w:rPr>
          <w:rFonts w:asciiTheme="majorHAnsi" w:hAnsiTheme="majorHAnsi" w:cstheme="majorHAnsi"/>
          <w:color w:val="000000"/>
          <w:shd w:val="clear" w:color="auto" w:fill="FFFFFF"/>
        </w:rPr>
        <w:t xml:space="preserve">UN Human Rights Council; </w:t>
      </w:r>
      <w:r w:rsidRPr="00DE41C5">
        <w:rPr>
          <w:rFonts w:asciiTheme="majorHAnsi" w:hAnsiTheme="majorHAnsi" w:cstheme="majorHAnsi"/>
          <w:i/>
          <w:color w:val="000000"/>
          <w:shd w:val="clear" w:color="auto" w:fill="FFFFFF"/>
        </w:rPr>
        <w:t xml:space="preserve">Report of the Special Rapporteur on the rights to freedom of peaceful assembly and of association, Maina Kiai, </w:t>
      </w:r>
      <w:r w:rsidRPr="00DE41C5">
        <w:rPr>
          <w:rFonts w:asciiTheme="majorHAnsi" w:hAnsiTheme="majorHAnsi" w:cstheme="majorHAnsi"/>
          <w:color w:val="000000"/>
          <w:shd w:val="clear" w:color="auto" w:fill="FFFFFF"/>
        </w:rPr>
        <w:t xml:space="preserve">A/HRC/20/27, p. 10, para 27 (May 21, 2012). Available from </w:t>
      </w:r>
      <w:hyperlink r:id="rId9" w:history="1">
        <w:r w:rsidRPr="00DE41C5">
          <w:rPr>
            <w:rStyle w:val="Hyperlink"/>
            <w:rFonts w:asciiTheme="majorHAnsi" w:hAnsiTheme="majorHAnsi" w:cstheme="majorHAnsi"/>
            <w:shd w:val="clear" w:color="auto" w:fill="FFFFFF"/>
          </w:rPr>
          <w:t>https://www.ohchr.org/Documents/HRBodies/HRCouncil/RegularSession/Session20/A-HRC-20-27_en.pdf</w:t>
        </w:r>
      </w:hyperlink>
    </w:p>
  </w:footnote>
  <w:footnote w:id="9">
    <w:p w14:paraId="04B4F38D" w14:textId="0CE8ECA9" w:rsidR="00615D5D" w:rsidRPr="00DE41C5" w:rsidRDefault="00615D5D" w:rsidP="00D01E1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proofErr w:type="gramStart"/>
      <w:r w:rsidRPr="00DE41C5">
        <w:rPr>
          <w:rFonts w:asciiTheme="majorHAnsi" w:hAnsiTheme="majorHAnsi" w:cstheme="majorHAnsi"/>
          <w:color w:val="000000"/>
          <w:shd w:val="clear" w:color="auto" w:fill="FFFFFF"/>
        </w:rPr>
        <w:t>Ibid.,</w:t>
      </w:r>
      <w:proofErr w:type="gramEnd"/>
      <w:r w:rsidRPr="00DE41C5">
        <w:rPr>
          <w:rFonts w:asciiTheme="majorHAnsi" w:hAnsiTheme="majorHAnsi" w:cstheme="majorHAnsi"/>
          <w:color w:val="000000"/>
          <w:shd w:val="clear" w:color="auto" w:fill="FFFFFF"/>
        </w:rPr>
        <w:t xml:space="preserve"> para. 33.</w:t>
      </w:r>
    </w:p>
  </w:footnote>
  <w:footnote w:id="10">
    <w:p w14:paraId="2CF02B96" w14:textId="6CA727CA" w:rsidR="00615D5D" w:rsidRPr="00DE41C5" w:rsidRDefault="00615D5D"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Joint report of the Special Rapporteur on the rights to the freedom of peaceful assembly and of association and the Special Rapporteur on extrajudicial, summary or arbitrary executions on the proper management of assemblies</w:t>
      </w:r>
      <w:r w:rsidRPr="00DE41C5">
        <w:rPr>
          <w:rFonts w:asciiTheme="majorHAnsi" w:hAnsiTheme="majorHAnsi" w:cstheme="majorHAnsi"/>
        </w:rPr>
        <w:t xml:space="preserve">, </w:t>
      </w:r>
      <w:r w:rsidRPr="00DE41C5">
        <w:rPr>
          <w:rFonts w:asciiTheme="majorHAnsi" w:hAnsiTheme="majorHAnsi" w:cstheme="majorHAnsi"/>
          <w:color w:val="000000"/>
          <w:shd w:val="clear" w:color="auto" w:fill="FFFFFF"/>
        </w:rPr>
        <w:t xml:space="preserve">A/HRC/31/66, p.4, para. </w:t>
      </w:r>
      <w:proofErr w:type="gramStart"/>
      <w:r w:rsidRPr="00DE41C5">
        <w:rPr>
          <w:rFonts w:asciiTheme="majorHAnsi" w:hAnsiTheme="majorHAnsi" w:cstheme="majorHAnsi"/>
          <w:color w:val="000000"/>
          <w:shd w:val="clear" w:color="auto" w:fill="FFFFFF"/>
        </w:rPr>
        <w:t>8</w:t>
      </w:r>
      <w:proofErr w:type="gramEnd"/>
      <w:r w:rsidRPr="00DE41C5">
        <w:rPr>
          <w:rFonts w:asciiTheme="majorHAnsi" w:hAnsiTheme="majorHAnsi" w:cstheme="majorHAnsi"/>
          <w:color w:val="000000"/>
          <w:shd w:val="clear" w:color="auto" w:fill="FFFFFF"/>
        </w:rPr>
        <w:t xml:space="preserve"> (February 4, 2016). Available from </w:t>
      </w:r>
      <w:hyperlink r:id="rId10" w:history="1">
        <w:r w:rsidRPr="00DE41C5">
          <w:rPr>
            <w:rStyle w:val="Hyperlink"/>
            <w:rFonts w:asciiTheme="majorHAnsi" w:hAnsiTheme="majorHAnsi" w:cstheme="majorHAnsi"/>
            <w:shd w:val="clear" w:color="auto" w:fill="FFFFFF"/>
          </w:rPr>
          <w:t>https://undocs.org/A/HRC/31/66</w:t>
        </w:r>
      </w:hyperlink>
      <w:r w:rsidRPr="00DE41C5">
        <w:rPr>
          <w:rStyle w:val="Hyperlink"/>
          <w:rFonts w:asciiTheme="majorHAnsi" w:hAnsiTheme="majorHAnsi" w:cstheme="majorHAnsi"/>
          <w:shd w:val="clear" w:color="auto" w:fill="FFFFFF"/>
        </w:rPr>
        <w:t>.</w:t>
      </w:r>
    </w:p>
  </w:footnote>
  <w:footnote w:id="11">
    <w:p w14:paraId="14C4D849" w14:textId="43C97F71" w:rsidR="00615D5D" w:rsidRPr="00DE41C5" w:rsidRDefault="00615D5D"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Practical Recommendations for the Management of Assemblies. Available from </w:t>
      </w:r>
      <w:hyperlink r:id="rId11" w:history="1">
        <w:r w:rsidRPr="00DE41C5">
          <w:rPr>
            <w:rStyle w:val="Hyperlink"/>
            <w:rFonts w:asciiTheme="majorHAnsi" w:hAnsiTheme="majorHAnsi" w:cstheme="majorHAnsi"/>
          </w:rPr>
          <w:t>http://freeassembly.net/reports/managing-assemblies/</w:t>
        </w:r>
      </w:hyperlink>
      <w:r w:rsidRPr="00DE41C5">
        <w:rPr>
          <w:rStyle w:val="Hyperlink"/>
          <w:rFonts w:asciiTheme="majorHAnsi" w:hAnsiTheme="majorHAnsi" w:cstheme="majorHAnsi"/>
        </w:rPr>
        <w:t>.</w:t>
      </w:r>
    </w:p>
  </w:footnote>
  <w:footnote w:id="12">
    <w:p w14:paraId="5EAA243C" w14:textId="50986BD4" w:rsidR="00615D5D" w:rsidRPr="00DE41C5" w:rsidRDefault="00615D5D"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 HRC/23/39, para 19 and UN Human Rights Committee Comment, </w:t>
      </w:r>
      <w:r w:rsidRPr="00DE41C5">
        <w:rPr>
          <w:rFonts w:asciiTheme="majorHAnsi" w:hAnsiTheme="majorHAnsi" w:cstheme="majorHAnsi"/>
          <w:i/>
        </w:rPr>
        <w:t xml:space="preserve">International Covenant on Civil and Political Rights, CCPR/C/21/Rev.1/Add.13, </w:t>
      </w:r>
      <w:r w:rsidRPr="00DE41C5">
        <w:rPr>
          <w:rFonts w:asciiTheme="majorHAnsi" w:hAnsiTheme="majorHAnsi" w:cstheme="majorHAnsi"/>
        </w:rPr>
        <w:t xml:space="preserve">para </w:t>
      </w:r>
      <w:proofErr w:type="gramStart"/>
      <w:r w:rsidRPr="00DE41C5">
        <w:rPr>
          <w:rFonts w:asciiTheme="majorHAnsi" w:hAnsiTheme="majorHAnsi" w:cstheme="majorHAnsi"/>
        </w:rPr>
        <w:t>6</w:t>
      </w:r>
      <w:proofErr w:type="gramEnd"/>
      <w:r w:rsidRPr="00DE41C5">
        <w:rPr>
          <w:rFonts w:asciiTheme="majorHAnsi" w:hAnsiTheme="majorHAnsi" w:cstheme="majorHAnsi"/>
        </w:rPr>
        <w:t xml:space="preserve"> (May 26, 2004). Available from </w:t>
      </w:r>
      <w:hyperlink r:id="rId12" w:history="1">
        <w:r w:rsidRPr="00DE41C5">
          <w:rPr>
            <w:rStyle w:val="Hyperlink"/>
            <w:rFonts w:asciiTheme="majorHAnsi" w:hAnsiTheme="majorHAnsi" w:cstheme="majorHAnsi"/>
          </w:rPr>
          <w:t>https://undocs.org/CCPR/C/21/Rev.1/Add.13</w:t>
        </w:r>
      </w:hyperlink>
      <w:r w:rsidRPr="00DE41C5">
        <w:rPr>
          <w:rStyle w:val="Hyperlink"/>
          <w:rFonts w:asciiTheme="majorHAnsi" w:hAnsiTheme="majorHAnsi" w:cstheme="majorHAnsi"/>
        </w:rPr>
        <w:t>.</w:t>
      </w:r>
    </w:p>
  </w:footnote>
  <w:footnote w:id="13">
    <w:p w14:paraId="403D0915" w14:textId="52B502BD"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Council of Europe, </w:t>
      </w:r>
      <w:r w:rsidRPr="00DE41C5">
        <w:rPr>
          <w:rFonts w:asciiTheme="majorHAnsi" w:hAnsiTheme="majorHAnsi" w:cstheme="majorHAnsi"/>
          <w:i/>
        </w:rPr>
        <w:t>European Convention on Human Rights</w:t>
      </w:r>
      <w:r w:rsidRPr="00DE41C5">
        <w:rPr>
          <w:rFonts w:asciiTheme="majorHAnsi" w:hAnsiTheme="majorHAnsi" w:cstheme="majorHAnsi"/>
        </w:rPr>
        <w:t xml:space="preserve">, (September 3, 1953). Available from </w:t>
      </w:r>
      <w:hyperlink r:id="rId13" w:history="1">
        <w:r w:rsidRPr="00DE41C5">
          <w:rPr>
            <w:rStyle w:val="Hyperlink"/>
            <w:rFonts w:asciiTheme="majorHAnsi" w:hAnsiTheme="majorHAnsi" w:cstheme="majorHAnsi"/>
          </w:rPr>
          <w:t>https://www.echr.coe.int/Documents/Convention_ENG.pdf</w:t>
        </w:r>
      </w:hyperlink>
      <w:r w:rsidRPr="00DE41C5">
        <w:rPr>
          <w:rFonts w:asciiTheme="majorHAnsi" w:hAnsiTheme="majorHAnsi" w:cstheme="majorHAnsi"/>
        </w:rPr>
        <w:t>.</w:t>
      </w:r>
    </w:p>
  </w:footnote>
  <w:footnote w:id="14">
    <w:p w14:paraId="00924B11" w14:textId="652B9F77" w:rsidR="00615D5D" w:rsidRPr="00DE41C5" w:rsidRDefault="00615D5D"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A/HRC/20/27, p 9, para 31.</w:t>
      </w:r>
    </w:p>
  </w:footnote>
  <w:footnote w:id="15">
    <w:p w14:paraId="4FA9EF4A" w14:textId="249FA5B9" w:rsidR="00615D5D" w:rsidRPr="00DE41C5" w:rsidRDefault="00615D5D" w:rsidP="009E6244">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Viktor </w:t>
      </w:r>
      <w:proofErr w:type="spellStart"/>
      <w:r w:rsidRPr="00DE41C5">
        <w:rPr>
          <w:rFonts w:asciiTheme="majorHAnsi" w:hAnsiTheme="majorHAnsi" w:cstheme="majorHAnsi"/>
        </w:rPr>
        <w:t>Korneenko</w:t>
      </w:r>
      <w:proofErr w:type="spellEnd"/>
      <w:r w:rsidRPr="00DE41C5">
        <w:rPr>
          <w:rFonts w:asciiTheme="majorHAnsi" w:hAnsiTheme="majorHAnsi" w:cstheme="majorHAnsi"/>
        </w:rPr>
        <w:t xml:space="preserve"> et al. v. Belarus, CCPR/C/88/D/1274/2004 (November 10, 2006). Available from </w:t>
      </w:r>
      <w:hyperlink r:id="rId14" w:history="1">
        <w:r w:rsidRPr="00DE41C5">
          <w:rPr>
            <w:rStyle w:val="Hyperlink"/>
            <w:rFonts w:asciiTheme="majorHAnsi" w:hAnsiTheme="majorHAnsi" w:cstheme="majorHAnsi"/>
          </w:rPr>
          <w:t>http://hrlibrary.umn.edu/undocs/1274-2004.html</w:t>
        </w:r>
      </w:hyperlink>
      <w:r w:rsidRPr="00DE41C5">
        <w:rPr>
          <w:rStyle w:val="Hyperlink"/>
          <w:rFonts w:asciiTheme="majorHAnsi" w:hAnsiTheme="majorHAnsi" w:cstheme="majorHAnsi"/>
        </w:rPr>
        <w:t>.</w:t>
      </w:r>
    </w:p>
  </w:footnote>
  <w:footnote w:id="16">
    <w:p w14:paraId="454DC149" w14:textId="43C1FCE9"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A/HRC/RES/27/31.</w:t>
      </w:r>
    </w:p>
  </w:footnote>
  <w:footnote w:id="17">
    <w:p w14:paraId="52FCF61E" w14:textId="30DFFE79" w:rsidR="00615D5D" w:rsidRPr="00DE41C5" w:rsidRDefault="00615D5D" w:rsidP="00127E06">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 xml:space="preserve">Declaration on the Elimination of All Forms of Intolerance and of Discrimination Based on Religion or Belief, </w:t>
      </w:r>
      <w:r w:rsidRPr="00DE41C5">
        <w:rPr>
          <w:rFonts w:asciiTheme="majorHAnsi" w:hAnsiTheme="majorHAnsi" w:cstheme="majorHAnsi"/>
        </w:rPr>
        <w:t xml:space="preserve">A/RES/36/55 (November 25, 1981). Available from </w:t>
      </w:r>
      <w:hyperlink r:id="rId15" w:history="1">
        <w:r w:rsidRPr="00DE41C5">
          <w:rPr>
            <w:rStyle w:val="Hyperlink"/>
            <w:rFonts w:asciiTheme="majorHAnsi" w:hAnsiTheme="majorHAnsi" w:cstheme="majorHAnsi"/>
          </w:rPr>
          <w:t>Declaration on the Elimination of All Forms of Intolerance and of Discrimination Based on Religion or Belief</w:t>
        </w:r>
      </w:hyperlink>
      <w:r w:rsidRPr="00DE41C5">
        <w:rPr>
          <w:rStyle w:val="Hyperlink"/>
          <w:rFonts w:asciiTheme="majorHAnsi" w:hAnsiTheme="majorHAnsi" w:cstheme="majorHAnsi"/>
        </w:rPr>
        <w:t>.</w:t>
      </w:r>
    </w:p>
  </w:footnote>
  <w:footnote w:id="18">
    <w:p w14:paraId="4D7ACC9E" w14:textId="27543EB5"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A/HRC/23/39 Article 6. </w:t>
      </w:r>
      <w:proofErr w:type="gramStart"/>
      <w:r w:rsidRPr="00DE41C5">
        <w:rPr>
          <w:rFonts w:asciiTheme="majorHAnsi" w:hAnsiTheme="majorHAnsi" w:cstheme="majorHAnsi"/>
        </w:rPr>
        <w:t>para</w:t>
      </w:r>
      <w:proofErr w:type="gramEnd"/>
      <w:r w:rsidRPr="00DE41C5">
        <w:rPr>
          <w:rFonts w:asciiTheme="majorHAnsi" w:hAnsiTheme="majorHAnsi" w:cstheme="majorHAnsi"/>
        </w:rPr>
        <w:t xml:space="preserve"> 8.</w:t>
      </w:r>
    </w:p>
  </w:footnote>
  <w:footnote w:id="19">
    <w:p w14:paraId="7B089C91" w14:textId="5E58FF4A" w:rsidR="00615D5D" w:rsidRPr="00DE41C5" w:rsidRDefault="00615D5D" w:rsidP="004F7C8C">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w:t>
      </w:r>
      <w:r w:rsidRPr="00DE41C5">
        <w:rPr>
          <w:rFonts w:asciiTheme="majorHAnsi" w:hAnsiTheme="majorHAnsi" w:cstheme="majorHAnsi"/>
          <w:i/>
        </w:rPr>
        <w:t>Concluding Observations of the Human Rights Committee: Egypt</w:t>
      </w:r>
      <w:r w:rsidRPr="00DE41C5">
        <w:rPr>
          <w:rFonts w:asciiTheme="majorHAnsi" w:hAnsiTheme="majorHAnsi" w:cstheme="majorHAnsi"/>
        </w:rPr>
        <w:t xml:space="preserve">, CCPR/CO/76/EGY, para. </w:t>
      </w:r>
      <w:proofErr w:type="gramStart"/>
      <w:r w:rsidRPr="00DE41C5">
        <w:rPr>
          <w:rFonts w:asciiTheme="majorHAnsi" w:hAnsiTheme="majorHAnsi" w:cstheme="majorHAnsi"/>
        </w:rPr>
        <w:t>21</w:t>
      </w:r>
      <w:proofErr w:type="gramEnd"/>
      <w:r w:rsidRPr="00DE41C5">
        <w:rPr>
          <w:rFonts w:asciiTheme="majorHAnsi" w:hAnsiTheme="majorHAnsi" w:cstheme="majorHAnsi"/>
        </w:rPr>
        <w:t xml:space="preserve"> (November 28, 2002). Available from </w:t>
      </w:r>
      <w:hyperlink r:id="rId16" w:history="1">
        <w:r w:rsidRPr="00DE41C5">
          <w:rPr>
            <w:rStyle w:val="Hyperlink"/>
            <w:rFonts w:asciiTheme="majorHAnsi" w:hAnsiTheme="majorHAnsi" w:cstheme="majorHAnsi"/>
          </w:rPr>
          <w:t>https://undocs.org/en/CCPR/CO/76/EGY</w:t>
        </w:r>
      </w:hyperlink>
      <w:r w:rsidRPr="00DE41C5">
        <w:rPr>
          <w:rStyle w:val="Hyperlink"/>
          <w:rFonts w:asciiTheme="majorHAnsi" w:hAnsiTheme="majorHAnsi" w:cstheme="majorHAnsi"/>
        </w:rPr>
        <w:t>.</w:t>
      </w:r>
    </w:p>
  </w:footnote>
  <w:footnote w:id="20">
    <w:p w14:paraId="146B5858" w14:textId="70A66147" w:rsidR="00615D5D" w:rsidRPr="00DE41C5" w:rsidRDefault="00615D5D" w:rsidP="00A025BF">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Council of Europe, </w:t>
      </w:r>
      <w:r w:rsidRPr="00DE41C5">
        <w:rPr>
          <w:rFonts w:asciiTheme="majorHAnsi" w:hAnsiTheme="majorHAnsi" w:cstheme="majorHAnsi"/>
          <w:i/>
        </w:rPr>
        <w:t xml:space="preserve">Recommendation CM/Rec (2007) 14 of the Committee of Ministers to Member States on the Legal Status of Non-Governmental </w:t>
      </w:r>
      <w:proofErr w:type="spellStart"/>
      <w:r w:rsidRPr="00DE41C5">
        <w:rPr>
          <w:rFonts w:asciiTheme="majorHAnsi" w:hAnsiTheme="majorHAnsi" w:cstheme="majorHAnsi"/>
          <w:i/>
        </w:rPr>
        <w:t>Organisations</w:t>
      </w:r>
      <w:proofErr w:type="spellEnd"/>
      <w:r w:rsidRPr="00DE41C5">
        <w:rPr>
          <w:rFonts w:asciiTheme="majorHAnsi" w:hAnsiTheme="majorHAnsi" w:cstheme="majorHAnsi"/>
          <w:i/>
        </w:rPr>
        <w:t xml:space="preserve"> in Europe</w:t>
      </w:r>
      <w:r w:rsidRPr="00DE41C5">
        <w:rPr>
          <w:rFonts w:asciiTheme="majorHAnsi" w:hAnsiTheme="majorHAnsi" w:cstheme="majorHAnsi"/>
        </w:rPr>
        <w:t xml:space="preserve">, para 14 (10 October 2007). Available from </w:t>
      </w:r>
      <w:hyperlink r:id="rId17" w:history="1">
        <w:r w:rsidRPr="00DE41C5">
          <w:rPr>
            <w:rStyle w:val="Hyperlink"/>
            <w:rFonts w:asciiTheme="majorHAnsi" w:hAnsiTheme="majorHAnsi" w:cstheme="majorHAnsi"/>
          </w:rPr>
          <w:t>https://www.osce.org/odihr/33742?download=true</w:t>
        </w:r>
      </w:hyperlink>
      <w:r w:rsidRPr="00DE41C5">
        <w:rPr>
          <w:rStyle w:val="Hyperlink"/>
          <w:rFonts w:asciiTheme="majorHAnsi" w:hAnsiTheme="majorHAnsi" w:cstheme="majorHAnsi"/>
        </w:rPr>
        <w:t>.</w:t>
      </w:r>
    </w:p>
  </w:footnote>
  <w:footnote w:id="21">
    <w:p w14:paraId="7528F092" w14:textId="5BE166C8"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Council of Europe, </w:t>
      </w:r>
      <w:r w:rsidRPr="00DE41C5">
        <w:rPr>
          <w:rFonts w:asciiTheme="majorHAnsi" w:hAnsiTheme="majorHAnsi" w:cstheme="majorHAnsi"/>
          <w:i/>
        </w:rPr>
        <w:t xml:space="preserve">Legal Status of Non-Governmental </w:t>
      </w:r>
      <w:proofErr w:type="spellStart"/>
      <w:r w:rsidRPr="00DE41C5">
        <w:rPr>
          <w:rFonts w:asciiTheme="majorHAnsi" w:hAnsiTheme="majorHAnsi" w:cstheme="majorHAnsi"/>
          <w:i/>
        </w:rPr>
        <w:t>Organisations</w:t>
      </w:r>
      <w:proofErr w:type="spellEnd"/>
      <w:r w:rsidRPr="00DE41C5">
        <w:rPr>
          <w:rFonts w:asciiTheme="majorHAnsi" w:hAnsiTheme="majorHAnsi" w:cstheme="majorHAnsi"/>
          <w:i/>
        </w:rPr>
        <w:t xml:space="preserve"> in Europe Recommendation CM/</w:t>
      </w:r>
      <w:proofErr w:type="gramStart"/>
      <w:r w:rsidRPr="00DE41C5">
        <w:rPr>
          <w:rFonts w:asciiTheme="majorHAnsi" w:hAnsiTheme="majorHAnsi" w:cstheme="majorHAnsi"/>
          <w:i/>
        </w:rPr>
        <w:t>RC(</w:t>
      </w:r>
      <w:proofErr w:type="gramEnd"/>
      <w:r w:rsidRPr="00DE41C5">
        <w:rPr>
          <w:rFonts w:asciiTheme="majorHAnsi" w:hAnsiTheme="majorHAnsi" w:cstheme="majorHAnsi"/>
          <w:i/>
        </w:rPr>
        <w:t>2007)14 and Explanatory Memorandum</w:t>
      </w:r>
      <w:r w:rsidRPr="00DE41C5">
        <w:rPr>
          <w:rFonts w:asciiTheme="majorHAnsi" w:hAnsiTheme="majorHAnsi" w:cstheme="majorHAnsi"/>
        </w:rPr>
        <w:t xml:space="preserve">, para 50 (December 2008). Available from </w:t>
      </w:r>
      <w:hyperlink r:id="rId18" w:history="1">
        <w:r w:rsidRPr="00DE41C5">
          <w:rPr>
            <w:rStyle w:val="Hyperlink"/>
            <w:rFonts w:asciiTheme="majorHAnsi" w:hAnsiTheme="majorHAnsi" w:cstheme="majorHAnsi"/>
          </w:rPr>
          <w:t>https://rm.coe.int/16807096b7</w:t>
        </w:r>
      </w:hyperlink>
      <w:r w:rsidRPr="00DE41C5">
        <w:rPr>
          <w:rFonts w:asciiTheme="majorHAnsi" w:hAnsiTheme="majorHAnsi" w:cstheme="majorHAnsi"/>
        </w:rPr>
        <w:t>.</w:t>
      </w:r>
    </w:p>
  </w:footnote>
  <w:footnote w:id="22">
    <w:p w14:paraId="3EA2119E" w14:textId="3EFC3DE9" w:rsidR="00615D5D" w:rsidRPr="00DE41C5" w:rsidRDefault="00615D5D" w:rsidP="00F656AA">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Inter-American Commission on Human Rights, </w:t>
      </w:r>
      <w:r w:rsidRPr="00DE41C5">
        <w:rPr>
          <w:rFonts w:asciiTheme="majorHAnsi" w:hAnsiTheme="majorHAnsi" w:cstheme="majorHAnsi"/>
          <w:i/>
        </w:rPr>
        <w:t>Democracy and Human Rights in Venezuela</w:t>
      </w:r>
      <w:r w:rsidRPr="00DE41C5">
        <w:rPr>
          <w:rFonts w:asciiTheme="majorHAnsi" w:hAnsiTheme="majorHAnsi" w:cstheme="majorHAnsi"/>
        </w:rPr>
        <w:t>, OEA/</w:t>
      </w:r>
      <w:proofErr w:type="spellStart"/>
      <w:r w:rsidRPr="00DE41C5">
        <w:rPr>
          <w:rFonts w:asciiTheme="majorHAnsi" w:hAnsiTheme="majorHAnsi" w:cstheme="majorHAnsi"/>
        </w:rPr>
        <w:t>Ser.L</w:t>
      </w:r>
      <w:proofErr w:type="spellEnd"/>
      <w:r w:rsidRPr="00DE41C5">
        <w:rPr>
          <w:rFonts w:asciiTheme="majorHAnsi" w:hAnsiTheme="majorHAnsi" w:cstheme="majorHAnsi"/>
        </w:rPr>
        <w:t xml:space="preserve">/V/II., Doc. 54 para. </w:t>
      </w:r>
      <w:proofErr w:type="gramStart"/>
      <w:r w:rsidRPr="00DE41C5">
        <w:rPr>
          <w:rFonts w:asciiTheme="majorHAnsi" w:hAnsiTheme="majorHAnsi" w:cstheme="majorHAnsi"/>
        </w:rPr>
        <w:t>585</w:t>
      </w:r>
      <w:proofErr w:type="gramEnd"/>
      <w:r w:rsidRPr="00DE41C5">
        <w:rPr>
          <w:rFonts w:asciiTheme="majorHAnsi" w:hAnsiTheme="majorHAnsi" w:cstheme="majorHAnsi"/>
        </w:rPr>
        <w:t xml:space="preserve">, (December 30, 2009). Available from </w:t>
      </w:r>
      <w:hyperlink r:id="rId19" w:history="1">
        <w:r w:rsidRPr="00DE41C5">
          <w:rPr>
            <w:rStyle w:val="Hyperlink"/>
            <w:rFonts w:asciiTheme="majorHAnsi" w:hAnsiTheme="majorHAnsi" w:cstheme="majorHAnsi"/>
          </w:rPr>
          <w:t>http://www.cidh.org/countryrep/Venezuela2009eng/VE09.TOC.eng.htm</w:t>
        </w:r>
      </w:hyperlink>
      <w:r w:rsidRPr="00DE41C5">
        <w:rPr>
          <w:rFonts w:asciiTheme="majorHAnsi" w:hAnsiTheme="majorHAnsi" w:cstheme="majorHAnsi"/>
        </w:rPr>
        <w:t>.</w:t>
      </w:r>
    </w:p>
  </w:footnote>
  <w:footnote w:id="23">
    <w:p w14:paraId="6A8AA88C" w14:textId="3975D007"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Inter-American Commission on Human Rights</w:t>
      </w:r>
      <w:r w:rsidRPr="00DE41C5">
        <w:rPr>
          <w:rFonts w:asciiTheme="majorHAnsi" w:hAnsiTheme="majorHAnsi" w:cstheme="majorHAnsi"/>
          <w:i/>
        </w:rPr>
        <w:t>, Second Report on the Situation of Human Rights Defenders in the Americas,</w:t>
      </w:r>
      <w:r w:rsidRPr="00DE41C5">
        <w:rPr>
          <w:rFonts w:asciiTheme="majorHAnsi" w:hAnsiTheme="majorHAnsi" w:cstheme="majorHAnsi"/>
        </w:rPr>
        <w:t xml:space="preserve"> OEA/</w:t>
      </w:r>
      <w:proofErr w:type="spellStart"/>
      <w:r w:rsidRPr="00DE41C5">
        <w:rPr>
          <w:rFonts w:asciiTheme="majorHAnsi" w:hAnsiTheme="majorHAnsi" w:cstheme="majorHAnsi"/>
        </w:rPr>
        <w:t>Ser.L</w:t>
      </w:r>
      <w:proofErr w:type="spellEnd"/>
      <w:r w:rsidRPr="00DE41C5">
        <w:rPr>
          <w:rFonts w:asciiTheme="majorHAnsi" w:hAnsiTheme="majorHAnsi" w:cstheme="majorHAnsi"/>
        </w:rPr>
        <w:t xml:space="preserve">/V/II., Doc. 66, para 179 (December 31, 2011). Available from </w:t>
      </w:r>
      <w:hyperlink r:id="rId20" w:history="1">
        <w:r w:rsidRPr="00DE41C5">
          <w:rPr>
            <w:rStyle w:val="Hyperlink"/>
            <w:rFonts w:asciiTheme="majorHAnsi" w:hAnsiTheme="majorHAnsi" w:cstheme="majorHAnsi"/>
          </w:rPr>
          <w:t>https://www.oas.org/en/iachr/defenders/docs/pdf/defenders2011.pdf</w:t>
        </w:r>
      </w:hyperlink>
      <w:r w:rsidRPr="00DE41C5">
        <w:rPr>
          <w:rFonts w:asciiTheme="majorHAnsi" w:hAnsiTheme="majorHAnsi" w:cstheme="majorHAnsi"/>
        </w:rPr>
        <w:t xml:space="preserve"> .</w:t>
      </w:r>
    </w:p>
  </w:footnote>
  <w:footnote w:id="24">
    <w:p w14:paraId="6470EE01" w14:textId="398FF41A" w:rsidR="00615D5D" w:rsidRPr="00DE41C5" w:rsidRDefault="00615D5D" w:rsidP="009B1820">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w:t>
      </w:r>
      <w:r w:rsidRPr="00DE41C5">
        <w:rPr>
          <w:rFonts w:asciiTheme="majorHAnsi" w:hAnsiTheme="majorHAnsi" w:cstheme="majorHAnsi"/>
          <w:i/>
        </w:rPr>
        <w:t>Concluding Observations of the Human Rights Committee: Ethiopia</w:t>
      </w:r>
      <w:r w:rsidRPr="00DE41C5">
        <w:rPr>
          <w:rFonts w:asciiTheme="majorHAnsi" w:hAnsiTheme="majorHAnsi" w:cstheme="majorHAnsi"/>
        </w:rPr>
        <w:t xml:space="preserve">, CCPR/C/ETH/CO, para. </w:t>
      </w:r>
      <w:proofErr w:type="gramStart"/>
      <w:r w:rsidRPr="00DE41C5">
        <w:rPr>
          <w:rFonts w:asciiTheme="majorHAnsi" w:hAnsiTheme="majorHAnsi" w:cstheme="majorHAnsi"/>
        </w:rPr>
        <w:t>25</w:t>
      </w:r>
      <w:proofErr w:type="gramEnd"/>
      <w:r w:rsidRPr="00DE41C5">
        <w:rPr>
          <w:rFonts w:asciiTheme="majorHAnsi" w:hAnsiTheme="majorHAnsi" w:cstheme="majorHAnsi"/>
        </w:rPr>
        <w:t xml:space="preserve"> (August 19, 2011). Available from </w:t>
      </w:r>
      <w:hyperlink r:id="rId21" w:history="1">
        <w:r w:rsidRPr="00DE41C5">
          <w:rPr>
            <w:rStyle w:val="Hyperlink"/>
            <w:rFonts w:asciiTheme="majorHAnsi" w:hAnsiTheme="majorHAnsi" w:cstheme="majorHAnsi"/>
          </w:rPr>
          <w:t>https://undocs.org/CCPR/C/ETH/CO/1</w:t>
        </w:r>
      </w:hyperlink>
      <w:r w:rsidRPr="00DE41C5">
        <w:rPr>
          <w:rFonts w:asciiTheme="majorHAnsi" w:hAnsiTheme="majorHAnsi" w:cstheme="majorHAnsi"/>
        </w:rPr>
        <w:t>.</w:t>
      </w:r>
    </w:p>
  </w:footnote>
  <w:footnote w:id="25">
    <w:p w14:paraId="5B6792D3" w14:textId="071AB5DA"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African Commission on Human and Peoples’ Rights, </w:t>
      </w:r>
      <w:r w:rsidRPr="00DE41C5">
        <w:rPr>
          <w:rFonts w:asciiTheme="majorHAnsi" w:hAnsiTheme="majorHAnsi" w:cstheme="majorHAnsi"/>
          <w:i/>
        </w:rPr>
        <w:t>Resolution on Human Rights Abuses in Egypt</w:t>
      </w:r>
      <w:r w:rsidRPr="00DE41C5">
        <w:rPr>
          <w:rFonts w:asciiTheme="majorHAnsi" w:hAnsiTheme="majorHAnsi" w:cstheme="majorHAnsi"/>
        </w:rPr>
        <w:t xml:space="preserve">, Doc. 287 (July 29, 2014). Available from </w:t>
      </w:r>
      <w:hyperlink r:id="rId22" w:history="1">
        <w:r w:rsidRPr="00DE41C5">
          <w:rPr>
            <w:rStyle w:val="Hyperlink"/>
            <w:rFonts w:asciiTheme="majorHAnsi" w:hAnsiTheme="majorHAnsi" w:cstheme="majorHAnsi"/>
          </w:rPr>
          <w:t>http://www.achpr.org/sessions/16th-eo/resolutions/287/</w:t>
        </w:r>
      </w:hyperlink>
      <w:r w:rsidRPr="00DE41C5">
        <w:rPr>
          <w:rFonts w:asciiTheme="majorHAnsi" w:hAnsiTheme="majorHAnsi" w:cstheme="majorHAnsi"/>
        </w:rPr>
        <w:t xml:space="preserve">. See also </w:t>
      </w:r>
      <w:r w:rsidRPr="00DE41C5">
        <w:rPr>
          <w:rFonts w:asciiTheme="majorHAnsi" w:hAnsiTheme="majorHAnsi" w:cstheme="majorHAnsi"/>
          <w:i/>
        </w:rPr>
        <w:t>Resolution on the Human Rights Situation in the Democratic Republic of Ethiopia</w:t>
      </w:r>
      <w:r w:rsidRPr="00DE41C5">
        <w:rPr>
          <w:rFonts w:asciiTheme="majorHAnsi" w:hAnsiTheme="majorHAnsi" w:cstheme="majorHAnsi"/>
        </w:rPr>
        <w:t xml:space="preserve">, Doc. 218 (May 2, 2012). Available from </w:t>
      </w:r>
      <w:hyperlink r:id="rId23" w:history="1">
        <w:r w:rsidRPr="00DE41C5">
          <w:rPr>
            <w:rStyle w:val="Hyperlink"/>
            <w:rFonts w:asciiTheme="majorHAnsi" w:hAnsiTheme="majorHAnsi" w:cstheme="majorHAnsi"/>
          </w:rPr>
          <w:t>http://www.achpr.org/sessions/51st/resolutions/218/</w:t>
        </w:r>
      </w:hyperlink>
      <w:r w:rsidRPr="00DE41C5">
        <w:rPr>
          <w:rFonts w:asciiTheme="majorHAnsi" w:hAnsiTheme="majorHAnsi" w:cstheme="majorHAnsi"/>
        </w:rPr>
        <w:t>.</w:t>
      </w:r>
    </w:p>
  </w:footnote>
  <w:footnote w:id="26">
    <w:p w14:paraId="2F788929" w14:textId="53A2CFDD"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A/HRC/22/L.13.</w:t>
      </w:r>
    </w:p>
  </w:footnote>
  <w:footnote w:id="27">
    <w:p w14:paraId="3E32C1F0" w14:textId="4D6CAA9D" w:rsidR="00615D5D" w:rsidRPr="00DE41C5" w:rsidRDefault="00615D5D">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Organization for Security and Co-operation in Europe, Joint Guidelines on Freedom of Association (January 1, 2015). Available from </w:t>
      </w:r>
      <w:hyperlink r:id="rId24" w:history="1">
        <w:r w:rsidRPr="00DE41C5">
          <w:rPr>
            <w:rStyle w:val="Hyperlink"/>
            <w:rFonts w:asciiTheme="majorHAnsi" w:hAnsiTheme="majorHAnsi" w:cstheme="majorHAnsi"/>
          </w:rPr>
          <w:t>https://www.osce.org/odihr/132371</w:t>
        </w:r>
      </w:hyperlink>
      <w:r w:rsidRPr="00DE41C5">
        <w:rPr>
          <w:rFonts w:asciiTheme="majorHAnsi" w:hAnsiTheme="majorHAnsi" w:cstheme="majorHAnsi"/>
        </w:rPr>
        <w:t>.</w:t>
      </w:r>
    </w:p>
  </w:footnote>
  <w:footnote w:id="28">
    <w:p w14:paraId="3C46D813" w14:textId="223E560B" w:rsidR="00615D5D" w:rsidRPr="00DE41C5" w:rsidRDefault="00615D5D" w:rsidP="008720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African Commission on Human &amp; Peoples’ Rights, </w:t>
      </w:r>
      <w:r w:rsidRPr="00DE41C5">
        <w:rPr>
          <w:rFonts w:asciiTheme="majorHAnsi" w:hAnsiTheme="majorHAnsi" w:cstheme="majorHAnsi"/>
          <w:i/>
        </w:rPr>
        <w:t xml:space="preserve">Guidelines on Freedom of Association as Pertaining to Civil Society &amp; Guidelines on Peaceful Assembly, </w:t>
      </w:r>
      <w:r w:rsidRPr="00DE41C5">
        <w:rPr>
          <w:rFonts w:asciiTheme="majorHAnsi" w:hAnsiTheme="majorHAnsi" w:cstheme="majorHAnsi"/>
        </w:rPr>
        <w:t>section V. Available from https://www.movedemocracy.org/wp-</w:t>
      </w:r>
      <w:hyperlink r:id="rId25" w:history="1">
        <w:r w:rsidRPr="00DE41C5">
          <w:rPr>
            <w:rStyle w:val="Hyperlink"/>
            <w:rFonts w:asciiTheme="majorHAnsi" w:hAnsiTheme="majorHAnsi" w:cstheme="majorHAnsi"/>
          </w:rPr>
          <w:t>content/uploads/2018/06/guidelines_on_freedom_of_association_and_assembly_in_africa.pdf</w:t>
        </w:r>
      </w:hyperlink>
      <w:r w:rsidRPr="00DE41C5">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73C"/>
    <w:multiLevelType w:val="hybridMultilevel"/>
    <w:tmpl w:val="8C2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31F"/>
    <w:multiLevelType w:val="multilevel"/>
    <w:tmpl w:val="E782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B6D37"/>
    <w:multiLevelType w:val="hybridMultilevel"/>
    <w:tmpl w:val="55F8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1756C"/>
    <w:multiLevelType w:val="multilevel"/>
    <w:tmpl w:val="1BE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A7491"/>
    <w:multiLevelType w:val="hybridMultilevel"/>
    <w:tmpl w:val="45F2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E2B82"/>
    <w:multiLevelType w:val="hybridMultilevel"/>
    <w:tmpl w:val="B50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37F80"/>
    <w:multiLevelType w:val="hybridMultilevel"/>
    <w:tmpl w:val="341A5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470EF"/>
    <w:multiLevelType w:val="hybridMultilevel"/>
    <w:tmpl w:val="7E3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E5955"/>
    <w:multiLevelType w:val="hybridMultilevel"/>
    <w:tmpl w:val="D244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A6196"/>
    <w:multiLevelType w:val="hybridMultilevel"/>
    <w:tmpl w:val="2172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B1DD2"/>
    <w:multiLevelType w:val="hybridMultilevel"/>
    <w:tmpl w:val="8FEE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10"/>
  </w:num>
  <w:num w:numId="6">
    <w:abstractNumId w:val="5"/>
  </w:num>
  <w:num w:numId="7">
    <w:abstractNumId w:val="4"/>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8C"/>
    <w:rsid w:val="000579B6"/>
    <w:rsid w:val="0006166D"/>
    <w:rsid w:val="00061D04"/>
    <w:rsid w:val="00061EFB"/>
    <w:rsid w:val="00093163"/>
    <w:rsid w:val="000A54BB"/>
    <w:rsid w:val="000A6CD2"/>
    <w:rsid w:val="000B327C"/>
    <w:rsid w:val="000B6D93"/>
    <w:rsid w:val="000C2E54"/>
    <w:rsid w:val="000D3893"/>
    <w:rsid w:val="000D42D1"/>
    <w:rsid w:val="000E1ACB"/>
    <w:rsid w:val="000E20F9"/>
    <w:rsid w:val="000E63E7"/>
    <w:rsid w:val="001008D2"/>
    <w:rsid w:val="00112345"/>
    <w:rsid w:val="00127E06"/>
    <w:rsid w:val="00142DE3"/>
    <w:rsid w:val="001526FD"/>
    <w:rsid w:val="001A5D84"/>
    <w:rsid w:val="001C54EA"/>
    <w:rsid w:val="001D4EC8"/>
    <w:rsid w:val="001D5F91"/>
    <w:rsid w:val="001E3F00"/>
    <w:rsid w:val="00207895"/>
    <w:rsid w:val="00246875"/>
    <w:rsid w:val="00256A59"/>
    <w:rsid w:val="0025755C"/>
    <w:rsid w:val="00261B5C"/>
    <w:rsid w:val="00264AD8"/>
    <w:rsid w:val="002701F1"/>
    <w:rsid w:val="0027588A"/>
    <w:rsid w:val="00281FD9"/>
    <w:rsid w:val="002861B9"/>
    <w:rsid w:val="0029154C"/>
    <w:rsid w:val="002963F8"/>
    <w:rsid w:val="002A2F9A"/>
    <w:rsid w:val="002D62BD"/>
    <w:rsid w:val="002F57BB"/>
    <w:rsid w:val="003242F8"/>
    <w:rsid w:val="00336372"/>
    <w:rsid w:val="003503AF"/>
    <w:rsid w:val="00360285"/>
    <w:rsid w:val="003650D2"/>
    <w:rsid w:val="003842F3"/>
    <w:rsid w:val="003C0F2D"/>
    <w:rsid w:val="003C4708"/>
    <w:rsid w:val="003C4E7A"/>
    <w:rsid w:val="003C6AE8"/>
    <w:rsid w:val="003E03FB"/>
    <w:rsid w:val="003F4B66"/>
    <w:rsid w:val="003F5FF1"/>
    <w:rsid w:val="003F6E5A"/>
    <w:rsid w:val="0040371F"/>
    <w:rsid w:val="00410E71"/>
    <w:rsid w:val="0041186C"/>
    <w:rsid w:val="004139CC"/>
    <w:rsid w:val="00426AED"/>
    <w:rsid w:val="00427F3E"/>
    <w:rsid w:val="00462F63"/>
    <w:rsid w:val="00464E21"/>
    <w:rsid w:val="00483639"/>
    <w:rsid w:val="00491A15"/>
    <w:rsid w:val="0049511F"/>
    <w:rsid w:val="004C0BEC"/>
    <w:rsid w:val="004D3C0D"/>
    <w:rsid w:val="004E25C8"/>
    <w:rsid w:val="004E5B3D"/>
    <w:rsid w:val="004F341F"/>
    <w:rsid w:val="004F7C8C"/>
    <w:rsid w:val="005072EC"/>
    <w:rsid w:val="0055158E"/>
    <w:rsid w:val="00555B75"/>
    <w:rsid w:val="005672B2"/>
    <w:rsid w:val="005774CC"/>
    <w:rsid w:val="005903BF"/>
    <w:rsid w:val="005F3CDF"/>
    <w:rsid w:val="005F659E"/>
    <w:rsid w:val="00603B87"/>
    <w:rsid w:val="00603E35"/>
    <w:rsid w:val="00615D5D"/>
    <w:rsid w:val="00626427"/>
    <w:rsid w:val="0065077D"/>
    <w:rsid w:val="00652411"/>
    <w:rsid w:val="00655F47"/>
    <w:rsid w:val="00666435"/>
    <w:rsid w:val="00686904"/>
    <w:rsid w:val="006A7138"/>
    <w:rsid w:val="006D1FF2"/>
    <w:rsid w:val="006D4CA4"/>
    <w:rsid w:val="006E7576"/>
    <w:rsid w:val="0071473B"/>
    <w:rsid w:val="00732A7E"/>
    <w:rsid w:val="007415FB"/>
    <w:rsid w:val="00746380"/>
    <w:rsid w:val="00747F19"/>
    <w:rsid w:val="00756AAE"/>
    <w:rsid w:val="00774E73"/>
    <w:rsid w:val="00786558"/>
    <w:rsid w:val="007B4705"/>
    <w:rsid w:val="007C791E"/>
    <w:rsid w:val="007E0252"/>
    <w:rsid w:val="00805A33"/>
    <w:rsid w:val="00830516"/>
    <w:rsid w:val="00834DF6"/>
    <w:rsid w:val="00840865"/>
    <w:rsid w:val="00853A7F"/>
    <w:rsid w:val="00872093"/>
    <w:rsid w:val="00872099"/>
    <w:rsid w:val="00885960"/>
    <w:rsid w:val="008910F6"/>
    <w:rsid w:val="008975F3"/>
    <w:rsid w:val="008B7E17"/>
    <w:rsid w:val="008C39D4"/>
    <w:rsid w:val="008D5C6D"/>
    <w:rsid w:val="008F4CA8"/>
    <w:rsid w:val="00910757"/>
    <w:rsid w:val="0092166A"/>
    <w:rsid w:val="009216A6"/>
    <w:rsid w:val="00950ED5"/>
    <w:rsid w:val="0095403B"/>
    <w:rsid w:val="00963303"/>
    <w:rsid w:val="009915A5"/>
    <w:rsid w:val="009B1820"/>
    <w:rsid w:val="009B2166"/>
    <w:rsid w:val="009E54D7"/>
    <w:rsid w:val="009E5E62"/>
    <w:rsid w:val="009E6244"/>
    <w:rsid w:val="00A025BF"/>
    <w:rsid w:val="00A15E68"/>
    <w:rsid w:val="00A22475"/>
    <w:rsid w:val="00A3111C"/>
    <w:rsid w:val="00A56D9C"/>
    <w:rsid w:val="00A77CF2"/>
    <w:rsid w:val="00A920EB"/>
    <w:rsid w:val="00AA4387"/>
    <w:rsid w:val="00AB1382"/>
    <w:rsid w:val="00AB4DD9"/>
    <w:rsid w:val="00AC4D2E"/>
    <w:rsid w:val="00AD388C"/>
    <w:rsid w:val="00AE0FC4"/>
    <w:rsid w:val="00B05BC6"/>
    <w:rsid w:val="00B1577A"/>
    <w:rsid w:val="00B259D9"/>
    <w:rsid w:val="00B27063"/>
    <w:rsid w:val="00B54899"/>
    <w:rsid w:val="00B56DE8"/>
    <w:rsid w:val="00B70098"/>
    <w:rsid w:val="00B73C29"/>
    <w:rsid w:val="00B84012"/>
    <w:rsid w:val="00B9044F"/>
    <w:rsid w:val="00BA65DC"/>
    <w:rsid w:val="00BB2A1D"/>
    <w:rsid w:val="00BC67B4"/>
    <w:rsid w:val="00BE4277"/>
    <w:rsid w:val="00C0473D"/>
    <w:rsid w:val="00C24C4D"/>
    <w:rsid w:val="00C2786C"/>
    <w:rsid w:val="00C522D0"/>
    <w:rsid w:val="00C60746"/>
    <w:rsid w:val="00C82666"/>
    <w:rsid w:val="00D01E19"/>
    <w:rsid w:val="00D13D16"/>
    <w:rsid w:val="00D436E4"/>
    <w:rsid w:val="00D61410"/>
    <w:rsid w:val="00D77520"/>
    <w:rsid w:val="00D840FF"/>
    <w:rsid w:val="00D86314"/>
    <w:rsid w:val="00DB7148"/>
    <w:rsid w:val="00DD6712"/>
    <w:rsid w:val="00DD77C4"/>
    <w:rsid w:val="00DD7FC3"/>
    <w:rsid w:val="00DE41C5"/>
    <w:rsid w:val="00DE756E"/>
    <w:rsid w:val="00E074BA"/>
    <w:rsid w:val="00E35966"/>
    <w:rsid w:val="00E42275"/>
    <w:rsid w:val="00E427DE"/>
    <w:rsid w:val="00E43CB6"/>
    <w:rsid w:val="00E4756C"/>
    <w:rsid w:val="00E55A4E"/>
    <w:rsid w:val="00E56261"/>
    <w:rsid w:val="00E56D2E"/>
    <w:rsid w:val="00E76CEF"/>
    <w:rsid w:val="00E93E6E"/>
    <w:rsid w:val="00EC54D4"/>
    <w:rsid w:val="00ED1978"/>
    <w:rsid w:val="00ED5B9E"/>
    <w:rsid w:val="00EF7C53"/>
    <w:rsid w:val="00F0730C"/>
    <w:rsid w:val="00F43E92"/>
    <w:rsid w:val="00F60524"/>
    <w:rsid w:val="00F6400E"/>
    <w:rsid w:val="00F656AA"/>
    <w:rsid w:val="00F722BF"/>
    <w:rsid w:val="00FA68DA"/>
    <w:rsid w:val="00FB05BD"/>
    <w:rsid w:val="00FC1D61"/>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8E54"/>
  <w15:chartTrackingRefBased/>
  <w15:docId w15:val="{A1E3BF48-3396-43D7-A73B-5F84288E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B87"/>
    <w:pPr>
      <w:ind w:left="720"/>
      <w:contextualSpacing/>
    </w:pPr>
  </w:style>
  <w:style w:type="character" w:styleId="Hyperlink">
    <w:name w:val="Hyperlink"/>
    <w:basedOn w:val="DefaultParagraphFont"/>
    <w:uiPriority w:val="99"/>
    <w:unhideWhenUsed/>
    <w:rsid w:val="00D13D16"/>
    <w:rPr>
      <w:color w:val="0563C1" w:themeColor="hyperlink"/>
      <w:u w:val="single"/>
    </w:rPr>
  </w:style>
  <w:style w:type="paragraph" w:styleId="BalloonText">
    <w:name w:val="Balloon Text"/>
    <w:basedOn w:val="Normal"/>
    <w:link w:val="BalloonTextChar"/>
    <w:uiPriority w:val="99"/>
    <w:semiHidden/>
    <w:unhideWhenUsed/>
    <w:rsid w:val="00BE4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77"/>
    <w:rPr>
      <w:rFonts w:ascii="Segoe UI" w:hAnsi="Segoe UI" w:cs="Segoe UI"/>
      <w:sz w:val="18"/>
      <w:szCs w:val="18"/>
    </w:rPr>
  </w:style>
  <w:style w:type="paragraph" w:styleId="FootnoteText">
    <w:name w:val="footnote text"/>
    <w:basedOn w:val="Normal"/>
    <w:link w:val="FootnoteTextChar"/>
    <w:uiPriority w:val="99"/>
    <w:unhideWhenUsed/>
    <w:rsid w:val="007C791E"/>
    <w:rPr>
      <w:sz w:val="20"/>
      <w:szCs w:val="20"/>
    </w:rPr>
  </w:style>
  <w:style w:type="character" w:customStyle="1" w:styleId="FootnoteTextChar">
    <w:name w:val="Footnote Text Char"/>
    <w:basedOn w:val="DefaultParagraphFont"/>
    <w:link w:val="FootnoteText"/>
    <w:uiPriority w:val="99"/>
    <w:rsid w:val="007C791E"/>
    <w:rPr>
      <w:rFonts w:ascii="Times New Roman" w:hAnsi="Times New Roman" w:cs="Times New Roman"/>
      <w:sz w:val="20"/>
      <w:szCs w:val="20"/>
    </w:rPr>
  </w:style>
  <w:style w:type="character" w:styleId="FootnoteReference">
    <w:name w:val="footnote reference"/>
    <w:basedOn w:val="DefaultParagraphFont"/>
    <w:uiPriority w:val="99"/>
    <w:unhideWhenUsed/>
    <w:rsid w:val="007C791E"/>
    <w:rPr>
      <w:vertAlign w:val="superscript"/>
    </w:rPr>
  </w:style>
  <w:style w:type="paragraph" w:styleId="EndnoteText">
    <w:name w:val="endnote text"/>
    <w:basedOn w:val="Normal"/>
    <w:link w:val="EndnoteTextChar"/>
    <w:uiPriority w:val="99"/>
    <w:semiHidden/>
    <w:unhideWhenUsed/>
    <w:rsid w:val="00D77520"/>
    <w:rPr>
      <w:sz w:val="20"/>
      <w:szCs w:val="20"/>
    </w:rPr>
  </w:style>
  <w:style w:type="character" w:customStyle="1" w:styleId="EndnoteTextChar">
    <w:name w:val="Endnote Text Char"/>
    <w:basedOn w:val="DefaultParagraphFont"/>
    <w:link w:val="EndnoteText"/>
    <w:uiPriority w:val="99"/>
    <w:semiHidden/>
    <w:rsid w:val="00D7752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77520"/>
    <w:rPr>
      <w:vertAlign w:val="superscript"/>
    </w:rPr>
  </w:style>
  <w:style w:type="character" w:styleId="FollowedHyperlink">
    <w:name w:val="FollowedHyperlink"/>
    <w:basedOn w:val="DefaultParagraphFont"/>
    <w:uiPriority w:val="99"/>
    <w:semiHidden/>
    <w:unhideWhenUsed/>
    <w:rsid w:val="00E074BA"/>
    <w:rPr>
      <w:color w:val="954F72" w:themeColor="followedHyperlink"/>
      <w:u w:val="single"/>
    </w:rPr>
  </w:style>
  <w:style w:type="character" w:styleId="CommentReference">
    <w:name w:val="annotation reference"/>
    <w:basedOn w:val="DefaultParagraphFont"/>
    <w:uiPriority w:val="99"/>
    <w:semiHidden/>
    <w:unhideWhenUsed/>
    <w:rsid w:val="005F659E"/>
    <w:rPr>
      <w:sz w:val="16"/>
      <w:szCs w:val="16"/>
    </w:rPr>
  </w:style>
  <w:style w:type="paragraph" w:styleId="CommentText">
    <w:name w:val="annotation text"/>
    <w:basedOn w:val="Normal"/>
    <w:link w:val="CommentTextChar"/>
    <w:uiPriority w:val="99"/>
    <w:semiHidden/>
    <w:unhideWhenUsed/>
    <w:rsid w:val="005F659E"/>
    <w:rPr>
      <w:sz w:val="20"/>
      <w:szCs w:val="20"/>
    </w:rPr>
  </w:style>
  <w:style w:type="character" w:customStyle="1" w:styleId="CommentTextChar">
    <w:name w:val="Comment Text Char"/>
    <w:basedOn w:val="DefaultParagraphFont"/>
    <w:link w:val="CommentText"/>
    <w:uiPriority w:val="99"/>
    <w:semiHidden/>
    <w:rsid w:val="005F65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59E"/>
    <w:rPr>
      <w:b/>
      <w:bCs/>
    </w:rPr>
  </w:style>
  <w:style w:type="character" w:customStyle="1" w:styleId="CommentSubjectChar">
    <w:name w:val="Comment Subject Char"/>
    <w:basedOn w:val="CommentTextChar"/>
    <w:link w:val="CommentSubject"/>
    <w:uiPriority w:val="99"/>
    <w:semiHidden/>
    <w:rsid w:val="005F659E"/>
    <w:rPr>
      <w:rFonts w:ascii="Times New Roman" w:hAnsi="Times New Roman" w:cs="Times New Roman"/>
      <w:b/>
      <w:bCs/>
      <w:sz w:val="20"/>
      <w:szCs w:val="20"/>
    </w:rPr>
  </w:style>
  <w:style w:type="paragraph" w:styleId="Header">
    <w:name w:val="header"/>
    <w:basedOn w:val="Normal"/>
    <w:link w:val="HeaderChar"/>
    <w:uiPriority w:val="99"/>
    <w:unhideWhenUsed/>
    <w:rsid w:val="00830516"/>
    <w:pPr>
      <w:tabs>
        <w:tab w:val="center" w:pos="4680"/>
        <w:tab w:val="right" w:pos="9360"/>
      </w:tabs>
    </w:pPr>
  </w:style>
  <w:style w:type="character" w:customStyle="1" w:styleId="HeaderChar">
    <w:name w:val="Header Char"/>
    <w:basedOn w:val="DefaultParagraphFont"/>
    <w:link w:val="Header"/>
    <w:uiPriority w:val="99"/>
    <w:rsid w:val="00830516"/>
    <w:rPr>
      <w:rFonts w:ascii="Times New Roman" w:hAnsi="Times New Roman" w:cs="Times New Roman"/>
      <w:sz w:val="24"/>
      <w:szCs w:val="24"/>
    </w:rPr>
  </w:style>
  <w:style w:type="paragraph" w:styleId="Footer">
    <w:name w:val="footer"/>
    <w:basedOn w:val="Normal"/>
    <w:link w:val="FooterChar"/>
    <w:uiPriority w:val="99"/>
    <w:unhideWhenUsed/>
    <w:rsid w:val="00830516"/>
    <w:pPr>
      <w:tabs>
        <w:tab w:val="center" w:pos="4680"/>
        <w:tab w:val="right" w:pos="9360"/>
      </w:tabs>
    </w:pPr>
  </w:style>
  <w:style w:type="character" w:customStyle="1" w:styleId="FooterChar">
    <w:name w:val="Footer Char"/>
    <w:basedOn w:val="DefaultParagraphFont"/>
    <w:link w:val="Footer"/>
    <w:uiPriority w:val="99"/>
    <w:rsid w:val="00830516"/>
    <w:rPr>
      <w:rFonts w:ascii="Times New Roman" w:hAnsi="Times New Roman" w:cs="Times New Roman"/>
      <w:sz w:val="24"/>
      <w:szCs w:val="24"/>
    </w:rPr>
  </w:style>
  <w:style w:type="paragraph" w:styleId="NormalWeb">
    <w:name w:val="Normal (Web)"/>
    <w:basedOn w:val="Normal"/>
    <w:uiPriority w:val="99"/>
    <w:semiHidden/>
    <w:unhideWhenUsed/>
    <w:rsid w:val="001008D2"/>
    <w:pPr>
      <w:spacing w:before="100" w:beforeAutospacing="1" w:after="100" w:afterAutospacing="1"/>
    </w:pPr>
    <w:rPr>
      <w:rFonts w:eastAsia="Times New Roman"/>
    </w:rPr>
  </w:style>
  <w:style w:type="character" w:styleId="Strong">
    <w:name w:val="Strong"/>
    <w:basedOn w:val="DefaultParagraphFont"/>
    <w:uiPriority w:val="22"/>
    <w:qFormat/>
    <w:rsid w:val="001008D2"/>
    <w:rPr>
      <w:b/>
      <w:bCs/>
    </w:rPr>
  </w:style>
  <w:style w:type="character" w:customStyle="1" w:styleId="UnresolvedMention">
    <w:name w:val="Unresolved Mention"/>
    <w:basedOn w:val="DefaultParagraphFont"/>
    <w:uiPriority w:val="99"/>
    <w:semiHidden/>
    <w:unhideWhenUsed/>
    <w:rsid w:val="004D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9844">
      <w:bodyDiv w:val="1"/>
      <w:marLeft w:val="0"/>
      <w:marRight w:val="0"/>
      <w:marTop w:val="0"/>
      <w:marBottom w:val="0"/>
      <w:divBdr>
        <w:top w:val="none" w:sz="0" w:space="0" w:color="auto"/>
        <w:left w:val="none" w:sz="0" w:space="0" w:color="auto"/>
        <w:bottom w:val="none" w:sz="0" w:space="0" w:color="auto"/>
        <w:right w:val="none" w:sz="0" w:space="0" w:color="auto"/>
      </w:divBdr>
    </w:div>
    <w:div w:id="1108309283">
      <w:bodyDiv w:val="1"/>
      <w:marLeft w:val="0"/>
      <w:marRight w:val="0"/>
      <w:marTop w:val="0"/>
      <w:marBottom w:val="0"/>
      <w:divBdr>
        <w:top w:val="none" w:sz="0" w:space="0" w:color="auto"/>
        <w:left w:val="none" w:sz="0" w:space="0" w:color="auto"/>
        <w:bottom w:val="none" w:sz="0" w:space="0" w:color="auto"/>
        <w:right w:val="none" w:sz="0" w:space="0" w:color="auto"/>
      </w:divBdr>
    </w:div>
    <w:div w:id="16145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RESOLUTION/LTD/G13/120/26/PDF/G1312026.pdf?OpenElement" TargetMode="External"/><Relationship Id="rId13" Type="http://schemas.openxmlformats.org/officeDocument/2006/relationships/hyperlink" Target="https://www.echr.coe.int/Documents/Convention_ENG.pdf" TargetMode="External"/><Relationship Id="rId18" Type="http://schemas.openxmlformats.org/officeDocument/2006/relationships/hyperlink" Target="https://rm.coe.int/16807096b7" TargetMode="External"/><Relationship Id="rId3" Type="http://schemas.openxmlformats.org/officeDocument/2006/relationships/hyperlink" Target="https://www.movedemocracy.org/defending-democratic-space/right-to-receive-funding" TargetMode="External"/><Relationship Id="rId21" Type="http://schemas.openxmlformats.org/officeDocument/2006/relationships/hyperlink" Target="https://undocs.org/CCPR/C/ETH/CO/1" TargetMode="External"/><Relationship Id="rId7" Type="http://schemas.openxmlformats.org/officeDocument/2006/relationships/hyperlink" Target="https://undocs.org/A/68/299" TargetMode="External"/><Relationship Id="rId12" Type="http://schemas.openxmlformats.org/officeDocument/2006/relationships/hyperlink" Target="https://undocs.org/CCPR/C/21/Rev.1/Add.13" TargetMode="External"/><Relationship Id="rId17" Type="http://schemas.openxmlformats.org/officeDocument/2006/relationships/hyperlink" Target="https://www.osce.org/odihr/33742?download=true" TargetMode="External"/><Relationship Id="rId25" Type="http://schemas.openxmlformats.org/officeDocument/2006/relationships/hyperlink" Target="https://www.movedemocracy.org/wp-content/uploads/2018/06/guidelines_on_freedom_of_association_and_assembly_in_africa.pdf" TargetMode="External"/><Relationship Id="rId2" Type="http://schemas.openxmlformats.org/officeDocument/2006/relationships/hyperlink" Target="https://www.ohchr.org/Documents/HRBodies/HRCouncil/RegularSession/Session23/A.HRC.23.39_EN.pdf" TargetMode="External"/><Relationship Id="rId16" Type="http://schemas.openxmlformats.org/officeDocument/2006/relationships/hyperlink" Target="https://undocs.org/en/CCPR/CO/76/EGY" TargetMode="External"/><Relationship Id="rId20" Type="http://schemas.openxmlformats.org/officeDocument/2006/relationships/hyperlink" Target="https://www.oas.org/en/iachr/defenders/docs/pdf/defenders2011.pdf%20" TargetMode="External"/><Relationship Id="rId1" Type="http://schemas.openxmlformats.org/officeDocument/2006/relationships/hyperlink" Target="https://www.ohchr.org/EN/HRBodies/CCPR/Pages/GC37.aspx" TargetMode="External"/><Relationship Id="rId6" Type="http://schemas.openxmlformats.org/officeDocument/2006/relationships/hyperlink" Target="https://carnegieendowment.org/files/Brief-Carothers-CP_258_Closing_Spacee.pdf" TargetMode="External"/><Relationship Id="rId11" Type="http://schemas.openxmlformats.org/officeDocument/2006/relationships/hyperlink" Target="http://freeassembly.net/reports/managing-assemblies/" TargetMode="External"/><Relationship Id="rId24" Type="http://schemas.openxmlformats.org/officeDocument/2006/relationships/hyperlink" Target="https://www.osce.org/odihr/132371" TargetMode="External"/><Relationship Id="rId5" Type="http://schemas.openxmlformats.org/officeDocument/2006/relationships/hyperlink" Target="https://www.csis.org/analysis/donors-perspectives-closing-civic-space" TargetMode="External"/><Relationship Id="rId15" Type="http://schemas.openxmlformats.org/officeDocument/2006/relationships/hyperlink" Target="http://www.un.org/documents/ga/res/36/a36r055.htm" TargetMode="External"/><Relationship Id="rId23" Type="http://schemas.openxmlformats.org/officeDocument/2006/relationships/hyperlink" Target="http://www.achpr.org/sessions/51st/resolutions/218/" TargetMode="External"/><Relationship Id="rId10" Type="http://schemas.openxmlformats.org/officeDocument/2006/relationships/hyperlink" Target="https://undocs.org/A/HRC/31/66" TargetMode="External"/><Relationship Id="rId19" Type="http://schemas.openxmlformats.org/officeDocument/2006/relationships/hyperlink" Target="http://www.cidh.org/countryrep/Venezuela2009eng/VE09.TOC.eng.htm" TargetMode="External"/><Relationship Id="rId4" Type="http://schemas.openxmlformats.org/officeDocument/2006/relationships/hyperlink" Target="http://www.icnl.org/news/2018/Effective%20donor%20responses%20FINAL%201%20May%202018.pdf" TargetMode="External"/><Relationship Id="rId9" Type="http://schemas.openxmlformats.org/officeDocument/2006/relationships/hyperlink" Target="https://www.ohchr.org/Documents/HRBodies/HRCouncil/RegularSession/Session20/A-HRC-20-27_en.pdf" TargetMode="External"/><Relationship Id="rId14" Type="http://schemas.openxmlformats.org/officeDocument/2006/relationships/hyperlink" Target="http://hrlibrary.umn.edu/undocs/1274-2004.html" TargetMode="External"/><Relationship Id="rId22" Type="http://schemas.openxmlformats.org/officeDocument/2006/relationships/hyperlink" Target="http://www.achpr.org/sessions/16th-eo/resolutions/28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A540D-EC9A-4258-9CF2-C34945D9CC5A}">
  <ds:schemaRefs>
    <ds:schemaRef ds:uri="http://schemas.openxmlformats.org/officeDocument/2006/bibliography"/>
  </ds:schemaRefs>
</ds:datastoreItem>
</file>

<file path=customXml/itemProps2.xml><?xml version="1.0" encoding="utf-8"?>
<ds:datastoreItem xmlns:ds="http://schemas.openxmlformats.org/officeDocument/2006/customXml" ds:itemID="{8BA51B66-F5B8-4F4A-B3F3-917750ADDBCC}"/>
</file>

<file path=customXml/itemProps3.xml><?xml version="1.0" encoding="utf-8"?>
<ds:datastoreItem xmlns:ds="http://schemas.openxmlformats.org/officeDocument/2006/customXml" ds:itemID="{884FFE2B-856F-4EBF-8DBA-594DB6CA1BB8}"/>
</file>

<file path=customXml/itemProps4.xml><?xml version="1.0" encoding="utf-8"?>
<ds:datastoreItem xmlns:ds="http://schemas.openxmlformats.org/officeDocument/2006/customXml" ds:itemID="{73879FE7-B7E2-4573-9768-0A42FFD31B9C}"/>
</file>

<file path=docProps/app.xml><?xml version="1.0" encoding="utf-8"?>
<Properties xmlns="http://schemas.openxmlformats.org/officeDocument/2006/extended-properties" xmlns:vt="http://schemas.openxmlformats.org/officeDocument/2006/docPropsVTypes">
  <Template>Normal</Template>
  <TotalTime>8</TotalTime>
  <Pages>7</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Johnson</dc:creator>
  <cp:keywords/>
  <dc:description/>
  <cp:lastModifiedBy>Troy Johnson</cp:lastModifiedBy>
  <cp:revision>6</cp:revision>
  <cp:lastPrinted>2019-03-08T18:34:00Z</cp:lastPrinted>
  <dcterms:created xsi:type="dcterms:W3CDTF">2019-03-08T18:31:00Z</dcterms:created>
  <dcterms:modified xsi:type="dcterms:W3CDTF">2019-03-11T13:23:00Z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