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D69" w:rsidRPr="00263C59" w:rsidRDefault="00741D69" w:rsidP="00741D69">
      <w:pPr>
        <w:spacing w:after="0" w:line="240" w:lineRule="auto"/>
        <w:jc w:val="center"/>
        <w:rPr>
          <w:rFonts w:ascii="Times New Roman" w:hAnsi="Times New Roman" w:cs="Times New Roman"/>
          <w:b/>
          <w:i/>
          <w:sz w:val="28"/>
          <w:szCs w:val="28"/>
        </w:rPr>
      </w:pPr>
      <w:bookmarkStart w:id="0" w:name="_Hlk32428854"/>
      <w:r w:rsidRPr="00263C59">
        <w:rPr>
          <w:rFonts w:ascii="Times New Roman" w:hAnsi="Times New Roman" w:cs="Times New Roman"/>
          <w:b/>
          <w:i/>
          <w:sz w:val="28"/>
          <w:szCs w:val="28"/>
        </w:rPr>
        <w:t>The Center for International Business &amp; Human Rights</w:t>
      </w:r>
    </w:p>
    <w:p w:rsidR="00741D69" w:rsidRPr="00263C59" w:rsidRDefault="00263C59" w:rsidP="00741D69">
      <w:pPr>
        <w:spacing w:after="0" w:line="240" w:lineRule="auto"/>
        <w:jc w:val="center"/>
        <w:rPr>
          <w:rFonts w:ascii="Times New Roman" w:hAnsi="Times New Roman" w:cs="Times New Roman"/>
          <w:b/>
          <w:i/>
          <w:sz w:val="28"/>
          <w:szCs w:val="28"/>
        </w:rPr>
      </w:pPr>
      <w:r w:rsidRPr="00263C59">
        <w:rPr>
          <w:rFonts w:ascii="Times New Roman" w:hAnsi="Times New Roman" w:cs="Times New Roman"/>
          <w:b/>
          <w:i/>
          <w:sz w:val="28"/>
          <w:szCs w:val="28"/>
        </w:rPr>
        <w:t xml:space="preserve">The </w:t>
      </w:r>
      <w:r w:rsidR="00741D69" w:rsidRPr="00263C59">
        <w:rPr>
          <w:rFonts w:ascii="Times New Roman" w:hAnsi="Times New Roman" w:cs="Times New Roman"/>
          <w:b/>
          <w:i/>
          <w:sz w:val="28"/>
          <w:szCs w:val="28"/>
        </w:rPr>
        <w:t>University of Oklahoma College of Law</w:t>
      </w:r>
    </w:p>
    <w:p w:rsidR="00741D69" w:rsidRDefault="00741D69" w:rsidP="00AE37CA">
      <w:pPr>
        <w:rPr>
          <w:rFonts w:ascii="Times New Roman" w:hAnsi="Times New Roman" w:cs="Times New Roman"/>
          <w:sz w:val="24"/>
          <w:szCs w:val="24"/>
        </w:rPr>
      </w:pPr>
    </w:p>
    <w:p w:rsidR="00741D69" w:rsidRDefault="00741D69" w:rsidP="00AE37CA">
      <w:pPr>
        <w:rPr>
          <w:rFonts w:ascii="Times New Roman" w:hAnsi="Times New Roman" w:cs="Times New Roman"/>
          <w:sz w:val="24"/>
          <w:szCs w:val="24"/>
        </w:rPr>
      </w:pPr>
    </w:p>
    <w:p w:rsidR="00263C59" w:rsidRDefault="00263C59" w:rsidP="00AE37CA">
      <w:pPr>
        <w:rPr>
          <w:rFonts w:ascii="Times New Roman" w:hAnsi="Times New Roman" w:cs="Times New Roman"/>
          <w:sz w:val="24"/>
          <w:szCs w:val="24"/>
        </w:rPr>
      </w:pPr>
    </w:p>
    <w:p w:rsidR="00263C59" w:rsidRDefault="00263C59" w:rsidP="00AE37CA">
      <w:pPr>
        <w:rPr>
          <w:rFonts w:ascii="Times New Roman" w:hAnsi="Times New Roman" w:cs="Times New Roman"/>
          <w:sz w:val="24"/>
          <w:szCs w:val="24"/>
        </w:rPr>
      </w:pPr>
    </w:p>
    <w:p w:rsidR="00AE37CA" w:rsidRPr="00204B48" w:rsidRDefault="00AE37CA" w:rsidP="00AE37CA">
      <w:pPr>
        <w:rPr>
          <w:rFonts w:ascii="Times New Roman" w:hAnsi="Times New Roman" w:cs="Times New Roman"/>
          <w:sz w:val="24"/>
          <w:szCs w:val="24"/>
        </w:rPr>
      </w:pPr>
      <w:r w:rsidRPr="00204B48">
        <w:rPr>
          <w:rFonts w:ascii="Times New Roman" w:hAnsi="Times New Roman" w:cs="Times New Roman"/>
          <w:sz w:val="24"/>
          <w:szCs w:val="24"/>
        </w:rPr>
        <w:t xml:space="preserve">February </w:t>
      </w:r>
      <w:r w:rsidR="00C25BA3">
        <w:rPr>
          <w:rFonts w:ascii="Times New Roman" w:hAnsi="Times New Roman" w:cs="Times New Roman"/>
          <w:sz w:val="24"/>
          <w:szCs w:val="24"/>
        </w:rPr>
        <w:t>20</w:t>
      </w:r>
      <w:r w:rsidRPr="00204B48">
        <w:rPr>
          <w:rFonts w:ascii="Times New Roman" w:hAnsi="Times New Roman" w:cs="Times New Roman"/>
          <w:sz w:val="24"/>
          <w:szCs w:val="24"/>
        </w:rPr>
        <w:t>, 2019</w:t>
      </w:r>
    </w:p>
    <w:p w:rsidR="00AB0A1E" w:rsidRPr="00204B48" w:rsidRDefault="00AB0A1E" w:rsidP="00AE37CA">
      <w:pPr>
        <w:rPr>
          <w:rFonts w:ascii="Times New Roman" w:hAnsi="Times New Roman" w:cs="Times New Roman"/>
          <w:sz w:val="24"/>
          <w:szCs w:val="24"/>
        </w:rPr>
      </w:pPr>
    </w:p>
    <w:p w:rsidR="00AE37CA" w:rsidRPr="00204B48" w:rsidRDefault="00AE37CA" w:rsidP="00AE37CA">
      <w:pPr>
        <w:rPr>
          <w:rFonts w:ascii="Times New Roman" w:hAnsi="Times New Roman" w:cs="Times New Roman"/>
          <w:sz w:val="24"/>
          <w:szCs w:val="24"/>
        </w:rPr>
      </w:pPr>
      <w:r w:rsidRPr="00204B48">
        <w:rPr>
          <w:rFonts w:ascii="Times New Roman" w:hAnsi="Times New Roman" w:cs="Times New Roman"/>
          <w:sz w:val="24"/>
          <w:szCs w:val="24"/>
        </w:rPr>
        <w:t>Dear UN Human Rights Committee:</w:t>
      </w:r>
    </w:p>
    <w:p w:rsidR="00AE37CA" w:rsidRPr="00204B48" w:rsidRDefault="00AE37CA" w:rsidP="00AE37CA">
      <w:pPr>
        <w:jc w:val="both"/>
        <w:rPr>
          <w:rFonts w:ascii="Times New Roman" w:hAnsi="Times New Roman" w:cs="Times New Roman"/>
          <w:sz w:val="24"/>
          <w:szCs w:val="24"/>
        </w:rPr>
      </w:pPr>
      <w:r w:rsidRPr="00204B48">
        <w:rPr>
          <w:rFonts w:ascii="Times New Roman" w:hAnsi="Times New Roman" w:cs="Times New Roman"/>
          <w:sz w:val="24"/>
          <w:szCs w:val="24"/>
        </w:rPr>
        <w:t xml:space="preserve">Thank you for the opportunity to submit comments on draft General Comment 37 (GC 37).  Please find attached </w:t>
      </w:r>
      <w:r w:rsidR="00AB0A1E" w:rsidRPr="00204B48">
        <w:rPr>
          <w:rFonts w:ascii="Times New Roman" w:hAnsi="Times New Roman" w:cs="Times New Roman"/>
          <w:sz w:val="24"/>
          <w:szCs w:val="24"/>
        </w:rPr>
        <w:t xml:space="preserve">my </w:t>
      </w:r>
      <w:r w:rsidR="00AB0A1E" w:rsidRPr="00BA6E80">
        <w:rPr>
          <w:rFonts w:ascii="Times New Roman" w:hAnsi="Times New Roman" w:cs="Times New Roman"/>
          <w:smallCaps/>
          <w:sz w:val="24"/>
          <w:szCs w:val="24"/>
        </w:rPr>
        <w:t>Just Security</w:t>
      </w:r>
      <w:r w:rsidR="00AB0A1E" w:rsidRPr="00204B48">
        <w:rPr>
          <w:rFonts w:ascii="Times New Roman" w:hAnsi="Times New Roman" w:cs="Times New Roman"/>
          <w:i/>
          <w:sz w:val="24"/>
          <w:szCs w:val="24"/>
        </w:rPr>
        <w:t xml:space="preserve"> </w:t>
      </w:r>
      <w:r w:rsidRPr="00204B48">
        <w:rPr>
          <w:rFonts w:ascii="Times New Roman" w:hAnsi="Times New Roman" w:cs="Times New Roman"/>
          <w:sz w:val="24"/>
          <w:szCs w:val="24"/>
        </w:rPr>
        <w:t>blog</w:t>
      </w:r>
      <w:r w:rsidR="00BA6E80">
        <w:rPr>
          <w:rFonts w:ascii="Times New Roman" w:hAnsi="Times New Roman" w:cs="Times New Roman"/>
          <w:sz w:val="24"/>
          <w:szCs w:val="24"/>
        </w:rPr>
        <w:t xml:space="preserve"> </w:t>
      </w:r>
      <w:r w:rsidR="00BA6E80">
        <w:rPr>
          <w:rFonts w:ascii="Times New Roman" w:hAnsi="Times New Roman" w:cs="Times New Roman"/>
          <w:i/>
          <w:sz w:val="24"/>
          <w:szCs w:val="24"/>
        </w:rPr>
        <w:t>(The Use of Regional Jurisprudence in UN Draft General Comment on the Freedom of Assembly)</w:t>
      </w:r>
      <w:r w:rsidR="00C524D4">
        <w:rPr>
          <w:rFonts w:ascii="Times New Roman" w:hAnsi="Times New Roman" w:cs="Times New Roman"/>
          <w:sz w:val="24"/>
          <w:szCs w:val="24"/>
        </w:rPr>
        <w:t>, which provide</w:t>
      </w:r>
      <w:r w:rsidR="00C25BA3">
        <w:rPr>
          <w:rFonts w:ascii="Times New Roman" w:hAnsi="Times New Roman" w:cs="Times New Roman"/>
          <w:sz w:val="24"/>
          <w:szCs w:val="24"/>
        </w:rPr>
        <w:t>s</w:t>
      </w:r>
      <w:r w:rsidR="00C524D4">
        <w:rPr>
          <w:rFonts w:ascii="Times New Roman" w:hAnsi="Times New Roman" w:cs="Times New Roman"/>
          <w:sz w:val="24"/>
          <w:szCs w:val="24"/>
        </w:rPr>
        <w:t xml:space="preserve"> </w:t>
      </w:r>
      <w:r w:rsidR="00C25BA3">
        <w:rPr>
          <w:rFonts w:ascii="Times New Roman" w:hAnsi="Times New Roman" w:cs="Times New Roman"/>
          <w:sz w:val="24"/>
          <w:szCs w:val="24"/>
        </w:rPr>
        <w:t xml:space="preserve">recommendations </w:t>
      </w:r>
      <w:r w:rsidR="00C524D4">
        <w:rPr>
          <w:rFonts w:ascii="Times New Roman" w:hAnsi="Times New Roman" w:cs="Times New Roman"/>
          <w:sz w:val="24"/>
          <w:szCs w:val="24"/>
        </w:rPr>
        <w:t>on draft GC 37</w:t>
      </w:r>
      <w:r w:rsidRPr="00204B48">
        <w:rPr>
          <w:rFonts w:ascii="Times New Roman" w:hAnsi="Times New Roman" w:cs="Times New Roman"/>
          <w:sz w:val="24"/>
          <w:szCs w:val="24"/>
        </w:rPr>
        <w:t xml:space="preserve">.  </w:t>
      </w:r>
    </w:p>
    <w:p w:rsidR="00AE37CA" w:rsidRPr="00204B48" w:rsidRDefault="00AE37CA" w:rsidP="00AE37CA">
      <w:pPr>
        <w:jc w:val="both"/>
        <w:rPr>
          <w:rFonts w:ascii="Times New Roman" w:hAnsi="Times New Roman" w:cs="Times New Roman"/>
          <w:sz w:val="24"/>
          <w:szCs w:val="24"/>
        </w:rPr>
      </w:pPr>
      <w:r w:rsidRPr="00204B48">
        <w:rPr>
          <w:rFonts w:ascii="Times New Roman" w:hAnsi="Times New Roman" w:cs="Times New Roman"/>
          <w:sz w:val="24"/>
          <w:szCs w:val="24"/>
        </w:rPr>
        <w:t xml:space="preserve">I would also like to take this opportunity to thank alumni and students who are involved with </w:t>
      </w:r>
      <w:r w:rsidR="00741D69" w:rsidRPr="00204B48">
        <w:rPr>
          <w:rFonts w:ascii="Times New Roman" w:hAnsi="Times New Roman" w:cs="Times New Roman"/>
          <w:sz w:val="24"/>
          <w:szCs w:val="24"/>
        </w:rPr>
        <w:t xml:space="preserve">the University of Oklahoma College of Law’s </w:t>
      </w:r>
      <w:r w:rsidRPr="00204B48">
        <w:rPr>
          <w:rFonts w:ascii="Times New Roman" w:hAnsi="Times New Roman" w:cs="Times New Roman"/>
          <w:sz w:val="24"/>
          <w:szCs w:val="24"/>
        </w:rPr>
        <w:t xml:space="preserve">Center for International Business &amp; Human Rights and helped </w:t>
      </w:r>
      <w:r w:rsidR="00263C59" w:rsidRPr="00204B48">
        <w:rPr>
          <w:rFonts w:ascii="Times New Roman" w:hAnsi="Times New Roman" w:cs="Times New Roman"/>
          <w:sz w:val="24"/>
          <w:szCs w:val="24"/>
        </w:rPr>
        <w:t xml:space="preserve">to </w:t>
      </w:r>
      <w:r w:rsidR="00AB0A1E" w:rsidRPr="00204B48">
        <w:rPr>
          <w:rFonts w:ascii="Times New Roman" w:hAnsi="Times New Roman" w:cs="Times New Roman"/>
          <w:sz w:val="24"/>
          <w:szCs w:val="24"/>
        </w:rPr>
        <w:t xml:space="preserve">shape </w:t>
      </w:r>
      <w:r w:rsidR="00263C59" w:rsidRPr="00204B48">
        <w:rPr>
          <w:rFonts w:ascii="Times New Roman" w:hAnsi="Times New Roman" w:cs="Times New Roman"/>
          <w:sz w:val="24"/>
          <w:szCs w:val="24"/>
        </w:rPr>
        <w:t xml:space="preserve">our Center’s views </w:t>
      </w:r>
      <w:r w:rsidRPr="00204B48">
        <w:rPr>
          <w:rFonts w:ascii="Times New Roman" w:hAnsi="Times New Roman" w:cs="Times New Roman"/>
          <w:sz w:val="24"/>
          <w:szCs w:val="24"/>
        </w:rPr>
        <w:t xml:space="preserve">with research and discussions involving draft GC 37, including Jason Bollinger, </w:t>
      </w:r>
      <w:r w:rsidR="00AB0A1E" w:rsidRPr="00204B48">
        <w:rPr>
          <w:rFonts w:ascii="Times New Roman" w:hAnsi="Times New Roman" w:cs="Times New Roman"/>
          <w:sz w:val="24"/>
          <w:szCs w:val="24"/>
        </w:rPr>
        <w:t xml:space="preserve">Brooke Hamilton, </w:t>
      </w:r>
      <w:r w:rsidRPr="00204B48">
        <w:rPr>
          <w:rFonts w:ascii="Times New Roman" w:hAnsi="Times New Roman" w:cs="Times New Roman"/>
          <w:sz w:val="24"/>
          <w:szCs w:val="24"/>
        </w:rPr>
        <w:t xml:space="preserve">Jason Hubert, Madalyn Martin, Jenny Puckett, Hannah White, Shae Weathersbee, and Rebeca West. </w:t>
      </w:r>
    </w:p>
    <w:p w:rsidR="00AE37CA" w:rsidRPr="00204B48" w:rsidRDefault="00AE37CA" w:rsidP="00AE37CA">
      <w:pPr>
        <w:rPr>
          <w:rFonts w:ascii="Times New Roman" w:hAnsi="Times New Roman" w:cs="Times New Roman"/>
          <w:color w:val="000000"/>
          <w:sz w:val="24"/>
          <w:szCs w:val="24"/>
        </w:rPr>
      </w:pPr>
      <w:r w:rsidRPr="00204B48">
        <w:rPr>
          <w:rFonts w:ascii="Times New Roman" w:hAnsi="Times New Roman" w:cs="Times New Roman"/>
          <w:color w:val="000000"/>
          <w:sz w:val="24"/>
          <w:szCs w:val="24"/>
        </w:rPr>
        <w:t xml:space="preserve">Best wishes for your important work, </w:t>
      </w:r>
    </w:p>
    <w:p w:rsidR="00AE37CA" w:rsidRPr="00204B48" w:rsidRDefault="00AE37CA" w:rsidP="00AE37CA">
      <w:pPr>
        <w:spacing w:after="0" w:line="240" w:lineRule="auto"/>
        <w:rPr>
          <w:rFonts w:ascii="Times New Roman" w:hAnsi="Times New Roman" w:cs="Times New Roman"/>
          <w:color w:val="000000"/>
          <w:sz w:val="24"/>
          <w:szCs w:val="24"/>
        </w:rPr>
      </w:pPr>
      <w:r w:rsidRPr="00204B48">
        <w:rPr>
          <w:rFonts w:ascii="Times New Roman" w:hAnsi="Times New Roman" w:cs="Times New Roman"/>
          <w:color w:val="000000"/>
          <w:sz w:val="24"/>
          <w:szCs w:val="24"/>
        </w:rPr>
        <w:t xml:space="preserve">Evelyn Aswad </w:t>
      </w:r>
    </w:p>
    <w:p w:rsidR="00AE37CA" w:rsidRPr="00204B48" w:rsidRDefault="00AE37CA" w:rsidP="00AE37CA">
      <w:pPr>
        <w:spacing w:after="0" w:line="240" w:lineRule="auto"/>
        <w:rPr>
          <w:rFonts w:ascii="Times New Roman" w:hAnsi="Times New Roman" w:cs="Times New Roman"/>
          <w:color w:val="000000"/>
          <w:sz w:val="24"/>
          <w:szCs w:val="24"/>
        </w:rPr>
      </w:pPr>
      <w:r w:rsidRPr="00204B48">
        <w:rPr>
          <w:rFonts w:ascii="Times New Roman" w:hAnsi="Times New Roman" w:cs="Times New Roman"/>
          <w:color w:val="000000"/>
          <w:sz w:val="24"/>
          <w:szCs w:val="24"/>
        </w:rPr>
        <w:t xml:space="preserve">Director, Center for International Business &amp; Human Rights </w:t>
      </w:r>
    </w:p>
    <w:p w:rsidR="00AE37CA" w:rsidRPr="00204B48" w:rsidRDefault="00AE37CA" w:rsidP="00AE37CA">
      <w:pPr>
        <w:spacing w:after="0" w:line="240" w:lineRule="auto"/>
        <w:rPr>
          <w:rFonts w:ascii="Times New Roman" w:hAnsi="Times New Roman" w:cs="Times New Roman"/>
          <w:color w:val="000000"/>
          <w:sz w:val="24"/>
          <w:szCs w:val="24"/>
        </w:rPr>
      </w:pPr>
      <w:r w:rsidRPr="00204B48">
        <w:rPr>
          <w:rFonts w:ascii="Times New Roman" w:hAnsi="Times New Roman" w:cs="Times New Roman"/>
          <w:color w:val="000000"/>
          <w:sz w:val="24"/>
          <w:szCs w:val="24"/>
        </w:rPr>
        <w:t>Herman G. Kaiser Chair in International Law</w:t>
      </w:r>
    </w:p>
    <w:p w:rsidR="00AE37CA" w:rsidRPr="00204B48" w:rsidRDefault="00AE37CA" w:rsidP="00AE37CA">
      <w:pPr>
        <w:spacing w:after="0" w:line="240" w:lineRule="auto"/>
        <w:rPr>
          <w:rFonts w:ascii="Times New Roman" w:hAnsi="Times New Roman" w:cs="Times New Roman"/>
          <w:color w:val="000000"/>
          <w:sz w:val="24"/>
          <w:szCs w:val="24"/>
        </w:rPr>
      </w:pPr>
      <w:r w:rsidRPr="00204B48">
        <w:rPr>
          <w:rFonts w:ascii="Times New Roman" w:hAnsi="Times New Roman" w:cs="Times New Roman"/>
          <w:color w:val="000000"/>
          <w:sz w:val="24"/>
          <w:szCs w:val="24"/>
        </w:rPr>
        <w:t>University of Oklahoma College of Law</w:t>
      </w:r>
    </w:p>
    <w:p w:rsidR="00AE37CA" w:rsidRPr="00204B48" w:rsidRDefault="00AE37CA" w:rsidP="00AE37CA">
      <w:pPr>
        <w:spacing w:after="0" w:line="240" w:lineRule="auto"/>
        <w:rPr>
          <w:rFonts w:ascii="Times New Roman" w:hAnsi="Times New Roman" w:cs="Times New Roman"/>
          <w:color w:val="000000"/>
          <w:sz w:val="24"/>
          <w:szCs w:val="24"/>
        </w:rPr>
      </w:pPr>
      <w:r w:rsidRPr="00204B48">
        <w:rPr>
          <w:rFonts w:ascii="Times New Roman" w:hAnsi="Times New Roman" w:cs="Times New Roman"/>
          <w:color w:val="000000"/>
          <w:sz w:val="24"/>
          <w:szCs w:val="24"/>
        </w:rPr>
        <w:lastRenderedPageBreak/>
        <w:t>Norman, OK</w:t>
      </w:r>
    </w:p>
    <w:p w:rsidR="00AE37CA" w:rsidRDefault="00AE37CA" w:rsidP="00AE37CA">
      <w:pPr>
        <w:spacing w:after="0" w:line="240" w:lineRule="auto"/>
        <w:rPr>
          <w:rFonts w:ascii="Times New Roman" w:hAnsi="Times New Roman" w:cs="Times New Roman"/>
          <w:color w:val="000000"/>
          <w:sz w:val="24"/>
          <w:szCs w:val="24"/>
        </w:rPr>
      </w:pPr>
      <w:bookmarkStart w:id="1" w:name="_GoBack"/>
      <w:bookmarkEnd w:id="1"/>
    </w:p>
    <w:p w:rsidR="00AE37CA" w:rsidRDefault="00AE37CA" w:rsidP="00AD6DC3">
      <w:pPr>
        <w:spacing w:after="450" w:line="450" w:lineRule="atLeast"/>
        <w:jc w:val="center"/>
        <w:rPr>
          <w:rFonts w:ascii="&amp;quot" w:eastAsia="Times New Roman" w:hAnsi="&amp;quot" w:cs="Times New Roman"/>
          <w:b/>
          <w:color w:val="2C2C25"/>
          <w:sz w:val="29"/>
          <w:szCs w:val="29"/>
        </w:rPr>
      </w:pPr>
    </w:p>
    <w:bookmarkEnd w:id="0"/>
    <w:p w:rsidR="00AE37CA" w:rsidRDefault="00AE37CA">
      <w:pPr>
        <w:rPr>
          <w:rFonts w:ascii="&amp;quot" w:eastAsia="Times New Roman" w:hAnsi="&amp;quot" w:cs="Times New Roman"/>
          <w:b/>
          <w:color w:val="2C2C25"/>
          <w:sz w:val="29"/>
          <w:szCs w:val="29"/>
        </w:rPr>
      </w:pPr>
      <w:r>
        <w:rPr>
          <w:rFonts w:ascii="&amp;quot" w:eastAsia="Times New Roman" w:hAnsi="&amp;quot" w:cs="Times New Roman"/>
          <w:b/>
          <w:color w:val="2C2C25"/>
          <w:sz w:val="29"/>
          <w:szCs w:val="29"/>
        </w:rPr>
        <w:br w:type="page"/>
      </w:r>
    </w:p>
    <w:p w:rsidR="007522CE" w:rsidRDefault="00166ADF" w:rsidP="00AD6DC3">
      <w:pPr>
        <w:spacing w:after="450" w:line="450" w:lineRule="atLeast"/>
        <w:jc w:val="center"/>
        <w:rPr>
          <w:rFonts w:ascii="&amp;quot" w:eastAsia="Times New Roman" w:hAnsi="&amp;quot" w:cs="Times New Roman"/>
          <w:b/>
          <w:color w:val="2C2C25"/>
          <w:sz w:val="29"/>
          <w:szCs w:val="29"/>
        </w:rPr>
      </w:pPr>
      <w:r w:rsidRPr="00166ADF">
        <w:rPr>
          <w:rFonts w:ascii="&amp;quot" w:eastAsia="Times New Roman" w:hAnsi="&amp;quot" w:cs="Times New Roman"/>
          <w:b/>
          <w:color w:val="2C2C25"/>
          <w:sz w:val="29"/>
          <w:szCs w:val="29"/>
        </w:rPr>
        <w:lastRenderedPageBreak/>
        <w:t>The Use of Regional Jurisprudence in UN Draft General Comment on the Freedom of Assembly</w:t>
      </w:r>
    </w:p>
    <w:p w:rsidR="007522CE" w:rsidRPr="007F235E" w:rsidRDefault="007522CE" w:rsidP="00166ADF">
      <w:pPr>
        <w:spacing w:after="450" w:line="450" w:lineRule="atLeast"/>
        <w:rPr>
          <w:rFonts w:ascii="&amp;quot" w:eastAsia="Times New Roman" w:hAnsi="&amp;quot" w:cs="Times New Roman"/>
          <w:color w:val="2C2C25"/>
          <w:sz w:val="29"/>
          <w:szCs w:val="29"/>
        </w:rPr>
      </w:pPr>
      <w:r w:rsidRPr="007F235E">
        <w:rPr>
          <w:rFonts w:ascii="&amp;quot" w:eastAsia="Times New Roman" w:hAnsi="&amp;quot" w:cs="Times New Roman"/>
          <w:color w:val="2C2C25"/>
          <w:sz w:val="29"/>
          <w:szCs w:val="29"/>
        </w:rPr>
        <w:t xml:space="preserve">By </w:t>
      </w:r>
      <w:hyperlink r:id="rId4" w:history="1">
        <w:r w:rsidRPr="007F235E">
          <w:rPr>
            <w:rStyle w:val="Hyperlink"/>
            <w:rFonts w:ascii="&amp;quot" w:eastAsia="Times New Roman" w:hAnsi="&amp;quot" w:cs="Times New Roman"/>
            <w:sz w:val="29"/>
            <w:szCs w:val="29"/>
            <w:u w:val="none"/>
          </w:rPr>
          <w:t>Evelyn Aswad</w:t>
        </w:r>
      </w:hyperlink>
      <w:r w:rsidRPr="007F235E">
        <w:rPr>
          <w:rFonts w:ascii="&amp;quot" w:eastAsia="Times New Roman" w:hAnsi="&amp;quot" w:cs="Times New Roman"/>
          <w:color w:val="2C2C25"/>
          <w:sz w:val="29"/>
          <w:szCs w:val="29"/>
        </w:rPr>
        <w:t xml:space="preserve"> </w:t>
      </w:r>
    </w:p>
    <w:p w:rsidR="007522CE" w:rsidRPr="007522CE" w:rsidRDefault="007522CE" w:rsidP="007F235E">
      <w:pPr>
        <w:spacing w:after="450" w:line="450" w:lineRule="atLeast"/>
        <w:jc w:val="both"/>
        <w:rPr>
          <w:rFonts w:ascii="&amp;quot" w:eastAsia="Times New Roman" w:hAnsi="&amp;quot" w:cs="Times New Roman"/>
          <w:i/>
          <w:iCs/>
          <w:color w:val="2C2C25"/>
          <w:sz w:val="29"/>
          <w:szCs w:val="29"/>
        </w:rPr>
      </w:pPr>
      <w:r w:rsidRPr="007522CE">
        <w:rPr>
          <w:rFonts w:ascii="&amp;quot" w:eastAsia="Times New Roman" w:hAnsi="&amp;quot" w:cs="Times New Roman"/>
          <w:color w:val="2C2C25"/>
          <w:sz w:val="29"/>
          <w:szCs w:val="29"/>
        </w:rPr>
        <w:t>(</w:t>
      </w:r>
      <w:r>
        <w:rPr>
          <w:rFonts w:ascii="&amp;quot" w:eastAsia="Times New Roman" w:hAnsi="&amp;quot" w:cs="Times New Roman"/>
          <w:color w:val="2C2C25"/>
          <w:sz w:val="29"/>
          <w:szCs w:val="29"/>
        </w:rPr>
        <w:t>P</w:t>
      </w:r>
      <w:r w:rsidRPr="007522CE">
        <w:rPr>
          <w:rFonts w:ascii="&amp;quot" w:eastAsia="Times New Roman" w:hAnsi="&amp;quot" w:cs="Times New Roman"/>
          <w:color w:val="2C2C25"/>
          <w:sz w:val="29"/>
          <w:szCs w:val="29"/>
        </w:rPr>
        <w:t xml:space="preserve">ublished on Feb. 7, 2019 on </w:t>
      </w:r>
      <w:r w:rsidRPr="007F235E">
        <w:rPr>
          <w:rFonts w:ascii="&amp;quot" w:eastAsia="Times New Roman" w:hAnsi="&amp;quot" w:cs="Times New Roman"/>
          <w:i/>
          <w:color w:val="2C2C25"/>
          <w:sz w:val="29"/>
          <w:szCs w:val="29"/>
        </w:rPr>
        <w:t>Just Security</w:t>
      </w:r>
      <w:r w:rsidR="007F235E">
        <w:rPr>
          <w:rFonts w:ascii="&amp;quot" w:eastAsia="Times New Roman" w:hAnsi="&amp;quot" w:cs="Times New Roman"/>
          <w:color w:val="2C2C25"/>
          <w:sz w:val="29"/>
          <w:szCs w:val="29"/>
        </w:rPr>
        <w:t xml:space="preserve"> blog</w:t>
      </w:r>
      <w:r w:rsidRPr="007522CE">
        <w:rPr>
          <w:rFonts w:ascii="&amp;quot" w:eastAsia="Times New Roman" w:hAnsi="&amp;quot" w:cs="Times New Roman"/>
          <w:color w:val="2C2C25"/>
          <w:sz w:val="29"/>
          <w:szCs w:val="29"/>
        </w:rPr>
        <w:t xml:space="preserve"> as part of its </w:t>
      </w:r>
      <w:hyperlink r:id="rId5" w:history="1">
        <w:r w:rsidR="00166ADF" w:rsidRPr="007522CE">
          <w:rPr>
            <w:rFonts w:ascii="&amp;quot" w:eastAsia="Times New Roman" w:hAnsi="&amp;quot" w:cs="Times New Roman"/>
            <w:i/>
            <w:iCs/>
            <w:color w:val="40A9C7"/>
            <w:sz w:val="29"/>
            <w:szCs w:val="29"/>
          </w:rPr>
          <w:t>mini-forum</w:t>
        </w:r>
      </w:hyperlink>
      <w:r w:rsidR="00166ADF" w:rsidRPr="007522CE">
        <w:rPr>
          <w:rFonts w:ascii="&amp;quot" w:eastAsia="Times New Roman" w:hAnsi="&amp;quot" w:cs="Times New Roman"/>
          <w:i/>
          <w:iCs/>
          <w:color w:val="2C2C25"/>
          <w:sz w:val="29"/>
          <w:szCs w:val="29"/>
        </w:rPr>
        <w:t> </w:t>
      </w:r>
      <w:r w:rsidRPr="007522CE">
        <w:rPr>
          <w:rFonts w:ascii="&amp;quot" w:eastAsia="Times New Roman" w:hAnsi="&amp;quot" w:cs="Times New Roman"/>
          <w:i/>
          <w:iCs/>
          <w:color w:val="2C2C25"/>
          <w:sz w:val="29"/>
          <w:szCs w:val="29"/>
        </w:rPr>
        <w:t xml:space="preserve">on Draft General Comment 37) </w:t>
      </w:r>
    </w:p>
    <w:p w:rsidR="00166ADF" w:rsidRPr="00166ADF" w:rsidRDefault="00166ADF" w:rsidP="007522CE">
      <w:pPr>
        <w:spacing w:after="450" w:line="450" w:lineRule="atLeast"/>
        <w:jc w:val="both"/>
        <w:rPr>
          <w:rFonts w:ascii="&amp;quot" w:eastAsia="Times New Roman" w:hAnsi="&amp;quot" w:cs="Times New Roman"/>
          <w:color w:val="2C2C25"/>
          <w:sz w:val="29"/>
          <w:szCs w:val="29"/>
        </w:rPr>
      </w:pPr>
      <w:r w:rsidRPr="00166ADF">
        <w:rPr>
          <w:rFonts w:ascii="&amp;quot" w:eastAsia="Times New Roman" w:hAnsi="&amp;quot" w:cs="Times New Roman"/>
          <w:color w:val="2C2C25"/>
          <w:sz w:val="29"/>
          <w:szCs w:val="29"/>
        </w:rPr>
        <w:t xml:space="preserve">My reflection on the UN Human Rights Committee’s </w:t>
      </w:r>
      <w:hyperlink r:id="rId6" w:tgtFrame="_blank" w:history="1">
        <w:r w:rsidRPr="00166ADF">
          <w:rPr>
            <w:rFonts w:ascii="&amp;quot" w:eastAsia="Times New Roman" w:hAnsi="&amp;quot" w:cs="Times New Roman"/>
            <w:color w:val="40A9C7"/>
            <w:sz w:val="29"/>
            <w:szCs w:val="29"/>
          </w:rPr>
          <w:t>Draft General Comment No. 37</w:t>
        </w:r>
      </w:hyperlink>
      <w:r w:rsidRPr="00166ADF">
        <w:rPr>
          <w:rFonts w:ascii="&amp;quot" w:eastAsia="Times New Roman" w:hAnsi="&amp;quot" w:cs="Times New Roman"/>
          <w:color w:val="2C2C25"/>
          <w:sz w:val="29"/>
          <w:szCs w:val="29"/>
        </w:rPr>
        <w:t xml:space="preserve"> (GC 37), which covers freedom of assembly under the International Covenant on Civil and Political Rights (ICCPR), focuses on one topic: the significant use of citations to regional human rights mechanisms. The work of the UN’s Human Rights Committee and special procedures of the United Nations is of critical importance. I write this reflection in the spirit of promoting the UN human rights machinery’s important role as it seeks to champion broad international human rights protections for all.</w:t>
      </w:r>
    </w:p>
    <w:p w:rsidR="00166ADF" w:rsidRPr="00166ADF" w:rsidRDefault="00166ADF" w:rsidP="00166ADF">
      <w:pPr>
        <w:spacing w:after="450" w:line="450" w:lineRule="atLeast"/>
        <w:rPr>
          <w:rFonts w:ascii="&amp;quot" w:eastAsia="Times New Roman" w:hAnsi="&amp;quot" w:cs="Times New Roman"/>
          <w:color w:val="2C2C25"/>
          <w:sz w:val="29"/>
          <w:szCs w:val="29"/>
        </w:rPr>
      </w:pPr>
      <w:r w:rsidRPr="00166ADF">
        <w:rPr>
          <w:rFonts w:ascii="&amp;quot" w:eastAsia="Times New Roman" w:hAnsi="&amp;quot" w:cs="Times New Roman"/>
          <w:b/>
          <w:bCs/>
          <w:color w:val="2C2C25"/>
          <w:sz w:val="29"/>
          <w:szCs w:val="29"/>
        </w:rPr>
        <w:t>A Recent Break with Decades of Precedent</w:t>
      </w:r>
    </w:p>
    <w:p w:rsidR="00166ADF" w:rsidRPr="00166ADF" w:rsidRDefault="00166ADF" w:rsidP="007522CE">
      <w:pPr>
        <w:spacing w:after="450" w:line="450" w:lineRule="atLeast"/>
        <w:jc w:val="both"/>
        <w:rPr>
          <w:rFonts w:ascii="&amp;quot" w:eastAsia="Times New Roman" w:hAnsi="&amp;quot" w:cs="Times New Roman"/>
          <w:color w:val="2C2C25"/>
          <w:sz w:val="29"/>
          <w:szCs w:val="29"/>
        </w:rPr>
      </w:pPr>
      <w:r w:rsidRPr="00166ADF">
        <w:rPr>
          <w:rFonts w:ascii="&amp;quot" w:eastAsia="Times New Roman" w:hAnsi="&amp;quot" w:cs="Times New Roman"/>
          <w:color w:val="2C2C25"/>
          <w:sz w:val="29"/>
          <w:szCs w:val="29"/>
        </w:rPr>
        <w:lastRenderedPageBreak/>
        <w:t xml:space="preserve">From 1981-2014, the Human Rights Committee adopted </w:t>
      </w:r>
      <w:hyperlink r:id="rId7" w:tgtFrame="_blank" w:history="1">
        <w:r w:rsidRPr="00166ADF">
          <w:rPr>
            <w:rFonts w:ascii="&amp;quot" w:eastAsia="Times New Roman" w:hAnsi="&amp;quot" w:cs="Times New Roman"/>
            <w:color w:val="40A9C7"/>
            <w:sz w:val="29"/>
            <w:szCs w:val="29"/>
          </w:rPr>
          <w:t>35 General Comments</w:t>
        </w:r>
      </w:hyperlink>
      <w:r w:rsidRPr="00166ADF">
        <w:rPr>
          <w:rFonts w:ascii="&amp;quot" w:eastAsia="Times New Roman" w:hAnsi="&amp;quot" w:cs="Times New Roman"/>
          <w:color w:val="2C2C25"/>
          <w:sz w:val="29"/>
          <w:szCs w:val="29"/>
        </w:rPr>
        <w:t xml:space="preserve"> without citing to regional human rights mechanisms or jurisprudence. It cited to such regional sources for the first time in its 2018 </w:t>
      </w:r>
      <w:hyperlink r:id="rId8" w:tgtFrame="_blank" w:history="1">
        <w:r w:rsidRPr="00166ADF">
          <w:rPr>
            <w:rFonts w:ascii="&amp;quot" w:eastAsia="Times New Roman" w:hAnsi="&amp;quot" w:cs="Times New Roman"/>
            <w:color w:val="40A9C7"/>
            <w:sz w:val="29"/>
            <w:szCs w:val="29"/>
          </w:rPr>
          <w:t>General Comment No. 36 on the right to life</w:t>
        </w:r>
      </w:hyperlink>
      <w:r w:rsidRPr="00166ADF">
        <w:rPr>
          <w:rFonts w:ascii="&amp;quot" w:eastAsia="Times New Roman" w:hAnsi="&amp;quot" w:cs="Times New Roman"/>
          <w:color w:val="2C2C25"/>
          <w:sz w:val="29"/>
          <w:szCs w:val="29"/>
        </w:rPr>
        <w:t>. Draft GC 37 continues the Committee’s new approach by citing to 51 sources drawn from regional human rights mechanisms. Indeed, about 28% of the footnotes (i.e., 42 out of 151 footnotes) contain regional sources. Of the footnotes that contain regional citations, about 83% include either European Court of Human Rights (ECtHR) decisions or guidance from the Organization for Security and Cooperation in Europe (OSCE), with the former making up most of those sources.</w:t>
      </w:r>
    </w:p>
    <w:p w:rsidR="00166ADF" w:rsidRPr="00166ADF" w:rsidRDefault="00166ADF" w:rsidP="00166ADF">
      <w:pPr>
        <w:spacing w:after="450" w:line="450" w:lineRule="atLeast"/>
        <w:rPr>
          <w:rFonts w:ascii="&amp;quot" w:eastAsia="Times New Roman" w:hAnsi="&amp;quot" w:cs="Times New Roman"/>
          <w:color w:val="2C2C25"/>
          <w:sz w:val="29"/>
          <w:szCs w:val="29"/>
        </w:rPr>
      </w:pPr>
      <w:r w:rsidRPr="00166ADF">
        <w:rPr>
          <w:rFonts w:ascii="&amp;quot" w:eastAsia="Times New Roman" w:hAnsi="&amp;quot" w:cs="Times New Roman"/>
          <w:b/>
          <w:bCs/>
          <w:color w:val="2C2C25"/>
          <w:sz w:val="29"/>
          <w:szCs w:val="29"/>
        </w:rPr>
        <w:t xml:space="preserve">The </w:t>
      </w:r>
      <w:r w:rsidRPr="00166ADF">
        <w:rPr>
          <w:rFonts w:ascii="&amp;quot" w:eastAsia="Times New Roman" w:hAnsi="&amp;quot" w:cs="Times New Roman"/>
          <w:b/>
          <w:bCs/>
          <w:i/>
          <w:iCs/>
          <w:color w:val="2C2C25"/>
          <w:sz w:val="29"/>
          <w:szCs w:val="29"/>
        </w:rPr>
        <w:t>United Nations</w:t>
      </w:r>
      <w:r w:rsidRPr="00166ADF">
        <w:rPr>
          <w:rFonts w:ascii="&amp;quot" w:eastAsia="Times New Roman" w:hAnsi="&amp;quot" w:cs="Times New Roman"/>
          <w:b/>
          <w:bCs/>
          <w:color w:val="2C2C25"/>
          <w:sz w:val="29"/>
          <w:szCs w:val="29"/>
        </w:rPr>
        <w:t xml:space="preserve"> Human Rights System v. </w:t>
      </w:r>
      <w:r w:rsidRPr="00166ADF">
        <w:rPr>
          <w:rFonts w:ascii="&amp;quot" w:eastAsia="Times New Roman" w:hAnsi="&amp;quot" w:cs="Times New Roman"/>
          <w:b/>
          <w:bCs/>
          <w:i/>
          <w:iCs/>
          <w:color w:val="2C2C25"/>
          <w:sz w:val="29"/>
          <w:szCs w:val="29"/>
        </w:rPr>
        <w:t>Regional</w:t>
      </w:r>
      <w:r w:rsidRPr="00166ADF">
        <w:rPr>
          <w:rFonts w:ascii="&amp;quot" w:eastAsia="Times New Roman" w:hAnsi="&amp;quot" w:cs="Times New Roman"/>
          <w:b/>
          <w:bCs/>
          <w:color w:val="2C2C25"/>
          <w:sz w:val="29"/>
          <w:szCs w:val="29"/>
        </w:rPr>
        <w:t xml:space="preserve"> Human Rights Systems</w:t>
      </w:r>
    </w:p>
    <w:p w:rsidR="00166ADF" w:rsidRPr="00166ADF" w:rsidRDefault="00166ADF" w:rsidP="007522CE">
      <w:pPr>
        <w:spacing w:after="450" w:line="450" w:lineRule="atLeast"/>
        <w:jc w:val="both"/>
        <w:rPr>
          <w:rFonts w:ascii="&amp;quot" w:eastAsia="Times New Roman" w:hAnsi="&amp;quot" w:cs="Times New Roman"/>
          <w:color w:val="2C2C25"/>
          <w:sz w:val="29"/>
          <w:szCs w:val="29"/>
        </w:rPr>
      </w:pPr>
      <w:r w:rsidRPr="00166ADF">
        <w:rPr>
          <w:rFonts w:ascii="&amp;quot" w:eastAsia="Times New Roman" w:hAnsi="&amp;quot" w:cs="Times New Roman"/>
          <w:color w:val="2C2C25"/>
          <w:sz w:val="29"/>
          <w:szCs w:val="29"/>
        </w:rPr>
        <w:t xml:space="preserve">The Committee’s recent shift in citing to regional sources in its interpretations of the ICCPR matters for a variety of reasons. To begin with, it is risky to tether ICCPR interpretations to regional human rights jurisprudence/mechanisms that may provide fewer protections than </w:t>
      </w:r>
      <w:r w:rsidRPr="00166ADF">
        <w:rPr>
          <w:rFonts w:ascii="&amp;quot" w:eastAsia="Times New Roman" w:hAnsi="&amp;quot" w:cs="Times New Roman"/>
          <w:color w:val="2C2C25"/>
          <w:sz w:val="29"/>
          <w:szCs w:val="29"/>
        </w:rPr>
        <w:lastRenderedPageBreak/>
        <w:t>the ICCPR, particularly for the inextricably linked fundamental freedoms of expression, religion, and assembly. Reliance on favorable regional interpretations could have the unintended consequence of paving the way for unfavorable regional interpretations of these freedoms (and other rights) to eventually migrate into the UN human rights machinery’s view of the ICCPR.</w:t>
      </w:r>
    </w:p>
    <w:p w:rsidR="00166ADF" w:rsidRPr="00166ADF" w:rsidRDefault="00166ADF" w:rsidP="007522CE">
      <w:pPr>
        <w:spacing w:after="450" w:line="450" w:lineRule="atLeast"/>
        <w:jc w:val="both"/>
        <w:rPr>
          <w:rFonts w:ascii="&amp;quot" w:eastAsia="Times New Roman" w:hAnsi="&amp;quot" w:cs="Times New Roman"/>
          <w:color w:val="2C2C25"/>
          <w:sz w:val="29"/>
          <w:szCs w:val="29"/>
        </w:rPr>
      </w:pPr>
      <w:r w:rsidRPr="00166ADF">
        <w:rPr>
          <w:rFonts w:ascii="&amp;quot" w:eastAsia="Times New Roman" w:hAnsi="&amp;quot" w:cs="Times New Roman"/>
          <w:color w:val="2C2C25"/>
          <w:sz w:val="29"/>
          <w:szCs w:val="29"/>
        </w:rPr>
        <w:t xml:space="preserve">The scope of these three fundamental freedoms differs significantly in the UN system and regional systems, including the ECtHR. As noted by the UN Special Rapporteur on freedom of opinion and expression (the “Special Rapporteur”) in </w:t>
      </w:r>
      <w:hyperlink r:id="rId9" w:tgtFrame="_blank" w:history="1">
        <w:r w:rsidRPr="00166ADF">
          <w:rPr>
            <w:rFonts w:ascii="&amp;quot" w:eastAsia="Times New Roman" w:hAnsi="&amp;quot" w:cs="Times New Roman"/>
            <w:color w:val="40A9C7"/>
            <w:sz w:val="29"/>
            <w:szCs w:val="29"/>
          </w:rPr>
          <w:t> his 2019 report to the General Assembly (¶¶ 26-27)</w:t>
        </w:r>
      </w:hyperlink>
      <w:r w:rsidRPr="00166ADF">
        <w:rPr>
          <w:rFonts w:ascii="&amp;quot" w:eastAsia="Times New Roman" w:hAnsi="&amp;quot" w:cs="Times New Roman"/>
          <w:color w:val="2C2C25"/>
          <w:sz w:val="29"/>
          <w:szCs w:val="29"/>
        </w:rPr>
        <w:t>, ECtHR jurisprudence is less protective of freedom of expression than the UN system. He notes, for example, that the ECtHR condones criminal blasphemy bans and atrocity denial laws whereas the UN system does not.</w:t>
      </w:r>
    </w:p>
    <w:p w:rsidR="00166ADF" w:rsidRPr="00166ADF" w:rsidRDefault="00166ADF" w:rsidP="007522CE">
      <w:pPr>
        <w:spacing w:after="450" w:line="450" w:lineRule="atLeast"/>
        <w:jc w:val="both"/>
        <w:rPr>
          <w:rFonts w:ascii="&amp;quot" w:eastAsia="Times New Roman" w:hAnsi="&amp;quot" w:cs="Times New Roman"/>
          <w:color w:val="2C2C25"/>
          <w:sz w:val="29"/>
          <w:szCs w:val="29"/>
        </w:rPr>
      </w:pPr>
      <w:r w:rsidRPr="00166ADF">
        <w:rPr>
          <w:rFonts w:ascii="&amp;quot" w:eastAsia="Times New Roman" w:hAnsi="&amp;quot" w:cs="Times New Roman"/>
          <w:color w:val="2C2C25"/>
          <w:sz w:val="29"/>
          <w:szCs w:val="29"/>
        </w:rPr>
        <w:t xml:space="preserve">In addition, the Special Rapporteur highlights that the ECtHR deems highly offensive speech an “abuse” of the right to speak and therefore outside of the protection of the European Convention on Human </w:t>
      </w:r>
      <w:r w:rsidRPr="00166ADF">
        <w:rPr>
          <w:rFonts w:ascii="&amp;quot" w:eastAsia="Times New Roman" w:hAnsi="&amp;quot" w:cs="Times New Roman"/>
          <w:color w:val="2C2C25"/>
          <w:sz w:val="29"/>
          <w:szCs w:val="29"/>
        </w:rPr>
        <w:lastRenderedPageBreak/>
        <w:t xml:space="preserve">Rights, which has been called a </w:t>
      </w:r>
      <w:hyperlink r:id="rId10" w:tgtFrame="_blank" w:history="1">
        <w:r w:rsidRPr="00166ADF">
          <w:rPr>
            <w:rFonts w:ascii="&amp;quot" w:eastAsia="Times New Roman" w:hAnsi="&amp;quot" w:cs="Times New Roman"/>
            <w:color w:val="40A9C7"/>
            <w:sz w:val="29"/>
            <w:szCs w:val="29"/>
          </w:rPr>
          <w:t>“guillotine” approach</w:t>
        </w:r>
      </w:hyperlink>
      <w:r w:rsidRPr="00166ADF">
        <w:rPr>
          <w:rFonts w:ascii="&amp;quot" w:eastAsia="Times New Roman" w:hAnsi="&amp;quot" w:cs="Times New Roman"/>
          <w:color w:val="2C2C25"/>
          <w:sz w:val="29"/>
          <w:szCs w:val="29"/>
        </w:rPr>
        <w:t xml:space="preserve">. The UN system, on the other hand, does not treat highly offensive speech as unprotected. Rather, the UN machinery analyzes whether all speech restrictions meet ICCPR Article 19’s tripartite test of (1) legality (e.g., is the ban improperly vague?), (2) necessity (i.e., is the restriction, </w:t>
      </w:r>
      <w:r w:rsidRPr="00166ADF">
        <w:rPr>
          <w:rFonts w:ascii="&amp;quot" w:eastAsia="Times New Roman" w:hAnsi="&amp;quot" w:cs="Times New Roman"/>
          <w:i/>
          <w:iCs/>
          <w:color w:val="2C2C25"/>
          <w:sz w:val="29"/>
          <w:szCs w:val="29"/>
        </w:rPr>
        <w:t>inter alia,</w:t>
      </w:r>
      <w:r w:rsidRPr="00166ADF">
        <w:rPr>
          <w:rFonts w:ascii="&amp;quot" w:eastAsia="Times New Roman" w:hAnsi="&amp;quot" w:cs="Times New Roman"/>
          <w:color w:val="2C2C25"/>
          <w:sz w:val="29"/>
          <w:szCs w:val="29"/>
        </w:rPr>
        <w:t xml:space="preserve"> the least intrusive means?), and (3) legitimacy (is the restriction imposed for a legitimate public interest purpose?), as set forth in </w:t>
      </w:r>
      <w:hyperlink r:id="rId11" w:tgtFrame="_blank" w:history="1">
        <w:r w:rsidRPr="00166ADF">
          <w:rPr>
            <w:rFonts w:ascii="&amp;quot" w:eastAsia="Times New Roman" w:hAnsi="&amp;quot" w:cs="Times New Roman"/>
            <w:color w:val="40A9C7"/>
            <w:sz w:val="29"/>
            <w:szCs w:val="29"/>
          </w:rPr>
          <w:t>General Comment 34 (¶¶50-52</w:t>
        </w:r>
      </w:hyperlink>
      <w:r w:rsidRPr="00166ADF">
        <w:rPr>
          <w:rFonts w:ascii="&amp;quot" w:eastAsia="Times New Roman" w:hAnsi="&amp;quot" w:cs="Times New Roman"/>
          <w:color w:val="2C2C25"/>
          <w:sz w:val="29"/>
          <w:szCs w:val="29"/>
        </w:rPr>
        <w:t xml:space="preserve">) and the </w:t>
      </w:r>
      <w:hyperlink r:id="rId12" w:tgtFrame="_blank" w:history="1">
        <w:r w:rsidRPr="00166ADF">
          <w:rPr>
            <w:rFonts w:ascii="&amp;quot" w:eastAsia="Times New Roman" w:hAnsi="&amp;quot" w:cs="Times New Roman"/>
            <w:color w:val="40A9C7"/>
            <w:sz w:val="29"/>
            <w:szCs w:val="29"/>
          </w:rPr>
          <w:t>Special Rapporteur’s recent report (¶¶13, 16</w:t>
        </w:r>
      </w:hyperlink>
      <w:r w:rsidRPr="00166ADF">
        <w:rPr>
          <w:rFonts w:ascii="&amp;quot" w:eastAsia="Times New Roman" w:hAnsi="&amp;quot" w:cs="Times New Roman"/>
          <w:color w:val="2C2C25"/>
          <w:sz w:val="29"/>
          <w:szCs w:val="29"/>
        </w:rPr>
        <w:t>).</w:t>
      </w:r>
    </w:p>
    <w:p w:rsidR="00166ADF" w:rsidRPr="00166ADF" w:rsidRDefault="00166ADF" w:rsidP="007522CE">
      <w:pPr>
        <w:spacing w:after="450" w:line="450" w:lineRule="atLeast"/>
        <w:jc w:val="both"/>
        <w:rPr>
          <w:rFonts w:ascii="&amp;quot" w:eastAsia="Times New Roman" w:hAnsi="&amp;quot" w:cs="Times New Roman"/>
          <w:color w:val="2C2C25"/>
          <w:sz w:val="29"/>
          <w:szCs w:val="29"/>
        </w:rPr>
      </w:pPr>
      <w:r w:rsidRPr="00166ADF">
        <w:rPr>
          <w:rFonts w:ascii="&amp;quot" w:eastAsia="Times New Roman" w:hAnsi="&amp;quot" w:cs="Times New Roman"/>
          <w:color w:val="2C2C25"/>
          <w:sz w:val="29"/>
          <w:szCs w:val="29"/>
        </w:rPr>
        <w:t xml:space="preserve">Similarly, the UN system affords freedom of religion more protection than does the ECHR system, as highlighted by </w:t>
      </w:r>
      <w:hyperlink r:id="rId13" w:tgtFrame="_blank" w:history="1">
        <w:r w:rsidRPr="00166ADF">
          <w:rPr>
            <w:rFonts w:ascii="&amp;quot" w:eastAsia="Times New Roman" w:hAnsi="&amp;quot" w:cs="Times New Roman"/>
            <w:color w:val="40A9C7"/>
            <w:sz w:val="29"/>
            <w:szCs w:val="29"/>
          </w:rPr>
          <w:t>the Human Rights Committee’s disagreement with the ECtHR’s approach to restrictions on religious dress</w:t>
        </w:r>
      </w:hyperlink>
      <w:r w:rsidRPr="00166ADF">
        <w:rPr>
          <w:rFonts w:ascii="&amp;quot" w:eastAsia="Times New Roman" w:hAnsi="&amp;quot" w:cs="Times New Roman"/>
          <w:color w:val="2C2C25"/>
          <w:sz w:val="29"/>
          <w:szCs w:val="29"/>
        </w:rPr>
        <w:t xml:space="preserve">. The ECtHR also has approved of restrictions on the freedom of assembly, including the complete </w:t>
      </w:r>
      <w:hyperlink r:id="rId14" w:anchor="{&quot;itemid&quot;:[&quot;001-122183&quot;]}" w:tgtFrame="_blank" w:history="1">
        <w:r w:rsidRPr="00166ADF">
          <w:rPr>
            <w:rFonts w:ascii="&amp;quot" w:eastAsia="Times New Roman" w:hAnsi="&amp;quot" w:cs="Times New Roman"/>
            <w:color w:val="40A9C7"/>
            <w:sz w:val="29"/>
            <w:szCs w:val="29"/>
          </w:rPr>
          <w:t>dissolution</w:t>
        </w:r>
      </w:hyperlink>
      <w:r w:rsidRPr="00166ADF">
        <w:rPr>
          <w:rFonts w:ascii="&amp;quot" w:eastAsia="Times New Roman" w:hAnsi="&amp;quot" w:cs="Times New Roman"/>
          <w:color w:val="2C2C25"/>
          <w:sz w:val="29"/>
          <w:szCs w:val="29"/>
        </w:rPr>
        <w:t xml:space="preserve"> of a group that promoted racist views, on the basis of reasoning that likely would not have met the UN machinery’s tripartite test.</w:t>
      </w:r>
    </w:p>
    <w:p w:rsidR="00166ADF" w:rsidRPr="00166ADF" w:rsidRDefault="00166ADF" w:rsidP="007522CE">
      <w:pPr>
        <w:spacing w:after="450" w:line="450" w:lineRule="atLeast"/>
        <w:jc w:val="both"/>
        <w:rPr>
          <w:rFonts w:ascii="&amp;quot" w:eastAsia="Times New Roman" w:hAnsi="&amp;quot" w:cs="Times New Roman"/>
          <w:color w:val="2C2C25"/>
          <w:sz w:val="29"/>
          <w:szCs w:val="29"/>
        </w:rPr>
      </w:pPr>
      <w:r w:rsidRPr="00166ADF">
        <w:rPr>
          <w:rFonts w:ascii="&amp;quot" w:eastAsia="Times New Roman" w:hAnsi="&amp;quot" w:cs="Times New Roman"/>
          <w:color w:val="2C2C25"/>
          <w:sz w:val="29"/>
          <w:szCs w:val="29"/>
        </w:rPr>
        <w:lastRenderedPageBreak/>
        <w:t>The risk of unfavorable regional norms migrating into (and narrowing) the UN machinery’s view of ICCPR protections is not only foreseeable, but already evident in the Committee’s draft. For example, Draft GC 37 states at ¶ 57 that assemblies that fall within the scope of ICCPR Article 20’s prohibitions on war propaganda or advocacy of national, racial, or religious hatred that constitutes incitement to particular harms must be banned. It only mentions in a footnote that any such bans must meet the tripartite test of legality, necessity and legitimacy. This treatment of the tripartite test as an after-thought, rather than a rigorous precondition for banning expression, departs from views of the Committee and the Special Rapporteur and leans more toward the ECtHR’s approach to offensive speech.</w:t>
      </w:r>
    </w:p>
    <w:p w:rsidR="00166ADF" w:rsidRPr="00166ADF" w:rsidRDefault="00166ADF" w:rsidP="007522CE">
      <w:pPr>
        <w:spacing w:after="450" w:line="450" w:lineRule="atLeast"/>
        <w:jc w:val="both"/>
        <w:rPr>
          <w:rFonts w:ascii="&amp;quot" w:eastAsia="Times New Roman" w:hAnsi="&amp;quot" w:cs="Times New Roman"/>
          <w:color w:val="2C2C25"/>
          <w:sz w:val="29"/>
          <w:szCs w:val="29"/>
        </w:rPr>
      </w:pPr>
      <w:r w:rsidRPr="00166ADF">
        <w:rPr>
          <w:rFonts w:ascii="&amp;quot" w:eastAsia="Times New Roman" w:hAnsi="&amp;quot" w:cs="Times New Roman"/>
          <w:color w:val="2C2C25"/>
          <w:sz w:val="29"/>
          <w:szCs w:val="29"/>
        </w:rPr>
        <w:t xml:space="preserve">What’s more, the draft heightens the risk of collapsing ICCPR and regional norms and creating confusion when it says (in paragraph 3) that the ICCPR’s protection for freedom of assembly is “articulated in similar general terms in other </w:t>
      </w:r>
      <w:r w:rsidRPr="00166ADF">
        <w:rPr>
          <w:rFonts w:ascii="&amp;quot" w:eastAsia="Times New Roman" w:hAnsi="&amp;quot" w:cs="Times New Roman"/>
          <w:i/>
          <w:iCs/>
          <w:color w:val="2C2C25"/>
          <w:sz w:val="29"/>
          <w:szCs w:val="29"/>
        </w:rPr>
        <w:t>international</w:t>
      </w:r>
      <w:r w:rsidRPr="00166ADF">
        <w:rPr>
          <w:rFonts w:ascii="&amp;quot" w:eastAsia="Times New Roman" w:hAnsi="&amp;quot" w:cs="Times New Roman"/>
          <w:color w:val="2C2C25"/>
          <w:sz w:val="29"/>
          <w:szCs w:val="29"/>
        </w:rPr>
        <w:t xml:space="preserve">, including </w:t>
      </w:r>
      <w:r w:rsidRPr="00166ADF">
        <w:rPr>
          <w:rFonts w:ascii="&amp;quot" w:eastAsia="Times New Roman" w:hAnsi="&amp;quot" w:cs="Times New Roman"/>
          <w:i/>
          <w:iCs/>
          <w:color w:val="2C2C25"/>
          <w:sz w:val="29"/>
          <w:szCs w:val="29"/>
        </w:rPr>
        <w:t>regional</w:t>
      </w:r>
      <w:r w:rsidRPr="00166ADF">
        <w:rPr>
          <w:rFonts w:ascii="&amp;quot" w:eastAsia="Times New Roman" w:hAnsi="&amp;quot" w:cs="Times New Roman"/>
          <w:color w:val="2C2C25"/>
          <w:sz w:val="29"/>
          <w:szCs w:val="29"/>
        </w:rPr>
        <w:t xml:space="preserve">, instruments. The content of the right has been elaborated upon by </w:t>
      </w:r>
      <w:r w:rsidRPr="00166ADF">
        <w:rPr>
          <w:rFonts w:ascii="&amp;quot" w:eastAsia="Times New Roman" w:hAnsi="&amp;quot" w:cs="Times New Roman"/>
          <w:i/>
          <w:iCs/>
          <w:color w:val="2C2C25"/>
          <w:sz w:val="29"/>
          <w:szCs w:val="29"/>
        </w:rPr>
        <w:t>international</w:t>
      </w:r>
      <w:r w:rsidRPr="00166ADF">
        <w:rPr>
          <w:rFonts w:ascii="&amp;quot" w:eastAsia="Times New Roman" w:hAnsi="&amp;quot" w:cs="Times New Roman"/>
          <w:color w:val="2C2C25"/>
          <w:sz w:val="29"/>
          <w:szCs w:val="29"/>
        </w:rPr>
        <w:t xml:space="preserve"> bodies” (emphasis added), which the footnote defines as </w:t>
      </w:r>
      <w:r w:rsidRPr="00166ADF">
        <w:rPr>
          <w:rFonts w:ascii="&amp;quot" w:eastAsia="Times New Roman" w:hAnsi="&amp;quot" w:cs="Times New Roman"/>
          <w:color w:val="2C2C25"/>
          <w:sz w:val="29"/>
          <w:szCs w:val="29"/>
        </w:rPr>
        <w:lastRenderedPageBreak/>
        <w:t xml:space="preserve">encompassing regional sources that include the </w:t>
      </w:r>
      <w:hyperlink r:id="rId15" w:tgtFrame="_blank" w:history="1">
        <w:r w:rsidRPr="00166ADF">
          <w:rPr>
            <w:rFonts w:ascii="&amp;quot" w:eastAsia="Times New Roman" w:hAnsi="&amp;quot" w:cs="Times New Roman"/>
            <w:color w:val="40A9C7"/>
            <w:sz w:val="29"/>
            <w:szCs w:val="29"/>
          </w:rPr>
          <w:t>Arab Charter on Human Rights</w:t>
        </w:r>
      </w:hyperlink>
      <w:r w:rsidRPr="00166ADF">
        <w:rPr>
          <w:rFonts w:ascii="&amp;quot" w:eastAsia="Times New Roman" w:hAnsi="&amp;quot" w:cs="Times New Roman"/>
          <w:color w:val="2C2C25"/>
          <w:sz w:val="29"/>
          <w:szCs w:val="29"/>
        </w:rPr>
        <w:t xml:space="preserve">. While the Arab Charter has a similar provision to the ICCPR’s article on freedom of assembly, it contains other provisions that risk narrowing assembly rights significantly, including that men and women are equal “within the framework of the positive discrimination established in </w:t>
      </w:r>
      <w:proofErr w:type="spellStart"/>
      <w:r w:rsidRPr="00166ADF">
        <w:rPr>
          <w:rFonts w:ascii="&amp;quot" w:eastAsia="Times New Roman" w:hAnsi="&amp;quot" w:cs="Times New Roman"/>
          <w:color w:val="2C2C25"/>
          <w:sz w:val="29"/>
          <w:szCs w:val="29"/>
        </w:rPr>
        <w:t>favour</w:t>
      </w:r>
      <w:proofErr w:type="spellEnd"/>
      <w:r w:rsidRPr="00166ADF">
        <w:rPr>
          <w:rFonts w:ascii="&amp;quot" w:eastAsia="Times New Roman" w:hAnsi="&amp;quot" w:cs="Times New Roman"/>
          <w:color w:val="2C2C25"/>
          <w:sz w:val="29"/>
          <w:szCs w:val="29"/>
        </w:rPr>
        <w:t xml:space="preserve"> of women by the Islamic Shariah, other divine laws and by applicable laws and legal instruments” (Art. 3, ¶3), that freedom of expression may only be “exercised in conformity with the fundamental values of society” (Art. 32, ¶2), and that political participation rights are subject to limitations not found in the ICCPR (Art. 24, ¶¶1-4, 7).</w:t>
      </w:r>
    </w:p>
    <w:p w:rsidR="00166ADF" w:rsidRPr="00166ADF" w:rsidRDefault="00166ADF" w:rsidP="007522CE">
      <w:pPr>
        <w:spacing w:after="450" w:line="450" w:lineRule="atLeast"/>
        <w:jc w:val="both"/>
        <w:rPr>
          <w:rFonts w:ascii="&amp;quot" w:eastAsia="Times New Roman" w:hAnsi="&amp;quot" w:cs="Times New Roman"/>
          <w:color w:val="2C2C25"/>
          <w:sz w:val="29"/>
          <w:szCs w:val="29"/>
        </w:rPr>
      </w:pPr>
      <w:r w:rsidRPr="00166ADF">
        <w:rPr>
          <w:rFonts w:ascii="&amp;quot" w:eastAsia="Times New Roman" w:hAnsi="&amp;quot" w:cs="Times New Roman"/>
          <w:color w:val="2C2C25"/>
          <w:sz w:val="29"/>
          <w:szCs w:val="29"/>
        </w:rPr>
        <w:t xml:space="preserve">Indeed, the UN system (in which all UN member states can participate) and the various regional systems (which are developed by and open to only particular groupings of states) focus on different treaties or other instruments and have different monitoring mechanisms that do not consistently interpret human rights in the same way. By using language that seems to lump the UN and regional mechanisms into one “international” system, Draft GC 37 risks exacerbating existing </w:t>
      </w:r>
      <w:r w:rsidRPr="00166ADF">
        <w:rPr>
          <w:rFonts w:ascii="&amp;quot" w:eastAsia="Times New Roman" w:hAnsi="&amp;quot" w:cs="Times New Roman"/>
          <w:color w:val="2C2C25"/>
          <w:sz w:val="29"/>
          <w:szCs w:val="29"/>
        </w:rPr>
        <w:lastRenderedPageBreak/>
        <w:t xml:space="preserve">(and misguided) critiques that the UN’s human rights system is unworkable because of numerous conflicting interpretations between UN bodies and regional human rights machinery, an argument which I have refuted </w:t>
      </w:r>
      <w:hyperlink r:id="rId16" w:tgtFrame="_blank" w:history="1">
        <w:r w:rsidRPr="00166ADF">
          <w:rPr>
            <w:rFonts w:ascii="&amp;quot" w:eastAsia="Times New Roman" w:hAnsi="&amp;quot" w:cs="Times New Roman"/>
            <w:color w:val="40A9C7"/>
            <w:sz w:val="29"/>
            <w:szCs w:val="29"/>
          </w:rPr>
          <w:t>elsewhere</w:t>
        </w:r>
      </w:hyperlink>
      <w:r w:rsidRPr="00166ADF">
        <w:rPr>
          <w:rFonts w:ascii="&amp;quot" w:eastAsia="Times New Roman" w:hAnsi="&amp;quot" w:cs="Times New Roman"/>
          <w:color w:val="2C2C25"/>
          <w:sz w:val="29"/>
          <w:szCs w:val="29"/>
        </w:rPr>
        <w:t>.</w:t>
      </w:r>
    </w:p>
    <w:p w:rsidR="00166ADF" w:rsidRPr="00166ADF" w:rsidRDefault="00166ADF" w:rsidP="007522CE">
      <w:pPr>
        <w:spacing w:after="450" w:line="450" w:lineRule="atLeast"/>
        <w:jc w:val="both"/>
        <w:rPr>
          <w:rFonts w:ascii="&amp;quot" w:eastAsia="Times New Roman" w:hAnsi="&amp;quot" w:cs="Times New Roman"/>
          <w:color w:val="2C2C25"/>
          <w:sz w:val="29"/>
          <w:szCs w:val="29"/>
        </w:rPr>
      </w:pPr>
      <w:r w:rsidRPr="00166ADF">
        <w:rPr>
          <w:rFonts w:ascii="&amp;quot" w:eastAsia="Times New Roman" w:hAnsi="&amp;quot" w:cs="Times New Roman"/>
          <w:color w:val="2C2C25"/>
          <w:sz w:val="29"/>
          <w:szCs w:val="29"/>
        </w:rPr>
        <w:t xml:space="preserve">Citing to regional jurisprudence in general comments also risks giving momentum to the increasing propensity of countries to improperly use regional human rights machinery as a shield against findings of ICCPR violations. For example, when the Special Rapporteur advised Germany that its </w:t>
      </w:r>
      <w:hyperlink r:id="rId17" w:tgtFrame="_blank" w:history="1">
        <w:proofErr w:type="spellStart"/>
        <w:r w:rsidRPr="00166ADF">
          <w:rPr>
            <w:rFonts w:ascii="&amp;quot" w:eastAsia="Times New Roman" w:hAnsi="&amp;quot" w:cs="Times New Roman"/>
            <w:color w:val="40A9C7"/>
            <w:sz w:val="29"/>
            <w:szCs w:val="29"/>
          </w:rPr>
          <w:t>NetzDG</w:t>
        </w:r>
        <w:proofErr w:type="spellEnd"/>
        <w:r w:rsidRPr="00166ADF">
          <w:rPr>
            <w:rFonts w:ascii="&amp;quot" w:eastAsia="Times New Roman" w:hAnsi="&amp;quot" w:cs="Times New Roman"/>
            <w:color w:val="40A9C7"/>
            <w:sz w:val="29"/>
            <w:szCs w:val="29"/>
          </w:rPr>
          <w:t xml:space="preserve"> law did not comply with the ICCPR protections for freedom of expression</w:t>
        </w:r>
      </w:hyperlink>
      <w:r w:rsidRPr="00166ADF">
        <w:rPr>
          <w:rFonts w:ascii="&amp;quot" w:eastAsia="Times New Roman" w:hAnsi="&amp;quot" w:cs="Times New Roman"/>
          <w:color w:val="2C2C25"/>
          <w:sz w:val="29"/>
          <w:szCs w:val="29"/>
        </w:rPr>
        <w:t xml:space="preserve">, Germany defended itself </w:t>
      </w:r>
      <w:hyperlink r:id="rId18" w:tgtFrame="_blank" w:history="1">
        <w:r w:rsidRPr="00166ADF">
          <w:rPr>
            <w:rFonts w:ascii="&amp;quot" w:eastAsia="Times New Roman" w:hAnsi="&amp;quot" w:cs="Times New Roman"/>
            <w:color w:val="40A9C7"/>
            <w:sz w:val="29"/>
            <w:szCs w:val="29"/>
          </w:rPr>
          <w:t>by citing to ECtHR jurisprudence</w:t>
        </w:r>
      </w:hyperlink>
      <w:r w:rsidRPr="00166ADF">
        <w:rPr>
          <w:rFonts w:ascii="&amp;quot" w:eastAsia="Times New Roman" w:hAnsi="&amp;quot" w:cs="Times New Roman"/>
          <w:color w:val="2C2C25"/>
          <w:sz w:val="29"/>
          <w:szCs w:val="29"/>
        </w:rPr>
        <w:t xml:space="preserve"> that was more permissive of speech restrictions than the UN system. As noted by </w:t>
      </w:r>
      <w:hyperlink r:id="rId19" w:tgtFrame="_blank" w:history="1">
        <w:r w:rsidRPr="00166ADF">
          <w:rPr>
            <w:rFonts w:ascii="&amp;quot" w:eastAsia="Times New Roman" w:hAnsi="&amp;quot" w:cs="Times New Roman"/>
            <w:color w:val="40A9C7"/>
            <w:sz w:val="29"/>
            <w:szCs w:val="29"/>
          </w:rPr>
          <w:t>the Special Rapporteur (¶ 26</w:t>
        </w:r>
      </w:hyperlink>
      <w:r w:rsidRPr="00166ADF">
        <w:rPr>
          <w:rFonts w:ascii="&amp;quot" w:eastAsia="Times New Roman" w:hAnsi="&amp;quot" w:cs="Times New Roman"/>
          <w:color w:val="2C2C25"/>
          <w:sz w:val="29"/>
          <w:szCs w:val="29"/>
        </w:rPr>
        <w:t>), “[r]</w:t>
      </w:r>
      <w:proofErr w:type="spellStart"/>
      <w:r w:rsidRPr="00166ADF">
        <w:rPr>
          <w:rFonts w:ascii="&amp;quot" w:eastAsia="Times New Roman" w:hAnsi="&amp;quot" w:cs="Times New Roman"/>
          <w:color w:val="2C2C25"/>
          <w:sz w:val="29"/>
          <w:szCs w:val="29"/>
        </w:rPr>
        <w:t>egional</w:t>
      </w:r>
      <w:proofErr w:type="spellEnd"/>
      <w:r w:rsidRPr="00166ADF">
        <w:rPr>
          <w:rFonts w:ascii="&amp;quot" w:eastAsia="Times New Roman" w:hAnsi="&amp;quot" w:cs="Times New Roman"/>
          <w:color w:val="2C2C25"/>
          <w:sz w:val="29"/>
          <w:szCs w:val="29"/>
        </w:rPr>
        <w:t xml:space="preserve"> human rights norms cannot … be invoked to justify departure from international human rights protections.”</w:t>
      </w:r>
    </w:p>
    <w:p w:rsidR="00166ADF" w:rsidRPr="00166ADF" w:rsidRDefault="00166ADF" w:rsidP="007522CE">
      <w:pPr>
        <w:spacing w:after="450" w:line="450" w:lineRule="atLeast"/>
        <w:jc w:val="both"/>
        <w:rPr>
          <w:rFonts w:ascii="&amp;quot" w:eastAsia="Times New Roman" w:hAnsi="&amp;quot" w:cs="Times New Roman"/>
          <w:color w:val="2C2C25"/>
          <w:sz w:val="29"/>
          <w:szCs w:val="29"/>
        </w:rPr>
      </w:pPr>
      <w:r w:rsidRPr="00166ADF">
        <w:rPr>
          <w:rFonts w:ascii="&amp;quot" w:eastAsia="Times New Roman" w:hAnsi="&amp;quot" w:cs="Times New Roman"/>
          <w:color w:val="2C2C25"/>
          <w:sz w:val="29"/>
          <w:szCs w:val="29"/>
        </w:rPr>
        <w:t xml:space="preserve">Finally, this novel practice of citing to regional norms in general comments risks adversely affecting the impact and stature of the Human Rights Committee itself in the long run. Ironically, if the Committee’s </w:t>
      </w:r>
      <w:r w:rsidRPr="00166ADF">
        <w:rPr>
          <w:rFonts w:ascii="&amp;quot" w:eastAsia="Times New Roman" w:hAnsi="&amp;quot" w:cs="Times New Roman"/>
          <w:color w:val="2C2C25"/>
          <w:sz w:val="29"/>
          <w:szCs w:val="29"/>
        </w:rPr>
        <w:lastRenderedPageBreak/>
        <w:t xml:space="preserve">intention in citing to regional norms is to attract more countries into supporting the Committee’s views, it may unfortunately have the opposite effect. How will the majority of ICCPR State Parties who are not parties to the European Convention on Human Rights or members of the OSCE react to the fact that the vast majority of the regional citations are from these two Europe-focused bodies? Will they wonder if general comments have become a way to import European norms into UN human rights treaties? Is it fair for a particular region with abundant human rights jurisprudence </w:t>
      </w:r>
      <w:proofErr w:type="gramStart"/>
      <w:r w:rsidRPr="00166ADF">
        <w:rPr>
          <w:rFonts w:ascii="&amp;quot" w:eastAsia="Times New Roman" w:hAnsi="&amp;quot" w:cs="Times New Roman"/>
          <w:color w:val="2C2C25"/>
          <w:sz w:val="29"/>
          <w:szCs w:val="29"/>
        </w:rPr>
        <w:t>to disproportionately influence</w:t>
      </w:r>
      <w:proofErr w:type="gramEnd"/>
      <w:r w:rsidRPr="00166ADF">
        <w:rPr>
          <w:rFonts w:ascii="&amp;quot" w:eastAsia="Times New Roman" w:hAnsi="&amp;quot" w:cs="Times New Roman"/>
          <w:color w:val="2C2C25"/>
          <w:sz w:val="29"/>
          <w:szCs w:val="29"/>
        </w:rPr>
        <w:t xml:space="preserve"> interpretations by the UN’s human rights machinery?</w:t>
      </w:r>
    </w:p>
    <w:p w:rsidR="00166ADF" w:rsidRPr="00166ADF" w:rsidRDefault="00166ADF" w:rsidP="007522CE">
      <w:pPr>
        <w:spacing w:after="450" w:line="450" w:lineRule="atLeast"/>
        <w:jc w:val="both"/>
        <w:rPr>
          <w:rFonts w:ascii="&amp;quot" w:eastAsia="Times New Roman" w:hAnsi="&amp;quot" w:cs="Times New Roman"/>
          <w:color w:val="2C2C25"/>
          <w:sz w:val="29"/>
          <w:szCs w:val="29"/>
        </w:rPr>
      </w:pPr>
      <w:r w:rsidRPr="00166ADF">
        <w:rPr>
          <w:rFonts w:ascii="&amp;quot" w:eastAsia="Times New Roman" w:hAnsi="&amp;quot" w:cs="Times New Roman"/>
          <w:color w:val="2C2C25"/>
          <w:sz w:val="29"/>
          <w:szCs w:val="29"/>
        </w:rPr>
        <w:t xml:space="preserve">Might other western countries, such as the United States—which has often disagreed with the ECtHR’s decisions on the freedoms of religion, expression, and assembly—invoke the Committee’s new practice as a reason to (further) distance themselves from general comments? Will questions arise about why Draft GC 37 does not include citations to other regional human rights instruments, such as </w:t>
      </w:r>
      <w:hyperlink r:id="rId20" w:tgtFrame="_blank" w:history="1">
        <w:r w:rsidRPr="00166ADF">
          <w:rPr>
            <w:rFonts w:ascii="&amp;quot" w:eastAsia="Times New Roman" w:hAnsi="&amp;quot" w:cs="Times New Roman"/>
            <w:color w:val="40A9C7"/>
            <w:sz w:val="29"/>
            <w:szCs w:val="29"/>
          </w:rPr>
          <w:t>ASEAN’s Declaration on Human Rights</w:t>
        </w:r>
      </w:hyperlink>
      <w:r w:rsidRPr="00166ADF">
        <w:rPr>
          <w:rFonts w:ascii="&amp;quot" w:eastAsia="Times New Roman" w:hAnsi="&amp;quot" w:cs="Times New Roman"/>
          <w:color w:val="2C2C25"/>
          <w:sz w:val="29"/>
          <w:szCs w:val="29"/>
        </w:rPr>
        <w:t xml:space="preserve">, which itself was criticized by the </w:t>
      </w:r>
      <w:r w:rsidRPr="00166ADF">
        <w:rPr>
          <w:rFonts w:ascii="&amp;quot" w:eastAsia="Times New Roman" w:hAnsi="&amp;quot" w:cs="Times New Roman"/>
          <w:color w:val="2C2C25"/>
          <w:sz w:val="29"/>
          <w:szCs w:val="29"/>
        </w:rPr>
        <w:lastRenderedPageBreak/>
        <w:t xml:space="preserve">Obama Administration </w:t>
      </w:r>
      <w:hyperlink r:id="rId21" w:tgtFrame="_blank" w:history="1">
        <w:r w:rsidRPr="00166ADF">
          <w:rPr>
            <w:rFonts w:ascii="&amp;quot" w:eastAsia="Times New Roman" w:hAnsi="&amp;quot" w:cs="Times New Roman"/>
            <w:color w:val="40A9C7"/>
            <w:sz w:val="29"/>
            <w:szCs w:val="29"/>
          </w:rPr>
          <w:t>for departing from UN human rights standards</w:t>
        </w:r>
      </w:hyperlink>
      <w:r w:rsidRPr="00166ADF">
        <w:rPr>
          <w:rFonts w:ascii="&amp;quot" w:eastAsia="Times New Roman" w:hAnsi="&amp;quot" w:cs="Times New Roman"/>
          <w:color w:val="2C2C25"/>
          <w:sz w:val="29"/>
          <w:szCs w:val="29"/>
        </w:rPr>
        <w:t>? These are all important concerns that bear careful consideration.</w:t>
      </w:r>
    </w:p>
    <w:p w:rsidR="00166ADF" w:rsidRPr="00166ADF" w:rsidRDefault="00166ADF" w:rsidP="00166ADF">
      <w:pPr>
        <w:spacing w:after="450" w:line="450" w:lineRule="atLeast"/>
        <w:rPr>
          <w:rFonts w:ascii="&amp;quot" w:eastAsia="Times New Roman" w:hAnsi="&amp;quot" w:cs="Times New Roman"/>
          <w:color w:val="2C2C25"/>
          <w:sz w:val="29"/>
          <w:szCs w:val="29"/>
        </w:rPr>
      </w:pPr>
      <w:r w:rsidRPr="00166ADF">
        <w:rPr>
          <w:rFonts w:ascii="&amp;quot" w:eastAsia="Times New Roman" w:hAnsi="&amp;quot" w:cs="Times New Roman"/>
          <w:b/>
          <w:bCs/>
          <w:color w:val="2C2C25"/>
          <w:sz w:val="29"/>
          <w:szCs w:val="29"/>
        </w:rPr>
        <w:t>Ways Forward</w:t>
      </w:r>
    </w:p>
    <w:p w:rsidR="00166ADF" w:rsidRPr="00166ADF" w:rsidRDefault="00166ADF" w:rsidP="007522CE">
      <w:pPr>
        <w:spacing w:after="450" w:line="450" w:lineRule="atLeast"/>
        <w:jc w:val="both"/>
        <w:rPr>
          <w:rFonts w:ascii="&amp;quot" w:eastAsia="Times New Roman" w:hAnsi="&amp;quot" w:cs="Times New Roman"/>
          <w:color w:val="2C2C25"/>
          <w:sz w:val="29"/>
          <w:szCs w:val="29"/>
        </w:rPr>
      </w:pPr>
      <w:r w:rsidRPr="00166ADF">
        <w:rPr>
          <w:rFonts w:ascii="&amp;quot" w:eastAsia="Times New Roman" w:hAnsi="&amp;quot" w:cs="Times New Roman"/>
          <w:color w:val="2C2C25"/>
          <w:sz w:val="29"/>
          <w:szCs w:val="29"/>
        </w:rPr>
        <w:t xml:space="preserve">If the objective of citing to regional instruments and jurisprudence in general comments is to bring more countries into the ICCPR tent, this goal is better achieved by a number of best practices already reflected in the Committee’s work, including its </w:t>
      </w:r>
      <w:hyperlink r:id="rId22" w:tgtFrame="_blank" w:history="1">
        <w:r w:rsidRPr="00166ADF">
          <w:rPr>
            <w:rFonts w:ascii="&amp;quot" w:eastAsia="Times New Roman" w:hAnsi="&amp;quot" w:cs="Times New Roman"/>
            <w:color w:val="40A9C7"/>
            <w:sz w:val="29"/>
            <w:szCs w:val="29"/>
          </w:rPr>
          <w:t>diverse membership</w:t>
        </w:r>
      </w:hyperlink>
      <w:r w:rsidRPr="00166ADF">
        <w:rPr>
          <w:rFonts w:ascii="&amp;quot" w:eastAsia="Times New Roman" w:hAnsi="&amp;quot" w:cs="Times New Roman"/>
          <w:color w:val="2C2C25"/>
          <w:sz w:val="29"/>
          <w:szCs w:val="29"/>
        </w:rPr>
        <w:t xml:space="preserve">, its transparency measures such as making its deliberations on Draft GC 37 available for viewing on the UN website, and its request for the views of stakeholders around the world in </w:t>
      </w:r>
      <w:hyperlink r:id="rId23" w:tgtFrame="_blank" w:history="1">
        <w:r w:rsidRPr="00166ADF">
          <w:rPr>
            <w:rFonts w:ascii="&amp;quot" w:eastAsia="Times New Roman" w:hAnsi="&amp;quot" w:cs="Times New Roman"/>
            <w:color w:val="40A9C7"/>
            <w:sz w:val="29"/>
            <w:szCs w:val="29"/>
          </w:rPr>
          <w:t>preparing</w:t>
        </w:r>
      </w:hyperlink>
      <w:r w:rsidRPr="00166ADF">
        <w:rPr>
          <w:rFonts w:ascii="&amp;quot" w:eastAsia="Times New Roman" w:hAnsi="&amp;quot" w:cs="Times New Roman"/>
          <w:color w:val="2C2C25"/>
          <w:sz w:val="29"/>
          <w:szCs w:val="29"/>
        </w:rPr>
        <w:t xml:space="preserve"> and </w:t>
      </w:r>
      <w:hyperlink r:id="rId24" w:tgtFrame="_blank" w:history="1">
        <w:r w:rsidRPr="00166ADF">
          <w:rPr>
            <w:rFonts w:ascii="&amp;quot" w:eastAsia="Times New Roman" w:hAnsi="&amp;quot" w:cs="Times New Roman"/>
            <w:color w:val="40A9C7"/>
            <w:sz w:val="29"/>
            <w:szCs w:val="29"/>
          </w:rPr>
          <w:t>finalizing</w:t>
        </w:r>
      </w:hyperlink>
      <w:r w:rsidRPr="00166ADF">
        <w:rPr>
          <w:rFonts w:ascii="&amp;quot" w:eastAsia="Times New Roman" w:hAnsi="&amp;quot" w:cs="Times New Roman"/>
          <w:color w:val="2C2C25"/>
          <w:sz w:val="29"/>
          <w:szCs w:val="29"/>
        </w:rPr>
        <w:t xml:space="preserve"> GC 37.</w:t>
      </w:r>
    </w:p>
    <w:p w:rsidR="00166ADF" w:rsidRPr="00166ADF" w:rsidRDefault="00166ADF" w:rsidP="007522CE">
      <w:pPr>
        <w:spacing w:after="450" w:line="450" w:lineRule="atLeast"/>
        <w:jc w:val="both"/>
        <w:rPr>
          <w:rFonts w:ascii="&amp;quot" w:eastAsia="Times New Roman" w:hAnsi="&amp;quot" w:cs="Times New Roman"/>
          <w:color w:val="2C2C25"/>
          <w:sz w:val="29"/>
          <w:szCs w:val="29"/>
        </w:rPr>
      </w:pPr>
      <w:r w:rsidRPr="00166ADF">
        <w:rPr>
          <w:rFonts w:ascii="&amp;quot" w:eastAsia="Times New Roman" w:hAnsi="&amp;quot" w:cs="Times New Roman"/>
          <w:color w:val="2C2C25"/>
          <w:sz w:val="29"/>
          <w:szCs w:val="29"/>
        </w:rPr>
        <w:t xml:space="preserve">What’s more, it is unnecessary to cite to regional sources to justify many of the conclusions in Draft GC 37. For example, a significant number of footnotes contain citations to both UN sources and regional jurisprudence as support for particular conclusions. In such cases, the </w:t>
      </w:r>
      <w:r w:rsidRPr="00166ADF">
        <w:rPr>
          <w:rFonts w:ascii="&amp;quot" w:eastAsia="Times New Roman" w:hAnsi="&amp;quot" w:cs="Times New Roman"/>
          <w:color w:val="2C2C25"/>
          <w:sz w:val="29"/>
          <w:szCs w:val="29"/>
        </w:rPr>
        <w:lastRenderedPageBreak/>
        <w:t>regional citations may be superfluous and the Committee should consider dropping them, given the risks outlined above.</w:t>
      </w:r>
    </w:p>
    <w:p w:rsidR="00166ADF" w:rsidRPr="00166ADF" w:rsidRDefault="00166ADF" w:rsidP="007522CE">
      <w:pPr>
        <w:spacing w:after="450" w:line="450" w:lineRule="atLeast"/>
        <w:jc w:val="both"/>
        <w:rPr>
          <w:rFonts w:ascii="&amp;quot" w:eastAsia="Times New Roman" w:hAnsi="&amp;quot" w:cs="Times New Roman"/>
          <w:color w:val="2C2C25"/>
          <w:sz w:val="29"/>
          <w:szCs w:val="29"/>
        </w:rPr>
      </w:pPr>
      <w:r w:rsidRPr="00166ADF">
        <w:rPr>
          <w:rFonts w:ascii="&amp;quot" w:eastAsia="Times New Roman" w:hAnsi="&amp;quot" w:cs="Times New Roman"/>
          <w:color w:val="2C2C25"/>
          <w:sz w:val="29"/>
          <w:szCs w:val="29"/>
        </w:rPr>
        <w:t xml:space="preserve">Also, the Committee should seek out additional UN sources that could render even more regional citations unnecessary. For example, footnote 25 of Draft GC 37 cites to two ECtHR decisions for the proposition that governments should protect protesters from interference by non-state actors. If the Committee’s prior work—as set forth in concluding observations, decisions on individual complaints, and general comments—does not provide a sufficient basis for such a conclusion, the Committee could turn to other entities within the UN’s human rights machinery as potential sources before resorting to citing regional norms. In the case of footnote 25, for instance, the UN Special Rapporteur on freedom of assembly has already observed that members of assemblies should be protected from non-state actor interference in his </w:t>
      </w:r>
      <w:hyperlink r:id="rId25" w:tgtFrame="_blank" w:history="1">
        <w:r w:rsidRPr="00166ADF">
          <w:rPr>
            <w:rFonts w:ascii="&amp;quot" w:eastAsia="Times New Roman" w:hAnsi="&amp;quot" w:cs="Times New Roman"/>
            <w:color w:val="40A9C7"/>
            <w:sz w:val="29"/>
            <w:szCs w:val="29"/>
          </w:rPr>
          <w:t>2012 report to the Human Rights Council (¶ 33)</w:t>
        </w:r>
      </w:hyperlink>
      <w:r w:rsidRPr="00166ADF">
        <w:rPr>
          <w:rFonts w:ascii="&amp;quot" w:eastAsia="Times New Roman" w:hAnsi="&amp;quot" w:cs="Times New Roman"/>
          <w:color w:val="2C2C25"/>
          <w:sz w:val="29"/>
          <w:szCs w:val="29"/>
        </w:rPr>
        <w:t>.</w:t>
      </w:r>
    </w:p>
    <w:p w:rsidR="00166ADF" w:rsidRPr="00166ADF" w:rsidRDefault="00166ADF" w:rsidP="00166ADF">
      <w:pPr>
        <w:spacing w:after="450" w:line="450" w:lineRule="atLeast"/>
        <w:rPr>
          <w:rFonts w:ascii="&amp;quot" w:eastAsia="Times New Roman" w:hAnsi="&amp;quot" w:cs="Times New Roman"/>
          <w:color w:val="2C2C25"/>
          <w:sz w:val="29"/>
          <w:szCs w:val="29"/>
        </w:rPr>
      </w:pPr>
      <w:r w:rsidRPr="00166ADF">
        <w:rPr>
          <w:rFonts w:ascii="&amp;quot" w:eastAsia="Times New Roman" w:hAnsi="&amp;quot" w:cs="Times New Roman"/>
          <w:b/>
          <w:bCs/>
          <w:color w:val="2C2C25"/>
          <w:sz w:val="29"/>
          <w:szCs w:val="29"/>
        </w:rPr>
        <w:t>Conclusion</w:t>
      </w:r>
    </w:p>
    <w:p w:rsidR="00166ADF" w:rsidRPr="00166ADF" w:rsidRDefault="00166ADF" w:rsidP="007522CE">
      <w:pPr>
        <w:spacing w:after="450" w:line="450" w:lineRule="atLeast"/>
        <w:jc w:val="both"/>
        <w:rPr>
          <w:rFonts w:ascii="&amp;quot" w:eastAsia="Times New Roman" w:hAnsi="&amp;quot" w:cs="Times New Roman"/>
          <w:color w:val="2C2C25"/>
          <w:sz w:val="29"/>
          <w:szCs w:val="29"/>
        </w:rPr>
      </w:pPr>
      <w:r w:rsidRPr="00166ADF">
        <w:rPr>
          <w:rFonts w:ascii="&amp;quot" w:eastAsia="Times New Roman" w:hAnsi="&amp;quot" w:cs="Times New Roman"/>
          <w:color w:val="2C2C25"/>
          <w:sz w:val="29"/>
          <w:szCs w:val="29"/>
        </w:rPr>
        <w:lastRenderedPageBreak/>
        <w:t xml:space="preserve">In sum, cherry picking favorable regional interpretations of human rights requirements to cite to in the footnotes of general comments risks facilitating the migration of unfavorable regional norms into the UN system, as well as alienating many ICCPR State Parties by privileging the jurisprudence of certain regional mechanisms over others. The Committee should avoid citing to regional jurisprudence unless is it </w:t>
      </w:r>
      <w:proofErr w:type="gramStart"/>
      <w:r w:rsidRPr="00166ADF">
        <w:rPr>
          <w:rFonts w:ascii="&amp;quot" w:eastAsia="Times New Roman" w:hAnsi="&amp;quot" w:cs="Times New Roman"/>
          <w:color w:val="2C2C25"/>
          <w:sz w:val="29"/>
          <w:szCs w:val="29"/>
        </w:rPr>
        <w:t>absolutely necessary</w:t>
      </w:r>
      <w:proofErr w:type="gramEnd"/>
      <w:r w:rsidRPr="00166ADF">
        <w:rPr>
          <w:rFonts w:ascii="&amp;quot" w:eastAsia="Times New Roman" w:hAnsi="&amp;quot" w:cs="Times New Roman"/>
          <w:color w:val="2C2C25"/>
          <w:sz w:val="29"/>
          <w:szCs w:val="29"/>
        </w:rPr>
        <w:t xml:space="preserve"> to do so. While it may certainly be useful for the Committee to follow and discuss human rights developments at the regional level, the new practice of relying on regional citations in general comments has more disadvantages than benefits.</w:t>
      </w:r>
    </w:p>
    <w:sectPr w:rsidR="00166ADF" w:rsidRPr="00166A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ADF"/>
    <w:rsid w:val="00166ADF"/>
    <w:rsid w:val="00204B48"/>
    <w:rsid w:val="00247F1C"/>
    <w:rsid w:val="00263C59"/>
    <w:rsid w:val="00682F71"/>
    <w:rsid w:val="00741D69"/>
    <w:rsid w:val="007522CE"/>
    <w:rsid w:val="007F235E"/>
    <w:rsid w:val="008A6314"/>
    <w:rsid w:val="009D423C"/>
    <w:rsid w:val="00AB0A1E"/>
    <w:rsid w:val="00AD6DC3"/>
    <w:rsid w:val="00AE37CA"/>
    <w:rsid w:val="00BA6E80"/>
    <w:rsid w:val="00BC0A19"/>
    <w:rsid w:val="00C25BA3"/>
    <w:rsid w:val="00C524D4"/>
    <w:rsid w:val="00E94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556EE-96B0-484A-AAAE-D67273BC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166AD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166ADF"/>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166AD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66ADF"/>
    <w:rPr>
      <w:i/>
      <w:iCs/>
    </w:rPr>
  </w:style>
  <w:style w:type="character" w:styleId="Hyperlink">
    <w:name w:val="Hyperlink"/>
    <w:basedOn w:val="DefaultParagraphFont"/>
    <w:uiPriority w:val="99"/>
    <w:unhideWhenUsed/>
    <w:rsid w:val="00166ADF"/>
    <w:rPr>
      <w:color w:val="0000FF"/>
      <w:u w:val="single"/>
    </w:rPr>
  </w:style>
  <w:style w:type="character" w:styleId="Strong">
    <w:name w:val="Strong"/>
    <w:basedOn w:val="DefaultParagraphFont"/>
    <w:uiPriority w:val="22"/>
    <w:qFormat/>
    <w:rsid w:val="00166ADF"/>
    <w:rPr>
      <w:b/>
      <w:bCs/>
    </w:rPr>
  </w:style>
  <w:style w:type="character" w:customStyle="1" w:styleId="content-end">
    <w:name w:val="content-end"/>
    <w:basedOn w:val="DefaultParagraphFont"/>
    <w:rsid w:val="00166ADF"/>
  </w:style>
  <w:style w:type="character" w:customStyle="1" w:styleId="UnresolvedMention">
    <w:name w:val="Unresolved Mention"/>
    <w:basedOn w:val="DefaultParagraphFont"/>
    <w:uiPriority w:val="99"/>
    <w:semiHidden/>
    <w:unhideWhenUsed/>
    <w:rsid w:val="007F2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13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binternet.ohchr.org/_layouts/15/treatybodyexternal/Download.aspx?symbolno=CCPR%2fC%2fGC%2f36&amp;Lang=en" TargetMode="External"/><Relationship Id="rId13" Type="http://schemas.openxmlformats.org/officeDocument/2006/relationships/hyperlink" Target="https://www.ejiltalk.org/the-un-human-rights-committee-disagrees-with-the-european-court-of-human-rights-again-the-right-to-manifest-religion-by-wearing-a-burqa/" TargetMode="External"/><Relationship Id="rId18" Type="http://schemas.openxmlformats.org/officeDocument/2006/relationships/hyperlink" Target="https://www.ohchr.org/Documents/Issues/Opinion/Legislation/Reply_Germany21Oct2016.pdf"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2009-2017.state.gov/r/pa/prs/ps/2012/11/200915.htm" TargetMode="External"/><Relationship Id="rId7" Type="http://schemas.openxmlformats.org/officeDocument/2006/relationships/hyperlink" Target="https://tbinternet.ohchr.org/_layouts/15/treatybodyexternal/TBSearch.aspx?Lang=en&amp;TreatyID=8&amp;DocTypeID=11" TargetMode="External"/><Relationship Id="rId12" Type="http://schemas.openxmlformats.org/officeDocument/2006/relationships/hyperlink" Target="https://www.ohchr.org/Documents/Issues/Opinion/A_74_486.pdf" TargetMode="External"/><Relationship Id="rId17" Type="http://schemas.openxmlformats.org/officeDocument/2006/relationships/hyperlink" Target="https://www.ohchr.org/Documents/Issues/Opinion/Legislation/OL-DEU-1-2017.pdf" TargetMode="External"/><Relationship Id="rId25" Type="http://schemas.openxmlformats.org/officeDocument/2006/relationships/hyperlink" Target="https://www.ohchr.org/Documents/HRBodies/HRCouncil/RegularSession/Session20/A-HRC-20-27_en.pdf" TargetMode="External"/><Relationship Id="rId2" Type="http://schemas.openxmlformats.org/officeDocument/2006/relationships/settings" Target="settings.xml"/><Relationship Id="rId16" Type="http://schemas.openxmlformats.org/officeDocument/2006/relationships/hyperlink" Target="https://papers.ssrn.com/sol3/papers.cfm?abstract_id=3478888" TargetMode="External"/><Relationship Id="rId20" Type="http://schemas.openxmlformats.org/officeDocument/2006/relationships/hyperlink" Target="https://asean.org/asean-human-rights-declaration/" TargetMode="External"/><Relationship Id="rId29"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www.ohchr.org/EN/HRBodies/CCPR/Pages/GCArticle21.aspx" TargetMode="External"/><Relationship Id="rId11" Type="http://schemas.openxmlformats.org/officeDocument/2006/relationships/hyperlink" Target="https://www2.ohchr.org/english/bodies/hrc/docs/gc34.pdf" TargetMode="External"/><Relationship Id="rId24" Type="http://schemas.openxmlformats.org/officeDocument/2006/relationships/hyperlink" Target="https://www.ohchr.org/EN/HRBodies/CCPR/Pages/GCArticle21.aspx" TargetMode="External"/><Relationship Id="rId5" Type="http://schemas.openxmlformats.org/officeDocument/2006/relationships/hyperlink" Target="https://www.justsecurity.org/tag/freedom-of-assembly/" TargetMode="External"/><Relationship Id="rId15" Type="http://schemas.openxmlformats.org/officeDocument/2006/relationships/hyperlink" Target="http://hrlibrary.umn.edu/instree/loas2005.html" TargetMode="External"/><Relationship Id="rId23" Type="http://schemas.openxmlformats.org/officeDocument/2006/relationships/hyperlink" Target="https://www.ohchr.org/EN/HRBodies/CCPR/Pages/GC37.aspx" TargetMode="External"/><Relationship Id="rId28" Type="http://schemas.openxmlformats.org/officeDocument/2006/relationships/customXml" Target="../customXml/item1.xml"/><Relationship Id="rId10" Type="http://schemas.openxmlformats.org/officeDocument/2006/relationships/hyperlink" Target="https://rm.coe.int/16800c170f" TargetMode="External"/><Relationship Id="rId19" Type="http://schemas.openxmlformats.org/officeDocument/2006/relationships/hyperlink" Target="https://www.ohchr.org/Documents/Issues/Opinion/A_74_486.pdf" TargetMode="External"/><Relationship Id="rId4" Type="http://schemas.openxmlformats.org/officeDocument/2006/relationships/hyperlink" Target="https://www.justsecurity.org/author/aswadevelyn/" TargetMode="External"/><Relationship Id="rId9" Type="http://schemas.openxmlformats.org/officeDocument/2006/relationships/hyperlink" Target="https://www.ohchr.org/Documents/Issues/Opinion/A_74_486.pdf" TargetMode="External"/><Relationship Id="rId14" Type="http://schemas.openxmlformats.org/officeDocument/2006/relationships/hyperlink" Target="https://hudoc.echr.coe.int/eng" TargetMode="External"/><Relationship Id="rId22" Type="http://schemas.openxmlformats.org/officeDocument/2006/relationships/hyperlink" Target="https://www.ohchr.org/EN/HRBodies/CCPR/Pages/Membership.aspx" TargetMode="Externa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E7C272-AC47-4ADA-BAD6-DB1F4A9522DC}"/>
</file>

<file path=customXml/itemProps2.xml><?xml version="1.0" encoding="utf-8"?>
<ds:datastoreItem xmlns:ds="http://schemas.openxmlformats.org/officeDocument/2006/customXml" ds:itemID="{608487FC-FFB3-46F0-8345-759749F6A0F8}"/>
</file>

<file path=customXml/itemProps3.xml><?xml version="1.0" encoding="utf-8"?>
<ds:datastoreItem xmlns:ds="http://schemas.openxmlformats.org/officeDocument/2006/customXml" ds:itemID="{0D126521-36E6-45A1-AF4C-C9F14B584DED}"/>
</file>

<file path=docProps/app.xml><?xml version="1.0" encoding="utf-8"?>
<Properties xmlns="http://schemas.openxmlformats.org/officeDocument/2006/extended-properties" xmlns:vt="http://schemas.openxmlformats.org/officeDocument/2006/docPropsVTypes">
  <Template>Normal.dotm</Template>
  <TotalTime>0</TotalTime>
  <Pages>8</Pages>
  <Words>2142</Words>
  <Characters>12212</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Leslee L. Roybal</dc:creator>
  <cp:keywords/>
  <dc:description/>
  <cp:lastModifiedBy>ROSNIANSKY Cherry Lou</cp:lastModifiedBy>
  <cp:revision>2</cp:revision>
  <dcterms:created xsi:type="dcterms:W3CDTF">2020-02-23T20:11:00Z</dcterms:created>
  <dcterms:modified xsi:type="dcterms:W3CDTF">2020-02-23T20:11:00Z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