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FCED5" w14:textId="77777777" w:rsidR="00FF6084" w:rsidRDefault="00FF6084" w:rsidP="00FF6084">
      <w:pPr>
        <w:rPr>
          <w:rFonts w:ascii="Cambria Math" w:hAnsi="Cambria Math"/>
          <w:sz w:val="22"/>
          <w:szCs w:val="22"/>
        </w:rPr>
      </w:pPr>
      <w:r>
        <w:rPr>
          <w:rFonts w:ascii="Cambria Math" w:hAnsi="Cambria Math"/>
          <w:noProof/>
          <w:sz w:val="22"/>
          <w:szCs w:val="22"/>
          <w:lang w:val="en-GB" w:eastAsia="en-GB"/>
        </w:rPr>
        <w:drawing>
          <wp:inline distT="0" distB="0" distL="0" distR="0" wp14:anchorId="68BA16C6" wp14:editId="4608A004">
            <wp:extent cx="2461364" cy="6408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y.png"/>
                    <pic:cNvPicPr/>
                  </pic:nvPicPr>
                  <pic:blipFill>
                    <a:blip r:embed="rId7">
                      <a:extLst>
                        <a:ext uri="{28A0092B-C50C-407E-A947-70E740481C1C}">
                          <a14:useLocalDpi xmlns:a14="http://schemas.microsoft.com/office/drawing/2010/main" val="0"/>
                        </a:ext>
                      </a:extLst>
                    </a:blip>
                    <a:stretch>
                      <a:fillRect/>
                    </a:stretch>
                  </pic:blipFill>
                  <pic:spPr>
                    <a:xfrm>
                      <a:off x="0" y="0"/>
                      <a:ext cx="2492704" cy="649022"/>
                    </a:xfrm>
                    <a:prstGeom prst="rect">
                      <a:avLst/>
                    </a:prstGeom>
                  </pic:spPr>
                </pic:pic>
              </a:graphicData>
            </a:graphic>
          </wp:inline>
        </w:drawing>
      </w:r>
      <w:r>
        <w:rPr>
          <w:rFonts w:ascii="Cambria Math" w:hAnsi="Cambria Math"/>
          <w:sz w:val="22"/>
          <w:szCs w:val="22"/>
        </w:rPr>
        <w:t xml:space="preserve">                                                                                </w:t>
      </w:r>
      <w:r>
        <w:rPr>
          <w:rFonts w:ascii="Cambria Math" w:hAnsi="Cambria Math"/>
          <w:noProof/>
          <w:sz w:val="22"/>
          <w:szCs w:val="22"/>
          <w:lang w:val="en-GB" w:eastAsia="en-GB"/>
        </w:rPr>
        <w:drawing>
          <wp:inline distT="0" distB="0" distL="0" distR="0" wp14:anchorId="53EF9D7B" wp14:editId="2A796455">
            <wp:extent cx="1919507" cy="55365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w school.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082380" cy="600628"/>
                    </a:xfrm>
                    <a:prstGeom prst="rect">
                      <a:avLst/>
                    </a:prstGeom>
                  </pic:spPr>
                </pic:pic>
              </a:graphicData>
            </a:graphic>
          </wp:inline>
        </w:drawing>
      </w:r>
    </w:p>
    <w:p w14:paraId="32DFACA6" w14:textId="77777777" w:rsidR="00E1309D" w:rsidRDefault="00E1309D" w:rsidP="008D2DCA">
      <w:pPr>
        <w:ind w:left="1134" w:right="1134"/>
        <w:jc w:val="both"/>
        <w:rPr>
          <w:rFonts w:ascii="Cambria Math" w:hAnsi="Cambria Math"/>
          <w:sz w:val="22"/>
          <w:szCs w:val="22"/>
        </w:rPr>
      </w:pPr>
    </w:p>
    <w:p w14:paraId="133A8CD6" w14:textId="77777777" w:rsidR="002901AE" w:rsidRDefault="002901AE" w:rsidP="002901AE">
      <w:pPr>
        <w:ind w:right="1134"/>
        <w:jc w:val="center"/>
        <w:rPr>
          <w:rFonts w:ascii="Times" w:hAnsi="Times"/>
          <w:b/>
        </w:rPr>
      </w:pPr>
    </w:p>
    <w:p w14:paraId="483998D3" w14:textId="77777777" w:rsidR="002901AE" w:rsidRDefault="002901AE" w:rsidP="002901AE">
      <w:pPr>
        <w:ind w:right="1134"/>
        <w:jc w:val="center"/>
        <w:rPr>
          <w:rFonts w:ascii="Times" w:hAnsi="Times"/>
          <w:b/>
        </w:rPr>
      </w:pPr>
    </w:p>
    <w:p w14:paraId="66FF7EBC" w14:textId="77777777" w:rsidR="002901AE" w:rsidRDefault="002901AE" w:rsidP="002901AE">
      <w:pPr>
        <w:ind w:right="1134"/>
        <w:jc w:val="center"/>
        <w:rPr>
          <w:rFonts w:ascii="Times" w:hAnsi="Times"/>
          <w:b/>
        </w:rPr>
      </w:pPr>
      <w:r w:rsidRPr="002901AE">
        <w:rPr>
          <w:rFonts w:ascii="Times" w:hAnsi="Times"/>
          <w:b/>
        </w:rPr>
        <w:t xml:space="preserve">Comments on the revised draft of General Comment </w:t>
      </w:r>
    </w:p>
    <w:p w14:paraId="42750486" w14:textId="0B69292E" w:rsidR="002901AE" w:rsidRPr="002901AE" w:rsidRDefault="007C6D24" w:rsidP="002901AE">
      <w:pPr>
        <w:ind w:right="1134"/>
        <w:jc w:val="center"/>
        <w:rPr>
          <w:rFonts w:ascii="Times" w:hAnsi="Times"/>
          <w:b/>
        </w:rPr>
      </w:pPr>
      <w:r>
        <w:rPr>
          <w:rFonts w:ascii="Times" w:hAnsi="Times"/>
          <w:b/>
        </w:rPr>
        <w:t>No. 37, Article 21: R</w:t>
      </w:r>
      <w:r w:rsidR="002901AE" w:rsidRPr="002901AE">
        <w:rPr>
          <w:rFonts w:ascii="Times" w:hAnsi="Times"/>
          <w:b/>
        </w:rPr>
        <w:t>ight of peaceful assembly</w:t>
      </w:r>
    </w:p>
    <w:p w14:paraId="650BF356" w14:textId="77777777" w:rsidR="002901AE" w:rsidRPr="002901AE" w:rsidRDefault="002901AE" w:rsidP="002901AE">
      <w:pPr>
        <w:ind w:right="1134"/>
        <w:jc w:val="center"/>
        <w:rPr>
          <w:rFonts w:ascii="Times" w:hAnsi="Times"/>
          <w:b/>
        </w:rPr>
      </w:pPr>
    </w:p>
    <w:p w14:paraId="3B7FA875" w14:textId="77777777" w:rsidR="002901AE" w:rsidRPr="002901AE" w:rsidRDefault="002901AE" w:rsidP="002901AE">
      <w:pPr>
        <w:ind w:right="1134"/>
        <w:jc w:val="center"/>
        <w:rPr>
          <w:rFonts w:ascii="Times" w:hAnsi="Times"/>
          <w:b/>
        </w:rPr>
      </w:pPr>
      <w:r w:rsidRPr="002901AE">
        <w:rPr>
          <w:rFonts w:ascii="Times" w:hAnsi="Times"/>
          <w:b/>
        </w:rPr>
        <w:t>February 2020</w:t>
      </w:r>
    </w:p>
    <w:p w14:paraId="43CA9C79" w14:textId="77777777" w:rsidR="002901AE" w:rsidRPr="002901AE" w:rsidRDefault="002901AE" w:rsidP="002901AE">
      <w:pPr>
        <w:ind w:right="1134"/>
        <w:jc w:val="center"/>
        <w:rPr>
          <w:rFonts w:ascii="Times" w:hAnsi="Times"/>
          <w:b/>
        </w:rPr>
      </w:pPr>
    </w:p>
    <w:p w14:paraId="15246EB4" w14:textId="2B6E5BF5" w:rsidR="002901AE" w:rsidRPr="002901AE" w:rsidRDefault="002901AE" w:rsidP="002901AE">
      <w:pPr>
        <w:ind w:right="1134"/>
        <w:jc w:val="center"/>
        <w:rPr>
          <w:rFonts w:ascii="Times" w:hAnsi="Times"/>
          <w:b/>
        </w:rPr>
      </w:pPr>
      <w:r w:rsidRPr="002901AE">
        <w:rPr>
          <w:rFonts w:ascii="Times" w:hAnsi="Times"/>
          <w:b/>
        </w:rPr>
        <w:t>Prepared by Jonathan Peters, J.D., Ph.D.</w:t>
      </w:r>
    </w:p>
    <w:p w14:paraId="0CCBFCD8" w14:textId="4BC49C44" w:rsidR="002901AE" w:rsidRPr="002901AE" w:rsidRDefault="002901AE" w:rsidP="002901AE">
      <w:pPr>
        <w:ind w:right="1134"/>
        <w:jc w:val="center"/>
        <w:rPr>
          <w:rFonts w:ascii="Times" w:hAnsi="Times"/>
          <w:b/>
        </w:rPr>
      </w:pPr>
      <w:r w:rsidRPr="002901AE">
        <w:rPr>
          <w:rFonts w:ascii="Times" w:hAnsi="Times"/>
          <w:b/>
        </w:rPr>
        <w:t>Assistant Professor of Journalism and Law</w:t>
      </w:r>
      <w:bookmarkStart w:id="0" w:name="_GoBack"/>
      <w:bookmarkEnd w:id="0"/>
    </w:p>
    <w:p w14:paraId="1575356B" w14:textId="77777777" w:rsidR="002901AE" w:rsidRDefault="002901AE" w:rsidP="002901AE">
      <w:pPr>
        <w:ind w:right="1134"/>
        <w:jc w:val="center"/>
        <w:rPr>
          <w:rFonts w:ascii="Times" w:hAnsi="Times"/>
          <w:b/>
        </w:rPr>
      </w:pPr>
      <w:r w:rsidRPr="002901AE">
        <w:rPr>
          <w:rFonts w:ascii="Times" w:hAnsi="Times"/>
          <w:b/>
        </w:rPr>
        <w:t>The University of Georgia (United States)</w:t>
      </w:r>
    </w:p>
    <w:p w14:paraId="0F8567C7" w14:textId="4C8F079D" w:rsidR="002901AE" w:rsidRPr="002901AE" w:rsidRDefault="002901AE" w:rsidP="002901AE">
      <w:pPr>
        <w:ind w:right="1134"/>
        <w:jc w:val="center"/>
        <w:rPr>
          <w:rFonts w:ascii="Times" w:hAnsi="Times"/>
          <w:b/>
        </w:rPr>
      </w:pPr>
      <w:r w:rsidRPr="002901AE">
        <w:rPr>
          <w:rFonts w:ascii="Times" w:hAnsi="Times"/>
          <w:b/>
        </w:rPr>
        <w:t>jonathan.peters@uga.edu</w:t>
      </w:r>
    </w:p>
    <w:p w14:paraId="23E58CCF" w14:textId="77777777" w:rsidR="00EC358C" w:rsidRPr="0046649E" w:rsidRDefault="00EC358C" w:rsidP="00EA3908">
      <w:pPr>
        <w:ind w:right="720"/>
        <w:jc w:val="both"/>
        <w:rPr>
          <w:rFonts w:ascii="Times" w:eastAsia="Times New Roman" w:hAnsi="Times"/>
        </w:rPr>
      </w:pPr>
    </w:p>
    <w:p w14:paraId="01148DC5" w14:textId="0E0C6EDB" w:rsidR="006243F1" w:rsidRPr="0046649E" w:rsidRDefault="00EC358C" w:rsidP="00873C6B">
      <w:pPr>
        <w:ind w:left="720" w:right="720"/>
        <w:jc w:val="both"/>
        <w:rPr>
          <w:rFonts w:ascii="Times" w:hAnsi="Times"/>
        </w:rPr>
      </w:pPr>
      <w:r w:rsidRPr="0046649E">
        <w:rPr>
          <w:rFonts w:ascii="Times" w:eastAsia="Times New Roman" w:hAnsi="Times"/>
        </w:rPr>
        <w:t xml:space="preserve">I am a media law professor at the University of Georgia, in the United States, and I am the press freedom correspondent for the </w:t>
      </w:r>
      <w:r w:rsidRPr="0046649E">
        <w:rPr>
          <w:rFonts w:ascii="Times" w:eastAsia="Times New Roman" w:hAnsi="Times"/>
          <w:i/>
        </w:rPr>
        <w:t>Columbia Journalism Review</w:t>
      </w:r>
      <w:r w:rsidRPr="0046649E">
        <w:rPr>
          <w:rFonts w:ascii="Times" w:eastAsia="Times New Roman" w:hAnsi="Times"/>
        </w:rPr>
        <w:t xml:space="preserve">, published by Columbia University. I research </w:t>
      </w:r>
      <w:r w:rsidR="005122D3" w:rsidRPr="0046649E">
        <w:rPr>
          <w:rFonts w:ascii="Times" w:hAnsi="Times"/>
        </w:rPr>
        <w:t>free expression in digital spaces</w:t>
      </w:r>
      <w:r w:rsidR="00EA3908" w:rsidRPr="0046649E">
        <w:rPr>
          <w:rFonts w:ascii="Times" w:hAnsi="Times"/>
        </w:rPr>
        <w:t xml:space="preserve">, and </w:t>
      </w:r>
      <w:r w:rsidR="0030394F" w:rsidRPr="0046649E">
        <w:rPr>
          <w:rFonts w:ascii="Times" w:hAnsi="Times"/>
        </w:rPr>
        <w:t xml:space="preserve">I am coauthor of the book </w:t>
      </w:r>
      <w:r w:rsidR="0030394F" w:rsidRPr="0046649E">
        <w:rPr>
          <w:rFonts w:ascii="Times" w:hAnsi="Times"/>
          <w:i/>
        </w:rPr>
        <w:t>The Law of Public Communication</w:t>
      </w:r>
      <w:r w:rsidR="00EA3908" w:rsidRPr="0046649E">
        <w:rPr>
          <w:rFonts w:ascii="Times" w:hAnsi="Times"/>
        </w:rPr>
        <w:t xml:space="preserve">. Outside of my research, </w:t>
      </w:r>
      <w:r w:rsidR="0030394F" w:rsidRPr="0046649E">
        <w:rPr>
          <w:rFonts w:ascii="Times" w:hAnsi="Times"/>
        </w:rPr>
        <w:t xml:space="preserve">I </w:t>
      </w:r>
      <w:r w:rsidR="00873C6B" w:rsidRPr="0046649E">
        <w:rPr>
          <w:rFonts w:ascii="Times" w:hAnsi="Times"/>
        </w:rPr>
        <w:t>have written</w:t>
      </w:r>
      <w:r w:rsidR="00EA3908" w:rsidRPr="0046649E">
        <w:rPr>
          <w:rFonts w:ascii="Times" w:hAnsi="Times"/>
        </w:rPr>
        <w:t xml:space="preserve"> about</w:t>
      </w:r>
      <w:r w:rsidR="005122D3" w:rsidRPr="0046649E">
        <w:rPr>
          <w:rFonts w:ascii="Times" w:hAnsi="Times"/>
        </w:rPr>
        <w:t xml:space="preserve"> </w:t>
      </w:r>
      <w:r w:rsidR="00EA3908" w:rsidRPr="0046649E">
        <w:rPr>
          <w:rFonts w:ascii="Times" w:hAnsi="Times"/>
        </w:rPr>
        <w:t xml:space="preserve">free expression </w:t>
      </w:r>
      <w:r w:rsidR="005122D3" w:rsidRPr="0046649E">
        <w:rPr>
          <w:rFonts w:ascii="Times" w:hAnsi="Times"/>
        </w:rPr>
        <w:t xml:space="preserve">for </w:t>
      </w:r>
      <w:r w:rsidR="005F307C" w:rsidRPr="0046649E">
        <w:rPr>
          <w:rFonts w:ascii="Times" w:hAnsi="Times"/>
          <w:i/>
        </w:rPr>
        <w:t>Esquire</w:t>
      </w:r>
      <w:r w:rsidR="005F307C" w:rsidRPr="0046649E">
        <w:rPr>
          <w:rFonts w:ascii="Times" w:hAnsi="Times"/>
        </w:rPr>
        <w:t xml:space="preserve">, </w:t>
      </w:r>
      <w:r w:rsidR="005F307C" w:rsidRPr="0046649E">
        <w:rPr>
          <w:rFonts w:ascii="Times" w:hAnsi="Times"/>
          <w:i/>
        </w:rPr>
        <w:t>The Atlantic</w:t>
      </w:r>
      <w:r w:rsidR="005F307C" w:rsidRPr="0046649E">
        <w:rPr>
          <w:rFonts w:ascii="Times" w:hAnsi="Times"/>
        </w:rPr>
        <w:t xml:space="preserve">, </w:t>
      </w:r>
      <w:r w:rsidR="005F307C" w:rsidRPr="0046649E">
        <w:rPr>
          <w:rFonts w:ascii="Times" w:hAnsi="Times"/>
          <w:i/>
        </w:rPr>
        <w:t>Slate</w:t>
      </w:r>
      <w:r w:rsidR="005F307C" w:rsidRPr="0046649E">
        <w:rPr>
          <w:rFonts w:ascii="Times" w:hAnsi="Times"/>
        </w:rPr>
        <w:t xml:space="preserve">, </w:t>
      </w:r>
      <w:r w:rsidR="005F307C" w:rsidRPr="0046649E">
        <w:rPr>
          <w:rFonts w:ascii="Times" w:hAnsi="Times"/>
          <w:i/>
        </w:rPr>
        <w:t>Wired</w:t>
      </w:r>
      <w:r w:rsidR="005F307C" w:rsidRPr="0046649E">
        <w:rPr>
          <w:rFonts w:ascii="Times" w:hAnsi="Times"/>
        </w:rPr>
        <w:t xml:space="preserve">, and </w:t>
      </w:r>
      <w:r w:rsidR="005122D3" w:rsidRPr="0046649E">
        <w:rPr>
          <w:rFonts w:ascii="Times" w:hAnsi="Times"/>
        </w:rPr>
        <w:t>CNN</w:t>
      </w:r>
      <w:r w:rsidR="00EA3908" w:rsidRPr="0046649E">
        <w:rPr>
          <w:rFonts w:ascii="Times" w:hAnsi="Times"/>
        </w:rPr>
        <w:t xml:space="preserve">, and </w:t>
      </w:r>
      <w:r w:rsidR="00873C6B" w:rsidRPr="0046649E">
        <w:rPr>
          <w:rFonts w:ascii="Times" w:hAnsi="Times"/>
        </w:rPr>
        <w:t xml:space="preserve">I have </w:t>
      </w:r>
      <w:r w:rsidR="005F307C" w:rsidRPr="0046649E">
        <w:rPr>
          <w:rFonts w:ascii="Times" w:hAnsi="Times"/>
          <w:color w:val="000000"/>
          <w:lang w:eastAsia="ja-JP"/>
        </w:rPr>
        <w:t xml:space="preserve">blogged about the First Amendment for the </w:t>
      </w:r>
      <w:r w:rsidR="005F307C" w:rsidRPr="0046649E">
        <w:rPr>
          <w:rFonts w:ascii="Times" w:hAnsi="Times"/>
          <w:i/>
          <w:color w:val="000000"/>
          <w:lang w:eastAsia="ja-JP"/>
        </w:rPr>
        <w:t>Harvard Law Review</w:t>
      </w:r>
      <w:r w:rsidR="005F307C" w:rsidRPr="0046649E">
        <w:rPr>
          <w:rFonts w:ascii="Times" w:hAnsi="Times"/>
          <w:color w:val="000000"/>
          <w:lang w:eastAsia="ja-JP"/>
        </w:rPr>
        <w:t xml:space="preserve">. </w:t>
      </w:r>
      <w:r w:rsidR="00873C6B" w:rsidRPr="0046649E">
        <w:rPr>
          <w:rFonts w:ascii="Times" w:hAnsi="Times"/>
          <w:color w:val="000000"/>
          <w:lang w:eastAsia="ja-JP"/>
        </w:rPr>
        <w:t xml:space="preserve">Two years ago, I </w:t>
      </w:r>
      <w:r w:rsidR="005F307C" w:rsidRPr="0046649E">
        <w:rPr>
          <w:rFonts w:ascii="Times" w:hAnsi="Times"/>
        </w:rPr>
        <w:t xml:space="preserve">prepared a report </w:t>
      </w:r>
      <w:r w:rsidR="00873C6B" w:rsidRPr="0046649E">
        <w:rPr>
          <w:rFonts w:ascii="Times" w:hAnsi="Times"/>
        </w:rPr>
        <w:t>on</w:t>
      </w:r>
      <w:r w:rsidR="005F307C" w:rsidRPr="0046649E">
        <w:rPr>
          <w:rFonts w:ascii="Times" w:hAnsi="Times"/>
        </w:rPr>
        <w:t xml:space="preserve"> press rights at peaceful assemblies for </w:t>
      </w:r>
      <w:r w:rsidR="00873C6B" w:rsidRPr="0046649E">
        <w:rPr>
          <w:rFonts w:ascii="Times" w:hAnsi="Times"/>
        </w:rPr>
        <w:t>OSCE and ODIHR</w:t>
      </w:r>
      <w:r w:rsidR="005F307C" w:rsidRPr="0046649E">
        <w:rPr>
          <w:rFonts w:ascii="Times" w:hAnsi="Times"/>
        </w:rPr>
        <w:t xml:space="preserve">, </w:t>
      </w:r>
      <w:r w:rsidR="00873C6B" w:rsidRPr="0046649E">
        <w:rPr>
          <w:rFonts w:ascii="Times" w:hAnsi="Times"/>
        </w:rPr>
        <w:t xml:space="preserve">and last year I participated in an expert workshop at the University of Cambridge </w:t>
      </w:r>
      <w:r w:rsidR="00EA3908" w:rsidRPr="0046649E">
        <w:rPr>
          <w:rFonts w:ascii="Times" w:hAnsi="Times"/>
        </w:rPr>
        <w:t>about</w:t>
      </w:r>
      <w:r w:rsidR="00873C6B" w:rsidRPr="0046649E">
        <w:rPr>
          <w:rFonts w:ascii="Times" w:hAnsi="Times"/>
        </w:rPr>
        <w:t xml:space="preserve"> whether/how Article 21 could be interpreted to protect virtual assemblies.</w:t>
      </w:r>
    </w:p>
    <w:p w14:paraId="76BFDAEF" w14:textId="77777777" w:rsidR="00EA3908" w:rsidRPr="0046649E" w:rsidRDefault="00EA3908" w:rsidP="00873C6B">
      <w:pPr>
        <w:ind w:left="720" w:right="720"/>
        <w:jc w:val="both"/>
        <w:rPr>
          <w:rFonts w:ascii="Times" w:hAnsi="Times"/>
        </w:rPr>
      </w:pPr>
    </w:p>
    <w:p w14:paraId="3DDD5DE6" w14:textId="77777777" w:rsidR="00EA3908" w:rsidRPr="0046649E" w:rsidRDefault="00EA3908" w:rsidP="00EA3908">
      <w:pPr>
        <w:ind w:left="720" w:right="720"/>
        <w:jc w:val="both"/>
        <w:rPr>
          <w:rFonts w:ascii="Times" w:eastAsia="Times New Roman" w:hAnsi="Times"/>
        </w:rPr>
      </w:pPr>
      <w:r w:rsidRPr="0046649E">
        <w:rPr>
          <w:rFonts w:ascii="Times" w:hAnsi="Times"/>
        </w:rPr>
        <w:t xml:space="preserve">The purpose of this submission is to offer perspectives and information that I hope will be of use in </w:t>
      </w:r>
      <w:r w:rsidRPr="0046649E">
        <w:rPr>
          <w:rFonts w:ascii="Times" w:eastAsia="Times New Roman" w:hAnsi="Times"/>
        </w:rPr>
        <w:t xml:space="preserve">revising General Comment No. 37. I focus on three issues: (A) the extent of assembly and/or expressive rights in private spaces, (B) the relationship between technology and the exercise of the right of peaceful assembly, and (C) the role of journalists in both documenting and reporting on assemblies. </w:t>
      </w:r>
    </w:p>
    <w:p w14:paraId="0C8F62C3" w14:textId="77777777" w:rsidR="006243F1" w:rsidRPr="0046649E" w:rsidRDefault="006243F1" w:rsidP="00EA3908">
      <w:pPr>
        <w:ind w:right="1134"/>
        <w:jc w:val="both"/>
        <w:rPr>
          <w:rFonts w:ascii="Times" w:hAnsi="Times"/>
        </w:rPr>
      </w:pPr>
    </w:p>
    <w:p w14:paraId="27D0DAAA" w14:textId="26472491" w:rsidR="007B65D8" w:rsidRPr="0046649E" w:rsidRDefault="00841F4E" w:rsidP="00237F93">
      <w:pPr>
        <w:ind w:left="720" w:right="720"/>
        <w:jc w:val="both"/>
        <w:rPr>
          <w:rFonts w:ascii="Times" w:hAnsi="Times"/>
          <w:b/>
          <w:color w:val="0070C0"/>
        </w:rPr>
      </w:pPr>
      <w:r w:rsidRPr="0046649E">
        <w:rPr>
          <w:rFonts w:ascii="Times" w:hAnsi="Times"/>
          <w:b/>
          <w:color w:val="0070C0"/>
        </w:rPr>
        <w:t xml:space="preserve">A) </w:t>
      </w:r>
      <w:r w:rsidR="007B65D8" w:rsidRPr="0046649E">
        <w:rPr>
          <w:rFonts w:ascii="Times" w:hAnsi="Times"/>
          <w:b/>
          <w:color w:val="0070C0"/>
        </w:rPr>
        <w:t xml:space="preserve">The revised draft addresses in several places </w:t>
      </w:r>
      <w:r w:rsidR="00ED5E5E" w:rsidRPr="0046649E">
        <w:rPr>
          <w:rFonts w:ascii="Times" w:hAnsi="Times"/>
          <w:b/>
          <w:color w:val="0070C0"/>
        </w:rPr>
        <w:t xml:space="preserve">the extent of assembly and/or expressive rights in private spaces. For example: </w:t>
      </w:r>
    </w:p>
    <w:p w14:paraId="12617677" w14:textId="77777777" w:rsidR="007B65D8" w:rsidRPr="0046649E" w:rsidRDefault="007B65D8" w:rsidP="00237F93">
      <w:pPr>
        <w:ind w:left="720" w:right="720"/>
        <w:jc w:val="both"/>
        <w:rPr>
          <w:rFonts w:ascii="Times" w:hAnsi="Times"/>
        </w:rPr>
      </w:pPr>
    </w:p>
    <w:p w14:paraId="2BC0988E" w14:textId="2520CB3B" w:rsidR="008D2DCA" w:rsidRPr="0046649E" w:rsidRDefault="00FD725F" w:rsidP="00237F93">
      <w:pPr>
        <w:ind w:left="1440" w:right="720"/>
        <w:jc w:val="both"/>
        <w:rPr>
          <w:rFonts w:ascii="Times" w:hAnsi="Times"/>
          <w:i/>
        </w:rPr>
      </w:pPr>
      <w:r w:rsidRPr="0046649E">
        <w:rPr>
          <w:rFonts w:ascii="Times" w:hAnsi="Times"/>
          <w:i/>
        </w:rPr>
        <w:t xml:space="preserve">4.  </w:t>
      </w:r>
      <w:r w:rsidR="00841297" w:rsidRPr="0046649E">
        <w:rPr>
          <w:rFonts w:ascii="Times" w:hAnsi="Times"/>
          <w:i/>
        </w:rPr>
        <w:t xml:space="preserve"> </w:t>
      </w:r>
      <w:r w:rsidR="008D2DCA" w:rsidRPr="0046649E">
        <w:rPr>
          <w:rFonts w:ascii="Times" w:hAnsi="Times"/>
          <w:i/>
        </w:rPr>
        <w:t>The right of peaceful assembly protects the non-violent gathering of persons with a common expressive purpose in [a publicly a</w:t>
      </w:r>
      <w:r w:rsidR="00841297" w:rsidRPr="0046649E">
        <w:rPr>
          <w:rFonts w:ascii="Times" w:hAnsi="Times"/>
          <w:i/>
        </w:rPr>
        <w:t xml:space="preserve">ccessible / the same] place … </w:t>
      </w:r>
    </w:p>
    <w:p w14:paraId="63E7961A" w14:textId="77777777" w:rsidR="001B15E0" w:rsidRPr="0046649E" w:rsidRDefault="001B15E0" w:rsidP="00237F93">
      <w:pPr>
        <w:ind w:left="720" w:right="720"/>
        <w:jc w:val="both"/>
        <w:rPr>
          <w:rFonts w:ascii="Times" w:hAnsi="Times"/>
          <w:i/>
        </w:rPr>
      </w:pPr>
    </w:p>
    <w:p w14:paraId="40356293" w14:textId="7A2A468A" w:rsidR="00E1309D" w:rsidRPr="0046649E" w:rsidRDefault="000C18B4" w:rsidP="00237F93">
      <w:pPr>
        <w:ind w:left="1440" w:right="720"/>
        <w:jc w:val="both"/>
        <w:rPr>
          <w:rFonts w:ascii="Times" w:hAnsi="Times"/>
          <w:i/>
        </w:rPr>
      </w:pPr>
      <w:r w:rsidRPr="0046649E">
        <w:rPr>
          <w:rFonts w:ascii="Times" w:hAnsi="Times"/>
          <w:i/>
        </w:rPr>
        <w:t xml:space="preserve">13.  </w:t>
      </w:r>
      <w:r w:rsidR="00841297" w:rsidRPr="0046649E">
        <w:rPr>
          <w:rFonts w:ascii="Times" w:hAnsi="Times"/>
          <w:i/>
        </w:rPr>
        <w:t xml:space="preserve"> …</w:t>
      </w:r>
      <w:r w:rsidR="00E872AE" w:rsidRPr="0046649E">
        <w:rPr>
          <w:rFonts w:ascii="Times" w:hAnsi="Times"/>
          <w:i/>
        </w:rPr>
        <w:t xml:space="preserve"> </w:t>
      </w:r>
      <w:r w:rsidR="00E1309D" w:rsidRPr="0046649E">
        <w:rPr>
          <w:rFonts w:ascii="Times" w:hAnsi="Times"/>
          <w:i/>
        </w:rPr>
        <w:t xml:space="preserve">Assemblies can be held on publicly or privately-owned property [provided the property is publicly accessible]. </w:t>
      </w:r>
    </w:p>
    <w:p w14:paraId="4676594F" w14:textId="77777777" w:rsidR="001B15E0" w:rsidRPr="0046649E" w:rsidRDefault="001B15E0" w:rsidP="00237F93">
      <w:pPr>
        <w:ind w:left="720" w:right="720"/>
        <w:jc w:val="both"/>
        <w:rPr>
          <w:rFonts w:ascii="Times" w:hAnsi="Times"/>
          <w:i/>
        </w:rPr>
      </w:pPr>
    </w:p>
    <w:p w14:paraId="5BA18DB9" w14:textId="7839A900" w:rsidR="00E1309D" w:rsidRPr="0046649E" w:rsidRDefault="00E1309D" w:rsidP="00237F93">
      <w:pPr>
        <w:ind w:left="1440" w:right="720"/>
        <w:jc w:val="both"/>
        <w:rPr>
          <w:rFonts w:ascii="Times" w:hAnsi="Times"/>
          <w:i/>
        </w:rPr>
      </w:pPr>
      <w:r w:rsidRPr="0046649E">
        <w:rPr>
          <w:rFonts w:ascii="Times" w:hAnsi="Times"/>
          <w:i/>
        </w:rPr>
        <w:t xml:space="preserve">64.  </w:t>
      </w:r>
      <w:r w:rsidR="00841297" w:rsidRPr="0046649E">
        <w:rPr>
          <w:rFonts w:ascii="Times" w:hAnsi="Times"/>
          <w:i/>
        </w:rPr>
        <w:t xml:space="preserve"> </w:t>
      </w:r>
      <w:r w:rsidRPr="0046649E">
        <w:rPr>
          <w:rFonts w:ascii="Times" w:hAnsi="Times"/>
          <w:i/>
        </w:rPr>
        <w:t xml:space="preserve">As for any restriction on the element of </w:t>
      </w:r>
      <w:r w:rsidRPr="0046649E">
        <w:rPr>
          <w:rFonts w:ascii="Times" w:hAnsi="Times"/>
          <w:i/>
          <w:iCs/>
        </w:rPr>
        <w:t>place</w:t>
      </w:r>
      <w:r w:rsidRPr="0046649E">
        <w:rPr>
          <w:rFonts w:ascii="Times" w:hAnsi="Times"/>
          <w:i/>
        </w:rPr>
        <w:t>: peaceful assemblies may in principle be conducted in all places to which the public has access or should have access, such</w:t>
      </w:r>
      <w:r w:rsidR="00841297" w:rsidRPr="0046649E">
        <w:rPr>
          <w:rFonts w:ascii="Times" w:hAnsi="Times"/>
          <w:i/>
        </w:rPr>
        <w:t xml:space="preserve"> as public squares and streets … </w:t>
      </w:r>
    </w:p>
    <w:p w14:paraId="5FC6CAC5" w14:textId="77777777" w:rsidR="00E1309D" w:rsidRPr="0046649E" w:rsidRDefault="00E1309D" w:rsidP="00237F93">
      <w:pPr>
        <w:ind w:left="720" w:right="720"/>
        <w:jc w:val="both"/>
        <w:rPr>
          <w:rFonts w:ascii="Times" w:hAnsi="Times"/>
          <w:i/>
        </w:rPr>
      </w:pPr>
    </w:p>
    <w:p w14:paraId="685DDC3A" w14:textId="57155D69" w:rsidR="00E1309D" w:rsidRPr="0046649E" w:rsidRDefault="00E1309D" w:rsidP="00237F93">
      <w:pPr>
        <w:ind w:left="1440" w:right="720"/>
        <w:jc w:val="both"/>
        <w:rPr>
          <w:rFonts w:ascii="Times" w:hAnsi="Times"/>
          <w:i/>
        </w:rPr>
      </w:pPr>
      <w:r w:rsidRPr="0046649E">
        <w:rPr>
          <w:rFonts w:ascii="Times" w:hAnsi="Times"/>
          <w:i/>
        </w:rPr>
        <w:t xml:space="preserve">67.  </w:t>
      </w:r>
      <w:r w:rsidR="00841297" w:rsidRPr="0046649E">
        <w:rPr>
          <w:rFonts w:ascii="Times" w:hAnsi="Times"/>
          <w:i/>
        </w:rPr>
        <w:t xml:space="preserve"> </w:t>
      </w:r>
      <w:r w:rsidRPr="0046649E">
        <w:rPr>
          <w:rFonts w:ascii="Times" w:hAnsi="Times"/>
          <w:i/>
        </w:rPr>
        <w:t>The increased privatization of public spaces highlights the fact that assembly rights may require some recognition on private property that is open to the public. The interests of private owners have to be given due weight, but may have to be limited if the participants have no other reasonable way to convey their message to their target audience. Assemblies held on privately owned property with the consent of the owners enjoy the same protection as other assemblies.</w:t>
      </w:r>
    </w:p>
    <w:p w14:paraId="435832B3" w14:textId="77777777" w:rsidR="007B65D8" w:rsidRPr="0046649E" w:rsidRDefault="007B65D8" w:rsidP="00237F93">
      <w:pPr>
        <w:ind w:right="720"/>
        <w:jc w:val="both"/>
        <w:rPr>
          <w:rFonts w:ascii="Times" w:hAnsi="Times"/>
        </w:rPr>
      </w:pPr>
    </w:p>
    <w:p w14:paraId="299DE63A" w14:textId="414A9F10" w:rsidR="007B65D8" w:rsidRPr="0046649E" w:rsidRDefault="001C4A7E" w:rsidP="00237F93">
      <w:pPr>
        <w:ind w:left="720" w:right="720"/>
        <w:jc w:val="both"/>
        <w:rPr>
          <w:rFonts w:ascii="Times" w:hAnsi="Times"/>
        </w:rPr>
      </w:pPr>
      <w:r w:rsidRPr="0046649E">
        <w:rPr>
          <w:rFonts w:ascii="Times" w:hAnsi="Times"/>
        </w:rPr>
        <w:t xml:space="preserve">It might be useful to consider the evolution of American law on these issues, under the </w:t>
      </w:r>
      <w:r w:rsidR="007B65D8" w:rsidRPr="0046649E">
        <w:rPr>
          <w:rFonts w:ascii="Times" w:hAnsi="Times"/>
        </w:rPr>
        <w:t>state action doctr</w:t>
      </w:r>
      <w:r w:rsidR="00E872AE" w:rsidRPr="0046649E">
        <w:rPr>
          <w:rFonts w:ascii="Times" w:hAnsi="Times"/>
        </w:rPr>
        <w:t>ine</w:t>
      </w:r>
      <w:r w:rsidRPr="0046649E">
        <w:rPr>
          <w:rFonts w:ascii="Times" w:hAnsi="Times"/>
        </w:rPr>
        <w:t xml:space="preserve">. </w:t>
      </w:r>
      <w:r w:rsidR="007B65D8" w:rsidRPr="0046649E">
        <w:rPr>
          <w:rFonts w:ascii="Times" w:hAnsi="Times"/>
        </w:rPr>
        <w:t xml:space="preserve">For </w:t>
      </w:r>
      <w:r w:rsidR="00E872AE" w:rsidRPr="0046649E">
        <w:rPr>
          <w:rFonts w:ascii="Times" w:hAnsi="Times"/>
        </w:rPr>
        <w:t xml:space="preserve">many </w:t>
      </w:r>
      <w:r w:rsidR="007B65D8" w:rsidRPr="0046649E">
        <w:rPr>
          <w:rFonts w:ascii="Times" w:hAnsi="Times"/>
        </w:rPr>
        <w:t xml:space="preserve">years, it held that the Fourteenth Amendment and </w:t>
      </w:r>
      <w:r w:rsidR="00E872AE" w:rsidRPr="0046649E">
        <w:rPr>
          <w:rFonts w:ascii="Times" w:hAnsi="Times"/>
        </w:rPr>
        <w:t xml:space="preserve">the </w:t>
      </w:r>
      <w:r w:rsidR="007B65D8" w:rsidRPr="0046649E">
        <w:rPr>
          <w:rFonts w:ascii="Times" w:hAnsi="Times"/>
        </w:rPr>
        <w:t>Bill of Rights restricted only government action.</w:t>
      </w:r>
      <w:r w:rsidR="007B65D8" w:rsidRPr="0046649E">
        <w:rPr>
          <w:rStyle w:val="FootnoteReference"/>
          <w:rFonts w:ascii="Times" w:hAnsi="Times"/>
        </w:rPr>
        <w:footnoteReference w:id="1"/>
      </w:r>
      <w:r w:rsidR="007B65D8" w:rsidRPr="0046649E">
        <w:rPr>
          <w:rFonts w:ascii="Times" w:hAnsi="Times"/>
        </w:rPr>
        <w:t xml:space="preserve"> </w:t>
      </w:r>
      <w:r w:rsidR="00E872AE" w:rsidRPr="0046649E">
        <w:rPr>
          <w:rFonts w:ascii="Times" w:hAnsi="Times"/>
        </w:rPr>
        <w:t>But</w:t>
      </w:r>
      <w:r w:rsidR="007B65D8" w:rsidRPr="0046649E">
        <w:rPr>
          <w:rFonts w:ascii="Times" w:hAnsi="Times"/>
        </w:rPr>
        <w:t xml:space="preserve"> as the doctrine evolved in the</w:t>
      </w:r>
      <w:r w:rsidR="00864B6A" w:rsidRPr="0046649E">
        <w:rPr>
          <w:rFonts w:ascii="Times" w:hAnsi="Times"/>
        </w:rPr>
        <w:t xml:space="preserve"> twentieth</w:t>
      </w:r>
      <w:r w:rsidR="007B65D8" w:rsidRPr="0046649E">
        <w:rPr>
          <w:rFonts w:ascii="Times" w:hAnsi="Times"/>
        </w:rPr>
        <w:t xml:space="preserve"> century, it came to apply to private </w:t>
      </w:r>
      <w:r w:rsidR="00524CC2" w:rsidRPr="0046649E">
        <w:rPr>
          <w:rFonts w:ascii="Times" w:hAnsi="Times"/>
        </w:rPr>
        <w:t>action</w:t>
      </w:r>
      <w:r w:rsidR="007B65D8" w:rsidRPr="0046649E">
        <w:rPr>
          <w:rFonts w:ascii="Times" w:hAnsi="Times"/>
        </w:rPr>
        <w:t>.</w:t>
      </w:r>
      <w:r w:rsidR="007B65D8" w:rsidRPr="0046649E">
        <w:rPr>
          <w:rStyle w:val="FootnoteReference"/>
          <w:rFonts w:ascii="Times" w:hAnsi="Times"/>
        </w:rPr>
        <w:footnoteReference w:id="2"/>
      </w:r>
      <w:r w:rsidR="007B65D8" w:rsidRPr="0046649E">
        <w:rPr>
          <w:rFonts w:ascii="Times" w:hAnsi="Times"/>
        </w:rPr>
        <w:t xml:space="preserve"> For example, in the 1946 case </w:t>
      </w:r>
      <w:r w:rsidR="007B65D8" w:rsidRPr="0046649E">
        <w:rPr>
          <w:rFonts w:ascii="Times" w:hAnsi="Times"/>
          <w:i/>
        </w:rPr>
        <w:t>Marsh v. Alabama</w:t>
      </w:r>
      <w:r w:rsidR="007B65D8" w:rsidRPr="0046649E">
        <w:rPr>
          <w:rFonts w:ascii="Times" w:hAnsi="Times"/>
        </w:rPr>
        <w:t xml:space="preserve">, the U.S. Supreme Court ruled that </w:t>
      </w:r>
      <w:r w:rsidR="0053699A" w:rsidRPr="0046649E">
        <w:rPr>
          <w:rFonts w:ascii="Times" w:hAnsi="Times"/>
        </w:rPr>
        <w:t xml:space="preserve">Alabama violated the First and </w:t>
      </w:r>
      <w:r w:rsidR="007B65D8" w:rsidRPr="0046649E">
        <w:rPr>
          <w:rFonts w:ascii="Times" w:hAnsi="Times"/>
        </w:rPr>
        <w:t>Fourteenth Amendments by forbidding a Jehovah’s Witness from distributing materi</w:t>
      </w:r>
      <w:r w:rsidRPr="0046649E">
        <w:rPr>
          <w:rFonts w:ascii="Times" w:hAnsi="Times"/>
        </w:rPr>
        <w:t>als in a privately-</w:t>
      </w:r>
      <w:r w:rsidR="007B65D8" w:rsidRPr="0046649E">
        <w:rPr>
          <w:rFonts w:ascii="Times" w:hAnsi="Times"/>
        </w:rPr>
        <w:t>owned town.</w:t>
      </w:r>
      <w:r w:rsidR="007B65D8" w:rsidRPr="0046649E">
        <w:rPr>
          <w:rStyle w:val="FootnoteReference"/>
          <w:rFonts w:ascii="Times" w:hAnsi="Times"/>
        </w:rPr>
        <w:footnoteReference w:id="3"/>
      </w:r>
    </w:p>
    <w:p w14:paraId="651E0A6F" w14:textId="77777777" w:rsidR="00524CC2" w:rsidRPr="0046649E" w:rsidRDefault="00524CC2" w:rsidP="00237F93">
      <w:pPr>
        <w:ind w:right="720"/>
        <w:jc w:val="both"/>
        <w:rPr>
          <w:rFonts w:ascii="Times" w:hAnsi="Times"/>
        </w:rPr>
      </w:pPr>
    </w:p>
    <w:p w14:paraId="020BAD7C" w14:textId="2F3B8782" w:rsidR="007B65D8" w:rsidRPr="0046649E" w:rsidRDefault="003919D1" w:rsidP="0066490D">
      <w:pPr>
        <w:ind w:left="720" w:right="720"/>
        <w:jc w:val="both"/>
        <w:rPr>
          <w:rFonts w:ascii="Times" w:eastAsia="Times New Roman" w:hAnsi="Times"/>
        </w:rPr>
      </w:pPr>
      <w:r w:rsidRPr="0046649E">
        <w:rPr>
          <w:rFonts w:ascii="Times" w:hAnsi="Times"/>
        </w:rPr>
        <w:t>I</w:t>
      </w:r>
      <w:r w:rsidR="00E41F9C" w:rsidRPr="0046649E">
        <w:rPr>
          <w:rFonts w:ascii="Times" w:hAnsi="Times"/>
        </w:rPr>
        <w:t>n</w:t>
      </w:r>
      <w:r w:rsidR="007B65D8" w:rsidRPr="0046649E">
        <w:rPr>
          <w:rFonts w:ascii="Times" w:hAnsi="Times"/>
        </w:rPr>
        <w:t xml:space="preserve"> its most recent state action case, </w:t>
      </w:r>
      <w:r w:rsidR="007B65D8" w:rsidRPr="0046649E">
        <w:rPr>
          <w:rFonts w:ascii="Times" w:hAnsi="Times"/>
          <w:i/>
        </w:rPr>
        <w:t>Manhattan Community Access Corp. v. Halleck</w:t>
      </w:r>
      <w:r w:rsidR="007B65D8" w:rsidRPr="0046649E">
        <w:rPr>
          <w:rFonts w:ascii="Times" w:hAnsi="Times"/>
        </w:rPr>
        <w:t xml:space="preserve">, </w:t>
      </w:r>
      <w:r w:rsidR="0053699A" w:rsidRPr="0046649E">
        <w:rPr>
          <w:rFonts w:ascii="Times" w:hAnsi="Times"/>
        </w:rPr>
        <w:t xml:space="preserve">decided </w:t>
      </w:r>
      <w:r w:rsidR="007B65D8" w:rsidRPr="0046649E">
        <w:rPr>
          <w:rFonts w:ascii="Times" w:hAnsi="Times"/>
        </w:rPr>
        <w:t xml:space="preserve">in 2019, the Supreme Court </w:t>
      </w:r>
      <w:r w:rsidR="00801B54" w:rsidRPr="0046649E">
        <w:rPr>
          <w:rFonts w:ascii="Times" w:hAnsi="Times"/>
        </w:rPr>
        <w:t>held</w:t>
      </w:r>
      <w:r w:rsidR="007B65D8" w:rsidRPr="0046649E">
        <w:rPr>
          <w:rFonts w:ascii="Times" w:hAnsi="Times"/>
        </w:rPr>
        <w:t xml:space="preserve">: “The Free Speech Clause </w:t>
      </w:r>
      <w:r w:rsidR="00B41393" w:rsidRPr="0046649E">
        <w:rPr>
          <w:rFonts w:ascii="Times" w:hAnsi="Times"/>
        </w:rPr>
        <w:t xml:space="preserve">… </w:t>
      </w:r>
      <w:r w:rsidR="007B65D8" w:rsidRPr="0046649E">
        <w:rPr>
          <w:rFonts w:ascii="Times" w:hAnsi="Times"/>
        </w:rPr>
        <w:t>does not prohibit private abridgment of speech.”</w:t>
      </w:r>
      <w:r w:rsidR="007B65D8" w:rsidRPr="0046649E">
        <w:rPr>
          <w:rStyle w:val="FootnoteReference"/>
          <w:rFonts w:ascii="Times" w:hAnsi="Times"/>
        </w:rPr>
        <w:footnoteReference w:id="4"/>
      </w:r>
      <w:r w:rsidR="007B65D8" w:rsidRPr="0046649E">
        <w:rPr>
          <w:rFonts w:ascii="Times" w:hAnsi="Times"/>
        </w:rPr>
        <w:t xml:space="preserve"> The </w:t>
      </w:r>
      <w:r w:rsidR="006243F1" w:rsidRPr="0046649E">
        <w:rPr>
          <w:rFonts w:ascii="Times" w:hAnsi="Times"/>
        </w:rPr>
        <w:t>reasoning</w:t>
      </w:r>
      <w:r w:rsidR="007B65D8" w:rsidRPr="0046649E">
        <w:rPr>
          <w:rFonts w:ascii="Times" w:hAnsi="Times"/>
        </w:rPr>
        <w:t>: “By enforcing that … boundary between the governmental and the private, the state-action doctrine protects a robust sphere of individual liberty.”</w:t>
      </w:r>
      <w:r w:rsidR="007B65D8" w:rsidRPr="0046649E">
        <w:rPr>
          <w:rStyle w:val="FootnoteReference"/>
          <w:rFonts w:ascii="Times" w:hAnsi="Times"/>
        </w:rPr>
        <w:footnoteReference w:id="5"/>
      </w:r>
      <w:r w:rsidR="00864B6A" w:rsidRPr="0046649E">
        <w:rPr>
          <w:rFonts w:ascii="Times" w:hAnsi="Times"/>
        </w:rPr>
        <w:t xml:space="preserve"> </w:t>
      </w:r>
      <w:r w:rsidR="007B65D8" w:rsidRPr="0046649E">
        <w:rPr>
          <w:rFonts w:ascii="Times" w:hAnsi="Times"/>
        </w:rPr>
        <w:t>However,</w:t>
      </w:r>
      <w:r w:rsidR="007B65D8" w:rsidRPr="0046649E">
        <w:rPr>
          <w:rFonts w:ascii="Times" w:hAnsi="Times"/>
          <w:i/>
        </w:rPr>
        <w:t xml:space="preserve"> Halleck </w:t>
      </w:r>
      <w:r w:rsidR="006243F1" w:rsidRPr="0046649E">
        <w:rPr>
          <w:rFonts w:ascii="Times" w:hAnsi="Times"/>
        </w:rPr>
        <w:t>went</w:t>
      </w:r>
      <w:r w:rsidR="007B65D8" w:rsidRPr="0046649E">
        <w:rPr>
          <w:rFonts w:ascii="Times" w:hAnsi="Times"/>
        </w:rPr>
        <w:t xml:space="preserve"> on to acknowledge </w:t>
      </w:r>
      <w:r w:rsidR="00774871" w:rsidRPr="0046649E">
        <w:rPr>
          <w:rFonts w:ascii="Times" w:hAnsi="Times"/>
        </w:rPr>
        <w:t xml:space="preserve">clearly </w:t>
      </w:r>
      <w:r w:rsidR="007B65D8" w:rsidRPr="0046649E">
        <w:rPr>
          <w:rFonts w:ascii="Times" w:hAnsi="Times"/>
        </w:rPr>
        <w:t>that “</w:t>
      </w:r>
      <w:r w:rsidR="007B65D8" w:rsidRPr="0046649E">
        <w:rPr>
          <w:rFonts w:ascii="Times" w:eastAsia="Times New Roman" w:hAnsi="Times"/>
        </w:rPr>
        <w:t xml:space="preserve">a private entity </w:t>
      </w:r>
      <w:r w:rsidR="00864B6A" w:rsidRPr="0046649E">
        <w:rPr>
          <w:rFonts w:ascii="Times" w:eastAsia="Times New Roman" w:hAnsi="Times"/>
        </w:rPr>
        <w:t xml:space="preserve">can qualify as a state actor in </w:t>
      </w:r>
      <w:r w:rsidR="007B65D8" w:rsidRPr="0046649E">
        <w:rPr>
          <w:rFonts w:ascii="Times" w:eastAsia="Times New Roman" w:hAnsi="Times"/>
        </w:rPr>
        <w:t>a few limited circumstances—including, for example, (i) when the private entity performs a traditi</w:t>
      </w:r>
      <w:r w:rsidR="0053699A" w:rsidRPr="0046649E">
        <w:rPr>
          <w:rFonts w:ascii="Times" w:eastAsia="Times New Roman" w:hAnsi="Times"/>
        </w:rPr>
        <w:t xml:space="preserve">onal [and] </w:t>
      </w:r>
      <w:r w:rsidR="007B65D8" w:rsidRPr="0046649E">
        <w:rPr>
          <w:rFonts w:ascii="Times" w:eastAsia="Times New Roman" w:hAnsi="Times"/>
        </w:rPr>
        <w:t>exclusive public function; (ii) when the government compels the private entity to take a particular action; or (iii) when the government acts jointly with the private entity.”</w:t>
      </w:r>
      <w:r w:rsidR="007B65D8" w:rsidRPr="0046649E">
        <w:rPr>
          <w:rStyle w:val="FootnoteReference"/>
          <w:rFonts w:ascii="Times" w:eastAsia="Times New Roman" w:hAnsi="Times"/>
        </w:rPr>
        <w:footnoteReference w:id="6"/>
      </w:r>
      <w:r w:rsidR="007B65D8" w:rsidRPr="0046649E">
        <w:rPr>
          <w:rFonts w:ascii="Times" w:eastAsia="Times New Roman" w:hAnsi="Times"/>
        </w:rPr>
        <w:t xml:space="preserve"> </w:t>
      </w:r>
    </w:p>
    <w:p w14:paraId="73CC7C0C" w14:textId="77777777" w:rsidR="006243F1" w:rsidRPr="0046649E" w:rsidRDefault="006243F1" w:rsidP="0066490D">
      <w:pPr>
        <w:ind w:left="720" w:right="720"/>
        <w:jc w:val="both"/>
        <w:rPr>
          <w:rFonts w:ascii="Times" w:hAnsi="Times"/>
        </w:rPr>
      </w:pPr>
    </w:p>
    <w:p w14:paraId="07372672" w14:textId="19CA54D4" w:rsidR="007B65D8" w:rsidRPr="0046649E" w:rsidRDefault="007C4042" w:rsidP="0066490D">
      <w:pPr>
        <w:ind w:left="720" w:right="720"/>
        <w:jc w:val="both"/>
        <w:rPr>
          <w:rFonts w:ascii="Times" w:eastAsia="Times New Roman" w:hAnsi="Times"/>
        </w:rPr>
      </w:pPr>
      <w:r w:rsidRPr="0046649E">
        <w:rPr>
          <w:rFonts w:ascii="Times" w:eastAsia="Times New Roman" w:hAnsi="Times"/>
        </w:rPr>
        <w:t>Notably,</w:t>
      </w:r>
      <w:r w:rsidR="007B65D8" w:rsidRPr="0046649E">
        <w:rPr>
          <w:rFonts w:ascii="Times" w:eastAsia="Times New Roman" w:hAnsi="Times"/>
        </w:rPr>
        <w:t xml:space="preserve"> </w:t>
      </w:r>
      <w:r w:rsidR="007B65D8" w:rsidRPr="0046649E">
        <w:rPr>
          <w:rFonts w:ascii="Times" w:hAnsi="Times"/>
          <w:i/>
        </w:rPr>
        <w:t>Halleck</w:t>
      </w:r>
      <w:r w:rsidRPr="0046649E">
        <w:rPr>
          <w:rFonts w:ascii="Times" w:hAnsi="Times"/>
          <w:i/>
        </w:rPr>
        <w:t xml:space="preserve"> </w:t>
      </w:r>
      <w:r w:rsidR="007B65D8" w:rsidRPr="0046649E">
        <w:rPr>
          <w:rFonts w:ascii="Times" w:hAnsi="Times"/>
        </w:rPr>
        <w:t xml:space="preserve">involved </w:t>
      </w:r>
      <w:r w:rsidR="007B65D8" w:rsidRPr="0046649E">
        <w:rPr>
          <w:rFonts w:ascii="Times" w:eastAsia="Times New Roman" w:hAnsi="Times"/>
        </w:rPr>
        <w:t xml:space="preserve">a private nonprofit </w:t>
      </w:r>
      <w:r w:rsidR="009E6B8F" w:rsidRPr="0046649E">
        <w:rPr>
          <w:rFonts w:ascii="Times" w:eastAsia="Times New Roman" w:hAnsi="Times"/>
        </w:rPr>
        <w:t>entity</w:t>
      </w:r>
      <w:r w:rsidR="007B65D8" w:rsidRPr="0046649E">
        <w:rPr>
          <w:rFonts w:ascii="Times" w:eastAsia="Times New Roman" w:hAnsi="Times"/>
        </w:rPr>
        <w:t xml:space="preserve"> that operated a public access channel for a city, and the state action claim came under</w:t>
      </w:r>
      <w:r w:rsidR="007B65D8" w:rsidRPr="0046649E">
        <w:rPr>
          <w:rFonts w:ascii="Times" w:hAnsi="Times"/>
        </w:rPr>
        <w:t xml:space="preserve"> </w:t>
      </w:r>
      <w:r w:rsidR="007B65D8" w:rsidRPr="0046649E">
        <w:rPr>
          <w:rFonts w:ascii="Times" w:eastAsia="Times New Roman" w:hAnsi="Times"/>
        </w:rPr>
        <w:t>(i).</w:t>
      </w:r>
      <w:r w:rsidR="007B65D8" w:rsidRPr="0046649E">
        <w:rPr>
          <w:rFonts w:ascii="Times" w:hAnsi="Times"/>
        </w:rPr>
        <w:t xml:space="preserve"> </w:t>
      </w:r>
      <w:r w:rsidR="00774871" w:rsidRPr="0046649E">
        <w:rPr>
          <w:rFonts w:ascii="Times" w:hAnsi="Times"/>
        </w:rPr>
        <w:t>T</w:t>
      </w:r>
      <w:r w:rsidR="007B65D8" w:rsidRPr="0046649E">
        <w:rPr>
          <w:rFonts w:ascii="Times" w:hAnsi="Times"/>
        </w:rPr>
        <w:t xml:space="preserve">he </w:t>
      </w:r>
      <w:r w:rsidR="007B65D8" w:rsidRPr="0046649E">
        <w:rPr>
          <w:rFonts w:ascii="Times" w:hAnsi="Times"/>
        </w:rPr>
        <w:lastRenderedPageBreak/>
        <w:t>Court</w:t>
      </w:r>
      <w:r w:rsidR="007B65D8" w:rsidRPr="0046649E">
        <w:rPr>
          <w:rFonts w:ascii="Times" w:eastAsia="Times New Roman" w:hAnsi="Times"/>
        </w:rPr>
        <w:t xml:space="preserve"> “stressed that ‘very few’ functions fall into that category</w:t>
      </w:r>
      <w:r w:rsidR="003919D1" w:rsidRPr="0046649E">
        <w:rPr>
          <w:rFonts w:ascii="Times" w:eastAsia="Times New Roman" w:hAnsi="Times"/>
        </w:rPr>
        <w:t>,</w:t>
      </w:r>
      <w:r w:rsidR="007B65D8" w:rsidRPr="0046649E">
        <w:rPr>
          <w:rFonts w:ascii="Times" w:eastAsia="Times New Roman" w:hAnsi="Times"/>
        </w:rPr>
        <w:t xml:space="preserve">” and noted: </w:t>
      </w:r>
      <w:r w:rsidR="007B65D8" w:rsidRPr="0046649E">
        <w:rPr>
          <w:rFonts w:ascii="Times" w:hAnsi="Times"/>
        </w:rPr>
        <w:t>“</w:t>
      </w:r>
      <w:r w:rsidR="007B65D8" w:rsidRPr="0046649E">
        <w:rPr>
          <w:rFonts w:ascii="Times" w:eastAsia="Times New Roman" w:hAnsi="Times"/>
        </w:rPr>
        <w:t>[W]hen a private entity provides a forum for speech, the private entity is not ordinarily constrained by the First Amendment because the private entity is not a state actor.”</w:t>
      </w:r>
      <w:r w:rsidR="007B65D8" w:rsidRPr="0046649E">
        <w:rPr>
          <w:rStyle w:val="FootnoteReference"/>
          <w:rFonts w:ascii="Times" w:eastAsia="Times New Roman" w:hAnsi="Times"/>
        </w:rPr>
        <w:footnoteReference w:id="7"/>
      </w:r>
      <w:r w:rsidR="0066490D" w:rsidRPr="0046649E">
        <w:rPr>
          <w:rFonts w:ascii="Times" w:eastAsia="Times New Roman" w:hAnsi="Times"/>
        </w:rPr>
        <w:t xml:space="preserve"> </w:t>
      </w:r>
      <w:r w:rsidR="008423D2" w:rsidRPr="0046649E">
        <w:rPr>
          <w:rFonts w:ascii="Times" w:eastAsia="Times New Roman" w:hAnsi="Times"/>
        </w:rPr>
        <w:t>The court added:</w:t>
      </w:r>
      <w:r w:rsidR="007B65D8" w:rsidRPr="0046649E">
        <w:rPr>
          <w:rFonts w:ascii="Times" w:eastAsia="Times New Roman" w:hAnsi="Times"/>
        </w:rPr>
        <w:t xml:space="preserve"> “[M]erely hosting speech by others is not a traditional, exclusive public function and does not alone transform private entities into state actors subject to First Amendment constraints.”</w:t>
      </w:r>
      <w:r w:rsidR="007B65D8" w:rsidRPr="0046649E">
        <w:rPr>
          <w:rStyle w:val="FootnoteReference"/>
          <w:rFonts w:ascii="Times" w:eastAsia="Times New Roman" w:hAnsi="Times"/>
        </w:rPr>
        <w:footnoteReference w:id="8"/>
      </w:r>
      <w:r w:rsidR="007B65D8" w:rsidRPr="0046649E">
        <w:rPr>
          <w:rFonts w:ascii="Times" w:eastAsia="Times New Roman" w:hAnsi="Times"/>
        </w:rPr>
        <w:t xml:space="preserve"> The Court</w:t>
      </w:r>
      <w:r w:rsidR="008423D2" w:rsidRPr="0046649E">
        <w:rPr>
          <w:rFonts w:ascii="Times" w:eastAsia="Times New Roman" w:hAnsi="Times"/>
        </w:rPr>
        <w:t xml:space="preserve"> then</w:t>
      </w:r>
      <w:r w:rsidR="007B65D8" w:rsidRPr="0046649E">
        <w:rPr>
          <w:rFonts w:ascii="Times" w:eastAsia="Times New Roman" w:hAnsi="Times"/>
        </w:rPr>
        <w:t xml:space="preserve"> </w:t>
      </w:r>
      <w:r w:rsidR="008423D2" w:rsidRPr="0046649E">
        <w:rPr>
          <w:rFonts w:ascii="Times" w:eastAsia="Times New Roman" w:hAnsi="Times"/>
        </w:rPr>
        <w:t>concluded</w:t>
      </w:r>
      <w:r w:rsidR="007B65D8" w:rsidRPr="0046649E">
        <w:rPr>
          <w:rFonts w:ascii="Times" w:eastAsia="Times New Roman" w:hAnsi="Times"/>
        </w:rPr>
        <w:t>: “If the rule were otherwise, all private property owners and private lessees who open their property for speech … would lose the ability to exercise what they deem to be appropriate editorial discretion within that open forum.”</w:t>
      </w:r>
      <w:r w:rsidR="007B65D8" w:rsidRPr="0046649E">
        <w:rPr>
          <w:rStyle w:val="FootnoteReference"/>
          <w:rFonts w:ascii="Times" w:eastAsia="Times New Roman" w:hAnsi="Times"/>
        </w:rPr>
        <w:footnoteReference w:id="9"/>
      </w:r>
      <w:r w:rsidR="007B65D8" w:rsidRPr="0046649E">
        <w:rPr>
          <w:rFonts w:ascii="Times" w:eastAsia="Times New Roman" w:hAnsi="Times"/>
        </w:rPr>
        <w:t xml:space="preserve"> </w:t>
      </w:r>
    </w:p>
    <w:p w14:paraId="4C7D9CB7" w14:textId="77777777" w:rsidR="00772D25" w:rsidRPr="0046649E" w:rsidRDefault="00772D25" w:rsidP="00774871">
      <w:pPr>
        <w:ind w:right="720"/>
        <w:jc w:val="both"/>
        <w:rPr>
          <w:rFonts w:ascii="Times" w:hAnsi="Times"/>
        </w:rPr>
      </w:pPr>
    </w:p>
    <w:p w14:paraId="39867768" w14:textId="33C19F2C" w:rsidR="00724616" w:rsidRPr="0046649E" w:rsidRDefault="007B65D8" w:rsidP="00724616">
      <w:pPr>
        <w:ind w:left="720" w:right="720"/>
        <w:jc w:val="both"/>
        <w:rPr>
          <w:rFonts w:ascii="Times" w:hAnsi="Times"/>
        </w:rPr>
      </w:pPr>
      <w:r w:rsidRPr="0046649E">
        <w:rPr>
          <w:rFonts w:ascii="Times" w:hAnsi="Times"/>
          <w:i/>
        </w:rPr>
        <w:t>Halleck</w:t>
      </w:r>
      <w:r w:rsidR="00F2635A" w:rsidRPr="0046649E">
        <w:rPr>
          <w:rFonts w:ascii="Times" w:hAnsi="Times"/>
        </w:rPr>
        <w:t xml:space="preserve">, therefore, </w:t>
      </w:r>
      <w:r w:rsidR="00BB71FA" w:rsidRPr="0046649E">
        <w:rPr>
          <w:rFonts w:ascii="Times" w:hAnsi="Times"/>
        </w:rPr>
        <w:t>reflected</w:t>
      </w:r>
      <w:r w:rsidR="00F2635A" w:rsidRPr="0046649E">
        <w:rPr>
          <w:rFonts w:ascii="Times" w:hAnsi="Times"/>
        </w:rPr>
        <w:t xml:space="preserve"> a narrow and </w:t>
      </w:r>
      <w:r w:rsidRPr="0046649E">
        <w:rPr>
          <w:rFonts w:ascii="Times" w:hAnsi="Times"/>
        </w:rPr>
        <w:t>formalist conception of the state action doctrine</w:t>
      </w:r>
      <w:r w:rsidR="008423D2" w:rsidRPr="0046649E">
        <w:rPr>
          <w:rFonts w:ascii="Times" w:hAnsi="Times"/>
        </w:rPr>
        <w:t>.</w:t>
      </w:r>
      <w:r w:rsidR="0066490D" w:rsidRPr="0046649E">
        <w:rPr>
          <w:rFonts w:ascii="Times" w:hAnsi="Times"/>
        </w:rPr>
        <w:t xml:space="preserve"> </w:t>
      </w:r>
      <w:r w:rsidR="00772D25" w:rsidRPr="0046649E">
        <w:rPr>
          <w:rFonts w:ascii="Times" w:hAnsi="Times"/>
        </w:rPr>
        <w:t xml:space="preserve">This is the current federal approach. </w:t>
      </w:r>
      <w:r w:rsidR="00F2635A" w:rsidRPr="0046649E">
        <w:rPr>
          <w:rFonts w:ascii="Times" w:hAnsi="Times"/>
        </w:rPr>
        <w:t>But</w:t>
      </w:r>
      <w:r w:rsidR="00772D25" w:rsidRPr="0046649E">
        <w:rPr>
          <w:rFonts w:ascii="Times" w:hAnsi="Times"/>
        </w:rPr>
        <w:t xml:space="preserve"> some states have </w:t>
      </w:r>
      <w:r w:rsidR="007A37BC" w:rsidRPr="0046649E">
        <w:rPr>
          <w:rFonts w:ascii="Times" w:hAnsi="Times"/>
        </w:rPr>
        <w:t>developed their own</w:t>
      </w:r>
      <w:r w:rsidR="00772D25" w:rsidRPr="0046649E">
        <w:rPr>
          <w:rFonts w:ascii="Times" w:hAnsi="Times"/>
        </w:rPr>
        <w:t>. The California Supreme Court, for example, has adopted a more expansive view of state action under its state constitution that can be satisfied if private property is “freely and openly accessible to the public.”</w:t>
      </w:r>
      <w:r w:rsidR="00772D25" w:rsidRPr="0046649E">
        <w:rPr>
          <w:rStyle w:val="FootnoteReference"/>
          <w:rFonts w:ascii="Times" w:hAnsi="Times"/>
        </w:rPr>
        <w:footnoteReference w:id="10"/>
      </w:r>
      <w:r w:rsidR="00BB71FA" w:rsidRPr="0046649E">
        <w:rPr>
          <w:rFonts w:ascii="Times" w:hAnsi="Times"/>
        </w:rPr>
        <w:t xml:space="preserve"> </w:t>
      </w:r>
      <w:r w:rsidR="000F6B40" w:rsidRPr="0046649E">
        <w:rPr>
          <w:rFonts w:ascii="Times" w:hAnsi="Times"/>
        </w:rPr>
        <w:t xml:space="preserve">This means California </w:t>
      </w:r>
      <w:r w:rsidR="00BB71FA" w:rsidRPr="0046649E">
        <w:rPr>
          <w:rFonts w:ascii="Times" w:hAnsi="Times"/>
        </w:rPr>
        <w:t>focuses on a property’s public use rather than its owne</w:t>
      </w:r>
      <w:r w:rsidR="000F6B40" w:rsidRPr="0046649E">
        <w:rPr>
          <w:rFonts w:ascii="Times" w:hAnsi="Times"/>
        </w:rPr>
        <w:t xml:space="preserve">rship, and the U.S. Supreme Court once affirmed </w:t>
      </w:r>
      <w:r w:rsidR="003919D1" w:rsidRPr="0046649E">
        <w:rPr>
          <w:rFonts w:ascii="Times" w:hAnsi="Times"/>
        </w:rPr>
        <w:t>this</w:t>
      </w:r>
      <w:r w:rsidR="000F6B40" w:rsidRPr="0046649E">
        <w:rPr>
          <w:rFonts w:ascii="Times" w:hAnsi="Times"/>
        </w:rPr>
        <w:t xml:space="preserve"> approach in the face of a federal constitutional challenge</w:t>
      </w:r>
      <w:r w:rsidR="00724616" w:rsidRPr="0046649E">
        <w:rPr>
          <w:rFonts w:ascii="Times" w:hAnsi="Times"/>
        </w:rPr>
        <w:t xml:space="preserve">, finding that a state does not necessarily violate property rights by protecting expressive activity on private property under </w:t>
      </w:r>
      <w:r w:rsidR="003919D1" w:rsidRPr="0046649E">
        <w:rPr>
          <w:rFonts w:ascii="Times" w:hAnsi="Times"/>
        </w:rPr>
        <w:t>a</w:t>
      </w:r>
      <w:r w:rsidR="00724616" w:rsidRPr="0046649E">
        <w:rPr>
          <w:rFonts w:ascii="Times" w:hAnsi="Times"/>
        </w:rPr>
        <w:t xml:space="preserve"> </w:t>
      </w:r>
      <w:r w:rsidR="003919D1" w:rsidRPr="0046649E">
        <w:rPr>
          <w:rFonts w:ascii="Times" w:hAnsi="Times"/>
        </w:rPr>
        <w:t>state</w:t>
      </w:r>
      <w:r w:rsidR="00724616" w:rsidRPr="0046649E">
        <w:rPr>
          <w:rFonts w:ascii="Times" w:hAnsi="Times"/>
        </w:rPr>
        <w:t xml:space="preserve"> constitution.</w:t>
      </w:r>
      <w:r w:rsidR="00724616" w:rsidRPr="0046649E">
        <w:rPr>
          <w:rStyle w:val="FootnoteReference"/>
          <w:rFonts w:ascii="Times" w:hAnsi="Times"/>
        </w:rPr>
        <w:footnoteReference w:id="11"/>
      </w:r>
      <w:r w:rsidR="00724616" w:rsidRPr="0046649E">
        <w:rPr>
          <w:rFonts w:ascii="Times" w:hAnsi="Times"/>
        </w:rPr>
        <w:t xml:space="preserve"> </w:t>
      </w:r>
    </w:p>
    <w:p w14:paraId="67D156E1" w14:textId="77777777" w:rsidR="00724616" w:rsidRPr="0046649E" w:rsidRDefault="00724616" w:rsidP="00724616">
      <w:pPr>
        <w:ind w:left="720" w:right="720"/>
        <w:jc w:val="both"/>
        <w:rPr>
          <w:rFonts w:ascii="Times" w:hAnsi="Times"/>
        </w:rPr>
      </w:pPr>
    </w:p>
    <w:p w14:paraId="232A9BFD" w14:textId="2803A5E9" w:rsidR="00724616" w:rsidRPr="0046649E" w:rsidRDefault="00724616" w:rsidP="00724616">
      <w:pPr>
        <w:ind w:left="720" w:right="720"/>
        <w:jc w:val="both"/>
        <w:rPr>
          <w:rFonts w:ascii="Times" w:hAnsi="Times"/>
        </w:rPr>
      </w:pPr>
      <w:r w:rsidRPr="0046649E">
        <w:rPr>
          <w:rFonts w:ascii="Times" w:hAnsi="Times"/>
        </w:rPr>
        <w:t>These opposing conceptions of state action and public/private spaces stem from conscious choices based</w:t>
      </w:r>
      <w:r w:rsidR="003919D1" w:rsidRPr="0046649E">
        <w:rPr>
          <w:rFonts w:ascii="Times" w:hAnsi="Times"/>
        </w:rPr>
        <w:t>, at least in part,</w:t>
      </w:r>
      <w:r w:rsidRPr="0046649E">
        <w:rPr>
          <w:rFonts w:ascii="Times" w:hAnsi="Times"/>
        </w:rPr>
        <w:t xml:space="preserve"> on the </w:t>
      </w:r>
      <w:r w:rsidR="003919D1" w:rsidRPr="0046649E">
        <w:rPr>
          <w:rFonts w:ascii="Times" w:hAnsi="Times"/>
        </w:rPr>
        <w:t xml:space="preserve">social and political </w:t>
      </w:r>
      <w:r w:rsidRPr="0046649E">
        <w:rPr>
          <w:rFonts w:ascii="Times" w:hAnsi="Times"/>
        </w:rPr>
        <w:t xml:space="preserve">values underlying them. The U.S. Supreme Court has chosen to emphasize </w:t>
      </w:r>
      <w:r w:rsidRPr="0046649E">
        <w:rPr>
          <w:rFonts w:ascii="Times" w:hAnsi="Times"/>
        </w:rPr>
        <w:lastRenderedPageBreak/>
        <w:t>the values of autonomy and property rights, and the California Supreme Court has chosen to emphasize the expressive rights of individual</w:t>
      </w:r>
      <w:r w:rsidR="003919D1" w:rsidRPr="0046649E">
        <w:rPr>
          <w:rFonts w:ascii="Times" w:hAnsi="Times"/>
        </w:rPr>
        <w:t>s</w:t>
      </w:r>
      <w:r w:rsidRPr="0046649E">
        <w:rPr>
          <w:rFonts w:ascii="Times" w:hAnsi="Times"/>
        </w:rPr>
        <w:t xml:space="preserve"> in a world “where public title and public use overlap with less frequency.”</w:t>
      </w:r>
      <w:r w:rsidR="00096F24" w:rsidRPr="0046649E">
        <w:rPr>
          <w:rStyle w:val="FootnoteReference"/>
          <w:rFonts w:ascii="Times" w:hAnsi="Times"/>
        </w:rPr>
        <w:footnoteReference w:id="12"/>
      </w:r>
    </w:p>
    <w:p w14:paraId="5C665DBF" w14:textId="77777777" w:rsidR="00BB71FA" w:rsidRPr="0046649E" w:rsidRDefault="00BB71FA" w:rsidP="00F2635A">
      <w:pPr>
        <w:ind w:left="720" w:right="720"/>
        <w:jc w:val="both"/>
        <w:rPr>
          <w:rFonts w:ascii="Times" w:hAnsi="Times"/>
        </w:rPr>
      </w:pPr>
    </w:p>
    <w:p w14:paraId="525E4507" w14:textId="467A1C2D" w:rsidR="00337F65" w:rsidRPr="0046649E" w:rsidRDefault="00841F4E" w:rsidP="003C53DE">
      <w:pPr>
        <w:ind w:left="720" w:right="720"/>
        <w:jc w:val="both"/>
        <w:rPr>
          <w:rFonts w:ascii="Times" w:hAnsi="Times"/>
          <w:b/>
          <w:color w:val="0070C0"/>
        </w:rPr>
      </w:pPr>
      <w:r w:rsidRPr="0046649E">
        <w:rPr>
          <w:rFonts w:ascii="Times" w:hAnsi="Times"/>
          <w:b/>
          <w:color w:val="0070C0"/>
        </w:rPr>
        <w:t xml:space="preserve">B) </w:t>
      </w:r>
      <w:r w:rsidR="003E27AA" w:rsidRPr="0046649E">
        <w:rPr>
          <w:rFonts w:ascii="Times" w:hAnsi="Times"/>
          <w:b/>
          <w:color w:val="0070C0"/>
        </w:rPr>
        <w:t xml:space="preserve">The revised draft addresses in several places </w:t>
      </w:r>
      <w:r w:rsidR="00181569" w:rsidRPr="0046649E">
        <w:rPr>
          <w:rFonts w:ascii="Times" w:hAnsi="Times"/>
          <w:b/>
          <w:color w:val="0070C0"/>
        </w:rPr>
        <w:t xml:space="preserve">the </w:t>
      </w:r>
      <w:r w:rsidR="003C53DE" w:rsidRPr="0046649E">
        <w:rPr>
          <w:rFonts w:ascii="Times" w:hAnsi="Times"/>
          <w:b/>
          <w:color w:val="0070C0"/>
        </w:rPr>
        <w:t xml:space="preserve">relationship between technology and the exercise of the right of peaceful assembly. For example: </w:t>
      </w:r>
    </w:p>
    <w:p w14:paraId="058AF4FD" w14:textId="77777777" w:rsidR="00337F65" w:rsidRPr="0046649E" w:rsidRDefault="00337F65" w:rsidP="00337F65">
      <w:pPr>
        <w:ind w:left="720" w:right="720"/>
        <w:rPr>
          <w:rFonts w:ascii="Times" w:hAnsi="Times"/>
        </w:rPr>
      </w:pPr>
    </w:p>
    <w:p w14:paraId="3EE5406A" w14:textId="63101259" w:rsidR="00337F65" w:rsidRPr="0046649E" w:rsidRDefault="003C53DE" w:rsidP="003C53DE">
      <w:pPr>
        <w:ind w:left="1440" w:right="720"/>
        <w:jc w:val="both"/>
        <w:rPr>
          <w:rFonts w:ascii="Times" w:hAnsi="Times"/>
          <w:i/>
        </w:rPr>
      </w:pPr>
      <w:r w:rsidRPr="0046649E">
        <w:rPr>
          <w:rFonts w:ascii="Times" w:hAnsi="Times"/>
          <w:i/>
        </w:rPr>
        <w:t xml:space="preserve">11.   … </w:t>
      </w:r>
      <w:r w:rsidR="00337F65" w:rsidRPr="0046649E">
        <w:rPr>
          <w:rFonts w:ascii="Times" w:hAnsi="Times"/>
          <w:i/>
        </w:rPr>
        <w:t xml:space="preserve">emerging technologies present new spaces and opportunities as well as challenges for the exercise of the right of peaceful assembly. Communication technologies often play an integral role in organizing and monitoring, but also in impeding assemblies. </w:t>
      </w:r>
      <w:r w:rsidRPr="0046649E">
        <w:rPr>
          <w:rFonts w:ascii="Times" w:hAnsi="Times"/>
          <w:i/>
        </w:rPr>
        <w:t xml:space="preserve">… </w:t>
      </w:r>
      <w:r w:rsidR="00337F65" w:rsidRPr="0046649E">
        <w:rPr>
          <w:rFonts w:ascii="Times" w:hAnsi="Times"/>
          <w:i/>
        </w:rPr>
        <w:t>Moreover, there is increased private ownership of public spaces. Considerations such as these need to inform a contemporary understanding of the legal framework required to give full effect to article 21.</w:t>
      </w:r>
    </w:p>
    <w:p w14:paraId="7BE4E651" w14:textId="77777777" w:rsidR="00337F65" w:rsidRPr="0046649E" w:rsidRDefault="00337F65" w:rsidP="003C53DE">
      <w:pPr>
        <w:ind w:left="720" w:right="720"/>
        <w:jc w:val="both"/>
        <w:rPr>
          <w:rFonts w:ascii="Times" w:hAnsi="Times"/>
          <w:i/>
        </w:rPr>
      </w:pPr>
    </w:p>
    <w:p w14:paraId="17649A07" w14:textId="227BEBA6" w:rsidR="00337F65" w:rsidRPr="0046649E" w:rsidRDefault="003C53DE" w:rsidP="003C53DE">
      <w:pPr>
        <w:ind w:left="1440" w:right="720"/>
        <w:jc w:val="both"/>
        <w:rPr>
          <w:rFonts w:ascii="Times" w:hAnsi="Times"/>
          <w:i/>
        </w:rPr>
      </w:pPr>
      <w:r w:rsidRPr="0046649E">
        <w:rPr>
          <w:rFonts w:ascii="Times" w:hAnsi="Times"/>
          <w:i/>
        </w:rPr>
        <w:t xml:space="preserve">15.  </w:t>
      </w:r>
      <w:r w:rsidR="00337F65" w:rsidRPr="0046649E">
        <w:rPr>
          <w:rFonts w:ascii="Times" w:hAnsi="Times"/>
          <w:i/>
        </w:rPr>
        <w:t xml:space="preserve"> … although the exercise of the right of peaceful assembly is normally understood to pertain to the physical gathering of persons, comparable human rights protections also apply to acts of collective expression through di</w:t>
      </w:r>
      <w:r w:rsidRPr="0046649E">
        <w:rPr>
          <w:rFonts w:ascii="Times" w:hAnsi="Times"/>
          <w:i/>
        </w:rPr>
        <w:t xml:space="preserve">gital means, for example online … </w:t>
      </w:r>
    </w:p>
    <w:p w14:paraId="5AB6CBDF" w14:textId="77777777" w:rsidR="00337F65" w:rsidRPr="0046649E" w:rsidRDefault="00337F65" w:rsidP="00E405EF">
      <w:pPr>
        <w:ind w:right="720"/>
        <w:jc w:val="both"/>
        <w:rPr>
          <w:rFonts w:ascii="Times" w:hAnsi="Times"/>
          <w:i/>
        </w:rPr>
      </w:pPr>
    </w:p>
    <w:p w14:paraId="31B818E8" w14:textId="3847A7FE" w:rsidR="00337F65" w:rsidRPr="0046649E" w:rsidRDefault="00337F65" w:rsidP="003C53DE">
      <w:pPr>
        <w:ind w:left="1440" w:right="720"/>
        <w:jc w:val="both"/>
        <w:rPr>
          <w:rFonts w:ascii="Times" w:hAnsi="Times"/>
          <w:i/>
        </w:rPr>
      </w:pPr>
      <w:r w:rsidRPr="0046649E">
        <w:rPr>
          <w:rFonts w:ascii="Times" w:hAnsi="Times"/>
          <w:i/>
        </w:rPr>
        <w:t xml:space="preserve">38.  </w:t>
      </w:r>
      <w:r w:rsidR="00065562" w:rsidRPr="0046649E">
        <w:rPr>
          <w:rFonts w:ascii="Times" w:hAnsi="Times"/>
          <w:i/>
        </w:rPr>
        <w:t xml:space="preserve"> </w:t>
      </w:r>
      <w:r w:rsidRPr="0046649E">
        <w:rPr>
          <w:rFonts w:ascii="Times" w:hAnsi="Times"/>
          <w:i/>
        </w:rPr>
        <w:t xml:space="preserve">In the digital age, many </w:t>
      </w:r>
      <w:r w:rsidR="00065562" w:rsidRPr="0046649E">
        <w:rPr>
          <w:rFonts w:ascii="Times" w:hAnsi="Times"/>
          <w:i/>
        </w:rPr>
        <w:t>[activities conducted outside an assembly that are integral to the right</w:t>
      </w:r>
      <w:r w:rsidR="00E405EF" w:rsidRPr="0046649E">
        <w:rPr>
          <w:rFonts w:ascii="Times" w:hAnsi="Times"/>
          <w:i/>
        </w:rPr>
        <w:t xml:space="preserve"> of peaceful assembly’s</w:t>
      </w:r>
      <w:r w:rsidR="00065562" w:rsidRPr="0046649E">
        <w:rPr>
          <w:rFonts w:ascii="Times" w:hAnsi="Times"/>
          <w:i/>
        </w:rPr>
        <w:t xml:space="preserve"> practical exercise]</w:t>
      </w:r>
      <w:r w:rsidRPr="0046649E">
        <w:rPr>
          <w:rFonts w:ascii="Times" w:hAnsi="Times"/>
          <w:i/>
        </w:rPr>
        <w:t xml:space="preserve"> happen online or otherwise rely upon digital services. Such associated activities are also protected under article 21</w:t>
      </w:r>
      <w:r w:rsidR="00065562" w:rsidRPr="0046649E">
        <w:rPr>
          <w:rFonts w:ascii="Times" w:hAnsi="Times"/>
          <w:i/>
        </w:rPr>
        <w:t xml:space="preserve"> … </w:t>
      </w:r>
    </w:p>
    <w:p w14:paraId="78FEC147" w14:textId="77777777" w:rsidR="00F21B43" w:rsidRPr="0046649E" w:rsidRDefault="00F21B43" w:rsidP="00287567">
      <w:pPr>
        <w:ind w:right="720"/>
        <w:rPr>
          <w:rFonts w:ascii="Times" w:hAnsi="Times"/>
        </w:rPr>
      </w:pPr>
    </w:p>
    <w:p w14:paraId="01ADB439" w14:textId="4585E7E4" w:rsidR="00F876C1" w:rsidRPr="0046649E" w:rsidRDefault="00287567" w:rsidP="00287567">
      <w:pPr>
        <w:ind w:left="720" w:right="720"/>
        <w:jc w:val="both"/>
        <w:rPr>
          <w:rFonts w:ascii="Times" w:hAnsi="Times"/>
        </w:rPr>
      </w:pPr>
      <w:r w:rsidRPr="0046649E">
        <w:rPr>
          <w:rFonts w:ascii="Times" w:hAnsi="Times"/>
        </w:rPr>
        <w:lastRenderedPageBreak/>
        <w:t>In the context of w</w:t>
      </w:r>
      <w:r w:rsidR="003C53DE" w:rsidRPr="0046649E">
        <w:rPr>
          <w:rFonts w:ascii="Times" w:hAnsi="Times"/>
        </w:rPr>
        <w:t>hether and how Article 21 could be interpreted to protect virtual assemblies</w:t>
      </w:r>
      <w:r w:rsidRPr="0046649E">
        <w:rPr>
          <w:rFonts w:ascii="Times" w:hAnsi="Times"/>
        </w:rPr>
        <w:t xml:space="preserve">, it is </w:t>
      </w:r>
      <w:r w:rsidR="00F21B43" w:rsidRPr="0046649E">
        <w:rPr>
          <w:rFonts w:ascii="Times" w:hAnsi="Times"/>
        </w:rPr>
        <w:t xml:space="preserve">useful to consider </w:t>
      </w:r>
      <w:r w:rsidR="002064EB" w:rsidRPr="0046649E">
        <w:rPr>
          <w:rFonts w:ascii="Times" w:hAnsi="Times"/>
        </w:rPr>
        <w:t>some</w:t>
      </w:r>
      <w:r w:rsidR="00F21B43" w:rsidRPr="0046649E">
        <w:rPr>
          <w:rFonts w:ascii="Times" w:hAnsi="Times"/>
        </w:rPr>
        <w:t xml:space="preserve"> </w:t>
      </w:r>
      <w:r w:rsidR="002064EB" w:rsidRPr="0046649E">
        <w:rPr>
          <w:rFonts w:ascii="Times" w:hAnsi="Times"/>
        </w:rPr>
        <w:t xml:space="preserve">relevant, </w:t>
      </w:r>
      <w:r w:rsidRPr="0046649E">
        <w:rPr>
          <w:rFonts w:ascii="Times" w:hAnsi="Times"/>
        </w:rPr>
        <w:t>emerging</w:t>
      </w:r>
      <w:r w:rsidR="00F21B43" w:rsidRPr="0046649E">
        <w:rPr>
          <w:rFonts w:ascii="Times" w:hAnsi="Times"/>
        </w:rPr>
        <w:t xml:space="preserve"> American </w:t>
      </w:r>
      <w:r w:rsidR="002064EB" w:rsidRPr="0046649E">
        <w:rPr>
          <w:rFonts w:ascii="Times" w:hAnsi="Times"/>
        </w:rPr>
        <w:t>case law</w:t>
      </w:r>
      <w:r w:rsidRPr="0046649E">
        <w:rPr>
          <w:rFonts w:ascii="Times" w:hAnsi="Times"/>
        </w:rPr>
        <w:t>. S</w:t>
      </w:r>
      <w:r w:rsidR="00337F65" w:rsidRPr="0046649E">
        <w:rPr>
          <w:rFonts w:ascii="Times" w:hAnsi="Times"/>
        </w:rPr>
        <w:t xml:space="preserve">everal federal appeals courts have ruled recently that a </w:t>
      </w:r>
      <w:r w:rsidR="00337F65" w:rsidRPr="0046649E">
        <w:rPr>
          <w:rFonts w:ascii="Times" w:eastAsia="Times New Roman" w:hAnsi="Times"/>
        </w:rPr>
        <w:t>social media account run by a public official</w:t>
      </w:r>
      <w:r w:rsidR="00337F65" w:rsidRPr="0046649E">
        <w:rPr>
          <w:rFonts w:ascii="Times" w:hAnsi="Times"/>
        </w:rPr>
        <w:t xml:space="preserve"> qualifies as a public forum if the official uses the account for public business and engaging with constituents.</w:t>
      </w:r>
      <w:r w:rsidR="00337F65" w:rsidRPr="0046649E">
        <w:rPr>
          <w:rStyle w:val="FootnoteReference"/>
          <w:rFonts w:ascii="Times" w:hAnsi="Times"/>
        </w:rPr>
        <w:footnoteReference w:id="13"/>
      </w:r>
      <w:r w:rsidR="00337F65" w:rsidRPr="0046649E">
        <w:rPr>
          <w:rFonts w:ascii="Times" w:hAnsi="Times"/>
        </w:rPr>
        <w:t xml:space="preserve"> That means the official may not, on the basis of viewpoint, block users from the account or otherwise limit their speech on the account. For example, the U.S. Court of Appeals for the Second Circuit held that </w:t>
      </w:r>
      <w:r w:rsidR="00337F65" w:rsidRPr="0046649E">
        <w:rPr>
          <w:rFonts w:ascii="Times" w:eastAsia="Times New Roman" w:hAnsi="Times"/>
        </w:rPr>
        <w:t>President Donald Trump’s practice of blocking critics from his Twitter feed was a form of unconstitutional viewpoint discrimination.</w:t>
      </w:r>
      <w:r w:rsidR="00337F65" w:rsidRPr="0046649E">
        <w:rPr>
          <w:rStyle w:val="FootnoteReference"/>
          <w:rFonts w:ascii="Times" w:eastAsia="Times New Roman" w:hAnsi="Times"/>
        </w:rPr>
        <w:footnoteReference w:id="14"/>
      </w:r>
      <w:r w:rsidR="00337F65" w:rsidRPr="0046649E">
        <w:rPr>
          <w:rFonts w:ascii="Times" w:eastAsia="Times New Roman" w:hAnsi="Times"/>
        </w:rPr>
        <w:t xml:space="preserve"> As the court reasoned: “[T]he First Amendment does not permit a public official who utilizes a social media account for all manner of official purposes to exclude persons from an otherwise-open online dialogue because they expressed views with which the official disagrees.”</w:t>
      </w:r>
      <w:r w:rsidR="00337F65" w:rsidRPr="0046649E">
        <w:rPr>
          <w:rStyle w:val="FootnoteReference"/>
          <w:rFonts w:ascii="Times" w:eastAsia="Times New Roman" w:hAnsi="Times"/>
        </w:rPr>
        <w:footnoteReference w:id="15"/>
      </w:r>
      <w:r w:rsidR="00337F65" w:rsidRPr="0046649E">
        <w:rPr>
          <w:rFonts w:ascii="Times" w:eastAsia="Times New Roman" w:hAnsi="Times"/>
        </w:rPr>
        <w:t xml:space="preserve"> </w:t>
      </w:r>
    </w:p>
    <w:p w14:paraId="740399B8" w14:textId="77777777" w:rsidR="00F876C1" w:rsidRPr="0046649E" w:rsidRDefault="00F876C1" w:rsidP="00F876C1">
      <w:pPr>
        <w:ind w:left="720" w:right="720"/>
        <w:jc w:val="both"/>
        <w:rPr>
          <w:rFonts w:ascii="Times" w:hAnsi="Times"/>
        </w:rPr>
      </w:pPr>
    </w:p>
    <w:p w14:paraId="64BC6239" w14:textId="11424ADE" w:rsidR="00F876C1" w:rsidRPr="0046649E" w:rsidRDefault="00337F65" w:rsidP="00F876C1">
      <w:pPr>
        <w:ind w:left="720" w:right="720"/>
        <w:jc w:val="both"/>
        <w:rPr>
          <w:rFonts w:ascii="Times" w:hAnsi="Times"/>
        </w:rPr>
      </w:pPr>
      <w:r w:rsidRPr="0046649E">
        <w:rPr>
          <w:rFonts w:ascii="Times" w:eastAsia="Times New Roman" w:hAnsi="Times"/>
        </w:rPr>
        <w:t>Roughly six months earlier, the U.S. Court of Appeals for the Fourth Circuit held that a county official who blocked a critic from her Facebook page had violated the First Amendment.</w:t>
      </w:r>
      <w:r w:rsidRPr="0046649E">
        <w:rPr>
          <w:rStyle w:val="FootnoteReference"/>
          <w:rFonts w:ascii="Times" w:eastAsia="Times New Roman" w:hAnsi="Times"/>
        </w:rPr>
        <w:footnoteReference w:id="16"/>
      </w:r>
      <w:r w:rsidRPr="0046649E">
        <w:rPr>
          <w:rFonts w:ascii="Times" w:eastAsia="Times New Roman" w:hAnsi="Times"/>
        </w:rPr>
        <w:t xml:space="preserve"> The court said the page had all “the hallmarks of a public forum” and that blocking access was “black-letter viewpoint discrimination.”</w:t>
      </w:r>
      <w:r w:rsidRPr="0046649E">
        <w:rPr>
          <w:rStyle w:val="FootnoteReference"/>
          <w:rFonts w:ascii="Times" w:eastAsia="Times New Roman" w:hAnsi="Times"/>
        </w:rPr>
        <w:footnoteReference w:id="17"/>
      </w:r>
      <w:r w:rsidRPr="0046649E">
        <w:rPr>
          <w:rFonts w:ascii="Times" w:eastAsia="Times New Roman" w:hAnsi="Times"/>
        </w:rPr>
        <w:t xml:space="preserve"> This was the first federal appeals court ruling </w:t>
      </w:r>
      <w:r w:rsidR="00DC2585" w:rsidRPr="0046649E">
        <w:rPr>
          <w:rFonts w:ascii="Times" w:eastAsia="Times New Roman" w:hAnsi="Times"/>
        </w:rPr>
        <w:t>addressing</w:t>
      </w:r>
      <w:r w:rsidRPr="0046649E">
        <w:rPr>
          <w:rFonts w:ascii="Times" w:eastAsia="Times New Roman" w:hAnsi="Times"/>
        </w:rPr>
        <w:t xml:space="preserve"> the First Amendment’s application to government-run social media accounts.</w:t>
      </w:r>
    </w:p>
    <w:p w14:paraId="6E7433CE" w14:textId="77777777" w:rsidR="00F876C1" w:rsidRPr="0046649E" w:rsidRDefault="00F876C1" w:rsidP="00F876C1">
      <w:pPr>
        <w:ind w:left="720" w:right="720"/>
        <w:jc w:val="both"/>
        <w:rPr>
          <w:rFonts w:ascii="Times" w:hAnsi="Times"/>
        </w:rPr>
      </w:pPr>
    </w:p>
    <w:p w14:paraId="0C5786D4" w14:textId="111D48B9" w:rsidR="00F876C1" w:rsidRPr="0046649E" w:rsidRDefault="00337F65" w:rsidP="00F876C1">
      <w:pPr>
        <w:ind w:left="720" w:right="720"/>
        <w:jc w:val="both"/>
        <w:rPr>
          <w:rFonts w:ascii="Times" w:hAnsi="Times"/>
        </w:rPr>
      </w:pPr>
      <w:r w:rsidRPr="0046649E">
        <w:rPr>
          <w:rFonts w:ascii="Times" w:eastAsia="Times New Roman" w:hAnsi="Times"/>
        </w:rPr>
        <w:lastRenderedPageBreak/>
        <w:t xml:space="preserve">These are increasingly important issues, because, as </w:t>
      </w:r>
      <w:r w:rsidR="004D6A3F" w:rsidRPr="0046649E">
        <w:rPr>
          <w:rFonts w:ascii="Times" w:eastAsia="Times New Roman" w:hAnsi="Times"/>
        </w:rPr>
        <w:t xml:space="preserve">U.S. Supreme Court </w:t>
      </w:r>
      <w:r w:rsidRPr="0046649E">
        <w:rPr>
          <w:rFonts w:ascii="Times" w:eastAsia="Times New Roman" w:hAnsi="Times"/>
        </w:rPr>
        <w:t xml:space="preserve">Justice Anthony Kennedy wrote more than 20 years ago, “Minds are not changed in streets and parks as they once were </w:t>
      </w:r>
      <w:r w:rsidR="00DC2585" w:rsidRPr="0046649E">
        <w:rPr>
          <w:rFonts w:ascii="Times" w:eastAsia="Times New Roman" w:hAnsi="Times"/>
        </w:rPr>
        <w:t xml:space="preserve">… </w:t>
      </w:r>
      <w:r w:rsidRPr="0046649E">
        <w:rPr>
          <w:rFonts w:ascii="Times" w:eastAsia="Times New Roman" w:hAnsi="Times"/>
        </w:rPr>
        <w:t>[Instead], the more significant interchanges of ideas and shaping of public consciousness occur in mass and electronic media.”</w:t>
      </w:r>
      <w:r w:rsidRPr="0046649E">
        <w:rPr>
          <w:rStyle w:val="FootnoteReference"/>
          <w:rFonts w:ascii="Times" w:eastAsia="Times New Roman" w:hAnsi="Times"/>
        </w:rPr>
        <w:footnoteReference w:id="18"/>
      </w:r>
      <w:r w:rsidRPr="0046649E">
        <w:rPr>
          <w:rFonts w:ascii="Times" w:eastAsia="Times New Roman" w:hAnsi="Times"/>
        </w:rPr>
        <w:t xml:space="preserve"> Today, clearly, that includes platforms like Facebook and Twitter and YouTube, a point the Supreme Court reiterated not long ago in </w:t>
      </w:r>
      <w:r w:rsidRPr="0046649E">
        <w:rPr>
          <w:rFonts w:ascii="Times" w:hAnsi="Times"/>
          <w:i/>
        </w:rPr>
        <w:t>Packingham v. North Carolina</w:t>
      </w:r>
      <w:r w:rsidRPr="0046649E">
        <w:rPr>
          <w:rFonts w:ascii="Times" w:hAnsi="Times"/>
        </w:rPr>
        <w:t>, decided in 2017 and cited in the Second Circuit’s opinion in the Trump case.</w:t>
      </w:r>
      <w:r w:rsidRPr="0046649E">
        <w:rPr>
          <w:rStyle w:val="FootnoteReference"/>
          <w:rFonts w:ascii="Times" w:hAnsi="Times"/>
        </w:rPr>
        <w:footnoteReference w:id="19"/>
      </w:r>
      <w:r w:rsidRPr="0046649E">
        <w:rPr>
          <w:rFonts w:ascii="Times" w:hAnsi="Times"/>
        </w:rPr>
        <w:t xml:space="preserve"> </w:t>
      </w:r>
    </w:p>
    <w:p w14:paraId="5F7AE1E3" w14:textId="77777777" w:rsidR="00F876C1" w:rsidRPr="0046649E" w:rsidRDefault="00F876C1" w:rsidP="00F876C1">
      <w:pPr>
        <w:ind w:left="720" w:right="720"/>
        <w:jc w:val="both"/>
        <w:rPr>
          <w:rFonts w:ascii="Times" w:hAnsi="Times"/>
        </w:rPr>
      </w:pPr>
    </w:p>
    <w:p w14:paraId="0322DD8A" w14:textId="77777777" w:rsidR="00F876C1" w:rsidRPr="0046649E" w:rsidRDefault="00337F65" w:rsidP="00F876C1">
      <w:pPr>
        <w:ind w:left="720" w:right="720"/>
        <w:jc w:val="both"/>
        <w:rPr>
          <w:rFonts w:ascii="Times" w:hAnsi="Times"/>
        </w:rPr>
      </w:pPr>
      <w:r w:rsidRPr="0046649E">
        <w:rPr>
          <w:rFonts w:ascii="Times" w:hAnsi="Times"/>
          <w:i/>
        </w:rPr>
        <w:t>Packingham</w:t>
      </w:r>
      <w:r w:rsidRPr="0046649E">
        <w:rPr>
          <w:rFonts w:ascii="Times" w:hAnsi="Times"/>
        </w:rPr>
        <w:t xml:space="preserve"> involved a statute making it a felony for a registered sex offender to access social media platforms. The Court, finding it unconstitutional, made a number of valuable comments about the role of social media in a modern society and democracy. The opinion acknowledged that “a</w:t>
      </w:r>
      <w:r w:rsidRPr="0046649E">
        <w:rPr>
          <w:rFonts w:ascii="Times" w:eastAsia="Times New Roman" w:hAnsi="Times"/>
        </w:rPr>
        <w:t xml:space="preserve"> fundamental principle of the First Amendment is that all persons have access to places where they can speak and listen,” adding, “While in the past there may have been difficulty in identifying the most important places (in a spatial sense) for the exchange of views, today the answer is clear. It is cyberspace—the ‘vast democratic forums of the Internet’ in general, and social media in particular.”</w:t>
      </w:r>
      <w:r w:rsidRPr="0046649E">
        <w:rPr>
          <w:rStyle w:val="FootnoteReference"/>
          <w:rFonts w:ascii="Times" w:eastAsia="Times New Roman" w:hAnsi="Times"/>
        </w:rPr>
        <w:footnoteReference w:id="20"/>
      </w:r>
    </w:p>
    <w:p w14:paraId="028BE4D5" w14:textId="77777777" w:rsidR="00F876C1" w:rsidRPr="0046649E" w:rsidRDefault="00F876C1" w:rsidP="00F876C1">
      <w:pPr>
        <w:ind w:left="720" w:right="720"/>
        <w:jc w:val="both"/>
        <w:rPr>
          <w:rFonts w:ascii="Times" w:hAnsi="Times"/>
          <w:i/>
        </w:rPr>
      </w:pPr>
    </w:p>
    <w:p w14:paraId="05A11F70" w14:textId="5194803D" w:rsidR="00337F65" w:rsidRPr="0046649E" w:rsidRDefault="00337F65" w:rsidP="00C33BE7">
      <w:pPr>
        <w:ind w:left="720" w:right="720"/>
        <w:jc w:val="both"/>
        <w:rPr>
          <w:rFonts w:ascii="Times" w:hAnsi="Times"/>
        </w:rPr>
      </w:pPr>
      <w:r w:rsidRPr="0046649E">
        <w:rPr>
          <w:rFonts w:ascii="Times" w:eastAsia="Times New Roman" w:hAnsi="Times"/>
        </w:rPr>
        <w:t xml:space="preserve">Calling </w:t>
      </w:r>
      <w:r w:rsidR="00C664BE" w:rsidRPr="0046649E">
        <w:rPr>
          <w:rFonts w:ascii="Times" w:hAnsi="Times"/>
          <w:i/>
        </w:rPr>
        <w:t>Packingham</w:t>
      </w:r>
      <w:r w:rsidR="00C664BE" w:rsidRPr="0046649E">
        <w:rPr>
          <w:rFonts w:ascii="Times" w:hAnsi="Times"/>
        </w:rPr>
        <w:t xml:space="preserve"> </w:t>
      </w:r>
      <w:r w:rsidRPr="0046649E">
        <w:rPr>
          <w:rFonts w:ascii="Times" w:eastAsia="Times New Roman" w:hAnsi="Times"/>
        </w:rPr>
        <w:t xml:space="preserve">“one of the first [the] Court has taken to address the relationship between the First Amendment and the modern Internet,” the </w:t>
      </w:r>
      <w:r w:rsidR="005B14A6" w:rsidRPr="0046649E">
        <w:rPr>
          <w:rFonts w:ascii="Times" w:eastAsia="Times New Roman" w:hAnsi="Times"/>
        </w:rPr>
        <w:t>majority opinion said</w:t>
      </w:r>
      <w:r w:rsidRPr="0046649E">
        <w:rPr>
          <w:rFonts w:ascii="Times" w:eastAsia="Times New Roman" w:hAnsi="Times"/>
        </w:rPr>
        <w:t xml:space="preserve"> social media platforms “can provide perhaps the most powerful mechanisms available to a private citizen to make his or her voice heard.”</w:t>
      </w:r>
      <w:r w:rsidRPr="0046649E">
        <w:rPr>
          <w:rStyle w:val="FootnoteReference"/>
          <w:rFonts w:ascii="Times" w:eastAsia="Times New Roman" w:hAnsi="Times"/>
        </w:rPr>
        <w:footnoteReference w:id="21"/>
      </w:r>
      <w:r w:rsidRPr="0046649E">
        <w:rPr>
          <w:rFonts w:ascii="Times" w:eastAsia="Times New Roman" w:hAnsi="Times"/>
        </w:rPr>
        <w:t xml:space="preserve"> Such platforms, the Court </w:t>
      </w:r>
      <w:r w:rsidR="00C33BE7" w:rsidRPr="0046649E">
        <w:rPr>
          <w:rFonts w:ascii="Times" w:eastAsia="Times New Roman" w:hAnsi="Times"/>
        </w:rPr>
        <w:t>said</w:t>
      </w:r>
      <w:r w:rsidRPr="0046649E">
        <w:rPr>
          <w:rFonts w:ascii="Times" w:eastAsia="Times New Roman" w:hAnsi="Times"/>
        </w:rPr>
        <w:t xml:space="preserve">, “allow a person with an Internet connection to ‘become a town crier with a voice that resonates </w:t>
      </w:r>
      <w:r w:rsidRPr="0046649E">
        <w:rPr>
          <w:rFonts w:ascii="Times" w:eastAsia="Times New Roman" w:hAnsi="Times"/>
        </w:rPr>
        <w:lastRenderedPageBreak/>
        <w:t>farther than it could from any soapbox.’”</w:t>
      </w:r>
      <w:r w:rsidRPr="0046649E">
        <w:rPr>
          <w:rStyle w:val="FootnoteReference"/>
          <w:rFonts w:ascii="Times" w:eastAsia="Times New Roman" w:hAnsi="Times"/>
        </w:rPr>
        <w:footnoteReference w:id="22"/>
      </w:r>
      <w:r w:rsidRPr="0046649E">
        <w:rPr>
          <w:rFonts w:ascii="Times" w:eastAsia="Times New Roman" w:hAnsi="Times"/>
        </w:rPr>
        <w:t xml:space="preserve"> </w:t>
      </w:r>
      <w:r w:rsidR="00C33BE7" w:rsidRPr="0046649E">
        <w:rPr>
          <w:rFonts w:ascii="Times" w:eastAsia="Times New Roman" w:hAnsi="Times"/>
        </w:rPr>
        <w:t>All of this</w:t>
      </w:r>
      <w:r w:rsidRPr="0046649E">
        <w:rPr>
          <w:rFonts w:ascii="Times" w:eastAsia="Times New Roman" w:hAnsi="Times"/>
        </w:rPr>
        <w:t xml:space="preserve"> language</w:t>
      </w:r>
      <w:r w:rsidR="00C33BE7" w:rsidRPr="0046649E">
        <w:rPr>
          <w:rFonts w:ascii="Times" w:eastAsia="Times New Roman" w:hAnsi="Times"/>
        </w:rPr>
        <w:t xml:space="preserve"> </w:t>
      </w:r>
      <w:r w:rsidRPr="0046649E">
        <w:rPr>
          <w:rFonts w:ascii="Times" w:eastAsia="Times New Roman" w:hAnsi="Times"/>
        </w:rPr>
        <w:t xml:space="preserve">speaks loudly to </w:t>
      </w:r>
      <w:r w:rsidRPr="0046649E">
        <w:rPr>
          <w:rFonts w:ascii="Times" w:hAnsi="Times"/>
        </w:rPr>
        <w:t>the role of social media</w:t>
      </w:r>
      <w:r w:rsidR="00C33BE7" w:rsidRPr="0046649E">
        <w:rPr>
          <w:rFonts w:ascii="Times" w:hAnsi="Times"/>
        </w:rPr>
        <w:t xml:space="preserve"> and other information and communication technologies</w:t>
      </w:r>
      <w:r w:rsidRPr="0046649E">
        <w:rPr>
          <w:rFonts w:ascii="Times" w:hAnsi="Times"/>
        </w:rPr>
        <w:t xml:space="preserve"> </w:t>
      </w:r>
      <w:r w:rsidR="00C33BE7" w:rsidRPr="0046649E">
        <w:rPr>
          <w:rFonts w:ascii="Times" w:hAnsi="Times"/>
        </w:rPr>
        <w:t>in the exercise of the right of peaceful assembly.</w:t>
      </w:r>
    </w:p>
    <w:p w14:paraId="113FBF51" w14:textId="77777777" w:rsidR="00337F65" w:rsidRPr="0046649E" w:rsidRDefault="00337F65" w:rsidP="00337F65">
      <w:pPr>
        <w:rPr>
          <w:rFonts w:ascii="Times" w:hAnsi="Times"/>
        </w:rPr>
      </w:pPr>
    </w:p>
    <w:p w14:paraId="379C40F6" w14:textId="3FCC4F69" w:rsidR="00337F65" w:rsidRPr="0046649E" w:rsidRDefault="00C33BE7" w:rsidP="00035D96">
      <w:pPr>
        <w:ind w:left="720" w:right="720"/>
        <w:jc w:val="both"/>
        <w:rPr>
          <w:rFonts w:ascii="Times" w:hAnsi="Times"/>
          <w:b/>
          <w:color w:val="0070C0"/>
        </w:rPr>
      </w:pPr>
      <w:r w:rsidRPr="0046649E">
        <w:rPr>
          <w:rFonts w:ascii="Times" w:hAnsi="Times"/>
          <w:b/>
          <w:color w:val="0070C0"/>
        </w:rPr>
        <w:t>C) The revised draft addresses the</w:t>
      </w:r>
      <w:r w:rsidR="00B54F43" w:rsidRPr="0046649E">
        <w:rPr>
          <w:rFonts w:ascii="Times" w:hAnsi="Times"/>
          <w:b/>
          <w:color w:val="0070C0"/>
        </w:rPr>
        <w:t xml:space="preserve"> role of journalists in </w:t>
      </w:r>
      <w:r w:rsidR="004110DF" w:rsidRPr="0046649E">
        <w:rPr>
          <w:rFonts w:ascii="Times" w:hAnsi="Times"/>
          <w:b/>
          <w:color w:val="0070C0"/>
        </w:rPr>
        <w:t xml:space="preserve">both </w:t>
      </w:r>
      <w:r w:rsidR="00035D96" w:rsidRPr="0046649E">
        <w:rPr>
          <w:rFonts w:ascii="Times" w:hAnsi="Times"/>
          <w:b/>
          <w:color w:val="0070C0"/>
        </w:rPr>
        <w:t xml:space="preserve">documenting and reporting on </w:t>
      </w:r>
      <w:r w:rsidR="00B54F43" w:rsidRPr="0046649E">
        <w:rPr>
          <w:rFonts w:ascii="Times" w:hAnsi="Times"/>
          <w:b/>
          <w:color w:val="0070C0"/>
        </w:rPr>
        <w:t>assemblies</w:t>
      </w:r>
      <w:r w:rsidRPr="0046649E">
        <w:rPr>
          <w:rFonts w:ascii="Times" w:hAnsi="Times"/>
          <w:b/>
          <w:color w:val="0070C0"/>
        </w:rPr>
        <w:t xml:space="preserve">. For example: </w:t>
      </w:r>
    </w:p>
    <w:p w14:paraId="131CE400" w14:textId="6E7A5DAC" w:rsidR="008D2DCA" w:rsidRPr="0046649E" w:rsidRDefault="008D2DCA" w:rsidP="00035D96">
      <w:pPr>
        <w:keepNext/>
        <w:keepLines/>
        <w:tabs>
          <w:tab w:val="right" w:pos="851"/>
        </w:tabs>
        <w:spacing w:line="240" w:lineRule="exact"/>
        <w:ind w:right="720"/>
        <w:jc w:val="both"/>
        <w:rPr>
          <w:rFonts w:ascii="Times" w:hAnsi="Times"/>
          <w:b/>
        </w:rPr>
      </w:pPr>
    </w:p>
    <w:p w14:paraId="50CED925" w14:textId="250F3571" w:rsidR="00035D96" w:rsidRPr="0046649E" w:rsidRDefault="008D2DCA" w:rsidP="00035D96">
      <w:pPr>
        <w:ind w:left="1440" w:right="720"/>
        <w:jc w:val="both"/>
        <w:rPr>
          <w:rFonts w:ascii="Times" w:hAnsi="Times"/>
          <w:i/>
        </w:rPr>
      </w:pPr>
      <w:r w:rsidRPr="0046649E">
        <w:rPr>
          <w:rFonts w:ascii="Times" w:hAnsi="Times"/>
          <w:i/>
        </w:rPr>
        <w:t>34.</w:t>
      </w:r>
      <w:r w:rsidR="00FD725F" w:rsidRPr="0046649E">
        <w:rPr>
          <w:rFonts w:ascii="Times" w:hAnsi="Times"/>
          <w:i/>
        </w:rPr>
        <w:t xml:space="preserve">  </w:t>
      </w:r>
      <w:r w:rsidR="00035D96" w:rsidRPr="0046649E">
        <w:rPr>
          <w:rFonts w:ascii="Times" w:hAnsi="Times"/>
          <w:i/>
        </w:rPr>
        <w:t xml:space="preserve"> </w:t>
      </w:r>
      <w:r w:rsidRPr="0046649E">
        <w:rPr>
          <w:rFonts w:ascii="Times" w:hAnsi="Times"/>
          <w:i/>
        </w:rPr>
        <w:t>The role of journalists</w:t>
      </w:r>
      <w:r w:rsidR="003F0968" w:rsidRPr="0046649E">
        <w:rPr>
          <w:rFonts w:ascii="Times" w:hAnsi="Times"/>
          <w:i/>
        </w:rPr>
        <w:t xml:space="preserve"> … </w:t>
      </w:r>
      <w:r w:rsidRPr="0046649E">
        <w:rPr>
          <w:rFonts w:ascii="Times" w:hAnsi="Times"/>
          <w:i/>
        </w:rPr>
        <w:t xml:space="preserve"> involved in monitoring, including documenting or reporting on assemblies, is of special importance, and they are entitled to protection under [article 21 of] the Covenant. They may not be prohibited from exercising these functions, also in respect of the actions of law enforcement officials. The equipment they use must not be confiscated or damaged. Even if the assembly is declared unlawful or is dispersed, that does not terminate the right to monitor it. No one should be harassed or penalised as a result of their attendance at demonstrations</w:t>
      </w:r>
      <w:r w:rsidR="003F0968" w:rsidRPr="0046649E">
        <w:rPr>
          <w:rFonts w:ascii="Times" w:hAnsi="Times"/>
          <w:i/>
        </w:rPr>
        <w:t xml:space="preserve"> … </w:t>
      </w:r>
      <w:r w:rsidRPr="0046649E">
        <w:rPr>
          <w:rFonts w:ascii="Times" w:hAnsi="Times"/>
          <w:i/>
        </w:rPr>
        <w:t xml:space="preserve"> </w:t>
      </w:r>
    </w:p>
    <w:p w14:paraId="2FE6FCA3" w14:textId="77777777" w:rsidR="002C2A30" w:rsidRPr="0046649E" w:rsidRDefault="002C2A30" w:rsidP="004110DF">
      <w:pPr>
        <w:ind w:right="720"/>
        <w:jc w:val="both"/>
        <w:rPr>
          <w:rFonts w:ascii="Times" w:hAnsi="Times"/>
        </w:rPr>
      </w:pPr>
    </w:p>
    <w:p w14:paraId="280FF752" w14:textId="3EE552EB" w:rsidR="002C2A30" w:rsidRPr="0046649E" w:rsidRDefault="002449E6" w:rsidP="002449E6">
      <w:pPr>
        <w:ind w:left="720" w:right="720"/>
        <w:jc w:val="both"/>
        <w:rPr>
          <w:rFonts w:ascii="Times" w:eastAsia="Times New Roman" w:hAnsi="Times"/>
        </w:rPr>
      </w:pPr>
      <w:r w:rsidRPr="0046649E">
        <w:rPr>
          <w:rFonts w:ascii="Times" w:eastAsia="Times New Roman" w:hAnsi="Times"/>
        </w:rPr>
        <w:t>These principles should be expanded generally and in the context of virtual assemblies. J</w:t>
      </w:r>
      <w:r w:rsidR="00FC3B35" w:rsidRPr="0046649E">
        <w:rPr>
          <w:rFonts w:ascii="Times" w:eastAsia="Times New Roman" w:hAnsi="Times"/>
        </w:rPr>
        <w:t>ournalists “</w:t>
      </w:r>
      <w:r w:rsidR="00FC3B35" w:rsidRPr="0046649E">
        <w:rPr>
          <w:rFonts w:ascii="Times" w:eastAsia="Times New Roman" w:hAnsi="Times"/>
          <w:color w:val="222222"/>
          <w:shd w:val="clear" w:color="auto" w:fill="FFFFFF"/>
        </w:rPr>
        <w:t>have an important role to play in providing independent coverage of public assemblies.”</w:t>
      </w:r>
      <w:r w:rsidR="00FC3B35" w:rsidRPr="0046649E">
        <w:rPr>
          <w:rStyle w:val="FootnoteReference"/>
          <w:rFonts w:ascii="Times" w:eastAsia="Times New Roman" w:hAnsi="Times"/>
          <w:color w:val="222222"/>
          <w:shd w:val="clear" w:color="auto" w:fill="FFFFFF"/>
        </w:rPr>
        <w:footnoteReference w:id="23"/>
      </w:r>
      <w:r w:rsidR="00FC3B35" w:rsidRPr="0046649E">
        <w:rPr>
          <w:rFonts w:ascii="Times" w:eastAsia="Times New Roman" w:hAnsi="Times"/>
          <w:color w:val="222222"/>
          <w:shd w:val="clear" w:color="auto" w:fill="FFFFFF"/>
        </w:rPr>
        <w:t xml:space="preserve"> Indeed, “uninhibited reporting on demonstrations is as much a part of the right to free assembly as the demonstrations are themselves the exercise of the right to free speech.”</w:t>
      </w:r>
      <w:r w:rsidR="00FC3B35" w:rsidRPr="0046649E">
        <w:rPr>
          <w:rStyle w:val="FootnoteReference"/>
          <w:rFonts w:ascii="Times" w:eastAsia="Times New Roman" w:hAnsi="Times"/>
          <w:color w:val="222222"/>
          <w:shd w:val="clear" w:color="auto" w:fill="FFFFFF"/>
        </w:rPr>
        <w:footnoteReference w:id="24"/>
      </w:r>
      <w:r w:rsidR="00FC3B35" w:rsidRPr="0046649E">
        <w:rPr>
          <w:rFonts w:ascii="Times" w:eastAsia="Times New Roman" w:hAnsi="Times"/>
          <w:color w:val="222222"/>
          <w:shd w:val="clear" w:color="auto" w:fill="FFFFFF"/>
        </w:rPr>
        <w:t xml:space="preserve"> </w:t>
      </w:r>
      <w:r w:rsidRPr="0046649E">
        <w:rPr>
          <w:rFonts w:ascii="Times" w:eastAsia="Times New Roman" w:hAnsi="Times"/>
          <w:color w:val="222222"/>
          <w:shd w:val="clear" w:color="auto" w:fill="FFFFFF"/>
        </w:rPr>
        <w:t>I</w:t>
      </w:r>
      <w:r w:rsidR="00FC3B35" w:rsidRPr="0046649E">
        <w:rPr>
          <w:rFonts w:ascii="Times" w:eastAsia="Times New Roman" w:hAnsi="Times"/>
          <w:color w:val="222222"/>
          <w:shd w:val="clear" w:color="auto" w:fill="FFFFFF"/>
        </w:rPr>
        <w:t xml:space="preserve">n some cases, assemblies are the “only means that those without access to the media may have to bring their grievances to … the public,” so media coverage of assemblies can be essential to the free flow of information </w:t>
      </w:r>
      <w:r w:rsidR="00FC3B35" w:rsidRPr="0046649E">
        <w:rPr>
          <w:rFonts w:ascii="Times" w:eastAsia="Times New Roman" w:hAnsi="Times"/>
          <w:color w:val="222222"/>
          <w:shd w:val="clear" w:color="auto" w:fill="FFFFFF"/>
        </w:rPr>
        <w:lastRenderedPageBreak/>
        <w:t>about matters of public concern that otherwise would not get the public’s attention.</w:t>
      </w:r>
      <w:r w:rsidR="00FC3B35" w:rsidRPr="0046649E">
        <w:rPr>
          <w:rStyle w:val="FootnoteReference"/>
          <w:rFonts w:ascii="Times" w:eastAsia="Times New Roman" w:hAnsi="Times"/>
          <w:color w:val="222222"/>
          <w:shd w:val="clear" w:color="auto" w:fill="FFFFFF"/>
        </w:rPr>
        <w:footnoteReference w:id="25"/>
      </w:r>
      <w:r w:rsidR="00FC3B35" w:rsidRPr="0046649E">
        <w:rPr>
          <w:rFonts w:ascii="Times" w:eastAsia="Times New Roman" w:hAnsi="Times"/>
          <w:color w:val="222222"/>
          <w:shd w:val="clear" w:color="auto" w:fill="FFFFFF"/>
        </w:rPr>
        <w:t xml:space="preserve"> </w:t>
      </w:r>
    </w:p>
    <w:p w14:paraId="331AD228" w14:textId="77777777" w:rsidR="002C2A30" w:rsidRPr="0046649E" w:rsidRDefault="002C2A30" w:rsidP="002C2A30">
      <w:pPr>
        <w:ind w:left="720" w:right="720"/>
        <w:jc w:val="both"/>
        <w:rPr>
          <w:rFonts w:ascii="Times" w:hAnsi="Times"/>
        </w:rPr>
      </w:pPr>
    </w:p>
    <w:p w14:paraId="55B263FD" w14:textId="7C5089C1" w:rsidR="002C2A30" w:rsidRPr="0046649E" w:rsidRDefault="00FC3B35" w:rsidP="002C2A30">
      <w:pPr>
        <w:ind w:left="720" w:right="720"/>
        <w:jc w:val="both"/>
        <w:rPr>
          <w:rFonts w:ascii="Times" w:hAnsi="Times"/>
        </w:rPr>
      </w:pPr>
      <w:r w:rsidRPr="0046649E">
        <w:rPr>
          <w:rFonts w:ascii="Times" w:eastAsia="Times New Roman" w:hAnsi="Times"/>
          <w:color w:val="222222"/>
          <w:shd w:val="clear" w:color="auto" w:fill="FFFFFF"/>
        </w:rPr>
        <w:t xml:space="preserve">Further, channeling </w:t>
      </w:r>
      <w:r w:rsidRPr="0046649E">
        <w:rPr>
          <w:rFonts w:ascii="Times" w:hAnsi="Times"/>
          <w:i/>
        </w:rPr>
        <w:t xml:space="preserve">Packingham, </w:t>
      </w:r>
      <w:r w:rsidRPr="0046649E">
        <w:rPr>
          <w:rFonts w:ascii="Times" w:eastAsia="Times New Roman" w:hAnsi="Times"/>
          <w:color w:val="222222"/>
          <w:shd w:val="clear" w:color="auto" w:fill="FFFFFF"/>
        </w:rPr>
        <w:t xml:space="preserve">the modern media industry is one in which the production and distribution of news and information is widely dispersed. Technology has made it possible for all manner of people to perform acts of journalism. </w:t>
      </w:r>
      <w:r w:rsidRPr="0046649E">
        <w:rPr>
          <w:rFonts w:ascii="Times" w:hAnsi="Times"/>
          <w:color w:val="000000" w:themeColor="text1"/>
        </w:rPr>
        <w:t>The f</w:t>
      </w:r>
      <w:r w:rsidRPr="0046649E">
        <w:rPr>
          <w:rFonts w:ascii="Times" w:eastAsia="Times New Roman" w:hAnsi="Times"/>
          <w:color w:val="222222"/>
          <w:shd w:val="clear" w:color="auto" w:fill="FFFFFF"/>
        </w:rPr>
        <w:t>reedom to report on assemblies, thus, is guaranteed to media professionals and to others in civil society who perform journalistic acts and roles. As the European Court of Human Rights once put it:</w:t>
      </w:r>
      <w:r w:rsidRPr="0046649E">
        <w:rPr>
          <w:rFonts w:ascii="Times" w:eastAsia="Times New Roman" w:hAnsi="Times"/>
          <w:color w:val="000000" w:themeColor="text1"/>
          <w:shd w:val="clear" w:color="auto" w:fill="FFFFFF"/>
        </w:rPr>
        <w:t xml:space="preserve"> </w:t>
      </w:r>
      <w:r w:rsidRPr="0046649E">
        <w:rPr>
          <w:rFonts w:ascii="Times" w:hAnsi="Times"/>
        </w:rPr>
        <w:t>“</w:t>
      </w:r>
      <w:r w:rsidRPr="0046649E">
        <w:rPr>
          <w:rFonts w:ascii="Times" w:eastAsia="Times New Roman" w:hAnsi="Times"/>
          <w:color w:val="222222"/>
          <w:shd w:val="clear" w:color="auto" w:fill="FFFFFF"/>
        </w:rPr>
        <w:t>[T]he function of the press includes the creation of forums for public debate, [and] the [realization] of this function is not limited to the media or professional journalists.”</w:t>
      </w:r>
      <w:r w:rsidRPr="0046649E">
        <w:rPr>
          <w:rStyle w:val="FootnoteReference"/>
          <w:rFonts w:ascii="Times" w:eastAsia="Times New Roman" w:hAnsi="Times"/>
          <w:color w:val="222222"/>
          <w:shd w:val="clear" w:color="auto" w:fill="FFFFFF"/>
        </w:rPr>
        <w:footnoteReference w:id="26"/>
      </w:r>
      <w:r w:rsidRPr="0046649E">
        <w:rPr>
          <w:rFonts w:ascii="Times" w:eastAsia="Times New Roman" w:hAnsi="Times"/>
          <w:color w:val="222222"/>
          <w:shd w:val="clear" w:color="auto" w:fill="FFFFFF"/>
        </w:rPr>
        <w:t xml:space="preserve"> Similarly, the U.N. Human Rights Committee observed in 2013 that “journalism is a function shared by a wide range of actors, including professional full-time reporters and analysts, as well as bloggers and others who engage in forms of self-publication in print, on the Internet  or elsewhere.”</w:t>
      </w:r>
      <w:r w:rsidRPr="0046649E">
        <w:rPr>
          <w:rStyle w:val="FootnoteReference"/>
          <w:rFonts w:ascii="Times" w:eastAsia="Times New Roman" w:hAnsi="Times"/>
          <w:color w:val="222222"/>
          <w:shd w:val="clear" w:color="auto" w:fill="FFFFFF"/>
        </w:rPr>
        <w:footnoteReference w:id="27"/>
      </w:r>
    </w:p>
    <w:p w14:paraId="5F2EC3DC" w14:textId="77777777" w:rsidR="002C2A30" w:rsidRPr="0046649E" w:rsidRDefault="002C2A30" w:rsidP="002C2A30">
      <w:pPr>
        <w:ind w:left="720" w:right="720"/>
        <w:jc w:val="both"/>
        <w:rPr>
          <w:rFonts w:ascii="Times" w:hAnsi="Times"/>
        </w:rPr>
      </w:pPr>
    </w:p>
    <w:p w14:paraId="225CF5B7" w14:textId="77777777" w:rsidR="002449E6" w:rsidRPr="0046649E" w:rsidRDefault="00FC3B35" w:rsidP="002449E6">
      <w:pPr>
        <w:ind w:left="720" w:right="720"/>
        <w:jc w:val="both"/>
        <w:rPr>
          <w:rFonts w:ascii="Times" w:eastAsia="Times New Roman" w:hAnsi="Times"/>
        </w:rPr>
      </w:pPr>
      <w:r w:rsidRPr="0046649E">
        <w:rPr>
          <w:rFonts w:ascii="Times" w:eastAsia="Times New Roman" w:hAnsi="Times"/>
          <w:color w:val="222222"/>
          <w:shd w:val="clear" w:color="auto" w:fill="FFFFFF"/>
        </w:rPr>
        <w:t xml:space="preserve">More </w:t>
      </w:r>
      <w:r w:rsidR="002449E6" w:rsidRPr="0046649E">
        <w:rPr>
          <w:rFonts w:ascii="Times" w:eastAsia="Times New Roman" w:hAnsi="Times"/>
          <w:color w:val="222222"/>
          <w:shd w:val="clear" w:color="auto" w:fill="FFFFFF"/>
        </w:rPr>
        <w:t>broadly</w:t>
      </w:r>
      <w:r w:rsidRPr="0046649E">
        <w:rPr>
          <w:rFonts w:ascii="Times" w:eastAsia="Times New Roman" w:hAnsi="Times"/>
          <w:color w:val="222222"/>
          <w:shd w:val="clear" w:color="auto" w:fill="FFFFFF"/>
        </w:rPr>
        <w:t>, journalists “make an essential contribution to public debate and opinion-making processes in a democratic society by acting as public or social watchdogs and by creating shared spaces for the exchange of information and ideas and for discussion.”</w:t>
      </w:r>
      <w:r w:rsidRPr="0046649E">
        <w:rPr>
          <w:rStyle w:val="FootnoteReference"/>
          <w:rFonts w:ascii="Times" w:eastAsia="Times New Roman" w:hAnsi="Times"/>
          <w:color w:val="222222"/>
          <w:shd w:val="clear" w:color="auto" w:fill="FFFFFF"/>
        </w:rPr>
        <w:footnoteReference w:id="28"/>
      </w:r>
      <w:r w:rsidRPr="0046649E">
        <w:rPr>
          <w:rFonts w:ascii="Times" w:eastAsia="Times New Roman" w:hAnsi="Times"/>
          <w:color w:val="222222"/>
          <w:shd w:val="clear" w:color="auto" w:fill="FFFFFF"/>
        </w:rPr>
        <w:t xml:space="preserve"> In addition,</w:t>
      </w:r>
      <w:r w:rsidRPr="0046649E">
        <w:rPr>
          <w:rFonts w:ascii="Times" w:eastAsia="Times New Roman" w:hAnsi="Times"/>
          <w:color w:val="000000" w:themeColor="text1"/>
          <w:shd w:val="clear" w:color="auto" w:fill="FFFFFF"/>
        </w:rPr>
        <w:t xml:space="preserve"> “by facilitating the free flow of information and ideas on matters of</w:t>
      </w:r>
      <w:r w:rsidRPr="0046649E">
        <w:rPr>
          <w:rFonts w:ascii="Times" w:eastAsia="Times New Roman" w:hAnsi="Times"/>
          <w:color w:val="222222"/>
          <w:shd w:val="clear" w:color="auto" w:fill="FFFFFF"/>
        </w:rPr>
        <w:t xml:space="preserve"> … </w:t>
      </w:r>
      <w:r w:rsidRPr="0046649E">
        <w:rPr>
          <w:rFonts w:ascii="Times" w:eastAsia="Times New Roman" w:hAnsi="Times"/>
          <w:color w:val="000000" w:themeColor="text1"/>
          <w:shd w:val="clear" w:color="auto" w:fill="FFFFFF"/>
        </w:rPr>
        <w:t>interest, and by ensur</w:t>
      </w:r>
      <w:r w:rsidRPr="0046649E">
        <w:rPr>
          <w:rFonts w:ascii="Times" w:eastAsia="Times New Roman" w:hAnsi="Times"/>
          <w:color w:val="000000" w:themeColor="text1"/>
          <w:shd w:val="clear" w:color="auto" w:fill="FFFFFF"/>
        </w:rPr>
        <w:lastRenderedPageBreak/>
        <w:t>ing transparency and accountability, independent media constitute [a] cornerstone[] of a democratic society.”</w:t>
      </w:r>
      <w:r w:rsidRPr="0046649E">
        <w:rPr>
          <w:rStyle w:val="FootnoteReference"/>
          <w:rFonts w:ascii="Times" w:eastAsia="Times New Roman" w:hAnsi="Times"/>
          <w:color w:val="000000" w:themeColor="text1"/>
          <w:shd w:val="clear" w:color="auto" w:fill="FFFFFF"/>
        </w:rPr>
        <w:footnoteReference w:id="29"/>
      </w:r>
      <w:r w:rsidRPr="0046649E">
        <w:rPr>
          <w:rFonts w:ascii="Times" w:eastAsia="Times New Roman" w:hAnsi="Times"/>
          <w:color w:val="000000" w:themeColor="text1"/>
          <w:shd w:val="clear" w:color="auto" w:fill="FFFFFF"/>
        </w:rPr>
        <w:t xml:space="preserve"> </w:t>
      </w:r>
      <w:r w:rsidR="002449E6" w:rsidRPr="0046649E">
        <w:rPr>
          <w:rFonts w:ascii="Times" w:hAnsi="Times"/>
        </w:rPr>
        <w:t xml:space="preserve">All of </w:t>
      </w:r>
      <w:r w:rsidR="002449E6" w:rsidRPr="0046649E">
        <w:rPr>
          <w:rFonts w:ascii="Times" w:eastAsia="Times New Roman" w:hAnsi="Times"/>
          <w:color w:val="000000" w:themeColor="text1"/>
          <w:shd w:val="clear" w:color="auto" w:fill="FFFFFF"/>
        </w:rPr>
        <w:t>t</w:t>
      </w:r>
      <w:r w:rsidRPr="0046649E">
        <w:rPr>
          <w:rFonts w:ascii="Times" w:eastAsia="Times New Roman" w:hAnsi="Times"/>
          <w:color w:val="000000" w:themeColor="text1"/>
          <w:shd w:val="clear" w:color="auto" w:fill="FFFFFF"/>
        </w:rPr>
        <w:t>hese principles raise novel questions i</w:t>
      </w:r>
      <w:r w:rsidRPr="0046649E">
        <w:rPr>
          <w:rFonts w:ascii="Times" w:eastAsia="Times New Roman" w:hAnsi="Times"/>
        </w:rPr>
        <w:t xml:space="preserve">n the context of virtual assemblies and media rights. </w:t>
      </w:r>
    </w:p>
    <w:p w14:paraId="56782EF0" w14:textId="77777777" w:rsidR="002449E6" w:rsidRPr="0046649E" w:rsidRDefault="002449E6" w:rsidP="002449E6">
      <w:pPr>
        <w:ind w:left="720" w:right="720"/>
        <w:jc w:val="both"/>
        <w:rPr>
          <w:rFonts w:ascii="Times" w:eastAsia="Times New Roman" w:hAnsi="Times"/>
          <w:color w:val="222222"/>
          <w:shd w:val="clear" w:color="auto" w:fill="FFFFFF"/>
        </w:rPr>
      </w:pPr>
    </w:p>
    <w:p w14:paraId="3748B498" w14:textId="0264F871" w:rsidR="00FC3B35" w:rsidRPr="0046649E" w:rsidRDefault="00FC3B35" w:rsidP="002449E6">
      <w:pPr>
        <w:ind w:left="720" w:right="720"/>
        <w:jc w:val="both"/>
        <w:rPr>
          <w:rFonts w:ascii="Times" w:hAnsi="Times"/>
        </w:rPr>
      </w:pPr>
      <w:r w:rsidRPr="0046649E">
        <w:rPr>
          <w:rFonts w:ascii="Times" w:eastAsia="Times New Roman" w:hAnsi="Times"/>
          <w:color w:val="222222"/>
          <w:shd w:val="clear" w:color="auto" w:fill="FFFFFF"/>
        </w:rPr>
        <w:t xml:space="preserve">To what extent must the state accommodate the media in a </w:t>
      </w:r>
      <w:r w:rsidRPr="0046649E">
        <w:rPr>
          <w:rFonts w:ascii="Times" w:eastAsia="Times New Roman" w:hAnsi="Times"/>
        </w:rPr>
        <w:t xml:space="preserve">virtual assembly? </w:t>
      </w:r>
      <w:r w:rsidRPr="0046649E">
        <w:rPr>
          <w:rFonts w:ascii="Times" w:eastAsia="Times New Roman" w:hAnsi="Times"/>
          <w:color w:val="222222"/>
          <w:shd w:val="clear" w:color="auto" w:fill="FFFFFF"/>
        </w:rPr>
        <w:t xml:space="preserve">To what extent must an ISP or social media platform accommodate the media in a </w:t>
      </w:r>
      <w:r w:rsidRPr="0046649E">
        <w:rPr>
          <w:rFonts w:ascii="Times" w:eastAsia="Times New Roman" w:hAnsi="Times"/>
        </w:rPr>
        <w:t xml:space="preserve">virtual assembly? </w:t>
      </w:r>
      <w:r w:rsidRPr="0046649E">
        <w:rPr>
          <w:rFonts w:ascii="Times" w:eastAsia="Times New Roman" w:hAnsi="Times"/>
          <w:color w:val="222222"/>
          <w:shd w:val="clear" w:color="auto" w:fill="FFFFFF"/>
        </w:rPr>
        <w:t xml:space="preserve">What is the scope of the media’s protection, if any, against Internet surveillance in connection with a </w:t>
      </w:r>
      <w:r w:rsidRPr="0046649E">
        <w:rPr>
          <w:rFonts w:ascii="Times" w:eastAsia="Times New Roman" w:hAnsi="Times"/>
        </w:rPr>
        <w:t>virtual assembly</w:t>
      </w:r>
      <w:r w:rsidRPr="0046649E">
        <w:rPr>
          <w:rFonts w:ascii="Times" w:eastAsia="Times New Roman" w:hAnsi="Times"/>
          <w:color w:val="222222"/>
          <w:shd w:val="clear" w:color="auto" w:fill="FFFFFF"/>
        </w:rPr>
        <w:t xml:space="preserve">? What is the scope of the media’s protection, if any, against Internet blocking or filtering in connection with a </w:t>
      </w:r>
      <w:r w:rsidRPr="0046649E">
        <w:rPr>
          <w:rFonts w:ascii="Times" w:eastAsia="Times New Roman" w:hAnsi="Times"/>
        </w:rPr>
        <w:t>virtual assembly</w:t>
      </w:r>
      <w:r w:rsidRPr="0046649E">
        <w:rPr>
          <w:rFonts w:ascii="Times" w:eastAsia="Times New Roman" w:hAnsi="Times"/>
          <w:color w:val="222222"/>
          <w:shd w:val="clear" w:color="auto" w:fill="FFFFFF"/>
        </w:rPr>
        <w:t>? What would constitute media “presence” in a virtual assembly? If a virtual assembly involves non-peaceful collective action like trolling or hacktivism, what rights would the media have, if any, to be “present” at the assembly in order to cover it? Under what circumstances could the media be blocked or removed from a virtual assembly? When, if ever, could media credentials be required to access a virtual assembly?</w:t>
      </w:r>
      <w:r w:rsidR="002449E6" w:rsidRPr="0046649E">
        <w:rPr>
          <w:rFonts w:ascii="Times" w:eastAsia="Times New Roman" w:hAnsi="Times"/>
          <w:color w:val="222222"/>
          <w:shd w:val="clear" w:color="auto" w:fill="FFFFFF"/>
        </w:rPr>
        <w:t xml:space="preserve"> </w:t>
      </w:r>
      <w:r w:rsidRPr="0046649E">
        <w:rPr>
          <w:rFonts w:ascii="Times" w:eastAsia="Times New Roman" w:hAnsi="Times"/>
          <w:color w:val="222222"/>
          <w:shd w:val="clear" w:color="auto" w:fill="FFFFFF"/>
        </w:rPr>
        <w:t xml:space="preserve">The </w:t>
      </w:r>
      <w:r w:rsidR="002449E6" w:rsidRPr="0046649E">
        <w:rPr>
          <w:rFonts w:ascii="Times" w:eastAsia="Times New Roman" w:hAnsi="Times"/>
          <w:color w:val="222222"/>
          <w:shd w:val="clear" w:color="auto" w:fill="FFFFFF"/>
        </w:rPr>
        <w:t>Human Rights Committee</w:t>
      </w:r>
      <w:r w:rsidRPr="0046649E">
        <w:rPr>
          <w:rFonts w:ascii="Times" w:eastAsia="Times New Roman" w:hAnsi="Times"/>
          <w:color w:val="222222"/>
          <w:shd w:val="clear" w:color="auto" w:fill="FFFFFF"/>
        </w:rPr>
        <w:t xml:space="preserve"> should consider these questions, among others, as it refines </w:t>
      </w:r>
      <w:r w:rsidRPr="0046649E">
        <w:rPr>
          <w:rFonts w:ascii="Times" w:eastAsia="Times New Roman" w:hAnsi="Times"/>
        </w:rPr>
        <w:t>General Comment No. 37</w:t>
      </w:r>
      <w:r w:rsidR="002449E6" w:rsidRPr="0046649E">
        <w:rPr>
          <w:rFonts w:ascii="Times" w:eastAsia="Times New Roman" w:hAnsi="Times"/>
        </w:rPr>
        <w:t>.</w:t>
      </w:r>
    </w:p>
    <w:p w14:paraId="5D0338ED" w14:textId="23143426" w:rsidR="00FC3B35" w:rsidRPr="0046649E" w:rsidRDefault="00FC3B35" w:rsidP="00841297">
      <w:pPr>
        <w:ind w:left="720" w:right="720" w:firstLine="720"/>
        <w:rPr>
          <w:rFonts w:ascii="Times" w:hAnsi="Times"/>
        </w:rPr>
      </w:pPr>
    </w:p>
    <w:sectPr w:rsidR="00FC3B35" w:rsidRPr="0046649E" w:rsidSect="002D1A31">
      <w:footerReference w:type="even" r:id="rId9"/>
      <w:footerReference w:type="default" r:id="rId10"/>
      <w:pgSz w:w="12240" w:h="15840"/>
      <w:pgMar w:top="1296" w:right="720" w:bottom="12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AD855" w14:textId="77777777" w:rsidR="003B543B" w:rsidRDefault="003B543B" w:rsidP="00B365D7">
      <w:r>
        <w:separator/>
      </w:r>
    </w:p>
  </w:endnote>
  <w:endnote w:type="continuationSeparator" w:id="0">
    <w:p w14:paraId="209FF2C2" w14:textId="77777777" w:rsidR="003B543B" w:rsidRDefault="003B543B" w:rsidP="00B3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7C43" w14:textId="77777777" w:rsidR="00287567" w:rsidRDefault="00287567" w:rsidP="00DD0AA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D7058B" w14:textId="77777777" w:rsidR="00287567" w:rsidRDefault="00287567" w:rsidP="002875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0FF8" w14:textId="4707A556" w:rsidR="00287567" w:rsidRDefault="00287567" w:rsidP="00DD0AA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8E8">
      <w:rPr>
        <w:rStyle w:val="PageNumber"/>
        <w:noProof/>
      </w:rPr>
      <w:t>3</w:t>
    </w:r>
    <w:r>
      <w:rPr>
        <w:rStyle w:val="PageNumber"/>
      </w:rPr>
      <w:fldChar w:fldCharType="end"/>
    </w:r>
  </w:p>
  <w:p w14:paraId="0FFA0FE2" w14:textId="77777777" w:rsidR="00287567" w:rsidRDefault="00287567" w:rsidP="002875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B05D" w14:textId="77777777" w:rsidR="003B543B" w:rsidRDefault="003B543B" w:rsidP="00B365D7">
      <w:r>
        <w:separator/>
      </w:r>
    </w:p>
  </w:footnote>
  <w:footnote w:type="continuationSeparator" w:id="0">
    <w:p w14:paraId="33F7549A" w14:textId="77777777" w:rsidR="003B543B" w:rsidRDefault="003B543B" w:rsidP="00B365D7">
      <w:r>
        <w:continuationSeparator/>
      </w:r>
    </w:p>
  </w:footnote>
  <w:footnote w:id="1">
    <w:p w14:paraId="2A5666E9" w14:textId="19188228" w:rsidR="007B65D8" w:rsidRPr="00700547" w:rsidRDefault="007B65D8" w:rsidP="007B65D8">
      <w:pPr>
        <w:pStyle w:val="FootnoteText"/>
        <w:rPr>
          <w:rFonts w:ascii="Times" w:hAnsi="Times"/>
          <w:sz w:val="20"/>
          <w:szCs w:val="20"/>
        </w:rPr>
      </w:pPr>
      <w:r w:rsidRPr="00700547">
        <w:rPr>
          <w:rStyle w:val="FootnoteReference"/>
          <w:rFonts w:ascii="Times" w:hAnsi="Times"/>
          <w:sz w:val="20"/>
          <w:szCs w:val="20"/>
        </w:rPr>
        <w:footnoteRef/>
      </w:r>
      <w:r w:rsidRPr="00700547">
        <w:rPr>
          <w:rFonts w:ascii="Times" w:hAnsi="Times"/>
          <w:sz w:val="20"/>
          <w:szCs w:val="20"/>
        </w:rPr>
        <w:t xml:space="preserve"> </w:t>
      </w:r>
      <w:r w:rsidRPr="00700547">
        <w:rPr>
          <w:rFonts w:ascii="Times" w:hAnsi="Times"/>
          <w:i/>
          <w:sz w:val="20"/>
          <w:szCs w:val="20"/>
        </w:rPr>
        <w:t>Civil Rights Cases</w:t>
      </w:r>
      <w:r w:rsidRPr="00700547">
        <w:rPr>
          <w:rFonts w:ascii="Times" w:hAnsi="Times"/>
          <w:sz w:val="20"/>
          <w:szCs w:val="20"/>
        </w:rPr>
        <w:t>, 109 U.S. 3, 18 (1883).</w:t>
      </w:r>
    </w:p>
  </w:footnote>
  <w:footnote w:id="2">
    <w:p w14:paraId="2FD8DD35" w14:textId="5C45E736" w:rsidR="007B65D8" w:rsidRPr="00700547" w:rsidRDefault="007B65D8" w:rsidP="007B65D8">
      <w:pPr>
        <w:pStyle w:val="FootnoteText"/>
        <w:rPr>
          <w:rFonts w:ascii="Times" w:hAnsi="Times"/>
          <w:sz w:val="20"/>
          <w:szCs w:val="20"/>
        </w:rPr>
      </w:pPr>
      <w:r w:rsidRPr="00700547">
        <w:rPr>
          <w:rStyle w:val="FootnoteReference"/>
          <w:rFonts w:ascii="Times" w:hAnsi="Times"/>
          <w:sz w:val="20"/>
          <w:szCs w:val="20"/>
        </w:rPr>
        <w:footnoteRef/>
      </w:r>
      <w:r w:rsidRPr="00700547">
        <w:rPr>
          <w:rFonts w:ascii="Times" w:hAnsi="Times"/>
          <w:sz w:val="20"/>
          <w:szCs w:val="20"/>
        </w:rPr>
        <w:t xml:space="preserve"> </w:t>
      </w:r>
      <w:r w:rsidRPr="00700547">
        <w:rPr>
          <w:rFonts w:ascii="Times" w:hAnsi="Times"/>
          <w:i/>
          <w:sz w:val="20"/>
          <w:szCs w:val="20"/>
        </w:rPr>
        <w:t>Marsh v. Alabama</w:t>
      </w:r>
      <w:r w:rsidRPr="00700547">
        <w:rPr>
          <w:rFonts w:ascii="Times" w:hAnsi="Times"/>
          <w:sz w:val="20"/>
          <w:szCs w:val="20"/>
        </w:rPr>
        <w:t>, 326 U.S. 501 (1946).</w:t>
      </w:r>
    </w:p>
  </w:footnote>
  <w:footnote w:id="3">
    <w:p w14:paraId="16D87246" w14:textId="5258FE93" w:rsidR="007B65D8" w:rsidRPr="00700547" w:rsidRDefault="007B65D8" w:rsidP="007B65D8">
      <w:pPr>
        <w:pStyle w:val="FootnoteText"/>
        <w:rPr>
          <w:rFonts w:ascii="Times" w:hAnsi="Times"/>
          <w:i/>
          <w:sz w:val="20"/>
          <w:szCs w:val="20"/>
        </w:rPr>
      </w:pPr>
      <w:r w:rsidRPr="00700547">
        <w:rPr>
          <w:rStyle w:val="FootnoteReference"/>
          <w:rFonts w:ascii="Times" w:hAnsi="Times"/>
          <w:sz w:val="20"/>
          <w:szCs w:val="20"/>
        </w:rPr>
        <w:footnoteRef/>
      </w:r>
      <w:r w:rsidRPr="00700547">
        <w:rPr>
          <w:rFonts w:ascii="Times" w:hAnsi="Times"/>
          <w:sz w:val="20"/>
          <w:szCs w:val="20"/>
        </w:rPr>
        <w:t xml:space="preserve"> </w:t>
      </w:r>
      <w:r w:rsidRPr="00700547">
        <w:rPr>
          <w:rFonts w:ascii="Times" w:hAnsi="Times"/>
          <w:i/>
          <w:sz w:val="20"/>
          <w:szCs w:val="20"/>
        </w:rPr>
        <w:t>Id.</w:t>
      </w:r>
    </w:p>
  </w:footnote>
  <w:footnote w:id="4">
    <w:p w14:paraId="05E6E8F0" w14:textId="6E17E3CB" w:rsidR="007B65D8" w:rsidRPr="00700547" w:rsidRDefault="007B65D8" w:rsidP="007B65D8">
      <w:pPr>
        <w:pStyle w:val="FootnoteText"/>
        <w:rPr>
          <w:rFonts w:ascii="Times" w:hAnsi="Times"/>
          <w:sz w:val="20"/>
          <w:szCs w:val="20"/>
        </w:rPr>
      </w:pPr>
      <w:r w:rsidRPr="00700547">
        <w:rPr>
          <w:rStyle w:val="FootnoteReference"/>
          <w:rFonts w:ascii="Times" w:hAnsi="Times"/>
          <w:sz w:val="20"/>
          <w:szCs w:val="20"/>
        </w:rPr>
        <w:footnoteRef/>
      </w:r>
      <w:r w:rsidRPr="00700547">
        <w:rPr>
          <w:rFonts w:ascii="Times" w:hAnsi="Times"/>
          <w:sz w:val="20"/>
          <w:szCs w:val="20"/>
        </w:rPr>
        <w:t xml:space="preserve"> </w:t>
      </w:r>
      <w:r w:rsidRPr="00700547">
        <w:rPr>
          <w:rFonts w:ascii="Times" w:hAnsi="Times"/>
          <w:i/>
          <w:sz w:val="20"/>
          <w:szCs w:val="20"/>
        </w:rPr>
        <w:t>Manhattan Community Access Corp. v. Halleck</w:t>
      </w:r>
      <w:r w:rsidRPr="00700547">
        <w:rPr>
          <w:rFonts w:ascii="Times" w:hAnsi="Times"/>
          <w:sz w:val="20"/>
          <w:szCs w:val="20"/>
        </w:rPr>
        <w:t xml:space="preserve">, </w:t>
      </w:r>
      <w:r w:rsidR="00D53E24" w:rsidRPr="00700547">
        <w:rPr>
          <w:rFonts w:ascii="Times" w:hAnsi="Times"/>
          <w:sz w:val="20"/>
          <w:szCs w:val="20"/>
        </w:rPr>
        <w:t>139 S. Ct. 1921</w:t>
      </w:r>
      <w:r w:rsidR="00DA0B89" w:rsidRPr="00700547">
        <w:rPr>
          <w:rFonts w:ascii="Times" w:hAnsi="Times"/>
          <w:sz w:val="20"/>
          <w:szCs w:val="20"/>
        </w:rPr>
        <w:t>, 1928</w:t>
      </w:r>
      <w:r w:rsidR="00D53E24" w:rsidRPr="00700547">
        <w:rPr>
          <w:rFonts w:ascii="Times" w:hAnsi="Times"/>
          <w:sz w:val="20"/>
          <w:szCs w:val="20"/>
        </w:rPr>
        <w:t xml:space="preserve"> </w:t>
      </w:r>
      <w:r w:rsidRPr="00700547">
        <w:rPr>
          <w:rFonts w:ascii="Times" w:hAnsi="Times"/>
          <w:sz w:val="20"/>
          <w:szCs w:val="20"/>
        </w:rPr>
        <w:t>(2019).</w:t>
      </w:r>
    </w:p>
  </w:footnote>
  <w:footnote w:id="5">
    <w:p w14:paraId="68E65274" w14:textId="04140A1A" w:rsidR="007B65D8" w:rsidRPr="00700547" w:rsidRDefault="007B65D8" w:rsidP="007B65D8">
      <w:pPr>
        <w:pStyle w:val="FootnoteText"/>
        <w:rPr>
          <w:rFonts w:ascii="Times" w:hAnsi="Times"/>
          <w:i/>
          <w:sz w:val="20"/>
          <w:szCs w:val="20"/>
        </w:rPr>
      </w:pPr>
      <w:r w:rsidRPr="00700547">
        <w:rPr>
          <w:rStyle w:val="FootnoteReference"/>
          <w:rFonts w:ascii="Times" w:hAnsi="Times"/>
          <w:sz w:val="20"/>
          <w:szCs w:val="20"/>
        </w:rPr>
        <w:footnoteRef/>
      </w:r>
      <w:r w:rsidRPr="00700547">
        <w:rPr>
          <w:rFonts w:ascii="Times" w:hAnsi="Times"/>
          <w:sz w:val="20"/>
          <w:szCs w:val="20"/>
        </w:rPr>
        <w:t xml:space="preserve"> </w:t>
      </w:r>
      <w:r w:rsidRPr="00700547">
        <w:rPr>
          <w:rFonts w:ascii="Times" w:hAnsi="Times"/>
          <w:i/>
          <w:sz w:val="20"/>
          <w:szCs w:val="20"/>
        </w:rPr>
        <w:t>Id.</w:t>
      </w:r>
    </w:p>
  </w:footnote>
  <w:footnote w:id="6">
    <w:p w14:paraId="0A49FD96" w14:textId="7E99C0C9" w:rsidR="007B65D8" w:rsidRPr="00700547" w:rsidRDefault="007B65D8" w:rsidP="007B65D8">
      <w:pPr>
        <w:pStyle w:val="FootnoteText"/>
        <w:rPr>
          <w:rFonts w:ascii="Times" w:hAnsi="Times"/>
          <w:i/>
          <w:sz w:val="20"/>
          <w:szCs w:val="20"/>
        </w:rPr>
      </w:pPr>
      <w:r w:rsidRPr="00700547">
        <w:rPr>
          <w:rStyle w:val="FootnoteReference"/>
          <w:rFonts w:ascii="Times" w:hAnsi="Times"/>
          <w:sz w:val="20"/>
          <w:szCs w:val="20"/>
        </w:rPr>
        <w:footnoteRef/>
      </w:r>
      <w:r w:rsidRPr="00700547">
        <w:rPr>
          <w:rFonts w:ascii="Times" w:hAnsi="Times"/>
          <w:sz w:val="20"/>
          <w:szCs w:val="20"/>
        </w:rPr>
        <w:t xml:space="preserve"> </w:t>
      </w:r>
      <w:r w:rsidRPr="00700547">
        <w:rPr>
          <w:rFonts w:ascii="Times" w:hAnsi="Times"/>
          <w:i/>
          <w:sz w:val="20"/>
          <w:szCs w:val="20"/>
        </w:rPr>
        <w:t>Id.</w:t>
      </w:r>
    </w:p>
  </w:footnote>
  <w:footnote w:id="7">
    <w:p w14:paraId="2987773D" w14:textId="52CED892" w:rsidR="007B65D8" w:rsidRPr="00700547" w:rsidRDefault="007B65D8" w:rsidP="007B65D8">
      <w:pPr>
        <w:pStyle w:val="FootnoteText"/>
        <w:rPr>
          <w:rFonts w:ascii="Times" w:hAnsi="Times"/>
          <w:i/>
          <w:sz w:val="20"/>
          <w:szCs w:val="20"/>
        </w:rPr>
      </w:pPr>
      <w:r w:rsidRPr="00700547">
        <w:rPr>
          <w:rStyle w:val="FootnoteReference"/>
          <w:rFonts w:ascii="Times" w:hAnsi="Times"/>
          <w:sz w:val="20"/>
          <w:szCs w:val="20"/>
        </w:rPr>
        <w:footnoteRef/>
      </w:r>
      <w:r w:rsidRPr="00700547">
        <w:rPr>
          <w:rFonts w:ascii="Times" w:hAnsi="Times"/>
          <w:sz w:val="20"/>
          <w:szCs w:val="20"/>
        </w:rPr>
        <w:t xml:space="preserve"> </w:t>
      </w:r>
      <w:r w:rsidRPr="00700547">
        <w:rPr>
          <w:rFonts w:ascii="Times" w:hAnsi="Times"/>
          <w:i/>
          <w:sz w:val="20"/>
          <w:szCs w:val="20"/>
        </w:rPr>
        <w:t>Id.</w:t>
      </w:r>
      <w:r w:rsidR="00F35E54" w:rsidRPr="00700547">
        <w:rPr>
          <w:rFonts w:ascii="Times" w:hAnsi="Times"/>
          <w:i/>
          <w:sz w:val="20"/>
          <w:szCs w:val="20"/>
        </w:rPr>
        <w:t xml:space="preserve"> </w:t>
      </w:r>
      <w:r w:rsidR="00F35E54" w:rsidRPr="00700547">
        <w:rPr>
          <w:rFonts w:ascii="Times" w:hAnsi="Times"/>
          <w:sz w:val="20"/>
          <w:szCs w:val="20"/>
        </w:rPr>
        <w:t>at 1929.</w:t>
      </w:r>
    </w:p>
  </w:footnote>
  <w:footnote w:id="8">
    <w:p w14:paraId="18F91496" w14:textId="3606648F" w:rsidR="007B65D8" w:rsidRPr="00700547" w:rsidRDefault="007B65D8" w:rsidP="007B65D8">
      <w:pPr>
        <w:pStyle w:val="FootnoteText"/>
        <w:rPr>
          <w:rFonts w:ascii="Times" w:hAnsi="Times"/>
          <w:i/>
          <w:sz w:val="20"/>
          <w:szCs w:val="20"/>
        </w:rPr>
      </w:pPr>
      <w:r w:rsidRPr="00700547">
        <w:rPr>
          <w:rStyle w:val="FootnoteReference"/>
          <w:rFonts w:ascii="Times" w:hAnsi="Times"/>
          <w:sz w:val="20"/>
          <w:szCs w:val="20"/>
        </w:rPr>
        <w:footnoteRef/>
      </w:r>
      <w:r w:rsidRPr="00700547">
        <w:rPr>
          <w:rFonts w:ascii="Times" w:hAnsi="Times"/>
          <w:sz w:val="20"/>
          <w:szCs w:val="20"/>
        </w:rPr>
        <w:t xml:space="preserve"> </w:t>
      </w:r>
      <w:r w:rsidRPr="00700547">
        <w:rPr>
          <w:rFonts w:ascii="Times" w:hAnsi="Times"/>
          <w:i/>
          <w:sz w:val="20"/>
          <w:szCs w:val="20"/>
        </w:rPr>
        <w:t>Id.</w:t>
      </w:r>
      <w:r w:rsidR="009D7D7F" w:rsidRPr="00700547">
        <w:rPr>
          <w:rFonts w:ascii="Times" w:hAnsi="Times"/>
          <w:sz w:val="20"/>
          <w:szCs w:val="20"/>
        </w:rPr>
        <w:t xml:space="preserve"> at 1930.</w:t>
      </w:r>
    </w:p>
  </w:footnote>
  <w:footnote w:id="9">
    <w:p w14:paraId="1BB1209F" w14:textId="7D0B4FEE" w:rsidR="007B65D8" w:rsidRPr="00F876C1" w:rsidRDefault="007B65D8" w:rsidP="007B65D8">
      <w:pPr>
        <w:pStyle w:val="FootnoteText"/>
        <w:rPr>
          <w:rFonts w:ascii="Times" w:hAnsi="Times"/>
          <w:i/>
          <w:sz w:val="20"/>
          <w:szCs w:val="20"/>
        </w:rPr>
      </w:pPr>
      <w:r w:rsidRPr="00F876C1">
        <w:rPr>
          <w:rStyle w:val="FootnoteReference"/>
          <w:rFonts w:ascii="Times" w:hAnsi="Times"/>
          <w:sz w:val="20"/>
          <w:szCs w:val="20"/>
        </w:rPr>
        <w:footnoteRef/>
      </w:r>
      <w:r w:rsidRPr="00F876C1">
        <w:rPr>
          <w:rFonts w:ascii="Times" w:hAnsi="Times"/>
          <w:sz w:val="20"/>
          <w:szCs w:val="20"/>
        </w:rPr>
        <w:t xml:space="preserve"> </w:t>
      </w:r>
      <w:r w:rsidRPr="00F876C1">
        <w:rPr>
          <w:rFonts w:ascii="Times" w:hAnsi="Times"/>
          <w:i/>
          <w:sz w:val="20"/>
          <w:szCs w:val="20"/>
        </w:rPr>
        <w:t>Id.</w:t>
      </w:r>
    </w:p>
  </w:footnote>
  <w:footnote w:id="10">
    <w:p w14:paraId="4D3A1745" w14:textId="237FE89B" w:rsidR="00772D25" w:rsidRPr="00F876C1" w:rsidRDefault="00772D25" w:rsidP="00772D25">
      <w:pPr>
        <w:pStyle w:val="FootnoteText"/>
        <w:rPr>
          <w:rFonts w:ascii="Times" w:hAnsi="Times"/>
          <w:sz w:val="20"/>
          <w:szCs w:val="20"/>
        </w:rPr>
      </w:pPr>
      <w:r w:rsidRPr="00F876C1">
        <w:rPr>
          <w:rStyle w:val="FootnoteReference"/>
          <w:rFonts w:ascii="Times" w:hAnsi="Times"/>
          <w:sz w:val="20"/>
          <w:szCs w:val="20"/>
        </w:rPr>
        <w:footnoteRef/>
      </w:r>
      <w:r w:rsidRPr="00F876C1">
        <w:rPr>
          <w:rFonts w:ascii="Times" w:hAnsi="Times"/>
          <w:sz w:val="20"/>
          <w:szCs w:val="20"/>
        </w:rPr>
        <w:t xml:space="preserve"> </w:t>
      </w:r>
      <w:r w:rsidRPr="00F876C1">
        <w:rPr>
          <w:rFonts w:ascii="Times" w:hAnsi="Times"/>
          <w:i/>
          <w:sz w:val="20"/>
          <w:szCs w:val="20"/>
        </w:rPr>
        <w:t>Golden Gateway Center v. Golden Gateway Tenants Association</w:t>
      </w:r>
      <w:r w:rsidRPr="00F876C1">
        <w:rPr>
          <w:rFonts w:ascii="Times" w:hAnsi="Times"/>
          <w:sz w:val="20"/>
          <w:szCs w:val="20"/>
        </w:rPr>
        <w:t>, 29 P.3d 797, 810 (Cal. 2001).</w:t>
      </w:r>
    </w:p>
  </w:footnote>
  <w:footnote w:id="11">
    <w:p w14:paraId="07FBFC18" w14:textId="7238FB7E" w:rsidR="00724616" w:rsidRPr="00F876C1" w:rsidRDefault="00724616">
      <w:pPr>
        <w:pStyle w:val="FootnoteText"/>
        <w:rPr>
          <w:rFonts w:ascii="Times" w:hAnsi="Times"/>
          <w:sz w:val="20"/>
          <w:szCs w:val="20"/>
        </w:rPr>
      </w:pPr>
      <w:r w:rsidRPr="00F876C1">
        <w:rPr>
          <w:rStyle w:val="FootnoteReference"/>
          <w:rFonts w:ascii="Times" w:hAnsi="Times"/>
          <w:sz w:val="20"/>
          <w:szCs w:val="20"/>
        </w:rPr>
        <w:footnoteRef/>
      </w:r>
      <w:r w:rsidRPr="00F876C1">
        <w:rPr>
          <w:rFonts w:ascii="Times" w:hAnsi="Times"/>
          <w:sz w:val="20"/>
          <w:szCs w:val="20"/>
        </w:rPr>
        <w:t xml:space="preserve"> </w:t>
      </w:r>
      <w:r w:rsidR="00096F24" w:rsidRPr="00F876C1">
        <w:rPr>
          <w:rFonts w:ascii="Times" w:hAnsi="Times"/>
          <w:i/>
          <w:sz w:val="20"/>
          <w:szCs w:val="20"/>
        </w:rPr>
        <w:t>Robins v. Pruneyard Shopping Ctr.</w:t>
      </w:r>
      <w:r w:rsidR="00096F24" w:rsidRPr="00F876C1">
        <w:rPr>
          <w:rFonts w:ascii="Times" w:hAnsi="Times"/>
          <w:sz w:val="20"/>
          <w:szCs w:val="20"/>
        </w:rPr>
        <w:t>, 447 U.S. 74, 88 (1980).</w:t>
      </w:r>
    </w:p>
  </w:footnote>
  <w:footnote w:id="12">
    <w:p w14:paraId="2F009291" w14:textId="08F1490F" w:rsidR="00096F24" w:rsidRPr="002064EB" w:rsidRDefault="00096F24">
      <w:pPr>
        <w:pStyle w:val="FootnoteText"/>
        <w:rPr>
          <w:rFonts w:ascii="Times" w:hAnsi="Times"/>
          <w:color w:val="000000" w:themeColor="text1"/>
          <w:sz w:val="20"/>
          <w:szCs w:val="20"/>
        </w:rPr>
      </w:pPr>
      <w:r w:rsidRPr="00F876C1">
        <w:rPr>
          <w:rStyle w:val="FootnoteReference"/>
          <w:rFonts w:ascii="Times" w:hAnsi="Times"/>
          <w:sz w:val="20"/>
          <w:szCs w:val="20"/>
        </w:rPr>
        <w:footnoteRef/>
      </w:r>
      <w:r w:rsidRPr="00F876C1">
        <w:rPr>
          <w:rFonts w:ascii="Times" w:hAnsi="Times"/>
          <w:sz w:val="20"/>
          <w:szCs w:val="20"/>
        </w:rPr>
        <w:t xml:space="preserve"> </w:t>
      </w:r>
      <w:r w:rsidRPr="00F876C1">
        <w:rPr>
          <w:rFonts w:ascii="Times" w:hAnsi="Times"/>
          <w:i/>
          <w:sz w:val="20"/>
          <w:szCs w:val="20"/>
        </w:rPr>
        <w:t>Developments in the Law: State Action and the Public/Private Distinction</w:t>
      </w:r>
      <w:r w:rsidRPr="00F876C1">
        <w:rPr>
          <w:rFonts w:ascii="Times" w:hAnsi="Times"/>
          <w:sz w:val="20"/>
          <w:szCs w:val="20"/>
        </w:rPr>
        <w:t xml:space="preserve">, 123 </w:t>
      </w:r>
      <w:r w:rsidRPr="00F876C1">
        <w:rPr>
          <w:rFonts w:ascii="Times" w:hAnsi="Times"/>
          <w:smallCaps/>
          <w:sz w:val="20"/>
          <w:szCs w:val="20"/>
        </w:rPr>
        <w:t xml:space="preserve">Harv. L. Rev. </w:t>
      </w:r>
      <w:r w:rsidRPr="00F876C1">
        <w:rPr>
          <w:rFonts w:ascii="Times" w:hAnsi="Times"/>
          <w:sz w:val="20"/>
          <w:szCs w:val="20"/>
        </w:rPr>
        <w:t xml:space="preserve">1248, 1312 (2010) [hereinafter </w:t>
      </w:r>
      <w:r w:rsidRPr="00F876C1">
        <w:rPr>
          <w:rFonts w:ascii="Times" w:hAnsi="Times"/>
          <w:i/>
          <w:sz w:val="20"/>
          <w:szCs w:val="20"/>
        </w:rPr>
        <w:t xml:space="preserve">State </w:t>
      </w:r>
      <w:r w:rsidRPr="002064EB">
        <w:rPr>
          <w:rFonts w:ascii="Times" w:hAnsi="Times"/>
          <w:i/>
          <w:color w:val="000000" w:themeColor="text1"/>
          <w:sz w:val="20"/>
          <w:szCs w:val="20"/>
        </w:rPr>
        <w:t>Action and the Public/Private Distinction</w:t>
      </w:r>
      <w:r w:rsidRPr="002064EB">
        <w:rPr>
          <w:rFonts w:ascii="Times" w:hAnsi="Times"/>
          <w:color w:val="000000" w:themeColor="text1"/>
          <w:sz w:val="20"/>
          <w:szCs w:val="20"/>
        </w:rPr>
        <w:t>].</w:t>
      </w:r>
    </w:p>
  </w:footnote>
  <w:footnote w:id="13">
    <w:p w14:paraId="3FE67AA2" w14:textId="625C2857" w:rsidR="00337F65" w:rsidRPr="002064EB" w:rsidRDefault="00337F65" w:rsidP="002064EB">
      <w:pPr>
        <w:rPr>
          <w:rFonts w:ascii="Times New Roman" w:eastAsia="Times New Roman" w:hAnsi="Times New Roman" w:cs="Times New Roman"/>
        </w:rPr>
      </w:pPr>
      <w:r w:rsidRPr="002064EB">
        <w:rPr>
          <w:rStyle w:val="FootnoteReference"/>
          <w:rFonts w:ascii="Times" w:hAnsi="Times"/>
          <w:color w:val="000000" w:themeColor="text1"/>
          <w:sz w:val="20"/>
          <w:szCs w:val="20"/>
        </w:rPr>
        <w:footnoteRef/>
      </w:r>
      <w:r w:rsidRPr="002064EB">
        <w:rPr>
          <w:rFonts w:ascii="Times" w:hAnsi="Times"/>
          <w:color w:val="000000" w:themeColor="text1"/>
          <w:sz w:val="20"/>
          <w:szCs w:val="20"/>
        </w:rPr>
        <w:t xml:space="preserve"> Jonathan Peters, </w:t>
      </w:r>
      <w:r w:rsidRPr="002064EB">
        <w:rPr>
          <w:rFonts w:ascii="Times" w:hAnsi="Times"/>
          <w:i/>
          <w:color w:val="000000" w:themeColor="text1"/>
          <w:sz w:val="20"/>
          <w:szCs w:val="20"/>
        </w:rPr>
        <w:t>Public Officials: Beware Blocking Critics on Social Media</w:t>
      </w:r>
      <w:r w:rsidRPr="002064EB">
        <w:rPr>
          <w:rFonts w:ascii="Times" w:hAnsi="Times"/>
          <w:color w:val="000000" w:themeColor="text1"/>
          <w:sz w:val="20"/>
          <w:szCs w:val="20"/>
        </w:rPr>
        <w:t xml:space="preserve">, </w:t>
      </w:r>
      <w:r w:rsidRPr="002064EB">
        <w:rPr>
          <w:rFonts w:ascii="Times" w:hAnsi="Times"/>
          <w:smallCaps/>
          <w:color w:val="000000" w:themeColor="text1"/>
          <w:sz w:val="20"/>
          <w:szCs w:val="20"/>
        </w:rPr>
        <w:t>American Bar Association</w:t>
      </w:r>
      <w:r w:rsidRPr="002064EB">
        <w:rPr>
          <w:rFonts w:ascii="Times" w:hAnsi="Times"/>
          <w:color w:val="000000" w:themeColor="text1"/>
          <w:sz w:val="20"/>
          <w:szCs w:val="20"/>
        </w:rPr>
        <w:t xml:space="preserve"> (July 22, 2019)</w:t>
      </w:r>
      <w:r w:rsidR="002064EB" w:rsidRPr="002064EB">
        <w:rPr>
          <w:rFonts w:ascii="Times" w:hAnsi="Times"/>
          <w:color w:val="000000" w:themeColor="text1"/>
          <w:sz w:val="20"/>
          <w:szCs w:val="20"/>
        </w:rPr>
        <w:t xml:space="preserve">, </w:t>
      </w:r>
      <w:hyperlink r:id="rId1" w:history="1">
        <w:r w:rsidR="002064EB" w:rsidRPr="002064EB">
          <w:rPr>
            <w:rFonts w:ascii="Times" w:eastAsia="Times New Roman" w:hAnsi="Times" w:cs="Times New Roman"/>
            <w:color w:val="000000" w:themeColor="text1"/>
            <w:sz w:val="20"/>
            <w:szCs w:val="20"/>
          </w:rPr>
          <w:t>https://www.americanbar.org/groups/litigation/committees/civil-rights/practice/2019/blocking-social/</w:t>
        </w:r>
      </w:hyperlink>
      <w:r w:rsidR="002064EB" w:rsidRPr="002064EB">
        <w:rPr>
          <w:rFonts w:ascii="Times" w:eastAsia="Times New Roman" w:hAnsi="Times" w:cs="Times New Roman"/>
          <w:color w:val="000000" w:themeColor="text1"/>
          <w:sz w:val="20"/>
          <w:szCs w:val="20"/>
        </w:rPr>
        <w:t>.</w:t>
      </w:r>
    </w:p>
  </w:footnote>
  <w:footnote w:id="14">
    <w:p w14:paraId="52CAF4B9" w14:textId="06C18099" w:rsidR="00337F65" w:rsidRPr="002C2A30" w:rsidRDefault="00337F65" w:rsidP="00337F6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Knight First Amendment Institute v. Donald J. Trump</w:t>
      </w:r>
      <w:r w:rsidRPr="002C2A30">
        <w:rPr>
          <w:rFonts w:ascii="Times" w:hAnsi="Times"/>
          <w:color w:val="000000" w:themeColor="text1"/>
          <w:sz w:val="20"/>
          <w:szCs w:val="20"/>
        </w:rPr>
        <w:t>, No.18</w:t>
      </w:r>
      <w:r w:rsidRPr="002C2A30">
        <w:rPr>
          <w:rFonts w:ascii="Calibri" w:eastAsia="Calibri" w:hAnsi="Calibri" w:cs="Calibri"/>
          <w:color w:val="000000" w:themeColor="text1"/>
          <w:sz w:val="20"/>
          <w:szCs w:val="20"/>
        </w:rPr>
        <w:t>‐</w:t>
      </w:r>
      <w:r w:rsidRPr="002C2A30">
        <w:rPr>
          <w:rFonts w:ascii="Times" w:hAnsi="Times"/>
          <w:color w:val="000000" w:themeColor="text1"/>
          <w:sz w:val="20"/>
          <w:szCs w:val="20"/>
        </w:rPr>
        <w:t>1691</w:t>
      </w:r>
      <w:r w:rsidRPr="002C2A30">
        <w:rPr>
          <w:rFonts w:ascii="Calibri" w:eastAsia="Calibri" w:hAnsi="Calibri" w:cs="Calibri"/>
          <w:color w:val="000000" w:themeColor="text1"/>
          <w:sz w:val="20"/>
          <w:szCs w:val="20"/>
        </w:rPr>
        <w:t>‐</w:t>
      </w:r>
      <w:r w:rsidRPr="002C2A30">
        <w:rPr>
          <w:rFonts w:ascii="Times" w:hAnsi="Times"/>
          <w:color w:val="000000" w:themeColor="text1"/>
          <w:sz w:val="20"/>
          <w:szCs w:val="20"/>
        </w:rPr>
        <w:t>cv (2</w:t>
      </w:r>
      <w:r w:rsidRPr="002C2A30">
        <w:rPr>
          <w:rFonts w:ascii="Times" w:hAnsi="Times"/>
          <w:color w:val="000000" w:themeColor="text1"/>
          <w:sz w:val="20"/>
          <w:szCs w:val="20"/>
          <w:vertAlign w:val="superscript"/>
        </w:rPr>
        <w:t>nd</w:t>
      </w:r>
      <w:r w:rsidRPr="002C2A30">
        <w:rPr>
          <w:rFonts w:ascii="Times" w:hAnsi="Times"/>
          <w:color w:val="000000" w:themeColor="text1"/>
          <w:sz w:val="20"/>
          <w:szCs w:val="20"/>
        </w:rPr>
        <w:t xml:space="preserve"> Cir. 2019).</w:t>
      </w:r>
    </w:p>
  </w:footnote>
  <w:footnote w:id="15">
    <w:p w14:paraId="655A53A7" w14:textId="78EF133A" w:rsidR="00337F65" w:rsidRPr="002C2A30" w:rsidRDefault="00337F65" w:rsidP="00337F65">
      <w:pPr>
        <w:pStyle w:val="FootnoteText"/>
        <w:rPr>
          <w:rFonts w:ascii="Times" w:hAnsi="Times"/>
          <w:i/>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Id.</w:t>
      </w:r>
    </w:p>
  </w:footnote>
  <w:footnote w:id="16">
    <w:p w14:paraId="4CC1396F" w14:textId="6FDC7E88" w:rsidR="00337F65" w:rsidRPr="002C2A30" w:rsidRDefault="00337F65" w:rsidP="00337F6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Brian Davison v. Phyllis Randall, et al</w:t>
      </w:r>
      <w:r w:rsidRPr="002C2A30">
        <w:rPr>
          <w:rFonts w:ascii="Times" w:hAnsi="Times"/>
          <w:color w:val="000000" w:themeColor="text1"/>
          <w:sz w:val="20"/>
          <w:szCs w:val="20"/>
        </w:rPr>
        <w:t>., No. 17-2002 (4</w:t>
      </w:r>
      <w:r w:rsidRPr="002C2A30">
        <w:rPr>
          <w:rFonts w:ascii="Times" w:hAnsi="Times"/>
          <w:color w:val="000000" w:themeColor="text1"/>
          <w:sz w:val="20"/>
          <w:szCs w:val="20"/>
          <w:vertAlign w:val="superscript"/>
        </w:rPr>
        <w:t>th</w:t>
      </w:r>
      <w:r w:rsidRPr="002C2A30">
        <w:rPr>
          <w:rFonts w:ascii="Times" w:hAnsi="Times"/>
          <w:color w:val="000000" w:themeColor="text1"/>
          <w:sz w:val="20"/>
          <w:szCs w:val="20"/>
        </w:rPr>
        <w:t xml:space="preserve"> Cir. 2019). </w:t>
      </w:r>
    </w:p>
  </w:footnote>
  <w:footnote w:id="17">
    <w:p w14:paraId="2BC53523" w14:textId="77777777" w:rsidR="00337F65" w:rsidRPr="002C2A30" w:rsidRDefault="00337F65" w:rsidP="00337F6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Id.</w:t>
      </w:r>
      <w:r w:rsidRPr="002C2A30">
        <w:rPr>
          <w:rFonts w:ascii="Times" w:hAnsi="Times"/>
          <w:color w:val="000000" w:themeColor="text1"/>
          <w:sz w:val="20"/>
          <w:szCs w:val="20"/>
        </w:rPr>
        <w:t xml:space="preserve"> </w:t>
      </w:r>
    </w:p>
  </w:footnote>
  <w:footnote w:id="18">
    <w:p w14:paraId="1DDE150F" w14:textId="65335DD7" w:rsidR="00337F65" w:rsidRPr="002C2A30" w:rsidRDefault="00337F65" w:rsidP="00337F6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Denver Area Ed. Telecommunications Consortium, Inc. v. FCC</w:t>
      </w:r>
      <w:r w:rsidRPr="002C2A30">
        <w:rPr>
          <w:rFonts w:ascii="Times" w:hAnsi="Times"/>
          <w:color w:val="000000" w:themeColor="text1"/>
          <w:sz w:val="20"/>
          <w:szCs w:val="20"/>
        </w:rPr>
        <w:t>, 518 U.S. 727, 802-803 (1996).</w:t>
      </w:r>
    </w:p>
  </w:footnote>
  <w:footnote w:id="19">
    <w:p w14:paraId="3CA5EE8B" w14:textId="5123CB19" w:rsidR="00337F65" w:rsidRPr="002C2A30" w:rsidRDefault="00337F65" w:rsidP="00337F6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137 S. Ct. 1730 (2017).</w:t>
      </w:r>
    </w:p>
  </w:footnote>
  <w:footnote w:id="20">
    <w:p w14:paraId="2824BD89" w14:textId="53FA7394" w:rsidR="00337F65" w:rsidRPr="002C2A30" w:rsidRDefault="00337F65" w:rsidP="00337F6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Id.</w:t>
      </w:r>
      <w:r w:rsidR="00014049" w:rsidRPr="002C2A30">
        <w:rPr>
          <w:rFonts w:ascii="Times" w:hAnsi="Times"/>
          <w:color w:val="000000" w:themeColor="text1"/>
          <w:sz w:val="20"/>
          <w:szCs w:val="20"/>
        </w:rPr>
        <w:t xml:space="preserve"> </w:t>
      </w:r>
      <w:r w:rsidRPr="002C2A30">
        <w:rPr>
          <w:rFonts w:ascii="Times" w:hAnsi="Times"/>
          <w:color w:val="000000" w:themeColor="text1"/>
          <w:sz w:val="20"/>
          <w:szCs w:val="20"/>
        </w:rPr>
        <w:t xml:space="preserve"> </w:t>
      </w:r>
    </w:p>
  </w:footnote>
  <w:footnote w:id="21">
    <w:p w14:paraId="52C0C063" w14:textId="68D47962" w:rsidR="00337F65" w:rsidRPr="002C2A30" w:rsidRDefault="00337F65" w:rsidP="00337F6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Id.</w:t>
      </w:r>
      <w:r w:rsidR="00014049" w:rsidRPr="002C2A30">
        <w:rPr>
          <w:rFonts w:ascii="Times" w:hAnsi="Times"/>
          <w:color w:val="000000" w:themeColor="text1"/>
          <w:sz w:val="20"/>
          <w:szCs w:val="20"/>
        </w:rPr>
        <w:t xml:space="preserve"> </w:t>
      </w:r>
    </w:p>
  </w:footnote>
  <w:footnote w:id="22">
    <w:p w14:paraId="1A0E23B2" w14:textId="549C48A1" w:rsidR="00337F65" w:rsidRPr="002C2A30" w:rsidRDefault="00337F65" w:rsidP="00337F6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Id.</w:t>
      </w:r>
      <w:r w:rsidR="00014049" w:rsidRPr="002C2A30">
        <w:rPr>
          <w:rFonts w:ascii="Times" w:hAnsi="Times"/>
          <w:color w:val="000000" w:themeColor="text1"/>
          <w:sz w:val="20"/>
          <w:szCs w:val="20"/>
        </w:rPr>
        <w:t xml:space="preserve"> </w:t>
      </w:r>
    </w:p>
  </w:footnote>
  <w:footnote w:id="23">
    <w:p w14:paraId="31169FAD" w14:textId="13D616DB" w:rsidR="00FC3B35" w:rsidRPr="002C2A30" w:rsidRDefault="00FC3B35" w:rsidP="00FC3B3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smallCaps/>
          <w:color w:val="000000" w:themeColor="text1"/>
          <w:sz w:val="20"/>
          <w:szCs w:val="20"/>
        </w:rPr>
        <w:t xml:space="preserve">Eur. Comm. for Democracy Through Law, </w:t>
      </w:r>
      <w:r w:rsidRPr="002C2A30">
        <w:rPr>
          <w:rFonts w:ascii="Times" w:hAnsi="Times"/>
          <w:i/>
          <w:iCs/>
          <w:color w:val="000000" w:themeColor="text1"/>
          <w:sz w:val="20"/>
          <w:szCs w:val="20"/>
        </w:rPr>
        <w:t xml:space="preserve">Guidelines on Freedom of Peaceful Assembly </w:t>
      </w:r>
      <w:r w:rsidRPr="002C2A30">
        <w:rPr>
          <w:rFonts w:ascii="Times" w:eastAsia="Times New Roman" w:hAnsi="Times"/>
          <w:color w:val="000000" w:themeColor="text1"/>
          <w:sz w:val="20"/>
          <w:szCs w:val="20"/>
        </w:rPr>
        <w:t>¶ 207, 83</w:t>
      </w:r>
      <w:r w:rsidRPr="002C2A30">
        <w:rPr>
          <w:rFonts w:ascii="Times" w:hAnsi="Times"/>
          <w:color w:val="000000" w:themeColor="text1"/>
          <w:sz w:val="20"/>
          <w:szCs w:val="20"/>
        </w:rPr>
        <w:t xml:space="preserve">rd Sess. Study No. 581/2010 (2010) [hereinafter </w:t>
      </w:r>
      <w:r w:rsidRPr="002C2A30">
        <w:rPr>
          <w:rFonts w:ascii="Times" w:hAnsi="Times"/>
          <w:i/>
          <w:iCs/>
          <w:color w:val="000000" w:themeColor="text1"/>
          <w:sz w:val="20"/>
          <w:szCs w:val="20"/>
        </w:rPr>
        <w:t>Guidelines on Freedom of Peaceful Assembly</w:t>
      </w:r>
      <w:r w:rsidRPr="002C2A30">
        <w:rPr>
          <w:rFonts w:ascii="Times" w:hAnsi="Times"/>
          <w:color w:val="000000" w:themeColor="text1"/>
          <w:sz w:val="20"/>
          <w:szCs w:val="20"/>
        </w:rPr>
        <w:t xml:space="preserve">]. </w:t>
      </w:r>
    </w:p>
  </w:footnote>
  <w:footnote w:id="24">
    <w:p w14:paraId="4BF8899D" w14:textId="77777777" w:rsidR="00FC3B35" w:rsidRPr="002C2A30" w:rsidRDefault="00FC3B35" w:rsidP="00FC3B3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color w:val="000000" w:themeColor="text1"/>
          <w:sz w:val="20"/>
          <w:szCs w:val="20"/>
        </w:rPr>
        <w:t>Id.</w:t>
      </w:r>
    </w:p>
  </w:footnote>
  <w:footnote w:id="25">
    <w:p w14:paraId="35A92E2C" w14:textId="173779BF" w:rsidR="00FC3B35" w:rsidRPr="002C2A30" w:rsidRDefault="00FC3B35" w:rsidP="00FC3B35">
      <w:pPr>
        <w:pStyle w:val="FootnoteText"/>
        <w:rPr>
          <w:rFonts w:ascii="Times" w:eastAsia="Times New Roman"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hAnsi="Times"/>
          <w:i/>
          <w:iCs/>
          <w:color w:val="000000" w:themeColor="text1"/>
          <w:sz w:val="20"/>
          <w:szCs w:val="20"/>
        </w:rPr>
        <w:t xml:space="preserve">Id. </w:t>
      </w:r>
      <w:r w:rsidRPr="002C2A30">
        <w:rPr>
          <w:rFonts w:ascii="Times" w:eastAsia="Times New Roman" w:hAnsi="Times"/>
          <w:color w:val="000000" w:themeColor="text1"/>
          <w:sz w:val="20"/>
          <w:szCs w:val="20"/>
        </w:rPr>
        <w:t>¶ 208.</w:t>
      </w:r>
    </w:p>
  </w:footnote>
  <w:footnote w:id="26">
    <w:p w14:paraId="2D01B005" w14:textId="464651FA" w:rsidR="00FC3B35" w:rsidRPr="002C2A30" w:rsidRDefault="00FC3B35" w:rsidP="00FC3B35">
      <w:pPr>
        <w:rPr>
          <w:rFonts w:ascii="Times" w:eastAsia="Times New Roman" w:hAnsi="Times"/>
          <w:color w:val="000000" w:themeColor="text1"/>
          <w:sz w:val="20"/>
          <w:szCs w:val="20"/>
          <w:shd w:val="clear" w:color="auto" w:fill="FFFFFF"/>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eastAsia="Times New Roman" w:hAnsi="Times"/>
          <w:i/>
          <w:color w:val="000000" w:themeColor="text1"/>
          <w:sz w:val="20"/>
          <w:szCs w:val="20"/>
          <w:shd w:val="clear" w:color="auto" w:fill="FFFFFF"/>
        </w:rPr>
        <w:t>Társaság a Szabadságjogokért v. Hung</w:t>
      </w:r>
      <w:r w:rsidRPr="002C2A30">
        <w:rPr>
          <w:rFonts w:ascii="Times" w:eastAsia="Times New Roman" w:hAnsi="Times"/>
          <w:color w:val="000000" w:themeColor="text1"/>
          <w:sz w:val="20"/>
          <w:szCs w:val="20"/>
          <w:shd w:val="clear" w:color="auto" w:fill="FFFFFF"/>
        </w:rPr>
        <w:t>., HUDOC para. 27 (2009).</w:t>
      </w:r>
    </w:p>
  </w:footnote>
  <w:footnote w:id="27">
    <w:p w14:paraId="34CA6A09" w14:textId="77777777" w:rsidR="00FC3B35" w:rsidRPr="002C2A30" w:rsidRDefault="00FC3B35" w:rsidP="00FC3B3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w:t>
      </w:r>
      <w:r w:rsidRPr="002C2A30">
        <w:rPr>
          <w:rFonts w:ascii="Times" w:eastAsia="Times New Roman" w:hAnsi="Times"/>
          <w:i/>
          <w:iCs/>
          <w:color w:val="000000" w:themeColor="text1"/>
          <w:sz w:val="20"/>
          <w:szCs w:val="20"/>
          <w:shd w:val="clear" w:color="auto" w:fill="FFFFFF"/>
        </w:rPr>
        <w:t>UNESCO Calls for Proposals: Research on the Safety of Online Media Actors Doing Journalism</w:t>
      </w:r>
      <w:r w:rsidRPr="002C2A30">
        <w:rPr>
          <w:rFonts w:ascii="Times" w:eastAsia="Times New Roman" w:hAnsi="Times"/>
          <w:color w:val="000000" w:themeColor="text1"/>
          <w:sz w:val="20"/>
          <w:szCs w:val="20"/>
          <w:shd w:val="clear" w:color="auto" w:fill="FFFFFF"/>
        </w:rPr>
        <w:t>, UNESCO (May 4, 2013), https://en.unesco.org/news/unesco-calls-proposals-research-safety-online-media-actors-doing-journalism.</w:t>
      </w:r>
    </w:p>
  </w:footnote>
  <w:footnote w:id="28">
    <w:p w14:paraId="04C11BED" w14:textId="77777777" w:rsidR="00FC3B35" w:rsidRPr="002C2A30" w:rsidRDefault="00FC3B35" w:rsidP="00FC3B35">
      <w:pPr>
        <w:pStyle w:val="FootnoteText"/>
        <w:rPr>
          <w:rFonts w:ascii="Times" w:hAnsi="Times"/>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Eur. Comm. of Ministers</w:t>
      </w:r>
      <w:r w:rsidRPr="002C2A30">
        <w:rPr>
          <w:rFonts w:ascii="Times" w:hAnsi="Times"/>
          <w:iCs/>
          <w:color w:val="000000" w:themeColor="text1"/>
          <w:sz w:val="20"/>
          <w:szCs w:val="20"/>
        </w:rPr>
        <w:t xml:space="preserve">, </w:t>
      </w:r>
      <w:r w:rsidRPr="002C2A30">
        <w:rPr>
          <w:rFonts w:ascii="Times" w:eastAsia="Times New Roman" w:hAnsi="Times"/>
          <w:i/>
          <w:iCs/>
          <w:color w:val="000000" w:themeColor="text1"/>
          <w:sz w:val="20"/>
          <w:szCs w:val="20"/>
          <w:shd w:val="clear" w:color="auto" w:fill="FFFFFF"/>
        </w:rPr>
        <w:t xml:space="preserve">Recommendation CM/Rec(2016)4 of the Committee of Ministers to Member States on the Protection of Journalism and Safety of Journalists and Other Media Actors </w:t>
      </w:r>
      <w:r w:rsidRPr="002C2A30">
        <w:rPr>
          <w:rFonts w:ascii="Times" w:eastAsia="Times New Roman" w:hAnsi="Times"/>
          <w:color w:val="000000" w:themeColor="text1"/>
          <w:sz w:val="20"/>
          <w:szCs w:val="20"/>
          <w:shd w:val="clear" w:color="auto" w:fill="FFFFFF"/>
        </w:rPr>
        <w:t>pmbl.</w:t>
      </w:r>
      <w:r w:rsidRPr="002C2A30">
        <w:rPr>
          <w:rFonts w:ascii="Times" w:hAnsi="Times"/>
          <w:color w:val="000000" w:themeColor="text1"/>
          <w:sz w:val="20"/>
          <w:szCs w:val="20"/>
          <w:shd w:val="clear" w:color="auto" w:fill="FFFFFF"/>
        </w:rPr>
        <w:t xml:space="preserve"> ¶ 29</w:t>
      </w:r>
      <w:r w:rsidRPr="002C2A30">
        <w:rPr>
          <w:rFonts w:ascii="Times" w:eastAsia="Times New Roman" w:hAnsi="Times"/>
          <w:color w:val="000000" w:themeColor="text1"/>
          <w:sz w:val="20"/>
          <w:szCs w:val="20"/>
          <w:shd w:val="clear" w:color="auto" w:fill="FFFFFF"/>
        </w:rPr>
        <w:t>, 1253rd Meeting (2016).</w:t>
      </w:r>
    </w:p>
  </w:footnote>
  <w:footnote w:id="29">
    <w:p w14:paraId="12EE4324" w14:textId="77777777" w:rsidR="00FC3B35" w:rsidRPr="00B46071" w:rsidRDefault="00FC3B35" w:rsidP="00FC3B35">
      <w:pPr>
        <w:pStyle w:val="FootnoteText"/>
        <w:rPr>
          <w:color w:val="000000" w:themeColor="text1"/>
          <w:sz w:val="20"/>
          <w:szCs w:val="20"/>
        </w:rPr>
      </w:pPr>
      <w:r w:rsidRPr="002C2A30">
        <w:rPr>
          <w:rStyle w:val="FootnoteReference"/>
          <w:rFonts w:ascii="Times" w:hAnsi="Times"/>
          <w:color w:val="000000" w:themeColor="text1"/>
          <w:sz w:val="20"/>
          <w:szCs w:val="20"/>
        </w:rPr>
        <w:footnoteRef/>
      </w:r>
      <w:r w:rsidRPr="002C2A30">
        <w:rPr>
          <w:rFonts w:ascii="Times" w:hAnsi="Times"/>
          <w:color w:val="000000" w:themeColor="text1"/>
          <w:sz w:val="20"/>
          <w:szCs w:val="20"/>
        </w:rPr>
        <w:t xml:space="preserve"> Council of the EU, </w:t>
      </w:r>
      <w:r w:rsidRPr="002C2A30">
        <w:rPr>
          <w:rFonts w:ascii="Times" w:hAnsi="Times"/>
          <w:i/>
          <w:iCs/>
          <w:color w:val="000000" w:themeColor="text1"/>
          <w:sz w:val="20"/>
          <w:szCs w:val="20"/>
        </w:rPr>
        <w:t>EU Human Rights Guidelines on Freedom of Expression Online and Offline</w:t>
      </w:r>
      <w:r w:rsidRPr="002C2A30">
        <w:rPr>
          <w:rFonts w:ascii="Times" w:hAnsi="Times"/>
          <w:color w:val="000000" w:themeColor="text1"/>
          <w:sz w:val="20"/>
          <w:szCs w:val="20"/>
        </w:rPr>
        <w:t>,</w:t>
      </w:r>
      <w:r w:rsidRPr="002C2A30">
        <w:rPr>
          <w:rFonts w:ascii="Times" w:hAnsi="Times"/>
          <w:i/>
          <w:iCs/>
          <w:color w:val="000000" w:themeColor="text1"/>
          <w:sz w:val="20"/>
          <w:szCs w:val="20"/>
        </w:rPr>
        <w:t xml:space="preserve"> </w:t>
      </w:r>
      <w:r w:rsidRPr="002C2A30">
        <w:rPr>
          <w:rFonts w:ascii="Times" w:hAnsi="Times"/>
          <w:color w:val="000000" w:themeColor="text1"/>
          <w:sz w:val="20"/>
          <w:szCs w:val="20"/>
          <w:shd w:val="clear" w:color="auto" w:fill="FFFFFF"/>
        </w:rPr>
        <w:t>¶</w:t>
      </w:r>
      <w:r w:rsidRPr="002C2A30">
        <w:rPr>
          <w:rFonts w:ascii="Times" w:hAnsi="Times"/>
          <w:color w:val="000000" w:themeColor="text1"/>
          <w:sz w:val="20"/>
          <w:szCs w:val="20"/>
        </w:rPr>
        <w:t xml:space="preserve"> 4, (May 12,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0EB8"/>
    <w:multiLevelType w:val="hybridMultilevel"/>
    <w:tmpl w:val="2216EA52"/>
    <w:lvl w:ilvl="0" w:tplc="A86E28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BD4A81"/>
    <w:multiLevelType w:val="multilevel"/>
    <w:tmpl w:val="18CE085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84"/>
    <w:rsid w:val="00014049"/>
    <w:rsid w:val="00035D96"/>
    <w:rsid w:val="00060421"/>
    <w:rsid w:val="00065562"/>
    <w:rsid w:val="00073281"/>
    <w:rsid w:val="00096DBF"/>
    <w:rsid w:val="00096F24"/>
    <w:rsid w:val="000B356C"/>
    <w:rsid w:val="000C18B4"/>
    <w:rsid w:val="000C287C"/>
    <w:rsid w:val="000D2C03"/>
    <w:rsid w:val="000D4004"/>
    <w:rsid w:val="000E5A29"/>
    <w:rsid w:val="000F6B40"/>
    <w:rsid w:val="00150E5D"/>
    <w:rsid w:val="00155E3D"/>
    <w:rsid w:val="00165161"/>
    <w:rsid w:val="00181569"/>
    <w:rsid w:val="00192331"/>
    <w:rsid w:val="001A64C5"/>
    <w:rsid w:val="001B15E0"/>
    <w:rsid w:val="001C4A7E"/>
    <w:rsid w:val="001E0970"/>
    <w:rsid w:val="001E4259"/>
    <w:rsid w:val="001E4569"/>
    <w:rsid w:val="0020101F"/>
    <w:rsid w:val="002064EB"/>
    <w:rsid w:val="0021365E"/>
    <w:rsid w:val="00237F93"/>
    <w:rsid w:val="002449E6"/>
    <w:rsid w:val="00274C10"/>
    <w:rsid w:val="00287567"/>
    <w:rsid w:val="002901AE"/>
    <w:rsid w:val="002A2A2B"/>
    <w:rsid w:val="002C2A30"/>
    <w:rsid w:val="002C3484"/>
    <w:rsid w:val="002D1A31"/>
    <w:rsid w:val="002E6C3B"/>
    <w:rsid w:val="0030394F"/>
    <w:rsid w:val="00312081"/>
    <w:rsid w:val="00337F65"/>
    <w:rsid w:val="0034459E"/>
    <w:rsid w:val="00353171"/>
    <w:rsid w:val="00357C26"/>
    <w:rsid w:val="00357EBF"/>
    <w:rsid w:val="003644CE"/>
    <w:rsid w:val="00370217"/>
    <w:rsid w:val="003754DE"/>
    <w:rsid w:val="00381952"/>
    <w:rsid w:val="003919D1"/>
    <w:rsid w:val="003B543B"/>
    <w:rsid w:val="003C53DE"/>
    <w:rsid w:val="003E27AA"/>
    <w:rsid w:val="003F0968"/>
    <w:rsid w:val="004110DF"/>
    <w:rsid w:val="0046649E"/>
    <w:rsid w:val="00472E83"/>
    <w:rsid w:val="004778B1"/>
    <w:rsid w:val="00481CEE"/>
    <w:rsid w:val="0048799A"/>
    <w:rsid w:val="004C7950"/>
    <w:rsid w:val="004D6A3F"/>
    <w:rsid w:val="004F1858"/>
    <w:rsid w:val="00511D45"/>
    <w:rsid w:val="005122D3"/>
    <w:rsid w:val="00516A1A"/>
    <w:rsid w:val="00524CC2"/>
    <w:rsid w:val="0053699A"/>
    <w:rsid w:val="005508DD"/>
    <w:rsid w:val="00556A0B"/>
    <w:rsid w:val="005B14A6"/>
    <w:rsid w:val="005B5A88"/>
    <w:rsid w:val="005C02A2"/>
    <w:rsid w:val="005D0701"/>
    <w:rsid w:val="005D404C"/>
    <w:rsid w:val="005F307C"/>
    <w:rsid w:val="00616CFA"/>
    <w:rsid w:val="006211A6"/>
    <w:rsid w:val="006243F1"/>
    <w:rsid w:val="0066490D"/>
    <w:rsid w:val="0067149B"/>
    <w:rsid w:val="00694000"/>
    <w:rsid w:val="006A4DF6"/>
    <w:rsid w:val="006C1292"/>
    <w:rsid w:val="006C4624"/>
    <w:rsid w:val="006C7845"/>
    <w:rsid w:val="006D2E88"/>
    <w:rsid w:val="00700547"/>
    <w:rsid w:val="00724616"/>
    <w:rsid w:val="00726C31"/>
    <w:rsid w:val="00731B14"/>
    <w:rsid w:val="007513B7"/>
    <w:rsid w:val="0075360F"/>
    <w:rsid w:val="00772D25"/>
    <w:rsid w:val="00774871"/>
    <w:rsid w:val="00786EE7"/>
    <w:rsid w:val="007A37BC"/>
    <w:rsid w:val="007B65D8"/>
    <w:rsid w:val="007C4042"/>
    <w:rsid w:val="007C6D24"/>
    <w:rsid w:val="007E534E"/>
    <w:rsid w:val="007F078C"/>
    <w:rsid w:val="00801B54"/>
    <w:rsid w:val="00812C08"/>
    <w:rsid w:val="00841297"/>
    <w:rsid w:val="00841F4E"/>
    <w:rsid w:val="008423D2"/>
    <w:rsid w:val="00864B6A"/>
    <w:rsid w:val="00873C6B"/>
    <w:rsid w:val="00883DD2"/>
    <w:rsid w:val="008A4DF1"/>
    <w:rsid w:val="008B7DBB"/>
    <w:rsid w:val="008C4FC8"/>
    <w:rsid w:val="008D2DCA"/>
    <w:rsid w:val="008F4961"/>
    <w:rsid w:val="0090614B"/>
    <w:rsid w:val="0093117F"/>
    <w:rsid w:val="00975146"/>
    <w:rsid w:val="00994743"/>
    <w:rsid w:val="009A035F"/>
    <w:rsid w:val="009B10F9"/>
    <w:rsid w:val="009C351A"/>
    <w:rsid w:val="009D7D7F"/>
    <w:rsid w:val="009E0D34"/>
    <w:rsid w:val="009E6B8F"/>
    <w:rsid w:val="009F5D10"/>
    <w:rsid w:val="00A15B5C"/>
    <w:rsid w:val="00A27B24"/>
    <w:rsid w:val="00A60DB3"/>
    <w:rsid w:val="00A61727"/>
    <w:rsid w:val="00AB08B5"/>
    <w:rsid w:val="00AB18FD"/>
    <w:rsid w:val="00AD2181"/>
    <w:rsid w:val="00B05985"/>
    <w:rsid w:val="00B16677"/>
    <w:rsid w:val="00B30874"/>
    <w:rsid w:val="00B365D7"/>
    <w:rsid w:val="00B41393"/>
    <w:rsid w:val="00B52676"/>
    <w:rsid w:val="00B54033"/>
    <w:rsid w:val="00B54F43"/>
    <w:rsid w:val="00B758E8"/>
    <w:rsid w:val="00B8164D"/>
    <w:rsid w:val="00BA4324"/>
    <w:rsid w:val="00BB71FA"/>
    <w:rsid w:val="00BF18FC"/>
    <w:rsid w:val="00C33BE7"/>
    <w:rsid w:val="00C664BE"/>
    <w:rsid w:val="00C91400"/>
    <w:rsid w:val="00CC5856"/>
    <w:rsid w:val="00CD0A9D"/>
    <w:rsid w:val="00CF13CA"/>
    <w:rsid w:val="00CF5F7A"/>
    <w:rsid w:val="00D42234"/>
    <w:rsid w:val="00D53E24"/>
    <w:rsid w:val="00D72E01"/>
    <w:rsid w:val="00D86196"/>
    <w:rsid w:val="00D948BE"/>
    <w:rsid w:val="00D9686A"/>
    <w:rsid w:val="00DA0B89"/>
    <w:rsid w:val="00DB0EF1"/>
    <w:rsid w:val="00DC2585"/>
    <w:rsid w:val="00DE39A5"/>
    <w:rsid w:val="00E1309D"/>
    <w:rsid w:val="00E211A5"/>
    <w:rsid w:val="00E233DE"/>
    <w:rsid w:val="00E37F97"/>
    <w:rsid w:val="00E405EF"/>
    <w:rsid w:val="00E41F9C"/>
    <w:rsid w:val="00E80C20"/>
    <w:rsid w:val="00E872AE"/>
    <w:rsid w:val="00EA3908"/>
    <w:rsid w:val="00EB5CD7"/>
    <w:rsid w:val="00EC358C"/>
    <w:rsid w:val="00ED5E5E"/>
    <w:rsid w:val="00EE1477"/>
    <w:rsid w:val="00EE51FF"/>
    <w:rsid w:val="00EF1E06"/>
    <w:rsid w:val="00F21B43"/>
    <w:rsid w:val="00F26116"/>
    <w:rsid w:val="00F2635A"/>
    <w:rsid w:val="00F34523"/>
    <w:rsid w:val="00F35E54"/>
    <w:rsid w:val="00F47067"/>
    <w:rsid w:val="00F57C4E"/>
    <w:rsid w:val="00F876C1"/>
    <w:rsid w:val="00FB0A9F"/>
    <w:rsid w:val="00FC3B35"/>
    <w:rsid w:val="00FD3444"/>
    <w:rsid w:val="00FD725F"/>
    <w:rsid w:val="00FE23A4"/>
    <w:rsid w:val="00FF4FE1"/>
    <w:rsid w:val="00F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4F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0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54033"/>
    <w:rPr>
      <w:rFonts w:ascii="Times New Roman" w:eastAsiaTheme="minorHAnsi" w:hAnsi="Times New Roman" w:cs="Times New Roman"/>
      <w:sz w:val="18"/>
      <w:szCs w:val="18"/>
    </w:rPr>
  </w:style>
  <w:style w:type="paragraph" w:customStyle="1" w:styleId="p2">
    <w:name w:val="p2"/>
    <w:basedOn w:val="Normal"/>
    <w:rsid w:val="00B54033"/>
    <w:rPr>
      <w:rFonts w:ascii="Times New Roman" w:eastAsiaTheme="minorHAnsi" w:hAnsi="Times New Roman" w:cs="Times New Roman"/>
      <w:sz w:val="15"/>
      <w:szCs w:val="15"/>
    </w:rPr>
  </w:style>
  <w:style w:type="paragraph" w:customStyle="1" w:styleId="p3">
    <w:name w:val="p3"/>
    <w:basedOn w:val="Normal"/>
    <w:rsid w:val="00B54033"/>
    <w:pPr>
      <w:spacing w:after="14"/>
    </w:pPr>
    <w:rPr>
      <w:rFonts w:ascii="Times New Roman" w:eastAsiaTheme="minorHAnsi" w:hAnsi="Times New Roman" w:cs="Times New Roman"/>
      <w:sz w:val="15"/>
      <w:szCs w:val="15"/>
    </w:rPr>
  </w:style>
  <w:style w:type="paragraph" w:customStyle="1" w:styleId="p4">
    <w:name w:val="p4"/>
    <w:basedOn w:val="Normal"/>
    <w:rsid w:val="00B54033"/>
    <w:rPr>
      <w:rFonts w:ascii="Times New Roman" w:eastAsiaTheme="minorHAnsi" w:hAnsi="Times New Roman" w:cs="Times New Roman"/>
      <w:sz w:val="15"/>
      <w:szCs w:val="15"/>
    </w:rPr>
  </w:style>
  <w:style w:type="character" w:customStyle="1" w:styleId="s2">
    <w:name w:val="s2"/>
    <w:basedOn w:val="DefaultParagraphFont"/>
    <w:rsid w:val="00B54033"/>
    <w:rPr>
      <w:rFonts w:ascii="Times New Roman" w:hAnsi="Times New Roman" w:cs="Times New Roman" w:hint="default"/>
      <w:sz w:val="17"/>
      <w:szCs w:val="17"/>
    </w:rPr>
  </w:style>
  <w:style w:type="character" w:customStyle="1" w:styleId="apple-converted-space">
    <w:name w:val="apple-converted-space"/>
    <w:basedOn w:val="DefaultParagraphFont"/>
    <w:rsid w:val="00B54033"/>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unhideWhenUsed/>
    <w:qFormat/>
    <w:rsid w:val="00B365D7"/>
    <w:rPr>
      <w:rFonts w:ascii="Times New Roman" w:eastAsiaTheme="minorHAnsi" w:hAnsi="Times New Roman" w:cs="Times New Roman"/>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basedOn w:val="DefaultParagraphFont"/>
    <w:link w:val="FootnoteText"/>
    <w:uiPriority w:val="99"/>
    <w:rsid w:val="00B365D7"/>
    <w:rPr>
      <w:rFonts w:ascii="Times New Roman" w:hAnsi="Times New Roman" w:cs="Times New Roman"/>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basedOn w:val="DefaultParagraphFont"/>
    <w:link w:val="Appelnotedebasde"/>
    <w:uiPriority w:val="99"/>
    <w:unhideWhenUsed/>
    <w:qFormat/>
    <w:rsid w:val="00B365D7"/>
    <w:rPr>
      <w:vertAlign w:val="superscript"/>
    </w:rPr>
  </w:style>
  <w:style w:type="paragraph" w:customStyle="1" w:styleId="HMG">
    <w:name w:val="_ H __M_G"/>
    <w:basedOn w:val="Normal"/>
    <w:next w:val="Normal"/>
    <w:rsid w:val="008D2DCA"/>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n-GB"/>
    </w:rPr>
  </w:style>
  <w:style w:type="paragraph" w:customStyle="1" w:styleId="H1G">
    <w:name w:val="_ H_1_G"/>
    <w:basedOn w:val="Normal"/>
    <w:next w:val="Normal"/>
    <w:rsid w:val="008D2DCA"/>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Cs w:val="20"/>
      <w:lang w:val="en-GB"/>
    </w:rPr>
  </w:style>
  <w:style w:type="paragraph" w:customStyle="1" w:styleId="H23G">
    <w:name w:val="_ H_2/3_G"/>
    <w:basedOn w:val="Normal"/>
    <w:next w:val="Normal"/>
    <w:rsid w:val="008D2DCA"/>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8D2DCA"/>
    <w:pPr>
      <w:spacing w:before="120" w:after="120"/>
    </w:pPr>
    <w:rPr>
      <w:rFonts w:eastAsiaTheme="minorHAnsi"/>
      <w:vertAlign w:val="superscript"/>
    </w:rPr>
  </w:style>
  <w:style w:type="paragraph" w:styleId="Footer">
    <w:name w:val="footer"/>
    <w:basedOn w:val="Normal"/>
    <w:link w:val="FooterChar"/>
    <w:uiPriority w:val="99"/>
    <w:unhideWhenUsed/>
    <w:rsid w:val="00287567"/>
    <w:pPr>
      <w:tabs>
        <w:tab w:val="center" w:pos="4680"/>
        <w:tab w:val="right" w:pos="9360"/>
      </w:tabs>
    </w:pPr>
  </w:style>
  <w:style w:type="character" w:customStyle="1" w:styleId="FooterChar">
    <w:name w:val="Footer Char"/>
    <w:basedOn w:val="DefaultParagraphFont"/>
    <w:link w:val="Footer"/>
    <w:uiPriority w:val="99"/>
    <w:rsid w:val="00287567"/>
    <w:rPr>
      <w:rFonts w:eastAsiaTheme="minorEastAsia"/>
    </w:rPr>
  </w:style>
  <w:style w:type="character" w:styleId="PageNumber">
    <w:name w:val="page number"/>
    <w:basedOn w:val="DefaultParagraphFont"/>
    <w:uiPriority w:val="99"/>
    <w:semiHidden/>
    <w:unhideWhenUsed/>
    <w:rsid w:val="00287567"/>
  </w:style>
  <w:style w:type="character" w:styleId="Hyperlink">
    <w:name w:val="Hyperlink"/>
    <w:basedOn w:val="DefaultParagraphFont"/>
    <w:uiPriority w:val="99"/>
    <w:semiHidden/>
    <w:unhideWhenUsed/>
    <w:rsid w:val="002064EB"/>
    <w:rPr>
      <w:color w:val="0000FF"/>
      <w:u w:val="single"/>
    </w:rPr>
  </w:style>
  <w:style w:type="paragraph" w:styleId="ListParagraph">
    <w:name w:val="List Paragraph"/>
    <w:basedOn w:val="Normal"/>
    <w:uiPriority w:val="34"/>
    <w:qFormat/>
    <w:rsid w:val="00FF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0371">
      <w:bodyDiv w:val="1"/>
      <w:marLeft w:val="0"/>
      <w:marRight w:val="0"/>
      <w:marTop w:val="0"/>
      <w:marBottom w:val="0"/>
      <w:divBdr>
        <w:top w:val="none" w:sz="0" w:space="0" w:color="auto"/>
        <w:left w:val="none" w:sz="0" w:space="0" w:color="auto"/>
        <w:bottom w:val="none" w:sz="0" w:space="0" w:color="auto"/>
        <w:right w:val="none" w:sz="0" w:space="0" w:color="auto"/>
      </w:divBdr>
    </w:div>
    <w:div w:id="194067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mericanbar.org/groups/litigation/committees/civil-rights/practice/2019/blocking-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093F09-6BA1-4A0C-85C8-6EBEC6528EE4}"/>
</file>

<file path=customXml/itemProps2.xml><?xml version="1.0" encoding="utf-8"?>
<ds:datastoreItem xmlns:ds="http://schemas.openxmlformats.org/officeDocument/2006/customXml" ds:itemID="{5E6C2B7C-1B4F-4699-ACDA-3F2E5E4A92D3}"/>
</file>

<file path=customXml/itemProps3.xml><?xml version="1.0" encoding="utf-8"?>
<ds:datastoreItem xmlns:ds="http://schemas.openxmlformats.org/officeDocument/2006/customXml" ds:itemID="{6C7D1988-CFED-4940-AB82-33430129D326}"/>
</file>

<file path=docProps/app.xml><?xml version="1.0" encoding="utf-8"?>
<Properties xmlns="http://schemas.openxmlformats.org/officeDocument/2006/extended-properties" xmlns:vt="http://schemas.openxmlformats.org/officeDocument/2006/docPropsVTypes">
  <Template>Normal.dotm</Template>
  <TotalTime>1</TotalTime>
  <Pages>5</Pages>
  <Words>2130</Words>
  <Characters>12145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 Peters</dc:creator>
  <cp:keywords/>
  <dc:description/>
  <cp:lastModifiedBy>ROSNIANSKY Cherry Lou</cp:lastModifiedBy>
  <cp:revision>2</cp:revision>
  <cp:lastPrinted>2019-08-26T04:39:00Z</cp:lastPrinted>
  <dcterms:created xsi:type="dcterms:W3CDTF">2020-02-23T20:23:00Z</dcterms:created>
  <dcterms:modified xsi:type="dcterms:W3CDTF">2020-02-23T20:23:00Z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