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1B99B" w14:textId="03AC2F8A" w:rsidR="00173086" w:rsidRDefault="00173086" w:rsidP="00B7347F">
      <w:pPr>
        <w:jc w:val="center"/>
        <w:rPr>
          <w:b/>
          <w:bCs/>
          <w:smallCaps/>
          <w:sz w:val="28"/>
          <w:szCs w:val="28"/>
        </w:rPr>
      </w:pPr>
      <w:r w:rsidRPr="00B7347F">
        <w:rPr>
          <w:b/>
          <w:bCs/>
          <w:smallCaps/>
          <w:sz w:val="28"/>
          <w:szCs w:val="28"/>
        </w:rPr>
        <w:t xml:space="preserve">Comments on draft </w:t>
      </w:r>
      <w:r w:rsidR="00A41A38" w:rsidRPr="00B7347F">
        <w:rPr>
          <w:b/>
          <w:bCs/>
          <w:smallCaps/>
          <w:sz w:val="28"/>
          <w:szCs w:val="28"/>
        </w:rPr>
        <w:t>General Comment 3</w:t>
      </w:r>
      <w:r w:rsidRPr="00B7347F">
        <w:rPr>
          <w:b/>
          <w:bCs/>
          <w:smallCaps/>
          <w:sz w:val="28"/>
          <w:szCs w:val="28"/>
        </w:rPr>
        <w:t xml:space="preserve">7 on </w:t>
      </w:r>
      <w:r w:rsidR="00BE693C">
        <w:rPr>
          <w:b/>
          <w:bCs/>
          <w:smallCaps/>
          <w:sz w:val="28"/>
          <w:szCs w:val="28"/>
        </w:rPr>
        <w:t>Article 21 ICCPR: T</w:t>
      </w:r>
      <w:r w:rsidRPr="00B7347F">
        <w:rPr>
          <w:b/>
          <w:bCs/>
          <w:smallCaps/>
          <w:sz w:val="28"/>
          <w:szCs w:val="28"/>
        </w:rPr>
        <w:t>he Right of Peaceful Assembly</w:t>
      </w:r>
      <w:bookmarkStart w:id="0" w:name="_GoBack"/>
      <w:bookmarkEnd w:id="0"/>
    </w:p>
    <w:p w14:paraId="5A885EA2" w14:textId="182588BE" w:rsidR="00BE693C" w:rsidRPr="00BE693C" w:rsidRDefault="00BE693C" w:rsidP="00BE693C">
      <w:pPr>
        <w:jc w:val="both"/>
        <w:rPr>
          <w:sz w:val="24"/>
          <w:szCs w:val="24"/>
        </w:rPr>
      </w:pPr>
    </w:p>
    <w:p w14:paraId="50C455EB" w14:textId="77777777" w:rsidR="00D64F7D" w:rsidRDefault="00BE693C" w:rsidP="00D64F7D">
      <w:pPr>
        <w:pStyle w:val="ListParagraph"/>
        <w:numPr>
          <w:ilvl w:val="0"/>
          <w:numId w:val="7"/>
        </w:numPr>
        <w:ind w:left="426" w:hanging="426"/>
        <w:jc w:val="both"/>
        <w:rPr>
          <w:sz w:val="24"/>
          <w:szCs w:val="24"/>
        </w:rPr>
      </w:pPr>
      <w:r w:rsidRPr="00D64F7D">
        <w:rPr>
          <w:sz w:val="24"/>
          <w:szCs w:val="24"/>
        </w:rPr>
        <w:t xml:space="preserve">The current draft of the General Comment, as finalized </w:t>
      </w:r>
      <w:r w:rsidRPr="00D64F7D">
        <w:rPr>
          <w:sz w:val="24"/>
          <w:szCs w:val="24"/>
          <w:lang w:val="en-US"/>
        </w:rPr>
        <w:t xml:space="preserve">in November 2019 following the Committee’s First Reading, </w:t>
      </w:r>
      <w:r w:rsidR="00DD0B27" w:rsidRPr="00D64F7D">
        <w:rPr>
          <w:sz w:val="24"/>
          <w:szCs w:val="24"/>
          <w:lang w:val="en-US"/>
        </w:rPr>
        <w:t>captures many critically important principles and standards of protection</w:t>
      </w:r>
      <w:r w:rsidR="00F82E3B" w:rsidRPr="00D64F7D">
        <w:rPr>
          <w:sz w:val="24"/>
          <w:szCs w:val="24"/>
        </w:rPr>
        <w:t>.</w:t>
      </w:r>
      <w:r w:rsidRPr="00D64F7D">
        <w:rPr>
          <w:sz w:val="24"/>
          <w:szCs w:val="24"/>
        </w:rPr>
        <w:t xml:space="preserve"> </w:t>
      </w:r>
      <w:r w:rsidR="00F82E3B" w:rsidRPr="00D64F7D">
        <w:rPr>
          <w:sz w:val="24"/>
          <w:szCs w:val="24"/>
        </w:rPr>
        <w:t xml:space="preserve">The comments here </w:t>
      </w:r>
      <w:r w:rsidR="00DD0B27" w:rsidRPr="00D64F7D">
        <w:rPr>
          <w:sz w:val="24"/>
          <w:szCs w:val="24"/>
        </w:rPr>
        <w:t>are submitted in the hope that they might assist the Committee in</w:t>
      </w:r>
      <w:r w:rsidR="00F82E3B" w:rsidRPr="00D64F7D">
        <w:rPr>
          <w:sz w:val="24"/>
          <w:szCs w:val="24"/>
        </w:rPr>
        <w:t xml:space="preserve"> further strengthen</w:t>
      </w:r>
      <w:r w:rsidR="00DD0B27" w:rsidRPr="00D64F7D">
        <w:rPr>
          <w:sz w:val="24"/>
          <w:szCs w:val="24"/>
        </w:rPr>
        <w:t>ing</w:t>
      </w:r>
      <w:r w:rsidR="00F82E3B" w:rsidRPr="00D64F7D">
        <w:rPr>
          <w:sz w:val="24"/>
          <w:szCs w:val="24"/>
        </w:rPr>
        <w:t xml:space="preserve"> the protection of the right of peaceful assembly</w:t>
      </w:r>
      <w:r w:rsidR="00DD0B27" w:rsidRPr="00D64F7D">
        <w:rPr>
          <w:sz w:val="24"/>
          <w:szCs w:val="24"/>
          <w:lang w:val="en-US"/>
        </w:rPr>
        <w:t xml:space="preserve"> </w:t>
      </w:r>
      <w:r w:rsidR="00565D3C" w:rsidRPr="00D64F7D">
        <w:rPr>
          <w:sz w:val="24"/>
          <w:szCs w:val="24"/>
          <w:lang w:val="en-US"/>
        </w:rPr>
        <w:t>during</w:t>
      </w:r>
      <w:r w:rsidR="00DD0B27" w:rsidRPr="00D64F7D">
        <w:rPr>
          <w:sz w:val="24"/>
          <w:szCs w:val="24"/>
          <w:lang w:val="en-US"/>
        </w:rPr>
        <w:t xml:space="preserve"> the process of </w:t>
      </w:r>
      <w:r w:rsidRPr="00D64F7D">
        <w:rPr>
          <w:sz w:val="24"/>
          <w:szCs w:val="24"/>
        </w:rPr>
        <w:t xml:space="preserve">the Second Reading </w:t>
      </w:r>
      <w:r w:rsidR="00DD0B27" w:rsidRPr="00D64F7D">
        <w:rPr>
          <w:sz w:val="24"/>
          <w:szCs w:val="24"/>
        </w:rPr>
        <w:t>of the text</w:t>
      </w:r>
      <w:r w:rsidR="00565D3C" w:rsidRPr="00D64F7D">
        <w:rPr>
          <w:sz w:val="24"/>
          <w:szCs w:val="24"/>
        </w:rPr>
        <w:t>.</w:t>
      </w:r>
      <w:r w:rsidR="00D64F7D">
        <w:rPr>
          <w:sz w:val="24"/>
          <w:szCs w:val="24"/>
        </w:rPr>
        <w:t xml:space="preserve"> </w:t>
      </w:r>
    </w:p>
    <w:p w14:paraId="677FC1B3" w14:textId="77777777" w:rsidR="00D64F7D" w:rsidRDefault="00D64F7D" w:rsidP="00D64F7D">
      <w:pPr>
        <w:pStyle w:val="ListParagraph"/>
        <w:ind w:left="426"/>
        <w:jc w:val="both"/>
        <w:rPr>
          <w:sz w:val="24"/>
          <w:szCs w:val="24"/>
        </w:rPr>
      </w:pPr>
    </w:p>
    <w:p w14:paraId="5E45FDF3" w14:textId="174761D6" w:rsidR="00D64F7D" w:rsidRPr="00D64F7D" w:rsidRDefault="00D64F7D" w:rsidP="00D64F7D">
      <w:pPr>
        <w:pStyle w:val="ListParagraph"/>
        <w:numPr>
          <w:ilvl w:val="0"/>
          <w:numId w:val="7"/>
        </w:numPr>
        <w:ind w:left="426" w:hanging="426"/>
        <w:jc w:val="both"/>
        <w:rPr>
          <w:sz w:val="24"/>
          <w:szCs w:val="24"/>
        </w:rPr>
      </w:pPr>
      <w:r w:rsidRPr="00D64F7D">
        <w:rPr>
          <w:sz w:val="24"/>
          <w:szCs w:val="24"/>
        </w:rPr>
        <w:t xml:space="preserve">This submission builds upon the analysis of the Committee’s jurisprudence </w:t>
      </w:r>
      <w:r w:rsidR="002A2155">
        <w:rPr>
          <w:sz w:val="24"/>
          <w:szCs w:val="24"/>
        </w:rPr>
        <w:t xml:space="preserve">and Concluding Observations </w:t>
      </w:r>
      <w:r w:rsidRPr="00D64F7D">
        <w:rPr>
          <w:sz w:val="24"/>
          <w:szCs w:val="24"/>
        </w:rPr>
        <w:t>in ‘</w:t>
      </w:r>
      <w:hyperlink r:id="rId7" w:history="1">
        <w:r w:rsidRPr="00D64F7D">
          <w:rPr>
            <w:rStyle w:val="Hyperlink"/>
            <w:sz w:val="24"/>
            <w:szCs w:val="24"/>
          </w:rPr>
          <w:t>Towards a General Comment on Article 21 ICCPR</w:t>
        </w:r>
      </w:hyperlink>
      <w:r w:rsidRPr="00D64F7D">
        <w:rPr>
          <w:sz w:val="24"/>
          <w:szCs w:val="24"/>
        </w:rPr>
        <w:t>’</w:t>
      </w:r>
      <w:r w:rsidR="00473564">
        <w:rPr>
          <w:sz w:val="24"/>
          <w:szCs w:val="24"/>
        </w:rPr>
        <w:t>,</w:t>
      </w:r>
      <w:r w:rsidR="00493B3E">
        <w:rPr>
          <w:sz w:val="24"/>
          <w:szCs w:val="24"/>
        </w:rPr>
        <w:t xml:space="preserve"> </w:t>
      </w:r>
      <w:r w:rsidRPr="00D64F7D">
        <w:rPr>
          <w:sz w:val="24"/>
          <w:szCs w:val="24"/>
        </w:rPr>
        <w:t xml:space="preserve">submitted in advance of the Committee’s half-day discussion on the General Comment in March 2019. </w:t>
      </w:r>
      <w:r w:rsidRPr="00D64F7D">
        <w:rPr>
          <w:rFonts w:cstheme="minorHAnsi"/>
          <w:sz w:val="24"/>
          <w:szCs w:val="24"/>
        </w:rPr>
        <w:t>I have explored the meaning and scope of ‘assembly’ in greater detail in a</w:t>
      </w:r>
      <w:r w:rsidR="00473564">
        <w:rPr>
          <w:rFonts w:cstheme="minorHAnsi"/>
          <w:sz w:val="24"/>
          <w:szCs w:val="24"/>
        </w:rPr>
        <w:t xml:space="preserve"> journal</w:t>
      </w:r>
      <w:r w:rsidRPr="00D64F7D">
        <w:rPr>
          <w:rFonts w:cstheme="minorHAnsi"/>
          <w:sz w:val="24"/>
          <w:szCs w:val="24"/>
        </w:rPr>
        <w:t xml:space="preserve"> article currently under review</w:t>
      </w:r>
      <w:r w:rsidR="00473564">
        <w:rPr>
          <w:rFonts w:cstheme="minorHAnsi"/>
          <w:sz w:val="24"/>
          <w:szCs w:val="24"/>
        </w:rPr>
        <w:t xml:space="preserve"> and would be happy to submit a copy of this to the Committee once it has been accepted for publication</w:t>
      </w:r>
      <w:r w:rsidRPr="00D64F7D">
        <w:rPr>
          <w:rFonts w:cstheme="minorHAnsi"/>
          <w:sz w:val="24"/>
          <w:szCs w:val="24"/>
        </w:rPr>
        <w:t>.</w:t>
      </w:r>
    </w:p>
    <w:p w14:paraId="4238A17A" w14:textId="77777777" w:rsidR="00565D3C" w:rsidRPr="00565D3C" w:rsidRDefault="00565D3C" w:rsidP="00565D3C">
      <w:pPr>
        <w:pStyle w:val="ListParagraph"/>
        <w:ind w:left="426"/>
        <w:jc w:val="both"/>
        <w:rPr>
          <w:sz w:val="24"/>
          <w:szCs w:val="24"/>
        </w:rPr>
      </w:pPr>
    </w:p>
    <w:p w14:paraId="069DAE5F" w14:textId="501E45A7" w:rsidR="00BE693C" w:rsidRPr="00BE693C" w:rsidRDefault="00B7347F" w:rsidP="00BE693C">
      <w:pPr>
        <w:jc w:val="both"/>
        <w:rPr>
          <w:b/>
          <w:bCs/>
          <w:sz w:val="24"/>
          <w:szCs w:val="24"/>
          <w:u w:val="single"/>
        </w:rPr>
      </w:pPr>
      <w:r w:rsidRPr="0078090C">
        <w:rPr>
          <w:b/>
          <w:bCs/>
          <w:sz w:val="24"/>
          <w:szCs w:val="24"/>
          <w:u w:val="single"/>
        </w:rPr>
        <w:t>Structural separation of ‘scope’ and ‘restrictions’</w:t>
      </w:r>
    </w:p>
    <w:p w14:paraId="071176E1" w14:textId="10F448E8" w:rsidR="00B7347F" w:rsidRDefault="004355F4" w:rsidP="00601454">
      <w:pPr>
        <w:pStyle w:val="ListParagraph"/>
        <w:numPr>
          <w:ilvl w:val="0"/>
          <w:numId w:val="7"/>
        </w:numPr>
        <w:ind w:left="426" w:hanging="426"/>
        <w:jc w:val="both"/>
        <w:rPr>
          <w:sz w:val="24"/>
          <w:szCs w:val="24"/>
        </w:rPr>
      </w:pPr>
      <w:r w:rsidRPr="00B7347F">
        <w:rPr>
          <w:sz w:val="24"/>
          <w:szCs w:val="24"/>
        </w:rPr>
        <w:t>T</w:t>
      </w:r>
      <w:r w:rsidR="004152F6" w:rsidRPr="00B7347F">
        <w:rPr>
          <w:sz w:val="24"/>
          <w:szCs w:val="24"/>
        </w:rPr>
        <w:t>he</w:t>
      </w:r>
      <w:r w:rsidR="00032108" w:rsidRPr="00B7347F">
        <w:rPr>
          <w:sz w:val="24"/>
          <w:szCs w:val="24"/>
        </w:rPr>
        <w:t xml:space="preserve"> right of peaceful assembly</w:t>
      </w:r>
      <w:r w:rsidR="004152F6" w:rsidRPr="00B7347F">
        <w:rPr>
          <w:sz w:val="24"/>
          <w:szCs w:val="24"/>
        </w:rPr>
        <w:t xml:space="preserve"> </w:t>
      </w:r>
      <w:r w:rsidRPr="00B7347F">
        <w:rPr>
          <w:sz w:val="24"/>
          <w:szCs w:val="24"/>
        </w:rPr>
        <w:t xml:space="preserve">protects the </w:t>
      </w:r>
      <w:r w:rsidR="00A57C32" w:rsidRPr="00B7347F">
        <w:rPr>
          <w:sz w:val="24"/>
          <w:szCs w:val="24"/>
        </w:rPr>
        <w:t xml:space="preserve">multiform </w:t>
      </w:r>
      <w:r w:rsidRPr="00B7347F">
        <w:rPr>
          <w:sz w:val="24"/>
          <w:szCs w:val="24"/>
        </w:rPr>
        <w:t xml:space="preserve">ways in which </w:t>
      </w:r>
      <w:r w:rsidR="00417FB6">
        <w:rPr>
          <w:sz w:val="24"/>
          <w:szCs w:val="24"/>
        </w:rPr>
        <w:t>people</w:t>
      </w:r>
      <w:r w:rsidR="00836EC1" w:rsidRPr="00B7347F">
        <w:rPr>
          <w:sz w:val="24"/>
          <w:szCs w:val="24"/>
        </w:rPr>
        <w:t xml:space="preserve"> seek to</w:t>
      </w:r>
      <w:r w:rsidR="004152F6" w:rsidRPr="00B7347F">
        <w:rPr>
          <w:sz w:val="24"/>
          <w:szCs w:val="24"/>
        </w:rPr>
        <w:t xml:space="preserve"> gather</w:t>
      </w:r>
      <w:r w:rsidRPr="00B7347F">
        <w:rPr>
          <w:sz w:val="24"/>
          <w:szCs w:val="24"/>
        </w:rPr>
        <w:t>,</w:t>
      </w:r>
      <w:r w:rsidR="004152F6" w:rsidRPr="00B7347F">
        <w:rPr>
          <w:sz w:val="24"/>
          <w:szCs w:val="24"/>
        </w:rPr>
        <w:t xml:space="preserve"> </w:t>
      </w:r>
      <w:r w:rsidRPr="00B7347F">
        <w:rPr>
          <w:sz w:val="24"/>
          <w:szCs w:val="24"/>
        </w:rPr>
        <w:t>join</w:t>
      </w:r>
      <w:r w:rsidR="00A57C32" w:rsidRPr="00B7347F">
        <w:rPr>
          <w:sz w:val="24"/>
          <w:szCs w:val="24"/>
        </w:rPr>
        <w:t xml:space="preserve">, come together and </w:t>
      </w:r>
      <w:r w:rsidRPr="00B7347F">
        <w:rPr>
          <w:sz w:val="24"/>
          <w:szCs w:val="24"/>
        </w:rPr>
        <w:t xml:space="preserve">congregate </w:t>
      </w:r>
      <w:r w:rsidR="004152F6" w:rsidRPr="00B7347F">
        <w:rPr>
          <w:sz w:val="24"/>
          <w:szCs w:val="24"/>
        </w:rPr>
        <w:t>with others</w:t>
      </w:r>
      <w:r w:rsidRPr="00B7347F">
        <w:rPr>
          <w:sz w:val="24"/>
          <w:szCs w:val="24"/>
        </w:rPr>
        <w:t xml:space="preserve">. </w:t>
      </w:r>
      <w:r w:rsidR="00A57C32" w:rsidRPr="00B7347F">
        <w:rPr>
          <w:sz w:val="24"/>
          <w:szCs w:val="24"/>
        </w:rPr>
        <w:t xml:space="preserve">‘Assembly’ </w:t>
      </w:r>
      <w:r w:rsidRPr="00B7347F">
        <w:rPr>
          <w:sz w:val="24"/>
          <w:szCs w:val="24"/>
        </w:rPr>
        <w:t xml:space="preserve">is </w:t>
      </w:r>
      <w:r w:rsidR="00A57C32" w:rsidRPr="00B7347F">
        <w:rPr>
          <w:sz w:val="24"/>
          <w:szCs w:val="24"/>
        </w:rPr>
        <w:t>not limited to</w:t>
      </w:r>
      <w:r w:rsidRPr="00B7347F">
        <w:rPr>
          <w:sz w:val="24"/>
          <w:szCs w:val="24"/>
        </w:rPr>
        <w:t xml:space="preserve"> </w:t>
      </w:r>
      <w:r w:rsidR="00A57C32" w:rsidRPr="00B7347F">
        <w:rPr>
          <w:sz w:val="24"/>
          <w:szCs w:val="24"/>
        </w:rPr>
        <w:t>‘</w:t>
      </w:r>
      <w:r w:rsidRPr="00B7347F">
        <w:rPr>
          <w:sz w:val="24"/>
          <w:szCs w:val="24"/>
        </w:rPr>
        <w:t>protest</w:t>
      </w:r>
      <w:r w:rsidR="00A57C32" w:rsidRPr="00B7347F">
        <w:rPr>
          <w:sz w:val="24"/>
          <w:szCs w:val="24"/>
        </w:rPr>
        <w:t>’</w:t>
      </w:r>
      <w:r w:rsidRPr="00B7347F">
        <w:rPr>
          <w:sz w:val="24"/>
          <w:szCs w:val="24"/>
        </w:rPr>
        <w:t xml:space="preserve"> </w:t>
      </w:r>
      <w:r w:rsidR="00A57C32" w:rsidRPr="00B7347F">
        <w:rPr>
          <w:sz w:val="24"/>
          <w:szCs w:val="24"/>
        </w:rPr>
        <w:t>or traditional forms of demonstration (parades, rallies</w:t>
      </w:r>
      <w:r w:rsidR="00836EC1" w:rsidRPr="00B7347F">
        <w:rPr>
          <w:sz w:val="24"/>
          <w:szCs w:val="24"/>
        </w:rPr>
        <w:t xml:space="preserve"> and </w:t>
      </w:r>
      <w:r w:rsidR="000624DA" w:rsidRPr="00B7347F">
        <w:rPr>
          <w:sz w:val="24"/>
          <w:szCs w:val="24"/>
        </w:rPr>
        <w:t>occupations etc</w:t>
      </w:r>
      <w:r w:rsidR="00836EC1" w:rsidRPr="00B7347F">
        <w:rPr>
          <w:sz w:val="24"/>
          <w:szCs w:val="24"/>
        </w:rPr>
        <w:t xml:space="preserve">), but also </w:t>
      </w:r>
      <w:r w:rsidR="00DD4DFF" w:rsidRPr="00B7347F">
        <w:rPr>
          <w:sz w:val="24"/>
          <w:szCs w:val="24"/>
        </w:rPr>
        <w:t>protects</w:t>
      </w:r>
      <w:r w:rsidR="00836EC1" w:rsidRPr="00B7347F">
        <w:rPr>
          <w:sz w:val="24"/>
          <w:szCs w:val="24"/>
        </w:rPr>
        <w:t xml:space="preserve"> more quotidian </w:t>
      </w:r>
      <w:r w:rsidR="009D25C7" w:rsidRPr="00B7347F">
        <w:rPr>
          <w:sz w:val="24"/>
          <w:szCs w:val="24"/>
        </w:rPr>
        <w:t>gatherings</w:t>
      </w:r>
      <w:r w:rsidR="00836EC1" w:rsidRPr="00B7347F">
        <w:rPr>
          <w:sz w:val="24"/>
          <w:szCs w:val="24"/>
        </w:rPr>
        <w:t xml:space="preserve"> </w:t>
      </w:r>
      <w:r w:rsidR="00270C80" w:rsidRPr="00B7347F">
        <w:rPr>
          <w:sz w:val="24"/>
          <w:szCs w:val="24"/>
        </w:rPr>
        <w:t>(such as private meetings in houses and hostelries)</w:t>
      </w:r>
      <w:r w:rsidR="00D81CE2" w:rsidRPr="00B7347F">
        <w:rPr>
          <w:sz w:val="24"/>
          <w:szCs w:val="24"/>
        </w:rPr>
        <w:t xml:space="preserve">. </w:t>
      </w:r>
      <w:r w:rsidR="00B7347F">
        <w:rPr>
          <w:sz w:val="24"/>
          <w:szCs w:val="24"/>
        </w:rPr>
        <w:t>I</w:t>
      </w:r>
      <w:r w:rsidR="00912D53" w:rsidRPr="00B7347F">
        <w:rPr>
          <w:sz w:val="24"/>
          <w:szCs w:val="24"/>
        </w:rPr>
        <w:t>n many countries</w:t>
      </w:r>
      <w:r w:rsidR="00B7347F">
        <w:rPr>
          <w:sz w:val="24"/>
          <w:szCs w:val="24"/>
        </w:rPr>
        <w:t xml:space="preserve">, </w:t>
      </w:r>
      <w:r w:rsidR="00D81CE2" w:rsidRPr="00B7347F">
        <w:rPr>
          <w:sz w:val="24"/>
          <w:szCs w:val="24"/>
        </w:rPr>
        <w:t>such gatherings</w:t>
      </w:r>
      <w:r w:rsidR="00DD4DFF" w:rsidRPr="00B7347F">
        <w:rPr>
          <w:sz w:val="24"/>
          <w:szCs w:val="24"/>
        </w:rPr>
        <w:t xml:space="preserve"> </w:t>
      </w:r>
      <w:r w:rsidR="00417FB6">
        <w:rPr>
          <w:sz w:val="24"/>
          <w:szCs w:val="24"/>
        </w:rPr>
        <w:t xml:space="preserve">are simply taken </w:t>
      </w:r>
      <w:r w:rsidR="00DD4DFF" w:rsidRPr="00B7347F">
        <w:rPr>
          <w:sz w:val="24"/>
          <w:szCs w:val="24"/>
        </w:rPr>
        <w:t>for granted</w:t>
      </w:r>
      <w:r w:rsidR="00467B03" w:rsidRPr="00B7347F">
        <w:rPr>
          <w:sz w:val="24"/>
          <w:szCs w:val="24"/>
        </w:rPr>
        <w:t xml:space="preserve"> because they are</w:t>
      </w:r>
      <w:r w:rsidR="00BA15E2" w:rsidRPr="00B7347F">
        <w:rPr>
          <w:sz w:val="24"/>
          <w:szCs w:val="24"/>
        </w:rPr>
        <w:t xml:space="preserve"> </w:t>
      </w:r>
      <w:r w:rsidR="00B33FC2" w:rsidRPr="00B7347F">
        <w:rPr>
          <w:sz w:val="24"/>
          <w:szCs w:val="24"/>
        </w:rPr>
        <w:t>(</w:t>
      </w:r>
      <w:r w:rsidR="00AA454B" w:rsidRPr="00B7347F">
        <w:rPr>
          <w:sz w:val="24"/>
          <w:szCs w:val="24"/>
        </w:rPr>
        <w:t>properly</w:t>
      </w:r>
      <w:r w:rsidR="00B33FC2" w:rsidRPr="00B7347F">
        <w:rPr>
          <w:sz w:val="24"/>
          <w:szCs w:val="24"/>
        </w:rPr>
        <w:t>)</w:t>
      </w:r>
      <w:r w:rsidR="00AA454B" w:rsidRPr="00B7347F">
        <w:rPr>
          <w:sz w:val="24"/>
          <w:szCs w:val="24"/>
        </w:rPr>
        <w:t xml:space="preserve"> </w:t>
      </w:r>
      <w:r w:rsidR="00467B03" w:rsidRPr="00B7347F">
        <w:rPr>
          <w:sz w:val="24"/>
          <w:szCs w:val="24"/>
        </w:rPr>
        <w:t>not</w:t>
      </w:r>
      <w:r w:rsidR="00AA454B" w:rsidRPr="00B7347F">
        <w:rPr>
          <w:sz w:val="24"/>
          <w:szCs w:val="24"/>
        </w:rPr>
        <w:t xml:space="preserve"> </w:t>
      </w:r>
      <w:r w:rsidR="00BA15E2" w:rsidRPr="00B7347F">
        <w:rPr>
          <w:sz w:val="24"/>
          <w:szCs w:val="24"/>
        </w:rPr>
        <w:t>subject to State regulation</w:t>
      </w:r>
      <w:r w:rsidR="00B7347F">
        <w:rPr>
          <w:sz w:val="24"/>
          <w:szCs w:val="24"/>
        </w:rPr>
        <w:t>.</w:t>
      </w:r>
    </w:p>
    <w:p w14:paraId="5AC147FA" w14:textId="77777777" w:rsidR="00B7347F" w:rsidRDefault="00B7347F" w:rsidP="00B7347F">
      <w:pPr>
        <w:pStyle w:val="ListParagraph"/>
        <w:ind w:left="426"/>
        <w:jc w:val="both"/>
        <w:rPr>
          <w:sz w:val="24"/>
          <w:szCs w:val="24"/>
        </w:rPr>
      </w:pPr>
    </w:p>
    <w:p w14:paraId="58B4C4A7" w14:textId="586C8BFD" w:rsidR="00B7347F" w:rsidRPr="00B7347F" w:rsidRDefault="009778DD" w:rsidP="005F6834">
      <w:pPr>
        <w:pStyle w:val="ListParagraph"/>
        <w:numPr>
          <w:ilvl w:val="0"/>
          <w:numId w:val="7"/>
        </w:numPr>
        <w:ind w:left="426" w:hanging="426"/>
        <w:jc w:val="both"/>
        <w:rPr>
          <w:sz w:val="24"/>
          <w:szCs w:val="24"/>
        </w:rPr>
      </w:pPr>
      <w:r w:rsidRPr="00B7347F">
        <w:rPr>
          <w:rFonts w:cs="Times New Roman"/>
          <w:sz w:val="24"/>
          <w:szCs w:val="24"/>
          <w:lang w:val="en-US"/>
        </w:rPr>
        <w:lastRenderedPageBreak/>
        <w:t>This initial observation highlights a crucial point</w:t>
      </w:r>
      <w:r w:rsidR="009F4FC5" w:rsidRPr="00B7347F">
        <w:rPr>
          <w:rFonts w:cs="Times New Roman"/>
          <w:sz w:val="24"/>
          <w:szCs w:val="24"/>
          <w:lang w:val="en-US"/>
        </w:rPr>
        <w:t xml:space="preserve"> </w:t>
      </w:r>
      <w:r w:rsidRPr="00B7347F">
        <w:rPr>
          <w:rFonts w:cs="Times New Roman"/>
          <w:sz w:val="24"/>
          <w:szCs w:val="24"/>
          <w:lang w:val="en-US"/>
        </w:rPr>
        <w:t xml:space="preserve">– the protective scope of Article 21 is significantly wider than (and should not be coextensive with) the types of assembly that might legitimately be subject to some form of regulation. </w:t>
      </w:r>
      <w:r w:rsidR="009F4FC5" w:rsidRPr="00B7347F">
        <w:rPr>
          <w:rFonts w:cs="Times New Roman"/>
          <w:sz w:val="24"/>
          <w:szCs w:val="24"/>
          <w:lang w:val="en-US"/>
        </w:rPr>
        <w:t>A</w:t>
      </w:r>
      <w:r w:rsidRPr="00B7347F">
        <w:rPr>
          <w:rFonts w:eastAsia="Times New Roman" w:cs="Times New Roman"/>
          <w:iCs/>
          <w:sz w:val="24"/>
          <w:szCs w:val="24"/>
          <w:lang w:val="en-US"/>
        </w:rPr>
        <w:t>ll</w:t>
      </w:r>
      <w:r w:rsidRPr="00B7347F">
        <w:rPr>
          <w:rFonts w:eastAsia="Times New Roman" w:cs="Times New Roman"/>
          <w:sz w:val="24"/>
          <w:szCs w:val="24"/>
          <w:lang w:val="en-US"/>
        </w:rPr>
        <w:t xml:space="preserve"> assemblies</w:t>
      </w:r>
      <w:r w:rsidR="009D25C7" w:rsidRPr="00B7347F">
        <w:rPr>
          <w:rFonts w:eastAsia="Times New Roman" w:cs="Times New Roman"/>
          <w:sz w:val="24"/>
          <w:szCs w:val="24"/>
          <w:lang w:val="en-US"/>
        </w:rPr>
        <w:t xml:space="preserve"> deemed to</w:t>
      </w:r>
      <w:r w:rsidRPr="00B7347F">
        <w:rPr>
          <w:rFonts w:eastAsia="Times New Roman" w:cs="Times New Roman"/>
          <w:sz w:val="24"/>
          <w:szCs w:val="24"/>
          <w:lang w:val="en-US"/>
        </w:rPr>
        <w:t xml:space="preserve"> fall within the protective scope of the right may ultimately still be subject to lawful, necessary and proportionate regulation. </w:t>
      </w:r>
      <w:r w:rsidR="00417FB6">
        <w:rPr>
          <w:rFonts w:cs="Times New Roman"/>
          <w:sz w:val="24"/>
          <w:szCs w:val="24"/>
          <w:lang w:val="en-US"/>
        </w:rPr>
        <w:t>However, t</w:t>
      </w:r>
      <w:r w:rsidR="009F19FF" w:rsidRPr="00B7347F">
        <w:rPr>
          <w:rFonts w:cs="Times New Roman"/>
          <w:sz w:val="24"/>
          <w:szCs w:val="24"/>
          <w:lang w:val="en-US"/>
        </w:rPr>
        <w:t>h</w:t>
      </w:r>
      <w:r w:rsidR="000561BA" w:rsidRPr="00B7347F">
        <w:rPr>
          <w:rFonts w:cs="Times New Roman"/>
          <w:sz w:val="24"/>
          <w:szCs w:val="24"/>
          <w:lang w:val="en-US"/>
        </w:rPr>
        <w:t>e integrity of</w:t>
      </w:r>
      <w:r w:rsidR="009D1776" w:rsidRPr="00B7347F">
        <w:rPr>
          <w:rFonts w:cs="Times New Roman"/>
          <w:sz w:val="24"/>
          <w:szCs w:val="24"/>
          <w:lang w:val="en-US"/>
        </w:rPr>
        <w:t xml:space="preserve"> the General Comment</w:t>
      </w:r>
      <w:r w:rsidR="009F19FF" w:rsidRPr="00B7347F">
        <w:rPr>
          <w:rFonts w:cs="Times New Roman"/>
          <w:sz w:val="24"/>
          <w:szCs w:val="24"/>
          <w:lang w:val="en-US"/>
        </w:rPr>
        <w:t xml:space="preserve"> </w:t>
      </w:r>
      <w:r w:rsidR="007421FF" w:rsidRPr="00B7347F">
        <w:rPr>
          <w:rFonts w:cs="Times New Roman"/>
          <w:sz w:val="24"/>
          <w:szCs w:val="24"/>
          <w:lang w:val="en-US"/>
        </w:rPr>
        <w:t xml:space="preserve">depends on </w:t>
      </w:r>
      <w:r w:rsidR="009F19FF" w:rsidRPr="00B7347F">
        <w:rPr>
          <w:rFonts w:cs="Times New Roman"/>
          <w:sz w:val="24"/>
          <w:szCs w:val="24"/>
          <w:lang w:val="en-US"/>
        </w:rPr>
        <w:t xml:space="preserve">maintaining </w:t>
      </w:r>
      <w:r w:rsidR="003919B4" w:rsidRPr="00B7347F">
        <w:rPr>
          <w:rFonts w:cs="Times New Roman"/>
          <w:sz w:val="24"/>
          <w:szCs w:val="24"/>
          <w:lang w:val="en-US"/>
        </w:rPr>
        <w:t>a strict</w:t>
      </w:r>
      <w:r w:rsidR="00B5798B" w:rsidRPr="00B7347F">
        <w:rPr>
          <w:rFonts w:cs="Times New Roman"/>
          <w:sz w:val="24"/>
          <w:szCs w:val="24"/>
          <w:lang w:val="en-US"/>
        </w:rPr>
        <w:t xml:space="preserve"> </w:t>
      </w:r>
      <w:r w:rsidR="009F19FF" w:rsidRPr="00B7347F">
        <w:rPr>
          <w:rFonts w:cs="Times New Roman"/>
          <w:sz w:val="24"/>
          <w:szCs w:val="24"/>
          <w:lang w:val="en-US"/>
        </w:rPr>
        <w:t>structural separation</w:t>
      </w:r>
      <w:r w:rsidR="00B5798B" w:rsidRPr="00B7347F">
        <w:rPr>
          <w:rFonts w:cs="Times New Roman"/>
          <w:sz w:val="24"/>
          <w:szCs w:val="24"/>
          <w:lang w:val="en-US"/>
        </w:rPr>
        <w:t xml:space="preserve"> between ‘scope’ and ‘restriction</w:t>
      </w:r>
      <w:r w:rsidR="0018519B">
        <w:rPr>
          <w:rFonts w:cs="Times New Roman"/>
          <w:sz w:val="24"/>
          <w:szCs w:val="24"/>
          <w:lang w:val="en-US"/>
        </w:rPr>
        <w:t>s</w:t>
      </w:r>
      <w:r w:rsidR="00B5798B" w:rsidRPr="00B7347F">
        <w:rPr>
          <w:rFonts w:cs="Times New Roman"/>
          <w:sz w:val="24"/>
          <w:szCs w:val="24"/>
          <w:lang w:val="en-US"/>
        </w:rPr>
        <w:t>’</w:t>
      </w:r>
      <w:r w:rsidR="000561BA" w:rsidRPr="00B7347F">
        <w:rPr>
          <w:rFonts w:cs="Times New Roman"/>
          <w:sz w:val="24"/>
          <w:szCs w:val="24"/>
          <w:lang w:val="en-US"/>
        </w:rPr>
        <w:t>. T</w:t>
      </w:r>
      <w:r w:rsidR="009F19FF" w:rsidRPr="00B7347F">
        <w:rPr>
          <w:rFonts w:cs="Times New Roman"/>
          <w:sz w:val="24"/>
          <w:szCs w:val="24"/>
          <w:lang w:val="en-US"/>
        </w:rPr>
        <w:t xml:space="preserve">he </w:t>
      </w:r>
      <w:r w:rsidR="00B5798B" w:rsidRPr="00B7347F">
        <w:rPr>
          <w:rFonts w:cs="Times New Roman"/>
          <w:sz w:val="24"/>
          <w:szCs w:val="24"/>
          <w:lang w:val="en-US"/>
        </w:rPr>
        <w:t xml:space="preserve">draft </w:t>
      </w:r>
      <w:r w:rsidR="0055718C" w:rsidRPr="00B7347F">
        <w:rPr>
          <w:rFonts w:cs="Times New Roman"/>
          <w:sz w:val="24"/>
          <w:szCs w:val="24"/>
          <w:lang w:val="en-US"/>
        </w:rPr>
        <w:t>does</w:t>
      </w:r>
      <w:r w:rsidR="009D1776" w:rsidRPr="00B7347F">
        <w:rPr>
          <w:rFonts w:cs="Times New Roman"/>
          <w:sz w:val="24"/>
          <w:szCs w:val="24"/>
          <w:lang w:val="en-US"/>
        </w:rPr>
        <w:t xml:space="preserve"> so</w:t>
      </w:r>
      <w:r w:rsidR="000E2AA3" w:rsidRPr="00B7347F">
        <w:rPr>
          <w:rFonts w:cs="Times New Roman"/>
          <w:sz w:val="24"/>
          <w:szCs w:val="24"/>
          <w:lang w:val="en-US"/>
        </w:rPr>
        <w:t xml:space="preserve"> for the most part </w:t>
      </w:r>
      <w:r w:rsidR="003919B4" w:rsidRPr="00B7347F">
        <w:rPr>
          <w:rFonts w:cs="Times New Roman"/>
          <w:sz w:val="24"/>
          <w:szCs w:val="24"/>
          <w:lang w:val="en-US"/>
        </w:rPr>
        <w:t xml:space="preserve">– </w:t>
      </w:r>
      <w:r w:rsidR="000561BA" w:rsidRPr="00B7347F">
        <w:rPr>
          <w:rFonts w:cs="Times New Roman"/>
          <w:sz w:val="24"/>
          <w:szCs w:val="24"/>
          <w:lang w:val="en-US"/>
        </w:rPr>
        <w:t xml:space="preserve">aside from </w:t>
      </w:r>
      <w:r w:rsidR="003919B4" w:rsidRPr="00B7347F">
        <w:rPr>
          <w:rFonts w:cs="Times New Roman"/>
          <w:sz w:val="24"/>
          <w:szCs w:val="24"/>
          <w:lang w:val="en-US"/>
        </w:rPr>
        <w:t>i</w:t>
      </w:r>
      <w:r w:rsidR="000E2AA3" w:rsidRPr="00B7347F">
        <w:rPr>
          <w:rFonts w:cs="Times New Roman"/>
          <w:sz w:val="24"/>
          <w:szCs w:val="24"/>
          <w:lang w:val="en-US"/>
        </w:rPr>
        <w:t xml:space="preserve">ts consideration of </w:t>
      </w:r>
      <w:r w:rsidR="000561BA" w:rsidRPr="00B7347F">
        <w:rPr>
          <w:rFonts w:cs="Times New Roman"/>
          <w:sz w:val="24"/>
          <w:szCs w:val="24"/>
          <w:lang w:val="en-US"/>
        </w:rPr>
        <w:t>‘</w:t>
      </w:r>
      <w:r w:rsidR="000E2AA3" w:rsidRPr="00B7347F">
        <w:rPr>
          <w:rFonts w:cs="Times New Roman"/>
          <w:sz w:val="24"/>
          <w:szCs w:val="24"/>
          <w:lang w:val="en-US"/>
        </w:rPr>
        <w:t>commercial gatherings</w:t>
      </w:r>
      <w:r w:rsidR="000561BA" w:rsidRPr="00B7347F">
        <w:rPr>
          <w:rFonts w:cs="Times New Roman"/>
          <w:sz w:val="24"/>
          <w:szCs w:val="24"/>
          <w:lang w:val="en-US"/>
        </w:rPr>
        <w:t>’ (</w:t>
      </w:r>
      <w:r w:rsidR="000561BA" w:rsidRPr="0078090C">
        <w:rPr>
          <w:rFonts w:cs="Times New Roman"/>
          <w:b/>
          <w:bCs/>
          <w:sz w:val="24"/>
          <w:szCs w:val="24"/>
          <w:lang w:val="en-US"/>
        </w:rPr>
        <w:t>paragraph 14</w:t>
      </w:r>
      <w:r w:rsidR="000561BA" w:rsidRPr="00B7347F">
        <w:rPr>
          <w:rFonts w:cs="Times New Roman"/>
          <w:sz w:val="24"/>
          <w:szCs w:val="24"/>
          <w:lang w:val="en-US"/>
        </w:rPr>
        <w:t xml:space="preserve">) and the bracketed text (in </w:t>
      </w:r>
      <w:r w:rsidR="000561BA" w:rsidRPr="0078090C">
        <w:rPr>
          <w:rFonts w:cs="Times New Roman"/>
          <w:b/>
          <w:bCs/>
          <w:sz w:val="24"/>
          <w:szCs w:val="24"/>
          <w:lang w:val="en-US"/>
        </w:rPr>
        <w:t>paragraph 22</w:t>
      </w:r>
      <w:r w:rsidR="000561BA" w:rsidRPr="00B7347F">
        <w:rPr>
          <w:rFonts w:cs="Times New Roman"/>
          <w:sz w:val="24"/>
          <w:szCs w:val="24"/>
          <w:lang w:val="en-US"/>
        </w:rPr>
        <w:t xml:space="preserve">) concerning assemblies involving advocacy of hatred </w:t>
      </w:r>
      <w:r w:rsidR="00D81CE2" w:rsidRPr="00B7347F">
        <w:rPr>
          <w:rFonts w:cs="Times New Roman"/>
          <w:sz w:val="24"/>
          <w:szCs w:val="24"/>
          <w:lang w:val="en-US"/>
        </w:rPr>
        <w:t xml:space="preserve">falling </w:t>
      </w:r>
      <w:r w:rsidR="000561BA" w:rsidRPr="00B7347F">
        <w:rPr>
          <w:rFonts w:cs="Times New Roman"/>
          <w:sz w:val="24"/>
          <w:szCs w:val="24"/>
          <w:lang w:val="en-US"/>
        </w:rPr>
        <w:t>within the terms of Article 20(2) ICCPR</w:t>
      </w:r>
      <w:r w:rsidR="000E2AA3" w:rsidRPr="00B7347F">
        <w:rPr>
          <w:rFonts w:cs="Times New Roman"/>
          <w:sz w:val="24"/>
          <w:szCs w:val="24"/>
          <w:lang w:val="en-US"/>
        </w:rPr>
        <w:t xml:space="preserve"> </w:t>
      </w:r>
      <w:r w:rsidR="00191784" w:rsidRPr="00B7347F">
        <w:rPr>
          <w:rFonts w:cs="Times New Roman"/>
          <w:sz w:val="24"/>
          <w:szCs w:val="24"/>
          <w:lang w:val="en-US"/>
        </w:rPr>
        <w:t xml:space="preserve">– </w:t>
      </w:r>
      <w:r w:rsidR="000561BA" w:rsidRPr="00B7347F">
        <w:rPr>
          <w:rFonts w:cs="Times New Roman"/>
          <w:sz w:val="24"/>
          <w:szCs w:val="24"/>
          <w:lang w:val="en-US"/>
        </w:rPr>
        <w:t>both of which are discussed below</w:t>
      </w:r>
      <w:r w:rsidR="00B5798B" w:rsidRPr="00B7347F">
        <w:rPr>
          <w:rFonts w:cs="Times New Roman"/>
          <w:sz w:val="24"/>
          <w:szCs w:val="24"/>
          <w:lang w:val="en-US"/>
        </w:rPr>
        <w:t xml:space="preserve">. </w:t>
      </w:r>
      <w:r w:rsidR="000561BA" w:rsidRPr="00B7347F">
        <w:rPr>
          <w:rFonts w:eastAsia="Times New Roman" w:cs="Times New Roman"/>
          <w:sz w:val="24"/>
          <w:szCs w:val="24"/>
        </w:rPr>
        <w:t>Ultimately, a</w:t>
      </w:r>
      <w:r w:rsidR="009F19FF" w:rsidRPr="00B7347F">
        <w:rPr>
          <w:rFonts w:eastAsia="Times New Roman" w:cs="Times New Roman"/>
          <w:sz w:val="24"/>
          <w:szCs w:val="24"/>
        </w:rPr>
        <w:t>ny elision of scope with grounds for restriction stands to diminish what the right protects and paves the way for regulatory creep.</w:t>
      </w:r>
    </w:p>
    <w:p w14:paraId="00BF52E9" w14:textId="77777777" w:rsidR="00B7347F" w:rsidRPr="00417FB6" w:rsidRDefault="00B7347F" w:rsidP="00417FB6">
      <w:pPr>
        <w:jc w:val="both"/>
        <w:rPr>
          <w:sz w:val="24"/>
          <w:szCs w:val="24"/>
        </w:rPr>
      </w:pPr>
    </w:p>
    <w:p w14:paraId="29E90F1D" w14:textId="38BAF68F" w:rsidR="00B7347F" w:rsidRPr="0078090C" w:rsidRDefault="00B7347F" w:rsidP="00B7347F">
      <w:pPr>
        <w:rPr>
          <w:b/>
          <w:sz w:val="24"/>
          <w:szCs w:val="24"/>
          <w:u w:val="single"/>
        </w:rPr>
      </w:pPr>
      <w:r w:rsidRPr="0078090C">
        <w:rPr>
          <w:b/>
          <w:sz w:val="24"/>
          <w:szCs w:val="24"/>
          <w:u w:val="single"/>
        </w:rPr>
        <w:t>Assembly as an ‘intentional gathering’</w:t>
      </w:r>
    </w:p>
    <w:p w14:paraId="02AE4F18" w14:textId="0042896B" w:rsidR="00B7347F" w:rsidRPr="00B7347F" w:rsidRDefault="005F6834" w:rsidP="00EF398F">
      <w:pPr>
        <w:pStyle w:val="ListParagraph"/>
        <w:numPr>
          <w:ilvl w:val="0"/>
          <w:numId w:val="7"/>
        </w:numPr>
        <w:ind w:left="426" w:hanging="426"/>
        <w:jc w:val="both"/>
        <w:rPr>
          <w:sz w:val="24"/>
          <w:szCs w:val="24"/>
        </w:rPr>
      </w:pPr>
      <w:r w:rsidRPr="00B7347F">
        <w:rPr>
          <w:rFonts w:cstheme="minorHAnsi"/>
          <w:sz w:val="24"/>
          <w:szCs w:val="24"/>
          <w:lang w:val="en-US"/>
        </w:rPr>
        <w:t>‘Assembly’ should be conceived in inclusive terms – finding value in assemblies not only when they seek to communicate a message and not only when they avowedly address matters of public interest. Only an inclusive definition is capable of fully recognizing and affording due protection to the individual and social gains enabled by purposely gathering with others</w:t>
      </w:r>
      <w:r w:rsidR="00D528CB" w:rsidRPr="00B7347F">
        <w:rPr>
          <w:rFonts w:cstheme="minorHAnsi"/>
          <w:sz w:val="24"/>
          <w:szCs w:val="24"/>
          <w:lang w:val="en-US"/>
        </w:rPr>
        <w:t>.</w:t>
      </w:r>
    </w:p>
    <w:p w14:paraId="79B475DF" w14:textId="77777777" w:rsidR="00B7347F" w:rsidRPr="00B7347F" w:rsidRDefault="00B7347F" w:rsidP="00B7347F">
      <w:pPr>
        <w:pStyle w:val="ListParagraph"/>
        <w:ind w:left="426"/>
        <w:jc w:val="both"/>
        <w:rPr>
          <w:sz w:val="24"/>
          <w:szCs w:val="24"/>
        </w:rPr>
      </w:pPr>
    </w:p>
    <w:p w14:paraId="6E3E94C4" w14:textId="7A38D940" w:rsidR="00B7347F" w:rsidRPr="00B7347F" w:rsidRDefault="00AA09F7" w:rsidP="00EF398F">
      <w:pPr>
        <w:pStyle w:val="ListParagraph"/>
        <w:numPr>
          <w:ilvl w:val="0"/>
          <w:numId w:val="7"/>
        </w:numPr>
        <w:ind w:left="426" w:hanging="426"/>
        <w:jc w:val="both"/>
        <w:rPr>
          <w:sz w:val="24"/>
          <w:szCs w:val="24"/>
        </w:rPr>
      </w:pPr>
      <w:r w:rsidRPr="00B7347F">
        <w:rPr>
          <w:sz w:val="24"/>
          <w:szCs w:val="24"/>
        </w:rPr>
        <w:t>In definitional terms,</w:t>
      </w:r>
      <w:r w:rsidR="00E17348" w:rsidRPr="00B7347F">
        <w:rPr>
          <w:sz w:val="24"/>
          <w:szCs w:val="24"/>
        </w:rPr>
        <w:t xml:space="preserve"> t</w:t>
      </w:r>
      <w:r w:rsidR="00583FCC" w:rsidRPr="00B7347F">
        <w:rPr>
          <w:rFonts w:eastAsia="Times New Roman" w:cs="Times New Roman"/>
          <w:sz w:val="24"/>
          <w:szCs w:val="24"/>
        </w:rPr>
        <w:t xml:space="preserve">he </w:t>
      </w:r>
      <w:r w:rsidRPr="00B7347F">
        <w:rPr>
          <w:rFonts w:eastAsia="Times New Roman" w:cs="Times New Roman"/>
          <w:sz w:val="24"/>
          <w:szCs w:val="24"/>
        </w:rPr>
        <w:t>phrase</w:t>
      </w:r>
      <w:r w:rsidR="00CD642C" w:rsidRPr="00B7347F">
        <w:rPr>
          <w:rFonts w:eastAsia="Times New Roman" w:cs="Times New Roman"/>
          <w:sz w:val="24"/>
          <w:szCs w:val="24"/>
        </w:rPr>
        <w:t xml:space="preserve"> ‘</w:t>
      </w:r>
      <w:r w:rsidR="00C1646A" w:rsidRPr="00B7347F">
        <w:rPr>
          <w:rFonts w:eastAsia="Times New Roman" w:cs="Times New Roman"/>
          <w:sz w:val="24"/>
          <w:szCs w:val="24"/>
        </w:rPr>
        <w:t xml:space="preserve">common </w:t>
      </w:r>
      <w:r w:rsidR="00CD642C" w:rsidRPr="00B7347F">
        <w:rPr>
          <w:rFonts w:eastAsia="Times New Roman" w:cs="Times New Roman"/>
          <w:sz w:val="24"/>
          <w:szCs w:val="24"/>
        </w:rPr>
        <w:t>expressive purpose’</w:t>
      </w:r>
      <w:r w:rsidR="000A33A6" w:rsidRPr="00B7347F">
        <w:rPr>
          <w:rFonts w:eastAsia="Times New Roman" w:cs="Times New Roman"/>
          <w:sz w:val="24"/>
          <w:szCs w:val="24"/>
        </w:rPr>
        <w:t xml:space="preserve"> (</w:t>
      </w:r>
      <w:r w:rsidR="000A33A6" w:rsidRPr="0078090C">
        <w:rPr>
          <w:rFonts w:eastAsia="Times New Roman" w:cs="Times New Roman"/>
          <w:b/>
          <w:bCs/>
          <w:sz w:val="24"/>
          <w:szCs w:val="24"/>
        </w:rPr>
        <w:t>paragraph 4</w:t>
      </w:r>
      <w:r w:rsidR="000A33A6" w:rsidRPr="00B7347F">
        <w:rPr>
          <w:rFonts w:eastAsia="Times New Roman" w:cs="Times New Roman"/>
          <w:sz w:val="24"/>
          <w:szCs w:val="24"/>
        </w:rPr>
        <w:t xml:space="preserve"> of the draft General Comment)</w:t>
      </w:r>
      <w:r w:rsidR="00CD642C" w:rsidRPr="00B7347F">
        <w:rPr>
          <w:rFonts w:eastAsia="Times New Roman" w:cs="Times New Roman"/>
          <w:sz w:val="24"/>
          <w:szCs w:val="24"/>
        </w:rPr>
        <w:t xml:space="preserve"> cloud</w:t>
      </w:r>
      <w:r w:rsidR="00583FCC" w:rsidRPr="00B7347F">
        <w:rPr>
          <w:rFonts w:eastAsia="Times New Roman" w:cs="Times New Roman"/>
          <w:sz w:val="24"/>
          <w:szCs w:val="24"/>
        </w:rPr>
        <w:t>s</w:t>
      </w:r>
      <w:r w:rsidR="00CD642C" w:rsidRPr="00B7347F">
        <w:rPr>
          <w:rFonts w:eastAsia="Times New Roman" w:cs="Times New Roman"/>
          <w:sz w:val="24"/>
          <w:szCs w:val="24"/>
        </w:rPr>
        <w:t xml:space="preserve"> rather than clarif</w:t>
      </w:r>
      <w:r w:rsidR="00583FCC" w:rsidRPr="00B7347F">
        <w:rPr>
          <w:rFonts w:eastAsia="Times New Roman" w:cs="Times New Roman"/>
          <w:sz w:val="24"/>
          <w:szCs w:val="24"/>
        </w:rPr>
        <w:t>ies the scope of the right</w:t>
      </w:r>
      <w:r w:rsidR="000B04CB" w:rsidRPr="00B7347F">
        <w:rPr>
          <w:rFonts w:eastAsia="Times New Roman" w:cs="Times New Roman"/>
          <w:sz w:val="24"/>
          <w:szCs w:val="24"/>
        </w:rPr>
        <w:t xml:space="preserve">. Indeed, it </w:t>
      </w:r>
      <w:r w:rsidR="001D7A2E" w:rsidRPr="00B7347F">
        <w:rPr>
          <w:rFonts w:eastAsia="Times New Roman" w:cs="Times New Roman"/>
          <w:sz w:val="24"/>
          <w:szCs w:val="24"/>
        </w:rPr>
        <w:t xml:space="preserve">fails to </w:t>
      </w:r>
      <w:r w:rsidR="003919B4" w:rsidRPr="00B7347F">
        <w:rPr>
          <w:rFonts w:eastAsia="Times New Roman" w:cs="Times New Roman"/>
          <w:sz w:val="24"/>
          <w:szCs w:val="24"/>
        </w:rPr>
        <w:t>draw</w:t>
      </w:r>
      <w:r w:rsidR="001D7A2E" w:rsidRPr="00B7347F">
        <w:rPr>
          <w:rFonts w:eastAsia="Times New Roman" w:cs="Times New Roman"/>
          <w:sz w:val="24"/>
          <w:szCs w:val="24"/>
        </w:rPr>
        <w:t xml:space="preserve"> the definitional boundary </w:t>
      </w:r>
      <w:r w:rsidR="00D81CE2" w:rsidRPr="00B7347F">
        <w:rPr>
          <w:rFonts w:eastAsia="Times New Roman" w:cs="Times New Roman"/>
          <w:sz w:val="24"/>
          <w:szCs w:val="24"/>
        </w:rPr>
        <w:t xml:space="preserve">that </w:t>
      </w:r>
      <w:r w:rsidR="00B7347F">
        <w:rPr>
          <w:rFonts w:eastAsia="Times New Roman" w:cs="Times New Roman"/>
          <w:sz w:val="24"/>
          <w:szCs w:val="24"/>
        </w:rPr>
        <w:t xml:space="preserve">is </w:t>
      </w:r>
      <w:r w:rsidR="001D7A2E" w:rsidRPr="00B7347F">
        <w:rPr>
          <w:rFonts w:eastAsia="Times New Roman" w:cs="Times New Roman"/>
          <w:sz w:val="24"/>
          <w:szCs w:val="24"/>
        </w:rPr>
        <w:t>presumably intended</w:t>
      </w:r>
      <w:r w:rsidR="00D81CE2" w:rsidRPr="00B7347F">
        <w:rPr>
          <w:rFonts w:eastAsia="Times New Roman" w:cs="Times New Roman"/>
          <w:sz w:val="24"/>
          <w:szCs w:val="24"/>
        </w:rPr>
        <w:t xml:space="preserve"> </w:t>
      </w:r>
      <w:r w:rsidR="00BD2C64" w:rsidRPr="00B7347F">
        <w:rPr>
          <w:rFonts w:eastAsia="Times New Roman" w:cs="Times New Roman"/>
          <w:sz w:val="24"/>
          <w:szCs w:val="24"/>
        </w:rPr>
        <w:t xml:space="preserve"> </w:t>
      </w:r>
      <w:r w:rsidR="001D7A2E" w:rsidRPr="00B7347F">
        <w:rPr>
          <w:rFonts w:eastAsia="Times New Roman" w:cs="Times New Roman"/>
          <w:sz w:val="24"/>
          <w:szCs w:val="24"/>
        </w:rPr>
        <w:t xml:space="preserve">– </w:t>
      </w:r>
      <w:r w:rsidR="0055718C" w:rsidRPr="00B7347F">
        <w:rPr>
          <w:rFonts w:eastAsia="Times New Roman" w:cs="Times New Roman"/>
          <w:sz w:val="24"/>
          <w:szCs w:val="24"/>
        </w:rPr>
        <w:t>namely,</w:t>
      </w:r>
      <w:r w:rsidR="00FD10F7" w:rsidRPr="00B7347F">
        <w:rPr>
          <w:rFonts w:eastAsia="Times New Roman" w:cs="Times New Roman"/>
          <w:sz w:val="24"/>
          <w:szCs w:val="24"/>
        </w:rPr>
        <w:t xml:space="preserve"> </w:t>
      </w:r>
      <w:r w:rsidR="001D7A2E" w:rsidRPr="00B7347F">
        <w:rPr>
          <w:rFonts w:eastAsia="Times New Roman" w:cs="Times New Roman"/>
          <w:sz w:val="24"/>
          <w:szCs w:val="24"/>
        </w:rPr>
        <w:t>to exclude</w:t>
      </w:r>
      <w:r w:rsidR="00BC1E82" w:rsidRPr="00B7347F">
        <w:rPr>
          <w:rFonts w:eastAsia="Times New Roman" w:cs="Times New Roman"/>
          <w:sz w:val="24"/>
          <w:szCs w:val="24"/>
        </w:rPr>
        <w:t xml:space="preserve"> from the scope </w:t>
      </w:r>
      <w:r w:rsidR="001D7A2E" w:rsidRPr="00B7347F">
        <w:rPr>
          <w:rFonts w:eastAsia="Times New Roman" w:cs="Times New Roman"/>
          <w:sz w:val="24"/>
          <w:szCs w:val="24"/>
        </w:rPr>
        <w:t xml:space="preserve">‘non-expressive’ incidental or happenstance </w:t>
      </w:r>
      <w:r w:rsidR="00FD10F7" w:rsidRPr="00B7347F">
        <w:rPr>
          <w:rFonts w:eastAsia="Times New Roman" w:cs="Times New Roman"/>
          <w:sz w:val="24"/>
          <w:szCs w:val="24"/>
        </w:rPr>
        <w:t>gatherings</w:t>
      </w:r>
      <w:r w:rsidR="00BC1E82" w:rsidRPr="00B7347F">
        <w:rPr>
          <w:rFonts w:eastAsia="Times New Roman" w:cs="Times New Roman"/>
          <w:sz w:val="24"/>
          <w:szCs w:val="24"/>
        </w:rPr>
        <w:t xml:space="preserve"> such </w:t>
      </w:r>
      <w:r w:rsidR="00BC1E82" w:rsidRPr="00B7347F">
        <w:rPr>
          <w:rFonts w:eastAsia="Times New Roman" w:cs="Times New Roman"/>
          <w:sz w:val="24"/>
          <w:szCs w:val="24"/>
        </w:rPr>
        <w:lastRenderedPageBreak/>
        <w:t xml:space="preserve">as a bus stop queue </w:t>
      </w:r>
      <w:r w:rsidR="00FD10F7" w:rsidRPr="00B7347F">
        <w:rPr>
          <w:rFonts w:eastAsia="Times New Roman" w:cs="Times New Roman"/>
          <w:sz w:val="24"/>
          <w:szCs w:val="24"/>
        </w:rPr>
        <w:t>(</w:t>
      </w:r>
      <w:r w:rsidR="00BC1E82" w:rsidRPr="00B7347F">
        <w:rPr>
          <w:rFonts w:eastAsia="Times New Roman" w:cs="Times New Roman"/>
          <w:sz w:val="24"/>
          <w:szCs w:val="24"/>
        </w:rPr>
        <w:t>or</w:t>
      </w:r>
      <w:r w:rsidR="000B04CB" w:rsidRPr="00B7347F">
        <w:rPr>
          <w:rFonts w:eastAsia="Times New Roman" w:cs="Times New Roman"/>
          <w:sz w:val="24"/>
          <w:szCs w:val="24"/>
        </w:rPr>
        <w:t xml:space="preserve">, in the words of the European Court of Human Rights, </w:t>
      </w:r>
      <w:r w:rsidR="00BC1E82" w:rsidRPr="00B7347F">
        <w:rPr>
          <w:rFonts w:eastAsia="Times New Roman" w:cs="Times New Roman"/>
          <w:sz w:val="24"/>
          <w:szCs w:val="24"/>
        </w:rPr>
        <w:t>‘</w:t>
      </w:r>
      <w:hyperlink r:id="rId8" w:history="1">
        <w:r w:rsidR="00BC1E82" w:rsidRPr="00B7347F">
          <w:rPr>
            <w:rStyle w:val="Hyperlink"/>
            <w:rFonts w:eastAsia="Times New Roman" w:cs="Times New Roman"/>
            <w:sz w:val="24"/>
            <w:szCs w:val="24"/>
          </w:rPr>
          <w:t>random agglomerations</w:t>
        </w:r>
      </w:hyperlink>
      <w:r w:rsidR="00BC1E82" w:rsidRPr="00B7347F">
        <w:rPr>
          <w:rFonts w:eastAsia="Times New Roman" w:cs="Times New Roman"/>
          <w:sz w:val="24"/>
          <w:szCs w:val="24"/>
        </w:rPr>
        <w:t xml:space="preserve">’). </w:t>
      </w:r>
    </w:p>
    <w:p w14:paraId="7143FE8D" w14:textId="77777777" w:rsidR="00B7347F" w:rsidRPr="00B7347F" w:rsidRDefault="00B7347F" w:rsidP="00B7347F">
      <w:pPr>
        <w:pStyle w:val="ListParagraph"/>
        <w:ind w:left="426"/>
        <w:jc w:val="both"/>
        <w:rPr>
          <w:sz w:val="24"/>
          <w:szCs w:val="24"/>
        </w:rPr>
      </w:pPr>
    </w:p>
    <w:p w14:paraId="31C5729A" w14:textId="2EB2E51A" w:rsidR="004D03D6" w:rsidRPr="004D03D6" w:rsidRDefault="00B7347F" w:rsidP="00EF398F">
      <w:pPr>
        <w:pStyle w:val="ListParagraph"/>
        <w:numPr>
          <w:ilvl w:val="0"/>
          <w:numId w:val="7"/>
        </w:numPr>
        <w:ind w:left="426" w:hanging="426"/>
        <w:jc w:val="both"/>
        <w:rPr>
          <w:sz w:val="24"/>
          <w:szCs w:val="24"/>
        </w:rPr>
      </w:pPr>
      <w:r>
        <w:rPr>
          <w:rFonts w:eastAsia="Times New Roman" w:cs="Times New Roman"/>
          <w:sz w:val="24"/>
          <w:szCs w:val="24"/>
        </w:rPr>
        <w:t>T</w:t>
      </w:r>
      <w:r w:rsidR="00C1646A" w:rsidRPr="00B7347F">
        <w:rPr>
          <w:rFonts w:eastAsia="Times New Roman" w:cs="Times New Roman"/>
          <w:sz w:val="24"/>
          <w:szCs w:val="24"/>
        </w:rPr>
        <w:t xml:space="preserve">o assume a </w:t>
      </w:r>
      <w:r w:rsidR="0018519B">
        <w:rPr>
          <w:rFonts w:eastAsia="Times New Roman" w:cs="Times New Roman"/>
          <w:sz w:val="24"/>
          <w:szCs w:val="24"/>
        </w:rPr>
        <w:t>uniformity</w:t>
      </w:r>
      <w:r w:rsidR="00C1646A" w:rsidRPr="00B7347F">
        <w:rPr>
          <w:rFonts w:eastAsia="Times New Roman" w:cs="Times New Roman"/>
          <w:sz w:val="24"/>
          <w:szCs w:val="24"/>
        </w:rPr>
        <w:t xml:space="preserve"> of purpose belies the diversity of </w:t>
      </w:r>
      <w:r w:rsidR="0018519B">
        <w:rPr>
          <w:rFonts w:eastAsia="Times New Roman" w:cs="Times New Roman"/>
          <w:sz w:val="24"/>
          <w:szCs w:val="24"/>
        </w:rPr>
        <w:t>motivations</w:t>
      </w:r>
      <w:r w:rsidR="00C1646A" w:rsidRPr="00B7347F">
        <w:rPr>
          <w:rFonts w:eastAsia="Times New Roman" w:cs="Times New Roman"/>
          <w:sz w:val="24"/>
          <w:szCs w:val="24"/>
        </w:rPr>
        <w:t xml:space="preserve">, priorities and views that individual participants </w:t>
      </w:r>
      <w:r w:rsidR="00BC1E82" w:rsidRPr="00B7347F">
        <w:rPr>
          <w:rFonts w:eastAsia="Times New Roman" w:cs="Times New Roman"/>
          <w:sz w:val="24"/>
          <w:szCs w:val="24"/>
        </w:rPr>
        <w:t xml:space="preserve">are likely to </w:t>
      </w:r>
      <w:r w:rsidR="00C1646A" w:rsidRPr="00B7347F">
        <w:rPr>
          <w:rFonts w:eastAsia="Times New Roman" w:cs="Times New Roman"/>
          <w:sz w:val="24"/>
          <w:szCs w:val="24"/>
        </w:rPr>
        <w:t xml:space="preserve">have. </w:t>
      </w:r>
      <w:r w:rsidR="00DC3095" w:rsidRPr="00B7347F">
        <w:rPr>
          <w:rFonts w:eastAsia="Times New Roman" w:cs="Times New Roman"/>
          <w:sz w:val="24"/>
          <w:szCs w:val="24"/>
        </w:rPr>
        <w:t xml:space="preserve">Moreover, while assemblies will of-course often be expressive, </w:t>
      </w:r>
      <w:r w:rsidR="004B3700" w:rsidRPr="00B7347F">
        <w:rPr>
          <w:rFonts w:eastAsia="Times New Roman" w:cs="Times New Roman"/>
          <w:sz w:val="24"/>
          <w:szCs w:val="24"/>
        </w:rPr>
        <w:t xml:space="preserve">it </w:t>
      </w:r>
      <w:r w:rsidR="00CD642C" w:rsidRPr="00B7347F">
        <w:rPr>
          <w:rFonts w:eastAsia="Times New Roman" w:cs="Times New Roman"/>
          <w:sz w:val="24"/>
          <w:szCs w:val="24"/>
        </w:rPr>
        <w:t>is not immediately clear</w:t>
      </w:r>
      <w:r w:rsidR="00DC3095" w:rsidRPr="00B7347F">
        <w:rPr>
          <w:rFonts w:eastAsia="Times New Roman" w:cs="Times New Roman"/>
          <w:sz w:val="24"/>
          <w:szCs w:val="24"/>
        </w:rPr>
        <w:t xml:space="preserve"> why they need be so to qualify for protection. </w:t>
      </w:r>
      <w:r w:rsidR="00417FB6">
        <w:rPr>
          <w:rFonts w:eastAsia="Times New Roman" w:cs="Times New Roman"/>
          <w:sz w:val="24"/>
          <w:szCs w:val="24"/>
          <w:lang w:val="en-IE"/>
        </w:rPr>
        <w:t>A</w:t>
      </w:r>
      <w:r w:rsidR="00417FB6" w:rsidRPr="00B7347F">
        <w:rPr>
          <w:rFonts w:eastAsia="Times New Roman" w:cs="Times New Roman"/>
          <w:sz w:val="24"/>
          <w:szCs w:val="24"/>
          <w:lang w:val="en-IE"/>
        </w:rPr>
        <w:t xml:space="preserve"> number of US constitutional law scholars </w:t>
      </w:r>
      <w:r w:rsidR="00417FB6">
        <w:rPr>
          <w:rFonts w:eastAsia="Times New Roman" w:cs="Times New Roman"/>
          <w:sz w:val="24"/>
          <w:szCs w:val="24"/>
          <w:lang w:val="en-IE"/>
        </w:rPr>
        <w:t xml:space="preserve">have critiqued making expression a </w:t>
      </w:r>
      <w:r w:rsidR="00417FB6" w:rsidRPr="00417FB6">
        <w:rPr>
          <w:rFonts w:eastAsia="Times New Roman" w:cs="Times New Roman"/>
          <w:i/>
          <w:iCs/>
          <w:sz w:val="24"/>
          <w:szCs w:val="24"/>
          <w:lang w:val="en-IE"/>
        </w:rPr>
        <w:t>sine qu</w:t>
      </w:r>
      <w:r w:rsidR="00417FB6">
        <w:rPr>
          <w:rFonts w:eastAsia="Times New Roman" w:cs="Times New Roman"/>
          <w:i/>
          <w:iCs/>
          <w:sz w:val="24"/>
          <w:szCs w:val="24"/>
          <w:lang w:val="en-IE"/>
        </w:rPr>
        <w:t>a</w:t>
      </w:r>
      <w:r w:rsidR="00417FB6" w:rsidRPr="00417FB6">
        <w:rPr>
          <w:rFonts w:eastAsia="Times New Roman" w:cs="Times New Roman"/>
          <w:i/>
          <w:iCs/>
          <w:sz w:val="24"/>
          <w:szCs w:val="24"/>
          <w:lang w:val="en-IE"/>
        </w:rPr>
        <w:t xml:space="preserve"> non</w:t>
      </w:r>
      <w:r w:rsidR="00417FB6">
        <w:rPr>
          <w:rFonts w:eastAsia="Times New Roman" w:cs="Times New Roman"/>
          <w:sz w:val="24"/>
          <w:szCs w:val="24"/>
          <w:lang w:val="en-IE"/>
        </w:rPr>
        <w:t xml:space="preserve"> of </w:t>
      </w:r>
      <w:r w:rsidR="004D03D6">
        <w:rPr>
          <w:rFonts w:eastAsia="Times New Roman" w:cs="Times New Roman"/>
          <w:sz w:val="24"/>
          <w:szCs w:val="24"/>
          <w:lang w:val="en-IE"/>
        </w:rPr>
        <w:t xml:space="preserve">assembly – </w:t>
      </w:r>
      <w:r w:rsidR="0018519B">
        <w:rPr>
          <w:rFonts w:eastAsia="Times New Roman" w:cs="Times New Roman"/>
          <w:sz w:val="24"/>
          <w:szCs w:val="24"/>
          <w:lang w:val="en-IE"/>
        </w:rPr>
        <w:t xml:space="preserve">Ashutosh Bhagwat, for example, has sought to </w:t>
      </w:r>
      <w:hyperlink r:id="rId9" w:history="1">
        <w:r w:rsidR="0018519B" w:rsidRPr="0018519B">
          <w:rPr>
            <w:rStyle w:val="Hyperlink"/>
            <w:rFonts w:eastAsia="Times New Roman" w:cs="Times New Roman"/>
            <w:sz w:val="24"/>
            <w:szCs w:val="24"/>
            <w:lang w:val="en-IE"/>
          </w:rPr>
          <w:t>counter</w:t>
        </w:r>
      </w:hyperlink>
      <w:r w:rsidR="0018519B">
        <w:rPr>
          <w:rFonts w:eastAsia="Times New Roman" w:cs="Times New Roman"/>
          <w:sz w:val="24"/>
          <w:szCs w:val="24"/>
          <w:lang w:val="en-IE"/>
        </w:rPr>
        <w:t xml:space="preserve"> </w:t>
      </w:r>
      <w:r w:rsidR="00966E28" w:rsidRPr="00B7347F">
        <w:rPr>
          <w:rFonts w:eastAsia="Times New Roman" w:cs="Times New Roman"/>
          <w:sz w:val="24"/>
          <w:szCs w:val="24"/>
          <w:lang w:val="en-IE"/>
        </w:rPr>
        <w:t>‘the pernicious idea that groups deserve protection only to the extent that they are expressive.’</w:t>
      </w:r>
      <w:r w:rsidR="00966E28" w:rsidRPr="00B7347F">
        <w:rPr>
          <w:rFonts w:eastAsia="Times New Roman" w:cs="Times New Roman"/>
          <w:sz w:val="24"/>
          <w:szCs w:val="24"/>
        </w:rPr>
        <w:t xml:space="preserve"> </w:t>
      </w:r>
    </w:p>
    <w:p w14:paraId="7ECA5EF9" w14:textId="77777777" w:rsidR="004D03D6" w:rsidRPr="004D03D6" w:rsidRDefault="004D03D6" w:rsidP="004D03D6">
      <w:pPr>
        <w:pStyle w:val="ListParagraph"/>
        <w:rPr>
          <w:rFonts w:eastAsia="Times New Roman" w:cs="Times New Roman"/>
          <w:sz w:val="24"/>
          <w:szCs w:val="24"/>
        </w:rPr>
      </w:pPr>
    </w:p>
    <w:p w14:paraId="60F34A11" w14:textId="24F22EF3" w:rsidR="00B7347F" w:rsidRPr="00B7347F" w:rsidRDefault="00DC3095" w:rsidP="00EF398F">
      <w:pPr>
        <w:pStyle w:val="ListParagraph"/>
        <w:numPr>
          <w:ilvl w:val="0"/>
          <w:numId w:val="7"/>
        </w:numPr>
        <w:ind w:left="426" w:hanging="426"/>
        <w:jc w:val="both"/>
        <w:rPr>
          <w:sz w:val="24"/>
          <w:szCs w:val="24"/>
        </w:rPr>
      </w:pPr>
      <w:r w:rsidRPr="00B7347F">
        <w:rPr>
          <w:rFonts w:eastAsia="Times New Roman" w:cs="Times New Roman"/>
          <w:sz w:val="24"/>
          <w:szCs w:val="24"/>
        </w:rPr>
        <w:t>It is also unclear</w:t>
      </w:r>
      <w:r w:rsidR="00CD642C" w:rsidRPr="00B7347F">
        <w:rPr>
          <w:rFonts w:eastAsia="Times New Roman" w:cs="Times New Roman"/>
          <w:sz w:val="24"/>
          <w:szCs w:val="24"/>
        </w:rPr>
        <w:t xml:space="preserve"> whether </w:t>
      </w:r>
      <w:r w:rsidR="004B3700" w:rsidRPr="00B7347F">
        <w:rPr>
          <w:rFonts w:eastAsia="Times New Roman" w:cs="Times New Roman"/>
          <w:sz w:val="24"/>
          <w:szCs w:val="24"/>
        </w:rPr>
        <w:t>‘</w:t>
      </w:r>
      <w:r w:rsidR="00DD4DFF" w:rsidRPr="00B7347F">
        <w:rPr>
          <w:rFonts w:eastAsia="Times New Roman" w:cs="Times New Roman"/>
          <w:sz w:val="24"/>
          <w:szCs w:val="24"/>
        </w:rPr>
        <w:t>expressi</w:t>
      </w:r>
      <w:r w:rsidR="004B3700" w:rsidRPr="00B7347F">
        <w:rPr>
          <w:rFonts w:eastAsia="Times New Roman" w:cs="Times New Roman"/>
          <w:sz w:val="24"/>
          <w:szCs w:val="24"/>
        </w:rPr>
        <w:t>ve purpose’</w:t>
      </w:r>
      <w:r w:rsidR="00966E28" w:rsidRPr="00B7347F">
        <w:rPr>
          <w:rFonts w:eastAsia="Times New Roman" w:cs="Times New Roman"/>
          <w:sz w:val="24"/>
          <w:szCs w:val="24"/>
        </w:rPr>
        <w:t xml:space="preserve"> </w:t>
      </w:r>
      <w:r w:rsidR="00DD4DFF" w:rsidRPr="00B7347F">
        <w:rPr>
          <w:rFonts w:eastAsia="Times New Roman" w:cs="Times New Roman"/>
          <w:sz w:val="24"/>
          <w:szCs w:val="24"/>
        </w:rPr>
        <w:t>i</w:t>
      </w:r>
      <w:r w:rsidR="00CD642C" w:rsidRPr="00B7347F">
        <w:rPr>
          <w:rFonts w:eastAsia="Times New Roman" w:cs="Times New Roman"/>
          <w:sz w:val="24"/>
          <w:szCs w:val="24"/>
        </w:rPr>
        <w:t xml:space="preserve">s intended </w:t>
      </w:r>
      <w:r w:rsidR="004B3700" w:rsidRPr="00B7347F">
        <w:rPr>
          <w:rFonts w:eastAsia="Times New Roman" w:cs="Times New Roman"/>
          <w:sz w:val="24"/>
          <w:szCs w:val="24"/>
        </w:rPr>
        <w:t xml:space="preserve">only </w:t>
      </w:r>
      <w:r w:rsidR="00CD642C" w:rsidRPr="00B7347F">
        <w:rPr>
          <w:rFonts w:eastAsia="Times New Roman" w:cs="Times New Roman"/>
          <w:sz w:val="24"/>
          <w:szCs w:val="24"/>
        </w:rPr>
        <w:t xml:space="preserve">to embrace </w:t>
      </w:r>
      <w:r w:rsidR="00583FCC" w:rsidRPr="00B7347F">
        <w:rPr>
          <w:rFonts w:eastAsia="Times New Roman" w:cs="Times New Roman"/>
          <w:sz w:val="24"/>
          <w:szCs w:val="24"/>
        </w:rPr>
        <w:t>communication</w:t>
      </w:r>
      <w:r w:rsidR="00CD642C" w:rsidRPr="00B7347F">
        <w:rPr>
          <w:rFonts w:eastAsia="Times New Roman" w:cs="Times New Roman"/>
          <w:sz w:val="24"/>
          <w:szCs w:val="24"/>
        </w:rPr>
        <w:t xml:space="preserve"> </w:t>
      </w:r>
      <w:r w:rsidR="003255F8" w:rsidRPr="00B7347F">
        <w:rPr>
          <w:rFonts w:eastAsia="Times New Roman" w:cs="Times New Roman"/>
          <w:sz w:val="24"/>
          <w:szCs w:val="24"/>
        </w:rPr>
        <w:t>directed at</w:t>
      </w:r>
      <w:r w:rsidR="00CD642C" w:rsidRPr="00B7347F">
        <w:rPr>
          <w:rFonts w:eastAsia="Times New Roman" w:cs="Times New Roman"/>
          <w:sz w:val="24"/>
          <w:szCs w:val="24"/>
        </w:rPr>
        <w:t xml:space="preserve"> an external audience</w:t>
      </w:r>
      <w:r w:rsidR="00583FCC" w:rsidRPr="00B7347F">
        <w:rPr>
          <w:rFonts w:eastAsia="Times New Roman" w:cs="Times New Roman"/>
          <w:sz w:val="24"/>
          <w:szCs w:val="24"/>
        </w:rPr>
        <w:t xml:space="preserve"> </w:t>
      </w:r>
      <w:r w:rsidR="00DD4DFF" w:rsidRPr="00B7347F">
        <w:rPr>
          <w:rFonts w:eastAsia="Times New Roman" w:cs="Times New Roman"/>
          <w:sz w:val="24"/>
          <w:szCs w:val="24"/>
        </w:rPr>
        <w:t xml:space="preserve">or whether it </w:t>
      </w:r>
      <w:r w:rsidR="000B04CB" w:rsidRPr="00B7347F">
        <w:rPr>
          <w:rFonts w:eastAsia="Times New Roman" w:cs="Times New Roman"/>
          <w:sz w:val="24"/>
          <w:szCs w:val="24"/>
        </w:rPr>
        <w:t>c</w:t>
      </w:r>
      <w:r w:rsidR="002929F0" w:rsidRPr="00B7347F">
        <w:rPr>
          <w:rFonts w:eastAsia="Times New Roman" w:cs="Times New Roman"/>
          <w:sz w:val="24"/>
          <w:szCs w:val="24"/>
        </w:rPr>
        <w:t>ould also</w:t>
      </w:r>
      <w:r w:rsidR="009C456E" w:rsidRPr="00B7347F">
        <w:rPr>
          <w:rFonts w:eastAsia="Times New Roman" w:cs="Times New Roman"/>
          <w:sz w:val="24"/>
          <w:szCs w:val="24"/>
        </w:rPr>
        <w:t xml:space="preserve"> </w:t>
      </w:r>
      <w:r w:rsidR="00DD4DFF" w:rsidRPr="00B7347F">
        <w:rPr>
          <w:rFonts w:eastAsia="Times New Roman" w:cs="Times New Roman"/>
          <w:sz w:val="24"/>
          <w:szCs w:val="24"/>
        </w:rPr>
        <w:t>include</w:t>
      </w:r>
      <w:r w:rsidR="002929F0" w:rsidRPr="00B7347F">
        <w:rPr>
          <w:rFonts w:eastAsia="Times New Roman" w:cs="Times New Roman"/>
          <w:sz w:val="24"/>
          <w:szCs w:val="24"/>
        </w:rPr>
        <w:t xml:space="preserve"> gatherings </w:t>
      </w:r>
      <w:r w:rsidR="004D03D6">
        <w:rPr>
          <w:rFonts w:eastAsia="Times New Roman" w:cs="Times New Roman"/>
          <w:sz w:val="24"/>
          <w:szCs w:val="24"/>
        </w:rPr>
        <w:t>involving only</w:t>
      </w:r>
      <w:r w:rsidR="00B7347F">
        <w:rPr>
          <w:rFonts w:eastAsia="Times New Roman" w:cs="Times New Roman"/>
          <w:sz w:val="24"/>
          <w:szCs w:val="24"/>
        </w:rPr>
        <w:t xml:space="preserve"> </w:t>
      </w:r>
      <w:r w:rsidR="002929F0" w:rsidRPr="00B7347F">
        <w:rPr>
          <w:rFonts w:eastAsia="Times New Roman" w:cs="Times New Roman"/>
          <w:sz w:val="24"/>
          <w:szCs w:val="24"/>
        </w:rPr>
        <w:t>internal deliberation</w:t>
      </w:r>
      <w:r w:rsidR="004D03D6">
        <w:rPr>
          <w:rFonts w:eastAsia="Times New Roman" w:cs="Times New Roman"/>
          <w:sz w:val="24"/>
          <w:szCs w:val="24"/>
        </w:rPr>
        <w:t xml:space="preserve"> amongst participants</w:t>
      </w:r>
      <w:r w:rsidR="00B7347F">
        <w:rPr>
          <w:rFonts w:eastAsia="Times New Roman" w:cs="Times New Roman"/>
          <w:sz w:val="24"/>
          <w:szCs w:val="24"/>
        </w:rPr>
        <w:t xml:space="preserve">. </w:t>
      </w:r>
      <w:r w:rsidR="002A2155">
        <w:rPr>
          <w:rFonts w:eastAsia="Times New Roman" w:cs="Times New Roman"/>
          <w:sz w:val="24"/>
          <w:szCs w:val="24"/>
        </w:rPr>
        <w:t>I</w:t>
      </w:r>
      <w:r w:rsidR="0018519B">
        <w:rPr>
          <w:rFonts w:eastAsia="Times New Roman" w:cs="Times New Roman"/>
          <w:sz w:val="24"/>
          <w:szCs w:val="24"/>
        </w:rPr>
        <w:t>f such a purpose</w:t>
      </w:r>
      <w:r w:rsidR="00A10F0A" w:rsidRPr="00B7347F">
        <w:rPr>
          <w:rFonts w:eastAsia="Times New Roman" w:cs="Times New Roman"/>
          <w:sz w:val="24"/>
          <w:szCs w:val="24"/>
        </w:rPr>
        <w:t xml:space="preserve"> </w:t>
      </w:r>
      <w:r w:rsidR="001D7A2E" w:rsidRPr="00B7347F">
        <w:rPr>
          <w:rFonts w:eastAsia="Times New Roman" w:cs="Times New Roman"/>
          <w:sz w:val="24"/>
          <w:szCs w:val="24"/>
        </w:rPr>
        <w:t>c</w:t>
      </w:r>
      <w:r w:rsidR="003255F8" w:rsidRPr="00B7347F">
        <w:rPr>
          <w:rFonts w:eastAsia="Times New Roman" w:cs="Times New Roman"/>
          <w:sz w:val="24"/>
          <w:szCs w:val="24"/>
        </w:rPr>
        <w:t>ould</w:t>
      </w:r>
      <w:r w:rsidR="001D7A2E" w:rsidRPr="00B7347F">
        <w:rPr>
          <w:rFonts w:eastAsia="Times New Roman" w:cs="Times New Roman"/>
          <w:sz w:val="24"/>
          <w:szCs w:val="24"/>
        </w:rPr>
        <w:t xml:space="preserve"> </w:t>
      </w:r>
      <w:r w:rsidR="000B04CB" w:rsidRPr="00B7347F">
        <w:rPr>
          <w:rFonts w:eastAsia="Times New Roman" w:cs="Times New Roman"/>
          <w:sz w:val="24"/>
          <w:szCs w:val="24"/>
        </w:rPr>
        <w:t xml:space="preserve">potentially </w:t>
      </w:r>
      <w:r w:rsidR="004D03D6">
        <w:rPr>
          <w:rFonts w:eastAsia="Times New Roman" w:cs="Times New Roman"/>
          <w:sz w:val="24"/>
          <w:szCs w:val="24"/>
        </w:rPr>
        <w:t xml:space="preserve">also </w:t>
      </w:r>
      <w:r w:rsidR="001D7A2E" w:rsidRPr="00B7347F">
        <w:rPr>
          <w:rFonts w:eastAsia="Times New Roman" w:cs="Times New Roman"/>
          <w:sz w:val="24"/>
          <w:szCs w:val="24"/>
        </w:rPr>
        <w:t>be</w:t>
      </w:r>
      <w:r w:rsidR="00A10F0A" w:rsidRPr="00B7347F">
        <w:rPr>
          <w:rFonts w:eastAsia="Times New Roman" w:cs="Times New Roman"/>
          <w:sz w:val="24"/>
          <w:szCs w:val="24"/>
        </w:rPr>
        <w:t xml:space="preserve"> </w:t>
      </w:r>
      <w:r w:rsidR="000B04CB" w:rsidRPr="00B7347F">
        <w:rPr>
          <w:rFonts w:eastAsia="Times New Roman" w:cs="Times New Roman"/>
          <w:i/>
          <w:iCs/>
          <w:sz w:val="24"/>
          <w:szCs w:val="24"/>
        </w:rPr>
        <w:t>inferred</w:t>
      </w:r>
      <w:r w:rsidR="00A10F0A" w:rsidRPr="00B7347F">
        <w:rPr>
          <w:rFonts w:eastAsia="Times New Roman" w:cs="Times New Roman"/>
          <w:sz w:val="24"/>
          <w:szCs w:val="24"/>
        </w:rPr>
        <w:t xml:space="preserve"> by virtue of the </w:t>
      </w:r>
      <w:r w:rsidR="0018519B">
        <w:rPr>
          <w:rFonts w:eastAsia="Times New Roman" w:cs="Times New Roman"/>
          <w:sz w:val="24"/>
          <w:szCs w:val="24"/>
        </w:rPr>
        <w:t xml:space="preserve">very </w:t>
      </w:r>
      <w:r w:rsidR="000B04CB" w:rsidRPr="00B7347F">
        <w:rPr>
          <w:rFonts w:eastAsia="Times New Roman" w:cs="Times New Roman"/>
          <w:sz w:val="24"/>
          <w:szCs w:val="24"/>
        </w:rPr>
        <w:t>presence of a gather</w:t>
      </w:r>
      <w:r w:rsidR="0018519B">
        <w:rPr>
          <w:rFonts w:eastAsia="Times New Roman" w:cs="Times New Roman"/>
          <w:sz w:val="24"/>
          <w:szCs w:val="24"/>
        </w:rPr>
        <w:t>ing</w:t>
      </w:r>
      <w:r w:rsidR="000B04CB" w:rsidRPr="00B7347F">
        <w:rPr>
          <w:rFonts w:eastAsia="Times New Roman" w:cs="Times New Roman"/>
          <w:sz w:val="24"/>
          <w:szCs w:val="24"/>
        </w:rPr>
        <w:t xml:space="preserve"> </w:t>
      </w:r>
      <w:r w:rsidRPr="00B7347F">
        <w:rPr>
          <w:rFonts w:eastAsia="Times New Roman" w:cs="Times New Roman"/>
          <w:sz w:val="24"/>
          <w:szCs w:val="24"/>
        </w:rPr>
        <w:t xml:space="preserve">(in which case, </w:t>
      </w:r>
      <w:r w:rsidR="00C1646A" w:rsidRPr="00B7347F">
        <w:rPr>
          <w:rFonts w:eastAsia="Times New Roman" w:cs="Times New Roman"/>
          <w:sz w:val="24"/>
          <w:szCs w:val="24"/>
        </w:rPr>
        <w:t>m</w:t>
      </w:r>
      <w:r w:rsidR="002929F0" w:rsidRPr="00B7347F">
        <w:rPr>
          <w:rFonts w:eastAsia="Times New Roman" w:cs="Times New Roman"/>
          <w:sz w:val="24"/>
          <w:szCs w:val="24"/>
        </w:rPr>
        <w:t>any,</w:t>
      </w:r>
      <w:r w:rsidR="00C1646A" w:rsidRPr="00B7347F">
        <w:rPr>
          <w:rFonts w:eastAsia="Times New Roman" w:cs="Times New Roman"/>
          <w:sz w:val="24"/>
          <w:szCs w:val="24"/>
        </w:rPr>
        <w:t xml:space="preserve"> if not all</w:t>
      </w:r>
      <w:r w:rsidR="002929F0" w:rsidRPr="00B7347F">
        <w:rPr>
          <w:rFonts w:eastAsia="Times New Roman" w:cs="Times New Roman"/>
          <w:sz w:val="24"/>
          <w:szCs w:val="24"/>
        </w:rPr>
        <w:t>,</w:t>
      </w:r>
      <w:r w:rsidR="00C1646A" w:rsidRPr="00B7347F">
        <w:rPr>
          <w:rFonts w:eastAsia="Times New Roman" w:cs="Times New Roman"/>
          <w:sz w:val="24"/>
          <w:szCs w:val="24"/>
        </w:rPr>
        <w:t xml:space="preserve"> </w:t>
      </w:r>
      <w:r w:rsidR="00A10F0A" w:rsidRPr="00B7347F">
        <w:rPr>
          <w:rFonts w:eastAsia="Times New Roman" w:cs="Times New Roman"/>
          <w:sz w:val="24"/>
          <w:szCs w:val="24"/>
        </w:rPr>
        <w:t>‘</w:t>
      </w:r>
      <w:r w:rsidR="009C456E" w:rsidRPr="00B7347F">
        <w:rPr>
          <w:rFonts w:eastAsia="Times New Roman" w:cs="Times New Roman"/>
          <w:sz w:val="24"/>
          <w:szCs w:val="24"/>
        </w:rPr>
        <w:t>random agglomerations</w:t>
      </w:r>
      <w:r w:rsidR="00A10F0A" w:rsidRPr="00B7347F">
        <w:rPr>
          <w:rFonts w:eastAsia="Times New Roman" w:cs="Times New Roman"/>
          <w:sz w:val="24"/>
          <w:szCs w:val="24"/>
        </w:rPr>
        <w:t>’</w:t>
      </w:r>
      <w:r w:rsidR="00583FCC" w:rsidRPr="00B7347F">
        <w:rPr>
          <w:rFonts w:eastAsia="Times New Roman" w:cs="Times New Roman"/>
          <w:sz w:val="24"/>
          <w:szCs w:val="24"/>
        </w:rPr>
        <w:t xml:space="preserve"> </w:t>
      </w:r>
      <w:r w:rsidR="00966E28" w:rsidRPr="00B7347F">
        <w:rPr>
          <w:rFonts w:eastAsia="Times New Roman" w:cs="Times New Roman"/>
          <w:sz w:val="24"/>
          <w:szCs w:val="24"/>
        </w:rPr>
        <w:t>might</w:t>
      </w:r>
      <w:r w:rsidR="00BC1E82" w:rsidRPr="00B7347F">
        <w:rPr>
          <w:rFonts w:eastAsia="Times New Roman" w:cs="Times New Roman"/>
          <w:sz w:val="24"/>
          <w:szCs w:val="24"/>
        </w:rPr>
        <w:t xml:space="preserve"> also</w:t>
      </w:r>
      <w:r w:rsidR="00583FCC" w:rsidRPr="00B7347F">
        <w:rPr>
          <w:rFonts w:eastAsia="Times New Roman" w:cs="Times New Roman"/>
          <w:sz w:val="24"/>
          <w:szCs w:val="24"/>
        </w:rPr>
        <w:t xml:space="preserve"> </w:t>
      </w:r>
      <w:r w:rsidR="00C1646A" w:rsidRPr="00B7347F">
        <w:rPr>
          <w:rFonts w:eastAsia="Times New Roman" w:cs="Times New Roman"/>
          <w:sz w:val="24"/>
          <w:szCs w:val="24"/>
        </w:rPr>
        <w:t xml:space="preserve">be </w:t>
      </w:r>
      <w:r w:rsidR="00BC1E82" w:rsidRPr="00B7347F">
        <w:rPr>
          <w:rFonts w:eastAsia="Times New Roman" w:cs="Times New Roman"/>
          <w:sz w:val="24"/>
          <w:szCs w:val="24"/>
        </w:rPr>
        <w:t>regarded</w:t>
      </w:r>
      <w:r w:rsidR="00C1646A" w:rsidRPr="00B7347F">
        <w:rPr>
          <w:rFonts w:eastAsia="Times New Roman" w:cs="Times New Roman"/>
          <w:sz w:val="24"/>
          <w:szCs w:val="24"/>
        </w:rPr>
        <w:t xml:space="preserve"> as </w:t>
      </w:r>
      <w:r w:rsidR="00BC1E82" w:rsidRPr="00B7347F">
        <w:rPr>
          <w:rFonts w:eastAsia="Times New Roman" w:cs="Times New Roman"/>
          <w:sz w:val="24"/>
          <w:szCs w:val="24"/>
        </w:rPr>
        <w:t xml:space="preserve">having </w:t>
      </w:r>
      <w:r w:rsidR="0018519B">
        <w:rPr>
          <w:rFonts w:eastAsia="Times New Roman" w:cs="Times New Roman"/>
          <w:sz w:val="24"/>
          <w:szCs w:val="24"/>
        </w:rPr>
        <w:t xml:space="preserve">some </w:t>
      </w:r>
      <w:r w:rsidR="0055718C" w:rsidRPr="00B7347F">
        <w:rPr>
          <w:rFonts w:eastAsia="Times New Roman" w:cs="Times New Roman"/>
          <w:sz w:val="24"/>
          <w:szCs w:val="24"/>
        </w:rPr>
        <w:t>such</w:t>
      </w:r>
      <w:r w:rsidR="00C1646A" w:rsidRPr="00B7347F">
        <w:rPr>
          <w:rFonts w:eastAsia="Times New Roman" w:cs="Times New Roman"/>
          <w:sz w:val="24"/>
          <w:szCs w:val="24"/>
        </w:rPr>
        <w:t xml:space="preserve"> </w:t>
      </w:r>
      <w:r w:rsidR="00BC1E82" w:rsidRPr="00B7347F">
        <w:rPr>
          <w:rFonts w:eastAsia="Times New Roman" w:cs="Times New Roman"/>
          <w:sz w:val="24"/>
          <w:szCs w:val="24"/>
        </w:rPr>
        <w:t>purpose</w:t>
      </w:r>
      <w:r w:rsidRPr="00B7347F">
        <w:rPr>
          <w:rFonts w:eastAsia="Times New Roman" w:cs="Times New Roman"/>
          <w:sz w:val="24"/>
          <w:szCs w:val="24"/>
        </w:rPr>
        <w:t>)</w:t>
      </w:r>
      <w:r w:rsidR="004D03D6">
        <w:rPr>
          <w:rFonts w:eastAsia="Times New Roman" w:cs="Times New Roman"/>
          <w:sz w:val="24"/>
          <w:szCs w:val="24"/>
        </w:rPr>
        <w:t xml:space="preserve">, the utility </w:t>
      </w:r>
      <w:r w:rsidR="00DB79AC">
        <w:rPr>
          <w:rFonts w:eastAsia="Times New Roman" w:cs="Times New Roman"/>
          <w:sz w:val="24"/>
          <w:szCs w:val="24"/>
        </w:rPr>
        <w:t xml:space="preserve">of </w:t>
      </w:r>
      <w:r w:rsidR="004D03D6">
        <w:rPr>
          <w:rFonts w:eastAsia="Times New Roman" w:cs="Times New Roman"/>
          <w:sz w:val="24"/>
          <w:szCs w:val="24"/>
        </w:rPr>
        <w:t xml:space="preserve">this </w:t>
      </w:r>
      <w:r w:rsidR="00DB79AC">
        <w:rPr>
          <w:rFonts w:eastAsia="Times New Roman" w:cs="Times New Roman"/>
          <w:sz w:val="24"/>
          <w:szCs w:val="24"/>
        </w:rPr>
        <w:t>definitional</w:t>
      </w:r>
      <w:r w:rsidR="002A2155">
        <w:rPr>
          <w:rFonts w:eastAsia="Times New Roman" w:cs="Times New Roman"/>
          <w:sz w:val="24"/>
          <w:szCs w:val="24"/>
        </w:rPr>
        <w:t xml:space="preserve"> element</w:t>
      </w:r>
      <w:r w:rsidR="00DB79AC">
        <w:rPr>
          <w:rFonts w:eastAsia="Times New Roman" w:cs="Times New Roman"/>
          <w:sz w:val="24"/>
          <w:szCs w:val="24"/>
        </w:rPr>
        <w:t xml:space="preserve"> is further called into question.</w:t>
      </w:r>
    </w:p>
    <w:p w14:paraId="2FD7606E" w14:textId="77777777" w:rsidR="00B7347F" w:rsidRPr="00B7347F" w:rsidRDefault="00B7347F" w:rsidP="00B7347F">
      <w:pPr>
        <w:pStyle w:val="ListParagraph"/>
        <w:ind w:left="426"/>
        <w:jc w:val="both"/>
        <w:rPr>
          <w:sz w:val="24"/>
          <w:szCs w:val="24"/>
        </w:rPr>
      </w:pPr>
    </w:p>
    <w:p w14:paraId="444FEB4D" w14:textId="62A2A42E" w:rsidR="00B7347F" w:rsidRPr="00B7347F" w:rsidRDefault="00EF398F" w:rsidP="0057347A">
      <w:pPr>
        <w:pStyle w:val="ListParagraph"/>
        <w:numPr>
          <w:ilvl w:val="0"/>
          <w:numId w:val="7"/>
        </w:numPr>
        <w:ind w:left="426" w:hanging="426"/>
        <w:jc w:val="both"/>
        <w:rPr>
          <w:sz w:val="24"/>
          <w:szCs w:val="24"/>
        </w:rPr>
      </w:pPr>
      <w:r w:rsidRPr="00B7347F">
        <w:rPr>
          <w:rFonts w:eastAsia="Times New Roman" w:cs="Times New Roman"/>
          <w:sz w:val="24"/>
          <w:szCs w:val="24"/>
        </w:rPr>
        <w:t>It is suggested</w:t>
      </w:r>
      <w:r w:rsidR="007421FF" w:rsidRPr="00B7347F">
        <w:rPr>
          <w:rFonts w:eastAsia="Times New Roman" w:cs="Times New Roman"/>
          <w:sz w:val="24"/>
          <w:szCs w:val="24"/>
        </w:rPr>
        <w:t xml:space="preserve"> therefore</w:t>
      </w:r>
      <w:r w:rsidRPr="00B7347F">
        <w:rPr>
          <w:rFonts w:eastAsia="Times New Roman" w:cs="Times New Roman"/>
          <w:sz w:val="24"/>
          <w:szCs w:val="24"/>
        </w:rPr>
        <w:t xml:space="preserve"> that t</w:t>
      </w:r>
      <w:r w:rsidR="001D7A2E" w:rsidRPr="00B7347F">
        <w:rPr>
          <w:rFonts w:eastAsia="Times New Roman" w:cs="Times New Roman"/>
          <w:sz w:val="24"/>
          <w:szCs w:val="24"/>
        </w:rPr>
        <w:t xml:space="preserve">he </w:t>
      </w:r>
      <w:r w:rsidR="003255F8" w:rsidRPr="00B7347F">
        <w:rPr>
          <w:rFonts w:eastAsia="Times New Roman" w:cs="Times New Roman"/>
          <w:sz w:val="24"/>
          <w:szCs w:val="24"/>
        </w:rPr>
        <w:t>notion</w:t>
      </w:r>
      <w:r w:rsidR="001D7A2E" w:rsidRPr="00B7347F">
        <w:rPr>
          <w:rFonts w:eastAsia="Times New Roman" w:cs="Times New Roman"/>
          <w:sz w:val="24"/>
          <w:szCs w:val="24"/>
        </w:rPr>
        <w:t xml:space="preserve"> </w:t>
      </w:r>
      <w:r w:rsidR="003255F8" w:rsidRPr="00B7347F">
        <w:rPr>
          <w:rFonts w:eastAsia="Times New Roman" w:cs="Times New Roman"/>
          <w:sz w:val="24"/>
          <w:szCs w:val="24"/>
        </w:rPr>
        <w:t>of a ‘common</w:t>
      </w:r>
      <w:r w:rsidR="001D7A2E" w:rsidRPr="00B7347F">
        <w:rPr>
          <w:rFonts w:eastAsia="Times New Roman" w:cs="Times New Roman"/>
          <w:sz w:val="24"/>
          <w:szCs w:val="24"/>
        </w:rPr>
        <w:t xml:space="preserve"> expressive purpose</w:t>
      </w:r>
      <w:r w:rsidR="003255F8" w:rsidRPr="00B7347F">
        <w:rPr>
          <w:rFonts w:eastAsia="Times New Roman" w:cs="Times New Roman"/>
          <w:sz w:val="24"/>
          <w:szCs w:val="24"/>
        </w:rPr>
        <w:t>’</w:t>
      </w:r>
      <w:r w:rsidR="001D7A2E" w:rsidRPr="00B7347F">
        <w:rPr>
          <w:rFonts w:eastAsia="Times New Roman" w:cs="Times New Roman"/>
          <w:sz w:val="24"/>
          <w:szCs w:val="24"/>
        </w:rPr>
        <w:t xml:space="preserve"> </w:t>
      </w:r>
      <w:r w:rsidR="003255F8" w:rsidRPr="00B7347F">
        <w:rPr>
          <w:rFonts w:eastAsia="Times New Roman" w:cs="Times New Roman"/>
          <w:sz w:val="24"/>
          <w:szCs w:val="24"/>
        </w:rPr>
        <w:t>should be rejected</w:t>
      </w:r>
      <w:r w:rsidR="00273569" w:rsidRPr="00B7347F">
        <w:rPr>
          <w:rFonts w:eastAsia="Times New Roman" w:cs="Times New Roman"/>
          <w:sz w:val="24"/>
          <w:szCs w:val="24"/>
        </w:rPr>
        <w:t xml:space="preserve"> </w:t>
      </w:r>
      <w:r w:rsidR="00DD4DFF" w:rsidRPr="00B7347F">
        <w:rPr>
          <w:rFonts w:eastAsia="Times New Roman" w:cs="Times New Roman"/>
          <w:sz w:val="24"/>
          <w:szCs w:val="24"/>
        </w:rPr>
        <w:t>a</w:t>
      </w:r>
      <w:r w:rsidR="00583FCC" w:rsidRPr="00B7347F">
        <w:rPr>
          <w:rFonts w:eastAsia="Times New Roman" w:cs="Times New Roman"/>
          <w:sz w:val="24"/>
          <w:szCs w:val="24"/>
        </w:rPr>
        <w:t>s a definitional mainstay</w:t>
      </w:r>
      <w:r w:rsidR="000A33A6" w:rsidRPr="00B7347F">
        <w:rPr>
          <w:rFonts w:eastAsia="Times New Roman" w:cs="Times New Roman"/>
          <w:sz w:val="24"/>
          <w:szCs w:val="24"/>
        </w:rPr>
        <w:t xml:space="preserve">. In its place, the Committee might consider a more straightforward definition of </w:t>
      </w:r>
      <w:r w:rsidRPr="00B7347F">
        <w:rPr>
          <w:rFonts w:eastAsia="Times New Roman" w:cs="Times New Roman"/>
          <w:sz w:val="24"/>
          <w:szCs w:val="24"/>
        </w:rPr>
        <w:t>‘</w:t>
      </w:r>
      <w:r w:rsidR="000A33A6" w:rsidRPr="00B7347F">
        <w:rPr>
          <w:rFonts w:eastAsia="Times New Roman" w:cs="Times New Roman"/>
          <w:sz w:val="24"/>
          <w:szCs w:val="24"/>
        </w:rPr>
        <w:t>assembly</w:t>
      </w:r>
      <w:r w:rsidRPr="00B7347F">
        <w:rPr>
          <w:rFonts w:eastAsia="Times New Roman" w:cs="Times New Roman"/>
          <w:sz w:val="24"/>
          <w:szCs w:val="24"/>
        </w:rPr>
        <w:t>’</w:t>
      </w:r>
      <w:r w:rsidR="0055718C" w:rsidRPr="00B7347F">
        <w:rPr>
          <w:rFonts w:eastAsia="Times New Roman" w:cs="Times New Roman"/>
          <w:sz w:val="24"/>
          <w:szCs w:val="24"/>
        </w:rPr>
        <w:t xml:space="preserve">, one that does not relegate assembly to a subset of expression </w:t>
      </w:r>
      <w:r w:rsidR="00D37A7B" w:rsidRPr="00B7347F">
        <w:rPr>
          <w:rFonts w:eastAsia="Times New Roman" w:cs="Times New Roman"/>
          <w:sz w:val="24"/>
          <w:szCs w:val="24"/>
        </w:rPr>
        <w:t>but</w:t>
      </w:r>
      <w:r w:rsidR="0055718C" w:rsidRPr="00B7347F">
        <w:rPr>
          <w:rFonts w:eastAsia="Times New Roman" w:cs="Times New Roman"/>
          <w:sz w:val="24"/>
          <w:szCs w:val="24"/>
        </w:rPr>
        <w:t xml:space="preserve"> instead recognizes its autonomous </w:t>
      </w:r>
      <w:r w:rsidR="00D37A7B" w:rsidRPr="00B7347F">
        <w:rPr>
          <w:rFonts w:eastAsia="Times New Roman" w:cs="Times New Roman"/>
          <w:sz w:val="24"/>
          <w:szCs w:val="24"/>
        </w:rPr>
        <w:t>standing</w:t>
      </w:r>
      <w:r w:rsidR="0055718C" w:rsidRPr="00B7347F">
        <w:rPr>
          <w:rFonts w:eastAsia="Times New Roman" w:cs="Times New Roman"/>
          <w:sz w:val="24"/>
          <w:szCs w:val="24"/>
        </w:rPr>
        <w:t xml:space="preserve">. </w:t>
      </w:r>
      <w:r w:rsidRPr="00B7347F">
        <w:rPr>
          <w:rFonts w:eastAsia="Times New Roman" w:cs="Times New Roman"/>
          <w:sz w:val="24"/>
          <w:szCs w:val="24"/>
        </w:rPr>
        <w:t>A</w:t>
      </w:r>
      <w:r w:rsidR="0055718C" w:rsidRPr="00B7347F">
        <w:rPr>
          <w:rFonts w:eastAsia="Times New Roman" w:cs="Times New Roman"/>
          <w:sz w:val="24"/>
          <w:szCs w:val="24"/>
        </w:rPr>
        <w:t>n ‘assembly’</w:t>
      </w:r>
      <w:r w:rsidR="000A33A6" w:rsidRPr="00B7347F">
        <w:rPr>
          <w:rFonts w:eastAsia="Times New Roman" w:cs="Times New Roman"/>
          <w:sz w:val="24"/>
          <w:szCs w:val="24"/>
        </w:rPr>
        <w:t xml:space="preserve"> </w:t>
      </w:r>
      <w:r w:rsidR="0055718C" w:rsidRPr="00B7347F">
        <w:rPr>
          <w:rFonts w:eastAsia="Times New Roman" w:cs="Times New Roman"/>
          <w:sz w:val="24"/>
          <w:szCs w:val="24"/>
        </w:rPr>
        <w:t>could</w:t>
      </w:r>
      <w:r w:rsidR="00601454" w:rsidRPr="00B7347F">
        <w:rPr>
          <w:rFonts w:eastAsia="Times New Roman" w:cs="Times New Roman"/>
          <w:sz w:val="24"/>
          <w:szCs w:val="24"/>
        </w:rPr>
        <w:t xml:space="preserve"> </w:t>
      </w:r>
      <w:r w:rsidR="0055718C" w:rsidRPr="00B7347F">
        <w:rPr>
          <w:rFonts w:eastAsia="Times New Roman" w:cs="Times New Roman"/>
          <w:sz w:val="24"/>
          <w:szCs w:val="24"/>
        </w:rPr>
        <w:t xml:space="preserve">be defined </w:t>
      </w:r>
      <w:r w:rsidR="0018519B">
        <w:rPr>
          <w:rFonts w:eastAsia="Times New Roman" w:cs="Times New Roman"/>
          <w:sz w:val="24"/>
          <w:szCs w:val="24"/>
        </w:rPr>
        <w:t xml:space="preserve">simply </w:t>
      </w:r>
      <w:r w:rsidR="0055718C" w:rsidRPr="00B7347F">
        <w:rPr>
          <w:rFonts w:eastAsia="Times New Roman" w:cs="Times New Roman"/>
          <w:sz w:val="24"/>
          <w:szCs w:val="24"/>
        </w:rPr>
        <w:t xml:space="preserve">as </w:t>
      </w:r>
      <w:r w:rsidR="000A33A6" w:rsidRPr="00B7347F">
        <w:rPr>
          <w:rFonts w:eastAsia="Times New Roman" w:cs="Times New Roman"/>
          <w:sz w:val="24"/>
          <w:szCs w:val="24"/>
        </w:rPr>
        <w:t>an ‘</w:t>
      </w:r>
      <w:r w:rsidR="000A33A6" w:rsidRPr="002526C2">
        <w:rPr>
          <w:rFonts w:eastAsia="Times New Roman" w:cs="Times New Roman"/>
          <w:color w:val="2F5496" w:themeColor="accent5" w:themeShade="BF"/>
          <w:sz w:val="24"/>
          <w:szCs w:val="24"/>
        </w:rPr>
        <w:t>intentional gathering</w:t>
      </w:r>
      <w:r w:rsidR="00D37A7B" w:rsidRPr="00B7347F">
        <w:rPr>
          <w:rFonts w:eastAsia="Times New Roman" w:cs="Times New Roman"/>
          <w:sz w:val="24"/>
          <w:szCs w:val="24"/>
        </w:rPr>
        <w:t>.</w:t>
      </w:r>
      <w:r w:rsidR="000A33A6" w:rsidRPr="00B7347F">
        <w:rPr>
          <w:rFonts w:eastAsia="Times New Roman" w:cs="Times New Roman"/>
          <w:sz w:val="24"/>
          <w:szCs w:val="24"/>
        </w:rPr>
        <w:t>’ On this formulation, it is the intention to gather</w:t>
      </w:r>
      <w:r w:rsidR="00A7018D" w:rsidRPr="00B7347F">
        <w:rPr>
          <w:rFonts w:eastAsia="Times New Roman" w:cs="Times New Roman"/>
          <w:sz w:val="24"/>
          <w:szCs w:val="24"/>
        </w:rPr>
        <w:t xml:space="preserve"> (irrespective of </w:t>
      </w:r>
      <w:r w:rsidR="0055718C" w:rsidRPr="00B7347F">
        <w:rPr>
          <w:rFonts w:eastAsia="Times New Roman" w:cs="Times New Roman"/>
          <w:sz w:val="24"/>
          <w:szCs w:val="24"/>
        </w:rPr>
        <w:t xml:space="preserve">the </w:t>
      </w:r>
      <w:r w:rsidR="00A7018D" w:rsidRPr="00B7347F">
        <w:rPr>
          <w:rFonts w:eastAsia="Times New Roman" w:cs="Times New Roman"/>
          <w:sz w:val="24"/>
          <w:szCs w:val="24"/>
        </w:rPr>
        <w:t>individual purposes in doing so)</w:t>
      </w:r>
      <w:r w:rsidR="000A33A6" w:rsidRPr="00B7347F">
        <w:rPr>
          <w:rFonts w:eastAsia="Times New Roman" w:cs="Times New Roman"/>
          <w:sz w:val="24"/>
          <w:szCs w:val="24"/>
        </w:rPr>
        <w:t xml:space="preserve"> that differentiates a protected assembly from a </w:t>
      </w:r>
      <w:r w:rsidR="007D4F28" w:rsidRPr="00B7347F">
        <w:rPr>
          <w:rFonts w:eastAsia="Times New Roman" w:cs="Times New Roman"/>
          <w:sz w:val="24"/>
          <w:szCs w:val="24"/>
        </w:rPr>
        <w:t>‘</w:t>
      </w:r>
      <w:r w:rsidR="000A33A6" w:rsidRPr="00B7347F">
        <w:rPr>
          <w:rFonts w:eastAsia="Times New Roman" w:cs="Times New Roman"/>
          <w:sz w:val="24"/>
          <w:szCs w:val="24"/>
        </w:rPr>
        <w:t>random agglomeration</w:t>
      </w:r>
      <w:r w:rsidR="007D4F28" w:rsidRPr="00B7347F">
        <w:rPr>
          <w:rFonts w:eastAsia="Times New Roman" w:cs="Times New Roman"/>
          <w:sz w:val="24"/>
          <w:szCs w:val="24"/>
        </w:rPr>
        <w:t>’</w:t>
      </w:r>
      <w:r w:rsidRPr="00B7347F">
        <w:rPr>
          <w:rFonts w:eastAsia="Times New Roman" w:cs="Times New Roman"/>
          <w:sz w:val="24"/>
          <w:szCs w:val="24"/>
        </w:rPr>
        <w:t>.</w:t>
      </w:r>
    </w:p>
    <w:p w14:paraId="38244F25" w14:textId="77777777" w:rsidR="00B7347F" w:rsidRDefault="00B7347F" w:rsidP="00B7347F">
      <w:pPr>
        <w:rPr>
          <w:b/>
          <w:bCs/>
          <w:sz w:val="24"/>
          <w:szCs w:val="24"/>
        </w:rPr>
      </w:pPr>
    </w:p>
    <w:p w14:paraId="4902CAE7" w14:textId="63A35B06" w:rsidR="00B7347F" w:rsidRPr="0078090C" w:rsidRDefault="00115980" w:rsidP="00B7347F">
      <w:pPr>
        <w:rPr>
          <w:b/>
          <w:bCs/>
          <w:sz w:val="24"/>
          <w:szCs w:val="24"/>
          <w:u w:val="single"/>
        </w:rPr>
      </w:pPr>
      <w:r>
        <w:rPr>
          <w:b/>
          <w:bCs/>
          <w:sz w:val="24"/>
          <w:szCs w:val="24"/>
          <w:u w:val="single"/>
        </w:rPr>
        <w:t xml:space="preserve">Purported </w:t>
      </w:r>
      <w:r w:rsidR="00B7347F" w:rsidRPr="0078090C">
        <w:rPr>
          <w:b/>
          <w:bCs/>
          <w:sz w:val="24"/>
          <w:szCs w:val="24"/>
          <w:u w:val="single"/>
        </w:rPr>
        <w:t>exclusion of ‘commercial’, and heightened protection for ‘political’, assemblies</w:t>
      </w:r>
    </w:p>
    <w:p w14:paraId="62767A1C" w14:textId="575ED096" w:rsidR="009B712F" w:rsidRDefault="00191784" w:rsidP="0057347A">
      <w:pPr>
        <w:pStyle w:val="ListParagraph"/>
        <w:numPr>
          <w:ilvl w:val="0"/>
          <w:numId w:val="7"/>
        </w:numPr>
        <w:ind w:left="426" w:hanging="426"/>
        <w:jc w:val="both"/>
        <w:rPr>
          <w:sz w:val="24"/>
          <w:szCs w:val="24"/>
        </w:rPr>
      </w:pPr>
      <w:r w:rsidRPr="00B7347F">
        <w:rPr>
          <w:sz w:val="24"/>
          <w:szCs w:val="24"/>
        </w:rPr>
        <w:t>T</w:t>
      </w:r>
      <w:r w:rsidR="00106479" w:rsidRPr="00B7347F">
        <w:rPr>
          <w:sz w:val="24"/>
          <w:szCs w:val="24"/>
        </w:rPr>
        <w:t>h</w:t>
      </w:r>
      <w:r w:rsidR="007D4F28" w:rsidRPr="00B7347F">
        <w:rPr>
          <w:sz w:val="24"/>
          <w:szCs w:val="24"/>
        </w:rPr>
        <w:t>is</w:t>
      </w:r>
      <w:r w:rsidR="00106479" w:rsidRPr="00B7347F">
        <w:rPr>
          <w:sz w:val="24"/>
          <w:szCs w:val="24"/>
        </w:rPr>
        <w:t xml:space="preserve"> suggestion to </w:t>
      </w:r>
      <w:r w:rsidR="00106479" w:rsidRPr="001C2098">
        <w:rPr>
          <w:sz w:val="24"/>
          <w:szCs w:val="24"/>
        </w:rPr>
        <w:t>jettison ‘common expressive purpose’</w:t>
      </w:r>
      <w:r w:rsidR="00BD2C64" w:rsidRPr="001C2098">
        <w:rPr>
          <w:sz w:val="24"/>
          <w:szCs w:val="24"/>
        </w:rPr>
        <w:t xml:space="preserve"> </w:t>
      </w:r>
      <w:r w:rsidR="008A7CD8" w:rsidRPr="001C2098">
        <w:rPr>
          <w:sz w:val="24"/>
          <w:szCs w:val="24"/>
        </w:rPr>
        <w:t xml:space="preserve">from </w:t>
      </w:r>
      <w:r w:rsidR="008A7CD8" w:rsidRPr="009B712F">
        <w:rPr>
          <w:b/>
          <w:bCs/>
          <w:sz w:val="24"/>
          <w:szCs w:val="24"/>
        </w:rPr>
        <w:t>paragraph 4</w:t>
      </w:r>
      <w:r w:rsidR="008A7CD8" w:rsidRPr="001C2098">
        <w:rPr>
          <w:sz w:val="24"/>
          <w:szCs w:val="24"/>
        </w:rPr>
        <w:t xml:space="preserve"> of the draft General Comment </w:t>
      </w:r>
      <w:r w:rsidRPr="001C2098">
        <w:rPr>
          <w:sz w:val="24"/>
          <w:szCs w:val="24"/>
        </w:rPr>
        <w:t>has</w:t>
      </w:r>
      <w:r w:rsidR="008A7CD8" w:rsidRPr="001C2098">
        <w:rPr>
          <w:sz w:val="24"/>
          <w:szCs w:val="24"/>
        </w:rPr>
        <w:t xml:space="preserve"> </w:t>
      </w:r>
      <w:r w:rsidRPr="001C2098">
        <w:rPr>
          <w:sz w:val="24"/>
          <w:szCs w:val="24"/>
        </w:rPr>
        <w:t xml:space="preserve">implications </w:t>
      </w:r>
      <w:r w:rsidR="009B712F">
        <w:rPr>
          <w:sz w:val="24"/>
          <w:szCs w:val="24"/>
        </w:rPr>
        <w:t>elsewhere in the text where the purported expressiveness of an assembly is also emphasized</w:t>
      </w:r>
      <w:r w:rsidRPr="001C2098">
        <w:rPr>
          <w:sz w:val="24"/>
          <w:szCs w:val="24"/>
        </w:rPr>
        <w:t xml:space="preserve"> (principally, </w:t>
      </w:r>
      <w:r w:rsidR="009B712F" w:rsidRPr="009B712F">
        <w:rPr>
          <w:b/>
          <w:bCs/>
          <w:sz w:val="24"/>
          <w:szCs w:val="24"/>
        </w:rPr>
        <w:t>paragraphs</w:t>
      </w:r>
      <w:r w:rsidR="009B712F">
        <w:rPr>
          <w:sz w:val="24"/>
          <w:szCs w:val="24"/>
        </w:rPr>
        <w:t xml:space="preserve"> </w:t>
      </w:r>
      <w:r w:rsidRPr="001C2098">
        <w:rPr>
          <w:b/>
          <w:bCs/>
          <w:sz w:val="24"/>
          <w:szCs w:val="24"/>
        </w:rPr>
        <w:t>14 and 36</w:t>
      </w:r>
      <w:r w:rsidR="008A7CD8" w:rsidRPr="001C2098">
        <w:rPr>
          <w:sz w:val="24"/>
          <w:szCs w:val="24"/>
        </w:rPr>
        <w:t xml:space="preserve">, </w:t>
      </w:r>
      <w:r w:rsidR="00CD67A8" w:rsidRPr="001C2098">
        <w:rPr>
          <w:sz w:val="24"/>
          <w:szCs w:val="24"/>
        </w:rPr>
        <w:t>and with</w:t>
      </w:r>
      <w:r w:rsidRPr="001C2098">
        <w:rPr>
          <w:sz w:val="24"/>
          <w:szCs w:val="24"/>
        </w:rPr>
        <w:t xml:space="preserve"> minor </w:t>
      </w:r>
      <w:r w:rsidR="009959C4" w:rsidRPr="001C2098">
        <w:rPr>
          <w:sz w:val="24"/>
          <w:szCs w:val="24"/>
        </w:rPr>
        <w:t>revisions</w:t>
      </w:r>
      <w:r w:rsidRPr="001C2098">
        <w:rPr>
          <w:sz w:val="24"/>
          <w:szCs w:val="24"/>
        </w:rPr>
        <w:t xml:space="preserve"> </w:t>
      </w:r>
      <w:r w:rsidR="009B712F">
        <w:rPr>
          <w:sz w:val="24"/>
          <w:szCs w:val="24"/>
        </w:rPr>
        <w:t xml:space="preserve">also </w:t>
      </w:r>
      <w:r w:rsidR="009959C4" w:rsidRPr="001C2098">
        <w:rPr>
          <w:sz w:val="24"/>
          <w:szCs w:val="24"/>
        </w:rPr>
        <w:t xml:space="preserve">needed </w:t>
      </w:r>
      <w:r w:rsidRPr="001C2098">
        <w:rPr>
          <w:sz w:val="24"/>
          <w:szCs w:val="24"/>
        </w:rPr>
        <w:t>to</w:t>
      </w:r>
      <w:r w:rsidR="009B712F" w:rsidRPr="009B712F">
        <w:rPr>
          <w:b/>
          <w:bCs/>
          <w:sz w:val="24"/>
          <w:szCs w:val="24"/>
        </w:rPr>
        <w:t xml:space="preserve"> paragraphs</w:t>
      </w:r>
      <w:r w:rsidRPr="001C2098">
        <w:rPr>
          <w:sz w:val="24"/>
          <w:szCs w:val="24"/>
        </w:rPr>
        <w:t xml:space="preserve"> </w:t>
      </w:r>
      <w:r w:rsidRPr="001C2098">
        <w:rPr>
          <w:b/>
          <w:bCs/>
          <w:sz w:val="24"/>
          <w:szCs w:val="24"/>
        </w:rPr>
        <w:t>25 and 112</w:t>
      </w:r>
      <w:r w:rsidRPr="001C2098">
        <w:rPr>
          <w:sz w:val="24"/>
          <w:szCs w:val="24"/>
        </w:rPr>
        <w:t xml:space="preserve">). </w:t>
      </w:r>
    </w:p>
    <w:p w14:paraId="45F04152" w14:textId="77777777" w:rsidR="009B712F" w:rsidRDefault="009B712F" w:rsidP="009B712F">
      <w:pPr>
        <w:pStyle w:val="ListParagraph"/>
        <w:ind w:left="426"/>
        <w:jc w:val="both"/>
        <w:rPr>
          <w:sz w:val="24"/>
          <w:szCs w:val="24"/>
        </w:rPr>
      </w:pPr>
    </w:p>
    <w:p w14:paraId="7B9D704C" w14:textId="4448CB56" w:rsidR="00B7347F" w:rsidRDefault="00191784" w:rsidP="0057347A">
      <w:pPr>
        <w:pStyle w:val="ListParagraph"/>
        <w:numPr>
          <w:ilvl w:val="0"/>
          <w:numId w:val="7"/>
        </w:numPr>
        <w:ind w:left="426" w:hanging="426"/>
        <w:jc w:val="both"/>
        <w:rPr>
          <w:sz w:val="24"/>
          <w:szCs w:val="24"/>
        </w:rPr>
      </w:pPr>
      <w:r w:rsidRPr="001C2098">
        <w:rPr>
          <w:sz w:val="24"/>
          <w:szCs w:val="24"/>
        </w:rPr>
        <w:t>T</w:t>
      </w:r>
      <w:r w:rsidR="00BD2C64" w:rsidRPr="001C2098">
        <w:rPr>
          <w:sz w:val="24"/>
          <w:szCs w:val="24"/>
        </w:rPr>
        <w:t>he</w:t>
      </w:r>
      <w:r w:rsidR="0061314A" w:rsidRPr="001C2098">
        <w:rPr>
          <w:sz w:val="24"/>
          <w:szCs w:val="24"/>
        </w:rPr>
        <w:t xml:space="preserve"> purported</w:t>
      </w:r>
      <w:r w:rsidR="00BD2C64" w:rsidRPr="001C2098">
        <w:rPr>
          <w:sz w:val="24"/>
          <w:szCs w:val="24"/>
        </w:rPr>
        <w:t xml:space="preserve"> ‘expressive purpose’ of an assembly is</w:t>
      </w:r>
      <w:r w:rsidR="0061314A" w:rsidRPr="001C2098">
        <w:rPr>
          <w:sz w:val="24"/>
          <w:szCs w:val="24"/>
        </w:rPr>
        <w:t xml:space="preserve"> </w:t>
      </w:r>
      <w:r w:rsidR="00BD2C64" w:rsidRPr="001C2098">
        <w:rPr>
          <w:sz w:val="24"/>
          <w:szCs w:val="24"/>
        </w:rPr>
        <w:t xml:space="preserve">invoked </w:t>
      </w:r>
      <w:r w:rsidR="00BD2C64" w:rsidRPr="00B7347F">
        <w:rPr>
          <w:sz w:val="24"/>
          <w:szCs w:val="24"/>
        </w:rPr>
        <w:t>in</w:t>
      </w:r>
      <w:r w:rsidR="009B712F">
        <w:rPr>
          <w:sz w:val="24"/>
          <w:szCs w:val="24"/>
        </w:rPr>
        <w:t xml:space="preserve"> </w:t>
      </w:r>
      <w:r w:rsidR="009B712F" w:rsidRPr="009B712F">
        <w:rPr>
          <w:b/>
          <w:bCs/>
          <w:sz w:val="24"/>
          <w:szCs w:val="24"/>
        </w:rPr>
        <w:t>paragraphs 14 and 36</w:t>
      </w:r>
      <w:r w:rsidR="00BD2C64" w:rsidRPr="00B7347F">
        <w:rPr>
          <w:sz w:val="24"/>
          <w:szCs w:val="24"/>
        </w:rPr>
        <w:t xml:space="preserve"> </w:t>
      </w:r>
      <w:r w:rsidR="009B712F">
        <w:rPr>
          <w:sz w:val="24"/>
          <w:szCs w:val="24"/>
        </w:rPr>
        <w:t xml:space="preserve">of </w:t>
      </w:r>
      <w:r w:rsidR="00BD2C64" w:rsidRPr="00B7347F">
        <w:rPr>
          <w:sz w:val="24"/>
          <w:szCs w:val="24"/>
        </w:rPr>
        <w:t xml:space="preserve">the draft General Comment </w:t>
      </w:r>
      <w:r w:rsidR="00FA4446" w:rsidRPr="00B7347F">
        <w:rPr>
          <w:sz w:val="24"/>
          <w:szCs w:val="24"/>
        </w:rPr>
        <w:t xml:space="preserve">to differentiate between two types (or categories) of assembly – </w:t>
      </w:r>
      <w:r w:rsidR="008A7CD8" w:rsidRPr="00B7347F">
        <w:rPr>
          <w:sz w:val="24"/>
          <w:szCs w:val="24"/>
        </w:rPr>
        <w:t>‘</w:t>
      </w:r>
      <w:r w:rsidR="00FA4446" w:rsidRPr="00B7347F">
        <w:rPr>
          <w:sz w:val="24"/>
          <w:szCs w:val="24"/>
        </w:rPr>
        <w:t>political</w:t>
      </w:r>
      <w:r w:rsidR="008A7CD8" w:rsidRPr="00B7347F">
        <w:rPr>
          <w:sz w:val="24"/>
          <w:szCs w:val="24"/>
        </w:rPr>
        <w:t>’</w:t>
      </w:r>
      <w:r w:rsidR="00FA4446" w:rsidRPr="00B7347F">
        <w:rPr>
          <w:sz w:val="24"/>
          <w:szCs w:val="24"/>
        </w:rPr>
        <w:t xml:space="preserve"> and </w:t>
      </w:r>
      <w:r w:rsidR="009D1776" w:rsidRPr="00B7347F">
        <w:rPr>
          <w:sz w:val="24"/>
          <w:szCs w:val="24"/>
        </w:rPr>
        <w:t xml:space="preserve">(non-expressive) </w:t>
      </w:r>
      <w:r w:rsidR="008A7CD8" w:rsidRPr="00B7347F">
        <w:rPr>
          <w:sz w:val="24"/>
          <w:szCs w:val="24"/>
        </w:rPr>
        <w:t>‘</w:t>
      </w:r>
      <w:r w:rsidR="00FA4446" w:rsidRPr="00B7347F">
        <w:rPr>
          <w:sz w:val="24"/>
          <w:szCs w:val="24"/>
        </w:rPr>
        <w:t>commercial</w:t>
      </w:r>
      <w:r w:rsidR="008A7CD8" w:rsidRPr="00B7347F">
        <w:rPr>
          <w:sz w:val="24"/>
          <w:szCs w:val="24"/>
        </w:rPr>
        <w:t>’</w:t>
      </w:r>
      <w:r w:rsidR="00FA4446" w:rsidRPr="00B7347F">
        <w:rPr>
          <w:sz w:val="24"/>
          <w:szCs w:val="24"/>
        </w:rPr>
        <w:t xml:space="preserve"> assemblies – and to justify affording them different levels of protection.</w:t>
      </w:r>
      <w:r w:rsidR="0057347A" w:rsidRPr="00B7347F">
        <w:rPr>
          <w:sz w:val="24"/>
          <w:szCs w:val="24"/>
        </w:rPr>
        <w:t xml:space="preserve"> </w:t>
      </w:r>
    </w:p>
    <w:p w14:paraId="6AD63204" w14:textId="77777777" w:rsidR="00B7347F" w:rsidRDefault="00B7347F" w:rsidP="00B7347F">
      <w:pPr>
        <w:pStyle w:val="ListParagraph"/>
        <w:ind w:left="426"/>
        <w:jc w:val="both"/>
        <w:rPr>
          <w:sz w:val="24"/>
          <w:szCs w:val="24"/>
        </w:rPr>
      </w:pPr>
    </w:p>
    <w:p w14:paraId="11E475A3" w14:textId="77777777" w:rsidR="00CD67A8" w:rsidRDefault="00FA4446" w:rsidP="00FA4446">
      <w:pPr>
        <w:pStyle w:val="ListParagraph"/>
        <w:numPr>
          <w:ilvl w:val="0"/>
          <w:numId w:val="7"/>
        </w:numPr>
        <w:ind w:left="426" w:hanging="426"/>
        <w:jc w:val="both"/>
        <w:rPr>
          <w:sz w:val="24"/>
          <w:szCs w:val="24"/>
        </w:rPr>
      </w:pPr>
      <w:r w:rsidRPr="00B7347F">
        <w:rPr>
          <w:sz w:val="24"/>
          <w:szCs w:val="24"/>
        </w:rPr>
        <w:t>The draft General Comment (</w:t>
      </w:r>
      <w:r w:rsidRPr="0078090C">
        <w:rPr>
          <w:b/>
          <w:bCs/>
          <w:sz w:val="24"/>
          <w:szCs w:val="24"/>
        </w:rPr>
        <w:t>paragraph 14</w:t>
      </w:r>
      <w:r w:rsidRPr="00B7347F">
        <w:rPr>
          <w:sz w:val="24"/>
          <w:szCs w:val="24"/>
        </w:rPr>
        <w:t xml:space="preserve">) </w:t>
      </w:r>
      <w:r w:rsidR="00BD2C64" w:rsidRPr="00B7347F">
        <w:rPr>
          <w:sz w:val="24"/>
          <w:szCs w:val="24"/>
        </w:rPr>
        <w:t>exclu</w:t>
      </w:r>
      <w:r w:rsidRPr="00B7347F">
        <w:rPr>
          <w:sz w:val="24"/>
          <w:szCs w:val="24"/>
        </w:rPr>
        <w:t xml:space="preserve">des </w:t>
      </w:r>
      <w:r w:rsidR="00BD2C64" w:rsidRPr="00B7347F">
        <w:rPr>
          <w:sz w:val="24"/>
          <w:szCs w:val="24"/>
        </w:rPr>
        <w:t>non-expressive commercial assemblies from the scope of Article 21</w:t>
      </w:r>
      <w:r w:rsidRPr="00B7347F">
        <w:rPr>
          <w:sz w:val="24"/>
          <w:szCs w:val="24"/>
        </w:rPr>
        <w:t>:</w:t>
      </w:r>
      <w:r w:rsidR="00BD2C64" w:rsidRPr="00B7347F">
        <w:rPr>
          <w:sz w:val="24"/>
          <w:szCs w:val="24"/>
        </w:rPr>
        <w:t xml:space="preserve"> </w:t>
      </w:r>
    </w:p>
    <w:p w14:paraId="13842888" w14:textId="77777777" w:rsidR="00CD67A8" w:rsidRDefault="00CD67A8" w:rsidP="00CD67A8">
      <w:pPr>
        <w:pStyle w:val="ListParagraph"/>
        <w:rPr>
          <w:sz w:val="24"/>
          <w:szCs w:val="24"/>
        </w:rPr>
      </w:pPr>
    </w:p>
    <w:p w14:paraId="26989E98" w14:textId="365C71BD" w:rsidR="00CD67A8" w:rsidRPr="00CD67A8" w:rsidRDefault="00CD67A8" w:rsidP="00CD67A8">
      <w:pPr>
        <w:pStyle w:val="ListParagraph"/>
        <w:rPr>
          <w:sz w:val="24"/>
          <w:szCs w:val="24"/>
        </w:rPr>
      </w:pPr>
      <w:r w:rsidRPr="00CD67A8">
        <w:rPr>
          <w:sz w:val="24"/>
          <w:szCs w:val="24"/>
        </w:rPr>
        <w:t>‘</w:t>
      </w:r>
      <w:r w:rsidRPr="00CD67A8">
        <w:rPr>
          <w:i/>
          <w:iCs/>
          <w:sz w:val="24"/>
          <w:szCs w:val="24"/>
        </w:rPr>
        <w:t>While commercial gatherings would not generally fall within the scope of what is protected by article 21, they are covered to the extent that they have an expressive purpose.’</w:t>
      </w:r>
      <w:r w:rsidRPr="00CD67A8">
        <w:rPr>
          <w:sz w:val="24"/>
          <w:szCs w:val="24"/>
        </w:rPr>
        <w:t xml:space="preserve"> </w:t>
      </w:r>
    </w:p>
    <w:p w14:paraId="53595437" w14:textId="77777777" w:rsidR="00FF4807" w:rsidRDefault="00FF4807" w:rsidP="00FF4807">
      <w:pPr>
        <w:pStyle w:val="ListParagraph"/>
        <w:ind w:left="426"/>
        <w:jc w:val="both"/>
        <w:rPr>
          <w:sz w:val="24"/>
          <w:szCs w:val="24"/>
        </w:rPr>
      </w:pPr>
    </w:p>
    <w:p w14:paraId="678E71D7" w14:textId="54A155DF" w:rsidR="00FF4807" w:rsidRDefault="00FF4807" w:rsidP="00FF4807">
      <w:pPr>
        <w:pStyle w:val="ListParagraph"/>
        <w:numPr>
          <w:ilvl w:val="0"/>
          <w:numId w:val="7"/>
        </w:numPr>
        <w:ind w:left="426" w:hanging="426"/>
        <w:jc w:val="both"/>
        <w:rPr>
          <w:sz w:val="24"/>
          <w:szCs w:val="24"/>
        </w:rPr>
      </w:pPr>
      <w:r w:rsidRPr="009B712F">
        <w:rPr>
          <w:sz w:val="24"/>
          <w:szCs w:val="24"/>
        </w:rPr>
        <w:t xml:space="preserve">In the absence of further clarification, it is entirely unclear what might constitute a non-expressive ‘commercial gathering’. Assemblies will often involve a range of different goals and there is no reason to wholly exclude from protection events with a commercial rationale. </w:t>
      </w:r>
      <w:r w:rsidR="008A5DAF">
        <w:rPr>
          <w:sz w:val="24"/>
          <w:szCs w:val="24"/>
        </w:rPr>
        <w:t>B</w:t>
      </w:r>
      <w:r w:rsidRPr="009B712F">
        <w:rPr>
          <w:sz w:val="24"/>
          <w:szCs w:val="24"/>
        </w:rPr>
        <w:t xml:space="preserve">eing primarily profit-oriented might perhaps be a factor that legitimately moderates the degree to which State authorities should be expected to </w:t>
      </w:r>
      <w:r w:rsidRPr="009B712F">
        <w:rPr>
          <w:sz w:val="24"/>
          <w:szCs w:val="24"/>
        </w:rPr>
        <w:lastRenderedPageBreak/>
        <w:t xml:space="preserve">fully resource the facilitation of such an assembly – albeit not so as to undercut the important general statement of principle in </w:t>
      </w:r>
      <w:r w:rsidRPr="009B712F">
        <w:rPr>
          <w:b/>
          <w:bCs/>
          <w:sz w:val="24"/>
          <w:szCs w:val="24"/>
        </w:rPr>
        <w:t>paragraph 74</w:t>
      </w:r>
      <w:r w:rsidRPr="009B712F">
        <w:rPr>
          <w:sz w:val="24"/>
          <w:szCs w:val="24"/>
        </w:rPr>
        <w:t xml:space="preserve"> </w:t>
      </w:r>
      <w:r>
        <w:rPr>
          <w:sz w:val="24"/>
          <w:szCs w:val="24"/>
        </w:rPr>
        <w:t>(that</w:t>
      </w:r>
      <w:r w:rsidRPr="009B712F">
        <w:rPr>
          <w:sz w:val="24"/>
          <w:szCs w:val="24"/>
        </w:rPr>
        <w:t xml:space="preserve"> costs ‘as a rule’ </w:t>
      </w:r>
      <w:r>
        <w:rPr>
          <w:sz w:val="24"/>
          <w:szCs w:val="24"/>
        </w:rPr>
        <w:t xml:space="preserve">should </w:t>
      </w:r>
      <w:r w:rsidRPr="009B712F">
        <w:rPr>
          <w:sz w:val="24"/>
          <w:szCs w:val="24"/>
        </w:rPr>
        <w:t>be</w:t>
      </w:r>
      <w:r>
        <w:rPr>
          <w:sz w:val="24"/>
          <w:szCs w:val="24"/>
        </w:rPr>
        <w:t xml:space="preserve"> </w:t>
      </w:r>
      <w:r w:rsidRPr="009B712F">
        <w:rPr>
          <w:sz w:val="24"/>
          <w:szCs w:val="24"/>
        </w:rPr>
        <w:t>covered by public funds</w:t>
      </w:r>
      <w:r>
        <w:rPr>
          <w:sz w:val="24"/>
          <w:szCs w:val="24"/>
        </w:rPr>
        <w:t>)</w:t>
      </w:r>
      <w:r w:rsidRPr="009B712F">
        <w:rPr>
          <w:sz w:val="24"/>
          <w:szCs w:val="24"/>
        </w:rPr>
        <w:t>.</w:t>
      </w:r>
    </w:p>
    <w:p w14:paraId="0481B2E3" w14:textId="77777777" w:rsidR="00CD67A8" w:rsidRPr="00CD67A8" w:rsidRDefault="00CD67A8" w:rsidP="00CD67A8">
      <w:pPr>
        <w:pStyle w:val="ListParagraph"/>
        <w:rPr>
          <w:sz w:val="24"/>
          <w:szCs w:val="24"/>
        </w:rPr>
      </w:pPr>
    </w:p>
    <w:p w14:paraId="692948C3" w14:textId="77777777" w:rsidR="00CD67A8" w:rsidRDefault="00FA4446" w:rsidP="00EC3C9D">
      <w:pPr>
        <w:pStyle w:val="ListParagraph"/>
        <w:numPr>
          <w:ilvl w:val="0"/>
          <w:numId w:val="7"/>
        </w:numPr>
        <w:ind w:left="426" w:hanging="426"/>
        <w:jc w:val="both"/>
        <w:rPr>
          <w:sz w:val="24"/>
          <w:szCs w:val="24"/>
        </w:rPr>
      </w:pPr>
      <w:r w:rsidRPr="00CD67A8">
        <w:rPr>
          <w:sz w:val="24"/>
          <w:szCs w:val="24"/>
        </w:rPr>
        <w:t xml:space="preserve">The draft text (in </w:t>
      </w:r>
      <w:r w:rsidRPr="00FF4807">
        <w:rPr>
          <w:b/>
          <w:bCs/>
          <w:sz w:val="24"/>
          <w:szCs w:val="24"/>
        </w:rPr>
        <w:t>paragraph 36</w:t>
      </w:r>
      <w:r w:rsidRPr="00CD67A8">
        <w:rPr>
          <w:sz w:val="24"/>
          <w:szCs w:val="24"/>
        </w:rPr>
        <w:t xml:space="preserve">) affords </w:t>
      </w:r>
      <w:r w:rsidR="00BD2C64" w:rsidRPr="00CD67A8">
        <w:rPr>
          <w:sz w:val="24"/>
          <w:szCs w:val="24"/>
        </w:rPr>
        <w:t xml:space="preserve">heightened protection </w:t>
      </w:r>
      <w:r w:rsidRPr="00CD67A8">
        <w:rPr>
          <w:sz w:val="24"/>
          <w:szCs w:val="24"/>
        </w:rPr>
        <w:t>to</w:t>
      </w:r>
      <w:r w:rsidR="00BD2C64" w:rsidRPr="00CD67A8">
        <w:rPr>
          <w:sz w:val="24"/>
          <w:szCs w:val="24"/>
        </w:rPr>
        <w:t xml:space="preserve"> assemblies with a political message</w:t>
      </w:r>
      <w:r w:rsidRPr="00CD67A8">
        <w:rPr>
          <w:sz w:val="24"/>
          <w:szCs w:val="24"/>
        </w:rPr>
        <w:t>:</w:t>
      </w:r>
      <w:r w:rsidR="00BD2C64" w:rsidRPr="00CD67A8">
        <w:rPr>
          <w:sz w:val="24"/>
          <w:szCs w:val="24"/>
        </w:rPr>
        <w:t xml:space="preserve"> </w:t>
      </w:r>
    </w:p>
    <w:p w14:paraId="7A67EE4D" w14:textId="77777777" w:rsidR="00CD67A8" w:rsidRDefault="00CD67A8" w:rsidP="00CD67A8">
      <w:pPr>
        <w:pStyle w:val="ListParagraph"/>
        <w:rPr>
          <w:i/>
          <w:iCs/>
          <w:sz w:val="24"/>
          <w:szCs w:val="24"/>
        </w:rPr>
      </w:pPr>
    </w:p>
    <w:p w14:paraId="4A5A3E57" w14:textId="085FD85A" w:rsidR="009B712F" w:rsidRDefault="00CD67A8" w:rsidP="00FF4807">
      <w:pPr>
        <w:pStyle w:val="ListParagraph"/>
        <w:rPr>
          <w:sz w:val="24"/>
          <w:szCs w:val="24"/>
        </w:rPr>
      </w:pPr>
      <w:r w:rsidRPr="00CD67A8">
        <w:rPr>
          <w:i/>
          <w:iCs/>
          <w:sz w:val="24"/>
          <w:szCs w:val="24"/>
        </w:rPr>
        <w:t>‘Given that peaceful assemblies have an expressive function, and political speech enjoys particular protection as a form of expression, it follows that assemblies with a political message should likewise enjoy a heightened level of accommodation and protection</w:t>
      </w:r>
      <w:r w:rsidRPr="00CD67A8">
        <w:rPr>
          <w:sz w:val="24"/>
          <w:szCs w:val="24"/>
        </w:rPr>
        <w:t>.’</w:t>
      </w:r>
    </w:p>
    <w:p w14:paraId="5FFB980F" w14:textId="77777777" w:rsidR="00FF4807" w:rsidRPr="00FF4807" w:rsidRDefault="00FF4807" w:rsidP="00FF4807">
      <w:pPr>
        <w:pStyle w:val="ListParagraph"/>
        <w:rPr>
          <w:sz w:val="24"/>
          <w:szCs w:val="24"/>
        </w:rPr>
      </w:pPr>
    </w:p>
    <w:p w14:paraId="58BD5EC8" w14:textId="4F2B2B7D" w:rsidR="00CD67A8" w:rsidRDefault="00FF4807" w:rsidP="00FF4807">
      <w:pPr>
        <w:pStyle w:val="ListParagraph"/>
        <w:numPr>
          <w:ilvl w:val="0"/>
          <w:numId w:val="7"/>
        </w:numPr>
        <w:ind w:left="426" w:hanging="426"/>
        <w:jc w:val="both"/>
        <w:rPr>
          <w:sz w:val="24"/>
          <w:szCs w:val="24"/>
        </w:rPr>
      </w:pPr>
      <w:r>
        <w:rPr>
          <w:sz w:val="24"/>
          <w:szCs w:val="24"/>
        </w:rPr>
        <w:t xml:space="preserve">As with ‘commercial’ assemblies, the boundaries of the ‘political’ are </w:t>
      </w:r>
      <w:r w:rsidR="008A5DAF">
        <w:rPr>
          <w:sz w:val="24"/>
          <w:szCs w:val="24"/>
        </w:rPr>
        <w:t>both porous and amorphous</w:t>
      </w:r>
      <w:r>
        <w:rPr>
          <w:sz w:val="24"/>
          <w:szCs w:val="24"/>
        </w:rPr>
        <w:t xml:space="preserve"> and </w:t>
      </w:r>
      <w:r w:rsidRPr="00FF4807">
        <w:rPr>
          <w:b/>
          <w:bCs/>
          <w:sz w:val="24"/>
          <w:szCs w:val="24"/>
        </w:rPr>
        <w:t>paragraph 36</w:t>
      </w:r>
      <w:r>
        <w:rPr>
          <w:sz w:val="24"/>
          <w:szCs w:val="24"/>
        </w:rPr>
        <w:t xml:space="preserve"> implies a content-based hierarchy that risks (indeed, justifies) the under-protection of non-political or pre-political gatherings (perhaps those that are primarily artistic, cultural or recreational and which are also deserving of strong protection in their own right).</w:t>
      </w:r>
    </w:p>
    <w:p w14:paraId="2CB9B673" w14:textId="77777777" w:rsidR="00FF4807" w:rsidRPr="00FF4807" w:rsidRDefault="00FF4807" w:rsidP="00FF4807">
      <w:pPr>
        <w:pStyle w:val="ListParagraph"/>
        <w:ind w:left="426"/>
        <w:jc w:val="both"/>
        <w:rPr>
          <w:sz w:val="24"/>
          <w:szCs w:val="24"/>
        </w:rPr>
      </w:pPr>
    </w:p>
    <w:p w14:paraId="5E69AE74" w14:textId="6F45D6F7" w:rsidR="00FF4807" w:rsidRPr="0049291E" w:rsidRDefault="008A5DAF" w:rsidP="00FF4807">
      <w:pPr>
        <w:pStyle w:val="ListParagraph"/>
        <w:numPr>
          <w:ilvl w:val="0"/>
          <w:numId w:val="7"/>
        </w:numPr>
        <w:ind w:left="426" w:hanging="426"/>
        <w:jc w:val="both"/>
        <w:rPr>
          <w:sz w:val="24"/>
          <w:szCs w:val="24"/>
        </w:rPr>
      </w:pPr>
      <w:r>
        <w:rPr>
          <w:sz w:val="24"/>
          <w:szCs w:val="24"/>
          <w:lang w:val="en-IE"/>
        </w:rPr>
        <w:t>Given</w:t>
      </w:r>
      <w:r w:rsidR="00FF4807" w:rsidRPr="00CD67A8">
        <w:rPr>
          <w:sz w:val="24"/>
          <w:szCs w:val="24"/>
          <w:lang w:val="en-IE"/>
        </w:rPr>
        <w:t xml:space="preserve"> that such bright-line distinctions </w:t>
      </w:r>
      <w:r w:rsidR="00FF4807">
        <w:rPr>
          <w:sz w:val="24"/>
          <w:szCs w:val="24"/>
          <w:lang w:val="en-IE"/>
        </w:rPr>
        <w:t>are</w:t>
      </w:r>
      <w:r>
        <w:rPr>
          <w:sz w:val="24"/>
          <w:szCs w:val="24"/>
          <w:lang w:val="en-IE"/>
        </w:rPr>
        <w:t xml:space="preserve"> often</w:t>
      </w:r>
      <w:r w:rsidR="00FF4807">
        <w:rPr>
          <w:sz w:val="24"/>
          <w:szCs w:val="24"/>
          <w:lang w:val="en-IE"/>
        </w:rPr>
        <w:t xml:space="preserve"> impossible to draw</w:t>
      </w:r>
      <w:r w:rsidRPr="008A5DAF">
        <w:rPr>
          <w:sz w:val="24"/>
          <w:szCs w:val="24"/>
          <w:lang w:val="en-IE"/>
        </w:rPr>
        <w:t xml:space="preserve"> </w:t>
      </w:r>
      <w:r>
        <w:rPr>
          <w:sz w:val="24"/>
          <w:szCs w:val="24"/>
          <w:lang w:val="en-IE"/>
        </w:rPr>
        <w:t xml:space="preserve">(or </w:t>
      </w:r>
      <w:r w:rsidRPr="00CD67A8">
        <w:rPr>
          <w:sz w:val="24"/>
          <w:szCs w:val="24"/>
          <w:lang w:val="en-IE"/>
        </w:rPr>
        <w:t>simply do not exist</w:t>
      </w:r>
      <w:r>
        <w:rPr>
          <w:sz w:val="24"/>
          <w:szCs w:val="24"/>
          <w:lang w:val="en-IE"/>
        </w:rPr>
        <w:t>)</w:t>
      </w:r>
      <w:r w:rsidR="00FF4807">
        <w:rPr>
          <w:sz w:val="24"/>
          <w:szCs w:val="24"/>
          <w:lang w:val="en-IE"/>
        </w:rPr>
        <w:t>, o</w:t>
      </w:r>
      <w:proofErr w:type="spellStart"/>
      <w:r w:rsidR="00FF4807" w:rsidRPr="0049291E">
        <w:rPr>
          <w:rFonts w:cstheme="minorHAnsi"/>
          <w:sz w:val="24"/>
          <w:szCs w:val="24"/>
        </w:rPr>
        <w:t>ne</w:t>
      </w:r>
      <w:proofErr w:type="spellEnd"/>
      <w:r w:rsidR="00FF4807" w:rsidRPr="0049291E">
        <w:rPr>
          <w:rFonts w:cstheme="minorHAnsi"/>
          <w:sz w:val="24"/>
          <w:szCs w:val="24"/>
        </w:rPr>
        <w:t xml:space="preserve"> possibility might be to reword paragraph 14 by combining it with current para 7, along the following lines: </w:t>
      </w:r>
    </w:p>
    <w:p w14:paraId="498C2D95" w14:textId="42118FAD" w:rsidR="00CD67A8" w:rsidRPr="00264033" w:rsidRDefault="00CD67A8" w:rsidP="00264033">
      <w:pPr>
        <w:pStyle w:val="CommentText"/>
        <w:tabs>
          <w:tab w:val="left" w:pos="851"/>
        </w:tabs>
        <w:ind w:left="851" w:right="521" w:hanging="425"/>
        <w:jc w:val="both"/>
        <w:rPr>
          <w:rFonts w:asciiTheme="minorHAnsi" w:hAnsiTheme="minorHAnsi" w:cstheme="minorHAnsi"/>
          <w:i/>
          <w:iCs/>
          <w:color w:val="2F5496" w:themeColor="accent5" w:themeShade="BF"/>
          <w:sz w:val="24"/>
          <w:szCs w:val="24"/>
        </w:rPr>
      </w:pPr>
      <w:r w:rsidRPr="00264033">
        <w:rPr>
          <w:rFonts w:asciiTheme="minorHAnsi" w:hAnsiTheme="minorHAnsi" w:cstheme="minorHAnsi"/>
          <w:i/>
          <w:iCs/>
          <w:color w:val="2F5496" w:themeColor="accent5" w:themeShade="BF"/>
          <w:sz w:val="24"/>
          <w:szCs w:val="24"/>
        </w:rPr>
        <w:t>14</w:t>
      </w:r>
      <w:r w:rsidR="0049291E" w:rsidRPr="00264033">
        <w:rPr>
          <w:rFonts w:asciiTheme="minorHAnsi" w:hAnsiTheme="minorHAnsi" w:cstheme="minorHAnsi"/>
          <w:i/>
          <w:iCs/>
          <w:color w:val="2F5496" w:themeColor="accent5" w:themeShade="BF"/>
          <w:sz w:val="24"/>
          <w:szCs w:val="24"/>
        </w:rPr>
        <w:t>.</w:t>
      </w:r>
      <w:r w:rsidR="0049291E" w:rsidRPr="00264033">
        <w:rPr>
          <w:rFonts w:asciiTheme="minorHAnsi" w:hAnsiTheme="minorHAnsi" w:cstheme="minorHAnsi"/>
          <w:i/>
          <w:iCs/>
          <w:color w:val="2F5496" w:themeColor="accent5" w:themeShade="BF"/>
          <w:sz w:val="24"/>
          <w:szCs w:val="24"/>
        </w:rPr>
        <w:tab/>
      </w:r>
      <w:r w:rsidRPr="00264033">
        <w:rPr>
          <w:rFonts w:asciiTheme="minorHAnsi" w:hAnsiTheme="minorHAnsi" w:cstheme="minorHAnsi"/>
          <w:i/>
          <w:iCs/>
          <w:color w:val="2F5496" w:themeColor="accent5" w:themeShade="BF"/>
          <w:sz w:val="24"/>
          <w:szCs w:val="24"/>
        </w:rPr>
        <w:t>Assemblies may serve a range of goals. These include communicative purposes</w:t>
      </w:r>
      <w:r w:rsidR="0049291E" w:rsidRPr="00264033">
        <w:rPr>
          <w:rFonts w:asciiTheme="minorHAnsi" w:hAnsiTheme="minorHAnsi" w:cstheme="minorHAnsi"/>
          <w:i/>
          <w:iCs/>
          <w:color w:val="2F5496" w:themeColor="accent5" w:themeShade="BF"/>
          <w:sz w:val="24"/>
          <w:szCs w:val="24"/>
        </w:rPr>
        <w:t xml:space="preserve"> </w:t>
      </w:r>
      <w:r w:rsidRPr="00264033">
        <w:rPr>
          <w:rFonts w:asciiTheme="minorHAnsi" w:hAnsiTheme="minorHAnsi" w:cstheme="minorHAnsi"/>
          <w:i/>
          <w:iCs/>
          <w:color w:val="2F5496" w:themeColor="accent5" w:themeShade="BF"/>
          <w:sz w:val="24"/>
          <w:szCs w:val="24"/>
        </w:rPr>
        <w:t xml:space="preserve">(such as conveying a collective position on a particular issue) and associative purposes (such as asserting group solidarity or identity). Assemblies may, for example, be political, religious, cultural, commemorative, celebratory, recreational, sporting or commercial (or a </w:t>
      </w:r>
      <w:r w:rsidRPr="00264033">
        <w:rPr>
          <w:rFonts w:asciiTheme="minorHAnsi" w:hAnsiTheme="minorHAnsi" w:cstheme="minorHAnsi"/>
          <w:i/>
          <w:iCs/>
          <w:color w:val="2F5496" w:themeColor="accent5" w:themeShade="BF"/>
          <w:sz w:val="24"/>
          <w:szCs w:val="24"/>
        </w:rPr>
        <w:lastRenderedPageBreak/>
        <w:t xml:space="preserve">combination of these). Straightforward classification is often impossible and individual participants may have different </w:t>
      </w:r>
      <w:r w:rsidR="0049291E" w:rsidRPr="00264033">
        <w:rPr>
          <w:rFonts w:asciiTheme="minorHAnsi" w:hAnsiTheme="minorHAnsi" w:cstheme="minorHAnsi"/>
          <w:i/>
          <w:iCs/>
          <w:color w:val="2F5496" w:themeColor="accent5" w:themeShade="BF"/>
          <w:sz w:val="24"/>
          <w:szCs w:val="24"/>
        </w:rPr>
        <w:t>motivations</w:t>
      </w:r>
      <w:r w:rsidRPr="00264033">
        <w:rPr>
          <w:rFonts w:asciiTheme="minorHAnsi" w:hAnsiTheme="minorHAnsi" w:cstheme="minorHAnsi"/>
          <w:i/>
          <w:iCs/>
          <w:color w:val="2F5496" w:themeColor="accent5" w:themeShade="BF"/>
          <w:sz w:val="24"/>
          <w:szCs w:val="24"/>
        </w:rPr>
        <w:t xml:space="preserve"> </w:t>
      </w:r>
      <w:r w:rsidR="0049291E" w:rsidRPr="00264033">
        <w:rPr>
          <w:rFonts w:asciiTheme="minorHAnsi" w:hAnsiTheme="minorHAnsi" w:cstheme="minorHAnsi"/>
          <w:i/>
          <w:iCs/>
          <w:color w:val="2F5496" w:themeColor="accent5" w:themeShade="BF"/>
          <w:sz w:val="24"/>
          <w:szCs w:val="24"/>
        </w:rPr>
        <w:t>and</w:t>
      </w:r>
      <w:r w:rsidRPr="00264033">
        <w:rPr>
          <w:rFonts w:asciiTheme="minorHAnsi" w:hAnsiTheme="minorHAnsi" w:cstheme="minorHAnsi"/>
          <w:i/>
          <w:iCs/>
          <w:color w:val="2F5496" w:themeColor="accent5" w:themeShade="BF"/>
          <w:sz w:val="24"/>
          <w:szCs w:val="24"/>
        </w:rPr>
        <w:t xml:space="preserve"> priorities. </w:t>
      </w:r>
      <w:r w:rsidR="001C2098">
        <w:rPr>
          <w:rFonts w:asciiTheme="minorHAnsi" w:hAnsiTheme="minorHAnsi" w:cstheme="minorHAnsi"/>
          <w:i/>
          <w:iCs/>
          <w:color w:val="2F5496" w:themeColor="accent5" w:themeShade="BF"/>
          <w:sz w:val="24"/>
          <w:szCs w:val="24"/>
        </w:rPr>
        <w:t>All such</w:t>
      </w:r>
      <w:r w:rsidRPr="00264033">
        <w:rPr>
          <w:rFonts w:asciiTheme="minorHAnsi" w:hAnsiTheme="minorHAnsi" w:cstheme="minorHAnsi"/>
          <w:i/>
          <w:iCs/>
          <w:color w:val="2F5496" w:themeColor="accent5" w:themeShade="BF"/>
          <w:sz w:val="24"/>
          <w:szCs w:val="24"/>
        </w:rPr>
        <w:t xml:space="preserve"> purposes</w:t>
      </w:r>
      <w:r w:rsidR="008A5DAF">
        <w:rPr>
          <w:rFonts w:asciiTheme="minorHAnsi" w:hAnsiTheme="minorHAnsi" w:cstheme="minorHAnsi"/>
          <w:i/>
          <w:iCs/>
          <w:color w:val="2F5496" w:themeColor="accent5" w:themeShade="BF"/>
          <w:sz w:val="24"/>
          <w:szCs w:val="24"/>
        </w:rPr>
        <w:t>,</w:t>
      </w:r>
      <w:r w:rsidRPr="00264033">
        <w:rPr>
          <w:rFonts w:asciiTheme="minorHAnsi" w:hAnsiTheme="minorHAnsi" w:cstheme="minorHAnsi"/>
          <w:i/>
          <w:iCs/>
          <w:color w:val="2F5496" w:themeColor="accent5" w:themeShade="BF"/>
          <w:sz w:val="24"/>
          <w:szCs w:val="24"/>
        </w:rPr>
        <w:t xml:space="preserve"> </w:t>
      </w:r>
      <w:r w:rsidR="008A5DAF">
        <w:rPr>
          <w:rFonts w:asciiTheme="minorHAnsi" w:hAnsiTheme="minorHAnsi" w:cstheme="minorHAnsi"/>
          <w:i/>
          <w:iCs/>
          <w:color w:val="2F5496" w:themeColor="accent5" w:themeShade="BF"/>
          <w:sz w:val="24"/>
          <w:szCs w:val="24"/>
        </w:rPr>
        <w:t xml:space="preserve">however, </w:t>
      </w:r>
      <w:r w:rsidRPr="00264033">
        <w:rPr>
          <w:rFonts w:asciiTheme="minorHAnsi" w:hAnsiTheme="minorHAnsi" w:cstheme="minorHAnsi"/>
          <w:i/>
          <w:iCs/>
          <w:color w:val="2F5496" w:themeColor="accent5" w:themeShade="BF"/>
          <w:sz w:val="24"/>
          <w:szCs w:val="24"/>
        </w:rPr>
        <w:t>fall</w:t>
      </w:r>
      <w:r w:rsidR="001C2098">
        <w:rPr>
          <w:rFonts w:asciiTheme="minorHAnsi" w:hAnsiTheme="minorHAnsi" w:cstheme="minorHAnsi"/>
          <w:i/>
          <w:iCs/>
          <w:color w:val="2F5496" w:themeColor="accent5" w:themeShade="BF"/>
          <w:sz w:val="24"/>
          <w:szCs w:val="24"/>
        </w:rPr>
        <w:t xml:space="preserve"> within</w:t>
      </w:r>
      <w:r w:rsidRPr="00264033">
        <w:rPr>
          <w:rFonts w:asciiTheme="minorHAnsi" w:hAnsiTheme="minorHAnsi" w:cstheme="minorHAnsi"/>
          <w:i/>
          <w:iCs/>
          <w:color w:val="2F5496" w:themeColor="accent5" w:themeShade="BF"/>
          <w:sz w:val="24"/>
          <w:szCs w:val="24"/>
        </w:rPr>
        <w:t xml:space="preserve"> the protective scope of article 21.</w:t>
      </w:r>
    </w:p>
    <w:p w14:paraId="54F028B7" w14:textId="77777777" w:rsidR="00CD67A8" w:rsidRDefault="00CD67A8" w:rsidP="00CD67A8">
      <w:pPr>
        <w:jc w:val="both"/>
        <w:rPr>
          <w:rFonts w:eastAsia="Times New Roman" w:cs="Times New Roman"/>
          <w:b/>
          <w:bCs/>
          <w:sz w:val="24"/>
          <w:szCs w:val="24"/>
        </w:rPr>
      </w:pPr>
    </w:p>
    <w:p w14:paraId="05824C05" w14:textId="02CB1240" w:rsidR="00CD67A8" w:rsidRPr="0078090C" w:rsidRDefault="0057347A" w:rsidP="00CD67A8">
      <w:pPr>
        <w:jc w:val="both"/>
        <w:rPr>
          <w:sz w:val="24"/>
          <w:szCs w:val="24"/>
          <w:u w:val="single"/>
        </w:rPr>
      </w:pPr>
      <w:r w:rsidRPr="0078090C">
        <w:rPr>
          <w:rFonts w:eastAsia="Times New Roman" w:cs="Times New Roman"/>
          <w:b/>
          <w:bCs/>
          <w:sz w:val="24"/>
          <w:szCs w:val="24"/>
          <w:u w:val="single"/>
        </w:rPr>
        <w:t>‘By their nature temporary’</w:t>
      </w:r>
      <w:r w:rsidR="008A5DAF">
        <w:rPr>
          <w:rFonts w:eastAsia="Times New Roman" w:cs="Times New Roman"/>
          <w:b/>
          <w:bCs/>
          <w:sz w:val="24"/>
          <w:szCs w:val="24"/>
          <w:u w:val="single"/>
        </w:rPr>
        <w:t>? (O</w:t>
      </w:r>
      <w:r w:rsidRPr="0078090C">
        <w:rPr>
          <w:rFonts w:eastAsia="Times New Roman" w:cs="Times New Roman"/>
          <w:b/>
          <w:bCs/>
          <w:sz w:val="24"/>
          <w:szCs w:val="24"/>
          <w:u w:val="single"/>
        </w:rPr>
        <w:t xml:space="preserve">r </w:t>
      </w:r>
      <w:r w:rsidR="000261DA" w:rsidRPr="0078090C">
        <w:rPr>
          <w:rFonts w:eastAsia="Times New Roman" w:cs="Times New Roman"/>
          <w:b/>
          <w:bCs/>
          <w:sz w:val="24"/>
          <w:szCs w:val="24"/>
          <w:u w:val="single"/>
        </w:rPr>
        <w:t xml:space="preserve">including </w:t>
      </w:r>
      <w:r w:rsidR="005F6834" w:rsidRPr="0078090C">
        <w:rPr>
          <w:rFonts w:eastAsia="Times New Roman" w:cs="Times New Roman"/>
          <w:b/>
          <w:bCs/>
          <w:sz w:val="24"/>
          <w:szCs w:val="24"/>
          <w:u w:val="single"/>
        </w:rPr>
        <w:t>assemblies ‘for an extended duration’</w:t>
      </w:r>
      <w:r w:rsidR="008A5DAF">
        <w:rPr>
          <w:rFonts w:eastAsia="Times New Roman" w:cs="Times New Roman"/>
          <w:b/>
          <w:bCs/>
          <w:sz w:val="24"/>
          <w:szCs w:val="24"/>
          <w:u w:val="single"/>
        </w:rPr>
        <w:t>)</w:t>
      </w:r>
    </w:p>
    <w:p w14:paraId="01C58475" w14:textId="77777777" w:rsidR="00144F85" w:rsidRPr="00144F85" w:rsidRDefault="005F6834" w:rsidP="00106479">
      <w:pPr>
        <w:pStyle w:val="ListParagraph"/>
        <w:numPr>
          <w:ilvl w:val="0"/>
          <w:numId w:val="7"/>
        </w:numPr>
        <w:ind w:left="426" w:hanging="426"/>
        <w:jc w:val="both"/>
        <w:rPr>
          <w:sz w:val="24"/>
          <w:szCs w:val="24"/>
        </w:rPr>
      </w:pPr>
      <w:r w:rsidRPr="00CD67A8">
        <w:rPr>
          <w:rFonts w:eastAsia="Times New Roman" w:cstheme="minorHAnsi"/>
          <w:sz w:val="24"/>
          <w:szCs w:val="24"/>
        </w:rPr>
        <w:t xml:space="preserve">It is noteworthy that the scope of ‘assembly’ is not confined (in </w:t>
      </w:r>
      <w:r w:rsidRPr="0078090C">
        <w:rPr>
          <w:rFonts w:eastAsia="Times New Roman" w:cstheme="minorHAnsi"/>
          <w:b/>
          <w:bCs/>
          <w:sz w:val="24"/>
          <w:szCs w:val="24"/>
        </w:rPr>
        <w:t>paragraphs 4 and 13</w:t>
      </w:r>
      <w:r w:rsidRPr="00CD67A8">
        <w:rPr>
          <w:rFonts w:eastAsia="Times New Roman" w:cstheme="minorHAnsi"/>
          <w:sz w:val="24"/>
          <w:szCs w:val="24"/>
        </w:rPr>
        <w:t xml:space="preserve"> of the draft General Comment) to ‘temporary’ gatherings. This </w:t>
      </w:r>
      <w:r w:rsidR="00097F11" w:rsidRPr="00CD67A8">
        <w:rPr>
          <w:rFonts w:eastAsia="Times New Roman" w:cstheme="minorHAnsi"/>
          <w:sz w:val="24"/>
          <w:szCs w:val="24"/>
        </w:rPr>
        <w:t xml:space="preserve">much is </w:t>
      </w:r>
      <w:r w:rsidR="00EC3C9D" w:rsidRPr="00CD67A8">
        <w:rPr>
          <w:rFonts w:eastAsia="Times New Roman" w:cstheme="minorHAnsi"/>
          <w:sz w:val="24"/>
          <w:szCs w:val="24"/>
        </w:rPr>
        <w:t>to be welcomed</w:t>
      </w:r>
      <w:r w:rsidR="00097F11" w:rsidRPr="00CD67A8">
        <w:rPr>
          <w:rFonts w:eastAsia="Times New Roman" w:cstheme="minorHAnsi"/>
          <w:sz w:val="24"/>
          <w:szCs w:val="24"/>
        </w:rPr>
        <w:t xml:space="preserve"> </w:t>
      </w:r>
      <w:r w:rsidRPr="00CD67A8">
        <w:rPr>
          <w:rFonts w:eastAsia="Times New Roman" w:cstheme="minorHAnsi"/>
          <w:sz w:val="24"/>
          <w:szCs w:val="24"/>
        </w:rPr>
        <w:t xml:space="preserve">– temporariness </w:t>
      </w:r>
      <w:r w:rsidRPr="00CD67A8">
        <w:rPr>
          <w:rFonts w:eastAsia="MS PGothic" w:cstheme="minorHAnsi"/>
          <w:color w:val="000000"/>
          <w:kern w:val="24"/>
          <w:sz w:val="24"/>
          <w:szCs w:val="24"/>
          <w:lang w:val="en-IE" w:eastAsia="en-IE"/>
        </w:rPr>
        <w:t xml:space="preserve">is an </w:t>
      </w:r>
      <w:r w:rsidR="00097F11" w:rsidRPr="00CD67A8">
        <w:rPr>
          <w:rFonts w:eastAsia="MS PGothic" w:cstheme="minorHAnsi"/>
          <w:color w:val="000000"/>
          <w:kern w:val="24"/>
          <w:sz w:val="24"/>
          <w:szCs w:val="24"/>
          <w:lang w:val="en-IE" w:eastAsia="en-IE"/>
        </w:rPr>
        <w:t>inherently</w:t>
      </w:r>
      <w:r w:rsidR="00EC3C9D" w:rsidRPr="00CD67A8">
        <w:rPr>
          <w:rFonts w:eastAsia="MS PGothic" w:cstheme="minorHAnsi"/>
          <w:color w:val="000000"/>
          <w:kern w:val="24"/>
          <w:sz w:val="24"/>
          <w:szCs w:val="24"/>
          <w:lang w:val="en-IE" w:eastAsia="en-IE"/>
        </w:rPr>
        <w:t xml:space="preserve"> </w:t>
      </w:r>
      <w:r w:rsidRPr="00CD67A8">
        <w:rPr>
          <w:rFonts w:eastAsia="MS PGothic" w:cstheme="minorHAnsi"/>
          <w:color w:val="000000"/>
          <w:kern w:val="24"/>
          <w:sz w:val="24"/>
          <w:szCs w:val="24"/>
          <w:lang w:val="en-IE" w:eastAsia="en-IE"/>
        </w:rPr>
        <w:t>imprecise measure, one that immediately places the right of assembly on the backfoot (calling into question whether protracted sit-ins or encampments qualify for protection)</w:t>
      </w:r>
      <w:r w:rsidR="00EC3C9D" w:rsidRPr="00CD67A8">
        <w:rPr>
          <w:rFonts w:eastAsia="MS PGothic" w:cstheme="minorHAnsi"/>
          <w:color w:val="000000"/>
          <w:kern w:val="24"/>
          <w:sz w:val="24"/>
          <w:szCs w:val="24"/>
          <w:lang w:val="en-IE" w:eastAsia="en-IE"/>
        </w:rPr>
        <w:t xml:space="preserve"> and</w:t>
      </w:r>
      <w:r w:rsidRPr="00CD67A8">
        <w:rPr>
          <w:rFonts w:eastAsia="MS PGothic" w:cstheme="minorHAnsi"/>
          <w:color w:val="000000"/>
          <w:kern w:val="24"/>
          <w:sz w:val="24"/>
          <w:szCs w:val="24"/>
          <w:lang w:val="en-IE" w:eastAsia="en-IE"/>
        </w:rPr>
        <w:t xml:space="preserve"> serv</w:t>
      </w:r>
      <w:r w:rsidR="00EC3C9D" w:rsidRPr="00CD67A8">
        <w:rPr>
          <w:rFonts w:eastAsia="MS PGothic" w:cstheme="minorHAnsi"/>
          <w:color w:val="000000"/>
          <w:kern w:val="24"/>
          <w:sz w:val="24"/>
          <w:szCs w:val="24"/>
          <w:lang w:val="en-IE" w:eastAsia="en-IE"/>
        </w:rPr>
        <w:t xml:space="preserve">ing </w:t>
      </w:r>
      <w:r w:rsidRPr="00CD67A8">
        <w:rPr>
          <w:rFonts w:eastAsia="MS PGothic" w:cstheme="minorHAnsi"/>
          <w:color w:val="000000"/>
          <w:kern w:val="24"/>
          <w:sz w:val="24"/>
          <w:szCs w:val="24"/>
          <w:lang w:val="en-IE" w:eastAsia="en-IE"/>
        </w:rPr>
        <w:t xml:space="preserve">only to create a </w:t>
      </w:r>
      <w:r w:rsidR="00641A81" w:rsidRPr="00CD67A8">
        <w:rPr>
          <w:rFonts w:eastAsia="MS PGothic" w:cstheme="minorHAnsi"/>
          <w:color w:val="000000"/>
          <w:kern w:val="24"/>
          <w:sz w:val="24"/>
          <w:szCs w:val="24"/>
          <w:lang w:val="en-IE" w:eastAsia="en-IE"/>
        </w:rPr>
        <w:t xml:space="preserve">dangerous </w:t>
      </w:r>
      <w:r w:rsidRPr="00CD67A8">
        <w:rPr>
          <w:rFonts w:eastAsia="MS PGothic" w:cstheme="minorHAnsi"/>
          <w:color w:val="000000"/>
          <w:kern w:val="24"/>
          <w:sz w:val="24"/>
          <w:szCs w:val="24"/>
          <w:lang w:val="en-IE" w:eastAsia="en-IE"/>
        </w:rPr>
        <w:t xml:space="preserve">pretext for State intervention. </w:t>
      </w:r>
    </w:p>
    <w:p w14:paraId="22399BBA" w14:textId="77777777" w:rsidR="00144F85" w:rsidRPr="00144F85" w:rsidRDefault="00144F85" w:rsidP="00144F85">
      <w:pPr>
        <w:pStyle w:val="ListParagraph"/>
        <w:ind w:left="426"/>
        <w:jc w:val="both"/>
        <w:rPr>
          <w:sz w:val="24"/>
          <w:szCs w:val="24"/>
        </w:rPr>
      </w:pPr>
    </w:p>
    <w:p w14:paraId="6C37BAD2" w14:textId="7A5E58F0" w:rsidR="00144F85" w:rsidRPr="00144F85" w:rsidRDefault="00EC3C9D" w:rsidP="00106479">
      <w:pPr>
        <w:pStyle w:val="ListParagraph"/>
        <w:numPr>
          <w:ilvl w:val="0"/>
          <w:numId w:val="7"/>
        </w:numPr>
        <w:ind w:left="426" w:hanging="426"/>
        <w:jc w:val="both"/>
        <w:rPr>
          <w:sz w:val="24"/>
          <w:szCs w:val="24"/>
        </w:rPr>
      </w:pPr>
      <w:r w:rsidRPr="00144F85">
        <w:rPr>
          <w:rFonts w:eastAsia="Times New Roman" w:cstheme="minorHAnsi"/>
          <w:sz w:val="24"/>
          <w:szCs w:val="24"/>
        </w:rPr>
        <w:t xml:space="preserve">However, notwithstanding the absence of any reference to ‘temporariness’ in </w:t>
      </w:r>
      <w:r w:rsidR="00D572D8" w:rsidRPr="00144F85">
        <w:rPr>
          <w:rFonts w:eastAsia="Times New Roman" w:cstheme="minorHAnsi"/>
          <w:sz w:val="24"/>
          <w:szCs w:val="24"/>
        </w:rPr>
        <w:t>paragraphs 4 or 13 of the draft General Comment</w:t>
      </w:r>
      <w:r w:rsidRPr="00144F85">
        <w:rPr>
          <w:rFonts w:eastAsia="Times New Roman" w:cstheme="minorHAnsi"/>
          <w:sz w:val="24"/>
          <w:szCs w:val="24"/>
        </w:rPr>
        <w:t>,</w:t>
      </w:r>
      <w:r w:rsidR="005F6834" w:rsidRPr="00144F85">
        <w:rPr>
          <w:rFonts w:eastAsia="Times New Roman" w:cstheme="minorHAnsi"/>
          <w:sz w:val="24"/>
          <w:szCs w:val="24"/>
        </w:rPr>
        <w:t xml:space="preserve"> </w:t>
      </w:r>
      <w:r w:rsidR="005F6834" w:rsidRPr="0078090C">
        <w:rPr>
          <w:rFonts w:eastAsia="Times New Roman" w:cstheme="minorHAnsi"/>
          <w:b/>
          <w:bCs/>
          <w:sz w:val="24"/>
          <w:szCs w:val="24"/>
        </w:rPr>
        <w:t>paragraph 62</w:t>
      </w:r>
      <w:r w:rsidR="005F6834" w:rsidRPr="00144F85">
        <w:rPr>
          <w:rFonts w:eastAsia="Times New Roman" w:cstheme="minorHAnsi"/>
          <w:sz w:val="24"/>
          <w:szCs w:val="24"/>
        </w:rPr>
        <w:t xml:space="preserve"> of the draft (in the section on ‘Restrictions’) provides that: ‘</w:t>
      </w:r>
      <w:r w:rsidR="00D572D8" w:rsidRPr="00144F85">
        <w:rPr>
          <w:rFonts w:eastAsia="Times New Roman" w:cstheme="minorHAnsi"/>
          <w:i/>
          <w:iCs/>
          <w:sz w:val="24"/>
          <w:szCs w:val="24"/>
        </w:rPr>
        <w:t>[p]</w:t>
      </w:r>
      <w:proofErr w:type="spellStart"/>
      <w:r w:rsidR="005F6834" w:rsidRPr="00144F85">
        <w:rPr>
          <w:rFonts w:eastAsia="Times New Roman" w:cstheme="minorHAnsi"/>
          <w:i/>
          <w:iCs/>
          <w:sz w:val="24"/>
          <w:szCs w:val="24"/>
        </w:rPr>
        <w:t>eaceful</w:t>
      </w:r>
      <w:proofErr w:type="spellEnd"/>
      <w:r w:rsidR="005F6834" w:rsidRPr="00144F85">
        <w:rPr>
          <w:rFonts w:eastAsia="Times New Roman" w:cstheme="minorHAnsi"/>
          <w:i/>
          <w:iCs/>
          <w:sz w:val="24"/>
          <w:szCs w:val="24"/>
        </w:rPr>
        <w:t xml:space="preserve"> assemblies are generally by their nature temporary</w:t>
      </w:r>
      <w:r w:rsidR="005F6834" w:rsidRPr="00144F85">
        <w:rPr>
          <w:rFonts w:eastAsia="Times New Roman" w:cstheme="minorHAnsi"/>
          <w:sz w:val="24"/>
          <w:szCs w:val="24"/>
        </w:rPr>
        <w:t>’</w:t>
      </w:r>
      <w:r w:rsidR="00B161DF">
        <w:rPr>
          <w:rFonts w:eastAsia="Calibri" w:cstheme="minorHAnsi"/>
          <w:sz w:val="24"/>
          <w:szCs w:val="24"/>
          <w:lang w:val="en-IE"/>
        </w:rPr>
        <w:t xml:space="preserve">. </w:t>
      </w:r>
      <w:r w:rsidR="00B161DF" w:rsidRPr="0078090C">
        <w:rPr>
          <w:rFonts w:eastAsia="Calibri" w:cstheme="minorHAnsi"/>
          <w:b/>
          <w:bCs/>
          <w:sz w:val="24"/>
          <w:szCs w:val="24"/>
          <w:lang w:val="en-IE"/>
        </w:rPr>
        <w:t>P</w:t>
      </w:r>
      <w:r w:rsidR="00097F11" w:rsidRPr="0078090C">
        <w:rPr>
          <w:rFonts w:eastAsia="Calibri" w:cstheme="minorHAnsi"/>
          <w:b/>
          <w:bCs/>
          <w:sz w:val="24"/>
          <w:szCs w:val="24"/>
          <w:lang w:val="en-IE"/>
        </w:rPr>
        <w:t>aragraph 68</w:t>
      </w:r>
      <w:r w:rsidR="00097F11" w:rsidRPr="00144F85">
        <w:rPr>
          <w:rFonts w:eastAsia="Calibri" w:cstheme="minorHAnsi"/>
          <w:sz w:val="24"/>
          <w:szCs w:val="24"/>
          <w:lang w:val="en-IE"/>
        </w:rPr>
        <w:t xml:space="preserve"> </w:t>
      </w:r>
      <w:r w:rsidR="00B161DF">
        <w:rPr>
          <w:rFonts w:eastAsia="Calibri" w:cstheme="minorHAnsi"/>
          <w:sz w:val="24"/>
          <w:szCs w:val="24"/>
          <w:lang w:val="en-IE"/>
        </w:rPr>
        <w:t xml:space="preserve">similarly </w:t>
      </w:r>
      <w:r w:rsidR="00097F11" w:rsidRPr="00144F85">
        <w:rPr>
          <w:rFonts w:eastAsia="Calibri" w:cstheme="minorHAnsi"/>
          <w:sz w:val="24"/>
          <w:szCs w:val="24"/>
          <w:lang w:val="en-IE"/>
        </w:rPr>
        <w:t>limits the erection of structures at assemblies ‘</w:t>
      </w:r>
      <w:r w:rsidR="00097F11" w:rsidRPr="00144F85">
        <w:rPr>
          <w:rFonts w:eastAsia="Calibri" w:cstheme="minorHAnsi"/>
          <w:i/>
          <w:iCs/>
          <w:sz w:val="24"/>
          <w:szCs w:val="24"/>
          <w:lang w:val="en-IE"/>
        </w:rPr>
        <w:t>given the temporary nature of assemblies</w:t>
      </w:r>
      <w:r w:rsidR="00097F11" w:rsidRPr="00144F85">
        <w:rPr>
          <w:rFonts w:eastAsia="Calibri" w:cstheme="minorHAnsi"/>
          <w:sz w:val="24"/>
          <w:szCs w:val="24"/>
          <w:lang w:val="en-IE"/>
        </w:rPr>
        <w:t>’.</w:t>
      </w:r>
    </w:p>
    <w:p w14:paraId="3106FBBB" w14:textId="77777777" w:rsidR="00144F85" w:rsidRPr="00144F85" w:rsidRDefault="00144F85" w:rsidP="00144F85">
      <w:pPr>
        <w:pStyle w:val="ListParagraph"/>
        <w:rPr>
          <w:rFonts w:eastAsia="Calibri" w:cstheme="minorHAnsi"/>
          <w:sz w:val="24"/>
          <w:szCs w:val="24"/>
          <w:lang w:val="en-IE"/>
        </w:rPr>
      </w:pPr>
    </w:p>
    <w:p w14:paraId="77E1D0C1" w14:textId="416AC8C0" w:rsidR="0078090C" w:rsidRDefault="005F6834" w:rsidP="002E4F52">
      <w:pPr>
        <w:pStyle w:val="ListParagraph"/>
        <w:numPr>
          <w:ilvl w:val="0"/>
          <w:numId w:val="7"/>
        </w:numPr>
        <w:ind w:left="426" w:hanging="426"/>
        <w:jc w:val="both"/>
        <w:rPr>
          <w:sz w:val="24"/>
          <w:szCs w:val="24"/>
        </w:rPr>
      </w:pPr>
      <w:r w:rsidRPr="00144F85">
        <w:rPr>
          <w:rFonts w:eastAsia="Calibri" w:cstheme="minorHAnsi"/>
          <w:sz w:val="24"/>
          <w:szCs w:val="24"/>
          <w:lang w:val="en-IE"/>
        </w:rPr>
        <w:t xml:space="preserve">Long-term </w:t>
      </w:r>
      <w:r w:rsidR="00D572D8" w:rsidRPr="00144F85">
        <w:rPr>
          <w:rFonts w:eastAsia="Calibri" w:cstheme="minorHAnsi"/>
          <w:sz w:val="24"/>
          <w:szCs w:val="24"/>
          <w:lang w:val="en-IE"/>
        </w:rPr>
        <w:t xml:space="preserve">and quasi-permanent </w:t>
      </w:r>
      <w:r w:rsidRPr="00144F85">
        <w:rPr>
          <w:rFonts w:eastAsia="Calibri" w:cstheme="minorHAnsi"/>
          <w:sz w:val="24"/>
          <w:szCs w:val="24"/>
          <w:lang w:val="en-IE"/>
        </w:rPr>
        <w:t>assemblies ought to be afforded protection</w:t>
      </w:r>
      <w:r w:rsidR="00D572D8" w:rsidRPr="00144F85">
        <w:rPr>
          <w:rFonts w:eastAsia="Calibri" w:cstheme="minorHAnsi"/>
          <w:sz w:val="24"/>
          <w:szCs w:val="24"/>
          <w:lang w:val="en-IE"/>
        </w:rPr>
        <w:t xml:space="preserve"> </w:t>
      </w:r>
      <w:r w:rsidRPr="00144F85">
        <w:rPr>
          <w:rFonts w:eastAsia="Calibri" w:cstheme="minorHAnsi"/>
          <w:sz w:val="24"/>
          <w:szCs w:val="24"/>
          <w:lang w:val="en-IE"/>
        </w:rPr>
        <w:t xml:space="preserve">– the relative permanence of a protest camp has, for example, been </w:t>
      </w:r>
      <w:hyperlink r:id="rId10" w:history="1">
        <w:r w:rsidRPr="00144F85">
          <w:rPr>
            <w:rStyle w:val="Hyperlink"/>
            <w:rFonts w:eastAsia="Calibri" w:cstheme="minorHAnsi"/>
            <w:sz w:val="24"/>
            <w:szCs w:val="24"/>
            <w:lang w:val="en-IE"/>
          </w:rPr>
          <w:t>argued to be a ‘constant reminder to those in power’</w:t>
        </w:r>
      </w:hyperlink>
      <w:r w:rsidRPr="00144F85">
        <w:rPr>
          <w:rFonts w:eastAsia="Calibri" w:cstheme="minorHAnsi"/>
          <w:sz w:val="24"/>
          <w:szCs w:val="24"/>
          <w:lang w:val="en-IE"/>
        </w:rPr>
        <w:t xml:space="preserve"> (para 13).</w:t>
      </w:r>
      <w:r w:rsidRPr="00144F85">
        <w:rPr>
          <w:rFonts w:eastAsia="MS PGothic" w:cstheme="minorHAnsi"/>
          <w:color w:val="000000"/>
          <w:kern w:val="24"/>
          <w:sz w:val="24"/>
          <w:szCs w:val="24"/>
          <w:lang w:eastAsia="en-IE"/>
        </w:rPr>
        <w:t xml:space="preserve"> </w:t>
      </w:r>
      <w:r w:rsidR="00DE7F20" w:rsidRPr="00144F85">
        <w:rPr>
          <w:rFonts w:eastAsia="MS PGothic" w:cstheme="minorHAnsi"/>
          <w:color w:val="000000"/>
          <w:kern w:val="24"/>
          <w:sz w:val="24"/>
          <w:szCs w:val="24"/>
          <w:lang w:eastAsia="en-IE"/>
        </w:rPr>
        <w:t>In like manner, the</w:t>
      </w:r>
      <w:r w:rsidRPr="00144F85">
        <w:rPr>
          <w:rFonts w:eastAsia="MS PGothic" w:cstheme="minorHAnsi"/>
          <w:color w:val="000000"/>
          <w:kern w:val="24"/>
          <w:sz w:val="24"/>
          <w:szCs w:val="24"/>
          <w:lang w:eastAsia="en-IE"/>
        </w:rPr>
        <w:t xml:space="preserve"> </w:t>
      </w:r>
      <w:hyperlink r:id="rId11" w:history="1">
        <w:r w:rsidRPr="00144F85">
          <w:rPr>
            <w:rStyle w:val="Hyperlink"/>
            <w:sz w:val="24"/>
            <w:szCs w:val="24"/>
          </w:rPr>
          <w:t xml:space="preserve">ACHPR, </w:t>
        </w:r>
        <w:r w:rsidRPr="00144F85">
          <w:rPr>
            <w:rStyle w:val="Hyperlink"/>
            <w:i/>
            <w:iCs/>
            <w:sz w:val="24"/>
            <w:szCs w:val="24"/>
          </w:rPr>
          <w:t>Guidelines on Freedom of Association and Assembly in Africa</w:t>
        </w:r>
      </w:hyperlink>
      <w:r w:rsidRPr="00144F85">
        <w:rPr>
          <w:i/>
          <w:iCs/>
          <w:sz w:val="24"/>
          <w:szCs w:val="24"/>
        </w:rPr>
        <w:t xml:space="preserve"> </w:t>
      </w:r>
      <w:r w:rsidRPr="00144F85">
        <w:rPr>
          <w:sz w:val="24"/>
          <w:szCs w:val="24"/>
        </w:rPr>
        <w:t>(2017) (para</w:t>
      </w:r>
      <w:r w:rsidR="0078090C">
        <w:rPr>
          <w:sz w:val="24"/>
          <w:szCs w:val="24"/>
        </w:rPr>
        <w:t>s</w:t>
      </w:r>
      <w:r w:rsidRPr="00144F85">
        <w:rPr>
          <w:sz w:val="24"/>
          <w:szCs w:val="24"/>
        </w:rPr>
        <w:t xml:space="preserve"> 3 and 88) expressly resist such</w:t>
      </w:r>
      <w:r w:rsidR="00D572D8" w:rsidRPr="00144F85">
        <w:rPr>
          <w:sz w:val="24"/>
          <w:szCs w:val="24"/>
        </w:rPr>
        <w:t xml:space="preserve"> temporal</w:t>
      </w:r>
      <w:r w:rsidRPr="00144F85">
        <w:rPr>
          <w:sz w:val="24"/>
          <w:szCs w:val="24"/>
        </w:rPr>
        <w:t xml:space="preserve"> limitation</w:t>
      </w:r>
      <w:r w:rsidR="00B161DF">
        <w:rPr>
          <w:sz w:val="24"/>
          <w:szCs w:val="24"/>
        </w:rPr>
        <w:t>s at the level of definition</w:t>
      </w:r>
      <w:r w:rsidRPr="00144F85">
        <w:rPr>
          <w:sz w:val="24"/>
          <w:szCs w:val="24"/>
        </w:rPr>
        <w:t>: ‘Assembly refers to an act of intentionally gathering … for an extended duration’.</w:t>
      </w:r>
      <w:r w:rsidR="00DE7F20" w:rsidRPr="00144F85">
        <w:rPr>
          <w:sz w:val="24"/>
          <w:szCs w:val="24"/>
        </w:rPr>
        <w:t xml:space="preserve"> </w:t>
      </w:r>
    </w:p>
    <w:p w14:paraId="2D1276EC" w14:textId="77777777" w:rsidR="0078090C" w:rsidRPr="0078090C" w:rsidRDefault="0078090C" w:rsidP="0078090C">
      <w:pPr>
        <w:pStyle w:val="ListParagraph"/>
        <w:rPr>
          <w:sz w:val="24"/>
          <w:szCs w:val="24"/>
        </w:rPr>
      </w:pPr>
    </w:p>
    <w:p w14:paraId="10BDD317" w14:textId="36C1B75D" w:rsidR="002E4F52" w:rsidRPr="00222556" w:rsidRDefault="00DE7F20" w:rsidP="002E4F52">
      <w:pPr>
        <w:pStyle w:val="ListParagraph"/>
        <w:numPr>
          <w:ilvl w:val="0"/>
          <w:numId w:val="7"/>
        </w:numPr>
        <w:ind w:left="426" w:hanging="426"/>
        <w:jc w:val="both"/>
        <w:rPr>
          <w:sz w:val="24"/>
          <w:szCs w:val="24"/>
        </w:rPr>
      </w:pPr>
      <w:r w:rsidRPr="00144F85">
        <w:rPr>
          <w:sz w:val="24"/>
          <w:szCs w:val="24"/>
        </w:rPr>
        <w:lastRenderedPageBreak/>
        <w:t xml:space="preserve">That, of-course, is not to suggest that necessary and proportionate restrictions on duration cannot be imposed. Rather, it is </w:t>
      </w:r>
      <w:r w:rsidR="00D572D8" w:rsidRPr="00144F85">
        <w:rPr>
          <w:sz w:val="24"/>
          <w:szCs w:val="24"/>
        </w:rPr>
        <w:t>simply to emphasize</w:t>
      </w:r>
      <w:r w:rsidRPr="00144F85">
        <w:rPr>
          <w:sz w:val="24"/>
          <w:szCs w:val="24"/>
        </w:rPr>
        <w:t xml:space="preserve"> that temporariness should not be elevated to </w:t>
      </w:r>
      <w:r w:rsidR="00D572D8" w:rsidRPr="00144F85">
        <w:rPr>
          <w:sz w:val="24"/>
          <w:szCs w:val="24"/>
        </w:rPr>
        <w:t>an essential or intrinsic characteristic of assembly</w:t>
      </w:r>
      <w:r w:rsidRPr="00144F85">
        <w:rPr>
          <w:sz w:val="24"/>
          <w:szCs w:val="24"/>
        </w:rPr>
        <w:t xml:space="preserve"> </w:t>
      </w:r>
      <w:r w:rsidR="00144F85">
        <w:rPr>
          <w:sz w:val="24"/>
          <w:szCs w:val="24"/>
        </w:rPr>
        <w:t>(</w:t>
      </w:r>
      <w:r w:rsidRPr="00144F85">
        <w:rPr>
          <w:sz w:val="24"/>
          <w:szCs w:val="24"/>
        </w:rPr>
        <w:t xml:space="preserve">but should </w:t>
      </w:r>
      <w:r w:rsidR="000261DA" w:rsidRPr="00144F85">
        <w:rPr>
          <w:sz w:val="24"/>
          <w:szCs w:val="24"/>
        </w:rPr>
        <w:t xml:space="preserve">instead </w:t>
      </w:r>
      <w:r w:rsidRPr="00144F85">
        <w:rPr>
          <w:sz w:val="24"/>
          <w:szCs w:val="24"/>
        </w:rPr>
        <w:t>be one factor amongst many that is weighed when deciding on the necessity and proportionality of restriction</w:t>
      </w:r>
      <w:r w:rsidR="00144F85">
        <w:rPr>
          <w:sz w:val="24"/>
          <w:szCs w:val="24"/>
        </w:rPr>
        <w:t>)</w:t>
      </w:r>
      <w:r w:rsidRPr="00144F85">
        <w:rPr>
          <w:sz w:val="24"/>
          <w:szCs w:val="24"/>
        </w:rPr>
        <w:t>.</w:t>
      </w:r>
      <w:r w:rsidR="00B161DF">
        <w:rPr>
          <w:sz w:val="24"/>
          <w:szCs w:val="24"/>
        </w:rPr>
        <w:t xml:space="preserve"> As such, </w:t>
      </w:r>
      <w:r w:rsidR="00B161DF" w:rsidRPr="0078090C">
        <w:rPr>
          <w:b/>
          <w:bCs/>
          <w:sz w:val="24"/>
          <w:szCs w:val="24"/>
        </w:rPr>
        <w:t>paragraphs 62 and 68</w:t>
      </w:r>
      <w:r w:rsidR="00B161DF">
        <w:rPr>
          <w:sz w:val="24"/>
          <w:szCs w:val="24"/>
        </w:rPr>
        <w:t xml:space="preserve"> might be revised so as not to suggest that temporariness defines the </w:t>
      </w:r>
      <w:r w:rsidR="0078090C">
        <w:rPr>
          <w:sz w:val="24"/>
          <w:szCs w:val="24"/>
        </w:rPr>
        <w:t>‘</w:t>
      </w:r>
      <w:r w:rsidR="00B161DF">
        <w:rPr>
          <w:sz w:val="24"/>
          <w:szCs w:val="24"/>
        </w:rPr>
        <w:t>nature</w:t>
      </w:r>
      <w:r w:rsidR="0078090C">
        <w:rPr>
          <w:sz w:val="24"/>
          <w:szCs w:val="24"/>
        </w:rPr>
        <w:t>’</w:t>
      </w:r>
      <w:r w:rsidR="00B161DF">
        <w:rPr>
          <w:sz w:val="24"/>
          <w:szCs w:val="24"/>
        </w:rPr>
        <w:t xml:space="preserve"> of an assembly.</w:t>
      </w:r>
    </w:p>
    <w:p w14:paraId="70DC2605" w14:textId="77777777" w:rsidR="002E4F52" w:rsidRPr="002E4F52" w:rsidRDefault="002E4F52" w:rsidP="002E4F52">
      <w:pPr>
        <w:rPr>
          <w:rFonts w:cstheme="minorHAnsi"/>
          <w:b/>
          <w:bCs/>
          <w:sz w:val="24"/>
          <w:szCs w:val="24"/>
        </w:rPr>
      </w:pPr>
    </w:p>
    <w:p w14:paraId="552848F5" w14:textId="77777777" w:rsidR="002E4F52" w:rsidRPr="0078090C" w:rsidRDefault="00F55CA4" w:rsidP="002E4F52">
      <w:pPr>
        <w:jc w:val="both"/>
        <w:rPr>
          <w:sz w:val="24"/>
          <w:szCs w:val="24"/>
          <w:u w:val="single"/>
        </w:rPr>
      </w:pPr>
      <w:r w:rsidRPr="0078090C">
        <w:rPr>
          <w:rFonts w:cstheme="minorHAnsi"/>
          <w:b/>
          <w:bCs/>
          <w:sz w:val="24"/>
          <w:szCs w:val="24"/>
          <w:u w:val="single"/>
        </w:rPr>
        <w:t>The s</w:t>
      </w:r>
      <w:r w:rsidR="00955312" w:rsidRPr="0078090C">
        <w:rPr>
          <w:rFonts w:cstheme="minorHAnsi"/>
          <w:b/>
          <w:bCs/>
          <w:sz w:val="24"/>
          <w:szCs w:val="24"/>
          <w:u w:val="single"/>
        </w:rPr>
        <w:t>pa</w:t>
      </w:r>
      <w:r w:rsidRPr="0078090C">
        <w:rPr>
          <w:rFonts w:cstheme="minorHAnsi"/>
          <w:b/>
          <w:bCs/>
          <w:sz w:val="24"/>
          <w:szCs w:val="24"/>
          <w:u w:val="single"/>
        </w:rPr>
        <w:t>tial dimensions of the right of assembly</w:t>
      </w:r>
    </w:p>
    <w:p w14:paraId="7FAD6807" w14:textId="3E9569AC" w:rsidR="0064051D" w:rsidRPr="0064051D" w:rsidRDefault="002E4F52" w:rsidP="0064051D">
      <w:pPr>
        <w:pStyle w:val="ListParagraph"/>
        <w:numPr>
          <w:ilvl w:val="0"/>
          <w:numId w:val="7"/>
        </w:numPr>
        <w:ind w:left="426" w:hanging="426"/>
        <w:jc w:val="both"/>
        <w:rPr>
          <w:sz w:val="24"/>
          <w:szCs w:val="24"/>
        </w:rPr>
      </w:pPr>
      <w:r w:rsidRPr="002E4F52">
        <w:rPr>
          <w:rFonts w:eastAsia="Times New Roman" w:cstheme="minorHAnsi"/>
          <w:sz w:val="24"/>
          <w:szCs w:val="24"/>
        </w:rPr>
        <w:t xml:space="preserve">The question of </w:t>
      </w:r>
      <w:r w:rsidRPr="002E4F52">
        <w:rPr>
          <w:rFonts w:eastAsia="Times New Roman" w:cstheme="minorHAnsi"/>
          <w:i/>
          <w:iCs/>
          <w:sz w:val="24"/>
          <w:szCs w:val="24"/>
        </w:rPr>
        <w:t>protection</w:t>
      </w:r>
      <w:r w:rsidRPr="002E4F52">
        <w:rPr>
          <w:rFonts w:eastAsia="Times New Roman" w:cstheme="minorHAnsi"/>
          <w:sz w:val="24"/>
          <w:szCs w:val="24"/>
        </w:rPr>
        <w:t xml:space="preserve"> for assemblies on private</w:t>
      </w:r>
      <w:r w:rsidR="00222556">
        <w:rPr>
          <w:rFonts w:eastAsia="Times New Roman" w:cstheme="minorHAnsi"/>
          <w:sz w:val="24"/>
          <w:szCs w:val="24"/>
        </w:rPr>
        <w:t>ly owned</w:t>
      </w:r>
      <w:r w:rsidRPr="002E4F52">
        <w:rPr>
          <w:rFonts w:eastAsia="Times New Roman" w:cstheme="minorHAnsi"/>
          <w:sz w:val="24"/>
          <w:szCs w:val="24"/>
        </w:rPr>
        <w:t xml:space="preserve"> property</w:t>
      </w:r>
      <w:r w:rsidR="000A3BFD">
        <w:rPr>
          <w:rFonts w:eastAsia="Times New Roman" w:cstheme="minorHAnsi"/>
          <w:sz w:val="24"/>
          <w:szCs w:val="24"/>
        </w:rPr>
        <w:t xml:space="preserve"> (see (a) below)</w:t>
      </w:r>
      <w:r w:rsidRPr="002E4F52">
        <w:rPr>
          <w:rFonts w:eastAsia="Times New Roman" w:cstheme="minorHAnsi"/>
          <w:sz w:val="24"/>
          <w:szCs w:val="24"/>
        </w:rPr>
        <w:t xml:space="preserve"> should be addressed separately from question</w:t>
      </w:r>
      <w:r w:rsidR="00222556">
        <w:rPr>
          <w:rFonts w:eastAsia="Times New Roman" w:cstheme="minorHAnsi"/>
          <w:sz w:val="24"/>
          <w:szCs w:val="24"/>
        </w:rPr>
        <w:t>s</w:t>
      </w:r>
      <w:r w:rsidRPr="002E4F52">
        <w:rPr>
          <w:rFonts w:eastAsia="Times New Roman" w:cstheme="minorHAnsi"/>
          <w:sz w:val="24"/>
          <w:szCs w:val="24"/>
        </w:rPr>
        <w:t xml:space="preserve"> of </w:t>
      </w:r>
      <w:r w:rsidRPr="002E4F52">
        <w:rPr>
          <w:rFonts w:eastAsia="Times New Roman" w:cstheme="minorHAnsi"/>
          <w:i/>
          <w:iCs/>
          <w:sz w:val="24"/>
          <w:szCs w:val="24"/>
        </w:rPr>
        <w:t>access</w:t>
      </w:r>
      <w:r w:rsidR="00222556">
        <w:rPr>
          <w:rFonts w:eastAsia="Times New Roman" w:cstheme="minorHAnsi"/>
          <w:i/>
          <w:iCs/>
          <w:sz w:val="24"/>
          <w:szCs w:val="24"/>
        </w:rPr>
        <w:t xml:space="preserve"> to </w:t>
      </w:r>
      <w:r w:rsidR="00222556">
        <w:rPr>
          <w:rFonts w:eastAsia="Times New Roman" w:cstheme="minorHAnsi"/>
          <w:sz w:val="24"/>
          <w:szCs w:val="24"/>
        </w:rPr>
        <w:t>privately owned property</w:t>
      </w:r>
      <w:r w:rsidR="000A3BFD">
        <w:rPr>
          <w:rFonts w:eastAsia="Times New Roman" w:cstheme="minorHAnsi"/>
          <w:sz w:val="24"/>
          <w:szCs w:val="24"/>
        </w:rPr>
        <w:t xml:space="preserve"> (see (b) below)</w:t>
      </w:r>
      <w:r w:rsidRPr="002E4F52">
        <w:rPr>
          <w:rFonts w:eastAsia="Times New Roman" w:cstheme="minorHAnsi"/>
          <w:sz w:val="24"/>
          <w:szCs w:val="24"/>
        </w:rPr>
        <w:t xml:space="preserve">. </w:t>
      </w:r>
      <w:r w:rsidR="0078090C">
        <w:rPr>
          <w:rFonts w:eastAsia="Times New Roman" w:cstheme="minorHAnsi"/>
          <w:sz w:val="24"/>
          <w:szCs w:val="24"/>
        </w:rPr>
        <w:t>In particular</w:t>
      </w:r>
      <w:r w:rsidR="0078090C" w:rsidRPr="002526C2">
        <w:rPr>
          <w:rFonts w:eastAsia="Times New Roman" w:cstheme="minorHAnsi"/>
          <w:sz w:val="24"/>
          <w:szCs w:val="24"/>
        </w:rPr>
        <w:t xml:space="preserve">, </w:t>
      </w:r>
      <w:r w:rsidR="007718B4" w:rsidRPr="002526C2">
        <w:rPr>
          <w:rFonts w:eastAsia="Times New Roman" w:cstheme="minorHAnsi"/>
          <w:sz w:val="24"/>
          <w:szCs w:val="24"/>
        </w:rPr>
        <w:t>the General Comment</w:t>
      </w:r>
      <w:r w:rsidR="007718B4">
        <w:rPr>
          <w:rFonts w:eastAsia="Times New Roman" w:cstheme="minorHAnsi"/>
          <w:b/>
          <w:bCs/>
          <w:sz w:val="24"/>
          <w:szCs w:val="24"/>
        </w:rPr>
        <w:t xml:space="preserve"> </w:t>
      </w:r>
      <w:r w:rsidR="007718B4">
        <w:rPr>
          <w:rFonts w:eastAsia="Times New Roman" w:cstheme="minorHAnsi"/>
          <w:sz w:val="24"/>
          <w:szCs w:val="24"/>
        </w:rPr>
        <w:t>c</w:t>
      </w:r>
      <w:r w:rsidRPr="002E4F52">
        <w:rPr>
          <w:rFonts w:eastAsia="Times New Roman" w:cstheme="minorHAnsi"/>
          <w:sz w:val="24"/>
          <w:szCs w:val="24"/>
        </w:rPr>
        <w:t xml:space="preserve">ould </w:t>
      </w:r>
      <w:r w:rsidR="007718B4">
        <w:rPr>
          <w:rFonts w:eastAsia="Times New Roman" w:cstheme="minorHAnsi"/>
          <w:sz w:val="24"/>
          <w:szCs w:val="24"/>
        </w:rPr>
        <w:t>do more to distinguish when it is</w:t>
      </w:r>
      <w:r w:rsidRPr="002E4F52">
        <w:rPr>
          <w:rFonts w:eastAsia="Times New Roman" w:cstheme="minorHAnsi"/>
          <w:sz w:val="24"/>
          <w:szCs w:val="24"/>
        </w:rPr>
        <w:t xml:space="preserve"> addressing questions of </w:t>
      </w:r>
      <w:r w:rsidRPr="002E4F52">
        <w:rPr>
          <w:rFonts w:eastAsia="Times New Roman" w:cstheme="minorHAnsi"/>
          <w:i/>
          <w:iCs/>
          <w:sz w:val="24"/>
          <w:szCs w:val="24"/>
        </w:rPr>
        <w:t>access</w:t>
      </w:r>
      <w:r w:rsidRPr="002E4F52">
        <w:rPr>
          <w:rFonts w:eastAsia="Times New Roman" w:cstheme="minorHAnsi"/>
          <w:sz w:val="24"/>
          <w:szCs w:val="24"/>
        </w:rPr>
        <w:t xml:space="preserve"> </w:t>
      </w:r>
      <w:r w:rsidR="007718B4">
        <w:rPr>
          <w:rFonts w:eastAsia="Times New Roman" w:cstheme="minorHAnsi"/>
          <w:sz w:val="24"/>
          <w:szCs w:val="24"/>
        </w:rPr>
        <w:t>and when it is addressing</w:t>
      </w:r>
      <w:r w:rsidRPr="002E4F52">
        <w:rPr>
          <w:rFonts w:eastAsia="Times New Roman" w:cstheme="minorHAnsi"/>
          <w:sz w:val="24"/>
          <w:szCs w:val="24"/>
        </w:rPr>
        <w:t xml:space="preserve"> the general principle that the right of peaceful assembly </w:t>
      </w:r>
      <w:r w:rsidRPr="002E4F52">
        <w:rPr>
          <w:rFonts w:eastAsia="Times New Roman" w:cstheme="minorHAnsi"/>
          <w:i/>
          <w:iCs/>
          <w:sz w:val="24"/>
          <w:szCs w:val="24"/>
        </w:rPr>
        <w:t>protects</w:t>
      </w:r>
      <w:r w:rsidRPr="002E4F52">
        <w:rPr>
          <w:rFonts w:eastAsia="Times New Roman" w:cstheme="minorHAnsi"/>
          <w:sz w:val="24"/>
          <w:szCs w:val="24"/>
        </w:rPr>
        <w:t xml:space="preserve"> assemblies in both public and private spaces.</w:t>
      </w:r>
      <w:r w:rsidR="0078090C">
        <w:rPr>
          <w:rFonts w:eastAsia="Times New Roman" w:cstheme="minorHAnsi"/>
          <w:sz w:val="24"/>
          <w:szCs w:val="24"/>
        </w:rPr>
        <w:t xml:space="preserve"> </w:t>
      </w:r>
      <w:r w:rsidR="002526C2">
        <w:rPr>
          <w:rFonts w:eastAsia="Times New Roman" w:cstheme="minorHAnsi"/>
          <w:sz w:val="24"/>
          <w:szCs w:val="24"/>
        </w:rPr>
        <w:t>By way of example, t</w:t>
      </w:r>
      <w:r w:rsidR="0078090C">
        <w:rPr>
          <w:rFonts w:eastAsia="Times New Roman" w:cstheme="minorHAnsi"/>
          <w:sz w:val="24"/>
          <w:szCs w:val="24"/>
        </w:rPr>
        <w:t xml:space="preserve">he wording at the beginning of paragraph 64 </w:t>
      </w:r>
      <w:r w:rsidR="002526C2">
        <w:rPr>
          <w:rFonts w:eastAsia="Times New Roman" w:cstheme="minorHAnsi"/>
          <w:sz w:val="24"/>
          <w:szCs w:val="24"/>
        </w:rPr>
        <w:t xml:space="preserve">– </w:t>
      </w:r>
      <w:r w:rsidR="0078090C">
        <w:rPr>
          <w:rFonts w:eastAsia="Times New Roman" w:cstheme="minorHAnsi"/>
          <w:i/>
          <w:iCs/>
          <w:sz w:val="24"/>
          <w:szCs w:val="24"/>
        </w:rPr>
        <w:t xml:space="preserve">‘As for any restriction on the element of place’ </w:t>
      </w:r>
      <w:r w:rsidR="0078090C">
        <w:rPr>
          <w:rFonts w:eastAsia="Times New Roman" w:cstheme="minorHAnsi"/>
          <w:sz w:val="24"/>
          <w:szCs w:val="24"/>
        </w:rPr>
        <w:t>– lacks clarity in this regard</w:t>
      </w:r>
      <w:r w:rsidR="002526C2">
        <w:rPr>
          <w:rFonts w:eastAsia="Times New Roman" w:cstheme="minorHAnsi"/>
          <w:sz w:val="24"/>
          <w:szCs w:val="24"/>
        </w:rPr>
        <w:t xml:space="preserve"> (the paragraph seems primarily to address question</w:t>
      </w:r>
      <w:r w:rsidR="00222556">
        <w:rPr>
          <w:rFonts w:eastAsia="Times New Roman" w:cstheme="minorHAnsi"/>
          <w:sz w:val="24"/>
          <w:szCs w:val="24"/>
        </w:rPr>
        <w:t>s</w:t>
      </w:r>
      <w:r w:rsidR="002526C2">
        <w:rPr>
          <w:rFonts w:eastAsia="Times New Roman" w:cstheme="minorHAnsi"/>
          <w:sz w:val="24"/>
          <w:szCs w:val="24"/>
        </w:rPr>
        <w:t xml:space="preserve"> </w:t>
      </w:r>
      <w:r w:rsidR="00222556">
        <w:rPr>
          <w:rFonts w:eastAsia="Times New Roman" w:cstheme="minorHAnsi"/>
          <w:sz w:val="24"/>
          <w:szCs w:val="24"/>
        </w:rPr>
        <w:t xml:space="preserve">pertaining </w:t>
      </w:r>
      <w:r w:rsidR="00222556" w:rsidRPr="00723019">
        <w:rPr>
          <w:rFonts w:eastAsia="Times New Roman" w:cstheme="minorHAnsi"/>
          <w:sz w:val="24"/>
          <w:szCs w:val="24"/>
        </w:rPr>
        <w:t>to</w:t>
      </w:r>
      <w:r w:rsidR="002526C2" w:rsidRPr="00723019">
        <w:rPr>
          <w:rFonts w:eastAsia="Times New Roman" w:cstheme="minorHAnsi"/>
          <w:sz w:val="24"/>
          <w:szCs w:val="24"/>
        </w:rPr>
        <w:t xml:space="preserve"> access).</w:t>
      </w:r>
      <w:r w:rsidR="000A3BFD" w:rsidRPr="00723019">
        <w:rPr>
          <w:rFonts w:eastAsia="Times New Roman" w:cstheme="minorHAnsi"/>
          <w:sz w:val="24"/>
          <w:szCs w:val="24"/>
        </w:rPr>
        <w:t xml:space="preserve"> In addition, the General Comment could go further to acknowledge the possibility of assemblies in online spaces (</w:t>
      </w:r>
      <w:r w:rsidR="007B775B" w:rsidRPr="00723019">
        <w:rPr>
          <w:rFonts w:eastAsia="Times New Roman" w:cstheme="minorHAnsi"/>
          <w:sz w:val="24"/>
          <w:szCs w:val="24"/>
        </w:rPr>
        <w:t>an argument</w:t>
      </w:r>
      <w:r w:rsidR="008A5DAF">
        <w:rPr>
          <w:rFonts w:eastAsia="Times New Roman" w:cstheme="minorHAnsi"/>
          <w:sz w:val="24"/>
          <w:szCs w:val="24"/>
        </w:rPr>
        <w:t xml:space="preserve"> that is</w:t>
      </w:r>
      <w:r w:rsidR="007B775B" w:rsidRPr="00723019">
        <w:rPr>
          <w:rFonts w:eastAsia="Times New Roman" w:cstheme="minorHAnsi"/>
          <w:sz w:val="24"/>
          <w:szCs w:val="24"/>
        </w:rPr>
        <w:t xml:space="preserve"> </w:t>
      </w:r>
      <w:r w:rsidR="00723019">
        <w:rPr>
          <w:rFonts w:eastAsia="Times New Roman" w:cstheme="minorHAnsi"/>
          <w:sz w:val="24"/>
          <w:szCs w:val="24"/>
        </w:rPr>
        <w:t xml:space="preserve">addressed in </w:t>
      </w:r>
      <w:r w:rsidR="007B775B" w:rsidRPr="00723019">
        <w:rPr>
          <w:rFonts w:eastAsia="Times New Roman" w:cstheme="minorHAnsi"/>
          <w:sz w:val="24"/>
          <w:szCs w:val="24"/>
        </w:rPr>
        <w:t>a separate submission</w:t>
      </w:r>
      <w:r w:rsidR="000A3BFD" w:rsidRPr="00723019">
        <w:rPr>
          <w:rFonts w:eastAsia="Times New Roman" w:cstheme="minorHAnsi"/>
          <w:sz w:val="24"/>
          <w:szCs w:val="24"/>
        </w:rPr>
        <w:t>).</w:t>
      </w:r>
    </w:p>
    <w:p w14:paraId="402BC226" w14:textId="77777777" w:rsidR="0064051D" w:rsidRDefault="0064051D" w:rsidP="0064051D">
      <w:pPr>
        <w:pStyle w:val="ListParagraph"/>
        <w:ind w:left="426"/>
        <w:jc w:val="both"/>
        <w:rPr>
          <w:sz w:val="24"/>
          <w:szCs w:val="24"/>
        </w:rPr>
      </w:pPr>
    </w:p>
    <w:p w14:paraId="11DB125D" w14:textId="632CC4B0" w:rsidR="0064051D" w:rsidRPr="00F14E6F" w:rsidRDefault="0064051D" w:rsidP="00F14E6F">
      <w:pPr>
        <w:pStyle w:val="ListParagraph"/>
        <w:numPr>
          <w:ilvl w:val="0"/>
          <w:numId w:val="8"/>
        </w:numPr>
        <w:ind w:left="426" w:hanging="426"/>
        <w:jc w:val="both"/>
        <w:rPr>
          <w:b/>
          <w:bCs/>
          <w:sz w:val="24"/>
          <w:szCs w:val="24"/>
        </w:rPr>
      </w:pPr>
      <w:r w:rsidRPr="0078090C">
        <w:rPr>
          <w:b/>
          <w:bCs/>
          <w:sz w:val="24"/>
          <w:szCs w:val="24"/>
        </w:rPr>
        <w:t xml:space="preserve">The </w:t>
      </w:r>
      <w:r w:rsidRPr="0078090C">
        <w:rPr>
          <w:b/>
          <w:bCs/>
          <w:i/>
          <w:iCs/>
          <w:sz w:val="24"/>
          <w:szCs w:val="24"/>
        </w:rPr>
        <w:t>protection</w:t>
      </w:r>
      <w:r w:rsidRPr="0078090C">
        <w:rPr>
          <w:b/>
          <w:bCs/>
          <w:sz w:val="24"/>
          <w:szCs w:val="24"/>
        </w:rPr>
        <w:t xml:space="preserve"> of assemblies </w:t>
      </w:r>
      <w:r w:rsidR="0078090C" w:rsidRPr="0078090C">
        <w:rPr>
          <w:b/>
          <w:bCs/>
          <w:sz w:val="24"/>
          <w:szCs w:val="24"/>
        </w:rPr>
        <w:t xml:space="preserve">in </w:t>
      </w:r>
      <w:r w:rsidRPr="0078090C">
        <w:rPr>
          <w:b/>
          <w:bCs/>
          <w:sz w:val="24"/>
          <w:szCs w:val="24"/>
        </w:rPr>
        <w:t>privately</w:t>
      </w:r>
      <w:r w:rsidR="0078090C">
        <w:rPr>
          <w:b/>
          <w:bCs/>
          <w:sz w:val="24"/>
          <w:szCs w:val="24"/>
        </w:rPr>
        <w:t>-</w:t>
      </w:r>
      <w:r w:rsidRPr="0078090C">
        <w:rPr>
          <w:b/>
          <w:bCs/>
          <w:sz w:val="24"/>
          <w:szCs w:val="24"/>
        </w:rPr>
        <w:t>owned</w:t>
      </w:r>
      <w:r w:rsidR="0078090C" w:rsidRPr="0078090C">
        <w:rPr>
          <w:b/>
          <w:bCs/>
          <w:sz w:val="24"/>
          <w:szCs w:val="24"/>
        </w:rPr>
        <w:t xml:space="preserve"> spaces</w:t>
      </w:r>
    </w:p>
    <w:p w14:paraId="426B10C3" w14:textId="10AAE1F3" w:rsidR="001961D9" w:rsidRPr="0011198C" w:rsidRDefault="00730B48" w:rsidP="0011198C">
      <w:pPr>
        <w:pStyle w:val="ListParagraph"/>
        <w:numPr>
          <w:ilvl w:val="0"/>
          <w:numId w:val="7"/>
        </w:numPr>
        <w:ind w:left="426" w:hanging="426"/>
        <w:jc w:val="both"/>
        <w:rPr>
          <w:sz w:val="24"/>
          <w:szCs w:val="24"/>
        </w:rPr>
      </w:pPr>
      <w:r w:rsidRPr="0064051D">
        <w:rPr>
          <w:rFonts w:cstheme="minorHAnsi"/>
          <w:sz w:val="24"/>
          <w:szCs w:val="24"/>
          <w:lang w:val="en-IE"/>
        </w:rPr>
        <w:t>T</w:t>
      </w:r>
      <w:r w:rsidR="00815F05" w:rsidRPr="0064051D">
        <w:rPr>
          <w:rFonts w:cstheme="minorHAnsi"/>
          <w:sz w:val="24"/>
          <w:szCs w:val="24"/>
          <w:lang w:val="en-IE"/>
        </w:rPr>
        <w:t xml:space="preserve">he draft General Comment </w:t>
      </w:r>
      <w:r w:rsidR="005F78B3" w:rsidRPr="0064051D">
        <w:rPr>
          <w:rFonts w:cstheme="minorHAnsi"/>
          <w:sz w:val="24"/>
          <w:szCs w:val="24"/>
          <w:lang w:val="en-IE"/>
        </w:rPr>
        <w:t>(</w:t>
      </w:r>
      <w:r w:rsidR="005F78B3" w:rsidRPr="008A2C0C">
        <w:rPr>
          <w:rFonts w:cstheme="minorHAnsi"/>
          <w:b/>
          <w:bCs/>
          <w:sz w:val="24"/>
          <w:szCs w:val="24"/>
          <w:lang w:val="en-IE"/>
        </w:rPr>
        <w:t>paragraphs 4 and 13</w:t>
      </w:r>
      <w:r w:rsidR="005F78B3" w:rsidRPr="0064051D">
        <w:rPr>
          <w:rFonts w:cstheme="minorHAnsi"/>
          <w:sz w:val="24"/>
          <w:szCs w:val="24"/>
          <w:lang w:val="en-IE"/>
        </w:rPr>
        <w:t xml:space="preserve">) </w:t>
      </w:r>
      <w:r w:rsidRPr="0064051D">
        <w:rPr>
          <w:rFonts w:cstheme="minorHAnsi"/>
          <w:sz w:val="24"/>
          <w:szCs w:val="24"/>
          <w:lang w:val="en-IE"/>
        </w:rPr>
        <w:t xml:space="preserve">includes </w:t>
      </w:r>
      <w:r w:rsidR="008A2C0C">
        <w:rPr>
          <w:rFonts w:cstheme="minorHAnsi"/>
          <w:sz w:val="24"/>
          <w:szCs w:val="24"/>
          <w:lang w:val="en-IE"/>
        </w:rPr>
        <w:t xml:space="preserve">possible </w:t>
      </w:r>
      <w:r w:rsidRPr="0064051D">
        <w:rPr>
          <w:rFonts w:cstheme="minorHAnsi"/>
          <w:sz w:val="24"/>
          <w:szCs w:val="24"/>
          <w:lang w:val="en-IE"/>
        </w:rPr>
        <w:t xml:space="preserve">text </w:t>
      </w:r>
      <w:r w:rsidR="008A2C0C">
        <w:rPr>
          <w:rFonts w:cstheme="minorHAnsi"/>
          <w:sz w:val="24"/>
          <w:szCs w:val="24"/>
          <w:lang w:val="en-IE"/>
        </w:rPr>
        <w:t xml:space="preserve">in parenthesis </w:t>
      </w:r>
      <w:r w:rsidRPr="0064051D">
        <w:rPr>
          <w:rFonts w:cstheme="minorHAnsi"/>
          <w:sz w:val="24"/>
          <w:szCs w:val="24"/>
          <w:lang w:val="en-IE"/>
        </w:rPr>
        <w:t xml:space="preserve">suggesting that assemblies </w:t>
      </w:r>
      <w:r w:rsidR="008A2C0C">
        <w:rPr>
          <w:rFonts w:cstheme="minorHAnsi"/>
          <w:sz w:val="24"/>
          <w:szCs w:val="24"/>
          <w:lang w:val="en-IE"/>
        </w:rPr>
        <w:t>on private</w:t>
      </w:r>
      <w:r w:rsidR="003416F5">
        <w:rPr>
          <w:rFonts w:cstheme="minorHAnsi"/>
          <w:sz w:val="24"/>
          <w:szCs w:val="24"/>
          <w:lang w:val="en-IE"/>
        </w:rPr>
        <w:t>ly</w:t>
      </w:r>
      <w:r w:rsidR="008A2C0C">
        <w:rPr>
          <w:rFonts w:cstheme="minorHAnsi"/>
          <w:sz w:val="24"/>
          <w:szCs w:val="24"/>
          <w:lang w:val="en-IE"/>
        </w:rPr>
        <w:t xml:space="preserve">-owned property </w:t>
      </w:r>
      <w:r w:rsidR="003416F5">
        <w:rPr>
          <w:rFonts w:cstheme="minorHAnsi"/>
          <w:sz w:val="24"/>
          <w:szCs w:val="24"/>
          <w:lang w:val="en-IE"/>
        </w:rPr>
        <w:t>(a)</w:t>
      </w:r>
      <w:r w:rsidR="008A2C0C">
        <w:rPr>
          <w:rFonts w:cstheme="minorHAnsi"/>
          <w:sz w:val="24"/>
          <w:szCs w:val="24"/>
          <w:lang w:val="en-IE"/>
        </w:rPr>
        <w:t xml:space="preserve"> </w:t>
      </w:r>
      <w:r w:rsidR="008A5DAF">
        <w:rPr>
          <w:rFonts w:cstheme="minorHAnsi"/>
          <w:sz w:val="24"/>
          <w:szCs w:val="24"/>
          <w:lang w:val="en-IE"/>
        </w:rPr>
        <w:t xml:space="preserve">are </w:t>
      </w:r>
      <w:r w:rsidR="008A2C0C" w:rsidRPr="008A2C0C">
        <w:rPr>
          <w:rFonts w:cstheme="minorHAnsi"/>
          <w:i/>
          <w:iCs/>
          <w:sz w:val="24"/>
          <w:szCs w:val="24"/>
          <w:lang w:val="en-IE"/>
        </w:rPr>
        <w:t>protected</w:t>
      </w:r>
      <w:r w:rsidR="008A2C0C">
        <w:rPr>
          <w:rFonts w:cstheme="minorHAnsi"/>
          <w:sz w:val="24"/>
          <w:szCs w:val="24"/>
          <w:lang w:val="en-IE"/>
        </w:rPr>
        <w:t xml:space="preserve"> only if that </w:t>
      </w:r>
      <w:r w:rsidR="003416F5" w:rsidRPr="0064051D">
        <w:rPr>
          <w:rFonts w:cstheme="minorHAnsi"/>
          <w:sz w:val="24"/>
          <w:szCs w:val="24"/>
          <w:lang w:val="en-IE"/>
        </w:rPr>
        <w:t>property</w:t>
      </w:r>
      <w:r w:rsidR="003416F5">
        <w:rPr>
          <w:rFonts w:cstheme="minorHAnsi"/>
          <w:sz w:val="24"/>
          <w:szCs w:val="24"/>
          <w:lang w:val="en-IE"/>
        </w:rPr>
        <w:t xml:space="preserve"> </w:t>
      </w:r>
      <w:r w:rsidR="003416F5" w:rsidRPr="0064051D">
        <w:rPr>
          <w:rFonts w:cstheme="minorHAnsi"/>
          <w:sz w:val="24"/>
          <w:szCs w:val="24"/>
          <w:lang w:val="en-IE"/>
        </w:rPr>
        <w:t>is publicly accessible</w:t>
      </w:r>
      <w:r w:rsidR="003416F5">
        <w:rPr>
          <w:rFonts w:cstheme="minorHAnsi"/>
          <w:sz w:val="24"/>
          <w:szCs w:val="24"/>
          <w:lang w:val="en-IE"/>
        </w:rPr>
        <w:t xml:space="preserve"> </w:t>
      </w:r>
      <w:r w:rsidR="008A2C0C">
        <w:rPr>
          <w:rFonts w:cstheme="minorHAnsi"/>
          <w:sz w:val="24"/>
          <w:szCs w:val="24"/>
          <w:lang w:val="en-IE"/>
        </w:rPr>
        <w:t>(</w:t>
      </w:r>
      <w:r w:rsidR="008A2C0C" w:rsidRPr="008A2C0C">
        <w:rPr>
          <w:rFonts w:cstheme="minorHAnsi"/>
          <w:b/>
          <w:bCs/>
          <w:sz w:val="24"/>
          <w:szCs w:val="24"/>
          <w:lang w:val="en-IE"/>
        </w:rPr>
        <w:t>para</w:t>
      </w:r>
      <w:r w:rsidR="0008763C">
        <w:rPr>
          <w:rFonts w:cstheme="minorHAnsi"/>
          <w:b/>
          <w:bCs/>
          <w:sz w:val="24"/>
          <w:szCs w:val="24"/>
          <w:lang w:val="en-IE"/>
        </w:rPr>
        <w:t>graph</w:t>
      </w:r>
      <w:r w:rsidR="008A2C0C" w:rsidRPr="008A2C0C">
        <w:rPr>
          <w:rFonts w:cstheme="minorHAnsi"/>
          <w:b/>
          <w:bCs/>
          <w:sz w:val="24"/>
          <w:szCs w:val="24"/>
          <w:lang w:val="en-IE"/>
        </w:rPr>
        <w:t xml:space="preserve"> 4</w:t>
      </w:r>
      <w:r w:rsidR="008A2C0C">
        <w:rPr>
          <w:rFonts w:cstheme="minorHAnsi"/>
          <w:sz w:val="24"/>
          <w:szCs w:val="24"/>
          <w:lang w:val="en-IE"/>
        </w:rPr>
        <w:t>)</w:t>
      </w:r>
      <w:r w:rsidR="0011198C">
        <w:rPr>
          <w:rFonts w:cstheme="minorHAnsi"/>
          <w:sz w:val="24"/>
          <w:szCs w:val="24"/>
          <w:lang w:val="en-IE"/>
        </w:rPr>
        <w:t>,</w:t>
      </w:r>
      <w:r w:rsidR="008A2C0C">
        <w:rPr>
          <w:rFonts w:cstheme="minorHAnsi"/>
          <w:sz w:val="24"/>
          <w:szCs w:val="24"/>
          <w:lang w:val="en-IE"/>
        </w:rPr>
        <w:t xml:space="preserve"> or </w:t>
      </w:r>
      <w:r w:rsidR="003416F5">
        <w:rPr>
          <w:rFonts w:cstheme="minorHAnsi"/>
          <w:sz w:val="24"/>
          <w:szCs w:val="24"/>
          <w:lang w:val="en-IE"/>
        </w:rPr>
        <w:t xml:space="preserve">(b) </w:t>
      </w:r>
      <w:r w:rsidR="008A2C0C">
        <w:rPr>
          <w:rFonts w:cstheme="minorHAnsi"/>
          <w:sz w:val="24"/>
          <w:szCs w:val="24"/>
          <w:lang w:val="en-IE"/>
        </w:rPr>
        <w:t xml:space="preserve">can only be </w:t>
      </w:r>
      <w:r w:rsidR="008A2C0C" w:rsidRPr="008A2C0C">
        <w:rPr>
          <w:rFonts w:cstheme="minorHAnsi"/>
          <w:i/>
          <w:iCs/>
          <w:sz w:val="24"/>
          <w:szCs w:val="24"/>
          <w:lang w:val="en-IE"/>
        </w:rPr>
        <w:t>held</w:t>
      </w:r>
      <w:r w:rsidR="008A2C0C">
        <w:rPr>
          <w:rFonts w:cstheme="minorHAnsi"/>
          <w:sz w:val="24"/>
          <w:szCs w:val="24"/>
          <w:lang w:val="en-IE"/>
        </w:rPr>
        <w:t xml:space="preserve"> on</w:t>
      </w:r>
      <w:r w:rsidR="003416F5" w:rsidRPr="003416F5">
        <w:rPr>
          <w:rFonts w:cstheme="minorHAnsi"/>
          <w:sz w:val="24"/>
          <w:szCs w:val="24"/>
          <w:lang w:val="en-IE"/>
        </w:rPr>
        <w:t xml:space="preserve"> </w:t>
      </w:r>
      <w:r w:rsidR="003416F5">
        <w:rPr>
          <w:rFonts w:cstheme="minorHAnsi"/>
          <w:sz w:val="24"/>
          <w:szCs w:val="24"/>
          <w:lang w:val="en-IE"/>
        </w:rPr>
        <w:t xml:space="preserve">privately-owned </w:t>
      </w:r>
      <w:r w:rsidR="003416F5" w:rsidRPr="003416F5">
        <w:rPr>
          <w:rFonts w:cstheme="minorHAnsi"/>
          <w:sz w:val="24"/>
          <w:szCs w:val="24"/>
          <w:lang w:val="en-IE"/>
        </w:rPr>
        <w:t xml:space="preserve">property </w:t>
      </w:r>
      <w:r w:rsidR="003416F5">
        <w:rPr>
          <w:rFonts w:cstheme="minorHAnsi"/>
          <w:sz w:val="24"/>
          <w:szCs w:val="24"/>
          <w:lang w:val="en-IE"/>
        </w:rPr>
        <w:t xml:space="preserve">if that property </w:t>
      </w:r>
      <w:r w:rsidR="003416F5" w:rsidRPr="003416F5">
        <w:rPr>
          <w:rFonts w:cstheme="minorHAnsi"/>
          <w:sz w:val="24"/>
          <w:szCs w:val="24"/>
          <w:lang w:val="en-IE"/>
        </w:rPr>
        <w:t xml:space="preserve">is </w:t>
      </w:r>
      <w:r w:rsidR="003416F5" w:rsidRPr="0011198C">
        <w:rPr>
          <w:rFonts w:cstheme="minorHAnsi"/>
          <w:sz w:val="24"/>
          <w:szCs w:val="24"/>
          <w:lang w:val="en-IE"/>
        </w:rPr>
        <w:t>publicly accessible</w:t>
      </w:r>
      <w:r w:rsidR="008A2C0C" w:rsidRPr="0011198C">
        <w:rPr>
          <w:rFonts w:cstheme="minorHAnsi"/>
          <w:sz w:val="24"/>
          <w:szCs w:val="24"/>
          <w:lang w:val="en-IE"/>
        </w:rPr>
        <w:t xml:space="preserve"> (</w:t>
      </w:r>
      <w:r w:rsidR="008A2C0C" w:rsidRPr="0011198C">
        <w:rPr>
          <w:rFonts w:cstheme="minorHAnsi"/>
          <w:b/>
          <w:bCs/>
          <w:sz w:val="24"/>
          <w:szCs w:val="24"/>
          <w:lang w:val="en-IE"/>
        </w:rPr>
        <w:t>para</w:t>
      </w:r>
      <w:r w:rsidR="0008763C">
        <w:rPr>
          <w:rFonts w:cstheme="minorHAnsi"/>
          <w:b/>
          <w:bCs/>
          <w:sz w:val="24"/>
          <w:szCs w:val="24"/>
          <w:lang w:val="en-IE"/>
        </w:rPr>
        <w:t>graph</w:t>
      </w:r>
      <w:r w:rsidR="008A2C0C" w:rsidRPr="0011198C">
        <w:rPr>
          <w:rFonts w:cstheme="minorHAnsi"/>
          <w:b/>
          <w:bCs/>
          <w:sz w:val="24"/>
          <w:szCs w:val="24"/>
          <w:lang w:val="en-IE"/>
        </w:rPr>
        <w:t xml:space="preserve"> 13</w:t>
      </w:r>
      <w:r w:rsidR="008A2C0C" w:rsidRPr="0011198C">
        <w:rPr>
          <w:rFonts w:cstheme="minorHAnsi"/>
          <w:sz w:val="24"/>
          <w:szCs w:val="24"/>
          <w:lang w:val="en-IE"/>
        </w:rPr>
        <w:t>):</w:t>
      </w:r>
    </w:p>
    <w:p w14:paraId="6DBDAADC" w14:textId="77777777" w:rsidR="001961D9" w:rsidRPr="00264033" w:rsidRDefault="001961D9" w:rsidP="001961D9">
      <w:pPr>
        <w:pStyle w:val="ListParagraph"/>
        <w:jc w:val="both"/>
        <w:rPr>
          <w:b/>
          <w:bCs/>
          <w:sz w:val="12"/>
          <w:szCs w:val="12"/>
        </w:rPr>
      </w:pPr>
    </w:p>
    <w:p w14:paraId="206EEB73" w14:textId="320465AF" w:rsidR="001961D9" w:rsidRPr="0064051D" w:rsidRDefault="001961D9" w:rsidP="001961D9">
      <w:pPr>
        <w:pStyle w:val="ListParagraph"/>
        <w:jc w:val="both"/>
        <w:rPr>
          <w:sz w:val="24"/>
          <w:szCs w:val="24"/>
        </w:rPr>
      </w:pPr>
      <w:r w:rsidRPr="0064051D">
        <w:rPr>
          <w:b/>
          <w:bCs/>
          <w:sz w:val="24"/>
          <w:szCs w:val="24"/>
        </w:rPr>
        <w:t>Paragraph 4:</w:t>
      </w:r>
      <w:r w:rsidRPr="0064051D">
        <w:rPr>
          <w:sz w:val="24"/>
          <w:szCs w:val="24"/>
        </w:rPr>
        <w:t xml:space="preserve"> ‘The right of peaceful assembly protects the non-violent gathering of persons with a common expressive purpose </w:t>
      </w:r>
      <w:r w:rsidRPr="001961D9">
        <w:rPr>
          <w:b/>
          <w:bCs/>
          <w:sz w:val="24"/>
          <w:szCs w:val="24"/>
        </w:rPr>
        <w:t xml:space="preserve">in [a publicly accessible </w:t>
      </w:r>
      <w:r w:rsidRPr="0064051D">
        <w:rPr>
          <w:sz w:val="24"/>
          <w:szCs w:val="24"/>
        </w:rPr>
        <w:t>/ the same] place.’</w:t>
      </w:r>
    </w:p>
    <w:p w14:paraId="3F881F82" w14:textId="77777777" w:rsidR="001961D9" w:rsidRPr="00264033" w:rsidRDefault="001961D9" w:rsidP="001961D9">
      <w:pPr>
        <w:pStyle w:val="ListParagraph"/>
        <w:jc w:val="both"/>
        <w:rPr>
          <w:b/>
          <w:bCs/>
          <w:sz w:val="12"/>
          <w:szCs w:val="12"/>
        </w:rPr>
      </w:pPr>
    </w:p>
    <w:p w14:paraId="4177F525" w14:textId="4A36430E" w:rsidR="001961D9" w:rsidRPr="003416F5" w:rsidRDefault="001961D9" w:rsidP="003416F5">
      <w:pPr>
        <w:pStyle w:val="ListParagraph"/>
        <w:jc w:val="both"/>
        <w:rPr>
          <w:sz w:val="24"/>
          <w:szCs w:val="24"/>
        </w:rPr>
      </w:pPr>
      <w:r w:rsidRPr="0064051D">
        <w:rPr>
          <w:b/>
          <w:bCs/>
          <w:sz w:val="24"/>
          <w:szCs w:val="24"/>
        </w:rPr>
        <w:t>Paragraph 13:</w:t>
      </w:r>
      <w:r w:rsidRPr="0064051D">
        <w:rPr>
          <w:sz w:val="24"/>
          <w:szCs w:val="24"/>
        </w:rPr>
        <w:t xml:space="preserve"> </w:t>
      </w:r>
      <w:r w:rsidRPr="00911E66">
        <w:rPr>
          <w:sz w:val="24"/>
          <w:szCs w:val="24"/>
        </w:rPr>
        <w:t>‘…</w:t>
      </w:r>
      <w:r w:rsidRPr="0064051D">
        <w:rPr>
          <w:sz w:val="24"/>
          <w:szCs w:val="24"/>
        </w:rPr>
        <w:t xml:space="preserve"> Assemblies can be held on publicly or privately-owned property </w:t>
      </w:r>
      <w:r w:rsidRPr="001961D9">
        <w:rPr>
          <w:b/>
          <w:bCs/>
          <w:sz w:val="24"/>
          <w:szCs w:val="24"/>
        </w:rPr>
        <w:t>[provided the property is publicly accessible]</w:t>
      </w:r>
      <w:r w:rsidRPr="0064051D">
        <w:rPr>
          <w:sz w:val="24"/>
          <w:szCs w:val="24"/>
        </w:rPr>
        <w:t>.’</w:t>
      </w:r>
    </w:p>
    <w:p w14:paraId="5706FED5" w14:textId="77777777" w:rsidR="001961D9" w:rsidRPr="001961D9" w:rsidRDefault="001961D9" w:rsidP="001961D9">
      <w:pPr>
        <w:pStyle w:val="ListParagraph"/>
        <w:ind w:left="426"/>
        <w:jc w:val="both"/>
        <w:rPr>
          <w:sz w:val="24"/>
          <w:szCs w:val="24"/>
        </w:rPr>
      </w:pPr>
    </w:p>
    <w:p w14:paraId="5E91D941" w14:textId="7AD17B10" w:rsidR="005E4AD6" w:rsidRDefault="003416F5" w:rsidP="0011198C">
      <w:pPr>
        <w:pStyle w:val="ListParagraph"/>
        <w:numPr>
          <w:ilvl w:val="0"/>
          <w:numId w:val="7"/>
        </w:numPr>
        <w:ind w:left="426" w:hanging="426"/>
        <w:jc w:val="both"/>
        <w:rPr>
          <w:sz w:val="24"/>
          <w:szCs w:val="24"/>
        </w:rPr>
      </w:pPr>
      <w:r>
        <w:rPr>
          <w:sz w:val="24"/>
          <w:szCs w:val="24"/>
        </w:rPr>
        <w:t>T</w:t>
      </w:r>
      <w:r w:rsidR="008A2C0C">
        <w:rPr>
          <w:sz w:val="24"/>
          <w:szCs w:val="24"/>
        </w:rPr>
        <w:t>he emboldened</w:t>
      </w:r>
      <w:r>
        <w:rPr>
          <w:sz w:val="24"/>
          <w:szCs w:val="24"/>
        </w:rPr>
        <w:t xml:space="preserve"> (bracketed)</w:t>
      </w:r>
      <w:r w:rsidR="008A2C0C">
        <w:rPr>
          <w:sz w:val="24"/>
          <w:szCs w:val="24"/>
        </w:rPr>
        <w:t xml:space="preserve"> text in these extracts</w:t>
      </w:r>
      <w:r>
        <w:rPr>
          <w:sz w:val="24"/>
          <w:szCs w:val="24"/>
        </w:rPr>
        <w:t xml:space="preserve"> should not be included. </w:t>
      </w:r>
      <w:r w:rsidR="008A5DAF">
        <w:rPr>
          <w:sz w:val="24"/>
          <w:szCs w:val="24"/>
        </w:rPr>
        <w:t>I</w:t>
      </w:r>
      <w:r w:rsidR="00F24A90">
        <w:rPr>
          <w:sz w:val="24"/>
          <w:szCs w:val="24"/>
        </w:rPr>
        <w:t xml:space="preserve">t is imperative that the General Comment unequivocally recognizes that assemblies </w:t>
      </w:r>
      <w:r w:rsidR="008A2C0C">
        <w:rPr>
          <w:sz w:val="24"/>
          <w:szCs w:val="24"/>
        </w:rPr>
        <w:t>that</w:t>
      </w:r>
      <w:r w:rsidR="00F24A90">
        <w:rPr>
          <w:sz w:val="24"/>
          <w:szCs w:val="24"/>
        </w:rPr>
        <w:t xml:space="preserve"> take place </w:t>
      </w:r>
      <w:r w:rsidR="008A2C0C">
        <w:rPr>
          <w:sz w:val="24"/>
          <w:szCs w:val="24"/>
        </w:rPr>
        <w:t>i</w:t>
      </w:r>
      <w:r w:rsidR="00F24A90">
        <w:rPr>
          <w:sz w:val="24"/>
          <w:szCs w:val="24"/>
        </w:rPr>
        <w:t>n privately owned places</w:t>
      </w:r>
      <w:r w:rsidR="008A2C0C">
        <w:rPr>
          <w:sz w:val="24"/>
          <w:szCs w:val="24"/>
        </w:rPr>
        <w:t xml:space="preserve"> fall within the protective scope of Article 21</w:t>
      </w:r>
      <w:r w:rsidR="00F24A90">
        <w:rPr>
          <w:sz w:val="24"/>
          <w:szCs w:val="24"/>
        </w:rPr>
        <w:t xml:space="preserve">. </w:t>
      </w:r>
      <w:r w:rsidR="00F24A90" w:rsidRPr="008A2C0C">
        <w:rPr>
          <w:sz w:val="24"/>
          <w:szCs w:val="24"/>
        </w:rPr>
        <w:t>Such a recognition does not</w:t>
      </w:r>
      <w:r w:rsidR="008A2C0C" w:rsidRPr="008A2C0C">
        <w:rPr>
          <w:sz w:val="24"/>
          <w:szCs w:val="24"/>
        </w:rPr>
        <w:t xml:space="preserve"> </w:t>
      </w:r>
      <w:r w:rsidR="00F24A90" w:rsidRPr="008A2C0C">
        <w:rPr>
          <w:sz w:val="24"/>
          <w:szCs w:val="24"/>
        </w:rPr>
        <w:t>confer any right of access</w:t>
      </w:r>
      <w:r w:rsidR="008A2C0C" w:rsidRPr="008A2C0C">
        <w:rPr>
          <w:sz w:val="24"/>
          <w:szCs w:val="24"/>
        </w:rPr>
        <w:t xml:space="preserve"> but simply recognizes </w:t>
      </w:r>
      <w:r w:rsidR="008A2C0C">
        <w:rPr>
          <w:sz w:val="24"/>
          <w:szCs w:val="24"/>
        </w:rPr>
        <w:t xml:space="preserve">(as stated in the last sentence of </w:t>
      </w:r>
      <w:r w:rsidR="008A2C0C" w:rsidRPr="008A2C0C">
        <w:rPr>
          <w:b/>
          <w:bCs/>
          <w:sz w:val="24"/>
          <w:szCs w:val="24"/>
        </w:rPr>
        <w:t>paragraph 67</w:t>
      </w:r>
      <w:r w:rsidR="008A2C0C">
        <w:rPr>
          <w:sz w:val="24"/>
          <w:szCs w:val="24"/>
        </w:rPr>
        <w:t>) that ‘[a]</w:t>
      </w:r>
      <w:proofErr w:type="spellStart"/>
      <w:r w:rsidR="008A2C0C" w:rsidRPr="008A2C0C">
        <w:rPr>
          <w:sz w:val="24"/>
          <w:szCs w:val="24"/>
        </w:rPr>
        <w:t>ssemblies</w:t>
      </w:r>
      <w:proofErr w:type="spellEnd"/>
      <w:r w:rsidR="008A2C0C" w:rsidRPr="008A2C0C">
        <w:rPr>
          <w:sz w:val="24"/>
          <w:szCs w:val="24"/>
        </w:rPr>
        <w:t xml:space="preserve"> held on privately owned property with the consent of the owners enjoy the same protection as other assemblies.</w:t>
      </w:r>
      <w:r w:rsidR="008A2C0C">
        <w:rPr>
          <w:sz w:val="24"/>
          <w:szCs w:val="24"/>
        </w:rPr>
        <w:t>’</w:t>
      </w:r>
      <w:r>
        <w:rPr>
          <w:sz w:val="24"/>
          <w:szCs w:val="24"/>
        </w:rPr>
        <w:t xml:space="preserve"> </w:t>
      </w:r>
      <w:r w:rsidRPr="003416F5">
        <w:rPr>
          <w:sz w:val="24"/>
          <w:szCs w:val="24"/>
        </w:rPr>
        <w:t xml:space="preserve">The bracketed wordings (in </w:t>
      </w:r>
      <w:r w:rsidRPr="003416F5">
        <w:rPr>
          <w:b/>
          <w:bCs/>
          <w:sz w:val="24"/>
          <w:szCs w:val="24"/>
        </w:rPr>
        <w:t>paragraphs 4 and 13</w:t>
      </w:r>
      <w:r w:rsidRPr="003416F5">
        <w:rPr>
          <w:sz w:val="24"/>
          <w:szCs w:val="24"/>
        </w:rPr>
        <w:t xml:space="preserve">) if incorporated, would undermine the assurance given in </w:t>
      </w:r>
      <w:r w:rsidRPr="003416F5">
        <w:rPr>
          <w:b/>
          <w:bCs/>
          <w:sz w:val="24"/>
          <w:szCs w:val="24"/>
        </w:rPr>
        <w:t>paragraph 67</w:t>
      </w:r>
      <w:r w:rsidRPr="003416F5">
        <w:rPr>
          <w:sz w:val="24"/>
          <w:szCs w:val="24"/>
        </w:rPr>
        <w:t xml:space="preserve"> (which itself deserves greater prominence in the section relating to the scope of the right).</w:t>
      </w:r>
      <w:r>
        <w:rPr>
          <w:sz w:val="24"/>
          <w:szCs w:val="24"/>
        </w:rPr>
        <w:t xml:space="preserve"> </w:t>
      </w:r>
    </w:p>
    <w:p w14:paraId="25AB5F51" w14:textId="77777777" w:rsidR="005E4AD6" w:rsidRDefault="005E4AD6" w:rsidP="005E4AD6">
      <w:pPr>
        <w:pStyle w:val="ListParagraph"/>
        <w:ind w:left="426"/>
        <w:jc w:val="both"/>
        <w:rPr>
          <w:sz w:val="24"/>
          <w:szCs w:val="24"/>
        </w:rPr>
      </w:pPr>
    </w:p>
    <w:p w14:paraId="6C7FF40F" w14:textId="1375C395" w:rsidR="005E4AD6" w:rsidRPr="005E4AD6" w:rsidRDefault="005E4AD6" w:rsidP="0011198C">
      <w:pPr>
        <w:pStyle w:val="ListParagraph"/>
        <w:numPr>
          <w:ilvl w:val="0"/>
          <w:numId w:val="7"/>
        </w:numPr>
        <w:ind w:left="426" w:hanging="426"/>
        <w:jc w:val="both"/>
        <w:rPr>
          <w:sz w:val="24"/>
          <w:szCs w:val="24"/>
        </w:rPr>
      </w:pPr>
      <w:r w:rsidRPr="005E4AD6">
        <w:rPr>
          <w:rFonts w:cstheme="minorHAnsi"/>
          <w:sz w:val="24"/>
          <w:szCs w:val="24"/>
        </w:rPr>
        <w:t xml:space="preserve">It might be worth re-thinking the </w:t>
      </w:r>
      <w:r w:rsidR="0049291E">
        <w:rPr>
          <w:rFonts w:cstheme="minorHAnsi"/>
          <w:sz w:val="24"/>
          <w:szCs w:val="24"/>
        </w:rPr>
        <w:t xml:space="preserve">degree of </w:t>
      </w:r>
      <w:r w:rsidRPr="005E4AD6">
        <w:rPr>
          <w:rFonts w:cstheme="minorHAnsi"/>
          <w:sz w:val="24"/>
          <w:szCs w:val="24"/>
        </w:rPr>
        <w:t xml:space="preserve">overlap between </w:t>
      </w:r>
      <w:r w:rsidRPr="0008763C">
        <w:rPr>
          <w:rFonts w:cstheme="minorHAnsi"/>
          <w:b/>
          <w:bCs/>
          <w:sz w:val="24"/>
          <w:szCs w:val="24"/>
        </w:rPr>
        <w:t>paragraphs 4 and 13</w:t>
      </w:r>
      <w:r>
        <w:rPr>
          <w:rFonts w:cstheme="minorHAnsi"/>
          <w:sz w:val="24"/>
          <w:szCs w:val="24"/>
        </w:rPr>
        <w:t>, noting that p</w:t>
      </w:r>
      <w:r w:rsidRPr="005E4AD6">
        <w:rPr>
          <w:rFonts w:cstheme="minorHAnsi"/>
          <w:sz w:val="24"/>
          <w:szCs w:val="24"/>
        </w:rPr>
        <w:t>aragraph 4 is in the introductory ‘General remarks’ section</w:t>
      </w:r>
      <w:r>
        <w:rPr>
          <w:rFonts w:cstheme="minorHAnsi"/>
          <w:sz w:val="24"/>
          <w:szCs w:val="24"/>
        </w:rPr>
        <w:t xml:space="preserve"> while </w:t>
      </w:r>
      <w:r w:rsidRPr="0008763C">
        <w:rPr>
          <w:rFonts w:cstheme="minorHAnsi"/>
          <w:b/>
          <w:bCs/>
          <w:sz w:val="24"/>
          <w:szCs w:val="24"/>
        </w:rPr>
        <w:t>paragraph 13</w:t>
      </w:r>
      <w:r w:rsidRPr="005E4AD6">
        <w:rPr>
          <w:rFonts w:cstheme="minorHAnsi"/>
          <w:sz w:val="24"/>
          <w:szCs w:val="24"/>
        </w:rPr>
        <w:t xml:space="preserve"> is where the ‘scope’ of the right is elaborated </w:t>
      </w:r>
      <w:r>
        <w:rPr>
          <w:rFonts w:cstheme="minorHAnsi"/>
          <w:sz w:val="24"/>
          <w:szCs w:val="24"/>
        </w:rPr>
        <w:t xml:space="preserve">(and thus </w:t>
      </w:r>
      <w:r w:rsidR="0049291E">
        <w:rPr>
          <w:rFonts w:cstheme="minorHAnsi"/>
          <w:sz w:val="24"/>
          <w:szCs w:val="24"/>
        </w:rPr>
        <w:t>ought</w:t>
      </w:r>
      <w:r w:rsidRPr="005E4AD6">
        <w:rPr>
          <w:rFonts w:cstheme="minorHAnsi"/>
          <w:sz w:val="24"/>
          <w:szCs w:val="24"/>
        </w:rPr>
        <w:t xml:space="preserve"> to be</w:t>
      </w:r>
      <w:r>
        <w:rPr>
          <w:rFonts w:cstheme="minorHAnsi"/>
          <w:sz w:val="24"/>
          <w:szCs w:val="24"/>
        </w:rPr>
        <w:t xml:space="preserve"> the</w:t>
      </w:r>
      <w:r w:rsidRPr="005E4AD6">
        <w:rPr>
          <w:rFonts w:cstheme="minorHAnsi"/>
          <w:sz w:val="24"/>
          <w:szCs w:val="24"/>
        </w:rPr>
        <w:t xml:space="preserve"> more </w:t>
      </w:r>
      <w:r>
        <w:rPr>
          <w:rFonts w:cstheme="minorHAnsi"/>
          <w:sz w:val="24"/>
          <w:szCs w:val="24"/>
        </w:rPr>
        <w:t>definitive</w:t>
      </w:r>
      <w:r w:rsidRPr="005E4AD6">
        <w:rPr>
          <w:rFonts w:cstheme="minorHAnsi"/>
          <w:sz w:val="24"/>
          <w:szCs w:val="24"/>
        </w:rPr>
        <w:t xml:space="preserve">). </w:t>
      </w:r>
    </w:p>
    <w:p w14:paraId="03C2DAD0" w14:textId="77777777" w:rsidR="005E4AD6" w:rsidRPr="005E4AD6" w:rsidRDefault="005E4AD6" w:rsidP="005E4AD6">
      <w:pPr>
        <w:pStyle w:val="ListParagraph"/>
        <w:rPr>
          <w:sz w:val="24"/>
          <w:szCs w:val="24"/>
        </w:rPr>
      </w:pPr>
    </w:p>
    <w:p w14:paraId="5FB0ECCC" w14:textId="00B96362" w:rsidR="0011198C" w:rsidRDefault="005E4AD6" w:rsidP="0011198C">
      <w:pPr>
        <w:pStyle w:val="ListParagraph"/>
        <w:numPr>
          <w:ilvl w:val="0"/>
          <w:numId w:val="7"/>
        </w:numPr>
        <w:ind w:left="426" w:hanging="426"/>
        <w:jc w:val="both"/>
        <w:rPr>
          <w:sz w:val="24"/>
          <w:szCs w:val="24"/>
        </w:rPr>
      </w:pPr>
      <w:r>
        <w:rPr>
          <w:sz w:val="24"/>
          <w:szCs w:val="24"/>
        </w:rPr>
        <w:t>F</w:t>
      </w:r>
      <w:r w:rsidR="003416F5">
        <w:rPr>
          <w:sz w:val="24"/>
          <w:szCs w:val="24"/>
        </w:rPr>
        <w:t xml:space="preserve">or the sake of making it clear that the scope of the right of peaceful assembly </w:t>
      </w:r>
      <w:r w:rsidR="003416F5" w:rsidRPr="005E4AD6">
        <w:rPr>
          <w:i/>
          <w:iCs/>
          <w:sz w:val="24"/>
          <w:szCs w:val="24"/>
        </w:rPr>
        <w:t>protect</w:t>
      </w:r>
      <w:r>
        <w:rPr>
          <w:i/>
          <w:iCs/>
          <w:sz w:val="24"/>
          <w:szCs w:val="24"/>
        </w:rPr>
        <w:t>s</w:t>
      </w:r>
      <w:r w:rsidR="0011198C">
        <w:rPr>
          <w:sz w:val="24"/>
          <w:szCs w:val="24"/>
        </w:rPr>
        <w:t xml:space="preserve"> assemblies in privately-owned property (irrespective of whether it is publicly accessible), </w:t>
      </w:r>
      <w:r w:rsidR="0011198C" w:rsidRPr="0008763C">
        <w:rPr>
          <w:b/>
          <w:bCs/>
          <w:sz w:val="24"/>
          <w:szCs w:val="24"/>
        </w:rPr>
        <w:t>paragraph 13</w:t>
      </w:r>
      <w:r w:rsidR="0011198C" w:rsidRPr="0011198C">
        <w:rPr>
          <w:sz w:val="24"/>
          <w:szCs w:val="24"/>
        </w:rPr>
        <w:t xml:space="preserve"> might be reworded to read</w:t>
      </w:r>
      <w:r>
        <w:rPr>
          <w:sz w:val="24"/>
          <w:szCs w:val="24"/>
        </w:rPr>
        <w:t xml:space="preserve"> – perhaps adding</w:t>
      </w:r>
      <w:r w:rsidR="0049291E">
        <w:rPr>
          <w:sz w:val="24"/>
          <w:szCs w:val="24"/>
        </w:rPr>
        <w:t xml:space="preserve"> here</w:t>
      </w:r>
      <w:r>
        <w:rPr>
          <w:sz w:val="24"/>
          <w:szCs w:val="24"/>
        </w:rPr>
        <w:t xml:space="preserve"> an iterative reference to online spaces</w:t>
      </w:r>
      <w:r w:rsidR="0011198C" w:rsidRPr="0011198C">
        <w:rPr>
          <w:sz w:val="24"/>
          <w:szCs w:val="24"/>
        </w:rPr>
        <w:t xml:space="preserve">: </w:t>
      </w:r>
    </w:p>
    <w:p w14:paraId="3D2EC7BF" w14:textId="77777777" w:rsidR="0011198C" w:rsidRDefault="0011198C" w:rsidP="0011198C">
      <w:pPr>
        <w:pStyle w:val="ListParagraph"/>
        <w:ind w:left="1440"/>
        <w:rPr>
          <w:sz w:val="24"/>
          <w:szCs w:val="24"/>
        </w:rPr>
      </w:pPr>
    </w:p>
    <w:p w14:paraId="009D4E4A" w14:textId="79E394D5" w:rsidR="0011198C" w:rsidRPr="00194D99" w:rsidRDefault="0011198C" w:rsidP="00264033">
      <w:pPr>
        <w:pStyle w:val="ListParagraph"/>
        <w:ind w:left="709" w:right="521"/>
        <w:rPr>
          <w:i/>
          <w:iCs/>
          <w:color w:val="2F5496" w:themeColor="accent5" w:themeShade="BF"/>
          <w:sz w:val="24"/>
          <w:szCs w:val="24"/>
        </w:rPr>
      </w:pPr>
      <w:r w:rsidRPr="00194D99">
        <w:rPr>
          <w:i/>
          <w:iCs/>
          <w:color w:val="2F5496" w:themeColor="accent5" w:themeShade="BF"/>
          <w:sz w:val="24"/>
          <w:szCs w:val="24"/>
        </w:rPr>
        <w:t>‘</w:t>
      </w:r>
      <w:r w:rsidRPr="00194D99">
        <w:rPr>
          <w:rFonts w:cstheme="minorHAnsi"/>
          <w:i/>
          <w:iCs/>
          <w:color w:val="2F5496" w:themeColor="accent5" w:themeShade="BF"/>
          <w:sz w:val="24"/>
          <w:szCs w:val="24"/>
        </w:rPr>
        <w:t xml:space="preserve">To qualify as an “assembly”, there must be an intentional gathering of </w:t>
      </w:r>
      <w:r w:rsidR="005E4AD6" w:rsidRPr="00194D99">
        <w:rPr>
          <w:rFonts w:cstheme="minorHAnsi"/>
          <w:i/>
          <w:iCs/>
          <w:color w:val="2F5496" w:themeColor="accent5" w:themeShade="BF"/>
          <w:sz w:val="24"/>
          <w:szCs w:val="24"/>
        </w:rPr>
        <w:t>[</w:t>
      </w:r>
      <w:r w:rsidRPr="00194D99">
        <w:rPr>
          <w:rFonts w:cstheme="minorHAnsi"/>
          <w:i/>
          <w:iCs/>
          <w:color w:val="2F5496" w:themeColor="accent5" w:themeShade="BF"/>
          <w:sz w:val="24"/>
          <w:szCs w:val="24"/>
        </w:rPr>
        <w:t>two or more</w:t>
      </w:r>
      <w:r w:rsidR="005E4AD6" w:rsidRPr="00194D99">
        <w:rPr>
          <w:rFonts w:cstheme="minorHAnsi"/>
          <w:i/>
          <w:iCs/>
          <w:color w:val="2F5496" w:themeColor="accent5" w:themeShade="BF"/>
          <w:sz w:val="24"/>
          <w:szCs w:val="24"/>
        </w:rPr>
        <w:t>]</w:t>
      </w:r>
      <w:r w:rsidRPr="00194D99">
        <w:rPr>
          <w:rFonts w:cstheme="minorHAnsi"/>
          <w:i/>
          <w:iCs/>
          <w:color w:val="2F5496" w:themeColor="accent5" w:themeShade="BF"/>
          <w:sz w:val="24"/>
          <w:szCs w:val="24"/>
        </w:rPr>
        <w:t xml:space="preserve"> persons. Assemblies can be held in publicly or privately-owned </w:t>
      </w:r>
      <w:r w:rsidR="008A5DAF">
        <w:rPr>
          <w:rFonts w:cstheme="minorHAnsi"/>
          <w:i/>
          <w:iCs/>
          <w:color w:val="2F5496" w:themeColor="accent5" w:themeShade="BF"/>
          <w:sz w:val="24"/>
          <w:szCs w:val="24"/>
        </w:rPr>
        <w:t>spaces</w:t>
      </w:r>
      <w:r w:rsidRPr="00194D99">
        <w:rPr>
          <w:rFonts w:cstheme="minorHAnsi"/>
          <w:i/>
          <w:iCs/>
          <w:color w:val="2F5496" w:themeColor="accent5" w:themeShade="BF"/>
          <w:sz w:val="24"/>
          <w:szCs w:val="24"/>
        </w:rPr>
        <w:t xml:space="preserve"> (including online spaces).’</w:t>
      </w:r>
    </w:p>
    <w:p w14:paraId="774A4B29" w14:textId="77777777" w:rsidR="0011198C" w:rsidRPr="0011198C" w:rsidRDefault="0011198C" w:rsidP="0011198C">
      <w:pPr>
        <w:pStyle w:val="ListParagraph"/>
        <w:ind w:left="426"/>
        <w:rPr>
          <w:sz w:val="24"/>
          <w:szCs w:val="24"/>
        </w:rPr>
      </w:pPr>
    </w:p>
    <w:p w14:paraId="58E8802D" w14:textId="797EAF7C" w:rsidR="00F14E6F" w:rsidRPr="00F14E6F" w:rsidRDefault="0011198C" w:rsidP="00F14E6F">
      <w:pPr>
        <w:pStyle w:val="ListParagraph"/>
        <w:numPr>
          <w:ilvl w:val="0"/>
          <w:numId w:val="7"/>
        </w:numPr>
        <w:ind w:left="426" w:hanging="426"/>
        <w:rPr>
          <w:b/>
          <w:bCs/>
          <w:sz w:val="24"/>
          <w:szCs w:val="24"/>
        </w:rPr>
      </w:pPr>
      <w:r w:rsidRPr="0011198C">
        <w:rPr>
          <w:rFonts w:cstheme="minorHAnsi"/>
          <w:sz w:val="24"/>
          <w:szCs w:val="24"/>
        </w:rPr>
        <w:t>In addition</w:t>
      </w:r>
      <w:r w:rsidRPr="00194D99">
        <w:rPr>
          <w:rFonts w:cstheme="minorHAnsi"/>
          <w:sz w:val="24"/>
          <w:szCs w:val="24"/>
        </w:rPr>
        <w:t xml:space="preserve">, </w:t>
      </w:r>
      <w:r w:rsidR="00194D99" w:rsidRPr="00194D99">
        <w:rPr>
          <w:rFonts w:cstheme="minorHAnsi"/>
          <w:b/>
          <w:bCs/>
          <w:sz w:val="24"/>
          <w:szCs w:val="24"/>
        </w:rPr>
        <w:t>p</w:t>
      </w:r>
      <w:r w:rsidR="006E45C8" w:rsidRPr="00194D99">
        <w:rPr>
          <w:rFonts w:cstheme="minorHAnsi"/>
          <w:b/>
          <w:bCs/>
          <w:sz w:val="24"/>
          <w:szCs w:val="24"/>
        </w:rPr>
        <w:t>ara</w:t>
      </w:r>
      <w:r w:rsidR="00194D99" w:rsidRPr="00194D99">
        <w:rPr>
          <w:rFonts w:cstheme="minorHAnsi"/>
          <w:b/>
          <w:bCs/>
          <w:sz w:val="24"/>
          <w:szCs w:val="24"/>
        </w:rPr>
        <w:t>graphs</w:t>
      </w:r>
      <w:r w:rsidR="006E45C8" w:rsidRPr="00194D99">
        <w:rPr>
          <w:rFonts w:cstheme="minorHAnsi"/>
          <w:b/>
          <w:bCs/>
          <w:sz w:val="24"/>
          <w:szCs w:val="24"/>
        </w:rPr>
        <w:t xml:space="preserve"> 4 and 5</w:t>
      </w:r>
      <w:r w:rsidR="006E45C8" w:rsidRPr="00194D99">
        <w:rPr>
          <w:rFonts w:cstheme="minorHAnsi"/>
          <w:sz w:val="24"/>
          <w:szCs w:val="24"/>
        </w:rPr>
        <w:t xml:space="preserve"> could </w:t>
      </w:r>
      <w:r w:rsidR="00194D99">
        <w:rPr>
          <w:rFonts w:cstheme="minorHAnsi"/>
          <w:sz w:val="24"/>
          <w:szCs w:val="24"/>
        </w:rPr>
        <w:t xml:space="preserve">potentially </w:t>
      </w:r>
      <w:r w:rsidR="006E45C8" w:rsidRPr="00194D99">
        <w:rPr>
          <w:rFonts w:cstheme="minorHAnsi"/>
          <w:sz w:val="24"/>
          <w:szCs w:val="24"/>
        </w:rPr>
        <w:t>be combined so as to read:</w:t>
      </w:r>
    </w:p>
    <w:p w14:paraId="6A8A145D" w14:textId="77777777" w:rsidR="00F14E6F" w:rsidRPr="00194D99" w:rsidRDefault="00F14E6F" w:rsidP="00F14E6F">
      <w:pPr>
        <w:pStyle w:val="CommentText"/>
        <w:ind w:left="720" w:right="521"/>
        <w:jc w:val="both"/>
        <w:rPr>
          <w:rFonts w:asciiTheme="minorHAnsi" w:hAnsiTheme="minorHAnsi" w:cstheme="minorHAnsi"/>
          <w:i/>
          <w:iCs/>
          <w:color w:val="2F5496" w:themeColor="accent5" w:themeShade="BF"/>
          <w:sz w:val="24"/>
          <w:szCs w:val="24"/>
        </w:rPr>
      </w:pPr>
      <w:r w:rsidRPr="00194D99">
        <w:rPr>
          <w:rFonts w:asciiTheme="minorHAnsi" w:hAnsiTheme="minorHAnsi" w:cstheme="minorHAnsi"/>
          <w:i/>
          <w:iCs/>
          <w:color w:val="2F5496" w:themeColor="accent5" w:themeShade="BF"/>
          <w:sz w:val="24"/>
          <w:szCs w:val="24"/>
        </w:rPr>
        <w:t>‘Everyone, including children,</w:t>
      </w:r>
      <w:r w:rsidRPr="00194D99">
        <w:rPr>
          <w:rFonts w:asciiTheme="minorHAnsi" w:hAnsiTheme="minorHAnsi" w:cstheme="minorHAnsi"/>
          <w:i/>
          <w:iCs/>
          <w:color w:val="2F5496" w:themeColor="accent5" w:themeShade="BF"/>
          <w:sz w:val="24"/>
          <w:szCs w:val="24"/>
          <w:vertAlign w:val="superscript"/>
          <w:lang w:val="fr-CH"/>
        </w:rPr>
        <w:footnoteRef/>
      </w:r>
      <w:r w:rsidRPr="00194D99">
        <w:rPr>
          <w:rFonts w:asciiTheme="minorHAnsi" w:hAnsiTheme="minorHAnsi" w:cstheme="minorHAnsi"/>
          <w:i/>
          <w:iCs/>
          <w:color w:val="2F5496" w:themeColor="accent5" w:themeShade="BF"/>
          <w:sz w:val="24"/>
          <w:szCs w:val="24"/>
        </w:rPr>
        <w:t xml:space="preserve"> can exercise the right of peaceful assembly. It is an individual right that is exercised collectively. In addition to its exercise by citizens, the right may also be exercised by, for example, foreign nationals,</w:t>
      </w:r>
      <w:r w:rsidRPr="00194D99">
        <w:rPr>
          <w:rFonts w:asciiTheme="minorHAnsi" w:hAnsiTheme="minorHAnsi" w:cstheme="minorHAnsi"/>
          <w:i/>
          <w:iCs/>
          <w:color w:val="2F5496" w:themeColor="accent5" w:themeShade="BF"/>
          <w:sz w:val="24"/>
          <w:szCs w:val="24"/>
          <w:vertAlign w:val="superscript"/>
          <w:lang w:val="fr-CH"/>
        </w:rPr>
        <w:footnoteRef/>
      </w:r>
      <w:r w:rsidRPr="00194D99">
        <w:rPr>
          <w:rFonts w:asciiTheme="minorHAnsi" w:hAnsiTheme="minorHAnsi" w:cstheme="minorHAnsi"/>
          <w:i/>
          <w:iCs/>
          <w:color w:val="2F5496" w:themeColor="accent5" w:themeShade="BF"/>
          <w:sz w:val="24"/>
          <w:szCs w:val="24"/>
        </w:rPr>
        <w:t xml:space="preserve"> including migrant workers,</w:t>
      </w:r>
      <w:r w:rsidRPr="00194D99">
        <w:rPr>
          <w:rFonts w:asciiTheme="minorHAnsi" w:hAnsiTheme="minorHAnsi" w:cstheme="minorHAnsi"/>
          <w:i/>
          <w:iCs/>
          <w:color w:val="2F5496" w:themeColor="accent5" w:themeShade="BF"/>
          <w:sz w:val="24"/>
          <w:szCs w:val="24"/>
          <w:vertAlign w:val="superscript"/>
          <w:lang w:val="fr-CH"/>
        </w:rPr>
        <w:footnoteRef/>
      </w:r>
      <w:r w:rsidRPr="00194D99">
        <w:rPr>
          <w:rFonts w:asciiTheme="minorHAnsi" w:hAnsiTheme="minorHAnsi" w:cstheme="minorHAnsi"/>
          <w:i/>
          <w:iCs/>
          <w:color w:val="2F5496" w:themeColor="accent5" w:themeShade="BF"/>
          <w:sz w:val="24"/>
          <w:szCs w:val="24"/>
        </w:rPr>
        <w:t xml:space="preserve"> asylum seekers and refugees,</w:t>
      </w:r>
      <w:r w:rsidRPr="00194D99">
        <w:rPr>
          <w:rFonts w:asciiTheme="minorHAnsi" w:hAnsiTheme="minorHAnsi" w:cstheme="minorHAnsi"/>
          <w:i/>
          <w:iCs/>
          <w:color w:val="2F5496" w:themeColor="accent5" w:themeShade="BF"/>
          <w:sz w:val="24"/>
          <w:szCs w:val="24"/>
          <w:vertAlign w:val="superscript"/>
          <w:lang w:val="fr-CH"/>
        </w:rPr>
        <w:footnoteRef/>
      </w:r>
      <w:r w:rsidRPr="00194D99">
        <w:rPr>
          <w:rFonts w:asciiTheme="minorHAnsi" w:hAnsiTheme="minorHAnsi" w:cstheme="minorHAnsi"/>
          <w:i/>
          <w:iCs/>
          <w:color w:val="2F5496" w:themeColor="accent5" w:themeShade="BF"/>
          <w:sz w:val="24"/>
          <w:szCs w:val="24"/>
        </w:rPr>
        <w:t xml:space="preserve"> as well as stateless persons.’</w:t>
      </w:r>
    </w:p>
    <w:p w14:paraId="4E3C21B4" w14:textId="77777777" w:rsidR="00F14E6F" w:rsidRDefault="00F14E6F" w:rsidP="00F14E6F">
      <w:pPr>
        <w:jc w:val="both"/>
        <w:rPr>
          <w:rFonts w:ascii="Times New Roman" w:hAnsi="Times New Roman" w:cs="Times New Roman"/>
          <w:sz w:val="24"/>
          <w:szCs w:val="24"/>
          <w:highlight w:val="cyan"/>
        </w:rPr>
      </w:pPr>
    </w:p>
    <w:p w14:paraId="0544D78A" w14:textId="6D671754" w:rsidR="00F14E6F" w:rsidRPr="0008763C" w:rsidRDefault="00F14E6F" w:rsidP="00F14E6F">
      <w:pPr>
        <w:pStyle w:val="ListParagraph"/>
        <w:numPr>
          <w:ilvl w:val="0"/>
          <w:numId w:val="8"/>
        </w:numPr>
        <w:ind w:left="426" w:hanging="426"/>
        <w:rPr>
          <w:b/>
          <w:bCs/>
          <w:sz w:val="24"/>
          <w:szCs w:val="24"/>
        </w:rPr>
      </w:pPr>
      <w:r w:rsidRPr="0008763C">
        <w:rPr>
          <w:b/>
          <w:bCs/>
          <w:i/>
          <w:iCs/>
          <w:sz w:val="24"/>
          <w:szCs w:val="24"/>
        </w:rPr>
        <w:t>Access</w:t>
      </w:r>
      <w:r w:rsidRPr="0008763C">
        <w:rPr>
          <w:b/>
          <w:bCs/>
          <w:sz w:val="24"/>
          <w:szCs w:val="24"/>
        </w:rPr>
        <w:t xml:space="preserve"> for assemblies </w:t>
      </w:r>
      <w:r w:rsidR="0008763C">
        <w:rPr>
          <w:b/>
          <w:bCs/>
          <w:sz w:val="24"/>
          <w:szCs w:val="24"/>
        </w:rPr>
        <w:t>to</w:t>
      </w:r>
      <w:r w:rsidRPr="0008763C">
        <w:rPr>
          <w:b/>
          <w:bCs/>
          <w:sz w:val="24"/>
          <w:szCs w:val="24"/>
        </w:rPr>
        <w:t xml:space="preserve"> privately-owned spaces</w:t>
      </w:r>
    </w:p>
    <w:p w14:paraId="63B5D5D4" w14:textId="7225D6DE" w:rsidR="00E04802" w:rsidRPr="00E04802" w:rsidRDefault="00E04802" w:rsidP="00E04802">
      <w:pPr>
        <w:pStyle w:val="ListParagraph"/>
        <w:numPr>
          <w:ilvl w:val="0"/>
          <w:numId w:val="7"/>
        </w:numPr>
        <w:ind w:left="426" w:hanging="426"/>
        <w:jc w:val="both"/>
        <w:rPr>
          <w:b/>
          <w:bCs/>
          <w:sz w:val="24"/>
          <w:szCs w:val="24"/>
        </w:rPr>
      </w:pPr>
      <w:r w:rsidRPr="00E04802">
        <w:rPr>
          <w:sz w:val="24"/>
          <w:szCs w:val="24"/>
        </w:rPr>
        <w:t xml:space="preserve">In </w:t>
      </w:r>
      <w:r w:rsidRPr="00E04802">
        <w:rPr>
          <w:b/>
          <w:bCs/>
          <w:sz w:val="24"/>
          <w:szCs w:val="24"/>
        </w:rPr>
        <w:t>paragraph 64</w:t>
      </w:r>
      <w:r w:rsidRPr="00E04802">
        <w:rPr>
          <w:sz w:val="24"/>
          <w:szCs w:val="24"/>
        </w:rPr>
        <w:t xml:space="preserve">, the use of the permissive ‘may </w:t>
      </w:r>
      <w:r w:rsidR="008A5DAF">
        <w:rPr>
          <w:sz w:val="24"/>
          <w:szCs w:val="24"/>
        </w:rPr>
        <w:t xml:space="preserve">… </w:t>
      </w:r>
      <w:r w:rsidRPr="00E04802">
        <w:rPr>
          <w:sz w:val="24"/>
          <w:szCs w:val="24"/>
        </w:rPr>
        <w:t xml:space="preserve">be’ suggests that this sentence is addressing questions of access </w:t>
      </w:r>
      <w:r w:rsidR="0043180B">
        <w:rPr>
          <w:sz w:val="24"/>
          <w:szCs w:val="24"/>
        </w:rPr>
        <w:t>(</w:t>
      </w:r>
      <w:r w:rsidRPr="00E04802">
        <w:rPr>
          <w:sz w:val="24"/>
          <w:szCs w:val="24"/>
        </w:rPr>
        <w:t>rather than protection more broadly</w:t>
      </w:r>
      <w:r w:rsidR="0043180B">
        <w:rPr>
          <w:sz w:val="24"/>
          <w:szCs w:val="24"/>
        </w:rPr>
        <w:t>)</w:t>
      </w:r>
      <w:r w:rsidRPr="00E04802">
        <w:rPr>
          <w:sz w:val="24"/>
          <w:szCs w:val="24"/>
        </w:rPr>
        <w:t xml:space="preserve">. </w:t>
      </w:r>
    </w:p>
    <w:p w14:paraId="585DDE1F" w14:textId="77777777" w:rsidR="00E04802" w:rsidRPr="00E04802" w:rsidRDefault="00E04802" w:rsidP="00E04802">
      <w:pPr>
        <w:pStyle w:val="ListParagraph"/>
        <w:jc w:val="both"/>
        <w:rPr>
          <w:b/>
          <w:bCs/>
          <w:sz w:val="12"/>
          <w:szCs w:val="12"/>
        </w:rPr>
      </w:pPr>
    </w:p>
    <w:p w14:paraId="51D90BFE" w14:textId="267101C6" w:rsidR="00E04802" w:rsidRPr="00E04802" w:rsidRDefault="00E04802" w:rsidP="00E04802">
      <w:pPr>
        <w:pStyle w:val="ListParagraph"/>
        <w:jc w:val="both"/>
        <w:rPr>
          <w:sz w:val="24"/>
          <w:szCs w:val="24"/>
        </w:rPr>
      </w:pPr>
      <w:r w:rsidRPr="00E04802">
        <w:rPr>
          <w:b/>
          <w:bCs/>
          <w:sz w:val="24"/>
          <w:szCs w:val="24"/>
        </w:rPr>
        <w:t>Paragraph 64:</w:t>
      </w:r>
      <w:r w:rsidRPr="00E04802">
        <w:rPr>
          <w:sz w:val="24"/>
          <w:szCs w:val="24"/>
        </w:rPr>
        <w:t xml:space="preserve"> ‘…</w:t>
      </w:r>
      <w:r w:rsidRPr="00E04802">
        <w:rPr>
          <w:rFonts w:ascii="Times New Roman" w:eastAsia="Times New Roman" w:hAnsi="Times New Roman" w:cs="Times New Roman"/>
          <w:sz w:val="20"/>
          <w:szCs w:val="20"/>
        </w:rPr>
        <w:t xml:space="preserve"> </w:t>
      </w:r>
      <w:r w:rsidRPr="00E04802">
        <w:rPr>
          <w:sz w:val="24"/>
          <w:szCs w:val="24"/>
        </w:rPr>
        <w:t xml:space="preserve">peaceful assemblies </w:t>
      </w:r>
      <w:r w:rsidRPr="008A5DAF">
        <w:rPr>
          <w:sz w:val="24"/>
          <w:szCs w:val="24"/>
          <w:u w:val="single"/>
        </w:rPr>
        <w:t>may</w:t>
      </w:r>
      <w:r w:rsidRPr="00E04802">
        <w:rPr>
          <w:sz w:val="24"/>
          <w:szCs w:val="24"/>
        </w:rPr>
        <w:t xml:space="preserve"> in principle </w:t>
      </w:r>
      <w:r w:rsidRPr="008A5DAF">
        <w:rPr>
          <w:sz w:val="24"/>
          <w:szCs w:val="24"/>
          <w:u w:val="single"/>
        </w:rPr>
        <w:t>be</w:t>
      </w:r>
      <w:r w:rsidRPr="00E04802">
        <w:rPr>
          <w:sz w:val="24"/>
          <w:szCs w:val="24"/>
        </w:rPr>
        <w:t xml:space="preserve"> conducted in all places </w:t>
      </w:r>
      <w:r w:rsidRPr="00E04802">
        <w:rPr>
          <w:b/>
          <w:bCs/>
          <w:sz w:val="24"/>
          <w:szCs w:val="24"/>
        </w:rPr>
        <w:t>to which the public has access or should have access,</w:t>
      </w:r>
      <w:r w:rsidRPr="00E04802">
        <w:rPr>
          <w:sz w:val="24"/>
          <w:szCs w:val="24"/>
        </w:rPr>
        <w:t xml:space="preserve"> such as public squares and streets.</w:t>
      </w:r>
    </w:p>
    <w:p w14:paraId="6815C69A" w14:textId="77777777" w:rsidR="00E04802" w:rsidRPr="00E04802" w:rsidRDefault="00E04802" w:rsidP="00E04802">
      <w:pPr>
        <w:pStyle w:val="ListParagraph"/>
        <w:ind w:left="426"/>
        <w:jc w:val="both"/>
        <w:rPr>
          <w:b/>
          <w:bCs/>
          <w:sz w:val="24"/>
          <w:szCs w:val="24"/>
        </w:rPr>
      </w:pPr>
    </w:p>
    <w:p w14:paraId="3D0894B8" w14:textId="1093A4B5" w:rsidR="00BB5791" w:rsidRPr="00BB5791" w:rsidRDefault="0043180B" w:rsidP="00BB5791">
      <w:pPr>
        <w:pStyle w:val="ListParagraph"/>
        <w:numPr>
          <w:ilvl w:val="0"/>
          <w:numId w:val="7"/>
        </w:numPr>
        <w:ind w:left="426" w:hanging="426"/>
        <w:jc w:val="both"/>
        <w:rPr>
          <w:b/>
          <w:bCs/>
          <w:sz w:val="24"/>
          <w:szCs w:val="24"/>
        </w:rPr>
      </w:pPr>
      <w:r>
        <w:rPr>
          <w:sz w:val="24"/>
          <w:szCs w:val="24"/>
        </w:rPr>
        <w:t>I</w:t>
      </w:r>
      <w:r w:rsidR="00E04802" w:rsidRPr="00411E61">
        <w:rPr>
          <w:sz w:val="24"/>
          <w:szCs w:val="24"/>
        </w:rPr>
        <w:t xml:space="preserve">t is in relation to questions of </w:t>
      </w:r>
      <w:r w:rsidR="00E04802" w:rsidRPr="00411E61">
        <w:rPr>
          <w:i/>
          <w:iCs/>
          <w:sz w:val="24"/>
          <w:szCs w:val="24"/>
        </w:rPr>
        <w:t>access</w:t>
      </w:r>
      <w:r w:rsidR="00E04802" w:rsidRPr="00411E61">
        <w:rPr>
          <w:sz w:val="24"/>
          <w:szCs w:val="24"/>
        </w:rPr>
        <w:t xml:space="preserve"> </w:t>
      </w:r>
      <w:r w:rsidR="00E04802" w:rsidRPr="00411E61">
        <w:rPr>
          <w:i/>
          <w:iCs/>
          <w:sz w:val="24"/>
          <w:szCs w:val="24"/>
        </w:rPr>
        <w:t xml:space="preserve">to </w:t>
      </w:r>
      <w:r>
        <w:rPr>
          <w:sz w:val="24"/>
          <w:szCs w:val="24"/>
        </w:rPr>
        <w:t>privately-owned</w:t>
      </w:r>
      <w:r w:rsidR="00E04802">
        <w:rPr>
          <w:sz w:val="24"/>
          <w:szCs w:val="24"/>
        </w:rPr>
        <w:t xml:space="preserve"> property </w:t>
      </w:r>
      <w:r w:rsidR="00E04802" w:rsidRPr="00411E61">
        <w:rPr>
          <w:sz w:val="24"/>
          <w:szCs w:val="24"/>
        </w:rPr>
        <w:t>that the concept of ‘public accessib</w:t>
      </w:r>
      <w:r w:rsidR="00E04802">
        <w:rPr>
          <w:sz w:val="24"/>
          <w:szCs w:val="24"/>
        </w:rPr>
        <w:t>ility’</w:t>
      </w:r>
      <w:r w:rsidR="00E04802" w:rsidRPr="00411E61">
        <w:rPr>
          <w:sz w:val="24"/>
          <w:szCs w:val="24"/>
        </w:rPr>
        <w:t xml:space="preserve"> might be regarded as favourable to assembly rights – extending the scope of the right beyond public places and offering at least some foothold</w:t>
      </w:r>
      <w:r w:rsidR="00E04802">
        <w:rPr>
          <w:sz w:val="24"/>
          <w:szCs w:val="24"/>
        </w:rPr>
        <w:t xml:space="preserve"> for assembly</w:t>
      </w:r>
      <w:r w:rsidR="00E04802" w:rsidRPr="00411E61">
        <w:rPr>
          <w:sz w:val="24"/>
          <w:szCs w:val="24"/>
        </w:rPr>
        <w:t xml:space="preserve"> </w:t>
      </w:r>
      <w:r w:rsidR="00E04802">
        <w:rPr>
          <w:sz w:val="24"/>
          <w:szCs w:val="24"/>
        </w:rPr>
        <w:t xml:space="preserve">rights </w:t>
      </w:r>
      <w:r w:rsidR="00E04802" w:rsidRPr="00411E61">
        <w:rPr>
          <w:sz w:val="24"/>
          <w:szCs w:val="24"/>
        </w:rPr>
        <w:t>on privately-owned places (those that are ordinarily accessible).</w:t>
      </w:r>
      <w:r w:rsidR="00BB5791">
        <w:rPr>
          <w:sz w:val="24"/>
          <w:szCs w:val="24"/>
        </w:rPr>
        <w:t xml:space="preserve"> This is set against the backdrop of</w:t>
      </w:r>
      <w:r w:rsidR="00BB5791" w:rsidRPr="00BB5791">
        <w:rPr>
          <w:sz w:val="24"/>
          <w:szCs w:val="24"/>
        </w:rPr>
        <w:t xml:space="preserve"> the Committee</w:t>
      </w:r>
      <w:r w:rsidR="00BB5791">
        <w:rPr>
          <w:sz w:val="24"/>
          <w:szCs w:val="24"/>
        </w:rPr>
        <w:t xml:space="preserve">’s </w:t>
      </w:r>
      <w:r w:rsidR="00BB5791" w:rsidRPr="00BB5791">
        <w:rPr>
          <w:sz w:val="24"/>
          <w:szCs w:val="24"/>
        </w:rPr>
        <w:t xml:space="preserve">Article 19 </w:t>
      </w:r>
      <w:r w:rsidR="00BB5791">
        <w:rPr>
          <w:sz w:val="24"/>
          <w:szCs w:val="24"/>
        </w:rPr>
        <w:t xml:space="preserve">holding that </w:t>
      </w:r>
      <w:r w:rsidR="00140BBF">
        <w:rPr>
          <w:sz w:val="24"/>
          <w:szCs w:val="24"/>
        </w:rPr>
        <w:t xml:space="preserve">the right </w:t>
      </w:r>
      <w:r w:rsidR="00140BBF">
        <w:rPr>
          <w:sz w:val="24"/>
          <w:szCs w:val="24"/>
        </w:rPr>
        <w:lastRenderedPageBreak/>
        <w:t xml:space="preserve">to freedom of expression </w:t>
      </w:r>
      <w:r w:rsidR="00BB5791" w:rsidRPr="00BB5791">
        <w:rPr>
          <w:sz w:val="24"/>
          <w:szCs w:val="24"/>
        </w:rPr>
        <w:t>does not confer an unfettered freedom of forum (</w:t>
      </w:r>
      <w:proofErr w:type="spellStart"/>
      <w:r w:rsidR="00BB5791" w:rsidRPr="00BB5791">
        <w:rPr>
          <w:i/>
          <w:sz w:val="24"/>
          <w:szCs w:val="24"/>
        </w:rPr>
        <w:fldChar w:fldCharType="begin"/>
      </w:r>
      <w:r w:rsidR="00BB5791" w:rsidRPr="00BB5791">
        <w:rPr>
          <w:i/>
          <w:sz w:val="24"/>
          <w:szCs w:val="24"/>
        </w:rPr>
        <w:instrText xml:space="preserve"> HYPERLINK "http://docstore.ohchr.org/SelfServices/FilesHandler.ashx?enc=6QkG1d%2fPPRiCAqhKb7yhsswSVVnSz50wXLYzs7W9cwG6VZL0t7xyEpZPmB3KlOW%2fAe6WgHyEGMagXVV5tH%2f8uxiOj7ZqVfglwxna6PieHJ%2f9wkrup6s3ONGU5%2bs3LNiI69Qx6N%2fPubydDOJMg%2bq8Fw%3d%3d" </w:instrText>
      </w:r>
      <w:r w:rsidR="00BB5791" w:rsidRPr="00BB5791">
        <w:rPr>
          <w:i/>
          <w:sz w:val="24"/>
          <w:szCs w:val="24"/>
        </w:rPr>
        <w:fldChar w:fldCharType="separate"/>
      </w:r>
      <w:r w:rsidR="00BB5791" w:rsidRPr="00BB5791">
        <w:rPr>
          <w:rStyle w:val="Hyperlink"/>
          <w:i/>
          <w:sz w:val="24"/>
          <w:szCs w:val="24"/>
        </w:rPr>
        <w:t>Zündel</w:t>
      </w:r>
      <w:proofErr w:type="spellEnd"/>
      <w:r w:rsidR="00BB5791" w:rsidRPr="00BB5791">
        <w:rPr>
          <w:rStyle w:val="Hyperlink"/>
          <w:i/>
          <w:sz w:val="24"/>
          <w:szCs w:val="24"/>
        </w:rPr>
        <w:t xml:space="preserve"> v Canada</w:t>
      </w:r>
      <w:r w:rsidR="00BB5791" w:rsidRPr="00BB5791">
        <w:rPr>
          <w:i/>
          <w:sz w:val="24"/>
          <w:szCs w:val="24"/>
        </w:rPr>
        <w:fldChar w:fldCharType="end"/>
      </w:r>
      <w:r w:rsidR="00BB5791" w:rsidRPr="00BB5791">
        <w:rPr>
          <w:sz w:val="24"/>
          <w:szCs w:val="24"/>
        </w:rPr>
        <w:t>, para 8.5).</w:t>
      </w:r>
    </w:p>
    <w:p w14:paraId="3ACA9193" w14:textId="77777777" w:rsidR="008A5DAF" w:rsidRDefault="008A5DAF" w:rsidP="008A5DAF">
      <w:pPr>
        <w:pStyle w:val="ListParagraph"/>
        <w:ind w:left="426"/>
        <w:jc w:val="both"/>
        <w:rPr>
          <w:sz w:val="24"/>
          <w:szCs w:val="24"/>
        </w:rPr>
      </w:pPr>
    </w:p>
    <w:p w14:paraId="4324E960" w14:textId="07F38AC3" w:rsidR="0053512B" w:rsidRDefault="00E04802" w:rsidP="0053512B">
      <w:pPr>
        <w:pStyle w:val="ListParagraph"/>
        <w:numPr>
          <w:ilvl w:val="0"/>
          <w:numId w:val="7"/>
        </w:numPr>
        <w:ind w:left="426" w:hanging="426"/>
        <w:jc w:val="both"/>
        <w:rPr>
          <w:sz w:val="24"/>
          <w:szCs w:val="24"/>
        </w:rPr>
      </w:pPr>
      <w:r>
        <w:rPr>
          <w:sz w:val="24"/>
          <w:szCs w:val="24"/>
        </w:rPr>
        <w:t>The question arises</w:t>
      </w:r>
      <w:r w:rsidR="008A5DAF">
        <w:rPr>
          <w:sz w:val="24"/>
          <w:szCs w:val="24"/>
        </w:rPr>
        <w:t xml:space="preserve"> </w:t>
      </w:r>
      <w:r>
        <w:rPr>
          <w:sz w:val="24"/>
          <w:szCs w:val="24"/>
        </w:rPr>
        <w:t xml:space="preserve">as to whether ‘public accessibility’ </w:t>
      </w:r>
      <w:r w:rsidR="00BB5791">
        <w:rPr>
          <w:sz w:val="24"/>
          <w:szCs w:val="24"/>
        </w:rPr>
        <w:t>establishes</w:t>
      </w:r>
      <w:r>
        <w:rPr>
          <w:sz w:val="24"/>
          <w:szCs w:val="24"/>
        </w:rPr>
        <w:t xml:space="preserve"> </w:t>
      </w:r>
      <w:r w:rsidR="00BB5791">
        <w:rPr>
          <w:sz w:val="24"/>
          <w:szCs w:val="24"/>
        </w:rPr>
        <w:t>a</w:t>
      </w:r>
      <w:r>
        <w:rPr>
          <w:sz w:val="24"/>
          <w:szCs w:val="24"/>
        </w:rPr>
        <w:t xml:space="preserve"> </w:t>
      </w:r>
      <w:r w:rsidR="00BB5791">
        <w:rPr>
          <w:sz w:val="24"/>
          <w:szCs w:val="24"/>
        </w:rPr>
        <w:t xml:space="preserve">sufficiently protective </w:t>
      </w:r>
      <w:r>
        <w:rPr>
          <w:sz w:val="24"/>
          <w:szCs w:val="24"/>
        </w:rPr>
        <w:t>threshold</w:t>
      </w:r>
      <w:r w:rsidR="00140BBF">
        <w:rPr>
          <w:sz w:val="24"/>
          <w:szCs w:val="24"/>
        </w:rPr>
        <w:t xml:space="preserve"> – whether it achieves the correct balance between the right of peaceful assembly and rights of property ownership, access and use. Three points can be made in this regard:</w:t>
      </w:r>
    </w:p>
    <w:p w14:paraId="4E97657F" w14:textId="77777777" w:rsidR="0053512B" w:rsidRPr="00E04802" w:rsidRDefault="0053512B" w:rsidP="0053512B">
      <w:pPr>
        <w:pStyle w:val="ListParagraph"/>
        <w:rPr>
          <w:sz w:val="24"/>
          <w:szCs w:val="24"/>
        </w:rPr>
      </w:pPr>
    </w:p>
    <w:p w14:paraId="211DA662" w14:textId="77777777" w:rsidR="0053512B" w:rsidRPr="00140BBF" w:rsidRDefault="0053512B" w:rsidP="0053512B">
      <w:pPr>
        <w:pStyle w:val="ListParagraph"/>
        <w:numPr>
          <w:ilvl w:val="0"/>
          <w:numId w:val="12"/>
        </w:numPr>
        <w:jc w:val="both"/>
        <w:rPr>
          <w:b/>
          <w:bCs/>
          <w:sz w:val="24"/>
          <w:szCs w:val="24"/>
        </w:rPr>
      </w:pPr>
      <w:r>
        <w:rPr>
          <w:sz w:val="24"/>
          <w:szCs w:val="24"/>
        </w:rPr>
        <w:t xml:space="preserve">One criticism of ‘public accessibility’ is that it merely defers to the status quo – to established rights of access, however won. Paragraph 64 seeks to confront this criticism by adding the words ‘or should have </w:t>
      </w:r>
      <w:proofErr w:type="gramStart"/>
      <w:r>
        <w:rPr>
          <w:sz w:val="24"/>
          <w:szCs w:val="24"/>
        </w:rPr>
        <w:t>access’</w:t>
      </w:r>
      <w:proofErr w:type="gramEnd"/>
      <w:r>
        <w:rPr>
          <w:sz w:val="24"/>
          <w:szCs w:val="24"/>
        </w:rPr>
        <w:t xml:space="preserve">. However, the text here provides no further steer as to when the public </w:t>
      </w:r>
      <w:r w:rsidRPr="00140BBF">
        <w:rPr>
          <w:sz w:val="24"/>
          <w:szCs w:val="24"/>
        </w:rPr>
        <w:t>should</w:t>
      </w:r>
      <w:r>
        <w:rPr>
          <w:sz w:val="24"/>
          <w:szCs w:val="24"/>
        </w:rPr>
        <w:t xml:space="preserve"> or should not have access (beyond the cited example ‘of public squares and streets’ – which, for the most part, are not privately owned).</w:t>
      </w:r>
    </w:p>
    <w:p w14:paraId="0984D100" w14:textId="77777777" w:rsidR="0053512B" w:rsidRPr="00140BBF" w:rsidRDefault="0053512B" w:rsidP="0053512B">
      <w:pPr>
        <w:pStyle w:val="ListParagraph"/>
        <w:ind w:left="1146"/>
        <w:jc w:val="both"/>
        <w:rPr>
          <w:b/>
          <w:bCs/>
          <w:sz w:val="24"/>
          <w:szCs w:val="24"/>
        </w:rPr>
      </w:pPr>
    </w:p>
    <w:p w14:paraId="4752A6D8" w14:textId="77777777" w:rsidR="0053512B" w:rsidRPr="00140BBF" w:rsidRDefault="0053512B" w:rsidP="0053512B">
      <w:pPr>
        <w:pStyle w:val="ListParagraph"/>
        <w:numPr>
          <w:ilvl w:val="0"/>
          <w:numId w:val="12"/>
        </w:numPr>
        <w:jc w:val="both"/>
        <w:rPr>
          <w:b/>
          <w:bCs/>
          <w:sz w:val="24"/>
          <w:szCs w:val="24"/>
        </w:rPr>
      </w:pPr>
      <w:r w:rsidRPr="00140BBF">
        <w:rPr>
          <w:rFonts w:eastAsia="Times New Roman" w:cstheme="minorHAnsi"/>
          <w:sz w:val="24"/>
          <w:szCs w:val="24"/>
        </w:rPr>
        <w:t>The draft General Comment also makes reference to the increased private ownership of public spaces (</w:t>
      </w:r>
      <w:r w:rsidRPr="00140BBF">
        <w:rPr>
          <w:rFonts w:eastAsia="Times New Roman" w:cstheme="minorHAnsi"/>
          <w:b/>
          <w:bCs/>
          <w:sz w:val="24"/>
          <w:szCs w:val="24"/>
        </w:rPr>
        <w:t>paragraphs 11 and 67</w:t>
      </w:r>
      <w:r w:rsidRPr="00140BBF">
        <w:rPr>
          <w:rFonts w:eastAsia="Times New Roman" w:cstheme="minorHAnsi"/>
          <w:sz w:val="24"/>
          <w:szCs w:val="24"/>
        </w:rPr>
        <w:t xml:space="preserve">). </w:t>
      </w:r>
      <w:r w:rsidRPr="00140BBF">
        <w:rPr>
          <w:sz w:val="24"/>
          <w:szCs w:val="24"/>
        </w:rPr>
        <w:t>However, it is not only because of the privatization of public spaces that ‘assembly rights may require some recognition on private property</w:t>
      </w:r>
      <w:r>
        <w:rPr>
          <w:sz w:val="24"/>
          <w:szCs w:val="24"/>
        </w:rPr>
        <w:t xml:space="preserve"> …’ – and again, it is not </w:t>
      </w:r>
      <w:r w:rsidRPr="008A5DAF">
        <w:rPr>
          <w:i/>
          <w:iCs/>
          <w:sz w:val="24"/>
          <w:szCs w:val="24"/>
        </w:rPr>
        <w:t>only</w:t>
      </w:r>
      <w:r>
        <w:rPr>
          <w:sz w:val="24"/>
          <w:szCs w:val="24"/>
        </w:rPr>
        <w:t xml:space="preserve"> on private property ‘… that is open to the public’ </w:t>
      </w:r>
      <w:r w:rsidRPr="00140BBF">
        <w:rPr>
          <w:sz w:val="24"/>
          <w:szCs w:val="24"/>
        </w:rPr>
        <w:t>(</w:t>
      </w:r>
      <w:r w:rsidRPr="00140BBF">
        <w:rPr>
          <w:b/>
          <w:bCs/>
          <w:sz w:val="24"/>
          <w:szCs w:val="24"/>
        </w:rPr>
        <w:t>paragraph</w:t>
      </w:r>
      <w:r w:rsidRPr="004259C4">
        <w:rPr>
          <w:b/>
          <w:bCs/>
          <w:sz w:val="24"/>
          <w:szCs w:val="24"/>
        </w:rPr>
        <w:t xml:space="preserve"> 67</w:t>
      </w:r>
      <w:r>
        <w:rPr>
          <w:sz w:val="24"/>
          <w:szCs w:val="24"/>
        </w:rPr>
        <w:t xml:space="preserve">). </w:t>
      </w:r>
      <w:r w:rsidRPr="004259C4">
        <w:rPr>
          <w:sz w:val="24"/>
          <w:szCs w:val="24"/>
        </w:rPr>
        <w:t>Assembly</w:t>
      </w:r>
      <w:r>
        <w:rPr>
          <w:sz w:val="24"/>
          <w:szCs w:val="24"/>
        </w:rPr>
        <w:t xml:space="preserve"> rights may more generally require some recognition on private property on account of the ‘sight and sound’ principle (</w:t>
      </w:r>
      <w:r w:rsidRPr="00F91142">
        <w:rPr>
          <w:b/>
          <w:bCs/>
          <w:sz w:val="24"/>
          <w:szCs w:val="24"/>
        </w:rPr>
        <w:t>paragraphs 25, 30 and 61</w:t>
      </w:r>
      <w:r>
        <w:rPr>
          <w:sz w:val="24"/>
          <w:szCs w:val="24"/>
        </w:rPr>
        <w:t xml:space="preserve">). This places a thumb on the scale of assembly rights (and indeed, is properly reflected in the reference in </w:t>
      </w:r>
      <w:r w:rsidRPr="004259C4">
        <w:rPr>
          <w:b/>
          <w:bCs/>
          <w:sz w:val="24"/>
          <w:szCs w:val="24"/>
        </w:rPr>
        <w:t>paragraph 67</w:t>
      </w:r>
      <w:r>
        <w:rPr>
          <w:sz w:val="24"/>
          <w:szCs w:val="24"/>
        </w:rPr>
        <w:t xml:space="preserve"> to ‘conveying their message to their target audience’).</w:t>
      </w:r>
    </w:p>
    <w:p w14:paraId="48D78F00" w14:textId="77777777" w:rsidR="0053512B" w:rsidRPr="00140BBF" w:rsidRDefault="0053512B" w:rsidP="0053512B">
      <w:pPr>
        <w:pStyle w:val="ListParagraph"/>
        <w:rPr>
          <w:sz w:val="24"/>
          <w:szCs w:val="24"/>
        </w:rPr>
      </w:pPr>
    </w:p>
    <w:p w14:paraId="5D0E4F37" w14:textId="60D394A7" w:rsidR="0053512B" w:rsidRPr="0053512B" w:rsidRDefault="0053512B" w:rsidP="0053512B">
      <w:pPr>
        <w:pStyle w:val="ListParagraph"/>
        <w:numPr>
          <w:ilvl w:val="0"/>
          <w:numId w:val="12"/>
        </w:numPr>
        <w:jc w:val="both"/>
        <w:rPr>
          <w:b/>
          <w:bCs/>
          <w:sz w:val="24"/>
          <w:szCs w:val="24"/>
        </w:rPr>
      </w:pPr>
      <w:r w:rsidRPr="00F91142">
        <w:rPr>
          <w:b/>
          <w:bCs/>
          <w:sz w:val="24"/>
          <w:szCs w:val="24"/>
        </w:rPr>
        <w:lastRenderedPageBreak/>
        <w:t>Paragraph 67</w:t>
      </w:r>
      <w:r w:rsidRPr="00140BBF">
        <w:rPr>
          <w:sz w:val="24"/>
          <w:szCs w:val="24"/>
        </w:rPr>
        <w:t xml:space="preserve"> </w:t>
      </w:r>
      <w:r>
        <w:rPr>
          <w:sz w:val="24"/>
          <w:szCs w:val="24"/>
        </w:rPr>
        <w:t>emphasizes that</w:t>
      </w:r>
      <w:r w:rsidRPr="00140BBF">
        <w:rPr>
          <w:sz w:val="24"/>
          <w:szCs w:val="24"/>
        </w:rPr>
        <w:t xml:space="preserve"> ‘</w:t>
      </w:r>
      <w:r>
        <w:rPr>
          <w:sz w:val="24"/>
          <w:szCs w:val="24"/>
        </w:rPr>
        <w:t>[t]</w:t>
      </w:r>
      <w:r w:rsidRPr="00140BBF">
        <w:rPr>
          <w:sz w:val="24"/>
          <w:szCs w:val="24"/>
        </w:rPr>
        <w:t xml:space="preserve">he interests of private owners have to be given due weight but may have to be limited if the participants </w:t>
      </w:r>
      <w:r w:rsidRPr="00140BBF">
        <w:rPr>
          <w:sz w:val="24"/>
          <w:szCs w:val="24"/>
          <w:u w:val="single"/>
        </w:rPr>
        <w:t>have no other reasonable way to convey their message to their target audience</w:t>
      </w:r>
      <w:r w:rsidRPr="00140BBF">
        <w:rPr>
          <w:sz w:val="24"/>
          <w:szCs w:val="24"/>
        </w:rPr>
        <w:t>’</w:t>
      </w:r>
      <w:r>
        <w:rPr>
          <w:sz w:val="24"/>
          <w:szCs w:val="24"/>
        </w:rPr>
        <w:t xml:space="preserve"> (emphasis added).</w:t>
      </w:r>
      <w:r w:rsidRPr="00140BBF">
        <w:rPr>
          <w:sz w:val="24"/>
          <w:szCs w:val="24"/>
        </w:rPr>
        <w:t xml:space="preserve"> </w:t>
      </w:r>
      <w:r w:rsidRPr="00F91142">
        <w:rPr>
          <w:sz w:val="24"/>
          <w:szCs w:val="24"/>
        </w:rPr>
        <w:t xml:space="preserve">This </w:t>
      </w:r>
      <w:r>
        <w:rPr>
          <w:sz w:val="24"/>
          <w:szCs w:val="24"/>
        </w:rPr>
        <w:t xml:space="preserve">errs </w:t>
      </w:r>
      <w:r w:rsidRPr="00F91142">
        <w:rPr>
          <w:sz w:val="24"/>
          <w:szCs w:val="24"/>
        </w:rPr>
        <w:t xml:space="preserve">close to the dangerously high threshold in relation to access to privately owned property established </w:t>
      </w:r>
      <w:r>
        <w:rPr>
          <w:sz w:val="24"/>
          <w:szCs w:val="24"/>
        </w:rPr>
        <w:t xml:space="preserve">by the European Court of Human Rights </w:t>
      </w:r>
      <w:r w:rsidRPr="00F91142">
        <w:rPr>
          <w:sz w:val="24"/>
          <w:szCs w:val="24"/>
        </w:rPr>
        <w:t xml:space="preserve">in </w:t>
      </w:r>
      <w:hyperlink r:id="rId12" w:history="1">
        <w:r w:rsidRPr="00F91142">
          <w:rPr>
            <w:rStyle w:val="Hyperlink"/>
            <w:i/>
            <w:iCs/>
            <w:sz w:val="24"/>
            <w:szCs w:val="24"/>
          </w:rPr>
          <w:t>Appleby v UK</w:t>
        </w:r>
      </w:hyperlink>
      <w:r w:rsidRPr="00F91142">
        <w:rPr>
          <w:sz w:val="24"/>
          <w:szCs w:val="24"/>
        </w:rPr>
        <w:t xml:space="preserve"> (namely, that only where ‘the bar on access to property </w:t>
      </w:r>
      <w:r w:rsidRPr="00F91142">
        <w:rPr>
          <w:sz w:val="24"/>
          <w:szCs w:val="24"/>
          <w:u w:val="single"/>
        </w:rPr>
        <w:t>has the effect of preventing any effective exercise of freedom of expression or it can be said that the essence of the right has been destroyed</w:t>
      </w:r>
      <w:r w:rsidRPr="00F91142">
        <w:rPr>
          <w:sz w:val="24"/>
          <w:szCs w:val="24"/>
        </w:rPr>
        <w:t>’).</w:t>
      </w:r>
    </w:p>
    <w:p w14:paraId="7A19DBB7" w14:textId="77777777" w:rsidR="0053512B" w:rsidRPr="0053512B" w:rsidRDefault="0053512B" w:rsidP="0053512B">
      <w:pPr>
        <w:pStyle w:val="ListParagraph"/>
        <w:rPr>
          <w:rFonts w:cstheme="minorHAnsi"/>
          <w:sz w:val="24"/>
          <w:szCs w:val="24"/>
        </w:rPr>
      </w:pPr>
    </w:p>
    <w:p w14:paraId="1C5DB876" w14:textId="37909C55" w:rsidR="00300A47" w:rsidRPr="0053512B" w:rsidRDefault="008812CF" w:rsidP="0053512B">
      <w:pPr>
        <w:pStyle w:val="ListParagraph"/>
        <w:numPr>
          <w:ilvl w:val="0"/>
          <w:numId w:val="7"/>
        </w:numPr>
        <w:ind w:left="426" w:hanging="426"/>
        <w:jc w:val="both"/>
        <w:rPr>
          <w:sz w:val="24"/>
          <w:szCs w:val="24"/>
        </w:rPr>
      </w:pPr>
      <w:r w:rsidRPr="0053512B">
        <w:rPr>
          <w:rFonts w:cstheme="minorHAnsi"/>
          <w:sz w:val="24"/>
          <w:szCs w:val="24"/>
        </w:rPr>
        <w:t>It is suggested here that</w:t>
      </w:r>
      <w:r w:rsidR="0097373C" w:rsidRPr="0053512B">
        <w:rPr>
          <w:rFonts w:cstheme="minorHAnsi"/>
          <w:sz w:val="24"/>
          <w:szCs w:val="24"/>
        </w:rPr>
        <w:t xml:space="preserve"> </w:t>
      </w:r>
      <w:r w:rsidR="0097373C" w:rsidRPr="0053512B">
        <w:rPr>
          <w:rFonts w:cstheme="minorHAnsi"/>
          <w:b/>
          <w:bCs/>
          <w:sz w:val="24"/>
          <w:szCs w:val="24"/>
        </w:rPr>
        <w:t>paragraph 67</w:t>
      </w:r>
      <w:r w:rsidR="0097373C" w:rsidRPr="0053512B">
        <w:rPr>
          <w:rFonts w:cstheme="minorHAnsi"/>
          <w:sz w:val="24"/>
          <w:szCs w:val="24"/>
        </w:rPr>
        <w:t xml:space="preserve"> </w:t>
      </w:r>
      <w:r w:rsidR="00593A32" w:rsidRPr="0053512B">
        <w:rPr>
          <w:rFonts w:cstheme="minorHAnsi"/>
          <w:sz w:val="24"/>
          <w:szCs w:val="24"/>
        </w:rPr>
        <w:t>could be reworded along the following lines</w:t>
      </w:r>
      <w:r w:rsidR="00300A47" w:rsidRPr="0053512B">
        <w:rPr>
          <w:rFonts w:cstheme="minorHAnsi"/>
          <w:sz w:val="24"/>
          <w:szCs w:val="24"/>
        </w:rPr>
        <w:t xml:space="preserve"> so as to strengthen the protection of assembly rights in the face of exclus</w:t>
      </w:r>
      <w:r w:rsidR="0053512B">
        <w:rPr>
          <w:rFonts w:cstheme="minorHAnsi"/>
          <w:sz w:val="24"/>
          <w:szCs w:val="24"/>
        </w:rPr>
        <w:t>iona</w:t>
      </w:r>
      <w:r w:rsidR="00300A47" w:rsidRPr="0053512B">
        <w:rPr>
          <w:rFonts w:cstheme="minorHAnsi"/>
          <w:sz w:val="24"/>
          <w:szCs w:val="24"/>
        </w:rPr>
        <w:t>ry proprietary claims, recognizing that the right of assembly will not always prevail</w:t>
      </w:r>
      <w:r w:rsidR="00593A32" w:rsidRPr="0053512B">
        <w:rPr>
          <w:rFonts w:cstheme="minorHAnsi"/>
          <w:sz w:val="24"/>
          <w:szCs w:val="24"/>
        </w:rPr>
        <w:t>:</w:t>
      </w:r>
    </w:p>
    <w:p w14:paraId="4A8EDF63" w14:textId="2C2180FA" w:rsidR="00593A32" w:rsidRPr="00593A32" w:rsidRDefault="00593A32" w:rsidP="00300A47">
      <w:pPr>
        <w:pStyle w:val="ListParagraph"/>
        <w:ind w:left="426"/>
        <w:jc w:val="both"/>
        <w:rPr>
          <w:rFonts w:cstheme="minorHAnsi"/>
          <w:i/>
          <w:iCs/>
          <w:sz w:val="24"/>
          <w:szCs w:val="24"/>
        </w:rPr>
      </w:pPr>
      <w:r>
        <w:rPr>
          <w:rFonts w:cstheme="minorHAnsi"/>
          <w:sz w:val="24"/>
          <w:szCs w:val="24"/>
        </w:rPr>
        <w:t xml:space="preserve"> </w:t>
      </w:r>
    </w:p>
    <w:p w14:paraId="12C082BF" w14:textId="235C48FE" w:rsidR="000A3BFD" w:rsidRPr="000A3BFD" w:rsidRDefault="0097373C" w:rsidP="00593A32">
      <w:pPr>
        <w:pStyle w:val="ListParagraph"/>
        <w:ind w:right="521"/>
        <w:jc w:val="both"/>
        <w:rPr>
          <w:rFonts w:cstheme="minorHAnsi"/>
          <w:i/>
          <w:iCs/>
          <w:sz w:val="24"/>
          <w:szCs w:val="24"/>
        </w:rPr>
      </w:pPr>
      <w:r>
        <w:rPr>
          <w:rFonts w:cstheme="minorHAnsi"/>
          <w:sz w:val="24"/>
          <w:szCs w:val="24"/>
        </w:rPr>
        <w:t>‘</w:t>
      </w:r>
      <w:r w:rsidR="00593A32">
        <w:rPr>
          <w:rFonts w:eastAsia="Times New Roman" w:cstheme="minorHAnsi"/>
          <w:i/>
          <w:iCs/>
          <w:color w:val="2F5496" w:themeColor="accent5" w:themeShade="BF"/>
          <w:sz w:val="24"/>
          <w:szCs w:val="24"/>
        </w:rPr>
        <w:t>A</w:t>
      </w:r>
      <w:r w:rsidR="00F55CA4" w:rsidRPr="0097373C">
        <w:rPr>
          <w:rFonts w:eastAsia="Times New Roman" w:cstheme="minorHAnsi"/>
          <w:i/>
          <w:iCs/>
          <w:color w:val="2F5496" w:themeColor="accent5" w:themeShade="BF"/>
          <w:sz w:val="24"/>
          <w:szCs w:val="24"/>
        </w:rPr>
        <w:t xml:space="preserve">ccess </w:t>
      </w:r>
      <w:r w:rsidR="00593A32">
        <w:rPr>
          <w:rFonts w:eastAsia="Times New Roman" w:cstheme="minorHAnsi"/>
          <w:i/>
          <w:iCs/>
          <w:color w:val="2F5496" w:themeColor="accent5" w:themeShade="BF"/>
          <w:sz w:val="24"/>
          <w:szCs w:val="24"/>
        </w:rPr>
        <w:t xml:space="preserve">for assemblies </w:t>
      </w:r>
      <w:r w:rsidR="004259C4">
        <w:rPr>
          <w:rFonts w:eastAsia="Times New Roman" w:cstheme="minorHAnsi"/>
          <w:i/>
          <w:iCs/>
          <w:color w:val="2F5496" w:themeColor="accent5" w:themeShade="BF"/>
          <w:sz w:val="24"/>
          <w:szCs w:val="24"/>
        </w:rPr>
        <w:t xml:space="preserve">to privately-owned property </w:t>
      </w:r>
      <w:r w:rsidR="00F55CA4" w:rsidRPr="0097373C">
        <w:rPr>
          <w:rFonts w:eastAsia="Times New Roman" w:cstheme="minorHAnsi"/>
          <w:i/>
          <w:iCs/>
          <w:color w:val="2F5496" w:themeColor="accent5" w:themeShade="BF"/>
          <w:sz w:val="24"/>
          <w:szCs w:val="24"/>
        </w:rPr>
        <w:t xml:space="preserve">might properly be </w:t>
      </w:r>
      <w:r w:rsidR="00F91142" w:rsidRPr="0097373C">
        <w:rPr>
          <w:rFonts w:eastAsia="Times New Roman" w:cstheme="minorHAnsi"/>
          <w:i/>
          <w:iCs/>
          <w:color w:val="2F5496" w:themeColor="accent5" w:themeShade="BF"/>
          <w:sz w:val="24"/>
          <w:szCs w:val="24"/>
        </w:rPr>
        <w:t>granted</w:t>
      </w:r>
      <w:r w:rsidR="00F55CA4" w:rsidRPr="0097373C">
        <w:rPr>
          <w:rFonts w:eastAsia="Times New Roman" w:cstheme="minorHAnsi"/>
          <w:i/>
          <w:iCs/>
          <w:color w:val="2F5496" w:themeColor="accent5" w:themeShade="BF"/>
          <w:sz w:val="24"/>
          <w:szCs w:val="24"/>
        </w:rPr>
        <w:t xml:space="preserve"> </w:t>
      </w:r>
      <w:r w:rsidR="004259C4">
        <w:rPr>
          <w:rFonts w:eastAsia="Times New Roman" w:cstheme="minorHAnsi"/>
          <w:i/>
          <w:iCs/>
          <w:color w:val="2F5496" w:themeColor="accent5" w:themeShade="BF"/>
          <w:sz w:val="24"/>
          <w:szCs w:val="24"/>
        </w:rPr>
        <w:t>to give effect to the ‘sight and sound’ principle</w:t>
      </w:r>
      <w:r w:rsidR="000A3BFD">
        <w:rPr>
          <w:rFonts w:eastAsia="Times New Roman" w:cstheme="minorHAnsi"/>
          <w:i/>
          <w:iCs/>
          <w:color w:val="2F5496" w:themeColor="accent5" w:themeShade="BF"/>
          <w:sz w:val="24"/>
          <w:szCs w:val="24"/>
        </w:rPr>
        <w:t>,</w:t>
      </w:r>
      <w:r w:rsidR="000A3BFD" w:rsidRPr="000A3BFD">
        <w:rPr>
          <w:rFonts w:eastAsia="Times New Roman" w:cstheme="minorHAnsi"/>
          <w:sz w:val="24"/>
          <w:szCs w:val="24"/>
        </w:rPr>
        <w:t xml:space="preserve"> EITHER </w:t>
      </w:r>
      <w:r w:rsidR="000A3BFD">
        <w:rPr>
          <w:rFonts w:eastAsia="Times New Roman" w:cstheme="minorHAnsi"/>
          <w:i/>
          <w:iCs/>
          <w:color w:val="2F5496" w:themeColor="accent5" w:themeShade="BF"/>
          <w:sz w:val="24"/>
          <w:szCs w:val="24"/>
        </w:rPr>
        <w:t xml:space="preserve">particularly </w:t>
      </w:r>
      <w:r w:rsidR="00F55CA4" w:rsidRPr="0097373C">
        <w:rPr>
          <w:rFonts w:eastAsia="Times New Roman" w:cstheme="minorHAnsi"/>
          <w:i/>
          <w:iCs/>
          <w:color w:val="2F5496" w:themeColor="accent5" w:themeShade="BF"/>
          <w:sz w:val="24"/>
          <w:szCs w:val="24"/>
        </w:rPr>
        <w:t>where the impact on property rights is not sign</w:t>
      </w:r>
      <w:r w:rsidR="00F55CA4" w:rsidRPr="000A3BFD">
        <w:rPr>
          <w:rFonts w:eastAsia="Times New Roman" w:cstheme="minorHAnsi"/>
          <w:i/>
          <w:iCs/>
          <w:color w:val="2F5496" w:themeColor="accent5" w:themeShade="BF"/>
          <w:sz w:val="24"/>
          <w:szCs w:val="24"/>
        </w:rPr>
        <w:t>ificant</w:t>
      </w:r>
      <w:r w:rsidR="00911E66" w:rsidRPr="000A3BFD">
        <w:rPr>
          <w:rFonts w:eastAsia="Times New Roman" w:cstheme="minorHAnsi"/>
          <w:color w:val="2F5496" w:themeColor="accent5" w:themeShade="BF"/>
          <w:sz w:val="24"/>
          <w:szCs w:val="24"/>
        </w:rPr>
        <w:t xml:space="preserve"> </w:t>
      </w:r>
      <w:r w:rsidR="000A3BFD" w:rsidRPr="000A3BFD">
        <w:rPr>
          <w:rFonts w:eastAsia="Times New Roman" w:cstheme="minorHAnsi"/>
          <w:sz w:val="24"/>
          <w:szCs w:val="24"/>
        </w:rPr>
        <w:t>OR</w:t>
      </w:r>
      <w:r w:rsidR="000A3BFD" w:rsidRPr="000A3BFD">
        <w:rPr>
          <w:rFonts w:eastAsia="Times New Roman" w:cstheme="minorHAnsi"/>
          <w:i/>
          <w:iCs/>
          <w:sz w:val="24"/>
          <w:szCs w:val="24"/>
        </w:rPr>
        <w:t xml:space="preserve"> </w:t>
      </w:r>
      <w:r w:rsidR="000A3BFD" w:rsidRPr="000A3BFD">
        <w:rPr>
          <w:rFonts w:eastAsia="Times New Roman" w:cstheme="minorHAnsi"/>
          <w:i/>
          <w:iCs/>
          <w:color w:val="2F5496" w:themeColor="accent5" w:themeShade="BF"/>
          <w:sz w:val="24"/>
          <w:szCs w:val="24"/>
        </w:rPr>
        <w:t>taking account of the extent of the</w:t>
      </w:r>
      <w:r w:rsidR="00593A32">
        <w:rPr>
          <w:rFonts w:eastAsia="Times New Roman" w:cstheme="minorHAnsi"/>
          <w:i/>
          <w:iCs/>
          <w:color w:val="2F5496" w:themeColor="accent5" w:themeShade="BF"/>
          <w:sz w:val="24"/>
          <w:szCs w:val="24"/>
        </w:rPr>
        <w:t xml:space="preserve"> likely</w:t>
      </w:r>
      <w:r w:rsidR="000A3BFD" w:rsidRPr="000A3BFD">
        <w:rPr>
          <w:rFonts w:eastAsia="Times New Roman" w:cstheme="minorHAnsi"/>
          <w:i/>
          <w:iCs/>
          <w:color w:val="2F5496" w:themeColor="accent5" w:themeShade="BF"/>
          <w:sz w:val="24"/>
          <w:szCs w:val="24"/>
        </w:rPr>
        <w:t xml:space="preserve"> interference with relevant property rights.</w:t>
      </w:r>
      <w:r w:rsidR="00593A32">
        <w:rPr>
          <w:rFonts w:eastAsia="Times New Roman" w:cstheme="minorHAnsi"/>
          <w:i/>
          <w:iCs/>
          <w:color w:val="2F5496" w:themeColor="accent5" w:themeShade="BF"/>
          <w:sz w:val="24"/>
          <w:szCs w:val="24"/>
        </w:rPr>
        <w:t xml:space="preserve"> In such cases, </w:t>
      </w:r>
      <w:r w:rsidR="00593A32">
        <w:rPr>
          <w:rFonts w:cstheme="minorHAnsi"/>
          <w:i/>
          <w:iCs/>
          <w:color w:val="2F5496" w:themeColor="accent5" w:themeShade="BF"/>
          <w:sz w:val="24"/>
          <w:szCs w:val="24"/>
        </w:rPr>
        <w:t>t</w:t>
      </w:r>
      <w:r w:rsidR="00593A32" w:rsidRPr="0097373C">
        <w:rPr>
          <w:rFonts w:cstheme="minorHAnsi"/>
          <w:i/>
          <w:iCs/>
          <w:color w:val="2F5496" w:themeColor="accent5" w:themeShade="BF"/>
          <w:sz w:val="24"/>
          <w:szCs w:val="24"/>
        </w:rPr>
        <w:t>he</w:t>
      </w:r>
      <w:r w:rsidR="00593A32">
        <w:rPr>
          <w:rFonts w:eastAsia="Times New Roman" w:cstheme="minorHAnsi"/>
          <w:i/>
          <w:iCs/>
          <w:color w:val="2F5496" w:themeColor="accent5" w:themeShade="BF"/>
          <w:sz w:val="24"/>
          <w:szCs w:val="24"/>
        </w:rPr>
        <w:t xml:space="preserve"> interests of property owners must be given due weight.’</w:t>
      </w:r>
    </w:p>
    <w:p w14:paraId="5CBB7DD0" w14:textId="77777777" w:rsidR="000A3BFD" w:rsidRPr="000A3BFD" w:rsidRDefault="000A3BFD" w:rsidP="000A3BFD">
      <w:pPr>
        <w:pStyle w:val="ListParagraph"/>
        <w:ind w:left="426"/>
        <w:jc w:val="both"/>
        <w:rPr>
          <w:rFonts w:cstheme="minorHAnsi"/>
          <w:sz w:val="24"/>
          <w:szCs w:val="24"/>
        </w:rPr>
      </w:pPr>
    </w:p>
    <w:p w14:paraId="4B7F05C6" w14:textId="27A60984" w:rsidR="00911E66" w:rsidRPr="001B4488" w:rsidRDefault="0097373C" w:rsidP="001B4488">
      <w:pPr>
        <w:pStyle w:val="ListParagraph"/>
        <w:numPr>
          <w:ilvl w:val="0"/>
          <w:numId w:val="7"/>
        </w:numPr>
        <w:ind w:left="426" w:hanging="426"/>
        <w:jc w:val="both"/>
        <w:rPr>
          <w:rFonts w:cstheme="minorHAnsi"/>
          <w:sz w:val="24"/>
          <w:szCs w:val="24"/>
        </w:rPr>
      </w:pPr>
      <w:r>
        <w:rPr>
          <w:rFonts w:eastAsia="Times New Roman" w:cstheme="minorHAnsi"/>
          <w:sz w:val="24"/>
          <w:szCs w:val="24"/>
        </w:rPr>
        <w:t>In this regard, d</w:t>
      </w:r>
      <w:r w:rsidR="00915CB1" w:rsidRPr="00F91142">
        <w:rPr>
          <w:rFonts w:cstheme="minorHAnsi"/>
          <w:sz w:val="24"/>
          <w:szCs w:val="24"/>
        </w:rPr>
        <w:t xml:space="preserve">omestic courts in different countries have reach nuanced judgments that offer a level of </w:t>
      </w:r>
      <w:r w:rsidR="00730B48" w:rsidRPr="00F91142">
        <w:rPr>
          <w:rFonts w:cstheme="minorHAnsi"/>
          <w:sz w:val="24"/>
          <w:szCs w:val="24"/>
        </w:rPr>
        <w:t>access</w:t>
      </w:r>
      <w:r w:rsidR="00915CB1" w:rsidRPr="00F91142">
        <w:rPr>
          <w:rFonts w:cstheme="minorHAnsi"/>
          <w:sz w:val="24"/>
          <w:szCs w:val="24"/>
        </w:rPr>
        <w:t xml:space="preserve"> </w:t>
      </w:r>
      <w:r w:rsidR="00730B48" w:rsidRPr="00F91142">
        <w:rPr>
          <w:rFonts w:cstheme="minorHAnsi"/>
          <w:sz w:val="24"/>
          <w:szCs w:val="24"/>
        </w:rPr>
        <w:t>for assemblies</w:t>
      </w:r>
      <w:r w:rsidR="00915CB1" w:rsidRPr="00F91142">
        <w:rPr>
          <w:rFonts w:cstheme="minorHAnsi"/>
          <w:sz w:val="24"/>
          <w:szCs w:val="24"/>
        </w:rPr>
        <w:t xml:space="preserve"> against exclusionary assertions of absolute property rights</w:t>
      </w:r>
      <w:r w:rsidR="00730B48" w:rsidRPr="00F91142">
        <w:rPr>
          <w:rFonts w:cstheme="minorHAnsi"/>
          <w:sz w:val="24"/>
          <w:szCs w:val="24"/>
        </w:rPr>
        <w:t>.</w:t>
      </w:r>
      <w:r w:rsidR="001B4488">
        <w:rPr>
          <w:rFonts w:cstheme="minorHAnsi"/>
          <w:sz w:val="24"/>
          <w:szCs w:val="24"/>
        </w:rPr>
        <w:t xml:space="preserve"> </w:t>
      </w:r>
      <w:r w:rsidR="00915CB1" w:rsidRPr="001B4488">
        <w:rPr>
          <w:rFonts w:cstheme="minorHAnsi"/>
          <w:sz w:val="24"/>
          <w:szCs w:val="24"/>
        </w:rPr>
        <w:t>Consider, for example, the German Federal Constitutional Court decision in the ‘</w:t>
      </w:r>
      <w:proofErr w:type="spellStart"/>
      <w:r w:rsidR="0086360F" w:rsidRPr="001B4488">
        <w:rPr>
          <w:rFonts w:cstheme="minorHAnsi"/>
          <w:sz w:val="24"/>
          <w:szCs w:val="24"/>
        </w:rPr>
        <w:fldChar w:fldCharType="begin"/>
      </w:r>
      <w:r w:rsidR="0086360F" w:rsidRPr="001B4488">
        <w:rPr>
          <w:rFonts w:cstheme="minorHAnsi"/>
          <w:sz w:val="24"/>
          <w:szCs w:val="24"/>
        </w:rPr>
        <w:instrText xml:space="preserve"> HYPERLINK "https://www.bundesverfassungsgericht.de/SharedDocs/Entscheidungen/DE/2015/07/qk20150720_1bvq002515.html" </w:instrText>
      </w:r>
      <w:r w:rsidR="0086360F" w:rsidRPr="001B4488">
        <w:rPr>
          <w:rFonts w:cstheme="minorHAnsi"/>
          <w:sz w:val="24"/>
          <w:szCs w:val="24"/>
        </w:rPr>
        <w:fldChar w:fldCharType="separate"/>
      </w:r>
      <w:r w:rsidR="00915CB1" w:rsidRPr="001B4488">
        <w:rPr>
          <w:rStyle w:val="Hyperlink"/>
          <w:rFonts w:cstheme="minorHAnsi"/>
          <w:sz w:val="24"/>
          <w:szCs w:val="24"/>
        </w:rPr>
        <w:t>Bierdosen</w:t>
      </w:r>
      <w:proofErr w:type="spellEnd"/>
      <w:r w:rsidR="00915CB1" w:rsidRPr="001B4488">
        <w:rPr>
          <w:rStyle w:val="Hyperlink"/>
          <w:rFonts w:cstheme="minorHAnsi"/>
          <w:sz w:val="24"/>
          <w:szCs w:val="24"/>
        </w:rPr>
        <w:t xml:space="preserve"> (Beer Can) </w:t>
      </w:r>
      <w:proofErr w:type="spellStart"/>
      <w:r w:rsidR="00915CB1" w:rsidRPr="001B4488">
        <w:rPr>
          <w:rStyle w:val="Hyperlink"/>
          <w:rFonts w:cstheme="minorHAnsi"/>
          <w:sz w:val="24"/>
          <w:szCs w:val="24"/>
        </w:rPr>
        <w:t>Flashmob</w:t>
      </w:r>
      <w:proofErr w:type="spellEnd"/>
      <w:r w:rsidR="00915CB1" w:rsidRPr="001B4488">
        <w:rPr>
          <w:rStyle w:val="Hyperlink"/>
          <w:rFonts w:cstheme="minorHAnsi"/>
          <w:sz w:val="24"/>
          <w:szCs w:val="24"/>
        </w:rPr>
        <w:t xml:space="preserve"> for Freedom</w:t>
      </w:r>
      <w:r w:rsidR="0086360F" w:rsidRPr="001B4488">
        <w:rPr>
          <w:rFonts w:cstheme="minorHAnsi"/>
          <w:sz w:val="24"/>
          <w:szCs w:val="24"/>
        </w:rPr>
        <w:fldChar w:fldCharType="end"/>
      </w:r>
      <w:r w:rsidR="00915CB1" w:rsidRPr="001B4488">
        <w:rPr>
          <w:rFonts w:cstheme="minorHAnsi"/>
          <w:sz w:val="24"/>
          <w:szCs w:val="24"/>
        </w:rPr>
        <w:t>’ case.</w:t>
      </w:r>
      <w:r w:rsidR="00915CB1" w:rsidRPr="001B4488">
        <w:rPr>
          <w:rStyle w:val="FootnoteReference"/>
          <w:rFonts w:cstheme="minorHAnsi"/>
          <w:sz w:val="24"/>
          <w:szCs w:val="24"/>
        </w:rPr>
        <w:t xml:space="preserve"> </w:t>
      </w:r>
      <w:r w:rsidR="00915CB1" w:rsidRPr="001B4488">
        <w:rPr>
          <w:rFonts w:cstheme="minorHAnsi"/>
          <w:sz w:val="24"/>
          <w:szCs w:val="24"/>
        </w:rPr>
        <w:t xml:space="preserve">This concerned the </w:t>
      </w:r>
      <w:r w:rsidR="00915CB1" w:rsidRPr="001B4488">
        <w:rPr>
          <w:rFonts w:cstheme="minorHAnsi"/>
          <w:i/>
          <w:iCs/>
          <w:sz w:val="24"/>
          <w:szCs w:val="24"/>
        </w:rPr>
        <w:t>de facto</w:t>
      </w:r>
      <w:r w:rsidR="00915CB1" w:rsidRPr="001B4488">
        <w:rPr>
          <w:rFonts w:cstheme="minorHAnsi"/>
          <w:sz w:val="24"/>
          <w:szCs w:val="24"/>
        </w:rPr>
        <w:t xml:space="preserve"> prohibition of a flash-mob protest against a ban on alcohol consumption in a privately-owned square in Passau (during which participants planned to open a can of beer and drink it as quickly as possible). The court overturned the restrictions </w:t>
      </w:r>
      <w:r w:rsidR="00915CB1" w:rsidRPr="001B4488">
        <w:rPr>
          <w:rFonts w:cstheme="minorHAnsi"/>
          <w:sz w:val="24"/>
          <w:szCs w:val="24"/>
        </w:rPr>
        <w:lastRenderedPageBreak/>
        <w:t xml:space="preserve">on the basis of </w:t>
      </w:r>
      <w:r w:rsidR="00313CA7" w:rsidRPr="001B4488">
        <w:rPr>
          <w:rFonts w:cstheme="minorHAnsi"/>
          <w:sz w:val="24"/>
          <w:szCs w:val="24"/>
        </w:rPr>
        <w:t xml:space="preserve">the particular facts of the case – the short duration of the assembly, its communicative purpose, the centrality of the particular place to that message, the relatively limited publicity the event had received, the small estimated number of participants (based on a Facebook count of registered interest), the organizer’s pledge to clean up any litter, the severe impact of a total ban on the right of assembly </w:t>
      </w:r>
      <w:r w:rsidR="00313CA7" w:rsidRPr="001B4488">
        <w:rPr>
          <w:rFonts w:cstheme="minorHAnsi"/>
          <w:i/>
          <w:iCs/>
          <w:sz w:val="24"/>
          <w:szCs w:val="24"/>
        </w:rPr>
        <w:t>and the relatively slight impairment of property rights that the assembly would cause</w:t>
      </w:r>
      <w:r w:rsidR="00313CA7" w:rsidRPr="001B4488">
        <w:rPr>
          <w:rFonts w:cstheme="minorHAnsi"/>
          <w:sz w:val="24"/>
          <w:szCs w:val="24"/>
        </w:rPr>
        <w:t>.</w:t>
      </w:r>
    </w:p>
    <w:p w14:paraId="00324839" w14:textId="77777777" w:rsidR="00313CA7" w:rsidRPr="00313CA7" w:rsidRDefault="00313CA7" w:rsidP="00313CA7">
      <w:pPr>
        <w:pStyle w:val="ListParagraph"/>
        <w:ind w:left="426"/>
        <w:jc w:val="both"/>
        <w:rPr>
          <w:rFonts w:cstheme="minorHAnsi"/>
          <w:sz w:val="24"/>
          <w:szCs w:val="24"/>
        </w:rPr>
      </w:pPr>
    </w:p>
    <w:p w14:paraId="555454DB" w14:textId="3A483797" w:rsidR="004259C4" w:rsidRPr="00F54EB6" w:rsidRDefault="00915CB1" w:rsidP="004259C4">
      <w:pPr>
        <w:pStyle w:val="ListParagraph"/>
        <w:numPr>
          <w:ilvl w:val="0"/>
          <w:numId w:val="7"/>
        </w:numPr>
        <w:ind w:left="426" w:hanging="426"/>
        <w:jc w:val="both"/>
        <w:rPr>
          <w:rFonts w:cstheme="minorHAnsi"/>
          <w:sz w:val="24"/>
          <w:szCs w:val="24"/>
        </w:rPr>
      </w:pPr>
      <w:r w:rsidRPr="00F54EB6">
        <w:rPr>
          <w:rFonts w:cstheme="minorHAnsi"/>
          <w:sz w:val="24"/>
          <w:szCs w:val="24"/>
        </w:rPr>
        <w:t xml:space="preserve">In a similar vein, </w:t>
      </w:r>
      <w:r w:rsidR="00730B48" w:rsidRPr="00F54EB6">
        <w:rPr>
          <w:rFonts w:cstheme="minorHAnsi"/>
          <w:bCs/>
          <w:sz w:val="24"/>
          <w:szCs w:val="24"/>
        </w:rPr>
        <w:t xml:space="preserve">the </w:t>
      </w:r>
      <w:r w:rsidR="009871BF" w:rsidRPr="00F54EB6">
        <w:rPr>
          <w:rFonts w:cstheme="minorHAnsi"/>
          <w:bCs/>
          <w:sz w:val="24"/>
          <w:szCs w:val="24"/>
        </w:rPr>
        <w:t xml:space="preserve">Amsterdam District Court in the case of </w:t>
      </w:r>
      <w:hyperlink r:id="rId13" w:anchor="ljn/BX9310" w:history="1">
        <w:r w:rsidR="009871BF" w:rsidRPr="00F54EB6">
          <w:rPr>
            <w:rStyle w:val="Hyperlink"/>
            <w:rFonts w:cstheme="minorHAnsi"/>
            <w:bCs/>
            <w:i/>
            <w:sz w:val="24"/>
            <w:szCs w:val="24"/>
          </w:rPr>
          <w:t>Shell Netherlands v Greenpeace</w:t>
        </w:r>
      </w:hyperlink>
      <w:r w:rsidR="009871BF" w:rsidRPr="00F54EB6">
        <w:rPr>
          <w:rFonts w:cstheme="minorHAnsi"/>
          <w:bCs/>
          <w:sz w:val="24"/>
          <w:szCs w:val="24"/>
        </w:rPr>
        <w:t xml:space="preserve"> permitted protests to be held on privately owned property (garage forecourts) even where these disrupted the commercial activity of the garages (by blocking access to the petrol pumps)</w:t>
      </w:r>
      <w:r w:rsidR="002E4153" w:rsidRPr="00F54EB6">
        <w:rPr>
          <w:rFonts w:cstheme="minorHAnsi"/>
          <w:bCs/>
          <w:sz w:val="24"/>
          <w:szCs w:val="24"/>
        </w:rPr>
        <w:t xml:space="preserve"> (f</w:t>
      </w:r>
      <w:r w:rsidR="002E4153" w:rsidRPr="00F54EB6">
        <w:rPr>
          <w:rFonts w:cstheme="minorHAnsi"/>
          <w:bCs/>
          <w:iCs/>
          <w:sz w:val="24"/>
          <w:szCs w:val="24"/>
        </w:rPr>
        <w:t xml:space="preserve">or a summary news report in English see </w:t>
      </w:r>
      <w:hyperlink r:id="rId14" w:history="1">
        <w:r w:rsidR="002E4153" w:rsidRPr="00F54EB6">
          <w:rPr>
            <w:rStyle w:val="Hyperlink"/>
            <w:rFonts w:cstheme="minorHAnsi"/>
            <w:bCs/>
            <w:iCs/>
            <w:sz w:val="24"/>
            <w:szCs w:val="24"/>
          </w:rPr>
          <w:t>here</w:t>
        </w:r>
      </w:hyperlink>
      <w:r w:rsidR="002E4153" w:rsidRPr="00F54EB6">
        <w:rPr>
          <w:rFonts w:cstheme="minorHAnsi"/>
          <w:bCs/>
          <w:iCs/>
          <w:sz w:val="24"/>
          <w:szCs w:val="24"/>
        </w:rPr>
        <w:t>).</w:t>
      </w:r>
      <w:r w:rsidR="009871BF" w:rsidRPr="00F54EB6">
        <w:rPr>
          <w:rFonts w:cstheme="minorHAnsi"/>
          <w:bCs/>
          <w:sz w:val="24"/>
          <w:szCs w:val="24"/>
        </w:rPr>
        <w:t xml:space="preserve"> The Court noted that </w:t>
      </w:r>
      <w:r w:rsidR="009871BF" w:rsidRPr="00F54EB6">
        <w:rPr>
          <w:rFonts w:cstheme="minorHAnsi"/>
          <w:bCs/>
          <w:sz w:val="24"/>
          <w:szCs w:val="24"/>
          <w:lang w:val="en-IE"/>
        </w:rPr>
        <w:t xml:space="preserve">‘[a] company such as Shell, which performs or wishes to perform activities that are controversial in society, and to which many people object, can and must expect that action will be taken to try to persuade it to change its views.’ While the Court did impose a number of stringent conditions on </w:t>
      </w:r>
      <w:r w:rsidR="004259C4" w:rsidRPr="00F54EB6">
        <w:rPr>
          <w:rFonts w:cstheme="minorHAnsi"/>
          <w:bCs/>
          <w:sz w:val="24"/>
          <w:szCs w:val="24"/>
          <w:lang w:val="en-IE"/>
        </w:rPr>
        <w:t>the</w:t>
      </w:r>
      <w:r w:rsidR="009871BF" w:rsidRPr="00F54EB6">
        <w:rPr>
          <w:rFonts w:cstheme="minorHAnsi"/>
          <w:bCs/>
          <w:sz w:val="24"/>
          <w:szCs w:val="24"/>
          <w:lang w:val="en-IE"/>
        </w:rPr>
        <w:t xml:space="preserve"> protests, Shell’s proprietary interests were not viewed as an automatic bar on protest activity.</w:t>
      </w:r>
      <w:r w:rsidR="00CC2045" w:rsidRPr="00F54EB6">
        <w:rPr>
          <w:rFonts w:eastAsia="Calibri" w:cstheme="minorHAnsi"/>
          <w:b/>
          <w:sz w:val="24"/>
          <w:szCs w:val="24"/>
        </w:rPr>
        <w:t xml:space="preserve"> </w:t>
      </w:r>
      <w:r w:rsidR="00CC2045" w:rsidRPr="00F54EB6">
        <w:rPr>
          <w:rFonts w:eastAsia="Calibri" w:cstheme="minorHAnsi"/>
          <w:sz w:val="24"/>
          <w:szCs w:val="24"/>
        </w:rPr>
        <w:t xml:space="preserve">Holding that ‘the action must not last longer than necessary for achieving the intended effect’ and that Shell must be informed in writing of the objective, method and intended duration at the start of any action (so as to avoid </w:t>
      </w:r>
      <w:r w:rsidR="00CC2045" w:rsidRPr="00F54EB6">
        <w:rPr>
          <w:rFonts w:eastAsia="Calibri" w:cstheme="minorHAnsi"/>
          <w:i/>
          <w:sz w:val="24"/>
          <w:szCs w:val="24"/>
        </w:rPr>
        <w:t>substantial</w:t>
      </w:r>
      <w:r w:rsidR="00CC2045" w:rsidRPr="00F54EB6">
        <w:rPr>
          <w:rFonts w:eastAsia="Calibri" w:cstheme="minorHAnsi"/>
          <w:sz w:val="24"/>
          <w:szCs w:val="24"/>
        </w:rPr>
        <w:t xml:space="preserve"> damage to its interests), the court imposed time limitations on the duration of the protest actions (rather than an outright prohibition). This more permissive stance was counter-balanced by the Court’s holding that Greenpeace would be liable to pay a significant financial penalty should future protest actions breach these conditions.</w:t>
      </w:r>
      <w:r w:rsidR="002E4153" w:rsidRPr="00F54EB6">
        <w:rPr>
          <w:rFonts w:eastAsia="Calibri" w:cstheme="minorHAnsi"/>
          <w:sz w:val="24"/>
          <w:szCs w:val="24"/>
        </w:rPr>
        <w:t xml:space="preserve"> </w:t>
      </w:r>
    </w:p>
    <w:p w14:paraId="7F896BA7" w14:textId="77777777" w:rsidR="004259C4" w:rsidRPr="004259C4" w:rsidRDefault="004259C4" w:rsidP="004259C4">
      <w:pPr>
        <w:pStyle w:val="ListParagraph"/>
        <w:ind w:left="426"/>
        <w:jc w:val="both"/>
        <w:rPr>
          <w:sz w:val="24"/>
          <w:szCs w:val="24"/>
        </w:rPr>
      </w:pPr>
    </w:p>
    <w:p w14:paraId="77BA38EA" w14:textId="2A415C30" w:rsidR="000A3BFD" w:rsidRPr="001C2098" w:rsidRDefault="000F5E61" w:rsidP="00955312">
      <w:pPr>
        <w:pStyle w:val="ListParagraph"/>
        <w:numPr>
          <w:ilvl w:val="0"/>
          <w:numId w:val="7"/>
        </w:numPr>
        <w:ind w:left="426" w:hanging="426"/>
        <w:jc w:val="both"/>
        <w:rPr>
          <w:rFonts w:cstheme="minorHAnsi"/>
          <w:sz w:val="24"/>
          <w:szCs w:val="24"/>
        </w:rPr>
      </w:pPr>
      <w:r w:rsidRPr="001C2098">
        <w:rPr>
          <w:rFonts w:cstheme="minorHAnsi"/>
          <w:sz w:val="24"/>
          <w:szCs w:val="24"/>
        </w:rPr>
        <w:lastRenderedPageBreak/>
        <w:t xml:space="preserve">Consideration of the impact of an assembly on property rights should </w:t>
      </w:r>
      <w:r w:rsidR="004259C4" w:rsidRPr="001C2098">
        <w:rPr>
          <w:rFonts w:cstheme="minorHAnsi"/>
          <w:sz w:val="24"/>
          <w:szCs w:val="24"/>
        </w:rPr>
        <w:t xml:space="preserve">ultimately </w:t>
      </w:r>
      <w:r w:rsidRPr="001C2098">
        <w:rPr>
          <w:rFonts w:cstheme="minorHAnsi"/>
          <w:sz w:val="24"/>
          <w:szCs w:val="24"/>
        </w:rPr>
        <w:t xml:space="preserve">be no different from consideration of its impact on other rights and freedoms </w:t>
      </w:r>
      <w:r w:rsidR="004259C4" w:rsidRPr="001C2098">
        <w:rPr>
          <w:rFonts w:cstheme="minorHAnsi"/>
          <w:sz w:val="24"/>
          <w:szCs w:val="24"/>
        </w:rPr>
        <w:t xml:space="preserve">– the degree to which they are impinged is not ‘all or nothing’ </w:t>
      </w:r>
      <w:r w:rsidRPr="001C2098">
        <w:rPr>
          <w:rFonts w:cstheme="minorHAnsi"/>
          <w:sz w:val="24"/>
          <w:szCs w:val="24"/>
        </w:rPr>
        <w:t xml:space="preserve">and </w:t>
      </w:r>
      <w:r w:rsidR="004259C4" w:rsidRPr="001C2098">
        <w:rPr>
          <w:rFonts w:cstheme="minorHAnsi"/>
          <w:sz w:val="24"/>
          <w:szCs w:val="24"/>
        </w:rPr>
        <w:t xml:space="preserve">property rights </w:t>
      </w:r>
      <w:r w:rsidR="00DD42C8">
        <w:rPr>
          <w:rFonts w:cstheme="minorHAnsi"/>
          <w:sz w:val="24"/>
          <w:szCs w:val="24"/>
        </w:rPr>
        <w:t xml:space="preserve">(including those relating to private property that is not ordinarily accessible) </w:t>
      </w:r>
      <w:r w:rsidR="004259C4" w:rsidRPr="001C2098">
        <w:rPr>
          <w:rFonts w:cstheme="minorHAnsi"/>
          <w:sz w:val="24"/>
          <w:szCs w:val="24"/>
        </w:rPr>
        <w:t>should</w:t>
      </w:r>
      <w:r w:rsidRPr="001C2098">
        <w:rPr>
          <w:rFonts w:cstheme="minorHAnsi"/>
          <w:sz w:val="24"/>
          <w:szCs w:val="24"/>
        </w:rPr>
        <w:t xml:space="preserve"> not</w:t>
      </w:r>
      <w:r w:rsidR="004259C4" w:rsidRPr="001C2098">
        <w:rPr>
          <w:rFonts w:cstheme="minorHAnsi"/>
          <w:sz w:val="24"/>
          <w:szCs w:val="24"/>
        </w:rPr>
        <w:t xml:space="preserve"> be</w:t>
      </w:r>
      <w:r w:rsidRPr="001C2098">
        <w:rPr>
          <w:rFonts w:cstheme="minorHAnsi"/>
          <w:sz w:val="24"/>
          <w:szCs w:val="24"/>
        </w:rPr>
        <w:t xml:space="preserve"> elevate</w:t>
      </w:r>
      <w:r w:rsidR="004259C4" w:rsidRPr="001C2098">
        <w:rPr>
          <w:rFonts w:cstheme="minorHAnsi"/>
          <w:sz w:val="24"/>
          <w:szCs w:val="24"/>
        </w:rPr>
        <w:t>d</w:t>
      </w:r>
      <w:r w:rsidRPr="001C2098">
        <w:rPr>
          <w:rFonts w:cstheme="minorHAnsi"/>
          <w:sz w:val="24"/>
          <w:szCs w:val="24"/>
        </w:rPr>
        <w:t xml:space="preserve"> </w:t>
      </w:r>
      <w:r w:rsidR="00C573ED" w:rsidRPr="001C2098">
        <w:rPr>
          <w:rFonts w:cstheme="minorHAnsi"/>
          <w:sz w:val="24"/>
          <w:szCs w:val="24"/>
        </w:rPr>
        <w:t>to the extent that assemblies on private property are</w:t>
      </w:r>
      <w:r w:rsidRPr="001C2098">
        <w:rPr>
          <w:rFonts w:cstheme="minorHAnsi"/>
          <w:sz w:val="24"/>
          <w:szCs w:val="24"/>
        </w:rPr>
        <w:t xml:space="preserve"> presumptively exclud</w:t>
      </w:r>
      <w:r w:rsidR="00C573ED" w:rsidRPr="001C2098">
        <w:rPr>
          <w:rFonts w:cstheme="minorHAnsi"/>
          <w:sz w:val="24"/>
          <w:szCs w:val="24"/>
        </w:rPr>
        <w:t>ed</w:t>
      </w:r>
      <w:r w:rsidRPr="001C2098">
        <w:rPr>
          <w:rFonts w:cstheme="minorHAnsi"/>
          <w:sz w:val="24"/>
          <w:szCs w:val="24"/>
        </w:rPr>
        <w:t xml:space="preserve"> from the</w:t>
      </w:r>
      <w:r w:rsidR="000A3BFD" w:rsidRPr="001C2098">
        <w:rPr>
          <w:rFonts w:cstheme="minorHAnsi"/>
          <w:sz w:val="24"/>
          <w:szCs w:val="24"/>
        </w:rPr>
        <w:t xml:space="preserve"> protective</w:t>
      </w:r>
      <w:r w:rsidRPr="001C2098">
        <w:rPr>
          <w:rFonts w:cstheme="minorHAnsi"/>
          <w:sz w:val="24"/>
          <w:szCs w:val="24"/>
        </w:rPr>
        <w:t xml:space="preserve"> </w:t>
      </w:r>
      <w:r w:rsidRPr="001C2098">
        <w:rPr>
          <w:rFonts w:cstheme="minorHAnsi"/>
          <w:iCs/>
          <w:sz w:val="24"/>
          <w:szCs w:val="24"/>
        </w:rPr>
        <w:t>scope</w:t>
      </w:r>
      <w:r w:rsidRPr="001C2098">
        <w:rPr>
          <w:rFonts w:cstheme="minorHAnsi"/>
          <w:sz w:val="24"/>
          <w:szCs w:val="24"/>
        </w:rPr>
        <w:t xml:space="preserve"> of Article 21</w:t>
      </w:r>
      <w:r w:rsidR="004259C4" w:rsidRPr="001C2098">
        <w:rPr>
          <w:rFonts w:cstheme="minorHAnsi"/>
          <w:sz w:val="24"/>
          <w:szCs w:val="24"/>
        </w:rPr>
        <w:t>.</w:t>
      </w:r>
    </w:p>
    <w:p w14:paraId="33B64762" w14:textId="77777777" w:rsidR="00BD3699" w:rsidRPr="00593A32" w:rsidRDefault="00BD3699" w:rsidP="00593A32">
      <w:pPr>
        <w:jc w:val="both"/>
        <w:rPr>
          <w:sz w:val="24"/>
          <w:szCs w:val="24"/>
        </w:rPr>
      </w:pPr>
    </w:p>
    <w:p w14:paraId="1D3C2DB2" w14:textId="787839EC" w:rsidR="00BD3699" w:rsidRPr="00BD3699" w:rsidRDefault="007E7EB6" w:rsidP="00BD3699">
      <w:pPr>
        <w:jc w:val="both"/>
        <w:rPr>
          <w:sz w:val="24"/>
          <w:szCs w:val="24"/>
        </w:rPr>
      </w:pPr>
      <w:r>
        <w:rPr>
          <w:b/>
          <w:sz w:val="24"/>
          <w:szCs w:val="24"/>
        </w:rPr>
        <w:t>‘</w:t>
      </w:r>
      <w:r w:rsidR="004879CB" w:rsidRPr="00BD3699">
        <w:rPr>
          <w:b/>
          <w:sz w:val="24"/>
          <w:szCs w:val="24"/>
        </w:rPr>
        <w:t>Peacefulness</w:t>
      </w:r>
      <w:r>
        <w:rPr>
          <w:b/>
          <w:sz w:val="24"/>
          <w:szCs w:val="24"/>
        </w:rPr>
        <w:t>’</w:t>
      </w:r>
      <w:r w:rsidR="004879CB" w:rsidRPr="00BD3699">
        <w:rPr>
          <w:b/>
          <w:sz w:val="24"/>
          <w:szCs w:val="24"/>
        </w:rPr>
        <w:t xml:space="preserve"> </w:t>
      </w:r>
      <w:r w:rsidR="004112E9" w:rsidRPr="00BD3699">
        <w:rPr>
          <w:b/>
          <w:sz w:val="24"/>
          <w:szCs w:val="24"/>
        </w:rPr>
        <w:t xml:space="preserve">and </w:t>
      </w:r>
      <w:r w:rsidR="000F0FDB">
        <w:rPr>
          <w:b/>
          <w:sz w:val="24"/>
          <w:szCs w:val="24"/>
        </w:rPr>
        <w:t xml:space="preserve">incitement to </w:t>
      </w:r>
      <w:r>
        <w:rPr>
          <w:b/>
          <w:sz w:val="24"/>
          <w:szCs w:val="24"/>
        </w:rPr>
        <w:t xml:space="preserve">discrimination or hostility under </w:t>
      </w:r>
      <w:r w:rsidR="004112E9" w:rsidRPr="00BD3699">
        <w:rPr>
          <w:b/>
          <w:sz w:val="24"/>
          <w:szCs w:val="24"/>
        </w:rPr>
        <w:t>Article 20(2) ICCPR</w:t>
      </w:r>
    </w:p>
    <w:p w14:paraId="27647A28" w14:textId="640908EA" w:rsidR="00593A32" w:rsidRPr="008323FB" w:rsidRDefault="008333FB" w:rsidP="004879CB">
      <w:pPr>
        <w:pStyle w:val="ListParagraph"/>
        <w:numPr>
          <w:ilvl w:val="0"/>
          <w:numId w:val="7"/>
        </w:numPr>
        <w:ind w:left="426" w:hanging="426"/>
        <w:jc w:val="both"/>
        <w:rPr>
          <w:sz w:val="24"/>
          <w:szCs w:val="24"/>
        </w:rPr>
      </w:pPr>
      <w:r w:rsidRPr="008323FB">
        <w:rPr>
          <w:b/>
          <w:bCs/>
          <w:sz w:val="24"/>
          <w:szCs w:val="24"/>
        </w:rPr>
        <w:t>Paragraph 22</w:t>
      </w:r>
      <w:r w:rsidRPr="008323FB">
        <w:rPr>
          <w:sz w:val="24"/>
          <w:szCs w:val="24"/>
        </w:rPr>
        <w:t xml:space="preserve"> of the draft General Comment contains two alternative options, the first of which is that:</w:t>
      </w:r>
    </w:p>
    <w:p w14:paraId="721DA150" w14:textId="77777777" w:rsidR="00903CD0" w:rsidRPr="008323FB" w:rsidRDefault="00903CD0" w:rsidP="008333FB">
      <w:pPr>
        <w:pStyle w:val="ListParagraph"/>
        <w:jc w:val="both"/>
        <w:rPr>
          <w:sz w:val="24"/>
          <w:szCs w:val="24"/>
        </w:rPr>
      </w:pPr>
    </w:p>
    <w:p w14:paraId="0965ADC3" w14:textId="396EFE46" w:rsidR="008333FB" w:rsidRPr="008323FB" w:rsidRDefault="008333FB" w:rsidP="008333FB">
      <w:pPr>
        <w:pStyle w:val="ListParagraph"/>
        <w:jc w:val="both"/>
        <w:rPr>
          <w:sz w:val="24"/>
          <w:szCs w:val="24"/>
        </w:rPr>
      </w:pPr>
      <w:r w:rsidRPr="008323FB">
        <w:rPr>
          <w:sz w:val="24"/>
          <w:szCs w:val="24"/>
        </w:rPr>
        <w:t>‘The scope of article 21 is further determined by article 20 of the Covenant, which requires States parties to prohibit propaganda for war (art. 20 (1)) and advocacy of national, racial or religious hatred that constitutes incitement to discrimination or hostility, in addition to violence (art. 20 (2)). Participation in assemblies where the expressive purpose is covered by article 20 does not fall within the scope of, and is not protected by, article 21. Such assemblies must be prohibited.’</w:t>
      </w:r>
    </w:p>
    <w:p w14:paraId="0AAEC34C" w14:textId="77777777" w:rsidR="008333FB" w:rsidRPr="008323FB" w:rsidRDefault="008333FB" w:rsidP="008333FB">
      <w:pPr>
        <w:pStyle w:val="ListParagraph"/>
        <w:ind w:left="426"/>
        <w:jc w:val="both"/>
        <w:rPr>
          <w:sz w:val="24"/>
          <w:szCs w:val="24"/>
        </w:rPr>
      </w:pPr>
    </w:p>
    <w:p w14:paraId="49C643B9" w14:textId="550490C2" w:rsidR="00BE693C" w:rsidRPr="008323FB" w:rsidRDefault="008333FB" w:rsidP="004879CB">
      <w:pPr>
        <w:pStyle w:val="ListParagraph"/>
        <w:numPr>
          <w:ilvl w:val="0"/>
          <w:numId w:val="7"/>
        </w:numPr>
        <w:ind w:left="426" w:hanging="426"/>
        <w:jc w:val="both"/>
        <w:rPr>
          <w:sz w:val="24"/>
          <w:szCs w:val="24"/>
        </w:rPr>
      </w:pPr>
      <w:r w:rsidRPr="008323FB">
        <w:rPr>
          <w:sz w:val="24"/>
          <w:szCs w:val="24"/>
        </w:rPr>
        <w:t xml:space="preserve">A similar </w:t>
      </w:r>
      <w:r w:rsidR="000F0FDB" w:rsidRPr="008323FB">
        <w:rPr>
          <w:sz w:val="24"/>
          <w:szCs w:val="24"/>
        </w:rPr>
        <w:t xml:space="preserve">argument reappears in </w:t>
      </w:r>
      <w:r w:rsidR="000F0FDB" w:rsidRPr="008323FB">
        <w:rPr>
          <w:b/>
          <w:bCs/>
          <w:sz w:val="24"/>
          <w:szCs w:val="24"/>
        </w:rPr>
        <w:t>p</w:t>
      </w:r>
      <w:r w:rsidR="004879CB" w:rsidRPr="008323FB">
        <w:rPr>
          <w:b/>
          <w:bCs/>
          <w:sz w:val="24"/>
          <w:szCs w:val="24"/>
        </w:rPr>
        <w:t>aragraph 57 of</w:t>
      </w:r>
      <w:r w:rsidR="004879CB" w:rsidRPr="008323FB">
        <w:rPr>
          <w:sz w:val="24"/>
          <w:szCs w:val="24"/>
        </w:rPr>
        <w:t xml:space="preserve"> the draft General Comment </w:t>
      </w:r>
      <w:r w:rsidR="000F0FDB" w:rsidRPr="008323FB">
        <w:rPr>
          <w:sz w:val="24"/>
          <w:szCs w:val="24"/>
        </w:rPr>
        <w:t>–</w:t>
      </w:r>
      <w:r w:rsidR="004879CB" w:rsidRPr="008323FB">
        <w:rPr>
          <w:sz w:val="24"/>
          <w:szCs w:val="24"/>
        </w:rPr>
        <w:t xml:space="preserve"> that ‘[a]</w:t>
      </w:r>
      <w:proofErr w:type="spellStart"/>
      <w:r w:rsidR="004879CB" w:rsidRPr="008323FB">
        <w:rPr>
          <w:sz w:val="24"/>
          <w:szCs w:val="24"/>
        </w:rPr>
        <w:t>ssemblies</w:t>
      </w:r>
      <w:proofErr w:type="spellEnd"/>
      <w:r w:rsidR="004879CB" w:rsidRPr="008323FB">
        <w:rPr>
          <w:sz w:val="24"/>
          <w:szCs w:val="24"/>
        </w:rPr>
        <w:t xml:space="preserve"> which</w:t>
      </w:r>
      <w:r w:rsidR="00BE693C" w:rsidRPr="008323FB">
        <w:rPr>
          <w:sz w:val="24"/>
          <w:szCs w:val="24"/>
        </w:rPr>
        <w:t xml:space="preserve"> </w:t>
      </w:r>
      <w:r w:rsidR="00BE693C" w:rsidRPr="008323FB">
        <w:rPr>
          <w:rStyle w:val="apple-converted-space"/>
          <w:rFonts w:eastAsia="Times New Roman"/>
          <w:sz w:val="24"/>
          <w:szCs w:val="24"/>
        </w:rPr>
        <w:t>[</w:t>
      </w:r>
      <w:r w:rsidR="00BE693C" w:rsidRPr="008323FB">
        <w:rPr>
          <w:rFonts w:eastAsia="Times New Roman"/>
          <w:b/>
          <w:bCs/>
          <w:sz w:val="24"/>
          <w:szCs w:val="24"/>
        </w:rPr>
        <w:t>in their entirety</w:t>
      </w:r>
      <w:r w:rsidR="00BE693C" w:rsidRPr="008323FB">
        <w:rPr>
          <w:rFonts w:eastAsia="Times New Roman"/>
          <w:sz w:val="24"/>
          <w:szCs w:val="24"/>
        </w:rPr>
        <w:t>]</w:t>
      </w:r>
      <w:r w:rsidR="004879CB" w:rsidRPr="008323FB">
        <w:rPr>
          <w:sz w:val="24"/>
          <w:szCs w:val="24"/>
        </w:rPr>
        <w:t xml:space="preserve"> fall within the scope of article 20 must be prohibited’. </w:t>
      </w:r>
    </w:p>
    <w:p w14:paraId="62968AFF" w14:textId="77777777" w:rsidR="007E7EB6" w:rsidRPr="008323FB" w:rsidRDefault="007E7EB6" w:rsidP="007E7EB6">
      <w:pPr>
        <w:pStyle w:val="ListParagraph"/>
        <w:ind w:left="426"/>
        <w:jc w:val="both"/>
        <w:rPr>
          <w:sz w:val="24"/>
          <w:szCs w:val="24"/>
        </w:rPr>
      </w:pPr>
    </w:p>
    <w:p w14:paraId="710686CC" w14:textId="77777777" w:rsidR="00D64F7D" w:rsidRPr="008323FB" w:rsidRDefault="00D64F7D" w:rsidP="00D64F7D">
      <w:pPr>
        <w:pStyle w:val="ListParagraph"/>
        <w:numPr>
          <w:ilvl w:val="0"/>
          <w:numId w:val="7"/>
        </w:numPr>
        <w:ind w:left="426" w:hanging="426"/>
        <w:jc w:val="both"/>
        <w:rPr>
          <w:sz w:val="24"/>
          <w:szCs w:val="24"/>
        </w:rPr>
      </w:pPr>
      <w:r w:rsidRPr="008323FB">
        <w:rPr>
          <w:rFonts w:eastAsia="Times New Roman"/>
          <w:sz w:val="24"/>
          <w:szCs w:val="24"/>
        </w:rPr>
        <w:t xml:space="preserve">A key problem here is that it is not sufficiently clear (based on current jurisprudence) what assemblies ‘fall within the scope of article 20’ (let alone what the phrase ‘in their entirety’ connotes). As such, both </w:t>
      </w:r>
      <w:r w:rsidRPr="008323FB">
        <w:rPr>
          <w:rFonts w:eastAsia="Times New Roman"/>
          <w:b/>
          <w:bCs/>
          <w:sz w:val="24"/>
          <w:szCs w:val="24"/>
        </w:rPr>
        <w:t>paragraph 57</w:t>
      </w:r>
      <w:r w:rsidRPr="008323FB">
        <w:rPr>
          <w:rFonts w:eastAsia="Times New Roman"/>
          <w:sz w:val="24"/>
          <w:szCs w:val="24"/>
        </w:rPr>
        <w:t xml:space="preserve"> and </w:t>
      </w:r>
      <w:r w:rsidRPr="008323FB">
        <w:rPr>
          <w:rFonts w:eastAsia="Times New Roman"/>
          <w:b/>
          <w:bCs/>
          <w:sz w:val="24"/>
          <w:szCs w:val="24"/>
        </w:rPr>
        <w:t>Option 1 in paragraph 22</w:t>
      </w:r>
      <w:r w:rsidRPr="008323FB">
        <w:rPr>
          <w:rFonts w:eastAsia="Times New Roman"/>
          <w:sz w:val="24"/>
          <w:szCs w:val="24"/>
        </w:rPr>
        <w:t xml:space="preserve"> </w:t>
      </w:r>
      <w:r w:rsidRPr="008323FB">
        <w:rPr>
          <w:rFonts w:eastAsia="Times New Roman"/>
          <w:sz w:val="24"/>
          <w:szCs w:val="24"/>
        </w:rPr>
        <w:lastRenderedPageBreak/>
        <w:t>risk legitimizing widely framed domestic categorizations of assemblies falling within any strand of Article 20(2) – and, in turn, their prohibition.</w:t>
      </w:r>
    </w:p>
    <w:p w14:paraId="226E4050" w14:textId="77777777" w:rsidR="00D64F7D" w:rsidRPr="008323FB" w:rsidRDefault="00D64F7D" w:rsidP="00D64F7D">
      <w:pPr>
        <w:pStyle w:val="ListParagraph"/>
        <w:rPr>
          <w:sz w:val="24"/>
          <w:szCs w:val="24"/>
        </w:rPr>
      </w:pPr>
    </w:p>
    <w:p w14:paraId="00964C39" w14:textId="003264F0" w:rsidR="007E7EB6" w:rsidRDefault="00D64F7D" w:rsidP="00D64F7D">
      <w:pPr>
        <w:pStyle w:val="ListParagraph"/>
        <w:numPr>
          <w:ilvl w:val="0"/>
          <w:numId w:val="7"/>
        </w:numPr>
        <w:ind w:left="426" w:hanging="426"/>
        <w:jc w:val="both"/>
        <w:rPr>
          <w:sz w:val="24"/>
          <w:szCs w:val="24"/>
        </w:rPr>
      </w:pPr>
      <w:r w:rsidRPr="008323FB">
        <w:rPr>
          <w:sz w:val="24"/>
          <w:szCs w:val="24"/>
        </w:rPr>
        <w:t xml:space="preserve">As noted at the outset of this submission (at paras 2 and 3 above), robust protection of the right of peaceful assembly relies on a clear separation between ‘scope’ and ‘restriction’, recognizing that assemblies falling within the protective scope of the right may </w:t>
      </w:r>
      <w:r w:rsidRPr="008323FB">
        <w:rPr>
          <w:sz w:val="24"/>
          <w:szCs w:val="24"/>
          <w:lang w:val="en-US"/>
        </w:rPr>
        <w:t xml:space="preserve">yet be subject to lawful, necessary and proportionate restriction. As such, I would strongly support </w:t>
      </w:r>
      <w:r w:rsidRPr="008323FB">
        <w:rPr>
          <w:b/>
          <w:bCs/>
          <w:sz w:val="24"/>
          <w:szCs w:val="24"/>
          <w:lang w:val="en-US"/>
        </w:rPr>
        <w:t>Option 2</w:t>
      </w:r>
      <w:r>
        <w:rPr>
          <w:b/>
          <w:bCs/>
          <w:sz w:val="24"/>
          <w:szCs w:val="24"/>
          <w:lang w:val="en-US"/>
        </w:rPr>
        <w:t xml:space="preserve">. </w:t>
      </w:r>
      <w:r>
        <w:rPr>
          <w:sz w:val="24"/>
          <w:szCs w:val="24"/>
          <w:lang w:val="en-US"/>
        </w:rPr>
        <w:t xml:space="preserve">Furthermore, </w:t>
      </w:r>
      <w:r>
        <w:rPr>
          <w:sz w:val="24"/>
          <w:szCs w:val="24"/>
        </w:rPr>
        <w:t>t</w:t>
      </w:r>
      <w:r w:rsidR="004879CB" w:rsidRPr="008323FB">
        <w:rPr>
          <w:sz w:val="24"/>
          <w:szCs w:val="24"/>
        </w:rPr>
        <w:t xml:space="preserve">he last sentence of </w:t>
      </w:r>
      <w:r w:rsidR="004879CB" w:rsidRPr="008323FB">
        <w:rPr>
          <w:b/>
          <w:bCs/>
          <w:sz w:val="24"/>
          <w:szCs w:val="24"/>
        </w:rPr>
        <w:t>paragraph</w:t>
      </w:r>
      <w:r w:rsidR="008333FB" w:rsidRPr="008323FB">
        <w:rPr>
          <w:b/>
          <w:bCs/>
          <w:sz w:val="24"/>
          <w:szCs w:val="24"/>
        </w:rPr>
        <w:t xml:space="preserve"> 57</w:t>
      </w:r>
      <w:r w:rsidR="004879CB" w:rsidRPr="008323FB">
        <w:rPr>
          <w:sz w:val="24"/>
          <w:szCs w:val="24"/>
        </w:rPr>
        <w:t xml:space="preserve"> </w:t>
      </w:r>
      <w:r w:rsidR="008333FB" w:rsidRPr="008323FB">
        <w:rPr>
          <w:sz w:val="24"/>
          <w:szCs w:val="24"/>
        </w:rPr>
        <w:t xml:space="preserve">contains the principle that </w:t>
      </w:r>
      <w:r w:rsidR="00493B3E">
        <w:rPr>
          <w:sz w:val="24"/>
          <w:szCs w:val="24"/>
        </w:rPr>
        <w:t>ought to</w:t>
      </w:r>
      <w:r w:rsidR="008333FB" w:rsidRPr="008323FB">
        <w:rPr>
          <w:sz w:val="24"/>
          <w:szCs w:val="24"/>
        </w:rPr>
        <w:t xml:space="preserve"> be the general rule and </w:t>
      </w:r>
      <w:r w:rsidR="004879CB" w:rsidRPr="008323FB">
        <w:rPr>
          <w:sz w:val="24"/>
          <w:szCs w:val="24"/>
        </w:rPr>
        <w:t>should</w:t>
      </w:r>
      <w:r w:rsidR="008333FB" w:rsidRPr="008323FB">
        <w:rPr>
          <w:sz w:val="24"/>
          <w:szCs w:val="24"/>
        </w:rPr>
        <w:t xml:space="preserve"> therefore</w:t>
      </w:r>
      <w:r w:rsidR="004879CB" w:rsidRPr="008323FB">
        <w:rPr>
          <w:sz w:val="24"/>
          <w:szCs w:val="24"/>
        </w:rPr>
        <w:t xml:space="preserve"> be </w:t>
      </w:r>
      <w:r w:rsidR="008333FB" w:rsidRPr="008323FB">
        <w:rPr>
          <w:sz w:val="24"/>
          <w:szCs w:val="24"/>
        </w:rPr>
        <w:t>accorded</w:t>
      </w:r>
      <w:r w:rsidR="004879CB" w:rsidRPr="008323FB">
        <w:rPr>
          <w:sz w:val="24"/>
          <w:szCs w:val="24"/>
        </w:rPr>
        <w:t xml:space="preserve"> </w:t>
      </w:r>
      <w:r w:rsidR="004112E9" w:rsidRPr="008323FB">
        <w:rPr>
          <w:sz w:val="24"/>
          <w:szCs w:val="24"/>
        </w:rPr>
        <w:t xml:space="preserve">much </w:t>
      </w:r>
      <w:r w:rsidR="004879CB" w:rsidRPr="008323FB">
        <w:rPr>
          <w:sz w:val="24"/>
          <w:szCs w:val="24"/>
        </w:rPr>
        <w:t xml:space="preserve">greater prominence – </w:t>
      </w:r>
      <w:proofErr w:type="gramStart"/>
      <w:r w:rsidR="004879CB" w:rsidRPr="008323FB">
        <w:rPr>
          <w:sz w:val="24"/>
          <w:szCs w:val="24"/>
        </w:rPr>
        <w:t>that</w:t>
      </w:r>
      <w:proofErr w:type="gramEnd"/>
      <w:r w:rsidR="004879CB" w:rsidRPr="008323FB">
        <w:rPr>
          <w:sz w:val="24"/>
          <w:szCs w:val="24"/>
        </w:rPr>
        <w:t xml:space="preserve"> ‘action should be taken in such cases against the individual perpetrators, rather than against the assembly as a whole.’</w:t>
      </w:r>
      <w:r w:rsidR="008323FB">
        <w:rPr>
          <w:sz w:val="24"/>
          <w:szCs w:val="24"/>
        </w:rPr>
        <w:t xml:space="preserve"> Indeed, the footnoted reference to the principle </w:t>
      </w:r>
      <w:r w:rsidR="00493B3E">
        <w:rPr>
          <w:sz w:val="24"/>
          <w:szCs w:val="24"/>
        </w:rPr>
        <w:t xml:space="preserve">articulated </w:t>
      </w:r>
      <w:r w:rsidR="008323FB">
        <w:rPr>
          <w:sz w:val="24"/>
          <w:szCs w:val="24"/>
        </w:rPr>
        <w:t xml:space="preserve">in para 50 of </w:t>
      </w:r>
      <w:hyperlink r:id="rId15" w:history="1">
        <w:r w:rsidR="008323FB" w:rsidRPr="008323FB">
          <w:rPr>
            <w:rStyle w:val="Hyperlink"/>
            <w:sz w:val="24"/>
            <w:szCs w:val="24"/>
          </w:rPr>
          <w:t>General Comment 34</w:t>
        </w:r>
      </w:hyperlink>
      <w:r w:rsidR="008323FB">
        <w:rPr>
          <w:sz w:val="24"/>
          <w:szCs w:val="24"/>
        </w:rPr>
        <w:t xml:space="preserve"> (that </w:t>
      </w:r>
      <w:r w:rsidR="008323FB" w:rsidRPr="008323FB">
        <w:rPr>
          <w:sz w:val="24"/>
          <w:szCs w:val="24"/>
        </w:rPr>
        <w:t>limitation</w:t>
      </w:r>
      <w:r w:rsidR="008323FB">
        <w:rPr>
          <w:sz w:val="24"/>
          <w:szCs w:val="24"/>
        </w:rPr>
        <w:t>s</w:t>
      </w:r>
      <w:r w:rsidR="008323FB" w:rsidRPr="008323FB">
        <w:rPr>
          <w:sz w:val="24"/>
          <w:szCs w:val="24"/>
        </w:rPr>
        <w:t xml:space="preserve"> justified on the basis of article 20 must also comply with </w:t>
      </w:r>
      <w:r w:rsidR="008323FB">
        <w:rPr>
          <w:sz w:val="24"/>
          <w:szCs w:val="24"/>
        </w:rPr>
        <w:t>A</w:t>
      </w:r>
      <w:r w:rsidR="008323FB" w:rsidRPr="008323FB">
        <w:rPr>
          <w:sz w:val="24"/>
          <w:szCs w:val="24"/>
        </w:rPr>
        <w:t>rticle 19</w:t>
      </w:r>
      <w:r w:rsidR="008323FB">
        <w:rPr>
          <w:sz w:val="24"/>
          <w:szCs w:val="24"/>
        </w:rPr>
        <w:t>(</w:t>
      </w:r>
      <w:r w:rsidR="008323FB" w:rsidRPr="008323FB">
        <w:rPr>
          <w:sz w:val="24"/>
          <w:szCs w:val="24"/>
        </w:rPr>
        <w:t>3</w:t>
      </w:r>
      <w:r w:rsidR="008323FB">
        <w:rPr>
          <w:sz w:val="24"/>
          <w:szCs w:val="24"/>
        </w:rPr>
        <w:t xml:space="preserve">)) </w:t>
      </w:r>
      <w:r w:rsidR="00493B3E">
        <w:rPr>
          <w:sz w:val="24"/>
          <w:szCs w:val="24"/>
        </w:rPr>
        <w:t>similarly</w:t>
      </w:r>
      <w:r w:rsidR="008323FB" w:rsidRPr="008323FB">
        <w:rPr>
          <w:sz w:val="24"/>
          <w:szCs w:val="24"/>
        </w:rPr>
        <w:t xml:space="preserve"> deserves greater prominence.</w:t>
      </w:r>
    </w:p>
    <w:p w14:paraId="25ED2E94" w14:textId="77777777" w:rsidR="005F7E74" w:rsidRPr="006D7C60" w:rsidRDefault="005F7E74" w:rsidP="005F7E74">
      <w:pPr>
        <w:pStyle w:val="ListParagraph"/>
        <w:rPr>
          <w:sz w:val="24"/>
          <w:szCs w:val="24"/>
        </w:rPr>
      </w:pPr>
    </w:p>
    <w:p w14:paraId="661CF0E3" w14:textId="35F8274F" w:rsidR="005F7E74" w:rsidRPr="006D7C60" w:rsidRDefault="005F7E74" w:rsidP="005F7E74">
      <w:pPr>
        <w:jc w:val="both"/>
        <w:rPr>
          <w:sz w:val="24"/>
          <w:szCs w:val="24"/>
        </w:rPr>
      </w:pPr>
      <w:r w:rsidRPr="006D7C60">
        <w:rPr>
          <w:b/>
          <w:bCs/>
          <w:sz w:val="24"/>
          <w:szCs w:val="24"/>
        </w:rPr>
        <w:t>Further points arising in the draft text of General Comment 37</w:t>
      </w:r>
    </w:p>
    <w:p w14:paraId="788F3E1D" w14:textId="49A13ECC" w:rsidR="006D7C60" w:rsidRDefault="006D7C60" w:rsidP="00493B3E">
      <w:pPr>
        <w:pStyle w:val="ListParagraph"/>
        <w:numPr>
          <w:ilvl w:val="0"/>
          <w:numId w:val="7"/>
        </w:numPr>
        <w:spacing w:after="0" w:line="240" w:lineRule="auto"/>
        <w:ind w:left="426" w:hanging="426"/>
        <w:jc w:val="both"/>
        <w:rPr>
          <w:rFonts w:eastAsia="Times New Roman"/>
          <w:sz w:val="24"/>
          <w:szCs w:val="24"/>
        </w:rPr>
      </w:pPr>
      <w:r w:rsidRPr="006D7C60">
        <w:rPr>
          <w:rFonts w:eastAsia="Times New Roman"/>
          <w:b/>
          <w:bCs/>
          <w:sz w:val="24"/>
          <w:szCs w:val="24"/>
        </w:rPr>
        <w:t>Paragraph 19</w:t>
      </w:r>
      <w:r w:rsidR="00723019">
        <w:rPr>
          <w:rStyle w:val="apple-converted-space"/>
          <w:rFonts w:eastAsia="Times New Roman"/>
          <w:sz w:val="24"/>
          <w:szCs w:val="24"/>
        </w:rPr>
        <w:t xml:space="preserve">: </w:t>
      </w:r>
      <w:r w:rsidRPr="006D7C60">
        <w:rPr>
          <w:rFonts w:eastAsia="Times New Roman"/>
          <w:sz w:val="24"/>
          <w:szCs w:val="24"/>
        </w:rPr>
        <w:t>I would urge deletion of the bracketed phrase ‘</w:t>
      </w:r>
      <w:r w:rsidRPr="006D7C60">
        <w:rPr>
          <w:rFonts w:eastAsia="Times New Roman"/>
          <w:b/>
          <w:bCs/>
          <w:sz w:val="24"/>
          <w:szCs w:val="24"/>
        </w:rPr>
        <w:t>and is sometimes referred to as a riot</w:t>
      </w:r>
      <w:r w:rsidRPr="006D7C60">
        <w:rPr>
          <w:rFonts w:eastAsia="Times New Roman"/>
          <w:sz w:val="24"/>
          <w:szCs w:val="24"/>
        </w:rPr>
        <w:t xml:space="preserve">’ since this might be read to confer legitimacy on domestic law formulations of the offence of ‘riot’. These offenses can be highly problematic. Like ‘unlawful assembly’ (which is sometimes the predicate offence for ‘riot’), categorization as a riot tends to treat an assembly </w:t>
      </w:r>
      <w:r w:rsidRPr="006D7C60">
        <w:rPr>
          <w:rFonts w:eastAsia="Times New Roman"/>
          <w:i/>
          <w:iCs/>
          <w:sz w:val="24"/>
          <w:szCs w:val="24"/>
        </w:rPr>
        <w:t>en bloc</w:t>
      </w:r>
      <w:r w:rsidRPr="006D7C60">
        <w:rPr>
          <w:rFonts w:eastAsia="Times New Roman"/>
          <w:sz w:val="24"/>
          <w:szCs w:val="24"/>
        </w:rPr>
        <w:t xml:space="preserve"> and is too often used to round up participants who are present at an assembly at which violence occurs, rendering them potentially liable to lengthy terms of imprisonment.</w:t>
      </w:r>
    </w:p>
    <w:p w14:paraId="49F3026F" w14:textId="77777777" w:rsidR="00732D3F" w:rsidRDefault="00732D3F" w:rsidP="00732D3F">
      <w:pPr>
        <w:pStyle w:val="ListParagraph"/>
        <w:spacing w:after="0" w:line="240" w:lineRule="auto"/>
        <w:ind w:left="426"/>
        <w:jc w:val="both"/>
        <w:rPr>
          <w:rFonts w:eastAsia="Times New Roman"/>
          <w:sz w:val="24"/>
          <w:szCs w:val="24"/>
        </w:rPr>
      </w:pPr>
    </w:p>
    <w:p w14:paraId="2997128D" w14:textId="18D74A97" w:rsidR="00732D3F" w:rsidRPr="006D7C60" w:rsidRDefault="00732D3F" w:rsidP="00493B3E">
      <w:pPr>
        <w:pStyle w:val="ListParagraph"/>
        <w:numPr>
          <w:ilvl w:val="0"/>
          <w:numId w:val="7"/>
        </w:numPr>
        <w:spacing w:after="0" w:line="240" w:lineRule="auto"/>
        <w:ind w:left="426" w:hanging="426"/>
        <w:jc w:val="both"/>
        <w:rPr>
          <w:rFonts w:eastAsia="Times New Roman"/>
          <w:sz w:val="24"/>
          <w:szCs w:val="24"/>
        </w:rPr>
      </w:pPr>
      <w:r>
        <w:rPr>
          <w:rFonts w:eastAsia="Times New Roman"/>
          <w:b/>
          <w:bCs/>
          <w:sz w:val="24"/>
          <w:szCs w:val="24"/>
        </w:rPr>
        <w:lastRenderedPageBreak/>
        <w:t>Paragraph 25 (and also</w:t>
      </w:r>
      <w:r w:rsidR="008A5DAF">
        <w:rPr>
          <w:rFonts w:eastAsia="Times New Roman"/>
          <w:b/>
          <w:bCs/>
          <w:sz w:val="24"/>
          <w:szCs w:val="24"/>
        </w:rPr>
        <w:t xml:space="preserve"> paragraph</w:t>
      </w:r>
      <w:r>
        <w:rPr>
          <w:rFonts w:eastAsia="Times New Roman"/>
          <w:b/>
          <w:bCs/>
          <w:sz w:val="24"/>
          <w:szCs w:val="24"/>
        </w:rPr>
        <w:t xml:space="preserve"> 61)</w:t>
      </w:r>
      <w:r>
        <w:rPr>
          <w:rFonts w:eastAsia="Times New Roman"/>
          <w:sz w:val="24"/>
          <w:szCs w:val="24"/>
        </w:rPr>
        <w:t>: the principles of ‘content neutrality’ and ‘sight and sound’ might usefully be set out in separate paragraphs so as to give equal prominence to each.</w:t>
      </w:r>
    </w:p>
    <w:p w14:paraId="165E1BB0" w14:textId="77777777" w:rsidR="006D7C60" w:rsidRPr="006D7C60" w:rsidRDefault="006D7C60" w:rsidP="00493B3E">
      <w:pPr>
        <w:pStyle w:val="ListParagraph"/>
        <w:spacing w:after="0" w:line="240" w:lineRule="auto"/>
        <w:ind w:left="426"/>
        <w:jc w:val="both"/>
        <w:rPr>
          <w:rFonts w:eastAsia="Times New Roman"/>
          <w:sz w:val="24"/>
          <w:szCs w:val="24"/>
        </w:rPr>
      </w:pPr>
    </w:p>
    <w:p w14:paraId="5C0D167D" w14:textId="6E61A2B1" w:rsidR="00B6759A" w:rsidRPr="006D7C60" w:rsidRDefault="00B6759A" w:rsidP="00493B3E">
      <w:pPr>
        <w:pStyle w:val="ListParagraph"/>
        <w:numPr>
          <w:ilvl w:val="0"/>
          <w:numId w:val="7"/>
        </w:numPr>
        <w:ind w:left="426" w:hanging="426"/>
        <w:jc w:val="both"/>
        <w:rPr>
          <w:sz w:val="24"/>
          <w:szCs w:val="24"/>
        </w:rPr>
      </w:pPr>
      <w:r w:rsidRPr="006D7C60">
        <w:rPr>
          <w:b/>
          <w:bCs/>
          <w:sz w:val="24"/>
          <w:szCs w:val="24"/>
        </w:rPr>
        <w:t xml:space="preserve">Paragraph 29 </w:t>
      </w:r>
      <w:r w:rsidR="00723019">
        <w:rPr>
          <w:b/>
          <w:bCs/>
          <w:sz w:val="24"/>
          <w:szCs w:val="24"/>
        </w:rPr>
        <w:t xml:space="preserve">improperly </w:t>
      </w:r>
      <w:r w:rsidRPr="006D7C60">
        <w:rPr>
          <w:b/>
          <w:bCs/>
          <w:sz w:val="24"/>
          <w:szCs w:val="24"/>
        </w:rPr>
        <w:t>endorse</w:t>
      </w:r>
      <w:r w:rsidR="00493B3E">
        <w:rPr>
          <w:b/>
          <w:bCs/>
          <w:sz w:val="24"/>
          <w:szCs w:val="24"/>
        </w:rPr>
        <w:t>s</w:t>
      </w:r>
      <w:r w:rsidRPr="006D7C60">
        <w:rPr>
          <w:b/>
          <w:bCs/>
          <w:sz w:val="24"/>
          <w:szCs w:val="24"/>
        </w:rPr>
        <w:t xml:space="preserve"> ‘precautionary measures’</w:t>
      </w:r>
      <w:r w:rsidR="00493B3E">
        <w:rPr>
          <w:b/>
          <w:bCs/>
          <w:sz w:val="24"/>
          <w:szCs w:val="24"/>
        </w:rPr>
        <w:t xml:space="preserve"> </w:t>
      </w:r>
      <w:r w:rsidR="00493B3E">
        <w:rPr>
          <w:sz w:val="24"/>
          <w:szCs w:val="24"/>
        </w:rPr>
        <w:t>(notwithstanding the qualification that these should be ‘aimed at preventing violations and abuses of the different rights at stake’ and ‘</w:t>
      </w:r>
      <w:r w:rsidR="00493B3E" w:rsidRPr="00493B3E">
        <w:rPr>
          <w:sz w:val="24"/>
          <w:szCs w:val="24"/>
        </w:rPr>
        <w:t>cannot serve as a justification for measures that violate human rights</w:t>
      </w:r>
      <w:r w:rsidR="00493B3E">
        <w:rPr>
          <w:sz w:val="24"/>
          <w:szCs w:val="24"/>
        </w:rPr>
        <w:t>’)</w:t>
      </w:r>
      <w:r w:rsidR="00723019">
        <w:rPr>
          <w:sz w:val="24"/>
          <w:szCs w:val="24"/>
        </w:rPr>
        <w:t>:</w:t>
      </w:r>
      <w:r w:rsidR="00493B3E">
        <w:rPr>
          <w:sz w:val="24"/>
          <w:szCs w:val="24"/>
        </w:rPr>
        <w:t xml:space="preserve"> This is a deeply problematic term</w:t>
      </w:r>
      <w:r w:rsidR="008A5DAF">
        <w:rPr>
          <w:sz w:val="24"/>
          <w:szCs w:val="24"/>
        </w:rPr>
        <w:t xml:space="preserve">, </w:t>
      </w:r>
      <w:r w:rsidR="00493B3E" w:rsidRPr="00493B3E">
        <w:rPr>
          <w:sz w:val="24"/>
          <w:szCs w:val="24"/>
        </w:rPr>
        <w:t>too easily interpreted to justify sweeping prior restrictions on the right of peaceful assembly</w:t>
      </w:r>
      <w:r w:rsidR="008A5DAF">
        <w:rPr>
          <w:sz w:val="24"/>
          <w:szCs w:val="24"/>
        </w:rPr>
        <w:t xml:space="preserve"> and </w:t>
      </w:r>
      <w:r w:rsidR="00493B3E" w:rsidRPr="00493B3E">
        <w:rPr>
          <w:sz w:val="24"/>
          <w:szCs w:val="24"/>
        </w:rPr>
        <w:t>also potentially justifying excessive</w:t>
      </w:r>
      <w:r w:rsidR="00723019">
        <w:rPr>
          <w:sz w:val="24"/>
          <w:szCs w:val="24"/>
        </w:rPr>
        <w:t xml:space="preserve"> (and/or disingenuous)</w:t>
      </w:r>
      <w:r w:rsidR="00493B3E" w:rsidRPr="00493B3E">
        <w:rPr>
          <w:sz w:val="24"/>
          <w:szCs w:val="24"/>
        </w:rPr>
        <w:t xml:space="preserve"> risk-aversion on the part of State authorities.</w:t>
      </w:r>
    </w:p>
    <w:p w14:paraId="1F528D6D" w14:textId="77777777" w:rsidR="00440390" w:rsidRPr="00440390" w:rsidRDefault="00440390" w:rsidP="00440390">
      <w:pPr>
        <w:pStyle w:val="ListParagraph"/>
        <w:ind w:left="426"/>
        <w:jc w:val="both"/>
        <w:rPr>
          <w:rFonts w:eastAsia="Times New Roman"/>
          <w:b/>
          <w:bCs/>
          <w:sz w:val="24"/>
          <w:szCs w:val="24"/>
        </w:rPr>
      </w:pPr>
    </w:p>
    <w:p w14:paraId="0F0CA971" w14:textId="20C495BD" w:rsidR="00440390" w:rsidRPr="0004118F" w:rsidRDefault="00440390" w:rsidP="00440390">
      <w:pPr>
        <w:pStyle w:val="ListParagraph"/>
        <w:numPr>
          <w:ilvl w:val="0"/>
          <w:numId w:val="7"/>
        </w:numPr>
        <w:ind w:left="426" w:hanging="426"/>
        <w:jc w:val="both"/>
        <w:rPr>
          <w:rFonts w:eastAsia="Times New Roman"/>
          <w:b/>
          <w:bCs/>
          <w:sz w:val="24"/>
          <w:szCs w:val="24"/>
        </w:rPr>
      </w:pPr>
      <w:r w:rsidRPr="0004118F">
        <w:rPr>
          <w:sz w:val="24"/>
          <w:szCs w:val="24"/>
        </w:rPr>
        <w:t>The use of the term ‘managing’ or ‘management of’ assembl</w:t>
      </w:r>
      <w:r>
        <w:rPr>
          <w:sz w:val="24"/>
          <w:szCs w:val="24"/>
        </w:rPr>
        <w:t>i</w:t>
      </w:r>
      <w:r w:rsidRPr="0004118F">
        <w:rPr>
          <w:sz w:val="24"/>
          <w:szCs w:val="24"/>
        </w:rPr>
        <w:t xml:space="preserve">es </w:t>
      </w:r>
      <w:r w:rsidRPr="0004118F">
        <w:rPr>
          <w:b/>
          <w:bCs/>
          <w:sz w:val="24"/>
          <w:szCs w:val="24"/>
        </w:rPr>
        <w:t>(paragraphs 32, 33 and 71)</w:t>
      </w:r>
      <w:r w:rsidRPr="0004118F">
        <w:rPr>
          <w:sz w:val="24"/>
          <w:szCs w:val="24"/>
        </w:rPr>
        <w:t xml:space="preserve"> improperly characterizes the obligations and role of State authorities. The role of the State – as emphasized elsewhere in the draft text – is to ‘respect and ensure’ and ‘to facilitate the exercise of the right and to protect the participants’ (e.g. </w:t>
      </w:r>
      <w:r w:rsidRPr="0004118F">
        <w:rPr>
          <w:b/>
          <w:bCs/>
          <w:sz w:val="24"/>
          <w:szCs w:val="24"/>
        </w:rPr>
        <w:t>paragraphs 8, 24, and 26-27</w:t>
      </w:r>
      <w:r w:rsidRPr="0004118F">
        <w:rPr>
          <w:sz w:val="24"/>
          <w:szCs w:val="24"/>
        </w:rPr>
        <w:t xml:space="preserve">). ‘Management’ is more closely aligned with ‘control’ and if </w:t>
      </w:r>
      <w:r>
        <w:rPr>
          <w:sz w:val="24"/>
          <w:szCs w:val="24"/>
        </w:rPr>
        <w:t>given prominence</w:t>
      </w:r>
      <w:r w:rsidRPr="0004118F">
        <w:rPr>
          <w:sz w:val="24"/>
          <w:szCs w:val="24"/>
        </w:rPr>
        <w:t xml:space="preserve"> in the General Comment may </w:t>
      </w:r>
      <w:r>
        <w:rPr>
          <w:sz w:val="24"/>
          <w:szCs w:val="24"/>
        </w:rPr>
        <w:t xml:space="preserve">unduly </w:t>
      </w:r>
      <w:r w:rsidRPr="0004118F">
        <w:rPr>
          <w:sz w:val="24"/>
          <w:szCs w:val="24"/>
        </w:rPr>
        <w:t xml:space="preserve">reinforce </w:t>
      </w:r>
      <w:r>
        <w:rPr>
          <w:sz w:val="24"/>
          <w:szCs w:val="24"/>
        </w:rPr>
        <w:t>policing practices (and a police ‘ego-image’) that affords insufficient protection to the essence of the right of peaceful assembly.</w:t>
      </w:r>
    </w:p>
    <w:p w14:paraId="2E575DC2" w14:textId="77777777" w:rsidR="005F7E74" w:rsidRPr="006D7C60" w:rsidRDefault="005F7E74" w:rsidP="00493B3E">
      <w:pPr>
        <w:pStyle w:val="ListParagraph"/>
        <w:ind w:left="426"/>
        <w:jc w:val="both"/>
        <w:rPr>
          <w:sz w:val="24"/>
          <w:szCs w:val="24"/>
        </w:rPr>
      </w:pPr>
    </w:p>
    <w:p w14:paraId="4BB29DEE" w14:textId="52B57FF9" w:rsidR="006D7C60" w:rsidRPr="006D7C60" w:rsidRDefault="005F7E74" w:rsidP="00493B3E">
      <w:pPr>
        <w:pStyle w:val="ListParagraph"/>
        <w:numPr>
          <w:ilvl w:val="0"/>
          <w:numId w:val="7"/>
        </w:numPr>
        <w:ind w:left="426" w:hanging="426"/>
        <w:jc w:val="both"/>
        <w:rPr>
          <w:sz w:val="24"/>
          <w:szCs w:val="24"/>
        </w:rPr>
      </w:pPr>
      <w:r w:rsidRPr="006D7C60">
        <w:rPr>
          <w:b/>
          <w:bCs/>
          <w:sz w:val="24"/>
          <w:szCs w:val="24"/>
        </w:rPr>
        <w:t xml:space="preserve">Paragraphs 34 and 85 </w:t>
      </w:r>
      <w:r w:rsidRPr="006D7C60">
        <w:rPr>
          <w:sz w:val="24"/>
          <w:szCs w:val="24"/>
        </w:rPr>
        <w:t>could expressly articulate the duty of</w:t>
      </w:r>
      <w:r w:rsidR="000220AA" w:rsidRPr="006D7C60">
        <w:rPr>
          <w:sz w:val="24"/>
          <w:szCs w:val="24"/>
        </w:rPr>
        <w:t xml:space="preserve"> State authorities to distinguish monitors and observers from </w:t>
      </w:r>
      <w:r w:rsidR="00723019">
        <w:rPr>
          <w:sz w:val="24"/>
          <w:szCs w:val="24"/>
        </w:rPr>
        <w:t xml:space="preserve">assembly </w:t>
      </w:r>
      <w:r w:rsidR="000220AA" w:rsidRPr="006D7C60">
        <w:rPr>
          <w:sz w:val="24"/>
          <w:szCs w:val="24"/>
        </w:rPr>
        <w:t xml:space="preserve">participants. </w:t>
      </w:r>
      <w:r w:rsidR="00723019">
        <w:rPr>
          <w:sz w:val="24"/>
          <w:szCs w:val="24"/>
        </w:rPr>
        <w:t xml:space="preserve">Third party assembly monitors and observers are </w:t>
      </w:r>
      <w:r w:rsidR="000220AA" w:rsidRPr="006D7C60">
        <w:rPr>
          <w:sz w:val="24"/>
          <w:szCs w:val="24"/>
        </w:rPr>
        <w:t>o</w:t>
      </w:r>
      <w:r w:rsidR="00723019">
        <w:rPr>
          <w:sz w:val="24"/>
          <w:szCs w:val="24"/>
        </w:rPr>
        <w:t xml:space="preserve">ften </w:t>
      </w:r>
      <w:r w:rsidR="000220AA" w:rsidRPr="006D7C60">
        <w:rPr>
          <w:sz w:val="24"/>
          <w:szCs w:val="24"/>
        </w:rPr>
        <w:t>highly vulnerable, falling between established protections in international human rights law</w:t>
      </w:r>
      <w:r w:rsidR="00723019">
        <w:rPr>
          <w:sz w:val="24"/>
          <w:szCs w:val="24"/>
        </w:rPr>
        <w:t xml:space="preserve"> (including those for journalists)</w:t>
      </w:r>
      <w:r w:rsidR="000220AA" w:rsidRPr="006D7C60">
        <w:rPr>
          <w:sz w:val="24"/>
          <w:szCs w:val="24"/>
        </w:rPr>
        <w:t>. In partic</w:t>
      </w:r>
      <w:r w:rsidR="000220AA" w:rsidRPr="006D7C60">
        <w:rPr>
          <w:sz w:val="24"/>
          <w:szCs w:val="24"/>
        </w:rPr>
        <w:lastRenderedPageBreak/>
        <w:t xml:space="preserve">ular, </w:t>
      </w:r>
      <w:r w:rsidR="00723019">
        <w:rPr>
          <w:sz w:val="24"/>
          <w:szCs w:val="24"/>
        </w:rPr>
        <w:t xml:space="preserve">law enforcement officers </w:t>
      </w:r>
      <w:r w:rsidR="000220AA" w:rsidRPr="006D7C60">
        <w:rPr>
          <w:sz w:val="24"/>
          <w:szCs w:val="24"/>
        </w:rPr>
        <w:t>in many countries routinely fail to distinguish monitors</w:t>
      </w:r>
      <w:r w:rsidR="00723019">
        <w:rPr>
          <w:sz w:val="24"/>
          <w:szCs w:val="24"/>
        </w:rPr>
        <w:t xml:space="preserve"> and observers</w:t>
      </w:r>
      <w:r w:rsidR="000220AA" w:rsidRPr="006D7C60">
        <w:rPr>
          <w:sz w:val="24"/>
          <w:szCs w:val="24"/>
        </w:rPr>
        <w:t xml:space="preserve"> from </w:t>
      </w:r>
      <w:r w:rsidR="00723019">
        <w:rPr>
          <w:sz w:val="24"/>
          <w:szCs w:val="24"/>
        </w:rPr>
        <w:t>assembly participants</w:t>
      </w:r>
      <w:r w:rsidR="000220AA" w:rsidRPr="006D7C60">
        <w:rPr>
          <w:sz w:val="24"/>
          <w:szCs w:val="24"/>
        </w:rPr>
        <w:t xml:space="preserve">, treating them </w:t>
      </w:r>
      <w:r w:rsidR="00723019">
        <w:rPr>
          <w:sz w:val="24"/>
          <w:szCs w:val="24"/>
        </w:rPr>
        <w:t xml:space="preserve">instead </w:t>
      </w:r>
      <w:r w:rsidR="000220AA" w:rsidRPr="006D7C60">
        <w:rPr>
          <w:i/>
          <w:sz w:val="24"/>
          <w:szCs w:val="24"/>
        </w:rPr>
        <w:t xml:space="preserve">as </w:t>
      </w:r>
      <w:r w:rsidR="000220AA" w:rsidRPr="006D7C60">
        <w:rPr>
          <w:sz w:val="24"/>
          <w:szCs w:val="24"/>
        </w:rPr>
        <w:t>participants or as so closely associated with participants that no differentiation is made.</w:t>
      </w:r>
      <w:r w:rsidR="00743619">
        <w:rPr>
          <w:sz w:val="24"/>
          <w:szCs w:val="24"/>
        </w:rPr>
        <w:t xml:space="preserve"> There are abundant </w:t>
      </w:r>
      <w:r w:rsidR="008A5DAF">
        <w:rPr>
          <w:sz w:val="24"/>
          <w:szCs w:val="24"/>
        </w:rPr>
        <w:t xml:space="preserve">reported </w:t>
      </w:r>
      <w:r w:rsidR="00743619">
        <w:rPr>
          <w:sz w:val="24"/>
          <w:szCs w:val="24"/>
        </w:rPr>
        <w:t xml:space="preserve">examples of non-differentiation – from the </w:t>
      </w:r>
      <w:hyperlink r:id="rId16" w:history="1">
        <w:r w:rsidR="00743619" w:rsidRPr="00743619">
          <w:rPr>
            <w:rStyle w:val="Hyperlink"/>
            <w:sz w:val="24"/>
            <w:szCs w:val="24"/>
          </w:rPr>
          <w:t>UK</w:t>
        </w:r>
      </w:hyperlink>
      <w:r w:rsidR="00743619">
        <w:rPr>
          <w:sz w:val="24"/>
          <w:szCs w:val="24"/>
        </w:rPr>
        <w:t xml:space="preserve"> (also </w:t>
      </w:r>
      <w:hyperlink r:id="rId17" w:history="1">
        <w:r w:rsidR="00743619" w:rsidRPr="00743619">
          <w:rPr>
            <w:rStyle w:val="Hyperlink"/>
            <w:sz w:val="24"/>
            <w:szCs w:val="24"/>
          </w:rPr>
          <w:t>here</w:t>
        </w:r>
      </w:hyperlink>
      <w:r w:rsidR="00743619">
        <w:rPr>
          <w:sz w:val="24"/>
          <w:szCs w:val="24"/>
        </w:rPr>
        <w:t xml:space="preserve">), </w:t>
      </w:r>
      <w:hyperlink r:id="rId18" w:history="1">
        <w:r w:rsidR="00743619" w:rsidRPr="00743619">
          <w:rPr>
            <w:rStyle w:val="Hyperlink"/>
            <w:sz w:val="24"/>
            <w:szCs w:val="24"/>
          </w:rPr>
          <w:t>France</w:t>
        </w:r>
      </w:hyperlink>
      <w:r w:rsidR="00743619">
        <w:rPr>
          <w:sz w:val="24"/>
          <w:szCs w:val="24"/>
        </w:rPr>
        <w:t xml:space="preserve">, </w:t>
      </w:r>
      <w:hyperlink r:id="rId19" w:history="1">
        <w:r w:rsidR="00743619" w:rsidRPr="00743619">
          <w:rPr>
            <w:rStyle w:val="Hyperlink"/>
            <w:sz w:val="24"/>
            <w:szCs w:val="24"/>
          </w:rPr>
          <w:t>Belarus</w:t>
        </w:r>
      </w:hyperlink>
      <w:r w:rsidR="00743619">
        <w:rPr>
          <w:sz w:val="24"/>
          <w:szCs w:val="24"/>
        </w:rPr>
        <w:t xml:space="preserve">, and the </w:t>
      </w:r>
      <w:hyperlink r:id="rId20" w:history="1">
        <w:r w:rsidR="00743619" w:rsidRPr="00743619">
          <w:rPr>
            <w:rStyle w:val="Hyperlink"/>
            <w:sz w:val="24"/>
            <w:szCs w:val="24"/>
          </w:rPr>
          <w:t>US</w:t>
        </w:r>
      </w:hyperlink>
      <w:r w:rsidR="008A5DAF">
        <w:rPr>
          <w:sz w:val="24"/>
          <w:szCs w:val="24"/>
        </w:rPr>
        <w:t xml:space="preserve"> (at p.100, </w:t>
      </w:r>
      <w:r w:rsidR="00743619">
        <w:rPr>
          <w:sz w:val="24"/>
          <w:szCs w:val="24"/>
        </w:rPr>
        <w:t>‘(i) Legal Teams’).</w:t>
      </w:r>
      <w:r w:rsidR="00511A1F">
        <w:rPr>
          <w:sz w:val="24"/>
          <w:szCs w:val="24"/>
        </w:rPr>
        <w:t xml:space="preserve"> In a similar vein, the General Comment could </w:t>
      </w:r>
      <w:r w:rsidR="008A5DAF">
        <w:rPr>
          <w:sz w:val="24"/>
          <w:szCs w:val="24"/>
        </w:rPr>
        <w:t>additionally</w:t>
      </w:r>
      <w:r w:rsidR="00511A1F">
        <w:rPr>
          <w:sz w:val="24"/>
          <w:szCs w:val="24"/>
        </w:rPr>
        <w:t xml:space="preserve"> emphasize the obligation of States to distinguish medical personnel </w:t>
      </w:r>
      <w:r w:rsidR="00286F57">
        <w:rPr>
          <w:sz w:val="24"/>
          <w:szCs w:val="24"/>
        </w:rPr>
        <w:t xml:space="preserve">involved in </w:t>
      </w:r>
      <w:r w:rsidR="00511A1F">
        <w:rPr>
          <w:sz w:val="24"/>
          <w:szCs w:val="24"/>
        </w:rPr>
        <w:t xml:space="preserve">treating </w:t>
      </w:r>
      <w:r w:rsidR="00286F57">
        <w:rPr>
          <w:sz w:val="24"/>
          <w:szCs w:val="24"/>
        </w:rPr>
        <w:t>injured assembly participants</w:t>
      </w:r>
      <w:r w:rsidR="00511A1F">
        <w:rPr>
          <w:sz w:val="24"/>
          <w:szCs w:val="24"/>
        </w:rPr>
        <w:t xml:space="preserve"> (for some reported examples, see </w:t>
      </w:r>
      <w:hyperlink r:id="rId21" w:history="1">
        <w:r w:rsidR="00511A1F" w:rsidRPr="00511A1F">
          <w:rPr>
            <w:rStyle w:val="Hyperlink"/>
            <w:sz w:val="24"/>
            <w:szCs w:val="24"/>
          </w:rPr>
          <w:t>Hong Kong</w:t>
        </w:r>
      </w:hyperlink>
      <w:r w:rsidR="00511A1F">
        <w:rPr>
          <w:sz w:val="24"/>
          <w:szCs w:val="24"/>
        </w:rPr>
        <w:t xml:space="preserve">, </w:t>
      </w:r>
      <w:hyperlink r:id="rId22" w:history="1">
        <w:r w:rsidR="00511A1F" w:rsidRPr="00511A1F">
          <w:rPr>
            <w:rStyle w:val="Hyperlink"/>
            <w:sz w:val="24"/>
            <w:szCs w:val="24"/>
          </w:rPr>
          <w:t>Turkey</w:t>
        </w:r>
      </w:hyperlink>
      <w:r w:rsidR="00511A1F">
        <w:rPr>
          <w:sz w:val="24"/>
          <w:szCs w:val="24"/>
        </w:rPr>
        <w:t xml:space="preserve">, </w:t>
      </w:r>
      <w:hyperlink r:id="rId23" w:history="1">
        <w:r w:rsidR="00511A1F" w:rsidRPr="00511A1F">
          <w:rPr>
            <w:rStyle w:val="Hyperlink"/>
            <w:sz w:val="24"/>
            <w:szCs w:val="24"/>
          </w:rPr>
          <w:t>Bahrain</w:t>
        </w:r>
      </w:hyperlink>
      <w:r w:rsidR="00511A1F">
        <w:rPr>
          <w:sz w:val="24"/>
          <w:szCs w:val="24"/>
        </w:rPr>
        <w:t xml:space="preserve">, </w:t>
      </w:r>
      <w:hyperlink r:id="rId24" w:history="1">
        <w:r w:rsidR="00511A1F" w:rsidRPr="00511A1F">
          <w:rPr>
            <w:rStyle w:val="Hyperlink"/>
            <w:sz w:val="24"/>
            <w:szCs w:val="24"/>
          </w:rPr>
          <w:t>Nicaragua</w:t>
        </w:r>
      </w:hyperlink>
      <w:r w:rsidR="00511A1F">
        <w:rPr>
          <w:sz w:val="24"/>
          <w:szCs w:val="24"/>
        </w:rPr>
        <w:t xml:space="preserve"> and </w:t>
      </w:r>
      <w:hyperlink r:id="rId25" w:history="1">
        <w:r w:rsidR="00511A1F" w:rsidRPr="00511A1F">
          <w:rPr>
            <w:rStyle w:val="Hyperlink"/>
            <w:sz w:val="24"/>
            <w:szCs w:val="24"/>
          </w:rPr>
          <w:t>Sudan</w:t>
        </w:r>
      </w:hyperlink>
      <w:r w:rsidR="00511A1F">
        <w:rPr>
          <w:sz w:val="24"/>
          <w:szCs w:val="24"/>
        </w:rPr>
        <w:t>).</w:t>
      </w:r>
    </w:p>
    <w:p w14:paraId="1E61862F" w14:textId="77777777" w:rsidR="006D7C60" w:rsidRPr="006D7C60" w:rsidRDefault="006D7C60" w:rsidP="00493B3E">
      <w:pPr>
        <w:pStyle w:val="ListParagraph"/>
        <w:jc w:val="both"/>
        <w:rPr>
          <w:rFonts w:eastAsia="Times New Roman"/>
          <w:b/>
          <w:bCs/>
          <w:sz w:val="24"/>
          <w:szCs w:val="24"/>
        </w:rPr>
      </w:pPr>
    </w:p>
    <w:p w14:paraId="051D78EE" w14:textId="5B1665D4" w:rsidR="00834C5A" w:rsidRDefault="00834C5A" w:rsidP="002E4F52">
      <w:pPr>
        <w:pStyle w:val="ListParagraph"/>
        <w:numPr>
          <w:ilvl w:val="0"/>
          <w:numId w:val="7"/>
        </w:numPr>
        <w:ind w:left="426" w:hanging="426"/>
        <w:jc w:val="both"/>
        <w:rPr>
          <w:sz w:val="24"/>
          <w:szCs w:val="24"/>
        </w:rPr>
      </w:pPr>
      <w:r w:rsidRPr="00834C5A">
        <w:rPr>
          <w:b/>
          <w:bCs/>
          <w:sz w:val="24"/>
          <w:szCs w:val="24"/>
        </w:rPr>
        <w:t>Paragraph 37:</w:t>
      </w:r>
      <w:r>
        <w:rPr>
          <w:sz w:val="24"/>
          <w:szCs w:val="24"/>
        </w:rPr>
        <w:t xml:space="preserve"> this paragraph contains welcome protection for activities relating to the holding of and participation in assemblies. The wording of the final sentence (regarding penalties for publicizing an upcoming assembly) could perhaps be further strengthened by replacing the words ‘a specific indication’ with ‘</w:t>
      </w:r>
      <w:r w:rsidRPr="00834C5A">
        <w:rPr>
          <w:color w:val="1F4E79" w:themeColor="accent1" w:themeShade="80"/>
          <w:sz w:val="24"/>
          <w:szCs w:val="24"/>
        </w:rPr>
        <w:t>compelling evidence</w:t>
      </w:r>
      <w:r>
        <w:rPr>
          <w:sz w:val="24"/>
          <w:szCs w:val="24"/>
        </w:rPr>
        <w:t>’.</w:t>
      </w:r>
    </w:p>
    <w:p w14:paraId="028FEFA4" w14:textId="77777777" w:rsidR="0004118F" w:rsidRPr="0004118F" w:rsidRDefault="0004118F" w:rsidP="0004118F">
      <w:pPr>
        <w:pStyle w:val="ListParagraph"/>
        <w:rPr>
          <w:sz w:val="24"/>
          <w:szCs w:val="24"/>
        </w:rPr>
      </w:pPr>
    </w:p>
    <w:p w14:paraId="054D53AE" w14:textId="4838699A" w:rsidR="0004118F" w:rsidRDefault="0004118F" w:rsidP="002E4F52">
      <w:pPr>
        <w:pStyle w:val="ListParagraph"/>
        <w:numPr>
          <w:ilvl w:val="0"/>
          <w:numId w:val="7"/>
        </w:numPr>
        <w:ind w:left="426" w:hanging="426"/>
        <w:jc w:val="both"/>
        <w:rPr>
          <w:sz w:val="24"/>
          <w:szCs w:val="24"/>
        </w:rPr>
      </w:pPr>
      <w:r w:rsidRPr="0004118F">
        <w:rPr>
          <w:b/>
          <w:bCs/>
          <w:sz w:val="24"/>
          <w:szCs w:val="24"/>
        </w:rPr>
        <w:t>Paragraph 63</w:t>
      </w:r>
      <w:r>
        <w:rPr>
          <w:sz w:val="24"/>
          <w:szCs w:val="24"/>
        </w:rPr>
        <w:t xml:space="preserve"> uses rather loose wording that is potentially too welcoming of restrictions (</w:t>
      </w:r>
      <w:r w:rsidR="00C32ACD">
        <w:rPr>
          <w:sz w:val="24"/>
          <w:szCs w:val="24"/>
        </w:rPr>
        <w:t xml:space="preserve">specifically, </w:t>
      </w:r>
      <w:r>
        <w:rPr>
          <w:sz w:val="24"/>
          <w:szCs w:val="24"/>
        </w:rPr>
        <w:t xml:space="preserve">‘raise </w:t>
      </w:r>
      <w:r w:rsidRPr="00C32ACD">
        <w:rPr>
          <w:i/>
          <w:iCs/>
          <w:sz w:val="24"/>
          <w:szCs w:val="24"/>
        </w:rPr>
        <w:t>concerns</w:t>
      </w:r>
      <w:r>
        <w:rPr>
          <w:sz w:val="24"/>
          <w:szCs w:val="24"/>
        </w:rPr>
        <w:t xml:space="preserve"> about their compatibility with’; ‘may warrant restrictions’, and ‘undue impact’).</w:t>
      </w:r>
    </w:p>
    <w:p w14:paraId="3CB0CDFB" w14:textId="77777777" w:rsidR="0004118F" w:rsidRPr="0004118F" w:rsidRDefault="0004118F" w:rsidP="0004118F">
      <w:pPr>
        <w:pStyle w:val="ListParagraph"/>
        <w:ind w:left="426"/>
        <w:jc w:val="both"/>
        <w:rPr>
          <w:sz w:val="24"/>
          <w:szCs w:val="24"/>
        </w:rPr>
      </w:pPr>
    </w:p>
    <w:p w14:paraId="7F46A047" w14:textId="1734DAEB" w:rsidR="00A25A61" w:rsidRPr="00C32ACD" w:rsidRDefault="005F7E74" w:rsidP="002E4F52">
      <w:pPr>
        <w:pStyle w:val="ListParagraph"/>
        <w:numPr>
          <w:ilvl w:val="0"/>
          <w:numId w:val="7"/>
        </w:numPr>
        <w:ind w:left="426" w:hanging="426"/>
        <w:jc w:val="both"/>
        <w:rPr>
          <w:sz w:val="24"/>
          <w:szCs w:val="24"/>
        </w:rPr>
      </w:pPr>
      <w:r w:rsidRPr="006D7C60">
        <w:rPr>
          <w:rFonts w:eastAsia="Times New Roman"/>
          <w:b/>
          <w:bCs/>
          <w:sz w:val="24"/>
          <w:szCs w:val="24"/>
        </w:rPr>
        <w:t>Para</w:t>
      </w:r>
      <w:r w:rsidR="00ED1B74">
        <w:rPr>
          <w:rFonts w:eastAsia="Times New Roman"/>
          <w:b/>
          <w:bCs/>
          <w:sz w:val="24"/>
          <w:szCs w:val="24"/>
        </w:rPr>
        <w:t>graph</w:t>
      </w:r>
      <w:r w:rsidRPr="006D7C60">
        <w:rPr>
          <w:rFonts w:eastAsia="Times New Roman"/>
          <w:b/>
          <w:bCs/>
          <w:sz w:val="24"/>
          <w:szCs w:val="24"/>
        </w:rPr>
        <w:t xml:space="preserve"> 75</w:t>
      </w:r>
      <w:r w:rsidR="008A5DAF">
        <w:rPr>
          <w:rFonts w:eastAsia="Times New Roman"/>
          <w:b/>
          <w:bCs/>
          <w:sz w:val="24"/>
          <w:szCs w:val="24"/>
        </w:rPr>
        <w:t xml:space="preserve">: </w:t>
      </w:r>
      <w:r w:rsidR="008A5DAF">
        <w:rPr>
          <w:rFonts w:eastAsia="Times New Roman"/>
          <w:sz w:val="24"/>
          <w:szCs w:val="24"/>
        </w:rPr>
        <w:t>T</w:t>
      </w:r>
      <w:r w:rsidR="00773D06" w:rsidRPr="008A5DAF">
        <w:rPr>
          <w:rFonts w:eastAsia="Times New Roman"/>
          <w:sz w:val="24"/>
          <w:szCs w:val="24"/>
        </w:rPr>
        <w:t>he sentence, ‘If this is done, responsibility must be limited to what they could have foreseen and prevented with reasonable efforts’</w:t>
      </w:r>
      <w:r w:rsidR="008A5DAF">
        <w:rPr>
          <w:rFonts w:eastAsia="Times New Roman"/>
          <w:sz w:val="24"/>
          <w:szCs w:val="24"/>
        </w:rPr>
        <w:t>,</w:t>
      </w:r>
      <w:r w:rsidR="00773D06">
        <w:rPr>
          <w:rFonts w:eastAsia="Times New Roman"/>
          <w:b/>
          <w:bCs/>
          <w:sz w:val="24"/>
          <w:szCs w:val="24"/>
        </w:rPr>
        <w:t xml:space="preserve"> </w:t>
      </w:r>
      <w:r w:rsidR="00773D06" w:rsidRPr="00773D06">
        <w:rPr>
          <w:rFonts w:eastAsia="Times New Roman"/>
          <w:sz w:val="24"/>
          <w:szCs w:val="24"/>
        </w:rPr>
        <w:t>imposes an unjustifiable form of strict liability on assembly organizers (reflect</w:t>
      </w:r>
      <w:r w:rsidR="008A5DAF">
        <w:rPr>
          <w:rFonts w:eastAsia="Times New Roman"/>
          <w:sz w:val="24"/>
          <w:szCs w:val="24"/>
        </w:rPr>
        <w:t>ing</w:t>
      </w:r>
      <w:r w:rsidR="00773D06" w:rsidRPr="00773D06">
        <w:rPr>
          <w:rFonts w:eastAsia="Times New Roman"/>
          <w:sz w:val="24"/>
          <w:szCs w:val="24"/>
        </w:rPr>
        <w:t xml:space="preserve"> the problematic judgment of the South African Constitutional Court in </w:t>
      </w:r>
      <w:r w:rsidR="00773D06" w:rsidRPr="00773D06">
        <w:rPr>
          <w:rFonts w:eastAsia="Times New Roman"/>
          <w:i/>
          <w:sz w:val="24"/>
          <w:szCs w:val="24"/>
        </w:rPr>
        <w:t xml:space="preserve">South African Transport and Allied Workers Union and another v </w:t>
      </w:r>
      <w:proofErr w:type="spellStart"/>
      <w:r w:rsidR="00773D06" w:rsidRPr="00773D06">
        <w:rPr>
          <w:rFonts w:eastAsia="Times New Roman"/>
          <w:i/>
          <w:sz w:val="24"/>
          <w:szCs w:val="24"/>
        </w:rPr>
        <w:t>Garvas</w:t>
      </w:r>
      <w:proofErr w:type="spellEnd"/>
      <w:r w:rsidR="00773D06" w:rsidRPr="00773D06">
        <w:rPr>
          <w:rFonts w:eastAsia="Times New Roman"/>
          <w:i/>
          <w:sz w:val="24"/>
          <w:szCs w:val="24"/>
        </w:rPr>
        <w:t xml:space="preserve"> and others</w:t>
      </w:r>
      <w:r w:rsidR="008A5DAF">
        <w:rPr>
          <w:rFonts w:eastAsia="Times New Roman"/>
          <w:iCs/>
          <w:sz w:val="24"/>
          <w:szCs w:val="24"/>
        </w:rPr>
        <w:t>)</w:t>
      </w:r>
      <w:r w:rsidRPr="00773D06">
        <w:rPr>
          <w:rFonts w:eastAsia="Times New Roman"/>
          <w:sz w:val="24"/>
          <w:szCs w:val="24"/>
        </w:rPr>
        <w:t>.</w:t>
      </w:r>
      <w:r w:rsidR="008A5DAF">
        <w:rPr>
          <w:rFonts w:eastAsia="Times New Roman"/>
          <w:sz w:val="24"/>
          <w:szCs w:val="24"/>
        </w:rPr>
        <w:t xml:space="preserve"> This has the effect of unduly reducing the State’s obligation to protect peaceful participants from violence beyond their control (but which they may well have foreseen).</w:t>
      </w:r>
    </w:p>
    <w:p w14:paraId="68FAB9B2" w14:textId="77777777" w:rsidR="00C32ACD" w:rsidRPr="00C32ACD" w:rsidRDefault="00C32ACD" w:rsidP="00C32ACD">
      <w:pPr>
        <w:pStyle w:val="ListParagraph"/>
        <w:rPr>
          <w:sz w:val="24"/>
          <w:szCs w:val="24"/>
        </w:rPr>
      </w:pPr>
    </w:p>
    <w:p w14:paraId="7147C26D" w14:textId="40CA931A" w:rsidR="00C32ACD" w:rsidRPr="00773D06" w:rsidRDefault="00C32ACD" w:rsidP="002E4F52">
      <w:pPr>
        <w:pStyle w:val="ListParagraph"/>
        <w:numPr>
          <w:ilvl w:val="0"/>
          <w:numId w:val="7"/>
        </w:numPr>
        <w:ind w:left="426" w:hanging="426"/>
        <w:jc w:val="both"/>
        <w:rPr>
          <w:sz w:val="24"/>
          <w:szCs w:val="24"/>
        </w:rPr>
      </w:pPr>
      <w:r w:rsidRPr="00C32ACD">
        <w:rPr>
          <w:b/>
          <w:bCs/>
          <w:sz w:val="24"/>
          <w:szCs w:val="24"/>
        </w:rPr>
        <w:t xml:space="preserve">Paragraph </w:t>
      </w:r>
      <w:r w:rsidR="009A3A0A">
        <w:rPr>
          <w:b/>
          <w:bCs/>
          <w:sz w:val="24"/>
          <w:szCs w:val="24"/>
        </w:rPr>
        <w:t>78</w:t>
      </w:r>
      <w:r w:rsidRPr="00C32ACD">
        <w:rPr>
          <w:b/>
          <w:bCs/>
          <w:sz w:val="24"/>
          <w:szCs w:val="24"/>
        </w:rPr>
        <w:t xml:space="preserve"> </w:t>
      </w:r>
      <w:r>
        <w:rPr>
          <w:sz w:val="24"/>
          <w:szCs w:val="24"/>
        </w:rPr>
        <w:t xml:space="preserve">relating to </w:t>
      </w:r>
      <w:r w:rsidR="009A3A0A">
        <w:rPr>
          <w:sz w:val="24"/>
          <w:szCs w:val="24"/>
        </w:rPr>
        <w:t>pledges not to participate in future assemblies</w:t>
      </w:r>
      <w:r>
        <w:rPr>
          <w:sz w:val="24"/>
          <w:szCs w:val="24"/>
        </w:rPr>
        <w:t xml:space="preserve"> could be further expanded</w:t>
      </w:r>
      <w:r w:rsidR="001824C6">
        <w:rPr>
          <w:sz w:val="24"/>
          <w:szCs w:val="24"/>
        </w:rPr>
        <w:t xml:space="preserve"> (since it is not only ‘pledges from individuals’ that are an issue, but the imposition of binding future prohibitions)</w:t>
      </w:r>
      <w:r w:rsidR="009A3A0A">
        <w:rPr>
          <w:sz w:val="24"/>
          <w:szCs w:val="24"/>
        </w:rPr>
        <w:t xml:space="preserve">. </w:t>
      </w:r>
      <w:r w:rsidR="001824C6">
        <w:rPr>
          <w:sz w:val="24"/>
          <w:szCs w:val="24"/>
        </w:rPr>
        <w:t>In this regard, s</w:t>
      </w:r>
      <w:r w:rsidR="009A3A0A">
        <w:rPr>
          <w:sz w:val="24"/>
          <w:szCs w:val="24"/>
        </w:rPr>
        <w:t xml:space="preserve">ee, for example, para 223 </w:t>
      </w:r>
      <w:r w:rsidR="009A3A0A" w:rsidRPr="009A3A0A">
        <w:rPr>
          <w:sz w:val="24"/>
          <w:szCs w:val="24"/>
        </w:rPr>
        <w:t xml:space="preserve">of the </w:t>
      </w:r>
      <w:hyperlink r:id="rId26" w:history="1">
        <w:r w:rsidR="009A3A0A" w:rsidRPr="009A3A0A">
          <w:rPr>
            <w:rStyle w:val="Hyperlink"/>
            <w:sz w:val="24"/>
            <w:szCs w:val="24"/>
          </w:rPr>
          <w:t>draft 3rd edition</w:t>
        </w:r>
      </w:hyperlink>
      <w:r w:rsidR="009A3A0A" w:rsidRPr="009A3A0A">
        <w:rPr>
          <w:sz w:val="24"/>
          <w:szCs w:val="24"/>
        </w:rPr>
        <w:t xml:space="preserve"> of the OSCE/ODIHR – Venice Commission </w:t>
      </w:r>
      <w:r w:rsidR="009A3A0A" w:rsidRPr="009A3A0A">
        <w:rPr>
          <w:i/>
          <w:iCs/>
          <w:sz w:val="24"/>
          <w:szCs w:val="24"/>
        </w:rPr>
        <w:t>Guidelines on Freedom of Peaceful Assembly</w:t>
      </w:r>
      <w:r w:rsidR="009A3A0A">
        <w:rPr>
          <w:sz w:val="24"/>
          <w:szCs w:val="24"/>
        </w:rPr>
        <w:t xml:space="preserve">: </w:t>
      </w:r>
    </w:p>
    <w:p w14:paraId="1A97C475" w14:textId="77777777" w:rsidR="009A3A0A" w:rsidRPr="009A3A0A" w:rsidRDefault="009A3A0A" w:rsidP="009A3A0A">
      <w:pPr>
        <w:pStyle w:val="ListParagraph"/>
        <w:rPr>
          <w:b/>
          <w:bCs/>
          <w:sz w:val="24"/>
          <w:szCs w:val="24"/>
          <w:lang w:val="en-IE"/>
        </w:rPr>
      </w:pPr>
    </w:p>
    <w:p w14:paraId="4B5877B2" w14:textId="01BC7BF7" w:rsidR="009A3A0A" w:rsidRPr="009A3A0A" w:rsidRDefault="009A3A0A" w:rsidP="009A3A0A">
      <w:pPr>
        <w:pStyle w:val="ListParagraph"/>
        <w:rPr>
          <w:sz w:val="24"/>
          <w:szCs w:val="24"/>
          <w:lang w:val="en-IE"/>
        </w:rPr>
      </w:pPr>
      <w:r>
        <w:rPr>
          <w:sz w:val="24"/>
          <w:szCs w:val="24"/>
          <w:lang w:val="en-IE"/>
        </w:rPr>
        <w:t>‘</w:t>
      </w:r>
      <w:r w:rsidRPr="009A3A0A">
        <w:rPr>
          <w:b/>
          <w:bCs/>
          <w:sz w:val="24"/>
          <w:szCs w:val="24"/>
          <w:lang w:val="en-IE"/>
        </w:rPr>
        <w:t>Restrictions on participation in future assemblies.</w:t>
      </w:r>
      <w:r w:rsidRPr="009A3A0A">
        <w:rPr>
          <w:sz w:val="24"/>
          <w:szCs w:val="24"/>
          <w:lang w:val="en-IE"/>
        </w:rPr>
        <w:t xml:space="preserve"> Future participation in peaceful assemblies should not be restricted (for example, through the imposition of bail conditions) unless there is incontrovertible evidence that the person intends to violate the law during specific future assemblies. Where any such restrictions are imposed on future participation, there must be an opportunity to challenge their necessity and proportionality in court.</w:t>
      </w:r>
      <w:r>
        <w:rPr>
          <w:sz w:val="24"/>
          <w:szCs w:val="24"/>
          <w:lang w:val="en-IE"/>
        </w:rPr>
        <w:t>’</w:t>
      </w:r>
      <w:r w:rsidRPr="009A3A0A">
        <w:rPr>
          <w:sz w:val="24"/>
          <w:szCs w:val="24"/>
          <w:lang w:val="en-IE"/>
        </w:rPr>
        <w:t xml:space="preserve"> </w:t>
      </w:r>
    </w:p>
    <w:p w14:paraId="537FB23D" w14:textId="48B0FFB6" w:rsidR="00A25A61" w:rsidRPr="001824C6" w:rsidRDefault="001824C6" w:rsidP="001824C6">
      <w:pPr>
        <w:ind w:left="426"/>
        <w:jc w:val="both"/>
        <w:rPr>
          <w:sz w:val="24"/>
          <w:szCs w:val="24"/>
        </w:rPr>
      </w:pPr>
      <w:r w:rsidRPr="001824C6">
        <w:rPr>
          <w:b/>
          <w:bCs/>
          <w:sz w:val="24"/>
          <w:szCs w:val="24"/>
        </w:rPr>
        <w:t>Paragraph</w:t>
      </w:r>
      <w:r>
        <w:rPr>
          <w:b/>
          <w:bCs/>
          <w:sz w:val="24"/>
          <w:szCs w:val="24"/>
        </w:rPr>
        <w:t>s</w:t>
      </w:r>
      <w:r w:rsidRPr="001824C6">
        <w:rPr>
          <w:b/>
          <w:bCs/>
          <w:sz w:val="24"/>
          <w:szCs w:val="24"/>
        </w:rPr>
        <w:t xml:space="preserve"> 78</w:t>
      </w:r>
      <w:r>
        <w:rPr>
          <w:b/>
          <w:bCs/>
          <w:sz w:val="24"/>
          <w:szCs w:val="24"/>
        </w:rPr>
        <w:t>-79</w:t>
      </w:r>
      <w:r w:rsidRPr="001824C6">
        <w:rPr>
          <w:sz w:val="24"/>
          <w:szCs w:val="24"/>
        </w:rPr>
        <w:t xml:space="preserve"> might </w:t>
      </w:r>
      <w:r>
        <w:rPr>
          <w:sz w:val="24"/>
          <w:szCs w:val="24"/>
        </w:rPr>
        <w:t xml:space="preserve">then </w:t>
      </w:r>
      <w:r w:rsidRPr="001824C6">
        <w:rPr>
          <w:sz w:val="24"/>
          <w:szCs w:val="24"/>
        </w:rPr>
        <w:t xml:space="preserve">also be combined with </w:t>
      </w:r>
      <w:r w:rsidRPr="001824C6">
        <w:rPr>
          <w:b/>
          <w:bCs/>
          <w:sz w:val="24"/>
          <w:szCs w:val="24"/>
        </w:rPr>
        <w:t>paragraph 76</w:t>
      </w:r>
      <w:r w:rsidRPr="001824C6">
        <w:rPr>
          <w:sz w:val="24"/>
          <w:szCs w:val="24"/>
        </w:rPr>
        <w:t xml:space="preserve"> so that </w:t>
      </w:r>
      <w:r>
        <w:rPr>
          <w:sz w:val="24"/>
          <w:szCs w:val="24"/>
        </w:rPr>
        <w:t xml:space="preserve">these </w:t>
      </w:r>
      <w:r w:rsidR="008A5DAF">
        <w:rPr>
          <w:sz w:val="24"/>
          <w:szCs w:val="24"/>
        </w:rPr>
        <w:t>too</w:t>
      </w:r>
      <w:r w:rsidRPr="001824C6">
        <w:rPr>
          <w:sz w:val="24"/>
          <w:szCs w:val="24"/>
        </w:rPr>
        <w:t xml:space="preserve"> are </w:t>
      </w:r>
      <w:r>
        <w:rPr>
          <w:sz w:val="24"/>
          <w:szCs w:val="24"/>
        </w:rPr>
        <w:t>r</w:t>
      </w:r>
      <w:r w:rsidRPr="001824C6">
        <w:rPr>
          <w:sz w:val="24"/>
          <w:szCs w:val="24"/>
        </w:rPr>
        <w:t xml:space="preserve">ead subject to the review procedures outlined in </w:t>
      </w:r>
      <w:r w:rsidRPr="001824C6">
        <w:rPr>
          <w:b/>
          <w:bCs/>
          <w:sz w:val="24"/>
          <w:szCs w:val="24"/>
        </w:rPr>
        <w:t>paragraph 77</w:t>
      </w:r>
      <w:r w:rsidRPr="001824C6">
        <w:rPr>
          <w:sz w:val="24"/>
          <w:szCs w:val="24"/>
        </w:rPr>
        <w:t>.</w:t>
      </w:r>
    </w:p>
    <w:p w14:paraId="03DDE05A" w14:textId="66706255" w:rsidR="001D70BD" w:rsidRDefault="00ED1B74" w:rsidP="001D70BD">
      <w:pPr>
        <w:pStyle w:val="ListParagraph"/>
        <w:numPr>
          <w:ilvl w:val="0"/>
          <w:numId w:val="7"/>
        </w:numPr>
        <w:ind w:left="426" w:hanging="426"/>
        <w:jc w:val="both"/>
        <w:rPr>
          <w:sz w:val="24"/>
          <w:szCs w:val="24"/>
        </w:rPr>
      </w:pPr>
      <w:r w:rsidRPr="00A25A61">
        <w:rPr>
          <w:b/>
          <w:bCs/>
          <w:sz w:val="24"/>
          <w:szCs w:val="24"/>
        </w:rPr>
        <w:t>Paragraph 80 (</w:t>
      </w:r>
      <w:r w:rsidR="002E4F52" w:rsidRPr="00A25A61">
        <w:rPr>
          <w:b/>
          <w:bCs/>
          <w:sz w:val="24"/>
          <w:szCs w:val="24"/>
        </w:rPr>
        <w:t>Notification</w:t>
      </w:r>
      <w:r w:rsidRPr="00A25A61">
        <w:rPr>
          <w:b/>
          <w:bCs/>
          <w:sz w:val="24"/>
          <w:szCs w:val="24"/>
        </w:rPr>
        <w:t xml:space="preserve">) </w:t>
      </w:r>
      <w:r w:rsidRPr="00A25A61">
        <w:rPr>
          <w:sz w:val="24"/>
          <w:szCs w:val="24"/>
        </w:rPr>
        <w:t xml:space="preserve">of the draft General Comment </w:t>
      </w:r>
      <w:r w:rsidR="001D70BD">
        <w:rPr>
          <w:sz w:val="24"/>
          <w:szCs w:val="24"/>
        </w:rPr>
        <w:t xml:space="preserve">is welcome in that it </w:t>
      </w:r>
      <w:r w:rsidRPr="00A25A61">
        <w:rPr>
          <w:sz w:val="24"/>
          <w:szCs w:val="24"/>
        </w:rPr>
        <w:t>considers notification ‘like other interferences with the right of assembly’ which must be justified with reference to the grounds listed in article 21. This is</w:t>
      </w:r>
      <w:r w:rsidR="001D70BD">
        <w:rPr>
          <w:sz w:val="24"/>
          <w:szCs w:val="24"/>
        </w:rPr>
        <w:t xml:space="preserve"> in contrast to the </w:t>
      </w:r>
      <w:r w:rsidR="002E4F52" w:rsidRPr="002E4F52">
        <w:rPr>
          <w:sz w:val="24"/>
          <w:szCs w:val="24"/>
        </w:rPr>
        <w:t xml:space="preserve">problematic approach </w:t>
      </w:r>
      <w:r w:rsidR="001D70BD">
        <w:rPr>
          <w:sz w:val="24"/>
          <w:szCs w:val="24"/>
        </w:rPr>
        <w:t>of the European Court of Human Rights which</w:t>
      </w:r>
      <w:r w:rsidR="002E4F52" w:rsidRPr="002E4F52">
        <w:rPr>
          <w:sz w:val="24"/>
          <w:szCs w:val="24"/>
        </w:rPr>
        <w:t xml:space="preserve"> has repeatedly stated that ‘notification, and even authorisation procedures, for a public event do not normally encroach upon the essence of the right’ (see, for example, </w:t>
      </w:r>
      <w:hyperlink r:id="rId27" w:history="1">
        <w:proofErr w:type="spellStart"/>
        <w:r w:rsidR="002E4F52" w:rsidRPr="002E4F52">
          <w:rPr>
            <w:rStyle w:val="Hyperlink"/>
            <w:i/>
            <w:iCs/>
            <w:sz w:val="24"/>
            <w:szCs w:val="24"/>
          </w:rPr>
          <w:t>Berladir</w:t>
        </w:r>
        <w:proofErr w:type="spellEnd"/>
        <w:r w:rsidR="002E4F52" w:rsidRPr="002E4F52">
          <w:rPr>
            <w:rStyle w:val="Hyperlink"/>
            <w:i/>
            <w:iCs/>
            <w:sz w:val="24"/>
            <w:szCs w:val="24"/>
          </w:rPr>
          <w:t xml:space="preserve"> v Russia</w:t>
        </w:r>
      </w:hyperlink>
      <w:r>
        <w:rPr>
          <w:sz w:val="24"/>
          <w:szCs w:val="24"/>
        </w:rPr>
        <w:t>)</w:t>
      </w:r>
      <w:r w:rsidR="001D70BD">
        <w:rPr>
          <w:sz w:val="24"/>
          <w:szCs w:val="24"/>
        </w:rPr>
        <w:t>. Th</w:t>
      </w:r>
      <w:r w:rsidR="00DD0DF8">
        <w:rPr>
          <w:sz w:val="24"/>
          <w:szCs w:val="24"/>
        </w:rPr>
        <w:t>is starting</w:t>
      </w:r>
      <w:r w:rsidR="001D70BD">
        <w:rPr>
          <w:sz w:val="24"/>
          <w:szCs w:val="24"/>
        </w:rPr>
        <w:t xml:space="preserve"> premise means that </w:t>
      </w:r>
      <w:r>
        <w:rPr>
          <w:sz w:val="24"/>
          <w:szCs w:val="24"/>
        </w:rPr>
        <w:t>th</w:t>
      </w:r>
      <w:r w:rsidR="001D70BD">
        <w:rPr>
          <w:sz w:val="24"/>
          <w:szCs w:val="24"/>
        </w:rPr>
        <w:t xml:space="preserve">e </w:t>
      </w:r>
      <w:r w:rsidR="00DD0DF8">
        <w:rPr>
          <w:sz w:val="24"/>
          <w:szCs w:val="24"/>
        </w:rPr>
        <w:t xml:space="preserve">Strasbourg </w:t>
      </w:r>
      <w:r w:rsidR="001D70BD">
        <w:rPr>
          <w:sz w:val="24"/>
          <w:szCs w:val="24"/>
        </w:rPr>
        <w:t>Court does not scrutin</w:t>
      </w:r>
      <w:r w:rsidR="00834C5A">
        <w:rPr>
          <w:sz w:val="24"/>
          <w:szCs w:val="24"/>
        </w:rPr>
        <w:t xml:space="preserve">ize </w:t>
      </w:r>
      <w:r w:rsidR="001D70BD">
        <w:rPr>
          <w:sz w:val="24"/>
          <w:szCs w:val="24"/>
        </w:rPr>
        <w:t>what are often</w:t>
      </w:r>
      <w:r>
        <w:rPr>
          <w:sz w:val="24"/>
          <w:szCs w:val="24"/>
        </w:rPr>
        <w:t xml:space="preserve"> highly cumbersome, intrusive and bureaucratic ‘notification’ procedures (</w:t>
      </w:r>
      <w:r w:rsidR="001D70BD">
        <w:rPr>
          <w:sz w:val="24"/>
          <w:szCs w:val="24"/>
        </w:rPr>
        <w:t xml:space="preserve">often </w:t>
      </w:r>
      <w:r>
        <w:rPr>
          <w:sz w:val="24"/>
          <w:szCs w:val="24"/>
        </w:rPr>
        <w:t>more closely resembl</w:t>
      </w:r>
      <w:r w:rsidR="001D70BD">
        <w:rPr>
          <w:sz w:val="24"/>
          <w:szCs w:val="24"/>
        </w:rPr>
        <w:t>ing</w:t>
      </w:r>
      <w:r>
        <w:rPr>
          <w:sz w:val="24"/>
          <w:szCs w:val="24"/>
        </w:rPr>
        <w:t xml:space="preserve"> authorization</w:t>
      </w:r>
      <w:r w:rsidR="001D70BD">
        <w:rPr>
          <w:sz w:val="24"/>
          <w:szCs w:val="24"/>
        </w:rPr>
        <w:t xml:space="preserve"> procedures)</w:t>
      </w:r>
      <w:r>
        <w:rPr>
          <w:sz w:val="24"/>
          <w:szCs w:val="24"/>
        </w:rPr>
        <w:t xml:space="preserve"> or</w:t>
      </w:r>
      <w:r w:rsidR="00A601E0">
        <w:rPr>
          <w:sz w:val="24"/>
          <w:szCs w:val="24"/>
        </w:rPr>
        <w:t xml:space="preserve"> indeed</w:t>
      </w:r>
      <w:r>
        <w:rPr>
          <w:sz w:val="24"/>
          <w:szCs w:val="24"/>
        </w:rPr>
        <w:t xml:space="preserve"> proce</w:t>
      </w:r>
      <w:r>
        <w:rPr>
          <w:sz w:val="24"/>
          <w:szCs w:val="24"/>
        </w:rPr>
        <w:lastRenderedPageBreak/>
        <w:t xml:space="preserve">dures that </w:t>
      </w:r>
      <w:r w:rsidR="00734866">
        <w:rPr>
          <w:sz w:val="24"/>
          <w:szCs w:val="24"/>
        </w:rPr>
        <w:t xml:space="preserve">unjustifiably </w:t>
      </w:r>
      <w:r>
        <w:rPr>
          <w:sz w:val="24"/>
          <w:szCs w:val="24"/>
        </w:rPr>
        <w:t>trigger</w:t>
      </w:r>
      <w:r w:rsidR="00A601E0">
        <w:rPr>
          <w:sz w:val="24"/>
          <w:szCs w:val="24"/>
        </w:rPr>
        <w:t xml:space="preserve"> some form of ‘</w:t>
      </w:r>
      <w:r>
        <w:rPr>
          <w:sz w:val="24"/>
          <w:szCs w:val="24"/>
        </w:rPr>
        <w:t xml:space="preserve">negotiation’ between assembly organizers and the authorities (with inadequate safeguards to protect core aspects of the right that should not be subject to negotiation). </w:t>
      </w:r>
    </w:p>
    <w:p w14:paraId="71F4A00E" w14:textId="77777777" w:rsidR="001D70BD" w:rsidRPr="001D70BD" w:rsidRDefault="001D70BD" w:rsidP="001D70BD">
      <w:pPr>
        <w:pStyle w:val="ListParagraph"/>
        <w:rPr>
          <w:sz w:val="24"/>
          <w:szCs w:val="24"/>
        </w:rPr>
      </w:pPr>
    </w:p>
    <w:p w14:paraId="5C1E09FA" w14:textId="3E2A95AC" w:rsidR="00DD0DF8" w:rsidRDefault="00311D7A" w:rsidP="00DD0DF8">
      <w:pPr>
        <w:pStyle w:val="ListParagraph"/>
        <w:numPr>
          <w:ilvl w:val="0"/>
          <w:numId w:val="7"/>
        </w:numPr>
        <w:ind w:left="426" w:hanging="426"/>
        <w:jc w:val="both"/>
        <w:rPr>
          <w:sz w:val="24"/>
          <w:szCs w:val="24"/>
        </w:rPr>
      </w:pPr>
      <w:r w:rsidRPr="00311D7A">
        <w:rPr>
          <w:b/>
          <w:bCs/>
          <w:sz w:val="24"/>
          <w:szCs w:val="24"/>
        </w:rPr>
        <w:t>Paragraph 81 (Consequences of a failure to notify):</w:t>
      </w:r>
      <w:r>
        <w:rPr>
          <w:sz w:val="24"/>
          <w:szCs w:val="24"/>
        </w:rPr>
        <w:t xml:space="preserve"> the bracketed text</w:t>
      </w:r>
      <w:r w:rsidR="00BA2109">
        <w:rPr>
          <w:sz w:val="24"/>
          <w:szCs w:val="24"/>
        </w:rPr>
        <w:t xml:space="preserve">, </w:t>
      </w:r>
      <w:r>
        <w:rPr>
          <w:sz w:val="24"/>
          <w:szCs w:val="24"/>
        </w:rPr>
        <w:t xml:space="preserve">‘should not render </w:t>
      </w:r>
      <w:r w:rsidRPr="004007FF">
        <w:rPr>
          <w:i/>
          <w:iCs/>
          <w:sz w:val="24"/>
          <w:szCs w:val="24"/>
        </w:rPr>
        <w:t>participation</w:t>
      </w:r>
      <w:r>
        <w:rPr>
          <w:sz w:val="24"/>
          <w:szCs w:val="24"/>
        </w:rPr>
        <w:t xml:space="preserve"> in the assembly unlawful’</w:t>
      </w:r>
      <w:r w:rsidR="00BA2109">
        <w:rPr>
          <w:sz w:val="24"/>
          <w:szCs w:val="24"/>
        </w:rPr>
        <w:t>,</w:t>
      </w:r>
      <w:r>
        <w:rPr>
          <w:sz w:val="24"/>
          <w:szCs w:val="24"/>
        </w:rPr>
        <w:t xml:space="preserve"> should be retained</w:t>
      </w:r>
      <w:r w:rsidR="004007FF">
        <w:rPr>
          <w:sz w:val="24"/>
          <w:szCs w:val="24"/>
        </w:rPr>
        <w:t xml:space="preserve">. This </w:t>
      </w:r>
      <w:r>
        <w:rPr>
          <w:sz w:val="24"/>
          <w:szCs w:val="24"/>
        </w:rPr>
        <w:t>recognizes th</w:t>
      </w:r>
      <w:r w:rsidR="00BD3D6C">
        <w:rPr>
          <w:sz w:val="24"/>
          <w:szCs w:val="24"/>
        </w:rPr>
        <w:t>at</w:t>
      </w:r>
      <w:r>
        <w:rPr>
          <w:sz w:val="24"/>
          <w:szCs w:val="24"/>
        </w:rPr>
        <w:t xml:space="preserve"> individualized </w:t>
      </w:r>
      <w:r w:rsidR="00B970D5">
        <w:rPr>
          <w:sz w:val="24"/>
          <w:szCs w:val="24"/>
        </w:rPr>
        <w:t xml:space="preserve">protection </w:t>
      </w:r>
      <w:r w:rsidR="004007FF">
        <w:rPr>
          <w:sz w:val="24"/>
          <w:szCs w:val="24"/>
        </w:rPr>
        <w:t>properly attach</w:t>
      </w:r>
      <w:r w:rsidR="00BD3D6C">
        <w:rPr>
          <w:sz w:val="24"/>
          <w:szCs w:val="24"/>
        </w:rPr>
        <w:t>es</w:t>
      </w:r>
      <w:r w:rsidR="004007FF">
        <w:rPr>
          <w:sz w:val="24"/>
          <w:szCs w:val="24"/>
        </w:rPr>
        <w:t xml:space="preserve"> </w:t>
      </w:r>
      <w:r w:rsidR="00B970D5">
        <w:rPr>
          <w:sz w:val="24"/>
          <w:szCs w:val="24"/>
        </w:rPr>
        <w:t>to peaceful</w:t>
      </w:r>
      <w:r>
        <w:rPr>
          <w:sz w:val="24"/>
          <w:szCs w:val="24"/>
        </w:rPr>
        <w:t xml:space="preserve"> participation</w:t>
      </w:r>
      <w:r w:rsidR="00834C5A">
        <w:rPr>
          <w:sz w:val="24"/>
          <w:szCs w:val="24"/>
        </w:rPr>
        <w:t xml:space="preserve"> (</w:t>
      </w:r>
      <w:r>
        <w:rPr>
          <w:sz w:val="24"/>
          <w:szCs w:val="24"/>
        </w:rPr>
        <w:t>separa</w:t>
      </w:r>
      <w:r w:rsidR="00C90A3E">
        <w:rPr>
          <w:sz w:val="24"/>
          <w:szCs w:val="24"/>
        </w:rPr>
        <w:t>te</w:t>
      </w:r>
      <w:r w:rsidR="00834C5A">
        <w:rPr>
          <w:sz w:val="24"/>
          <w:szCs w:val="24"/>
        </w:rPr>
        <w:t>ly</w:t>
      </w:r>
      <w:r>
        <w:rPr>
          <w:sz w:val="24"/>
          <w:szCs w:val="24"/>
        </w:rPr>
        <w:t xml:space="preserve"> from what an organizer may or may not have done)</w:t>
      </w:r>
      <w:r w:rsidR="00DD0DF8">
        <w:rPr>
          <w:sz w:val="24"/>
          <w:szCs w:val="24"/>
        </w:rPr>
        <w:t xml:space="preserve"> and that a</w:t>
      </w:r>
      <w:r w:rsidR="004007FF">
        <w:rPr>
          <w:sz w:val="24"/>
          <w:szCs w:val="24"/>
        </w:rPr>
        <w:t xml:space="preserve">ny </w:t>
      </w:r>
      <w:r w:rsidR="00834C5A">
        <w:rPr>
          <w:sz w:val="24"/>
          <w:szCs w:val="24"/>
        </w:rPr>
        <w:t xml:space="preserve">(proportionate) </w:t>
      </w:r>
      <w:r w:rsidR="004007FF">
        <w:rPr>
          <w:sz w:val="24"/>
          <w:szCs w:val="24"/>
        </w:rPr>
        <w:t xml:space="preserve">liability in such circumstances should </w:t>
      </w:r>
      <w:r w:rsidR="00BD3D6C">
        <w:rPr>
          <w:sz w:val="24"/>
          <w:szCs w:val="24"/>
        </w:rPr>
        <w:t>be placed on</w:t>
      </w:r>
      <w:r w:rsidR="004007FF">
        <w:rPr>
          <w:sz w:val="24"/>
          <w:szCs w:val="24"/>
        </w:rPr>
        <w:t xml:space="preserve"> the organizer</w:t>
      </w:r>
      <w:r w:rsidR="00DD0DF8">
        <w:rPr>
          <w:sz w:val="24"/>
          <w:szCs w:val="24"/>
        </w:rPr>
        <w:t>. Moreover, r</w:t>
      </w:r>
      <w:r w:rsidR="00BD3D6C">
        <w:rPr>
          <w:sz w:val="24"/>
          <w:szCs w:val="24"/>
        </w:rPr>
        <w:t xml:space="preserve">etention of the bracketed text does not entail the denial of </w:t>
      </w:r>
      <w:r w:rsidR="00BD3D6C" w:rsidRPr="004007FF">
        <w:rPr>
          <w:sz w:val="24"/>
          <w:szCs w:val="24"/>
        </w:rPr>
        <w:t>the technical unlawfulness of the assembly</w:t>
      </w:r>
      <w:r w:rsidR="00BD3D6C">
        <w:rPr>
          <w:sz w:val="24"/>
          <w:szCs w:val="24"/>
        </w:rPr>
        <w:t>. Rather, it properly emphasizes the importance of</w:t>
      </w:r>
      <w:r w:rsidR="004007FF" w:rsidRPr="00BD3D6C">
        <w:rPr>
          <w:sz w:val="24"/>
          <w:szCs w:val="24"/>
        </w:rPr>
        <w:t xml:space="preserve"> </w:t>
      </w:r>
      <w:r w:rsidR="00BD3D6C">
        <w:rPr>
          <w:sz w:val="24"/>
          <w:szCs w:val="24"/>
        </w:rPr>
        <w:t xml:space="preserve">continuing to </w:t>
      </w:r>
      <w:r w:rsidR="004007FF" w:rsidRPr="00BD3D6C">
        <w:rPr>
          <w:sz w:val="24"/>
          <w:szCs w:val="24"/>
        </w:rPr>
        <w:t>protect peaceful participants</w:t>
      </w:r>
      <w:r w:rsidR="00BD3D6C">
        <w:rPr>
          <w:sz w:val="24"/>
          <w:szCs w:val="24"/>
        </w:rPr>
        <w:t xml:space="preserve"> (who generally have little or no awareness </w:t>
      </w:r>
      <w:r w:rsidR="00DD0DF8">
        <w:rPr>
          <w:sz w:val="24"/>
          <w:szCs w:val="24"/>
        </w:rPr>
        <w:t xml:space="preserve">of </w:t>
      </w:r>
      <w:r w:rsidR="00BD3D6C">
        <w:rPr>
          <w:sz w:val="24"/>
          <w:szCs w:val="24"/>
        </w:rPr>
        <w:t>or involvement in the modalities of</w:t>
      </w:r>
      <w:r w:rsidR="00DD0DF8">
        <w:rPr>
          <w:sz w:val="24"/>
          <w:szCs w:val="24"/>
        </w:rPr>
        <w:t xml:space="preserve"> an assembly’s</w:t>
      </w:r>
      <w:r w:rsidR="00BD3D6C">
        <w:rPr>
          <w:sz w:val="24"/>
          <w:szCs w:val="24"/>
        </w:rPr>
        <w:t xml:space="preserve"> organization). </w:t>
      </w:r>
      <w:r w:rsidR="00BD3D6C" w:rsidRPr="00BD3D6C">
        <w:rPr>
          <w:sz w:val="24"/>
          <w:szCs w:val="24"/>
        </w:rPr>
        <w:t>Th</w:t>
      </w:r>
      <w:r w:rsidR="00DD0DF8">
        <w:rPr>
          <w:sz w:val="24"/>
          <w:szCs w:val="24"/>
        </w:rPr>
        <w:t>e bracketed text</w:t>
      </w:r>
      <w:r w:rsidR="00BD3D6C" w:rsidRPr="00BD3D6C">
        <w:rPr>
          <w:sz w:val="24"/>
          <w:szCs w:val="24"/>
        </w:rPr>
        <w:t xml:space="preserve"> </w:t>
      </w:r>
      <w:r w:rsidR="00DD0DF8">
        <w:rPr>
          <w:sz w:val="24"/>
          <w:szCs w:val="24"/>
        </w:rPr>
        <w:t xml:space="preserve">does </w:t>
      </w:r>
      <w:r w:rsidR="00BD3D6C" w:rsidRPr="00BD3D6C">
        <w:rPr>
          <w:sz w:val="24"/>
          <w:szCs w:val="24"/>
        </w:rPr>
        <w:t>depart somewhat from</w:t>
      </w:r>
      <w:r w:rsidR="004007FF" w:rsidRPr="00BD3D6C">
        <w:rPr>
          <w:sz w:val="24"/>
          <w:szCs w:val="24"/>
        </w:rPr>
        <w:t xml:space="preserve"> t</w:t>
      </w:r>
      <w:r w:rsidR="00C90A3E" w:rsidRPr="00BD3D6C">
        <w:rPr>
          <w:sz w:val="24"/>
          <w:szCs w:val="24"/>
        </w:rPr>
        <w:t>he Strasbourg Court</w:t>
      </w:r>
      <w:r w:rsidR="00BD3D6C" w:rsidRPr="00BD3D6C">
        <w:rPr>
          <w:sz w:val="24"/>
          <w:szCs w:val="24"/>
        </w:rPr>
        <w:t>’s admissibility decision</w:t>
      </w:r>
      <w:r w:rsidR="00C90A3E" w:rsidRPr="00BD3D6C">
        <w:rPr>
          <w:sz w:val="24"/>
          <w:szCs w:val="24"/>
        </w:rPr>
        <w:t xml:space="preserve"> in </w:t>
      </w:r>
      <w:hyperlink r:id="rId28" w:history="1">
        <w:proofErr w:type="spellStart"/>
        <w:r w:rsidR="00C90A3E" w:rsidRPr="00BD3D6C">
          <w:rPr>
            <w:rStyle w:val="Hyperlink"/>
            <w:i/>
            <w:iCs/>
            <w:sz w:val="24"/>
            <w:szCs w:val="24"/>
          </w:rPr>
          <w:t>Ziliberberg</w:t>
        </w:r>
        <w:proofErr w:type="spellEnd"/>
        <w:r w:rsidR="004007FF" w:rsidRPr="00BD3D6C">
          <w:rPr>
            <w:rStyle w:val="Hyperlink"/>
            <w:i/>
            <w:iCs/>
            <w:sz w:val="24"/>
            <w:szCs w:val="24"/>
          </w:rPr>
          <w:t xml:space="preserve">  v Moldova</w:t>
        </w:r>
      </w:hyperlink>
      <w:r w:rsidR="00834C5A">
        <w:rPr>
          <w:sz w:val="24"/>
          <w:szCs w:val="24"/>
        </w:rPr>
        <w:t xml:space="preserve"> – but I would argue that such a departure is warranted.</w:t>
      </w:r>
      <w:r w:rsidR="00DD0DF8">
        <w:rPr>
          <w:sz w:val="24"/>
          <w:szCs w:val="24"/>
        </w:rPr>
        <w:t xml:space="preserve"> </w:t>
      </w:r>
      <w:r w:rsidR="00834C5A">
        <w:rPr>
          <w:sz w:val="24"/>
          <w:szCs w:val="24"/>
        </w:rPr>
        <w:t xml:space="preserve">In </w:t>
      </w:r>
      <w:proofErr w:type="spellStart"/>
      <w:r w:rsidR="00834C5A" w:rsidRPr="00834C5A">
        <w:rPr>
          <w:i/>
          <w:iCs/>
          <w:sz w:val="24"/>
          <w:szCs w:val="24"/>
        </w:rPr>
        <w:t>Ziliberberg</w:t>
      </w:r>
      <w:proofErr w:type="spellEnd"/>
      <w:r w:rsidR="00DD0DF8">
        <w:rPr>
          <w:sz w:val="24"/>
          <w:szCs w:val="24"/>
        </w:rPr>
        <w:t>, the Court</w:t>
      </w:r>
      <w:r w:rsidR="00BD3D6C" w:rsidRPr="00BD3D6C">
        <w:rPr>
          <w:sz w:val="24"/>
          <w:szCs w:val="24"/>
        </w:rPr>
        <w:t xml:space="preserve"> held </w:t>
      </w:r>
      <w:r w:rsidR="004007FF" w:rsidRPr="00BD3D6C">
        <w:rPr>
          <w:sz w:val="24"/>
          <w:szCs w:val="24"/>
        </w:rPr>
        <w:t xml:space="preserve">that ‘since States have the right to require authorisation, they must be able to apply sanctions </w:t>
      </w:r>
      <w:r w:rsidR="004007FF" w:rsidRPr="00BD3D6C">
        <w:rPr>
          <w:i/>
          <w:iCs/>
          <w:sz w:val="24"/>
          <w:szCs w:val="24"/>
        </w:rPr>
        <w:t>to those who participate in</w:t>
      </w:r>
      <w:r w:rsidR="004007FF" w:rsidRPr="00BD3D6C">
        <w:rPr>
          <w:sz w:val="24"/>
          <w:szCs w:val="24"/>
        </w:rPr>
        <w:t xml:space="preserve"> demonstrations that do not comply with the requirement</w:t>
      </w:r>
      <w:r w:rsidR="00BD3D6C" w:rsidRPr="00BD3D6C">
        <w:rPr>
          <w:sz w:val="24"/>
          <w:szCs w:val="24"/>
        </w:rPr>
        <w:t>’ (emphasis added). The Court continued,</w:t>
      </w:r>
      <w:r w:rsidR="004007FF" w:rsidRPr="00BD3D6C">
        <w:rPr>
          <w:sz w:val="24"/>
          <w:szCs w:val="24"/>
        </w:rPr>
        <w:t xml:space="preserve"> </w:t>
      </w:r>
      <w:r w:rsidR="00BD3D6C" w:rsidRPr="00BD3D6C">
        <w:rPr>
          <w:sz w:val="24"/>
          <w:szCs w:val="24"/>
        </w:rPr>
        <w:t>‘</w:t>
      </w:r>
      <w:r w:rsidR="00DD0DF8">
        <w:rPr>
          <w:sz w:val="24"/>
          <w:szCs w:val="24"/>
        </w:rPr>
        <w:t>[t]</w:t>
      </w:r>
      <w:r w:rsidR="004007FF" w:rsidRPr="00BD3D6C">
        <w:rPr>
          <w:sz w:val="24"/>
          <w:szCs w:val="24"/>
        </w:rPr>
        <w:t>he impossibility to impose such sanctions would render illusory the power of the State to require authorisation.</w:t>
      </w:r>
      <w:r w:rsidR="00BD3D6C" w:rsidRPr="00BD3D6C">
        <w:rPr>
          <w:sz w:val="24"/>
          <w:szCs w:val="24"/>
        </w:rPr>
        <w:t xml:space="preserve">’ It is suggested here </w:t>
      </w:r>
      <w:r w:rsidR="00834C5A">
        <w:rPr>
          <w:sz w:val="24"/>
          <w:szCs w:val="24"/>
        </w:rPr>
        <w:t xml:space="preserve">that </w:t>
      </w:r>
      <w:r w:rsidR="00BD3D6C" w:rsidRPr="00BD3D6C">
        <w:rPr>
          <w:sz w:val="24"/>
          <w:szCs w:val="24"/>
        </w:rPr>
        <w:t>the power to require notification is not rendered illusory if liability can</w:t>
      </w:r>
      <w:r w:rsidR="00DD0DF8">
        <w:rPr>
          <w:sz w:val="24"/>
          <w:szCs w:val="24"/>
        </w:rPr>
        <w:t xml:space="preserve"> still</w:t>
      </w:r>
      <w:r w:rsidR="00BD3D6C" w:rsidRPr="00BD3D6C">
        <w:rPr>
          <w:sz w:val="24"/>
          <w:szCs w:val="24"/>
        </w:rPr>
        <w:t xml:space="preserve"> be attached to </w:t>
      </w:r>
      <w:r w:rsidR="00834C5A">
        <w:rPr>
          <w:sz w:val="24"/>
          <w:szCs w:val="24"/>
        </w:rPr>
        <w:t xml:space="preserve">assembly </w:t>
      </w:r>
      <w:r w:rsidR="00BD3D6C" w:rsidRPr="00834C5A">
        <w:rPr>
          <w:i/>
          <w:iCs/>
          <w:sz w:val="24"/>
          <w:szCs w:val="24"/>
        </w:rPr>
        <w:t>organizers</w:t>
      </w:r>
      <w:r w:rsidR="00BD3D6C" w:rsidRPr="00BD3D6C">
        <w:rPr>
          <w:sz w:val="24"/>
          <w:szCs w:val="24"/>
        </w:rPr>
        <w:t>.</w:t>
      </w:r>
      <w:r w:rsidR="00DD0DF8">
        <w:rPr>
          <w:sz w:val="24"/>
          <w:szCs w:val="24"/>
        </w:rPr>
        <w:t xml:space="preserve"> The Strasbourg Court has</w:t>
      </w:r>
      <w:r w:rsidR="00834C5A">
        <w:rPr>
          <w:sz w:val="24"/>
          <w:szCs w:val="24"/>
        </w:rPr>
        <w:t xml:space="preserve"> since</w:t>
      </w:r>
      <w:r w:rsidR="00DD0DF8">
        <w:rPr>
          <w:sz w:val="24"/>
          <w:szCs w:val="24"/>
        </w:rPr>
        <w:t xml:space="preserve"> </w:t>
      </w:r>
      <w:r w:rsidR="00DD0DF8" w:rsidRPr="00DD0DF8">
        <w:rPr>
          <w:sz w:val="24"/>
          <w:szCs w:val="24"/>
        </w:rPr>
        <w:t>go</w:t>
      </w:r>
      <w:r w:rsidR="00DD0DF8">
        <w:rPr>
          <w:sz w:val="24"/>
          <w:szCs w:val="24"/>
        </w:rPr>
        <w:t>ne</w:t>
      </w:r>
      <w:r w:rsidR="00DD0DF8" w:rsidRPr="00DD0DF8">
        <w:rPr>
          <w:sz w:val="24"/>
          <w:szCs w:val="24"/>
        </w:rPr>
        <w:t xml:space="preserve"> some way to recognizing the </w:t>
      </w:r>
      <w:r w:rsidR="00BA2109">
        <w:rPr>
          <w:sz w:val="24"/>
          <w:szCs w:val="24"/>
        </w:rPr>
        <w:t xml:space="preserve">need to protect </w:t>
      </w:r>
      <w:r w:rsidR="00DD0DF8" w:rsidRPr="00DD0DF8">
        <w:rPr>
          <w:sz w:val="24"/>
          <w:szCs w:val="24"/>
        </w:rPr>
        <w:t>individual</w:t>
      </w:r>
      <w:r w:rsidR="00BA2109">
        <w:rPr>
          <w:sz w:val="24"/>
          <w:szCs w:val="24"/>
        </w:rPr>
        <w:t xml:space="preserve"> </w:t>
      </w:r>
      <w:r w:rsidR="00DD0DF8" w:rsidRPr="00DD0DF8">
        <w:rPr>
          <w:sz w:val="24"/>
          <w:szCs w:val="24"/>
        </w:rPr>
        <w:t>participa</w:t>
      </w:r>
      <w:r w:rsidR="00BA2109">
        <w:rPr>
          <w:sz w:val="24"/>
          <w:szCs w:val="24"/>
        </w:rPr>
        <w:t>nts</w:t>
      </w:r>
      <w:r w:rsidR="00DD0DF8">
        <w:rPr>
          <w:sz w:val="24"/>
          <w:szCs w:val="24"/>
        </w:rPr>
        <w:t xml:space="preserve">, having noted in </w:t>
      </w:r>
      <w:r w:rsidR="00834C5A">
        <w:rPr>
          <w:sz w:val="24"/>
          <w:szCs w:val="24"/>
        </w:rPr>
        <w:t>a number of</w:t>
      </w:r>
      <w:r w:rsidR="00DD0DF8">
        <w:rPr>
          <w:sz w:val="24"/>
          <w:szCs w:val="24"/>
        </w:rPr>
        <w:t xml:space="preserve"> judgments that: ‘[a]</w:t>
      </w:r>
      <w:r w:rsidR="00DD0DF8" w:rsidRPr="00DD0DF8">
        <w:rPr>
          <w:sz w:val="24"/>
          <w:szCs w:val="24"/>
        </w:rPr>
        <w:t>n unlawful situation, such as the staging of a demonstration without prior authorisation, does not necessarily justify an interference with a person’s right to freedom of assembly</w:t>
      </w:r>
      <w:r w:rsidR="00DD0DF8">
        <w:rPr>
          <w:sz w:val="24"/>
          <w:szCs w:val="24"/>
        </w:rPr>
        <w:t xml:space="preserve">’ (see </w:t>
      </w:r>
      <w:hyperlink r:id="rId29" w:history="1">
        <w:r w:rsidR="00DD0DF8" w:rsidRPr="00DD0DF8">
          <w:rPr>
            <w:rStyle w:val="Hyperlink"/>
            <w:i/>
            <w:iCs/>
            <w:sz w:val="24"/>
            <w:szCs w:val="24"/>
          </w:rPr>
          <w:t xml:space="preserve">Kudrevičius v </w:t>
        </w:r>
        <w:r w:rsidR="00DD0DF8" w:rsidRPr="00DD0DF8">
          <w:rPr>
            <w:rStyle w:val="Hyperlink"/>
            <w:i/>
            <w:iCs/>
            <w:sz w:val="24"/>
            <w:szCs w:val="24"/>
          </w:rPr>
          <w:lastRenderedPageBreak/>
          <w:t>Lithuania</w:t>
        </w:r>
      </w:hyperlink>
      <w:r w:rsidR="00DD0DF8">
        <w:rPr>
          <w:sz w:val="24"/>
          <w:szCs w:val="24"/>
        </w:rPr>
        <w:t>, para 150</w:t>
      </w:r>
      <w:r w:rsidR="00834C5A">
        <w:rPr>
          <w:sz w:val="24"/>
          <w:szCs w:val="24"/>
        </w:rPr>
        <w:t>, and</w:t>
      </w:r>
      <w:r w:rsidR="00DD0DF8">
        <w:rPr>
          <w:sz w:val="24"/>
          <w:szCs w:val="24"/>
        </w:rPr>
        <w:t xml:space="preserve"> more recently, in a case where criminal liability was imposed on an organizer of a </w:t>
      </w:r>
      <w:proofErr w:type="spellStart"/>
      <w:r w:rsidR="00DD0DF8">
        <w:rPr>
          <w:sz w:val="24"/>
          <w:szCs w:val="24"/>
        </w:rPr>
        <w:t>flashmob</w:t>
      </w:r>
      <w:proofErr w:type="spellEnd"/>
      <w:r w:rsidR="00DD0DF8">
        <w:rPr>
          <w:sz w:val="24"/>
          <w:szCs w:val="24"/>
        </w:rPr>
        <w:t xml:space="preserve">, </w:t>
      </w:r>
      <w:hyperlink r:id="rId30" w:history="1">
        <w:proofErr w:type="spellStart"/>
        <w:r w:rsidR="002E4F52" w:rsidRPr="00DD0DF8">
          <w:rPr>
            <w:rStyle w:val="Hyperlink"/>
            <w:i/>
            <w:iCs/>
            <w:sz w:val="24"/>
            <w:szCs w:val="24"/>
          </w:rPr>
          <w:t>Obote</w:t>
        </w:r>
        <w:proofErr w:type="spellEnd"/>
        <w:r w:rsidR="002E4F52" w:rsidRPr="00DD0DF8">
          <w:rPr>
            <w:rStyle w:val="Hyperlink"/>
            <w:i/>
            <w:iCs/>
            <w:sz w:val="24"/>
            <w:szCs w:val="24"/>
          </w:rPr>
          <w:t xml:space="preserve"> v Russia</w:t>
        </w:r>
      </w:hyperlink>
      <w:r w:rsidR="00DD0DF8">
        <w:rPr>
          <w:sz w:val="24"/>
          <w:szCs w:val="24"/>
        </w:rPr>
        <w:t xml:space="preserve">, </w:t>
      </w:r>
      <w:r w:rsidR="002E4F52" w:rsidRPr="00DD0DF8">
        <w:rPr>
          <w:sz w:val="24"/>
          <w:szCs w:val="24"/>
        </w:rPr>
        <w:t>paras 41-44)</w:t>
      </w:r>
      <w:r w:rsidR="00732D3F" w:rsidRPr="00DD0DF8">
        <w:rPr>
          <w:sz w:val="24"/>
          <w:szCs w:val="24"/>
        </w:rPr>
        <w:t xml:space="preserve">. </w:t>
      </w:r>
    </w:p>
    <w:p w14:paraId="4A468C01" w14:textId="77777777" w:rsidR="00BD3D6C" w:rsidRPr="00BD3D6C" w:rsidRDefault="00BD3D6C" w:rsidP="00BD3D6C">
      <w:pPr>
        <w:pStyle w:val="ListParagraph"/>
        <w:ind w:left="426"/>
        <w:jc w:val="both"/>
        <w:rPr>
          <w:sz w:val="24"/>
          <w:szCs w:val="24"/>
        </w:rPr>
      </w:pPr>
    </w:p>
    <w:p w14:paraId="51EAC031" w14:textId="36993696" w:rsidR="001824C6" w:rsidRPr="001824C6" w:rsidRDefault="00A25A61" w:rsidP="001824C6">
      <w:pPr>
        <w:pStyle w:val="ListParagraph"/>
        <w:numPr>
          <w:ilvl w:val="0"/>
          <w:numId w:val="7"/>
        </w:numPr>
        <w:ind w:left="426" w:hanging="426"/>
        <w:jc w:val="both"/>
        <w:rPr>
          <w:sz w:val="24"/>
          <w:szCs w:val="24"/>
        </w:rPr>
      </w:pPr>
      <w:r w:rsidRPr="006D7C60">
        <w:rPr>
          <w:rFonts w:eastAsia="Times New Roman"/>
          <w:b/>
          <w:bCs/>
          <w:sz w:val="24"/>
          <w:szCs w:val="24"/>
        </w:rPr>
        <w:t>Para</w:t>
      </w:r>
      <w:r w:rsidR="00A7405A">
        <w:rPr>
          <w:rFonts w:eastAsia="Times New Roman"/>
          <w:b/>
          <w:bCs/>
          <w:sz w:val="24"/>
          <w:szCs w:val="24"/>
        </w:rPr>
        <w:t>graph</w:t>
      </w:r>
      <w:r w:rsidRPr="006D7C60">
        <w:rPr>
          <w:rFonts w:eastAsia="Times New Roman"/>
          <w:b/>
          <w:bCs/>
          <w:sz w:val="24"/>
          <w:szCs w:val="24"/>
        </w:rPr>
        <w:t xml:space="preserve"> 103</w:t>
      </w:r>
      <w:r w:rsidRPr="006D7C60">
        <w:rPr>
          <w:rStyle w:val="apple-converted-space"/>
          <w:rFonts w:eastAsia="Times New Roman"/>
          <w:sz w:val="24"/>
          <w:szCs w:val="24"/>
        </w:rPr>
        <w:t> </w:t>
      </w:r>
      <w:r w:rsidRPr="006D7C60">
        <w:rPr>
          <w:rFonts w:eastAsia="Times New Roman"/>
          <w:sz w:val="24"/>
          <w:szCs w:val="24"/>
        </w:rPr>
        <w:t>(re</w:t>
      </w:r>
      <w:r w:rsidR="00A7405A">
        <w:rPr>
          <w:rFonts w:eastAsia="Times New Roman"/>
          <w:sz w:val="24"/>
          <w:szCs w:val="24"/>
        </w:rPr>
        <w:t>garding the</w:t>
      </w:r>
      <w:r w:rsidRPr="006D7C60">
        <w:rPr>
          <w:rFonts w:eastAsia="Times New Roman"/>
          <w:sz w:val="24"/>
          <w:szCs w:val="24"/>
        </w:rPr>
        <w:t xml:space="preserve"> deployment of undercover officers)</w:t>
      </w:r>
      <w:r w:rsidR="00A7405A">
        <w:rPr>
          <w:rFonts w:eastAsia="Times New Roman"/>
          <w:sz w:val="24"/>
          <w:szCs w:val="24"/>
        </w:rPr>
        <w:t xml:space="preserve"> could be substantially strengthened.</w:t>
      </w:r>
      <w:r w:rsidRPr="006D7C60">
        <w:rPr>
          <w:rFonts w:eastAsia="Times New Roman"/>
          <w:sz w:val="24"/>
          <w:szCs w:val="24"/>
        </w:rPr>
        <w:t xml:space="preserve"> </w:t>
      </w:r>
      <w:r w:rsidR="00A7405A">
        <w:rPr>
          <w:rFonts w:eastAsia="Times New Roman"/>
          <w:sz w:val="24"/>
          <w:szCs w:val="24"/>
        </w:rPr>
        <w:t xml:space="preserve">In particular, the low threshold of </w:t>
      </w:r>
      <w:r w:rsidR="00A7405A" w:rsidRPr="006D7C60">
        <w:rPr>
          <w:rFonts w:eastAsia="Times New Roman"/>
          <w:sz w:val="24"/>
          <w:szCs w:val="24"/>
        </w:rPr>
        <w:t>‘</w:t>
      </w:r>
      <w:r w:rsidR="00A7405A" w:rsidRPr="00A7405A">
        <w:rPr>
          <w:rFonts w:eastAsia="Times New Roman"/>
          <w:i/>
          <w:iCs/>
          <w:sz w:val="24"/>
          <w:szCs w:val="24"/>
        </w:rPr>
        <w:t>reasonably</w:t>
      </w:r>
      <w:r w:rsidR="00A7405A" w:rsidRPr="006D7C60">
        <w:rPr>
          <w:rFonts w:eastAsia="Times New Roman"/>
          <w:sz w:val="24"/>
          <w:szCs w:val="24"/>
        </w:rPr>
        <w:t xml:space="preserve"> necessary’</w:t>
      </w:r>
      <w:r w:rsidR="00A7405A">
        <w:rPr>
          <w:rFonts w:eastAsia="Times New Roman"/>
          <w:sz w:val="24"/>
          <w:szCs w:val="24"/>
        </w:rPr>
        <w:t xml:space="preserve"> fails to recognize that such deployments should be exceptional</w:t>
      </w:r>
      <w:r w:rsidR="00BA2109">
        <w:rPr>
          <w:rFonts w:eastAsia="Times New Roman"/>
          <w:sz w:val="24"/>
          <w:szCs w:val="24"/>
        </w:rPr>
        <w:t xml:space="preserve"> and</w:t>
      </w:r>
      <w:r w:rsidR="00A7405A">
        <w:rPr>
          <w:rFonts w:eastAsia="Times New Roman"/>
          <w:sz w:val="24"/>
          <w:szCs w:val="24"/>
        </w:rPr>
        <w:t xml:space="preserve"> justified only when</w:t>
      </w:r>
      <w:r w:rsidRPr="006D7C60">
        <w:rPr>
          <w:rFonts w:eastAsia="Times New Roman"/>
          <w:sz w:val="24"/>
          <w:szCs w:val="24"/>
        </w:rPr>
        <w:t xml:space="preserve"> ‘strictly necessary’</w:t>
      </w:r>
      <w:r w:rsidR="00A7405A">
        <w:rPr>
          <w:rFonts w:eastAsia="Times New Roman"/>
          <w:sz w:val="24"/>
          <w:szCs w:val="24"/>
        </w:rPr>
        <w:t>.</w:t>
      </w:r>
      <w:r w:rsidRPr="006D7C60">
        <w:rPr>
          <w:rFonts w:eastAsia="Times New Roman"/>
          <w:sz w:val="24"/>
          <w:szCs w:val="24"/>
        </w:rPr>
        <w:t xml:space="preserve"> Given, for example, protesters’ experiences of undercover policing in the UK (and the ongoing </w:t>
      </w:r>
      <w:hyperlink r:id="rId31" w:history="1">
        <w:r w:rsidRPr="006D7C60">
          <w:rPr>
            <w:rStyle w:val="Hyperlink"/>
            <w:rFonts w:eastAsia="Times New Roman"/>
            <w:sz w:val="24"/>
            <w:szCs w:val="24"/>
          </w:rPr>
          <w:t>Undercover Policing Inquiry</w:t>
        </w:r>
      </w:hyperlink>
      <w:r w:rsidRPr="006D7C60">
        <w:rPr>
          <w:rFonts w:eastAsia="Times New Roman"/>
          <w:sz w:val="24"/>
          <w:szCs w:val="24"/>
        </w:rPr>
        <w:t xml:space="preserve">), </w:t>
      </w:r>
      <w:r w:rsidR="00A7405A">
        <w:rPr>
          <w:rFonts w:eastAsia="Times New Roman"/>
          <w:sz w:val="24"/>
          <w:szCs w:val="24"/>
        </w:rPr>
        <w:t>any such u</w:t>
      </w:r>
      <w:r w:rsidRPr="006D7C60">
        <w:rPr>
          <w:rFonts w:eastAsia="Times New Roman"/>
          <w:sz w:val="24"/>
          <w:szCs w:val="24"/>
        </w:rPr>
        <w:t xml:space="preserve">ndercover deployments </w:t>
      </w:r>
      <w:r w:rsidR="00A7405A">
        <w:rPr>
          <w:rFonts w:eastAsia="Times New Roman"/>
          <w:sz w:val="24"/>
          <w:szCs w:val="24"/>
        </w:rPr>
        <w:t>should be exceptional, strictly regulated by law, for the purpose of investigating specific criminal acts and</w:t>
      </w:r>
      <w:r w:rsidRPr="006D7C60">
        <w:rPr>
          <w:rFonts w:eastAsia="Times New Roman"/>
          <w:sz w:val="24"/>
          <w:szCs w:val="24"/>
        </w:rPr>
        <w:t xml:space="preserve"> subject to </w:t>
      </w:r>
      <w:r w:rsidR="00A7405A">
        <w:rPr>
          <w:rFonts w:eastAsia="Times New Roman"/>
          <w:sz w:val="24"/>
          <w:szCs w:val="24"/>
        </w:rPr>
        <w:t>independent (perhaps judicial)</w:t>
      </w:r>
      <w:r w:rsidRPr="006D7C60">
        <w:rPr>
          <w:rFonts w:eastAsia="Times New Roman"/>
          <w:sz w:val="24"/>
          <w:szCs w:val="24"/>
        </w:rPr>
        <w:t xml:space="preserve"> oversight. </w:t>
      </w:r>
      <w:r w:rsidR="00BA2109">
        <w:rPr>
          <w:rFonts w:eastAsia="Times New Roman"/>
          <w:sz w:val="24"/>
          <w:szCs w:val="24"/>
        </w:rPr>
        <w:t>By way of</w:t>
      </w:r>
      <w:r w:rsidRPr="006D7C60">
        <w:rPr>
          <w:rFonts w:eastAsia="Times New Roman"/>
          <w:sz w:val="24"/>
          <w:szCs w:val="24"/>
        </w:rPr>
        <w:t xml:space="preserve"> example, the wording of para 173 of the </w:t>
      </w:r>
      <w:hyperlink r:id="rId32" w:history="1">
        <w:r w:rsidRPr="006D7C60">
          <w:rPr>
            <w:rStyle w:val="Hyperlink"/>
            <w:rFonts w:eastAsia="Times New Roman"/>
            <w:sz w:val="24"/>
            <w:szCs w:val="24"/>
          </w:rPr>
          <w:t>draft 3rd edition</w:t>
        </w:r>
      </w:hyperlink>
      <w:r w:rsidRPr="006D7C60">
        <w:rPr>
          <w:rFonts w:eastAsia="Times New Roman"/>
          <w:sz w:val="24"/>
          <w:szCs w:val="24"/>
        </w:rPr>
        <w:t xml:space="preserve"> of the OSCE/ODIHR – Venice Commission </w:t>
      </w:r>
      <w:r w:rsidRPr="006D7C60">
        <w:rPr>
          <w:rFonts w:eastAsia="Times New Roman"/>
          <w:i/>
          <w:iCs/>
          <w:sz w:val="24"/>
          <w:szCs w:val="24"/>
        </w:rPr>
        <w:t>Guidelines on Freedom of Peaceful Assembly</w:t>
      </w:r>
      <w:r w:rsidRPr="006D7C60">
        <w:rPr>
          <w:rFonts w:eastAsia="Times New Roman"/>
          <w:sz w:val="24"/>
          <w:szCs w:val="24"/>
        </w:rPr>
        <w:t xml:space="preserve">, provides that: </w:t>
      </w:r>
    </w:p>
    <w:p w14:paraId="3EAE4A18" w14:textId="77777777" w:rsidR="001824C6" w:rsidRPr="001824C6" w:rsidRDefault="001824C6" w:rsidP="001824C6">
      <w:pPr>
        <w:ind w:left="710" w:right="521"/>
        <w:jc w:val="both"/>
        <w:rPr>
          <w:sz w:val="24"/>
          <w:szCs w:val="24"/>
        </w:rPr>
      </w:pPr>
      <w:r w:rsidRPr="001824C6">
        <w:rPr>
          <w:sz w:val="24"/>
          <w:szCs w:val="24"/>
        </w:rPr>
        <w:t xml:space="preserve">‘The deployment of undercover police must be exceptional and strictly regulated by law. In some countries, law enforcement officers have, in the past, infiltrated assemblies and pretended to be participants. The use of undercover police officers, however, is only ever permissible (and only exceptionally so) if the purpose of collecting information during an assembly is to investigate specific criminal acts. In all cases, such practices must be subject to continuous and strict independent oversight and scrutiny. Collecting information on assembly participants in the absence of a concrete criminal investigation constitutes an interference with the participants’ rights to freedom of assembly and privacy. As such, the exceptional circumstances in which undercover law enforcement officials may be deployed (either before, during or after assemblies) should be fully and clearly regulated in law, following a published policy that is compatible with international human </w:t>
      </w:r>
      <w:r w:rsidRPr="001824C6">
        <w:rPr>
          <w:sz w:val="24"/>
          <w:szCs w:val="24"/>
        </w:rPr>
        <w:lastRenderedPageBreak/>
        <w:t>rights standards. Any such legislation and policy should specify the permissible methods of gathering information, the purposes for which any information gathered may be used, the specific law enforcement agencies/personnel that may obtain access, and for how long the data obtained may be stored.’</w:t>
      </w:r>
    </w:p>
    <w:p w14:paraId="66BB5ACC" w14:textId="77777777" w:rsidR="001603BE" w:rsidRDefault="001603BE" w:rsidP="001824C6">
      <w:pPr>
        <w:rPr>
          <w:b/>
          <w:bCs/>
          <w:sz w:val="24"/>
          <w:szCs w:val="24"/>
        </w:rPr>
      </w:pPr>
    </w:p>
    <w:p w14:paraId="35DBE667" w14:textId="379192D9" w:rsidR="001824C6" w:rsidRPr="001824C6" w:rsidRDefault="001824C6" w:rsidP="001824C6">
      <w:pPr>
        <w:rPr>
          <w:b/>
          <w:bCs/>
          <w:sz w:val="24"/>
          <w:szCs w:val="24"/>
        </w:rPr>
      </w:pPr>
      <w:r w:rsidRPr="001824C6">
        <w:rPr>
          <w:b/>
          <w:bCs/>
          <w:sz w:val="24"/>
          <w:szCs w:val="24"/>
        </w:rPr>
        <w:t xml:space="preserve">Conclusion </w:t>
      </w:r>
    </w:p>
    <w:p w14:paraId="7AFB332F" w14:textId="154CCCF2" w:rsidR="00BA2109" w:rsidRDefault="001824C6" w:rsidP="00BA2109">
      <w:pPr>
        <w:pStyle w:val="ListParagraph"/>
        <w:numPr>
          <w:ilvl w:val="0"/>
          <w:numId w:val="7"/>
        </w:numPr>
        <w:ind w:left="426" w:hanging="426"/>
        <w:jc w:val="both"/>
        <w:rPr>
          <w:sz w:val="24"/>
          <w:szCs w:val="24"/>
        </w:rPr>
      </w:pPr>
      <w:r>
        <w:rPr>
          <w:sz w:val="24"/>
          <w:szCs w:val="24"/>
        </w:rPr>
        <w:t xml:space="preserve">General Comment 37 stands to </w:t>
      </w:r>
      <w:r w:rsidR="00BA2109">
        <w:rPr>
          <w:sz w:val="24"/>
          <w:szCs w:val="24"/>
        </w:rPr>
        <w:t>provide</w:t>
      </w:r>
      <w:r>
        <w:rPr>
          <w:sz w:val="24"/>
          <w:szCs w:val="24"/>
        </w:rPr>
        <w:t xml:space="preserve"> a much needed, long overdue and authoritative interpretation of the right of peaceful assembly </w:t>
      </w:r>
      <w:r w:rsidR="00BA2109">
        <w:rPr>
          <w:sz w:val="24"/>
          <w:szCs w:val="24"/>
        </w:rPr>
        <w:t>under</w:t>
      </w:r>
      <w:r>
        <w:rPr>
          <w:sz w:val="24"/>
          <w:szCs w:val="24"/>
        </w:rPr>
        <w:t xml:space="preserve"> Article 21 ICCPR. There is some scope to further strengthen the draft text, in particular by embracing a more</w:t>
      </w:r>
      <w:r w:rsidR="004B3700" w:rsidRPr="001824C6">
        <w:rPr>
          <w:sz w:val="24"/>
          <w:szCs w:val="24"/>
        </w:rPr>
        <w:t xml:space="preserve"> inclusive </w:t>
      </w:r>
      <w:r>
        <w:rPr>
          <w:sz w:val="24"/>
          <w:szCs w:val="24"/>
        </w:rPr>
        <w:t>definition of ‘assembly</w:t>
      </w:r>
      <w:r w:rsidR="00BA2109">
        <w:rPr>
          <w:sz w:val="24"/>
          <w:szCs w:val="24"/>
        </w:rPr>
        <w:t>’. In this regard, t</w:t>
      </w:r>
      <w:r w:rsidR="00BA2109" w:rsidRPr="00020A43">
        <w:rPr>
          <w:sz w:val="24"/>
          <w:szCs w:val="24"/>
        </w:rPr>
        <w:t>he Committee should not be hostage to previous definitions</w:t>
      </w:r>
      <w:r w:rsidR="00BA2109">
        <w:rPr>
          <w:sz w:val="24"/>
          <w:szCs w:val="24"/>
        </w:rPr>
        <w:t xml:space="preserve">, </w:t>
      </w:r>
      <w:r w:rsidR="00BA2109" w:rsidRPr="00020A43">
        <w:rPr>
          <w:sz w:val="24"/>
          <w:szCs w:val="24"/>
        </w:rPr>
        <w:t xml:space="preserve">even where these appear to have become established reference points – such as Manfred Nowak’s seminal commentary on the ICCPR (now in its </w:t>
      </w:r>
      <w:hyperlink r:id="rId33" w:history="1">
        <w:r w:rsidR="00BA2109" w:rsidRPr="00020A43">
          <w:rPr>
            <w:rStyle w:val="Hyperlink"/>
            <w:sz w:val="24"/>
            <w:szCs w:val="24"/>
          </w:rPr>
          <w:t>3</w:t>
        </w:r>
        <w:r w:rsidR="00BA2109" w:rsidRPr="00020A43">
          <w:rPr>
            <w:rStyle w:val="Hyperlink"/>
            <w:sz w:val="24"/>
            <w:szCs w:val="24"/>
            <w:vertAlign w:val="superscript"/>
          </w:rPr>
          <w:t>rd</w:t>
        </w:r>
        <w:r w:rsidR="00BA2109" w:rsidRPr="00020A43">
          <w:rPr>
            <w:rStyle w:val="Hyperlink"/>
            <w:sz w:val="24"/>
            <w:szCs w:val="24"/>
          </w:rPr>
          <w:t xml:space="preserve"> edition</w:t>
        </w:r>
      </w:hyperlink>
      <w:r w:rsidR="00BA2109" w:rsidRPr="00020A43">
        <w:rPr>
          <w:sz w:val="24"/>
          <w:szCs w:val="24"/>
        </w:rPr>
        <w:t xml:space="preserve">), or the definition proposed by the </w:t>
      </w:r>
      <w:hyperlink r:id="rId34" w:history="1">
        <w:r w:rsidR="00BA2109" w:rsidRPr="00020A43">
          <w:rPr>
            <w:rStyle w:val="Hyperlink"/>
            <w:sz w:val="24"/>
            <w:szCs w:val="24"/>
          </w:rPr>
          <w:t>UN Special Rapporteur on the rights to freedom of peaceful assembly and of association</w:t>
        </w:r>
      </w:hyperlink>
      <w:r w:rsidR="00BA2109" w:rsidRPr="00020A43">
        <w:rPr>
          <w:sz w:val="24"/>
          <w:szCs w:val="24"/>
        </w:rPr>
        <w:t xml:space="preserve"> (para 24), or that used to describe the primary focus of the </w:t>
      </w:r>
      <w:hyperlink r:id="rId35" w:history="1">
        <w:r w:rsidR="00BA2109" w:rsidRPr="00020A43">
          <w:rPr>
            <w:rStyle w:val="Hyperlink"/>
            <w:sz w:val="24"/>
            <w:szCs w:val="24"/>
          </w:rPr>
          <w:t>OSCE/ODIHR-Venice Commission</w:t>
        </w:r>
        <w:r w:rsidR="00BA2109" w:rsidRPr="00020A43">
          <w:rPr>
            <w:rStyle w:val="Hyperlink"/>
            <w:i/>
            <w:iCs/>
            <w:sz w:val="24"/>
            <w:szCs w:val="24"/>
          </w:rPr>
          <w:t xml:space="preserve"> Guidelines on Freedom of Peaceful Assembly</w:t>
        </w:r>
      </w:hyperlink>
      <w:r w:rsidR="00BA2109" w:rsidRPr="00020A43">
        <w:rPr>
          <w:sz w:val="24"/>
          <w:szCs w:val="24"/>
        </w:rPr>
        <w:t xml:space="preserve"> (p.15, para 1.2 and p.29).</w:t>
      </w:r>
      <w:r w:rsidR="00BA2109">
        <w:rPr>
          <w:sz w:val="24"/>
          <w:szCs w:val="24"/>
        </w:rPr>
        <w:t xml:space="preserve"> </w:t>
      </w:r>
    </w:p>
    <w:p w14:paraId="7C481B16" w14:textId="77777777" w:rsidR="00BA2109" w:rsidRDefault="00BA2109" w:rsidP="00BA2109">
      <w:pPr>
        <w:pStyle w:val="ListParagraph"/>
        <w:ind w:left="426"/>
        <w:jc w:val="both"/>
        <w:rPr>
          <w:sz w:val="24"/>
          <w:szCs w:val="24"/>
        </w:rPr>
      </w:pPr>
    </w:p>
    <w:p w14:paraId="102A4445" w14:textId="2998F6C8" w:rsidR="00D64F7D" w:rsidRPr="00BA2109" w:rsidRDefault="00BA2109" w:rsidP="00BA2109">
      <w:pPr>
        <w:pStyle w:val="ListParagraph"/>
        <w:numPr>
          <w:ilvl w:val="0"/>
          <w:numId w:val="7"/>
        </w:numPr>
        <w:ind w:left="426" w:hanging="426"/>
        <w:jc w:val="both"/>
        <w:rPr>
          <w:sz w:val="24"/>
          <w:szCs w:val="24"/>
        </w:rPr>
      </w:pPr>
      <w:r>
        <w:rPr>
          <w:sz w:val="24"/>
          <w:szCs w:val="24"/>
        </w:rPr>
        <w:t>R</w:t>
      </w:r>
      <w:r w:rsidR="004B3700" w:rsidRPr="00BA2109">
        <w:rPr>
          <w:sz w:val="24"/>
          <w:szCs w:val="24"/>
        </w:rPr>
        <w:t xml:space="preserve">ecognizing </w:t>
      </w:r>
      <w:r>
        <w:rPr>
          <w:sz w:val="24"/>
          <w:szCs w:val="24"/>
        </w:rPr>
        <w:t>such an inclusive definition</w:t>
      </w:r>
      <w:r w:rsidR="004B3700" w:rsidRPr="00BA2109">
        <w:rPr>
          <w:sz w:val="24"/>
          <w:szCs w:val="24"/>
        </w:rPr>
        <w:t xml:space="preserve"> simply shifts attention to appropriate scrutiny of any restrictions imposed</w:t>
      </w:r>
      <w:r>
        <w:rPr>
          <w:sz w:val="24"/>
          <w:szCs w:val="24"/>
        </w:rPr>
        <w:t xml:space="preserve"> and </w:t>
      </w:r>
      <w:r w:rsidR="00FD10F7" w:rsidRPr="00BA2109">
        <w:rPr>
          <w:sz w:val="24"/>
          <w:szCs w:val="24"/>
        </w:rPr>
        <w:t>avoid</w:t>
      </w:r>
      <w:r>
        <w:rPr>
          <w:sz w:val="24"/>
          <w:szCs w:val="24"/>
        </w:rPr>
        <w:t>s</w:t>
      </w:r>
      <w:r w:rsidR="00FD10F7" w:rsidRPr="00BA2109">
        <w:rPr>
          <w:sz w:val="24"/>
          <w:szCs w:val="24"/>
        </w:rPr>
        <w:t xml:space="preserve"> ‘double-dip’ restriction</w:t>
      </w:r>
      <w:r>
        <w:rPr>
          <w:sz w:val="24"/>
          <w:szCs w:val="24"/>
        </w:rPr>
        <w:t>: F</w:t>
      </w:r>
      <w:r w:rsidR="00FD10F7" w:rsidRPr="00BA2109">
        <w:rPr>
          <w:sz w:val="24"/>
          <w:szCs w:val="24"/>
        </w:rPr>
        <w:t>actors relating to the justification of restrictions – including, as discussed above, the property rights of others that might be engaged, or the impact on the rights of others caused by conduct which might incite hostility or discrimination – should not be collapsed into the definitional parameters of the right.</w:t>
      </w:r>
    </w:p>
    <w:p w14:paraId="1D161A64" w14:textId="77777777" w:rsidR="00C2177E" w:rsidRDefault="00C2177E" w:rsidP="001824C6">
      <w:pPr>
        <w:ind w:left="360"/>
        <w:rPr>
          <w:sz w:val="24"/>
          <w:szCs w:val="24"/>
        </w:rPr>
      </w:pPr>
    </w:p>
    <w:p w14:paraId="43498E05" w14:textId="767B4885" w:rsidR="001824C6" w:rsidRDefault="00C2177E" w:rsidP="00C2177E">
      <w:pPr>
        <w:spacing w:after="0" w:line="240" w:lineRule="auto"/>
        <w:ind w:left="357"/>
        <w:jc w:val="right"/>
        <w:rPr>
          <w:sz w:val="24"/>
          <w:szCs w:val="24"/>
        </w:rPr>
      </w:pPr>
      <w:r>
        <w:rPr>
          <w:sz w:val="24"/>
          <w:szCs w:val="24"/>
        </w:rPr>
        <w:t>Michael Hamilton</w:t>
      </w:r>
    </w:p>
    <w:p w14:paraId="7299FA6B" w14:textId="50F757B9" w:rsidR="00195177" w:rsidRDefault="00195177" w:rsidP="00C2177E">
      <w:pPr>
        <w:spacing w:after="0" w:line="240" w:lineRule="auto"/>
        <w:ind w:left="357"/>
        <w:jc w:val="right"/>
        <w:rPr>
          <w:sz w:val="24"/>
          <w:szCs w:val="24"/>
        </w:rPr>
      </w:pPr>
      <w:r>
        <w:rPr>
          <w:sz w:val="24"/>
          <w:szCs w:val="24"/>
        </w:rPr>
        <w:t>UEA Law School</w:t>
      </w:r>
    </w:p>
    <w:p w14:paraId="2204FC5E" w14:textId="02C6960A" w:rsidR="00C2177E" w:rsidRDefault="00C2177E" w:rsidP="00C2177E">
      <w:pPr>
        <w:spacing w:after="0" w:line="240" w:lineRule="auto"/>
        <w:ind w:left="357"/>
        <w:jc w:val="right"/>
        <w:rPr>
          <w:sz w:val="24"/>
          <w:szCs w:val="24"/>
        </w:rPr>
      </w:pPr>
      <w:r>
        <w:rPr>
          <w:sz w:val="24"/>
          <w:szCs w:val="24"/>
        </w:rPr>
        <w:t>21 February 2020</w:t>
      </w:r>
    </w:p>
    <w:p w14:paraId="4BEACB8A" w14:textId="77777777" w:rsidR="001824C6" w:rsidRPr="001824C6" w:rsidRDefault="001824C6" w:rsidP="001824C6">
      <w:pPr>
        <w:ind w:left="360"/>
        <w:rPr>
          <w:sz w:val="24"/>
          <w:szCs w:val="24"/>
        </w:rPr>
      </w:pPr>
    </w:p>
    <w:sectPr w:rsidR="001824C6" w:rsidRPr="001824C6">
      <w:headerReference w:type="default" r:id="rId36"/>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8D7BB" w14:textId="77777777" w:rsidR="00656C27" w:rsidRDefault="00656C27" w:rsidP="000F5E61">
      <w:pPr>
        <w:spacing w:after="0" w:line="240" w:lineRule="auto"/>
      </w:pPr>
      <w:r>
        <w:separator/>
      </w:r>
    </w:p>
  </w:endnote>
  <w:endnote w:type="continuationSeparator" w:id="0">
    <w:p w14:paraId="5A3A6350" w14:textId="77777777" w:rsidR="00656C27" w:rsidRDefault="00656C27" w:rsidP="000F5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020103"/>
      <w:docPartObj>
        <w:docPartGallery w:val="Page Numbers (Bottom of Page)"/>
        <w:docPartUnique/>
      </w:docPartObj>
    </w:sdtPr>
    <w:sdtEndPr>
      <w:rPr>
        <w:noProof/>
      </w:rPr>
    </w:sdtEndPr>
    <w:sdtContent>
      <w:p w14:paraId="2B511A4C" w14:textId="0D314690" w:rsidR="0004118F" w:rsidRDefault="0004118F">
        <w:pPr>
          <w:pStyle w:val="Footer"/>
          <w:jc w:val="right"/>
        </w:pPr>
        <w:r>
          <w:fldChar w:fldCharType="begin"/>
        </w:r>
        <w:r>
          <w:instrText xml:space="preserve"> PAGE   \* MERGEFORMAT </w:instrText>
        </w:r>
        <w:r>
          <w:fldChar w:fldCharType="separate"/>
        </w:r>
        <w:r w:rsidR="007F6FC9">
          <w:rPr>
            <w:noProof/>
          </w:rPr>
          <w:t>1</w:t>
        </w:r>
        <w:r>
          <w:rPr>
            <w:noProof/>
          </w:rPr>
          <w:fldChar w:fldCharType="end"/>
        </w:r>
      </w:p>
    </w:sdtContent>
  </w:sdt>
  <w:p w14:paraId="75670C2D" w14:textId="77777777" w:rsidR="0004118F" w:rsidRDefault="00041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1720C" w14:textId="77777777" w:rsidR="00656C27" w:rsidRDefault="00656C27" w:rsidP="000F5E61">
      <w:pPr>
        <w:spacing w:after="0" w:line="240" w:lineRule="auto"/>
      </w:pPr>
      <w:r>
        <w:separator/>
      </w:r>
    </w:p>
  </w:footnote>
  <w:footnote w:type="continuationSeparator" w:id="0">
    <w:p w14:paraId="77657A0A" w14:textId="77777777" w:rsidR="00656C27" w:rsidRDefault="00656C27" w:rsidP="000F5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9AA42" w14:textId="0F49A984" w:rsidR="0004118F" w:rsidRDefault="0004118F" w:rsidP="00B7347F">
    <w:pPr>
      <w:pStyle w:val="Header"/>
      <w:rPr>
        <w:lang w:val="en-IE"/>
      </w:rPr>
    </w:pPr>
    <w:r>
      <w:rPr>
        <w:lang w:val="en-IE"/>
      </w:rPr>
      <w:t>21 February 2020</w:t>
    </w:r>
    <w:r>
      <w:rPr>
        <w:lang w:val="en-IE"/>
      </w:rPr>
      <w:tab/>
    </w:r>
    <w:r>
      <w:rPr>
        <w:lang w:val="en-IE"/>
      </w:rPr>
      <w:tab/>
      <w:t>Michael Hamilton</w:t>
    </w:r>
  </w:p>
  <w:p w14:paraId="21B3F83C" w14:textId="4776ED96" w:rsidR="0004118F" w:rsidRDefault="0004118F" w:rsidP="00B7347F">
    <w:pPr>
      <w:pStyle w:val="Header"/>
      <w:jc w:val="right"/>
      <w:rPr>
        <w:lang w:val="en-IE"/>
      </w:rPr>
    </w:pPr>
    <w:r>
      <w:rPr>
        <w:lang w:val="en-IE"/>
      </w:rPr>
      <w:t>Associate Professor of Public Protest Law</w:t>
    </w:r>
  </w:p>
  <w:p w14:paraId="38857D5E" w14:textId="4C807410" w:rsidR="0004118F" w:rsidRDefault="0004118F" w:rsidP="00B7347F">
    <w:pPr>
      <w:pStyle w:val="Header"/>
      <w:jc w:val="right"/>
      <w:rPr>
        <w:lang w:val="en-IE"/>
      </w:rPr>
    </w:pPr>
    <w:r>
      <w:rPr>
        <w:lang w:val="en-IE"/>
      </w:rPr>
      <w:t>University of East Anglia</w:t>
    </w:r>
  </w:p>
  <w:p w14:paraId="76F15EB4" w14:textId="77777777" w:rsidR="0004118F" w:rsidRPr="00173086" w:rsidRDefault="0004118F">
    <w:pPr>
      <w:pStyle w:val="Header"/>
      <w:rPr>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C88"/>
    <w:multiLevelType w:val="hybridMultilevel"/>
    <w:tmpl w:val="BA68AF2C"/>
    <w:lvl w:ilvl="0" w:tplc="D9A06248">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FC6F48"/>
    <w:multiLevelType w:val="hybridMultilevel"/>
    <w:tmpl w:val="9B70849A"/>
    <w:lvl w:ilvl="0" w:tplc="C2E8B8AE">
      <w:start w:val="64"/>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350110"/>
    <w:multiLevelType w:val="hybridMultilevel"/>
    <w:tmpl w:val="70A25200"/>
    <w:lvl w:ilvl="0" w:tplc="5DCE0224">
      <w:start w:val="64"/>
      <w:numFmt w:val="bullet"/>
      <w:lvlText w:val="-"/>
      <w:lvlJc w:val="left"/>
      <w:pPr>
        <w:ind w:left="720" w:hanging="36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0D34DF"/>
    <w:multiLevelType w:val="hybridMultilevel"/>
    <w:tmpl w:val="5DFABE18"/>
    <w:lvl w:ilvl="0" w:tplc="FAB461AC">
      <w:start w:val="1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BA227FF"/>
    <w:multiLevelType w:val="hybridMultilevel"/>
    <w:tmpl w:val="BAACCA42"/>
    <w:lvl w:ilvl="0" w:tplc="AC1C4E0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EB1D38"/>
    <w:multiLevelType w:val="multilevel"/>
    <w:tmpl w:val="658073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876E3C"/>
    <w:multiLevelType w:val="hybridMultilevel"/>
    <w:tmpl w:val="791E06F2"/>
    <w:lvl w:ilvl="0" w:tplc="124A12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2A315F"/>
    <w:multiLevelType w:val="hybridMultilevel"/>
    <w:tmpl w:val="8FEE0470"/>
    <w:lvl w:ilvl="0" w:tplc="A8FE8D76">
      <w:start w:val="1"/>
      <w:numFmt w:val="lowerRoman"/>
      <w:lvlText w:val="%1)"/>
      <w:lvlJc w:val="left"/>
      <w:pPr>
        <w:ind w:left="1146" w:hanging="720"/>
      </w:pPr>
      <w:rPr>
        <w:rFonts w:hint="default"/>
        <w:b w:val="0"/>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8" w15:restartNumberingAfterBreak="0">
    <w:nsid w:val="39E25B94"/>
    <w:multiLevelType w:val="multilevel"/>
    <w:tmpl w:val="2C228A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E7023B"/>
    <w:multiLevelType w:val="multilevel"/>
    <w:tmpl w:val="8E1E8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BD09B2"/>
    <w:multiLevelType w:val="hybridMultilevel"/>
    <w:tmpl w:val="819E31C2"/>
    <w:lvl w:ilvl="0" w:tplc="326A5C6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46B428E"/>
    <w:multiLevelType w:val="hybridMultilevel"/>
    <w:tmpl w:val="3AE82EE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5DE5EB4"/>
    <w:multiLevelType w:val="hybridMultilevel"/>
    <w:tmpl w:val="819E31C2"/>
    <w:lvl w:ilvl="0" w:tplc="326A5C6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6651917"/>
    <w:multiLevelType w:val="multilevel"/>
    <w:tmpl w:val="7D06B1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B474C4"/>
    <w:multiLevelType w:val="hybridMultilevel"/>
    <w:tmpl w:val="819E31C2"/>
    <w:lvl w:ilvl="0" w:tplc="326A5C6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D2228BC"/>
    <w:multiLevelType w:val="hybridMultilevel"/>
    <w:tmpl w:val="621C6772"/>
    <w:lvl w:ilvl="0" w:tplc="6BE474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736883"/>
    <w:multiLevelType w:val="hybridMultilevel"/>
    <w:tmpl w:val="A4FCC0E8"/>
    <w:lvl w:ilvl="0" w:tplc="1D06F308">
      <w:start w:val="1"/>
      <w:numFmt w:val="decimal"/>
      <w:lvlText w:val="%1."/>
      <w:lvlJc w:val="left"/>
      <w:pPr>
        <w:ind w:left="1070" w:hanging="360"/>
      </w:pPr>
      <w:rPr>
        <w:rFonts w:hint="default"/>
        <w:b w:val="0"/>
        <w:bCs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3317704"/>
    <w:multiLevelType w:val="hybridMultilevel"/>
    <w:tmpl w:val="E6724378"/>
    <w:lvl w:ilvl="0" w:tplc="45E83258">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2"/>
  </w:num>
  <w:num w:numId="4">
    <w:abstractNumId w:val="1"/>
  </w:num>
  <w:num w:numId="5">
    <w:abstractNumId w:val="17"/>
  </w:num>
  <w:num w:numId="6">
    <w:abstractNumId w:val="0"/>
  </w:num>
  <w:num w:numId="7">
    <w:abstractNumId w:val="16"/>
  </w:num>
  <w:num w:numId="8">
    <w:abstractNumId w:val="10"/>
  </w:num>
  <w:num w:numId="9">
    <w:abstractNumId w:val="14"/>
  </w:num>
  <w:num w:numId="10">
    <w:abstractNumId w:val="12"/>
  </w:num>
  <w:num w:numId="11">
    <w:abstractNumId w:val="3"/>
  </w:num>
  <w:num w:numId="12">
    <w:abstractNumId w:val="7"/>
  </w:num>
  <w:num w:numId="13">
    <w:abstractNumId w:val="9"/>
  </w:num>
  <w:num w:numId="14">
    <w:abstractNumId w:val="5"/>
  </w:num>
  <w:num w:numId="15">
    <w:abstractNumId w:val="13"/>
  </w:num>
  <w:num w:numId="16">
    <w:abstractNumId w:val="8"/>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D0E"/>
    <w:rsid w:val="00020A43"/>
    <w:rsid w:val="000220AA"/>
    <w:rsid w:val="000261DA"/>
    <w:rsid w:val="00032108"/>
    <w:rsid w:val="0004118F"/>
    <w:rsid w:val="00041B23"/>
    <w:rsid w:val="000561BA"/>
    <w:rsid w:val="000624DA"/>
    <w:rsid w:val="000776CF"/>
    <w:rsid w:val="0008097D"/>
    <w:rsid w:val="00083A11"/>
    <w:rsid w:val="0008763C"/>
    <w:rsid w:val="00097F11"/>
    <w:rsid w:val="000A33A6"/>
    <w:rsid w:val="000A3864"/>
    <w:rsid w:val="000A3BFD"/>
    <w:rsid w:val="000A6757"/>
    <w:rsid w:val="000B04CB"/>
    <w:rsid w:val="000D081A"/>
    <w:rsid w:val="000E2AA3"/>
    <w:rsid w:val="000F0FDB"/>
    <w:rsid w:val="000F3BC3"/>
    <w:rsid w:val="000F5E61"/>
    <w:rsid w:val="00106479"/>
    <w:rsid w:val="0011198C"/>
    <w:rsid w:val="00115980"/>
    <w:rsid w:val="001367AF"/>
    <w:rsid w:val="00140BBF"/>
    <w:rsid w:val="00144F85"/>
    <w:rsid w:val="001603BE"/>
    <w:rsid w:val="001657E9"/>
    <w:rsid w:val="00165849"/>
    <w:rsid w:val="00165ECF"/>
    <w:rsid w:val="00173086"/>
    <w:rsid w:val="001824C6"/>
    <w:rsid w:val="0018519B"/>
    <w:rsid w:val="00191784"/>
    <w:rsid w:val="00194D99"/>
    <w:rsid w:val="00195177"/>
    <w:rsid w:val="001961D9"/>
    <w:rsid w:val="001B3F1E"/>
    <w:rsid w:val="001B4488"/>
    <w:rsid w:val="001C1D0E"/>
    <w:rsid w:val="001C2098"/>
    <w:rsid w:val="001D70BD"/>
    <w:rsid w:val="001D7A2E"/>
    <w:rsid w:val="0021309E"/>
    <w:rsid w:val="00222556"/>
    <w:rsid w:val="002526C2"/>
    <w:rsid w:val="00264033"/>
    <w:rsid w:val="00270C80"/>
    <w:rsid w:val="00273569"/>
    <w:rsid w:val="00286F57"/>
    <w:rsid w:val="002929F0"/>
    <w:rsid w:val="00297458"/>
    <w:rsid w:val="002A2155"/>
    <w:rsid w:val="002B6460"/>
    <w:rsid w:val="002C1134"/>
    <w:rsid w:val="002E4153"/>
    <w:rsid w:val="002E4F52"/>
    <w:rsid w:val="002E5C9C"/>
    <w:rsid w:val="002F48BB"/>
    <w:rsid w:val="00300A47"/>
    <w:rsid w:val="00311D7A"/>
    <w:rsid w:val="00313CA7"/>
    <w:rsid w:val="003255F8"/>
    <w:rsid w:val="00326107"/>
    <w:rsid w:val="003416F5"/>
    <w:rsid w:val="0035791B"/>
    <w:rsid w:val="00383A01"/>
    <w:rsid w:val="00390630"/>
    <w:rsid w:val="003919B4"/>
    <w:rsid w:val="003A271D"/>
    <w:rsid w:val="003E4C4D"/>
    <w:rsid w:val="004007FF"/>
    <w:rsid w:val="004112E9"/>
    <w:rsid w:val="00411E61"/>
    <w:rsid w:val="004152F6"/>
    <w:rsid w:val="00417FB6"/>
    <w:rsid w:val="004259C4"/>
    <w:rsid w:val="0043180B"/>
    <w:rsid w:val="00431B1D"/>
    <w:rsid w:val="00432A27"/>
    <w:rsid w:val="00434F70"/>
    <w:rsid w:val="004355F4"/>
    <w:rsid w:val="00440390"/>
    <w:rsid w:val="0046680D"/>
    <w:rsid w:val="00467B03"/>
    <w:rsid w:val="00473564"/>
    <w:rsid w:val="004879CB"/>
    <w:rsid w:val="00491F5F"/>
    <w:rsid w:val="0049291E"/>
    <w:rsid w:val="00493B3E"/>
    <w:rsid w:val="004B2185"/>
    <w:rsid w:val="004B3700"/>
    <w:rsid w:val="004B7CAC"/>
    <w:rsid w:val="004C66B9"/>
    <w:rsid w:val="004D03D6"/>
    <w:rsid w:val="004F7CF1"/>
    <w:rsid w:val="00511A1F"/>
    <w:rsid w:val="0052122E"/>
    <w:rsid w:val="0053512B"/>
    <w:rsid w:val="0055446B"/>
    <w:rsid w:val="0055718C"/>
    <w:rsid w:val="00565D3C"/>
    <w:rsid w:val="005719E6"/>
    <w:rsid w:val="0057347A"/>
    <w:rsid w:val="00583FCC"/>
    <w:rsid w:val="00593A32"/>
    <w:rsid w:val="005E4AD6"/>
    <w:rsid w:val="005F6834"/>
    <w:rsid w:val="005F6F41"/>
    <w:rsid w:val="005F78B3"/>
    <w:rsid w:val="005F7E74"/>
    <w:rsid w:val="00601454"/>
    <w:rsid w:val="0061314A"/>
    <w:rsid w:val="0064051D"/>
    <w:rsid w:val="00641A81"/>
    <w:rsid w:val="00641F86"/>
    <w:rsid w:val="00646D0F"/>
    <w:rsid w:val="00656C27"/>
    <w:rsid w:val="00666CBD"/>
    <w:rsid w:val="006710DA"/>
    <w:rsid w:val="006A5864"/>
    <w:rsid w:val="006D7C60"/>
    <w:rsid w:val="006E45C8"/>
    <w:rsid w:val="00714C97"/>
    <w:rsid w:val="00723019"/>
    <w:rsid w:val="00723392"/>
    <w:rsid w:val="00730B48"/>
    <w:rsid w:val="00732D3F"/>
    <w:rsid w:val="00734866"/>
    <w:rsid w:val="007421FF"/>
    <w:rsid w:val="00743619"/>
    <w:rsid w:val="007670D6"/>
    <w:rsid w:val="007718B4"/>
    <w:rsid w:val="00773D06"/>
    <w:rsid w:val="0078090C"/>
    <w:rsid w:val="007A38F3"/>
    <w:rsid w:val="007B775B"/>
    <w:rsid w:val="007D4F28"/>
    <w:rsid w:val="007E004A"/>
    <w:rsid w:val="007E7EB6"/>
    <w:rsid w:val="007F6FC9"/>
    <w:rsid w:val="00815F05"/>
    <w:rsid w:val="008215F5"/>
    <w:rsid w:val="008323FB"/>
    <w:rsid w:val="008333FB"/>
    <w:rsid w:val="00834C5A"/>
    <w:rsid w:val="00836EC1"/>
    <w:rsid w:val="00846B2D"/>
    <w:rsid w:val="00862ACA"/>
    <w:rsid w:val="0086360F"/>
    <w:rsid w:val="008812CF"/>
    <w:rsid w:val="008A2C0C"/>
    <w:rsid w:val="008A5DAF"/>
    <w:rsid w:val="008A7CD8"/>
    <w:rsid w:val="008D3A9B"/>
    <w:rsid w:val="008E0555"/>
    <w:rsid w:val="00903CD0"/>
    <w:rsid w:val="00911E66"/>
    <w:rsid w:val="00912D53"/>
    <w:rsid w:val="00915CB1"/>
    <w:rsid w:val="00930573"/>
    <w:rsid w:val="00953532"/>
    <w:rsid w:val="00955312"/>
    <w:rsid w:val="009567C0"/>
    <w:rsid w:val="00966E28"/>
    <w:rsid w:val="0097373C"/>
    <w:rsid w:val="009778DD"/>
    <w:rsid w:val="00980144"/>
    <w:rsid w:val="009866E7"/>
    <w:rsid w:val="009871BF"/>
    <w:rsid w:val="00987CCF"/>
    <w:rsid w:val="009959C4"/>
    <w:rsid w:val="009A3A0A"/>
    <w:rsid w:val="009B712F"/>
    <w:rsid w:val="009C456E"/>
    <w:rsid w:val="009C7CFF"/>
    <w:rsid w:val="009D1776"/>
    <w:rsid w:val="009D25C7"/>
    <w:rsid w:val="009E3CD6"/>
    <w:rsid w:val="009F19FF"/>
    <w:rsid w:val="009F4FC5"/>
    <w:rsid w:val="009F7182"/>
    <w:rsid w:val="00A051D1"/>
    <w:rsid w:val="00A10F0A"/>
    <w:rsid w:val="00A25A61"/>
    <w:rsid w:val="00A26EF0"/>
    <w:rsid w:val="00A41A38"/>
    <w:rsid w:val="00A57C32"/>
    <w:rsid w:val="00A601E0"/>
    <w:rsid w:val="00A7018D"/>
    <w:rsid w:val="00A7405A"/>
    <w:rsid w:val="00A96450"/>
    <w:rsid w:val="00AA09F7"/>
    <w:rsid w:val="00AA454B"/>
    <w:rsid w:val="00B161DF"/>
    <w:rsid w:val="00B33FC2"/>
    <w:rsid w:val="00B5798B"/>
    <w:rsid w:val="00B616F1"/>
    <w:rsid w:val="00B6759A"/>
    <w:rsid w:val="00B7347F"/>
    <w:rsid w:val="00B970D5"/>
    <w:rsid w:val="00BA15E2"/>
    <w:rsid w:val="00BA2109"/>
    <w:rsid w:val="00BB5791"/>
    <w:rsid w:val="00BC1E82"/>
    <w:rsid w:val="00BC3654"/>
    <w:rsid w:val="00BD2C64"/>
    <w:rsid w:val="00BD3699"/>
    <w:rsid w:val="00BD3D6C"/>
    <w:rsid w:val="00BE693C"/>
    <w:rsid w:val="00C12B92"/>
    <w:rsid w:val="00C1646A"/>
    <w:rsid w:val="00C2177E"/>
    <w:rsid w:val="00C32ACD"/>
    <w:rsid w:val="00C472EF"/>
    <w:rsid w:val="00C573ED"/>
    <w:rsid w:val="00C70D4B"/>
    <w:rsid w:val="00C90A3E"/>
    <w:rsid w:val="00CA1D71"/>
    <w:rsid w:val="00CB2E41"/>
    <w:rsid w:val="00CC2045"/>
    <w:rsid w:val="00CC698F"/>
    <w:rsid w:val="00CD642C"/>
    <w:rsid w:val="00CD67A8"/>
    <w:rsid w:val="00D30050"/>
    <w:rsid w:val="00D37A7B"/>
    <w:rsid w:val="00D51963"/>
    <w:rsid w:val="00D528CB"/>
    <w:rsid w:val="00D572D8"/>
    <w:rsid w:val="00D64F7D"/>
    <w:rsid w:val="00D81CE2"/>
    <w:rsid w:val="00D83FC4"/>
    <w:rsid w:val="00D949BE"/>
    <w:rsid w:val="00DA5BCF"/>
    <w:rsid w:val="00DB79AC"/>
    <w:rsid w:val="00DC3095"/>
    <w:rsid w:val="00DD0B27"/>
    <w:rsid w:val="00DD0DF8"/>
    <w:rsid w:val="00DD42C8"/>
    <w:rsid w:val="00DD4DFF"/>
    <w:rsid w:val="00DE2179"/>
    <w:rsid w:val="00DE4A78"/>
    <w:rsid w:val="00DE7F20"/>
    <w:rsid w:val="00E04802"/>
    <w:rsid w:val="00E17348"/>
    <w:rsid w:val="00E46EAF"/>
    <w:rsid w:val="00E813F8"/>
    <w:rsid w:val="00E97AA7"/>
    <w:rsid w:val="00EA24D1"/>
    <w:rsid w:val="00EB7F20"/>
    <w:rsid w:val="00EC3C9D"/>
    <w:rsid w:val="00ED1B74"/>
    <w:rsid w:val="00EF398F"/>
    <w:rsid w:val="00EF3AD7"/>
    <w:rsid w:val="00F14E6F"/>
    <w:rsid w:val="00F24A90"/>
    <w:rsid w:val="00F463DC"/>
    <w:rsid w:val="00F54EB6"/>
    <w:rsid w:val="00F55CA4"/>
    <w:rsid w:val="00F56325"/>
    <w:rsid w:val="00F5673A"/>
    <w:rsid w:val="00F66E55"/>
    <w:rsid w:val="00F75C8C"/>
    <w:rsid w:val="00F8296D"/>
    <w:rsid w:val="00F82E3B"/>
    <w:rsid w:val="00F91142"/>
    <w:rsid w:val="00F97EF1"/>
    <w:rsid w:val="00FA4446"/>
    <w:rsid w:val="00FB0632"/>
    <w:rsid w:val="00FB4097"/>
    <w:rsid w:val="00FB4DA0"/>
    <w:rsid w:val="00FD10F7"/>
    <w:rsid w:val="00FE0687"/>
    <w:rsid w:val="00FF4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9C29"/>
  <w15:chartTrackingRefBased/>
  <w15:docId w15:val="{0A4D6BA8-B1C4-45B8-BADE-279CB69B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1D0E"/>
    <w:rPr>
      <w:color w:val="0000FF"/>
      <w:u w:val="single"/>
    </w:rPr>
  </w:style>
  <w:style w:type="paragraph" w:styleId="ListParagraph">
    <w:name w:val="List Paragraph"/>
    <w:basedOn w:val="Normal"/>
    <w:uiPriority w:val="34"/>
    <w:qFormat/>
    <w:rsid w:val="001C1D0E"/>
    <w:pPr>
      <w:ind w:left="720"/>
      <w:contextualSpacing/>
    </w:pPr>
  </w:style>
  <w:style w:type="paragraph" w:styleId="FootnoteText">
    <w:name w:val="footnote text"/>
    <w:aliases w:val="5_G,Footnote Text Char1,Footnote Text Char Char,Footnote Text Char1 Char Char,Footnote Text Char Char Char Char,Footnote Text Char Char1,Footnote Text Char Char Char,Footnote Text Char Char Char Char Char Char Char"/>
    <w:basedOn w:val="Normal"/>
    <w:link w:val="FootnoteTextChar"/>
    <w:uiPriority w:val="99"/>
    <w:unhideWhenUsed/>
    <w:qFormat/>
    <w:rsid w:val="00383A01"/>
    <w:pPr>
      <w:spacing w:after="0" w:line="240" w:lineRule="auto"/>
    </w:pPr>
    <w:rPr>
      <w:rFonts w:ascii="Times New Roman" w:hAnsi="Times New Roman" w:cs="Times New Roman"/>
      <w:sz w:val="20"/>
      <w:szCs w:val="20"/>
      <w:lang w:val="en-IE"/>
    </w:rPr>
  </w:style>
  <w:style w:type="character" w:customStyle="1" w:styleId="FootnoteTextChar">
    <w:name w:val="Footnote Text Char"/>
    <w:aliases w:val="5_G Char,Footnote Text Char1 Char,Footnote Text Char Char Char1,Footnote Text Char1 Char Char Char,Footnote Text Char Char Char Char Char,Footnote Text Char Char1 Char,Footnote Text Char Char Char Char1"/>
    <w:basedOn w:val="DefaultParagraphFont"/>
    <w:link w:val="FootnoteText"/>
    <w:uiPriority w:val="99"/>
    <w:rsid w:val="00383A01"/>
    <w:rPr>
      <w:rFonts w:ascii="Times New Roman" w:hAnsi="Times New Roman" w:cs="Times New Roman"/>
      <w:sz w:val="20"/>
      <w:szCs w:val="20"/>
      <w:lang w:val="en-IE"/>
    </w:rPr>
  </w:style>
  <w:style w:type="character" w:styleId="FootnoteReference">
    <w:name w:val="footnote reference"/>
    <w:aliases w:val="4_G,Footnotes refss,Texto de nota al pie,Appel note de bas de page,Footnote number,referencia nota al pie,BVI fnr,f,ftref"/>
    <w:basedOn w:val="DefaultParagraphFont"/>
    <w:unhideWhenUsed/>
    <w:qFormat/>
    <w:rsid w:val="00383A01"/>
    <w:rPr>
      <w:vertAlign w:val="superscript"/>
    </w:rPr>
  </w:style>
  <w:style w:type="paragraph" w:styleId="BalloonText">
    <w:name w:val="Balloon Text"/>
    <w:basedOn w:val="Normal"/>
    <w:link w:val="BalloonTextChar"/>
    <w:uiPriority w:val="99"/>
    <w:semiHidden/>
    <w:unhideWhenUsed/>
    <w:rsid w:val="00032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108"/>
    <w:rPr>
      <w:rFonts w:ascii="Segoe UI" w:hAnsi="Segoe UI" w:cs="Segoe UI"/>
      <w:sz w:val="18"/>
      <w:szCs w:val="18"/>
    </w:rPr>
  </w:style>
  <w:style w:type="character" w:customStyle="1" w:styleId="UnresolvedMention">
    <w:name w:val="Unresolved Mention"/>
    <w:basedOn w:val="DefaultParagraphFont"/>
    <w:uiPriority w:val="99"/>
    <w:semiHidden/>
    <w:unhideWhenUsed/>
    <w:rsid w:val="00836EC1"/>
    <w:rPr>
      <w:color w:val="605E5C"/>
      <w:shd w:val="clear" w:color="auto" w:fill="E1DFDD"/>
    </w:rPr>
  </w:style>
  <w:style w:type="character" w:styleId="FollowedHyperlink">
    <w:name w:val="FollowedHyperlink"/>
    <w:basedOn w:val="DefaultParagraphFont"/>
    <w:uiPriority w:val="99"/>
    <w:semiHidden/>
    <w:unhideWhenUsed/>
    <w:rsid w:val="00D83FC4"/>
    <w:rPr>
      <w:color w:val="954F72" w:themeColor="followedHyperlink"/>
      <w:u w:val="single"/>
    </w:rPr>
  </w:style>
  <w:style w:type="paragraph" w:styleId="CommentText">
    <w:name w:val="annotation text"/>
    <w:basedOn w:val="Normal"/>
    <w:link w:val="CommentTextChar"/>
    <w:uiPriority w:val="99"/>
    <w:unhideWhenUsed/>
    <w:rsid w:val="006E45C8"/>
    <w:pPr>
      <w:suppressAutoHyphens/>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E45C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73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086"/>
  </w:style>
  <w:style w:type="paragraph" w:styleId="Footer">
    <w:name w:val="footer"/>
    <w:basedOn w:val="Normal"/>
    <w:link w:val="FooterChar"/>
    <w:uiPriority w:val="99"/>
    <w:unhideWhenUsed/>
    <w:rsid w:val="00173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086"/>
  </w:style>
  <w:style w:type="character" w:customStyle="1" w:styleId="apple-converted-space">
    <w:name w:val="apple-converted-space"/>
    <w:basedOn w:val="DefaultParagraphFont"/>
    <w:rsid w:val="001C2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471648">
      <w:bodyDiv w:val="1"/>
      <w:marLeft w:val="0"/>
      <w:marRight w:val="0"/>
      <w:marTop w:val="0"/>
      <w:marBottom w:val="0"/>
      <w:divBdr>
        <w:top w:val="none" w:sz="0" w:space="0" w:color="auto"/>
        <w:left w:val="none" w:sz="0" w:space="0" w:color="auto"/>
        <w:bottom w:val="none" w:sz="0" w:space="0" w:color="auto"/>
        <w:right w:val="none" w:sz="0" w:space="0" w:color="auto"/>
      </w:divBdr>
    </w:div>
    <w:div w:id="199730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uitspraken.rechtspraak.nl/" TargetMode="External"/><Relationship Id="rId18" Type="http://schemas.openxmlformats.org/officeDocument/2006/relationships/hyperlink" Target="https://www.mediapart.fr/journal/france/180119/toulouse-la-police-dans-la-mire-d-un-observatoire-civil" TargetMode="External"/><Relationship Id="rId26" Type="http://schemas.openxmlformats.org/officeDocument/2006/relationships/hyperlink" Target="https://www.venice.coe.int/webforms/documents/?pdf=CDL-AD(2019)017-e" TargetMode="External"/><Relationship Id="rId39" Type="http://schemas.openxmlformats.org/officeDocument/2006/relationships/theme" Target="theme/theme1.xml"/><Relationship Id="rId21" Type="http://schemas.openxmlformats.org/officeDocument/2006/relationships/hyperlink" Target="https://www.aljazeera.com/news/2019/11/anger-hong-kong-police-detain-medics-providing-protest-care-191127065150772.html" TargetMode="External"/><Relationship Id="rId34" Type="http://schemas.openxmlformats.org/officeDocument/2006/relationships/hyperlink" Target="https://www.ohchr.org/Documents/HRBodies/HRCouncil/RegularSession/Session20/A-HRC-20-27_en.pdf" TargetMode="External"/><Relationship Id="rId42" Type="http://schemas.openxmlformats.org/officeDocument/2006/relationships/customXml" Target="../customXml/item3.xml"/><Relationship Id="rId7" Type="http://schemas.openxmlformats.org/officeDocument/2006/relationships/hyperlink" Target="https://www.ohchr.org/Documents/HRBodies/CCPR/GC37/MichaelHamilton.pdf" TargetMode="External"/><Relationship Id="rId2" Type="http://schemas.openxmlformats.org/officeDocument/2006/relationships/styles" Target="styles.xml"/><Relationship Id="rId16" Type="http://schemas.openxmlformats.org/officeDocument/2006/relationships/hyperlink" Target="https://www.theguardian.com/environment/2019/apr/18/extinction-rebellion-trio-charged-train-protest-canary-wharf?CMP=Share_iOSApp_Other" TargetMode="External"/><Relationship Id="rId20" Type="http://schemas.openxmlformats.org/officeDocument/2006/relationships/hyperlink" Target="http://www.unicornriot.ninja/wp-content/uploads/2016/11/9-14-16-email-attachment-Crowd-Control.pdf" TargetMode="External"/><Relationship Id="rId29" Type="http://schemas.openxmlformats.org/officeDocument/2006/relationships/hyperlink" Target="http://hudoc.echr.coe.int/eng?i=001-158200" TargetMode="External"/><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hr.ch/sites/default/files/documents/guidelines_on_foaa-_english.pdf" TargetMode="External"/><Relationship Id="rId24" Type="http://schemas.openxmlformats.org/officeDocument/2006/relationships/hyperlink" Target="https://www.miamiherald.com/news/nation-world/world/americas/article215925740.html" TargetMode="External"/><Relationship Id="rId32" Type="http://schemas.openxmlformats.org/officeDocument/2006/relationships/hyperlink" Target="https://www.venice.coe.int/webforms/documents/?pdf=CDL-AD(2019)017-e" TargetMode="External"/><Relationship Id="rId37" Type="http://schemas.openxmlformats.org/officeDocument/2006/relationships/footer" Target="footer1.xml"/><Relationship Id="rId40"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2.ohchr.org/english/bodies/hrc/docs/gc34.pdf" TargetMode="External"/><Relationship Id="rId23" Type="http://schemas.openxmlformats.org/officeDocument/2006/relationships/hyperlink" Target="https://www.theguardian.com/world/2011/sep/29/bahrain-protester-death-sentence" TargetMode="External"/><Relationship Id="rId28" Type="http://schemas.openxmlformats.org/officeDocument/2006/relationships/hyperlink" Target="http://hudoc.echr.coe.int/eng?i=001-23889" TargetMode="External"/><Relationship Id="rId36" Type="http://schemas.openxmlformats.org/officeDocument/2006/relationships/header" Target="header1.xml"/><Relationship Id="rId10" Type="http://schemas.openxmlformats.org/officeDocument/2006/relationships/hyperlink" Target="https://www.bailii.org/ew/cases/EWCA/Civ/2013/28.html" TargetMode="External"/><Relationship Id="rId19" Type="http://schemas.openxmlformats.org/officeDocument/2006/relationships/hyperlink" Target="http://spring96.org/en/news/89824" TargetMode="External"/><Relationship Id="rId31" Type="http://schemas.openxmlformats.org/officeDocument/2006/relationships/hyperlink" Target="https://www.ucpi.org.uk/" TargetMode="External"/><Relationship Id="rId4" Type="http://schemas.openxmlformats.org/officeDocument/2006/relationships/webSettings" Target="webSettings.xml"/><Relationship Id="rId9" Type="http://schemas.openxmlformats.org/officeDocument/2006/relationships/hyperlink" Target="http://texaslawreview.org/wp-content/uploads/2015/08/Bhagwat.pdf" TargetMode="External"/><Relationship Id="rId14" Type="http://schemas.openxmlformats.org/officeDocument/2006/relationships/hyperlink" Target="http://www.bbc.co.uk/news/world-europe-19853007" TargetMode="External"/><Relationship Id="rId22" Type="http://schemas.openxmlformats.org/officeDocument/2006/relationships/hyperlink" Target="https://phr.org/news/turkish-medical-group-faces-lawsuit-for-providing-emergency-care/;" TargetMode="External"/><Relationship Id="rId27" Type="http://schemas.openxmlformats.org/officeDocument/2006/relationships/hyperlink" Target="http://hudoc.echr.coe.int/eng?i=001-112101" TargetMode="External"/><Relationship Id="rId30" Type="http://schemas.openxmlformats.org/officeDocument/2006/relationships/hyperlink" Target="http://hudoc.echr.coe.int/eng?i=001-198482" TargetMode="External"/><Relationship Id="rId35" Type="http://schemas.openxmlformats.org/officeDocument/2006/relationships/hyperlink" Target="https://www.osce.org/odihr/73405?download=true" TargetMode="External"/><Relationship Id="rId8" Type="http://schemas.openxmlformats.org/officeDocument/2006/relationships/hyperlink" Target="https://www.echr.coe.int/Documents/Guide_Art_11_ENG.pdf" TargetMode="External"/><Relationship Id="rId3" Type="http://schemas.openxmlformats.org/officeDocument/2006/relationships/settings" Target="settings.xml"/><Relationship Id="rId12" Type="http://schemas.openxmlformats.org/officeDocument/2006/relationships/hyperlink" Target="http://hudoc.echr.coe.int/eng?i=001-61080" TargetMode="External"/><Relationship Id="rId17" Type="http://schemas.openxmlformats.org/officeDocument/2006/relationships/hyperlink" Target="https://netpol.org/2017/06/08/merseyside-police-legal-observers/" TargetMode="External"/><Relationship Id="rId25" Type="http://schemas.openxmlformats.org/officeDocument/2006/relationships/hyperlink" Target="https://www.bbc.co.uk/news/world-africa-46921480" TargetMode="External"/><Relationship Id="rId33" Type="http://schemas.openxmlformats.org/officeDocument/2006/relationships/hyperlink" Target="https://www.wildy.com/isbn/9783883571591/u-n-covenant-on-civil-and-political-rights-ccpr-commentary-3rd-ed-hardback-n-p-engel-verlag" TargetMode="Externa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8D2DE7-CED6-4750-BEBD-A0B9DE76A18C}"/>
</file>

<file path=customXml/itemProps2.xml><?xml version="1.0" encoding="utf-8"?>
<ds:datastoreItem xmlns:ds="http://schemas.openxmlformats.org/officeDocument/2006/customXml" ds:itemID="{ECB503B3-2167-4880-A54F-0FD2FABB422D}"/>
</file>

<file path=customXml/itemProps3.xml><?xml version="1.0" encoding="utf-8"?>
<ds:datastoreItem xmlns:ds="http://schemas.openxmlformats.org/officeDocument/2006/customXml" ds:itemID="{586571C7-7149-4D01-BC53-F09C6917ED84}"/>
</file>

<file path=docProps/app.xml><?xml version="1.0" encoding="utf-8"?>
<Properties xmlns="http://schemas.openxmlformats.org/officeDocument/2006/extended-properties" xmlns:vt="http://schemas.openxmlformats.org/officeDocument/2006/docPropsVTypes">
  <Template>Normal.dotm</Template>
  <TotalTime>0</TotalTime>
  <Pages>12</Pages>
  <Words>5383</Words>
  <Characters>30687</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35999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Hamilton (LAW - Staff)</dc:creator>
  <cp:keywords/>
  <dc:description/>
  <cp:lastModifiedBy>ROSNIANSKY Cherry Lou</cp:lastModifiedBy>
  <cp:revision>2</cp:revision>
  <cp:lastPrinted>2020-02-22T08:43:00Z</cp:lastPrinted>
  <dcterms:created xsi:type="dcterms:W3CDTF">2020-02-22T22:59:00Z</dcterms:created>
  <dcterms:modified xsi:type="dcterms:W3CDTF">2020-02-22T22:59:00Z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