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4E8" w:rsidRPr="008534E8" w:rsidRDefault="009035DD" w:rsidP="008534E8">
      <w:pPr>
        <w:rPr>
          <w:rFonts w:ascii="Constantia" w:hAnsi="Constantia"/>
          <w:b/>
          <w:sz w:val="24"/>
          <w:szCs w:val="24"/>
          <w:lang w:val="fr-FR"/>
        </w:rPr>
      </w:pPr>
      <w:bookmarkStart w:id="0" w:name="_GoBack"/>
      <w:bookmarkEnd w:id="0"/>
      <w:r w:rsidRPr="00345A89">
        <w:rPr>
          <w:rFonts w:ascii="Constantia" w:hAnsi="Constantia"/>
          <w:b/>
          <w:noProof/>
          <w:sz w:val="24"/>
          <w:szCs w:val="24"/>
          <w:lang w:eastAsia="en-GB"/>
        </w:rPr>
        <w:drawing>
          <wp:inline distT="0" distB="0" distL="0" distR="0">
            <wp:extent cx="657225" cy="7048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7225" cy="704850"/>
                    </a:xfrm>
                    <a:prstGeom prst="rect">
                      <a:avLst/>
                    </a:prstGeom>
                    <a:noFill/>
                    <a:ln>
                      <a:noFill/>
                    </a:ln>
                  </pic:spPr>
                </pic:pic>
              </a:graphicData>
            </a:graphic>
          </wp:inline>
        </w:drawing>
      </w:r>
      <w:r w:rsidR="008534E8" w:rsidRPr="008534E8">
        <w:rPr>
          <w:rFonts w:ascii="Constantia" w:hAnsi="Constantia"/>
          <w:b/>
          <w:sz w:val="24"/>
          <w:szCs w:val="24"/>
          <w:lang w:val="fr-FR"/>
        </w:rPr>
        <w:tab/>
      </w:r>
      <w:r w:rsidR="008534E8" w:rsidRPr="008534E8">
        <w:rPr>
          <w:rFonts w:ascii="Constantia" w:hAnsi="Constantia"/>
          <w:b/>
          <w:sz w:val="24"/>
          <w:szCs w:val="24"/>
          <w:lang w:val="fr-FR"/>
        </w:rPr>
        <w:tab/>
      </w:r>
      <w:r w:rsidR="008534E8" w:rsidRPr="008534E8">
        <w:rPr>
          <w:rFonts w:ascii="Constantia" w:hAnsi="Constantia"/>
          <w:b/>
          <w:sz w:val="24"/>
          <w:szCs w:val="24"/>
          <w:lang w:val="fr-FR"/>
        </w:rPr>
        <w:tab/>
      </w:r>
      <w:r w:rsidR="008534E8" w:rsidRPr="008534E8">
        <w:rPr>
          <w:rFonts w:ascii="Constantia" w:hAnsi="Constantia"/>
          <w:b/>
          <w:sz w:val="24"/>
          <w:szCs w:val="24"/>
          <w:lang w:val="fr-FR"/>
        </w:rPr>
        <w:tab/>
        <w:t xml:space="preserve">              </w:t>
      </w:r>
    </w:p>
    <w:p w:rsidR="008534E8" w:rsidRPr="00E541D2" w:rsidRDefault="00C1570C" w:rsidP="008534E8">
      <w:pPr>
        <w:spacing w:after="0"/>
        <w:rPr>
          <w:rFonts w:ascii="Constantia" w:hAnsi="Constantia"/>
          <w:b/>
          <w:sz w:val="20"/>
          <w:szCs w:val="20"/>
          <w:lang w:val="fr-CH"/>
        </w:rPr>
      </w:pPr>
      <w:r w:rsidRPr="00E541D2">
        <w:rPr>
          <w:rFonts w:ascii="Constantia" w:hAnsi="Constantia"/>
          <w:b/>
          <w:sz w:val="20"/>
          <w:szCs w:val="20"/>
          <w:lang w:val="fr-CH"/>
        </w:rPr>
        <w:t>Miss</w:t>
      </w:r>
      <w:r w:rsidR="00E541D2" w:rsidRPr="00E541D2">
        <w:rPr>
          <w:rFonts w:ascii="Constantia" w:hAnsi="Constantia"/>
          <w:b/>
          <w:sz w:val="20"/>
          <w:szCs w:val="20"/>
          <w:lang w:val="fr-CH"/>
        </w:rPr>
        <w:t xml:space="preserve">ion </w:t>
      </w:r>
      <w:r w:rsidR="008534E8" w:rsidRPr="00E541D2">
        <w:rPr>
          <w:rFonts w:ascii="Constantia" w:hAnsi="Constantia"/>
          <w:b/>
          <w:sz w:val="20"/>
          <w:szCs w:val="20"/>
          <w:lang w:val="fr-CH"/>
        </w:rPr>
        <w:t xml:space="preserve">Permanente </w:t>
      </w:r>
    </w:p>
    <w:p w:rsidR="008534E8" w:rsidRPr="00E541D2" w:rsidRDefault="00E541D2" w:rsidP="008534E8">
      <w:pPr>
        <w:spacing w:after="0"/>
        <w:rPr>
          <w:rFonts w:ascii="Constantia" w:hAnsi="Constantia"/>
          <w:b/>
          <w:sz w:val="20"/>
          <w:szCs w:val="20"/>
          <w:lang w:val="fr-CH"/>
        </w:rPr>
      </w:pPr>
      <w:r w:rsidRPr="00E541D2">
        <w:rPr>
          <w:rFonts w:ascii="Constantia" w:hAnsi="Constantia"/>
          <w:b/>
          <w:sz w:val="20"/>
          <w:szCs w:val="20"/>
          <w:lang w:val="fr-CH"/>
        </w:rPr>
        <w:t>de l</w:t>
      </w:r>
      <w:r w:rsidR="00E72096" w:rsidRPr="00E541D2">
        <w:rPr>
          <w:rFonts w:ascii="Constantia" w:hAnsi="Constantia"/>
          <w:b/>
          <w:sz w:val="20"/>
          <w:szCs w:val="20"/>
          <w:lang w:val="fr-CH"/>
        </w:rPr>
        <w:t>a R</w:t>
      </w:r>
      <w:r w:rsidRPr="00E541D2">
        <w:rPr>
          <w:rFonts w:ascii="Constantia" w:hAnsi="Constantia"/>
          <w:b/>
          <w:sz w:val="20"/>
          <w:szCs w:val="20"/>
          <w:lang w:val="fr-CH"/>
        </w:rPr>
        <w:t>é</w:t>
      </w:r>
      <w:r w:rsidR="00E72096" w:rsidRPr="00E541D2">
        <w:rPr>
          <w:rFonts w:ascii="Constantia" w:hAnsi="Constantia"/>
          <w:b/>
          <w:sz w:val="20"/>
          <w:szCs w:val="20"/>
          <w:lang w:val="fr-CH"/>
        </w:rPr>
        <w:t>p</w:t>
      </w:r>
      <w:r w:rsidRPr="00E541D2">
        <w:rPr>
          <w:rFonts w:ascii="Constantia" w:hAnsi="Constantia"/>
          <w:b/>
          <w:sz w:val="20"/>
          <w:szCs w:val="20"/>
          <w:lang w:val="fr-CH"/>
        </w:rPr>
        <w:t>u</w:t>
      </w:r>
      <w:r w:rsidR="008534E8" w:rsidRPr="00E541D2">
        <w:rPr>
          <w:rFonts w:ascii="Constantia" w:hAnsi="Constantia"/>
          <w:b/>
          <w:sz w:val="20"/>
          <w:szCs w:val="20"/>
          <w:lang w:val="fr-CH"/>
        </w:rPr>
        <w:t>bli</w:t>
      </w:r>
      <w:r w:rsidRPr="00E541D2">
        <w:rPr>
          <w:rFonts w:ascii="Constantia" w:hAnsi="Constantia"/>
          <w:b/>
          <w:sz w:val="20"/>
          <w:szCs w:val="20"/>
          <w:lang w:val="fr-CH"/>
        </w:rPr>
        <w:t xml:space="preserve">que </w:t>
      </w:r>
      <w:r w:rsidR="008534E8" w:rsidRPr="00E541D2">
        <w:rPr>
          <w:rFonts w:ascii="Constantia" w:hAnsi="Constantia"/>
          <w:b/>
          <w:sz w:val="20"/>
          <w:szCs w:val="20"/>
          <w:lang w:val="fr-CH"/>
        </w:rPr>
        <w:t>d</w:t>
      </w:r>
      <w:r w:rsidRPr="00E541D2">
        <w:rPr>
          <w:rFonts w:ascii="Constantia" w:hAnsi="Constantia"/>
          <w:b/>
          <w:sz w:val="20"/>
          <w:szCs w:val="20"/>
          <w:lang w:val="fr-CH"/>
        </w:rPr>
        <w:t>’</w:t>
      </w:r>
      <w:r w:rsidR="008534E8" w:rsidRPr="00E541D2">
        <w:rPr>
          <w:rFonts w:ascii="Constantia" w:hAnsi="Constantia"/>
          <w:b/>
          <w:sz w:val="20"/>
          <w:szCs w:val="20"/>
          <w:lang w:val="fr-CH"/>
        </w:rPr>
        <w:t>Angola</w:t>
      </w:r>
    </w:p>
    <w:p w:rsidR="008534E8" w:rsidRDefault="00E72096" w:rsidP="008534E8">
      <w:pPr>
        <w:spacing w:after="0"/>
        <w:rPr>
          <w:rFonts w:ascii="Constantia" w:hAnsi="Constantia"/>
          <w:b/>
          <w:sz w:val="20"/>
          <w:szCs w:val="20"/>
          <w:lang w:val="pt-PT"/>
        </w:rPr>
      </w:pPr>
      <w:r>
        <w:rPr>
          <w:rFonts w:ascii="Constantia" w:hAnsi="Constantia"/>
          <w:b/>
          <w:sz w:val="20"/>
          <w:szCs w:val="20"/>
          <w:lang w:val="pt-PT"/>
        </w:rPr>
        <w:t>Gen</w:t>
      </w:r>
      <w:r w:rsidR="00E541D2">
        <w:rPr>
          <w:rFonts w:ascii="Constantia" w:hAnsi="Constantia"/>
          <w:b/>
          <w:sz w:val="20"/>
          <w:szCs w:val="20"/>
          <w:lang w:val="pt-PT"/>
        </w:rPr>
        <w:t>ève</w:t>
      </w:r>
    </w:p>
    <w:p w:rsidR="00BA4BF9" w:rsidRPr="00B21C67" w:rsidRDefault="00BA4BF9" w:rsidP="00CE1B1C">
      <w:pPr>
        <w:spacing w:after="0" w:line="276" w:lineRule="auto"/>
        <w:rPr>
          <w:rFonts w:ascii="Constantia" w:eastAsia="MS Mincho" w:hAnsi="Constantia"/>
          <w:b/>
          <w:color w:val="333333"/>
          <w:lang w:val="de-CH"/>
        </w:rPr>
      </w:pPr>
    </w:p>
    <w:p w:rsidR="00EA56E8" w:rsidRPr="00EA56E8" w:rsidRDefault="00EA56E8" w:rsidP="00EA56E8">
      <w:pPr>
        <w:spacing w:after="0" w:line="276" w:lineRule="auto"/>
        <w:ind w:left="1276" w:hanging="1276"/>
        <w:jc w:val="center"/>
        <w:rPr>
          <w:rFonts w:ascii="Constantia" w:eastAsia="Arial Unicode MS" w:hAnsi="Constantia" w:cs="Arial Unicode MS"/>
          <w:b/>
          <w:sz w:val="24"/>
          <w:szCs w:val="24"/>
          <w:lang w:val="fr-CH"/>
        </w:rPr>
      </w:pPr>
      <w:r w:rsidRPr="00EA56E8">
        <w:rPr>
          <w:rFonts w:ascii="Constantia" w:eastAsia="Arial Unicode MS" w:hAnsi="Constantia" w:cs="Arial Unicode MS"/>
          <w:b/>
          <w:sz w:val="24"/>
          <w:szCs w:val="24"/>
          <w:lang w:val="fr-CH"/>
        </w:rPr>
        <w:t>Contribution de l’Angola</w:t>
      </w:r>
    </w:p>
    <w:p w:rsidR="00A53EF2" w:rsidRPr="00EA56E8" w:rsidRDefault="00EA56E8" w:rsidP="00EA56E8">
      <w:pPr>
        <w:spacing w:after="0" w:line="276" w:lineRule="auto"/>
        <w:jc w:val="center"/>
        <w:rPr>
          <w:rFonts w:ascii="Constantia" w:eastAsia="Arial Unicode MS" w:hAnsi="Constantia"/>
          <w:b/>
          <w:bCs/>
          <w:sz w:val="24"/>
          <w:szCs w:val="24"/>
          <w:lang w:val="fr-CH"/>
        </w:rPr>
      </w:pPr>
      <w:r>
        <w:rPr>
          <w:rFonts w:ascii="Constantia" w:eastAsia="Arial Unicode MS" w:hAnsi="Constantia"/>
          <w:b/>
          <w:bCs/>
          <w:sz w:val="24"/>
          <w:szCs w:val="24"/>
          <w:lang w:val="fr-CH"/>
        </w:rPr>
        <w:t>Commentaire</w:t>
      </w:r>
      <w:r w:rsidRPr="00EA56E8">
        <w:rPr>
          <w:rFonts w:ascii="Constantia" w:eastAsia="Arial Unicode MS" w:hAnsi="Constantia"/>
          <w:b/>
          <w:bCs/>
          <w:sz w:val="24"/>
          <w:szCs w:val="24"/>
          <w:lang w:val="fr-CH"/>
        </w:rPr>
        <w:t xml:space="preserve"> général n ° 37 sur l'article 21 </w:t>
      </w:r>
      <w:r>
        <w:rPr>
          <w:rFonts w:ascii="Constantia" w:eastAsia="Arial Unicode MS" w:hAnsi="Constantia"/>
          <w:b/>
          <w:bCs/>
          <w:sz w:val="24"/>
          <w:szCs w:val="24"/>
          <w:lang w:val="fr-CH"/>
        </w:rPr>
        <w:t xml:space="preserve">- </w:t>
      </w:r>
      <w:r w:rsidRPr="00EA56E8">
        <w:rPr>
          <w:rFonts w:ascii="Constantia" w:eastAsia="Arial Unicode MS" w:hAnsi="Constantia"/>
          <w:b/>
          <w:bCs/>
          <w:sz w:val="24"/>
          <w:szCs w:val="24"/>
          <w:lang w:val="fr-CH"/>
        </w:rPr>
        <w:t>PIDCP</w:t>
      </w:r>
    </w:p>
    <w:p w:rsidR="00EA56E8" w:rsidRPr="00EA56E8" w:rsidRDefault="00EA56E8" w:rsidP="00EA56E8">
      <w:pPr>
        <w:spacing w:after="0" w:line="276" w:lineRule="auto"/>
        <w:jc w:val="center"/>
        <w:rPr>
          <w:rFonts w:ascii="Constantia" w:eastAsia="Arial Unicode MS" w:hAnsi="Constantia"/>
          <w:sz w:val="24"/>
          <w:szCs w:val="24"/>
          <w:lang w:val="fr-CH"/>
        </w:rPr>
      </w:pPr>
    </w:p>
    <w:p w:rsidR="00E46EF2" w:rsidRDefault="00EA56E8" w:rsidP="004D73B7">
      <w:pPr>
        <w:spacing w:after="0" w:line="276" w:lineRule="auto"/>
        <w:ind w:firstLine="720"/>
        <w:jc w:val="both"/>
        <w:rPr>
          <w:rFonts w:ascii="Constantia" w:eastAsia="Arial Unicode MS" w:hAnsi="Constantia"/>
          <w:sz w:val="24"/>
          <w:szCs w:val="24"/>
          <w:lang w:val="fr-CH"/>
        </w:rPr>
      </w:pPr>
      <w:r w:rsidRPr="00EA56E8">
        <w:rPr>
          <w:rFonts w:ascii="Constantia" w:eastAsia="Arial Unicode MS" w:hAnsi="Constantia"/>
          <w:sz w:val="24"/>
          <w:szCs w:val="24"/>
          <w:lang w:val="fr-CH"/>
        </w:rPr>
        <w:t>La Constitution de la République d'Angola et la législation nationale sont pleinement alignées sur les dispositions de l'article 21 du Pacte international relatif aux droits civils et politiques. Ainsi, l'article 47 de la Constitution sur la liberté de réunion et de manifestation dispose:</w:t>
      </w:r>
      <w:r w:rsidR="00E46EF2">
        <w:rPr>
          <w:rFonts w:ascii="Constantia" w:eastAsia="Arial Unicode MS" w:hAnsi="Constantia"/>
          <w:sz w:val="24"/>
          <w:szCs w:val="24"/>
          <w:lang w:val="fr-CH"/>
        </w:rPr>
        <w:t xml:space="preserve"> « 1</w:t>
      </w:r>
      <w:r w:rsidRPr="00EA56E8">
        <w:rPr>
          <w:rFonts w:ascii="Constantia" w:eastAsia="Arial Unicode MS" w:hAnsi="Constantia"/>
          <w:sz w:val="24"/>
          <w:szCs w:val="24"/>
          <w:lang w:val="fr-CH"/>
        </w:rPr>
        <w:t xml:space="preserve">. La liberté de réunion et de manifestation pacifique est garantie à tous les citoyens, sans armes, sans autorisation et conformément aux dispositions de la loi. </w:t>
      </w:r>
    </w:p>
    <w:p w:rsidR="00EA56E8" w:rsidRDefault="00EA56E8" w:rsidP="00E46EF2">
      <w:pPr>
        <w:spacing w:after="0" w:line="276" w:lineRule="auto"/>
        <w:jc w:val="both"/>
        <w:rPr>
          <w:rFonts w:ascii="Constantia" w:eastAsia="Arial Unicode MS" w:hAnsi="Constantia"/>
          <w:sz w:val="24"/>
          <w:szCs w:val="24"/>
          <w:lang w:val="fr-CH"/>
        </w:rPr>
      </w:pPr>
      <w:r w:rsidRPr="00EA56E8">
        <w:rPr>
          <w:rFonts w:ascii="Constantia" w:eastAsia="Arial Unicode MS" w:hAnsi="Constantia"/>
          <w:sz w:val="24"/>
          <w:szCs w:val="24"/>
          <w:lang w:val="fr-CH"/>
        </w:rPr>
        <w:t>2. Les réunions et manifestations dans les lieux publics nécessitent une communication préalable à l'autorité compétente, dans les conditions et pour les finalités fixées par la loi.</w:t>
      </w:r>
      <w:r w:rsidR="00E46EF2">
        <w:rPr>
          <w:rFonts w:ascii="Constantia" w:eastAsia="Arial Unicode MS" w:hAnsi="Constantia"/>
          <w:sz w:val="24"/>
          <w:szCs w:val="24"/>
          <w:lang w:val="fr-CH"/>
        </w:rPr>
        <w:t> »</w:t>
      </w:r>
    </w:p>
    <w:p w:rsidR="00EA56E8" w:rsidRDefault="00EA56E8" w:rsidP="00EA56E8">
      <w:pPr>
        <w:spacing w:after="0" w:line="276" w:lineRule="auto"/>
        <w:jc w:val="both"/>
        <w:rPr>
          <w:rFonts w:ascii="Constantia" w:eastAsia="Arial Unicode MS" w:hAnsi="Constantia"/>
          <w:sz w:val="24"/>
          <w:szCs w:val="24"/>
          <w:lang w:val="fr-CH"/>
        </w:rPr>
      </w:pPr>
      <w:r w:rsidRPr="00EA56E8">
        <w:rPr>
          <w:rFonts w:ascii="Constantia" w:eastAsia="Arial Unicode MS" w:hAnsi="Constantia"/>
          <w:sz w:val="24"/>
          <w:szCs w:val="24"/>
          <w:lang w:val="fr-CH"/>
        </w:rPr>
        <w:t>La loi n ° 16/91 du 11 mai relative au droit de réunion et de manifestation fixe les critères d'exercice de ce droit par tous les citoyens.</w:t>
      </w:r>
    </w:p>
    <w:p w:rsidR="00EA56E8" w:rsidRDefault="00EA56E8" w:rsidP="00EA56E8">
      <w:pPr>
        <w:spacing w:after="0" w:line="276" w:lineRule="auto"/>
        <w:jc w:val="both"/>
        <w:rPr>
          <w:rFonts w:ascii="Constantia" w:eastAsia="Arial Unicode MS" w:hAnsi="Constantia"/>
          <w:sz w:val="24"/>
          <w:szCs w:val="24"/>
          <w:lang w:val="fr-CH"/>
        </w:rPr>
      </w:pPr>
    </w:p>
    <w:p w:rsidR="00EA56E8" w:rsidRPr="00EA56E8" w:rsidRDefault="00EA56E8" w:rsidP="004D73B7">
      <w:pPr>
        <w:spacing w:after="0" w:line="276" w:lineRule="auto"/>
        <w:ind w:firstLine="720"/>
        <w:jc w:val="both"/>
        <w:rPr>
          <w:rFonts w:ascii="Constantia" w:eastAsia="Arial Unicode MS" w:hAnsi="Constantia"/>
          <w:sz w:val="24"/>
          <w:szCs w:val="24"/>
          <w:lang w:val="fr-CH"/>
        </w:rPr>
      </w:pPr>
      <w:r w:rsidRPr="00EA56E8">
        <w:rPr>
          <w:rFonts w:ascii="Constantia" w:eastAsia="Arial Unicode MS" w:hAnsi="Constantia"/>
          <w:sz w:val="24"/>
          <w:szCs w:val="24"/>
          <w:lang w:val="fr-CH"/>
        </w:rPr>
        <w:t>En ce qui concerne le projet de commentaire n ° 37, nous faisons les suivantes</w:t>
      </w:r>
      <w:r w:rsidR="00E46EF2">
        <w:rPr>
          <w:rFonts w:ascii="Constantia" w:eastAsia="Arial Unicode MS" w:hAnsi="Constantia"/>
          <w:sz w:val="24"/>
          <w:szCs w:val="24"/>
          <w:lang w:val="fr-CH"/>
        </w:rPr>
        <w:t xml:space="preserve"> observations</w:t>
      </w:r>
      <w:r w:rsidR="00E46EF2" w:rsidRPr="00EA56E8">
        <w:rPr>
          <w:rFonts w:ascii="Constantia" w:eastAsia="Arial Unicode MS" w:hAnsi="Constantia"/>
          <w:sz w:val="24"/>
          <w:szCs w:val="24"/>
          <w:lang w:val="fr-CH"/>
        </w:rPr>
        <w:t xml:space="preserve"> :</w:t>
      </w:r>
    </w:p>
    <w:p w:rsidR="00E46EF2" w:rsidRDefault="00EA56E8" w:rsidP="00B93071">
      <w:pPr>
        <w:numPr>
          <w:ilvl w:val="0"/>
          <w:numId w:val="9"/>
        </w:numPr>
        <w:tabs>
          <w:tab w:val="left" w:pos="284"/>
        </w:tabs>
        <w:spacing w:after="0" w:line="276" w:lineRule="auto"/>
        <w:ind w:left="0" w:firstLine="0"/>
        <w:jc w:val="both"/>
        <w:rPr>
          <w:rFonts w:ascii="Constantia" w:eastAsia="Arial Unicode MS" w:hAnsi="Constantia"/>
          <w:sz w:val="24"/>
          <w:szCs w:val="24"/>
          <w:lang w:val="fr-CH"/>
        </w:rPr>
      </w:pPr>
      <w:r w:rsidRPr="00EA56E8">
        <w:rPr>
          <w:rFonts w:ascii="Constantia" w:eastAsia="Arial Unicode MS" w:hAnsi="Constantia"/>
          <w:sz w:val="24"/>
          <w:szCs w:val="24"/>
          <w:lang w:val="fr-CH"/>
        </w:rPr>
        <w:t>La clarification et l</w:t>
      </w:r>
      <w:r w:rsidR="00BE4F04">
        <w:rPr>
          <w:rFonts w:ascii="Constantia" w:eastAsia="Arial Unicode MS" w:hAnsi="Constantia"/>
          <w:sz w:val="24"/>
          <w:szCs w:val="24"/>
          <w:lang w:val="fr-CH"/>
        </w:rPr>
        <w:t>’analyse d</w:t>
      </w:r>
      <w:r w:rsidRPr="00EA56E8">
        <w:rPr>
          <w:rFonts w:ascii="Constantia" w:eastAsia="Arial Unicode MS" w:hAnsi="Constantia"/>
          <w:sz w:val="24"/>
          <w:szCs w:val="24"/>
          <w:lang w:val="fr-CH"/>
        </w:rPr>
        <w:t xml:space="preserve">es dispositions de l'article 21 sont </w:t>
      </w:r>
      <w:r w:rsidR="00C04D3E">
        <w:rPr>
          <w:rFonts w:ascii="Constantia" w:eastAsia="Arial Unicode MS" w:hAnsi="Constantia"/>
          <w:sz w:val="24"/>
          <w:szCs w:val="24"/>
          <w:lang w:val="fr-CH"/>
        </w:rPr>
        <w:t xml:space="preserve">favorablement accueillis </w:t>
      </w:r>
      <w:r w:rsidRPr="00EA56E8">
        <w:rPr>
          <w:rFonts w:ascii="Constantia" w:eastAsia="Arial Unicode MS" w:hAnsi="Constantia"/>
          <w:sz w:val="24"/>
          <w:szCs w:val="24"/>
          <w:lang w:val="fr-CH"/>
        </w:rPr>
        <w:t xml:space="preserve">par l'État angolais </w:t>
      </w:r>
      <w:r w:rsidR="00C04D3E">
        <w:rPr>
          <w:rFonts w:ascii="Constantia" w:eastAsia="Arial Unicode MS" w:hAnsi="Constantia"/>
          <w:sz w:val="24"/>
          <w:szCs w:val="24"/>
          <w:lang w:val="fr-CH"/>
        </w:rPr>
        <w:t xml:space="preserve">car </w:t>
      </w:r>
      <w:r w:rsidRPr="00EA56E8">
        <w:rPr>
          <w:rFonts w:ascii="Constantia" w:eastAsia="Arial Unicode MS" w:hAnsi="Constantia"/>
          <w:sz w:val="24"/>
          <w:szCs w:val="24"/>
          <w:lang w:val="fr-CH"/>
        </w:rPr>
        <w:t>il</w:t>
      </w:r>
      <w:r w:rsidR="00C04D3E">
        <w:rPr>
          <w:rFonts w:ascii="Constantia" w:eastAsia="Arial Unicode MS" w:hAnsi="Constantia"/>
          <w:sz w:val="24"/>
          <w:szCs w:val="24"/>
          <w:lang w:val="fr-CH"/>
        </w:rPr>
        <w:t xml:space="preserve">s </w:t>
      </w:r>
      <w:r w:rsidRPr="00EA56E8">
        <w:rPr>
          <w:rFonts w:ascii="Constantia" w:eastAsia="Arial Unicode MS" w:hAnsi="Constantia"/>
          <w:sz w:val="24"/>
          <w:szCs w:val="24"/>
          <w:lang w:val="fr-CH"/>
        </w:rPr>
        <w:t xml:space="preserve">peuvent contribuer à une meilleure compréhension de celui-ci et contribuer à garantir son application. Cependant, nous soulignons l'importance des contextes nationaux et régionaux </w:t>
      </w:r>
      <w:r w:rsidR="00C04D3E">
        <w:rPr>
          <w:rFonts w:ascii="Constantia" w:eastAsia="Arial Unicode MS" w:hAnsi="Constantia"/>
          <w:sz w:val="24"/>
          <w:szCs w:val="24"/>
          <w:lang w:val="fr-CH"/>
        </w:rPr>
        <w:t>pour</w:t>
      </w:r>
      <w:r w:rsidRPr="00EA56E8">
        <w:rPr>
          <w:rFonts w:ascii="Constantia" w:eastAsia="Arial Unicode MS" w:hAnsi="Constantia"/>
          <w:sz w:val="24"/>
          <w:szCs w:val="24"/>
          <w:lang w:val="fr-CH"/>
        </w:rPr>
        <w:t xml:space="preserve"> l'exercice du droit de réunion pacifique, et le fait </w:t>
      </w:r>
      <w:r w:rsidR="00C04D3E">
        <w:rPr>
          <w:rFonts w:ascii="Constantia" w:eastAsia="Arial Unicode MS" w:hAnsi="Constantia"/>
          <w:sz w:val="24"/>
          <w:szCs w:val="24"/>
          <w:lang w:val="fr-CH"/>
        </w:rPr>
        <w:t>de</w:t>
      </w:r>
      <w:r w:rsidRPr="00EA56E8">
        <w:rPr>
          <w:rFonts w:ascii="Constantia" w:eastAsia="Arial Unicode MS" w:hAnsi="Constantia"/>
          <w:sz w:val="24"/>
          <w:szCs w:val="24"/>
          <w:lang w:val="fr-CH"/>
        </w:rPr>
        <w:t xml:space="preserve"> généraliser et </w:t>
      </w:r>
      <w:r w:rsidR="00C04D3E">
        <w:rPr>
          <w:rFonts w:ascii="Constantia" w:eastAsia="Arial Unicode MS" w:hAnsi="Constantia"/>
          <w:sz w:val="24"/>
          <w:szCs w:val="24"/>
          <w:lang w:val="fr-CH"/>
        </w:rPr>
        <w:t>d’</w:t>
      </w:r>
      <w:r w:rsidRPr="00EA56E8">
        <w:rPr>
          <w:rFonts w:ascii="Constantia" w:eastAsia="Arial Unicode MS" w:hAnsi="Constantia"/>
          <w:sz w:val="24"/>
          <w:szCs w:val="24"/>
          <w:lang w:val="fr-CH"/>
        </w:rPr>
        <w:t>universaliser certaines des dispositions ou hypothèses pourrait être contre-productif pour l'exercice du droit dans certains contextes.</w:t>
      </w:r>
    </w:p>
    <w:p w:rsidR="00E46EF2" w:rsidRDefault="00E46EF2" w:rsidP="00E46EF2">
      <w:pPr>
        <w:spacing w:after="0" w:line="276" w:lineRule="auto"/>
        <w:jc w:val="both"/>
        <w:rPr>
          <w:rFonts w:ascii="Constantia" w:eastAsia="Arial Unicode MS" w:hAnsi="Constantia"/>
          <w:sz w:val="24"/>
          <w:szCs w:val="24"/>
          <w:lang w:val="fr-CH"/>
        </w:rPr>
      </w:pPr>
    </w:p>
    <w:p w:rsidR="00EA56E8" w:rsidRPr="00E46EF2" w:rsidRDefault="00EA56E8" w:rsidP="00B93071">
      <w:pPr>
        <w:numPr>
          <w:ilvl w:val="0"/>
          <w:numId w:val="9"/>
        </w:numPr>
        <w:tabs>
          <w:tab w:val="left" w:pos="284"/>
        </w:tabs>
        <w:spacing w:after="0" w:line="276" w:lineRule="auto"/>
        <w:ind w:left="0" w:firstLine="0"/>
        <w:jc w:val="both"/>
        <w:rPr>
          <w:rFonts w:ascii="Constantia" w:eastAsia="Arial Unicode MS" w:hAnsi="Constantia"/>
          <w:sz w:val="24"/>
          <w:szCs w:val="24"/>
          <w:lang w:val="fr-CH"/>
        </w:rPr>
      </w:pPr>
      <w:r w:rsidRPr="00E46EF2">
        <w:rPr>
          <w:rFonts w:ascii="Constantia" w:eastAsia="Arial Unicode MS" w:hAnsi="Constantia"/>
          <w:sz w:val="24"/>
          <w:szCs w:val="24"/>
          <w:lang w:val="fr-CH"/>
        </w:rPr>
        <w:lastRenderedPageBreak/>
        <w:t xml:space="preserve">Quant au </w:t>
      </w:r>
      <w:r w:rsidR="00C04D3E">
        <w:rPr>
          <w:rFonts w:ascii="Constantia" w:eastAsia="Arial Unicode MS" w:hAnsi="Constantia"/>
          <w:sz w:val="24"/>
          <w:szCs w:val="24"/>
          <w:lang w:val="fr-CH"/>
        </w:rPr>
        <w:t xml:space="preserve">contenu </w:t>
      </w:r>
      <w:r w:rsidRPr="00E46EF2">
        <w:rPr>
          <w:rFonts w:ascii="Constantia" w:eastAsia="Arial Unicode MS" w:hAnsi="Constantia"/>
          <w:sz w:val="24"/>
          <w:szCs w:val="24"/>
          <w:lang w:val="fr-CH"/>
        </w:rPr>
        <w:t xml:space="preserve">du projet, il est </w:t>
      </w:r>
      <w:r w:rsidR="00C04D3E">
        <w:rPr>
          <w:rFonts w:ascii="Constantia" w:eastAsia="Arial Unicode MS" w:hAnsi="Constantia"/>
          <w:sz w:val="24"/>
          <w:szCs w:val="24"/>
          <w:lang w:val="fr-CH"/>
        </w:rPr>
        <w:t xml:space="preserve">globalement </w:t>
      </w:r>
      <w:r w:rsidRPr="00E46EF2">
        <w:rPr>
          <w:rFonts w:ascii="Constantia" w:eastAsia="Arial Unicode MS" w:hAnsi="Constantia"/>
          <w:sz w:val="24"/>
          <w:szCs w:val="24"/>
          <w:lang w:val="fr-CH"/>
        </w:rPr>
        <w:t>conforme à la compréhension et à l'exercice de ce droit par l'État angolais</w:t>
      </w:r>
      <w:r w:rsidR="00C04D3E">
        <w:rPr>
          <w:rFonts w:ascii="Constantia" w:eastAsia="Arial Unicode MS" w:hAnsi="Constantia"/>
          <w:sz w:val="24"/>
          <w:szCs w:val="24"/>
          <w:lang w:val="fr-CH"/>
        </w:rPr>
        <w:t xml:space="preserve">, ainsi qu’à son </w:t>
      </w:r>
      <w:r w:rsidRPr="00E46EF2">
        <w:rPr>
          <w:rFonts w:ascii="Constantia" w:eastAsia="Arial Unicode MS" w:hAnsi="Constantia"/>
          <w:sz w:val="24"/>
          <w:szCs w:val="24"/>
          <w:lang w:val="fr-CH"/>
        </w:rPr>
        <w:t>cadre juridique national</w:t>
      </w:r>
      <w:r w:rsidR="00C04D3E">
        <w:rPr>
          <w:rFonts w:ascii="Constantia" w:eastAsia="Arial Unicode MS" w:hAnsi="Constantia"/>
          <w:sz w:val="24"/>
          <w:szCs w:val="24"/>
          <w:lang w:val="fr-CH"/>
        </w:rPr>
        <w:t xml:space="preserve">. Toutefois, </w:t>
      </w:r>
      <w:r w:rsidRPr="00E46EF2">
        <w:rPr>
          <w:rFonts w:ascii="Constantia" w:eastAsia="Arial Unicode MS" w:hAnsi="Constantia"/>
          <w:sz w:val="24"/>
          <w:szCs w:val="24"/>
          <w:lang w:val="fr-CH"/>
        </w:rPr>
        <w:t xml:space="preserve">nous pensons que certains paragraphes devraient être révisés pour s'adapter à tous les contextes, à </w:t>
      </w:r>
      <w:r w:rsidR="00C04D3E" w:rsidRPr="00E46EF2">
        <w:rPr>
          <w:rFonts w:ascii="Constantia" w:eastAsia="Arial Unicode MS" w:hAnsi="Constantia"/>
          <w:sz w:val="24"/>
          <w:szCs w:val="24"/>
          <w:lang w:val="fr-CH"/>
        </w:rPr>
        <w:t>savoir :</w:t>
      </w:r>
    </w:p>
    <w:p w:rsidR="00EA56E8" w:rsidRDefault="00EA56E8" w:rsidP="00E46EF2">
      <w:pPr>
        <w:numPr>
          <w:ilvl w:val="0"/>
          <w:numId w:val="10"/>
        </w:numPr>
        <w:spacing w:after="0" w:line="276" w:lineRule="auto"/>
        <w:jc w:val="both"/>
        <w:rPr>
          <w:rFonts w:ascii="Constantia" w:eastAsia="Arial Unicode MS" w:hAnsi="Constantia"/>
          <w:sz w:val="24"/>
          <w:szCs w:val="24"/>
          <w:lang w:val="fr-CH"/>
        </w:rPr>
      </w:pPr>
      <w:r w:rsidRPr="00E46EF2">
        <w:rPr>
          <w:rFonts w:ascii="Constantia" w:eastAsia="Arial Unicode MS" w:hAnsi="Constantia"/>
          <w:b/>
          <w:bCs/>
          <w:sz w:val="24"/>
          <w:szCs w:val="24"/>
          <w:lang w:val="fr-CH"/>
        </w:rPr>
        <w:t>Paragraphe 22</w:t>
      </w:r>
      <w:r w:rsidRPr="00EA56E8">
        <w:rPr>
          <w:rFonts w:ascii="Constantia" w:eastAsia="Arial Unicode MS" w:hAnsi="Constantia"/>
          <w:sz w:val="24"/>
          <w:szCs w:val="24"/>
          <w:lang w:val="fr-CH"/>
        </w:rPr>
        <w:t xml:space="preserve">: </w:t>
      </w:r>
      <w:r w:rsidR="00C04D3E">
        <w:rPr>
          <w:rFonts w:ascii="Constantia" w:eastAsia="Arial Unicode MS" w:hAnsi="Constantia"/>
          <w:sz w:val="24"/>
          <w:szCs w:val="24"/>
          <w:lang w:val="fr-CH"/>
        </w:rPr>
        <w:t xml:space="preserve">des </w:t>
      </w:r>
      <w:r w:rsidRPr="00EA56E8">
        <w:rPr>
          <w:rFonts w:ascii="Constantia" w:eastAsia="Arial Unicode MS" w:hAnsi="Constantia"/>
          <w:sz w:val="24"/>
          <w:szCs w:val="24"/>
          <w:lang w:val="fr-CH"/>
        </w:rPr>
        <w:t xml:space="preserve">deux options de texte </w:t>
      </w:r>
      <w:r w:rsidR="00C04D3E">
        <w:rPr>
          <w:rFonts w:ascii="Constantia" w:eastAsia="Arial Unicode MS" w:hAnsi="Constantia"/>
          <w:sz w:val="24"/>
          <w:szCs w:val="24"/>
          <w:lang w:val="fr-CH"/>
        </w:rPr>
        <w:t xml:space="preserve">proposées, l’Angola est favorable à </w:t>
      </w:r>
      <w:r w:rsidRPr="00EA56E8">
        <w:rPr>
          <w:rFonts w:ascii="Constantia" w:eastAsia="Arial Unicode MS" w:hAnsi="Constantia"/>
          <w:sz w:val="24"/>
          <w:szCs w:val="24"/>
          <w:lang w:val="fr-CH"/>
        </w:rPr>
        <w:t>l'option 1.</w:t>
      </w:r>
    </w:p>
    <w:p w:rsidR="004D73B7" w:rsidRPr="00EA56E8" w:rsidRDefault="004D73B7" w:rsidP="004D73B7">
      <w:pPr>
        <w:spacing w:after="0" w:line="276" w:lineRule="auto"/>
        <w:ind w:left="720"/>
        <w:jc w:val="both"/>
        <w:rPr>
          <w:rFonts w:ascii="Constantia" w:eastAsia="Arial Unicode MS" w:hAnsi="Constantia"/>
          <w:sz w:val="24"/>
          <w:szCs w:val="24"/>
          <w:lang w:val="fr-CH"/>
        </w:rPr>
      </w:pPr>
    </w:p>
    <w:p w:rsidR="00EA56E8" w:rsidRDefault="00EA56E8" w:rsidP="00C04D3E">
      <w:pPr>
        <w:numPr>
          <w:ilvl w:val="0"/>
          <w:numId w:val="10"/>
        </w:numPr>
        <w:spacing w:after="0" w:line="276" w:lineRule="auto"/>
        <w:jc w:val="both"/>
        <w:rPr>
          <w:rFonts w:ascii="Constantia" w:eastAsia="Arial Unicode MS" w:hAnsi="Constantia"/>
          <w:sz w:val="24"/>
          <w:szCs w:val="24"/>
          <w:lang w:val="fr-CH"/>
        </w:rPr>
      </w:pPr>
      <w:r w:rsidRPr="00C04D3E">
        <w:rPr>
          <w:rFonts w:ascii="Constantia" w:eastAsia="Arial Unicode MS" w:hAnsi="Constantia"/>
          <w:b/>
          <w:bCs/>
          <w:sz w:val="24"/>
          <w:szCs w:val="24"/>
          <w:lang w:val="fr-CH"/>
        </w:rPr>
        <w:t>Paragraphe 23</w:t>
      </w:r>
      <w:r w:rsidRPr="00EA56E8">
        <w:rPr>
          <w:rFonts w:ascii="Constantia" w:eastAsia="Arial Unicode MS" w:hAnsi="Constantia"/>
          <w:sz w:val="24"/>
          <w:szCs w:val="24"/>
          <w:lang w:val="fr-CH"/>
        </w:rPr>
        <w:t>: Le fait que les participants portent des objets qui sont ou peuvent être considérés comme des armes n'est pas une raison suffisante pour considérer qu'une réunion est violente. Nous pensons qu</w:t>
      </w:r>
      <w:r w:rsidR="002A763F">
        <w:rPr>
          <w:rFonts w:ascii="Constantia" w:eastAsia="Arial Unicode MS" w:hAnsi="Constantia"/>
          <w:sz w:val="24"/>
          <w:szCs w:val="24"/>
          <w:lang w:val="fr-CH"/>
        </w:rPr>
        <w:t>e cette partie devrait être biffée</w:t>
      </w:r>
      <w:r w:rsidRPr="00EA56E8">
        <w:rPr>
          <w:rFonts w:ascii="Constantia" w:eastAsia="Arial Unicode MS" w:hAnsi="Constantia"/>
          <w:sz w:val="24"/>
          <w:szCs w:val="24"/>
          <w:lang w:val="fr-CH"/>
        </w:rPr>
        <w:t>, car l'utilisation et la possession d'armes sont interdites dans la plupart des systèmes nationaux.</w:t>
      </w:r>
    </w:p>
    <w:p w:rsidR="002A763F" w:rsidRPr="00EA56E8" w:rsidRDefault="002A763F" w:rsidP="002A763F">
      <w:pPr>
        <w:spacing w:after="0" w:line="276" w:lineRule="auto"/>
        <w:ind w:left="720"/>
        <w:jc w:val="both"/>
        <w:rPr>
          <w:rFonts w:ascii="Constantia" w:eastAsia="Arial Unicode MS" w:hAnsi="Constantia"/>
          <w:sz w:val="24"/>
          <w:szCs w:val="24"/>
          <w:lang w:val="fr-CH"/>
        </w:rPr>
      </w:pPr>
    </w:p>
    <w:p w:rsidR="00EA56E8" w:rsidRDefault="00EA56E8" w:rsidP="00E46EF2">
      <w:pPr>
        <w:numPr>
          <w:ilvl w:val="0"/>
          <w:numId w:val="10"/>
        </w:numPr>
        <w:spacing w:after="0" w:line="276" w:lineRule="auto"/>
        <w:jc w:val="both"/>
        <w:rPr>
          <w:rFonts w:ascii="Constantia" w:eastAsia="Arial Unicode MS" w:hAnsi="Constantia"/>
          <w:sz w:val="24"/>
          <w:szCs w:val="24"/>
          <w:lang w:val="fr-CH"/>
        </w:rPr>
      </w:pPr>
      <w:r w:rsidRPr="00E46EF2">
        <w:rPr>
          <w:rFonts w:ascii="Constantia" w:eastAsia="Arial Unicode MS" w:hAnsi="Constantia"/>
          <w:b/>
          <w:bCs/>
          <w:sz w:val="24"/>
          <w:szCs w:val="24"/>
          <w:lang w:val="fr-CH"/>
        </w:rPr>
        <w:t>Paragraphe 31</w:t>
      </w:r>
      <w:r w:rsidRPr="00EA56E8">
        <w:rPr>
          <w:rFonts w:ascii="Constantia" w:eastAsia="Arial Unicode MS" w:hAnsi="Constantia"/>
          <w:sz w:val="24"/>
          <w:szCs w:val="24"/>
          <w:lang w:val="fr-CH"/>
        </w:rPr>
        <w:t>: La possibilité qu'une réunion pacifique puisse provoquer des réactions violentes de la part d</w:t>
      </w:r>
      <w:r w:rsidR="002A763F">
        <w:rPr>
          <w:rFonts w:ascii="Constantia" w:eastAsia="Arial Unicode MS" w:hAnsi="Constantia"/>
          <w:sz w:val="24"/>
          <w:szCs w:val="24"/>
          <w:lang w:val="fr-CH"/>
        </w:rPr>
        <w:t xml:space="preserve">’une partie </w:t>
      </w:r>
      <w:r w:rsidRPr="00EA56E8">
        <w:rPr>
          <w:rFonts w:ascii="Constantia" w:eastAsia="Arial Unicode MS" w:hAnsi="Constantia"/>
          <w:sz w:val="24"/>
          <w:szCs w:val="24"/>
          <w:lang w:val="fr-CH"/>
        </w:rPr>
        <w:t xml:space="preserve">du public n'est pas une raison légitime </w:t>
      </w:r>
      <w:r w:rsidR="002A763F">
        <w:rPr>
          <w:rFonts w:ascii="Constantia" w:eastAsia="Arial Unicode MS" w:hAnsi="Constantia"/>
          <w:sz w:val="24"/>
          <w:szCs w:val="24"/>
          <w:lang w:val="fr-CH"/>
        </w:rPr>
        <w:t xml:space="preserve">pour </w:t>
      </w:r>
      <w:r w:rsidRPr="00EA56E8">
        <w:rPr>
          <w:rFonts w:ascii="Constantia" w:eastAsia="Arial Unicode MS" w:hAnsi="Constantia"/>
          <w:sz w:val="24"/>
          <w:szCs w:val="24"/>
          <w:lang w:val="fr-CH"/>
        </w:rPr>
        <w:t xml:space="preserve">interdire ou de restreindre la réunion. Elle doit être nuancée, </w:t>
      </w:r>
      <w:r w:rsidR="002A763F">
        <w:rPr>
          <w:rFonts w:ascii="Constantia" w:eastAsia="Arial Unicode MS" w:hAnsi="Constantia"/>
          <w:sz w:val="24"/>
          <w:szCs w:val="24"/>
          <w:lang w:val="fr-CH"/>
        </w:rPr>
        <w:t xml:space="preserve">en prenant en compte </w:t>
      </w:r>
      <w:r w:rsidRPr="00EA56E8">
        <w:rPr>
          <w:rFonts w:ascii="Constantia" w:eastAsia="Arial Unicode MS" w:hAnsi="Constantia"/>
          <w:sz w:val="24"/>
          <w:szCs w:val="24"/>
          <w:lang w:val="fr-CH"/>
        </w:rPr>
        <w:t>la possibilité pour les autorités d'analyser le contexte ou la situation au cas par cas</w:t>
      </w:r>
      <w:r w:rsidR="002A763F">
        <w:rPr>
          <w:rFonts w:ascii="Constantia" w:eastAsia="Arial Unicode MS" w:hAnsi="Constantia"/>
          <w:sz w:val="24"/>
          <w:szCs w:val="24"/>
          <w:lang w:val="fr-CH"/>
        </w:rPr>
        <w:t xml:space="preserve">. Il </w:t>
      </w:r>
      <w:r w:rsidRPr="00EA56E8">
        <w:rPr>
          <w:rFonts w:ascii="Constantia" w:eastAsia="Arial Unicode MS" w:hAnsi="Constantia"/>
          <w:sz w:val="24"/>
          <w:szCs w:val="24"/>
          <w:lang w:val="fr-CH"/>
        </w:rPr>
        <w:t xml:space="preserve">peut </w:t>
      </w:r>
      <w:r w:rsidR="002A763F">
        <w:rPr>
          <w:rFonts w:ascii="Constantia" w:eastAsia="Arial Unicode MS" w:hAnsi="Constantia"/>
          <w:sz w:val="24"/>
          <w:szCs w:val="24"/>
          <w:lang w:val="fr-CH"/>
        </w:rPr>
        <w:t>arriver qu</w:t>
      </w:r>
      <w:r w:rsidR="00DB7646">
        <w:rPr>
          <w:rFonts w:ascii="Constantia" w:eastAsia="Arial Unicode MS" w:hAnsi="Constantia"/>
          <w:sz w:val="24"/>
          <w:szCs w:val="24"/>
          <w:lang w:val="fr-CH"/>
        </w:rPr>
        <w:t>’</w:t>
      </w:r>
      <w:r w:rsidR="002A763F">
        <w:rPr>
          <w:rFonts w:ascii="Constantia" w:eastAsia="Arial Unicode MS" w:hAnsi="Constantia"/>
          <w:sz w:val="24"/>
          <w:szCs w:val="24"/>
          <w:lang w:val="fr-CH"/>
        </w:rPr>
        <w:t xml:space="preserve">un rassemblement </w:t>
      </w:r>
      <w:r w:rsidRPr="00EA56E8">
        <w:rPr>
          <w:rFonts w:ascii="Constantia" w:eastAsia="Arial Unicode MS" w:hAnsi="Constantia"/>
          <w:sz w:val="24"/>
          <w:szCs w:val="24"/>
          <w:lang w:val="fr-CH"/>
        </w:rPr>
        <w:t>pacifique a</w:t>
      </w:r>
      <w:r w:rsidR="00DB7646">
        <w:rPr>
          <w:rFonts w:ascii="Constantia" w:eastAsia="Arial Unicode MS" w:hAnsi="Constantia"/>
          <w:sz w:val="24"/>
          <w:szCs w:val="24"/>
          <w:lang w:val="fr-CH"/>
        </w:rPr>
        <w:t xml:space="preserve">yant </w:t>
      </w:r>
      <w:r w:rsidRPr="00EA56E8">
        <w:rPr>
          <w:rFonts w:ascii="Constantia" w:eastAsia="Arial Unicode MS" w:hAnsi="Constantia"/>
          <w:sz w:val="24"/>
          <w:szCs w:val="24"/>
          <w:lang w:val="fr-CH"/>
        </w:rPr>
        <w:t>un</w:t>
      </w:r>
      <w:r w:rsidR="00DB7646">
        <w:rPr>
          <w:rFonts w:ascii="Constantia" w:eastAsia="Arial Unicode MS" w:hAnsi="Constantia"/>
          <w:sz w:val="24"/>
          <w:szCs w:val="24"/>
          <w:lang w:val="fr-CH"/>
        </w:rPr>
        <w:t xml:space="preserve"> slogan </w:t>
      </w:r>
      <w:r w:rsidRPr="00EA56E8">
        <w:rPr>
          <w:rFonts w:ascii="Constantia" w:eastAsia="Arial Unicode MS" w:hAnsi="Constantia"/>
          <w:sz w:val="24"/>
          <w:szCs w:val="24"/>
          <w:lang w:val="fr-CH"/>
        </w:rPr>
        <w:t xml:space="preserve">ou un objet provocateur au sein d'une communauté hostile </w:t>
      </w:r>
      <w:r w:rsidR="00DB7646">
        <w:rPr>
          <w:rFonts w:ascii="Constantia" w:eastAsia="Arial Unicode MS" w:hAnsi="Constantia"/>
          <w:sz w:val="24"/>
          <w:szCs w:val="24"/>
          <w:lang w:val="fr-CH"/>
        </w:rPr>
        <w:t xml:space="preserve">génère de </w:t>
      </w:r>
      <w:r w:rsidRPr="00EA56E8">
        <w:rPr>
          <w:rFonts w:ascii="Constantia" w:eastAsia="Arial Unicode MS" w:hAnsi="Constantia"/>
          <w:sz w:val="24"/>
          <w:szCs w:val="24"/>
          <w:lang w:val="fr-CH"/>
        </w:rPr>
        <w:t>la violence</w:t>
      </w:r>
      <w:r w:rsidR="00DB7646">
        <w:rPr>
          <w:rFonts w:ascii="Constantia" w:eastAsia="Arial Unicode MS" w:hAnsi="Constantia"/>
          <w:sz w:val="24"/>
          <w:szCs w:val="24"/>
          <w:lang w:val="fr-CH"/>
        </w:rPr>
        <w:t>.</w:t>
      </w:r>
      <w:r w:rsidRPr="00EA56E8">
        <w:rPr>
          <w:rFonts w:ascii="Constantia" w:eastAsia="Arial Unicode MS" w:hAnsi="Constantia"/>
          <w:sz w:val="24"/>
          <w:szCs w:val="24"/>
          <w:lang w:val="fr-CH"/>
        </w:rPr>
        <w:t xml:space="preserve"> </w:t>
      </w:r>
      <w:r w:rsidR="00DB7646">
        <w:rPr>
          <w:rFonts w:ascii="Constantia" w:eastAsia="Arial Unicode MS" w:hAnsi="Constantia"/>
          <w:sz w:val="24"/>
          <w:szCs w:val="24"/>
          <w:lang w:val="fr-CH"/>
        </w:rPr>
        <w:t>I</w:t>
      </w:r>
      <w:r w:rsidRPr="00EA56E8">
        <w:rPr>
          <w:rFonts w:ascii="Constantia" w:eastAsia="Arial Unicode MS" w:hAnsi="Constantia"/>
          <w:sz w:val="24"/>
          <w:szCs w:val="24"/>
          <w:lang w:val="fr-CH"/>
        </w:rPr>
        <w:t>l est donc toujours préférable de prévenir à l'avance ce type de situations.</w:t>
      </w:r>
    </w:p>
    <w:p w:rsidR="00E46EF2" w:rsidRPr="00EA56E8" w:rsidRDefault="00E46EF2" w:rsidP="00E46EF2">
      <w:pPr>
        <w:spacing w:after="0" w:line="276" w:lineRule="auto"/>
        <w:ind w:left="720"/>
        <w:jc w:val="both"/>
        <w:rPr>
          <w:rFonts w:ascii="Constantia" w:eastAsia="Arial Unicode MS" w:hAnsi="Constantia"/>
          <w:sz w:val="24"/>
          <w:szCs w:val="24"/>
          <w:lang w:val="fr-CH"/>
        </w:rPr>
      </w:pPr>
    </w:p>
    <w:p w:rsidR="00E46EF2" w:rsidRPr="00DB7646" w:rsidRDefault="00EA56E8" w:rsidP="00E46EF2">
      <w:pPr>
        <w:numPr>
          <w:ilvl w:val="0"/>
          <w:numId w:val="10"/>
        </w:numPr>
        <w:spacing w:after="0" w:line="276" w:lineRule="auto"/>
        <w:jc w:val="both"/>
        <w:rPr>
          <w:rFonts w:ascii="Constantia" w:eastAsia="Arial Unicode MS" w:hAnsi="Constantia"/>
          <w:sz w:val="24"/>
          <w:szCs w:val="24"/>
          <w:lang w:val="fr-CH"/>
        </w:rPr>
      </w:pPr>
      <w:r w:rsidRPr="00E46EF2">
        <w:rPr>
          <w:rFonts w:ascii="Constantia" w:eastAsia="Arial Unicode MS" w:hAnsi="Constantia"/>
          <w:b/>
          <w:bCs/>
          <w:sz w:val="24"/>
          <w:szCs w:val="24"/>
          <w:lang w:val="fr-CH"/>
        </w:rPr>
        <w:t>Paragraphe 81</w:t>
      </w:r>
      <w:r w:rsidRPr="00EA56E8">
        <w:rPr>
          <w:rFonts w:ascii="Constantia" w:eastAsia="Arial Unicode MS" w:hAnsi="Constantia"/>
          <w:sz w:val="24"/>
          <w:szCs w:val="24"/>
          <w:lang w:val="fr-CH"/>
        </w:rPr>
        <w:t xml:space="preserve">: Le non-respect de l'obligation de notification aux autorités ne devrait pas être utilisé comme base pour disperser la réunion ou détenir des participants ou des organisateurs. </w:t>
      </w:r>
      <w:r w:rsidR="00DB7646">
        <w:rPr>
          <w:rFonts w:ascii="Constantia" w:eastAsia="Arial Unicode MS" w:hAnsi="Constantia"/>
          <w:sz w:val="24"/>
          <w:szCs w:val="24"/>
          <w:lang w:val="fr-CH"/>
        </w:rPr>
        <w:t>Ce principe</w:t>
      </w:r>
      <w:r w:rsidRPr="00EA56E8">
        <w:rPr>
          <w:rFonts w:ascii="Constantia" w:eastAsia="Arial Unicode MS" w:hAnsi="Constantia"/>
          <w:sz w:val="24"/>
          <w:szCs w:val="24"/>
          <w:lang w:val="fr-CH"/>
        </w:rPr>
        <w:t xml:space="preserve"> ne dispense pas non plus les autorités de l'obligation, dans la mesure de leurs moyens, de faciliter la célébration de la réunion et de protéger les participants.</w:t>
      </w:r>
    </w:p>
    <w:p w:rsidR="00EA56E8" w:rsidRPr="00EA56E8" w:rsidRDefault="00EA56E8" w:rsidP="00DB7646">
      <w:pPr>
        <w:spacing w:after="0" w:line="276" w:lineRule="auto"/>
        <w:ind w:left="709"/>
        <w:jc w:val="both"/>
        <w:rPr>
          <w:rFonts w:ascii="Constantia" w:eastAsia="Arial Unicode MS" w:hAnsi="Constantia"/>
          <w:sz w:val="24"/>
          <w:szCs w:val="24"/>
          <w:lang w:val="fr-CH"/>
        </w:rPr>
      </w:pPr>
      <w:r w:rsidRPr="00EA56E8">
        <w:rPr>
          <w:rFonts w:ascii="Constantia" w:eastAsia="Arial Unicode MS" w:hAnsi="Constantia"/>
          <w:sz w:val="24"/>
          <w:szCs w:val="24"/>
          <w:lang w:val="fr-CH"/>
        </w:rPr>
        <w:t xml:space="preserve">Ce paragraphe peut être contradictoire avec le paragraphe 80 du Projet Commentaire, qui </w:t>
      </w:r>
      <w:r w:rsidR="00DB7646">
        <w:rPr>
          <w:rFonts w:ascii="Constantia" w:eastAsia="Arial Unicode MS" w:hAnsi="Constantia"/>
          <w:sz w:val="24"/>
          <w:szCs w:val="24"/>
          <w:lang w:val="fr-CH"/>
        </w:rPr>
        <w:t xml:space="preserve">prévoient que </w:t>
      </w:r>
      <w:r w:rsidRPr="00EA56E8">
        <w:rPr>
          <w:rFonts w:ascii="Constantia" w:eastAsia="Arial Unicode MS" w:hAnsi="Constantia"/>
          <w:sz w:val="24"/>
          <w:szCs w:val="24"/>
          <w:lang w:val="fr-CH"/>
        </w:rPr>
        <w:t xml:space="preserve">les systèmes de notification impliquent que ceux qui ont l'intention d'organiser une réunion pacifique doivent, en conséquence, informer les autorités à l'avance et fournir certaines </w:t>
      </w:r>
      <w:r w:rsidR="00DB7646">
        <w:rPr>
          <w:rFonts w:ascii="Constantia" w:eastAsia="Arial Unicode MS" w:hAnsi="Constantia"/>
          <w:sz w:val="24"/>
          <w:szCs w:val="24"/>
          <w:lang w:val="fr-CH"/>
        </w:rPr>
        <w:t>informations.</w:t>
      </w:r>
      <w:r w:rsidRPr="00EA56E8">
        <w:rPr>
          <w:rFonts w:ascii="Constantia" w:eastAsia="Arial Unicode MS" w:hAnsi="Constantia"/>
          <w:sz w:val="24"/>
          <w:szCs w:val="24"/>
          <w:lang w:val="fr-CH"/>
        </w:rPr>
        <w:t xml:space="preserve"> Cette exigence est admissible dans la mesure où elle est nécessaire pour aider les autorités à faciliter le bon déroulement des réunions pacifiques et à protéger les droits d'autrui.</w:t>
      </w:r>
    </w:p>
    <w:p w:rsidR="004D73B7" w:rsidRDefault="00EA56E8" w:rsidP="00E46EF2">
      <w:pPr>
        <w:spacing w:after="0" w:line="276" w:lineRule="auto"/>
        <w:ind w:left="709"/>
        <w:jc w:val="both"/>
        <w:rPr>
          <w:rFonts w:ascii="Constantia" w:eastAsia="Arial Unicode MS" w:hAnsi="Constantia"/>
          <w:sz w:val="24"/>
          <w:szCs w:val="24"/>
          <w:lang w:val="fr-CH"/>
        </w:rPr>
      </w:pPr>
      <w:r w:rsidRPr="00EA56E8">
        <w:rPr>
          <w:rFonts w:ascii="Constantia" w:eastAsia="Arial Unicode MS" w:hAnsi="Constantia"/>
          <w:sz w:val="24"/>
          <w:szCs w:val="24"/>
          <w:lang w:val="fr-CH"/>
        </w:rPr>
        <w:lastRenderedPageBreak/>
        <w:t xml:space="preserve">Il est entendu que les réunions pacifiques ne doivent pas être autorisées, mais nécessitent une notification préalable, </w:t>
      </w:r>
      <w:r w:rsidR="004D73B7">
        <w:rPr>
          <w:rFonts w:ascii="Constantia" w:eastAsia="Arial Unicode MS" w:hAnsi="Constantia"/>
          <w:sz w:val="24"/>
          <w:szCs w:val="24"/>
          <w:lang w:val="fr-CH"/>
        </w:rPr>
        <w:t xml:space="preserve">tel est le sens des dispositions angolaises </w:t>
      </w:r>
      <w:r w:rsidRPr="00EA56E8">
        <w:rPr>
          <w:rFonts w:ascii="Constantia" w:eastAsia="Arial Unicode MS" w:hAnsi="Constantia"/>
          <w:sz w:val="24"/>
          <w:szCs w:val="24"/>
          <w:lang w:val="fr-CH"/>
        </w:rPr>
        <w:t>prévu</w:t>
      </w:r>
      <w:r w:rsidR="004D73B7">
        <w:rPr>
          <w:rFonts w:ascii="Constantia" w:eastAsia="Arial Unicode MS" w:hAnsi="Constantia"/>
          <w:sz w:val="24"/>
          <w:szCs w:val="24"/>
          <w:lang w:val="fr-CH"/>
        </w:rPr>
        <w:t>es</w:t>
      </w:r>
      <w:r w:rsidRPr="00EA56E8">
        <w:rPr>
          <w:rFonts w:ascii="Constantia" w:eastAsia="Arial Unicode MS" w:hAnsi="Constantia"/>
          <w:sz w:val="24"/>
          <w:szCs w:val="24"/>
          <w:lang w:val="fr-CH"/>
        </w:rPr>
        <w:t xml:space="preserve"> dans la Constitution de la République d'Angola et dans la loi n ° 16/91 du 11 mai</w:t>
      </w:r>
      <w:r w:rsidR="004D73B7">
        <w:rPr>
          <w:rFonts w:ascii="Constantia" w:eastAsia="Arial Unicode MS" w:hAnsi="Constantia"/>
          <w:sz w:val="24"/>
          <w:szCs w:val="24"/>
          <w:lang w:val="fr-CH"/>
        </w:rPr>
        <w:t>.</w:t>
      </w:r>
      <w:r w:rsidRPr="00EA56E8">
        <w:rPr>
          <w:rFonts w:ascii="Constantia" w:eastAsia="Arial Unicode MS" w:hAnsi="Constantia"/>
          <w:sz w:val="24"/>
          <w:szCs w:val="24"/>
          <w:lang w:val="fr-CH"/>
        </w:rPr>
        <w:t xml:space="preserve"> </w:t>
      </w:r>
    </w:p>
    <w:p w:rsidR="00EA56E8" w:rsidRPr="00EA56E8" w:rsidRDefault="004D73B7" w:rsidP="00E46EF2">
      <w:pPr>
        <w:spacing w:after="0" w:line="276" w:lineRule="auto"/>
        <w:ind w:left="709"/>
        <w:jc w:val="both"/>
        <w:rPr>
          <w:rFonts w:ascii="Constantia" w:eastAsia="Arial Unicode MS" w:hAnsi="Constantia"/>
          <w:sz w:val="24"/>
          <w:szCs w:val="24"/>
          <w:lang w:val="fr-CH"/>
        </w:rPr>
      </w:pPr>
      <w:r>
        <w:rPr>
          <w:rFonts w:ascii="Constantia" w:eastAsia="Arial Unicode MS" w:hAnsi="Constantia"/>
          <w:sz w:val="24"/>
          <w:szCs w:val="24"/>
          <w:lang w:val="fr-CH"/>
        </w:rPr>
        <w:t>Cependant, l’introduction du</w:t>
      </w:r>
      <w:r w:rsidR="00EA56E8" w:rsidRPr="00EA56E8">
        <w:rPr>
          <w:rFonts w:ascii="Constantia" w:eastAsia="Arial Unicode MS" w:hAnsi="Constantia"/>
          <w:sz w:val="24"/>
          <w:szCs w:val="24"/>
          <w:lang w:val="fr-CH"/>
        </w:rPr>
        <w:t xml:space="preserve"> paragraphe 81</w:t>
      </w:r>
      <w:r>
        <w:rPr>
          <w:rFonts w:ascii="Constantia" w:eastAsia="Arial Unicode MS" w:hAnsi="Constantia"/>
          <w:sz w:val="24"/>
          <w:szCs w:val="24"/>
          <w:lang w:val="fr-CH"/>
        </w:rPr>
        <w:t xml:space="preserve"> au Commentaire n°37 </w:t>
      </w:r>
      <w:r w:rsidR="00EA56E8" w:rsidRPr="00EA56E8">
        <w:rPr>
          <w:rFonts w:ascii="Constantia" w:eastAsia="Arial Unicode MS" w:hAnsi="Constantia"/>
          <w:sz w:val="24"/>
          <w:szCs w:val="24"/>
          <w:lang w:val="fr-CH"/>
        </w:rPr>
        <w:t xml:space="preserve">supprimerait ou </w:t>
      </w:r>
      <w:r>
        <w:rPr>
          <w:rFonts w:ascii="Constantia" w:eastAsia="Arial Unicode MS" w:hAnsi="Constantia"/>
          <w:sz w:val="24"/>
          <w:szCs w:val="24"/>
          <w:lang w:val="fr-CH"/>
        </w:rPr>
        <w:t xml:space="preserve">diminuerait </w:t>
      </w:r>
      <w:r w:rsidR="00EA56E8" w:rsidRPr="00EA56E8">
        <w:rPr>
          <w:rFonts w:ascii="Constantia" w:eastAsia="Arial Unicode MS" w:hAnsi="Constantia"/>
          <w:sz w:val="24"/>
          <w:szCs w:val="24"/>
          <w:lang w:val="fr-CH"/>
        </w:rPr>
        <w:t xml:space="preserve">la pertinence de </w:t>
      </w:r>
      <w:r>
        <w:rPr>
          <w:rFonts w:ascii="Constantia" w:eastAsia="Arial Unicode MS" w:hAnsi="Constantia"/>
          <w:sz w:val="24"/>
          <w:szCs w:val="24"/>
          <w:lang w:val="fr-CH"/>
        </w:rPr>
        <w:t xml:space="preserve">la </w:t>
      </w:r>
      <w:r w:rsidR="00EA56E8" w:rsidRPr="00EA56E8">
        <w:rPr>
          <w:rFonts w:ascii="Constantia" w:eastAsia="Arial Unicode MS" w:hAnsi="Constantia"/>
          <w:sz w:val="24"/>
          <w:szCs w:val="24"/>
          <w:lang w:val="fr-CH"/>
        </w:rPr>
        <w:t>notification</w:t>
      </w:r>
      <w:r>
        <w:rPr>
          <w:rFonts w:ascii="Constantia" w:eastAsia="Arial Unicode MS" w:hAnsi="Constantia"/>
          <w:sz w:val="24"/>
          <w:szCs w:val="24"/>
          <w:lang w:val="fr-CH"/>
        </w:rPr>
        <w:t xml:space="preserve"> en question</w:t>
      </w:r>
      <w:r w:rsidR="00EA56E8" w:rsidRPr="00EA56E8">
        <w:rPr>
          <w:rFonts w:ascii="Constantia" w:eastAsia="Arial Unicode MS" w:hAnsi="Constantia"/>
          <w:sz w:val="24"/>
          <w:szCs w:val="24"/>
          <w:lang w:val="fr-CH"/>
        </w:rPr>
        <w:t>,</w:t>
      </w:r>
      <w:r>
        <w:rPr>
          <w:rFonts w:ascii="Constantia" w:eastAsia="Arial Unicode MS" w:hAnsi="Constantia"/>
          <w:sz w:val="24"/>
          <w:szCs w:val="24"/>
          <w:lang w:val="fr-CH"/>
        </w:rPr>
        <w:t xml:space="preserve"> dans la mesure où </w:t>
      </w:r>
      <w:r w:rsidR="00EA56E8" w:rsidRPr="00EA56E8">
        <w:rPr>
          <w:rFonts w:ascii="Constantia" w:eastAsia="Arial Unicode MS" w:hAnsi="Constantia"/>
          <w:sz w:val="24"/>
          <w:szCs w:val="24"/>
          <w:lang w:val="fr-CH"/>
        </w:rPr>
        <w:t>les manifestations ne seraient p</w:t>
      </w:r>
      <w:r>
        <w:rPr>
          <w:rFonts w:ascii="Constantia" w:eastAsia="Arial Unicode MS" w:hAnsi="Constantia"/>
          <w:sz w:val="24"/>
          <w:szCs w:val="24"/>
          <w:lang w:val="fr-CH"/>
        </w:rPr>
        <w:t xml:space="preserve">lus </w:t>
      </w:r>
      <w:r w:rsidR="00EA56E8" w:rsidRPr="00EA56E8">
        <w:rPr>
          <w:rFonts w:ascii="Constantia" w:eastAsia="Arial Unicode MS" w:hAnsi="Constantia"/>
          <w:sz w:val="24"/>
          <w:szCs w:val="24"/>
          <w:lang w:val="fr-CH"/>
        </w:rPr>
        <w:t>notifiées</w:t>
      </w:r>
      <w:r>
        <w:rPr>
          <w:rFonts w:ascii="Constantia" w:eastAsia="Arial Unicode MS" w:hAnsi="Constantia"/>
          <w:sz w:val="24"/>
          <w:szCs w:val="24"/>
          <w:lang w:val="fr-CH"/>
        </w:rPr>
        <w:t>,</w:t>
      </w:r>
      <w:r w:rsidR="00EA56E8" w:rsidRPr="00EA56E8">
        <w:rPr>
          <w:rFonts w:ascii="Constantia" w:eastAsia="Arial Unicode MS" w:hAnsi="Constantia"/>
          <w:sz w:val="24"/>
          <w:szCs w:val="24"/>
          <w:lang w:val="fr-CH"/>
        </w:rPr>
        <w:t xml:space="preserve"> pourraient se dérouler de manière anarchique et que les autorités ne seraient pas en mesure d'intervenir et de garantir la sécurité et l'ordre publics.</w:t>
      </w:r>
    </w:p>
    <w:p w:rsidR="000B1963" w:rsidRPr="00EA56E8" w:rsidRDefault="00E541D2" w:rsidP="00EA56E8">
      <w:pPr>
        <w:spacing w:line="276" w:lineRule="auto"/>
        <w:jc w:val="both"/>
        <w:rPr>
          <w:rFonts w:ascii="Constantia" w:eastAsia="Arial Unicode MS" w:hAnsi="Constantia"/>
          <w:sz w:val="24"/>
          <w:szCs w:val="24"/>
          <w:lang w:val="fr-CH"/>
        </w:rPr>
      </w:pPr>
      <w:r w:rsidRPr="00EA56E8">
        <w:rPr>
          <w:rFonts w:ascii="Constantia" w:eastAsia="Arial Unicode MS" w:hAnsi="Constantia"/>
          <w:sz w:val="24"/>
          <w:szCs w:val="24"/>
          <w:lang w:val="fr-CH"/>
        </w:rPr>
        <w:t xml:space="preserve"> </w:t>
      </w:r>
    </w:p>
    <w:p w:rsidR="00CE1B1C" w:rsidRPr="00BE4F04" w:rsidRDefault="00A53EF2" w:rsidP="00EA56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Constantia" w:eastAsia="Arial Unicode MS" w:hAnsi="Constantia"/>
          <w:b/>
          <w:color w:val="000000"/>
          <w:sz w:val="24"/>
          <w:szCs w:val="24"/>
          <w:lang w:val="fr-CH" w:eastAsia="ja-JP"/>
        </w:rPr>
      </w:pPr>
      <w:r w:rsidRPr="00BE4F04">
        <w:rPr>
          <w:rFonts w:ascii="Constantia" w:eastAsia="Arial Unicode MS" w:hAnsi="Constantia"/>
          <w:b/>
          <w:color w:val="000000"/>
          <w:sz w:val="24"/>
          <w:szCs w:val="24"/>
          <w:lang w:val="fr-CH" w:eastAsia="ja-JP"/>
        </w:rPr>
        <w:t>Miss</w:t>
      </w:r>
      <w:r w:rsidR="00E46EF2" w:rsidRPr="00BE4F04">
        <w:rPr>
          <w:rFonts w:ascii="Constantia" w:eastAsia="Arial Unicode MS" w:hAnsi="Constantia"/>
          <w:b/>
          <w:color w:val="000000"/>
          <w:sz w:val="24"/>
          <w:szCs w:val="24"/>
          <w:lang w:val="fr-CH" w:eastAsia="ja-JP"/>
        </w:rPr>
        <w:t>ion permanente de la République d’Angola auprès de l’Office des Nations Unies</w:t>
      </w:r>
      <w:r w:rsidR="00BE4F04">
        <w:rPr>
          <w:rFonts w:ascii="Constantia" w:eastAsia="Arial Unicode MS" w:hAnsi="Constantia"/>
          <w:b/>
          <w:color w:val="000000"/>
          <w:sz w:val="24"/>
          <w:szCs w:val="24"/>
          <w:lang w:val="fr-CH" w:eastAsia="ja-JP"/>
        </w:rPr>
        <w:t>.</w:t>
      </w:r>
    </w:p>
    <w:p w:rsidR="00A96533" w:rsidRPr="00BE4F04" w:rsidRDefault="00A96533" w:rsidP="00EA56E8">
      <w:pPr>
        <w:spacing w:after="0" w:line="276" w:lineRule="auto"/>
        <w:rPr>
          <w:rFonts w:ascii="Constantia" w:eastAsia="Arial Unicode MS" w:hAnsi="Constantia"/>
          <w:lang w:val="fr-CH"/>
        </w:rPr>
      </w:pPr>
    </w:p>
    <w:sectPr w:rsidR="00A96533" w:rsidRPr="00BE4F04" w:rsidSect="00E2186D">
      <w:headerReference w:type="default" r:id="rId8"/>
      <w:footerReference w:type="default" r:id="rId9"/>
      <w:pgSz w:w="11906" w:h="16838"/>
      <w:pgMar w:top="851" w:right="1417" w:bottom="14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C30" w:rsidRDefault="000B5C30" w:rsidP="00345A89">
      <w:pPr>
        <w:spacing w:after="0" w:line="240" w:lineRule="auto"/>
      </w:pPr>
      <w:r>
        <w:separator/>
      </w:r>
    </w:p>
  </w:endnote>
  <w:endnote w:type="continuationSeparator" w:id="0">
    <w:p w:rsidR="000B5C30" w:rsidRDefault="000B5C30" w:rsidP="00345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EF2" w:rsidRDefault="00A53EF2" w:rsidP="00E2186D">
    <w:pPr>
      <w:pStyle w:val="Footer"/>
      <w:jc w:val="right"/>
    </w:pPr>
  </w:p>
  <w:p w:rsidR="00A53EF2" w:rsidRPr="00345A89" w:rsidRDefault="00A53EF2" w:rsidP="00A53EF2">
    <w:pPr>
      <w:spacing w:after="0" w:line="240" w:lineRule="auto"/>
      <w:ind w:left="2124" w:hanging="1494"/>
      <w:jc w:val="center"/>
      <w:rPr>
        <w:rFonts w:ascii="Constantia" w:hAnsi="Constantia"/>
        <w:b/>
        <w:bCs/>
        <w:sz w:val="18"/>
        <w:szCs w:val="18"/>
        <w:lang w:val="fr-CH"/>
      </w:rPr>
    </w:pPr>
    <w:r w:rsidRPr="00345A89">
      <w:rPr>
        <w:rFonts w:ascii="Constantia" w:hAnsi="Constantia"/>
        <w:b/>
        <w:bCs/>
        <w:sz w:val="18"/>
        <w:szCs w:val="18"/>
        <w:lang w:val="fr-CH"/>
      </w:rPr>
      <w:t>Mission Permanente de la République d’Angola auprès de l'O</w:t>
    </w:r>
    <w:r w:rsidR="0050400B">
      <w:rPr>
        <w:rFonts w:ascii="Constantia" w:hAnsi="Constantia"/>
        <w:b/>
        <w:bCs/>
        <w:sz w:val="18"/>
        <w:szCs w:val="18"/>
        <w:lang w:val="fr-CH"/>
      </w:rPr>
      <w:t>ffice des Nations Unies à Genève</w:t>
    </w:r>
  </w:p>
  <w:p w:rsidR="00A53EF2" w:rsidRPr="00345A89" w:rsidRDefault="00A53EF2" w:rsidP="00A53EF2">
    <w:pPr>
      <w:spacing w:after="0" w:line="240" w:lineRule="auto"/>
      <w:ind w:left="2124" w:hanging="1494"/>
      <w:jc w:val="center"/>
      <w:rPr>
        <w:rFonts w:ascii="Constantia" w:hAnsi="Constantia"/>
        <w:b/>
        <w:bCs/>
        <w:sz w:val="18"/>
        <w:szCs w:val="18"/>
        <w:lang w:val="fr-CH"/>
      </w:rPr>
    </w:pPr>
    <w:r w:rsidRPr="00345A89">
      <w:rPr>
        <w:rFonts w:ascii="Constantia" w:hAnsi="Constantia"/>
        <w:b/>
        <w:bCs/>
        <w:sz w:val="18"/>
        <w:szCs w:val="18"/>
        <w:lang w:val="fr-CH"/>
      </w:rPr>
      <w:t>45-47, Rue de Lausanne - 1201 Genève, Tél. 0041 22 732 30 60 - Fax 0041 22 732 30 72</w:t>
    </w:r>
  </w:p>
  <w:p w:rsidR="00345A89" w:rsidRPr="00A53EF2" w:rsidRDefault="00A53EF2" w:rsidP="00A53EF2">
    <w:pPr>
      <w:spacing w:after="0" w:line="240" w:lineRule="auto"/>
      <w:ind w:left="2124" w:hanging="1494"/>
      <w:jc w:val="center"/>
      <w:rPr>
        <w:rFonts w:ascii="Constantia" w:hAnsi="Constantia"/>
        <w:b/>
        <w:bCs/>
        <w:sz w:val="18"/>
        <w:szCs w:val="18"/>
        <w:lang w:val="pt-PT"/>
      </w:rPr>
    </w:pPr>
    <w:r w:rsidRPr="00345A89">
      <w:rPr>
        <w:rFonts w:ascii="Constantia" w:hAnsi="Constantia"/>
        <w:b/>
        <w:bCs/>
        <w:sz w:val="18"/>
        <w:szCs w:val="18"/>
        <w:lang w:val="pt-PT"/>
      </w:rPr>
      <w:t>E-mai</w:t>
    </w:r>
    <w:r>
      <w:rPr>
        <w:rFonts w:ascii="Constantia" w:hAnsi="Constantia"/>
        <w:b/>
        <w:bCs/>
        <w:sz w:val="18"/>
        <w:szCs w:val="18"/>
        <w:lang w:val="pt-PT"/>
      </w:rPr>
      <w:t>l: ambmission.angola@bluewin.ch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C30" w:rsidRDefault="000B5C30" w:rsidP="00345A89">
      <w:pPr>
        <w:spacing w:after="0" w:line="240" w:lineRule="auto"/>
      </w:pPr>
      <w:r>
        <w:separator/>
      </w:r>
    </w:p>
  </w:footnote>
  <w:footnote w:type="continuationSeparator" w:id="0">
    <w:p w:rsidR="000B5C30" w:rsidRDefault="000B5C30" w:rsidP="00345A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DC0" w:rsidRDefault="00EA1DC0" w:rsidP="00D4114C">
    <w:pPr>
      <w:pStyle w:val="Header"/>
    </w:pPr>
  </w:p>
  <w:p w:rsidR="00E2186D" w:rsidRDefault="00E218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444CD"/>
    <w:multiLevelType w:val="hybridMultilevel"/>
    <w:tmpl w:val="E0C47CC8"/>
    <w:lvl w:ilvl="0" w:tplc="100C000B">
      <w:start w:val="1"/>
      <w:numFmt w:val="bullet"/>
      <w:lvlText w:val=""/>
      <w:lvlJc w:val="left"/>
      <w:pPr>
        <w:ind w:left="720" w:hanging="360"/>
      </w:pPr>
      <w:rPr>
        <w:rFonts w:ascii="Wingdings" w:hAnsi="Wingdings" w:hint="default"/>
      </w:rPr>
    </w:lvl>
    <w:lvl w:ilvl="1" w:tplc="A244BAAC">
      <w:numFmt w:val="bullet"/>
      <w:lvlText w:val=""/>
      <w:lvlJc w:val="left"/>
      <w:pPr>
        <w:ind w:left="1440" w:hanging="360"/>
      </w:pPr>
      <w:rPr>
        <w:rFonts w:ascii="Symbol" w:eastAsia="Arial Unicode MS" w:hAnsi="Symbol" w:cs="Times New Roman"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1F595F0A"/>
    <w:multiLevelType w:val="hybridMultilevel"/>
    <w:tmpl w:val="752E0A8C"/>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363D7769"/>
    <w:multiLevelType w:val="hybridMultilevel"/>
    <w:tmpl w:val="9C94426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3B4F7CDF"/>
    <w:multiLevelType w:val="hybridMultilevel"/>
    <w:tmpl w:val="11B227F2"/>
    <w:lvl w:ilvl="0" w:tplc="51D86548">
      <w:start w:val="2"/>
      <w:numFmt w:val="bullet"/>
      <w:lvlText w:val="-"/>
      <w:lvlJc w:val="left"/>
      <w:pPr>
        <w:ind w:left="720" w:hanging="360"/>
      </w:pPr>
      <w:rPr>
        <w:rFonts w:ascii="Constantia" w:eastAsia="Arial Unicode MS" w:hAnsi="Constantia"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3BE75EBE"/>
    <w:multiLevelType w:val="hybridMultilevel"/>
    <w:tmpl w:val="CC86A77C"/>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4A3B6B16"/>
    <w:multiLevelType w:val="hybridMultilevel"/>
    <w:tmpl w:val="B7027C02"/>
    <w:lvl w:ilvl="0" w:tplc="EFA4FD4E">
      <w:start w:val="1"/>
      <w:numFmt w:val="decimal"/>
      <w:lvlText w:val="%1)"/>
      <w:lvlJc w:val="left"/>
      <w:pPr>
        <w:ind w:left="720" w:hanging="360"/>
      </w:pPr>
      <w:rPr>
        <w:rFonts w:ascii="Constantia" w:hAnsi="Constantia" w:hint="default"/>
        <w:b/>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54AD2D85"/>
    <w:multiLevelType w:val="hybridMultilevel"/>
    <w:tmpl w:val="0F80E45E"/>
    <w:lvl w:ilvl="0" w:tplc="8EA85A92">
      <w:start w:val="2"/>
      <w:numFmt w:val="bullet"/>
      <w:lvlText w:val="-"/>
      <w:lvlJc w:val="left"/>
      <w:pPr>
        <w:ind w:left="720" w:hanging="360"/>
      </w:pPr>
      <w:rPr>
        <w:rFonts w:ascii="Constantia" w:eastAsia="Arial Unicode MS" w:hAnsi="Constantia"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561B20B9"/>
    <w:multiLevelType w:val="multilevel"/>
    <w:tmpl w:val="0FAC7DDE"/>
    <w:lvl w:ilvl="0">
      <w:start w:val="1"/>
      <w:numFmt w:val="decimal"/>
      <w:lvlText w:val="%1."/>
      <w:lvlJc w:val="left"/>
      <w:pPr>
        <w:ind w:left="720" w:hanging="360"/>
      </w:pPr>
      <w:rPr>
        <w:b/>
        <w:sz w:val="28"/>
        <w:szCs w:val="28"/>
      </w:rPr>
    </w:lvl>
    <w:lvl w:ilvl="1">
      <w:start w:val="1"/>
      <w:numFmt w:val="decimal"/>
      <w:isLgl/>
      <w:lvlText w:val="%1.%2."/>
      <w:lvlJc w:val="left"/>
      <w:pPr>
        <w:ind w:left="1080" w:hanging="720"/>
      </w:pPr>
      <w:rPr>
        <w:b/>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8" w15:restartNumberingAfterBreak="0">
    <w:nsid w:val="5CF55CE2"/>
    <w:multiLevelType w:val="hybridMultilevel"/>
    <w:tmpl w:val="063695C8"/>
    <w:lvl w:ilvl="0" w:tplc="F4F4DBB8">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9" w15:restartNumberingAfterBreak="0">
    <w:nsid w:val="76AE32F1"/>
    <w:multiLevelType w:val="hybridMultilevel"/>
    <w:tmpl w:val="EE667BD2"/>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9"/>
  </w:num>
  <w:num w:numId="2">
    <w:abstractNumId w:val="2"/>
  </w:num>
  <w:num w:numId="3">
    <w:abstractNumId w:val="4"/>
  </w:num>
  <w:num w:numId="4">
    <w:abstractNumId w:val="7"/>
  </w:num>
  <w:num w:numId="5">
    <w:abstractNumId w:val="5"/>
  </w:num>
  <w:num w:numId="6">
    <w:abstractNumId w:val="8"/>
  </w:num>
  <w:num w:numId="7">
    <w:abstractNumId w:val="6"/>
  </w:num>
  <w:num w:numId="8">
    <w:abstractNumId w:val="3"/>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0B7"/>
    <w:rsid w:val="000003DA"/>
    <w:rsid w:val="00007349"/>
    <w:rsid w:val="00014E54"/>
    <w:rsid w:val="000417C8"/>
    <w:rsid w:val="00060323"/>
    <w:rsid w:val="00060E6F"/>
    <w:rsid w:val="00070BEB"/>
    <w:rsid w:val="0008593A"/>
    <w:rsid w:val="000975C1"/>
    <w:rsid w:val="000A7DAF"/>
    <w:rsid w:val="000B1963"/>
    <w:rsid w:val="000B5C30"/>
    <w:rsid w:val="000B6D17"/>
    <w:rsid w:val="000D528A"/>
    <w:rsid w:val="000F12D4"/>
    <w:rsid w:val="000F3E6B"/>
    <w:rsid w:val="001100AC"/>
    <w:rsid w:val="0012568A"/>
    <w:rsid w:val="001955D3"/>
    <w:rsid w:val="001A13E0"/>
    <w:rsid w:val="001B1199"/>
    <w:rsid w:val="001C49C5"/>
    <w:rsid w:val="001C6112"/>
    <w:rsid w:val="001D05A4"/>
    <w:rsid w:val="001E2EB0"/>
    <w:rsid w:val="001E61CE"/>
    <w:rsid w:val="0022021C"/>
    <w:rsid w:val="002254C8"/>
    <w:rsid w:val="00257A7B"/>
    <w:rsid w:val="00272C7E"/>
    <w:rsid w:val="002A763F"/>
    <w:rsid w:val="002B11B6"/>
    <w:rsid w:val="002D48DB"/>
    <w:rsid w:val="002F5324"/>
    <w:rsid w:val="00334C7E"/>
    <w:rsid w:val="00345A89"/>
    <w:rsid w:val="00372E0E"/>
    <w:rsid w:val="0038765D"/>
    <w:rsid w:val="003A4E3F"/>
    <w:rsid w:val="003A6734"/>
    <w:rsid w:val="003B575B"/>
    <w:rsid w:val="00415C0C"/>
    <w:rsid w:val="00465740"/>
    <w:rsid w:val="004856CA"/>
    <w:rsid w:val="004D6E50"/>
    <w:rsid w:val="004D73B7"/>
    <w:rsid w:val="004E09F1"/>
    <w:rsid w:val="004E38CD"/>
    <w:rsid w:val="0050400B"/>
    <w:rsid w:val="00515A5C"/>
    <w:rsid w:val="005574E6"/>
    <w:rsid w:val="00564D2D"/>
    <w:rsid w:val="00572BE9"/>
    <w:rsid w:val="00577E2E"/>
    <w:rsid w:val="00593A6C"/>
    <w:rsid w:val="005B194D"/>
    <w:rsid w:val="005B27EA"/>
    <w:rsid w:val="00626FA6"/>
    <w:rsid w:val="00640126"/>
    <w:rsid w:val="006449B0"/>
    <w:rsid w:val="00647817"/>
    <w:rsid w:val="00663589"/>
    <w:rsid w:val="00694EED"/>
    <w:rsid w:val="006A1147"/>
    <w:rsid w:val="006A2ED4"/>
    <w:rsid w:val="006C20A8"/>
    <w:rsid w:val="006E472C"/>
    <w:rsid w:val="006E6A6B"/>
    <w:rsid w:val="006F5EF7"/>
    <w:rsid w:val="007052D3"/>
    <w:rsid w:val="007116BC"/>
    <w:rsid w:val="0072058A"/>
    <w:rsid w:val="00723D39"/>
    <w:rsid w:val="0074149F"/>
    <w:rsid w:val="00763E89"/>
    <w:rsid w:val="007825FD"/>
    <w:rsid w:val="00784F56"/>
    <w:rsid w:val="007B0D44"/>
    <w:rsid w:val="007D6059"/>
    <w:rsid w:val="007F4AD6"/>
    <w:rsid w:val="0080313A"/>
    <w:rsid w:val="008102E9"/>
    <w:rsid w:val="00812584"/>
    <w:rsid w:val="008534E8"/>
    <w:rsid w:val="00880D56"/>
    <w:rsid w:val="008843BF"/>
    <w:rsid w:val="00887EDB"/>
    <w:rsid w:val="008B325D"/>
    <w:rsid w:val="008C3D00"/>
    <w:rsid w:val="008E122A"/>
    <w:rsid w:val="008F03D6"/>
    <w:rsid w:val="008F5E61"/>
    <w:rsid w:val="009035DD"/>
    <w:rsid w:val="00906195"/>
    <w:rsid w:val="0090711A"/>
    <w:rsid w:val="0092103F"/>
    <w:rsid w:val="00935154"/>
    <w:rsid w:val="00990D33"/>
    <w:rsid w:val="009C3077"/>
    <w:rsid w:val="009E599A"/>
    <w:rsid w:val="00A04FA6"/>
    <w:rsid w:val="00A07172"/>
    <w:rsid w:val="00A12E4A"/>
    <w:rsid w:val="00A53EF2"/>
    <w:rsid w:val="00A66D1C"/>
    <w:rsid w:val="00A96533"/>
    <w:rsid w:val="00AF4EFF"/>
    <w:rsid w:val="00B026F8"/>
    <w:rsid w:val="00B21C67"/>
    <w:rsid w:val="00B33B04"/>
    <w:rsid w:val="00B60BBB"/>
    <w:rsid w:val="00B701F3"/>
    <w:rsid w:val="00B93071"/>
    <w:rsid w:val="00BA4BF9"/>
    <w:rsid w:val="00BD0D87"/>
    <w:rsid w:val="00BE4F04"/>
    <w:rsid w:val="00C04D3E"/>
    <w:rsid w:val="00C14427"/>
    <w:rsid w:val="00C156D7"/>
    <w:rsid w:val="00C1570C"/>
    <w:rsid w:val="00C166CA"/>
    <w:rsid w:val="00C7032F"/>
    <w:rsid w:val="00C80F78"/>
    <w:rsid w:val="00C83B25"/>
    <w:rsid w:val="00C91E70"/>
    <w:rsid w:val="00CC5BD5"/>
    <w:rsid w:val="00CC6905"/>
    <w:rsid w:val="00CE1B1C"/>
    <w:rsid w:val="00CE7198"/>
    <w:rsid w:val="00CF4E4A"/>
    <w:rsid w:val="00D01FCA"/>
    <w:rsid w:val="00D3642F"/>
    <w:rsid w:val="00D4114C"/>
    <w:rsid w:val="00D41B9B"/>
    <w:rsid w:val="00D46801"/>
    <w:rsid w:val="00D47F43"/>
    <w:rsid w:val="00D51A20"/>
    <w:rsid w:val="00D7635B"/>
    <w:rsid w:val="00D80E27"/>
    <w:rsid w:val="00D96904"/>
    <w:rsid w:val="00DA0044"/>
    <w:rsid w:val="00DA3882"/>
    <w:rsid w:val="00DB7646"/>
    <w:rsid w:val="00DC0DF4"/>
    <w:rsid w:val="00DD2FE1"/>
    <w:rsid w:val="00DE64FD"/>
    <w:rsid w:val="00E2186D"/>
    <w:rsid w:val="00E22B99"/>
    <w:rsid w:val="00E23106"/>
    <w:rsid w:val="00E27A07"/>
    <w:rsid w:val="00E27BA8"/>
    <w:rsid w:val="00E40AAA"/>
    <w:rsid w:val="00E46EF2"/>
    <w:rsid w:val="00E541D2"/>
    <w:rsid w:val="00E64153"/>
    <w:rsid w:val="00E72096"/>
    <w:rsid w:val="00E77B98"/>
    <w:rsid w:val="00EA10B7"/>
    <w:rsid w:val="00EA1DC0"/>
    <w:rsid w:val="00EA56E8"/>
    <w:rsid w:val="00EC04D5"/>
    <w:rsid w:val="00EF55F2"/>
    <w:rsid w:val="00F069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A81F63CB-68C8-44B4-A36B-7422B1C67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5A89"/>
    <w:pPr>
      <w:tabs>
        <w:tab w:val="center" w:pos="4536"/>
        <w:tab w:val="right" w:pos="9072"/>
      </w:tabs>
      <w:spacing w:after="0" w:line="240" w:lineRule="auto"/>
    </w:pPr>
  </w:style>
  <w:style w:type="character" w:customStyle="1" w:styleId="HeaderChar">
    <w:name w:val="Header Char"/>
    <w:basedOn w:val="DefaultParagraphFont"/>
    <w:link w:val="Header"/>
    <w:uiPriority w:val="99"/>
    <w:rsid w:val="00345A89"/>
  </w:style>
  <w:style w:type="paragraph" w:styleId="Footer">
    <w:name w:val="footer"/>
    <w:basedOn w:val="Normal"/>
    <w:link w:val="FooterChar"/>
    <w:uiPriority w:val="99"/>
    <w:unhideWhenUsed/>
    <w:rsid w:val="00345A89"/>
    <w:pPr>
      <w:tabs>
        <w:tab w:val="center" w:pos="4536"/>
        <w:tab w:val="right" w:pos="9072"/>
      </w:tabs>
      <w:spacing w:after="0" w:line="240" w:lineRule="auto"/>
    </w:pPr>
  </w:style>
  <w:style w:type="character" w:customStyle="1" w:styleId="FooterChar">
    <w:name w:val="Footer Char"/>
    <w:basedOn w:val="DefaultParagraphFont"/>
    <w:link w:val="Footer"/>
    <w:uiPriority w:val="99"/>
    <w:rsid w:val="00345A89"/>
  </w:style>
  <w:style w:type="paragraph" w:styleId="ListParagraph">
    <w:name w:val="List Paragraph"/>
    <w:basedOn w:val="Normal"/>
    <w:uiPriority w:val="34"/>
    <w:qFormat/>
    <w:rsid w:val="00345A89"/>
    <w:pPr>
      <w:ind w:left="720"/>
      <w:contextualSpacing/>
    </w:pPr>
  </w:style>
  <w:style w:type="paragraph" w:styleId="BalloonText">
    <w:name w:val="Balloon Text"/>
    <w:basedOn w:val="Normal"/>
    <w:link w:val="BalloonTextChar"/>
    <w:uiPriority w:val="99"/>
    <w:semiHidden/>
    <w:unhideWhenUsed/>
    <w:rsid w:val="00345A8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45A89"/>
    <w:rPr>
      <w:rFonts w:ascii="Segoe UI" w:hAnsi="Segoe UI" w:cs="Segoe UI"/>
      <w:sz w:val="18"/>
      <w:szCs w:val="18"/>
    </w:rPr>
  </w:style>
  <w:style w:type="character" w:styleId="Hyperlink">
    <w:name w:val="Hyperlink"/>
    <w:uiPriority w:val="99"/>
    <w:unhideWhenUsed/>
    <w:rsid w:val="00D46801"/>
    <w:rPr>
      <w:color w:val="0563C1"/>
      <w:u w:val="single"/>
    </w:rPr>
  </w:style>
  <w:style w:type="character" w:customStyle="1" w:styleId="Mentionnonrsolue">
    <w:name w:val="Mention non résolue"/>
    <w:uiPriority w:val="99"/>
    <w:semiHidden/>
    <w:unhideWhenUsed/>
    <w:rsid w:val="00C91E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C666773-77D5-4E82-8E0D-EEB7785CC7AF}"/>
</file>

<file path=customXml/itemProps2.xml><?xml version="1.0" encoding="utf-8"?>
<ds:datastoreItem xmlns:ds="http://schemas.openxmlformats.org/officeDocument/2006/customXml" ds:itemID="{72338E58-8B95-42FE-BDF1-B2FA21FAB55E}"/>
</file>

<file path=customXml/itemProps3.xml><?xml version="1.0" encoding="utf-8"?>
<ds:datastoreItem xmlns:ds="http://schemas.openxmlformats.org/officeDocument/2006/customXml" ds:itemID="{5AB57D53-D55D-4887-A44B-A21B66042858}"/>
</file>

<file path=docProps/app.xml><?xml version="1.0" encoding="utf-8"?>
<Properties xmlns="http://schemas.openxmlformats.org/officeDocument/2006/extended-properties" xmlns:vt="http://schemas.openxmlformats.org/officeDocument/2006/docPropsVTypes">
  <Template>Normal.dotm</Template>
  <TotalTime>1</TotalTime>
  <Pages>2</Pages>
  <Words>651</Words>
  <Characters>3715</Characters>
  <Application>Microsoft Office Word</Application>
  <DocSecurity>4</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Nzitamb</dc:creator>
  <cp:keywords/>
  <dc:description/>
  <cp:lastModifiedBy>ROSNIANSKY Cherry Lou</cp:lastModifiedBy>
  <cp:revision>2</cp:revision>
  <cp:lastPrinted>2019-04-16T08:03:00Z</cp:lastPrinted>
  <dcterms:created xsi:type="dcterms:W3CDTF">2020-02-13T10:30:00Z</dcterms:created>
  <dcterms:modified xsi:type="dcterms:W3CDTF">2020-02-13T10:30:00Z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