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DCFCA" w14:textId="77777777" w:rsidR="00AA6D75" w:rsidRPr="00C3006A" w:rsidRDefault="00AA6D75" w:rsidP="00AA6D75">
      <w:pPr>
        <w:jc w:val="center"/>
        <w:rPr>
          <w:rFonts w:ascii="Times New Roman" w:hAnsi="Times New Roman" w:cs="Times New Roman"/>
          <w:b/>
          <w:sz w:val="20"/>
          <w:szCs w:val="20"/>
          <w:lang w:val="en-GB"/>
        </w:rPr>
      </w:pPr>
      <w:r w:rsidRPr="00C3006A">
        <w:rPr>
          <w:rFonts w:ascii="Times New Roman" w:hAnsi="Times New Roman" w:cs="Times New Roman"/>
          <w:b/>
          <w:sz w:val="20"/>
          <w:szCs w:val="20"/>
          <w:lang w:val="en-GB"/>
        </w:rPr>
        <w:t>Mandate of the Special Rapporteur on the rights to freedom of peaceful assembly and of association</w:t>
      </w:r>
    </w:p>
    <w:p w14:paraId="547759AF" w14:textId="1D3C3582" w:rsidR="001F227E" w:rsidRDefault="00AA6D75" w:rsidP="00723F38">
      <w:pPr>
        <w:jc w:val="center"/>
        <w:rPr>
          <w:rFonts w:ascii="Times New Roman" w:hAnsi="Times New Roman" w:cs="Times New Roman"/>
          <w:b/>
          <w:sz w:val="28"/>
          <w:lang w:val="en-US"/>
        </w:rPr>
      </w:pPr>
      <w:r>
        <w:rPr>
          <w:rFonts w:ascii="Times New Roman" w:hAnsi="Times New Roman" w:cs="Times New Roman"/>
          <w:b/>
          <w:sz w:val="28"/>
          <w:lang w:val="en-US"/>
        </w:rPr>
        <w:tab/>
      </w:r>
      <w:r>
        <w:rPr>
          <w:rFonts w:ascii="Times New Roman" w:hAnsi="Times New Roman" w:cs="Times New Roman"/>
          <w:b/>
          <w:sz w:val="28"/>
          <w:lang w:val="en-US"/>
        </w:rPr>
        <w:tab/>
      </w:r>
      <w:r>
        <w:rPr>
          <w:rFonts w:ascii="Times New Roman" w:hAnsi="Times New Roman" w:cs="Times New Roman"/>
          <w:b/>
          <w:sz w:val="28"/>
          <w:lang w:val="en-US"/>
        </w:rPr>
        <w:tab/>
      </w:r>
      <w:r>
        <w:rPr>
          <w:rFonts w:ascii="Times New Roman" w:hAnsi="Times New Roman" w:cs="Times New Roman"/>
          <w:b/>
          <w:sz w:val="28"/>
          <w:lang w:val="en-US"/>
        </w:rPr>
        <w:tab/>
      </w:r>
    </w:p>
    <w:p w14:paraId="29DD7B18" w14:textId="123826B6" w:rsidR="00AA6D75" w:rsidRPr="00AA6D75" w:rsidRDefault="00AA6D75" w:rsidP="00723F38">
      <w:pPr>
        <w:jc w:val="center"/>
        <w:rPr>
          <w:rFonts w:ascii="Times New Roman" w:hAnsi="Times New Roman" w:cs="Times New Roman"/>
          <w:lang w:val="en-US"/>
        </w:rPr>
      </w:pPr>
      <w:r>
        <w:rPr>
          <w:rFonts w:ascii="Times New Roman" w:hAnsi="Times New Roman" w:cs="Times New Roman"/>
          <w:b/>
          <w:sz w:val="28"/>
          <w:lang w:val="en-US"/>
        </w:rPr>
        <w:tab/>
      </w:r>
      <w:r>
        <w:rPr>
          <w:rFonts w:ascii="Times New Roman" w:hAnsi="Times New Roman" w:cs="Times New Roman"/>
          <w:b/>
          <w:sz w:val="28"/>
          <w:lang w:val="en-US"/>
        </w:rPr>
        <w:tab/>
      </w:r>
      <w:r>
        <w:rPr>
          <w:rFonts w:ascii="Times New Roman" w:hAnsi="Times New Roman" w:cs="Times New Roman"/>
          <w:b/>
          <w:sz w:val="28"/>
          <w:lang w:val="en-US"/>
        </w:rPr>
        <w:tab/>
      </w:r>
      <w:r>
        <w:rPr>
          <w:rFonts w:ascii="Times New Roman" w:hAnsi="Times New Roman" w:cs="Times New Roman"/>
          <w:b/>
          <w:sz w:val="28"/>
          <w:lang w:val="en-US"/>
        </w:rPr>
        <w:tab/>
      </w:r>
      <w:r>
        <w:rPr>
          <w:rFonts w:ascii="Times New Roman" w:hAnsi="Times New Roman" w:cs="Times New Roman"/>
          <w:b/>
          <w:sz w:val="28"/>
          <w:lang w:val="en-US"/>
        </w:rPr>
        <w:tab/>
      </w:r>
      <w:r>
        <w:rPr>
          <w:rFonts w:ascii="Times New Roman" w:hAnsi="Times New Roman" w:cs="Times New Roman"/>
          <w:b/>
          <w:sz w:val="28"/>
          <w:lang w:val="en-US"/>
        </w:rPr>
        <w:tab/>
      </w:r>
      <w:r>
        <w:rPr>
          <w:rFonts w:ascii="Times New Roman" w:hAnsi="Times New Roman" w:cs="Times New Roman"/>
          <w:b/>
          <w:sz w:val="28"/>
          <w:lang w:val="en-US"/>
        </w:rPr>
        <w:tab/>
      </w:r>
      <w:r>
        <w:rPr>
          <w:rFonts w:ascii="Times New Roman" w:hAnsi="Times New Roman" w:cs="Times New Roman"/>
          <w:b/>
          <w:sz w:val="28"/>
          <w:lang w:val="en-US"/>
        </w:rPr>
        <w:tab/>
      </w:r>
      <w:r>
        <w:rPr>
          <w:rFonts w:ascii="Times New Roman" w:hAnsi="Times New Roman" w:cs="Times New Roman"/>
          <w:b/>
          <w:sz w:val="28"/>
          <w:lang w:val="en-US"/>
        </w:rPr>
        <w:tab/>
      </w:r>
      <w:r w:rsidR="00C3006A">
        <w:rPr>
          <w:rFonts w:ascii="Times New Roman" w:hAnsi="Times New Roman" w:cs="Times New Roman"/>
          <w:lang w:val="en-US"/>
        </w:rPr>
        <w:t>21</w:t>
      </w:r>
      <w:r w:rsidRPr="00AA6D75">
        <w:rPr>
          <w:rFonts w:ascii="Times New Roman" w:hAnsi="Times New Roman" w:cs="Times New Roman"/>
          <w:lang w:val="en-US"/>
        </w:rPr>
        <w:t xml:space="preserve"> February 2020</w:t>
      </w:r>
    </w:p>
    <w:p w14:paraId="01B8620C" w14:textId="77777777" w:rsidR="001F227E" w:rsidRPr="001F227E" w:rsidRDefault="001F227E" w:rsidP="007217AA">
      <w:pPr>
        <w:jc w:val="both"/>
        <w:rPr>
          <w:rFonts w:ascii="Times New Roman" w:hAnsi="Times New Roman" w:cs="Times New Roman"/>
          <w:b/>
          <w:lang w:val="en-US"/>
        </w:rPr>
      </w:pPr>
    </w:p>
    <w:p w14:paraId="2501B3E5" w14:textId="470107DB" w:rsidR="00B27625" w:rsidRPr="007217AA" w:rsidRDefault="00B27625" w:rsidP="007217AA">
      <w:pPr>
        <w:jc w:val="both"/>
        <w:rPr>
          <w:rFonts w:ascii="Times New Roman" w:hAnsi="Times New Roman" w:cs="Times New Roman"/>
          <w:lang w:val="en-US"/>
        </w:rPr>
      </w:pPr>
      <w:r w:rsidRPr="007217AA">
        <w:rPr>
          <w:rFonts w:ascii="Times New Roman" w:hAnsi="Times New Roman" w:cs="Times New Roman"/>
          <w:lang w:val="en-US"/>
        </w:rPr>
        <w:t>Dear Human Rights Committee</w:t>
      </w:r>
      <w:r w:rsidR="008D2EE5" w:rsidRPr="007217AA">
        <w:rPr>
          <w:rFonts w:ascii="Times New Roman" w:hAnsi="Times New Roman" w:cs="Times New Roman"/>
          <w:lang w:val="en-US"/>
        </w:rPr>
        <w:t xml:space="preserve"> members</w:t>
      </w:r>
      <w:r w:rsidRPr="007217AA">
        <w:rPr>
          <w:rFonts w:ascii="Times New Roman" w:hAnsi="Times New Roman" w:cs="Times New Roman"/>
          <w:lang w:val="en-US"/>
        </w:rPr>
        <w:t>,</w:t>
      </w:r>
    </w:p>
    <w:p w14:paraId="555D4D9E" w14:textId="77777777" w:rsidR="00B27625" w:rsidRDefault="00B27625" w:rsidP="007217AA">
      <w:pPr>
        <w:jc w:val="both"/>
        <w:rPr>
          <w:rFonts w:ascii="Times New Roman" w:hAnsi="Times New Roman" w:cs="Times New Roman"/>
          <w:lang w:val="en-US"/>
        </w:rPr>
      </w:pPr>
    </w:p>
    <w:p w14:paraId="1996272D" w14:textId="4CC4151B" w:rsidR="001F227E" w:rsidRPr="007217AA" w:rsidRDefault="00A51284" w:rsidP="009C3954">
      <w:pPr>
        <w:ind w:firstLine="708"/>
        <w:jc w:val="both"/>
        <w:rPr>
          <w:rFonts w:ascii="Times New Roman" w:hAnsi="Times New Roman" w:cs="Times New Roman"/>
          <w:lang w:val="en-US"/>
        </w:rPr>
      </w:pPr>
      <w:r w:rsidRPr="007217AA">
        <w:rPr>
          <w:rFonts w:ascii="Times New Roman" w:hAnsi="Times New Roman" w:cs="Times New Roman"/>
          <w:lang w:val="en-US"/>
        </w:rPr>
        <w:t xml:space="preserve">I have the honor to address you as Special Rapporteur of the United Nations on the rights to freedom of assembly and of association to provide my inputs for the revised draft </w:t>
      </w:r>
      <w:r w:rsidR="00B27625" w:rsidRPr="007217AA">
        <w:rPr>
          <w:rFonts w:ascii="Times New Roman" w:hAnsi="Times New Roman" w:cs="Times New Roman"/>
          <w:lang w:val="en-US"/>
        </w:rPr>
        <w:t xml:space="preserve">of the General Comment No. 37 </w:t>
      </w:r>
      <w:r w:rsidRPr="007217AA">
        <w:rPr>
          <w:rFonts w:ascii="Times New Roman" w:hAnsi="Times New Roman" w:cs="Times New Roman"/>
          <w:lang w:val="en-US"/>
        </w:rPr>
        <w:t>prepared by the Rapporteu</w:t>
      </w:r>
      <w:r w:rsidR="00B27625" w:rsidRPr="007217AA">
        <w:rPr>
          <w:rFonts w:ascii="Times New Roman" w:hAnsi="Times New Roman" w:cs="Times New Roman"/>
          <w:lang w:val="en-US"/>
        </w:rPr>
        <w:t>r, Mr. Christoph Heyns.</w:t>
      </w:r>
    </w:p>
    <w:p w14:paraId="36EA1212" w14:textId="77777777" w:rsidR="00B27625" w:rsidRDefault="00B27625" w:rsidP="007217AA">
      <w:pPr>
        <w:jc w:val="both"/>
        <w:rPr>
          <w:rFonts w:ascii="Times New Roman" w:hAnsi="Times New Roman" w:cs="Times New Roman"/>
          <w:lang w:val="en-US"/>
        </w:rPr>
      </w:pPr>
    </w:p>
    <w:p w14:paraId="3D48B6DF" w14:textId="45A07A21" w:rsidR="00AA3BD5" w:rsidRDefault="00CC0D79" w:rsidP="009C3954">
      <w:pPr>
        <w:ind w:firstLine="708"/>
        <w:jc w:val="both"/>
        <w:rPr>
          <w:rFonts w:ascii="Times New Roman" w:hAnsi="Times New Roman" w:cs="Times New Roman"/>
          <w:lang w:val="en-US"/>
        </w:rPr>
      </w:pPr>
      <w:r w:rsidRPr="007217AA">
        <w:rPr>
          <w:rFonts w:ascii="Times New Roman" w:hAnsi="Times New Roman" w:cs="Times New Roman"/>
          <w:lang w:val="en-US"/>
        </w:rPr>
        <w:t xml:space="preserve">The need to develop a General Comment on article 21 of the International Covenant on Civil and Political Rights has been identified since the beginning of </w:t>
      </w:r>
      <w:r w:rsidR="009E04F6">
        <w:rPr>
          <w:rFonts w:ascii="Times New Roman" w:hAnsi="Times New Roman" w:cs="Times New Roman"/>
          <w:lang w:val="en-US"/>
        </w:rPr>
        <w:t>my</w:t>
      </w:r>
      <w:r w:rsidRPr="007217AA">
        <w:rPr>
          <w:rFonts w:ascii="Times New Roman" w:hAnsi="Times New Roman" w:cs="Times New Roman"/>
          <w:lang w:val="en-US"/>
        </w:rPr>
        <w:t xml:space="preserve"> mandate as an important tool to assist </w:t>
      </w:r>
      <w:r w:rsidR="001004B1">
        <w:rPr>
          <w:rFonts w:ascii="Times New Roman" w:hAnsi="Times New Roman" w:cs="Times New Roman"/>
          <w:lang w:val="en-US"/>
        </w:rPr>
        <w:t>our</w:t>
      </w:r>
      <w:r w:rsidR="008E06ED">
        <w:rPr>
          <w:rFonts w:ascii="Times New Roman" w:hAnsi="Times New Roman" w:cs="Times New Roman"/>
          <w:lang w:val="en-US"/>
        </w:rPr>
        <w:t xml:space="preserve"> work </w:t>
      </w:r>
      <w:r w:rsidRPr="007217AA">
        <w:rPr>
          <w:rFonts w:ascii="Times New Roman" w:hAnsi="Times New Roman" w:cs="Times New Roman"/>
          <w:lang w:val="en-US"/>
        </w:rPr>
        <w:t>and more broadly to contribute to the protection of the right of everyone to peaceful assembly.</w:t>
      </w:r>
      <w:r w:rsidR="009C3954">
        <w:rPr>
          <w:rFonts w:ascii="Times New Roman" w:hAnsi="Times New Roman" w:cs="Times New Roman"/>
          <w:lang w:val="en-US"/>
        </w:rPr>
        <w:t xml:space="preserve"> The mandate has consistently used the Human Rights Committee’s General Comments with a view of strengthening its work. In this regard,</w:t>
      </w:r>
      <w:r w:rsidRPr="007217AA">
        <w:rPr>
          <w:rFonts w:ascii="Times New Roman" w:hAnsi="Times New Roman" w:cs="Times New Roman"/>
          <w:lang w:val="en-US"/>
        </w:rPr>
        <w:t xml:space="preserve"> </w:t>
      </w:r>
      <w:r w:rsidR="008E06ED">
        <w:rPr>
          <w:rFonts w:ascii="Times New Roman" w:hAnsi="Times New Roman" w:cs="Times New Roman"/>
          <w:lang w:val="en-US"/>
        </w:rPr>
        <w:t>I</w:t>
      </w:r>
      <w:r w:rsidR="00ED4A8A" w:rsidRPr="007217AA">
        <w:rPr>
          <w:rFonts w:ascii="Times New Roman" w:hAnsi="Times New Roman" w:cs="Times New Roman"/>
          <w:lang w:val="en-US"/>
        </w:rPr>
        <w:t xml:space="preserve"> salute the initiative </w:t>
      </w:r>
      <w:r w:rsidR="000F6A31" w:rsidRPr="007217AA">
        <w:rPr>
          <w:rFonts w:ascii="Times New Roman" w:hAnsi="Times New Roman" w:cs="Times New Roman"/>
          <w:lang w:val="en-US"/>
        </w:rPr>
        <w:t xml:space="preserve">to invite a broad range of stakeholders to provide their comments on </w:t>
      </w:r>
      <w:r w:rsidR="008D2EE5" w:rsidRPr="007217AA">
        <w:rPr>
          <w:rFonts w:ascii="Times New Roman" w:hAnsi="Times New Roman" w:cs="Times New Roman"/>
          <w:lang w:val="en-US"/>
        </w:rPr>
        <w:t>this new version of the draft</w:t>
      </w:r>
      <w:r w:rsidR="009C3954">
        <w:rPr>
          <w:rFonts w:ascii="Times New Roman" w:hAnsi="Times New Roman" w:cs="Times New Roman"/>
          <w:lang w:val="en-US"/>
        </w:rPr>
        <w:t>.</w:t>
      </w:r>
    </w:p>
    <w:p w14:paraId="6BEE6061" w14:textId="77777777" w:rsidR="00AA3BD5" w:rsidRDefault="00AA3BD5" w:rsidP="009C3954">
      <w:pPr>
        <w:ind w:firstLine="708"/>
        <w:jc w:val="both"/>
        <w:rPr>
          <w:rFonts w:ascii="Times New Roman" w:hAnsi="Times New Roman" w:cs="Times New Roman"/>
          <w:lang w:val="en-US"/>
        </w:rPr>
      </w:pPr>
    </w:p>
    <w:p w14:paraId="196A7B1D" w14:textId="057E9685" w:rsidR="00B27625" w:rsidRPr="007217AA" w:rsidRDefault="009C3954" w:rsidP="009C3954">
      <w:pPr>
        <w:ind w:firstLine="708"/>
        <w:jc w:val="both"/>
        <w:rPr>
          <w:rFonts w:ascii="Times New Roman" w:hAnsi="Times New Roman" w:cs="Times New Roman"/>
          <w:lang w:val="en-US"/>
        </w:rPr>
      </w:pPr>
      <w:r>
        <w:rPr>
          <w:rFonts w:ascii="Times New Roman" w:hAnsi="Times New Roman" w:cs="Times New Roman"/>
          <w:lang w:val="en-US"/>
        </w:rPr>
        <w:t xml:space="preserve"> </w:t>
      </w:r>
      <w:r w:rsidR="00AA3BD5">
        <w:rPr>
          <w:rFonts w:ascii="Times New Roman" w:hAnsi="Times New Roman" w:cs="Times New Roman"/>
          <w:lang w:val="en-US"/>
        </w:rPr>
        <w:t>I would like this General Comment 37 to be considered by States as a guidance tool to facilitate peaceful assemblies, instead than a guidance tool to restrict them. Unfortunately, I have noticed a worrying increase in the arbitrary interpretation of the grounds for restriction that are permitted</w:t>
      </w:r>
      <w:r w:rsidR="00F438A7">
        <w:rPr>
          <w:rFonts w:ascii="Times New Roman" w:hAnsi="Times New Roman" w:cs="Times New Roman"/>
          <w:lang w:val="en-US"/>
        </w:rPr>
        <w:t xml:space="preserve"> under the Covenant</w:t>
      </w:r>
      <w:r w:rsidR="00AA3BD5">
        <w:rPr>
          <w:rFonts w:ascii="Times New Roman" w:hAnsi="Times New Roman" w:cs="Times New Roman"/>
          <w:lang w:val="en-US"/>
        </w:rPr>
        <w:t xml:space="preserve">, </w:t>
      </w:r>
      <w:r w:rsidR="00F438A7">
        <w:rPr>
          <w:rFonts w:ascii="Times New Roman" w:hAnsi="Times New Roman" w:cs="Times New Roman"/>
          <w:lang w:val="en-US"/>
        </w:rPr>
        <w:t>as well as</w:t>
      </w:r>
      <w:r w:rsidR="00AA3BD5">
        <w:rPr>
          <w:rFonts w:ascii="Times New Roman" w:hAnsi="Times New Roman" w:cs="Times New Roman"/>
          <w:lang w:val="en-US"/>
        </w:rPr>
        <w:t xml:space="preserve"> the strengthening of a negative narrative around protests. </w:t>
      </w:r>
      <w:r w:rsidR="001004B1">
        <w:rPr>
          <w:rFonts w:ascii="Times New Roman" w:hAnsi="Times New Roman" w:cs="Times New Roman"/>
          <w:lang w:val="en-US"/>
        </w:rPr>
        <w:t>However,</w:t>
      </w:r>
      <w:r w:rsidR="00C42F0A">
        <w:rPr>
          <w:rFonts w:ascii="Times New Roman" w:hAnsi="Times New Roman" w:cs="Times New Roman"/>
          <w:lang w:val="en-US"/>
        </w:rPr>
        <w:t xml:space="preserve"> we all have to remember that</w:t>
      </w:r>
      <w:r w:rsidR="001004B1">
        <w:rPr>
          <w:rFonts w:ascii="Times New Roman" w:hAnsi="Times New Roman" w:cs="Times New Roman"/>
          <w:lang w:val="en-US"/>
        </w:rPr>
        <w:t xml:space="preserve"> protests are a human right,</w:t>
      </w:r>
      <w:r w:rsidR="004A21D4">
        <w:rPr>
          <w:rFonts w:ascii="Times New Roman" w:hAnsi="Times New Roman" w:cs="Times New Roman"/>
          <w:lang w:val="en-US"/>
        </w:rPr>
        <w:t xml:space="preserve"> the exercise of the right to peaceful </w:t>
      </w:r>
      <w:r w:rsidR="00C42F0A">
        <w:rPr>
          <w:rFonts w:ascii="Times New Roman" w:hAnsi="Times New Roman" w:cs="Times New Roman"/>
          <w:lang w:val="en-US"/>
        </w:rPr>
        <w:t xml:space="preserve">assemble is the rule and </w:t>
      </w:r>
      <w:r w:rsidR="00AA3BD5">
        <w:rPr>
          <w:rFonts w:ascii="Times New Roman" w:hAnsi="Times New Roman" w:cs="Times New Roman"/>
          <w:lang w:val="en-US"/>
        </w:rPr>
        <w:t xml:space="preserve">restrictions must be an exception. </w:t>
      </w:r>
    </w:p>
    <w:p w14:paraId="1AB78267" w14:textId="77777777" w:rsidR="000F6A31" w:rsidRDefault="000F6A31" w:rsidP="007217AA">
      <w:pPr>
        <w:jc w:val="both"/>
        <w:rPr>
          <w:rFonts w:ascii="Times New Roman" w:hAnsi="Times New Roman" w:cs="Times New Roman"/>
          <w:lang w:val="en-US"/>
        </w:rPr>
      </w:pPr>
    </w:p>
    <w:p w14:paraId="5CB1E87A" w14:textId="39841F96" w:rsidR="009D390B" w:rsidRDefault="00D47A52" w:rsidP="009C3954">
      <w:pPr>
        <w:ind w:firstLine="708"/>
        <w:jc w:val="both"/>
        <w:rPr>
          <w:rFonts w:ascii="Times New Roman" w:hAnsi="Times New Roman" w:cs="Times New Roman"/>
          <w:b/>
          <w:color w:val="2F5496" w:themeColor="accent1" w:themeShade="BF"/>
          <w:lang w:val="en-US"/>
        </w:rPr>
      </w:pPr>
      <w:r w:rsidRPr="007217AA">
        <w:rPr>
          <w:rFonts w:ascii="Times New Roman" w:hAnsi="Times New Roman" w:cs="Times New Roman"/>
          <w:lang w:val="en-US"/>
        </w:rPr>
        <w:t xml:space="preserve">Before </w:t>
      </w:r>
      <w:r w:rsidR="004C2B66">
        <w:rPr>
          <w:rFonts w:ascii="Times New Roman" w:hAnsi="Times New Roman" w:cs="Times New Roman"/>
          <w:lang w:val="en-US"/>
        </w:rPr>
        <w:t xml:space="preserve">diving into the substance of </w:t>
      </w:r>
      <w:r>
        <w:rPr>
          <w:rFonts w:ascii="Times New Roman" w:hAnsi="Times New Roman" w:cs="Times New Roman"/>
          <w:lang w:val="en-US"/>
        </w:rPr>
        <w:t xml:space="preserve"> my comments on the r</w:t>
      </w:r>
      <w:r w:rsidRPr="007217AA">
        <w:rPr>
          <w:rFonts w:ascii="Times New Roman" w:hAnsi="Times New Roman" w:cs="Times New Roman"/>
          <w:lang w:val="en-US"/>
        </w:rPr>
        <w:t>evised draft</w:t>
      </w:r>
      <w:r>
        <w:rPr>
          <w:rFonts w:ascii="Times New Roman" w:hAnsi="Times New Roman" w:cs="Times New Roman"/>
          <w:lang w:val="en-US"/>
        </w:rPr>
        <w:t>,</w:t>
      </w:r>
      <w:r w:rsidRPr="007217AA">
        <w:rPr>
          <w:rFonts w:ascii="Times New Roman" w:hAnsi="Times New Roman" w:cs="Times New Roman"/>
          <w:lang w:val="en-US"/>
        </w:rPr>
        <w:t xml:space="preserve"> I would like to advise the members of the Human Rights Committee to consider where we stand today in relation to the protection of freedom of assembly, and to keep this in mind while pursuing this initiative. </w:t>
      </w:r>
      <w:r>
        <w:rPr>
          <w:rFonts w:ascii="Times New Roman" w:hAnsi="Times New Roman" w:cs="Times New Roman"/>
          <w:lang w:val="en-US"/>
        </w:rPr>
        <w:t xml:space="preserve"> I am alarmed by</w:t>
      </w:r>
      <w:r w:rsidRPr="007217AA">
        <w:rPr>
          <w:rFonts w:ascii="Times New Roman" w:hAnsi="Times New Roman" w:cs="Times New Roman"/>
          <w:lang w:val="en-US"/>
        </w:rPr>
        <w:t xml:space="preserve"> the extraordinary wave of </w:t>
      </w:r>
      <w:r w:rsidR="008E06ED">
        <w:rPr>
          <w:rFonts w:ascii="Times New Roman" w:hAnsi="Times New Roman" w:cs="Times New Roman"/>
          <w:lang w:val="en-US"/>
        </w:rPr>
        <w:t>peaceful</w:t>
      </w:r>
      <w:r w:rsidR="008E06ED" w:rsidRPr="007217AA">
        <w:rPr>
          <w:rFonts w:ascii="Times New Roman" w:hAnsi="Times New Roman" w:cs="Times New Roman"/>
          <w:lang w:val="en-US"/>
        </w:rPr>
        <w:t xml:space="preserve"> </w:t>
      </w:r>
      <w:r w:rsidRPr="007217AA">
        <w:rPr>
          <w:rFonts w:ascii="Times New Roman" w:hAnsi="Times New Roman" w:cs="Times New Roman"/>
          <w:lang w:val="en-US"/>
        </w:rPr>
        <w:t xml:space="preserve">protests </w:t>
      </w:r>
      <w:r w:rsidR="008E06ED">
        <w:rPr>
          <w:rFonts w:ascii="Times New Roman" w:hAnsi="Times New Roman" w:cs="Times New Roman"/>
          <w:lang w:val="en-US"/>
        </w:rPr>
        <w:lastRenderedPageBreak/>
        <w:t xml:space="preserve">around the globe </w:t>
      </w:r>
      <w:r>
        <w:rPr>
          <w:rFonts w:ascii="Times New Roman" w:hAnsi="Times New Roman" w:cs="Times New Roman"/>
          <w:lang w:val="en-US"/>
        </w:rPr>
        <w:t xml:space="preserve">which have been </w:t>
      </w:r>
      <w:r w:rsidR="008E06ED">
        <w:rPr>
          <w:rFonts w:ascii="Times New Roman" w:hAnsi="Times New Roman" w:cs="Times New Roman"/>
          <w:lang w:val="en-US"/>
        </w:rPr>
        <w:t>responded to</w:t>
      </w:r>
      <w:r>
        <w:rPr>
          <w:rFonts w:ascii="Times New Roman" w:hAnsi="Times New Roman" w:cs="Times New Roman"/>
          <w:lang w:val="en-US"/>
        </w:rPr>
        <w:t xml:space="preserve"> with </w:t>
      </w:r>
      <w:r w:rsidRPr="007217AA">
        <w:rPr>
          <w:rFonts w:ascii="Times New Roman" w:hAnsi="Times New Roman" w:cs="Times New Roman"/>
          <w:lang w:val="en-US"/>
        </w:rPr>
        <w:t>acute repression</w:t>
      </w:r>
      <w:r>
        <w:rPr>
          <w:rFonts w:ascii="Times New Roman" w:hAnsi="Times New Roman" w:cs="Times New Roman"/>
          <w:lang w:val="en-US"/>
        </w:rPr>
        <w:t xml:space="preserve"> </w:t>
      </w:r>
      <w:r w:rsidR="009C3954">
        <w:rPr>
          <w:rFonts w:ascii="Times New Roman" w:hAnsi="Times New Roman" w:cs="Times New Roman"/>
          <w:lang w:val="en-US"/>
        </w:rPr>
        <w:t xml:space="preserve">by </w:t>
      </w:r>
      <w:r>
        <w:rPr>
          <w:rFonts w:ascii="Times New Roman" w:hAnsi="Times New Roman" w:cs="Times New Roman"/>
          <w:lang w:val="en-US"/>
        </w:rPr>
        <w:t>States</w:t>
      </w:r>
      <w:r w:rsidRPr="007217AA">
        <w:rPr>
          <w:rFonts w:ascii="Times New Roman" w:hAnsi="Times New Roman" w:cs="Times New Roman"/>
          <w:lang w:val="en-US"/>
        </w:rPr>
        <w:t>, who seem to be addressing the protests as a threat to public security</w:t>
      </w:r>
      <w:r>
        <w:rPr>
          <w:rFonts w:ascii="Times New Roman" w:hAnsi="Times New Roman" w:cs="Times New Roman"/>
          <w:lang w:val="en-US"/>
        </w:rPr>
        <w:t xml:space="preserve"> rather than a vehicle to drive change and encourage participation in a time where it is most needed</w:t>
      </w:r>
      <w:r w:rsidRPr="007217AA">
        <w:rPr>
          <w:rFonts w:ascii="Times New Roman" w:hAnsi="Times New Roman" w:cs="Times New Roman"/>
          <w:lang w:val="en-US"/>
        </w:rPr>
        <w:t xml:space="preserve">. </w:t>
      </w:r>
      <w:r>
        <w:rPr>
          <w:rFonts w:ascii="Times New Roman" w:hAnsi="Times New Roman" w:cs="Times New Roman"/>
          <w:lang w:val="en-US"/>
        </w:rPr>
        <w:t xml:space="preserve">This </w:t>
      </w:r>
      <w:r w:rsidR="008E06ED">
        <w:rPr>
          <w:rFonts w:ascii="Times New Roman" w:hAnsi="Times New Roman" w:cs="Times New Roman"/>
          <w:lang w:val="en-US"/>
        </w:rPr>
        <w:t xml:space="preserve">trend </w:t>
      </w:r>
      <w:r w:rsidRPr="007217AA">
        <w:rPr>
          <w:rFonts w:ascii="Times New Roman" w:hAnsi="Times New Roman" w:cs="Times New Roman"/>
          <w:lang w:val="en-US"/>
        </w:rPr>
        <w:t xml:space="preserve">is </w:t>
      </w:r>
      <w:r w:rsidR="008E06ED">
        <w:rPr>
          <w:rFonts w:ascii="Times New Roman" w:hAnsi="Times New Roman" w:cs="Times New Roman"/>
          <w:lang w:val="en-US"/>
        </w:rPr>
        <w:t>noticeable</w:t>
      </w:r>
      <w:r w:rsidRPr="007217AA">
        <w:rPr>
          <w:rFonts w:ascii="Times New Roman" w:hAnsi="Times New Roman" w:cs="Times New Roman"/>
          <w:lang w:val="en-US"/>
        </w:rPr>
        <w:t xml:space="preserve"> not only in fragile contexts but in </w:t>
      </w:r>
      <w:r w:rsidR="008E06ED">
        <w:rPr>
          <w:rFonts w:ascii="Times New Roman" w:hAnsi="Times New Roman" w:cs="Times New Roman"/>
          <w:lang w:val="en-US"/>
        </w:rPr>
        <w:t>stable ones</w:t>
      </w:r>
      <w:r w:rsidRPr="007217AA">
        <w:rPr>
          <w:rFonts w:ascii="Times New Roman" w:hAnsi="Times New Roman" w:cs="Times New Roman"/>
          <w:lang w:val="en-US"/>
        </w:rPr>
        <w:t xml:space="preserve"> as well. I have noticed </w:t>
      </w:r>
      <w:r>
        <w:rPr>
          <w:rFonts w:ascii="Times New Roman" w:hAnsi="Times New Roman" w:cs="Times New Roman"/>
          <w:lang w:val="en-US"/>
        </w:rPr>
        <w:t>an increasing trend of</w:t>
      </w:r>
      <w:r w:rsidRPr="007217AA">
        <w:rPr>
          <w:rFonts w:ascii="Times New Roman" w:hAnsi="Times New Roman" w:cs="Times New Roman"/>
          <w:lang w:val="en-US"/>
        </w:rPr>
        <w:t xml:space="preserve"> excessive use of force</w:t>
      </w:r>
      <w:r>
        <w:rPr>
          <w:rFonts w:ascii="Times New Roman" w:hAnsi="Times New Roman" w:cs="Times New Roman"/>
          <w:lang w:val="en-US"/>
        </w:rPr>
        <w:t xml:space="preserve"> by security forces</w:t>
      </w:r>
      <w:r w:rsidRPr="007217AA">
        <w:rPr>
          <w:rFonts w:ascii="Times New Roman" w:hAnsi="Times New Roman" w:cs="Times New Roman"/>
          <w:lang w:val="en-US"/>
        </w:rPr>
        <w:t>,</w:t>
      </w:r>
      <w:r>
        <w:rPr>
          <w:rFonts w:ascii="Times New Roman" w:hAnsi="Times New Roman" w:cs="Times New Roman"/>
          <w:lang w:val="en-US"/>
        </w:rPr>
        <w:t xml:space="preserve"> leading to</w:t>
      </w:r>
      <w:r w:rsidRPr="007217AA">
        <w:rPr>
          <w:rFonts w:ascii="Times New Roman" w:hAnsi="Times New Roman" w:cs="Times New Roman"/>
          <w:lang w:val="en-US"/>
        </w:rPr>
        <w:t xml:space="preserve"> killings, ill-treatment and arbitrary arrest of demonstrators, journalists and bystanders. In general, the </w:t>
      </w:r>
      <w:r w:rsidR="008E06ED">
        <w:rPr>
          <w:rFonts w:ascii="Times New Roman" w:hAnsi="Times New Roman" w:cs="Times New Roman"/>
          <w:lang w:val="en-US"/>
        </w:rPr>
        <w:t xml:space="preserve">causes of such protests rooted in deep seated frustrations over inequalities, weak governance and rule of law and impunity </w:t>
      </w:r>
      <w:r w:rsidRPr="007217AA">
        <w:rPr>
          <w:rFonts w:ascii="Times New Roman" w:hAnsi="Times New Roman" w:cs="Times New Roman"/>
          <w:lang w:val="en-US"/>
        </w:rPr>
        <w:t xml:space="preserve">have been relegated to the </w:t>
      </w:r>
      <w:r w:rsidR="008E06ED">
        <w:rPr>
          <w:rFonts w:ascii="Times New Roman" w:hAnsi="Times New Roman" w:cs="Times New Roman"/>
          <w:lang w:val="en-US"/>
        </w:rPr>
        <w:t xml:space="preserve">backseat thus preventing addressing such causes and consequences in a sustainable way. </w:t>
      </w:r>
      <w:r w:rsidR="009D390B" w:rsidRPr="007217AA">
        <w:rPr>
          <w:rFonts w:ascii="Times New Roman" w:hAnsi="Times New Roman" w:cs="Times New Roman"/>
          <w:lang w:val="en-US"/>
        </w:rPr>
        <w:t xml:space="preserve">I </w:t>
      </w:r>
      <w:r w:rsidR="008E06ED">
        <w:rPr>
          <w:rFonts w:ascii="Times New Roman" w:hAnsi="Times New Roman" w:cs="Times New Roman"/>
          <w:lang w:val="en-US"/>
        </w:rPr>
        <w:t xml:space="preserve">therefore </w:t>
      </w:r>
      <w:r w:rsidR="009D390B" w:rsidRPr="007217AA">
        <w:rPr>
          <w:rFonts w:ascii="Times New Roman" w:hAnsi="Times New Roman" w:cs="Times New Roman"/>
          <w:lang w:val="en-US"/>
        </w:rPr>
        <w:t xml:space="preserve">believe that the General Comment 37 should </w:t>
      </w:r>
      <w:r w:rsidR="009D390B" w:rsidRPr="002E67AC">
        <w:rPr>
          <w:rFonts w:ascii="Times New Roman" w:hAnsi="Times New Roman" w:cs="Times New Roman"/>
          <w:color w:val="000000" w:themeColor="text1"/>
          <w:lang w:val="en-US"/>
        </w:rPr>
        <w:t xml:space="preserve">explicitly acknowledge that </w:t>
      </w:r>
      <w:r w:rsidR="008E06ED" w:rsidRPr="002E67AC">
        <w:rPr>
          <w:rFonts w:ascii="Times New Roman" w:hAnsi="Times New Roman" w:cs="Times New Roman"/>
          <w:color w:val="000000" w:themeColor="text1"/>
          <w:lang w:val="en-US"/>
        </w:rPr>
        <w:t xml:space="preserve">the right to </w:t>
      </w:r>
      <w:r w:rsidR="009D390B" w:rsidRPr="002E67AC">
        <w:rPr>
          <w:rFonts w:ascii="Times New Roman" w:hAnsi="Times New Roman" w:cs="Times New Roman"/>
          <w:color w:val="000000" w:themeColor="text1"/>
          <w:lang w:val="en-US"/>
        </w:rPr>
        <w:t xml:space="preserve">freedom of peaceful assembly is critical to the exercise of </w:t>
      </w:r>
      <w:r w:rsidR="008E06ED" w:rsidRPr="002E67AC">
        <w:rPr>
          <w:rFonts w:ascii="Times New Roman" w:hAnsi="Times New Roman" w:cs="Times New Roman"/>
          <w:color w:val="000000" w:themeColor="text1"/>
          <w:lang w:val="en-US"/>
        </w:rPr>
        <w:t xml:space="preserve">all human rights, civil, cultural, </w:t>
      </w:r>
      <w:r w:rsidR="009D390B" w:rsidRPr="002E67AC">
        <w:rPr>
          <w:rFonts w:ascii="Times New Roman" w:hAnsi="Times New Roman" w:cs="Times New Roman"/>
          <w:color w:val="000000" w:themeColor="text1"/>
          <w:lang w:val="en-US"/>
        </w:rPr>
        <w:t>economic,</w:t>
      </w:r>
      <w:r w:rsidR="008E06ED" w:rsidRPr="002E67AC">
        <w:rPr>
          <w:rFonts w:ascii="Times New Roman" w:hAnsi="Times New Roman" w:cs="Times New Roman"/>
          <w:color w:val="000000" w:themeColor="text1"/>
          <w:lang w:val="en-US"/>
        </w:rPr>
        <w:t xml:space="preserve"> political and</w:t>
      </w:r>
      <w:r w:rsidR="009D390B" w:rsidRPr="002E67AC">
        <w:rPr>
          <w:rFonts w:ascii="Times New Roman" w:hAnsi="Times New Roman" w:cs="Times New Roman"/>
          <w:color w:val="000000" w:themeColor="text1"/>
          <w:lang w:val="en-US"/>
        </w:rPr>
        <w:t xml:space="preserve"> social, , </w:t>
      </w:r>
      <w:r w:rsidR="008E06ED" w:rsidRPr="002E67AC">
        <w:rPr>
          <w:rFonts w:ascii="Times New Roman" w:hAnsi="Times New Roman" w:cs="Times New Roman"/>
          <w:color w:val="000000" w:themeColor="text1"/>
          <w:lang w:val="en-US"/>
        </w:rPr>
        <w:t>as well as</w:t>
      </w:r>
      <w:r w:rsidR="009D390B" w:rsidRPr="002E67AC">
        <w:rPr>
          <w:rFonts w:ascii="Times New Roman" w:hAnsi="Times New Roman" w:cs="Times New Roman"/>
          <w:color w:val="000000" w:themeColor="text1"/>
          <w:lang w:val="en-US"/>
        </w:rPr>
        <w:t xml:space="preserve"> </w:t>
      </w:r>
      <w:r w:rsidR="008E06ED" w:rsidRPr="002E67AC">
        <w:rPr>
          <w:rFonts w:ascii="Times New Roman" w:hAnsi="Times New Roman" w:cs="Times New Roman"/>
          <w:color w:val="000000" w:themeColor="text1"/>
          <w:lang w:val="en-US"/>
        </w:rPr>
        <w:t xml:space="preserve">to </w:t>
      </w:r>
      <w:r w:rsidR="009D390B" w:rsidRPr="002E67AC">
        <w:rPr>
          <w:rFonts w:ascii="Times New Roman" w:hAnsi="Times New Roman" w:cs="Times New Roman"/>
          <w:color w:val="000000" w:themeColor="text1"/>
          <w:lang w:val="en-US"/>
        </w:rPr>
        <w:t>achieving sustainable development</w:t>
      </w:r>
      <w:r w:rsidR="00E5348B" w:rsidRPr="002E67AC">
        <w:rPr>
          <w:rFonts w:ascii="Times New Roman" w:hAnsi="Times New Roman" w:cs="Times New Roman"/>
          <w:color w:val="000000" w:themeColor="text1"/>
          <w:lang w:val="en-US"/>
        </w:rPr>
        <w:t>.</w:t>
      </w:r>
    </w:p>
    <w:p w14:paraId="6DA10820" w14:textId="77777777" w:rsidR="00D47A52" w:rsidRPr="007217AA" w:rsidRDefault="00D47A52" w:rsidP="007217AA">
      <w:pPr>
        <w:jc w:val="both"/>
        <w:rPr>
          <w:rFonts w:ascii="Times New Roman" w:hAnsi="Times New Roman" w:cs="Times New Roman"/>
          <w:lang w:val="en-US"/>
        </w:rPr>
      </w:pPr>
    </w:p>
    <w:p w14:paraId="2F7E4BD2" w14:textId="2420E0BC" w:rsidR="000F0BDC" w:rsidRDefault="00D47A52" w:rsidP="009C3954">
      <w:pPr>
        <w:ind w:firstLine="708"/>
        <w:jc w:val="both"/>
        <w:rPr>
          <w:rFonts w:ascii="Times New Roman" w:hAnsi="Times New Roman" w:cs="Times New Roman"/>
          <w:lang w:val="en-US"/>
        </w:rPr>
      </w:pPr>
      <w:r w:rsidRPr="00D47A52">
        <w:rPr>
          <w:rFonts w:ascii="Times New Roman" w:hAnsi="Times New Roman" w:cs="Times New Roman"/>
          <w:lang w:val="en-US"/>
        </w:rPr>
        <w:t xml:space="preserve">The </w:t>
      </w:r>
      <w:r w:rsidR="008E06ED">
        <w:rPr>
          <w:rFonts w:ascii="Times New Roman" w:hAnsi="Times New Roman" w:cs="Times New Roman"/>
          <w:lang w:val="en-US"/>
        </w:rPr>
        <w:t xml:space="preserve">development of this </w:t>
      </w:r>
      <w:r w:rsidRPr="00D47A52">
        <w:rPr>
          <w:rFonts w:ascii="Times New Roman" w:hAnsi="Times New Roman" w:cs="Times New Roman"/>
          <w:lang w:val="en-US"/>
        </w:rPr>
        <w:t xml:space="preserve">general comment presents a unique opportunity for us as international human rights mechanisms, to clearly define States obligations, and </w:t>
      </w:r>
      <w:r w:rsidR="008E06ED">
        <w:rPr>
          <w:rFonts w:ascii="Times New Roman" w:hAnsi="Times New Roman" w:cs="Times New Roman"/>
          <w:lang w:val="en-US"/>
        </w:rPr>
        <w:t>fill in the gaps in standards</w:t>
      </w:r>
      <w:r w:rsidRPr="00D47A52">
        <w:rPr>
          <w:rFonts w:ascii="Times New Roman" w:hAnsi="Times New Roman" w:cs="Times New Roman"/>
          <w:lang w:val="en-US"/>
        </w:rPr>
        <w:t xml:space="preserve"> which have been used to </w:t>
      </w:r>
      <w:r w:rsidR="00DE6715">
        <w:rPr>
          <w:rFonts w:ascii="Times New Roman" w:hAnsi="Times New Roman" w:cs="Times New Roman"/>
          <w:lang w:val="en-US"/>
        </w:rPr>
        <w:t xml:space="preserve">repress </w:t>
      </w:r>
      <w:r w:rsidRPr="00D47A52">
        <w:rPr>
          <w:rFonts w:ascii="Times New Roman" w:hAnsi="Times New Roman" w:cs="Times New Roman"/>
          <w:lang w:val="en-US"/>
        </w:rPr>
        <w:t>legitimate social movements</w:t>
      </w:r>
      <w:r w:rsidR="00DE6715">
        <w:rPr>
          <w:rFonts w:ascii="Times New Roman" w:hAnsi="Times New Roman" w:cs="Times New Roman"/>
          <w:lang w:val="en-US"/>
        </w:rPr>
        <w:t>,</w:t>
      </w:r>
      <w:r w:rsidRPr="00D47A52">
        <w:rPr>
          <w:rFonts w:ascii="Times New Roman" w:hAnsi="Times New Roman" w:cs="Times New Roman"/>
          <w:lang w:val="en-US"/>
        </w:rPr>
        <w:t xml:space="preserve"> human rights defenders, activists, minorities and </w:t>
      </w:r>
      <w:r w:rsidR="00DE6715">
        <w:rPr>
          <w:rFonts w:ascii="Times New Roman" w:hAnsi="Times New Roman" w:cs="Times New Roman"/>
          <w:lang w:val="en-US"/>
        </w:rPr>
        <w:t xml:space="preserve">other groups </w:t>
      </w:r>
      <w:r w:rsidRPr="00D47A52">
        <w:rPr>
          <w:rFonts w:ascii="Times New Roman" w:hAnsi="Times New Roman" w:cs="Times New Roman"/>
          <w:lang w:val="en-US"/>
        </w:rPr>
        <w:t xml:space="preserve">with pretexts such as national security, obstruction of freedom of movement of others or counter terrorism operations.  </w:t>
      </w:r>
    </w:p>
    <w:p w14:paraId="55C19E06" w14:textId="77777777" w:rsidR="00D47A52" w:rsidRDefault="00D47A52" w:rsidP="007217AA">
      <w:pPr>
        <w:jc w:val="both"/>
        <w:rPr>
          <w:rFonts w:ascii="Times New Roman" w:hAnsi="Times New Roman" w:cs="Times New Roman"/>
          <w:lang w:val="en-US"/>
        </w:rPr>
      </w:pPr>
    </w:p>
    <w:p w14:paraId="777EA843" w14:textId="2025E648" w:rsidR="00D47A52" w:rsidRDefault="009D390B" w:rsidP="009C3954">
      <w:pPr>
        <w:ind w:firstLine="708"/>
        <w:jc w:val="both"/>
        <w:rPr>
          <w:rFonts w:ascii="Times New Roman" w:hAnsi="Times New Roman" w:cs="Times New Roman"/>
          <w:lang w:val="en-US"/>
        </w:rPr>
      </w:pPr>
      <w:r w:rsidRPr="007217AA">
        <w:rPr>
          <w:rFonts w:ascii="Times New Roman" w:hAnsi="Times New Roman" w:cs="Times New Roman"/>
          <w:lang w:val="en-US"/>
        </w:rPr>
        <w:t>In my view</w:t>
      </w:r>
      <w:r w:rsidR="007217AA" w:rsidRPr="007217AA">
        <w:rPr>
          <w:rFonts w:ascii="Times New Roman" w:hAnsi="Times New Roman" w:cs="Times New Roman"/>
          <w:lang w:val="en-US"/>
        </w:rPr>
        <w:t>,</w:t>
      </w:r>
      <w:r w:rsidRPr="007217AA">
        <w:rPr>
          <w:rFonts w:ascii="Times New Roman" w:hAnsi="Times New Roman" w:cs="Times New Roman"/>
          <w:lang w:val="en-US"/>
        </w:rPr>
        <w:t xml:space="preserve"> the </w:t>
      </w:r>
      <w:r w:rsidR="009E04F6">
        <w:rPr>
          <w:rFonts w:ascii="Times New Roman" w:hAnsi="Times New Roman" w:cs="Times New Roman"/>
          <w:lang w:val="en-US"/>
        </w:rPr>
        <w:t>r</w:t>
      </w:r>
      <w:r w:rsidR="000F0BDC" w:rsidRPr="007217AA">
        <w:rPr>
          <w:rFonts w:ascii="Times New Roman" w:hAnsi="Times New Roman" w:cs="Times New Roman"/>
          <w:lang w:val="en-US"/>
        </w:rPr>
        <w:t xml:space="preserve">evised draft, in </w:t>
      </w:r>
      <w:r w:rsidR="00D47A52">
        <w:rPr>
          <w:rFonts w:ascii="Times New Roman" w:hAnsi="Times New Roman" w:cs="Times New Roman"/>
          <w:lang w:val="en-US"/>
        </w:rPr>
        <w:t>general</w:t>
      </w:r>
      <w:r w:rsidR="000F0BDC" w:rsidRPr="007217AA">
        <w:rPr>
          <w:rFonts w:ascii="Times New Roman" w:hAnsi="Times New Roman" w:cs="Times New Roman"/>
          <w:lang w:val="en-US"/>
        </w:rPr>
        <w:t xml:space="preserve">, succeeds at defining </w:t>
      </w:r>
      <w:r w:rsidR="009E04F6">
        <w:rPr>
          <w:rFonts w:ascii="Times New Roman" w:hAnsi="Times New Roman" w:cs="Times New Roman"/>
          <w:lang w:val="en-US"/>
        </w:rPr>
        <w:t>various</w:t>
      </w:r>
      <w:r w:rsidR="000F0BDC" w:rsidRPr="007217AA">
        <w:rPr>
          <w:rFonts w:ascii="Times New Roman" w:hAnsi="Times New Roman" w:cs="Times New Roman"/>
          <w:lang w:val="en-US"/>
        </w:rPr>
        <w:t xml:space="preserve"> co</w:t>
      </w:r>
      <w:r w:rsidR="00340850" w:rsidRPr="007217AA">
        <w:rPr>
          <w:rFonts w:ascii="Times New Roman" w:hAnsi="Times New Roman" w:cs="Times New Roman"/>
          <w:lang w:val="en-US"/>
        </w:rPr>
        <w:t xml:space="preserve">ncepts and providing clarity regarding the exercise of the right to peaceful assembly and </w:t>
      </w:r>
      <w:r w:rsidR="00D47A52">
        <w:rPr>
          <w:rFonts w:ascii="Times New Roman" w:hAnsi="Times New Roman" w:cs="Times New Roman"/>
          <w:lang w:val="en-US"/>
        </w:rPr>
        <w:t>its</w:t>
      </w:r>
      <w:r w:rsidR="00340850" w:rsidRPr="007217AA">
        <w:rPr>
          <w:rFonts w:ascii="Times New Roman" w:hAnsi="Times New Roman" w:cs="Times New Roman"/>
          <w:lang w:val="en-US"/>
        </w:rPr>
        <w:t xml:space="preserve"> relation to other essential human right</w:t>
      </w:r>
      <w:r w:rsidR="009E04F6">
        <w:rPr>
          <w:rFonts w:ascii="Times New Roman" w:hAnsi="Times New Roman" w:cs="Times New Roman"/>
          <w:lang w:val="en-US"/>
        </w:rPr>
        <w:t>s. There are many areas of the r</w:t>
      </w:r>
      <w:r w:rsidR="00340850" w:rsidRPr="007217AA">
        <w:rPr>
          <w:rFonts w:ascii="Times New Roman" w:hAnsi="Times New Roman" w:cs="Times New Roman"/>
          <w:lang w:val="en-US"/>
        </w:rPr>
        <w:t xml:space="preserve">evised draft that set out essential components of the right and provide successful guidance for its protection. </w:t>
      </w:r>
    </w:p>
    <w:p w14:paraId="1B2F8152" w14:textId="71478776" w:rsidR="000F0BDC" w:rsidRPr="007217AA" w:rsidRDefault="00340850" w:rsidP="007217AA">
      <w:pPr>
        <w:jc w:val="both"/>
        <w:rPr>
          <w:rFonts w:ascii="Times New Roman" w:hAnsi="Times New Roman" w:cs="Times New Roman"/>
          <w:lang w:val="en-US"/>
        </w:rPr>
      </w:pPr>
      <w:r w:rsidRPr="007217AA">
        <w:rPr>
          <w:rFonts w:ascii="Times New Roman" w:hAnsi="Times New Roman" w:cs="Times New Roman"/>
          <w:lang w:val="en-US"/>
        </w:rPr>
        <w:t>For</w:t>
      </w:r>
      <w:r w:rsidR="007217AA" w:rsidRPr="007217AA">
        <w:rPr>
          <w:rFonts w:ascii="Times New Roman" w:hAnsi="Times New Roman" w:cs="Times New Roman"/>
          <w:lang w:val="en-US"/>
        </w:rPr>
        <w:t xml:space="preserve"> the purpose of</w:t>
      </w:r>
      <w:r w:rsidRPr="007217AA">
        <w:rPr>
          <w:rFonts w:ascii="Times New Roman" w:hAnsi="Times New Roman" w:cs="Times New Roman"/>
          <w:lang w:val="en-US"/>
        </w:rPr>
        <w:t xml:space="preserve"> this submission, I will focus on the areas that</w:t>
      </w:r>
      <w:r w:rsidR="00461606">
        <w:rPr>
          <w:rFonts w:ascii="Times New Roman" w:hAnsi="Times New Roman" w:cs="Times New Roman"/>
          <w:lang w:val="en-US"/>
        </w:rPr>
        <w:t>, in my opinion</w:t>
      </w:r>
      <w:r w:rsidR="00DE6715">
        <w:rPr>
          <w:rFonts w:ascii="Times New Roman" w:hAnsi="Times New Roman" w:cs="Times New Roman"/>
          <w:lang w:val="en-US"/>
        </w:rPr>
        <w:t>,</w:t>
      </w:r>
      <w:r w:rsidRPr="007217AA">
        <w:rPr>
          <w:rFonts w:ascii="Times New Roman" w:hAnsi="Times New Roman" w:cs="Times New Roman"/>
          <w:lang w:val="en-US"/>
        </w:rPr>
        <w:t xml:space="preserve"> need</w:t>
      </w:r>
      <w:r w:rsidR="00DE6715">
        <w:rPr>
          <w:rFonts w:ascii="Times New Roman" w:hAnsi="Times New Roman" w:cs="Times New Roman"/>
          <w:lang w:val="en-US"/>
        </w:rPr>
        <w:t xml:space="preserve"> to be strengthened</w:t>
      </w:r>
      <w:r w:rsidRPr="007217AA">
        <w:rPr>
          <w:rFonts w:ascii="Times New Roman" w:hAnsi="Times New Roman" w:cs="Times New Roman"/>
          <w:lang w:val="en-US"/>
        </w:rPr>
        <w:t xml:space="preserve">, </w:t>
      </w:r>
      <w:r w:rsidR="00DE6715">
        <w:rPr>
          <w:rFonts w:ascii="Times New Roman" w:hAnsi="Times New Roman" w:cs="Times New Roman"/>
          <w:lang w:val="en-US"/>
        </w:rPr>
        <w:t>with a view to</w:t>
      </w:r>
      <w:r w:rsidRPr="007217AA">
        <w:rPr>
          <w:rFonts w:ascii="Times New Roman" w:hAnsi="Times New Roman" w:cs="Times New Roman"/>
          <w:lang w:val="en-US"/>
        </w:rPr>
        <w:t xml:space="preserve"> ensur</w:t>
      </w:r>
      <w:r w:rsidR="00DE6715">
        <w:rPr>
          <w:rFonts w:ascii="Times New Roman" w:hAnsi="Times New Roman" w:cs="Times New Roman"/>
          <w:lang w:val="en-US"/>
        </w:rPr>
        <w:t>ing</w:t>
      </w:r>
      <w:r w:rsidRPr="007217AA">
        <w:rPr>
          <w:rFonts w:ascii="Times New Roman" w:hAnsi="Times New Roman" w:cs="Times New Roman"/>
          <w:lang w:val="en-US"/>
        </w:rPr>
        <w:t xml:space="preserve"> a maximum level of protection of th</w:t>
      </w:r>
      <w:r w:rsidR="00DE6715">
        <w:rPr>
          <w:rFonts w:ascii="Times New Roman" w:hAnsi="Times New Roman" w:cs="Times New Roman"/>
          <w:lang w:val="en-US"/>
        </w:rPr>
        <w:t>is right</w:t>
      </w:r>
    </w:p>
    <w:p w14:paraId="56DD7514" w14:textId="477266AB" w:rsidR="009D390B" w:rsidRDefault="009D390B" w:rsidP="007217AA">
      <w:pPr>
        <w:jc w:val="both"/>
        <w:rPr>
          <w:rFonts w:ascii="Times New Roman" w:hAnsi="Times New Roman" w:cs="Times New Roman"/>
          <w:lang w:val="en-US"/>
        </w:rPr>
      </w:pPr>
    </w:p>
    <w:p w14:paraId="258D04F5" w14:textId="06E682C4" w:rsidR="00DA148A" w:rsidRDefault="00DA148A" w:rsidP="009C3954">
      <w:pPr>
        <w:ind w:firstLine="708"/>
        <w:jc w:val="both"/>
        <w:rPr>
          <w:rFonts w:ascii="Times New Roman" w:hAnsi="Times New Roman" w:cs="Times New Roman"/>
          <w:lang w:val="en-US"/>
        </w:rPr>
      </w:pPr>
      <w:r w:rsidRPr="007217AA">
        <w:rPr>
          <w:rFonts w:ascii="Times New Roman" w:hAnsi="Times New Roman" w:cs="Times New Roman"/>
          <w:lang w:val="en-US"/>
        </w:rPr>
        <w:t>You will find</w:t>
      </w:r>
      <w:r w:rsidR="0020417A">
        <w:rPr>
          <w:rFonts w:ascii="Times New Roman" w:hAnsi="Times New Roman" w:cs="Times New Roman"/>
          <w:lang w:val="en-US"/>
        </w:rPr>
        <w:t xml:space="preserve"> </w:t>
      </w:r>
      <w:r w:rsidRPr="007217AA">
        <w:rPr>
          <w:rFonts w:ascii="Times New Roman" w:hAnsi="Times New Roman" w:cs="Times New Roman"/>
          <w:lang w:val="en-US"/>
        </w:rPr>
        <w:t xml:space="preserve">my comments </w:t>
      </w:r>
      <w:r w:rsidR="004C2B66">
        <w:rPr>
          <w:rFonts w:ascii="Times New Roman" w:hAnsi="Times New Roman" w:cs="Times New Roman"/>
          <w:lang w:val="en-US"/>
        </w:rPr>
        <w:t xml:space="preserve">as Annex to this letter; these </w:t>
      </w:r>
      <w:r w:rsidR="009E04F6">
        <w:rPr>
          <w:rFonts w:ascii="Times New Roman" w:hAnsi="Times New Roman" w:cs="Times New Roman"/>
          <w:lang w:val="en-US"/>
        </w:rPr>
        <w:t>follow the structure of the r</w:t>
      </w:r>
      <w:r w:rsidRPr="007217AA">
        <w:rPr>
          <w:rFonts w:ascii="Times New Roman" w:hAnsi="Times New Roman" w:cs="Times New Roman"/>
          <w:lang w:val="en-US"/>
        </w:rPr>
        <w:t>evised draft and includ</w:t>
      </w:r>
      <w:r w:rsidR="004C2B66">
        <w:rPr>
          <w:rFonts w:ascii="Times New Roman" w:hAnsi="Times New Roman" w:cs="Times New Roman"/>
          <w:lang w:val="en-US"/>
        </w:rPr>
        <w:t>e</w:t>
      </w:r>
      <w:r w:rsidRPr="007217AA">
        <w:rPr>
          <w:rFonts w:ascii="Times New Roman" w:hAnsi="Times New Roman" w:cs="Times New Roman"/>
          <w:lang w:val="en-US"/>
        </w:rPr>
        <w:t xml:space="preserve"> some language suggestions where it is deemed necessary. </w:t>
      </w:r>
    </w:p>
    <w:p w14:paraId="0AFB90C7" w14:textId="0DF43801" w:rsidR="004C2B66" w:rsidRDefault="004C2B66" w:rsidP="007217AA">
      <w:pPr>
        <w:jc w:val="both"/>
        <w:rPr>
          <w:rFonts w:ascii="Times New Roman" w:hAnsi="Times New Roman" w:cs="Times New Roman"/>
          <w:lang w:val="en-US"/>
        </w:rPr>
      </w:pPr>
    </w:p>
    <w:p w14:paraId="6D1530B6" w14:textId="1E0D9EEC" w:rsidR="004C2B66" w:rsidRDefault="004C2B66" w:rsidP="009C3954">
      <w:pPr>
        <w:ind w:firstLine="708"/>
        <w:jc w:val="both"/>
        <w:rPr>
          <w:rFonts w:ascii="Times New Roman" w:hAnsi="Times New Roman" w:cs="Times New Roman"/>
          <w:lang w:val="en-US"/>
        </w:rPr>
      </w:pPr>
      <w:r>
        <w:rPr>
          <w:rFonts w:ascii="Times New Roman" w:hAnsi="Times New Roman" w:cs="Times New Roman"/>
          <w:lang w:val="en-US"/>
        </w:rPr>
        <w:lastRenderedPageBreak/>
        <w:t>I hope the Human Rights Committee will find this contribution helpful and look forward to continuing our fruitful collaboration.</w:t>
      </w:r>
    </w:p>
    <w:p w14:paraId="4DB8EF0C" w14:textId="69287E10" w:rsidR="004C2B66" w:rsidRDefault="004C2B66" w:rsidP="007217AA">
      <w:pPr>
        <w:jc w:val="both"/>
        <w:rPr>
          <w:rFonts w:ascii="Times New Roman" w:hAnsi="Times New Roman" w:cs="Times New Roman"/>
          <w:lang w:val="en-US"/>
        </w:rPr>
      </w:pPr>
    </w:p>
    <w:p w14:paraId="7616ADC2" w14:textId="77777777" w:rsidR="004C2B66" w:rsidRPr="00AA361E" w:rsidRDefault="004C2B66" w:rsidP="009C3954">
      <w:pPr>
        <w:spacing w:after="120"/>
        <w:ind w:right="1134"/>
        <w:jc w:val="center"/>
        <w:rPr>
          <w:rFonts w:ascii="Times New Roman" w:hAnsi="Times New Roman" w:cs="Times New Roman"/>
          <w:lang w:val="en-US"/>
        </w:rPr>
      </w:pPr>
      <w:r w:rsidRPr="00AA361E">
        <w:rPr>
          <w:rFonts w:ascii="Times New Roman" w:hAnsi="Times New Roman" w:cs="Times New Roman"/>
          <w:lang w:val="en-US"/>
        </w:rPr>
        <w:t>Yours sincerely,</w:t>
      </w:r>
    </w:p>
    <w:p w14:paraId="5F14EFA6" w14:textId="77777777" w:rsidR="004C2B66" w:rsidRPr="003121E5" w:rsidRDefault="004C2B66" w:rsidP="004C2B66">
      <w:pPr>
        <w:jc w:val="both"/>
        <w:rPr>
          <w:rFonts w:ascii="Times New Roman" w:hAnsi="Times New Roman" w:cs="Times New Roman"/>
          <w:lang w:val="en-US"/>
        </w:rPr>
      </w:pPr>
    </w:p>
    <w:p w14:paraId="413A9D07" w14:textId="77777777" w:rsidR="004C2B66" w:rsidRDefault="004C2B66" w:rsidP="004C2B66">
      <w:pPr>
        <w:jc w:val="center"/>
        <w:rPr>
          <w:rFonts w:ascii="Times New Roman" w:hAnsi="Times New Roman" w:cs="Times New Roman"/>
          <w:lang w:val="en-US"/>
        </w:rPr>
      </w:pPr>
      <w:r w:rsidRPr="003121E5">
        <w:rPr>
          <w:noProof/>
          <w:lang w:val="en-GB" w:eastAsia="en-GB"/>
        </w:rPr>
        <w:drawing>
          <wp:inline distT="0" distB="0" distL="0" distR="0" wp14:anchorId="27485050" wp14:editId="022BDD93">
            <wp:extent cx="2085975" cy="741045"/>
            <wp:effectExtent l="0" t="0" r="9525" b="190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 cstate="print">
                      <a:extLst/>
                    </a:blip>
                    <a:stretch>
                      <a:fillRect/>
                    </a:stretch>
                  </pic:blipFill>
                  <pic:spPr>
                    <a:xfrm>
                      <a:off x="0" y="0"/>
                      <a:ext cx="2085975" cy="741045"/>
                    </a:xfrm>
                    <a:prstGeom prst="rect">
                      <a:avLst/>
                    </a:prstGeom>
                  </pic:spPr>
                </pic:pic>
              </a:graphicData>
            </a:graphic>
          </wp:inline>
        </w:drawing>
      </w:r>
    </w:p>
    <w:p w14:paraId="00A6FAB3" w14:textId="77587D71" w:rsidR="004C2B66" w:rsidRDefault="004C2B66" w:rsidP="004C2B66">
      <w:pPr>
        <w:jc w:val="center"/>
        <w:rPr>
          <w:rFonts w:ascii="Times New Roman" w:hAnsi="Times New Roman" w:cs="Times New Roman"/>
          <w:lang w:val="en-US"/>
        </w:rPr>
      </w:pPr>
      <w:r w:rsidRPr="00AA6D75">
        <w:rPr>
          <w:rFonts w:ascii="Times New Roman" w:hAnsi="Times New Roman" w:cs="Times New Roman"/>
          <w:lang w:val="en-US"/>
        </w:rPr>
        <w:t>Clément Nyaletsossi Voulé</w:t>
      </w:r>
    </w:p>
    <w:p w14:paraId="1A55C723" w14:textId="6B24B91C" w:rsidR="00AA6D75" w:rsidRPr="00C3006A" w:rsidRDefault="00AA6D75" w:rsidP="00AA6D75">
      <w:pPr>
        <w:rPr>
          <w:rFonts w:ascii="Times New Roman" w:hAnsi="Times New Roman" w:cs="Times New Roman"/>
          <w:bCs/>
          <w:noProof/>
          <w:lang w:val="en-GB"/>
        </w:rPr>
      </w:pPr>
      <w:r w:rsidRPr="00C3006A">
        <w:rPr>
          <w:rFonts w:ascii="Times New Roman" w:hAnsi="Times New Roman" w:cs="Times New Roman"/>
          <w:bCs/>
          <w:noProof/>
          <w:lang w:val="en-GB"/>
        </w:rPr>
        <w:t>Special Rapporteur on the rights to freedom of peaceful assembly and of association</w:t>
      </w:r>
    </w:p>
    <w:p w14:paraId="03143746" w14:textId="6B158068" w:rsidR="00AA6D75" w:rsidRPr="00C3006A" w:rsidRDefault="00AA6D75" w:rsidP="00AA6D75">
      <w:pPr>
        <w:rPr>
          <w:rFonts w:ascii="Times New Roman" w:hAnsi="Times New Roman" w:cs="Times New Roman"/>
          <w:bCs/>
          <w:noProof/>
          <w:lang w:val="en-GB"/>
        </w:rPr>
      </w:pPr>
    </w:p>
    <w:p w14:paraId="5CCA2556" w14:textId="7ADE5636" w:rsidR="00AA6D75" w:rsidRPr="00C3006A" w:rsidRDefault="00AA6D75" w:rsidP="00AA6D75">
      <w:pPr>
        <w:rPr>
          <w:rFonts w:ascii="Times New Roman" w:hAnsi="Times New Roman" w:cs="Times New Roman"/>
          <w:bCs/>
          <w:noProof/>
          <w:lang w:val="en-GB"/>
        </w:rPr>
      </w:pPr>
      <w:r w:rsidRPr="00AA6D75">
        <w:rPr>
          <w:noProof/>
          <w:lang w:val="en-GB" w:eastAsia="en-GB"/>
        </w:rPr>
        <w:drawing>
          <wp:anchor distT="0" distB="0" distL="114300" distR="114300" simplePos="0" relativeHeight="251659264" behindDoc="0" locked="0" layoutInCell="1" allowOverlap="1" wp14:anchorId="334A57CF" wp14:editId="4B6EB65A">
            <wp:simplePos x="0" y="0"/>
            <wp:positionH relativeFrom="margin">
              <wp:posOffset>62865</wp:posOffset>
            </wp:positionH>
            <wp:positionV relativeFrom="margin">
              <wp:posOffset>3881120</wp:posOffset>
            </wp:positionV>
            <wp:extent cx="5278120" cy="866775"/>
            <wp:effectExtent l="0" t="0" r="0" b="9525"/>
            <wp:wrapSquare wrapText="bothSides"/>
            <wp:docPr id="4" name="Picture 8"/>
            <wp:cNvGraphicFramePr/>
            <a:graphic xmlns:a="http://schemas.openxmlformats.org/drawingml/2006/main">
              <a:graphicData uri="http://schemas.openxmlformats.org/drawingml/2006/picture">
                <pic:pic xmlns:pic="http://schemas.openxmlformats.org/drawingml/2006/picture">
                  <pic:nvPicPr>
                    <pic:cNvPr id="4" name="Picture 8"/>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8120" cy="866775"/>
                    </a:xfrm>
                    <a:prstGeom prst="rect">
                      <a:avLst/>
                    </a:prstGeom>
                    <a:noFill/>
                    <a:ln>
                      <a:noFill/>
                    </a:ln>
                  </pic:spPr>
                </pic:pic>
              </a:graphicData>
            </a:graphic>
            <wp14:sizeRelV relativeFrom="margin">
              <wp14:pctHeight>0</wp14:pctHeight>
            </wp14:sizeRelV>
          </wp:anchor>
        </w:drawing>
      </w:r>
    </w:p>
    <w:p w14:paraId="1C591E1A" w14:textId="1E7F2079" w:rsidR="00AA6D75" w:rsidRPr="00C3006A" w:rsidRDefault="00AA6D75" w:rsidP="00AA6D75">
      <w:pPr>
        <w:rPr>
          <w:rFonts w:ascii="Times New Roman" w:hAnsi="Times New Roman" w:cs="Times New Roman"/>
          <w:bCs/>
          <w:noProof/>
          <w:lang w:val="en-GB"/>
        </w:rPr>
      </w:pPr>
    </w:p>
    <w:p w14:paraId="0E0D7F7A" w14:textId="77777777" w:rsidR="00AA6D75" w:rsidRPr="00C3006A" w:rsidRDefault="00AA6D75" w:rsidP="00AA6D75">
      <w:pPr>
        <w:rPr>
          <w:rFonts w:ascii="Times New Roman" w:hAnsi="Times New Roman" w:cs="Times New Roman"/>
          <w:lang w:val="en-GB"/>
        </w:rPr>
      </w:pPr>
      <w:bookmarkStart w:id="0" w:name="_GoBack"/>
      <w:bookmarkEnd w:id="0"/>
    </w:p>
    <w:p w14:paraId="67C55996" w14:textId="77777777" w:rsidR="00AA6D75" w:rsidRPr="00C3006A" w:rsidRDefault="00AA6D75" w:rsidP="00AA6D75">
      <w:pPr>
        <w:rPr>
          <w:lang w:val="en-GB"/>
        </w:rPr>
      </w:pPr>
    </w:p>
    <w:p w14:paraId="07DC0531" w14:textId="77777777" w:rsidR="00AA6D75" w:rsidRPr="00AA6D75" w:rsidRDefault="00AA6D75" w:rsidP="004C2B66">
      <w:pPr>
        <w:jc w:val="center"/>
        <w:rPr>
          <w:rFonts w:ascii="Times New Roman" w:hAnsi="Times New Roman" w:cs="Times New Roman"/>
          <w:lang w:val="en-US"/>
        </w:rPr>
      </w:pPr>
    </w:p>
    <w:p w14:paraId="20EC60BF" w14:textId="0DA597FB" w:rsidR="004C2B66" w:rsidRPr="003121E5" w:rsidRDefault="004C2B66" w:rsidP="004C2B66">
      <w:pPr>
        <w:jc w:val="center"/>
        <w:rPr>
          <w:rFonts w:ascii="Times New Roman" w:hAnsi="Times New Roman" w:cs="Times New Roman"/>
          <w:lang w:val="en-US"/>
        </w:rPr>
      </w:pPr>
    </w:p>
    <w:p w14:paraId="51790C2B" w14:textId="73CE4241" w:rsidR="004C2B66" w:rsidRDefault="004C2B66" w:rsidP="007217AA">
      <w:pPr>
        <w:jc w:val="both"/>
        <w:rPr>
          <w:rFonts w:ascii="Times New Roman" w:hAnsi="Times New Roman" w:cs="Times New Roman"/>
          <w:lang w:val="en-US"/>
        </w:rPr>
      </w:pPr>
    </w:p>
    <w:p w14:paraId="2D3A64C4" w14:textId="0DF20FCB" w:rsidR="004C2B66" w:rsidRDefault="004C2B66">
      <w:pPr>
        <w:rPr>
          <w:rFonts w:ascii="Times New Roman" w:hAnsi="Times New Roman" w:cs="Times New Roman"/>
          <w:lang w:val="en-US"/>
        </w:rPr>
      </w:pPr>
      <w:r>
        <w:rPr>
          <w:rFonts w:ascii="Times New Roman" w:hAnsi="Times New Roman" w:cs="Times New Roman"/>
          <w:lang w:val="en-US"/>
        </w:rPr>
        <w:br w:type="page"/>
      </w:r>
    </w:p>
    <w:p w14:paraId="67412703" w14:textId="698691C2" w:rsidR="007217AA" w:rsidRPr="007217AA" w:rsidRDefault="004C2B66" w:rsidP="009C3954">
      <w:pPr>
        <w:jc w:val="center"/>
        <w:rPr>
          <w:rFonts w:ascii="Times New Roman" w:hAnsi="Times New Roman" w:cs="Times New Roman"/>
          <w:lang w:val="en-US"/>
        </w:rPr>
      </w:pPr>
      <w:r w:rsidRPr="00AA361E">
        <w:rPr>
          <w:rFonts w:ascii="Times New Roman" w:hAnsi="Times New Roman" w:cs="Times New Roman"/>
          <w:b/>
          <w:lang w:val="en-US"/>
        </w:rPr>
        <w:lastRenderedPageBreak/>
        <w:t>Written comments from the Special Rapporteur on the rights to freedom of peaceful assembly and of association, Clément Nyaletsossi Voulé for the General Comment No. 37 on Article 21: right of peaceful assembly – Revised draft prepared by the Rapporteur, Mr. Christof Heyns.</w:t>
      </w:r>
    </w:p>
    <w:p w14:paraId="64B39C3F" w14:textId="77777777" w:rsidR="009D390B" w:rsidRPr="007217AA" w:rsidRDefault="009D390B" w:rsidP="00A51284">
      <w:pPr>
        <w:jc w:val="both"/>
        <w:rPr>
          <w:rFonts w:ascii="Times New Roman" w:hAnsi="Times New Roman" w:cs="Times New Roman"/>
          <w:lang w:val="en-US"/>
        </w:rPr>
      </w:pPr>
    </w:p>
    <w:p w14:paraId="2EAFE6EA" w14:textId="531E651E" w:rsidR="007217AA" w:rsidRDefault="009D390B" w:rsidP="007217AA">
      <w:pPr>
        <w:pStyle w:val="ListParagraph"/>
        <w:numPr>
          <w:ilvl w:val="0"/>
          <w:numId w:val="5"/>
        </w:numPr>
        <w:ind w:left="1208" w:hanging="357"/>
        <w:rPr>
          <w:rFonts w:ascii="Times New Roman" w:hAnsi="Times New Roman" w:cs="Times New Roman"/>
          <w:sz w:val="32"/>
          <w:lang w:val="en-US"/>
        </w:rPr>
      </w:pPr>
      <w:r w:rsidRPr="00AA361E">
        <w:rPr>
          <w:rFonts w:ascii="Times New Roman" w:hAnsi="Times New Roman" w:cs="Times New Roman"/>
          <w:sz w:val="32"/>
          <w:lang w:val="en-US"/>
        </w:rPr>
        <w:t>General remarks</w:t>
      </w:r>
    </w:p>
    <w:p w14:paraId="61053810" w14:textId="77777777" w:rsidR="00AA361E" w:rsidRPr="00AA361E" w:rsidRDefault="00AA361E" w:rsidP="00AA361E">
      <w:pPr>
        <w:ind w:left="851"/>
        <w:rPr>
          <w:rFonts w:ascii="Times New Roman" w:hAnsi="Times New Roman" w:cs="Times New Roman"/>
          <w:sz w:val="32"/>
          <w:lang w:val="en-US"/>
        </w:rPr>
      </w:pPr>
    </w:p>
    <w:p w14:paraId="1A916961" w14:textId="6A92A574" w:rsidR="009D390B" w:rsidRDefault="007217AA" w:rsidP="001E7B00">
      <w:pPr>
        <w:pStyle w:val="ListParagraph"/>
        <w:numPr>
          <w:ilvl w:val="0"/>
          <w:numId w:val="11"/>
        </w:numPr>
        <w:jc w:val="both"/>
        <w:rPr>
          <w:rFonts w:ascii="Times New Roman" w:hAnsi="Times New Roman" w:cs="Times New Roman"/>
          <w:lang w:val="en-US"/>
        </w:rPr>
      </w:pPr>
      <w:r w:rsidRPr="007217AA">
        <w:rPr>
          <w:rFonts w:ascii="Times New Roman" w:hAnsi="Times New Roman" w:cs="Times New Roman"/>
          <w:lang w:val="en-US"/>
        </w:rPr>
        <w:t>First</w:t>
      </w:r>
      <w:r w:rsidR="00600A46">
        <w:rPr>
          <w:rFonts w:ascii="Times New Roman" w:hAnsi="Times New Roman" w:cs="Times New Roman"/>
          <w:lang w:val="en-US"/>
        </w:rPr>
        <w:t>, it is important</w:t>
      </w:r>
      <w:r>
        <w:rPr>
          <w:rFonts w:ascii="Times New Roman" w:hAnsi="Times New Roman" w:cs="Times New Roman"/>
          <w:lang w:val="en-US"/>
        </w:rPr>
        <w:t xml:space="preserve"> to emphasize that </w:t>
      </w:r>
      <w:r w:rsidR="00600A46">
        <w:rPr>
          <w:rFonts w:ascii="Times New Roman" w:hAnsi="Times New Roman" w:cs="Times New Roman"/>
          <w:lang w:val="en-US"/>
        </w:rPr>
        <w:t>the Special Rapporteur has</w:t>
      </w:r>
      <w:r>
        <w:rPr>
          <w:rFonts w:ascii="Times New Roman" w:hAnsi="Times New Roman" w:cs="Times New Roman"/>
          <w:lang w:val="en-US"/>
        </w:rPr>
        <w:t xml:space="preserve"> notice</w:t>
      </w:r>
      <w:r w:rsidR="00600A46">
        <w:rPr>
          <w:rFonts w:ascii="Times New Roman" w:hAnsi="Times New Roman" w:cs="Times New Roman"/>
          <w:lang w:val="en-US"/>
        </w:rPr>
        <w:t>d</w:t>
      </w:r>
      <w:r>
        <w:rPr>
          <w:rFonts w:ascii="Times New Roman" w:hAnsi="Times New Roman" w:cs="Times New Roman"/>
          <w:lang w:val="en-US"/>
        </w:rPr>
        <w:t xml:space="preserve"> an increasing arbitrary interpretation of the grounds for restriction prescribed by IHRL. </w:t>
      </w:r>
      <w:r w:rsidR="00600A46">
        <w:rPr>
          <w:rFonts w:ascii="Times New Roman" w:hAnsi="Times New Roman" w:cs="Times New Roman"/>
          <w:lang w:val="en-US"/>
        </w:rPr>
        <w:t>It is crucial</w:t>
      </w:r>
      <w:r>
        <w:rPr>
          <w:rFonts w:ascii="Times New Roman" w:hAnsi="Times New Roman" w:cs="Times New Roman"/>
          <w:lang w:val="en-US"/>
        </w:rPr>
        <w:t xml:space="preserve"> to be cautious against an environment in which the enjoyment of the right of peaceful assembly is serious</w:t>
      </w:r>
      <w:r w:rsidR="00DE6715">
        <w:rPr>
          <w:rFonts w:ascii="Times New Roman" w:hAnsi="Times New Roman" w:cs="Times New Roman"/>
          <w:lang w:val="en-US"/>
        </w:rPr>
        <w:t>ly</w:t>
      </w:r>
      <w:r>
        <w:rPr>
          <w:rFonts w:ascii="Times New Roman" w:hAnsi="Times New Roman" w:cs="Times New Roman"/>
          <w:lang w:val="en-US"/>
        </w:rPr>
        <w:t xml:space="preserve"> impeded. </w:t>
      </w:r>
      <w:r w:rsidR="00747943">
        <w:rPr>
          <w:rFonts w:ascii="Times New Roman" w:hAnsi="Times New Roman" w:cs="Times New Roman"/>
          <w:lang w:val="en-US"/>
        </w:rPr>
        <w:t xml:space="preserve">Therefore, </w:t>
      </w:r>
      <w:r w:rsidR="00600A46">
        <w:rPr>
          <w:rFonts w:ascii="Times New Roman" w:hAnsi="Times New Roman" w:cs="Times New Roman"/>
          <w:lang w:val="en-US"/>
        </w:rPr>
        <w:t xml:space="preserve">it would be of paramount value </w:t>
      </w:r>
      <w:r w:rsidR="00747943">
        <w:rPr>
          <w:rFonts w:ascii="Times New Roman" w:hAnsi="Times New Roman" w:cs="Times New Roman"/>
          <w:lang w:val="en-US"/>
        </w:rPr>
        <w:t>to include a reference to the exceptionality of restrictions and the three-limited framework for limitations</w:t>
      </w:r>
      <w:r w:rsidR="00DE6715">
        <w:rPr>
          <w:rFonts w:ascii="Times New Roman" w:hAnsi="Times New Roman" w:cs="Times New Roman"/>
          <w:lang w:val="en-US"/>
        </w:rPr>
        <w:t xml:space="preserve"> in</w:t>
      </w:r>
      <w:r w:rsidR="00747943">
        <w:rPr>
          <w:rFonts w:ascii="Times New Roman" w:hAnsi="Times New Roman" w:cs="Times New Roman"/>
          <w:lang w:val="en-US"/>
        </w:rPr>
        <w:t xml:space="preserve"> the section of general remarks instead of waiting until the section of restrictions on the right of peaceful assembly.</w:t>
      </w:r>
      <w:r w:rsidR="00747943">
        <w:rPr>
          <w:rFonts w:ascii="Times New Roman" w:hAnsi="Times New Roman" w:cs="Times New Roman"/>
          <w:lang w:val="en-US"/>
        </w:rPr>
        <w:tab/>
      </w:r>
    </w:p>
    <w:p w14:paraId="4B7E09C9" w14:textId="0E431C9E" w:rsidR="00747943" w:rsidRDefault="00747943" w:rsidP="00747943">
      <w:pPr>
        <w:pStyle w:val="ListParagraph"/>
        <w:ind w:left="360"/>
        <w:jc w:val="both"/>
        <w:rPr>
          <w:rFonts w:ascii="Times New Roman" w:hAnsi="Times New Roman" w:cs="Times New Roman"/>
          <w:lang w:val="en-US"/>
        </w:rPr>
      </w:pPr>
    </w:p>
    <w:p w14:paraId="44D974B4" w14:textId="347C402E" w:rsidR="00747943" w:rsidRPr="009E04F6" w:rsidRDefault="008D20DF" w:rsidP="001E7B00">
      <w:pPr>
        <w:pStyle w:val="ListParagraph"/>
        <w:numPr>
          <w:ilvl w:val="0"/>
          <w:numId w:val="11"/>
        </w:numPr>
        <w:jc w:val="both"/>
        <w:rPr>
          <w:rFonts w:ascii="Times New Roman" w:hAnsi="Times New Roman" w:cs="Times New Roman"/>
          <w:b/>
          <w:lang w:val="en-US"/>
        </w:rPr>
      </w:pPr>
      <w:r>
        <w:rPr>
          <w:rFonts w:ascii="Times New Roman" w:hAnsi="Times New Roman" w:cs="Times New Roman"/>
          <w:b/>
          <w:lang w:val="en-US"/>
        </w:rPr>
        <w:t>In this regard</w:t>
      </w:r>
      <w:r w:rsidR="00747943" w:rsidRPr="009E04F6">
        <w:rPr>
          <w:rFonts w:ascii="Times New Roman" w:hAnsi="Times New Roman" w:cs="Times New Roman"/>
          <w:b/>
          <w:lang w:val="en-US"/>
        </w:rPr>
        <w:t>, paragraph 40 of the revised draft should be moved to the general remarks secti</w:t>
      </w:r>
      <w:r w:rsidR="00600A46" w:rsidRPr="009E04F6">
        <w:rPr>
          <w:rFonts w:ascii="Times New Roman" w:hAnsi="Times New Roman" w:cs="Times New Roman"/>
          <w:b/>
          <w:lang w:val="en-US"/>
        </w:rPr>
        <w:t>on as a paragraph 1</w:t>
      </w:r>
      <w:r w:rsidR="00600A46" w:rsidRPr="009E04F6">
        <w:rPr>
          <w:rFonts w:ascii="Times New Roman" w:hAnsi="Times New Roman" w:cs="Times New Roman"/>
          <w:b/>
          <w:vertAlign w:val="superscript"/>
          <w:lang w:val="en-US"/>
        </w:rPr>
        <w:t>bis</w:t>
      </w:r>
      <w:r w:rsidR="009E04F6">
        <w:rPr>
          <w:rFonts w:ascii="Times New Roman" w:hAnsi="Times New Roman" w:cs="Times New Roman"/>
          <w:b/>
          <w:lang w:val="en-US"/>
        </w:rPr>
        <w:t xml:space="preserve"> </w:t>
      </w:r>
      <w:r w:rsidR="005861F0">
        <w:rPr>
          <w:rFonts w:ascii="Times New Roman" w:hAnsi="Times New Roman" w:cs="Times New Roman"/>
          <w:b/>
          <w:lang w:val="en-US"/>
        </w:rPr>
        <w:t>with the following changes</w:t>
      </w:r>
      <w:r w:rsidR="00600A46" w:rsidRPr="009E04F6">
        <w:rPr>
          <w:rFonts w:ascii="Times New Roman" w:hAnsi="Times New Roman" w:cs="Times New Roman"/>
          <w:b/>
          <w:lang w:val="en-US"/>
        </w:rPr>
        <w:t>:</w:t>
      </w:r>
      <w:r w:rsidR="00747943" w:rsidRPr="009E04F6">
        <w:rPr>
          <w:rFonts w:ascii="Times New Roman" w:hAnsi="Times New Roman" w:cs="Times New Roman"/>
          <w:b/>
          <w:lang w:val="en-US"/>
        </w:rPr>
        <w:t xml:space="preserve"> </w:t>
      </w:r>
    </w:p>
    <w:p w14:paraId="401A8108" w14:textId="06890FDE" w:rsidR="00747943" w:rsidRPr="00747943" w:rsidRDefault="00747943" w:rsidP="00747943">
      <w:pPr>
        <w:jc w:val="both"/>
        <w:rPr>
          <w:rFonts w:ascii="Times New Roman" w:hAnsi="Times New Roman" w:cs="Times New Roman"/>
          <w:lang w:val="en-US"/>
        </w:rPr>
      </w:pPr>
    </w:p>
    <w:p w14:paraId="558A1416" w14:textId="5EC8D4B4" w:rsidR="00E639AA" w:rsidRDefault="00747943" w:rsidP="00166877">
      <w:pPr>
        <w:spacing w:after="120"/>
        <w:ind w:left="1134" w:right="1134"/>
        <w:jc w:val="both"/>
        <w:rPr>
          <w:rFonts w:ascii="Times New Roman" w:hAnsi="Times New Roman" w:cs="Times New Roman"/>
          <w:i/>
          <w:lang w:val="en-US"/>
        </w:rPr>
      </w:pPr>
      <w:r w:rsidRPr="00747943">
        <w:rPr>
          <w:rFonts w:ascii="Times New Roman" w:hAnsi="Times New Roman" w:cs="Times New Roman"/>
          <w:i/>
          <w:lang w:val="en-US"/>
        </w:rPr>
        <w:t>The right of peaceful assembly</w:t>
      </w:r>
      <w:r w:rsidR="00E639AA">
        <w:rPr>
          <w:rFonts w:ascii="Times New Roman" w:hAnsi="Times New Roman" w:cs="Times New Roman"/>
          <w:i/>
          <w:lang w:val="en-US"/>
        </w:rPr>
        <w:t xml:space="preserve"> </w:t>
      </w:r>
      <w:r w:rsidR="00E639AA" w:rsidRPr="00AE42E3">
        <w:rPr>
          <w:rFonts w:ascii="Times New Roman" w:hAnsi="Times New Roman" w:cs="Times New Roman"/>
          <w:b/>
          <w:i/>
          <w:color w:val="2F5496" w:themeColor="accent1" w:themeShade="BF"/>
          <w:lang w:val="en-US"/>
        </w:rPr>
        <w:t>can be subject to restrictions</w:t>
      </w:r>
      <w:r w:rsidRPr="00747943">
        <w:rPr>
          <w:rFonts w:ascii="Times New Roman" w:hAnsi="Times New Roman" w:cs="Times New Roman"/>
          <w:i/>
          <w:lang w:val="en-US"/>
        </w:rPr>
        <w:t>. While the right may be limited, there is a presumption against restrictions.</w:t>
      </w:r>
      <w:r w:rsidRPr="00747943">
        <w:rPr>
          <w:rFonts w:ascii="Times New Roman" w:eastAsia="SimSun" w:hAnsi="Times New Roman" w:cs="Times New Roman"/>
          <w:i/>
          <w:vertAlign w:val="superscript"/>
          <w:lang w:val="fr-CH"/>
        </w:rPr>
        <w:footnoteReference w:id="1"/>
      </w:r>
      <w:r w:rsidRPr="00747943">
        <w:rPr>
          <w:rFonts w:ascii="Times New Roman" w:hAnsi="Times New Roman" w:cs="Times New Roman"/>
          <w:i/>
          <w:lang w:val="en-US"/>
        </w:rPr>
        <w:t xml:space="preserve"> The onus is on the authorities to justify any restrictions,</w:t>
      </w:r>
      <w:r w:rsidRPr="00747943">
        <w:rPr>
          <w:rFonts w:ascii="Times New Roman" w:eastAsia="SimSun" w:hAnsi="Times New Roman" w:cs="Times New Roman"/>
          <w:i/>
          <w:vertAlign w:val="superscript"/>
          <w:lang w:val="fr-CH"/>
        </w:rPr>
        <w:footnoteReference w:id="2"/>
      </w:r>
      <w:r w:rsidRPr="00747943">
        <w:rPr>
          <w:rFonts w:ascii="Times New Roman" w:hAnsi="Times New Roman" w:cs="Times New Roman"/>
          <w:i/>
          <w:lang w:val="en-US"/>
        </w:rPr>
        <w:t xml:space="preserve"> and where this onus is not met, article 21 is violated.</w:t>
      </w:r>
      <w:r w:rsidRPr="00747943">
        <w:rPr>
          <w:rFonts w:ascii="Times New Roman" w:eastAsia="SimSun" w:hAnsi="Times New Roman" w:cs="Times New Roman"/>
          <w:i/>
          <w:vertAlign w:val="superscript"/>
          <w:lang w:val="fr-CH"/>
        </w:rPr>
        <w:footnoteReference w:id="3"/>
      </w:r>
      <w:r w:rsidRPr="00747943">
        <w:rPr>
          <w:rFonts w:ascii="Times New Roman" w:hAnsi="Times New Roman" w:cs="Times New Roman"/>
          <w:i/>
          <w:lang w:val="en-US"/>
        </w:rPr>
        <w:t xml:space="preserve"> Restrictions are not permissible unless they can be shown to have been provided for by law, and are necessary and proportionate to the permissible grounds for restrictions enumerated in article 21, and discussed below. The imposition of any restrictions should be </w:t>
      </w:r>
      <w:r w:rsidRPr="00747943">
        <w:rPr>
          <w:rFonts w:ascii="Times New Roman" w:hAnsi="Times New Roman" w:cs="Times New Roman"/>
          <w:i/>
          <w:lang w:val="en-US"/>
        </w:rPr>
        <w:lastRenderedPageBreak/>
        <w:t>guided by the objective of facilitating the right, rather than seeking unnecessary and disproportionate limitations to it.</w:t>
      </w:r>
      <w:r w:rsidRPr="00747943">
        <w:rPr>
          <w:rFonts w:ascii="Times New Roman" w:eastAsia="SimSun" w:hAnsi="Times New Roman" w:cs="Times New Roman"/>
          <w:i/>
          <w:vertAlign w:val="superscript"/>
          <w:lang w:val="fr-CH"/>
        </w:rPr>
        <w:footnoteReference w:id="4"/>
      </w:r>
      <w:r w:rsidRPr="00747943">
        <w:rPr>
          <w:rFonts w:ascii="Times New Roman" w:hAnsi="Times New Roman" w:cs="Times New Roman"/>
          <w:i/>
          <w:lang w:val="en-US"/>
        </w:rPr>
        <w:t xml:space="preserve"> Restrictions should not be aimed at discouraging participation in assemblies, potentially causing a chilling effect.</w:t>
      </w:r>
    </w:p>
    <w:p w14:paraId="5FC3935D" w14:textId="77777777" w:rsidR="00E639AA" w:rsidRDefault="00E639AA" w:rsidP="00E639AA">
      <w:pPr>
        <w:ind w:left="360"/>
        <w:jc w:val="both"/>
        <w:rPr>
          <w:rFonts w:ascii="Times New Roman" w:hAnsi="Times New Roman" w:cs="Times New Roman"/>
          <w:i/>
          <w:lang w:val="en-US"/>
        </w:rPr>
      </w:pPr>
    </w:p>
    <w:p w14:paraId="58A88D3E" w14:textId="6EDD0B42" w:rsidR="00166877" w:rsidRDefault="0020417A" w:rsidP="001E7B00">
      <w:pPr>
        <w:pStyle w:val="ListParagraph"/>
        <w:numPr>
          <w:ilvl w:val="0"/>
          <w:numId w:val="11"/>
        </w:numPr>
        <w:jc w:val="both"/>
        <w:rPr>
          <w:rFonts w:ascii="Times New Roman" w:hAnsi="Times New Roman" w:cs="Times New Roman"/>
          <w:lang w:val="en-US"/>
        </w:rPr>
      </w:pPr>
      <w:r w:rsidRPr="00954747">
        <w:rPr>
          <w:rFonts w:ascii="Times New Roman" w:hAnsi="Times New Roman" w:cs="Times New Roman"/>
          <w:lang w:val="en-US"/>
        </w:rPr>
        <w:t>The right to freedom of peaceful assembly play</w:t>
      </w:r>
      <w:r w:rsidR="00AE42E3">
        <w:rPr>
          <w:rFonts w:ascii="Times New Roman" w:hAnsi="Times New Roman" w:cs="Times New Roman"/>
          <w:lang w:val="en-US"/>
        </w:rPr>
        <w:t>s</w:t>
      </w:r>
      <w:r w:rsidRPr="00954747">
        <w:rPr>
          <w:rFonts w:ascii="Times New Roman" w:hAnsi="Times New Roman" w:cs="Times New Roman"/>
          <w:lang w:val="en-US"/>
        </w:rPr>
        <w:t xml:space="preserve"> a key role as an enabling right in </w:t>
      </w:r>
      <w:r w:rsidR="00954747" w:rsidRPr="00954747">
        <w:rPr>
          <w:rFonts w:ascii="Times New Roman" w:hAnsi="Times New Roman" w:cs="Times New Roman"/>
          <w:lang w:val="en-US"/>
        </w:rPr>
        <w:t>opening</w:t>
      </w:r>
      <w:r w:rsidRPr="00954747">
        <w:rPr>
          <w:rFonts w:ascii="Times New Roman" w:hAnsi="Times New Roman" w:cs="Times New Roman"/>
          <w:lang w:val="en-US"/>
        </w:rPr>
        <w:t xml:space="preserve"> spaces and opportunities for genuine and effective engagement by civil society actor and individuals in decision-making</w:t>
      </w:r>
      <w:r w:rsidR="00AE42E3">
        <w:rPr>
          <w:rFonts w:ascii="Times New Roman" w:hAnsi="Times New Roman" w:cs="Times New Roman"/>
          <w:lang w:val="en-US"/>
        </w:rPr>
        <w:t xml:space="preserve"> processes. This right</w:t>
      </w:r>
      <w:r w:rsidR="00954747" w:rsidRPr="00954747">
        <w:rPr>
          <w:rFonts w:ascii="Times New Roman" w:hAnsi="Times New Roman" w:cs="Times New Roman"/>
          <w:lang w:val="en-US"/>
        </w:rPr>
        <w:t xml:space="preserve"> help</w:t>
      </w:r>
      <w:r w:rsidR="00AE42E3">
        <w:rPr>
          <w:rFonts w:ascii="Times New Roman" w:hAnsi="Times New Roman" w:cs="Times New Roman"/>
          <w:lang w:val="en-US"/>
        </w:rPr>
        <w:t>s</w:t>
      </w:r>
      <w:r w:rsidR="00954747" w:rsidRPr="00954747">
        <w:rPr>
          <w:rFonts w:ascii="Times New Roman" w:hAnsi="Times New Roman" w:cs="Times New Roman"/>
          <w:lang w:val="en-US"/>
        </w:rPr>
        <w:t xml:space="preserve"> to foster increased transparency and accountability and is a basic prerequisite for the goal of securing </w:t>
      </w:r>
      <w:r w:rsidR="00E45603">
        <w:rPr>
          <w:rFonts w:ascii="Times New Roman" w:hAnsi="Times New Roman" w:cs="Times New Roman"/>
          <w:lang w:val="en-US"/>
        </w:rPr>
        <w:t xml:space="preserve">the </w:t>
      </w:r>
      <w:r w:rsidR="00954747" w:rsidRPr="00954747">
        <w:rPr>
          <w:rFonts w:ascii="Times New Roman" w:hAnsi="Times New Roman" w:cs="Times New Roman"/>
          <w:lang w:val="en-US"/>
        </w:rPr>
        <w:t xml:space="preserve">substantive enjoyment </w:t>
      </w:r>
      <w:r w:rsidR="00AE42E3">
        <w:rPr>
          <w:rFonts w:ascii="Times New Roman" w:hAnsi="Times New Roman" w:cs="Times New Roman"/>
          <w:lang w:val="en-US"/>
        </w:rPr>
        <w:t xml:space="preserve">of </w:t>
      </w:r>
      <w:r w:rsidR="00954747" w:rsidRPr="00954747">
        <w:rPr>
          <w:rFonts w:ascii="Times New Roman" w:hAnsi="Times New Roman" w:cs="Times New Roman"/>
          <w:lang w:val="en-US"/>
        </w:rPr>
        <w:t>different human rights and the sustainable development goals. The right to peaceful assembly can facilitate constructive dialogue, which is necessary given the shared interests and sometimes competing priorities that are intrinsic to societies.</w:t>
      </w:r>
      <w:r w:rsidR="00954747">
        <w:rPr>
          <w:rFonts w:ascii="Times New Roman" w:hAnsi="Times New Roman" w:cs="Times New Roman"/>
          <w:lang w:val="en-US"/>
        </w:rPr>
        <w:t xml:space="preserve"> </w:t>
      </w:r>
    </w:p>
    <w:p w14:paraId="7ACDEBE0" w14:textId="77777777" w:rsidR="00166877" w:rsidRDefault="00166877" w:rsidP="00166877">
      <w:pPr>
        <w:pStyle w:val="ListParagraph"/>
        <w:ind w:left="360"/>
        <w:jc w:val="both"/>
        <w:rPr>
          <w:rFonts w:ascii="Times New Roman" w:hAnsi="Times New Roman" w:cs="Times New Roman"/>
          <w:lang w:val="en-US"/>
        </w:rPr>
      </w:pPr>
    </w:p>
    <w:p w14:paraId="2E3A5874" w14:textId="5B844734" w:rsidR="00954747" w:rsidRDefault="00954747" w:rsidP="001E7B00">
      <w:pPr>
        <w:pStyle w:val="ListParagraph"/>
        <w:numPr>
          <w:ilvl w:val="0"/>
          <w:numId w:val="11"/>
        </w:numPr>
        <w:jc w:val="both"/>
        <w:rPr>
          <w:rFonts w:ascii="Times New Roman" w:hAnsi="Times New Roman" w:cs="Times New Roman"/>
          <w:lang w:val="en-US"/>
        </w:rPr>
      </w:pPr>
      <w:r w:rsidRPr="00166877">
        <w:rPr>
          <w:rFonts w:ascii="Times New Roman" w:hAnsi="Times New Roman" w:cs="Times New Roman"/>
          <w:b/>
          <w:lang w:val="en-US"/>
        </w:rPr>
        <w:t xml:space="preserve">In this regard, </w:t>
      </w:r>
      <w:r w:rsidR="00E45603">
        <w:rPr>
          <w:rFonts w:ascii="Times New Roman" w:hAnsi="Times New Roman" w:cs="Times New Roman"/>
          <w:b/>
          <w:lang w:val="en-US"/>
        </w:rPr>
        <w:t>it is suggested that paragraph 114 be</w:t>
      </w:r>
      <w:r w:rsidRPr="00166877">
        <w:rPr>
          <w:rFonts w:ascii="Times New Roman" w:hAnsi="Times New Roman" w:cs="Times New Roman"/>
          <w:b/>
          <w:lang w:val="en-US"/>
        </w:rPr>
        <w:t xml:space="preserve"> moved to the general </w:t>
      </w:r>
      <w:r w:rsidR="003C1A3A" w:rsidRPr="00166877">
        <w:rPr>
          <w:rFonts w:ascii="Times New Roman" w:hAnsi="Times New Roman" w:cs="Times New Roman"/>
          <w:b/>
          <w:lang w:val="en-US"/>
        </w:rPr>
        <w:t>remarks section as a paragraph 9</w:t>
      </w:r>
      <w:r w:rsidRPr="00166877">
        <w:rPr>
          <w:rFonts w:ascii="Times New Roman" w:hAnsi="Times New Roman" w:cs="Times New Roman"/>
          <w:b/>
          <w:vertAlign w:val="superscript"/>
          <w:lang w:val="en-US"/>
        </w:rPr>
        <w:t>bis</w:t>
      </w:r>
      <w:r>
        <w:rPr>
          <w:rFonts w:ascii="Times New Roman" w:hAnsi="Times New Roman" w:cs="Times New Roman"/>
          <w:lang w:val="en-US"/>
        </w:rPr>
        <w:t xml:space="preserve">: </w:t>
      </w:r>
    </w:p>
    <w:p w14:paraId="51889589" w14:textId="77777777" w:rsidR="00954747" w:rsidRDefault="00954747" w:rsidP="00954747">
      <w:pPr>
        <w:jc w:val="both"/>
        <w:rPr>
          <w:rFonts w:ascii="Times New Roman" w:hAnsi="Times New Roman" w:cs="Times New Roman"/>
          <w:lang w:val="en-US"/>
        </w:rPr>
      </w:pPr>
    </w:p>
    <w:p w14:paraId="2EFAC9AB" w14:textId="77777777" w:rsidR="00954747" w:rsidRDefault="00954747" w:rsidP="00954747">
      <w:pPr>
        <w:jc w:val="both"/>
        <w:rPr>
          <w:rFonts w:ascii="Times New Roman" w:hAnsi="Times New Roman" w:cs="Times New Roman"/>
          <w:lang w:val="en-US"/>
        </w:rPr>
      </w:pPr>
    </w:p>
    <w:p w14:paraId="2B12FBB6" w14:textId="00D7BEE6" w:rsidR="00954747" w:rsidRDefault="00954747" w:rsidP="00166877">
      <w:pPr>
        <w:pStyle w:val="ListParagraph"/>
        <w:spacing w:after="120"/>
        <w:ind w:left="1134" w:right="1134"/>
        <w:jc w:val="both"/>
        <w:rPr>
          <w:rFonts w:ascii="Times New Roman" w:hAnsi="Times New Roman" w:cs="Times New Roman"/>
          <w:i/>
          <w:lang w:val="x-none"/>
        </w:rPr>
      </w:pPr>
      <w:r w:rsidRPr="00954747">
        <w:rPr>
          <w:rFonts w:ascii="Times New Roman" w:hAnsi="Times New Roman" w:cs="Times New Roman"/>
          <w:i/>
          <w:lang w:val="x-none"/>
        </w:rPr>
        <w:t>[The right of peaceful assembly is often exercised with the aim of advancing the implementation of other fundamental human rights, as well as other norms and principles of international law. In such cases, the duty to respect and ensure the right of peaceful assembly derives its legal justification from the intrinsic value of the right, but also from the importance of the other rights, norms and principles whose implementation it advances.]</w:t>
      </w:r>
    </w:p>
    <w:p w14:paraId="1D591FAE" w14:textId="77777777" w:rsidR="00127EFD" w:rsidRPr="00954747" w:rsidRDefault="00127EFD" w:rsidP="00954747">
      <w:pPr>
        <w:pStyle w:val="ListParagraph"/>
        <w:ind w:left="708"/>
        <w:jc w:val="both"/>
        <w:rPr>
          <w:rFonts w:ascii="Times New Roman" w:hAnsi="Times New Roman" w:cs="Times New Roman"/>
          <w:i/>
          <w:lang w:val="x-none"/>
        </w:rPr>
      </w:pPr>
    </w:p>
    <w:p w14:paraId="05080E69" w14:textId="10E51529" w:rsidR="00E14BA5" w:rsidRDefault="00E14BA5" w:rsidP="00E14BA5">
      <w:pPr>
        <w:pStyle w:val="ListParagraph"/>
        <w:numPr>
          <w:ilvl w:val="0"/>
          <w:numId w:val="11"/>
        </w:numPr>
        <w:spacing w:after="120"/>
        <w:ind w:left="0"/>
        <w:jc w:val="both"/>
        <w:rPr>
          <w:rFonts w:ascii="Times New Roman" w:hAnsi="Times New Roman" w:cs="Times New Roman"/>
          <w:color w:val="000000" w:themeColor="text1"/>
          <w:lang w:val="en-US"/>
        </w:rPr>
      </w:pPr>
      <w:r>
        <w:rPr>
          <w:rFonts w:ascii="Times New Roman" w:hAnsi="Times New Roman" w:cs="Times New Roman"/>
          <w:lang w:val="en-US"/>
        </w:rPr>
        <w:t xml:space="preserve">On </w:t>
      </w:r>
      <w:r w:rsidRPr="006E6702">
        <w:rPr>
          <w:rFonts w:ascii="Times New Roman" w:hAnsi="Times New Roman" w:cs="Times New Roman"/>
          <w:b/>
          <w:lang w:val="en-US"/>
        </w:rPr>
        <w:t>paragraph 4</w:t>
      </w:r>
      <w:r>
        <w:rPr>
          <w:rFonts w:ascii="Times New Roman" w:hAnsi="Times New Roman" w:cs="Times New Roman"/>
          <w:lang w:val="en-US"/>
        </w:rPr>
        <w:t xml:space="preserve"> of the revised draft, </w:t>
      </w:r>
      <w:r w:rsidR="00127EFD">
        <w:rPr>
          <w:rFonts w:ascii="Times New Roman" w:hAnsi="Times New Roman" w:cs="Times New Roman"/>
          <w:lang w:val="en-US"/>
        </w:rPr>
        <w:t xml:space="preserve">the definition of the right to freedom of assembly </w:t>
      </w:r>
      <w:r>
        <w:rPr>
          <w:rFonts w:ascii="Times New Roman" w:hAnsi="Times New Roman" w:cs="Times New Roman"/>
          <w:lang w:val="en-US"/>
        </w:rPr>
        <w:t>presented</w:t>
      </w:r>
      <w:r w:rsidR="00127EFD">
        <w:rPr>
          <w:rFonts w:ascii="Times New Roman" w:hAnsi="Times New Roman" w:cs="Times New Roman"/>
          <w:lang w:val="en-US"/>
        </w:rPr>
        <w:t xml:space="preserve"> is not in line with the definition that the mandate of the Special Rapporteur on </w:t>
      </w:r>
      <w:r w:rsidR="00127EFD">
        <w:rPr>
          <w:rFonts w:ascii="Times New Roman" w:hAnsi="Times New Roman" w:cs="Times New Roman"/>
          <w:lang w:val="en-US"/>
        </w:rPr>
        <w:lastRenderedPageBreak/>
        <w:t>the rights to freedom of peaceful assembly and of association has developed and has been using for 10 years</w:t>
      </w:r>
      <w:r w:rsidR="00166877">
        <w:rPr>
          <w:rFonts w:ascii="Times New Roman" w:hAnsi="Times New Roman" w:cs="Times New Roman"/>
          <w:lang w:val="en-US"/>
        </w:rPr>
        <w:t xml:space="preserve">. </w:t>
      </w:r>
      <w:r w:rsidR="00600A46">
        <w:rPr>
          <w:rFonts w:ascii="Times New Roman" w:hAnsi="Times New Roman" w:cs="Times New Roman"/>
          <w:lang w:val="en-US"/>
        </w:rPr>
        <w:t>It is</w:t>
      </w:r>
      <w:r w:rsidR="005B235B">
        <w:rPr>
          <w:rFonts w:ascii="Times New Roman" w:hAnsi="Times New Roman" w:cs="Times New Roman"/>
          <w:lang w:val="en-US"/>
        </w:rPr>
        <w:t xml:space="preserve"> problematic to emphasize the “non-violent” </w:t>
      </w:r>
      <w:r w:rsidR="00121592">
        <w:rPr>
          <w:rFonts w:ascii="Times New Roman" w:hAnsi="Times New Roman" w:cs="Times New Roman"/>
          <w:lang w:val="en-US"/>
        </w:rPr>
        <w:t xml:space="preserve">and “public” </w:t>
      </w:r>
      <w:r w:rsidR="005B235B">
        <w:rPr>
          <w:rFonts w:ascii="Times New Roman" w:hAnsi="Times New Roman" w:cs="Times New Roman"/>
          <w:lang w:val="en-US"/>
        </w:rPr>
        <w:t>element</w:t>
      </w:r>
      <w:r w:rsidR="00121592">
        <w:rPr>
          <w:rFonts w:ascii="Times New Roman" w:hAnsi="Times New Roman" w:cs="Times New Roman"/>
          <w:lang w:val="en-US"/>
        </w:rPr>
        <w:t>s</w:t>
      </w:r>
      <w:r w:rsidR="005B235B">
        <w:rPr>
          <w:rFonts w:ascii="Times New Roman" w:hAnsi="Times New Roman" w:cs="Times New Roman"/>
          <w:lang w:val="en-US"/>
        </w:rPr>
        <w:t xml:space="preserve"> of the assembly at the beginning of the general comment</w:t>
      </w:r>
      <w:r>
        <w:rPr>
          <w:rFonts w:ascii="Times New Roman" w:hAnsi="Times New Roman" w:cs="Times New Roman"/>
          <w:lang w:val="en-US"/>
        </w:rPr>
        <w:t xml:space="preserve"> without providing an explanation</w:t>
      </w:r>
      <w:r w:rsidR="003C1A3A">
        <w:rPr>
          <w:rFonts w:ascii="Times New Roman" w:hAnsi="Times New Roman" w:cs="Times New Roman"/>
          <w:lang w:val="en-US"/>
        </w:rPr>
        <w:t xml:space="preserve">, </w:t>
      </w:r>
      <w:r w:rsidR="00D47A52">
        <w:rPr>
          <w:rFonts w:ascii="Times New Roman" w:hAnsi="Times New Roman" w:cs="Times New Roman"/>
          <w:lang w:val="en-US"/>
        </w:rPr>
        <w:t>leaving</w:t>
      </w:r>
      <w:r w:rsidR="00121592">
        <w:rPr>
          <w:rFonts w:ascii="Times New Roman" w:hAnsi="Times New Roman" w:cs="Times New Roman"/>
          <w:lang w:val="en-US"/>
        </w:rPr>
        <w:t xml:space="preserve"> room for a </w:t>
      </w:r>
      <w:r w:rsidR="003C1A3A">
        <w:rPr>
          <w:rFonts w:ascii="Times New Roman" w:hAnsi="Times New Roman" w:cs="Times New Roman"/>
          <w:lang w:val="en-US"/>
        </w:rPr>
        <w:t>wide interpretation. These c</w:t>
      </w:r>
      <w:r w:rsidR="00121592">
        <w:rPr>
          <w:rFonts w:ascii="Times New Roman" w:hAnsi="Times New Roman" w:cs="Times New Roman"/>
          <w:lang w:val="en-US"/>
        </w:rPr>
        <w:t xml:space="preserve">oncepts </w:t>
      </w:r>
      <w:r w:rsidR="009B7CB8">
        <w:rPr>
          <w:rFonts w:ascii="Times New Roman" w:hAnsi="Times New Roman" w:cs="Times New Roman"/>
          <w:lang w:val="en-US"/>
        </w:rPr>
        <w:t>contain</w:t>
      </w:r>
      <w:r w:rsidR="003C1A3A">
        <w:rPr>
          <w:rFonts w:ascii="Times New Roman" w:hAnsi="Times New Roman" w:cs="Times New Roman"/>
          <w:lang w:val="en-US"/>
        </w:rPr>
        <w:t xml:space="preserve"> many nuances and exceptions and should not be taken as the norm.</w:t>
      </w:r>
      <w:r w:rsidR="005B235B">
        <w:rPr>
          <w:rFonts w:ascii="Times New Roman" w:hAnsi="Times New Roman" w:cs="Times New Roman"/>
          <w:lang w:val="en-US"/>
        </w:rPr>
        <w:t xml:space="preserve"> </w:t>
      </w:r>
      <w:r w:rsidR="00121592">
        <w:rPr>
          <w:rFonts w:ascii="Times New Roman" w:hAnsi="Times New Roman" w:cs="Times New Roman"/>
          <w:lang w:val="en-US"/>
        </w:rPr>
        <w:t xml:space="preserve">In this sense, this paragraph seems to be highly restrictive and </w:t>
      </w:r>
      <w:r w:rsidR="009B7CB8">
        <w:rPr>
          <w:rFonts w:ascii="Times New Roman" w:hAnsi="Times New Roman" w:cs="Times New Roman"/>
          <w:lang w:val="en-US"/>
        </w:rPr>
        <w:t>prescriptive</w:t>
      </w:r>
      <w:r w:rsidR="003C1A3A">
        <w:rPr>
          <w:rFonts w:ascii="Times New Roman" w:hAnsi="Times New Roman" w:cs="Times New Roman"/>
          <w:lang w:val="en-US"/>
        </w:rPr>
        <w:t>.</w:t>
      </w:r>
      <w:r w:rsidR="00B86AEC">
        <w:rPr>
          <w:rFonts w:ascii="Times New Roman" w:hAnsi="Times New Roman" w:cs="Times New Roman"/>
          <w:lang w:val="en-US"/>
        </w:rPr>
        <w:t xml:space="preserve"> At the same time, </w:t>
      </w:r>
      <w:r w:rsidR="00B86AEC">
        <w:rPr>
          <w:rFonts w:ascii="Times New Roman" w:hAnsi="Times New Roman" w:cs="Times New Roman"/>
          <w:color w:val="000000" w:themeColor="text1"/>
          <w:lang w:val="en-US"/>
        </w:rPr>
        <w:t>t</w:t>
      </w:r>
      <w:r w:rsidR="00B86AEC" w:rsidRPr="007E079F">
        <w:rPr>
          <w:rFonts w:ascii="Times New Roman" w:hAnsi="Times New Roman" w:cs="Times New Roman"/>
          <w:color w:val="000000" w:themeColor="text1"/>
          <w:lang w:val="en-US"/>
        </w:rPr>
        <w:t xml:space="preserve">he Special Rapporteur believes that the issue of evolution of assembly participant’s behavior is complex and the inclusion of </w:t>
      </w:r>
      <w:r w:rsidR="00B86AEC" w:rsidRPr="006E6702">
        <w:rPr>
          <w:rFonts w:ascii="Times New Roman" w:hAnsi="Times New Roman" w:cs="Times New Roman"/>
          <w:b/>
          <w:color w:val="000000" w:themeColor="text1"/>
          <w:lang w:val="en-US"/>
        </w:rPr>
        <w:t>paragraph 10</w:t>
      </w:r>
      <w:r w:rsidR="00B86AEC" w:rsidRPr="007E079F">
        <w:rPr>
          <w:rFonts w:ascii="Times New Roman" w:hAnsi="Times New Roman" w:cs="Times New Roman"/>
          <w:color w:val="000000" w:themeColor="text1"/>
          <w:lang w:val="en-US"/>
        </w:rPr>
        <w:t xml:space="preserve"> in the introductory section goes too far. It does not take into account various issues, such as infiltration by provocateurs; isolating </w:t>
      </w:r>
      <w:r w:rsidR="00D47A52">
        <w:rPr>
          <w:rFonts w:ascii="Times New Roman" w:hAnsi="Times New Roman" w:cs="Times New Roman"/>
          <w:color w:val="000000" w:themeColor="text1"/>
          <w:lang w:val="en-US"/>
        </w:rPr>
        <w:t>violent</w:t>
      </w:r>
      <w:r w:rsidR="00B86AEC" w:rsidRPr="007E079F">
        <w:rPr>
          <w:rFonts w:ascii="Times New Roman" w:hAnsi="Times New Roman" w:cs="Times New Roman"/>
          <w:color w:val="000000" w:themeColor="text1"/>
          <w:lang w:val="en-US"/>
        </w:rPr>
        <w:t xml:space="preserve"> actors; protecting the rights to peaceful assembly for other partici</w:t>
      </w:r>
      <w:r w:rsidR="00166877">
        <w:rPr>
          <w:rFonts w:ascii="Times New Roman" w:hAnsi="Times New Roman" w:cs="Times New Roman"/>
          <w:color w:val="000000" w:themeColor="text1"/>
          <w:lang w:val="en-US"/>
        </w:rPr>
        <w:t xml:space="preserve">pants, etc. Therefore, </w:t>
      </w:r>
      <w:r w:rsidR="00166877" w:rsidRPr="00166877">
        <w:rPr>
          <w:rFonts w:ascii="Times New Roman" w:hAnsi="Times New Roman" w:cs="Times New Roman"/>
          <w:b/>
          <w:color w:val="000000" w:themeColor="text1"/>
          <w:lang w:val="en-US"/>
        </w:rPr>
        <w:t xml:space="preserve">it is </w:t>
      </w:r>
      <w:r w:rsidR="00B86AEC" w:rsidRPr="00166877">
        <w:rPr>
          <w:rFonts w:ascii="Times New Roman" w:hAnsi="Times New Roman" w:cs="Times New Roman"/>
          <w:b/>
          <w:color w:val="000000" w:themeColor="text1"/>
          <w:lang w:val="en-US"/>
        </w:rPr>
        <w:t>suggest</w:t>
      </w:r>
      <w:r w:rsidR="00166877" w:rsidRPr="00166877">
        <w:rPr>
          <w:rFonts w:ascii="Times New Roman" w:hAnsi="Times New Roman" w:cs="Times New Roman"/>
          <w:b/>
          <w:color w:val="000000" w:themeColor="text1"/>
          <w:lang w:val="en-US"/>
        </w:rPr>
        <w:t>ed</w:t>
      </w:r>
      <w:r w:rsidR="00B86AEC" w:rsidRPr="00166877">
        <w:rPr>
          <w:rFonts w:ascii="Times New Roman" w:hAnsi="Times New Roman" w:cs="Times New Roman"/>
          <w:b/>
          <w:color w:val="000000" w:themeColor="text1"/>
          <w:lang w:val="en-US"/>
        </w:rPr>
        <w:t xml:space="preserve"> to remove paragraph 10 of the revised draft from the general remarks section and include it at a later stage</w:t>
      </w:r>
      <w:r w:rsidR="00B86AEC" w:rsidRPr="007E079F">
        <w:rPr>
          <w:rFonts w:ascii="Times New Roman" w:hAnsi="Times New Roman" w:cs="Times New Roman"/>
          <w:color w:val="000000" w:themeColor="text1"/>
          <w:lang w:val="en-US"/>
        </w:rPr>
        <w:t xml:space="preserve">. </w:t>
      </w:r>
    </w:p>
    <w:p w14:paraId="04E0F355" w14:textId="77777777" w:rsidR="00E14BA5" w:rsidRDefault="00E14BA5" w:rsidP="00E14BA5">
      <w:pPr>
        <w:pStyle w:val="ListParagraph"/>
        <w:spacing w:after="120"/>
        <w:ind w:left="0"/>
        <w:jc w:val="both"/>
        <w:rPr>
          <w:rFonts w:ascii="Times New Roman" w:hAnsi="Times New Roman" w:cs="Times New Roman"/>
          <w:color w:val="000000" w:themeColor="text1"/>
          <w:lang w:val="en-US"/>
        </w:rPr>
      </w:pPr>
    </w:p>
    <w:p w14:paraId="5A293369" w14:textId="3F6975D9" w:rsidR="009B7CB8" w:rsidRPr="00E14BA5" w:rsidRDefault="008D20DF" w:rsidP="00E14BA5">
      <w:pPr>
        <w:pStyle w:val="ListParagraph"/>
        <w:numPr>
          <w:ilvl w:val="0"/>
          <w:numId w:val="11"/>
        </w:numPr>
        <w:spacing w:after="120"/>
        <w:ind w:left="0"/>
        <w:jc w:val="both"/>
        <w:rPr>
          <w:rFonts w:ascii="Times New Roman" w:hAnsi="Times New Roman" w:cs="Times New Roman"/>
          <w:color w:val="000000" w:themeColor="text1"/>
          <w:lang w:val="en-US"/>
        </w:rPr>
      </w:pPr>
      <w:r w:rsidRPr="00E14BA5">
        <w:rPr>
          <w:rFonts w:ascii="Times New Roman" w:hAnsi="Times New Roman" w:cs="Times New Roman"/>
          <w:b/>
          <w:lang w:val="en-US"/>
        </w:rPr>
        <w:t>In this regard</w:t>
      </w:r>
      <w:r w:rsidR="009B7CB8" w:rsidRPr="00E14BA5">
        <w:rPr>
          <w:rFonts w:ascii="Times New Roman" w:hAnsi="Times New Roman" w:cs="Times New Roman"/>
          <w:b/>
          <w:lang w:val="en-US"/>
        </w:rPr>
        <w:t>,</w:t>
      </w:r>
      <w:r w:rsidR="005861F0" w:rsidRPr="00E14BA5">
        <w:rPr>
          <w:rFonts w:ascii="Times New Roman" w:hAnsi="Times New Roman" w:cs="Times New Roman"/>
          <w:b/>
          <w:lang w:val="en-US"/>
        </w:rPr>
        <w:t xml:space="preserve"> the Special Rapporteur offers the following suggestions to paragraph 4 of the revised draft</w:t>
      </w:r>
      <w:r w:rsidR="009B7CB8" w:rsidRPr="00E14BA5">
        <w:rPr>
          <w:rFonts w:ascii="Times New Roman" w:hAnsi="Times New Roman" w:cs="Times New Roman"/>
          <w:b/>
          <w:lang w:val="en-US"/>
        </w:rPr>
        <w:t xml:space="preserve"> and exceptions </w:t>
      </w:r>
      <w:r w:rsidR="00645964" w:rsidRPr="00E14BA5">
        <w:rPr>
          <w:rFonts w:ascii="Times New Roman" w:hAnsi="Times New Roman" w:cs="Times New Roman"/>
          <w:b/>
          <w:lang w:val="en-US"/>
        </w:rPr>
        <w:t xml:space="preserve">regarding the </w:t>
      </w:r>
      <w:r w:rsidR="003C1A3A" w:rsidRPr="00E14BA5">
        <w:rPr>
          <w:rFonts w:ascii="Times New Roman" w:hAnsi="Times New Roman" w:cs="Times New Roman"/>
          <w:b/>
          <w:lang w:val="en-US"/>
        </w:rPr>
        <w:t>peacefulness, the commonality of the purpose and the publicly accessibility</w:t>
      </w:r>
      <w:r w:rsidR="00645964" w:rsidRPr="00E14BA5">
        <w:rPr>
          <w:rFonts w:ascii="Times New Roman" w:hAnsi="Times New Roman" w:cs="Times New Roman"/>
          <w:b/>
          <w:lang w:val="en-US"/>
        </w:rPr>
        <w:t xml:space="preserve"> </w:t>
      </w:r>
      <w:r w:rsidR="003C1A3A" w:rsidRPr="00E14BA5">
        <w:rPr>
          <w:rFonts w:ascii="Times New Roman" w:hAnsi="Times New Roman" w:cs="Times New Roman"/>
          <w:b/>
          <w:lang w:val="en-US"/>
        </w:rPr>
        <w:t>be</w:t>
      </w:r>
      <w:r w:rsidR="00645964" w:rsidRPr="00E14BA5">
        <w:rPr>
          <w:rFonts w:ascii="Times New Roman" w:hAnsi="Times New Roman" w:cs="Times New Roman"/>
          <w:b/>
          <w:lang w:val="en-US"/>
        </w:rPr>
        <w:t xml:space="preserve"> explained later </w:t>
      </w:r>
      <w:r w:rsidR="003C1A3A" w:rsidRPr="00E14BA5">
        <w:rPr>
          <w:rFonts w:ascii="Times New Roman" w:hAnsi="Times New Roman" w:cs="Times New Roman"/>
          <w:b/>
          <w:lang w:val="en-US"/>
        </w:rPr>
        <w:t>in the text of the general comm</w:t>
      </w:r>
      <w:r w:rsidR="00645964" w:rsidRPr="00E14BA5">
        <w:rPr>
          <w:rFonts w:ascii="Times New Roman" w:hAnsi="Times New Roman" w:cs="Times New Roman"/>
          <w:b/>
          <w:lang w:val="en-US"/>
        </w:rPr>
        <w:t>ent</w:t>
      </w:r>
      <w:r w:rsidR="005861F0" w:rsidRPr="00E14BA5">
        <w:rPr>
          <w:rFonts w:ascii="Times New Roman" w:hAnsi="Times New Roman" w:cs="Times New Roman"/>
          <w:b/>
          <w:lang w:val="en-US"/>
        </w:rPr>
        <w:t>:</w:t>
      </w:r>
    </w:p>
    <w:p w14:paraId="421BC9A1" w14:textId="77777777" w:rsidR="00166877" w:rsidRDefault="00166877" w:rsidP="001A03DA">
      <w:pPr>
        <w:spacing w:after="120"/>
        <w:ind w:left="1134" w:right="1134"/>
        <w:jc w:val="both"/>
        <w:rPr>
          <w:rFonts w:ascii="Times New Roman" w:hAnsi="Times New Roman" w:cs="Times New Roman"/>
          <w:b/>
          <w:i/>
          <w:color w:val="2F5496" w:themeColor="accent1" w:themeShade="BF"/>
          <w:lang w:val="en-US"/>
        </w:rPr>
      </w:pPr>
    </w:p>
    <w:p w14:paraId="0641E5D0" w14:textId="252D6E06" w:rsidR="001A03DA" w:rsidRPr="00166877" w:rsidRDefault="00166877" w:rsidP="00166877">
      <w:pPr>
        <w:spacing w:after="120"/>
        <w:ind w:left="1134" w:right="1134"/>
        <w:jc w:val="both"/>
        <w:rPr>
          <w:rFonts w:ascii="Times New Roman" w:hAnsi="Times New Roman" w:cs="Times New Roman"/>
          <w:lang w:val="en-US"/>
        </w:rPr>
      </w:pPr>
      <w:r>
        <w:rPr>
          <w:rFonts w:ascii="Times New Roman" w:hAnsi="Times New Roman" w:cs="Times New Roman"/>
          <w:b/>
          <w:i/>
          <w:color w:val="2F5496" w:themeColor="accent1" w:themeShade="BF"/>
          <w:lang w:val="en-US"/>
        </w:rPr>
        <w:t xml:space="preserve">An assembly is the </w:t>
      </w:r>
      <w:r w:rsidR="009B7CB8" w:rsidRPr="001A03DA">
        <w:rPr>
          <w:rFonts w:ascii="Times New Roman" w:hAnsi="Times New Roman" w:cs="Times New Roman"/>
          <w:b/>
          <w:i/>
          <w:color w:val="2F5496" w:themeColor="accent1" w:themeShade="BF"/>
          <w:lang w:val="en-US"/>
        </w:rPr>
        <w:t>intentional and temporary gathering in a private or public space for a specific purpose</w:t>
      </w:r>
      <w:r w:rsidR="001A03DA" w:rsidRPr="001A03DA">
        <w:rPr>
          <w:rFonts w:ascii="Times New Roman" w:hAnsi="Times New Roman" w:cs="Times New Roman"/>
          <w:b/>
          <w:i/>
          <w:color w:val="2F5496" w:themeColor="accent1" w:themeShade="BF"/>
          <w:lang w:val="en-US"/>
        </w:rPr>
        <w:t xml:space="preserve">. </w:t>
      </w:r>
      <w:r w:rsidRPr="001A03DA">
        <w:rPr>
          <w:rFonts w:ascii="Times New Roman" w:hAnsi="Times New Roman" w:cs="Times New Roman"/>
          <w:b/>
          <w:i/>
          <w:color w:val="2F5496" w:themeColor="accent1" w:themeShade="BF"/>
          <w:lang w:val="en-US"/>
        </w:rPr>
        <w:t>The right t</w:t>
      </w:r>
      <w:r>
        <w:rPr>
          <w:rFonts w:ascii="Times New Roman" w:hAnsi="Times New Roman" w:cs="Times New Roman"/>
          <w:b/>
          <w:i/>
          <w:color w:val="2F5496" w:themeColor="accent1" w:themeShade="BF"/>
          <w:lang w:val="en-US"/>
        </w:rPr>
        <w:t>o peaceful assembly protects assemblies that are peaceful, and where participants have peaceful intentions, which should be presumed.</w:t>
      </w:r>
      <w:r>
        <w:rPr>
          <w:rStyle w:val="FootnoteReference"/>
          <w:rFonts w:cs="Times New Roman"/>
          <w:b/>
          <w:i/>
          <w:color w:val="2F5496" w:themeColor="accent1" w:themeShade="BF"/>
        </w:rPr>
        <w:footnoteReference w:id="5"/>
      </w:r>
      <w:r w:rsidRPr="001A03DA">
        <w:rPr>
          <w:rFonts w:ascii="Times New Roman" w:hAnsi="Times New Roman" w:cs="Times New Roman"/>
          <w:b/>
          <w:i/>
          <w:color w:val="2F5496" w:themeColor="accent1" w:themeShade="BF"/>
          <w:lang w:val="en-US"/>
        </w:rPr>
        <w:t xml:space="preserve"> </w:t>
      </w:r>
      <w:r w:rsidR="001A03DA" w:rsidRPr="001A03DA">
        <w:rPr>
          <w:rFonts w:ascii="Times New Roman" w:hAnsi="Times New Roman" w:cs="Times New Roman"/>
          <w:i/>
          <w:lang w:val="en-US"/>
        </w:rPr>
        <w:t>The right of peaceful assembly constitutes an individual right that is exercised collectively.</w:t>
      </w:r>
      <w:r w:rsidR="001A03DA" w:rsidRPr="001A03DA">
        <w:rPr>
          <w:rFonts w:ascii="Times New Roman" w:hAnsi="Times New Roman" w:cs="Times New Roman"/>
          <w:i/>
          <w:vertAlign w:val="superscript"/>
          <w:lang w:val="en-US"/>
        </w:rPr>
        <w:footnoteReference w:id="6"/>
      </w:r>
      <w:r w:rsidR="001A03DA" w:rsidRPr="001A03DA">
        <w:rPr>
          <w:rFonts w:ascii="Times New Roman" w:hAnsi="Times New Roman" w:cs="Times New Roman"/>
          <w:i/>
          <w:lang w:val="en-US"/>
        </w:rPr>
        <w:t xml:space="preserve"> Inherent to the right is thus an associative element.</w:t>
      </w:r>
    </w:p>
    <w:p w14:paraId="78499F6B" w14:textId="77777777" w:rsidR="001A03DA" w:rsidRPr="00166877" w:rsidRDefault="001A03DA" w:rsidP="001A03DA">
      <w:pPr>
        <w:spacing w:after="120"/>
        <w:ind w:left="1134" w:right="1134"/>
        <w:jc w:val="both"/>
        <w:rPr>
          <w:lang w:val="en-GB"/>
        </w:rPr>
      </w:pPr>
    </w:p>
    <w:p w14:paraId="784D1D65" w14:textId="25499A9B" w:rsidR="00D47A52" w:rsidRDefault="00000326" w:rsidP="00D47A52">
      <w:pPr>
        <w:pStyle w:val="ListParagraph"/>
        <w:numPr>
          <w:ilvl w:val="0"/>
          <w:numId w:val="11"/>
        </w:numPr>
        <w:jc w:val="both"/>
        <w:rPr>
          <w:rFonts w:ascii="Times New Roman" w:hAnsi="Times New Roman" w:cs="Times New Roman"/>
          <w:lang w:val="en-US"/>
        </w:rPr>
      </w:pPr>
      <w:r w:rsidRPr="00D47A52">
        <w:rPr>
          <w:rFonts w:ascii="Times New Roman" w:hAnsi="Times New Roman" w:cs="Times New Roman"/>
          <w:lang w:val="en-US"/>
        </w:rPr>
        <w:t xml:space="preserve">As it was stated in resolution 15/21 of the Human Rights Council “everyone has the rights to freedom of peaceful assembly and of association”. The Special Rapporteur welcomes that the revised draft shows that this provision must be read jointly with article 2 of the ICCPR. However, </w:t>
      </w:r>
      <w:r w:rsidR="009C3954">
        <w:rPr>
          <w:rFonts w:ascii="Times New Roman" w:hAnsi="Times New Roman" w:cs="Times New Roman"/>
          <w:lang w:val="en-US"/>
        </w:rPr>
        <w:t xml:space="preserve">the Special Rapporteur </w:t>
      </w:r>
      <w:r w:rsidRPr="00D47A52">
        <w:rPr>
          <w:rFonts w:ascii="Times New Roman" w:hAnsi="Times New Roman" w:cs="Times New Roman"/>
          <w:lang w:val="en-US"/>
        </w:rPr>
        <w:t xml:space="preserve">considers of paramount importance to emphasize that individuals are </w:t>
      </w:r>
      <w:r w:rsidR="00D47A52" w:rsidRPr="00D47A52">
        <w:rPr>
          <w:rFonts w:ascii="Times New Roman" w:hAnsi="Times New Roman" w:cs="Times New Roman"/>
          <w:lang w:val="en-US"/>
        </w:rPr>
        <w:t>“</w:t>
      </w:r>
      <w:r w:rsidRPr="00D47A52">
        <w:rPr>
          <w:rFonts w:ascii="Times New Roman" w:hAnsi="Times New Roman" w:cs="Times New Roman"/>
          <w:lang w:val="en-US"/>
        </w:rPr>
        <w:t>right holders</w:t>
      </w:r>
      <w:r w:rsidR="00D47A52" w:rsidRPr="00D47A52">
        <w:rPr>
          <w:rFonts w:ascii="Times New Roman" w:hAnsi="Times New Roman" w:cs="Times New Roman"/>
          <w:lang w:val="en-US"/>
        </w:rPr>
        <w:t>”</w:t>
      </w:r>
      <w:r w:rsidRPr="00D47A52">
        <w:rPr>
          <w:rFonts w:ascii="Times New Roman" w:hAnsi="Times New Roman" w:cs="Times New Roman"/>
          <w:lang w:val="en-US"/>
        </w:rPr>
        <w:t xml:space="preserve"> of freedom of assembly more than </w:t>
      </w:r>
      <w:r w:rsidR="00D47A52" w:rsidRPr="00D47A52">
        <w:rPr>
          <w:rFonts w:ascii="Times New Roman" w:hAnsi="Times New Roman" w:cs="Times New Roman"/>
          <w:lang w:val="en-US"/>
        </w:rPr>
        <w:t xml:space="preserve">mere ability </w:t>
      </w:r>
      <w:r w:rsidRPr="00D47A52">
        <w:rPr>
          <w:rFonts w:ascii="Times New Roman" w:hAnsi="Times New Roman" w:cs="Times New Roman"/>
          <w:lang w:val="en-US"/>
        </w:rPr>
        <w:t>to exercise it. At the same time, the Special Rapporteur does not understand why the text of the revised draft allows for the interpretation that there are different levels</w:t>
      </w:r>
      <w:r w:rsidR="00542211" w:rsidRPr="00D47A52">
        <w:rPr>
          <w:rFonts w:ascii="Times New Roman" w:hAnsi="Times New Roman" w:cs="Times New Roman"/>
          <w:lang w:val="en-US"/>
        </w:rPr>
        <w:t xml:space="preserve"> or categories</w:t>
      </w:r>
      <w:r w:rsidR="00D47A52" w:rsidRPr="00D47A52">
        <w:rPr>
          <w:rFonts w:ascii="Times New Roman" w:hAnsi="Times New Roman" w:cs="Times New Roman"/>
          <w:lang w:val="en-US"/>
        </w:rPr>
        <w:t xml:space="preserve"> of right holders.</w:t>
      </w:r>
      <w:r w:rsidRPr="00D47A52">
        <w:rPr>
          <w:rFonts w:ascii="Times New Roman" w:hAnsi="Times New Roman" w:cs="Times New Roman"/>
          <w:lang w:val="en-US"/>
        </w:rPr>
        <w:t xml:space="preserve"> </w:t>
      </w:r>
      <w:r w:rsidR="00D47A52">
        <w:rPr>
          <w:rFonts w:ascii="Times New Roman" w:hAnsi="Times New Roman" w:cs="Times New Roman"/>
          <w:lang w:val="en-US"/>
        </w:rPr>
        <w:t>Paragraph 5 first mentions the citizens and then goes on to</w:t>
      </w:r>
      <w:r w:rsidR="009C3954">
        <w:rPr>
          <w:rFonts w:ascii="Times New Roman" w:hAnsi="Times New Roman" w:cs="Times New Roman"/>
          <w:lang w:val="en-US"/>
        </w:rPr>
        <w:t xml:space="preserve"> enumerating other groups that </w:t>
      </w:r>
      <w:r w:rsidR="00D47A52">
        <w:rPr>
          <w:rFonts w:ascii="Times New Roman" w:hAnsi="Times New Roman" w:cs="Times New Roman"/>
          <w:lang w:val="en-US"/>
        </w:rPr>
        <w:t>may be entitled to the same right. The right to freedom of peaceful assembly, just as all human rights, is universal, indivisible, interdependent and interrelated</w:t>
      </w:r>
      <w:r w:rsidR="00D47A52">
        <w:rPr>
          <w:rStyle w:val="FootnoteReference"/>
          <w:rFonts w:cs="Times New Roman"/>
        </w:rPr>
        <w:footnoteReference w:id="7"/>
      </w:r>
      <w:r w:rsidR="00D47A52">
        <w:rPr>
          <w:rFonts w:ascii="Times New Roman" w:hAnsi="Times New Roman" w:cs="Times New Roman"/>
          <w:lang w:val="en-US"/>
        </w:rPr>
        <w:t xml:space="preserve">. </w:t>
      </w:r>
    </w:p>
    <w:p w14:paraId="4FAB3248" w14:textId="10FDEBD6" w:rsidR="00166877" w:rsidRPr="00D47A52" w:rsidRDefault="00166877" w:rsidP="002E67AC">
      <w:pPr>
        <w:pStyle w:val="ListParagraph"/>
        <w:ind w:left="360"/>
        <w:jc w:val="both"/>
        <w:rPr>
          <w:rFonts w:ascii="Times New Roman" w:hAnsi="Times New Roman" w:cs="Times New Roman"/>
          <w:lang w:val="en-US"/>
        </w:rPr>
      </w:pPr>
    </w:p>
    <w:p w14:paraId="1E833DDB" w14:textId="19B11233" w:rsidR="005861F0" w:rsidRPr="005861F0" w:rsidRDefault="005861F0" w:rsidP="00E14BA5">
      <w:pPr>
        <w:pStyle w:val="ListParagraph"/>
        <w:numPr>
          <w:ilvl w:val="0"/>
          <w:numId w:val="11"/>
        </w:numPr>
        <w:spacing w:after="120"/>
        <w:jc w:val="both"/>
        <w:rPr>
          <w:rFonts w:ascii="Times New Roman" w:hAnsi="Times New Roman" w:cs="Times New Roman"/>
          <w:b/>
          <w:i/>
          <w:lang w:val="en-GB"/>
        </w:rPr>
      </w:pPr>
      <w:r w:rsidRPr="005861F0">
        <w:rPr>
          <w:rFonts w:ascii="Times New Roman" w:hAnsi="Times New Roman" w:cs="Times New Roman"/>
          <w:b/>
          <w:lang w:val="en-US"/>
        </w:rPr>
        <w:t xml:space="preserve">The Special Rapporteur offers the following suggestions to </w:t>
      </w:r>
      <w:r>
        <w:rPr>
          <w:rFonts w:ascii="Times New Roman" w:hAnsi="Times New Roman" w:cs="Times New Roman"/>
          <w:b/>
          <w:lang w:val="en-US"/>
        </w:rPr>
        <w:t>paragraph 5</w:t>
      </w:r>
      <w:r w:rsidRPr="005861F0">
        <w:rPr>
          <w:rFonts w:ascii="Times New Roman" w:hAnsi="Times New Roman" w:cs="Times New Roman"/>
          <w:b/>
          <w:lang w:val="en-US"/>
        </w:rPr>
        <w:t xml:space="preserve"> of the revised draft:  </w:t>
      </w:r>
    </w:p>
    <w:p w14:paraId="44110FD6" w14:textId="77777777" w:rsidR="00000326" w:rsidRPr="005861F0" w:rsidRDefault="00000326" w:rsidP="00000326">
      <w:pPr>
        <w:pStyle w:val="ListParagraph"/>
        <w:ind w:left="360"/>
        <w:jc w:val="both"/>
        <w:rPr>
          <w:rFonts w:ascii="Times New Roman" w:hAnsi="Times New Roman" w:cs="Times New Roman"/>
          <w:lang w:val="en-GB"/>
        </w:rPr>
      </w:pPr>
    </w:p>
    <w:p w14:paraId="1F17189C" w14:textId="00622492" w:rsidR="00000326" w:rsidRDefault="00000326" w:rsidP="00000326">
      <w:pPr>
        <w:spacing w:after="120"/>
        <w:ind w:left="1134" w:right="1134"/>
        <w:jc w:val="both"/>
        <w:rPr>
          <w:rFonts w:ascii="Times New Roman" w:hAnsi="Times New Roman" w:cs="Times New Roman"/>
          <w:b/>
          <w:i/>
          <w:color w:val="2F5496" w:themeColor="accent1" w:themeShade="BF"/>
          <w:lang w:val="en-US"/>
        </w:rPr>
      </w:pPr>
      <w:r w:rsidRPr="00000326">
        <w:rPr>
          <w:rFonts w:ascii="Times New Roman" w:hAnsi="Times New Roman" w:cs="Times New Roman"/>
          <w:i/>
          <w:color w:val="000000" w:themeColor="text1"/>
          <w:lang w:val="en-US"/>
        </w:rPr>
        <w:t xml:space="preserve">Everyone </w:t>
      </w:r>
      <w:r w:rsidRPr="00000326">
        <w:rPr>
          <w:rFonts w:ascii="Times New Roman" w:hAnsi="Times New Roman" w:cs="Times New Roman"/>
          <w:b/>
          <w:i/>
          <w:color w:val="2F5496" w:themeColor="accent1" w:themeShade="BF"/>
          <w:lang w:val="en-US"/>
        </w:rPr>
        <w:t>has</w:t>
      </w:r>
      <w:r>
        <w:rPr>
          <w:rFonts w:ascii="Times New Roman" w:hAnsi="Times New Roman" w:cs="Times New Roman"/>
          <w:i/>
          <w:color w:val="000000" w:themeColor="text1"/>
          <w:lang w:val="en-US"/>
        </w:rPr>
        <w:t xml:space="preserve"> </w:t>
      </w:r>
      <w:r w:rsidRPr="00000326">
        <w:rPr>
          <w:rFonts w:ascii="Times New Roman" w:hAnsi="Times New Roman" w:cs="Times New Roman"/>
          <w:i/>
          <w:color w:val="000000" w:themeColor="text1"/>
          <w:lang w:val="en-US"/>
        </w:rPr>
        <w:t>t</w:t>
      </w:r>
      <w:r>
        <w:rPr>
          <w:rFonts w:ascii="Times New Roman" w:hAnsi="Times New Roman" w:cs="Times New Roman"/>
          <w:i/>
          <w:color w:val="000000" w:themeColor="text1"/>
          <w:lang w:val="en-US"/>
        </w:rPr>
        <w:t>he right of peaceful assembly. T</w:t>
      </w:r>
      <w:r w:rsidRPr="00000326">
        <w:rPr>
          <w:rFonts w:ascii="Times New Roman" w:hAnsi="Times New Roman" w:cs="Times New Roman"/>
          <w:i/>
          <w:color w:val="000000" w:themeColor="text1"/>
          <w:lang w:val="en-US"/>
        </w:rPr>
        <w:t>his includes child</w:t>
      </w:r>
      <w:r>
        <w:rPr>
          <w:rFonts w:ascii="Times New Roman" w:hAnsi="Times New Roman" w:cs="Times New Roman"/>
          <w:i/>
          <w:color w:val="000000" w:themeColor="text1"/>
          <w:lang w:val="en-US"/>
        </w:rPr>
        <w:t>ren</w:t>
      </w:r>
      <w:r w:rsidRPr="00000326">
        <w:rPr>
          <w:rFonts w:ascii="Times New Roman" w:hAnsi="Times New Roman" w:cs="Times New Roman"/>
          <w:i/>
          <w:color w:val="000000" w:themeColor="text1"/>
          <w:vertAlign w:val="superscript"/>
          <w:lang w:val="en-US"/>
        </w:rPr>
        <w:footnoteReference w:id="8"/>
      </w:r>
      <w:r>
        <w:rPr>
          <w:rFonts w:ascii="Times New Roman" w:hAnsi="Times New Roman" w:cs="Times New Roman"/>
          <w:i/>
          <w:color w:val="000000" w:themeColor="text1"/>
          <w:lang w:val="en-US"/>
        </w:rPr>
        <w:t xml:space="preserve">, </w:t>
      </w:r>
      <w:r>
        <w:rPr>
          <w:rFonts w:ascii="Times New Roman" w:hAnsi="Times New Roman" w:cs="Times New Roman"/>
          <w:b/>
          <w:i/>
          <w:color w:val="2F5496" w:themeColor="accent1" w:themeShade="BF"/>
          <w:lang w:val="en-US"/>
        </w:rPr>
        <w:t>nationals and</w:t>
      </w:r>
      <w:r w:rsidRPr="00000326">
        <w:rPr>
          <w:rFonts w:ascii="Times New Roman" w:hAnsi="Times New Roman" w:cs="Times New Roman"/>
          <w:b/>
          <w:i/>
          <w:color w:val="2F5496" w:themeColor="accent1" w:themeShade="BF"/>
          <w:lang w:val="en-US"/>
        </w:rPr>
        <w:t xml:space="preserve"> foreign nationals,</w:t>
      </w:r>
      <w:r w:rsidRPr="00000326">
        <w:rPr>
          <w:rFonts w:ascii="Times New Roman" w:hAnsi="Times New Roman" w:cs="Times New Roman"/>
          <w:b/>
          <w:i/>
          <w:color w:val="2F5496" w:themeColor="accent1" w:themeShade="BF"/>
          <w:vertAlign w:val="superscript"/>
          <w:lang w:val="en-US"/>
        </w:rPr>
        <w:footnoteReference w:id="9"/>
      </w:r>
      <w:r w:rsidRPr="00000326">
        <w:rPr>
          <w:rFonts w:ascii="Times New Roman" w:hAnsi="Times New Roman" w:cs="Times New Roman"/>
          <w:b/>
          <w:i/>
          <w:color w:val="2F5496" w:themeColor="accent1" w:themeShade="BF"/>
          <w:lang w:val="en-US"/>
        </w:rPr>
        <w:t xml:space="preserve"> migrant workers,</w:t>
      </w:r>
      <w:r w:rsidRPr="00E5348B">
        <w:rPr>
          <w:rFonts w:ascii="Times New Roman" w:hAnsi="Times New Roman" w:cs="Times New Roman"/>
          <w:b/>
          <w:i/>
          <w:color w:val="2F5496" w:themeColor="accent1" w:themeShade="BF"/>
          <w:vertAlign w:val="superscript"/>
          <w:lang w:val="en-US"/>
        </w:rPr>
        <w:footnoteReference w:id="10"/>
      </w:r>
      <w:r w:rsidRPr="00000326">
        <w:rPr>
          <w:rFonts w:ascii="Times New Roman" w:hAnsi="Times New Roman" w:cs="Times New Roman"/>
          <w:b/>
          <w:i/>
          <w:color w:val="2F5496" w:themeColor="accent1" w:themeShade="BF"/>
          <w:lang w:val="en-US"/>
        </w:rPr>
        <w:t xml:space="preserve"> asylum seekers and refugees,</w:t>
      </w:r>
      <w:r w:rsidRPr="00E5348B">
        <w:rPr>
          <w:rFonts w:ascii="Times New Roman" w:hAnsi="Times New Roman" w:cs="Times New Roman"/>
          <w:b/>
          <w:i/>
          <w:color w:val="2F5496" w:themeColor="accent1" w:themeShade="BF"/>
          <w:vertAlign w:val="superscript"/>
          <w:lang w:val="en-US"/>
        </w:rPr>
        <w:footnoteReference w:id="11"/>
      </w:r>
      <w:r w:rsidRPr="00000326">
        <w:rPr>
          <w:rFonts w:ascii="Times New Roman" w:hAnsi="Times New Roman" w:cs="Times New Roman"/>
          <w:b/>
          <w:i/>
          <w:color w:val="2F5496" w:themeColor="accent1" w:themeShade="BF"/>
          <w:lang w:val="en-US"/>
        </w:rPr>
        <w:t xml:space="preserve"> stateless persons and undocumented migrants.</w:t>
      </w:r>
    </w:p>
    <w:p w14:paraId="7DFE6D38" w14:textId="77777777" w:rsidR="00D16C1A" w:rsidRDefault="00D16C1A" w:rsidP="00D16C1A">
      <w:pPr>
        <w:spacing w:after="120"/>
        <w:ind w:right="1134"/>
        <w:jc w:val="both"/>
        <w:rPr>
          <w:rFonts w:ascii="Times New Roman" w:hAnsi="Times New Roman" w:cs="Times New Roman"/>
          <w:b/>
          <w:i/>
          <w:color w:val="2F5496" w:themeColor="accent1" w:themeShade="BF"/>
          <w:lang w:val="en-US"/>
        </w:rPr>
      </w:pPr>
    </w:p>
    <w:p w14:paraId="4F1660E4" w14:textId="343B7AAC" w:rsidR="005861F0" w:rsidRPr="005861F0" w:rsidRDefault="005861F0" w:rsidP="00E14BA5">
      <w:pPr>
        <w:pStyle w:val="ListParagraph"/>
        <w:numPr>
          <w:ilvl w:val="0"/>
          <w:numId w:val="11"/>
        </w:numPr>
        <w:spacing w:after="120"/>
        <w:jc w:val="both"/>
        <w:rPr>
          <w:rFonts w:ascii="Times New Roman" w:hAnsi="Times New Roman" w:cs="Times New Roman"/>
          <w:b/>
          <w:i/>
          <w:lang w:val="en-GB"/>
        </w:rPr>
      </w:pPr>
      <w:r w:rsidRPr="005861F0">
        <w:rPr>
          <w:rFonts w:ascii="Times New Roman" w:hAnsi="Times New Roman" w:cs="Times New Roman"/>
          <w:b/>
          <w:lang w:val="en-US"/>
        </w:rPr>
        <w:t xml:space="preserve">The Special Rapporteur offers the following suggestions to </w:t>
      </w:r>
      <w:r>
        <w:rPr>
          <w:rFonts w:ascii="Times New Roman" w:hAnsi="Times New Roman" w:cs="Times New Roman"/>
          <w:b/>
          <w:lang w:val="en-US"/>
        </w:rPr>
        <w:t>paragraph 6</w:t>
      </w:r>
      <w:r w:rsidRPr="005861F0">
        <w:rPr>
          <w:rFonts w:ascii="Times New Roman" w:hAnsi="Times New Roman" w:cs="Times New Roman"/>
          <w:b/>
          <w:lang w:val="en-US"/>
        </w:rPr>
        <w:t xml:space="preserve"> of the revised draft:  </w:t>
      </w:r>
    </w:p>
    <w:p w14:paraId="18351BAE" w14:textId="68DDE8BB" w:rsidR="00D16C1A" w:rsidRPr="00166877" w:rsidRDefault="00D16C1A" w:rsidP="005861F0">
      <w:pPr>
        <w:pStyle w:val="ListParagraph"/>
        <w:spacing w:after="120"/>
        <w:ind w:left="360" w:right="1134"/>
        <w:jc w:val="both"/>
        <w:rPr>
          <w:rFonts w:ascii="Times New Roman" w:hAnsi="Times New Roman" w:cs="Times New Roman"/>
          <w:b/>
          <w:color w:val="000000" w:themeColor="text1"/>
          <w:lang w:val="en-US"/>
        </w:rPr>
      </w:pPr>
    </w:p>
    <w:p w14:paraId="1C4B87F5" w14:textId="77777777" w:rsidR="00D16C1A" w:rsidRDefault="00D16C1A" w:rsidP="00D16C1A">
      <w:pPr>
        <w:pStyle w:val="ListParagraph"/>
        <w:spacing w:after="120"/>
        <w:ind w:left="360" w:right="1134"/>
        <w:jc w:val="both"/>
        <w:rPr>
          <w:rFonts w:ascii="Times New Roman" w:hAnsi="Times New Roman" w:cs="Times New Roman"/>
          <w:b/>
          <w:i/>
          <w:color w:val="2F5496" w:themeColor="accent1" w:themeShade="BF"/>
          <w:lang w:val="en-US"/>
        </w:rPr>
      </w:pPr>
    </w:p>
    <w:p w14:paraId="1C4D6E7D" w14:textId="018D8D6B" w:rsidR="00D16C1A" w:rsidRPr="00D16C1A" w:rsidRDefault="00D16C1A" w:rsidP="003D62A7">
      <w:pPr>
        <w:pStyle w:val="ListParagraph"/>
        <w:spacing w:after="120"/>
        <w:ind w:left="1134" w:right="1134"/>
        <w:jc w:val="both"/>
        <w:rPr>
          <w:rFonts w:ascii="Times New Roman" w:hAnsi="Times New Roman" w:cs="Times New Roman"/>
          <w:i/>
          <w:color w:val="000000" w:themeColor="text1"/>
          <w:lang w:val="en-US"/>
        </w:rPr>
      </w:pPr>
      <w:r w:rsidRPr="00D16C1A">
        <w:rPr>
          <w:rFonts w:ascii="Times New Roman" w:hAnsi="Times New Roman" w:cs="Times New Roman"/>
          <w:i/>
          <w:color w:val="000000" w:themeColor="text1"/>
          <w:lang w:val="en-US"/>
        </w:rPr>
        <w:t xml:space="preserve">Peaceful assemblies may take many forms, including demonstrations, </w:t>
      </w:r>
      <w:r w:rsidRPr="00D16C1A">
        <w:rPr>
          <w:rFonts w:ascii="Times New Roman" w:hAnsi="Times New Roman" w:cs="Times New Roman"/>
          <w:b/>
          <w:i/>
          <w:color w:val="2F5496" w:themeColor="accent1" w:themeShade="BF"/>
          <w:lang w:val="en-US"/>
        </w:rPr>
        <w:t>inside</w:t>
      </w:r>
      <w:r>
        <w:rPr>
          <w:rFonts w:ascii="Times New Roman" w:hAnsi="Times New Roman" w:cs="Times New Roman"/>
          <w:i/>
          <w:color w:val="000000" w:themeColor="text1"/>
          <w:lang w:val="en-US"/>
        </w:rPr>
        <w:t xml:space="preserve"> </w:t>
      </w:r>
      <w:r w:rsidRPr="00D16C1A">
        <w:rPr>
          <w:rFonts w:ascii="Times New Roman" w:hAnsi="Times New Roman" w:cs="Times New Roman"/>
          <w:i/>
          <w:color w:val="000000" w:themeColor="text1"/>
          <w:lang w:val="en-US"/>
        </w:rPr>
        <w:t>meetings, process</w:t>
      </w:r>
      <w:r>
        <w:rPr>
          <w:rFonts w:ascii="Times New Roman" w:hAnsi="Times New Roman" w:cs="Times New Roman"/>
          <w:i/>
          <w:color w:val="000000" w:themeColor="text1"/>
          <w:lang w:val="en-US"/>
        </w:rPr>
        <w:t xml:space="preserve">ions, strikes, rallies, sit-ins, </w:t>
      </w:r>
      <w:r w:rsidRPr="00D16C1A">
        <w:rPr>
          <w:rFonts w:ascii="Times New Roman" w:hAnsi="Times New Roman" w:cs="Times New Roman"/>
          <w:i/>
          <w:color w:val="000000" w:themeColor="text1"/>
          <w:lang w:val="en-US"/>
        </w:rPr>
        <w:t>flash-mobs</w:t>
      </w:r>
      <w:r>
        <w:rPr>
          <w:rFonts w:ascii="Times New Roman" w:hAnsi="Times New Roman" w:cs="Times New Roman"/>
          <w:i/>
          <w:color w:val="000000" w:themeColor="text1"/>
          <w:lang w:val="en-US"/>
        </w:rPr>
        <w:t xml:space="preserve"> </w:t>
      </w:r>
      <w:r w:rsidRPr="00D16C1A">
        <w:rPr>
          <w:rFonts w:ascii="Times New Roman" w:hAnsi="Times New Roman" w:cs="Times New Roman"/>
          <w:b/>
          <w:i/>
          <w:color w:val="2F5496" w:themeColor="accent1" w:themeShade="BF"/>
          <w:lang w:val="en-US"/>
        </w:rPr>
        <w:t>and online protests</w:t>
      </w:r>
      <w:r w:rsidRPr="00D16C1A">
        <w:rPr>
          <w:rFonts w:ascii="Times New Roman" w:hAnsi="Times New Roman" w:cs="Times New Roman"/>
          <w:i/>
          <w:color w:val="000000" w:themeColor="text1"/>
          <w:lang w:val="en-US"/>
        </w:rPr>
        <w:t>.</w:t>
      </w:r>
      <w:r w:rsidRPr="00D16C1A">
        <w:rPr>
          <w:rFonts w:ascii="Times New Roman" w:hAnsi="Times New Roman" w:cs="Times New Roman"/>
          <w:i/>
          <w:color w:val="000000" w:themeColor="text1"/>
          <w:vertAlign w:val="superscript"/>
          <w:lang w:val="en-US"/>
        </w:rPr>
        <w:footnoteReference w:id="12"/>
      </w:r>
      <w:r w:rsidRPr="00D16C1A">
        <w:rPr>
          <w:rFonts w:ascii="Times New Roman" w:hAnsi="Times New Roman" w:cs="Times New Roman"/>
          <w:i/>
          <w:color w:val="000000" w:themeColor="text1"/>
          <w:lang w:val="en-US"/>
        </w:rPr>
        <w:t xml:space="preserve"> Such gatherings are protected under article 21 whether they are stationary, such as pickets, or mobile, such as processions or marches. They may take place outdoors or indoors.</w:t>
      </w:r>
    </w:p>
    <w:p w14:paraId="7F3D1691" w14:textId="77777777" w:rsidR="00D16C1A" w:rsidRPr="00D16C1A" w:rsidRDefault="00D16C1A" w:rsidP="00D16C1A">
      <w:pPr>
        <w:pStyle w:val="ListParagraph"/>
        <w:spacing w:after="120"/>
        <w:ind w:left="360" w:right="1134"/>
        <w:jc w:val="both"/>
        <w:rPr>
          <w:rFonts w:ascii="Times New Roman" w:hAnsi="Times New Roman" w:cs="Times New Roman"/>
          <w:b/>
          <w:i/>
          <w:color w:val="2F5496" w:themeColor="accent1" w:themeShade="BF"/>
          <w:lang w:val="en-US"/>
        </w:rPr>
      </w:pPr>
    </w:p>
    <w:p w14:paraId="6905BB63" w14:textId="77C828D9" w:rsidR="00542211" w:rsidRPr="00542211" w:rsidRDefault="00542211" w:rsidP="00E14BA5">
      <w:pPr>
        <w:pStyle w:val="ListParagraph"/>
        <w:numPr>
          <w:ilvl w:val="0"/>
          <w:numId w:val="11"/>
        </w:numPr>
        <w:spacing w:after="120"/>
        <w:jc w:val="both"/>
        <w:rPr>
          <w:rFonts w:ascii="Times New Roman" w:hAnsi="Times New Roman" w:cs="Times New Roman"/>
          <w:color w:val="000000" w:themeColor="text1"/>
          <w:lang w:val="en-US"/>
        </w:rPr>
      </w:pPr>
      <w:r w:rsidRPr="00542211">
        <w:rPr>
          <w:rFonts w:ascii="Times New Roman" w:hAnsi="Times New Roman" w:cs="Times New Roman"/>
          <w:color w:val="000000" w:themeColor="text1"/>
          <w:lang w:val="en-US"/>
        </w:rPr>
        <w:t xml:space="preserve">The Special Rapporteur </w:t>
      </w:r>
      <w:r w:rsidR="00166877">
        <w:rPr>
          <w:rFonts w:ascii="Times New Roman" w:hAnsi="Times New Roman" w:cs="Times New Roman"/>
          <w:color w:val="000000" w:themeColor="text1"/>
          <w:lang w:val="en-US"/>
        </w:rPr>
        <w:t>acknowledges</w:t>
      </w:r>
      <w:r w:rsidR="00E7239C">
        <w:rPr>
          <w:rFonts w:ascii="Times New Roman" w:hAnsi="Times New Roman" w:cs="Times New Roman"/>
          <w:color w:val="000000" w:themeColor="text1"/>
          <w:lang w:val="en-US"/>
        </w:rPr>
        <w:t xml:space="preserve"> the importance of recognizing that also those assemblies that may create security or other </w:t>
      </w:r>
      <w:r w:rsidR="00C13F55">
        <w:rPr>
          <w:rFonts w:ascii="Times New Roman" w:hAnsi="Times New Roman" w:cs="Times New Roman"/>
          <w:color w:val="000000" w:themeColor="text1"/>
          <w:lang w:val="en-US"/>
        </w:rPr>
        <w:t>risks should be protected</w:t>
      </w:r>
      <w:r w:rsidR="00D47A52">
        <w:rPr>
          <w:rFonts w:ascii="Times New Roman" w:hAnsi="Times New Roman" w:cs="Times New Roman"/>
          <w:color w:val="000000" w:themeColor="text1"/>
          <w:lang w:val="en-US"/>
        </w:rPr>
        <w:t>;</w:t>
      </w:r>
      <w:r w:rsidR="00361833">
        <w:rPr>
          <w:rFonts w:ascii="Times New Roman" w:hAnsi="Times New Roman" w:cs="Times New Roman"/>
          <w:color w:val="000000" w:themeColor="text1"/>
          <w:lang w:val="en-US"/>
        </w:rPr>
        <w:t xml:space="preserve"> but suggests a clearer language to avoid abuse. </w:t>
      </w:r>
      <w:r w:rsidR="00D47A52">
        <w:rPr>
          <w:rFonts w:ascii="Times New Roman" w:hAnsi="Times New Roman" w:cs="Times New Roman"/>
          <w:color w:val="000000" w:themeColor="text1"/>
          <w:lang w:val="en-US"/>
        </w:rPr>
        <w:t xml:space="preserve">Alternatively </w:t>
      </w:r>
      <w:r w:rsidR="00D47A52">
        <w:rPr>
          <w:rFonts w:ascii="Times New Roman" w:hAnsi="Times New Roman" w:cs="Times New Roman"/>
          <w:b/>
          <w:color w:val="000000" w:themeColor="text1"/>
          <w:lang w:val="en-US"/>
        </w:rPr>
        <w:t>p</w:t>
      </w:r>
      <w:r w:rsidR="00361833" w:rsidRPr="00917D68">
        <w:rPr>
          <w:rFonts w:ascii="Times New Roman" w:hAnsi="Times New Roman" w:cs="Times New Roman"/>
          <w:b/>
          <w:color w:val="000000" w:themeColor="text1"/>
          <w:lang w:val="en-US"/>
        </w:rPr>
        <w:t>aragraph 7 could read as follows:</w:t>
      </w:r>
    </w:p>
    <w:p w14:paraId="456537C7" w14:textId="6353030D" w:rsidR="00542211" w:rsidRPr="00542211" w:rsidRDefault="00542211" w:rsidP="00542211">
      <w:pPr>
        <w:spacing w:after="120"/>
        <w:ind w:left="1134" w:right="1134"/>
        <w:jc w:val="both"/>
        <w:rPr>
          <w:rFonts w:ascii="Times New Roman" w:hAnsi="Times New Roman" w:cs="Times New Roman"/>
          <w:i/>
          <w:color w:val="000000" w:themeColor="text1"/>
          <w:lang w:val="en-US"/>
        </w:rPr>
      </w:pPr>
      <w:r w:rsidRPr="00542211">
        <w:rPr>
          <w:rFonts w:ascii="Times New Roman" w:hAnsi="Times New Roman" w:cs="Times New Roman"/>
          <w:i/>
          <w:color w:val="000000" w:themeColor="text1"/>
          <w:lang w:val="en-US"/>
        </w:rPr>
        <w:t xml:space="preserve">In many cases, peaceful assemblies do not pursue controversial ideas or goals and cause little or no disruption. The aim might indeed be, for example, to commemorate a national day or celebrate the outcome of a sporting event. However, peaceful assemblies are used to pursue ideas or goals that are </w:t>
      </w:r>
      <w:r w:rsidRPr="00542211">
        <w:rPr>
          <w:rFonts w:ascii="Times New Roman" w:hAnsi="Times New Roman" w:cs="Times New Roman"/>
          <w:b/>
          <w:i/>
          <w:color w:val="2F5496" w:themeColor="accent1" w:themeShade="BF"/>
          <w:lang w:val="en-US"/>
        </w:rPr>
        <w:t>can be</w:t>
      </w:r>
      <w:r w:rsidRPr="00542211">
        <w:rPr>
          <w:rFonts w:ascii="Times New Roman" w:hAnsi="Times New Roman" w:cs="Times New Roman"/>
          <w:i/>
          <w:color w:val="000000" w:themeColor="text1"/>
          <w:lang w:val="en-US"/>
        </w:rPr>
        <w:t xml:space="preserve"> contentious, and their scale or nature can cause disruption, for example of vehicular or pedestrian movement or economic activity. </w:t>
      </w:r>
      <w:r w:rsidRPr="00542211">
        <w:rPr>
          <w:rFonts w:ascii="Times New Roman" w:hAnsi="Times New Roman" w:cs="Times New Roman"/>
          <w:b/>
          <w:i/>
          <w:color w:val="2F5496" w:themeColor="accent1" w:themeShade="BF"/>
          <w:lang w:val="en-US"/>
        </w:rPr>
        <w:t>The scope of article 21 embraces these types of assemblies even when they c</w:t>
      </w:r>
      <w:r w:rsidR="00D47A52">
        <w:rPr>
          <w:rFonts w:ascii="Times New Roman" w:hAnsi="Times New Roman" w:cs="Times New Roman"/>
          <w:b/>
          <w:i/>
          <w:color w:val="2F5496" w:themeColor="accent1" w:themeShade="BF"/>
          <w:lang w:val="en-US"/>
        </w:rPr>
        <w:t>ause disruption or</w:t>
      </w:r>
      <w:r w:rsidRPr="00542211">
        <w:rPr>
          <w:rFonts w:ascii="Times New Roman" w:hAnsi="Times New Roman" w:cs="Times New Roman"/>
          <w:b/>
          <w:i/>
          <w:color w:val="2F5496" w:themeColor="accent1" w:themeShade="BF"/>
          <w:lang w:val="en-US"/>
        </w:rPr>
        <w:t xml:space="preserve"> disagreement. To the extent that assemblies may create risks, they may be restricted in accordance with the framework provided for in article 21.</w:t>
      </w:r>
      <w:r>
        <w:rPr>
          <w:rFonts w:ascii="Times New Roman" w:hAnsi="Times New Roman" w:cs="Times New Roman"/>
          <w:i/>
          <w:color w:val="000000" w:themeColor="text1"/>
          <w:lang w:val="en-US"/>
        </w:rPr>
        <w:t xml:space="preserve"> </w:t>
      </w:r>
    </w:p>
    <w:p w14:paraId="374978F5" w14:textId="77777777" w:rsidR="00000326" w:rsidRPr="00000326" w:rsidRDefault="00000326" w:rsidP="00000326">
      <w:pPr>
        <w:pStyle w:val="ListParagraph"/>
        <w:ind w:left="360"/>
        <w:jc w:val="both"/>
        <w:rPr>
          <w:rFonts w:ascii="Times New Roman" w:hAnsi="Times New Roman" w:cs="Times New Roman"/>
          <w:lang w:val="en-US"/>
        </w:rPr>
      </w:pPr>
    </w:p>
    <w:p w14:paraId="5BADA90F" w14:textId="5C591F90" w:rsidR="009B7CB8" w:rsidRPr="00917D68" w:rsidRDefault="00C13F55" w:rsidP="00E14BA5">
      <w:pPr>
        <w:pStyle w:val="ListParagraph"/>
        <w:numPr>
          <w:ilvl w:val="0"/>
          <w:numId w:val="11"/>
        </w:numPr>
        <w:jc w:val="both"/>
        <w:rPr>
          <w:rFonts w:ascii="Times New Roman" w:hAnsi="Times New Roman" w:cs="Times New Roman"/>
          <w:b/>
          <w:color w:val="000000" w:themeColor="text1"/>
          <w:lang w:val="en-US"/>
        </w:rPr>
      </w:pPr>
      <w:r w:rsidRPr="00917D68">
        <w:rPr>
          <w:rFonts w:ascii="Times New Roman" w:hAnsi="Times New Roman" w:cs="Times New Roman"/>
          <w:b/>
          <w:color w:val="000000" w:themeColor="text1"/>
          <w:lang w:val="en-US"/>
        </w:rPr>
        <w:lastRenderedPageBreak/>
        <w:t>The Special Rapporteur suggest the following changes to paragraph 8:</w:t>
      </w:r>
    </w:p>
    <w:p w14:paraId="336A413F" w14:textId="77777777" w:rsidR="00C13F55" w:rsidRDefault="00C13F55" w:rsidP="00C13F55">
      <w:pPr>
        <w:pStyle w:val="ListParagraph"/>
        <w:ind w:left="360"/>
        <w:jc w:val="both"/>
        <w:rPr>
          <w:rFonts w:ascii="Times New Roman" w:hAnsi="Times New Roman" w:cs="Times New Roman"/>
          <w:color w:val="000000" w:themeColor="text1"/>
          <w:lang w:val="en-US"/>
        </w:rPr>
      </w:pPr>
    </w:p>
    <w:p w14:paraId="7ADBC673" w14:textId="100AC0B8" w:rsidR="00C13F55" w:rsidRDefault="00C13F55" w:rsidP="00C13F55">
      <w:pPr>
        <w:pStyle w:val="ListParagraph"/>
        <w:spacing w:after="120"/>
        <w:ind w:left="1134" w:right="1134"/>
        <w:jc w:val="both"/>
        <w:rPr>
          <w:rFonts w:ascii="Times New Roman" w:hAnsi="Times New Roman" w:cs="Times New Roman"/>
          <w:i/>
          <w:color w:val="000000" w:themeColor="text1"/>
          <w:lang w:val="en-US"/>
        </w:rPr>
      </w:pPr>
      <w:r w:rsidRPr="00C13F55">
        <w:rPr>
          <w:rFonts w:ascii="Times New Roman" w:hAnsi="Times New Roman" w:cs="Times New Roman"/>
          <w:i/>
          <w:color w:val="000000" w:themeColor="text1"/>
          <w:lang w:val="en-US"/>
        </w:rPr>
        <w:t>The recognition of the right of peaceful assembly imposes a corresponding obligation on States parties to respect and ensure the exercise of the right.</w:t>
      </w:r>
      <w:r w:rsidRPr="00C13F55">
        <w:rPr>
          <w:rFonts w:ascii="Times New Roman" w:hAnsi="Times New Roman" w:cs="Times New Roman"/>
          <w:i/>
          <w:color w:val="000000" w:themeColor="text1"/>
          <w:vertAlign w:val="superscript"/>
          <w:lang w:val="en-US"/>
        </w:rPr>
        <w:footnoteReference w:id="13"/>
      </w:r>
      <w:r w:rsidRPr="00C13F55">
        <w:rPr>
          <w:rFonts w:ascii="Times New Roman" w:hAnsi="Times New Roman" w:cs="Times New Roman"/>
          <w:i/>
          <w:color w:val="000000" w:themeColor="text1"/>
          <w:vertAlign w:val="superscript"/>
          <w:lang w:val="en-US"/>
        </w:rPr>
        <w:t xml:space="preserve"> </w:t>
      </w:r>
      <w:r w:rsidRPr="00C13F55">
        <w:rPr>
          <w:rFonts w:ascii="Times New Roman" w:hAnsi="Times New Roman" w:cs="Times New Roman"/>
          <w:i/>
          <w:color w:val="000000" w:themeColor="text1"/>
          <w:lang w:val="en-US"/>
        </w:rPr>
        <w:t xml:space="preserve">This requires States to allow such assemblies to take place with no unwarranted interference and, whenever it is needed, to facilitate the exercise of the right and to protect the participants. The right of peaceful assembly </w:t>
      </w:r>
      <w:r w:rsidRPr="00C13F55">
        <w:rPr>
          <w:rFonts w:ascii="Times New Roman" w:hAnsi="Times New Roman" w:cs="Times New Roman"/>
          <w:b/>
          <w:i/>
          <w:strike/>
          <w:color w:val="2F5496" w:themeColor="accent1" w:themeShade="BF"/>
          <w:lang w:val="en-US"/>
        </w:rPr>
        <w:t>is not absolute</w:t>
      </w:r>
      <w:r>
        <w:rPr>
          <w:rFonts w:ascii="Times New Roman" w:hAnsi="Times New Roman" w:cs="Times New Roman"/>
          <w:b/>
          <w:i/>
          <w:strike/>
          <w:color w:val="2F5496" w:themeColor="accent1" w:themeShade="BF"/>
          <w:lang w:val="en-US"/>
        </w:rPr>
        <w:t xml:space="preserve"> </w:t>
      </w:r>
      <w:r>
        <w:rPr>
          <w:rFonts w:ascii="Times New Roman" w:hAnsi="Times New Roman" w:cs="Times New Roman"/>
          <w:b/>
          <w:i/>
          <w:color w:val="2F5496" w:themeColor="accent1" w:themeShade="BF"/>
          <w:lang w:val="en-US"/>
        </w:rPr>
        <w:t>may be subject to</w:t>
      </w:r>
      <w:r w:rsidRPr="00C13F55">
        <w:rPr>
          <w:rFonts w:ascii="Times New Roman" w:hAnsi="Times New Roman" w:cs="Times New Roman"/>
          <w:i/>
          <w:color w:val="000000" w:themeColor="text1"/>
          <w:lang w:val="en-US"/>
        </w:rPr>
        <w:t xml:space="preserve"> </w:t>
      </w:r>
      <w:r w:rsidRPr="00C13F55">
        <w:rPr>
          <w:rFonts w:ascii="Times New Roman" w:hAnsi="Times New Roman" w:cs="Times New Roman"/>
          <w:b/>
          <w:i/>
          <w:strike/>
          <w:color w:val="2F5496" w:themeColor="accent1" w:themeShade="BF"/>
          <w:lang w:val="en-US"/>
        </w:rPr>
        <w:t>but any</w:t>
      </w:r>
      <w:r w:rsidRPr="00C13F55">
        <w:rPr>
          <w:rFonts w:ascii="Times New Roman" w:hAnsi="Times New Roman" w:cs="Times New Roman"/>
          <w:i/>
          <w:color w:val="2F5496" w:themeColor="accent1" w:themeShade="BF"/>
          <w:lang w:val="en-US"/>
        </w:rPr>
        <w:t xml:space="preserve"> </w:t>
      </w:r>
      <w:r w:rsidRPr="00C13F55">
        <w:rPr>
          <w:rFonts w:ascii="Times New Roman" w:hAnsi="Times New Roman" w:cs="Times New Roman"/>
          <w:i/>
          <w:color w:val="000000" w:themeColor="text1"/>
          <w:lang w:val="en-US"/>
        </w:rPr>
        <w:t>restrictions</w:t>
      </w:r>
      <w:r>
        <w:rPr>
          <w:rFonts w:ascii="Times New Roman" w:hAnsi="Times New Roman" w:cs="Times New Roman"/>
          <w:i/>
          <w:color w:val="000000" w:themeColor="text1"/>
          <w:lang w:val="en-US"/>
        </w:rPr>
        <w:t xml:space="preserve">, </w:t>
      </w:r>
      <w:r w:rsidRPr="00C13F55">
        <w:rPr>
          <w:rFonts w:ascii="Times New Roman" w:hAnsi="Times New Roman" w:cs="Times New Roman"/>
          <w:b/>
          <w:i/>
          <w:color w:val="2F5496" w:themeColor="accent1" w:themeShade="BF"/>
          <w:lang w:val="en-US"/>
        </w:rPr>
        <w:t>which</w:t>
      </w:r>
      <w:r w:rsidRPr="00C13F55">
        <w:rPr>
          <w:rFonts w:ascii="Times New Roman" w:hAnsi="Times New Roman" w:cs="Times New Roman"/>
          <w:i/>
          <w:color w:val="2F5496" w:themeColor="accent1" w:themeShade="BF"/>
          <w:lang w:val="en-US"/>
        </w:rPr>
        <w:t xml:space="preserve"> </w:t>
      </w:r>
      <w:r w:rsidRPr="00C13F55">
        <w:rPr>
          <w:rFonts w:ascii="Times New Roman" w:hAnsi="Times New Roman" w:cs="Times New Roman"/>
          <w:i/>
          <w:color w:val="000000" w:themeColor="text1"/>
          <w:lang w:val="en-US"/>
        </w:rPr>
        <w:t>must be narrowly drawn. There are, in effect, limitations on the limitations that may be imposed.</w:t>
      </w:r>
    </w:p>
    <w:p w14:paraId="45AB4BEC" w14:textId="77777777" w:rsidR="00C7256F" w:rsidRDefault="00C7256F" w:rsidP="00C7256F">
      <w:pPr>
        <w:pStyle w:val="ListParagraph"/>
        <w:spacing w:after="120"/>
        <w:ind w:left="0"/>
        <w:jc w:val="both"/>
        <w:rPr>
          <w:rFonts w:ascii="Times New Roman" w:hAnsi="Times New Roman" w:cs="Times New Roman"/>
          <w:color w:val="000000" w:themeColor="text1"/>
          <w:lang w:val="en-US"/>
        </w:rPr>
      </w:pPr>
    </w:p>
    <w:p w14:paraId="6D71E6AC" w14:textId="3A978E59" w:rsidR="00C7256F" w:rsidRDefault="00B86AEC" w:rsidP="00E14BA5">
      <w:pPr>
        <w:pStyle w:val="ListParagraph"/>
        <w:numPr>
          <w:ilvl w:val="0"/>
          <w:numId w:val="11"/>
        </w:numPr>
        <w:spacing w:after="12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The principle of dynamic (or evolutive) interpretation in the context of treaty </w:t>
      </w:r>
      <w:r w:rsidR="004C6F0A">
        <w:rPr>
          <w:rFonts w:ascii="Times New Roman" w:hAnsi="Times New Roman" w:cs="Times New Roman"/>
          <w:color w:val="000000" w:themeColor="text1"/>
          <w:lang w:val="en-US"/>
        </w:rPr>
        <w:t xml:space="preserve">interpretation aims to ensure the effective application and implementation of </w:t>
      </w:r>
      <w:r w:rsidR="00163D3F">
        <w:rPr>
          <w:rFonts w:ascii="Times New Roman" w:hAnsi="Times New Roman" w:cs="Times New Roman"/>
          <w:color w:val="000000" w:themeColor="text1"/>
          <w:lang w:val="en-US"/>
        </w:rPr>
        <w:t xml:space="preserve">treaties. Assuming that </w:t>
      </w:r>
      <w:r w:rsidR="00163D3F" w:rsidRPr="006E6702">
        <w:rPr>
          <w:rFonts w:ascii="Times New Roman" w:hAnsi="Times New Roman" w:cs="Times New Roman"/>
          <w:b/>
          <w:color w:val="000000" w:themeColor="text1"/>
          <w:lang w:val="en-US"/>
        </w:rPr>
        <w:t xml:space="preserve">paragraph 11 </w:t>
      </w:r>
      <w:r w:rsidR="00163D3F">
        <w:rPr>
          <w:rFonts w:ascii="Times New Roman" w:hAnsi="Times New Roman" w:cs="Times New Roman"/>
          <w:color w:val="000000" w:themeColor="text1"/>
          <w:lang w:val="en-US"/>
        </w:rPr>
        <w:t xml:space="preserve">of the revised draft refers to this, the Special Rapporteur considers that it must be further clarified. The current version of the revised draft infers that there are different approaches to the right to freedom of peaceful assembly, depending on the moment and on the context, which does not contribute to a practical and effective protection for human rights. At the same time, it is hard to understand </w:t>
      </w:r>
      <w:r w:rsidR="00D47A52">
        <w:rPr>
          <w:rFonts w:ascii="Times New Roman" w:hAnsi="Times New Roman" w:cs="Times New Roman"/>
          <w:color w:val="000000" w:themeColor="text1"/>
          <w:lang w:val="en-US"/>
        </w:rPr>
        <w:t xml:space="preserve">the reason </w:t>
      </w:r>
      <w:r w:rsidR="00163D3F">
        <w:rPr>
          <w:rFonts w:ascii="Times New Roman" w:hAnsi="Times New Roman" w:cs="Times New Roman"/>
          <w:color w:val="000000" w:themeColor="text1"/>
          <w:lang w:val="en-US"/>
        </w:rPr>
        <w:t xml:space="preserve">why </w:t>
      </w:r>
      <w:r w:rsidR="00D47A52">
        <w:rPr>
          <w:rFonts w:ascii="Times New Roman" w:hAnsi="Times New Roman" w:cs="Times New Roman"/>
          <w:color w:val="000000" w:themeColor="text1"/>
          <w:lang w:val="en-US"/>
        </w:rPr>
        <w:t>numerous</w:t>
      </w:r>
      <w:r w:rsidR="00163D3F">
        <w:rPr>
          <w:rFonts w:ascii="Times New Roman" w:hAnsi="Times New Roman" w:cs="Times New Roman"/>
          <w:color w:val="000000" w:themeColor="text1"/>
          <w:lang w:val="en-US"/>
        </w:rPr>
        <w:t xml:space="preserve"> examples</w:t>
      </w:r>
      <w:r w:rsidR="00D47A52">
        <w:rPr>
          <w:rFonts w:ascii="Times New Roman" w:hAnsi="Times New Roman" w:cs="Times New Roman"/>
          <w:color w:val="000000" w:themeColor="text1"/>
          <w:lang w:val="en-US"/>
        </w:rPr>
        <w:t xml:space="preserve"> are</w:t>
      </w:r>
      <w:r w:rsidR="00163D3F">
        <w:rPr>
          <w:rFonts w:ascii="Times New Roman" w:hAnsi="Times New Roman" w:cs="Times New Roman"/>
          <w:color w:val="000000" w:themeColor="text1"/>
          <w:lang w:val="en-US"/>
        </w:rPr>
        <w:t xml:space="preserve"> included in this paragraph, </w:t>
      </w:r>
      <w:r w:rsidR="00D47A52">
        <w:rPr>
          <w:rFonts w:ascii="Times New Roman" w:hAnsi="Times New Roman" w:cs="Times New Roman"/>
          <w:color w:val="000000" w:themeColor="text1"/>
          <w:lang w:val="en-US"/>
        </w:rPr>
        <w:t>all of</w:t>
      </w:r>
      <w:r w:rsidR="00163D3F">
        <w:rPr>
          <w:rFonts w:ascii="Times New Roman" w:hAnsi="Times New Roman" w:cs="Times New Roman"/>
          <w:color w:val="000000" w:themeColor="text1"/>
          <w:lang w:val="en-US"/>
        </w:rPr>
        <w:t xml:space="preserve"> very complex </w:t>
      </w:r>
      <w:r w:rsidR="00D47A52">
        <w:rPr>
          <w:rFonts w:ascii="Times New Roman" w:hAnsi="Times New Roman" w:cs="Times New Roman"/>
          <w:color w:val="000000" w:themeColor="text1"/>
          <w:lang w:val="en-US"/>
        </w:rPr>
        <w:t>nature</w:t>
      </w:r>
      <w:r w:rsidR="00163D3F">
        <w:rPr>
          <w:rFonts w:ascii="Times New Roman" w:hAnsi="Times New Roman" w:cs="Times New Roman"/>
          <w:color w:val="000000" w:themeColor="text1"/>
          <w:lang w:val="en-US"/>
        </w:rPr>
        <w:t xml:space="preserve"> without further </w:t>
      </w:r>
      <w:r w:rsidR="00917D68">
        <w:rPr>
          <w:rFonts w:ascii="Times New Roman" w:hAnsi="Times New Roman" w:cs="Times New Roman"/>
          <w:color w:val="000000" w:themeColor="text1"/>
          <w:lang w:val="en-US"/>
        </w:rPr>
        <w:t>developing</w:t>
      </w:r>
      <w:r w:rsidR="00163D3F">
        <w:rPr>
          <w:rFonts w:ascii="Times New Roman" w:hAnsi="Times New Roman" w:cs="Times New Roman"/>
          <w:color w:val="000000" w:themeColor="text1"/>
          <w:lang w:val="en-US"/>
        </w:rPr>
        <w:t xml:space="preserve">. </w:t>
      </w:r>
    </w:p>
    <w:p w14:paraId="4F9A64AB" w14:textId="77777777" w:rsidR="00163D3F" w:rsidRDefault="00163D3F" w:rsidP="00163D3F">
      <w:pPr>
        <w:pStyle w:val="ListParagraph"/>
        <w:spacing w:after="120"/>
        <w:ind w:left="360"/>
        <w:jc w:val="both"/>
        <w:rPr>
          <w:rFonts w:ascii="Times New Roman" w:hAnsi="Times New Roman" w:cs="Times New Roman"/>
          <w:color w:val="000000" w:themeColor="text1"/>
          <w:lang w:val="en-US"/>
        </w:rPr>
      </w:pPr>
    </w:p>
    <w:p w14:paraId="34237709" w14:textId="22F12B79" w:rsidR="00163D3F" w:rsidRPr="00917D68" w:rsidRDefault="00163D3F" w:rsidP="00E14BA5">
      <w:pPr>
        <w:pStyle w:val="ListParagraph"/>
        <w:numPr>
          <w:ilvl w:val="0"/>
          <w:numId w:val="11"/>
        </w:numPr>
        <w:spacing w:after="120"/>
        <w:jc w:val="both"/>
        <w:rPr>
          <w:rFonts w:ascii="Times New Roman" w:hAnsi="Times New Roman" w:cs="Times New Roman"/>
          <w:b/>
          <w:color w:val="000000" w:themeColor="text1"/>
          <w:lang w:val="en-US"/>
        </w:rPr>
      </w:pPr>
      <w:r w:rsidRPr="00917D68">
        <w:rPr>
          <w:rFonts w:ascii="Times New Roman" w:hAnsi="Times New Roman" w:cs="Times New Roman"/>
          <w:b/>
          <w:color w:val="000000" w:themeColor="text1"/>
          <w:lang w:val="en-US"/>
        </w:rPr>
        <w:t xml:space="preserve">The Special Rapporteur suggests </w:t>
      </w:r>
      <w:r w:rsidR="00237CE6" w:rsidRPr="00917D68">
        <w:rPr>
          <w:rFonts w:ascii="Times New Roman" w:hAnsi="Times New Roman" w:cs="Times New Roman"/>
          <w:b/>
          <w:color w:val="000000" w:themeColor="text1"/>
          <w:lang w:val="en-US"/>
        </w:rPr>
        <w:t xml:space="preserve">to simplify paragraph 11 as this would in return result in more protection for right holders. It should read as follows: </w:t>
      </w:r>
    </w:p>
    <w:p w14:paraId="191D8C0A" w14:textId="77777777" w:rsidR="00237CE6" w:rsidRPr="00237CE6" w:rsidRDefault="00237CE6" w:rsidP="00237CE6">
      <w:pPr>
        <w:spacing w:after="120"/>
        <w:jc w:val="both"/>
        <w:rPr>
          <w:rFonts w:ascii="Times New Roman" w:hAnsi="Times New Roman" w:cs="Times New Roman"/>
          <w:color w:val="000000" w:themeColor="text1"/>
          <w:lang w:val="en-US"/>
        </w:rPr>
      </w:pPr>
    </w:p>
    <w:p w14:paraId="55A7FA51" w14:textId="5504AFD8" w:rsidR="001E7B00" w:rsidRDefault="00237CE6" w:rsidP="001E7B00">
      <w:pPr>
        <w:pStyle w:val="ListParagraph"/>
        <w:spacing w:after="120"/>
        <w:ind w:left="1134" w:right="1134"/>
        <w:jc w:val="both"/>
        <w:rPr>
          <w:rFonts w:ascii="Times New Roman" w:hAnsi="Times New Roman" w:cs="Times New Roman"/>
          <w:b/>
          <w:i/>
          <w:color w:val="2F5496" w:themeColor="accent1" w:themeShade="BF"/>
          <w:lang w:val="en-US"/>
        </w:rPr>
      </w:pPr>
      <w:r w:rsidRPr="001E7B00">
        <w:rPr>
          <w:rFonts w:ascii="Times New Roman" w:hAnsi="Times New Roman" w:cs="Times New Roman"/>
          <w:b/>
          <w:i/>
          <w:color w:val="2F5496" w:themeColor="accent1" w:themeShade="BF"/>
          <w:lang w:val="en-US"/>
        </w:rPr>
        <w:lastRenderedPageBreak/>
        <w:t>The scope</w:t>
      </w:r>
      <w:r w:rsidR="001E7B00" w:rsidRPr="001E7B00">
        <w:rPr>
          <w:rFonts w:ascii="Times New Roman" w:hAnsi="Times New Roman" w:cs="Times New Roman"/>
          <w:b/>
          <w:i/>
          <w:color w:val="2F5496" w:themeColor="accent1" w:themeShade="BF"/>
          <w:lang w:val="en-US"/>
        </w:rPr>
        <w:t xml:space="preserve"> of the rights to peaceful assembly must be interpreted in the light of present-day conditions. This means that its effective protection requires taking into account developments in society. For example, emerging technologies present new spaces and opportunities as well as challenges for the exercise of the right of peaceful assembly. Considerations such as these need to inform an evolutive </w:t>
      </w:r>
      <w:r w:rsidR="00E45603">
        <w:rPr>
          <w:rFonts w:ascii="Times New Roman" w:hAnsi="Times New Roman" w:cs="Times New Roman"/>
          <w:b/>
          <w:i/>
          <w:color w:val="2F5496" w:themeColor="accent1" w:themeShade="BF"/>
          <w:lang w:val="en-US"/>
        </w:rPr>
        <w:t>reading of</w:t>
      </w:r>
      <w:r w:rsidR="001E7B00" w:rsidRPr="001E7B00">
        <w:rPr>
          <w:rFonts w:ascii="Times New Roman" w:hAnsi="Times New Roman" w:cs="Times New Roman"/>
          <w:b/>
          <w:i/>
          <w:color w:val="2F5496" w:themeColor="accent1" w:themeShade="BF"/>
          <w:lang w:val="en-US"/>
        </w:rPr>
        <w:t xml:space="preserve"> article 21.</w:t>
      </w:r>
    </w:p>
    <w:p w14:paraId="3286545C" w14:textId="77777777" w:rsidR="001E7B00" w:rsidRPr="001E7B00" w:rsidRDefault="001E7B00" w:rsidP="001E7B00">
      <w:pPr>
        <w:spacing w:after="120"/>
        <w:ind w:right="1134"/>
        <w:jc w:val="both"/>
        <w:rPr>
          <w:rFonts w:ascii="Times New Roman" w:hAnsi="Times New Roman" w:cs="Times New Roman"/>
          <w:b/>
          <w:i/>
          <w:color w:val="2F5496" w:themeColor="accent1" w:themeShade="BF"/>
          <w:lang w:val="en-US"/>
        </w:rPr>
      </w:pPr>
    </w:p>
    <w:p w14:paraId="6C5E9B53" w14:textId="77777777" w:rsidR="009A57AC" w:rsidRPr="00AA361E" w:rsidRDefault="001E7B00" w:rsidP="009A57AC">
      <w:pPr>
        <w:pStyle w:val="ListParagraph"/>
        <w:numPr>
          <w:ilvl w:val="0"/>
          <w:numId w:val="5"/>
        </w:numPr>
        <w:ind w:left="1208" w:hanging="357"/>
        <w:rPr>
          <w:rFonts w:ascii="Times New Roman" w:hAnsi="Times New Roman" w:cs="Times New Roman"/>
          <w:sz w:val="32"/>
          <w:lang w:val="en-US"/>
        </w:rPr>
      </w:pPr>
      <w:r w:rsidRPr="00AA361E">
        <w:rPr>
          <w:rFonts w:ascii="Times New Roman" w:hAnsi="Times New Roman" w:cs="Times New Roman"/>
          <w:sz w:val="32"/>
          <w:lang w:val="en-US"/>
        </w:rPr>
        <w:t>Scope of the right of peaceful assembly</w:t>
      </w:r>
    </w:p>
    <w:p w14:paraId="4D69DAE9" w14:textId="77777777" w:rsidR="009A57AC" w:rsidRDefault="009A57AC" w:rsidP="009A57AC">
      <w:pPr>
        <w:pStyle w:val="ListParagraph"/>
        <w:ind w:left="1208"/>
        <w:rPr>
          <w:rFonts w:ascii="Times New Roman" w:hAnsi="Times New Roman" w:cs="Times New Roman"/>
          <w:sz w:val="36"/>
          <w:lang w:val="en-US"/>
        </w:rPr>
      </w:pPr>
    </w:p>
    <w:p w14:paraId="34710EFA" w14:textId="77777777" w:rsidR="009A57AC" w:rsidRDefault="009A57AC" w:rsidP="00E14BA5">
      <w:pPr>
        <w:pStyle w:val="ListParagraph"/>
        <w:numPr>
          <w:ilvl w:val="0"/>
          <w:numId w:val="11"/>
        </w:numPr>
        <w:spacing w:after="120"/>
        <w:jc w:val="both"/>
        <w:rPr>
          <w:rFonts w:ascii="Times New Roman" w:hAnsi="Times New Roman" w:cs="Times New Roman"/>
          <w:color w:val="000000" w:themeColor="text1"/>
          <w:lang w:val="en-US"/>
        </w:rPr>
      </w:pPr>
      <w:r w:rsidRPr="005E4055">
        <w:rPr>
          <w:rFonts w:ascii="Times New Roman" w:hAnsi="Times New Roman" w:cs="Times New Roman"/>
          <w:color w:val="000000" w:themeColor="text1"/>
          <w:lang w:val="en-US"/>
        </w:rPr>
        <w:t>Regarding the issue of the common expressive purpose and the public accessibility of assemblies, the Special Rapporteur</w:t>
      </w:r>
      <w:r>
        <w:rPr>
          <w:rFonts w:ascii="Times New Roman" w:hAnsi="Times New Roman" w:cs="Times New Roman"/>
          <w:color w:val="000000" w:themeColor="text1"/>
          <w:lang w:val="en-US"/>
        </w:rPr>
        <w:t xml:space="preserve"> is worried that the revised draft of the general comment remains too restrictive. For example, it can be difficult for indigenous people contesting the ownership of the land through the exercise of their right to peaceful assembly to fall under the scope of protection as it is provided by the current text. The Special Rapporteur refers to the report of the visit to Chile by the former Special Rapporteur on FoAA per which the “majority of protests by Mapuche take place in rural areas, on the lands that they consider as theirs ancestrally and which are, today, owned by non-indigenous farmers. Many of the protests are occupation-style demonstrations”. </w:t>
      </w:r>
    </w:p>
    <w:p w14:paraId="705866F5" w14:textId="77777777" w:rsidR="009A57AC" w:rsidRDefault="009A57AC" w:rsidP="009A57AC">
      <w:pPr>
        <w:pStyle w:val="ListParagraph"/>
        <w:spacing w:after="120"/>
        <w:ind w:left="360"/>
        <w:jc w:val="both"/>
        <w:rPr>
          <w:rFonts w:ascii="Times New Roman" w:hAnsi="Times New Roman" w:cs="Times New Roman"/>
          <w:color w:val="000000" w:themeColor="text1"/>
          <w:lang w:val="en-US"/>
        </w:rPr>
      </w:pPr>
    </w:p>
    <w:p w14:paraId="0A72B28D" w14:textId="64A31E16" w:rsidR="009A57AC" w:rsidRDefault="009A57AC" w:rsidP="00E14BA5">
      <w:pPr>
        <w:pStyle w:val="ListParagraph"/>
        <w:numPr>
          <w:ilvl w:val="0"/>
          <w:numId w:val="11"/>
        </w:numPr>
        <w:spacing w:after="12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Additionally, the Special Rapporteur does not fully agree with the necessity to have a common expressive purpose. It is not clear what the common expressive purpose means and what would happen to gatherings of individuals </w:t>
      </w:r>
      <w:r w:rsidR="00D47A52">
        <w:rPr>
          <w:rFonts w:ascii="Times New Roman" w:hAnsi="Times New Roman" w:cs="Times New Roman"/>
          <w:color w:val="000000" w:themeColor="text1"/>
          <w:lang w:val="en-US"/>
        </w:rPr>
        <w:t>which</w:t>
      </w:r>
      <w:r>
        <w:rPr>
          <w:rFonts w:ascii="Times New Roman" w:hAnsi="Times New Roman" w:cs="Times New Roman"/>
          <w:color w:val="000000" w:themeColor="text1"/>
          <w:lang w:val="en-US"/>
        </w:rPr>
        <w:t xml:space="preserve"> do not have a common expressive purpose </w:t>
      </w:r>
      <w:r w:rsidR="00AA0D12">
        <w:rPr>
          <w:rFonts w:ascii="Times New Roman" w:hAnsi="Times New Roman" w:cs="Times New Roman"/>
          <w:color w:val="000000" w:themeColor="text1"/>
          <w:lang w:val="en-US"/>
        </w:rPr>
        <w:t>or an expressive purpose at all.</w:t>
      </w:r>
      <w:r>
        <w:rPr>
          <w:rFonts w:ascii="Times New Roman" w:hAnsi="Times New Roman" w:cs="Times New Roman"/>
          <w:color w:val="000000" w:themeColor="text1"/>
          <w:lang w:val="en-US"/>
        </w:rPr>
        <w:t xml:space="preserve"> Would they not be protected under article 21 anymore, and either under article 19? What needs to be in common is the expression or the purpose? And how common do they need to be? Even though an assembly is generally understood as the gathering of people, the mandate of the Spe</w:t>
      </w:r>
      <w:r>
        <w:rPr>
          <w:rFonts w:ascii="Times New Roman" w:hAnsi="Times New Roman" w:cs="Times New Roman"/>
          <w:color w:val="000000" w:themeColor="text1"/>
          <w:lang w:val="en-US"/>
        </w:rPr>
        <w:lastRenderedPageBreak/>
        <w:t xml:space="preserve">cial Rapporteur has accepted that one individual still enjoys the </w:t>
      </w:r>
      <w:r w:rsidR="00AA0D12">
        <w:rPr>
          <w:rFonts w:ascii="Times New Roman" w:hAnsi="Times New Roman" w:cs="Times New Roman"/>
          <w:color w:val="000000" w:themeColor="text1"/>
          <w:lang w:val="en-US"/>
        </w:rPr>
        <w:t xml:space="preserve">same </w:t>
      </w:r>
      <w:r>
        <w:rPr>
          <w:rFonts w:ascii="Times New Roman" w:hAnsi="Times New Roman" w:cs="Times New Roman"/>
          <w:color w:val="000000" w:themeColor="text1"/>
          <w:lang w:val="en-US"/>
        </w:rPr>
        <w:t xml:space="preserve">protections provided by article 21, as the right is ultimately an individual right and not a collective one. </w:t>
      </w:r>
    </w:p>
    <w:p w14:paraId="30AEABDC" w14:textId="77777777" w:rsidR="00AA3BD5" w:rsidRPr="00AA3BD5" w:rsidRDefault="00AA3BD5" w:rsidP="00AA3BD5">
      <w:pPr>
        <w:pStyle w:val="ListParagraph"/>
        <w:rPr>
          <w:rFonts w:ascii="Times New Roman" w:hAnsi="Times New Roman" w:cs="Times New Roman"/>
          <w:color w:val="000000" w:themeColor="text1"/>
          <w:lang w:val="en-US"/>
        </w:rPr>
      </w:pPr>
    </w:p>
    <w:p w14:paraId="64B28BEB" w14:textId="2F784991" w:rsidR="00AA3BD5" w:rsidRDefault="00AA3BD5" w:rsidP="00E14BA5">
      <w:pPr>
        <w:pStyle w:val="ListParagraph"/>
        <w:numPr>
          <w:ilvl w:val="0"/>
          <w:numId w:val="11"/>
        </w:numPr>
        <w:spacing w:after="12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Furthermore, the Special Rappo</w:t>
      </w:r>
      <w:r w:rsidR="00AE767D">
        <w:rPr>
          <w:rFonts w:ascii="Times New Roman" w:hAnsi="Times New Roman" w:cs="Times New Roman"/>
          <w:color w:val="000000" w:themeColor="text1"/>
          <w:lang w:val="en-US"/>
        </w:rPr>
        <w:t>rteur emphasizes that more than the purpose of expressing collectively, persons that gather have a purpose to enable other rights, to open up space and opportunities for genuine and effective engagement by civil society actors and individuals in decision making-processes. The right should not be reduced only to its expressive purpose.</w:t>
      </w:r>
    </w:p>
    <w:p w14:paraId="6D389446" w14:textId="77777777" w:rsidR="009A57AC" w:rsidRPr="00C640AF" w:rsidRDefault="009A57AC" w:rsidP="009A57AC">
      <w:pPr>
        <w:spacing w:after="120"/>
        <w:jc w:val="both"/>
        <w:rPr>
          <w:rFonts w:ascii="Times New Roman" w:hAnsi="Times New Roman" w:cs="Times New Roman"/>
          <w:color w:val="000000" w:themeColor="text1"/>
          <w:lang w:val="en-US"/>
        </w:rPr>
      </w:pPr>
    </w:p>
    <w:p w14:paraId="2E9D4574" w14:textId="335B284A" w:rsidR="009A57AC" w:rsidRDefault="009A57AC" w:rsidP="00E14BA5">
      <w:pPr>
        <w:pStyle w:val="ListParagraph"/>
        <w:numPr>
          <w:ilvl w:val="0"/>
          <w:numId w:val="11"/>
        </w:numPr>
        <w:spacing w:after="12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The Special Rapporteur also wishes to strongly reiterate that article 21 fully applies to the gathering of individuals through digital means, for example online</w:t>
      </w:r>
      <w:r w:rsidR="00AA0D12">
        <w:rPr>
          <w:rFonts w:ascii="Times New Roman" w:hAnsi="Times New Roman" w:cs="Times New Roman"/>
          <w:color w:val="000000" w:themeColor="text1"/>
          <w:lang w:val="en-US"/>
        </w:rPr>
        <w:t>,</w:t>
      </w:r>
      <w:r>
        <w:rPr>
          <w:rFonts w:ascii="Times New Roman" w:hAnsi="Times New Roman" w:cs="Times New Roman"/>
          <w:color w:val="000000" w:themeColor="text1"/>
          <w:lang w:val="en-US"/>
        </w:rPr>
        <w:t xml:space="preserve"> and </w:t>
      </w:r>
      <w:r w:rsidR="00AA0D12">
        <w:rPr>
          <w:rFonts w:ascii="Times New Roman" w:hAnsi="Times New Roman" w:cs="Times New Roman"/>
          <w:color w:val="000000" w:themeColor="text1"/>
          <w:lang w:val="en-US"/>
        </w:rPr>
        <w:t>that</w:t>
      </w:r>
      <w:r>
        <w:rPr>
          <w:rFonts w:ascii="Times New Roman" w:hAnsi="Times New Roman" w:cs="Times New Roman"/>
          <w:color w:val="000000" w:themeColor="text1"/>
          <w:lang w:val="en-US"/>
        </w:rPr>
        <w:t xml:space="preserve"> gatherings enjoy the whole set of protections provided by the right to freedom of peaceful assembly, not comparable ones.</w:t>
      </w:r>
    </w:p>
    <w:p w14:paraId="627E4F13" w14:textId="77777777" w:rsidR="009A57AC" w:rsidRPr="00917D68" w:rsidRDefault="009A57AC" w:rsidP="009A57AC">
      <w:pPr>
        <w:pStyle w:val="ListParagraph"/>
        <w:rPr>
          <w:rFonts w:ascii="Times New Roman" w:hAnsi="Times New Roman" w:cs="Times New Roman"/>
          <w:color w:val="000000" w:themeColor="text1"/>
          <w:lang w:val="en-US"/>
        </w:rPr>
      </w:pPr>
    </w:p>
    <w:p w14:paraId="22AC873D" w14:textId="77777777" w:rsidR="009A57AC" w:rsidRPr="00917D68" w:rsidRDefault="009A57AC" w:rsidP="00E14BA5">
      <w:pPr>
        <w:pStyle w:val="ListParagraph"/>
        <w:numPr>
          <w:ilvl w:val="0"/>
          <w:numId w:val="11"/>
        </w:numPr>
        <w:spacing w:after="120"/>
        <w:jc w:val="both"/>
        <w:rPr>
          <w:rFonts w:ascii="Times New Roman" w:hAnsi="Times New Roman" w:cs="Times New Roman"/>
          <w:b/>
          <w:color w:val="000000" w:themeColor="text1"/>
          <w:lang w:val="en-US"/>
        </w:rPr>
      </w:pPr>
      <w:r w:rsidRPr="00917D68">
        <w:rPr>
          <w:rFonts w:ascii="Times New Roman" w:hAnsi="Times New Roman" w:cs="Times New Roman"/>
          <w:b/>
          <w:color w:val="000000" w:themeColor="text1"/>
          <w:lang w:val="en-US"/>
        </w:rPr>
        <w:t xml:space="preserve">In this sense the Special Rapporteur suggest the following changes to paragraphs 13, and 15 of the revised draft: </w:t>
      </w:r>
    </w:p>
    <w:p w14:paraId="4FCCE1E3" w14:textId="77777777" w:rsidR="009A57AC" w:rsidRPr="00C640AF" w:rsidRDefault="009A57AC" w:rsidP="009A57AC">
      <w:pPr>
        <w:spacing w:after="120"/>
        <w:jc w:val="both"/>
        <w:rPr>
          <w:rFonts w:ascii="Times New Roman" w:hAnsi="Times New Roman" w:cs="Times New Roman"/>
          <w:color w:val="000000" w:themeColor="text1"/>
          <w:lang w:val="en-US"/>
        </w:rPr>
      </w:pPr>
    </w:p>
    <w:p w14:paraId="02029A2F" w14:textId="77777777" w:rsidR="009A57AC" w:rsidRPr="00C640AF" w:rsidRDefault="009A57AC" w:rsidP="009A57AC">
      <w:pPr>
        <w:spacing w:after="120"/>
        <w:ind w:left="1134" w:right="1134"/>
        <w:jc w:val="both"/>
        <w:rPr>
          <w:rFonts w:ascii="Times New Roman" w:hAnsi="Times New Roman" w:cs="Times New Roman"/>
          <w:i/>
          <w:color w:val="000000" w:themeColor="text1"/>
          <w:lang w:val="en-US"/>
        </w:rPr>
      </w:pPr>
      <w:r w:rsidRPr="00C640AF">
        <w:rPr>
          <w:rFonts w:ascii="Times New Roman" w:hAnsi="Times New Roman" w:cs="Times New Roman"/>
          <w:i/>
          <w:color w:val="000000" w:themeColor="text1"/>
          <w:lang w:val="en-US"/>
        </w:rPr>
        <w:t>13.</w:t>
      </w:r>
      <w:r w:rsidRPr="00C640AF">
        <w:rPr>
          <w:rFonts w:ascii="Times New Roman" w:hAnsi="Times New Roman" w:cs="Times New Roman"/>
          <w:i/>
          <w:color w:val="000000" w:themeColor="text1"/>
          <w:lang w:val="en-US"/>
        </w:rPr>
        <w:tab/>
        <w:t>To qualify as an “assembly”, there must be a gathering of persons</w:t>
      </w:r>
      <w:r>
        <w:rPr>
          <w:rFonts w:ascii="Times New Roman" w:hAnsi="Times New Roman" w:cs="Times New Roman"/>
          <w:i/>
          <w:color w:val="000000" w:themeColor="text1"/>
          <w:lang w:val="en-US"/>
        </w:rPr>
        <w:t xml:space="preserve"> with </w:t>
      </w:r>
      <w:r w:rsidRPr="00C640AF">
        <w:rPr>
          <w:rFonts w:ascii="Times New Roman" w:hAnsi="Times New Roman" w:cs="Times New Roman"/>
          <w:b/>
          <w:i/>
          <w:color w:val="2F5496" w:themeColor="accent1" w:themeShade="BF"/>
          <w:lang w:val="en-US"/>
        </w:rPr>
        <w:t>a specific purpose</w:t>
      </w:r>
      <w:r w:rsidRPr="00C640AF">
        <w:rPr>
          <w:rFonts w:ascii="Times New Roman" w:hAnsi="Times New Roman" w:cs="Times New Roman"/>
          <w:i/>
          <w:color w:val="2F5496" w:themeColor="accent1" w:themeShade="BF"/>
          <w:lang w:val="en-US"/>
        </w:rPr>
        <w:t xml:space="preserve"> </w:t>
      </w:r>
      <w:r w:rsidRPr="00917D68">
        <w:rPr>
          <w:rFonts w:ascii="Times New Roman" w:hAnsi="Times New Roman" w:cs="Times New Roman"/>
          <w:b/>
          <w:i/>
          <w:strike/>
          <w:color w:val="2F5496" w:themeColor="accent1" w:themeShade="BF"/>
          <w:lang w:val="en-US"/>
        </w:rPr>
        <w:t>with the purpose of expressing themselves collectively</w:t>
      </w:r>
      <w:r w:rsidRPr="00C640AF">
        <w:rPr>
          <w:rFonts w:ascii="Times New Roman" w:hAnsi="Times New Roman" w:cs="Times New Roman"/>
          <w:i/>
          <w:color w:val="000000" w:themeColor="text1"/>
          <w:lang w:val="en-US"/>
        </w:rPr>
        <w:t>. Assemblies can be held on publicly or privately-owned property</w:t>
      </w:r>
      <w:r>
        <w:rPr>
          <w:rFonts w:ascii="Times New Roman" w:hAnsi="Times New Roman" w:cs="Times New Roman"/>
          <w:i/>
          <w:color w:val="000000" w:themeColor="text1"/>
          <w:lang w:val="en-US"/>
        </w:rPr>
        <w:t>.</w:t>
      </w:r>
      <w:r w:rsidRPr="00C640AF">
        <w:rPr>
          <w:rFonts w:ascii="Times New Roman" w:hAnsi="Times New Roman" w:cs="Times New Roman"/>
          <w:i/>
          <w:color w:val="000000" w:themeColor="text1"/>
          <w:lang w:val="en-US"/>
        </w:rPr>
        <w:t xml:space="preserve"> </w:t>
      </w:r>
      <w:r w:rsidRPr="001D7EC3">
        <w:rPr>
          <w:rFonts w:ascii="Times New Roman" w:hAnsi="Times New Roman" w:cs="Times New Roman"/>
          <w:b/>
          <w:i/>
          <w:strike/>
          <w:color w:val="2F5496" w:themeColor="accent1" w:themeShade="BF"/>
          <w:lang w:val="en-US"/>
        </w:rPr>
        <w:t>[provided the property is publicly accessible].</w:t>
      </w:r>
      <w:r w:rsidRPr="001D7EC3">
        <w:rPr>
          <w:rFonts w:ascii="Times New Roman" w:hAnsi="Times New Roman" w:cs="Times New Roman"/>
          <w:i/>
          <w:color w:val="2F5496" w:themeColor="accent1" w:themeShade="BF"/>
          <w:lang w:val="en-US"/>
        </w:rPr>
        <w:t xml:space="preserve"> </w:t>
      </w:r>
    </w:p>
    <w:p w14:paraId="38E1B2F3" w14:textId="4B255EDF" w:rsidR="009A57AC" w:rsidRDefault="009A57AC" w:rsidP="009A57AC">
      <w:pPr>
        <w:spacing w:after="120"/>
        <w:ind w:left="1134" w:right="1134"/>
        <w:jc w:val="both"/>
        <w:rPr>
          <w:rFonts w:ascii="Times New Roman" w:hAnsi="Times New Roman" w:cs="Times New Roman"/>
          <w:i/>
          <w:color w:val="000000" w:themeColor="text1"/>
          <w:lang w:val="en-US"/>
        </w:rPr>
      </w:pPr>
      <w:r w:rsidRPr="00C640AF">
        <w:rPr>
          <w:rFonts w:ascii="Times New Roman" w:hAnsi="Times New Roman" w:cs="Times New Roman"/>
          <w:i/>
          <w:color w:val="000000" w:themeColor="text1"/>
          <w:lang w:val="en-US"/>
        </w:rPr>
        <w:t>15.</w:t>
      </w:r>
      <w:r w:rsidRPr="00C640AF">
        <w:rPr>
          <w:rFonts w:ascii="Times New Roman" w:hAnsi="Times New Roman" w:cs="Times New Roman"/>
          <w:i/>
          <w:color w:val="000000" w:themeColor="text1"/>
          <w:lang w:val="en-US"/>
        </w:rPr>
        <w:tab/>
        <w:t>While the notion of an assembly implies that there will be more than one participant in the gathering,</w:t>
      </w:r>
      <w:r w:rsidRPr="00C01F9A">
        <w:rPr>
          <w:rFonts w:ascii="Times New Roman" w:hAnsi="Times New Roman" w:cs="Times New Roman"/>
          <w:i/>
          <w:color w:val="000000" w:themeColor="text1"/>
          <w:vertAlign w:val="superscript"/>
          <w:lang w:val="en-US"/>
        </w:rPr>
        <w:footnoteReference w:id="14"/>
      </w:r>
      <w:r w:rsidRPr="00C640AF">
        <w:rPr>
          <w:rFonts w:ascii="Times New Roman" w:hAnsi="Times New Roman" w:cs="Times New Roman"/>
          <w:i/>
          <w:color w:val="000000" w:themeColor="text1"/>
          <w:lang w:val="en-US"/>
        </w:rPr>
        <w:t xml:space="preserve"> a single protester enjoys </w:t>
      </w:r>
      <w:r w:rsidRPr="00C01F9A">
        <w:rPr>
          <w:rFonts w:ascii="Times New Roman" w:hAnsi="Times New Roman" w:cs="Times New Roman"/>
          <w:b/>
          <w:i/>
          <w:strike/>
          <w:color w:val="2F5496" w:themeColor="accent1" w:themeShade="BF"/>
          <w:lang w:val="en-US"/>
        </w:rPr>
        <w:t>comparable</w:t>
      </w:r>
      <w:r w:rsidRPr="00C01F9A">
        <w:rPr>
          <w:rFonts w:ascii="Times New Roman" w:hAnsi="Times New Roman" w:cs="Times New Roman"/>
          <w:i/>
          <w:color w:val="2F5496" w:themeColor="accent1" w:themeShade="BF"/>
          <w:lang w:val="en-US"/>
        </w:rPr>
        <w:t xml:space="preserve"> </w:t>
      </w:r>
      <w:r w:rsidR="00AA0D12" w:rsidRPr="00AA0D12">
        <w:rPr>
          <w:rFonts w:ascii="Times New Roman" w:hAnsi="Times New Roman" w:cs="Times New Roman"/>
          <w:b/>
          <w:i/>
          <w:color w:val="2F5496" w:themeColor="accent1" w:themeShade="BF"/>
          <w:lang w:val="en-US"/>
        </w:rPr>
        <w:t>the same</w:t>
      </w:r>
      <w:r w:rsidR="00AA0D12">
        <w:rPr>
          <w:rFonts w:ascii="Times New Roman" w:hAnsi="Times New Roman" w:cs="Times New Roman"/>
          <w:i/>
          <w:color w:val="2F5496" w:themeColor="accent1" w:themeShade="BF"/>
          <w:lang w:val="en-US"/>
        </w:rPr>
        <w:t xml:space="preserve"> </w:t>
      </w:r>
      <w:r w:rsidRPr="00C640AF">
        <w:rPr>
          <w:rFonts w:ascii="Times New Roman" w:hAnsi="Times New Roman" w:cs="Times New Roman"/>
          <w:i/>
          <w:color w:val="000000" w:themeColor="text1"/>
          <w:lang w:val="en-US"/>
        </w:rPr>
        <w:t>protections under the Covenan</w:t>
      </w:r>
      <w:r>
        <w:rPr>
          <w:rFonts w:ascii="Times New Roman" w:hAnsi="Times New Roman" w:cs="Times New Roman"/>
          <w:i/>
          <w:color w:val="000000" w:themeColor="text1"/>
          <w:lang w:val="en-US"/>
        </w:rPr>
        <w:t xml:space="preserve">t, for </w:t>
      </w:r>
      <w:r>
        <w:rPr>
          <w:rFonts w:ascii="Times New Roman" w:hAnsi="Times New Roman" w:cs="Times New Roman"/>
          <w:i/>
          <w:color w:val="000000" w:themeColor="text1"/>
          <w:lang w:val="en-US"/>
        </w:rPr>
        <w:lastRenderedPageBreak/>
        <w:t>example under article 19</w:t>
      </w:r>
      <w:r w:rsidRPr="00C640AF">
        <w:rPr>
          <w:rFonts w:ascii="Times New Roman" w:hAnsi="Times New Roman" w:cs="Times New Roman"/>
          <w:i/>
          <w:color w:val="000000" w:themeColor="text1"/>
          <w:lang w:val="en-US"/>
        </w:rPr>
        <w:t xml:space="preserve"> </w:t>
      </w:r>
      <w:r w:rsidRPr="00C01F9A">
        <w:rPr>
          <w:rFonts w:ascii="Times New Roman" w:hAnsi="Times New Roman" w:cs="Times New Roman"/>
          <w:b/>
          <w:i/>
          <w:color w:val="2F5496" w:themeColor="accent1" w:themeShade="BF"/>
          <w:lang w:val="en-US"/>
        </w:rPr>
        <w:t>and under article 21</w:t>
      </w:r>
      <w:r>
        <w:rPr>
          <w:rFonts w:ascii="Times New Roman" w:hAnsi="Times New Roman" w:cs="Times New Roman"/>
          <w:i/>
          <w:color w:val="000000" w:themeColor="text1"/>
          <w:lang w:val="en-US"/>
        </w:rPr>
        <w:t xml:space="preserve">. </w:t>
      </w:r>
      <w:r w:rsidRPr="00C640AF">
        <w:rPr>
          <w:rFonts w:ascii="Times New Roman" w:hAnsi="Times New Roman" w:cs="Times New Roman"/>
          <w:i/>
          <w:color w:val="000000" w:themeColor="text1"/>
          <w:lang w:val="en-US"/>
        </w:rPr>
        <w:t>Moreover, although the exercise of the right of peaceful assembly is normally understood to pertain to the physical gathering of persons,</w:t>
      </w:r>
      <w:r>
        <w:rPr>
          <w:rFonts w:ascii="Times New Roman" w:hAnsi="Times New Roman" w:cs="Times New Roman"/>
          <w:i/>
          <w:color w:val="000000" w:themeColor="text1"/>
          <w:lang w:val="en-US"/>
        </w:rPr>
        <w:t xml:space="preserve"> </w:t>
      </w:r>
      <w:r w:rsidRPr="00C01F9A">
        <w:rPr>
          <w:rFonts w:ascii="Times New Roman" w:hAnsi="Times New Roman" w:cs="Times New Roman"/>
          <w:b/>
          <w:i/>
          <w:color w:val="2F5496" w:themeColor="accent1" w:themeShade="BF"/>
          <w:lang w:val="en-US"/>
        </w:rPr>
        <w:t xml:space="preserve">the protections of the right to freedom of assembly also </w:t>
      </w:r>
      <w:r w:rsidRPr="00C01F9A">
        <w:rPr>
          <w:rFonts w:ascii="Times New Roman" w:hAnsi="Times New Roman" w:cs="Times New Roman"/>
          <w:b/>
          <w:i/>
          <w:strike/>
          <w:color w:val="2F5496" w:themeColor="accent1" w:themeShade="BF"/>
          <w:lang w:val="en-US"/>
        </w:rPr>
        <w:t xml:space="preserve">comparable human rights protections also </w:t>
      </w:r>
      <w:r w:rsidRPr="00C640AF">
        <w:rPr>
          <w:rFonts w:ascii="Times New Roman" w:hAnsi="Times New Roman" w:cs="Times New Roman"/>
          <w:i/>
          <w:color w:val="000000" w:themeColor="text1"/>
          <w:lang w:val="en-US"/>
        </w:rPr>
        <w:t>apply to</w:t>
      </w:r>
      <w:r>
        <w:rPr>
          <w:rFonts w:ascii="Times New Roman" w:hAnsi="Times New Roman" w:cs="Times New Roman"/>
          <w:i/>
          <w:color w:val="000000" w:themeColor="text1"/>
          <w:lang w:val="en-US"/>
        </w:rPr>
        <w:t xml:space="preserve"> </w:t>
      </w:r>
      <w:r w:rsidRPr="00C95462">
        <w:rPr>
          <w:rFonts w:ascii="Times New Roman" w:hAnsi="Times New Roman" w:cs="Times New Roman"/>
          <w:b/>
          <w:i/>
          <w:color w:val="2F5496" w:themeColor="accent1" w:themeShade="BF"/>
          <w:lang w:val="en-US"/>
        </w:rPr>
        <w:t>the gathering of individuals</w:t>
      </w:r>
      <w:r w:rsidRPr="00C95462">
        <w:rPr>
          <w:rFonts w:ascii="Times New Roman" w:hAnsi="Times New Roman" w:cs="Times New Roman"/>
          <w:i/>
          <w:color w:val="2F5496" w:themeColor="accent1" w:themeShade="BF"/>
          <w:lang w:val="en-US"/>
        </w:rPr>
        <w:t xml:space="preserve"> </w:t>
      </w:r>
      <w:r w:rsidRPr="00C95462">
        <w:rPr>
          <w:rFonts w:ascii="Times New Roman" w:hAnsi="Times New Roman" w:cs="Times New Roman"/>
          <w:b/>
          <w:i/>
          <w:strike/>
          <w:color w:val="2F5496" w:themeColor="accent1" w:themeShade="BF"/>
          <w:lang w:val="en-US"/>
        </w:rPr>
        <w:t>acts of collective expression</w:t>
      </w:r>
      <w:r w:rsidRPr="00C640AF">
        <w:rPr>
          <w:rFonts w:ascii="Times New Roman" w:hAnsi="Times New Roman" w:cs="Times New Roman"/>
          <w:i/>
          <w:color w:val="000000" w:themeColor="text1"/>
          <w:lang w:val="en-US"/>
        </w:rPr>
        <w:t xml:space="preserve"> through digital means, for example online.</w:t>
      </w:r>
      <w:r w:rsidRPr="00C95462">
        <w:rPr>
          <w:rFonts w:ascii="Times New Roman" w:hAnsi="Times New Roman" w:cs="Times New Roman"/>
          <w:i/>
          <w:color w:val="000000" w:themeColor="text1"/>
          <w:vertAlign w:val="superscript"/>
          <w:lang w:val="en-US"/>
        </w:rPr>
        <w:footnoteReference w:id="15"/>
      </w:r>
      <w:r w:rsidRPr="00C95462">
        <w:rPr>
          <w:rFonts w:ascii="Times New Roman" w:hAnsi="Times New Roman" w:cs="Times New Roman"/>
          <w:i/>
          <w:color w:val="000000" w:themeColor="text1"/>
          <w:vertAlign w:val="superscript"/>
          <w:lang w:val="en-US"/>
        </w:rPr>
        <w:t xml:space="preserve"> </w:t>
      </w:r>
      <w:r w:rsidRPr="00C640AF">
        <w:rPr>
          <w:rFonts w:ascii="Times New Roman" w:hAnsi="Times New Roman" w:cs="Times New Roman"/>
          <w:i/>
          <w:color w:val="000000" w:themeColor="text1"/>
          <w:lang w:val="en-US"/>
        </w:rPr>
        <w:t>At the same time, the fact that people can communicate online should not be used as a ground for restrictions on in-person assemblies.</w:t>
      </w:r>
    </w:p>
    <w:p w14:paraId="459ADEC2" w14:textId="77777777" w:rsidR="009A57AC" w:rsidRPr="00C640AF" w:rsidRDefault="009A57AC" w:rsidP="009A57AC">
      <w:pPr>
        <w:spacing w:after="120"/>
        <w:ind w:left="1134" w:right="1134"/>
        <w:jc w:val="both"/>
        <w:rPr>
          <w:rFonts w:ascii="Times New Roman" w:hAnsi="Times New Roman" w:cs="Times New Roman"/>
          <w:i/>
          <w:color w:val="000000" w:themeColor="text1"/>
          <w:lang w:val="en-US"/>
        </w:rPr>
      </w:pPr>
    </w:p>
    <w:p w14:paraId="61609815" w14:textId="593E7698" w:rsidR="009A57AC" w:rsidRDefault="009A57AC" w:rsidP="00E14BA5">
      <w:pPr>
        <w:pStyle w:val="ListParagraph"/>
        <w:numPr>
          <w:ilvl w:val="0"/>
          <w:numId w:val="11"/>
        </w:numPr>
        <w:spacing w:after="12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The Special Rapporteur is concerned by the current version of </w:t>
      </w:r>
      <w:r w:rsidRPr="006E6702">
        <w:rPr>
          <w:rFonts w:ascii="Times New Roman" w:hAnsi="Times New Roman" w:cs="Times New Roman"/>
          <w:b/>
          <w:color w:val="000000" w:themeColor="text1"/>
          <w:lang w:val="en-US"/>
        </w:rPr>
        <w:t>paragraph 16</w:t>
      </w:r>
      <w:r>
        <w:rPr>
          <w:rFonts w:ascii="Times New Roman" w:hAnsi="Times New Roman" w:cs="Times New Roman"/>
          <w:color w:val="000000" w:themeColor="text1"/>
          <w:lang w:val="en-US"/>
        </w:rPr>
        <w:t xml:space="preserve"> of the revised draft. First, it is not clear where the necessity to imply that most assemblies are organized well in advance </w:t>
      </w:r>
      <w:r w:rsidR="00AA0D12">
        <w:rPr>
          <w:rFonts w:ascii="Times New Roman" w:hAnsi="Times New Roman" w:cs="Times New Roman"/>
          <w:color w:val="000000" w:themeColor="text1"/>
          <w:lang w:val="en-US"/>
        </w:rPr>
        <w:t>lies</w:t>
      </w:r>
      <w:r>
        <w:rPr>
          <w:rFonts w:ascii="Times New Roman" w:hAnsi="Times New Roman" w:cs="Times New Roman"/>
          <w:color w:val="000000" w:themeColor="text1"/>
          <w:lang w:val="en-US"/>
        </w:rPr>
        <w:t xml:space="preserve">, </w:t>
      </w:r>
      <w:r w:rsidR="00AA0D12">
        <w:rPr>
          <w:rFonts w:ascii="Times New Roman" w:hAnsi="Times New Roman" w:cs="Times New Roman"/>
          <w:color w:val="000000" w:themeColor="text1"/>
          <w:lang w:val="en-US"/>
        </w:rPr>
        <w:t>particularly</w:t>
      </w:r>
      <w:r>
        <w:rPr>
          <w:rFonts w:ascii="Times New Roman" w:hAnsi="Times New Roman" w:cs="Times New Roman"/>
          <w:color w:val="000000" w:themeColor="text1"/>
          <w:lang w:val="en-US"/>
        </w:rPr>
        <w:t xml:space="preserve"> because this is not the case as </w:t>
      </w:r>
      <w:r w:rsidR="00AA0D12">
        <w:rPr>
          <w:rFonts w:ascii="Times New Roman" w:hAnsi="Times New Roman" w:cs="Times New Roman"/>
          <w:color w:val="000000" w:themeColor="text1"/>
          <w:lang w:val="en-US"/>
        </w:rPr>
        <w:t xml:space="preserve">well demonstrated by </w:t>
      </w:r>
      <w:r>
        <w:rPr>
          <w:rFonts w:ascii="Times New Roman" w:hAnsi="Times New Roman" w:cs="Times New Roman"/>
          <w:color w:val="000000" w:themeColor="text1"/>
          <w:lang w:val="en-US"/>
        </w:rPr>
        <w:t>the latest waves of prote</w:t>
      </w:r>
      <w:r w:rsidR="00AA0D12">
        <w:rPr>
          <w:rFonts w:ascii="Times New Roman" w:hAnsi="Times New Roman" w:cs="Times New Roman"/>
          <w:color w:val="000000" w:themeColor="text1"/>
          <w:lang w:val="en-US"/>
        </w:rPr>
        <w:t xml:space="preserve">st in Latin-American. </w:t>
      </w:r>
      <w:r>
        <w:rPr>
          <w:rFonts w:ascii="Times New Roman" w:hAnsi="Times New Roman" w:cs="Times New Roman"/>
          <w:color w:val="000000" w:themeColor="text1"/>
          <w:lang w:val="en-US"/>
        </w:rPr>
        <w:t xml:space="preserve">Secondly, the language could be interpreted to say that notification is a requirement and that organizers have generally enough time to deal with it. Finally, it would seem that spontaneous assemblies are an exception to a rule. However, not all spontaneous assemblies are direct responses to current events, some may simply arise spontaneously in response to a continuing state of </w:t>
      </w:r>
      <w:r w:rsidR="00AA0D12">
        <w:rPr>
          <w:rFonts w:ascii="Times New Roman" w:hAnsi="Times New Roman" w:cs="Times New Roman"/>
          <w:color w:val="000000" w:themeColor="text1"/>
          <w:lang w:val="en-US"/>
        </w:rPr>
        <w:t>affairs. The Special Rapporteur therefore</w:t>
      </w:r>
      <w:r>
        <w:rPr>
          <w:rFonts w:ascii="Times New Roman" w:hAnsi="Times New Roman" w:cs="Times New Roman"/>
          <w:color w:val="000000" w:themeColor="text1"/>
          <w:lang w:val="en-US"/>
        </w:rPr>
        <w:t xml:space="preserve"> considers this paragraph to be too restrictive and not relevant in practice given the global state of civic space. The Special Rapporteur suggests to rephrase the paragraph in order to emphasize the positive obligations of the State to protect both types of assemblies.</w:t>
      </w:r>
    </w:p>
    <w:p w14:paraId="51B75524" w14:textId="77777777" w:rsidR="009A57AC" w:rsidRDefault="009A57AC" w:rsidP="009A57AC">
      <w:pPr>
        <w:pStyle w:val="ListParagraph"/>
        <w:spacing w:after="120"/>
        <w:ind w:left="360"/>
        <w:jc w:val="both"/>
        <w:rPr>
          <w:rFonts w:ascii="Times New Roman" w:hAnsi="Times New Roman" w:cs="Times New Roman"/>
          <w:color w:val="000000" w:themeColor="text1"/>
          <w:lang w:val="en-US"/>
        </w:rPr>
      </w:pPr>
    </w:p>
    <w:p w14:paraId="014A150F" w14:textId="2D6BDD91" w:rsidR="009A57AC" w:rsidRPr="00917D68" w:rsidRDefault="009A57AC" w:rsidP="00E14BA5">
      <w:pPr>
        <w:pStyle w:val="ListParagraph"/>
        <w:numPr>
          <w:ilvl w:val="0"/>
          <w:numId w:val="11"/>
        </w:numPr>
        <w:spacing w:after="120"/>
        <w:jc w:val="both"/>
        <w:rPr>
          <w:rFonts w:ascii="Times New Roman" w:hAnsi="Times New Roman" w:cs="Times New Roman"/>
          <w:b/>
          <w:color w:val="000000" w:themeColor="text1"/>
          <w:lang w:val="en-US"/>
        </w:rPr>
      </w:pPr>
      <w:r w:rsidRPr="00917D68">
        <w:rPr>
          <w:rFonts w:ascii="Times New Roman" w:hAnsi="Times New Roman" w:cs="Times New Roman"/>
          <w:b/>
          <w:color w:val="000000" w:themeColor="text1"/>
          <w:lang w:val="en-US"/>
        </w:rPr>
        <w:t>The Special Rapporteur suggests</w:t>
      </w:r>
      <w:r w:rsidR="008D20DF">
        <w:rPr>
          <w:rFonts w:ascii="Times New Roman" w:hAnsi="Times New Roman" w:cs="Times New Roman"/>
          <w:b/>
          <w:color w:val="000000" w:themeColor="text1"/>
          <w:lang w:val="en-US"/>
        </w:rPr>
        <w:t xml:space="preserve"> the following changes to</w:t>
      </w:r>
      <w:r w:rsidRPr="00917D68">
        <w:rPr>
          <w:rFonts w:ascii="Times New Roman" w:hAnsi="Times New Roman" w:cs="Times New Roman"/>
          <w:b/>
          <w:color w:val="000000" w:themeColor="text1"/>
          <w:lang w:val="en-US"/>
        </w:rPr>
        <w:t xml:space="preserve"> paragraph 16: </w:t>
      </w:r>
    </w:p>
    <w:p w14:paraId="12167ECC" w14:textId="77777777" w:rsidR="009A57AC" w:rsidRDefault="009A57AC" w:rsidP="009A57AC">
      <w:pPr>
        <w:pStyle w:val="ListParagraph"/>
        <w:spacing w:after="120"/>
        <w:ind w:left="1134" w:right="1134"/>
        <w:jc w:val="both"/>
        <w:rPr>
          <w:rFonts w:ascii="Times New Roman" w:hAnsi="Times New Roman" w:cs="Times New Roman"/>
          <w:color w:val="000000" w:themeColor="text1"/>
          <w:lang w:val="en-US"/>
        </w:rPr>
      </w:pPr>
    </w:p>
    <w:p w14:paraId="040B213F" w14:textId="77777777" w:rsidR="009A57AC" w:rsidRDefault="009A57AC" w:rsidP="009A57AC">
      <w:pPr>
        <w:pStyle w:val="ListParagraph"/>
        <w:spacing w:after="120"/>
        <w:ind w:left="1134" w:right="1134"/>
        <w:jc w:val="both"/>
        <w:rPr>
          <w:rFonts w:ascii="Times New Roman" w:hAnsi="Times New Roman" w:cs="Times New Roman"/>
          <w:i/>
          <w:color w:val="000000" w:themeColor="text1"/>
          <w:lang w:val="en-US"/>
        </w:rPr>
      </w:pPr>
      <w:r w:rsidRPr="00B17334">
        <w:rPr>
          <w:rFonts w:ascii="Times New Roman" w:hAnsi="Times New Roman" w:cs="Times New Roman"/>
          <w:b/>
          <w:i/>
          <w:strike/>
          <w:color w:val="2F5496" w:themeColor="accent1" w:themeShade="BF"/>
          <w:lang w:val="en-US"/>
        </w:rPr>
        <w:t xml:space="preserve">Peaceful assemblies are often organized well in advance, allowing enough time for the organisers to notify the authorities to </w:t>
      </w:r>
      <w:r w:rsidRPr="00B17334">
        <w:rPr>
          <w:rFonts w:ascii="Times New Roman" w:hAnsi="Times New Roman" w:cs="Times New Roman"/>
          <w:b/>
          <w:i/>
          <w:strike/>
          <w:color w:val="2F5496" w:themeColor="accent1" w:themeShade="BF"/>
          <w:lang w:val="en-US"/>
        </w:rPr>
        <w:lastRenderedPageBreak/>
        <w:t>make the necessary preparations. However, spontaneous assemblies, as direct responses to current events that do not allow enough time to provide such notification, whether coordinated or not, are also protected by article 21.</w:t>
      </w:r>
      <w:r w:rsidRPr="00B17334">
        <w:rPr>
          <w:rFonts w:ascii="Times New Roman" w:hAnsi="Times New Roman" w:cs="Times New Roman"/>
          <w:i/>
          <w:color w:val="2F5496" w:themeColor="accent1" w:themeShade="BF"/>
          <w:lang w:val="en-US"/>
        </w:rPr>
        <w:t xml:space="preserve"> </w:t>
      </w:r>
      <w:r w:rsidRPr="00B17334">
        <w:rPr>
          <w:rFonts w:ascii="Times New Roman" w:hAnsi="Times New Roman" w:cs="Times New Roman"/>
          <w:b/>
          <w:i/>
          <w:color w:val="2F5496" w:themeColor="accent1" w:themeShade="BF"/>
          <w:lang w:val="en-US"/>
        </w:rPr>
        <w:t>The right to peaceful assembly covers both organized and spontaneous assemblies.</w:t>
      </w:r>
      <w:r w:rsidRPr="00B17334">
        <w:rPr>
          <w:rFonts w:ascii="Times New Roman" w:hAnsi="Times New Roman" w:cs="Times New Roman"/>
          <w:i/>
          <w:color w:val="2F5496" w:themeColor="accent1" w:themeShade="BF"/>
          <w:lang w:val="en-US"/>
        </w:rPr>
        <w:t xml:space="preserve"> </w:t>
      </w:r>
      <w:r w:rsidRPr="00B17334">
        <w:rPr>
          <w:rFonts w:ascii="Times New Roman" w:hAnsi="Times New Roman" w:cs="Times New Roman"/>
          <w:i/>
          <w:color w:val="000000" w:themeColor="text1"/>
          <w:lang w:val="en-US"/>
        </w:rPr>
        <w:t>Counter-assemblies occur when one peaceful assembly takes place to express opposition to another peaceful assembly. Both of these assemblies fall within the scope of the protection of article 21.</w:t>
      </w:r>
    </w:p>
    <w:p w14:paraId="3A07114B" w14:textId="77777777" w:rsidR="009A57AC" w:rsidRPr="00B17334" w:rsidRDefault="009A57AC" w:rsidP="009A57AC">
      <w:pPr>
        <w:pStyle w:val="ListParagraph"/>
        <w:spacing w:after="120"/>
        <w:ind w:left="1134" w:right="1134"/>
        <w:jc w:val="both"/>
        <w:rPr>
          <w:rFonts w:ascii="Times New Roman" w:hAnsi="Times New Roman" w:cs="Times New Roman"/>
          <w:i/>
          <w:color w:val="000000" w:themeColor="text1"/>
          <w:lang w:val="en-US"/>
        </w:rPr>
      </w:pPr>
    </w:p>
    <w:p w14:paraId="3C2F2A33" w14:textId="34AB1026" w:rsidR="009A57AC" w:rsidRDefault="009A57AC" w:rsidP="00E14BA5">
      <w:pPr>
        <w:pStyle w:val="ListParagraph"/>
        <w:numPr>
          <w:ilvl w:val="0"/>
          <w:numId w:val="11"/>
        </w:numPr>
        <w:spacing w:after="120"/>
        <w:jc w:val="both"/>
        <w:rPr>
          <w:rFonts w:ascii="Times New Roman" w:hAnsi="Times New Roman" w:cs="Times New Roman"/>
          <w:color w:val="000000" w:themeColor="text1"/>
          <w:lang w:val="en-US"/>
        </w:rPr>
      </w:pPr>
      <w:r w:rsidRPr="00A65CE8">
        <w:rPr>
          <w:rFonts w:ascii="Times New Roman" w:hAnsi="Times New Roman" w:cs="Times New Roman"/>
          <w:color w:val="000000" w:themeColor="text1"/>
          <w:lang w:val="en-US"/>
        </w:rPr>
        <w:t>Regarding the peacefulness of the assembly, the Special Rapporteur emphasizes that the criteria of violence should be applied to individuals</w:t>
      </w:r>
      <w:r w:rsidR="00AE767D">
        <w:rPr>
          <w:rFonts w:ascii="Times New Roman" w:hAnsi="Times New Roman" w:cs="Times New Roman"/>
          <w:color w:val="000000" w:themeColor="text1"/>
          <w:lang w:val="en-US"/>
        </w:rPr>
        <w:t xml:space="preserve"> and not to the assembly</w:t>
      </w:r>
      <w:r w:rsidRPr="00A65CE8">
        <w:rPr>
          <w:rFonts w:ascii="Times New Roman" w:hAnsi="Times New Roman" w:cs="Times New Roman"/>
          <w:color w:val="000000" w:themeColor="text1"/>
          <w:lang w:val="en-US"/>
        </w:rPr>
        <w:t xml:space="preserve"> as a whole, given that the right to peaceful assembly is the individual right of all persons. At the same time, it is of outmost importance to be as precise as possible when defining or the qualifying </w:t>
      </w:r>
      <w:r>
        <w:rPr>
          <w:rFonts w:ascii="Times New Roman" w:hAnsi="Times New Roman" w:cs="Times New Roman"/>
          <w:color w:val="000000" w:themeColor="text1"/>
          <w:lang w:val="en-US"/>
        </w:rPr>
        <w:t>violence or violent acts as the result is for the participant to forfeit the protection under article 21 without the requirement for the State to justify it.</w:t>
      </w:r>
    </w:p>
    <w:p w14:paraId="7872AE4E" w14:textId="77777777" w:rsidR="009A57AC" w:rsidRPr="00A65CE8" w:rsidRDefault="009A57AC" w:rsidP="009A57AC">
      <w:pPr>
        <w:spacing w:after="120"/>
        <w:jc w:val="both"/>
        <w:rPr>
          <w:rFonts w:ascii="Times New Roman" w:hAnsi="Times New Roman" w:cs="Times New Roman"/>
          <w:color w:val="000000" w:themeColor="text1"/>
          <w:lang w:val="en-US"/>
        </w:rPr>
      </w:pPr>
    </w:p>
    <w:p w14:paraId="7714CFAD" w14:textId="77777777" w:rsidR="00AA0D12" w:rsidRDefault="009A57AC" w:rsidP="00E14BA5">
      <w:pPr>
        <w:pStyle w:val="ListParagraph"/>
        <w:numPr>
          <w:ilvl w:val="0"/>
          <w:numId w:val="11"/>
        </w:numPr>
        <w:spacing w:after="12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First, </w:t>
      </w:r>
      <w:r w:rsidR="00AA0D12">
        <w:rPr>
          <w:rFonts w:ascii="Times New Roman" w:hAnsi="Times New Roman" w:cs="Times New Roman"/>
          <w:color w:val="000000" w:themeColor="text1"/>
          <w:lang w:val="en-US"/>
        </w:rPr>
        <w:t xml:space="preserve">on </w:t>
      </w:r>
      <w:r w:rsidR="00AA0D12" w:rsidRPr="006E6702">
        <w:rPr>
          <w:rFonts w:ascii="Times New Roman" w:hAnsi="Times New Roman" w:cs="Times New Roman"/>
          <w:b/>
          <w:color w:val="000000" w:themeColor="text1"/>
          <w:lang w:val="en-US"/>
        </w:rPr>
        <w:t>paragraph 17</w:t>
      </w:r>
      <w:r w:rsidR="00AA0D12">
        <w:rPr>
          <w:rFonts w:ascii="Times New Roman" w:hAnsi="Times New Roman" w:cs="Times New Roman"/>
          <w:color w:val="000000" w:themeColor="text1"/>
          <w:lang w:val="en-US"/>
        </w:rPr>
        <w:t xml:space="preserve"> of the revised draft the issue of what constitutes violence is addressed. T</w:t>
      </w:r>
      <w:r>
        <w:rPr>
          <w:rFonts w:ascii="Times New Roman" w:hAnsi="Times New Roman" w:cs="Times New Roman"/>
          <w:color w:val="000000" w:themeColor="text1"/>
          <w:lang w:val="en-US"/>
        </w:rPr>
        <w:t>he Special Rapporteur considers that in the cases of injury, death and property damage</w:t>
      </w:r>
      <w:r w:rsidR="00AA0D12">
        <w:rPr>
          <w:rFonts w:ascii="Times New Roman" w:hAnsi="Times New Roman" w:cs="Times New Roman"/>
          <w:color w:val="000000" w:themeColor="text1"/>
          <w:lang w:val="en-US"/>
        </w:rPr>
        <w:t>, these should</w:t>
      </w:r>
      <w:r>
        <w:rPr>
          <w:rFonts w:ascii="Times New Roman" w:hAnsi="Times New Roman" w:cs="Times New Roman"/>
          <w:color w:val="000000" w:themeColor="text1"/>
          <w:lang w:val="en-US"/>
        </w:rPr>
        <w:t xml:space="preserve"> be </w:t>
      </w:r>
      <w:r w:rsidR="00AA0D12">
        <w:rPr>
          <w:rFonts w:ascii="Times New Roman" w:hAnsi="Times New Roman" w:cs="Times New Roman"/>
          <w:color w:val="000000" w:themeColor="text1"/>
          <w:lang w:val="en-US"/>
        </w:rPr>
        <w:t>inflicted on</w:t>
      </w:r>
      <w:r>
        <w:rPr>
          <w:rFonts w:ascii="Times New Roman" w:hAnsi="Times New Roman" w:cs="Times New Roman"/>
          <w:color w:val="000000" w:themeColor="text1"/>
          <w:lang w:val="en-US"/>
        </w:rPr>
        <w:t xml:space="preserve"> others. One wonders if assemblies that take the form of hunger strikes would still be protected under the current version of the text. </w:t>
      </w:r>
    </w:p>
    <w:p w14:paraId="0AD857ED" w14:textId="77777777" w:rsidR="00AA0D12" w:rsidRPr="00AA0D12" w:rsidRDefault="00AA0D12" w:rsidP="00AA0D12">
      <w:pPr>
        <w:pStyle w:val="ListParagraph"/>
        <w:rPr>
          <w:rFonts w:ascii="Times New Roman" w:hAnsi="Times New Roman" w:cs="Times New Roman"/>
          <w:color w:val="000000" w:themeColor="text1"/>
          <w:lang w:val="en-US"/>
        </w:rPr>
      </w:pPr>
    </w:p>
    <w:p w14:paraId="6295E6FC" w14:textId="5C6EF0BD" w:rsidR="009A57AC" w:rsidRDefault="009A57AC" w:rsidP="00E14BA5">
      <w:pPr>
        <w:pStyle w:val="ListParagraph"/>
        <w:numPr>
          <w:ilvl w:val="0"/>
          <w:numId w:val="11"/>
        </w:numPr>
        <w:spacing w:after="12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At the same time, it appears</w:t>
      </w:r>
      <w:r w:rsidR="00AA0D12">
        <w:rPr>
          <w:rFonts w:ascii="Times New Roman" w:hAnsi="Times New Roman" w:cs="Times New Roman"/>
          <w:color w:val="000000" w:themeColor="text1"/>
          <w:lang w:val="en-US"/>
        </w:rPr>
        <w:t xml:space="preserve"> from </w:t>
      </w:r>
      <w:r w:rsidR="00AA0D12" w:rsidRPr="006E6702">
        <w:rPr>
          <w:rFonts w:ascii="Times New Roman" w:hAnsi="Times New Roman" w:cs="Times New Roman"/>
          <w:b/>
          <w:color w:val="000000" w:themeColor="text1"/>
          <w:lang w:val="en-US"/>
        </w:rPr>
        <w:t>paragraph 21</w:t>
      </w:r>
      <w:r w:rsidR="00AA0D12">
        <w:rPr>
          <w:rFonts w:ascii="Times New Roman" w:hAnsi="Times New Roman" w:cs="Times New Roman"/>
          <w:color w:val="000000" w:themeColor="text1"/>
          <w:lang w:val="en-US"/>
        </w:rPr>
        <w:t xml:space="preserve"> of the revised draft</w:t>
      </w:r>
      <w:r>
        <w:rPr>
          <w:rFonts w:ascii="Times New Roman" w:hAnsi="Times New Roman" w:cs="Times New Roman"/>
          <w:color w:val="000000" w:themeColor="text1"/>
          <w:lang w:val="en-US"/>
        </w:rPr>
        <w:t xml:space="preserve"> that there are instances where violence by the authorities will deprive </w:t>
      </w:r>
      <w:r w:rsidR="00987579">
        <w:rPr>
          <w:rFonts w:ascii="Times New Roman" w:hAnsi="Times New Roman" w:cs="Times New Roman"/>
          <w:color w:val="000000" w:themeColor="text1"/>
          <w:lang w:val="en-US"/>
        </w:rPr>
        <w:t>participants</w:t>
      </w:r>
      <w:r>
        <w:rPr>
          <w:rFonts w:ascii="Times New Roman" w:hAnsi="Times New Roman" w:cs="Times New Roman"/>
          <w:color w:val="000000" w:themeColor="text1"/>
          <w:lang w:val="en-US"/>
        </w:rPr>
        <w:t xml:space="preserve"> of their right to assemble. It is not clear if the “unlawful” use of force” refers to force by the authorities, which then would mean for example that law enforcement officers must assess if participants are inciting their use of force which </w:t>
      </w:r>
      <w:r w:rsidR="00AA0D12">
        <w:rPr>
          <w:rFonts w:ascii="Times New Roman" w:hAnsi="Times New Roman" w:cs="Times New Roman"/>
          <w:color w:val="000000" w:themeColor="text1"/>
          <w:lang w:val="en-US"/>
        </w:rPr>
        <w:t>would in turn</w:t>
      </w:r>
      <w:r>
        <w:rPr>
          <w:rFonts w:ascii="Times New Roman" w:hAnsi="Times New Roman" w:cs="Times New Roman"/>
          <w:color w:val="000000" w:themeColor="text1"/>
          <w:lang w:val="en-US"/>
        </w:rPr>
        <w:t xml:space="preserve"> deprive participants from their right to assemble? Clarification is needed.</w:t>
      </w:r>
    </w:p>
    <w:p w14:paraId="2BCB4D1B" w14:textId="77777777" w:rsidR="009A57AC" w:rsidRPr="00A65CE8" w:rsidRDefault="009A57AC" w:rsidP="009A57AC">
      <w:pPr>
        <w:pStyle w:val="ListParagraph"/>
        <w:rPr>
          <w:rFonts w:ascii="Times New Roman" w:hAnsi="Times New Roman" w:cs="Times New Roman"/>
          <w:color w:val="000000" w:themeColor="text1"/>
          <w:lang w:val="en-US"/>
        </w:rPr>
      </w:pPr>
    </w:p>
    <w:p w14:paraId="3159CC71" w14:textId="49A26BF7" w:rsidR="009A57AC" w:rsidRDefault="00AA0D12" w:rsidP="00E14BA5">
      <w:pPr>
        <w:pStyle w:val="ListParagraph"/>
        <w:numPr>
          <w:ilvl w:val="0"/>
          <w:numId w:val="11"/>
        </w:numPr>
        <w:spacing w:after="12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lastRenderedPageBreak/>
        <w:t xml:space="preserve">On </w:t>
      </w:r>
      <w:r w:rsidRPr="006E6702">
        <w:rPr>
          <w:rFonts w:ascii="Times New Roman" w:hAnsi="Times New Roman" w:cs="Times New Roman"/>
          <w:b/>
          <w:color w:val="000000" w:themeColor="text1"/>
          <w:lang w:val="en-US"/>
        </w:rPr>
        <w:t>paragraph 21</w:t>
      </w:r>
      <w:r>
        <w:rPr>
          <w:rFonts w:ascii="Times New Roman" w:hAnsi="Times New Roman" w:cs="Times New Roman"/>
          <w:color w:val="000000" w:themeColor="text1"/>
          <w:lang w:val="en-US"/>
        </w:rPr>
        <w:t xml:space="preserve">, </w:t>
      </w:r>
      <w:r w:rsidR="009A57AC">
        <w:rPr>
          <w:rFonts w:ascii="Times New Roman" w:hAnsi="Times New Roman" w:cs="Times New Roman"/>
          <w:color w:val="000000" w:themeColor="text1"/>
          <w:lang w:val="en-US"/>
        </w:rPr>
        <w:t xml:space="preserve">The Special Rapporteur </w:t>
      </w:r>
      <w:r>
        <w:rPr>
          <w:rFonts w:ascii="Times New Roman" w:hAnsi="Times New Roman" w:cs="Times New Roman"/>
          <w:color w:val="000000" w:themeColor="text1"/>
          <w:lang w:val="en-US"/>
        </w:rPr>
        <w:t>would like to</w:t>
      </w:r>
      <w:r w:rsidR="009A57AC">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emphasize</w:t>
      </w:r>
      <w:r w:rsidR="009A57AC">
        <w:rPr>
          <w:rFonts w:ascii="Times New Roman" w:hAnsi="Times New Roman" w:cs="Times New Roman"/>
          <w:color w:val="000000" w:themeColor="text1"/>
          <w:lang w:val="en-US"/>
        </w:rPr>
        <w:t xml:space="preserve"> the difficulties in practice to ascertain intentions and to qualify speech as incitement. The ambiguity leaves significant room for abuse and is highly problematic in practice.</w:t>
      </w:r>
    </w:p>
    <w:p w14:paraId="5D04D767" w14:textId="77777777" w:rsidR="009A57AC" w:rsidRPr="005A74CB" w:rsidRDefault="009A57AC" w:rsidP="009A57AC">
      <w:pPr>
        <w:pStyle w:val="ListParagraph"/>
        <w:rPr>
          <w:rFonts w:ascii="Times New Roman" w:hAnsi="Times New Roman" w:cs="Times New Roman"/>
          <w:color w:val="000000" w:themeColor="text1"/>
          <w:lang w:val="en-US"/>
        </w:rPr>
      </w:pPr>
    </w:p>
    <w:p w14:paraId="1DC867C8" w14:textId="77777777" w:rsidR="009A57AC" w:rsidRPr="00BC37B7" w:rsidRDefault="009A57AC" w:rsidP="00E14BA5">
      <w:pPr>
        <w:pStyle w:val="ListParagraph"/>
        <w:numPr>
          <w:ilvl w:val="0"/>
          <w:numId w:val="11"/>
        </w:numPr>
        <w:spacing w:after="120"/>
        <w:jc w:val="both"/>
        <w:rPr>
          <w:rFonts w:ascii="Times New Roman" w:hAnsi="Times New Roman" w:cs="Times New Roman"/>
          <w:b/>
          <w:color w:val="000000" w:themeColor="text1"/>
          <w:lang w:val="en-US"/>
        </w:rPr>
      </w:pPr>
      <w:r w:rsidRPr="00BC37B7">
        <w:rPr>
          <w:rFonts w:ascii="Times New Roman" w:hAnsi="Times New Roman" w:cs="Times New Roman"/>
          <w:b/>
          <w:color w:val="000000" w:themeColor="text1"/>
          <w:lang w:val="en-US"/>
        </w:rPr>
        <w:t>The Special Rapporteur suggests the following changes to p</w:t>
      </w:r>
      <w:r>
        <w:rPr>
          <w:rFonts w:ascii="Times New Roman" w:hAnsi="Times New Roman" w:cs="Times New Roman"/>
          <w:b/>
          <w:color w:val="000000" w:themeColor="text1"/>
          <w:lang w:val="en-US"/>
        </w:rPr>
        <w:t>aragraphs 17, 18, 19, 20 and 21:</w:t>
      </w:r>
    </w:p>
    <w:p w14:paraId="2C422392" w14:textId="77777777" w:rsidR="009A57AC" w:rsidRPr="005A74CB" w:rsidRDefault="009A57AC" w:rsidP="009A57AC">
      <w:pPr>
        <w:pStyle w:val="ListParagraph"/>
        <w:rPr>
          <w:rFonts w:ascii="Times New Roman" w:hAnsi="Times New Roman" w:cs="Times New Roman"/>
          <w:color w:val="000000" w:themeColor="text1"/>
          <w:lang w:val="en-US"/>
        </w:rPr>
      </w:pPr>
    </w:p>
    <w:p w14:paraId="005B6F8F" w14:textId="77777777" w:rsidR="009A57AC" w:rsidRDefault="009A57AC" w:rsidP="009A57AC">
      <w:pPr>
        <w:pStyle w:val="ListParagraph"/>
        <w:spacing w:after="120"/>
        <w:ind w:left="1134" w:right="1134"/>
        <w:jc w:val="both"/>
        <w:rPr>
          <w:rFonts w:ascii="Times New Roman" w:hAnsi="Times New Roman" w:cs="Times New Roman"/>
          <w:i/>
          <w:color w:val="000000" w:themeColor="text1"/>
          <w:lang w:val="en-US"/>
        </w:rPr>
      </w:pPr>
      <w:r w:rsidRPr="005A74CB">
        <w:rPr>
          <w:rFonts w:ascii="Times New Roman" w:hAnsi="Times New Roman" w:cs="Times New Roman"/>
          <w:i/>
          <w:color w:val="000000" w:themeColor="text1"/>
          <w:lang w:val="en-US"/>
        </w:rPr>
        <w:t>17.</w:t>
      </w:r>
      <w:r w:rsidRPr="005A74CB">
        <w:rPr>
          <w:rFonts w:ascii="Times New Roman" w:hAnsi="Times New Roman" w:cs="Times New Roman"/>
          <w:i/>
          <w:color w:val="000000" w:themeColor="text1"/>
          <w:lang w:val="en-US"/>
        </w:rPr>
        <w:tab/>
        <w:t xml:space="preserve">A “peaceful” assembly stands in contradistinction to one that is violent (or is deemed to be violent, because of the incitement or intention of violence, or because violence is imminent). The terms “peaceful” and “non-violent” are thus used interchangeably in this context. The right of peaceful assembly may by definition not be exercised in a violent way. “Violence” in this context typically entails the use by participants of physical force </w:t>
      </w:r>
      <w:r w:rsidRPr="005A74CB">
        <w:rPr>
          <w:rFonts w:ascii="Times New Roman" w:hAnsi="Times New Roman" w:cs="Times New Roman"/>
          <w:b/>
          <w:i/>
          <w:color w:val="2F5496" w:themeColor="accent1" w:themeShade="BF"/>
          <w:lang w:val="en-US"/>
        </w:rPr>
        <w:t>on others</w:t>
      </w:r>
      <w:r w:rsidRPr="005A74CB">
        <w:rPr>
          <w:rFonts w:ascii="Times New Roman" w:hAnsi="Times New Roman" w:cs="Times New Roman"/>
          <w:i/>
          <w:color w:val="2F5496" w:themeColor="accent1" w:themeShade="BF"/>
          <w:lang w:val="en-US"/>
        </w:rPr>
        <w:t xml:space="preserve"> </w:t>
      </w:r>
      <w:r w:rsidRPr="005A74CB">
        <w:rPr>
          <w:rFonts w:ascii="Times New Roman" w:hAnsi="Times New Roman" w:cs="Times New Roman"/>
          <w:i/>
          <w:color w:val="000000" w:themeColor="text1"/>
          <w:lang w:val="en-US"/>
        </w:rPr>
        <w:t>that is likely to result in injury or death,</w:t>
      </w:r>
      <w:r w:rsidRPr="005A74CB">
        <w:rPr>
          <w:rFonts w:ascii="Times New Roman" w:hAnsi="Times New Roman" w:cs="Times New Roman"/>
          <w:i/>
          <w:vertAlign w:val="superscript"/>
          <w:lang w:val="en-US"/>
        </w:rPr>
        <w:footnoteReference w:id="16"/>
      </w:r>
      <w:r w:rsidRPr="005A74CB">
        <w:rPr>
          <w:rFonts w:ascii="Times New Roman" w:hAnsi="Times New Roman" w:cs="Times New Roman"/>
          <w:i/>
          <w:color w:val="000000" w:themeColor="text1"/>
          <w:lang w:val="en-US"/>
        </w:rPr>
        <w:t xml:space="preserve"> or serious damage to</w:t>
      </w:r>
      <w:r>
        <w:rPr>
          <w:rFonts w:ascii="Times New Roman" w:hAnsi="Times New Roman" w:cs="Times New Roman"/>
          <w:i/>
          <w:color w:val="000000" w:themeColor="text1"/>
          <w:lang w:val="en-US"/>
        </w:rPr>
        <w:t xml:space="preserve"> </w:t>
      </w:r>
      <w:r w:rsidRPr="005A74CB">
        <w:rPr>
          <w:rFonts w:ascii="Times New Roman" w:hAnsi="Times New Roman" w:cs="Times New Roman"/>
          <w:b/>
          <w:i/>
          <w:color w:val="2F5496" w:themeColor="accent1" w:themeShade="BF"/>
          <w:lang w:val="en-US"/>
        </w:rPr>
        <w:t>other’s</w:t>
      </w:r>
      <w:r w:rsidRPr="005A74CB">
        <w:rPr>
          <w:rFonts w:ascii="Times New Roman" w:hAnsi="Times New Roman" w:cs="Times New Roman"/>
          <w:i/>
          <w:color w:val="000000" w:themeColor="text1"/>
          <w:lang w:val="en-US"/>
        </w:rPr>
        <w:t xml:space="preserve"> property.</w:t>
      </w:r>
      <w:r w:rsidRPr="005A74CB">
        <w:rPr>
          <w:rFonts w:ascii="Times New Roman" w:hAnsi="Times New Roman" w:cs="Times New Roman"/>
          <w:i/>
          <w:color w:val="000000" w:themeColor="text1"/>
          <w:vertAlign w:val="superscript"/>
          <w:lang w:val="en-US"/>
        </w:rPr>
        <w:footnoteReference w:id="17"/>
      </w:r>
      <w:r w:rsidRPr="005A74CB">
        <w:rPr>
          <w:rFonts w:ascii="Times New Roman" w:hAnsi="Times New Roman" w:cs="Times New Roman"/>
          <w:i/>
          <w:color w:val="000000" w:themeColor="text1"/>
          <w:lang w:val="en-US"/>
        </w:rPr>
        <w:t xml:space="preserve"> Mere disruption of vehicular or pedestrian movement or daily activities does not amount to violence.</w:t>
      </w:r>
    </w:p>
    <w:p w14:paraId="4ED37A6B" w14:textId="77777777" w:rsidR="009A57AC" w:rsidRPr="005A74CB" w:rsidRDefault="009A57AC" w:rsidP="009A57AC">
      <w:pPr>
        <w:pStyle w:val="ListParagraph"/>
        <w:spacing w:after="120"/>
        <w:ind w:left="1134" w:right="1134"/>
        <w:jc w:val="both"/>
        <w:rPr>
          <w:rFonts w:ascii="Times New Roman" w:hAnsi="Times New Roman" w:cs="Times New Roman"/>
          <w:i/>
          <w:color w:val="000000" w:themeColor="text1"/>
          <w:lang w:val="en-US"/>
        </w:rPr>
      </w:pPr>
    </w:p>
    <w:p w14:paraId="220C40ED" w14:textId="77777777" w:rsidR="009A57AC" w:rsidRDefault="009A57AC" w:rsidP="009A57AC">
      <w:pPr>
        <w:pStyle w:val="ListParagraph"/>
        <w:spacing w:after="120"/>
        <w:ind w:left="1134" w:right="1134"/>
        <w:jc w:val="both"/>
        <w:rPr>
          <w:rFonts w:ascii="Times New Roman" w:hAnsi="Times New Roman" w:cs="Times New Roman"/>
          <w:i/>
          <w:color w:val="000000" w:themeColor="text1"/>
          <w:vertAlign w:val="superscript"/>
          <w:lang w:val="en-US"/>
        </w:rPr>
      </w:pPr>
      <w:r w:rsidRPr="005A74CB">
        <w:rPr>
          <w:rFonts w:ascii="Times New Roman" w:hAnsi="Times New Roman" w:cs="Times New Roman"/>
          <w:i/>
          <w:color w:val="000000" w:themeColor="text1"/>
          <w:lang w:val="en-US"/>
        </w:rPr>
        <w:t xml:space="preserve">18. </w:t>
      </w:r>
      <w:r w:rsidRPr="005A74CB">
        <w:rPr>
          <w:rFonts w:ascii="Times New Roman" w:hAnsi="Times New Roman" w:cs="Times New Roman"/>
          <w:i/>
          <w:color w:val="000000" w:themeColor="text1"/>
          <w:lang w:val="en-US"/>
        </w:rPr>
        <w:tab/>
        <w:t>If an assembly is peaceful, the fact that not all the domestic legal requirements pertaining to the assembly have been met by the organisers or participants does not, on its own, place the participants outside the scope of the protection of article 21. Civil disobedience or direct-action campaigns are</w:t>
      </w:r>
      <w:r>
        <w:rPr>
          <w:rFonts w:ascii="Times New Roman" w:hAnsi="Times New Roman" w:cs="Times New Roman"/>
          <w:i/>
          <w:color w:val="000000" w:themeColor="text1"/>
          <w:lang w:val="en-US"/>
        </w:rPr>
        <w:t xml:space="preserve"> </w:t>
      </w:r>
      <w:r w:rsidRPr="00482BA9">
        <w:rPr>
          <w:rFonts w:ascii="Times New Roman" w:hAnsi="Times New Roman" w:cs="Times New Roman"/>
          <w:b/>
          <w:i/>
          <w:strike/>
          <w:color w:val="2F5496" w:themeColor="accent1" w:themeShade="BF"/>
          <w:lang w:val="en-US"/>
        </w:rPr>
        <w:t>in principle</w:t>
      </w:r>
      <w:r w:rsidRPr="00482BA9">
        <w:rPr>
          <w:rFonts w:ascii="Times New Roman" w:hAnsi="Times New Roman" w:cs="Times New Roman"/>
          <w:i/>
          <w:color w:val="2F5496" w:themeColor="accent1" w:themeShade="BF"/>
          <w:lang w:val="en-US"/>
        </w:rPr>
        <w:t xml:space="preserve"> </w:t>
      </w:r>
      <w:r w:rsidRPr="005A74CB">
        <w:rPr>
          <w:rFonts w:ascii="Times New Roman" w:hAnsi="Times New Roman" w:cs="Times New Roman"/>
          <w:i/>
          <w:color w:val="000000" w:themeColor="text1"/>
          <w:lang w:val="en-US"/>
        </w:rPr>
        <w:t>covered by article 21, provided they are non-violent.</w:t>
      </w:r>
      <w:r w:rsidRPr="005A74CB">
        <w:rPr>
          <w:rFonts w:ascii="Times New Roman" w:hAnsi="Times New Roman" w:cs="Times New Roman"/>
          <w:i/>
          <w:color w:val="000000" w:themeColor="text1"/>
          <w:vertAlign w:val="superscript"/>
          <w:lang w:val="en-US"/>
        </w:rPr>
        <w:footnoteReference w:id="18"/>
      </w:r>
      <w:r w:rsidRPr="005A74CB">
        <w:rPr>
          <w:rFonts w:ascii="Times New Roman" w:hAnsi="Times New Roman" w:cs="Times New Roman"/>
          <w:i/>
          <w:color w:val="000000" w:themeColor="text1"/>
          <w:vertAlign w:val="superscript"/>
          <w:lang w:val="en-US"/>
        </w:rPr>
        <w:t xml:space="preserve"> </w:t>
      </w:r>
    </w:p>
    <w:p w14:paraId="4B239518" w14:textId="77777777" w:rsidR="009A57AC" w:rsidRPr="005A74CB" w:rsidRDefault="009A57AC" w:rsidP="009A57AC">
      <w:pPr>
        <w:pStyle w:val="ListParagraph"/>
        <w:spacing w:after="120"/>
        <w:ind w:left="1134" w:right="1134"/>
        <w:jc w:val="both"/>
        <w:rPr>
          <w:rFonts w:ascii="Times New Roman" w:hAnsi="Times New Roman" w:cs="Times New Roman"/>
          <w:i/>
          <w:color w:val="000000" w:themeColor="text1"/>
          <w:lang w:val="en-US"/>
        </w:rPr>
      </w:pPr>
    </w:p>
    <w:p w14:paraId="2F1BA11F" w14:textId="383191D9" w:rsidR="009A57AC" w:rsidRDefault="009A57AC" w:rsidP="009A57AC">
      <w:pPr>
        <w:pStyle w:val="ListParagraph"/>
        <w:spacing w:after="120"/>
        <w:ind w:left="1134" w:right="1134"/>
        <w:jc w:val="both"/>
        <w:rPr>
          <w:rFonts w:ascii="Times New Roman" w:hAnsi="Times New Roman" w:cs="Times New Roman"/>
          <w:i/>
          <w:color w:val="000000" w:themeColor="text1"/>
          <w:lang w:val="en-US"/>
        </w:rPr>
      </w:pPr>
      <w:r w:rsidRPr="005A74CB">
        <w:rPr>
          <w:rFonts w:ascii="Times New Roman" w:hAnsi="Times New Roman" w:cs="Times New Roman"/>
          <w:i/>
          <w:color w:val="000000" w:themeColor="text1"/>
          <w:lang w:val="en-US"/>
        </w:rPr>
        <w:t xml:space="preserve">19. </w:t>
      </w:r>
      <w:r w:rsidRPr="005A74CB">
        <w:rPr>
          <w:rFonts w:ascii="Times New Roman" w:hAnsi="Times New Roman" w:cs="Times New Roman"/>
          <w:i/>
          <w:color w:val="000000" w:themeColor="text1"/>
          <w:lang w:val="en-US"/>
        </w:rPr>
        <w:tab/>
      </w:r>
      <w:r w:rsidRPr="00482BA9">
        <w:rPr>
          <w:rFonts w:ascii="Times New Roman" w:hAnsi="Times New Roman" w:cs="Times New Roman"/>
          <w:b/>
          <w:i/>
          <w:strike/>
          <w:color w:val="2F5496" w:themeColor="accent1" w:themeShade="BF"/>
          <w:lang w:val="en-US"/>
        </w:rPr>
        <w:t>A violent assembly is one that is characterized by [widespread and serious] violence [, and is sometimes referred to as a riot]. There is not always a clear dividing line between assemblies that are peaceful and those that are violent, but there is a presumption in favour of considering assemblies to be peaceful.</w:t>
      </w:r>
      <w:r w:rsidRPr="00482BA9">
        <w:rPr>
          <w:b/>
          <w:strike/>
          <w:color w:val="2F5496" w:themeColor="accent1" w:themeShade="BF"/>
          <w:vertAlign w:val="superscript"/>
          <w:lang w:val="en-US"/>
        </w:rPr>
        <w:footnoteReference w:id="19"/>
      </w:r>
      <w:r>
        <w:rPr>
          <w:rFonts w:ascii="Times New Roman" w:hAnsi="Times New Roman" w:cs="Times New Roman"/>
          <w:b/>
          <w:i/>
          <w:strike/>
          <w:color w:val="2F5496" w:themeColor="accent1" w:themeShade="BF"/>
          <w:lang w:val="en-US"/>
        </w:rPr>
        <w:t xml:space="preserve"> Moreover.</w:t>
      </w:r>
      <w:r w:rsidRPr="00482BA9">
        <w:rPr>
          <w:rFonts w:ascii="Times New Roman" w:hAnsi="Times New Roman" w:cs="Times New Roman"/>
          <w:i/>
          <w:color w:val="2F5496" w:themeColor="accent1" w:themeShade="BF"/>
          <w:lang w:val="en-US"/>
        </w:rPr>
        <w:t xml:space="preserve"> </w:t>
      </w:r>
      <w:r>
        <w:rPr>
          <w:rFonts w:ascii="Times New Roman" w:hAnsi="Times New Roman" w:cs="Times New Roman"/>
          <w:i/>
          <w:color w:val="000000" w:themeColor="text1"/>
          <w:lang w:val="en-US"/>
        </w:rPr>
        <w:t>I</w:t>
      </w:r>
      <w:r w:rsidRPr="005A74CB">
        <w:rPr>
          <w:rFonts w:ascii="Times New Roman" w:hAnsi="Times New Roman" w:cs="Times New Roman"/>
          <w:i/>
          <w:color w:val="000000" w:themeColor="text1"/>
          <w:lang w:val="en-US"/>
        </w:rPr>
        <w:t xml:space="preserve">solated acts of violence by some participants should not be attributed to </w:t>
      </w:r>
      <w:r w:rsidRPr="00482BA9">
        <w:rPr>
          <w:rFonts w:ascii="Times New Roman" w:hAnsi="Times New Roman" w:cs="Times New Roman"/>
          <w:b/>
          <w:i/>
          <w:color w:val="2F5496" w:themeColor="accent1" w:themeShade="BF"/>
          <w:lang w:val="en-US"/>
        </w:rPr>
        <w:t>organizers</w:t>
      </w:r>
      <w:r w:rsidRPr="00482BA9">
        <w:rPr>
          <w:rFonts w:ascii="Times New Roman" w:hAnsi="Times New Roman" w:cs="Times New Roman"/>
          <w:i/>
          <w:color w:val="2F5496" w:themeColor="accent1" w:themeShade="BF"/>
          <w:lang w:val="en-US"/>
        </w:rPr>
        <w:t xml:space="preserve"> </w:t>
      </w:r>
      <w:r w:rsidRPr="005A74CB">
        <w:rPr>
          <w:rFonts w:ascii="Times New Roman" w:hAnsi="Times New Roman" w:cs="Times New Roman"/>
          <w:i/>
          <w:color w:val="000000" w:themeColor="text1"/>
          <w:lang w:val="en-US"/>
        </w:rPr>
        <w:t>or other participants.</w:t>
      </w:r>
      <w:r w:rsidRPr="000239C0">
        <w:rPr>
          <w:rFonts w:ascii="Times New Roman" w:hAnsi="Times New Roman" w:cs="Times New Roman"/>
          <w:vertAlign w:val="superscript"/>
          <w:lang w:val="en-US"/>
        </w:rPr>
        <w:footnoteReference w:id="20"/>
      </w:r>
      <w:r w:rsidRPr="005A74CB">
        <w:rPr>
          <w:rFonts w:ascii="Times New Roman" w:hAnsi="Times New Roman" w:cs="Times New Roman"/>
          <w:i/>
          <w:color w:val="000000" w:themeColor="text1"/>
          <w:lang w:val="en-US"/>
        </w:rPr>
        <w:t xml:space="preserve"> Some participants or parts of an assembly may thus be covered by article 21, while others in the same assembly are not. </w:t>
      </w:r>
      <w:r w:rsidR="00AE767D">
        <w:rPr>
          <w:rFonts w:ascii="Times New Roman" w:hAnsi="Times New Roman" w:cs="Times New Roman"/>
          <w:b/>
          <w:color w:val="2F5496" w:themeColor="accent1" w:themeShade="BF"/>
          <w:lang w:val="en-US"/>
        </w:rPr>
        <w:t xml:space="preserve">An assembly ceases to be peaceful when it is characterized by widespread and serious violence. </w:t>
      </w:r>
      <w:r w:rsidR="00AE767D">
        <w:rPr>
          <w:rFonts w:ascii="Times New Roman" w:hAnsi="Times New Roman" w:cs="Times New Roman"/>
          <w:i/>
          <w:color w:val="000000" w:themeColor="text1"/>
          <w:lang w:val="en-US"/>
        </w:rPr>
        <w:t xml:space="preserve"> </w:t>
      </w:r>
    </w:p>
    <w:p w14:paraId="5200EF36" w14:textId="77777777" w:rsidR="009A57AC" w:rsidRPr="00482BA9" w:rsidRDefault="009A57AC" w:rsidP="009A57AC">
      <w:pPr>
        <w:pStyle w:val="ListParagraph"/>
        <w:spacing w:after="120"/>
        <w:ind w:left="1134" w:right="1134"/>
        <w:jc w:val="both"/>
        <w:rPr>
          <w:rFonts w:ascii="Times New Roman" w:hAnsi="Times New Roman" w:cs="Times New Roman"/>
          <w:i/>
          <w:color w:val="000000" w:themeColor="text1"/>
          <w:lang w:val="en-US"/>
        </w:rPr>
      </w:pPr>
    </w:p>
    <w:p w14:paraId="08E5D95D" w14:textId="77777777" w:rsidR="009A57AC" w:rsidRDefault="009A57AC" w:rsidP="009A57AC">
      <w:pPr>
        <w:pStyle w:val="ListParagraph"/>
        <w:spacing w:after="120"/>
        <w:ind w:left="1134" w:right="1134"/>
        <w:jc w:val="both"/>
        <w:rPr>
          <w:rFonts w:ascii="Times New Roman" w:hAnsi="Times New Roman" w:cs="Times New Roman"/>
          <w:i/>
          <w:color w:val="000000" w:themeColor="text1"/>
          <w:lang w:val="en-US"/>
        </w:rPr>
      </w:pPr>
      <w:r w:rsidRPr="005A74CB">
        <w:rPr>
          <w:rFonts w:ascii="Times New Roman" w:hAnsi="Times New Roman" w:cs="Times New Roman"/>
          <w:i/>
          <w:color w:val="000000" w:themeColor="text1"/>
          <w:lang w:val="en-US"/>
        </w:rPr>
        <w:t xml:space="preserve">20. </w:t>
      </w:r>
      <w:r w:rsidRPr="005A74CB">
        <w:rPr>
          <w:rFonts w:ascii="Times New Roman" w:hAnsi="Times New Roman" w:cs="Times New Roman"/>
          <w:i/>
          <w:color w:val="000000" w:themeColor="text1"/>
          <w:lang w:val="en-US"/>
        </w:rPr>
        <w:tab/>
        <w:t>The question of whether an assembly ceases to be peaceful must be answered with reference to violence that originates or is deemed to originate from the participants. Violence by the authorities against participants in a peaceful assembly does not</w:t>
      </w:r>
      <w:r>
        <w:rPr>
          <w:rFonts w:ascii="Times New Roman" w:hAnsi="Times New Roman" w:cs="Times New Roman"/>
          <w:i/>
          <w:color w:val="000000" w:themeColor="text1"/>
          <w:lang w:val="en-US"/>
        </w:rPr>
        <w:t xml:space="preserve"> </w:t>
      </w:r>
      <w:r w:rsidRPr="00636885">
        <w:rPr>
          <w:rFonts w:ascii="Times New Roman" w:hAnsi="Times New Roman" w:cs="Times New Roman"/>
          <w:b/>
          <w:i/>
          <w:strike/>
          <w:color w:val="2F5496" w:themeColor="accent1" w:themeShade="BF"/>
          <w:lang w:val="en-US"/>
        </w:rPr>
        <w:t>in itself</w:t>
      </w:r>
      <w:r w:rsidRPr="00636885">
        <w:rPr>
          <w:rFonts w:ascii="Times New Roman" w:hAnsi="Times New Roman" w:cs="Times New Roman"/>
          <w:i/>
          <w:color w:val="2F5496" w:themeColor="accent1" w:themeShade="BF"/>
          <w:lang w:val="en-US"/>
        </w:rPr>
        <w:t xml:space="preserve"> </w:t>
      </w:r>
      <w:r w:rsidRPr="005A74CB">
        <w:rPr>
          <w:rFonts w:ascii="Times New Roman" w:hAnsi="Times New Roman" w:cs="Times New Roman"/>
          <w:i/>
          <w:color w:val="000000" w:themeColor="text1"/>
          <w:lang w:val="en-US"/>
        </w:rPr>
        <w:t>render the assembly violent. The same applies to violence by members of the public aimed at the assembly, or by participants in counter- assemblies.</w:t>
      </w:r>
      <w:r w:rsidRPr="00AA0D12">
        <w:rPr>
          <w:rFonts w:ascii="Times New Roman" w:hAnsi="Times New Roman" w:cs="Times New Roman"/>
          <w:i/>
          <w:color w:val="000000" w:themeColor="text1"/>
          <w:vertAlign w:val="superscript"/>
          <w:lang w:val="en-US"/>
        </w:rPr>
        <w:footnoteReference w:id="21"/>
      </w:r>
    </w:p>
    <w:p w14:paraId="74D08A17" w14:textId="77777777" w:rsidR="009A57AC" w:rsidRPr="005A74CB" w:rsidRDefault="009A57AC" w:rsidP="009A57AC">
      <w:pPr>
        <w:pStyle w:val="ListParagraph"/>
        <w:spacing w:after="120"/>
        <w:ind w:left="1134" w:right="1134"/>
        <w:jc w:val="both"/>
        <w:rPr>
          <w:rFonts w:ascii="Times New Roman" w:hAnsi="Times New Roman" w:cs="Times New Roman"/>
          <w:i/>
          <w:color w:val="000000" w:themeColor="text1"/>
          <w:lang w:val="en-US"/>
        </w:rPr>
      </w:pPr>
    </w:p>
    <w:p w14:paraId="7F4E953B" w14:textId="77777777" w:rsidR="009A57AC" w:rsidRDefault="009A57AC" w:rsidP="009A57AC">
      <w:pPr>
        <w:pStyle w:val="ListParagraph"/>
        <w:spacing w:after="120"/>
        <w:ind w:left="1134" w:right="1134"/>
        <w:jc w:val="both"/>
        <w:rPr>
          <w:rFonts w:ascii="Times New Roman" w:hAnsi="Times New Roman" w:cs="Times New Roman"/>
          <w:b/>
          <w:i/>
          <w:color w:val="2F5496" w:themeColor="accent1" w:themeShade="BF"/>
          <w:lang w:val="en-US"/>
        </w:rPr>
      </w:pPr>
      <w:r w:rsidRPr="005A74CB">
        <w:rPr>
          <w:rFonts w:ascii="Times New Roman" w:hAnsi="Times New Roman" w:cs="Times New Roman"/>
          <w:i/>
          <w:color w:val="000000" w:themeColor="text1"/>
          <w:lang w:val="en-US"/>
        </w:rPr>
        <w:t>21.</w:t>
      </w:r>
      <w:r w:rsidRPr="005A74CB">
        <w:rPr>
          <w:rFonts w:ascii="Times New Roman" w:hAnsi="Times New Roman" w:cs="Times New Roman"/>
          <w:i/>
          <w:color w:val="000000" w:themeColor="text1"/>
          <w:lang w:val="en-US"/>
        </w:rPr>
        <w:tab/>
        <w:t xml:space="preserve">Participants’ conduct may be deemed violent if, before or during the event, the participants are inciting others to the [imminent] use of </w:t>
      </w:r>
      <w:r w:rsidRPr="00AA0D12">
        <w:rPr>
          <w:rFonts w:ascii="Times New Roman" w:hAnsi="Times New Roman" w:cs="Times New Roman"/>
          <w:b/>
          <w:i/>
          <w:strike/>
          <w:color w:val="2F5496" w:themeColor="accent1" w:themeShade="BF"/>
          <w:lang w:val="en-US"/>
        </w:rPr>
        <w:t>unlawful force</w:t>
      </w:r>
      <w:r w:rsidRPr="00636885">
        <w:rPr>
          <w:rFonts w:ascii="Times New Roman" w:hAnsi="Times New Roman" w:cs="Times New Roman"/>
          <w:i/>
          <w:color w:val="2F5496" w:themeColor="accent1" w:themeShade="BF"/>
          <w:lang w:val="en-US"/>
        </w:rPr>
        <w:t xml:space="preserve"> </w:t>
      </w:r>
      <w:r w:rsidRPr="00AA0D12">
        <w:rPr>
          <w:rFonts w:ascii="Times New Roman" w:hAnsi="Times New Roman" w:cs="Times New Roman"/>
          <w:b/>
          <w:i/>
          <w:color w:val="2F5496" w:themeColor="accent1" w:themeShade="BF"/>
          <w:lang w:val="en-US"/>
        </w:rPr>
        <w:t>violence</w:t>
      </w:r>
      <w:r w:rsidRPr="005A74CB">
        <w:rPr>
          <w:rFonts w:ascii="Times New Roman" w:hAnsi="Times New Roman" w:cs="Times New Roman"/>
          <w:i/>
          <w:color w:val="000000" w:themeColor="text1"/>
          <w:lang w:val="en-US"/>
        </w:rPr>
        <w:t>, the participants have violent intentions and plan to act on them,</w:t>
      </w:r>
      <w:r w:rsidRPr="00636885">
        <w:rPr>
          <w:rFonts w:ascii="Times New Roman" w:hAnsi="Times New Roman" w:cs="Times New Roman"/>
          <w:i/>
          <w:color w:val="000000" w:themeColor="text1"/>
          <w:vertAlign w:val="superscript"/>
          <w:lang w:val="en-US"/>
        </w:rPr>
        <w:footnoteReference w:id="22"/>
      </w:r>
      <w:r w:rsidRPr="005A74CB">
        <w:rPr>
          <w:rFonts w:ascii="Times New Roman" w:hAnsi="Times New Roman" w:cs="Times New Roman"/>
          <w:i/>
          <w:color w:val="000000" w:themeColor="text1"/>
          <w:lang w:val="en-US"/>
        </w:rPr>
        <w:t xml:space="preserve"> or violence is imminent. </w:t>
      </w:r>
      <w:r w:rsidRPr="005A74CB">
        <w:rPr>
          <w:rFonts w:ascii="Times New Roman" w:hAnsi="Times New Roman" w:cs="Times New Roman"/>
          <w:i/>
          <w:color w:val="000000" w:themeColor="text1"/>
          <w:lang w:val="en-US"/>
        </w:rPr>
        <w:lastRenderedPageBreak/>
        <w:t xml:space="preserve">Isolated instances where this is the case will not suffice to taint an entire assembly as no longer peaceful, but where the incitement or intention of violence is widespread, or if the leaders or organizers of the assembly themselves convey this message </w:t>
      </w:r>
      <w:r w:rsidRPr="00636885">
        <w:rPr>
          <w:rFonts w:ascii="Times New Roman" w:hAnsi="Times New Roman" w:cs="Times New Roman"/>
          <w:b/>
          <w:i/>
          <w:color w:val="2F5496" w:themeColor="accent1" w:themeShade="BF"/>
          <w:lang w:val="en-US"/>
        </w:rPr>
        <w:t>to the public</w:t>
      </w:r>
      <w:r w:rsidRPr="005A74CB">
        <w:rPr>
          <w:rFonts w:ascii="Times New Roman" w:hAnsi="Times New Roman" w:cs="Times New Roman"/>
          <w:i/>
          <w:color w:val="000000" w:themeColor="text1"/>
          <w:lang w:val="en-US"/>
        </w:rPr>
        <w:t xml:space="preserve">, participation in the gathering as such is no longer protected under article 21. </w:t>
      </w:r>
      <w:r w:rsidRPr="00636885">
        <w:rPr>
          <w:rFonts w:ascii="Times New Roman" w:hAnsi="Times New Roman" w:cs="Times New Roman"/>
          <w:b/>
          <w:i/>
          <w:color w:val="2F5496" w:themeColor="accent1" w:themeShade="BF"/>
          <w:lang w:val="en-US"/>
        </w:rPr>
        <w:t>These determinations should be transparent, supported by evidence and subject timely and effective judicial control.</w:t>
      </w:r>
    </w:p>
    <w:p w14:paraId="7D6B5130" w14:textId="77777777" w:rsidR="009A57AC" w:rsidRPr="008D20DF" w:rsidRDefault="009A57AC" w:rsidP="008D20DF">
      <w:pPr>
        <w:rPr>
          <w:rFonts w:ascii="Times New Roman" w:hAnsi="Times New Roman" w:cs="Times New Roman"/>
          <w:sz w:val="36"/>
          <w:lang w:val="en-US"/>
        </w:rPr>
      </w:pPr>
    </w:p>
    <w:p w14:paraId="49135784" w14:textId="0479BD8F" w:rsidR="009A57AC" w:rsidRPr="00AA361E" w:rsidRDefault="009A57AC" w:rsidP="009A57AC">
      <w:pPr>
        <w:pStyle w:val="ListParagraph"/>
        <w:numPr>
          <w:ilvl w:val="0"/>
          <w:numId w:val="5"/>
        </w:numPr>
        <w:ind w:left="1208" w:hanging="357"/>
        <w:rPr>
          <w:rFonts w:ascii="Times New Roman" w:hAnsi="Times New Roman" w:cs="Times New Roman"/>
          <w:sz w:val="32"/>
          <w:lang w:val="en-US"/>
        </w:rPr>
      </w:pPr>
      <w:r w:rsidRPr="00AA361E">
        <w:rPr>
          <w:rFonts w:ascii="Times New Roman" w:hAnsi="Times New Roman" w:cs="Times New Roman"/>
          <w:sz w:val="32"/>
          <w:lang w:val="en-US"/>
        </w:rPr>
        <w:t>The obligation of State parties in respect of the right of peaceful assembly</w:t>
      </w:r>
    </w:p>
    <w:p w14:paraId="55B3E795" w14:textId="77777777" w:rsidR="00636885" w:rsidRDefault="00636885" w:rsidP="00636885">
      <w:pPr>
        <w:jc w:val="both"/>
        <w:rPr>
          <w:rFonts w:ascii="Times New Roman" w:hAnsi="Times New Roman" w:cs="Times New Roman"/>
          <w:lang w:val="en-US"/>
        </w:rPr>
      </w:pPr>
    </w:p>
    <w:p w14:paraId="08EF3C4D" w14:textId="1B29B044" w:rsidR="003121E5" w:rsidRDefault="00D71EB0" w:rsidP="00E14BA5">
      <w:pPr>
        <w:pStyle w:val="ListParagraph"/>
        <w:numPr>
          <w:ilvl w:val="0"/>
          <w:numId w:val="11"/>
        </w:numPr>
        <w:jc w:val="both"/>
        <w:rPr>
          <w:rFonts w:ascii="Times New Roman" w:hAnsi="Times New Roman" w:cs="Times New Roman"/>
          <w:lang w:val="en-US"/>
        </w:rPr>
      </w:pPr>
      <w:r w:rsidRPr="003121E5">
        <w:rPr>
          <w:rFonts w:ascii="Times New Roman" w:hAnsi="Times New Roman" w:cs="Times New Roman"/>
          <w:lang w:val="en-US"/>
        </w:rPr>
        <w:t xml:space="preserve">The </w:t>
      </w:r>
      <w:r w:rsidR="003121E5">
        <w:rPr>
          <w:rFonts w:ascii="Times New Roman" w:hAnsi="Times New Roman" w:cs="Times New Roman"/>
          <w:lang w:val="en-US"/>
        </w:rPr>
        <w:t xml:space="preserve">choice of the venue or location of an assembly by the organizers is an integral part of the right to freedom of peaceful assembly. </w:t>
      </w:r>
      <w:r w:rsidR="003121E5" w:rsidRPr="003121E5">
        <w:rPr>
          <w:rFonts w:ascii="Times New Roman" w:hAnsi="Times New Roman" w:cs="Times New Roman"/>
          <w:lang w:val="en-US"/>
        </w:rPr>
        <w:t>In many instances the location where an assembly takes part is an important part of its message; a protest demanding accountability for a gas explosion, for example, may be held at the site and exact time of the explosion. Likewise, public areas around iconic buildings are a logical place for to convey a message with regard to institutions housed in these buildings.</w:t>
      </w:r>
      <w:r w:rsidR="003121E5">
        <w:rPr>
          <w:rFonts w:ascii="Times New Roman" w:hAnsi="Times New Roman" w:cs="Times New Roman"/>
          <w:lang w:val="en-US"/>
        </w:rPr>
        <w:t xml:space="preserve"> </w:t>
      </w:r>
      <w:r w:rsidR="003121E5" w:rsidRPr="003121E5">
        <w:rPr>
          <w:rFonts w:ascii="Times New Roman" w:hAnsi="Times New Roman" w:cs="Times New Roman"/>
          <w:lang w:val="en-US"/>
        </w:rPr>
        <w:t>The Special Rapporteur warns against authorities proposing an alternative time and place for an assembly, when processing a notification, as this would also be imposing restrictions on the right to freedom of peaceful assembly.</w:t>
      </w:r>
      <w:r w:rsidR="003121E5" w:rsidRPr="003121E5">
        <w:rPr>
          <w:rFonts w:ascii="Times New Roman" w:hAnsi="Times New Roman" w:cs="Times New Roman"/>
          <w:vertAlign w:val="superscript"/>
          <w:lang w:val="en-US"/>
        </w:rPr>
        <w:footnoteReference w:id="23"/>
      </w:r>
    </w:p>
    <w:p w14:paraId="43BC70D0" w14:textId="77777777" w:rsidR="003121E5" w:rsidRDefault="003121E5" w:rsidP="003121E5">
      <w:pPr>
        <w:pStyle w:val="ListParagraph"/>
        <w:ind w:left="360"/>
        <w:jc w:val="both"/>
        <w:rPr>
          <w:rFonts w:ascii="Times New Roman" w:hAnsi="Times New Roman" w:cs="Times New Roman"/>
          <w:lang w:val="en-US"/>
        </w:rPr>
      </w:pPr>
    </w:p>
    <w:p w14:paraId="295BD9BA" w14:textId="3C7AC37D" w:rsidR="003121E5" w:rsidRPr="00BC37B7" w:rsidRDefault="003121E5" w:rsidP="00E14BA5">
      <w:pPr>
        <w:pStyle w:val="ListParagraph"/>
        <w:numPr>
          <w:ilvl w:val="0"/>
          <w:numId w:val="11"/>
        </w:numPr>
        <w:jc w:val="both"/>
        <w:rPr>
          <w:rFonts w:ascii="Times New Roman" w:hAnsi="Times New Roman" w:cs="Times New Roman"/>
          <w:b/>
          <w:lang w:val="en-US"/>
        </w:rPr>
      </w:pPr>
      <w:r w:rsidRPr="00BC37B7">
        <w:rPr>
          <w:rFonts w:ascii="Times New Roman" w:hAnsi="Times New Roman" w:cs="Times New Roman"/>
          <w:b/>
          <w:lang w:val="en-US"/>
        </w:rPr>
        <w:t>In this regard, the Special Rapporteur suggests the following changes to paragraph 27 of the revised draft:</w:t>
      </w:r>
    </w:p>
    <w:p w14:paraId="4CAA7265" w14:textId="77777777" w:rsidR="003121E5" w:rsidRPr="003121E5" w:rsidRDefault="003121E5" w:rsidP="003121E5">
      <w:pPr>
        <w:pStyle w:val="ListParagraph"/>
        <w:rPr>
          <w:rFonts w:ascii="Times New Roman" w:hAnsi="Times New Roman" w:cs="Times New Roman"/>
          <w:lang w:val="en-US"/>
        </w:rPr>
      </w:pPr>
    </w:p>
    <w:p w14:paraId="60F54C14" w14:textId="155955E6" w:rsidR="003121E5" w:rsidRDefault="003121E5" w:rsidP="003121E5">
      <w:pPr>
        <w:spacing w:after="120"/>
        <w:ind w:left="1134" w:right="1134"/>
        <w:jc w:val="both"/>
        <w:rPr>
          <w:rFonts w:ascii="Times New Roman" w:hAnsi="Times New Roman" w:cs="Times New Roman"/>
          <w:i/>
          <w:color w:val="000000" w:themeColor="text1"/>
          <w:lang w:val="en-US"/>
        </w:rPr>
      </w:pPr>
      <w:r w:rsidRPr="003121E5">
        <w:rPr>
          <w:rFonts w:ascii="Times New Roman" w:hAnsi="Times New Roman" w:cs="Times New Roman"/>
          <w:i/>
          <w:color w:val="000000" w:themeColor="text1"/>
          <w:lang w:val="en-US"/>
        </w:rPr>
        <w:t xml:space="preserve">States parties moreover have the positive duty to facilitate peaceful assemblies, and to make it possible for participants to achieve </w:t>
      </w:r>
      <w:r w:rsidRPr="003121E5">
        <w:rPr>
          <w:rFonts w:ascii="Times New Roman" w:hAnsi="Times New Roman" w:cs="Times New Roman"/>
          <w:i/>
          <w:color w:val="000000" w:themeColor="text1"/>
          <w:lang w:val="en-US"/>
        </w:rPr>
        <w:lastRenderedPageBreak/>
        <w:t>their legitimate objectives. States must thus promote an enabling environment for the exercise of the right of peaceful assembly and put into place a legal and institutional framework within which the right can be exercised effectively. In some cases, specific intervention may be required on the part of the authorities. For example, they may need to block off streets, red</w:t>
      </w:r>
      <w:r>
        <w:rPr>
          <w:rFonts w:ascii="Times New Roman" w:hAnsi="Times New Roman" w:cs="Times New Roman"/>
          <w:i/>
          <w:color w:val="000000" w:themeColor="text1"/>
          <w:lang w:val="en-US"/>
        </w:rPr>
        <w:t xml:space="preserve">irect traffic, </w:t>
      </w:r>
      <w:r w:rsidRPr="003121E5">
        <w:rPr>
          <w:rFonts w:ascii="Times New Roman" w:hAnsi="Times New Roman" w:cs="Times New Roman"/>
          <w:b/>
          <w:i/>
          <w:color w:val="2F5496" w:themeColor="accent1" w:themeShade="BF"/>
          <w:lang w:val="en-US"/>
        </w:rPr>
        <w:t>and</w:t>
      </w:r>
      <w:r w:rsidRPr="003121E5">
        <w:rPr>
          <w:rFonts w:ascii="Times New Roman" w:hAnsi="Times New Roman" w:cs="Times New Roman"/>
          <w:i/>
          <w:color w:val="2F5496" w:themeColor="accent1" w:themeShade="BF"/>
          <w:lang w:val="en-US"/>
        </w:rPr>
        <w:t xml:space="preserve"> </w:t>
      </w:r>
      <w:r>
        <w:rPr>
          <w:rFonts w:ascii="Times New Roman" w:hAnsi="Times New Roman" w:cs="Times New Roman"/>
          <w:i/>
          <w:color w:val="000000" w:themeColor="text1"/>
          <w:lang w:val="en-US"/>
        </w:rPr>
        <w:t xml:space="preserve">provide security. </w:t>
      </w:r>
      <w:r w:rsidRPr="003121E5">
        <w:rPr>
          <w:rFonts w:ascii="Times New Roman" w:hAnsi="Times New Roman" w:cs="Times New Roman"/>
          <w:b/>
          <w:i/>
          <w:color w:val="2F5496" w:themeColor="accent1" w:themeShade="BF"/>
          <w:lang w:val="en-US"/>
        </w:rPr>
        <w:t>However, the choice of location and route of an assembly principally belongs to the organizers of the assembly and the authorities cannot unilaterally</w:t>
      </w:r>
      <w:r w:rsidR="00AE767D">
        <w:rPr>
          <w:rFonts w:ascii="Times New Roman" w:hAnsi="Times New Roman" w:cs="Times New Roman"/>
          <w:b/>
          <w:i/>
          <w:color w:val="2F5496" w:themeColor="accent1" w:themeShade="BF"/>
          <w:lang w:val="en-US"/>
        </w:rPr>
        <w:t>/arbitrarily</w:t>
      </w:r>
      <w:r w:rsidRPr="003121E5">
        <w:rPr>
          <w:rFonts w:ascii="Times New Roman" w:hAnsi="Times New Roman" w:cs="Times New Roman"/>
          <w:b/>
          <w:i/>
          <w:color w:val="2F5496" w:themeColor="accent1" w:themeShade="BF"/>
          <w:lang w:val="en-US"/>
        </w:rPr>
        <w:t xml:space="preserve"> determine the route of the protest.</w:t>
      </w:r>
      <w:r w:rsidRPr="003121E5">
        <w:rPr>
          <w:rFonts w:ascii="Times New Roman" w:hAnsi="Times New Roman" w:cs="Times New Roman"/>
          <w:i/>
          <w:color w:val="000000" w:themeColor="text1"/>
          <w:lang w:val="en-US"/>
        </w:rPr>
        <w:t xml:space="preserve"> </w:t>
      </w:r>
      <w:r w:rsidRPr="003121E5">
        <w:rPr>
          <w:rFonts w:ascii="Times New Roman" w:hAnsi="Times New Roman" w:cs="Times New Roman"/>
          <w:b/>
          <w:i/>
          <w:strike/>
          <w:color w:val="2F5496" w:themeColor="accent1" w:themeShade="BF"/>
          <w:lang w:val="en-US"/>
        </w:rPr>
        <w:t>or identify an alternative site where the assembly may be conducted.</w:t>
      </w:r>
      <w:r w:rsidRPr="003121E5">
        <w:rPr>
          <w:rFonts w:ascii="Times New Roman" w:hAnsi="Times New Roman" w:cs="Times New Roman"/>
          <w:i/>
          <w:color w:val="2F5496" w:themeColor="accent1" w:themeShade="BF"/>
          <w:lang w:val="en-US"/>
        </w:rPr>
        <w:t xml:space="preserve"> </w:t>
      </w:r>
      <w:r w:rsidRPr="003121E5">
        <w:rPr>
          <w:rFonts w:ascii="Times New Roman" w:hAnsi="Times New Roman" w:cs="Times New Roman"/>
          <w:i/>
          <w:color w:val="000000" w:themeColor="text1"/>
          <w:lang w:val="en-US"/>
        </w:rPr>
        <w:t>Where needed, States must also protect participants against possible abuses by non-State actors, such as interference or violence by other members of the public,</w:t>
      </w:r>
      <w:r w:rsidRPr="003121E5">
        <w:rPr>
          <w:rFonts w:ascii="Times New Roman" w:hAnsi="Times New Roman" w:cs="Times New Roman"/>
          <w:i/>
          <w:color w:val="000000" w:themeColor="text1"/>
          <w:vertAlign w:val="superscript"/>
          <w:lang w:val="en-US"/>
        </w:rPr>
        <w:footnoteReference w:id="24"/>
      </w:r>
      <w:r w:rsidRPr="003121E5">
        <w:rPr>
          <w:rFonts w:ascii="Times New Roman" w:hAnsi="Times New Roman" w:cs="Times New Roman"/>
          <w:i/>
          <w:color w:val="000000" w:themeColor="text1"/>
          <w:lang w:val="en-US"/>
        </w:rPr>
        <w:t xml:space="preserve"> counter-demonstrators [and private security providers]. </w:t>
      </w:r>
    </w:p>
    <w:p w14:paraId="65BD41BB" w14:textId="77777777" w:rsidR="003121E5" w:rsidRDefault="003121E5" w:rsidP="003121E5">
      <w:pPr>
        <w:spacing w:after="120"/>
        <w:ind w:left="1134" w:right="1134"/>
        <w:jc w:val="both"/>
        <w:rPr>
          <w:rFonts w:ascii="Times New Roman" w:hAnsi="Times New Roman" w:cs="Times New Roman"/>
          <w:i/>
          <w:color w:val="000000" w:themeColor="text1"/>
          <w:lang w:val="en-US"/>
        </w:rPr>
      </w:pPr>
    </w:p>
    <w:p w14:paraId="511F9175" w14:textId="6225C2DB" w:rsidR="003121E5" w:rsidRPr="00BC37B7" w:rsidRDefault="00C71AE4" w:rsidP="00E14BA5">
      <w:pPr>
        <w:pStyle w:val="ListParagraph"/>
        <w:numPr>
          <w:ilvl w:val="0"/>
          <w:numId w:val="11"/>
        </w:numPr>
        <w:spacing w:after="120"/>
        <w:jc w:val="both"/>
        <w:rPr>
          <w:rFonts w:ascii="Times New Roman" w:hAnsi="Times New Roman" w:cs="Times New Roman"/>
          <w:b/>
          <w:color w:val="000000" w:themeColor="text1"/>
          <w:lang w:val="en-US"/>
        </w:rPr>
      </w:pPr>
      <w:r w:rsidRPr="00BC37B7">
        <w:rPr>
          <w:rFonts w:ascii="Times New Roman" w:hAnsi="Times New Roman" w:cs="Times New Roman"/>
          <w:b/>
          <w:color w:val="000000" w:themeColor="text1"/>
          <w:lang w:val="en-US"/>
        </w:rPr>
        <w:t>The Special Rapporteur suggests that paragraph 29 reads as follows:</w:t>
      </w:r>
    </w:p>
    <w:p w14:paraId="27F7C6E0" w14:textId="77777777" w:rsidR="00C71AE4" w:rsidRDefault="00C71AE4" w:rsidP="00C71AE4">
      <w:pPr>
        <w:pStyle w:val="ListParagraph"/>
        <w:spacing w:after="120"/>
        <w:ind w:left="360" w:right="1134"/>
        <w:jc w:val="both"/>
        <w:rPr>
          <w:rFonts w:ascii="Times New Roman" w:hAnsi="Times New Roman" w:cs="Times New Roman"/>
          <w:i/>
          <w:color w:val="000000" w:themeColor="text1"/>
          <w:lang w:val="en-US"/>
        </w:rPr>
      </w:pPr>
    </w:p>
    <w:p w14:paraId="013DFB93" w14:textId="29E3C458" w:rsidR="00C71AE4" w:rsidRDefault="00C71AE4" w:rsidP="00C71AE4">
      <w:pPr>
        <w:pStyle w:val="ListParagraph"/>
        <w:spacing w:after="120"/>
        <w:ind w:left="1134" w:right="1134"/>
        <w:jc w:val="both"/>
        <w:rPr>
          <w:rFonts w:ascii="Times New Roman" w:hAnsi="Times New Roman" w:cs="Times New Roman"/>
          <w:i/>
          <w:lang w:val="en-GB"/>
        </w:rPr>
      </w:pPr>
      <w:r w:rsidRPr="00C71AE4">
        <w:rPr>
          <w:rFonts w:ascii="Times New Roman" w:hAnsi="Times New Roman" w:cs="Times New Roman"/>
          <w:b/>
          <w:i/>
          <w:strike/>
          <w:color w:val="2F5496" w:themeColor="accent1" w:themeShade="BF"/>
          <w:lang w:val="en-GB"/>
        </w:rPr>
        <w:t>In dealing with assemblies</w:t>
      </w:r>
      <w:r>
        <w:rPr>
          <w:rFonts w:ascii="Times New Roman" w:hAnsi="Times New Roman" w:cs="Times New Roman"/>
          <w:b/>
          <w:i/>
          <w:strike/>
          <w:color w:val="2F5496" w:themeColor="accent1" w:themeShade="BF"/>
          <w:lang w:val="en-GB"/>
        </w:rPr>
        <w:t xml:space="preserve"> </w:t>
      </w:r>
      <w:r w:rsidRPr="00C71AE4">
        <w:rPr>
          <w:rFonts w:ascii="Times New Roman" w:hAnsi="Times New Roman" w:cs="Times New Roman"/>
          <w:b/>
          <w:i/>
          <w:color w:val="2F5496" w:themeColor="accent1" w:themeShade="BF"/>
          <w:lang w:val="en-GB"/>
        </w:rPr>
        <w:t>While facilitating the right to assemble</w:t>
      </w:r>
      <w:r w:rsidRPr="00C71AE4">
        <w:rPr>
          <w:rFonts w:ascii="Times New Roman" w:hAnsi="Times New Roman" w:cs="Times New Roman"/>
          <w:i/>
          <w:lang w:val="en-GB"/>
        </w:rPr>
        <w:t>, States parties must take precautionary measures aimed at preventing violations and abuses of the different rights at stake. At the same time, the need to take such precautionary measures cannot serve as a justification for measures that violate human rights, such as the right to privacy.</w:t>
      </w:r>
    </w:p>
    <w:p w14:paraId="20CD27AF" w14:textId="77777777" w:rsidR="00BC37B7" w:rsidRPr="00C71AE4" w:rsidRDefault="00BC37B7" w:rsidP="00C71AE4">
      <w:pPr>
        <w:pStyle w:val="ListParagraph"/>
        <w:spacing w:after="120"/>
        <w:ind w:left="1134" w:right="1134"/>
        <w:jc w:val="both"/>
        <w:rPr>
          <w:rFonts w:ascii="Times New Roman" w:hAnsi="Times New Roman" w:cs="Times New Roman"/>
          <w:i/>
          <w:color w:val="000000" w:themeColor="text1"/>
          <w:lang w:val="en-GB"/>
        </w:rPr>
      </w:pPr>
    </w:p>
    <w:p w14:paraId="22CF29E7" w14:textId="510394AE" w:rsidR="00BC37B7" w:rsidRDefault="00BC37B7" w:rsidP="00E14BA5">
      <w:pPr>
        <w:pStyle w:val="ListParagraph"/>
        <w:numPr>
          <w:ilvl w:val="0"/>
          <w:numId w:val="11"/>
        </w:numPr>
        <w:pBdr>
          <w:top w:val="nil"/>
          <w:left w:val="nil"/>
          <w:bottom w:val="nil"/>
          <w:right w:val="nil"/>
          <w:between w:val="nil"/>
        </w:pBdr>
        <w:spacing w:before="240" w:after="240"/>
        <w:jc w:val="both"/>
        <w:rPr>
          <w:rFonts w:ascii="Times New Roman" w:hAnsi="Times New Roman" w:cs="Times New Roman"/>
          <w:lang w:val="en-US"/>
        </w:rPr>
      </w:pPr>
      <w:r w:rsidRPr="00BC37B7">
        <w:rPr>
          <w:rFonts w:ascii="Times New Roman" w:hAnsi="Times New Roman" w:cs="Times New Roman"/>
          <w:lang w:val="en-US"/>
        </w:rPr>
        <w:t xml:space="preserve">The Special Rapporteur is concerned that access to new communications technologies, in particular the Internet, or to specific websites, has allegedly been temporarily </w:t>
      </w:r>
      <w:r w:rsidRPr="00BC37B7">
        <w:rPr>
          <w:rFonts w:ascii="Times New Roman" w:hAnsi="Times New Roman" w:cs="Times New Roman"/>
          <w:lang w:val="en-US"/>
        </w:rPr>
        <w:lastRenderedPageBreak/>
        <w:t>blocked prior to, duri</w:t>
      </w:r>
      <w:r>
        <w:rPr>
          <w:rFonts w:ascii="Times New Roman" w:hAnsi="Times New Roman" w:cs="Times New Roman"/>
          <w:lang w:val="en-US"/>
        </w:rPr>
        <w:t>ng or after peaceful assemblies.</w:t>
      </w:r>
      <w:r w:rsidRPr="00BC37B7">
        <w:rPr>
          <w:rFonts w:ascii="Times New Roman" w:hAnsi="Times New Roman" w:cs="Times New Roman"/>
          <w:lang w:val="en-US"/>
        </w:rPr>
        <w:t xml:space="preserve"> The Special Rapporteur also warns against possible abusive use of laws governing the prevention and fight against offences linked to information and communications technologies, which “should be applied only as an exception to the general norm of permitting the open and free use of the Internet, like all other forms of communication; only very few qualified and clearly legislated exceptions should be permitted”.</w:t>
      </w:r>
      <w:r w:rsidRPr="00BC37B7">
        <w:rPr>
          <w:rFonts w:ascii="Times New Roman" w:hAnsi="Times New Roman" w:cs="Times New Roman"/>
          <w:vertAlign w:val="superscript"/>
          <w:lang w:val="en-US"/>
        </w:rPr>
        <w:footnoteReference w:id="25"/>
      </w:r>
    </w:p>
    <w:p w14:paraId="7AF0D0FD" w14:textId="77777777" w:rsidR="009A57AC" w:rsidRDefault="009A57AC" w:rsidP="009A57AC">
      <w:pPr>
        <w:pStyle w:val="ListParagraph"/>
        <w:pBdr>
          <w:top w:val="nil"/>
          <w:left w:val="nil"/>
          <w:bottom w:val="nil"/>
          <w:right w:val="nil"/>
          <w:between w:val="nil"/>
        </w:pBdr>
        <w:spacing w:before="240" w:after="240"/>
        <w:ind w:left="360"/>
        <w:jc w:val="both"/>
        <w:rPr>
          <w:rFonts w:ascii="Times New Roman" w:hAnsi="Times New Roman" w:cs="Times New Roman"/>
          <w:lang w:val="en-US"/>
        </w:rPr>
      </w:pPr>
    </w:p>
    <w:p w14:paraId="116BBF11" w14:textId="3F8E6666" w:rsidR="00BC37B7" w:rsidRPr="00141207" w:rsidRDefault="00BC37B7" w:rsidP="00E14BA5">
      <w:pPr>
        <w:pStyle w:val="ListParagraph"/>
        <w:numPr>
          <w:ilvl w:val="0"/>
          <w:numId w:val="11"/>
        </w:numPr>
        <w:pBdr>
          <w:top w:val="nil"/>
          <w:left w:val="nil"/>
          <w:bottom w:val="nil"/>
          <w:right w:val="nil"/>
          <w:between w:val="nil"/>
        </w:pBdr>
        <w:spacing w:before="240" w:after="240"/>
        <w:jc w:val="both"/>
        <w:rPr>
          <w:rFonts w:ascii="Times New Roman" w:hAnsi="Times New Roman" w:cs="Times New Roman"/>
          <w:b/>
          <w:lang w:val="en-US"/>
        </w:rPr>
      </w:pPr>
      <w:r>
        <w:rPr>
          <w:rFonts w:ascii="Times New Roman" w:hAnsi="Times New Roman" w:cs="Times New Roman"/>
          <w:lang w:val="en-US"/>
        </w:rPr>
        <w:t>The Special Rapporteur stresses that limitations on access to the internet including partial disconnections, temporary or permanent blocking of different sites and applications and internet shutdowns before or after peaceful gatherings constitute unlawful and disproportionate restrictions on the right to freedom of peaceful assembly. Authorities need to ensure access to the Internet at all times and this includes during periods of political unrest</w:t>
      </w:r>
      <w:r>
        <w:rPr>
          <w:rStyle w:val="FootnoteReference"/>
          <w:rFonts w:cs="Times New Roman"/>
        </w:rPr>
        <w:footnoteReference w:id="26"/>
      </w:r>
      <w:r>
        <w:rPr>
          <w:rFonts w:ascii="Times New Roman" w:hAnsi="Times New Roman" w:cs="Times New Roman"/>
          <w:lang w:val="en-US"/>
        </w:rPr>
        <w:t xml:space="preserve"> and there is no possible justification for internet shutdowns. </w:t>
      </w:r>
      <w:r w:rsidRPr="00141207">
        <w:rPr>
          <w:rFonts w:ascii="Times New Roman" w:hAnsi="Times New Roman" w:cs="Times New Roman"/>
          <w:b/>
          <w:lang w:val="en-US"/>
        </w:rPr>
        <w:t>The Special Rapport suggests to incorporate this in paragraph 38 as follows:</w:t>
      </w:r>
    </w:p>
    <w:p w14:paraId="191E6ED3" w14:textId="77777777" w:rsidR="00BC37B7" w:rsidRDefault="00BC37B7" w:rsidP="00BC37B7">
      <w:pPr>
        <w:pStyle w:val="ListParagraph"/>
        <w:pBdr>
          <w:top w:val="nil"/>
          <w:left w:val="nil"/>
          <w:bottom w:val="nil"/>
          <w:right w:val="nil"/>
          <w:between w:val="nil"/>
        </w:pBdr>
        <w:spacing w:before="240" w:after="240"/>
        <w:ind w:left="360"/>
        <w:jc w:val="both"/>
        <w:rPr>
          <w:rFonts w:ascii="Times New Roman" w:hAnsi="Times New Roman" w:cs="Times New Roman"/>
          <w:lang w:val="en-US"/>
        </w:rPr>
      </w:pPr>
    </w:p>
    <w:p w14:paraId="708FCCDA" w14:textId="5271AC86" w:rsidR="00141207" w:rsidRDefault="00BC37B7" w:rsidP="008D20DF">
      <w:pPr>
        <w:spacing w:after="120"/>
        <w:ind w:left="1134" w:right="1134"/>
        <w:jc w:val="both"/>
        <w:rPr>
          <w:rFonts w:ascii="Times New Roman" w:hAnsi="Times New Roman" w:cs="Times New Roman"/>
          <w:i/>
          <w:lang w:val="en-GB"/>
        </w:rPr>
      </w:pPr>
      <w:r w:rsidRPr="00BD291D">
        <w:rPr>
          <w:rFonts w:ascii="Times New Roman" w:hAnsi="Times New Roman" w:cs="Times New Roman"/>
          <w:i/>
          <w:lang w:val="en-GB"/>
        </w:rPr>
        <w:t xml:space="preserve">In the digital age, many of these associated activities happen online or otherwise rely upon digital services. Such associated activities are also protected under article 21. States parties shall, for example, refrain from </w:t>
      </w:r>
      <w:r w:rsidRPr="00BD291D">
        <w:rPr>
          <w:rFonts w:ascii="Times New Roman" w:hAnsi="Times New Roman" w:cs="Times New Roman"/>
          <w:b/>
          <w:i/>
          <w:strike/>
          <w:color w:val="2F5496" w:themeColor="accent1" w:themeShade="BF"/>
          <w:lang w:val="en-GB"/>
        </w:rPr>
        <w:t>unduly</w:t>
      </w:r>
      <w:r w:rsidRPr="00BD291D">
        <w:rPr>
          <w:rFonts w:ascii="Times New Roman" w:hAnsi="Times New Roman" w:cs="Times New Roman"/>
          <w:i/>
          <w:color w:val="2F5496" w:themeColor="accent1" w:themeShade="BF"/>
          <w:lang w:val="en-GB"/>
        </w:rPr>
        <w:t xml:space="preserve"> </w:t>
      </w:r>
      <w:r w:rsidRPr="00BD291D">
        <w:rPr>
          <w:rFonts w:ascii="Times New Roman" w:hAnsi="Times New Roman" w:cs="Times New Roman"/>
          <w:i/>
          <w:lang w:val="en-GB"/>
        </w:rPr>
        <w:t>blocking</w:t>
      </w:r>
      <w:r w:rsidR="00BD291D">
        <w:rPr>
          <w:rFonts w:ascii="Times New Roman" w:hAnsi="Times New Roman" w:cs="Times New Roman"/>
          <w:i/>
          <w:lang w:val="en-GB"/>
        </w:rPr>
        <w:t xml:space="preserve"> </w:t>
      </w:r>
      <w:r w:rsidR="00BD291D" w:rsidRPr="00BD291D">
        <w:rPr>
          <w:rFonts w:ascii="Times New Roman" w:hAnsi="Times New Roman" w:cs="Times New Roman"/>
          <w:b/>
          <w:i/>
          <w:color w:val="2F5496" w:themeColor="accent1" w:themeShade="BF"/>
          <w:lang w:val="en-GB"/>
        </w:rPr>
        <w:t>or shutting down</w:t>
      </w:r>
      <w:r w:rsidR="00BD291D" w:rsidRPr="00BD291D">
        <w:rPr>
          <w:rFonts w:ascii="Times New Roman" w:hAnsi="Times New Roman" w:cs="Times New Roman"/>
          <w:i/>
          <w:color w:val="2F5496" w:themeColor="accent1" w:themeShade="BF"/>
          <w:lang w:val="en-GB"/>
        </w:rPr>
        <w:t xml:space="preserve"> </w:t>
      </w:r>
      <w:r w:rsidR="00BD291D">
        <w:rPr>
          <w:rFonts w:ascii="Times New Roman" w:hAnsi="Times New Roman" w:cs="Times New Roman"/>
          <w:i/>
          <w:lang w:val="en-GB"/>
        </w:rPr>
        <w:t xml:space="preserve">the </w:t>
      </w:r>
      <w:r w:rsidRPr="00BD291D">
        <w:rPr>
          <w:rFonts w:ascii="Times New Roman" w:hAnsi="Times New Roman" w:cs="Times New Roman"/>
          <w:i/>
          <w:lang w:val="en-GB"/>
        </w:rPr>
        <w:t>Internet connectivity in relation to demonstrations.</w:t>
      </w:r>
      <w:r w:rsidRPr="00BD291D">
        <w:rPr>
          <w:rFonts w:ascii="Times New Roman" w:eastAsia="SimSun" w:hAnsi="Times New Roman" w:cs="Times New Roman"/>
          <w:i/>
          <w:vertAlign w:val="superscript"/>
          <w:lang w:val="fr-CH"/>
        </w:rPr>
        <w:footnoteReference w:id="27"/>
      </w:r>
      <w:r w:rsidRPr="00BD291D">
        <w:rPr>
          <w:rFonts w:ascii="Times New Roman" w:hAnsi="Times New Roman" w:cs="Times New Roman"/>
          <w:i/>
          <w:lang w:val="en-GB"/>
        </w:rPr>
        <w:t xml:space="preserve"> The same applies to </w:t>
      </w:r>
      <w:r w:rsidRPr="00BD291D">
        <w:rPr>
          <w:rFonts w:ascii="Times New Roman" w:hAnsi="Times New Roman" w:cs="Times New Roman"/>
          <w:i/>
          <w:color w:val="000000"/>
          <w:spacing w:val="-3"/>
          <w:w w:val="105"/>
          <w:lang w:val="en-GB"/>
        </w:rPr>
        <w:t>geo-targete</w:t>
      </w:r>
      <w:r w:rsidRPr="00BD291D">
        <w:rPr>
          <w:rFonts w:ascii="Times New Roman" w:hAnsi="Times New Roman" w:cs="Times New Roman"/>
          <w:i/>
          <w:color w:val="000000"/>
          <w:w w:val="105"/>
          <w:lang w:val="en-GB"/>
        </w:rPr>
        <w:t>d</w:t>
      </w:r>
      <w:r w:rsidRPr="00BD291D">
        <w:rPr>
          <w:rFonts w:ascii="Times New Roman" w:hAnsi="Times New Roman" w:cs="Times New Roman"/>
          <w:i/>
          <w:color w:val="000000"/>
          <w:spacing w:val="11"/>
          <w:w w:val="105"/>
          <w:lang w:val="en-GB"/>
        </w:rPr>
        <w:t xml:space="preserve"> </w:t>
      </w:r>
      <w:r w:rsidRPr="00BD291D">
        <w:rPr>
          <w:rFonts w:ascii="Times New Roman" w:hAnsi="Times New Roman" w:cs="Times New Roman"/>
          <w:i/>
          <w:color w:val="000000"/>
          <w:spacing w:val="-4"/>
          <w:w w:val="105"/>
          <w:lang w:val="en-GB"/>
        </w:rPr>
        <w:t>o</w:t>
      </w:r>
      <w:r w:rsidRPr="00BD291D">
        <w:rPr>
          <w:rFonts w:ascii="Times New Roman" w:hAnsi="Times New Roman" w:cs="Times New Roman"/>
          <w:i/>
          <w:color w:val="000000"/>
          <w:w w:val="105"/>
          <w:lang w:val="en-GB"/>
        </w:rPr>
        <w:t>r</w:t>
      </w:r>
      <w:r w:rsidRPr="00BD291D">
        <w:rPr>
          <w:rFonts w:ascii="Times New Roman" w:hAnsi="Times New Roman" w:cs="Times New Roman"/>
          <w:i/>
          <w:color w:val="000000"/>
          <w:spacing w:val="10"/>
          <w:w w:val="105"/>
          <w:lang w:val="en-GB"/>
        </w:rPr>
        <w:t xml:space="preserve"> </w:t>
      </w:r>
      <w:r w:rsidRPr="00BD291D">
        <w:rPr>
          <w:rFonts w:ascii="Times New Roman" w:hAnsi="Times New Roman" w:cs="Times New Roman"/>
          <w:i/>
          <w:color w:val="000000"/>
          <w:spacing w:val="-3"/>
          <w:w w:val="105"/>
          <w:lang w:val="en-GB"/>
        </w:rPr>
        <w:t>technology-specifi</w:t>
      </w:r>
      <w:r w:rsidRPr="00BD291D">
        <w:rPr>
          <w:rFonts w:ascii="Times New Roman" w:hAnsi="Times New Roman" w:cs="Times New Roman"/>
          <w:i/>
          <w:color w:val="000000"/>
          <w:w w:val="105"/>
          <w:lang w:val="en-GB"/>
        </w:rPr>
        <w:t>c</w:t>
      </w:r>
      <w:r w:rsidRPr="00BD291D">
        <w:rPr>
          <w:rFonts w:ascii="Times New Roman" w:hAnsi="Times New Roman" w:cs="Times New Roman"/>
          <w:i/>
          <w:color w:val="000000"/>
          <w:spacing w:val="11"/>
          <w:w w:val="105"/>
          <w:lang w:val="en-GB"/>
        </w:rPr>
        <w:t xml:space="preserve"> </w:t>
      </w:r>
      <w:r w:rsidRPr="00BD291D">
        <w:rPr>
          <w:rFonts w:ascii="Times New Roman" w:hAnsi="Times New Roman" w:cs="Times New Roman"/>
          <w:i/>
          <w:color w:val="000000"/>
          <w:spacing w:val="-3"/>
          <w:w w:val="105"/>
          <w:lang w:val="en-GB"/>
        </w:rPr>
        <w:t>interferenc</w:t>
      </w:r>
      <w:r w:rsidRPr="00BD291D">
        <w:rPr>
          <w:rFonts w:ascii="Times New Roman" w:hAnsi="Times New Roman" w:cs="Times New Roman"/>
          <w:i/>
          <w:color w:val="000000"/>
          <w:w w:val="105"/>
          <w:lang w:val="en-GB"/>
        </w:rPr>
        <w:t>e</w:t>
      </w:r>
      <w:r w:rsidRPr="00BD291D">
        <w:rPr>
          <w:rFonts w:ascii="Times New Roman" w:hAnsi="Times New Roman" w:cs="Times New Roman"/>
          <w:i/>
          <w:color w:val="000000"/>
          <w:spacing w:val="10"/>
          <w:w w:val="105"/>
          <w:lang w:val="en-GB"/>
        </w:rPr>
        <w:t xml:space="preserve"> </w:t>
      </w:r>
      <w:r w:rsidRPr="00BD291D">
        <w:rPr>
          <w:rFonts w:ascii="Times New Roman" w:hAnsi="Times New Roman" w:cs="Times New Roman"/>
          <w:i/>
          <w:color w:val="000000"/>
          <w:spacing w:val="-4"/>
          <w:w w:val="105"/>
          <w:lang w:val="en-GB"/>
        </w:rPr>
        <w:t>or</w:t>
      </w:r>
      <w:r w:rsidRPr="00BD291D">
        <w:rPr>
          <w:rFonts w:ascii="Times New Roman" w:hAnsi="Times New Roman" w:cs="Times New Roman"/>
          <w:i/>
          <w:color w:val="000000"/>
          <w:spacing w:val="-3"/>
          <w:lang w:val="en-GB"/>
        </w:rPr>
        <w:t xml:space="preserve"> </w:t>
      </w:r>
      <w:r w:rsidRPr="00BD291D">
        <w:rPr>
          <w:rFonts w:ascii="Times New Roman" w:hAnsi="Times New Roman" w:cs="Times New Roman"/>
          <w:i/>
          <w:color w:val="000000"/>
          <w:spacing w:val="-3"/>
          <w:w w:val="105"/>
          <w:lang w:val="en-GB"/>
        </w:rPr>
        <w:t>hinderin</w:t>
      </w:r>
      <w:r w:rsidRPr="00BD291D">
        <w:rPr>
          <w:rFonts w:ascii="Times New Roman" w:hAnsi="Times New Roman" w:cs="Times New Roman"/>
          <w:i/>
          <w:color w:val="000000"/>
          <w:w w:val="105"/>
          <w:lang w:val="en-GB"/>
        </w:rPr>
        <w:t>g</w:t>
      </w:r>
      <w:r w:rsidRPr="00BD291D">
        <w:rPr>
          <w:rFonts w:ascii="Times New Roman" w:hAnsi="Times New Roman" w:cs="Times New Roman"/>
          <w:i/>
          <w:color w:val="000000"/>
          <w:spacing w:val="15"/>
          <w:w w:val="105"/>
          <w:lang w:val="en-GB"/>
        </w:rPr>
        <w:t xml:space="preserve"> of </w:t>
      </w:r>
      <w:r w:rsidRPr="00BD291D">
        <w:rPr>
          <w:rFonts w:ascii="Times New Roman" w:hAnsi="Times New Roman" w:cs="Times New Roman"/>
          <w:i/>
          <w:color w:val="000000"/>
          <w:spacing w:val="-3"/>
          <w:w w:val="105"/>
          <w:lang w:val="en-GB"/>
        </w:rPr>
        <w:t>connectivit</w:t>
      </w:r>
      <w:r w:rsidRPr="00BD291D">
        <w:rPr>
          <w:rFonts w:ascii="Times New Roman" w:hAnsi="Times New Roman" w:cs="Times New Roman"/>
          <w:i/>
          <w:color w:val="000000"/>
          <w:spacing w:val="-15"/>
          <w:w w:val="105"/>
          <w:lang w:val="en-GB"/>
        </w:rPr>
        <w:t xml:space="preserve">y.  </w:t>
      </w:r>
      <w:r w:rsidRPr="00BD291D">
        <w:rPr>
          <w:rFonts w:ascii="Times New Roman" w:hAnsi="Times New Roman" w:cs="Times New Roman"/>
          <w:i/>
          <w:lang w:val="en-GB"/>
        </w:rPr>
        <w:t xml:space="preserve">States parties should ensure that self-regulation by Internet service providers does not unduly affect assemblies and that the activities of those providers do not unduly infringe upon the privacy or safety of assembly participants. Any </w:t>
      </w:r>
      <w:r w:rsidRPr="00BD291D">
        <w:rPr>
          <w:rFonts w:ascii="Times New Roman" w:hAnsi="Times New Roman" w:cs="Times New Roman"/>
          <w:i/>
          <w:lang w:val="en-GB"/>
        </w:rPr>
        <w:lastRenderedPageBreak/>
        <w:t>restrictions on the operation of information dissemination systems must conform with the tests for restrictions on freedom of expression.</w:t>
      </w:r>
      <w:r w:rsidRPr="00BD291D">
        <w:rPr>
          <w:rFonts w:ascii="Times New Roman" w:eastAsia="SimSun" w:hAnsi="Times New Roman" w:cs="Times New Roman"/>
          <w:i/>
          <w:vertAlign w:val="superscript"/>
          <w:lang w:val="fr-CH"/>
        </w:rPr>
        <w:footnoteReference w:id="28"/>
      </w:r>
      <w:r w:rsidRPr="00BD291D">
        <w:rPr>
          <w:rFonts w:ascii="Times New Roman" w:hAnsi="Times New Roman" w:cs="Times New Roman"/>
          <w:i/>
          <w:lang w:val="en-GB"/>
        </w:rPr>
        <w:t xml:space="preserve"> </w:t>
      </w:r>
    </w:p>
    <w:p w14:paraId="20536494" w14:textId="77777777" w:rsidR="009A57AC" w:rsidRDefault="009A57AC" w:rsidP="00BD291D">
      <w:pPr>
        <w:spacing w:after="120"/>
        <w:ind w:left="1134" w:right="1134"/>
        <w:jc w:val="both"/>
        <w:rPr>
          <w:rFonts w:ascii="Times New Roman" w:hAnsi="Times New Roman" w:cs="Times New Roman"/>
          <w:i/>
          <w:lang w:val="en-GB"/>
        </w:rPr>
      </w:pPr>
    </w:p>
    <w:p w14:paraId="1BA83DB1" w14:textId="77777777" w:rsidR="009A57AC" w:rsidRPr="00AA361E" w:rsidRDefault="009A57AC" w:rsidP="009A57AC">
      <w:pPr>
        <w:pStyle w:val="ListParagraph"/>
        <w:numPr>
          <w:ilvl w:val="0"/>
          <w:numId w:val="5"/>
        </w:numPr>
        <w:ind w:left="1208" w:hanging="357"/>
        <w:rPr>
          <w:rFonts w:ascii="Times New Roman" w:hAnsi="Times New Roman" w:cs="Times New Roman"/>
          <w:sz w:val="32"/>
          <w:lang w:val="en-US"/>
        </w:rPr>
      </w:pPr>
      <w:r w:rsidRPr="00AA361E">
        <w:rPr>
          <w:rFonts w:ascii="Times New Roman" w:hAnsi="Times New Roman" w:cs="Times New Roman"/>
          <w:sz w:val="32"/>
          <w:lang w:val="en-US"/>
        </w:rPr>
        <w:t>Restrictions on the right of peaceful assembly</w:t>
      </w:r>
    </w:p>
    <w:p w14:paraId="78421EE5" w14:textId="77777777" w:rsidR="009A57AC" w:rsidRPr="009A57AC" w:rsidRDefault="009A57AC" w:rsidP="009A57AC">
      <w:pPr>
        <w:spacing w:after="120"/>
        <w:ind w:right="1134"/>
        <w:jc w:val="both"/>
        <w:rPr>
          <w:rFonts w:ascii="Times New Roman" w:hAnsi="Times New Roman" w:cs="Times New Roman"/>
          <w:i/>
          <w:lang w:val="en-US"/>
        </w:rPr>
      </w:pPr>
    </w:p>
    <w:p w14:paraId="7A81DFF9" w14:textId="33E62AD0" w:rsidR="00937972" w:rsidRPr="005861F0" w:rsidRDefault="00141207" w:rsidP="00E14BA5">
      <w:pPr>
        <w:pStyle w:val="ListParagraph"/>
        <w:numPr>
          <w:ilvl w:val="0"/>
          <w:numId w:val="11"/>
        </w:numPr>
        <w:spacing w:after="120"/>
        <w:jc w:val="both"/>
        <w:rPr>
          <w:rFonts w:ascii="Times New Roman" w:hAnsi="Times New Roman" w:cs="Times New Roman"/>
          <w:b/>
          <w:i/>
          <w:lang w:val="en-GB"/>
        </w:rPr>
      </w:pPr>
      <w:r w:rsidRPr="005861F0">
        <w:rPr>
          <w:rFonts w:ascii="Times New Roman" w:hAnsi="Times New Roman" w:cs="Times New Roman"/>
          <w:b/>
          <w:lang w:val="en-US"/>
        </w:rPr>
        <w:t xml:space="preserve">The Special Rapporteur </w:t>
      </w:r>
      <w:r w:rsidR="005861F0" w:rsidRPr="005861F0">
        <w:rPr>
          <w:rFonts w:ascii="Times New Roman" w:hAnsi="Times New Roman" w:cs="Times New Roman"/>
          <w:b/>
          <w:lang w:val="en-US"/>
        </w:rPr>
        <w:t>offers the following suggestions to</w:t>
      </w:r>
      <w:r w:rsidRPr="005861F0">
        <w:rPr>
          <w:rFonts w:ascii="Times New Roman" w:hAnsi="Times New Roman" w:cs="Times New Roman"/>
          <w:b/>
          <w:lang w:val="en-US"/>
        </w:rPr>
        <w:t xml:space="preserve"> paragraph 42</w:t>
      </w:r>
      <w:r w:rsidR="005861F0" w:rsidRPr="005861F0">
        <w:rPr>
          <w:rFonts w:ascii="Times New Roman" w:hAnsi="Times New Roman" w:cs="Times New Roman"/>
          <w:b/>
          <w:lang w:val="en-US"/>
        </w:rPr>
        <w:t xml:space="preserve"> of the revised draft: </w:t>
      </w:r>
      <w:r w:rsidRPr="005861F0">
        <w:rPr>
          <w:rFonts w:ascii="Times New Roman" w:hAnsi="Times New Roman" w:cs="Times New Roman"/>
          <w:b/>
          <w:lang w:val="en-US"/>
        </w:rPr>
        <w:t xml:space="preserve"> </w:t>
      </w:r>
    </w:p>
    <w:p w14:paraId="48CB01DC" w14:textId="77777777" w:rsidR="00141207" w:rsidRDefault="00141207" w:rsidP="00141207">
      <w:pPr>
        <w:pStyle w:val="ListParagraph"/>
        <w:spacing w:after="120"/>
        <w:ind w:left="357"/>
        <w:jc w:val="both"/>
        <w:rPr>
          <w:rFonts w:ascii="Times New Roman" w:hAnsi="Times New Roman" w:cs="Times New Roman"/>
          <w:i/>
          <w:lang w:val="en-GB"/>
        </w:rPr>
      </w:pPr>
    </w:p>
    <w:p w14:paraId="4FA44AB4" w14:textId="6CD2CC28" w:rsidR="00141207" w:rsidRDefault="00141207" w:rsidP="00141207">
      <w:pPr>
        <w:pStyle w:val="ListParagraph"/>
        <w:spacing w:after="120"/>
        <w:ind w:left="1134" w:right="1134"/>
        <w:jc w:val="both"/>
        <w:rPr>
          <w:rFonts w:ascii="Times New Roman" w:hAnsi="Times New Roman" w:cs="Times New Roman"/>
          <w:i/>
          <w:lang w:val="en-GB"/>
        </w:rPr>
      </w:pPr>
      <w:r w:rsidRPr="00141207">
        <w:rPr>
          <w:rFonts w:ascii="Times New Roman" w:hAnsi="Times New Roman" w:cs="Times New Roman"/>
          <w:i/>
          <w:lang w:val="en-GB"/>
        </w:rPr>
        <w:t xml:space="preserve">Any restrictions on participation in peaceful assemblies should </w:t>
      </w:r>
      <w:r w:rsidRPr="00141207">
        <w:rPr>
          <w:rFonts w:ascii="Times New Roman" w:hAnsi="Times New Roman" w:cs="Times New Roman"/>
          <w:b/>
          <w:i/>
          <w:strike/>
          <w:color w:val="2F5496" w:themeColor="accent1" w:themeShade="BF"/>
          <w:lang w:val="en-GB"/>
        </w:rPr>
        <w:t>in principle</w:t>
      </w:r>
      <w:r w:rsidRPr="00141207">
        <w:rPr>
          <w:rFonts w:ascii="Times New Roman" w:hAnsi="Times New Roman" w:cs="Times New Roman"/>
          <w:i/>
          <w:lang w:val="en-GB"/>
        </w:rPr>
        <w:t xml:space="preserve"> be based on a differentiated or individualized assessment of the conduct of the individual and the assembly concerned. Blanket restrictions on participation in peaceful assemblies are presumptively disproportionate.</w:t>
      </w:r>
    </w:p>
    <w:p w14:paraId="11905B79" w14:textId="77777777" w:rsidR="00141207" w:rsidRPr="00141207" w:rsidRDefault="00141207" w:rsidP="00141207">
      <w:pPr>
        <w:spacing w:after="120"/>
        <w:ind w:right="1134"/>
        <w:jc w:val="both"/>
        <w:rPr>
          <w:rFonts w:ascii="Times New Roman" w:hAnsi="Times New Roman" w:cs="Times New Roman"/>
          <w:i/>
          <w:lang w:val="en-GB"/>
        </w:rPr>
      </w:pPr>
    </w:p>
    <w:p w14:paraId="55033DD9" w14:textId="6059FE6D" w:rsidR="008D20DF" w:rsidRPr="008D20DF" w:rsidRDefault="008D20DF" w:rsidP="00E14BA5">
      <w:pPr>
        <w:pStyle w:val="ListParagraph"/>
        <w:numPr>
          <w:ilvl w:val="0"/>
          <w:numId w:val="11"/>
        </w:numPr>
        <w:spacing w:after="120"/>
        <w:jc w:val="both"/>
        <w:rPr>
          <w:rFonts w:ascii="Times New Roman" w:hAnsi="Times New Roman" w:cs="Times New Roman"/>
          <w:b/>
          <w:i/>
          <w:lang w:val="en-GB"/>
        </w:rPr>
      </w:pPr>
      <w:r w:rsidRPr="005861F0">
        <w:rPr>
          <w:rFonts w:ascii="Times New Roman" w:hAnsi="Times New Roman" w:cs="Times New Roman"/>
          <w:b/>
          <w:lang w:val="en-US"/>
        </w:rPr>
        <w:t xml:space="preserve">The Special Rapporteur offers the following suggestions to </w:t>
      </w:r>
      <w:r>
        <w:rPr>
          <w:rFonts w:ascii="Times New Roman" w:hAnsi="Times New Roman" w:cs="Times New Roman"/>
          <w:b/>
          <w:lang w:val="en-US"/>
        </w:rPr>
        <w:t>paragraph 53</w:t>
      </w:r>
      <w:r w:rsidRPr="005861F0">
        <w:rPr>
          <w:rFonts w:ascii="Times New Roman" w:hAnsi="Times New Roman" w:cs="Times New Roman"/>
          <w:b/>
          <w:lang w:val="en-US"/>
        </w:rPr>
        <w:t xml:space="preserve"> of the revised draft:  </w:t>
      </w:r>
    </w:p>
    <w:p w14:paraId="77828804" w14:textId="2C98839A" w:rsidR="008D20DF" w:rsidRDefault="008D20DF" w:rsidP="008D20DF">
      <w:pPr>
        <w:pStyle w:val="ListParagraph"/>
        <w:spacing w:after="120"/>
        <w:ind w:left="1134" w:right="1134"/>
        <w:jc w:val="both"/>
        <w:rPr>
          <w:color w:val="000000"/>
          <w:lang w:val="en-GB"/>
        </w:rPr>
      </w:pPr>
      <w:r w:rsidRPr="008D20DF">
        <w:rPr>
          <w:rFonts w:ascii="Times New Roman" w:hAnsi="Times New Roman" w:cs="Times New Roman"/>
          <w:i/>
          <w:lang w:val="en-GB"/>
        </w:rPr>
        <w:t xml:space="preserve">Restrictions imposed on an assembly on the ground that they are for “the protection of the rights and freedoms of others” may relate to the protection of Covenant or other [fundamental] rights of people not participating in the assembly. The protection of the right to life, freedom from ill-treatment, movement, </w:t>
      </w:r>
      <w:r w:rsidRPr="008D20DF">
        <w:rPr>
          <w:rFonts w:ascii="Times New Roman" w:hAnsi="Times New Roman" w:cs="Times New Roman"/>
          <w:b/>
          <w:i/>
          <w:strike/>
          <w:color w:val="2F5496" w:themeColor="accent1" w:themeShade="BF"/>
          <w:lang w:val="en-GB"/>
        </w:rPr>
        <w:t>[property</w:t>
      </w:r>
      <w:r w:rsidRPr="008D20DF">
        <w:rPr>
          <w:b/>
          <w:strike/>
          <w:color w:val="2F5496" w:themeColor="accent1" w:themeShade="BF"/>
          <w:lang w:val="en-GB"/>
        </w:rPr>
        <w:t xml:space="preserve"> </w:t>
      </w:r>
      <w:r w:rsidRPr="008D20DF">
        <w:rPr>
          <w:rFonts w:ascii="Times New Roman" w:hAnsi="Times New Roman" w:cs="Times New Roman"/>
          <w:b/>
          <w:i/>
          <w:strike/>
          <w:color w:val="2F5496" w:themeColor="accent1" w:themeShade="BF"/>
          <w:lang w:val="en-GB"/>
        </w:rPr>
        <w:t>rights]</w:t>
      </w:r>
      <w:r w:rsidRPr="008D20DF">
        <w:rPr>
          <w:rFonts w:ascii="Times New Roman" w:hAnsi="Times New Roman" w:cs="Times New Roman"/>
          <w:i/>
          <w:lang w:val="en-GB"/>
        </w:rPr>
        <w:t xml:space="preserve"> or the right to work may, for example, potentially justify restrictions. At the same time, since assemblies may entail by their very nature a certain level of disruption to ordinary life, such disruptions have to be accommodated,</w:t>
      </w:r>
      <w:r>
        <w:rPr>
          <w:rFonts w:ascii="Times New Roman" w:hAnsi="Times New Roman" w:cs="Times New Roman"/>
          <w:i/>
          <w:lang w:val="en-GB"/>
        </w:rPr>
        <w:t xml:space="preserve"> </w:t>
      </w:r>
      <w:r w:rsidRPr="00E34CC0">
        <w:rPr>
          <w:rFonts w:ascii="Times New Roman" w:hAnsi="Times New Roman" w:cs="Times New Roman"/>
          <w:b/>
          <w:i/>
          <w:color w:val="2F5496" w:themeColor="accent1" w:themeShade="BF"/>
          <w:lang w:val="en-GB"/>
        </w:rPr>
        <w:t xml:space="preserve">unless authorities can prove </w:t>
      </w:r>
      <w:r w:rsidRPr="00E34CC0">
        <w:rPr>
          <w:rFonts w:ascii="Times New Roman" w:hAnsi="Times New Roman" w:cs="Times New Roman"/>
          <w:b/>
          <w:i/>
          <w:color w:val="2F5496" w:themeColor="accent1" w:themeShade="BF"/>
          <w:lang w:val="en-GB"/>
        </w:rPr>
        <w:lastRenderedPageBreak/>
        <w:t>that restrictions on</w:t>
      </w:r>
      <w:r w:rsidR="00E45603">
        <w:rPr>
          <w:rFonts w:ascii="Times New Roman" w:hAnsi="Times New Roman" w:cs="Times New Roman"/>
          <w:b/>
          <w:i/>
          <w:color w:val="2F5496" w:themeColor="accent1" w:themeShade="BF"/>
          <w:lang w:val="en-GB"/>
        </w:rPr>
        <w:t xml:space="preserve"> the</w:t>
      </w:r>
      <w:r w:rsidRPr="00E34CC0">
        <w:rPr>
          <w:rFonts w:ascii="Times New Roman" w:hAnsi="Times New Roman" w:cs="Times New Roman"/>
          <w:b/>
          <w:i/>
          <w:color w:val="2F5496" w:themeColor="accent1" w:themeShade="BF"/>
          <w:lang w:val="en-GB"/>
        </w:rPr>
        <w:t xml:space="preserve"> ground</w:t>
      </w:r>
      <w:r w:rsidR="00E45603">
        <w:rPr>
          <w:rFonts w:ascii="Times New Roman" w:hAnsi="Times New Roman" w:cs="Times New Roman"/>
          <w:b/>
          <w:i/>
          <w:color w:val="2F5496" w:themeColor="accent1" w:themeShade="BF"/>
          <w:lang w:val="en-GB"/>
        </w:rPr>
        <w:t>s</w:t>
      </w:r>
      <w:r w:rsidRPr="00E34CC0">
        <w:rPr>
          <w:rFonts w:ascii="Times New Roman" w:hAnsi="Times New Roman" w:cs="Times New Roman"/>
          <w:b/>
          <w:i/>
          <w:color w:val="2F5496" w:themeColor="accent1" w:themeShade="BF"/>
          <w:lang w:val="en-GB"/>
        </w:rPr>
        <w:t xml:space="preserve"> of the protection of other rights are necessary and proportionate. Excessive restrictions on the grounds of the right to freedom of movement must be avoided.</w:t>
      </w:r>
      <w:r w:rsidRPr="00E34CC0">
        <w:rPr>
          <w:rFonts w:ascii="Times New Roman" w:hAnsi="Times New Roman" w:cs="Times New Roman"/>
          <w:i/>
          <w:color w:val="2F5496" w:themeColor="accent1" w:themeShade="BF"/>
          <w:lang w:val="en-GB"/>
        </w:rPr>
        <w:t xml:space="preserve"> </w:t>
      </w:r>
      <w:r w:rsidRPr="008D20DF">
        <w:rPr>
          <w:rFonts w:ascii="Times New Roman" w:hAnsi="Times New Roman" w:cs="Times New Roman"/>
          <w:b/>
          <w:i/>
          <w:strike/>
          <w:color w:val="2E74B5" w:themeColor="accent5" w:themeShade="BF"/>
          <w:lang w:val="en-GB"/>
        </w:rPr>
        <w:t>unless they impose a disproportionate burden, in which case the authorities must be able to provide detailed justification for any restrictions</w:t>
      </w:r>
      <w:r w:rsidRPr="008D20DF">
        <w:rPr>
          <w:rFonts w:ascii="Times New Roman" w:hAnsi="Times New Roman" w:cs="Times New Roman"/>
          <w:i/>
          <w:lang w:val="en-GB"/>
        </w:rPr>
        <w:t>.</w:t>
      </w:r>
      <w:r w:rsidRPr="008D20DF">
        <w:rPr>
          <w:rFonts w:ascii="Times New Roman" w:hAnsi="Times New Roman" w:cs="Times New Roman"/>
          <w:i/>
          <w:vertAlign w:val="superscript"/>
          <w:lang w:val="en-GB"/>
        </w:rPr>
        <w:footnoteReference w:id="29"/>
      </w:r>
      <w:r w:rsidRPr="008D20DF">
        <w:rPr>
          <w:rFonts w:ascii="Times New Roman" w:hAnsi="Times New Roman" w:cs="Times New Roman"/>
          <w:i/>
          <w:lang w:val="en-GB"/>
        </w:rPr>
        <w:t xml:space="preserve"> </w:t>
      </w:r>
      <w:r w:rsidRPr="008D20DF">
        <w:rPr>
          <w:color w:val="000000"/>
          <w:lang w:val="en-GB"/>
        </w:rPr>
        <w:t xml:space="preserve">   </w:t>
      </w:r>
    </w:p>
    <w:p w14:paraId="1AAA63A3" w14:textId="77777777" w:rsidR="00E34CC0" w:rsidRDefault="00E34CC0" w:rsidP="008D20DF">
      <w:pPr>
        <w:pStyle w:val="ListParagraph"/>
        <w:spacing w:after="120"/>
        <w:ind w:left="1134" w:right="1134"/>
        <w:jc w:val="both"/>
        <w:rPr>
          <w:color w:val="000000"/>
          <w:lang w:val="en-GB"/>
        </w:rPr>
      </w:pPr>
    </w:p>
    <w:p w14:paraId="4FCE4E72" w14:textId="749636B1" w:rsidR="00E34CC0" w:rsidRPr="00E34CC0" w:rsidRDefault="00E34CC0" w:rsidP="00E14BA5">
      <w:pPr>
        <w:pStyle w:val="ListParagraph"/>
        <w:numPr>
          <w:ilvl w:val="0"/>
          <w:numId w:val="11"/>
        </w:numPr>
        <w:spacing w:after="120"/>
        <w:jc w:val="both"/>
        <w:rPr>
          <w:rFonts w:ascii="Times New Roman" w:hAnsi="Times New Roman" w:cs="Times New Roman"/>
          <w:b/>
          <w:i/>
          <w:lang w:val="en-GB"/>
        </w:rPr>
      </w:pPr>
      <w:r>
        <w:rPr>
          <w:rFonts w:ascii="Times New Roman" w:hAnsi="Times New Roman" w:cs="Times New Roman"/>
          <w:b/>
          <w:i/>
          <w:lang w:val="en-GB"/>
        </w:rPr>
        <w:t xml:space="preserve"> </w:t>
      </w:r>
      <w:r w:rsidRPr="005861F0">
        <w:rPr>
          <w:rFonts w:ascii="Times New Roman" w:hAnsi="Times New Roman" w:cs="Times New Roman"/>
          <w:b/>
          <w:lang w:val="en-US"/>
        </w:rPr>
        <w:t xml:space="preserve">The Special Rapporteur offers the following suggestions to </w:t>
      </w:r>
      <w:r>
        <w:rPr>
          <w:rFonts w:ascii="Times New Roman" w:hAnsi="Times New Roman" w:cs="Times New Roman"/>
          <w:b/>
          <w:lang w:val="en-US"/>
        </w:rPr>
        <w:t>paragraph 57</w:t>
      </w:r>
      <w:r w:rsidRPr="005861F0">
        <w:rPr>
          <w:rFonts w:ascii="Times New Roman" w:hAnsi="Times New Roman" w:cs="Times New Roman"/>
          <w:b/>
          <w:lang w:val="en-US"/>
        </w:rPr>
        <w:t xml:space="preserve"> of the revised draft:  </w:t>
      </w:r>
    </w:p>
    <w:p w14:paraId="517C56FD" w14:textId="79181403" w:rsidR="00E34CC0" w:rsidRDefault="00E34CC0" w:rsidP="00E34CC0">
      <w:pPr>
        <w:spacing w:after="120"/>
        <w:ind w:left="1134" w:right="1134"/>
        <w:jc w:val="both"/>
        <w:rPr>
          <w:rFonts w:ascii="Times New Roman" w:hAnsi="Times New Roman" w:cs="Times New Roman"/>
          <w:i/>
          <w:lang w:val="en-GB"/>
        </w:rPr>
      </w:pPr>
      <w:r w:rsidRPr="00E34CC0">
        <w:rPr>
          <w:rFonts w:ascii="Times New Roman" w:hAnsi="Times New Roman" w:cs="Times New Roman"/>
          <w:i/>
          <w:lang w:val="en-GB"/>
        </w:rPr>
        <w:t>In accordance with article 20 of the Covenant, peaceful assemblies may not be used for any propaganda for war (paragraph 1), or for any advocacy of national, racial or religious hatred that constitutes incitement to discrimination, hostility or violence (paragraph 2).</w:t>
      </w:r>
      <w:r w:rsidRPr="00E34CC0">
        <w:rPr>
          <w:rFonts w:ascii="Times New Roman" w:eastAsia="SimSun" w:hAnsi="Times New Roman" w:cs="Times New Roman"/>
          <w:i/>
          <w:vertAlign w:val="superscript"/>
          <w:lang w:val="fr-CH"/>
        </w:rPr>
        <w:footnoteReference w:id="30"/>
      </w:r>
      <w:r w:rsidRPr="00E34CC0">
        <w:rPr>
          <w:rFonts w:ascii="Times New Roman" w:hAnsi="Times New Roman" w:cs="Times New Roman"/>
          <w:i/>
          <w:lang w:val="en-GB"/>
        </w:rPr>
        <w:t xml:space="preserve"> Assemblies</w:t>
      </w:r>
      <w:r>
        <w:rPr>
          <w:rFonts w:ascii="Times New Roman" w:hAnsi="Times New Roman" w:cs="Times New Roman"/>
          <w:i/>
          <w:lang w:val="en-GB"/>
        </w:rPr>
        <w:t xml:space="preserve"> </w:t>
      </w:r>
      <w:r w:rsidRPr="00E34CC0">
        <w:rPr>
          <w:rFonts w:ascii="Times New Roman" w:hAnsi="Times New Roman" w:cs="Times New Roman"/>
          <w:b/>
          <w:i/>
          <w:color w:val="2F5496" w:themeColor="accent1" w:themeShade="BF"/>
          <w:lang w:val="en-GB"/>
        </w:rPr>
        <w:t>whose purpose explicitly and unequivocally</w:t>
      </w:r>
      <w:r w:rsidRPr="00E34CC0">
        <w:rPr>
          <w:rFonts w:ascii="Times New Roman" w:hAnsi="Times New Roman" w:cs="Times New Roman"/>
          <w:i/>
          <w:color w:val="2F5496" w:themeColor="accent1" w:themeShade="BF"/>
          <w:lang w:val="en-GB"/>
        </w:rPr>
        <w:t xml:space="preserve"> </w:t>
      </w:r>
      <w:r w:rsidRPr="00E34CC0">
        <w:rPr>
          <w:rFonts w:ascii="Times New Roman" w:hAnsi="Times New Roman" w:cs="Times New Roman"/>
          <w:i/>
          <w:lang w:val="en-GB"/>
        </w:rPr>
        <w:t xml:space="preserve"> </w:t>
      </w:r>
      <w:r w:rsidRPr="00E34CC0">
        <w:rPr>
          <w:rFonts w:ascii="Times New Roman" w:hAnsi="Times New Roman" w:cs="Times New Roman"/>
          <w:b/>
          <w:i/>
          <w:strike/>
          <w:color w:val="2F5496" w:themeColor="accent1" w:themeShade="BF"/>
          <w:lang w:val="en-GB"/>
        </w:rPr>
        <w:t>which</w:t>
      </w:r>
      <w:r w:rsidRPr="00E34CC0">
        <w:rPr>
          <w:rFonts w:ascii="Times New Roman" w:hAnsi="Times New Roman" w:cs="Times New Roman"/>
          <w:i/>
          <w:color w:val="2F5496" w:themeColor="accent1" w:themeShade="BF"/>
          <w:lang w:val="en-GB"/>
        </w:rPr>
        <w:t xml:space="preserve"> </w:t>
      </w:r>
      <w:r w:rsidRPr="00E34CC0">
        <w:rPr>
          <w:rFonts w:ascii="Times New Roman" w:hAnsi="Times New Roman" w:cs="Times New Roman"/>
          <w:i/>
          <w:lang w:val="en-GB"/>
        </w:rPr>
        <w:t>[in their entirety] fall</w:t>
      </w:r>
      <w:r w:rsidRPr="00E34CC0">
        <w:rPr>
          <w:rFonts w:ascii="Times New Roman" w:hAnsi="Times New Roman" w:cs="Times New Roman"/>
          <w:b/>
          <w:i/>
          <w:color w:val="2F5496" w:themeColor="accent1" w:themeShade="BF"/>
          <w:lang w:val="en-GB"/>
        </w:rPr>
        <w:t xml:space="preserve">s </w:t>
      </w:r>
      <w:r w:rsidRPr="00E34CC0">
        <w:rPr>
          <w:rFonts w:ascii="Times New Roman" w:hAnsi="Times New Roman" w:cs="Times New Roman"/>
          <w:i/>
          <w:lang w:val="en-GB"/>
        </w:rPr>
        <w:t>within the scope of article 20 must be prohibited. As far as possible, action should be taken in such cases against the individual perpetrators, rather than against the assembly as a whole.</w:t>
      </w:r>
      <w:r w:rsidRPr="00E34CC0">
        <w:rPr>
          <w:rFonts w:ascii="Times New Roman" w:eastAsia="SimSun" w:hAnsi="Times New Roman" w:cs="Times New Roman"/>
          <w:i/>
          <w:vertAlign w:val="superscript"/>
          <w:lang w:val="fr-CH"/>
        </w:rPr>
        <w:footnoteReference w:id="31"/>
      </w:r>
      <w:r w:rsidRPr="00E34CC0">
        <w:rPr>
          <w:rFonts w:ascii="Times New Roman" w:hAnsi="Times New Roman" w:cs="Times New Roman"/>
          <w:i/>
          <w:lang w:val="en-GB"/>
        </w:rPr>
        <w:t xml:space="preserve"> </w:t>
      </w:r>
    </w:p>
    <w:p w14:paraId="0F3D5267" w14:textId="77777777" w:rsidR="007821B3" w:rsidRDefault="007821B3" w:rsidP="00E34CC0">
      <w:pPr>
        <w:spacing w:after="120"/>
        <w:ind w:left="1134" w:right="1134"/>
        <w:jc w:val="both"/>
        <w:rPr>
          <w:rFonts w:ascii="Times New Roman" w:hAnsi="Times New Roman" w:cs="Times New Roman"/>
          <w:i/>
          <w:lang w:val="en-GB"/>
        </w:rPr>
      </w:pPr>
    </w:p>
    <w:p w14:paraId="6E9D3655" w14:textId="24DDC189" w:rsidR="006B1062" w:rsidRPr="00E818B2" w:rsidRDefault="007821B3" w:rsidP="00E14BA5">
      <w:pPr>
        <w:pStyle w:val="ListParagraph"/>
        <w:numPr>
          <w:ilvl w:val="0"/>
          <w:numId w:val="11"/>
        </w:numPr>
        <w:spacing w:after="120"/>
        <w:jc w:val="both"/>
        <w:rPr>
          <w:rFonts w:ascii="Times New Roman" w:hAnsi="Times New Roman" w:cs="Times New Roman"/>
          <w:lang w:val="en-GB"/>
        </w:rPr>
      </w:pPr>
      <w:r w:rsidRPr="00E818B2">
        <w:rPr>
          <w:rFonts w:ascii="Times New Roman" w:hAnsi="Times New Roman" w:cs="Times New Roman"/>
          <w:lang w:val="en-GB"/>
        </w:rPr>
        <w:lastRenderedPageBreak/>
        <w:t xml:space="preserve">In relation to the mention of sustained gatherings in </w:t>
      </w:r>
      <w:r w:rsidRPr="00E14BA5">
        <w:rPr>
          <w:rFonts w:ascii="Times New Roman" w:hAnsi="Times New Roman" w:cs="Times New Roman"/>
          <w:b/>
          <w:lang w:val="en-GB"/>
        </w:rPr>
        <w:t>paragraph 62</w:t>
      </w:r>
      <w:r w:rsidRPr="00E818B2">
        <w:rPr>
          <w:rFonts w:ascii="Times New Roman" w:hAnsi="Times New Roman" w:cs="Times New Roman"/>
          <w:lang w:val="en-GB"/>
        </w:rPr>
        <w:t xml:space="preserve"> of the revised draft, even if it is an important argument, the Special Rapporteur suggest to remove it. There are contexts in which sustained gatherings are done by the most disenfranchised people in society and those who advocate the most ignored causes (mothers of disappeared facing years of impunity, victims of forced eviction that established camps, indigenous people occupying lands or farmers blocking roadways. It is dangerous to include in the text of the general comment this proportionality requirement for sustained gatherings because it is complicated to do a test of proportionality, each case is different and the only way to address such gatherings is through dialogue.</w:t>
      </w:r>
    </w:p>
    <w:p w14:paraId="6A566D39" w14:textId="77777777" w:rsidR="007821B3" w:rsidRPr="00E818B2" w:rsidRDefault="007821B3" w:rsidP="007821B3">
      <w:pPr>
        <w:pStyle w:val="ListParagraph"/>
        <w:spacing w:after="120"/>
        <w:ind w:left="357"/>
        <w:jc w:val="both"/>
        <w:rPr>
          <w:rFonts w:ascii="Times New Roman" w:hAnsi="Times New Roman" w:cs="Times New Roman"/>
          <w:lang w:val="en-GB"/>
        </w:rPr>
      </w:pPr>
    </w:p>
    <w:p w14:paraId="6AE9C2A9" w14:textId="3CEF3D36" w:rsidR="007821B3" w:rsidRDefault="00E818B2" w:rsidP="00E14BA5">
      <w:pPr>
        <w:pStyle w:val="ListParagraph"/>
        <w:numPr>
          <w:ilvl w:val="0"/>
          <w:numId w:val="11"/>
        </w:numPr>
        <w:spacing w:after="120"/>
        <w:jc w:val="both"/>
        <w:rPr>
          <w:rFonts w:ascii="Times New Roman" w:hAnsi="Times New Roman" w:cs="Times New Roman"/>
          <w:lang w:val="en-GB"/>
        </w:rPr>
      </w:pPr>
      <w:r>
        <w:rPr>
          <w:rFonts w:ascii="Times New Roman" w:hAnsi="Times New Roman" w:cs="Times New Roman"/>
          <w:lang w:val="en-GB"/>
        </w:rPr>
        <w:t xml:space="preserve">The Special Rapporteur would like to emphasize again that </w:t>
      </w:r>
      <w:r w:rsidRPr="00E818B2">
        <w:rPr>
          <w:rFonts w:ascii="Times New Roman" w:hAnsi="Times New Roman" w:cs="Times New Roman"/>
          <w:b/>
          <w:lang w:val="en-GB"/>
        </w:rPr>
        <w:t>blanket bans, including bans on the exercise of the right entirely or on any exercise of the right in specific places or at particular times, are intrinsically disproportionate</w:t>
      </w:r>
      <w:r>
        <w:rPr>
          <w:rFonts w:ascii="Times New Roman" w:hAnsi="Times New Roman" w:cs="Times New Roman"/>
          <w:lang w:val="en-GB"/>
        </w:rPr>
        <w:t>, because they preclude consideration of the specific circumstances of each proposed assembly</w:t>
      </w:r>
      <w:r>
        <w:rPr>
          <w:rStyle w:val="FootnoteReference"/>
          <w:rFonts w:cs="Times New Roman"/>
        </w:rPr>
        <w:footnoteReference w:id="32"/>
      </w:r>
      <w:r>
        <w:rPr>
          <w:rFonts w:ascii="Times New Roman" w:hAnsi="Times New Roman" w:cs="Times New Roman"/>
          <w:lang w:val="en-GB"/>
        </w:rPr>
        <w:t xml:space="preserve">. The Special Rapporteur is worried that the revised draft gives more reasons than needed for States to restrict assemblies and considers it dangerous. </w:t>
      </w:r>
    </w:p>
    <w:p w14:paraId="3C96CD1B" w14:textId="77777777" w:rsidR="00E818B2" w:rsidRPr="00E818B2" w:rsidRDefault="00E818B2" w:rsidP="00E818B2">
      <w:pPr>
        <w:pStyle w:val="ListParagraph"/>
        <w:rPr>
          <w:rFonts w:ascii="Times New Roman" w:hAnsi="Times New Roman" w:cs="Times New Roman"/>
          <w:lang w:val="en-GB"/>
        </w:rPr>
      </w:pPr>
    </w:p>
    <w:p w14:paraId="1926B2E0" w14:textId="2303907C" w:rsidR="00E818B2" w:rsidRPr="00E34CC0" w:rsidRDefault="00E818B2" w:rsidP="00E14BA5">
      <w:pPr>
        <w:pStyle w:val="ListParagraph"/>
        <w:numPr>
          <w:ilvl w:val="0"/>
          <w:numId w:val="11"/>
        </w:numPr>
        <w:spacing w:after="120"/>
        <w:jc w:val="both"/>
        <w:rPr>
          <w:rFonts w:ascii="Times New Roman" w:hAnsi="Times New Roman" w:cs="Times New Roman"/>
          <w:b/>
          <w:i/>
          <w:lang w:val="en-GB"/>
        </w:rPr>
      </w:pPr>
      <w:r w:rsidRPr="005861F0">
        <w:rPr>
          <w:rFonts w:ascii="Times New Roman" w:hAnsi="Times New Roman" w:cs="Times New Roman"/>
          <w:b/>
          <w:lang w:val="en-US"/>
        </w:rPr>
        <w:t xml:space="preserve">The Special Rapporteur offers the following suggestions to </w:t>
      </w:r>
      <w:r>
        <w:rPr>
          <w:rFonts w:ascii="Times New Roman" w:hAnsi="Times New Roman" w:cs="Times New Roman"/>
          <w:b/>
          <w:lang w:val="en-US"/>
        </w:rPr>
        <w:t>paragraphs 63, 64 and 70</w:t>
      </w:r>
      <w:r w:rsidRPr="005861F0">
        <w:rPr>
          <w:rFonts w:ascii="Times New Roman" w:hAnsi="Times New Roman" w:cs="Times New Roman"/>
          <w:b/>
          <w:lang w:val="en-US"/>
        </w:rPr>
        <w:t xml:space="preserve"> of the revised draft:  </w:t>
      </w:r>
    </w:p>
    <w:p w14:paraId="00AB0977" w14:textId="77777777" w:rsidR="00E818B2" w:rsidRDefault="00E818B2" w:rsidP="00E818B2">
      <w:pPr>
        <w:pStyle w:val="ListParagraph"/>
        <w:spacing w:after="120"/>
        <w:ind w:left="357"/>
        <w:jc w:val="both"/>
        <w:rPr>
          <w:rFonts w:ascii="Times New Roman" w:hAnsi="Times New Roman" w:cs="Times New Roman"/>
          <w:lang w:val="en-GB"/>
        </w:rPr>
      </w:pPr>
    </w:p>
    <w:p w14:paraId="69341A35" w14:textId="4E15A5C7" w:rsidR="00E818B2" w:rsidRPr="00E818B2" w:rsidRDefault="00E818B2" w:rsidP="00E818B2">
      <w:pPr>
        <w:spacing w:after="120"/>
        <w:ind w:left="1134" w:right="1134"/>
        <w:jc w:val="both"/>
        <w:rPr>
          <w:rFonts w:ascii="Times New Roman" w:hAnsi="Times New Roman" w:cs="Times New Roman"/>
          <w:i/>
          <w:lang w:val="en-GB"/>
        </w:rPr>
      </w:pPr>
      <w:r w:rsidRPr="00E818B2">
        <w:rPr>
          <w:rFonts w:ascii="Times New Roman" w:hAnsi="Times New Roman" w:cs="Times New Roman"/>
          <w:b/>
          <w:i/>
          <w:color w:val="2F5496" w:themeColor="accent1" w:themeShade="BF"/>
          <w:lang w:val="en-GB"/>
        </w:rPr>
        <w:t>Blanket</w:t>
      </w:r>
      <w:r w:rsidRPr="00E818B2">
        <w:rPr>
          <w:rFonts w:ascii="Times New Roman" w:hAnsi="Times New Roman" w:cs="Times New Roman"/>
          <w:i/>
          <w:color w:val="2F5496" w:themeColor="accent1" w:themeShade="BF"/>
          <w:lang w:val="en-GB"/>
        </w:rPr>
        <w:t xml:space="preserve"> </w:t>
      </w:r>
      <w:r>
        <w:rPr>
          <w:rFonts w:ascii="Times New Roman" w:hAnsi="Times New Roman" w:cs="Times New Roman"/>
          <w:i/>
          <w:lang w:val="en-GB"/>
        </w:rPr>
        <w:t>r</w:t>
      </w:r>
      <w:r w:rsidRPr="00E818B2">
        <w:rPr>
          <w:rFonts w:ascii="Times New Roman" w:hAnsi="Times New Roman" w:cs="Times New Roman"/>
          <w:i/>
          <w:lang w:val="en-GB"/>
        </w:rPr>
        <w:t>estrictions on the precise time of day or date when assemblies can or cannot be held,</w:t>
      </w:r>
      <w:r>
        <w:rPr>
          <w:rFonts w:ascii="Times New Roman" w:hAnsi="Times New Roman" w:cs="Times New Roman"/>
          <w:i/>
          <w:lang w:val="en-GB"/>
        </w:rPr>
        <w:t xml:space="preserve"> </w:t>
      </w:r>
      <w:r w:rsidRPr="00E818B2">
        <w:rPr>
          <w:rFonts w:ascii="Times New Roman" w:hAnsi="Times New Roman" w:cs="Times New Roman"/>
          <w:b/>
          <w:i/>
          <w:color w:val="2F5496" w:themeColor="accent1" w:themeShade="BF"/>
          <w:lang w:val="en-GB"/>
        </w:rPr>
        <w:t>are</w:t>
      </w:r>
      <w:r>
        <w:rPr>
          <w:rFonts w:ascii="Times New Roman" w:hAnsi="Times New Roman" w:cs="Times New Roman"/>
          <w:b/>
          <w:i/>
          <w:color w:val="2F5496" w:themeColor="accent1" w:themeShade="BF"/>
          <w:lang w:val="en-GB"/>
        </w:rPr>
        <w:t xml:space="preserve"> incompatible</w:t>
      </w:r>
      <w:r w:rsidRPr="00E818B2">
        <w:rPr>
          <w:rFonts w:ascii="Times New Roman" w:hAnsi="Times New Roman" w:cs="Times New Roman"/>
          <w:i/>
          <w:color w:val="2F5496" w:themeColor="accent1" w:themeShade="BF"/>
          <w:lang w:val="en-GB"/>
        </w:rPr>
        <w:t xml:space="preserve"> </w:t>
      </w:r>
      <w:r w:rsidRPr="00E818B2">
        <w:rPr>
          <w:rFonts w:ascii="Times New Roman" w:hAnsi="Times New Roman" w:cs="Times New Roman"/>
          <w:b/>
          <w:i/>
          <w:strike/>
          <w:color w:val="2F5496" w:themeColor="accent1" w:themeShade="BF"/>
          <w:lang w:val="en-GB"/>
        </w:rPr>
        <w:t>raise concerns about their compatibility</w:t>
      </w:r>
      <w:r w:rsidRPr="00E818B2">
        <w:rPr>
          <w:rFonts w:ascii="Times New Roman" w:hAnsi="Times New Roman" w:cs="Times New Roman"/>
          <w:i/>
          <w:lang w:val="en-GB"/>
        </w:rPr>
        <w:t xml:space="preserve"> with the Covenant.</w:t>
      </w:r>
      <w:r w:rsidRPr="00E818B2">
        <w:rPr>
          <w:rFonts w:ascii="Times New Roman" w:hAnsi="Times New Roman" w:cs="Times New Roman"/>
          <w:i/>
          <w:vertAlign w:val="superscript"/>
          <w:lang w:val="fr-CH"/>
        </w:rPr>
        <w:footnoteReference w:id="33"/>
      </w:r>
      <w:r w:rsidRPr="00E818B2">
        <w:rPr>
          <w:rFonts w:ascii="Times New Roman" w:hAnsi="Times New Roman" w:cs="Times New Roman"/>
          <w:i/>
          <w:lang w:val="en-GB"/>
        </w:rPr>
        <w:t xml:space="preserve"> At the same time, it should be recognized that the timing of assemblies can affect </w:t>
      </w:r>
      <w:r w:rsidRPr="00E818B2">
        <w:rPr>
          <w:rFonts w:ascii="Times New Roman" w:hAnsi="Times New Roman" w:cs="Times New Roman"/>
          <w:i/>
          <w:lang w:val="en-GB"/>
        </w:rPr>
        <w:lastRenderedPageBreak/>
        <w:t>their impact and may warrant restrictions.</w:t>
      </w:r>
      <w:r w:rsidRPr="00E818B2">
        <w:rPr>
          <w:rFonts w:ascii="Times New Roman" w:hAnsi="Times New Roman" w:cs="Times New Roman"/>
          <w:b/>
          <w:i/>
          <w:strike/>
          <w:color w:val="2F5496" w:themeColor="accent1" w:themeShade="BF"/>
          <w:lang w:val="en-GB"/>
        </w:rPr>
        <w:t xml:space="preserve"> For example, assemblies held at night in residential areas might have an undue impact on the lives of those who live nearby.</w:t>
      </w:r>
    </w:p>
    <w:p w14:paraId="0EDE54EC" w14:textId="53D2CD8D" w:rsidR="00E818B2" w:rsidRDefault="00E818B2" w:rsidP="00E818B2">
      <w:pPr>
        <w:spacing w:after="120"/>
        <w:ind w:left="1134" w:right="1134"/>
        <w:jc w:val="both"/>
        <w:rPr>
          <w:rFonts w:ascii="Times New Roman" w:hAnsi="Times New Roman" w:cs="Times New Roman"/>
          <w:b/>
          <w:i/>
          <w:strike/>
          <w:color w:val="2F5496" w:themeColor="accent1" w:themeShade="BF"/>
          <w:lang w:val="en-GB"/>
        </w:rPr>
      </w:pPr>
      <w:r w:rsidRPr="00E818B2">
        <w:rPr>
          <w:rFonts w:ascii="Times New Roman" w:hAnsi="Times New Roman" w:cs="Times New Roman"/>
          <w:i/>
          <w:lang w:val="en-GB"/>
        </w:rPr>
        <w:t xml:space="preserve">As for any restriction on the element of </w:t>
      </w:r>
      <w:r w:rsidRPr="00E818B2">
        <w:rPr>
          <w:rFonts w:ascii="Times New Roman" w:hAnsi="Times New Roman" w:cs="Times New Roman"/>
          <w:i/>
          <w:iCs/>
          <w:lang w:val="en-GB"/>
        </w:rPr>
        <w:t>place</w:t>
      </w:r>
      <w:r w:rsidRPr="00E818B2">
        <w:rPr>
          <w:rFonts w:ascii="Times New Roman" w:hAnsi="Times New Roman" w:cs="Times New Roman"/>
          <w:i/>
          <w:lang w:val="en-GB"/>
        </w:rPr>
        <w:t xml:space="preserve">: peaceful assemblies may in principle be conducted in all places to which the public has access or should have access, such as public squares and streets. </w:t>
      </w:r>
      <w:r w:rsidRPr="00E818B2">
        <w:rPr>
          <w:rFonts w:ascii="Times New Roman" w:hAnsi="Times New Roman" w:cs="Times New Roman"/>
          <w:b/>
          <w:i/>
          <w:strike/>
          <w:color w:val="2F5496" w:themeColor="accent1" w:themeShade="BF"/>
          <w:lang w:val="en-GB"/>
        </w:rPr>
        <w:t>General restrictions on access to some spaces, such as buildings and parks, may limit the right to assemble in such places.</w:t>
      </w:r>
    </w:p>
    <w:p w14:paraId="2F3A8CBE" w14:textId="743632E8" w:rsidR="00E818B2" w:rsidRDefault="00E818B2" w:rsidP="00E818B2">
      <w:pPr>
        <w:spacing w:after="120"/>
        <w:ind w:left="1134" w:right="1134"/>
        <w:jc w:val="both"/>
        <w:rPr>
          <w:rFonts w:ascii="Times New Roman" w:hAnsi="Times New Roman" w:cs="Times New Roman"/>
          <w:b/>
          <w:i/>
          <w:strike/>
          <w:color w:val="2F5496" w:themeColor="accent1" w:themeShade="BF"/>
          <w:lang w:val="en-GB"/>
        </w:rPr>
      </w:pPr>
      <w:r w:rsidRPr="00E818B2">
        <w:rPr>
          <w:rFonts w:ascii="Times New Roman" w:hAnsi="Times New Roman" w:cs="Times New Roman"/>
          <w:i/>
          <w:lang w:val="x-none"/>
        </w:rPr>
        <w:t xml:space="preserve">The wearing of face coverings </w:t>
      </w:r>
      <w:r w:rsidRPr="00E818B2">
        <w:rPr>
          <w:rFonts w:ascii="Times New Roman" w:hAnsi="Times New Roman" w:cs="Times New Roman"/>
          <w:i/>
          <w:lang w:val="en-US"/>
        </w:rPr>
        <w:t xml:space="preserve">or other disguises </w:t>
      </w:r>
      <w:r w:rsidRPr="00E818B2">
        <w:rPr>
          <w:rFonts w:ascii="Times New Roman" w:hAnsi="Times New Roman" w:cs="Times New Roman"/>
          <w:i/>
          <w:lang w:val="x-none"/>
        </w:rPr>
        <w:t xml:space="preserve">by assembly participants, such as hoods or masks, </w:t>
      </w:r>
      <w:r w:rsidRPr="00E818B2">
        <w:rPr>
          <w:rFonts w:ascii="Times New Roman" w:hAnsi="Times New Roman" w:cs="Times New Roman"/>
          <w:i/>
          <w:lang w:val="en-GB"/>
        </w:rPr>
        <w:t>may form part of the expressive element of a peaceful assembly or serve to counter reprisals, also in the context of new surveillance technologies, and serve to protect privacy. Assembly participants should not be prohibited from wearing face coverings where there is no demonstrable evidence of imminent violence on their part and probable cause for arrest.</w:t>
      </w:r>
      <w:r w:rsidRPr="00E818B2">
        <w:rPr>
          <w:rFonts w:ascii="Times New Roman" w:hAnsi="Times New Roman" w:cs="Times New Roman"/>
          <w:i/>
          <w:vertAlign w:val="superscript"/>
        </w:rPr>
        <w:footnoteReference w:id="34"/>
      </w:r>
      <w:r w:rsidRPr="00E818B2">
        <w:rPr>
          <w:rFonts w:ascii="Times New Roman" w:hAnsi="Times New Roman" w:cs="Times New Roman"/>
          <w:i/>
          <w:lang w:val="en-GB"/>
        </w:rPr>
        <w:t xml:space="preserve"> </w:t>
      </w:r>
      <w:r w:rsidRPr="00E818B2">
        <w:rPr>
          <w:rFonts w:ascii="Times New Roman" w:hAnsi="Times New Roman" w:cs="Times New Roman"/>
          <w:b/>
          <w:i/>
          <w:strike/>
          <w:color w:val="2F5496" w:themeColor="accent1" w:themeShade="BF"/>
          <w:lang w:val="en-GB"/>
        </w:rPr>
        <w:t>As such, blanket bans can only be justified on an exceptional basis.</w:t>
      </w:r>
    </w:p>
    <w:p w14:paraId="07CEB4B4" w14:textId="77777777" w:rsidR="00E818B2" w:rsidRDefault="00E818B2" w:rsidP="00E818B2">
      <w:pPr>
        <w:spacing w:after="120"/>
        <w:ind w:left="1134" w:right="1134"/>
        <w:jc w:val="both"/>
        <w:rPr>
          <w:rFonts w:ascii="Times New Roman" w:hAnsi="Times New Roman" w:cs="Times New Roman"/>
          <w:b/>
          <w:i/>
          <w:strike/>
          <w:color w:val="2F5496" w:themeColor="accent1" w:themeShade="BF"/>
          <w:lang w:val="en-GB"/>
        </w:rPr>
      </w:pPr>
    </w:p>
    <w:p w14:paraId="1FF714D7" w14:textId="7CC69010" w:rsidR="00E818B2" w:rsidRDefault="00E818B2" w:rsidP="00E14BA5">
      <w:pPr>
        <w:pStyle w:val="ListParagraph"/>
        <w:numPr>
          <w:ilvl w:val="0"/>
          <w:numId w:val="11"/>
        </w:numPr>
        <w:spacing w:after="120"/>
        <w:jc w:val="both"/>
        <w:rPr>
          <w:rFonts w:ascii="Times New Roman" w:hAnsi="Times New Roman" w:cs="Times New Roman"/>
          <w:b/>
          <w:lang w:val="en-US"/>
        </w:rPr>
      </w:pPr>
      <w:r w:rsidRPr="00E818B2">
        <w:rPr>
          <w:rFonts w:ascii="Times New Roman" w:hAnsi="Times New Roman" w:cs="Times New Roman"/>
          <w:b/>
          <w:lang w:val="en-US"/>
        </w:rPr>
        <w:t xml:space="preserve">The Special Rapporteur </w:t>
      </w:r>
      <w:r w:rsidRPr="005861F0">
        <w:rPr>
          <w:rFonts w:ascii="Times New Roman" w:hAnsi="Times New Roman" w:cs="Times New Roman"/>
          <w:b/>
          <w:lang w:val="en-US"/>
        </w:rPr>
        <w:t xml:space="preserve">offers the following suggestions to </w:t>
      </w:r>
      <w:r>
        <w:rPr>
          <w:rFonts w:ascii="Times New Roman" w:hAnsi="Times New Roman" w:cs="Times New Roman"/>
          <w:b/>
          <w:lang w:val="en-US"/>
        </w:rPr>
        <w:t xml:space="preserve">paragraphs </w:t>
      </w:r>
      <w:r w:rsidR="00AB0066">
        <w:rPr>
          <w:rFonts w:ascii="Times New Roman" w:hAnsi="Times New Roman" w:cs="Times New Roman"/>
          <w:b/>
          <w:lang w:val="en-US"/>
        </w:rPr>
        <w:t>78 considering recent developments in some contexts:</w:t>
      </w:r>
    </w:p>
    <w:p w14:paraId="4D6D0A91" w14:textId="77777777" w:rsidR="00AB0066" w:rsidRDefault="00AB0066" w:rsidP="00AB0066">
      <w:pPr>
        <w:pStyle w:val="ListParagraph"/>
        <w:spacing w:after="120"/>
        <w:ind w:left="357"/>
        <w:jc w:val="both"/>
        <w:rPr>
          <w:rFonts w:ascii="Times New Roman" w:hAnsi="Times New Roman" w:cs="Times New Roman"/>
          <w:b/>
          <w:lang w:val="en-US"/>
        </w:rPr>
      </w:pPr>
    </w:p>
    <w:p w14:paraId="09D71DFC" w14:textId="4AEAF361" w:rsidR="00E818B2" w:rsidRPr="00E818B2" w:rsidRDefault="00AB0066" w:rsidP="00AA361E">
      <w:pPr>
        <w:pStyle w:val="ListParagraph"/>
        <w:spacing w:after="120"/>
        <w:ind w:left="1134"/>
        <w:jc w:val="both"/>
        <w:rPr>
          <w:rFonts w:ascii="Times New Roman" w:hAnsi="Times New Roman" w:cs="Times New Roman"/>
          <w:i/>
          <w:lang w:val="en-GB"/>
        </w:rPr>
      </w:pPr>
      <w:r w:rsidRPr="00AB0066">
        <w:rPr>
          <w:rFonts w:ascii="Times New Roman" w:hAnsi="Times New Roman" w:cs="Times New Roman"/>
          <w:i/>
          <w:lang w:val="en-GB"/>
        </w:rPr>
        <w:lastRenderedPageBreak/>
        <w:t xml:space="preserve">States parties may not </w:t>
      </w:r>
      <w:r w:rsidRPr="00AB0066">
        <w:rPr>
          <w:rFonts w:ascii="Times New Roman" w:hAnsi="Times New Roman" w:cs="Times New Roman"/>
          <w:b/>
          <w:i/>
          <w:color w:val="2F5496" w:themeColor="accent1" w:themeShade="BF"/>
          <w:lang w:val="en-GB"/>
        </w:rPr>
        <w:t xml:space="preserve">impose restrictions or </w:t>
      </w:r>
      <w:r w:rsidRPr="00AB0066">
        <w:rPr>
          <w:rFonts w:ascii="Times New Roman" w:hAnsi="Times New Roman" w:cs="Times New Roman"/>
          <w:i/>
          <w:lang w:val="en-GB"/>
        </w:rPr>
        <w:t>require pledges from individuals not to participate in future assemblies.</w:t>
      </w:r>
      <w:r w:rsidRPr="00AB0066">
        <w:rPr>
          <w:rFonts w:ascii="Times New Roman" w:hAnsi="Times New Roman" w:cs="Times New Roman"/>
          <w:i/>
          <w:vertAlign w:val="superscript"/>
          <w:lang w:val="fr-CH"/>
        </w:rPr>
        <w:footnoteReference w:id="35"/>
      </w:r>
      <w:r w:rsidRPr="00AB0066">
        <w:rPr>
          <w:rFonts w:ascii="Times New Roman" w:hAnsi="Times New Roman" w:cs="Times New Roman"/>
          <w:i/>
          <w:lang w:val="en-GB"/>
        </w:rPr>
        <w:t xml:space="preserve"> Conversely, no one may be forced to participate in an assembly.</w:t>
      </w:r>
      <w:r w:rsidRPr="00AB0066">
        <w:rPr>
          <w:rFonts w:ascii="Times New Roman" w:hAnsi="Times New Roman" w:cs="Times New Roman"/>
          <w:i/>
          <w:vertAlign w:val="superscript"/>
          <w:lang w:val="fr-CH"/>
        </w:rPr>
        <w:footnoteReference w:id="36"/>
      </w:r>
    </w:p>
    <w:p w14:paraId="5AF1F44E" w14:textId="77777777" w:rsidR="00AB0066" w:rsidRPr="00E14BA5" w:rsidRDefault="00AB0066" w:rsidP="00E14BA5">
      <w:pPr>
        <w:rPr>
          <w:rFonts w:ascii="Times New Roman" w:hAnsi="Times New Roman" w:cs="Times New Roman"/>
          <w:sz w:val="36"/>
          <w:lang w:val="en-US"/>
        </w:rPr>
      </w:pPr>
    </w:p>
    <w:p w14:paraId="15F43985" w14:textId="1EC95DCA" w:rsidR="00E14BA5" w:rsidRPr="00AA361E" w:rsidRDefault="00AB0066" w:rsidP="00AA361E">
      <w:pPr>
        <w:pStyle w:val="ListParagraph"/>
        <w:numPr>
          <w:ilvl w:val="0"/>
          <w:numId w:val="19"/>
        </w:numPr>
        <w:rPr>
          <w:rFonts w:ascii="Times New Roman" w:hAnsi="Times New Roman" w:cs="Times New Roman"/>
          <w:sz w:val="32"/>
          <w:lang w:val="en-US"/>
        </w:rPr>
      </w:pPr>
      <w:r w:rsidRPr="00AA361E">
        <w:rPr>
          <w:rFonts w:ascii="Times New Roman" w:hAnsi="Times New Roman" w:cs="Times New Roman"/>
          <w:sz w:val="32"/>
          <w:lang w:val="en-US"/>
        </w:rPr>
        <w:t>Duties and powers of law enforcement agencies</w:t>
      </w:r>
    </w:p>
    <w:p w14:paraId="2E1FE18E" w14:textId="77777777" w:rsidR="00AA361E" w:rsidRPr="00AA361E" w:rsidRDefault="00AA361E" w:rsidP="00AA361E">
      <w:pPr>
        <w:ind w:left="567"/>
        <w:rPr>
          <w:rFonts w:ascii="Times New Roman" w:hAnsi="Times New Roman" w:cs="Times New Roman"/>
          <w:sz w:val="36"/>
          <w:lang w:val="en-US"/>
        </w:rPr>
      </w:pPr>
    </w:p>
    <w:p w14:paraId="01400A45" w14:textId="25F5C840" w:rsidR="00E14BA5" w:rsidRPr="00AA361E" w:rsidRDefault="00E14BA5" w:rsidP="00AA361E">
      <w:pPr>
        <w:pStyle w:val="ListParagraph"/>
        <w:numPr>
          <w:ilvl w:val="0"/>
          <w:numId w:val="11"/>
        </w:numPr>
        <w:jc w:val="lowKashida"/>
        <w:rPr>
          <w:rFonts w:ascii="Times New Roman" w:hAnsi="Times New Roman" w:cs="Times New Roman"/>
          <w:lang w:val="en-GB"/>
        </w:rPr>
      </w:pPr>
      <w:r w:rsidRPr="00AA361E">
        <w:rPr>
          <w:rFonts w:ascii="Times New Roman" w:hAnsi="Times New Roman" w:cs="Times New Roman"/>
          <w:lang w:val="en-GB"/>
        </w:rPr>
        <w:t xml:space="preserve">The current wording of </w:t>
      </w:r>
      <w:r w:rsidRPr="00AA361E">
        <w:rPr>
          <w:rFonts w:ascii="Times New Roman" w:hAnsi="Times New Roman" w:cs="Times New Roman"/>
          <w:b/>
          <w:bCs/>
          <w:lang w:val="en-GB"/>
        </w:rPr>
        <w:t>paragraph 85</w:t>
      </w:r>
      <w:r w:rsidRPr="00AA361E">
        <w:rPr>
          <w:rFonts w:ascii="Times New Roman" w:hAnsi="Times New Roman" w:cs="Times New Roman"/>
          <w:lang w:val="en-GB"/>
        </w:rPr>
        <w:t xml:space="preserve"> may suggest that the duty of law enforcement agencies is protection of the public against the demonstrators but only respecting the rights of demonstrators. Whereas protection of participants in an assembly, first from the abuse of police officers and then from the public/other demonstrators is the primary responsibility of law enforcement agencies. </w:t>
      </w:r>
    </w:p>
    <w:p w14:paraId="16E27F75" w14:textId="77777777" w:rsidR="00E14BA5" w:rsidRDefault="00E14BA5" w:rsidP="00E14BA5">
      <w:pPr>
        <w:pStyle w:val="ListParagraph"/>
        <w:ind w:left="360"/>
        <w:jc w:val="lowKashida"/>
        <w:rPr>
          <w:rFonts w:ascii="Times New Roman" w:hAnsi="Times New Roman" w:cs="Times New Roman"/>
          <w:lang w:val="en-GB"/>
        </w:rPr>
      </w:pPr>
    </w:p>
    <w:p w14:paraId="08CB0BFF" w14:textId="02DF7935" w:rsidR="00E14BA5" w:rsidRPr="00E14BA5" w:rsidRDefault="00E14BA5" w:rsidP="00AA361E">
      <w:pPr>
        <w:pStyle w:val="ListParagraph"/>
        <w:numPr>
          <w:ilvl w:val="0"/>
          <w:numId w:val="11"/>
        </w:numPr>
        <w:jc w:val="lowKashida"/>
        <w:rPr>
          <w:rFonts w:ascii="Times New Roman" w:hAnsi="Times New Roman" w:cs="Times New Roman"/>
          <w:lang w:val="en-GB"/>
        </w:rPr>
      </w:pPr>
      <w:r w:rsidRPr="00E14BA5">
        <w:rPr>
          <w:rFonts w:ascii="Times New Roman" w:hAnsi="Times New Roman" w:cs="Times New Roman"/>
          <w:lang w:val="en-GB"/>
        </w:rPr>
        <w:t>In order to reinforce this notion, the S</w:t>
      </w:r>
      <w:r>
        <w:rPr>
          <w:rFonts w:ascii="Times New Roman" w:hAnsi="Times New Roman" w:cs="Times New Roman"/>
          <w:lang w:val="en-GB"/>
        </w:rPr>
        <w:t xml:space="preserve">pecial Rapporteur </w:t>
      </w:r>
      <w:r w:rsidRPr="00E14BA5">
        <w:rPr>
          <w:rFonts w:ascii="Times New Roman" w:hAnsi="Times New Roman" w:cs="Times New Roman"/>
          <w:lang w:val="en-GB"/>
        </w:rPr>
        <w:t xml:space="preserve">suggests that protection be extended to the participants as well, which goes beyond mere respect (negative obligation) and ensure (weak positive obligation). </w:t>
      </w:r>
    </w:p>
    <w:p w14:paraId="7D731512" w14:textId="77777777" w:rsidR="00E14BA5" w:rsidRPr="00E14BA5" w:rsidRDefault="00E14BA5" w:rsidP="00E14BA5">
      <w:pPr>
        <w:jc w:val="lowKashida"/>
        <w:rPr>
          <w:rFonts w:ascii="Times New Roman" w:hAnsi="Times New Roman" w:cs="Times New Roman"/>
          <w:lang w:val="en-GB"/>
        </w:rPr>
      </w:pPr>
    </w:p>
    <w:p w14:paraId="2EC6A048" w14:textId="77777777" w:rsidR="00D47A52" w:rsidRPr="00D47A52" w:rsidRDefault="00C30877" w:rsidP="00AA361E">
      <w:pPr>
        <w:pStyle w:val="ListParagraph"/>
        <w:numPr>
          <w:ilvl w:val="0"/>
          <w:numId w:val="11"/>
        </w:numPr>
        <w:jc w:val="lowKashida"/>
        <w:rPr>
          <w:rFonts w:ascii="Times New Roman" w:hAnsi="Times New Roman" w:cs="Times New Roman"/>
          <w:i/>
          <w:iCs/>
          <w:lang w:val="en-GB"/>
        </w:rPr>
      </w:pPr>
      <w:r>
        <w:rPr>
          <w:rFonts w:ascii="Times New Roman" w:hAnsi="Times New Roman" w:cs="Times New Roman"/>
          <w:lang w:val="en-GB"/>
        </w:rPr>
        <w:t xml:space="preserve">The Special Rapporteur considers that it is necessary to refer </w:t>
      </w:r>
      <w:r w:rsidRPr="00E14BA5">
        <w:rPr>
          <w:rFonts w:ascii="Times New Roman" w:hAnsi="Times New Roman" w:cs="Times New Roman"/>
          <w:lang w:val="en-GB"/>
        </w:rPr>
        <w:t>to how to approach violent elements in an assembly</w:t>
      </w:r>
      <w:r>
        <w:rPr>
          <w:rFonts w:ascii="Times New Roman" w:hAnsi="Times New Roman" w:cs="Times New Roman"/>
          <w:lang w:val="en-GB"/>
        </w:rPr>
        <w:t>, b</w:t>
      </w:r>
      <w:r w:rsidR="00E14BA5" w:rsidRPr="00E14BA5">
        <w:rPr>
          <w:rFonts w:ascii="Times New Roman" w:hAnsi="Times New Roman" w:cs="Times New Roman"/>
          <w:lang w:val="en-GB"/>
        </w:rPr>
        <w:t xml:space="preserve">efore </w:t>
      </w:r>
      <w:r w:rsidR="00E14BA5" w:rsidRPr="00E14BA5">
        <w:rPr>
          <w:rFonts w:ascii="Times New Roman" w:hAnsi="Times New Roman" w:cs="Times New Roman"/>
          <w:b/>
          <w:bCs/>
          <w:lang w:val="en-GB"/>
        </w:rPr>
        <w:t>paragraph 90</w:t>
      </w:r>
      <w:r w:rsidR="00E14BA5" w:rsidRPr="00E14BA5">
        <w:rPr>
          <w:rFonts w:ascii="Times New Roman" w:hAnsi="Times New Roman" w:cs="Times New Roman"/>
          <w:lang w:val="en-GB"/>
        </w:rPr>
        <w:t>, which sets the ground fo</w:t>
      </w:r>
      <w:r>
        <w:rPr>
          <w:rFonts w:ascii="Times New Roman" w:hAnsi="Times New Roman" w:cs="Times New Roman"/>
          <w:lang w:val="en-GB"/>
        </w:rPr>
        <w:t>r lawful arrest of participants.</w:t>
      </w:r>
      <w:r w:rsidR="00E14BA5" w:rsidRPr="00E14BA5">
        <w:rPr>
          <w:rFonts w:ascii="Times New Roman" w:hAnsi="Times New Roman" w:cs="Times New Roman"/>
          <w:lang w:val="en-GB"/>
        </w:rPr>
        <w:t xml:space="preserve"> It wa</w:t>
      </w:r>
      <w:r w:rsidR="00D47A52">
        <w:rPr>
          <w:rFonts w:ascii="Times New Roman" w:hAnsi="Times New Roman" w:cs="Times New Roman"/>
          <w:lang w:val="en-GB"/>
        </w:rPr>
        <w:t>s mentioned above in paragraph 20 of this submission</w:t>
      </w:r>
      <w:r w:rsidR="00E14BA5" w:rsidRPr="00E14BA5">
        <w:rPr>
          <w:rFonts w:ascii="Times New Roman" w:hAnsi="Times New Roman" w:cs="Times New Roman"/>
          <w:lang w:val="en-GB"/>
        </w:rPr>
        <w:t xml:space="preserve"> that it must be made clear that what can be violent is “participants in an assembly” and not an “assembly” itself, because, given the fact that the right to peaceful assembly is an individual right of all persons, the criteria of violence should be applied to individuals not to assemblies as a whole. This distinction is very important to be made clear before addressing the issue of how to handle violence. </w:t>
      </w:r>
    </w:p>
    <w:p w14:paraId="33737AC9" w14:textId="77777777" w:rsidR="00D47A52" w:rsidRPr="00D47A52" w:rsidRDefault="00D47A52" w:rsidP="00D47A52">
      <w:pPr>
        <w:pStyle w:val="ListParagraph"/>
        <w:rPr>
          <w:rFonts w:ascii="Times New Roman" w:hAnsi="Times New Roman" w:cs="Times New Roman"/>
          <w:lang w:val="en-GB"/>
        </w:rPr>
      </w:pPr>
    </w:p>
    <w:p w14:paraId="42F9E9FA" w14:textId="67505FF2" w:rsidR="00D47A52" w:rsidRPr="00D47A52" w:rsidRDefault="00D47A52" w:rsidP="00AA361E">
      <w:pPr>
        <w:pStyle w:val="ListParagraph"/>
        <w:numPr>
          <w:ilvl w:val="0"/>
          <w:numId w:val="11"/>
        </w:numPr>
        <w:jc w:val="lowKashida"/>
        <w:rPr>
          <w:rFonts w:ascii="Times New Roman" w:hAnsi="Times New Roman" w:cs="Times New Roman"/>
          <w:i/>
          <w:iCs/>
          <w:lang w:val="en-GB"/>
        </w:rPr>
      </w:pPr>
      <w:r>
        <w:rPr>
          <w:rFonts w:ascii="Times New Roman" w:hAnsi="Times New Roman" w:cs="Times New Roman"/>
          <w:lang w:val="en-GB"/>
        </w:rPr>
        <w:lastRenderedPageBreak/>
        <w:t>In this regard, t</w:t>
      </w:r>
      <w:r w:rsidR="00E14BA5" w:rsidRPr="00E14BA5">
        <w:rPr>
          <w:rFonts w:ascii="Times New Roman" w:hAnsi="Times New Roman" w:cs="Times New Roman"/>
          <w:lang w:val="en-GB"/>
        </w:rPr>
        <w:t xml:space="preserve">he </w:t>
      </w:r>
      <w:r>
        <w:rPr>
          <w:rFonts w:ascii="Times New Roman" w:hAnsi="Times New Roman" w:cs="Times New Roman"/>
          <w:lang w:val="en-GB"/>
        </w:rPr>
        <w:t>Special Rapporteur</w:t>
      </w:r>
      <w:r w:rsidR="00E14BA5" w:rsidRPr="00E14BA5">
        <w:rPr>
          <w:rFonts w:ascii="Times New Roman" w:hAnsi="Times New Roman" w:cs="Times New Roman"/>
          <w:lang w:val="en-GB"/>
        </w:rPr>
        <w:t xml:space="preserve"> would like to recommend that a paragraph be added before </w:t>
      </w:r>
      <w:r w:rsidR="00E14BA5" w:rsidRPr="000239C0">
        <w:rPr>
          <w:rFonts w:ascii="Times New Roman" w:hAnsi="Times New Roman" w:cs="Times New Roman"/>
          <w:b/>
          <w:lang w:val="en-GB"/>
        </w:rPr>
        <w:t>paragraph 90</w:t>
      </w:r>
      <w:r w:rsidR="00E14BA5" w:rsidRPr="00E14BA5">
        <w:rPr>
          <w:rFonts w:ascii="Times New Roman" w:hAnsi="Times New Roman" w:cs="Times New Roman"/>
          <w:lang w:val="en-GB"/>
        </w:rPr>
        <w:t xml:space="preserve">, </w:t>
      </w:r>
      <w:r>
        <w:rPr>
          <w:rFonts w:ascii="Times New Roman" w:hAnsi="Times New Roman" w:cs="Times New Roman"/>
          <w:lang w:val="en-GB"/>
        </w:rPr>
        <w:t>following the position of the mandate</w:t>
      </w:r>
      <w:r w:rsidRPr="00E14BA5">
        <w:rPr>
          <w:rFonts w:ascii="Times New Roman" w:hAnsi="Times New Roman" w:cs="Times New Roman"/>
          <w:lang w:val="en-GB"/>
        </w:rPr>
        <w:t xml:space="preserve"> as clearly set forth in paragraph 61 of the joint report on proper management of assemblies</w:t>
      </w:r>
      <w:r w:rsidRPr="00E14BA5">
        <w:rPr>
          <w:rStyle w:val="FootnoteReference"/>
          <w:rFonts w:cs="Times New Roman"/>
        </w:rPr>
        <w:footnoteReference w:id="37"/>
      </w:r>
      <w:r w:rsidRPr="00E14BA5">
        <w:rPr>
          <w:rFonts w:ascii="Times New Roman" w:hAnsi="Times New Roman" w:cs="Times New Roman"/>
          <w:lang w:val="en-GB"/>
        </w:rPr>
        <w:t xml:space="preserve">. </w:t>
      </w:r>
      <w:r w:rsidRPr="00E14BA5">
        <w:rPr>
          <w:rFonts w:ascii="Times New Roman" w:hAnsi="Times New Roman" w:cs="Times New Roman"/>
          <w:i/>
          <w:iCs/>
          <w:lang w:val="en-GB"/>
        </w:rPr>
        <w:t xml:space="preserve"> </w:t>
      </w:r>
    </w:p>
    <w:p w14:paraId="603FC072" w14:textId="77777777" w:rsidR="00D47A52" w:rsidRPr="00D47A52" w:rsidRDefault="00D47A52" w:rsidP="00D47A52">
      <w:pPr>
        <w:pStyle w:val="ListParagraph"/>
        <w:rPr>
          <w:rFonts w:ascii="Times New Roman" w:hAnsi="Times New Roman" w:cs="Times New Roman"/>
          <w:lang w:val="en-GB"/>
        </w:rPr>
      </w:pPr>
    </w:p>
    <w:p w14:paraId="79C78C13" w14:textId="77777777" w:rsidR="00E45603" w:rsidRDefault="00D47A52" w:rsidP="00D47A52">
      <w:pPr>
        <w:pStyle w:val="ListParagraph"/>
        <w:spacing w:after="120"/>
        <w:ind w:left="1134" w:right="1134"/>
        <w:jc w:val="lowKashida"/>
        <w:rPr>
          <w:rFonts w:ascii="Times New Roman" w:hAnsi="Times New Roman" w:cs="Times New Roman"/>
          <w:b/>
          <w:i/>
          <w:iCs/>
          <w:color w:val="2F5496" w:themeColor="accent1" w:themeShade="BF"/>
          <w:lang w:val="en-GB"/>
        </w:rPr>
      </w:pPr>
      <w:r w:rsidRPr="00D47A52">
        <w:rPr>
          <w:rFonts w:ascii="Times New Roman" w:hAnsi="Times New Roman" w:cs="Times New Roman"/>
          <w:b/>
          <w:color w:val="2F5496" w:themeColor="accent1" w:themeShade="BF"/>
          <w:lang w:val="en-GB"/>
        </w:rPr>
        <w:t>W</w:t>
      </w:r>
      <w:r w:rsidR="00E14BA5" w:rsidRPr="00D47A52">
        <w:rPr>
          <w:rFonts w:ascii="Times New Roman" w:hAnsi="Times New Roman" w:cs="Times New Roman"/>
          <w:b/>
          <w:i/>
          <w:iCs/>
          <w:color w:val="2F5496" w:themeColor="accent1" w:themeShade="BF"/>
          <w:lang w:val="en-GB"/>
        </w:rPr>
        <w:t xml:space="preserve">henever violence is observed in an assembly, the law enforcement officials have the obligation to isolate and remove violent elements from an otherwise peaceful assembly, in a manner which is respectful of their rights to life and physical integrity. The acts of violence by some, does not render an assembly not peaceful. Only if a considerable part of participants in an assembly are violent and that they cannot be at all isolated from the rest of an assembly, the law enforcement officials will have the </w:t>
      </w:r>
      <w:r w:rsidR="00E45603">
        <w:rPr>
          <w:rFonts w:ascii="Times New Roman" w:hAnsi="Times New Roman" w:cs="Times New Roman"/>
          <w:b/>
          <w:i/>
          <w:iCs/>
          <w:color w:val="2F5496" w:themeColor="accent1" w:themeShade="BF"/>
          <w:lang w:val="en-GB"/>
        </w:rPr>
        <w:t>right to disperse the assembly.</w:t>
      </w:r>
      <w:r w:rsidR="00E14BA5" w:rsidRPr="00D47A52">
        <w:rPr>
          <w:rFonts w:ascii="Times New Roman" w:hAnsi="Times New Roman" w:cs="Times New Roman"/>
          <w:b/>
          <w:i/>
          <w:iCs/>
          <w:color w:val="2F5496" w:themeColor="accent1" w:themeShade="BF"/>
          <w:lang w:val="en-GB"/>
        </w:rPr>
        <w:t xml:space="preserve"> </w:t>
      </w:r>
    </w:p>
    <w:p w14:paraId="7F738B81" w14:textId="77777777" w:rsidR="00AE767D" w:rsidRDefault="00AE767D" w:rsidP="00AE767D">
      <w:pPr>
        <w:spacing w:after="120"/>
        <w:ind w:right="1134"/>
        <w:jc w:val="lowKashida"/>
        <w:rPr>
          <w:rFonts w:ascii="Times New Roman" w:hAnsi="Times New Roman" w:cs="Times New Roman"/>
          <w:b/>
          <w:i/>
          <w:iCs/>
          <w:color w:val="2F5496" w:themeColor="accent1" w:themeShade="BF"/>
          <w:lang w:val="en-GB"/>
        </w:rPr>
      </w:pPr>
    </w:p>
    <w:p w14:paraId="7B477DC4" w14:textId="3F8741AC" w:rsidR="000239C0" w:rsidRDefault="000239C0" w:rsidP="000239C0">
      <w:pPr>
        <w:pStyle w:val="ListParagraph"/>
        <w:numPr>
          <w:ilvl w:val="0"/>
          <w:numId w:val="11"/>
        </w:numPr>
        <w:spacing w:after="120"/>
        <w:jc w:val="both"/>
        <w:rPr>
          <w:rFonts w:ascii="Times New Roman" w:hAnsi="Times New Roman" w:cs="Times New Roman"/>
          <w:b/>
          <w:lang w:val="en-US"/>
        </w:rPr>
      </w:pPr>
      <w:r w:rsidRPr="00E818B2">
        <w:rPr>
          <w:rFonts w:ascii="Times New Roman" w:hAnsi="Times New Roman" w:cs="Times New Roman"/>
          <w:b/>
          <w:lang w:val="en-US"/>
        </w:rPr>
        <w:t xml:space="preserve">The Special Rapporteur </w:t>
      </w:r>
      <w:r w:rsidRPr="005861F0">
        <w:rPr>
          <w:rFonts w:ascii="Times New Roman" w:hAnsi="Times New Roman" w:cs="Times New Roman"/>
          <w:b/>
          <w:lang w:val="en-US"/>
        </w:rPr>
        <w:t xml:space="preserve">offers the following suggestions to </w:t>
      </w:r>
      <w:r>
        <w:rPr>
          <w:rFonts w:ascii="Times New Roman" w:hAnsi="Times New Roman" w:cs="Times New Roman"/>
          <w:b/>
          <w:lang w:val="en-US"/>
        </w:rPr>
        <w:t>paragraphs 92:</w:t>
      </w:r>
    </w:p>
    <w:p w14:paraId="2F659518" w14:textId="2A51EC00" w:rsidR="00AE767D" w:rsidRPr="00AE767D" w:rsidRDefault="00AE767D" w:rsidP="00AE767D">
      <w:pPr>
        <w:spacing w:after="120"/>
        <w:ind w:left="1134" w:right="1134"/>
        <w:jc w:val="lowKashida"/>
        <w:rPr>
          <w:rFonts w:ascii="Times New Roman" w:hAnsi="Times New Roman" w:cs="Times New Roman"/>
          <w:i/>
          <w:lang w:val="en-GB"/>
        </w:rPr>
      </w:pPr>
      <w:r w:rsidRPr="000239C0">
        <w:rPr>
          <w:rFonts w:ascii="Times New Roman" w:hAnsi="Times New Roman" w:cs="Times New Roman"/>
          <w:b/>
          <w:i/>
          <w:strike/>
          <w:color w:val="2F5496" w:themeColor="accent1" w:themeShade="BF"/>
          <w:lang w:val="en-GB"/>
        </w:rPr>
        <w:t>Wherever possible, only law</w:t>
      </w:r>
      <w:r w:rsidRPr="000239C0">
        <w:rPr>
          <w:rFonts w:ascii="Times New Roman" w:hAnsi="Times New Roman" w:cs="Times New Roman"/>
          <w:i/>
          <w:color w:val="2F5496" w:themeColor="accent1" w:themeShade="BF"/>
          <w:lang w:val="en-GB"/>
        </w:rPr>
        <w:t xml:space="preserve"> </w:t>
      </w:r>
      <w:r w:rsidR="000239C0" w:rsidRPr="000239C0">
        <w:rPr>
          <w:rFonts w:ascii="Times New Roman" w:hAnsi="Times New Roman" w:cs="Times New Roman"/>
          <w:b/>
          <w:i/>
          <w:color w:val="2F5496" w:themeColor="accent1" w:themeShade="BF"/>
          <w:lang w:val="en-GB"/>
        </w:rPr>
        <w:t>Law</w:t>
      </w:r>
      <w:r w:rsidR="000239C0" w:rsidRPr="000239C0">
        <w:rPr>
          <w:rFonts w:ascii="Times New Roman" w:hAnsi="Times New Roman" w:cs="Times New Roman"/>
          <w:i/>
          <w:color w:val="2F5496" w:themeColor="accent1" w:themeShade="BF"/>
          <w:lang w:val="en-GB"/>
        </w:rPr>
        <w:t xml:space="preserve"> </w:t>
      </w:r>
      <w:r w:rsidRPr="00AE767D">
        <w:rPr>
          <w:rFonts w:ascii="Times New Roman" w:hAnsi="Times New Roman" w:cs="Times New Roman"/>
          <w:i/>
          <w:lang w:val="en-GB"/>
        </w:rPr>
        <w:t>enforcement officials who have been trained in the policing of assemblies should be deployed for that purpose.</w:t>
      </w:r>
      <w:r w:rsidRPr="000239C0">
        <w:rPr>
          <w:rFonts w:ascii="Times New Roman" w:hAnsi="Times New Roman" w:cs="Times New Roman"/>
          <w:i/>
          <w:vertAlign w:val="superscript"/>
          <w:lang w:val="en-GB"/>
        </w:rPr>
        <w:footnoteReference w:id="38"/>
      </w:r>
      <w:r w:rsidRPr="00AE767D">
        <w:rPr>
          <w:rFonts w:ascii="Times New Roman" w:hAnsi="Times New Roman" w:cs="Times New Roman"/>
          <w:i/>
          <w:lang w:val="en-GB"/>
        </w:rPr>
        <w:t xml:space="preserve"> As a general rule, the military should not be used </w:t>
      </w:r>
      <w:r w:rsidRPr="00AE767D">
        <w:rPr>
          <w:rFonts w:ascii="Times New Roman" w:hAnsi="Times New Roman" w:cs="Times New Roman"/>
          <w:i/>
          <w:lang w:val="en-GB"/>
        </w:rPr>
        <w:lastRenderedPageBreak/>
        <w:t>to police assemblies.</w:t>
      </w:r>
      <w:r w:rsidRPr="000239C0">
        <w:rPr>
          <w:rFonts w:ascii="Times New Roman" w:hAnsi="Times New Roman" w:cs="Times New Roman"/>
          <w:i/>
          <w:vertAlign w:val="superscript"/>
          <w:lang w:val="en-GB"/>
        </w:rPr>
        <w:footnoteReference w:id="39"/>
      </w:r>
      <w:r w:rsidRPr="00AE767D">
        <w:rPr>
          <w:rFonts w:ascii="Times New Roman" w:hAnsi="Times New Roman" w:cs="Times New Roman"/>
          <w:i/>
          <w:lang w:val="en-GB"/>
        </w:rPr>
        <w:t xml:space="preserve"> </w:t>
      </w:r>
      <w:r w:rsidRPr="000239C0">
        <w:rPr>
          <w:rFonts w:ascii="Times New Roman" w:hAnsi="Times New Roman" w:cs="Times New Roman"/>
          <w:b/>
          <w:i/>
          <w:color w:val="2F5496" w:themeColor="accent1" w:themeShade="BF"/>
          <w:lang w:val="en-GB"/>
        </w:rPr>
        <w:t>In exceptional circumstances where this becomes necessary, military personnel deployed for law enforcement purposes should be considered law enforcement officers and therefore subject to civilian control and international norms and standards on the use of force.</w:t>
      </w:r>
      <w:r w:rsidRPr="000239C0">
        <w:rPr>
          <w:rFonts w:ascii="Times New Roman" w:hAnsi="Times New Roman" w:cs="Times New Roman"/>
          <w:b/>
          <w:i/>
          <w:color w:val="2F5496" w:themeColor="accent1" w:themeShade="BF"/>
          <w:vertAlign w:val="superscript"/>
          <w:lang w:val="en-GB"/>
        </w:rPr>
        <w:footnoteReference w:id="40"/>
      </w:r>
      <w:r w:rsidRPr="000239C0">
        <w:rPr>
          <w:rFonts w:ascii="Times New Roman" w:hAnsi="Times New Roman" w:cs="Times New Roman"/>
          <w:b/>
          <w:i/>
          <w:color w:val="2F5496" w:themeColor="accent1" w:themeShade="BF"/>
          <w:lang w:val="en-GB"/>
        </w:rPr>
        <w:t>"</w:t>
      </w:r>
      <w:r w:rsidRPr="000239C0">
        <w:rPr>
          <w:rFonts w:ascii="Times New Roman" w:hAnsi="Times New Roman" w:cs="Times New Roman"/>
          <w:i/>
          <w:color w:val="2F5496" w:themeColor="accent1" w:themeShade="BF"/>
          <w:lang w:val="en-GB"/>
        </w:rPr>
        <w:t xml:space="preserve"> </w:t>
      </w:r>
      <w:r w:rsidRPr="00AE767D">
        <w:rPr>
          <w:rFonts w:ascii="Times New Roman" w:hAnsi="Times New Roman" w:cs="Times New Roman"/>
          <w:i/>
          <w:lang w:val="en-GB"/>
        </w:rPr>
        <w:t>The law enforcement officials responsible for policing assemblies should be suitably equipped, including where needed with appropriate less-lethal weapons and adequate personal protective equipment.</w:t>
      </w:r>
      <w:r w:rsidRPr="000239C0">
        <w:rPr>
          <w:rFonts w:ascii="Times New Roman" w:hAnsi="Times New Roman" w:cs="Times New Roman"/>
          <w:i/>
          <w:vertAlign w:val="superscript"/>
          <w:lang w:val="en-GB"/>
        </w:rPr>
        <w:footnoteReference w:id="41"/>
      </w:r>
      <w:r w:rsidRPr="00AE767D">
        <w:rPr>
          <w:rFonts w:ascii="Times New Roman" w:hAnsi="Times New Roman" w:cs="Times New Roman"/>
          <w:i/>
          <w:lang w:val="en-GB"/>
        </w:rPr>
        <w:t xml:space="preserve"> States parties should ensure that all weapons, including less-lethal weapons, are subject to strict independent testing and should evaluate and monitor their impact on the rights to life and bodily integrity and the mental well-being of those affected.</w:t>
      </w:r>
      <w:r w:rsidRPr="00AE767D">
        <w:rPr>
          <w:rFonts w:ascii="Times New Roman" w:hAnsi="Times New Roman" w:cs="Times New Roman"/>
          <w:i/>
          <w:vertAlign w:val="superscript"/>
          <w:lang w:val="fr-CH"/>
        </w:rPr>
        <w:footnoteReference w:id="42"/>
      </w:r>
    </w:p>
    <w:p w14:paraId="24F8701A" w14:textId="77777777" w:rsidR="00AE767D" w:rsidRPr="00C42F0A" w:rsidRDefault="00AE767D" w:rsidP="00AE767D">
      <w:pPr>
        <w:spacing w:after="120"/>
        <w:ind w:left="1134" w:right="1134"/>
        <w:jc w:val="lowKashida"/>
        <w:rPr>
          <w:rFonts w:ascii="Times New Roman" w:hAnsi="Times New Roman" w:cs="Times New Roman"/>
          <w:b/>
          <w:i/>
          <w:iCs/>
          <w:color w:val="2F5496" w:themeColor="accent1" w:themeShade="BF"/>
          <w:lang w:val="en-GB"/>
        </w:rPr>
      </w:pPr>
    </w:p>
    <w:p w14:paraId="77345234" w14:textId="2F6EF797" w:rsidR="00AA0D12" w:rsidRDefault="00E14BA5" w:rsidP="00AA361E">
      <w:pPr>
        <w:pStyle w:val="ListParagraph"/>
        <w:numPr>
          <w:ilvl w:val="0"/>
          <w:numId w:val="11"/>
        </w:numPr>
        <w:jc w:val="lowKashida"/>
        <w:rPr>
          <w:rFonts w:ascii="Times New Roman" w:hAnsi="Times New Roman" w:cs="Times New Roman"/>
          <w:lang w:val="en-GB"/>
        </w:rPr>
      </w:pPr>
      <w:r w:rsidRPr="00D47A52">
        <w:rPr>
          <w:rFonts w:ascii="Times New Roman" w:hAnsi="Times New Roman" w:cs="Times New Roman"/>
          <w:lang w:val="en-GB"/>
        </w:rPr>
        <w:t>The S</w:t>
      </w:r>
      <w:r w:rsidR="00AA0D12">
        <w:rPr>
          <w:rFonts w:ascii="Times New Roman" w:hAnsi="Times New Roman" w:cs="Times New Roman"/>
          <w:lang w:val="en-GB"/>
        </w:rPr>
        <w:t xml:space="preserve">pecial </w:t>
      </w:r>
      <w:r w:rsidRPr="00D47A52">
        <w:rPr>
          <w:rFonts w:ascii="Times New Roman" w:hAnsi="Times New Roman" w:cs="Times New Roman"/>
          <w:lang w:val="en-GB"/>
        </w:rPr>
        <w:t>R</w:t>
      </w:r>
      <w:r w:rsidR="00AA0D12">
        <w:rPr>
          <w:rFonts w:ascii="Times New Roman" w:hAnsi="Times New Roman" w:cs="Times New Roman"/>
          <w:lang w:val="en-GB"/>
        </w:rPr>
        <w:t>apporteur</w:t>
      </w:r>
      <w:r w:rsidRPr="00D47A52">
        <w:rPr>
          <w:rFonts w:ascii="Times New Roman" w:hAnsi="Times New Roman" w:cs="Times New Roman"/>
          <w:lang w:val="en-GB"/>
        </w:rPr>
        <w:t xml:space="preserve"> believes that the second sentence of </w:t>
      </w:r>
      <w:r w:rsidRPr="00D47A52">
        <w:rPr>
          <w:rFonts w:ascii="Times New Roman" w:hAnsi="Times New Roman" w:cs="Times New Roman"/>
          <w:b/>
          <w:bCs/>
          <w:lang w:val="en-GB"/>
        </w:rPr>
        <w:t>paragraph 93</w:t>
      </w:r>
      <w:r w:rsidR="00AA0D12">
        <w:rPr>
          <w:rFonts w:ascii="Times New Roman" w:hAnsi="Times New Roman" w:cs="Times New Roman"/>
          <w:b/>
          <w:bCs/>
          <w:lang w:val="en-GB"/>
        </w:rPr>
        <w:t xml:space="preserve"> </w:t>
      </w:r>
      <w:r w:rsidR="00AA0D12" w:rsidRPr="00AA0D12">
        <w:rPr>
          <w:rFonts w:ascii="Times New Roman" w:hAnsi="Times New Roman" w:cs="Times New Roman"/>
          <w:bCs/>
          <w:lang w:val="en-GB"/>
        </w:rPr>
        <w:t>of the revised draft</w:t>
      </w:r>
      <w:r w:rsidRPr="00D47A52">
        <w:rPr>
          <w:rFonts w:ascii="Times New Roman" w:hAnsi="Times New Roman" w:cs="Times New Roman"/>
          <w:lang w:val="en-GB"/>
        </w:rPr>
        <w:t xml:space="preserve">, on preventive detention of individuals based on their intent to incite violence, can set grounds for abuse and disproportionate application towards, for example, political opponents of governments and organisers of an assembly in order to restrict space for civic activism and opposition. In some legal systems and for some crimes, intent is not sufficient for preventive detention and this must be taken into account while drafting this paragraph. In the current context of increasing threats to civic space, it is of utmost importance that the general comment ensure that loopholes and windows open to misuse </w:t>
      </w:r>
      <w:r w:rsidR="00AA0D12">
        <w:rPr>
          <w:rFonts w:ascii="Times New Roman" w:hAnsi="Times New Roman" w:cs="Times New Roman"/>
          <w:lang w:val="en-GB"/>
        </w:rPr>
        <w:t>and abuse be completely closed.</w:t>
      </w:r>
    </w:p>
    <w:p w14:paraId="44313945" w14:textId="77777777" w:rsidR="00AA0D12" w:rsidRDefault="00AA0D12" w:rsidP="00AA0D12">
      <w:pPr>
        <w:pStyle w:val="ListParagraph"/>
        <w:ind w:left="360"/>
        <w:jc w:val="lowKashida"/>
        <w:rPr>
          <w:rFonts w:ascii="Times New Roman" w:hAnsi="Times New Roman" w:cs="Times New Roman"/>
          <w:lang w:val="en-GB"/>
        </w:rPr>
      </w:pPr>
    </w:p>
    <w:p w14:paraId="00900B38" w14:textId="77777777" w:rsidR="00AA0D12" w:rsidRDefault="00AA0D12" w:rsidP="00AA361E">
      <w:pPr>
        <w:pStyle w:val="ListParagraph"/>
        <w:numPr>
          <w:ilvl w:val="0"/>
          <w:numId w:val="11"/>
        </w:numPr>
        <w:jc w:val="lowKashida"/>
        <w:rPr>
          <w:rFonts w:ascii="Times New Roman" w:hAnsi="Times New Roman" w:cs="Times New Roman"/>
          <w:lang w:val="en-GB"/>
        </w:rPr>
      </w:pPr>
      <w:r>
        <w:rPr>
          <w:rFonts w:ascii="Times New Roman" w:hAnsi="Times New Roman" w:cs="Times New Roman"/>
          <w:lang w:val="en-GB"/>
        </w:rPr>
        <w:t xml:space="preserve">Regarding </w:t>
      </w:r>
      <w:r w:rsidRPr="00AA0D12">
        <w:rPr>
          <w:rFonts w:ascii="Times New Roman" w:hAnsi="Times New Roman" w:cs="Times New Roman"/>
          <w:b/>
          <w:lang w:val="en-GB"/>
        </w:rPr>
        <w:t>paragraph 94</w:t>
      </w:r>
      <w:r>
        <w:rPr>
          <w:rFonts w:ascii="Times New Roman" w:hAnsi="Times New Roman" w:cs="Times New Roman"/>
          <w:lang w:val="en-GB"/>
        </w:rPr>
        <w:t xml:space="preserve"> of the revised draft, the Special Rapporteur </w:t>
      </w:r>
      <w:r w:rsidR="00E14BA5" w:rsidRPr="00AA0D12">
        <w:rPr>
          <w:rFonts w:ascii="Times New Roman" w:hAnsi="Times New Roman" w:cs="Times New Roman"/>
          <w:lang w:val="en-GB"/>
        </w:rPr>
        <w:t>has on numerous occasions witnessed how the practice of “stop and search” or “stop and frisk” been used indiscriminately against certain profile of participants in assemblies and predominately target individuals belonging to minorities</w:t>
      </w:r>
      <w:r w:rsidR="00E14BA5" w:rsidRPr="00E14BA5">
        <w:rPr>
          <w:rStyle w:val="FootnoteReference"/>
          <w:rFonts w:cs="Times New Roman"/>
        </w:rPr>
        <w:footnoteReference w:id="43"/>
      </w:r>
      <w:r w:rsidR="00E14BA5" w:rsidRPr="00AA0D12">
        <w:rPr>
          <w:rFonts w:ascii="Times New Roman" w:hAnsi="Times New Roman" w:cs="Times New Roman"/>
          <w:lang w:val="en-GB"/>
        </w:rPr>
        <w:t>. The S</w:t>
      </w:r>
      <w:r>
        <w:rPr>
          <w:rFonts w:ascii="Times New Roman" w:hAnsi="Times New Roman" w:cs="Times New Roman"/>
          <w:lang w:val="en-GB"/>
        </w:rPr>
        <w:t>pecial Rapporteur</w:t>
      </w:r>
      <w:r w:rsidR="00E14BA5" w:rsidRPr="00AA0D12">
        <w:rPr>
          <w:rFonts w:ascii="Times New Roman" w:hAnsi="Times New Roman" w:cs="Times New Roman"/>
          <w:lang w:val="en-GB"/>
        </w:rPr>
        <w:t xml:space="preserve"> has already warned against the chilling effect of this practice and stated that “stop-and-search must not be arbitrary and must not violate the principle of non-discrimination. It must be authorized by law, necessary and proportionate. The mere fact that an individual is participating in a peaceful assembly does not constitute reasonable grounds for conducting a search”. Stop and search has also been widely practiced in antiterrorism operations, giving rise to many cases of abuse and violation of the right to privacy and human dignity.</w:t>
      </w:r>
    </w:p>
    <w:p w14:paraId="10CACFBA" w14:textId="77777777" w:rsidR="00AA0D12" w:rsidRPr="00AA0D12" w:rsidRDefault="00AA0D12" w:rsidP="00AA0D12">
      <w:pPr>
        <w:pStyle w:val="ListParagraph"/>
        <w:rPr>
          <w:rFonts w:ascii="Times New Roman" w:hAnsi="Times New Roman" w:cs="Times New Roman"/>
          <w:lang w:val="en-GB"/>
        </w:rPr>
      </w:pPr>
    </w:p>
    <w:p w14:paraId="512147EF" w14:textId="77777777" w:rsidR="00AA0D12" w:rsidRDefault="00E14BA5" w:rsidP="00AA361E">
      <w:pPr>
        <w:pStyle w:val="ListParagraph"/>
        <w:numPr>
          <w:ilvl w:val="0"/>
          <w:numId w:val="11"/>
        </w:numPr>
        <w:jc w:val="lowKashida"/>
        <w:rPr>
          <w:rFonts w:ascii="Times New Roman" w:hAnsi="Times New Roman" w:cs="Times New Roman"/>
          <w:lang w:val="en-GB"/>
        </w:rPr>
      </w:pPr>
      <w:r w:rsidRPr="00AA0D12">
        <w:rPr>
          <w:rFonts w:ascii="Times New Roman" w:hAnsi="Times New Roman" w:cs="Times New Roman"/>
          <w:lang w:val="en-GB"/>
        </w:rPr>
        <w:t xml:space="preserve"> </w:t>
      </w:r>
      <w:r w:rsidR="00AA0D12">
        <w:rPr>
          <w:rFonts w:ascii="Times New Roman" w:hAnsi="Times New Roman" w:cs="Times New Roman"/>
          <w:lang w:val="en-GB"/>
        </w:rPr>
        <w:t>In this regard, t</w:t>
      </w:r>
      <w:r w:rsidRPr="00AA0D12">
        <w:rPr>
          <w:rFonts w:ascii="Times New Roman" w:hAnsi="Times New Roman" w:cs="Times New Roman"/>
          <w:lang w:val="en-GB"/>
        </w:rPr>
        <w:t>he S</w:t>
      </w:r>
      <w:r w:rsidR="00AA0D12">
        <w:rPr>
          <w:rFonts w:ascii="Times New Roman" w:hAnsi="Times New Roman" w:cs="Times New Roman"/>
          <w:lang w:val="en-GB"/>
        </w:rPr>
        <w:t xml:space="preserve">pecial </w:t>
      </w:r>
      <w:r w:rsidRPr="00AA0D12">
        <w:rPr>
          <w:rFonts w:ascii="Times New Roman" w:hAnsi="Times New Roman" w:cs="Times New Roman"/>
          <w:lang w:val="en-GB"/>
        </w:rPr>
        <w:t>R</w:t>
      </w:r>
      <w:r w:rsidR="00AA0D12">
        <w:rPr>
          <w:rFonts w:ascii="Times New Roman" w:hAnsi="Times New Roman" w:cs="Times New Roman"/>
          <w:lang w:val="en-GB"/>
        </w:rPr>
        <w:t>apporteur</w:t>
      </w:r>
      <w:r w:rsidRPr="00AA0D12">
        <w:rPr>
          <w:rFonts w:ascii="Times New Roman" w:hAnsi="Times New Roman" w:cs="Times New Roman"/>
          <w:lang w:val="en-GB"/>
        </w:rPr>
        <w:t xml:space="preserve"> suggests that the paragraph in question includes a stronger language on the exceptional nature of the stop and search practices, the fact that “systematic” conduct of searches must be avoided, and that it can only be applied to participants and not those who are about to do so, or peaceful participants. The paragra</w:t>
      </w:r>
      <w:r w:rsidR="00AA0D12">
        <w:rPr>
          <w:rFonts w:ascii="Times New Roman" w:hAnsi="Times New Roman" w:cs="Times New Roman"/>
          <w:lang w:val="en-GB"/>
        </w:rPr>
        <w:t xml:space="preserve">ph would then read as follows: </w:t>
      </w:r>
    </w:p>
    <w:p w14:paraId="72F2088C" w14:textId="77777777" w:rsidR="00AA0D12" w:rsidRPr="00AA0D12" w:rsidRDefault="00AA0D12" w:rsidP="00AA0D12">
      <w:pPr>
        <w:pStyle w:val="ListParagraph"/>
        <w:rPr>
          <w:rFonts w:ascii="Times New Roman" w:hAnsi="Times New Roman" w:cs="Times New Roman"/>
          <w:i/>
          <w:iCs/>
          <w:lang w:val="en-GB"/>
        </w:rPr>
      </w:pPr>
    </w:p>
    <w:p w14:paraId="7B8A7B7A" w14:textId="43E5656A" w:rsidR="00E14BA5" w:rsidRPr="00AA0D12" w:rsidRDefault="00E14BA5" w:rsidP="00AA0D12">
      <w:pPr>
        <w:pStyle w:val="ListParagraph"/>
        <w:ind w:left="1134" w:right="1134"/>
        <w:jc w:val="lowKashida"/>
        <w:rPr>
          <w:rFonts w:ascii="Times New Roman" w:hAnsi="Times New Roman" w:cs="Times New Roman"/>
          <w:b/>
          <w:color w:val="2F5496" w:themeColor="accent1" w:themeShade="BF"/>
          <w:lang w:val="en-GB"/>
        </w:rPr>
      </w:pPr>
      <w:r w:rsidRPr="00AA0D12">
        <w:rPr>
          <w:rFonts w:ascii="Times New Roman" w:hAnsi="Times New Roman" w:cs="Times New Roman"/>
          <w:i/>
          <w:iCs/>
          <w:color w:val="000000" w:themeColor="text1"/>
          <w:lang w:val="en-GB"/>
        </w:rPr>
        <w:t>Powers of “stop and search” or “stop and frisk”, applied to those who participate in assemblies,</w:t>
      </w:r>
      <w:r w:rsidRPr="00AA0D12">
        <w:rPr>
          <w:rFonts w:ascii="Times New Roman" w:hAnsi="Times New Roman" w:cs="Times New Roman"/>
          <w:b/>
          <w:i/>
          <w:iCs/>
          <w:color w:val="000000" w:themeColor="text1"/>
          <w:lang w:val="en-GB"/>
        </w:rPr>
        <w:t xml:space="preserve"> </w:t>
      </w:r>
      <w:r w:rsidRPr="00AA0D12">
        <w:rPr>
          <w:rFonts w:ascii="Times New Roman" w:hAnsi="Times New Roman" w:cs="Times New Roman"/>
          <w:b/>
          <w:i/>
          <w:iCs/>
          <w:strike/>
          <w:color w:val="2F5496" w:themeColor="accent1" w:themeShade="BF"/>
          <w:lang w:val="en-GB"/>
        </w:rPr>
        <w:t>or are about to do so</w:t>
      </w:r>
      <w:r w:rsidRPr="00AA0D12">
        <w:rPr>
          <w:rFonts w:ascii="Times New Roman" w:hAnsi="Times New Roman" w:cs="Times New Roman"/>
          <w:b/>
          <w:i/>
          <w:iCs/>
          <w:color w:val="2F5496" w:themeColor="accent1" w:themeShade="BF"/>
          <w:lang w:val="en-GB"/>
        </w:rPr>
        <w:t xml:space="preserve">, </w:t>
      </w:r>
      <w:r w:rsidRPr="00AA0D12">
        <w:rPr>
          <w:rFonts w:ascii="Times New Roman" w:hAnsi="Times New Roman" w:cs="Times New Roman"/>
          <w:i/>
          <w:iCs/>
          <w:color w:val="000000" w:themeColor="text1"/>
          <w:lang w:val="en-GB"/>
        </w:rPr>
        <w:t>must be exercised based on</w:t>
      </w:r>
      <w:r w:rsidRPr="00AA0D12">
        <w:rPr>
          <w:rFonts w:ascii="Times New Roman" w:hAnsi="Times New Roman" w:cs="Times New Roman"/>
          <w:b/>
          <w:i/>
          <w:iCs/>
          <w:color w:val="2F5496" w:themeColor="accent1" w:themeShade="BF"/>
          <w:lang w:val="en-GB"/>
        </w:rPr>
        <w:t xml:space="preserve"> </w:t>
      </w:r>
      <w:r w:rsidRPr="006824C8">
        <w:rPr>
          <w:rFonts w:ascii="Times New Roman" w:hAnsi="Times New Roman" w:cs="Times New Roman"/>
          <w:b/>
          <w:i/>
          <w:iCs/>
          <w:color w:val="2F5496" w:themeColor="accent1" w:themeShade="BF"/>
          <w:lang w:val="en-GB"/>
        </w:rPr>
        <w:t>strong amount of evidence of an imminent threat posed.</w:t>
      </w:r>
      <w:r w:rsidRPr="00AA0D12">
        <w:rPr>
          <w:rFonts w:ascii="Times New Roman" w:hAnsi="Times New Roman" w:cs="Times New Roman"/>
          <w:b/>
          <w:i/>
          <w:iCs/>
          <w:color w:val="2F5496" w:themeColor="accent1" w:themeShade="BF"/>
          <w:lang w:val="en-GB"/>
        </w:rPr>
        <w:t xml:space="preserve"> </w:t>
      </w:r>
      <w:r w:rsidRPr="00AA0D12">
        <w:rPr>
          <w:rFonts w:ascii="Times New Roman" w:hAnsi="Times New Roman" w:cs="Times New Roman"/>
          <w:b/>
          <w:i/>
          <w:iCs/>
          <w:color w:val="2F5496" w:themeColor="accent1" w:themeShade="BF"/>
          <w:u w:val="single"/>
          <w:lang w:val="en-GB"/>
        </w:rPr>
        <w:t>A mere suspicion by law enforcement officials must not constitute the ground for stopping and searching participants in an assembly. Stop and search should in principle never be used against peaceful participants in an assembly;</w:t>
      </w:r>
      <w:r w:rsidRPr="00AA0D12">
        <w:rPr>
          <w:rFonts w:ascii="Times New Roman" w:hAnsi="Times New Roman" w:cs="Times New Roman"/>
          <w:b/>
          <w:i/>
          <w:iCs/>
          <w:color w:val="2F5496" w:themeColor="accent1" w:themeShade="BF"/>
          <w:lang w:val="en-GB"/>
        </w:rPr>
        <w:t xml:space="preserve"> </w:t>
      </w:r>
      <w:r w:rsidRPr="006824C8">
        <w:rPr>
          <w:rFonts w:ascii="Times New Roman" w:hAnsi="Times New Roman" w:cs="Times New Roman"/>
          <w:i/>
          <w:iCs/>
          <w:color w:val="000000" w:themeColor="text1"/>
          <w:lang w:val="en-GB"/>
        </w:rPr>
        <w:t xml:space="preserve">otherwise, they constitute an unwarranted interference with the right </w:t>
      </w:r>
      <w:r w:rsidRPr="006824C8">
        <w:rPr>
          <w:rFonts w:ascii="Times New Roman" w:hAnsi="Times New Roman" w:cs="Times New Roman"/>
          <w:i/>
          <w:iCs/>
          <w:color w:val="000000" w:themeColor="text1"/>
          <w:lang w:val="en-GB"/>
        </w:rPr>
        <w:lastRenderedPageBreak/>
        <w:t>to privacy</w:t>
      </w:r>
      <w:r w:rsidRPr="00AA0D12">
        <w:rPr>
          <w:rFonts w:ascii="Times New Roman" w:hAnsi="Times New Roman" w:cs="Times New Roman"/>
          <w:b/>
          <w:i/>
          <w:iCs/>
          <w:color w:val="2F5496" w:themeColor="accent1" w:themeShade="BF"/>
          <w:lang w:val="en-GB"/>
        </w:rPr>
        <w:t xml:space="preserve">. </w:t>
      </w:r>
      <w:r w:rsidRPr="00AA0D12">
        <w:rPr>
          <w:rFonts w:ascii="Times New Roman" w:hAnsi="Times New Roman" w:cs="Times New Roman"/>
          <w:b/>
          <w:i/>
          <w:iCs/>
          <w:color w:val="2F5496" w:themeColor="accent1" w:themeShade="BF"/>
          <w:u w:val="single"/>
          <w:lang w:val="en-GB"/>
        </w:rPr>
        <w:t>Stop and search must not be used in a discriminatory manner.</w:t>
      </w:r>
      <w:r w:rsidRPr="00AA0D12">
        <w:rPr>
          <w:rStyle w:val="FootnoteReference"/>
          <w:rFonts w:cs="Times New Roman"/>
          <w:b/>
          <w:i/>
          <w:iCs/>
          <w:color w:val="2F5496" w:themeColor="accent1" w:themeShade="BF"/>
        </w:rPr>
        <w:footnoteReference w:id="44"/>
      </w:r>
      <w:r w:rsidRPr="00AA0D12">
        <w:rPr>
          <w:rFonts w:ascii="Times New Roman" w:hAnsi="Times New Roman" w:cs="Times New Roman"/>
          <w:b/>
          <w:i/>
          <w:iCs/>
          <w:color w:val="2F5496" w:themeColor="accent1" w:themeShade="BF"/>
          <w:u w:val="single"/>
          <w:lang w:val="en-GB"/>
        </w:rPr>
        <w:t xml:space="preserve"> </w:t>
      </w:r>
    </w:p>
    <w:p w14:paraId="21D2DAB5" w14:textId="77777777" w:rsidR="00AA0D12" w:rsidRDefault="00AA0D12" w:rsidP="00AA0D12">
      <w:pPr>
        <w:jc w:val="lowKashida"/>
        <w:rPr>
          <w:rFonts w:ascii="Times New Roman" w:hAnsi="Times New Roman" w:cs="Times New Roman"/>
          <w:lang w:val="en-GB"/>
        </w:rPr>
      </w:pPr>
    </w:p>
    <w:p w14:paraId="0EC5BCC3" w14:textId="77777777" w:rsidR="00AA0D12" w:rsidRPr="00AA0D12" w:rsidRDefault="00AA0D12" w:rsidP="00AA0D12">
      <w:pPr>
        <w:jc w:val="lowKashida"/>
        <w:rPr>
          <w:rFonts w:ascii="Times New Roman" w:hAnsi="Times New Roman" w:cs="Times New Roman"/>
          <w:lang w:val="en-GB"/>
        </w:rPr>
      </w:pPr>
    </w:p>
    <w:p w14:paraId="54C67039" w14:textId="77777777" w:rsidR="006824C8" w:rsidRDefault="006824C8" w:rsidP="00AA361E">
      <w:pPr>
        <w:pStyle w:val="ListParagraph"/>
        <w:numPr>
          <w:ilvl w:val="0"/>
          <w:numId w:val="11"/>
        </w:numPr>
        <w:jc w:val="lowKashida"/>
        <w:rPr>
          <w:rFonts w:ascii="Times New Roman" w:hAnsi="Times New Roman" w:cs="Times New Roman"/>
          <w:lang w:val="en-GB"/>
        </w:rPr>
      </w:pPr>
      <w:r>
        <w:rPr>
          <w:rFonts w:ascii="Times New Roman" w:hAnsi="Times New Roman" w:cs="Times New Roman"/>
          <w:lang w:val="en-GB"/>
        </w:rPr>
        <w:t>Regarding the practice of “kettling” mentioned o</w:t>
      </w:r>
      <w:r w:rsidR="00E14BA5" w:rsidRPr="006824C8">
        <w:rPr>
          <w:rFonts w:ascii="Times New Roman" w:hAnsi="Times New Roman" w:cs="Times New Roman"/>
          <w:lang w:val="en-GB"/>
        </w:rPr>
        <w:t xml:space="preserve">n </w:t>
      </w:r>
      <w:r w:rsidR="00E14BA5" w:rsidRPr="006824C8">
        <w:rPr>
          <w:rFonts w:ascii="Times New Roman" w:hAnsi="Times New Roman" w:cs="Times New Roman"/>
          <w:b/>
          <w:bCs/>
          <w:lang w:val="en-GB"/>
        </w:rPr>
        <w:t>paragraph 95</w:t>
      </w:r>
      <w:r>
        <w:rPr>
          <w:rFonts w:ascii="Times New Roman" w:hAnsi="Times New Roman" w:cs="Times New Roman"/>
          <w:b/>
          <w:bCs/>
          <w:lang w:val="en-GB"/>
        </w:rPr>
        <w:t xml:space="preserve"> </w:t>
      </w:r>
      <w:r w:rsidRPr="006824C8">
        <w:rPr>
          <w:rFonts w:ascii="Times New Roman" w:hAnsi="Times New Roman" w:cs="Times New Roman"/>
          <w:bCs/>
          <w:lang w:val="en-GB"/>
        </w:rPr>
        <w:t>of the revised draft</w:t>
      </w:r>
      <w:r>
        <w:rPr>
          <w:rFonts w:ascii="Times New Roman" w:hAnsi="Times New Roman" w:cs="Times New Roman"/>
          <w:lang w:val="en-GB"/>
        </w:rPr>
        <w:t>, the Special Rapporteur</w:t>
      </w:r>
      <w:r w:rsidR="00E14BA5" w:rsidRPr="006824C8">
        <w:rPr>
          <w:rFonts w:ascii="Times New Roman" w:hAnsi="Times New Roman" w:cs="Times New Roman"/>
          <w:lang w:val="en-GB"/>
        </w:rPr>
        <w:t xml:space="preserve"> has found the practice of “kettling” to be intrinsically detrimental to the exercise of the right to peaceful assembly due to its indiscriminate and disproportionate nature</w:t>
      </w:r>
      <w:r w:rsidR="00E14BA5" w:rsidRPr="00E14BA5">
        <w:rPr>
          <w:rStyle w:val="FootnoteReference"/>
          <w:rFonts w:cs="Times New Roman"/>
        </w:rPr>
        <w:footnoteReference w:id="45"/>
      </w:r>
      <w:r w:rsidR="00E14BA5" w:rsidRPr="006824C8">
        <w:rPr>
          <w:rFonts w:ascii="Times New Roman" w:hAnsi="Times New Roman" w:cs="Times New Roman"/>
          <w:lang w:val="en-GB"/>
        </w:rPr>
        <w:t>. Kettling has been used for intelligence-gathering purposes and can lead to mass indiscriminate arrests violating international human rights law and standards. The S</w:t>
      </w:r>
      <w:r>
        <w:rPr>
          <w:rFonts w:ascii="Times New Roman" w:hAnsi="Times New Roman" w:cs="Times New Roman"/>
          <w:lang w:val="en-GB"/>
        </w:rPr>
        <w:t xml:space="preserve">pecial </w:t>
      </w:r>
      <w:r w:rsidR="00E14BA5" w:rsidRPr="006824C8">
        <w:rPr>
          <w:rFonts w:ascii="Times New Roman" w:hAnsi="Times New Roman" w:cs="Times New Roman"/>
          <w:lang w:val="en-GB"/>
        </w:rPr>
        <w:t>R</w:t>
      </w:r>
      <w:r>
        <w:rPr>
          <w:rFonts w:ascii="Times New Roman" w:hAnsi="Times New Roman" w:cs="Times New Roman"/>
          <w:lang w:val="en-GB"/>
        </w:rPr>
        <w:t>apporteur</w:t>
      </w:r>
      <w:r w:rsidR="00E14BA5" w:rsidRPr="006824C8">
        <w:rPr>
          <w:rFonts w:ascii="Times New Roman" w:hAnsi="Times New Roman" w:cs="Times New Roman"/>
          <w:lang w:val="en-GB"/>
        </w:rPr>
        <w:t xml:space="preserve"> has previously observed that “the  practice  of  containment also undeniably has a powerful chilling effect on the exercise of freedom of peaceful assembly … {since} many people  refrained  from  exercising  their  right  to  freedom  of  peaceful  assembly  for  fear  of being “kettled”.  Finally,  it  appears  that “kettling”  has  been  used  for  intelligence  gathering purposes,  by  compelling  peaceful  protestors,  and  even  bystanders,  to  disclose  their  names and  addresses  as  they  leave  the  kettle,  increasing  the  chilling  effect  it  has  on  potential protesters.”</w:t>
      </w:r>
      <w:r w:rsidR="00E14BA5" w:rsidRPr="00E14BA5">
        <w:rPr>
          <w:rStyle w:val="FootnoteReference"/>
          <w:rFonts w:cs="Times New Roman"/>
        </w:rPr>
        <w:footnoteReference w:id="46"/>
      </w:r>
      <w:r w:rsidR="00E14BA5" w:rsidRPr="006824C8">
        <w:rPr>
          <w:rFonts w:ascii="Times New Roman" w:hAnsi="Times New Roman" w:cs="Times New Roman"/>
          <w:lang w:val="en-GB"/>
        </w:rPr>
        <w:t xml:space="preserve"> It is therefore highly recommended that this paragraph be </w:t>
      </w:r>
      <w:r w:rsidR="00E14BA5" w:rsidRPr="006824C8">
        <w:rPr>
          <w:rFonts w:ascii="Times New Roman" w:hAnsi="Times New Roman" w:cs="Times New Roman"/>
          <w:b/>
          <w:color w:val="2F5496" w:themeColor="accent1" w:themeShade="BF"/>
          <w:lang w:val="en-GB"/>
        </w:rPr>
        <w:t>eliminated</w:t>
      </w:r>
      <w:r w:rsidR="00E14BA5" w:rsidRPr="006824C8">
        <w:rPr>
          <w:rFonts w:ascii="Times New Roman" w:hAnsi="Times New Roman" w:cs="Times New Roman"/>
          <w:color w:val="2F5496" w:themeColor="accent1" w:themeShade="BF"/>
          <w:lang w:val="en-GB"/>
        </w:rPr>
        <w:t xml:space="preserve"> </w:t>
      </w:r>
      <w:r w:rsidR="00E14BA5" w:rsidRPr="006824C8">
        <w:rPr>
          <w:rFonts w:ascii="Times New Roman" w:hAnsi="Times New Roman" w:cs="Times New Roman"/>
          <w:lang w:val="en-GB"/>
        </w:rPr>
        <w:t xml:space="preserve">on this basis. </w:t>
      </w:r>
    </w:p>
    <w:p w14:paraId="61EB9F89" w14:textId="77777777" w:rsidR="00E45603" w:rsidRDefault="00E45603" w:rsidP="00E45603">
      <w:pPr>
        <w:pStyle w:val="ListParagraph"/>
        <w:ind w:left="360"/>
        <w:jc w:val="lowKashida"/>
        <w:rPr>
          <w:rFonts w:ascii="Times New Roman" w:hAnsi="Times New Roman" w:cs="Times New Roman"/>
          <w:lang w:val="en-GB"/>
        </w:rPr>
      </w:pPr>
    </w:p>
    <w:p w14:paraId="2D26C326" w14:textId="0563C2D7" w:rsidR="00E45603" w:rsidRDefault="00E45603" w:rsidP="00AA361E">
      <w:pPr>
        <w:pStyle w:val="ListParagraph"/>
        <w:numPr>
          <w:ilvl w:val="0"/>
          <w:numId w:val="11"/>
        </w:numPr>
        <w:jc w:val="lowKashida"/>
        <w:rPr>
          <w:rFonts w:ascii="Times New Roman" w:hAnsi="Times New Roman" w:cs="Times New Roman"/>
          <w:lang w:val="en-GB"/>
        </w:rPr>
      </w:pPr>
      <w:r>
        <w:rPr>
          <w:rFonts w:ascii="Times New Roman" w:hAnsi="Times New Roman" w:cs="Times New Roman"/>
          <w:lang w:val="en-GB"/>
        </w:rPr>
        <w:t>On</w:t>
      </w:r>
      <w:r w:rsidRPr="00E45603">
        <w:rPr>
          <w:rFonts w:ascii="Times New Roman" w:hAnsi="Times New Roman" w:cs="Times New Roman"/>
          <w:b/>
          <w:lang w:val="en-GB"/>
        </w:rPr>
        <w:t xml:space="preserve"> paragraph 96</w:t>
      </w:r>
      <w:r>
        <w:rPr>
          <w:rFonts w:ascii="Times New Roman" w:hAnsi="Times New Roman" w:cs="Times New Roman"/>
          <w:lang w:val="en-GB"/>
        </w:rPr>
        <w:t>, the Special Rapporteur suggests to include a reference to article 20 of the ICCPR when an assembly begins peaceful and then turns violent as follows:</w:t>
      </w:r>
    </w:p>
    <w:p w14:paraId="0648EBDF" w14:textId="77777777" w:rsidR="00E45603" w:rsidRPr="00E45603" w:rsidRDefault="00E45603" w:rsidP="00E45603">
      <w:pPr>
        <w:pStyle w:val="ListParagraph"/>
        <w:rPr>
          <w:rFonts w:ascii="Times New Roman" w:hAnsi="Times New Roman" w:cs="Times New Roman"/>
          <w:lang w:val="en-GB"/>
        </w:rPr>
      </w:pPr>
    </w:p>
    <w:p w14:paraId="4A956F3C" w14:textId="77777777" w:rsidR="00E45603" w:rsidRDefault="00E45603" w:rsidP="00E45603">
      <w:pPr>
        <w:pStyle w:val="ListParagraph"/>
        <w:spacing w:after="120"/>
        <w:ind w:left="1134" w:right="1134"/>
        <w:jc w:val="lowKashida"/>
        <w:rPr>
          <w:rFonts w:ascii="Times New Roman" w:hAnsi="Times New Roman" w:cs="Times New Roman"/>
          <w:b/>
          <w:color w:val="2F5496" w:themeColor="accent1" w:themeShade="BF"/>
          <w:lang w:val="en-GB"/>
        </w:rPr>
      </w:pPr>
    </w:p>
    <w:p w14:paraId="71131D9B" w14:textId="4391CD0D" w:rsidR="00E45603" w:rsidRPr="00E45603" w:rsidRDefault="00E45603" w:rsidP="00E45603">
      <w:pPr>
        <w:pStyle w:val="ListParagraph"/>
        <w:spacing w:after="120"/>
        <w:ind w:left="1134" w:right="1134"/>
        <w:jc w:val="lowKashida"/>
        <w:rPr>
          <w:rFonts w:ascii="Times New Roman" w:hAnsi="Times New Roman" w:cs="Times New Roman"/>
          <w:b/>
          <w:i/>
          <w:color w:val="2F5496" w:themeColor="accent1" w:themeShade="BF"/>
          <w:lang w:val="en-GB"/>
        </w:rPr>
      </w:pPr>
      <w:r w:rsidRPr="00E45603">
        <w:rPr>
          <w:rFonts w:ascii="Times New Roman" w:hAnsi="Times New Roman" w:cs="Times New Roman"/>
          <w:i/>
          <w:lang w:val="en-GB"/>
        </w:rPr>
        <w:t xml:space="preserve">Only in exceptional cases may an assembly be dispersed. This may be the case if the assembly as such is no longer peaceful, or if there is clear evidence of an imminent threat of serious violence, </w:t>
      </w:r>
      <w:r w:rsidRPr="00E45603">
        <w:rPr>
          <w:rFonts w:ascii="Times New Roman" w:hAnsi="Times New Roman" w:cs="Times New Roman"/>
          <w:i/>
          <w:lang w:val="en-GB"/>
        </w:rPr>
        <w:lastRenderedPageBreak/>
        <w:t>but in all cases the rules on the use of force must be strictly followed. An assembly that remains peaceful but which nevertheless causes a high level of disruption, such as the extended blocking of traffic, may be dispersed, as a rule, only if the disruption is “serious and sustained”.</w:t>
      </w:r>
      <w:r w:rsidRPr="00E45603">
        <w:rPr>
          <w:rFonts w:ascii="Times New Roman" w:hAnsi="Times New Roman" w:cs="Times New Roman"/>
          <w:i/>
          <w:vertAlign w:val="superscript"/>
          <w:lang w:val="fr-CH"/>
        </w:rPr>
        <w:footnoteReference w:id="47"/>
      </w:r>
      <w:r>
        <w:rPr>
          <w:rFonts w:ascii="Times New Roman" w:hAnsi="Times New Roman" w:cs="Times New Roman"/>
          <w:i/>
          <w:lang w:val="en-GB"/>
        </w:rPr>
        <w:t xml:space="preserve"> An </w:t>
      </w:r>
      <w:r w:rsidRPr="00E45603">
        <w:rPr>
          <w:rFonts w:ascii="Times New Roman" w:hAnsi="Times New Roman" w:cs="Times New Roman"/>
          <w:b/>
          <w:i/>
          <w:iCs/>
          <w:color w:val="2F5496" w:themeColor="accent1" w:themeShade="BF"/>
          <w:lang w:val="en-GB"/>
        </w:rPr>
        <w:t xml:space="preserve">assembly that starts peaceful, but turns to inciting discrimination, hostility or violence, in contravention of article 20 of the covenant, may warrant dispersal if all less intrusive and discriminatory means of managing the </w:t>
      </w:r>
      <w:r>
        <w:rPr>
          <w:rFonts w:ascii="Times New Roman" w:hAnsi="Times New Roman" w:cs="Times New Roman"/>
          <w:b/>
          <w:i/>
          <w:iCs/>
          <w:color w:val="2F5496" w:themeColor="accent1" w:themeShade="BF"/>
          <w:lang w:val="en-GB"/>
        </w:rPr>
        <w:t>situation have</w:t>
      </w:r>
      <w:r w:rsidRPr="00E45603">
        <w:rPr>
          <w:rFonts w:ascii="Times New Roman" w:hAnsi="Times New Roman" w:cs="Times New Roman"/>
          <w:b/>
          <w:i/>
          <w:iCs/>
          <w:color w:val="2F5496" w:themeColor="accent1" w:themeShade="BF"/>
          <w:lang w:val="en-GB"/>
        </w:rPr>
        <w:t xml:space="preserve"> failed.</w:t>
      </w:r>
    </w:p>
    <w:p w14:paraId="1133C16F" w14:textId="77777777" w:rsidR="00E45603" w:rsidRDefault="00E45603" w:rsidP="00E45603">
      <w:pPr>
        <w:pStyle w:val="ListParagraph"/>
        <w:ind w:left="360"/>
        <w:jc w:val="lowKashida"/>
        <w:rPr>
          <w:rFonts w:ascii="Times New Roman" w:hAnsi="Times New Roman" w:cs="Times New Roman"/>
          <w:lang w:val="en-GB"/>
        </w:rPr>
      </w:pPr>
    </w:p>
    <w:p w14:paraId="4375DFE8" w14:textId="77777777" w:rsidR="006824C8" w:rsidRDefault="006824C8" w:rsidP="006824C8">
      <w:pPr>
        <w:pStyle w:val="ListParagraph"/>
        <w:ind w:left="360"/>
        <w:jc w:val="lowKashida"/>
        <w:rPr>
          <w:rFonts w:ascii="Times New Roman" w:hAnsi="Times New Roman" w:cs="Times New Roman"/>
          <w:lang w:val="en-GB"/>
        </w:rPr>
      </w:pPr>
    </w:p>
    <w:p w14:paraId="1C1B91B0" w14:textId="6A413DC7" w:rsidR="006824C8" w:rsidRDefault="00E14BA5" w:rsidP="00AA361E">
      <w:pPr>
        <w:pStyle w:val="ListParagraph"/>
        <w:numPr>
          <w:ilvl w:val="0"/>
          <w:numId w:val="11"/>
        </w:numPr>
        <w:jc w:val="lowKashida"/>
        <w:rPr>
          <w:rFonts w:ascii="Times New Roman" w:hAnsi="Times New Roman" w:cs="Times New Roman"/>
          <w:lang w:val="en-GB"/>
        </w:rPr>
      </w:pPr>
      <w:r w:rsidRPr="006824C8">
        <w:rPr>
          <w:rFonts w:ascii="Times New Roman" w:hAnsi="Times New Roman" w:cs="Times New Roman"/>
          <w:lang w:val="en-GB"/>
        </w:rPr>
        <w:t xml:space="preserve">On </w:t>
      </w:r>
      <w:r w:rsidRPr="006824C8">
        <w:rPr>
          <w:rFonts w:ascii="Times New Roman" w:hAnsi="Times New Roman" w:cs="Times New Roman"/>
          <w:b/>
          <w:bCs/>
          <w:lang w:val="en-GB"/>
        </w:rPr>
        <w:t>paragraph 97</w:t>
      </w:r>
      <w:r w:rsidRPr="006824C8">
        <w:rPr>
          <w:rFonts w:ascii="Times New Roman" w:hAnsi="Times New Roman" w:cs="Times New Roman"/>
          <w:lang w:val="en-GB"/>
        </w:rPr>
        <w:t>, the S</w:t>
      </w:r>
      <w:r w:rsidR="00E45603">
        <w:rPr>
          <w:rFonts w:ascii="Times New Roman" w:hAnsi="Times New Roman" w:cs="Times New Roman"/>
          <w:lang w:val="en-GB"/>
        </w:rPr>
        <w:t xml:space="preserve">pecial </w:t>
      </w:r>
      <w:r w:rsidRPr="006824C8">
        <w:rPr>
          <w:rFonts w:ascii="Times New Roman" w:hAnsi="Times New Roman" w:cs="Times New Roman"/>
          <w:lang w:val="en-GB"/>
        </w:rPr>
        <w:t>R</w:t>
      </w:r>
      <w:r w:rsidR="00E45603">
        <w:rPr>
          <w:rFonts w:ascii="Times New Roman" w:hAnsi="Times New Roman" w:cs="Times New Roman"/>
          <w:lang w:val="en-GB"/>
        </w:rPr>
        <w:t>apporteur</w:t>
      </w:r>
      <w:r w:rsidRPr="006824C8">
        <w:rPr>
          <w:rFonts w:ascii="Times New Roman" w:hAnsi="Times New Roman" w:cs="Times New Roman"/>
          <w:lang w:val="en-GB"/>
        </w:rPr>
        <w:t xml:space="preserve"> suggest</w:t>
      </w:r>
      <w:r w:rsidR="00E45603">
        <w:rPr>
          <w:rFonts w:ascii="Times New Roman" w:hAnsi="Times New Roman" w:cs="Times New Roman"/>
          <w:lang w:val="en-GB"/>
        </w:rPr>
        <w:t>s</w:t>
      </w:r>
      <w:r w:rsidRPr="006824C8">
        <w:rPr>
          <w:rFonts w:ascii="Times New Roman" w:hAnsi="Times New Roman" w:cs="Times New Roman"/>
          <w:lang w:val="en-GB"/>
        </w:rPr>
        <w:t xml:space="preserve"> the following addendum to the beginning of the sentence: </w:t>
      </w:r>
    </w:p>
    <w:p w14:paraId="61F1BBBC" w14:textId="77777777" w:rsidR="006824C8" w:rsidRPr="006824C8" w:rsidRDefault="006824C8" w:rsidP="006824C8">
      <w:pPr>
        <w:pStyle w:val="ListParagraph"/>
        <w:rPr>
          <w:rFonts w:ascii="Times New Roman" w:hAnsi="Times New Roman" w:cs="Times New Roman"/>
          <w:lang w:val="en-GB"/>
        </w:rPr>
      </w:pPr>
    </w:p>
    <w:p w14:paraId="7BC1ABA0" w14:textId="77777777" w:rsidR="006824C8" w:rsidRDefault="00E14BA5" w:rsidP="006824C8">
      <w:pPr>
        <w:pStyle w:val="ListParagraph"/>
        <w:ind w:left="1134" w:right="1134"/>
        <w:jc w:val="lowKashida"/>
        <w:rPr>
          <w:rFonts w:ascii="Times New Roman" w:hAnsi="Times New Roman" w:cs="Times New Roman"/>
          <w:i/>
          <w:iCs/>
          <w:lang w:val="en-GB"/>
        </w:rPr>
      </w:pPr>
      <w:r w:rsidRPr="006824C8">
        <w:rPr>
          <w:rFonts w:ascii="Times New Roman" w:hAnsi="Times New Roman" w:cs="Times New Roman"/>
          <w:b/>
          <w:i/>
          <w:iCs/>
          <w:color w:val="2F5496" w:themeColor="accent1" w:themeShade="BF"/>
          <w:lang w:val="en-GB"/>
        </w:rPr>
        <w:t>Only governmental authorities or high-ranking officers with sufficient and accurate information of the situation unfolding on the ground should have the authority to order dispersal. If dispersal is deemed necessary, the assembly and participants should be clearly and audibly informed, and should also be given reasonable time to disperse voluntarily. Only if participants then fail to disperse may law enforcement officials intervene further</w:t>
      </w:r>
      <w:r w:rsidRPr="006824C8">
        <w:rPr>
          <w:rStyle w:val="FootnoteReference"/>
          <w:rFonts w:cs="Times New Roman"/>
          <w:b/>
          <w:i/>
          <w:iCs/>
          <w:color w:val="2F5496" w:themeColor="accent1" w:themeShade="BF"/>
        </w:rPr>
        <w:footnoteReference w:id="48"/>
      </w:r>
      <w:r w:rsidRPr="006824C8">
        <w:rPr>
          <w:rFonts w:ascii="Times New Roman" w:hAnsi="Times New Roman" w:cs="Times New Roman"/>
          <w:b/>
          <w:i/>
          <w:iCs/>
          <w:color w:val="2F5496" w:themeColor="accent1" w:themeShade="BF"/>
          <w:lang w:val="en-GB"/>
        </w:rPr>
        <w:t>.</w:t>
      </w:r>
      <w:r w:rsidRPr="006824C8">
        <w:rPr>
          <w:rFonts w:ascii="Times New Roman" w:hAnsi="Times New Roman" w:cs="Times New Roman"/>
          <w:i/>
          <w:iCs/>
          <w:color w:val="2F5496" w:themeColor="accent1" w:themeShade="BF"/>
          <w:lang w:val="en-GB"/>
        </w:rPr>
        <w:t xml:space="preserve"> </w:t>
      </w:r>
      <w:r w:rsidRPr="006824C8">
        <w:rPr>
          <w:rFonts w:ascii="Times New Roman" w:hAnsi="Times New Roman" w:cs="Times New Roman"/>
          <w:i/>
          <w:iCs/>
          <w:lang w:val="en-GB"/>
        </w:rPr>
        <w:t xml:space="preserve">Where a decision is lawfully taken to disperse an assembly, force should be avoided. Where that is not possible in the circumstances, only the minimum force necessary should be used. As far as possible, any force used should be directed against a specific individual or group of participants in an assembly </w:t>
      </w:r>
      <w:r w:rsidRPr="006824C8">
        <w:rPr>
          <w:rFonts w:ascii="Times New Roman" w:hAnsi="Times New Roman" w:cs="Times New Roman"/>
          <w:b/>
          <w:i/>
          <w:iCs/>
          <w:color w:val="2F5496" w:themeColor="accent1" w:themeShade="BF"/>
          <w:lang w:val="en-GB"/>
        </w:rPr>
        <w:t>identified as violent</w:t>
      </w:r>
      <w:r w:rsidRPr="006824C8">
        <w:rPr>
          <w:rFonts w:ascii="Times New Roman" w:hAnsi="Times New Roman" w:cs="Times New Roman"/>
          <w:i/>
          <w:iCs/>
          <w:lang w:val="en-GB"/>
        </w:rPr>
        <w:t>. Area weapons such as chemical irritants dis</w:t>
      </w:r>
      <w:r w:rsidRPr="006824C8">
        <w:rPr>
          <w:rFonts w:ascii="Times New Roman" w:hAnsi="Times New Roman" w:cs="Times New Roman"/>
          <w:i/>
          <w:iCs/>
          <w:lang w:val="en-GB"/>
        </w:rPr>
        <w:lastRenderedPageBreak/>
        <w:t xml:space="preserve">persed at a distance (tear gas) and water cannon tend to have indiscriminate effects </w:t>
      </w:r>
      <w:r w:rsidRPr="006824C8">
        <w:rPr>
          <w:rFonts w:ascii="Times New Roman" w:hAnsi="Times New Roman" w:cs="Times New Roman"/>
          <w:b/>
          <w:i/>
          <w:iCs/>
          <w:color w:val="2F5496" w:themeColor="accent1" w:themeShade="BF"/>
          <w:lang w:val="en-GB"/>
        </w:rPr>
        <w:t>and for this reason, they must be used only when absolutely necessary and in small quantities and over a short and limited time frame.</w:t>
      </w:r>
      <w:r w:rsidRPr="006824C8">
        <w:rPr>
          <w:rFonts w:ascii="Times New Roman" w:hAnsi="Times New Roman" w:cs="Times New Roman"/>
          <w:i/>
          <w:iCs/>
          <w:color w:val="2F5496" w:themeColor="accent1" w:themeShade="BF"/>
          <w:lang w:val="en-GB"/>
        </w:rPr>
        <w:t xml:space="preserve"> </w:t>
      </w:r>
      <w:r w:rsidRPr="006824C8">
        <w:rPr>
          <w:rFonts w:ascii="Times New Roman" w:hAnsi="Times New Roman" w:cs="Times New Roman"/>
          <w:i/>
          <w:iCs/>
          <w:lang w:val="en-GB"/>
        </w:rPr>
        <w:t>When such weapons are used, all reasonable efforts should be undertaken to limit risks such as causing harm to bystanders or causing a stampede. Tear gas should n</w:t>
      </w:r>
      <w:r w:rsidR="006824C8">
        <w:rPr>
          <w:rFonts w:ascii="Times New Roman" w:hAnsi="Times New Roman" w:cs="Times New Roman"/>
          <w:i/>
          <w:iCs/>
          <w:lang w:val="en-GB"/>
        </w:rPr>
        <w:t>ot be used in confined spaces.</w:t>
      </w:r>
    </w:p>
    <w:p w14:paraId="489897CA" w14:textId="77777777" w:rsidR="006824C8" w:rsidRDefault="006824C8" w:rsidP="006824C8">
      <w:pPr>
        <w:ind w:right="1134"/>
        <w:jc w:val="lowKashida"/>
        <w:rPr>
          <w:rFonts w:ascii="Times New Roman" w:hAnsi="Times New Roman" w:cs="Times New Roman"/>
          <w:lang w:val="en-GB"/>
        </w:rPr>
      </w:pPr>
    </w:p>
    <w:p w14:paraId="1BA35B2E" w14:textId="77777777" w:rsidR="006824C8" w:rsidRPr="006824C8" w:rsidRDefault="00E14BA5" w:rsidP="00AA361E">
      <w:pPr>
        <w:pStyle w:val="ListParagraph"/>
        <w:numPr>
          <w:ilvl w:val="0"/>
          <w:numId w:val="11"/>
        </w:numPr>
        <w:ind w:left="357" w:hanging="357"/>
        <w:jc w:val="lowKashida"/>
        <w:rPr>
          <w:rFonts w:ascii="Times New Roman" w:hAnsi="Times New Roman" w:cs="Times New Roman"/>
          <w:i/>
          <w:iCs/>
          <w:lang w:val="en-GB"/>
        </w:rPr>
      </w:pPr>
      <w:r w:rsidRPr="006824C8">
        <w:rPr>
          <w:rFonts w:ascii="Times New Roman" w:hAnsi="Times New Roman" w:cs="Times New Roman"/>
          <w:lang w:val="en-GB"/>
        </w:rPr>
        <w:t xml:space="preserve">On </w:t>
      </w:r>
      <w:r w:rsidRPr="006824C8">
        <w:rPr>
          <w:rFonts w:ascii="Times New Roman" w:hAnsi="Times New Roman" w:cs="Times New Roman"/>
          <w:b/>
          <w:bCs/>
          <w:lang w:val="en-GB"/>
        </w:rPr>
        <w:t>paragraph 98</w:t>
      </w:r>
      <w:r w:rsidRPr="006824C8">
        <w:rPr>
          <w:rFonts w:ascii="Times New Roman" w:hAnsi="Times New Roman" w:cs="Times New Roman"/>
          <w:lang w:val="en-GB"/>
        </w:rPr>
        <w:t>, which limits the use of firearms to an imminent threat of death or serious injury or a grave and proximate threat to life, practice shows that firearms aimed at the human body (even the non-vital parts) is intentionally a lethal force. The threshold should therefore be kept at imminent threat to life and exclude serious injury.</w:t>
      </w:r>
    </w:p>
    <w:p w14:paraId="1013617F" w14:textId="77777777" w:rsidR="006824C8" w:rsidRPr="006824C8" w:rsidRDefault="006824C8" w:rsidP="006824C8">
      <w:pPr>
        <w:pStyle w:val="ListParagraph"/>
        <w:ind w:left="357"/>
        <w:jc w:val="lowKashida"/>
        <w:rPr>
          <w:rFonts w:ascii="Times New Roman" w:hAnsi="Times New Roman" w:cs="Times New Roman"/>
          <w:i/>
          <w:iCs/>
          <w:lang w:val="en-GB"/>
        </w:rPr>
      </w:pPr>
    </w:p>
    <w:p w14:paraId="39B8D691" w14:textId="3897272A" w:rsidR="00E14BA5" w:rsidRPr="006824C8" w:rsidRDefault="006824C8" w:rsidP="00AA361E">
      <w:pPr>
        <w:pStyle w:val="ListParagraph"/>
        <w:numPr>
          <w:ilvl w:val="0"/>
          <w:numId w:val="11"/>
        </w:numPr>
        <w:ind w:left="357" w:hanging="357"/>
        <w:jc w:val="lowKashida"/>
        <w:rPr>
          <w:rFonts w:ascii="Times New Roman" w:hAnsi="Times New Roman" w:cs="Times New Roman"/>
          <w:i/>
          <w:iCs/>
          <w:lang w:val="en-GB"/>
        </w:rPr>
      </w:pPr>
      <w:r>
        <w:rPr>
          <w:rFonts w:ascii="Times New Roman" w:hAnsi="Times New Roman" w:cs="Times New Roman"/>
          <w:lang w:val="en-GB"/>
        </w:rPr>
        <w:t>On</w:t>
      </w:r>
      <w:r w:rsidR="00E14BA5" w:rsidRPr="006824C8">
        <w:rPr>
          <w:rFonts w:ascii="Times New Roman" w:hAnsi="Times New Roman" w:cs="Times New Roman"/>
          <w:lang w:val="en-GB"/>
        </w:rPr>
        <w:t xml:space="preserve"> </w:t>
      </w:r>
      <w:r w:rsidR="00E14BA5" w:rsidRPr="006824C8">
        <w:rPr>
          <w:rFonts w:ascii="Times New Roman" w:hAnsi="Times New Roman" w:cs="Times New Roman"/>
          <w:b/>
          <w:bCs/>
          <w:lang w:val="en-GB"/>
        </w:rPr>
        <w:t>paragraph 100</w:t>
      </w:r>
      <w:r>
        <w:rPr>
          <w:rFonts w:ascii="Times New Roman" w:hAnsi="Times New Roman" w:cs="Times New Roman"/>
          <w:lang w:val="en-GB"/>
        </w:rPr>
        <w:t>, the Special Rapporteur</w:t>
      </w:r>
      <w:r w:rsidR="00E14BA5" w:rsidRPr="006824C8">
        <w:rPr>
          <w:rFonts w:ascii="Times New Roman" w:hAnsi="Times New Roman" w:cs="Times New Roman"/>
          <w:lang w:val="en-GB"/>
        </w:rPr>
        <w:t xml:space="preserve"> believes that the responsibility of the states goes far beyond merely “promoting a culture of accountability” for law enforcement officials; States must </w:t>
      </w:r>
      <w:r w:rsidR="00E14BA5" w:rsidRPr="00AA361E">
        <w:rPr>
          <w:rFonts w:ascii="Times New Roman" w:hAnsi="Times New Roman" w:cs="Times New Roman"/>
          <w:b/>
          <w:color w:val="2F5496" w:themeColor="accent1" w:themeShade="BF"/>
          <w:lang w:val="en-GB"/>
        </w:rPr>
        <w:t>“</w:t>
      </w:r>
      <w:r w:rsidR="00E14BA5" w:rsidRPr="00AA361E">
        <w:rPr>
          <w:rFonts w:ascii="Times New Roman" w:hAnsi="Times New Roman" w:cs="Times New Roman"/>
          <w:b/>
          <w:color w:val="2F5496" w:themeColor="accent1" w:themeShade="BF"/>
          <w:u w:val="single"/>
          <w:lang w:val="en-GB"/>
        </w:rPr>
        <w:t>ensure and guarantee”</w:t>
      </w:r>
      <w:r w:rsidR="00E14BA5" w:rsidRPr="00AA361E">
        <w:rPr>
          <w:rFonts w:ascii="Times New Roman" w:hAnsi="Times New Roman" w:cs="Times New Roman"/>
          <w:color w:val="2F5496" w:themeColor="accent1" w:themeShade="BF"/>
          <w:lang w:val="en-GB"/>
        </w:rPr>
        <w:t xml:space="preserve"> </w:t>
      </w:r>
      <w:r w:rsidR="00E14BA5" w:rsidRPr="006824C8">
        <w:rPr>
          <w:rFonts w:ascii="Times New Roman" w:hAnsi="Times New Roman" w:cs="Times New Roman"/>
          <w:lang w:val="en-GB"/>
        </w:rPr>
        <w:t>accountability for law enforcement officials during assemblies. The SR has identified various global trends aiming at increasing repression of social movements, demonizing assemblies and protests, stigmatization of activists and criminalizing their activities. In this sense, major restrictions on use of force should be prescribed by the general comment, and when force has been used illegally, firm consequences should be applied to ensure accountability and not only promote it, which bears a passive meaning.</w:t>
      </w:r>
    </w:p>
    <w:p w14:paraId="17759C27" w14:textId="77777777" w:rsidR="00E14BA5" w:rsidRPr="00E14BA5" w:rsidRDefault="00E14BA5" w:rsidP="00E14BA5">
      <w:pPr>
        <w:rPr>
          <w:rFonts w:ascii="Times New Roman" w:hAnsi="Times New Roman" w:cs="Times New Roman"/>
          <w:sz w:val="36"/>
          <w:lang w:val="en-US"/>
        </w:rPr>
      </w:pPr>
    </w:p>
    <w:p w14:paraId="5B9C7440" w14:textId="77777777" w:rsidR="003121E5" w:rsidRPr="003121E5" w:rsidRDefault="003121E5" w:rsidP="003121E5">
      <w:pPr>
        <w:jc w:val="center"/>
        <w:rPr>
          <w:rFonts w:ascii="Times New Roman" w:hAnsi="Times New Roman" w:cs="Times New Roman"/>
          <w:lang w:val="en-US"/>
        </w:rPr>
      </w:pPr>
    </w:p>
    <w:sectPr w:rsidR="003121E5" w:rsidRPr="003121E5" w:rsidSect="006824C8">
      <w:headerReference w:type="default" r:id="rId10"/>
      <w:footerReference w:type="default" r:id="rId11"/>
      <w:headerReference w:type="first" r:id="rId12"/>
      <w:pgSz w:w="11904" w:h="16838" w:code="9"/>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AE137" w14:textId="77777777" w:rsidR="00B45E53" w:rsidRDefault="00B45E53" w:rsidP="00747943">
      <w:r>
        <w:separator/>
      </w:r>
    </w:p>
  </w:endnote>
  <w:endnote w:type="continuationSeparator" w:id="0">
    <w:p w14:paraId="0F199240" w14:textId="77777777" w:rsidR="00B45E53" w:rsidRDefault="00B45E53" w:rsidP="0074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920848"/>
      <w:docPartObj>
        <w:docPartGallery w:val="Page Numbers (Bottom of Page)"/>
        <w:docPartUnique/>
      </w:docPartObj>
    </w:sdtPr>
    <w:sdtEndPr>
      <w:rPr>
        <w:noProof/>
      </w:rPr>
    </w:sdtEndPr>
    <w:sdtContent>
      <w:p w14:paraId="0E29C7F4" w14:textId="0522056E" w:rsidR="006824C8" w:rsidRDefault="006824C8">
        <w:pPr>
          <w:pStyle w:val="Footer"/>
          <w:jc w:val="right"/>
        </w:pPr>
        <w:r>
          <w:fldChar w:fldCharType="begin"/>
        </w:r>
        <w:r>
          <w:instrText xml:space="preserve"> PAGE   \* MERGEFORMAT </w:instrText>
        </w:r>
        <w:r>
          <w:fldChar w:fldCharType="separate"/>
        </w:r>
        <w:r w:rsidR="002C3B61">
          <w:rPr>
            <w:noProof/>
          </w:rPr>
          <w:t>2</w:t>
        </w:r>
        <w:r>
          <w:rPr>
            <w:noProof/>
          </w:rPr>
          <w:fldChar w:fldCharType="end"/>
        </w:r>
      </w:p>
    </w:sdtContent>
  </w:sdt>
  <w:p w14:paraId="020456C7" w14:textId="31A92EE4" w:rsidR="00AA0D12" w:rsidRDefault="00AA0D12" w:rsidP="00917D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C165F" w14:textId="77777777" w:rsidR="00B45E53" w:rsidRDefault="00B45E53" w:rsidP="00747943">
      <w:r>
        <w:separator/>
      </w:r>
    </w:p>
  </w:footnote>
  <w:footnote w:type="continuationSeparator" w:id="0">
    <w:p w14:paraId="4A56F3D9" w14:textId="77777777" w:rsidR="00B45E53" w:rsidRDefault="00B45E53" w:rsidP="00747943">
      <w:r>
        <w:continuationSeparator/>
      </w:r>
    </w:p>
  </w:footnote>
  <w:footnote w:id="1">
    <w:p w14:paraId="1B9DEA15" w14:textId="573F31FC" w:rsidR="00AA0D12" w:rsidRPr="00747943" w:rsidRDefault="00AA0D12" w:rsidP="00747943">
      <w:pPr>
        <w:pStyle w:val="FootnoteText"/>
        <w:ind w:left="0" w:firstLine="0"/>
        <w:rPr>
          <w:szCs w:val="18"/>
          <w:lang w:val="es-ES_tradnl"/>
        </w:rPr>
      </w:pPr>
      <w:r w:rsidRPr="00531C92">
        <w:rPr>
          <w:rStyle w:val="FootnoteReference"/>
          <w:szCs w:val="18"/>
          <w:lang w:val="en-GB"/>
        </w:rPr>
        <w:footnoteRef/>
      </w:r>
      <w:r w:rsidRPr="00531C92">
        <w:rPr>
          <w:szCs w:val="18"/>
          <w:lang w:val="en-GB"/>
        </w:rPr>
        <w:tab/>
        <w:t xml:space="preserve">OSCE </w:t>
      </w:r>
      <w:r w:rsidRPr="00531C92">
        <w:rPr>
          <w:i/>
          <w:iCs/>
          <w:szCs w:val="18"/>
          <w:lang w:val="en-GB"/>
        </w:rPr>
        <w:t>Guidelines on</w:t>
      </w:r>
      <w:r w:rsidRPr="00531C92">
        <w:rPr>
          <w:szCs w:val="18"/>
          <w:lang w:val="en-GB"/>
        </w:rPr>
        <w:t xml:space="preserve"> </w:t>
      </w:r>
      <w:r w:rsidRPr="00531C92">
        <w:rPr>
          <w:i/>
          <w:iCs/>
          <w:szCs w:val="18"/>
          <w:lang w:val="en-GB"/>
        </w:rPr>
        <w:t>Freedom of Peaceful Assembly</w:t>
      </w:r>
      <w:r w:rsidRPr="00531C92">
        <w:rPr>
          <w:szCs w:val="18"/>
          <w:lang w:val="en-GB"/>
        </w:rPr>
        <w:t xml:space="preserve">, para. </w:t>
      </w:r>
      <w:r w:rsidRPr="00747943">
        <w:rPr>
          <w:szCs w:val="18"/>
          <w:lang w:val="es-ES_tradnl"/>
        </w:rPr>
        <w:t>2.1.</w:t>
      </w:r>
    </w:p>
  </w:footnote>
  <w:footnote w:id="2">
    <w:p w14:paraId="1429DD6E" w14:textId="2E6D83CA" w:rsidR="00AA0D12" w:rsidRPr="00531C92" w:rsidRDefault="00AA0D12" w:rsidP="00747943">
      <w:pPr>
        <w:pStyle w:val="FootnoteText"/>
        <w:ind w:left="0" w:firstLine="0"/>
        <w:rPr>
          <w:szCs w:val="18"/>
          <w:lang w:val="en-GB"/>
        </w:rPr>
      </w:pPr>
      <w:r w:rsidRPr="00531C92">
        <w:rPr>
          <w:rStyle w:val="FootnoteReference"/>
          <w:szCs w:val="18"/>
          <w:lang w:val="en-GB"/>
        </w:rPr>
        <w:footnoteRef/>
      </w:r>
      <w:r w:rsidRPr="00747943">
        <w:rPr>
          <w:szCs w:val="18"/>
          <w:lang w:val="es-ES_tradnl"/>
        </w:rPr>
        <w:tab/>
      </w:r>
      <w:r w:rsidRPr="00747943">
        <w:rPr>
          <w:i/>
          <w:szCs w:val="18"/>
          <w:lang w:val="es-ES_tradnl"/>
        </w:rPr>
        <w:t xml:space="preserve">Gryb v. Belarus </w:t>
      </w:r>
      <w:r w:rsidRPr="00747943">
        <w:rPr>
          <w:iCs/>
          <w:szCs w:val="18"/>
          <w:lang w:val="es-ES_tradnl"/>
        </w:rPr>
        <w:t>(</w:t>
      </w:r>
      <w:r w:rsidRPr="00747943">
        <w:rPr>
          <w:szCs w:val="18"/>
          <w:lang w:val="es-ES_tradnl"/>
        </w:rPr>
        <w:t xml:space="preserve">CCPR/C/108/D/1316/2004), para. </w:t>
      </w:r>
      <w:r w:rsidRPr="00531C92">
        <w:rPr>
          <w:szCs w:val="18"/>
          <w:lang w:val="en-GB"/>
        </w:rPr>
        <w:t xml:space="preserve">13.4. </w:t>
      </w:r>
    </w:p>
  </w:footnote>
  <w:footnote w:id="3">
    <w:p w14:paraId="25208879" w14:textId="3A659DCC" w:rsidR="00AA0D12" w:rsidRPr="00531C92" w:rsidRDefault="00AA0D12" w:rsidP="00747943">
      <w:pPr>
        <w:pStyle w:val="FootnoteText"/>
        <w:rPr>
          <w:szCs w:val="18"/>
          <w:lang w:val="en-GB"/>
        </w:rPr>
      </w:pPr>
      <w:r w:rsidRPr="00531C92">
        <w:rPr>
          <w:rStyle w:val="FootnoteReference"/>
          <w:szCs w:val="18"/>
          <w:lang w:val="en-GB"/>
        </w:rPr>
        <w:footnoteRef/>
      </w:r>
      <w:r w:rsidRPr="00531C92">
        <w:rPr>
          <w:szCs w:val="18"/>
          <w:lang w:val="en-GB"/>
        </w:rPr>
        <w:tab/>
      </w:r>
      <w:r w:rsidRPr="00531C92">
        <w:rPr>
          <w:i/>
          <w:szCs w:val="18"/>
          <w:lang w:val="en-GB"/>
        </w:rPr>
        <w:t>Chebotareva v. Russian Federation</w:t>
      </w:r>
      <w:r w:rsidRPr="00531C92">
        <w:rPr>
          <w:szCs w:val="18"/>
          <w:lang w:val="en-GB"/>
        </w:rPr>
        <w:t xml:space="preserve"> (CCPR/C/104/D/1866/2009), para. 9.3.</w:t>
      </w:r>
    </w:p>
  </w:footnote>
  <w:footnote w:id="4">
    <w:p w14:paraId="6C2056AE" w14:textId="67636489" w:rsidR="00AA0D12" w:rsidRPr="00531C92" w:rsidRDefault="00AA0D12" w:rsidP="00747943">
      <w:pPr>
        <w:pStyle w:val="FootnoteText"/>
        <w:rPr>
          <w:szCs w:val="18"/>
          <w:lang w:val="en-GB"/>
        </w:rPr>
      </w:pPr>
      <w:r w:rsidRPr="00531C92">
        <w:rPr>
          <w:rStyle w:val="FootnoteReference"/>
          <w:szCs w:val="18"/>
          <w:lang w:val="en-GB"/>
        </w:rPr>
        <w:footnoteRef/>
      </w:r>
      <w:r w:rsidRPr="00531C92">
        <w:rPr>
          <w:szCs w:val="18"/>
          <w:lang w:val="en-GB"/>
        </w:rPr>
        <w:tab/>
      </w:r>
      <w:r w:rsidRPr="00531C92">
        <w:rPr>
          <w:i/>
          <w:szCs w:val="18"/>
          <w:lang w:val="en-GB"/>
        </w:rPr>
        <w:t>Turchenyak and others v. Belarus</w:t>
      </w:r>
      <w:r w:rsidRPr="00531C92">
        <w:rPr>
          <w:szCs w:val="18"/>
          <w:lang w:val="en-GB"/>
        </w:rPr>
        <w:t xml:space="preserve"> (CCPR/C/108/D/1948/2010 and Corr.1), para. 7.4.</w:t>
      </w:r>
    </w:p>
  </w:footnote>
  <w:footnote w:id="5">
    <w:p w14:paraId="69F76436" w14:textId="77B7FED9" w:rsidR="00AA0D12" w:rsidRPr="00166877" w:rsidRDefault="00AA0D12">
      <w:pPr>
        <w:pStyle w:val="FootnoteText"/>
        <w:rPr>
          <w:lang w:val="en-GB"/>
        </w:rPr>
      </w:pPr>
      <w:r>
        <w:rPr>
          <w:rStyle w:val="FootnoteReference"/>
        </w:rPr>
        <w:footnoteRef/>
      </w:r>
      <w:r w:rsidRPr="009C3954">
        <w:rPr>
          <w:lang w:val="en-GB"/>
        </w:rPr>
        <w:t xml:space="preserve"> </w:t>
      </w:r>
      <w:r>
        <w:rPr>
          <w:lang w:val="en-GB"/>
        </w:rPr>
        <w:t>A/HRC/20/27, para. 25</w:t>
      </w:r>
    </w:p>
  </w:footnote>
  <w:footnote w:id="6">
    <w:p w14:paraId="291A0E77" w14:textId="633B0DCA" w:rsidR="00AA0D12" w:rsidRPr="00FC790F" w:rsidRDefault="00AA0D12" w:rsidP="00FC790F">
      <w:pPr>
        <w:pStyle w:val="FootnoteText"/>
        <w:rPr>
          <w:lang w:val="en-US"/>
        </w:rPr>
      </w:pPr>
      <w:r w:rsidRPr="00FC790F">
        <w:rPr>
          <w:lang w:val="en-US"/>
        </w:rPr>
        <w:footnoteRef/>
      </w:r>
      <w:r w:rsidRPr="00FC790F">
        <w:rPr>
          <w:lang w:val="en-US"/>
        </w:rPr>
        <w:tab/>
        <w:t>Cf. General comment No. 31 (2004) on the nature of the general leg</w:t>
      </w:r>
      <w:r>
        <w:rPr>
          <w:lang w:val="en-US"/>
        </w:rPr>
        <w:t xml:space="preserve">al obligation imposed on States </w:t>
      </w:r>
      <w:r w:rsidRPr="00FC790F">
        <w:rPr>
          <w:lang w:val="en-US"/>
        </w:rPr>
        <w:t>parties to the Covenant, para. 9.</w:t>
      </w:r>
    </w:p>
  </w:footnote>
  <w:footnote w:id="7">
    <w:p w14:paraId="416DB5C9" w14:textId="77777777" w:rsidR="00AA0D12" w:rsidRPr="00FC790F" w:rsidRDefault="00AA0D12" w:rsidP="00D47A52">
      <w:pPr>
        <w:pStyle w:val="FootnoteText"/>
        <w:rPr>
          <w:lang w:val="en-US"/>
        </w:rPr>
      </w:pPr>
      <w:r w:rsidRPr="00FC790F">
        <w:rPr>
          <w:lang w:val="en-US"/>
        </w:rPr>
        <w:footnoteRef/>
      </w:r>
      <w:r w:rsidRPr="00FC790F">
        <w:rPr>
          <w:lang w:val="en-US"/>
        </w:rPr>
        <w:t xml:space="preserve"> </w:t>
      </w:r>
      <w:r>
        <w:rPr>
          <w:lang w:val="en-US"/>
        </w:rPr>
        <w:t>A/72/135, para. 17</w:t>
      </w:r>
    </w:p>
  </w:footnote>
  <w:footnote w:id="8">
    <w:p w14:paraId="6DA6A515" w14:textId="42AD056D" w:rsidR="00AA0D12" w:rsidRPr="00FC790F" w:rsidRDefault="00AA0D12" w:rsidP="00000326">
      <w:pPr>
        <w:pStyle w:val="FootnoteText"/>
        <w:rPr>
          <w:lang w:val="en-US"/>
        </w:rPr>
      </w:pPr>
      <w:r w:rsidRPr="00FC790F">
        <w:rPr>
          <w:lang w:val="en-US"/>
        </w:rPr>
        <w:footnoteRef/>
      </w:r>
      <w:r w:rsidRPr="00FC790F">
        <w:rPr>
          <w:lang w:val="en-US"/>
        </w:rPr>
        <w:tab/>
        <w:t>Convention on the Rights of the Child, art. 15; and African Charter on the Rights and Welfare of the Child, art. 8.</w:t>
      </w:r>
    </w:p>
  </w:footnote>
  <w:footnote w:id="9">
    <w:p w14:paraId="2D1810FD" w14:textId="02B5FF18" w:rsidR="00AA0D12" w:rsidRPr="00531C92" w:rsidRDefault="00AA0D12" w:rsidP="00000326">
      <w:pPr>
        <w:pStyle w:val="FootnoteText"/>
        <w:rPr>
          <w:szCs w:val="18"/>
          <w:lang w:val="en-GB"/>
        </w:rPr>
      </w:pPr>
      <w:r w:rsidRPr="00FC790F">
        <w:rPr>
          <w:lang w:val="en-US"/>
        </w:rPr>
        <w:footnoteRef/>
      </w:r>
      <w:r w:rsidRPr="00FC790F">
        <w:rPr>
          <w:lang w:val="en-US"/>
        </w:rPr>
        <w:tab/>
        <w:t>General comment No. 15 (1986) on the position of aliens under the Covenant, paras. 1–2; and CCPR/C/KWT/CO/3, para. 42.</w:t>
      </w:r>
    </w:p>
  </w:footnote>
  <w:footnote w:id="10">
    <w:p w14:paraId="0F508537" w14:textId="6B8CE4CF" w:rsidR="00AA0D12" w:rsidRPr="00000326" w:rsidRDefault="00AA0D12" w:rsidP="00D16C1A">
      <w:pPr>
        <w:pStyle w:val="FootnoteText"/>
        <w:jc w:val="both"/>
        <w:rPr>
          <w:szCs w:val="18"/>
          <w:lang w:val="es-ES_tradnl"/>
        </w:rPr>
      </w:pPr>
      <w:r w:rsidRPr="00531C92">
        <w:rPr>
          <w:rStyle w:val="FootnoteReference"/>
          <w:szCs w:val="18"/>
          <w:lang w:val="en-GB"/>
        </w:rPr>
        <w:footnoteRef/>
      </w:r>
      <w:r w:rsidRPr="00531C92">
        <w:rPr>
          <w:szCs w:val="18"/>
          <w:lang w:val="en-GB"/>
        </w:rPr>
        <w:tab/>
        <w:t xml:space="preserve">CCPR/C/DOM/CO/6, para. </w:t>
      </w:r>
      <w:r w:rsidRPr="00000326">
        <w:rPr>
          <w:szCs w:val="18"/>
          <w:lang w:val="es-ES_tradnl"/>
        </w:rPr>
        <w:t>32.</w:t>
      </w:r>
    </w:p>
  </w:footnote>
  <w:footnote w:id="11">
    <w:p w14:paraId="1F135783" w14:textId="1732BEA8" w:rsidR="00AA0D12" w:rsidRPr="00361833" w:rsidRDefault="00AA0D12" w:rsidP="00D16C1A">
      <w:pPr>
        <w:pStyle w:val="FootnoteText"/>
        <w:ind w:left="0" w:firstLine="0"/>
        <w:jc w:val="both"/>
        <w:rPr>
          <w:szCs w:val="18"/>
          <w:lang w:val="en-US"/>
        </w:rPr>
      </w:pPr>
      <w:r w:rsidRPr="00531C92">
        <w:rPr>
          <w:rStyle w:val="FootnoteReference"/>
          <w:szCs w:val="18"/>
          <w:lang w:val="en-GB"/>
        </w:rPr>
        <w:footnoteRef/>
      </w:r>
      <w:r w:rsidRPr="00000326">
        <w:rPr>
          <w:szCs w:val="18"/>
          <w:lang w:val="es-ES_tradnl"/>
        </w:rPr>
        <w:tab/>
        <w:t xml:space="preserve">CCPR/C/NPL/CO/2, para. </w:t>
      </w:r>
      <w:r w:rsidRPr="00361833">
        <w:rPr>
          <w:szCs w:val="18"/>
          <w:lang w:val="en-US"/>
        </w:rPr>
        <w:t>14.</w:t>
      </w:r>
    </w:p>
  </w:footnote>
  <w:footnote w:id="12">
    <w:p w14:paraId="6194742B" w14:textId="5C411D5C" w:rsidR="00AA0D12" w:rsidRPr="00531C92" w:rsidRDefault="00AA0D12" w:rsidP="00D16C1A">
      <w:pPr>
        <w:pStyle w:val="FootnoteText"/>
        <w:jc w:val="both"/>
        <w:rPr>
          <w:szCs w:val="18"/>
          <w:lang w:val="en-GB"/>
        </w:rPr>
      </w:pPr>
      <w:r w:rsidRPr="00531C92">
        <w:rPr>
          <w:rStyle w:val="FootnoteReference"/>
          <w:szCs w:val="18"/>
          <w:lang w:val="en-GB"/>
        </w:rPr>
        <w:footnoteRef/>
      </w:r>
      <w:r w:rsidRPr="00531C92">
        <w:rPr>
          <w:szCs w:val="18"/>
          <w:lang w:val="en-GB"/>
        </w:rPr>
        <w:t>During the drafting of article 21 of the Covenant, specific examples of peaceful assemblie</w:t>
      </w:r>
      <w:r>
        <w:rPr>
          <w:szCs w:val="18"/>
          <w:lang w:val="en-GB"/>
        </w:rPr>
        <w:t>s were not included</w:t>
      </w:r>
      <w:r w:rsidRPr="00531C92">
        <w:rPr>
          <w:szCs w:val="18"/>
          <w:lang w:val="en-GB"/>
        </w:rPr>
        <w:t xml:space="preserve">, in order to keep the formulation of the right open. Marc J. Bossuyt, </w:t>
      </w:r>
      <w:r w:rsidRPr="00531C92">
        <w:rPr>
          <w:i/>
          <w:szCs w:val="18"/>
          <w:lang w:val="en-GB"/>
        </w:rPr>
        <w:t>Guide to the “travaux préparatoires” of the International Covenant on Civil and Political Rights</w:t>
      </w:r>
      <w:r w:rsidRPr="00531C92">
        <w:rPr>
          <w:szCs w:val="18"/>
          <w:lang w:val="en-GB"/>
        </w:rPr>
        <w:t xml:space="preserve"> (Dordrecht, The Netherlands, Martinus Nijhoff Publishers, 1987), p. 414. See also European Court of Human Rights, </w:t>
      </w:r>
      <w:r w:rsidRPr="00531C92">
        <w:rPr>
          <w:i/>
          <w:szCs w:val="18"/>
          <w:lang w:val="en-GB"/>
        </w:rPr>
        <w:t xml:space="preserve">Navalny </w:t>
      </w:r>
      <w:r w:rsidRPr="00531C92">
        <w:rPr>
          <w:i/>
          <w:iCs/>
          <w:szCs w:val="18"/>
          <w:lang w:val="en-GB"/>
        </w:rPr>
        <w:t>v.</w:t>
      </w:r>
      <w:r w:rsidRPr="00531C92">
        <w:rPr>
          <w:i/>
          <w:szCs w:val="18"/>
          <w:lang w:val="en-GB"/>
        </w:rPr>
        <w:t xml:space="preserve"> Russia</w:t>
      </w:r>
      <w:r w:rsidRPr="00531C92">
        <w:rPr>
          <w:szCs w:val="18"/>
          <w:lang w:val="en-GB"/>
        </w:rPr>
        <w:t xml:space="preserve"> (application No. 29580/12), judgment of 15 November 2018, para. 98.  </w:t>
      </w:r>
    </w:p>
  </w:footnote>
  <w:footnote w:id="13">
    <w:p w14:paraId="4C45227B" w14:textId="77777777" w:rsidR="00AA0D12" w:rsidRPr="00987579" w:rsidRDefault="00AA0D12" w:rsidP="00C13F55">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Primov and others v. Russia</w:t>
      </w:r>
      <w:r w:rsidRPr="00531C92">
        <w:rPr>
          <w:szCs w:val="18"/>
          <w:lang w:val="en-GB"/>
        </w:rPr>
        <w:t xml:space="preserve"> (application No. 17391/06), judgment of 12 June 2014, paras. </w:t>
      </w:r>
      <w:r w:rsidRPr="00987579">
        <w:rPr>
          <w:szCs w:val="18"/>
          <w:lang w:val="en-GB"/>
        </w:rPr>
        <w:t>118–119.</w:t>
      </w:r>
    </w:p>
  </w:footnote>
  <w:footnote w:id="14">
    <w:p w14:paraId="04BFE276" w14:textId="77777777" w:rsidR="00AA0D12" w:rsidRPr="00CC773B" w:rsidRDefault="00AA0D12" w:rsidP="009A57AC">
      <w:pPr>
        <w:pStyle w:val="FootnoteText"/>
        <w:ind w:right="1082"/>
        <w:rPr>
          <w:szCs w:val="18"/>
          <w:lang w:val="en-GB"/>
        </w:rPr>
      </w:pPr>
      <w:r w:rsidRPr="00987579">
        <w:rPr>
          <w:szCs w:val="18"/>
          <w:lang w:val="en-GB"/>
        </w:rPr>
        <w:tab/>
      </w:r>
      <w:r w:rsidRPr="00CC773B">
        <w:rPr>
          <w:szCs w:val="18"/>
          <w:lang w:val="en-GB"/>
        </w:rPr>
        <w:t xml:space="preserve">  </w:t>
      </w:r>
      <w:r w:rsidRPr="00531C92">
        <w:rPr>
          <w:rStyle w:val="FootnoteReference"/>
          <w:szCs w:val="18"/>
          <w:lang w:val="en-GB"/>
        </w:rPr>
        <w:footnoteRef/>
      </w:r>
      <w:r w:rsidRPr="00CC773B">
        <w:rPr>
          <w:szCs w:val="18"/>
          <w:lang w:val="en-GB"/>
        </w:rPr>
        <w:tab/>
      </w:r>
      <w:r w:rsidRPr="00CC773B">
        <w:rPr>
          <w:i/>
          <w:szCs w:val="18"/>
          <w:lang w:val="en-GB"/>
        </w:rPr>
        <w:t>Coleman v. Australia</w:t>
      </w:r>
      <w:r w:rsidRPr="00CC773B">
        <w:rPr>
          <w:szCs w:val="18"/>
          <w:lang w:val="en-GB"/>
        </w:rPr>
        <w:t xml:space="preserve"> (CCPR/C/87/D/1157/2003</w:t>
      </w:r>
      <w:r w:rsidRPr="00CC773B">
        <w:rPr>
          <w:iCs/>
          <w:szCs w:val="18"/>
          <w:lang w:val="en-GB"/>
        </w:rPr>
        <w:t>)</w:t>
      </w:r>
      <w:r w:rsidRPr="00CC773B">
        <w:rPr>
          <w:szCs w:val="18"/>
          <w:lang w:val="en-GB"/>
        </w:rPr>
        <w:t>, para. 6.4.</w:t>
      </w:r>
    </w:p>
  </w:footnote>
  <w:footnote w:id="15">
    <w:p w14:paraId="505F7D3E" w14:textId="77777777" w:rsidR="00AA0D12" w:rsidRPr="009A57AC" w:rsidRDefault="00AA0D12" w:rsidP="009A57AC">
      <w:pPr>
        <w:ind w:left="1134" w:right="1082" w:hanging="1134"/>
        <w:rPr>
          <w:sz w:val="18"/>
          <w:szCs w:val="18"/>
          <w:lang w:val="en-GB" w:eastAsia="en-GB"/>
        </w:rPr>
      </w:pPr>
      <w:r w:rsidRPr="00CC773B">
        <w:rPr>
          <w:sz w:val="18"/>
          <w:szCs w:val="18"/>
          <w:lang w:val="en-GB"/>
        </w:rPr>
        <w:t xml:space="preserve">                    </w:t>
      </w:r>
      <w:r w:rsidRPr="00531C92">
        <w:rPr>
          <w:rStyle w:val="FootnoteReference"/>
          <w:szCs w:val="18"/>
        </w:rPr>
        <w:footnoteRef/>
      </w:r>
      <w:r w:rsidRPr="009A57AC">
        <w:rPr>
          <w:sz w:val="18"/>
          <w:szCs w:val="18"/>
          <w:lang w:val="en-GB"/>
        </w:rPr>
        <w:t xml:space="preserve">  </w:t>
      </w:r>
      <w:r w:rsidRPr="009A57AC">
        <w:rPr>
          <w:sz w:val="18"/>
          <w:szCs w:val="18"/>
          <w:lang w:val="en-GB" w:eastAsia="en-GB"/>
        </w:rPr>
        <w:t>A/HRC/41/41.</w:t>
      </w:r>
    </w:p>
  </w:footnote>
  <w:footnote w:id="16">
    <w:p w14:paraId="7A548C16" w14:textId="77777777" w:rsidR="00AA0D12" w:rsidRPr="005A74CB" w:rsidRDefault="00AA0D12" w:rsidP="009A57AC">
      <w:pPr>
        <w:ind w:left="1134" w:right="1082" w:hanging="414"/>
        <w:rPr>
          <w:sz w:val="18"/>
          <w:szCs w:val="18"/>
          <w:lang w:val="en-GB" w:eastAsia="en-GB"/>
        </w:rPr>
      </w:pPr>
      <w:r w:rsidRPr="005A74CB">
        <w:rPr>
          <w:sz w:val="18"/>
          <w:szCs w:val="18"/>
          <w:lang w:val="en-GB"/>
        </w:rPr>
        <w:t xml:space="preserve">    </w:t>
      </w:r>
      <w:r w:rsidRPr="00531C92">
        <w:rPr>
          <w:rStyle w:val="FootnoteReference"/>
          <w:szCs w:val="18"/>
        </w:rPr>
        <w:footnoteRef/>
      </w:r>
      <w:r w:rsidRPr="005A74CB">
        <w:rPr>
          <w:sz w:val="18"/>
          <w:szCs w:val="18"/>
          <w:lang w:val="en-GB"/>
        </w:rPr>
        <w:t xml:space="preserve"> </w:t>
      </w:r>
      <w:r w:rsidRPr="005A74CB">
        <w:rPr>
          <w:sz w:val="18"/>
          <w:szCs w:val="18"/>
          <w:lang w:val="en-GB"/>
        </w:rPr>
        <w:tab/>
        <w:t xml:space="preserve">For the WHO definition of violence, see </w:t>
      </w:r>
      <w:r w:rsidRPr="005A74CB">
        <w:rPr>
          <w:sz w:val="18"/>
          <w:szCs w:val="18"/>
          <w:lang w:val="en-GB" w:eastAsia="en-GB"/>
        </w:rPr>
        <w:t>WHO Global Consultation on Violence and Health, WHO/EHA/SPI.POA.2.</w:t>
      </w:r>
    </w:p>
  </w:footnote>
  <w:footnote w:id="17">
    <w:p w14:paraId="188F1CA9" w14:textId="77777777" w:rsidR="00AA0D12" w:rsidRPr="00531C92" w:rsidRDefault="00AA0D12" w:rsidP="009A57AC">
      <w:pPr>
        <w:pStyle w:val="FootnoteText"/>
        <w:ind w:right="1082"/>
        <w:rPr>
          <w:szCs w:val="18"/>
          <w:lang w:val="en-GB"/>
        </w:rPr>
      </w:pPr>
      <w:r w:rsidRPr="00531C92">
        <w:rPr>
          <w:szCs w:val="18"/>
          <w:lang w:val="en-GB"/>
        </w:rPr>
        <w:tab/>
        <w:t xml:space="preserve"> </w:t>
      </w:r>
      <w:r w:rsidRPr="00531C92">
        <w:rPr>
          <w:rStyle w:val="FootnoteReference"/>
          <w:szCs w:val="18"/>
          <w:lang w:val="en-GB"/>
        </w:rPr>
        <w:footnoteRef/>
      </w:r>
      <w:r w:rsidRPr="00531C92">
        <w:rPr>
          <w:szCs w:val="18"/>
          <w:lang w:val="en-GB"/>
        </w:rPr>
        <w:tab/>
        <w:t xml:space="preserve">OSCE, </w:t>
      </w:r>
      <w:r w:rsidRPr="00531C92">
        <w:rPr>
          <w:i/>
          <w:szCs w:val="18"/>
          <w:lang w:val="en-GB"/>
        </w:rPr>
        <w:t>Guidelines on Freedom of Peaceful Assembly</w:t>
      </w:r>
      <w:r w:rsidRPr="00531C92">
        <w:rPr>
          <w:szCs w:val="18"/>
          <w:lang w:val="en-GB"/>
        </w:rPr>
        <w:t>, paras. 26–27.</w:t>
      </w:r>
    </w:p>
  </w:footnote>
  <w:footnote w:id="18">
    <w:p w14:paraId="454B2BD4" w14:textId="77777777" w:rsidR="00AA0D12" w:rsidRPr="00531C92" w:rsidRDefault="00AA0D12" w:rsidP="009A57AC">
      <w:pPr>
        <w:pStyle w:val="FootnoteText"/>
        <w:ind w:right="1082"/>
        <w:rPr>
          <w:szCs w:val="18"/>
          <w:lang w:val="en-GB"/>
        </w:rPr>
      </w:pPr>
      <w:r w:rsidRPr="00531C92">
        <w:rPr>
          <w:szCs w:val="18"/>
          <w:lang w:val="en-GB"/>
        </w:rPr>
        <w:t xml:space="preserve">                    </w:t>
      </w:r>
      <w:r w:rsidRPr="00531C92">
        <w:rPr>
          <w:rStyle w:val="FootnoteReference"/>
          <w:szCs w:val="18"/>
          <w:lang w:val="en-GB"/>
        </w:rPr>
        <w:footnoteRef/>
      </w:r>
      <w:r w:rsidRPr="00531C92">
        <w:rPr>
          <w:szCs w:val="18"/>
          <w:lang w:val="en-GB"/>
        </w:rPr>
        <w:t xml:space="preserve">  According to the European Court of Human Rights, in </w:t>
      </w:r>
      <w:r w:rsidRPr="00531C92">
        <w:rPr>
          <w:i/>
          <w:szCs w:val="18"/>
          <w:lang w:val="en-GB"/>
        </w:rPr>
        <w:t>Frumkin v. Russia</w:t>
      </w:r>
      <w:r w:rsidRPr="00531C92">
        <w:rPr>
          <w:szCs w:val="18"/>
          <w:lang w:val="en-GB"/>
        </w:rPr>
        <w:t xml:space="preserve"> (application No. 74568/12), judgment of 5 January 2016, para. 97: “It is important for public authorities … to show a certain degree of tolerance towards peaceful gatherings, even unlawful ones, if the freedom of assembly … is not to be deprived of all substance.”</w:t>
      </w:r>
    </w:p>
  </w:footnote>
  <w:footnote w:id="19">
    <w:p w14:paraId="6FDD32D6" w14:textId="77777777" w:rsidR="00AA0D12" w:rsidRPr="00531C92" w:rsidRDefault="00AA0D12" w:rsidP="009A57AC">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Lashmankin and others v. Russia</w:t>
      </w:r>
      <w:r w:rsidRPr="00531C92">
        <w:rPr>
          <w:szCs w:val="18"/>
          <w:lang w:val="en-GB"/>
        </w:rPr>
        <w:t xml:space="preserve"> (applications Nos. 57818/09 and 14 others), judgment of 7 February 2017, paras. 402–403.</w:t>
      </w:r>
    </w:p>
  </w:footnote>
  <w:footnote w:id="20">
    <w:p w14:paraId="13F43F3F" w14:textId="77777777" w:rsidR="00AA0D12" w:rsidRPr="00531C92" w:rsidRDefault="00AA0D12" w:rsidP="009A57AC">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Frumkin v. Russia</w:t>
      </w:r>
      <w:r w:rsidRPr="00531C92">
        <w:rPr>
          <w:szCs w:val="18"/>
          <w:lang w:val="en-GB"/>
        </w:rPr>
        <w:t>, para. 99.</w:t>
      </w:r>
    </w:p>
  </w:footnote>
  <w:footnote w:id="21">
    <w:p w14:paraId="1C2AFEF9" w14:textId="77777777" w:rsidR="00AA0D12" w:rsidRPr="00531C92" w:rsidRDefault="00AA0D12" w:rsidP="009A57AC">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However, as far as restrictions on such assemblies are concerned, see paras</w:t>
      </w:r>
      <w:r>
        <w:rPr>
          <w:szCs w:val="18"/>
          <w:lang w:val="en-GB"/>
        </w:rPr>
        <w:t xml:space="preserve"> </w:t>
      </w:r>
      <w:r w:rsidRPr="00531C92">
        <w:rPr>
          <w:szCs w:val="18"/>
          <w:lang w:val="en-GB"/>
        </w:rPr>
        <w:t>58-59 below.</w:t>
      </w:r>
    </w:p>
  </w:footnote>
  <w:footnote w:id="22">
    <w:p w14:paraId="38845AF1" w14:textId="77777777" w:rsidR="00AA0D12" w:rsidRPr="00531C92" w:rsidRDefault="00AA0D12" w:rsidP="009A57AC">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ab/>
        <w:t xml:space="preserve">European Court of Human Rights, </w:t>
      </w:r>
      <w:r w:rsidRPr="00531C92">
        <w:rPr>
          <w:i/>
          <w:szCs w:val="18"/>
          <w:lang w:val="en-GB"/>
        </w:rPr>
        <w:t>Lashmankin and others v. Russia</w:t>
      </w:r>
      <w:r w:rsidRPr="00531C92">
        <w:rPr>
          <w:szCs w:val="18"/>
          <w:lang w:val="en-GB"/>
        </w:rPr>
        <w:t xml:space="preserve">, para. 402. </w:t>
      </w:r>
    </w:p>
  </w:footnote>
  <w:footnote w:id="23">
    <w:p w14:paraId="533A5F5D" w14:textId="77777777" w:rsidR="00AA0D12" w:rsidRPr="009C3954" w:rsidRDefault="00AA0D12" w:rsidP="003121E5">
      <w:pPr>
        <w:rPr>
          <w:sz w:val="20"/>
          <w:szCs w:val="20"/>
          <w:lang w:val="en-US"/>
        </w:rPr>
      </w:pPr>
      <w:r w:rsidRPr="003D1770">
        <w:rPr>
          <w:sz w:val="20"/>
          <w:szCs w:val="20"/>
          <w:vertAlign w:val="superscript"/>
        </w:rPr>
        <w:footnoteRef/>
      </w:r>
      <w:r w:rsidRPr="009C3954">
        <w:rPr>
          <w:sz w:val="20"/>
          <w:szCs w:val="20"/>
          <w:lang w:val="en-US"/>
        </w:rPr>
        <w:t xml:space="preserve"> A/HRC/23/39, para. 56</w:t>
      </w:r>
    </w:p>
  </w:footnote>
  <w:footnote w:id="24">
    <w:p w14:paraId="3C2FAB45" w14:textId="77777777" w:rsidR="00AA0D12" w:rsidRPr="00773F25" w:rsidRDefault="00AA0D12" w:rsidP="003121E5">
      <w:pPr>
        <w:pStyle w:val="FootnoteText"/>
        <w:rPr>
          <w:lang w:val="es-CR"/>
        </w:rPr>
      </w:pPr>
      <w:r w:rsidRPr="00531C92">
        <w:rPr>
          <w:szCs w:val="18"/>
          <w:lang w:val="en-GB"/>
        </w:rPr>
        <w:tab/>
      </w:r>
      <w:r w:rsidRPr="00531C92">
        <w:rPr>
          <w:rStyle w:val="FootnoteReference"/>
          <w:szCs w:val="18"/>
          <w:lang w:val="en-GB"/>
        </w:rPr>
        <w:footnoteRef/>
      </w:r>
      <w:r w:rsidRPr="00531C92">
        <w:rPr>
          <w:szCs w:val="18"/>
          <w:lang w:val="en-GB"/>
        </w:rPr>
        <w:tab/>
      </w:r>
      <w:r w:rsidRPr="00531C92">
        <w:rPr>
          <w:i/>
          <w:szCs w:val="18"/>
          <w:lang w:val="en-GB"/>
        </w:rPr>
        <w:t>Alekseev v. Russian Federation</w:t>
      </w:r>
      <w:r w:rsidRPr="00531C92">
        <w:rPr>
          <w:szCs w:val="18"/>
          <w:lang w:val="en-GB"/>
        </w:rPr>
        <w:t xml:space="preserve"> (CCPR/C/109/D/1873/2009), para. 9.6. See also European Court of Human Rights, </w:t>
      </w:r>
      <w:r w:rsidRPr="00531C92">
        <w:rPr>
          <w:i/>
          <w:szCs w:val="18"/>
          <w:lang w:val="en-GB"/>
        </w:rPr>
        <w:t>Plattform “Ärzte für das Leben” v. Austria</w:t>
      </w:r>
      <w:r w:rsidRPr="00531C92">
        <w:rPr>
          <w:szCs w:val="18"/>
          <w:lang w:val="en-GB"/>
        </w:rPr>
        <w:t xml:space="preserve"> (application No. 10126/82), judgment of 21 June 1988, para. </w:t>
      </w:r>
      <w:r w:rsidRPr="00773F25">
        <w:rPr>
          <w:lang w:val="es-CR"/>
        </w:rPr>
        <w:t>25.</w:t>
      </w:r>
    </w:p>
  </w:footnote>
  <w:footnote w:id="25">
    <w:p w14:paraId="008751C0" w14:textId="77777777" w:rsidR="00AA0D12" w:rsidRPr="003D1770" w:rsidRDefault="00AA0D12" w:rsidP="00BC37B7">
      <w:pPr>
        <w:rPr>
          <w:sz w:val="20"/>
          <w:szCs w:val="20"/>
        </w:rPr>
      </w:pPr>
      <w:r w:rsidRPr="003D1770">
        <w:rPr>
          <w:sz w:val="20"/>
          <w:szCs w:val="20"/>
          <w:vertAlign w:val="superscript"/>
        </w:rPr>
        <w:footnoteRef/>
      </w:r>
      <w:r w:rsidRPr="003D1770">
        <w:rPr>
          <w:sz w:val="20"/>
          <w:szCs w:val="20"/>
        </w:rPr>
        <w:t xml:space="preserve"> A/HRC/20/17/Add.1, para. 105; A</w:t>
      </w:r>
      <w:r w:rsidRPr="003D1770">
        <w:rPr>
          <w:rFonts w:eastAsia="Verdana"/>
          <w:sz w:val="20"/>
          <w:szCs w:val="20"/>
        </w:rPr>
        <w:t>/HRC/23/39, para. 73</w:t>
      </w:r>
    </w:p>
  </w:footnote>
  <w:footnote w:id="26">
    <w:p w14:paraId="45415FAE" w14:textId="1FC1841F" w:rsidR="00AA0D12" w:rsidRPr="009C3954" w:rsidRDefault="00AA0D12">
      <w:pPr>
        <w:pStyle w:val="FootnoteText"/>
        <w:rPr>
          <w:lang w:val="es-ES_tradnl"/>
        </w:rPr>
      </w:pPr>
      <w:r>
        <w:rPr>
          <w:rStyle w:val="FootnoteReference"/>
        </w:rPr>
        <w:footnoteRef/>
      </w:r>
      <w:r w:rsidRPr="009C3954">
        <w:rPr>
          <w:lang w:val="es-ES_tradnl"/>
        </w:rPr>
        <w:t xml:space="preserve"> A/HRC/41/41</w:t>
      </w:r>
    </w:p>
  </w:footnote>
  <w:footnote w:id="27">
    <w:p w14:paraId="0DE18B37" w14:textId="77777777" w:rsidR="00AA0D12" w:rsidRPr="00773F25" w:rsidRDefault="00AA0D12" w:rsidP="00BC37B7">
      <w:pPr>
        <w:pStyle w:val="FootnoteText"/>
        <w:rPr>
          <w:lang w:val="es-CR"/>
        </w:rPr>
      </w:pPr>
      <w:r w:rsidRPr="00B245F5">
        <w:rPr>
          <w:lang w:val="es-CR"/>
        </w:rPr>
        <w:tab/>
      </w:r>
      <w:r w:rsidRPr="00531C92">
        <w:rPr>
          <w:rStyle w:val="FootnoteReference"/>
          <w:szCs w:val="18"/>
          <w:lang w:val="en-GB"/>
        </w:rPr>
        <w:footnoteRef/>
      </w:r>
      <w:r w:rsidRPr="00773F25">
        <w:rPr>
          <w:lang w:val="es-CR"/>
        </w:rPr>
        <w:tab/>
        <w:t>CCPR/C/CMR/CO/5, para. 41.</w:t>
      </w:r>
    </w:p>
  </w:footnote>
  <w:footnote w:id="28">
    <w:p w14:paraId="20A6793A" w14:textId="77777777" w:rsidR="00AA0D12" w:rsidRPr="002E67AC" w:rsidRDefault="00AA0D12" w:rsidP="00BC37B7">
      <w:pPr>
        <w:pStyle w:val="FootnoteText"/>
        <w:rPr>
          <w:szCs w:val="18"/>
          <w:lang w:val="es-ES_tradnl"/>
        </w:rPr>
      </w:pPr>
      <w:r w:rsidRPr="00773F25">
        <w:rPr>
          <w:lang w:val="es-CR"/>
        </w:rPr>
        <w:tab/>
      </w:r>
      <w:r w:rsidRPr="00531C92">
        <w:rPr>
          <w:rStyle w:val="FootnoteReference"/>
          <w:szCs w:val="18"/>
          <w:lang w:val="en-GB"/>
        </w:rPr>
        <w:footnoteRef/>
      </w:r>
      <w:r w:rsidRPr="00773F25">
        <w:rPr>
          <w:lang w:val="es-CR"/>
        </w:rPr>
        <w:tab/>
        <w:t xml:space="preserve">General comment No. 34, para. </w:t>
      </w:r>
      <w:r w:rsidRPr="002E67AC">
        <w:rPr>
          <w:szCs w:val="18"/>
          <w:lang w:val="es-ES_tradnl"/>
        </w:rPr>
        <w:t>34.</w:t>
      </w:r>
    </w:p>
  </w:footnote>
  <w:footnote w:id="29">
    <w:p w14:paraId="77DE3D15" w14:textId="77777777" w:rsidR="00AA0D12" w:rsidRPr="00531C92" w:rsidRDefault="00AA0D12" w:rsidP="008D20DF">
      <w:pPr>
        <w:pStyle w:val="FootnoteText"/>
        <w:rPr>
          <w:szCs w:val="18"/>
          <w:lang w:val="en-GB"/>
        </w:rPr>
      </w:pPr>
      <w:r w:rsidRPr="002E67AC">
        <w:rPr>
          <w:lang w:val="es-ES_tradnl"/>
        </w:rPr>
        <w:tab/>
      </w:r>
      <w:r w:rsidRPr="00531C92">
        <w:rPr>
          <w:rStyle w:val="FootnoteReference"/>
          <w:szCs w:val="18"/>
          <w:lang w:val="en-GB"/>
        </w:rPr>
        <w:footnoteRef/>
      </w:r>
      <w:r w:rsidRPr="008D20DF">
        <w:rPr>
          <w:lang w:val="es-MX"/>
        </w:rPr>
        <w:t xml:space="preserve"> </w:t>
      </w:r>
      <w:r w:rsidRPr="008D20DF">
        <w:rPr>
          <w:lang w:val="es-MX"/>
        </w:rPr>
        <w:tab/>
      </w:r>
      <w:r w:rsidRPr="008D20DF">
        <w:rPr>
          <w:i/>
          <w:lang w:val="es-MX"/>
        </w:rPr>
        <w:t>Stambrovsky v. Belarus</w:t>
      </w:r>
      <w:r w:rsidRPr="008D20DF">
        <w:rPr>
          <w:lang w:val="es-MX"/>
        </w:rPr>
        <w:t xml:space="preserve"> (CCPR/C/112/D/1987/2010), para. </w:t>
      </w:r>
      <w:r w:rsidRPr="00773F25">
        <w:rPr>
          <w:lang w:val="es-CR"/>
        </w:rPr>
        <w:t xml:space="preserve">7.6; </w:t>
      </w:r>
      <w:r w:rsidRPr="00773F25">
        <w:rPr>
          <w:i/>
          <w:lang w:val="es-CR"/>
        </w:rPr>
        <w:t>Pugach v. Belarus</w:t>
      </w:r>
      <w:r w:rsidRPr="00773F25">
        <w:rPr>
          <w:lang w:val="es-CR"/>
        </w:rPr>
        <w:t xml:space="preserve"> (CCPR/C/114/D/1984/2010), para. </w:t>
      </w:r>
      <w:r w:rsidRPr="00531C92">
        <w:rPr>
          <w:szCs w:val="18"/>
          <w:lang w:val="en-GB"/>
        </w:rPr>
        <w:t>7.8.</w:t>
      </w:r>
    </w:p>
  </w:footnote>
  <w:footnote w:id="30">
    <w:p w14:paraId="2A2214B5" w14:textId="77777777" w:rsidR="00AA0D12" w:rsidRPr="00531C92" w:rsidRDefault="00AA0D12" w:rsidP="00E34CC0">
      <w:pPr>
        <w:pStyle w:val="FootnoteText"/>
        <w:rPr>
          <w:szCs w:val="18"/>
          <w:lang w:val="en-GB"/>
        </w:rPr>
      </w:pPr>
      <w:r w:rsidRPr="00531C92">
        <w:rPr>
          <w:szCs w:val="18"/>
          <w:lang w:val="en-GB"/>
        </w:rPr>
        <w:t xml:space="preserve">                    </w:t>
      </w:r>
      <w:r w:rsidRPr="00531C92">
        <w:rPr>
          <w:rStyle w:val="FootnoteReference"/>
          <w:szCs w:val="18"/>
          <w:lang w:val="en-GB"/>
        </w:rPr>
        <w:footnoteRef/>
      </w:r>
      <w:r w:rsidRPr="00531C92">
        <w:rPr>
          <w:szCs w:val="18"/>
          <w:lang w:val="en-GB"/>
        </w:rPr>
        <w:t xml:space="preserve">  Article 20 (1) and (2).</w:t>
      </w:r>
    </w:p>
  </w:footnote>
  <w:footnote w:id="31">
    <w:p w14:paraId="788133B3" w14:textId="0644836F" w:rsidR="00AA0D12" w:rsidRPr="00531C92" w:rsidRDefault="00AA0D12" w:rsidP="00E34CC0">
      <w:pPr>
        <w:pStyle w:val="FootnoteText"/>
        <w:rPr>
          <w:szCs w:val="18"/>
          <w:lang w:val="en-GB"/>
        </w:rPr>
      </w:pPr>
      <w:r w:rsidRPr="00531C92">
        <w:rPr>
          <w:rStyle w:val="FootnoteReference"/>
          <w:szCs w:val="18"/>
          <w:lang w:val="en-GB"/>
        </w:rPr>
        <w:footnoteRef/>
      </w:r>
      <w:r w:rsidRPr="00531C92">
        <w:rPr>
          <w:szCs w:val="18"/>
          <w:lang w:val="en-GB"/>
        </w:rPr>
        <w:tab/>
        <w:t xml:space="preserve">Any restrictions pursuant to article 20 (2) should be justified in terms of the requirements posed for restrictions by article 19 or 21. See </w:t>
      </w:r>
      <w:r>
        <w:rPr>
          <w:szCs w:val="18"/>
          <w:lang w:val="en-GB"/>
        </w:rPr>
        <w:t>G</w:t>
      </w:r>
      <w:r w:rsidRPr="00531C92">
        <w:rPr>
          <w:szCs w:val="18"/>
          <w:lang w:val="en-GB"/>
        </w:rPr>
        <w:t>eneral comment No. 34, paras. 50–52</w:t>
      </w:r>
      <w:r>
        <w:rPr>
          <w:szCs w:val="18"/>
          <w:lang w:val="en-GB"/>
        </w:rPr>
        <w:t>;</w:t>
      </w:r>
      <w:r w:rsidRPr="00531C92">
        <w:rPr>
          <w:szCs w:val="18"/>
          <w:lang w:val="en-GB"/>
        </w:rPr>
        <w:t xml:space="preserve"> article 4</w:t>
      </w:r>
      <w:r>
        <w:rPr>
          <w:szCs w:val="18"/>
          <w:lang w:val="en-GB"/>
        </w:rPr>
        <w:t xml:space="preserve">, </w:t>
      </w:r>
      <w:r w:rsidRPr="00531C92">
        <w:rPr>
          <w:szCs w:val="18"/>
          <w:lang w:val="en-GB"/>
        </w:rPr>
        <w:t>Convention on the Elimination of Racial Discrimination</w:t>
      </w:r>
      <w:r>
        <w:rPr>
          <w:szCs w:val="18"/>
          <w:lang w:val="en-GB"/>
        </w:rPr>
        <w:t>;</w:t>
      </w:r>
      <w:r w:rsidRPr="00531C92">
        <w:rPr>
          <w:szCs w:val="18"/>
          <w:lang w:val="en-GB"/>
        </w:rPr>
        <w:t xml:space="preserve"> and Committee on the Elimination of Racial Discrimination</w:t>
      </w:r>
      <w:r>
        <w:rPr>
          <w:szCs w:val="18"/>
          <w:lang w:val="en-GB"/>
        </w:rPr>
        <w:t>,</w:t>
      </w:r>
      <w:r w:rsidRPr="00531C92">
        <w:rPr>
          <w:szCs w:val="18"/>
          <w:lang w:val="en-GB"/>
        </w:rPr>
        <w:t xml:space="preserve"> </w:t>
      </w:r>
      <w:r>
        <w:rPr>
          <w:szCs w:val="18"/>
          <w:lang w:val="en-GB"/>
        </w:rPr>
        <w:t>G</w:t>
      </w:r>
      <w:r w:rsidRPr="00531C92">
        <w:rPr>
          <w:szCs w:val="18"/>
          <w:lang w:val="en-GB"/>
        </w:rPr>
        <w:t>eneral recommendation No. No. 35 (2013) on combating racist hate speech. See also the threshold test for incitement to hatred in the Rabat Plan of Action (2012), A/HRC/22/17/Add.4, appendix, para. 29 as well as the Beirut Declaration and its 18 commitments on “Faith for Rights” (A/HRC/40/58, annexes I and II).</w:t>
      </w:r>
    </w:p>
  </w:footnote>
  <w:footnote w:id="32">
    <w:p w14:paraId="38A5685C" w14:textId="77777777" w:rsidR="00AA0D12" w:rsidRPr="003D1770" w:rsidRDefault="00AA0D12" w:rsidP="00E818B2">
      <w:pPr>
        <w:rPr>
          <w:sz w:val="20"/>
          <w:szCs w:val="20"/>
        </w:rPr>
      </w:pPr>
      <w:r>
        <w:rPr>
          <w:rStyle w:val="FootnoteReference"/>
        </w:rPr>
        <w:footnoteRef/>
      </w:r>
      <w:r>
        <w:t xml:space="preserve"> </w:t>
      </w:r>
      <w:r w:rsidRPr="003D1770">
        <w:rPr>
          <w:sz w:val="20"/>
          <w:szCs w:val="20"/>
        </w:rPr>
        <w:t>A/HRC/31/66, Para. 30</w:t>
      </w:r>
    </w:p>
    <w:p w14:paraId="3ED81C1C" w14:textId="3D895D7B" w:rsidR="00AA0D12" w:rsidRPr="002E67AC" w:rsidRDefault="00AA0D12">
      <w:pPr>
        <w:pStyle w:val="FootnoteText"/>
        <w:rPr>
          <w:lang w:val="es-ES_tradnl"/>
        </w:rPr>
      </w:pPr>
    </w:p>
  </w:footnote>
  <w:footnote w:id="33">
    <w:p w14:paraId="026CAA45" w14:textId="0D72E802" w:rsidR="00AA0D12" w:rsidRPr="00CC773B" w:rsidRDefault="00AA0D12" w:rsidP="00E818B2">
      <w:pPr>
        <w:pStyle w:val="FootnoteText"/>
        <w:rPr>
          <w:lang w:val="en-GB"/>
        </w:rPr>
      </w:pPr>
      <w:r w:rsidRPr="00531C92">
        <w:rPr>
          <w:rStyle w:val="FootnoteReference"/>
          <w:szCs w:val="18"/>
          <w:lang w:val="en-GB"/>
        </w:rPr>
        <w:footnoteRef/>
      </w:r>
      <w:r w:rsidRPr="00773F25">
        <w:rPr>
          <w:lang w:val="es-CR"/>
        </w:rPr>
        <w:tab/>
        <w:t xml:space="preserve">CCPR/C/KOR/CO/4, para. </w:t>
      </w:r>
      <w:r w:rsidRPr="00CC773B">
        <w:rPr>
          <w:lang w:val="en-GB"/>
        </w:rPr>
        <w:t>52.</w:t>
      </w:r>
    </w:p>
  </w:footnote>
  <w:footnote w:id="34">
    <w:p w14:paraId="79F7CB0E" w14:textId="6305A224" w:rsidR="00AA0D12" w:rsidRPr="009C3954" w:rsidRDefault="002E67AC" w:rsidP="00E818B2">
      <w:pPr>
        <w:pStyle w:val="FootnoteText"/>
        <w:rPr>
          <w:szCs w:val="18"/>
          <w:lang w:val="es-ES_tradnl"/>
        </w:rPr>
      </w:pPr>
      <w:r>
        <w:rPr>
          <w:szCs w:val="18"/>
          <w:lang w:val="en-GB"/>
        </w:rPr>
        <w:tab/>
        <w:t xml:space="preserve">               </w:t>
      </w:r>
      <w:r w:rsidR="00AA0D12" w:rsidRPr="00531C92">
        <w:rPr>
          <w:rStyle w:val="FootnoteReference"/>
          <w:szCs w:val="18"/>
          <w:lang w:val="en-GB"/>
        </w:rPr>
        <w:footnoteRef/>
      </w:r>
      <w:r w:rsidR="00AA0D12" w:rsidRPr="00531C92">
        <w:rPr>
          <w:szCs w:val="18"/>
          <w:lang w:val="en-GB"/>
        </w:rPr>
        <w:t xml:space="preserve"> </w:t>
      </w:r>
      <w:r w:rsidR="00AA0D12" w:rsidRPr="00531C92">
        <w:rPr>
          <w:szCs w:val="18"/>
          <w:lang w:val="en-GB"/>
        </w:rPr>
        <w:tab/>
        <w:t>C</w:t>
      </w:r>
      <w:r w:rsidR="00AA0D12">
        <w:rPr>
          <w:szCs w:val="18"/>
          <w:lang w:val="en-GB"/>
        </w:rPr>
        <w:t>f.</w:t>
      </w:r>
      <w:r w:rsidR="00AA0D12" w:rsidRPr="00531C92">
        <w:rPr>
          <w:szCs w:val="18"/>
          <w:lang w:val="en-GB"/>
        </w:rPr>
        <w:t xml:space="preserve"> OSCE </w:t>
      </w:r>
      <w:r w:rsidR="00AA0D12" w:rsidRPr="00531C92">
        <w:rPr>
          <w:i/>
          <w:iCs/>
          <w:szCs w:val="18"/>
          <w:lang w:val="en-GB"/>
        </w:rPr>
        <w:t>Guidelines on Peaceful Assembly</w:t>
      </w:r>
      <w:r w:rsidR="00AA0D12" w:rsidRPr="00531C92">
        <w:rPr>
          <w:szCs w:val="18"/>
          <w:lang w:val="en-GB"/>
        </w:rPr>
        <w:t xml:space="preserve">, para. 98; ACHPR, </w:t>
      </w:r>
      <w:r w:rsidR="00AA0D12" w:rsidRPr="00531C92">
        <w:rPr>
          <w:i/>
          <w:iCs/>
          <w:szCs w:val="18"/>
          <w:lang w:val="en-GB"/>
        </w:rPr>
        <w:t>Guidelines on Freedom of Association and Assembly in Africa</w:t>
      </w:r>
      <w:r w:rsidR="00AA0D12" w:rsidRPr="00531C92">
        <w:rPr>
          <w:szCs w:val="18"/>
          <w:lang w:val="en-GB"/>
        </w:rPr>
        <w:t xml:space="preserve">, para. </w:t>
      </w:r>
      <w:r w:rsidR="00AA0D12" w:rsidRPr="009C3954">
        <w:rPr>
          <w:szCs w:val="18"/>
          <w:lang w:val="es-ES_tradnl"/>
        </w:rPr>
        <w:t xml:space="preserve">81. </w:t>
      </w:r>
    </w:p>
  </w:footnote>
  <w:footnote w:id="35">
    <w:p w14:paraId="2EDDBC40" w14:textId="584EF6A0" w:rsidR="00AA0D12" w:rsidRPr="00CC773B" w:rsidRDefault="00AA0D12" w:rsidP="002E67AC">
      <w:pPr>
        <w:pStyle w:val="FootnoteText"/>
        <w:ind w:left="0" w:firstLine="0"/>
        <w:rPr>
          <w:lang w:val="en-GB"/>
        </w:rPr>
      </w:pPr>
      <w:r w:rsidRPr="00531C92">
        <w:rPr>
          <w:rStyle w:val="FootnoteReference"/>
          <w:szCs w:val="18"/>
          <w:lang w:val="en-GB"/>
        </w:rPr>
        <w:footnoteRef/>
      </w:r>
      <w:r w:rsidRPr="00CC773B">
        <w:rPr>
          <w:szCs w:val="18"/>
          <w:lang w:val="es-MX"/>
        </w:rPr>
        <w:tab/>
        <w:t xml:space="preserve">CCPR/C/KHM/CO/2, para. </w:t>
      </w:r>
      <w:r w:rsidRPr="00773F25">
        <w:rPr>
          <w:lang w:val="es-CR"/>
        </w:rPr>
        <w:t xml:space="preserve">22; CCPR/C/JOR/CO/5, para. </w:t>
      </w:r>
      <w:r w:rsidRPr="00CC773B">
        <w:rPr>
          <w:lang w:val="en-GB"/>
        </w:rPr>
        <w:t>32.</w:t>
      </w:r>
    </w:p>
  </w:footnote>
  <w:footnote w:id="36">
    <w:p w14:paraId="0B8BBBBE" w14:textId="68584571" w:rsidR="00AA0D12" w:rsidRPr="00CC773B" w:rsidRDefault="00AA0D12" w:rsidP="002E67AC">
      <w:pPr>
        <w:pStyle w:val="FootnoteText"/>
        <w:ind w:left="0" w:firstLine="0"/>
        <w:rPr>
          <w:lang w:val="en-GB"/>
        </w:rPr>
      </w:pPr>
      <w:r w:rsidRPr="00531C92">
        <w:rPr>
          <w:rStyle w:val="FootnoteReference"/>
          <w:szCs w:val="18"/>
          <w:lang w:val="en-GB"/>
        </w:rPr>
        <w:footnoteRef/>
      </w:r>
      <w:r w:rsidRPr="00CC773B">
        <w:rPr>
          <w:lang w:val="en-GB"/>
        </w:rPr>
        <w:tab/>
        <w:t>CCPR/C/TKM/CO/2, para. 44.</w:t>
      </w:r>
    </w:p>
  </w:footnote>
  <w:footnote w:id="37">
    <w:p w14:paraId="145C3547" w14:textId="77777777" w:rsidR="00AA0D12" w:rsidRPr="00E14BA5" w:rsidRDefault="00AA0D12" w:rsidP="00D47A52">
      <w:pPr>
        <w:pStyle w:val="FootnoteText"/>
        <w:jc w:val="lowKashida"/>
        <w:rPr>
          <w:szCs w:val="18"/>
          <w:lang w:val="en-GB"/>
        </w:rPr>
      </w:pPr>
      <w:r w:rsidRPr="008400AB">
        <w:rPr>
          <w:rStyle w:val="FootnoteReference"/>
          <w:szCs w:val="18"/>
        </w:rPr>
        <w:footnoteRef/>
      </w:r>
      <w:r w:rsidRPr="00E14BA5">
        <w:rPr>
          <w:szCs w:val="18"/>
          <w:lang w:val="en-GB"/>
        </w:rPr>
        <w:t xml:space="preserve"> A/HRC/31/66, paragraph 61 indicates: </w:t>
      </w:r>
      <w:r w:rsidRPr="00E14BA5">
        <w:rPr>
          <w:i/>
          <w:iCs/>
          <w:szCs w:val="18"/>
          <w:lang w:val="en-GB"/>
        </w:rPr>
        <w:t>“dispersing an assembly carries the risk of violating the rights to freedom of expression and to peaceful assembly as well as the right to bodily integrity. Dispersing an assembly also risks escalating tensions between participants and law enforcement. For these reasons, it must be resorted to only when strictly unavoidable. For example, dispersal may be considered where violence is serious and widespread and represents an imminent threat to bodily safety or property, and where law enforcement officials have taken all reasonable measures to facilitate the assembly and protect participants from harm. Before countenancing dispersal, law enforcement agencies should seek to identify and isolate any violent individuals separately from the main assembly and differentiate between violent individuals in an assembly and others. This may allow the assembly to continue.”</w:t>
      </w:r>
    </w:p>
  </w:footnote>
  <w:footnote w:id="38">
    <w:p w14:paraId="228F7B9A" w14:textId="77777777" w:rsidR="00AE767D" w:rsidRPr="00AE767D" w:rsidRDefault="00AE767D" w:rsidP="00AE767D">
      <w:pPr>
        <w:pStyle w:val="FootnoteText"/>
        <w:rPr>
          <w:szCs w:val="18"/>
          <w:lang w:val="es-MX"/>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 xml:space="preserve">CCPR/C/KHM/CO/2, para. </w:t>
      </w:r>
      <w:r w:rsidRPr="00AE767D">
        <w:rPr>
          <w:szCs w:val="18"/>
          <w:lang w:val="es-MX"/>
        </w:rPr>
        <w:t>12; CCPR/C/GRC/CO/2, para. 42; and CCPR/C/BGR/CO/4, para. 38.</w:t>
      </w:r>
    </w:p>
  </w:footnote>
  <w:footnote w:id="39">
    <w:p w14:paraId="75858434" w14:textId="77777777" w:rsidR="00AE767D" w:rsidRPr="00531C92" w:rsidRDefault="00AE767D" w:rsidP="00AE767D">
      <w:pPr>
        <w:pStyle w:val="FootnoteText"/>
        <w:rPr>
          <w:szCs w:val="18"/>
          <w:lang w:val="en-GB"/>
        </w:rPr>
      </w:pPr>
      <w:r w:rsidRPr="00AE767D">
        <w:rPr>
          <w:szCs w:val="18"/>
          <w:lang w:val="es-MX"/>
        </w:rPr>
        <w:tab/>
      </w:r>
      <w:r w:rsidRPr="00531C92">
        <w:rPr>
          <w:rStyle w:val="FootnoteReference"/>
          <w:szCs w:val="18"/>
          <w:lang w:val="en-GB"/>
        </w:rPr>
        <w:footnoteRef/>
      </w:r>
      <w:r w:rsidRPr="00AE767D">
        <w:rPr>
          <w:szCs w:val="18"/>
          <w:lang w:val="es-MX"/>
        </w:rPr>
        <w:t xml:space="preserve"> </w:t>
      </w:r>
      <w:r w:rsidRPr="00AE767D">
        <w:rPr>
          <w:szCs w:val="18"/>
          <w:lang w:val="es-MX"/>
        </w:rPr>
        <w:tab/>
        <w:t xml:space="preserve">CCPR/C/VEN/CO/4, para. </w:t>
      </w:r>
      <w:r w:rsidRPr="00531C92">
        <w:rPr>
          <w:szCs w:val="18"/>
          <w:lang w:val="en-GB"/>
        </w:rPr>
        <w:t xml:space="preserve">14; </w:t>
      </w:r>
      <w:r>
        <w:rPr>
          <w:szCs w:val="18"/>
          <w:lang w:val="en-GB"/>
        </w:rPr>
        <w:t xml:space="preserve">and </w:t>
      </w:r>
      <w:r w:rsidRPr="00531C92">
        <w:rPr>
          <w:szCs w:val="18"/>
          <w:lang w:val="en-GB"/>
        </w:rPr>
        <w:t xml:space="preserve">ACHPR, </w:t>
      </w:r>
      <w:r w:rsidRPr="008001FF">
        <w:rPr>
          <w:i/>
          <w:szCs w:val="18"/>
          <w:lang w:val="en-GB"/>
        </w:rPr>
        <w:t>Guidelines on Policing Assemblies in Africa</w:t>
      </w:r>
      <w:r w:rsidRPr="00531C92">
        <w:rPr>
          <w:szCs w:val="18"/>
          <w:lang w:val="en-GB"/>
        </w:rPr>
        <w:t>, para. 3.2.</w:t>
      </w:r>
      <w:r w:rsidRPr="00531C92" w:rsidDel="001332DD">
        <w:rPr>
          <w:szCs w:val="18"/>
          <w:lang w:val="en-GB"/>
        </w:rPr>
        <w:t xml:space="preserve"> </w:t>
      </w:r>
    </w:p>
  </w:footnote>
  <w:footnote w:id="40">
    <w:p w14:paraId="66824250" w14:textId="7285C991" w:rsidR="00AE767D" w:rsidRPr="00AE767D" w:rsidRDefault="00AE767D">
      <w:pPr>
        <w:pStyle w:val="FootnoteText"/>
        <w:rPr>
          <w:lang w:val="en-GB"/>
        </w:rPr>
      </w:pPr>
      <w:r>
        <w:rPr>
          <w:rStyle w:val="FootnoteReference"/>
        </w:rPr>
        <w:footnoteRef/>
      </w:r>
      <w:r w:rsidRPr="00AE767D">
        <w:rPr>
          <w:lang w:val="en-GB"/>
        </w:rPr>
        <w:t xml:space="preserve"> </w:t>
      </w:r>
      <w:r w:rsidRPr="00AE767D">
        <w:rPr>
          <w:rFonts w:eastAsia="Times New Roman" w:cs="Calibri"/>
          <w:color w:val="000000"/>
          <w:lang w:val="en-GB"/>
        </w:rPr>
        <w:t>Article 1,  a) and b), the 1979 Code of Conduct for Law Enforcement Officials; A/HRC/31/66.) </w:t>
      </w:r>
    </w:p>
  </w:footnote>
  <w:footnote w:id="41">
    <w:p w14:paraId="1E2DC71D" w14:textId="77777777" w:rsidR="00AE767D" w:rsidRPr="00531C92" w:rsidRDefault="00AE767D" w:rsidP="00AE767D">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r>
      <w:r w:rsidRPr="008001FF">
        <w:rPr>
          <w:i/>
          <w:szCs w:val="18"/>
          <w:lang w:val="en-GB"/>
        </w:rPr>
        <w:t>United Nations Human Rights Guidance on Less-Lethal Weapons in Law Enforcement</w:t>
      </w:r>
      <w:r w:rsidRPr="00531C92">
        <w:rPr>
          <w:szCs w:val="18"/>
          <w:lang w:val="en-GB"/>
        </w:rPr>
        <w:t xml:space="preserve"> (2019); European Court of Human Rights, </w:t>
      </w:r>
      <w:r w:rsidRPr="00531C92">
        <w:rPr>
          <w:i/>
          <w:szCs w:val="18"/>
          <w:lang w:val="en-GB"/>
        </w:rPr>
        <w:t>Güleç</w:t>
      </w:r>
      <w:r w:rsidRPr="00531C92">
        <w:rPr>
          <w:szCs w:val="18"/>
          <w:lang w:val="en-GB"/>
        </w:rPr>
        <w:t xml:space="preserve"> </w:t>
      </w:r>
      <w:r w:rsidRPr="00531C92">
        <w:rPr>
          <w:i/>
          <w:iCs/>
          <w:szCs w:val="18"/>
          <w:lang w:val="en-GB"/>
        </w:rPr>
        <w:t>v.</w:t>
      </w:r>
      <w:r w:rsidRPr="00531C92">
        <w:rPr>
          <w:szCs w:val="18"/>
          <w:lang w:val="en-GB"/>
        </w:rPr>
        <w:t xml:space="preserve"> </w:t>
      </w:r>
      <w:r w:rsidRPr="00531C92">
        <w:rPr>
          <w:i/>
          <w:szCs w:val="18"/>
          <w:lang w:val="en-GB"/>
        </w:rPr>
        <w:t xml:space="preserve">Turkey </w:t>
      </w:r>
      <w:r w:rsidRPr="00531C92">
        <w:rPr>
          <w:iCs/>
          <w:szCs w:val="18"/>
          <w:lang w:val="en-GB"/>
        </w:rPr>
        <w:t>(application No. 21593/93), j</w:t>
      </w:r>
      <w:r w:rsidRPr="00531C92">
        <w:rPr>
          <w:szCs w:val="18"/>
          <w:lang w:val="en-GB"/>
        </w:rPr>
        <w:t xml:space="preserve">udgment of 27 July 1998, para. 71; </w:t>
      </w:r>
      <w:r>
        <w:rPr>
          <w:szCs w:val="18"/>
          <w:lang w:val="en-GB"/>
        </w:rPr>
        <w:t xml:space="preserve">and </w:t>
      </w:r>
      <w:r w:rsidRPr="00531C92">
        <w:rPr>
          <w:szCs w:val="18"/>
          <w:lang w:val="en-GB"/>
        </w:rPr>
        <w:t xml:space="preserve">Basic Principles on the Use of Force and Firearms by Law Enforcement Officials, principle 2. </w:t>
      </w:r>
    </w:p>
  </w:footnote>
  <w:footnote w:id="42">
    <w:p w14:paraId="5D3C5FB3" w14:textId="77777777" w:rsidR="00AE767D" w:rsidRPr="00531C92" w:rsidRDefault="00AE767D" w:rsidP="00AE767D">
      <w:pPr>
        <w:pStyle w:val="FootnoteText"/>
        <w:rPr>
          <w:szCs w:val="18"/>
          <w:lang w:val="en-GB"/>
        </w:rPr>
      </w:pPr>
      <w:r w:rsidRPr="00531C92">
        <w:rPr>
          <w:szCs w:val="18"/>
          <w:lang w:val="en-GB"/>
        </w:rPr>
        <w:tab/>
      </w:r>
      <w:r w:rsidRPr="00531C92">
        <w:rPr>
          <w:rStyle w:val="FootnoteReference"/>
          <w:szCs w:val="18"/>
          <w:lang w:val="en-GB"/>
        </w:rPr>
        <w:footnoteRef/>
      </w:r>
      <w:r w:rsidRPr="00531C92">
        <w:rPr>
          <w:szCs w:val="18"/>
          <w:lang w:val="en-GB"/>
        </w:rPr>
        <w:t xml:space="preserve"> </w:t>
      </w:r>
      <w:r w:rsidRPr="00531C92">
        <w:rPr>
          <w:szCs w:val="18"/>
          <w:lang w:val="en-GB"/>
        </w:rPr>
        <w:tab/>
        <w:t>General comment No. 36.</w:t>
      </w:r>
    </w:p>
  </w:footnote>
  <w:footnote w:id="43">
    <w:p w14:paraId="07F9B6C8" w14:textId="77777777" w:rsidR="00AA0D12" w:rsidRPr="00E14BA5" w:rsidRDefault="00AA0D12" w:rsidP="00E14BA5">
      <w:pPr>
        <w:pStyle w:val="FootnoteText"/>
        <w:rPr>
          <w:szCs w:val="18"/>
          <w:lang w:val="en-GB"/>
        </w:rPr>
      </w:pPr>
      <w:r w:rsidRPr="008400AB">
        <w:rPr>
          <w:rStyle w:val="FootnoteReference"/>
          <w:szCs w:val="18"/>
        </w:rPr>
        <w:footnoteRef/>
      </w:r>
      <w:r w:rsidRPr="00E14BA5">
        <w:rPr>
          <w:szCs w:val="18"/>
          <w:lang w:val="en-GB"/>
        </w:rPr>
        <w:t xml:space="preserve"> See for example A/HRC/35/28/Add.2, paragraphs 38 and 59.</w:t>
      </w:r>
    </w:p>
  </w:footnote>
  <w:footnote w:id="44">
    <w:p w14:paraId="11E5BD50" w14:textId="77777777" w:rsidR="00AA0D12" w:rsidRPr="00C42F0A" w:rsidRDefault="00AA0D12" w:rsidP="00E14BA5">
      <w:pPr>
        <w:pStyle w:val="FootnoteText"/>
        <w:rPr>
          <w:szCs w:val="18"/>
          <w:lang w:val="en-GB"/>
        </w:rPr>
      </w:pPr>
      <w:r w:rsidRPr="008400AB">
        <w:rPr>
          <w:rStyle w:val="FootnoteReference"/>
          <w:szCs w:val="18"/>
        </w:rPr>
        <w:footnoteRef/>
      </w:r>
      <w:r w:rsidRPr="00C42F0A">
        <w:rPr>
          <w:szCs w:val="18"/>
          <w:lang w:val="en-GB"/>
        </w:rPr>
        <w:t xml:space="preserve"> A/HRC/23/39/Add.1, paragraph 44</w:t>
      </w:r>
    </w:p>
  </w:footnote>
  <w:footnote w:id="45">
    <w:p w14:paraId="359C6628" w14:textId="77777777" w:rsidR="00AA0D12" w:rsidRPr="00C42F0A" w:rsidRDefault="00AA0D12" w:rsidP="00E14BA5">
      <w:pPr>
        <w:pStyle w:val="FootnoteText"/>
        <w:rPr>
          <w:szCs w:val="18"/>
          <w:lang w:val="en-GB"/>
        </w:rPr>
      </w:pPr>
      <w:r w:rsidRPr="008400AB">
        <w:rPr>
          <w:rStyle w:val="FootnoteReference"/>
          <w:szCs w:val="18"/>
        </w:rPr>
        <w:footnoteRef/>
      </w:r>
      <w:r w:rsidRPr="00C42F0A">
        <w:rPr>
          <w:szCs w:val="18"/>
          <w:lang w:val="en-GB"/>
        </w:rPr>
        <w:t xml:space="preserve"> A/HRC/23/39/Add.1, paragraph 37</w:t>
      </w:r>
    </w:p>
  </w:footnote>
  <w:footnote w:id="46">
    <w:p w14:paraId="4C07D30A" w14:textId="77777777" w:rsidR="00AA0D12" w:rsidRPr="00C42F0A" w:rsidRDefault="00AA0D12" w:rsidP="00E14BA5">
      <w:pPr>
        <w:pStyle w:val="FootnoteText"/>
        <w:rPr>
          <w:szCs w:val="18"/>
          <w:lang w:val="en-GB"/>
        </w:rPr>
      </w:pPr>
      <w:r w:rsidRPr="008400AB">
        <w:rPr>
          <w:rStyle w:val="FootnoteReference"/>
          <w:szCs w:val="18"/>
        </w:rPr>
        <w:footnoteRef/>
      </w:r>
      <w:r w:rsidRPr="00C42F0A">
        <w:rPr>
          <w:szCs w:val="18"/>
          <w:lang w:val="en-GB"/>
        </w:rPr>
        <w:t xml:space="preserve"> A/HRC/23/39/Add.1, paragraph 38 </w:t>
      </w:r>
    </w:p>
  </w:footnote>
  <w:footnote w:id="47">
    <w:p w14:paraId="273EE01E" w14:textId="77777777" w:rsidR="00E45603" w:rsidRPr="00E45603" w:rsidRDefault="00E45603" w:rsidP="00E45603">
      <w:pPr>
        <w:pStyle w:val="FootnoteText"/>
        <w:rPr>
          <w:szCs w:val="18"/>
          <w:lang w:val="es-MX"/>
        </w:rPr>
      </w:pPr>
      <w:r w:rsidRPr="00531C92">
        <w:rPr>
          <w:szCs w:val="18"/>
          <w:lang w:val="en-GB"/>
        </w:rPr>
        <w:tab/>
      </w:r>
      <w:r w:rsidRPr="00531C92">
        <w:rPr>
          <w:rStyle w:val="FootnoteReference"/>
          <w:szCs w:val="18"/>
          <w:lang w:val="en-GB"/>
        </w:rPr>
        <w:footnoteRef/>
      </w:r>
      <w:r w:rsidRPr="00C42F0A">
        <w:rPr>
          <w:szCs w:val="18"/>
          <w:lang w:val="en-GB"/>
        </w:rPr>
        <w:t xml:space="preserve"> </w:t>
      </w:r>
      <w:r w:rsidRPr="00C42F0A">
        <w:rPr>
          <w:szCs w:val="18"/>
          <w:lang w:val="en-GB"/>
        </w:rPr>
        <w:tab/>
        <w:t xml:space="preserve">A/HRC/31/66, para. </w:t>
      </w:r>
      <w:r w:rsidRPr="00E45603">
        <w:rPr>
          <w:szCs w:val="18"/>
          <w:lang w:val="es-MX"/>
        </w:rPr>
        <w:t>62.</w:t>
      </w:r>
    </w:p>
  </w:footnote>
  <w:footnote w:id="48">
    <w:p w14:paraId="6337FD8C" w14:textId="77777777" w:rsidR="00AA0D12" w:rsidRPr="00E45603" w:rsidRDefault="00AA0D12" w:rsidP="00E14BA5">
      <w:pPr>
        <w:pStyle w:val="FootnoteText"/>
        <w:rPr>
          <w:szCs w:val="18"/>
          <w:lang w:val="es-MX"/>
        </w:rPr>
      </w:pPr>
      <w:r w:rsidRPr="008400AB">
        <w:rPr>
          <w:rStyle w:val="FootnoteReference"/>
          <w:szCs w:val="18"/>
        </w:rPr>
        <w:footnoteRef/>
      </w:r>
      <w:r w:rsidRPr="00E45603">
        <w:rPr>
          <w:szCs w:val="18"/>
          <w:lang w:val="es-MX"/>
        </w:rPr>
        <w:t xml:space="preserve"> A/HRC/31/66, paragraph 63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5274F" w14:textId="11110660" w:rsidR="00AA0D12" w:rsidRDefault="00AA0D12" w:rsidP="00917D6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BFB10" w14:textId="34B4DFB4" w:rsidR="00AA6D75" w:rsidRPr="00925A9D" w:rsidRDefault="00AA6D75" w:rsidP="00AA6D75">
    <w:pPr>
      <w:pStyle w:val="Header"/>
      <w:jc w:val="center"/>
      <w:rPr>
        <w:sz w:val="14"/>
        <w:szCs w:val="14"/>
        <w:lang w:val="en-GB"/>
      </w:rPr>
    </w:pPr>
    <w:r>
      <w:rPr>
        <w:noProof/>
        <w:sz w:val="14"/>
        <w:szCs w:val="14"/>
        <w:lang w:val="en-GB" w:eastAsia="en-GB"/>
      </w:rPr>
      <w:drawing>
        <wp:inline distT="0" distB="0" distL="0" distR="0" wp14:anchorId="05CA5A6F" wp14:editId="230C94CA">
          <wp:extent cx="2838450" cy="1219200"/>
          <wp:effectExtent l="0" t="0" r="0" b="0"/>
          <wp:docPr id="5" name="Picture 5"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63DB6B21" w14:textId="77777777" w:rsidR="00AA6D75" w:rsidRPr="002745FF" w:rsidRDefault="00AA6D75" w:rsidP="00AA6D75">
    <w:pPr>
      <w:pStyle w:val="Header"/>
      <w:tabs>
        <w:tab w:val="right" w:pos="3686"/>
        <w:tab w:val="left" w:pos="5812"/>
      </w:tabs>
      <w:jc w:val="center"/>
      <w:rPr>
        <w:sz w:val="14"/>
        <w:szCs w:val="14"/>
        <w:lang w:val="fr-CH"/>
      </w:rPr>
    </w:pPr>
    <w:r w:rsidRPr="002745FF">
      <w:rPr>
        <w:sz w:val="14"/>
        <w:szCs w:val="14"/>
        <w:lang w:val="fr-CH"/>
      </w:rPr>
      <w:t>PALAIS DES NATIONS • 1211 GENEVA 10, SWITZERLAND</w:t>
    </w:r>
  </w:p>
  <w:p w14:paraId="73A9B46A" w14:textId="77777777" w:rsidR="00AA6D75" w:rsidRPr="002745FF" w:rsidRDefault="00AA6D75" w:rsidP="00AA6D75">
    <w:pPr>
      <w:pStyle w:val="Header"/>
      <w:tabs>
        <w:tab w:val="right" w:pos="3686"/>
        <w:tab w:val="left" w:pos="5812"/>
      </w:tabs>
      <w:spacing w:before="80" w:after="360"/>
      <w:jc w:val="center"/>
      <w:rPr>
        <w:sz w:val="14"/>
        <w:szCs w:val="14"/>
        <w:lang w:val="fr-CH"/>
      </w:rPr>
    </w:pPr>
    <w:r w:rsidRPr="002745FF">
      <w:rPr>
        <w:sz w:val="14"/>
        <w:szCs w:val="14"/>
        <w:lang w:val="fr-CH"/>
      </w:rPr>
      <w:t>www.ohchr.org • TEL:  +41 22 917 9000 • FAX:  +41 22 917 9008 • E-MAIL:  registry@ohchr.org</w:t>
    </w:r>
  </w:p>
  <w:p w14:paraId="1759E163" w14:textId="78515D44" w:rsidR="00AA6D75" w:rsidRPr="00C3006A" w:rsidRDefault="00AA6D75">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6A48"/>
    <w:multiLevelType w:val="hybridMultilevel"/>
    <w:tmpl w:val="78245874"/>
    <w:lvl w:ilvl="0" w:tplc="040A000F">
      <w:start w:val="1"/>
      <w:numFmt w:val="decimal"/>
      <w:lvlText w:val="%1."/>
      <w:lvlJc w:val="left"/>
      <w:pPr>
        <w:ind w:left="927"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E5C1414"/>
    <w:multiLevelType w:val="hybridMultilevel"/>
    <w:tmpl w:val="EBC4732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4AB0985"/>
    <w:multiLevelType w:val="hybridMultilevel"/>
    <w:tmpl w:val="A74A41EC"/>
    <w:lvl w:ilvl="0" w:tplc="040A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5127F7"/>
    <w:multiLevelType w:val="hybridMultilevel"/>
    <w:tmpl w:val="C93457A8"/>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7AC3116"/>
    <w:multiLevelType w:val="hybridMultilevel"/>
    <w:tmpl w:val="7E701AB6"/>
    <w:lvl w:ilvl="0" w:tplc="0452160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FFE5D2F"/>
    <w:multiLevelType w:val="hybridMultilevel"/>
    <w:tmpl w:val="33A0E3A8"/>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15:restartNumberingAfterBreak="0">
    <w:nsid w:val="31EE33B5"/>
    <w:multiLevelType w:val="hybridMultilevel"/>
    <w:tmpl w:val="CA90835E"/>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38001AC4"/>
    <w:multiLevelType w:val="hybridMultilevel"/>
    <w:tmpl w:val="8028EAF2"/>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3C1D77B1"/>
    <w:multiLevelType w:val="hybridMultilevel"/>
    <w:tmpl w:val="2DCAE84A"/>
    <w:lvl w:ilvl="0" w:tplc="0452160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31B295F"/>
    <w:multiLevelType w:val="hybridMultilevel"/>
    <w:tmpl w:val="A56839EA"/>
    <w:lvl w:ilvl="0" w:tplc="040A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6B66EA4"/>
    <w:multiLevelType w:val="hybridMultilevel"/>
    <w:tmpl w:val="CCD0FED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FC04096"/>
    <w:multiLevelType w:val="hybridMultilevel"/>
    <w:tmpl w:val="5C242B6A"/>
    <w:lvl w:ilvl="0" w:tplc="111496D4">
      <w:start w:val="6"/>
      <w:numFmt w:val="decimal"/>
      <w:lvlText w:val="%1."/>
      <w:lvlJc w:val="left"/>
      <w:pPr>
        <w:ind w:left="927" w:hanging="360"/>
      </w:pPr>
      <w:rPr>
        <w:rFonts w:hint="default"/>
        <w:lang w:val="en-US"/>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15:restartNumberingAfterBreak="0">
    <w:nsid w:val="5856172F"/>
    <w:multiLevelType w:val="hybridMultilevel"/>
    <w:tmpl w:val="02860A0A"/>
    <w:lvl w:ilvl="0" w:tplc="F648B0BE">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616E7B99"/>
    <w:multiLevelType w:val="hybridMultilevel"/>
    <w:tmpl w:val="F864D3DE"/>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63796826"/>
    <w:multiLevelType w:val="hybridMultilevel"/>
    <w:tmpl w:val="929007B6"/>
    <w:lvl w:ilvl="0" w:tplc="040A000F">
      <w:start w:val="1"/>
      <w:numFmt w:val="decimal"/>
      <w:lvlText w:val="%1."/>
      <w:lvlJc w:val="left"/>
      <w:pPr>
        <w:ind w:left="149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5" w15:restartNumberingAfterBreak="0">
    <w:nsid w:val="63E0506D"/>
    <w:multiLevelType w:val="hybridMultilevel"/>
    <w:tmpl w:val="71403A80"/>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6" w15:restartNumberingAfterBreak="0">
    <w:nsid w:val="684A3055"/>
    <w:multiLevelType w:val="hybridMultilevel"/>
    <w:tmpl w:val="5094A016"/>
    <w:lvl w:ilvl="0" w:tplc="EB4AF574">
      <w:start w:val="1"/>
      <w:numFmt w:val="decimal"/>
      <w:lvlText w:val="%1."/>
      <w:lvlJc w:val="left"/>
      <w:pPr>
        <w:ind w:left="360" w:hanging="360"/>
      </w:pPr>
      <w:rPr>
        <w:rFonts w:hint="default"/>
        <w:b/>
        <w:i w:val="0"/>
      </w:r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7" w15:restartNumberingAfterBreak="0">
    <w:nsid w:val="70AE1E2B"/>
    <w:multiLevelType w:val="hybridMultilevel"/>
    <w:tmpl w:val="B1EE8C2E"/>
    <w:lvl w:ilvl="0" w:tplc="9EB8A4FA">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75C5EAE"/>
    <w:multiLevelType w:val="hybridMultilevel"/>
    <w:tmpl w:val="2A5A3442"/>
    <w:lvl w:ilvl="0" w:tplc="040A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12"/>
  </w:num>
  <w:num w:numId="3">
    <w:abstractNumId w:val="4"/>
  </w:num>
  <w:num w:numId="4">
    <w:abstractNumId w:val="8"/>
  </w:num>
  <w:num w:numId="5">
    <w:abstractNumId w:val="0"/>
  </w:num>
  <w:num w:numId="6">
    <w:abstractNumId w:val="5"/>
  </w:num>
  <w:num w:numId="7">
    <w:abstractNumId w:val="3"/>
  </w:num>
  <w:num w:numId="8">
    <w:abstractNumId w:val="6"/>
  </w:num>
  <w:num w:numId="9">
    <w:abstractNumId w:val="15"/>
  </w:num>
  <w:num w:numId="10">
    <w:abstractNumId w:val="10"/>
  </w:num>
  <w:num w:numId="11">
    <w:abstractNumId w:val="16"/>
  </w:num>
  <w:num w:numId="12">
    <w:abstractNumId w:val="13"/>
  </w:num>
  <w:num w:numId="13">
    <w:abstractNumId w:val="1"/>
  </w:num>
  <w:num w:numId="14">
    <w:abstractNumId w:val="9"/>
  </w:num>
  <w:num w:numId="15">
    <w:abstractNumId w:val="14"/>
  </w:num>
  <w:num w:numId="16">
    <w:abstractNumId w:val="18"/>
  </w:num>
  <w:num w:numId="17">
    <w:abstractNumId w:val="7"/>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38"/>
    <w:rsid w:val="00000326"/>
    <w:rsid w:val="000239C0"/>
    <w:rsid w:val="000F0BDC"/>
    <w:rsid w:val="000F6A31"/>
    <w:rsid w:val="001004B1"/>
    <w:rsid w:val="0010772B"/>
    <w:rsid w:val="00121592"/>
    <w:rsid w:val="00127EFD"/>
    <w:rsid w:val="0013481F"/>
    <w:rsid w:val="00141207"/>
    <w:rsid w:val="00163D3F"/>
    <w:rsid w:val="00166877"/>
    <w:rsid w:val="00177A2C"/>
    <w:rsid w:val="001A03DA"/>
    <w:rsid w:val="001D5BA6"/>
    <w:rsid w:val="001D7EC3"/>
    <w:rsid w:val="001E7B00"/>
    <w:rsid w:val="001F227E"/>
    <w:rsid w:val="0020417A"/>
    <w:rsid w:val="00222366"/>
    <w:rsid w:val="00225545"/>
    <w:rsid w:val="00237CE6"/>
    <w:rsid w:val="002663D6"/>
    <w:rsid w:val="002C3B61"/>
    <w:rsid w:val="002E67AC"/>
    <w:rsid w:val="00301278"/>
    <w:rsid w:val="003121E5"/>
    <w:rsid w:val="00340850"/>
    <w:rsid w:val="00361833"/>
    <w:rsid w:val="003638BD"/>
    <w:rsid w:val="003C1A3A"/>
    <w:rsid w:val="003D62A7"/>
    <w:rsid w:val="004014EB"/>
    <w:rsid w:val="00405AC7"/>
    <w:rsid w:val="00461606"/>
    <w:rsid w:val="00467157"/>
    <w:rsid w:val="0048069D"/>
    <w:rsid w:val="00482BA9"/>
    <w:rsid w:val="004A21D4"/>
    <w:rsid w:val="004B4DF5"/>
    <w:rsid w:val="004C2B66"/>
    <w:rsid w:val="004C6F0A"/>
    <w:rsid w:val="00542211"/>
    <w:rsid w:val="005817BB"/>
    <w:rsid w:val="005861F0"/>
    <w:rsid w:val="005A3D36"/>
    <w:rsid w:val="005A74CB"/>
    <w:rsid w:val="005B235B"/>
    <w:rsid w:val="005E4055"/>
    <w:rsid w:val="00600A46"/>
    <w:rsid w:val="00607365"/>
    <w:rsid w:val="00636885"/>
    <w:rsid w:val="00645964"/>
    <w:rsid w:val="006824C8"/>
    <w:rsid w:val="006B1062"/>
    <w:rsid w:val="006C458E"/>
    <w:rsid w:val="006E6702"/>
    <w:rsid w:val="007217AA"/>
    <w:rsid w:val="00723F38"/>
    <w:rsid w:val="00747943"/>
    <w:rsid w:val="00776907"/>
    <w:rsid w:val="007821B3"/>
    <w:rsid w:val="0078797B"/>
    <w:rsid w:val="007A6665"/>
    <w:rsid w:val="007E079F"/>
    <w:rsid w:val="008D20DF"/>
    <w:rsid w:val="008D2EE5"/>
    <w:rsid w:val="008E06ED"/>
    <w:rsid w:val="00917D68"/>
    <w:rsid w:val="00937972"/>
    <w:rsid w:val="00954747"/>
    <w:rsid w:val="00987579"/>
    <w:rsid w:val="009A57AC"/>
    <w:rsid w:val="009B7CB8"/>
    <w:rsid w:val="009C3954"/>
    <w:rsid w:val="009D390B"/>
    <w:rsid w:val="009E04F6"/>
    <w:rsid w:val="009E06C9"/>
    <w:rsid w:val="00A51284"/>
    <w:rsid w:val="00A65899"/>
    <w:rsid w:val="00A65CE8"/>
    <w:rsid w:val="00AA0D12"/>
    <w:rsid w:val="00AA361E"/>
    <w:rsid w:val="00AA3BD5"/>
    <w:rsid w:val="00AA6D75"/>
    <w:rsid w:val="00AB0066"/>
    <w:rsid w:val="00AE42E3"/>
    <w:rsid w:val="00AE767D"/>
    <w:rsid w:val="00B17334"/>
    <w:rsid w:val="00B27625"/>
    <w:rsid w:val="00B45E53"/>
    <w:rsid w:val="00B86AEC"/>
    <w:rsid w:val="00B93A8F"/>
    <w:rsid w:val="00BC37B7"/>
    <w:rsid w:val="00BD291D"/>
    <w:rsid w:val="00C01F9A"/>
    <w:rsid w:val="00C13F55"/>
    <w:rsid w:val="00C23EBB"/>
    <w:rsid w:val="00C3006A"/>
    <w:rsid w:val="00C30877"/>
    <w:rsid w:val="00C42F0A"/>
    <w:rsid w:val="00C640AF"/>
    <w:rsid w:val="00C71AE4"/>
    <w:rsid w:val="00C71CF6"/>
    <w:rsid w:val="00C7256F"/>
    <w:rsid w:val="00C95462"/>
    <w:rsid w:val="00CC0D79"/>
    <w:rsid w:val="00CC773B"/>
    <w:rsid w:val="00D1610F"/>
    <w:rsid w:val="00D16C1A"/>
    <w:rsid w:val="00D47A52"/>
    <w:rsid w:val="00D71EB0"/>
    <w:rsid w:val="00DA148A"/>
    <w:rsid w:val="00DE6715"/>
    <w:rsid w:val="00E14BA5"/>
    <w:rsid w:val="00E34CC0"/>
    <w:rsid w:val="00E45603"/>
    <w:rsid w:val="00E5348B"/>
    <w:rsid w:val="00E639AA"/>
    <w:rsid w:val="00E7239C"/>
    <w:rsid w:val="00E818B2"/>
    <w:rsid w:val="00ED4A8A"/>
    <w:rsid w:val="00F438A7"/>
    <w:rsid w:val="00F57843"/>
    <w:rsid w:val="00F93A31"/>
    <w:rsid w:val="00F95E3D"/>
    <w:rsid w:val="00FC790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55918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390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90B"/>
    <w:pPr>
      <w:ind w:left="720"/>
      <w:contextualSpacing/>
    </w:pPr>
  </w:style>
  <w:style w:type="character" w:customStyle="1" w:styleId="Heading1Char">
    <w:name w:val="Heading 1 Char"/>
    <w:basedOn w:val="DefaultParagraphFont"/>
    <w:link w:val="Heading1"/>
    <w:uiPriority w:val="9"/>
    <w:rsid w:val="009D390B"/>
    <w:rPr>
      <w:rFonts w:asciiTheme="majorHAnsi" w:eastAsiaTheme="majorEastAsia" w:hAnsiTheme="majorHAnsi" w:cstheme="majorBidi"/>
      <w:color w:val="2F5496" w:themeColor="accent1" w:themeShade="BF"/>
      <w:sz w:val="32"/>
      <w:szCs w:val="32"/>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Footnote reference,fn"/>
    <w:basedOn w:val="Normal"/>
    <w:link w:val="FootnoteTextChar"/>
    <w:uiPriority w:val="99"/>
    <w:qFormat/>
    <w:rsid w:val="00747943"/>
    <w:pPr>
      <w:tabs>
        <w:tab w:val="right" w:pos="1021"/>
      </w:tabs>
      <w:suppressAutoHyphens/>
      <w:kinsoku w:val="0"/>
      <w:overflowPunct w:val="0"/>
      <w:autoSpaceDE w:val="0"/>
      <w:autoSpaceDN w:val="0"/>
      <w:adjustRightInd w:val="0"/>
      <w:snapToGrid w:val="0"/>
      <w:spacing w:line="220" w:lineRule="exact"/>
      <w:ind w:left="1134" w:right="1134" w:hanging="1134"/>
    </w:pPr>
    <w:rPr>
      <w:rFonts w:ascii="Times New Roman" w:eastAsia="SimSun" w:hAnsi="Times New Roman" w:cs="Times New Roman"/>
      <w:sz w:val="18"/>
      <w:szCs w:val="20"/>
      <w:lang w:val="fr-CH" w:eastAsia="zh-CN"/>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fn Char"/>
    <w:basedOn w:val="DefaultParagraphFont"/>
    <w:link w:val="FootnoteText"/>
    <w:uiPriority w:val="99"/>
    <w:rsid w:val="00747943"/>
    <w:rPr>
      <w:rFonts w:ascii="Times New Roman" w:eastAsia="SimSun" w:hAnsi="Times New Roman" w:cs="Times New Roman"/>
      <w:sz w:val="18"/>
      <w:szCs w:val="20"/>
      <w:lang w:val="fr-CH" w:eastAsia="zh-CN"/>
    </w:rPr>
  </w:style>
  <w:style w:type="character" w:styleId="FootnoteReference">
    <w:name w:val="footnote reference"/>
    <w:aliases w:val="4_G,Texto de nota al pie,Footnote number,Footnote Reference Char3,Footnote Reference Char1 Char,Char Char Car Char Car Char Car Char Car Char Car Char Char Char1 Char,Footnote Reference Char Char Char,ftref,BVI fnr,16 Point,SUPERS,4_"/>
    <w:link w:val="Appelnotedebasde"/>
    <w:uiPriority w:val="99"/>
    <w:qFormat/>
    <w:rsid w:val="00747943"/>
    <w:rPr>
      <w:rFonts w:ascii="Times New Roman" w:hAnsi="Times New Roman"/>
      <w:sz w:val="18"/>
      <w:vertAlign w:val="superscript"/>
      <w:lang w:val="fr-CH"/>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uiPriority w:val="99"/>
    <w:rsid w:val="00747943"/>
    <w:pPr>
      <w:spacing w:before="120" w:after="120"/>
    </w:pPr>
    <w:rPr>
      <w:rFonts w:ascii="Times New Roman" w:hAnsi="Times New Roman"/>
      <w:sz w:val="18"/>
      <w:vertAlign w:val="superscript"/>
      <w:lang w:val="fr-CH"/>
    </w:rPr>
  </w:style>
  <w:style w:type="paragraph" w:styleId="BalloonText">
    <w:name w:val="Balloon Text"/>
    <w:basedOn w:val="Normal"/>
    <w:link w:val="BalloonTextChar"/>
    <w:uiPriority w:val="99"/>
    <w:semiHidden/>
    <w:unhideWhenUsed/>
    <w:rsid w:val="00E639A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39AA"/>
    <w:rPr>
      <w:rFonts w:ascii="Times New Roman" w:hAnsi="Times New Roman" w:cs="Times New Roman"/>
      <w:sz w:val="18"/>
      <w:szCs w:val="18"/>
    </w:rPr>
  </w:style>
  <w:style w:type="character" w:styleId="CommentReference">
    <w:name w:val="annotation reference"/>
    <w:basedOn w:val="DefaultParagraphFont"/>
    <w:uiPriority w:val="99"/>
    <w:unhideWhenUsed/>
    <w:rsid w:val="00166877"/>
    <w:rPr>
      <w:sz w:val="16"/>
      <w:szCs w:val="16"/>
    </w:rPr>
  </w:style>
  <w:style w:type="paragraph" w:styleId="CommentText">
    <w:name w:val="annotation text"/>
    <w:basedOn w:val="Normal"/>
    <w:link w:val="CommentTextChar"/>
    <w:uiPriority w:val="99"/>
    <w:unhideWhenUsed/>
    <w:rsid w:val="00166877"/>
    <w:rPr>
      <w:sz w:val="20"/>
      <w:szCs w:val="20"/>
    </w:rPr>
  </w:style>
  <w:style w:type="character" w:customStyle="1" w:styleId="CommentTextChar">
    <w:name w:val="Comment Text Char"/>
    <w:basedOn w:val="DefaultParagraphFont"/>
    <w:link w:val="CommentText"/>
    <w:uiPriority w:val="99"/>
    <w:rsid w:val="00166877"/>
    <w:rPr>
      <w:sz w:val="20"/>
      <w:szCs w:val="20"/>
    </w:rPr>
  </w:style>
  <w:style w:type="paragraph" w:styleId="CommentSubject">
    <w:name w:val="annotation subject"/>
    <w:basedOn w:val="CommentText"/>
    <w:next w:val="CommentText"/>
    <w:link w:val="CommentSubjectChar"/>
    <w:uiPriority w:val="99"/>
    <w:semiHidden/>
    <w:unhideWhenUsed/>
    <w:rsid w:val="00166877"/>
    <w:rPr>
      <w:b/>
      <w:bCs/>
    </w:rPr>
  </w:style>
  <w:style w:type="character" w:customStyle="1" w:styleId="CommentSubjectChar">
    <w:name w:val="Comment Subject Char"/>
    <w:basedOn w:val="CommentTextChar"/>
    <w:link w:val="CommentSubject"/>
    <w:uiPriority w:val="99"/>
    <w:semiHidden/>
    <w:rsid w:val="00166877"/>
    <w:rPr>
      <w:b/>
      <w:bCs/>
      <w:sz w:val="20"/>
      <w:szCs w:val="20"/>
    </w:rPr>
  </w:style>
  <w:style w:type="paragraph" w:styleId="Header">
    <w:name w:val="header"/>
    <w:basedOn w:val="Normal"/>
    <w:link w:val="HeaderChar"/>
    <w:uiPriority w:val="99"/>
    <w:unhideWhenUsed/>
    <w:rsid w:val="00917D68"/>
    <w:pPr>
      <w:tabs>
        <w:tab w:val="center" w:pos="4513"/>
        <w:tab w:val="right" w:pos="9026"/>
      </w:tabs>
    </w:pPr>
  </w:style>
  <w:style w:type="character" w:customStyle="1" w:styleId="HeaderChar">
    <w:name w:val="Header Char"/>
    <w:basedOn w:val="DefaultParagraphFont"/>
    <w:link w:val="Header"/>
    <w:uiPriority w:val="99"/>
    <w:rsid w:val="00917D68"/>
  </w:style>
  <w:style w:type="paragraph" w:styleId="Footer">
    <w:name w:val="footer"/>
    <w:basedOn w:val="Normal"/>
    <w:link w:val="FooterChar"/>
    <w:uiPriority w:val="99"/>
    <w:unhideWhenUsed/>
    <w:rsid w:val="00917D68"/>
    <w:pPr>
      <w:tabs>
        <w:tab w:val="center" w:pos="4513"/>
        <w:tab w:val="right" w:pos="9026"/>
      </w:tabs>
    </w:pPr>
  </w:style>
  <w:style w:type="character" w:customStyle="1" w:styleId="FooterChar">
    <w:name w:val="Footer Char"/>
    <w:basedOn w:val="DefaultParagraphFont"/>
    <w:link w:val="Footer"/>
    <w:uiPriority w:val="99"/>
    <w:rsid w:val="00917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F90E86-9B6A-4170-B9C3-A56E60BE09E1}">
  <ds:schemaRefs>
    <ds:schemaRef ds:uri="http://schemas.openxmlformats.org/officeDocument/2006/bibliography"/>
  </ds:schemaRefs>
</ds:datastoreItem>
</file>

<file path=customXml/itemProps2.xml><?xml version="1.0" encoding="utf-8"?>
<ds:datastoreItem xmlns:ds="http://schemas.openxmlformats.org/officeDocument/2006/customXml" ds:itemID="{F7CC6D4C-96AC-435A-B983-5FD7D54A2497}"/>
</file>

<file path=customXml/itemProps3.xml><?xml version="1.0" encoding="utf-8"?>
<ds:datastoreItem xmlns:ds="http://schemas.openxmlformats.org/officeDocument/2006/customXml" ds:itemID="{15C2BE46-5D50-44E4-94E9-6024D43284CB}"/>
</file>

<file path=customXml/itemProps4.xml><?xml version="1.0" encoding="utf-8"?>
<ds:datastoreItem xmlns:ds="http://schemas.openxmlformats.org/officeDocument/2006/customXml" ds:itemID="{B285DF36-E731-45EA-8C2C-1999C6D32B4E}"/>
</file>

<file path=docProps/app.xml><?xml version="1.0" encoding="utf-8"?>
<Properties xmlns="http://schemas.openxmlformats.org/officeDocument/2006/extended-properties" xmlns:vt="http://schemas.openxmlformats.org/officeDocument/2006/docPropsVTypes">
  <Template>Normal.dotm</Template>
  <TotalTime>0</TotalTime>
  <Pages>18</Pages>
  <Words>6390</Words>
  <Characters>36428</Characters>
  <Application>Microsoft Office Word</Application>
  <DocSecurity>4</DocSecurity>
  <Lines>303</Lines>
  <Paragraphs>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OHCHR</Company>
  <LinksUpToDate>false</LinksUpToDate>
  <CharactersWithSpaces>42733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Leyva Becerra Acosta</dc:creator>
  <cp:keywords/>
  <dc:description/>
  <cp:lastModifiedBy>ROSNIANSKY Cherry Lou</cp:lastModifiedBy>
  <cp:revision>2</cp:revision>
  <cp:lastPrinted>2020-02-21T10:12:00Z</cp:lastPrinted>
  <dcterms:created xsi:type="dcterms:W3CDTF">2020-02-23T20:26:00Z</dcterms:created>
  <dcterms:modified xsi:type="dcterms:W3CDTF">2020-02-23T20:26:00Z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