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AAE5" w14:textId="547092F1" w:rsidR="006A07BD" w:rsidRDefault="002B07BF" w:rsidP="006A07BD">
      <w:pPr>
        <w:rPr>
          <w:b/>
        </w:rPr>
      </w:pPr>
      <w:r>
        <w:rPr>
          <w:b/>
        </w:rPr>
        <w:t xml:space="preserve">A Few Proposals on </w:t>
      </w:r>
      <w:r w:rsidR="001B2AC8" w:rsidRPr="008C1668">
        <w:rPr>
          <w:b/>
        </w:rPr>
        <w:t>How to I</w:t>
      </w:r>
      <w:r w:rsidR="009A5B59" w:rsidRPr="008C1668">
        <w:rPr>
          <w:b/>
        </w:rPr>
        <w:t xml:space="preserve">mprove the </w:t>
      </w:r>
      <w:r w:rsidR="00EE0C69" w:rsidRPr="008C1668">
        <w:rPr>
          <w:b/>
        </w:rPr>
        <w:t xml:space="preserve">Human Rights Committee </w:t>
      </w:r>
      <w:r w:rsidR="001B2AC8" w:rsidRPr="008C1668">
        <w:rPr>
          <w:b/>
        </w:rPr>
        <w:t>Draft General Comment on Freedom of A</w:t>
      </w:r>
      <w:r w:rsidR="009A5B59" w:rsidRPr="008C1668">
        <w:rPr>
          <w:b/>
        </w:rPr>
        <w:t>ssembly</w:t>
      </w:r>
    </w:p>
    <w:p w14:paraId="4B2D14AF" w14:textId="77777777" w:rsidR="0040458A" w:rsidRPr="008C1668" w:rsidRDefault="0040458A" w:rsidP="006A07BD">
      <w:bookmarkStart w:id="0" w:name="_GoBack"/>
      <w:bookmarkEnd w:id="0"/>
    </w:p>
    <w:p w14:paraId="5C4DB1C0" w14:textId="037FCA26" w:rsidR="006A07BD" w:rsidRPr="008C1668" w:rsidRDefault="00283B9A" w:rsidP="006A07BD">
      <w:r w:rsidRPr="008C1668">
        <w:t xml:space="preserve">This </w:t>
      </w:r>
      <w:r w:rsidR="00520914" w:rsidRPr="008C1668">
        <w:t xml:space="preserve">contribution addresses three categories of issues related to draft General Comment No. 37 of the </w:t>
      </w:r>
      <w:r w:rsidR="00C6303B">
        <w:t xml:space="preserve">U.N. </w:t>
      </w:r>
      <w:r w:rsidR="00520914" w:rsidRPr="008C1668">
        <w:t>Human Rights Committee on</w:t>
      </w:r>
      <w:r w:rsidR="009A5B59" w:rsidRPr="008C1668">
        <w:t xml:space="preserve"> the right to the</w:t>
      </w:r>
      <w:r w:rsidR="00520914" w:rsidRPr="008C1668">
        <w:t xml:space="preserve"> freedom of assembly: </w:t>
      </w:r>
      <w:r w:rsidR="007052E4" w:rsidRPr="008C1668">
        <w:t xml:space="preserve">(1) </w:t>
      </w:r>
      <w:r w:rsidR="009A5B59" w:rsidRPr="008C1668">
        <w:t xml:space="preserve">the </w:t>
      </w:r>
      <w:r w:rsidR="00520914" w:rsidRPr="008C1668">
        <w:t>scope of the right,</w:t>
      </w:r>
      <w:r w:rsidR="007052E4" w:rsidRPr="008C1668">
        <w:t xml:space="preserve"> (2)</w:t>
      </w:r>
      <w:r w:rsidR="00520914" w:rsidRPr="008C1668">
        <w:t xml:space="preserve"> certain doctrinal issues related to State obligations, and</w:t>
      </w:r>
      <w:r w:rsidR="007052E4" w:rsidRPr="008C1668">
        <w:t xml:space="preserve"> (3)</w:t>
      </w:r>
      <w:r w:rsidR="00520914" w:rsidRPr="008C1668">
        <w:t xml:space="preserve"> questions about the </w:t>
      </w:r>
      <w:r w:rsidR="007052E4" w:rsidRPr="008C1668">
        <w:t>“</w:t>
      </w:r>
      <w:r w:rsidR="00520914" w:rsidRPr="008C1668">
        <w:t>horizontal</w:t>
      </w:r>
      <w:r w:rsidR="007052E4" w:rsidRPr="008C1668">
        <w:t>”</w:t>
      </w:r>
      <w:r w:rsidR="00520914" w:rsidRPr="008C1668">
        <w:t xml:space="preserve"> effect of freedom of assembly (</w:t>
      </w:r>
      <w:r w:rsidR="009A5B59" w:rsidRPr="008C1668">
        <w:t xml:space="preserve">i.e. </w:t>
      </w:r>
      <w:r w:rsidR="0040458A" w:rsidRPr="008C1668">
        <w:t xml:space="preserve">rights and duties </w:t>
      </w:r>
      <w:r w:rsidR="00520914" w:rsidRPr="008C1668">
        <w:t>between private actors).</w:t>
      </w:r>
    </w:p>
    <w:p w14:paraId="2E180A9C" w14:textId="6B5BCF3F" w:rsidR="00520914" w:rsidRPr="008C1668" w:rsidRDefault="00520914" w:rsidP="006A07BD"/>
    <w:p w14:paraId="3C2A9627" w14:textId="69D3F112" w:rsidR="00520914" w:rsidRPr="002B07BF" w:rsidRDefault="00520914" w:rsidP="002B07BF">
      <w:pPr>
        <w:pStyle w:val="ListParagraph"/>
        <w:numPr>
          <w:ilvl w:val="0"/>
          <w:numId w:val="4"/>
        </w:numPr>
        <w:rPr>
          <w:b/>
        </w:rPr>
      </w:pPr>
      <w:r w:rsidRPr="002B07BF">
        <w:rPr>
          <w:b/>
        </w:rPr>
        <w:t>Scope</w:t>
      </w:r>
      <w:r w:rsidR="007052E4" w:rsidRPr="002B07BF">
        <w:rPr>
          <w:b/>
        </w:rPr>
        <w:t xml:space="preserve"> of the Right</w:t>
      </w:r>
    </w:p>
    <w:p w14:paraId="1E43D8C1" w14:textId="2DF2DF27" w:rsidR="00520914" w:rsidRPr="008C1668" w:rsidRDefault="00520914" w:rsidP="006A07BD"/>
    <w:p w14:paraId="5967A306" w14:textId="70E4738D" w:rsidR="00520914" w:rsidRPr="008C1668" w:rsidRDefault="00520914" w:rsidP="00520914">
      <w:pPr>
        <w:pStyle w:val="ListParagraph"/>
        <w:numPr>
          <w:ilvl w:val="0"/>
          <w:numId w:val="1"/>
        </w:numPr>
      </w:pPr>
      <w:r w:rsidRPr="008C1668">
        <w:t>Expressive, deliberative and receptive assemblies</w:t>
      </w:r>
    </w:p>
    <w:p w14:paraId="25CE670F" w14:textId="77777777" w:rsidR="00520914" w:rsidRPr="008C1668" w:rsidRDefault="00520914" w:rsidP="00520914">
      <w:pPr>
        <w:ind w:left="360"/>
      </w:pPr>
    </w:p>
    <w:p w14:paraId="28457148" w14:textId="5A3E2757" w:rsidR="00520914" w:rsidRPr="008C1668" w:rsidRDefault="00520914" w:rsidP="006A07BD">
      <w:r w:rsidRPr="008C1668">
        <w:t xml:space="preserve">Correctly, the draft General Comment focuses on the </w:t>
      </w:r>
      <w:r w:rsidR="006A51A1" w:rsidRPr="008C1668">
        <w:t>“</w:t>
      </w:r>
      <w:r w:rsidRPr="008C1668">
        <w:t>expressive</w:t>
      </w:r>
      <w:r w:rsidR="006A51A1" w:rsidRPr="008C1668">
        <w:t xml:space="preserve">” </w:t>
      </w:r>
      <w:r w:rsidRPr="008C1668">
        <w:t xml:space="preserve">nature of </w:t>
      </w:r>
      <w:r w:rsidR="00020D43" w:rsidRPr="008C1668">
        <w:t xml:space="preserve">many </w:t>
      </w:r>
      <w:r w:rsidRPr="008C1668">
        <w:t xml:space="preserve">assemblies. The core of freedom of assembly </w:t>
      </w:r>
      <w:r w:rsidR="00C6303B">
        <w:t>involves</w:t>
      </w:r>
      <w:r w:rsidRPr="008C1668">
        <w:t xml:space="preserve"> the right of individuals jointly and collectively to express their views in an </w:t>
      </w:r>
      <w:r w:rsidR="00C6303B">
        <w:t>independently</w:t>
      </w:r>
      <w:r w:rsidR="00C6303B" w:rsidRPr="008C1668">
        <w:t xml:space="preserve"> </w:t>
      </w:r>
      <w:r w:rsidRPr="008C1668">
        <w:t>organized manner. However, the draft appears to have taken this emphasis too far (see e.g. paras</w:t>
      </w:r>
      <w:r w:rsidR="001A2207" w:rsidRPr="008C1668">
        <w:t>.</w:t>
      </w:r>
      <w:r w:rsidRPr="008C1668">
        <w:t xml:space="preserve"> 13, 14 and 25). </w:t>
      </w:r>
      <w:r w:rsidR="00A54157" w:rsidRPr="008C1668">
        <w:t xml:space="preserve">Its text suggests that other </w:t>
      </w:r>
      <w:r w:rsidR="00C6303B">
        <w:t xml:space="preserve">possible </w:t>
      </w:r>
      <w:r w:rsidR="00A54157" w:rsidRPr="008C1668">
        <w:t xml:space="preserve">functions of assemblies would need to be subordinate to a </w:t>
      </w:r>
      <w:r w:rsidR="006A51A1" w:rsidRPr="008C1668">
        <w:t>“</w:t>
      </w:r>
      <w:r w:rsidR="00A54157" w:rsidRPr="008C1668">
        <w:t>common expressive purpose</w:t>
      </w:r>
      <w:r w:rsidR="006A51A1" w:rsidRPr="008C1668">
        <w:t>”</w:t>
      </w:r>
      <w:r w:rsidR="00A54157" w:rsidRPr="008C1668">
        <w:t xml:space="preserve"> of the participants. </w:t>
      </w:r>
      <w:r w:rsidR="00D56087" w:rsidRPr="008C1668">
        <w:t xml:space="preserve">This is not necessarily correct. People may convene in an organized manner simply for the purpose of receiving or observing something, such as a speech by a foreign Head of State, or even an </w:t>
      </w:r>
      <w:r w:rsidR="007052E4" w:rsidRPr="008C1668">
        <w:t>entertainment or sporting event</w:t>
      </w:r>
      <w:r w:rsidR="00D56087" w:rsidRPr="008C1668">
        <w:t>. If such events are commercial in nature, they do not naturally fall under the human right of freedom of assembly – but not because of the absence of an expressive purpose as is suggested in para. 14</w:t>
      </w:r>
      <w:r w:rsidR="007052E4" w:rsidRPr="008C1668">
        <w:t xml:space="preserve"> of the draft</w:t>
      </w:r>
      <w:r w:rsidR="00D56087" w:rsidRPr="008C1668">
        <w:t>. Rather, what matters is whether the organizer or convener is a commercial operator acting for a commercial purpose.</w:t>
      </w:r>
    </w:p>
    <w:p w14:paraId="3A781811" w14:textId="2C401F37" w:rsidR="00D56087" w:rsidRPr="008C1668" w:rsidRDefault="00D56087" w:rsidP="006A07BD"/>
    <w:p w14:paraId="0D7EF898" w14:textId="6B3678C1" w:rsidR="00437AB9" w:rsidRDefault="00D56087" w:rsidP="006A07BD">
      <w:r w:rsidRPr="008C1668">
        <w:lastRenderedPageBreak/>
        <w:t>Perhaps more importantly, there are also deliberative assemblies where the participants do not share o</w:t>
      </w:r>
      <w:r w:rsidR="006A51A1" w:rsidRPr="008C1668">
        <w:t>ne</w:t>
      </w:r>
      <w:r w:rsidRPr="008C1668">
        <w:t xml:space="preserve"> political, ideological or other view and are not seeking to reach and express a common view. Rather, they convene because they wish to hear each other</w:t>
      </w:r>
      <w:r w:rsidR="00630C41" w:rsidRPr="008C1668">
        <w:t>’</w:t>
      </w:r>
      <w:r w:rsidRPr="008C1668">
        <w:t>s views, in order to</w:t>
      </w:r>
      <w:r w:rsidR="007052E4" w:rsidRPr="008C1668">
        <w:t xml:space="preserve"> then</w:t>
      </w:r>
      <w:r w:rsidRPr="008C1668">
        <w:t xml:space="preserve"> adjust their own views or conduct where pertinent.</w:t>
      </w:r>
      <w:r w:rsidR="00041E12">
        <w:t xml:space="preserve"> </w:t>
      </w:r>
    </w:p>
    <w:p w14:paraId="18ECA878" w14:textId="77777777" w:rsidR="00437AB9" w:rsidRDefault="00437AB9" w:rsidP="006A07BD"/>
    <w:p w14:paraId="32FA4F0F" w14:textId="7A5E8670" w:rsidR="00D56087" w:rsidRPr="008C1668" w:rsidRDefault="00437AB9" w:rsidP="006A07BD">
      <w:r>
        <w:t>Whether or not the draft intends to create this impression of the elevation of “common expressive purposes,” the draft should be revised to avoid such a conclusion.</w:t>
      </w:r>
    </w:p>
    <w:p w14:paraId="3CD89A13" w14:textId="5C9BA69D" w:rsidR="00D56087" w:rsidRPr="008C1668" w:rsidRDefault="00D56087" w:rsidP="006A07BD"/>
    <w:p w14:paraId="5A53BB76" w14:textId="4F42EC79" w:rsidR="00D56087" w:rsidRPr="008C1668" w:rsidRDefault="00D56087" w:rsidP="00D56087">
      <w:pPr>
        <w:pStyle w:val="ListParagraph"/>
        <w:numPr>
          <w:ilvl w:val="0"/>
          <w:numId w:val="1"/>
        </w:numPr>
      </w:pPr>
      <w:r w:rsidRPr="008C1668">
        <w:t>Online assemblies</w:t>
      </w:r>
    </w:p>
    <w:p w14:paraId="5576C7AE" w14:textId="1FA2C8DD" w:rsidR="00D56087" w:rsidRPr="008C1668" w:rsidRDefault="00D56087" w:rsidP="00D56087"/>
    <w:p w14:paraId="24E20254" w14:textId="29742413" w:rsidR="00DC085E" w:rsidRDefault="00D56087" w:rsidP="00D56087">
      <w:r w:rsidRPr="008C1668">
        <w:t xml:space="preserve">The Committee’s draft is unnecessarily modest in respect of the trend of </w:t>
      </w:r>
      <w:r w:rsidR="007052E4" w:rsidRPr="008C1668">
        <w:t xml:space="preserve">online </w:t>
      </w:r>
      <w:r w:rsidR="001A2207" w:rsidRPr="008C1668">
        <w:t>“</w:t>
      </w:r>
      <w:r w:rsidR="007052E4" w:rsidRPr="008C1668">
        <w:t>assemblies</w:t>
      </w:r>
      <w:r w:rsidR="001A2207" w:rsidRPr="008C1668">
        <w:t>”</w:t>
      </w:r>
      <w:r w:rsidR="007052E4" w:rsidRPr="008C1668">
        <w:t xml:space="preserve"> </w:t>
      </w:r>
      <w:r w:rsidR="00291DD0" w:rsidRPr="008C1668">
        <w:t>(see paras</w:t>
      </w:r>
      <w:r w:rsidR="001A2207" w:rsidRPr="008C1668">
        <w:t>.</w:t>
      </w:r>
      <w:r w:rsidR="00291DD0" w:rsidRPr="008C1668">
        <w:t xml:space="preserve"> 11, 15 and 38)</w:t>
      </w:r>
      <w:r w:rsidRPr="008C1668">
        <w:t>. Where communication flows in all directions</w:t>
      </w:r>
      <w:r w:rsidR="00291DD0" w:rsidRPr="008C1668">
        <w:t xml:space="preserve"> and the platform is open to any member of the public, such as </w:t>
      </w:r>
      <w:r w:rsidR="00AB2E66">
        <w:t>with</w:t>
      </w:r>
      <w:r w:rsidR="00291DD0" w:rsidRPr="008C1668">
        <w:t xml:space="preserve"> a Twitter </w:t>
      </w:r>
      <w:r w:rsidR="00AB2E66">
        <w:t>address</w:t>
      </w:r>
      <w:r w:rsidR="004F7DF2">
        <w:t xml:space="preserve"> or the more specific case of a hashtag</w:t>
      </w:r>
      <w:r w:rsidR="00291DD0" w:rsidRPr="008C1668">
        <w:t xml:space="preserve">, it is justified to speak of assemblies in the digital age. Analogously, a closed Facebook group comes closer to a modern-day equivalent of an association. From the perspective of the individual and her protected human rights, joining a discussion </w:t>
      </w:r>
      <w:r w:rsidR="00AB2E66">
        <w:t>via</w:t>
      </w:r>
      <w:r w:rsidR="00291DD0" w:rsidRPr="008C1668">
        <w:t xml:space="preserve"> Twitter or seeking membership in a closed Facebook group may be subject to similar repressive measures as governmental efforts to </w:t>
      </w:r>
      <w:r w:rsidR="00630C41" w:rsidRPr="008C1668">
        <w:t>attack</w:t>
      </w:r>
      <w:r w:rsidR="00291DD0" w:rsidRPr="008C1668">
        <w:t xml:space="preserve"> traditional assemblies or associations, and therefore in need of equivalent protections.</w:t>
      </w:r>
      <w:r w:rsidR="006A51A1" w:rsidRPr="008C1668">
        <w:t xml:space="preserve"> It would be erroneous to insist that only freedom of expression is at issue</w:t>
      </w:r>
      <w:r w:rsidR="00AB2E66">
        <w:t>. S</w:t>
      </w:r>
      <w:r w:rsidR="006A51A1" w:rsidRPr="008C1668">
        <w:t xml:space="preserve">imilar to real-life associations or assemblies, Facebook groups or Twitter </w:t>
      </w:r>
      <w:r w:rsidR="00AB2E66">
        <w:t>communications</w:t>
      </w:r>
      <w:r w:rsidR="00AB2E66" w:rsidRPr="008C1668">
        <w:t xml:space="preserve"> </w:t>
      </w:r>
      <w:r w:rsidR="001A2207" w:rsidRPr="008C1668">
        <w:t>also</w:t>
      </w:r>
      <w:r w:rsidR="006A51A1" w:rsidRPr="008C1668">
        <w:t xml:space="preserve"> have a life of their own, an institutional dimension, beyond the effect of suppressive measures in relation to individual expression.</w:t>
      </w:r>
      <w:r w:rsidR="00291DD0" w:rsidRPr="008C1668">
        <w:t xml:space="preserve"> We find a modest opening for this line of argument in para. 15</w:t>
      </w:r>
      <w:r w:rsidR="001A2207" w:rsidRPr="008C1668">
        <w:t>,</w:t>
      </w:r>
      <w:r w:rsidR="00291DD0" w:rsidRPr="008C1668">
        <w:t xml:space="preserve"> but the wording is vague</w:t>
      </w:r>
      <w:r w:rsidR="006A51A1" w:rsidRPr="008C1668">
        <w:t>. Further,</w:t>
      </w:r>
      <w:r w:rsidR="00291DD0" w:rsidRPr="008C1668">
        <w:t xml:space="preserve"> para. 38 appears to negate </w:t>
      </w:r>
      <w:r w:rsidR="006A51A1" w:rsidRPr="008C1668">
        <w:t xml:space="preserve">such a </w:t>
      </w:r>
      <w:r w:rsidR="00291DD0" w:rsidRPr="008C1668">
        <w:t xml:space="preserve">message by referring to online activities as being “associated” </w:t>
      </w:r>
      <w:r w:rsidR="001A2207" w:rsidRPr="008C1668">
        <w:t>with</w:t>
      </w:r>
      <w:r w:rsidR="00291DD0" w:rsidRPr="008C1668">
        <w:t xml:space="preserve"> assemblies rather than protected on their own</w:t>
      </w:r>
      <w:r w:rsidR="00630C41" w:rsidRPr="008C1668">
        <w:t xml:space="preserve"> as a dimension of modern-day freedom of assembly</w:t>
      </w:r>
      <w:r w:rsidR="00291DD0" w:rsidRPr="008C1668">
        <w:t>.</w:t>
      </w:r>
      <w:r w:rsidR="00AB2E66">
        <w:t xml:space="preserve"> </w:t>
      </w:r>
      <w:r w:rsidR="00DC085E">
        <w:t>I</w:t>
      </w:r>
      <w:r w:rsidR="002B07BF">
        <w:t xml:space="preserve"> would </w:t>
      </w:r>
      <w:r w:rsidR="00DC085E">
        <w:t>encourag</w:t>
      </w:r>
      <w:r w:rsidR="002B07BF">
        <w:t>e</w:t>
      </w:r>
      <w:r w:rsidR="00DC085E">
        <w:t xml:space="preserve"> the Committee to do more and say more about online assemblies</w:t>
      </w:r>
      <w:r w:rsidR="002B07BF">
        <w:t>. I</w:t>
      </w:r>
      <w:r w:rsidR="00F66C29">
        <w:t xml:space="preserve">f the Committee misses this opportunity to explain the protections that must be accorded online </w:t>
      </w:r>
      <w:r w:rsidR="00F66C29">
        <w:lastRenderedPageBreak/>
        <w:t xml:space="preserve">assemblies, it </w:t>
      </w:r>
      <w:r w:rsidR="004F7DF2">
        <w:t>may</w:t>
      </w:r>
      <w:r w:rsidR="00F66C29">
        <w:t xml:space="preserve"> cede this spac</w:t>
      </w:r>
      <w:r w:rsidR="004F7DF2">
        <w:t>e</w:t>
      </w:r>
      <w:r w:rsidR="00F66C29">
        <w:t xml:space="preserve"> to abusive government behavior </w:t>
      </w:r>
      <w:r w:rsidR="004F7DF2">
        <w:t>and may, perhaps sooner than expected, need to</w:t>
      </w:r>
      <w:r w:rsidR="00F66C29">
        <w:t xml:space="preserve"> return to </w:t>
      </w:r>
      <w:r w:rsidR="004F7DF2">
        <w:t>the issue when dealing with cases under the Optional Protocol</w:t>
      </w:r>
      <w:r w:rsidR="00F66C29">
        <w:t>.</w:t>
      </w:r>
    </w:p>
    <w:p w14:paraId="6CE90C0A" w14:textId="77777777" w:rsidR="00AB2E66" w:rsidRPr="008C1668" w:rsidRDefault="00AB2E66" w:rsidP="00D56087"/>
    <w:p w14:paraId="0CAB3EA7" w14:textId="208F574C" w:rsidR="00291DD0" w:rsidRPr="008C1668" w:rsidRDefault="00291DD0" w:rsidP="00D56087"/>
    <w:p w14:paraId="3614D527" w14:textId="4E9E27D6" w:rsidR="00291DD0" w:rsidRPr="008C1668" w:rsidRDefault="00291DD0" w:rsidP="00291DD0">
      <w:pPr>
        <w:pStyle w:val="ListParagraph"/>
        <w:numPr>
          <w:ilvl w:val="0"/>
          <w:numId w:val="1"/>
        </w:numPr>
      </w:pPr>
      <w:r w:rsidRPr="008C1668">
        <w:t xml:space="preserve">Peaceful assemblies </w:t>
      </w:r>
    </w:p>
    <w:p w14:paraId="2EA5B655" w14:textId="246B2C50" w:rsidR="006A07BD" w:rsidRPr="008C1668" w:rsidRDefault="006A07BD" w:rsidP="006A07BD"/>
    <w:p w14:paraId="3E8FBE4C" w14:textId="636A0FA1" w:rsidR="00291DD0" w:rsidRPr="008C1668" w:rsidRDefault="00291DD0" w:rsidP="006A07BD">
      <w:r w:rsidRPr="008C1668">
        <w:t xml:space="preserve">Where I find the Committee’s draft too liberal or generous is the stance it takes in respect of gatherings </w:t>
      </w:r>
      <w:r w:rsidR="00A75AF6">
        <w:t>in which</w:t>
      </w:r>
      <w:r w:rsidR="00A75AF6" w:rsidRPr="008C1668">
        <w:t xml:space="preserve"> </w:t>
      </w:r>
      <w:r w:rsidRPr="008C1668">
        <w:t>the participants carry weapons. According to</w:t>
      </w:r>
      <w:r w:rsidR="006A51A1" w:rsidRPr="008C1668">
        <w:t xml:space="preserve"> the draft, </w:t>
      </w:r>
      <w:r w:rsidRPr="008C1668">
        <w:t xml:space="preserve">the right of peaceful assembly means a right of non-violent assembly, and </w:t>
      </w:r>
      <w:r w:rsidR="006310BB" w:rsidRPr="008C1668">
        <w:t>“the carrying by participants of objects that are or could be viewed as weapons is not necessarily sufficient to render the assembly violent” (para. 23). To me</w:t>
      </w:r>
      <w:r w:rsidR="001A2207" w:rsidRPr="008C1668">
        <w:t>,</w:t>
      </w:r>
      <w:r w:rsidR="006310BB" w:rsidRPr="008C1668">
        <w:t xml:space="preserve"> it </w:t>
      </w:r>
      <w:r w:rsidR="006A51A1" w:rsidRPr="008C1668">
        <w:t xml:space="preserve">would </w:t>
      </w:r>
      <w:r w:rsidR="006310BB" w:rsidRPr="008C1668">
        <w:t xml:space="preserve">better </w:t>
      </w:r>
      <w:r w:rsidR="006A51A1" w:rsidRPr="008C1668">
        <w:t xml:space="preserve">respect </w:t>
      </w:r>
      <w:r w:rsidR="006310BB" w:rsidRPr="008C1668">
        <w:t>the tradition of the right of peaceful assembly to exclude armed militias from the scope of freedom of assembly. Hence, the carrying of firearms by organi</w:t>
      </w:r>
      <w:r w:rsidR="006A51A1" w:rsidRPr="008C1668">
        <w:t>z</w:t>
      </w:r>
      <w:r w:rsidR="006310BB" w:rsidRPr="008C1668">
        <w:t>ers and participants should, in my view, be accepted as a legitimate reason for a State to legislate that such gatherings fall outside the scope of freedom of assembly and</w:t>
      </w:r>
      <w:r w:rsidR="00630C41" w:rsidRPr="008C1668">
        <w:t xml:space="preserve"> as basis for stating</w:t>
      </w:r>
      <w:r w:rsidR="006310BB" w:rsidRPr="008C1668">
        <w:t xml:space="preserve"> that</w:t>
      </w:r>
      <w:r w:rsidR="006A51A1" w:rsidRPr="008C1668">
        <w:t xml:space="preserve"> they </w:t>
      </w:r>
      <w:r w:rsidR="006310BB" w:rsidRPr="008C1668">
        <w:t>do not enjoy the</w:t>
      </w:r>
      <w:r w:rsidR="001A2207" w:rsidRPr="008C1668">
        <w:t xml:space="preserve"> relevant</w:t>
      </w:r>
      <w:r w:rsidR="006310BB" w:rsidRPr="008C1668">
        <w:t xml:space="preserve"> protections</w:t>
      </w:r>
      <w:r w:rsidR="001A2207" w:rsidRPr="008C1668">
        <w:t xml:space="preserve"> of Article 21</w:t>
      </w:r>
      <w:r w:rsidR="006310BB" w:rsidRPr="008C1668">
        <w:t xml:space="preserve"> of the </w:t>
      </w:r>
      <w:r w:rsidR="001A2207" w:rsidRPr="008C1668">
        <w:t>International Covenant on Civil and Political Rights</w:t>
      </w:r>
      <w:r w:rsidR="002B07BF">
        <w:t>,</w:t>
      </w:r>
      <w:r w:rsidR="001A2207" w:rsidRPr="008C1668">
        <w:t xml:space="preserve"> either</w:t>
      </w:r>
      <w:r w:rsidR="006310BB" w:rsidRPr="008C1668">
        <w:t>. That said, I do sympathize with the reference to “local cultural</w:t>
      </w:r>
      <w:r w:rsidR="002B07BF">
        <w:t xml:space="preserve"> </w:t>
      </w:r>
      <w:r w:rsidR="006310BB" w:rsidRPr="008C1668">
        <w:t>practices” in the same paragraph, as far it is understood</w:t>
      </w:r>
      <w:r w:rsidR="004C732E" w:rsidRPr="008C1668">
        <w:t xml:space="preserve"> more narrowly</w:t>
      </w:r>
      <w:r w:rsidR="006310BB" w:rsidRPr="008C1668">
        <w:t xml:space="preserve"> as a reference, for instance</w:t>
      </w:r>
      <w:r w:rsidR="006A51A1" w:rsidRPr="008C1668">
        <w:t>,</w:t>
      </w:r>
      <w:r w:rsidR="006310BB" w:rsidRPr="008C1668">
        <w:t xml:space="preserve"> to peasants carrying wooden sticks when convening an assembly.</w:t>
      </w:r>
      <w:r w:rsidR="004C732E" w:rsidRPr="008C1668">
        <w:t xml:space="preserve"> Carrying of firearms should however be mentioned as </w:t>
      </w:r>
      <w:r w:rsidR="004C732E" w:rsidRPr="002B07BF">
        <w:rPr>
          <w:i/>
        </w:rPr>
        <w:t>excluding</w:t>
      </w:r>
      <w:r w:rsidR="004C732E" w:rsidRPr="008C1668">
        <w:t xml:space="preserve"> an event, or </w:t>
      </w:r>
      <w:r w:rsidR="006A51A1" w:rsidRPr="008C1668">
        <w:t xml:space="preserve">at least </w:t>
      </w:r>
      <w:r w:rsidR="004C732E" w:rsidRPr="008C1668">
        <w:t>allowing domestic law to exclude it, from the protected scope of freedom of peaceful assembly.</w:t>
      </w:r>
    </w:p>
    <w:p w14:paraId="24186A97" w14:textId="57BDEB9C" w:rsidR="006310BB" w:rsidRPr="008C1668" w:rsidRDefault="006310BB" w:rsidP="006A07BD"/>
    <w:p w14:paraId="2C04A7D3" w14:textId="0D831466" w:rsidR="006310BB" w:rsidRPr="002B07BF" w:rsidRDefault="006310BB" w:rsidP="002B07BF">
      <w:pPr>
        <w:pStyle w:val="ListParagraph"/>
        <w:numPr>
          <w:ilvl w:val="0"/>
          <w:numId w:val="4"/>
        </w:numPr>
        <w:rPr>
          <w:b/>
        </w:rPr>
      </w:pPr>
      <w:r w:rsidRPr="002B07BF">
        <w:rPr>
          <w:b/>
        </w:rPr>
        <w:t>State Obligations</w:t>
      </w:r>
    </w:p>
    <w:p w14:paraId="7804A719" w14:textId="658B70BA" w:rsidR="006310BB" w:rsidRPr="008C1668" w:rsidRDefault="006310BB" w:rsidP="006A07BD"/>
    <w:p w14:paraId="31707925" w14:textId="1F804F86" w:rsidR="006310BB" w:rsidRPr="008C1668" w:rsidRDefault="006310BB" w:rsidP="006310BB">
      <w:pPr>
        <w:pStyle w:val="ListParagraph"/>
        <w:numPr>
          <w:ilvl w:val="0"/>
          <w:numId w:val="2"/>
        </w:numPr>
      </w:pPr>
      <w:r w:rsidRPr="008C1668">
        <w:t>The essential core of freedom of assembly</w:t>
      </w:r>
    </w:p>
    <w:p w14:paraId="1877869F" w14:textId="17F74C16" w:rsidR="002743F0" w:rsidRPr="008C1668" w:rsidRDefault="002743F0" w:rsidP="002743F0"/>
    <w:p w14:paraId="052E9A33" w14:textId="40C7DDF4" w:rsidR="002743F0" w:rsidRPr="008C1668" w:rsidRDefault="002743F0" w:rsidP="00464FDE">
      <w:r w:rsidRPr="008C1668">
        <w:lastRenderedPageBreak/>
        <w:t xml:space="preserve">The Committee’s draft rightly points out that </w:t>
      </w:r>
      <w:r w:rsidR="00464FDE" w:rsidRPr="008C1668">
        <w:t xml:space="preserve">freedom of assembly </w:t>
      </w:r>
      <w:r w:rsidR="001A2207" w:rsidRPr="008C1668">
        <w:t xml:space="preserve">under </w:t>
      </w:r>
      <w:r w:rsidR="00464FDE" w:rsidRPr="008C1668">
        <w:t xml:space="preserve">Article 21 does not belong to the category of non-derogable rights (Section 7). Also, it correctly addresses the framework for permissible limitations (Section 4). Where I find its approach suboptimal is that there is no discussion of one or more inviolable dimensions of freedom of assembly, i.e. an essential or absolute core of the right, not subject to lawful restrictions in normal times and perhaps not even to derogations during a state of emergency. It would be welcome to include, for instance in para. 40, a short phrase along the lines of the Committee’s </w:t>
      </w:r>
      <w:hyperlink r:id="rId7" w:history="1">
        <w:r w:rsidR="00464FDE" w:rsidRPr="002B07BF">
          <w:rPr>
            <w:rStyle w:val="Hyperlink"/>
            <w:u w:val="none"/>
          </w:rPr>
          <w:t>General Comment No. 27 on freedom of movement</w:t>
        </w:r>
      </w:hyperlink>
      <w:r w:rsidR="00464FDE" w:rsidRPr="008C1668">
        <w:t xml:space="preserve">, that “the restrictions must not impair the essence of the right” (para. 13 of General Comment No, 27, drawing its inspiration from Article 5.1 of the </w:t>
      </w:r>
      <w:r w:rsidR="001A2207" w:rsidRPr="008C1668">
        <w:t>ICCPR</w:t>
      </w:r>
      <w:r w:rsidR="00464FDE" w:rsidRPr="008C1668">
        <w:t xml:space="preserve">). </w:t>
      </w:r>
    </w:p>
    <w:p w14:paraId="3E64094E" w14:textId="1EC5BCE5" w:rsidR="00C30A74" w:rsidRPr="008C1668" w:rsidRDefault="00C30A74" w:rsidP="00464FDE"/>
    <w:p w14:paraId="22EC6294" w14:textId="0244B273" w:rsidR="00C30A74" w:rsidRPr="008C1668" w:rsidRDefault="00C30A74" w:rsidP="00464FDE">
      <w:r w:rsidRPr="008C1668">
        <w:t>It is of course true that the Committee has not been systematic in developing a doctrine on the inviolable essential core of human rights</w:t>
      </w:r>
      <w:r w:rsidR="006570FD" w:rsidRPr="008C1668">
        <w:t xml:space="preserve">. Besides General Comment No. 27, also </w:t>
      </w:r>
      <w:hyperlink r:id="rId8" w:history="1">
        <w:r w:rsidR="006570FD" w:rsidRPr="002B07BF">
          <w:rPr>
            <w:rStyle w:val="Hyperlink"/>
            <w:u w:val="none"/>
          </w:rPr>
          <w:t>General Comment No. 29 on states of emergency</w:t>
        </w:r>
      </w:hyperlink>
      <w:r w:rsidR="006570FD" w:rsidRPr="008C1668">
        <w:t xml:space="preserve"> and ICCPR Article 5.1 nevertheless provide sufficient support for such a position which </w:t>
      </w:r>
      <w:r w:rsidR="006A51A1" w:rsidRPr="008C1668">
        <w:t>would have</w:t>
      </w:r>
      <w:r w:rsidR="006570FD" w:rsidRPr="008C1668">
        <w:t xml:space="preserve"> an important role in the assessment of permissible limitations to human rights. </w:t>
      </w:r>
      <w:r w:rsidR="006A51A1" w:rsidRPr="008C1668">
        <w:t>A</w:t>
      </w:r>
      <w:r w:rsidR="006570FD" w:rsidRPr="008C1668">
        <w:t xml:space="preserve">n essential core </w:t>
      </w:r>
      <w:r w:rsidR="006A51A1" w:rsidRPr="008C1668">
        <w:t>within</w:t>
      </w:r>
      <w:r w:rsidR="006570FD" w:rsidRPr="008C1668">
        <w:t xml:space="preserve"> </w:t>
      </w:r>
      <w:r w:rsidR="006A51A1" w:rsidRPr="008C1668">
        <w:t xml:space="preserve">those human </w:t>
      </w:r>
      <w:r w:rsidR="006570FD" w:rsidRPr="008C1668">
        <w:t>rights that are subject to restrictions forms an important limitation to the scope left for a proportionality test: measures that breach the inviolable core components of a human right can never be accepted as proportionate. It will ultimately remain a matter of interpretation how such core components are identified and defined.</w:t>
      </w:r>
    </w:p>
    <w:p w14:paraId="19584786" w14:textId="7B739316" w:rsidR="006310BB" w:rsidRPr="008C1668" w:rsidRDefault="006310BB" w:rsidP="006310BB"/>
    <w:p w14:paraId="1BDEAA81" w14:textId="2E71B931" w:rsidR="006310BB" w:rsidRPr="008C1668" w:rsidRDefault="006310BB" w:rsidP="006310BB">
      <w:pPr>
        <w:pStyle w:val="ListParagraph"/>
        <w:numPr>
          <w:ilvl w:val="0"/>
          <w:numId w:val="2"/>
        </w:numPr>
      </w:pPr>
      <w:r w:rsidRPr="008C1668">
        <w:t>The formulation of the proportionality test</w:t>
      </w:r>
    </w:p>
    <w:p w14:paraId="5BDA66B7" w14:textId="1C66571B" w:rsidR="00464FDE" w:rsidRPr="008C1668" w:rsidRDefault="00464FDE" w:rsidP="00464FDE"/>
    <w:p w14:paraId="4453DA70" w14:textId="2877350D" w:rsidR="009A5B59" w:rsidRPr="008C1668" w:rsidRDefault="00DA2032" w:rsidP="00464FDE">
      <w:r>
        <w:t>T</w:t>
      </w:r>
      <w:r w:rsidR="007A6757" w:rsidRPr="008C1668">
        <w:t xml:space="preserve">he draft </w:t>
      </w:r>
      <w:r>
        <w:t xml:space="preserve">properly </w:t>
      </w:r>
      <w:r w:rsidR="007A6757" w:rsidRPr="008C1668">
        <w:t xml:space="preserve">emphasizes legality, </w:t>
      </w:r>
      <w:r w:rsidR="00FA0276" w:rsidRPr="008C1668">
        <w:t xml:space="preserve">legitimate aim, </w:t>
      </w:r>
      <w:r w:rsidR="007A6757" w:rsidRPr="008C1668">
        <w:t xml:space="preserve">necessity and proportionality as </w:t>
      </w:r>
      <w:r w:rsidR="00FA0276" w:rsidRPr="008C1668">
        <w:t>cumulative requirements</w:t>
      </w:r>
      <w:r w:rsidR="007A6757" w:rsidRPr="008C1668">
        <w:t xml:space="preserve"> in assessing the permissibility of restrictions </w:t>
      </w:r>
      <w:r w:rsidR="00E47310" w:rsidRPr="008C1668">
        <w:t>on the</w:t>
      </w:r>
      <w:r w:rsidR="007A6757" w:rsidRPr="008C1668">
        <w:t xml:space="preserve"> freedom of assembly</w:t>
      </w:r>
      <w:r w:rsidR="00FA0276" w:rsidRPr="008C1668">
        <w:t xml:space="preserve"> (para. 43)</w:t>
      </w:r>
      <w:r w:rsidR="007A6757" w:rsidRPr="008C1668">
        <w:t xml:space="preserve">. Here, </w:t>
      </w:r>
      <w:r w:rsidR="00FA0276" w:rsidRPr="008C1668">
        <w:t xml:space="preserve">the current formulation of the proportionality test is, however, suboptimal when the draft suggests “balancing the nature and the extent of </w:t>
      </w:r>
      <w:r w:rsidR="00FA0276" w:rsidRPr="008C1668">
        <w:lastRenderedPageBreak/>
        <w:t xml:space="preserve">the interference against the </w:t>
      </w:r>
      <w:r w:rsidR="00FA0276" w:rsidRPr="008C1668">
        <w:rPr>
          <w:i/>
        </w:rPr>
        <w:t>reason</w:t>
      </w:r>
      <w:r w:rsidR="00FA0276" w:rsidRPr="008C1668">
        <w:t xml:space="preserve"> for interfering” (para. 46). This formulation sounds like comparing between an apple and the color red. The interference is referred to </w:t>
      </w:r>
      <w:r w:rsidR="006A51A1" w:rsidRPr="008C1668">
        <w:t xml:space="preserve">in </w:t>
      </w:r>
      <w:r w:rsidR="00FA0276" w:rsidRPr="008C1668">
        <w:t>concrete, even measurable</w:t>
      </w:r>
      <w:r w:rsidR="006A51A1" w:rsidRPr="008C1668">
        <w:t>,</w:t>
      </w:r>
      <w:r w:rsidR="00FA0276" w:rsidRPr="008C1668">
        <w:t xml:space="preserve"> terms while the reason for interfering is presented in the abstract. It would be more in line with the cumulative nature of the conditions for the permissibility of restrictions to require comparing the “nature and extent of the interference” against “the </w:t>
      </w:r>
      <w:r w:rsidR="00FA0276" w:rsidRPr="008C1668">
        <w:rPr>
          <w:i/>
        </w:rPr>
        <w:t>benefit obtained</w:t>
      </w:r>
      <w:r w:rsidR="00FA0276" w:rsidRPr="008C1668">
        <w:t xml:space="preserve"> through the interference </w:t>
      </w:r>
      <w:r w:rsidR="005E38B7">
        <w:t>t</w:t>
      </w:r>
      <w:r w:rsidR="004F7DF2">
        <w:t>owards</w:t>
      </w:r>
      <w:r w:rsidR="005E38B7">
        <w:t xml:space="preserve"> a</w:t>
      </w:r>
      <w:r w:rsidR="00FA0276" w:rsidRPr="008C1668">
        <w:t xml:space="preserve"> legitimate aim</w:t>
      </w:r>
      <w:r w:rsidR="005E38B7">
        <w:t>.</w:t>
      </w:r>
      <w:r w:rsidR="00FA0276" w:rsidRPr="008C1668">
        <w:t>”</w:t>
      </w:r>
      <w:r w:rsidR="006570FD" w:rsidRPr="008C1668">
        <w:t xml:space="preserve"> </w:t>
      </w:r>
    </w:p>
    <w:p w14:paraId="0EBED076" w14:textId="77777777" w:rsidR="009A5B59" w:rsidRPr="008C1668" w:rsidRDefault="009A5B59" w:rsidP="00464FDE"/>
    <w:p w14:paraId="1D287303" w14:textId="21D6A75A" w:rsidR="00464FDE" w:rsidRPr="002B07BF" w:rsidRDefault="006570FD" w:rsidP="00464FDE">
      <w:pPr>
        <w:rPr>
          <w:b/>
        </w:rPr>
      </w:pPr>
      <w:r w:rsidRPr="008C1668">
        <w:t xml:space="preserve">With this kind of </w:t>
      </w:r>
      <w:r w:rsidR="005E38B7">
        <w:t>re</w:t>
      </w:r>
      <w:r w:rsidRPr="008C1668">
        <w:t>formulation the Committee would move from comparing between an apple and the color red to a comparison between two concrete and measurable factors</w:t>
      </w:r>
      <w:r w:rsidR="00E47310" w:rsidRPr="008C1668">
        <w:t>:</w:t>
      </w:r>
      <w:r w:rsidRPr="008C1668">
        <w:t xml:space="preserve"> the </w:t>
      </w:r>
      <w:r w:rsidR="005E38B7">
        <w:t>degree</w:t>
      </w:r>
      <w:r w:rsidR="005E38B7" w:rsidRPr="008C1668">
        <w:t xml:space="preserve"> </w:t>
      </w:r>
      <w:r w:rsidRPr="008C1668">
        <w:t xml:space="preserve">of the intrusion and the benefits obtained </w:t>
      </w:r>
      <w:r w:rsidR="005E38B7">
        <w:t>by</w:t>
      </w:r>
      <w:r w:rsidRPr="008C1668">
        <w:t xml:space="preserve"> it. As an actual orange may be either smaller or larger than an apple, a certain intrusion into a human right can weigh less or more than the benefit obtained </w:t>
      </w:r>
      <w:r w:rsidR="005E38B7">
        <w:t>in service of</w:t>
      </w:r>
      <w:r w:rsidRPr="008C1668">
        <w:t xml:space="preserve"> a pressing social need such as public order. If proportionality is assessed between one concrete factor (the intrusion) and an abstract one (</w:t>
      </w:r>
      <w:r w:rsidR="005E38B7">
        <w:t xml:space="preserve">the rationale of </w:t>
      </w:r>
      <w:r w:rsidRPr="008C1668">
        <w:t>public order as such), there is a grave risk that the abstract collective good always wins, even if the actual benefits obtained through the intrusion were negli</w:t>
      </w:r>
      <w:r w:rsidR="009A5B59" w:rsidRPr="008C1668">
        <w:t>gi</w:t>
      </w:r>
      <w:r w:rsidRPr="008C1668">
        <w:t>ble.</w:t>
      </w:r>
      <w:r w:rsidR="009A5B59" w:rsidRPr="008C1668">
        <w:t xml:space="preserve"> This is a lesson that has been demonstrated above all in the </w:t>
      </w:r>
      <w:r w:rsidR="00630C41" w:rsidRPr="008C1668">
        <w:t>practice and discourse</w:t>
      </w:r>
      <w:r w:rsidR="009A5B59" w:rsidRPr="008C1668">
        <w:t xml:space="preserve"> o</w:t>
      </w:r>
      <w:r w:rsidR="00630C41" w:rsidRPr="008C1668">
        <w:t>f</w:t>
      </w:r>
      <w:r w:rsidR="009A5B59" w:rsidRPr="008C1668">
        <w:t xml:space="preserve"> counterterrorism measures</w:t>
      </w:r>
      <w:r w:rsidR="009A5B59" w:rsidRPr="002B07BF">
        <w:rPr>
          <w:b/>
        </w:rPr>
        <w:t xml:space="preserve">. </w:t>
      </w:r>
    </w:p>
    <w:p w14:paraId="35CBE47E" w14:textId="77777777" w:rsidR="002B07BF" w:rsidRPr="002B07BF" w:rsidRDefault="002B07BF" w:rsidP="002B07BF">
      <w:pPr>
        <w:rPr>
          <w:b/>
        </w:rPr>
      </w:pPr>
    </w:p>
    <w:p w14:paraId="26DD8775" w14:textId="55CD0A94" w:rsidR="006310BB" w:rsidRPr="002B07BF" w:rsidRDefault="002B07BF" w:rsidP="002B07BF">
      <w:pPr>
        <w:pStyle w:val="ListParagraph"/>
        <w:numPr>
          <w:ilvl w:val="0"/>
          <w:numId w:val="4"/>
        </w:numPr>
        <w:rPr>
          <w:b/>
        </w:rPr>
      </w:pPr>
      <w:r w:rsidRPr="002B07BF">
        <w:rPr>
          <w:b/>
        </w:rPr>
        <w:t>H</w:t>
      </w:r>
      <w:r w:rsidR="006310BB" w:rsidRPr="002B07BF">
        <w:rPr>
          <w:b/>
        </w:rPr>
        <w:t>orizontal Effect</w:t>
      </w:r>
    </w:p>
    <w:p w14:paraId="35FEEED6" w14:textId="38A7B08B" w:rsidR="006310BB" w:rsidRPr="008C1668" w:rsidRDefault="006310BB" w:rsidP="006A07BD"/>
    <w:p w14:paraId="142C9D84" w14:textId="57B1E2CC" w:rsidR="004C732E" w:rsidRPr="008C1668" w:rsidRDefault="004C732E" w:rsidP="006A07BD">
      <w:r w:rsidRPr="008C1668">
        <w:t>The draft General Comment focuses on the obligations of States parties to the ICCPR. This is of course natural, as both the text of the Covenant and the monitoring mechanisms at the disposal of the Committee focus on States. That said, as freedom of assembly is</w:t>
      </w:r>
      <w:r w:rsidR="00E47310" w:rsidRPr="008C1668">
        <w:t xml:space="preserve"> a</w:t>
      </w:r>
      <w:r w:rsidRPr="008C1668">
        <w:t xml:space="preserve"> so-called political right usually exercised in the public sphere and serving a public function, it raises important questions about possible horizontal effect</w:t>
      </w:r>
      <w:r w:rsidR="00247320" w:rsidRPr="008C1668">
        <w:t>s</w:t>
      </w:r>
      <w:r w:rsidRPr="008C1668">
        <w:t xml:space="preserve"> of the right, i.e. questions about the duties or responsibilities of various private actors in </w:t>
      </w:r>
      <w:r w:rsidRPr="008C1668">
        <w:lastRenderedPageBreak/>
        <w:t>the</w:t>
      </w:r>
      <w:r w:rsidR="00865CD1">
        <w:t>se</w:t>
      </w:r>
      <w:r w:rsidRPr="008C1668">
        <w:t xml:space="preserve"> </w:t>
      </w:r>
      <w:r w:rsidR="00865CD1">
        <w:t>situations</w:t>
      </w:r>
      <w:r w:rsidRPr="008C1668">
        <w:t xml:space="preserve">. </w:t>
      </w:r>
      <w:r w:rsidR="00AD461C" w:rsidRPr="008C1668">
        <w:t>A strictly vertical approach to human rights would address such horizontal effects through the positive obligations of States to legislate and otherwise see to it that conduct by private actors does not result in the denial of freedom of assembly. A trend can</w:t>
      </w:r>
      <w:r w:rsidR="00E47310" w:rsidRPr="008C1668">
        <w:t>,</w:t>
      </w:r>
      <w:r w:rsidR="00AD461C" w:rsidRPr="008C1668">
        <w:t xml:space="preserve"> however</w:t>
      </w:r>
      <w:r w:rsidR="00E47310" w:rsidRPr="008C1668">
        <w:t>,</w:t>
      </w:r>
      <w:r w:rsidR="00AD461C" w:rsidRPr="008C1668">
        <w:t xml:space="preserve"> be identified toward accepting that human rights also have direct horizontal effect</w:t>
      </w:r>
      <w:r w:rsidR="00E47310" w:rsidRPr="008C1668">
        <w:t>s</w:t>
      </w:r>
      <w:r w:rsidR="00AD461C" w:rsidRPr="008C1668">
        <w:t xml:space="preserve"> in relations between private parties, even if international law in that field remains relatively “soft” for the time being. Below, three different situations of horizontal effect are discussed </w:t>
      </w:r>
      <w:r w:rsidR="000132FE">
        <w:t>with</w:t>
      </w:r>
      <w:r w:rsidR="00AD461C" w:rsidRPr="008C1668">
        <w:t xml:space="preserve"> respect </w:t>
      </w:r>
      <w:r w:rsidR="000132FE">
        <w:t>to</w:t>
      </w:r>
      <w:r w:rsidR="00AD461C" w:rsidRPr="008C1668">
        <w:t xml:space="preserve"> freedom of assembly.</w:t>
      </w:r>
    </w:p>
    <w:p w14:paraId="00C1E2CF" w14:textId="77777777" w:rsidR="004C732E" w:rsidRPr="008C1668" w:rsidRDefault="004C732E" w:rsidP="006A07BD"/>
    <w:p w14:paraId="4F8C2173" w14:textId="5945922F" w:rsidR="006310BB" w:rsidRPr="008C1668" w:rsidRDefault="006310BB" w:rsidP="006310BB">
      <w:pPr>
        <w:pStyle w:val="ListParagraph"/>
        <w:numPr>
          <w:ilvl w:val="0"/>
          <w:numId w:val="3"/>
        </w:numPr>
      </w:pPr>
      <w:r w:rsidRPr="008C1668">
        <w:t>Obligations of the owner of a venue</w:t>
      </w:r>
    </w:p>
    <w:p w14:paraId="5D05F13C" w14:textId="4F9620B1" w:rsidR="00D33A1E" w:rsidRPr="008C1668" w:rsidRDefault="00D33A1E" w:rsidP="00D33A1E"/>
    <w:p w14:paraId="4D70FE0B" w14:textId="6E1B97B7" w:rsidR="00D33A1E" w:rsidRPr="008C1668" w:rsidRDefault="00D33A1E" w:rsidP="00D33A1E">
      <w:r w:rsidRPr="008C1668">
        <w:t xml:space="preserve">The Committee’s draft is </w:t>
      </w:r>
      <w:r w:rsidR="00386EC1" w:rsidRPr="008C1668">
        <w:t xml:space="preserve">unnecessarily modest </w:t>
      </w:r>
      <w:r w:rsidR="000132FE">
        <w:t>with</w:t>
      </w:r>
      <w:r w:rsidR="000132FE" w:rsidRPr="008C1668">
        <w:t xml:space="preserve"> </w:t>
      </w:r>
      <w:r w:rsidR="00386EC1" w:rsidRPr="008C1668">
        <w:t>re</w:t>
      </w:r>
      <w:r w:rsidR="000132FE">
        <w:t>gard to</w:t>
      </w:r>
      <w:r w:rsidR="00386EC1" w:rsidRPr="008C1668">
        <w:t xml:space="preserve"> property owners’ responsibility in principle to allow the use of public indoor or outdoor space for demonstrations or other gatherings. The inclusion here of the words “in principle” already demonstrate</w:t>
      </w:r>
      <w:r w:rsidR="00247320" w:rsidRPr="008C1668">
        <w:t>s</w:t>
      </w:r>
      <w:r w:rsidR="00386EC1" w:rsidRPr="008C1668">
        <w:t xml:space="preserve"> that I am not advocating for a general and unconditional right to demonstrate </w:t>
      </w:r>
      <w:r w:rsidR="000132FE">
        <w:t>on</w:t>
      </w:r>
      <w:r w:rsidR="000132FE" w:rsidRPr="008C1668">
        <w:t xml:space="preserve"> </w:t>
      </w:r>
      <w:r w:rsidR="00386EC1" w:rsidRPr="008C1668">
        <w:t xml:space="preserve">any private premises or on </w:t>
      </w:r>
      <w:r w:rsidR="00247320" w:rsidRPr="008C1668">
        <w:t xml:space="preserve">any </w:t>
      </w:r>
      <w:r w:rsidR="00386EC1" w:rsidRPr="008C1668">
        <w:t xml:space="preserve">private lands at any time. Rather, the pertinent questions are about availability and accessibility of spaces suitable for gatherings and about the proportionality of denying their use or subjecting </w:t>
      </w:r>
      <w:r w:rsidR="000132FE">
        <w:t>their use</w:t>
      </w:r>
      <w:r w:rsidR="000132FE" w:rsidRPr="008C1668">
        <w:t xml:space="preserve"> </w:t>
      </w:r>
      <w:r w:rsidR="00386EC1" w:rsidRPr="008C1668">
        <w:t>to conditions imposed by the owner.</w:t>
      </w:r>
    </w:p>
    <w:p w14:paraId="514E443F" w14:textId="429D0A7D" w:rsidR="00386EC1" w:rsidRPr="008C1668" w:rsidRDefault="00386EC1" w:rsidP="00D33A1E"/>
    <w:p w14:paraId="6F40A08C" w14:textId="5007880E" w:rsidR="00EE208A" w:rsidRPr="008C1668" w:rsidRDefault="00E47310" w:rsidP="00D33A1E">
      <w:r w:rsidRPr="008C1668">
        <w:t>O</w:t>
      </w:r>
      <w:r w:rsidR="00386EC1" w:rsidRPr="008C1668">
        <w:t>n this issue, the draft includes a passing observation that public spaces are increasingly</w:t>
      </w:r>
      <w:r w:rsidRPr="008C1668">
        <w:t xml:space="preserve"> held</w:t>
      </w:r>
      <w:r w:rsidR="00386EC1" w:rsidRPr="008C1668">
        <w:t xml:space="preserve"> in private ownership (para. 11) and one short paragraph (para. 67) which contains three modestly normative statements, namely that that “assembly rights may require some recognition on private property that is open to the public</w:t>
      </w:r>
      <w:r w:rsidR="000132FE">
        <w:t>,</w:t>
      </w:r>
      <w:r w:rsidR="00386EC1" w:rsidRPr="008C1668">
        <w:t>” that even if the interests of private owners have to be given due weight, they “may have to be limited if the participants have no other reasonable way to convey their message to their target audience</w:t>
      </w:r>
      <w:r w:rsidR="00976572">
        <w:t>,</w:t>
      </w:r>
      <w:r w:rsidR="00386EC1" w:rsidRPr="008C1668">
        <w:t>” and that assemblies “held on privately owned property with the consent of the owners enjoy the same protection as other assemblies</w:t>
      </w:r>
      <w:r w:rsidR="00976572">
        <w:t>.</w:t>
      </w:r>
      <w:r w:rsidR="00386EC1" w:rsidRPr="008C1668">
        <w:t xml:space="preserve">” Clearly, these formulations indicate that the State has some positive obligations to secure the availability </w:t>
      </w:r>
      <w:r w:rsidR="00386EC1" w:rsidRPr="008C1668">
        <w:lastRenderedPageBreak/>
        <w:t>of some space – public or private – toward a right to freedom of assembly that is real and effective in nature.</w:t>
      </w:r>
      <w:r w:rsidR="00EE208A" w:rsidRPr="008C1668">
        <w:t xml:space="preserve"> </w:t>
      </w:r>
    </w:p>
    <w:p w14:paraId="71368A2D" w14:textId="77777777" w:rsidR="00EE208A" w:rsidRPr="008C1668" w:rsidRDefault="00EE208A" w:rsidP="00D33A1E"/>
    <w:p w14:paraId="1DA842F1" w14:textId="207E8F5D" w:rsidR="00386EC1" w:rsidRDefault="00EE208A" w:rsidP="00D33A1E">
      <w:r w:rsidRPr="008C1668">
        <w:t>Without any legal or conceptual difficulty</w:t>
      </w:r>
      <w:r w:rsidR="002B07BF">
        <w:t>,</w:t>
      </w:r>
      <w:r w:rsidRPr="008C1668">
        <w:t xml:space="preserve"> the Committee should be able to say at least two more things</w:t>
      </w:r>
      <w:r w:rsidR="00B4033B">
        <w:t xml:space="preserve">. First, the Comment can easily say </w:t>
      </w:r>
      <w:r w:rsidRPr="008C1668">
        <w:t xml:space="preserve">that private owners may </w:t>
      </w:r>
      <w:r w:rsidR="00630C41" w:rsidRPr="008C1668">
        <w:t xml:space="preserve">be </w:t>
      </w:r>
      <w:r w:rsidRPr="008C1668">
        <w:t>and shall be prohibited from denying the use of their indoor premises or outdoor space on discriminatory grounds</w:t>
      </w:r>
      <w:r w:rsidR="00B4033B">
        <w:t>. Second, it can easily say</w:t>
      </w:r>
      <w:r w:rsidRPr="008C1668">
        <w:t xml:space="preserve"> there is a category of private premises or spaces that has without caveats</w:t>
      </w:r>
      <w:r w:rsidR="00C07AB4" w:rsidRPr="008C1668">
        <w:t xml:space="preserve"> and without consent by the owner</w:t>
      </w:r>
      <w:r w:rsidRPr="008C1668">
        <w:t xml:space="preserve"> officially, often through zoning decisions, been defined as open to the public, which in a democratic society must include for purposes of demonstrations or other gatherings. If a city adopts a zoning plan where an open central plaza is located on private land, perhaps in the interest of the landowner whose shops are on various sides of the plaza, then this open space must be available for the common good as any publicly owned plaza</w:t>
      </w:r>
      <w:r w:rsidR="00E47310" w:rsidRPr="008C1668">
        <w:t xml:space="preserve"> is</w:t>
      </w:r>
      <w:r w:rsidRPr="008C1668">
        <w:t xml:space="preserve">, without a right of veto by the landowner. </w:t>
      </w:r>
    </w:p>
    <w:p w14:paraId="573E60B5" w14:textId="77777777" w:rsidR="00E416ED" w:rsidRPr="008C1668" w:rsidRDefault="00E416ED" w:rsidP="00D33A1E"/>
    <w:p w14:paraId="3E58094B" w14:textId="77777777" w:rsidR="006310BB" w:rsidRPr="008C1668" w:rsidRDefault="006310BB" w:rsidP="006310BB"/>
    <w:p w14:paraId="50522587" w14:textId="6029A682" w:rsidR="006310BB" w:rsidRPr="008C1668" w:rsidRDefault="006310BB" w:rsidP="006310BB">
      <w:pPr>
        <w:pStyle w:val="ListParagraph"/>
        <w:numPr>
          <w:ilvl w:val="0"/>
          <w:numId w:val="3"/>
        </w:numPr>
      </w:pPr>
      <w:r w:rsidRPr="008C1668">
        <w:t>Obligations of the convener</w:t>
      </w:r>
    </w:p>
    <w:p w14:paraId="5EDC62A6" w14:textId="77777777" w:rsidR="00EE208A" w:rsidRPr="008C1668" w:rsidRDefault="00EE208A" w:rsidP="006310BB"/>
    <w:p w14:paraId="632CAE6A" w14:textId="60F809C3" w:rsidR="00EE208A" w:rsidRPr="008C1668" w:rsidRDefault="00EE208A" w:rsidP="006310BB">
      <w:r w:rsidRPr="008C1668">
        <w:t>The Committee draft is silent about the obligations of the organizer or convener of a demonstration or other gathering. This is surprising as existing human rights treaty law would provide clear guidance on such obligations. Under Article 5(</w:t>
      </w:r>
      <w:r w:rsidR="0036575B" w:rsidRPr="008C1668">
        <w:t>ix</w:t>
      </w:r>
      <w:r w:rsidRPr="008C1668">
        <w:t xml:space="preserve">) of the </w:t>
      </w:r>
      <w:hyperlink r:id="rId9" w:history="1">
        <w:r w:rsidRPr="002B07BF">
          <w:rPr>
            <w:rStyle w:val="Hyperlink"/>
            <w:u w:val="none"/>
          </w:rPr>
          <w:t xml:space="preserve">Convention </w:t>
        </w:r>
        <w:r w:rsidR="0036575B" w:rsidRPr="002B07BF">
          <w:rPr>
            <w:rStyle w:val="Hyperlink"/>
            <w:u w:val="none"/>
          </w:rPr>
          <w:t xml:space="preserve">for the Elimination of </w:t>
        </w:r>
        <w:r w:rsidR="006D7A46" w:rsidRPr="002B07BF">
          <w:rPr>
            <w:rStyle w:val="Hyperlink"/>
            <w:u w:val="none"/>
          </w:rPr>
          <w:t xml:space="preserve">All Forms of </w:t>
        </w:r>
        <w:r w:rsidR="0036575B" w:rsidRPr="002B07BF">
          <w:rPr>
            <w:rStyle w:val="Hyperlink"/>
            <w:u w:val="none"/>
          </w:rPr>
          <w:t>R</w:t>
        </w:r>
        <w:r w:rsidRPr="002B07BF">
          <w:rPr>
            <w:rStyle w:val="Hyperlink"/>
            <w:u w:val="none"/>
          </w:rPr>
          <w:t>acial Discrimination</w:t>
        </w:r>
      </w:hyperlink>
      <w:r w:rsidRPr="008C1668">
        <w:t xml:space="preserve">, States have an obligation to guarantee the enjoyment of the right to freedom of peaceful assembly without discrimination. </w:t>
      </w:r>
      <w:r w:rsidR="0036575B" w:rsidRPr="008C1668">
        <w:t xml:space="preserve">Accordingly, States must legislate against discriminatory practices by organizers of public gatherings. Articles 2 and 7 of the </w:t>
      </w:r>
      <w:hyperlink r:id="rId10" w:history="1">
        <w:r w:rsidR="0036575B" w:rsidRPr="002B07BF">
          <w:rPr>
            <w:rStyle w:val="Hyperlink"/>
            <w:u w:val="none"/>
          </w:rPr>
          <w:t>Convention for the Elimination of Discrimination against Women</w:t>
        </w:r>
      </w:hyperlink>
      <w:r w:rsidR="0036575B" w:rsidRPr="008C1668">
        <w:t xml:space="preserve"> support this position. Further, Article 29(b</w:t>
      </w:r>
      <w:r w:rsidR="006D7A46" w:rsidRPr="008C1668">
        <w:t>)</w:t>
      </w:r>
      <w:r w:rsidR="0036575B" w:rsidRPr="008C1668">
        <w:t xml:space="preserve"> and </w:t>
      </w:r>
      <w:r w:rsidR="006D7A46" w:rsidRPr="008C1668">
        <w:t>(</w:t>
      </w:r>
      <w:r w:rsidR="0036575B" w:rsidRPr="008C1668">
        <w:t xml:space="preserve">i) of the </w:t>
      </w:r>
      <w:hyperlink r:id="rId11" w:history="1">
        <w:r w:rsidR="0036575B" w:rsidRPr="002B07BF">
          <w:rPr>
            <w:rStyle w:val="Hyperlink"/>
            <w:u w:val="none"/>
          </w:rPr>
          <w:t>Convention on Rights of Persons with Disabilities</w:t>
        </w:r>
      </w:hyperlink>
      <w:r w:rsidR="0036575B" w:rsidRPr="008C1668">
        <w:t xml:space="preserve"> requires that conveners must secure the </w:t>
      </w:r>
      <w:r w:rsidR="0036575B" w:rsidRPr="008C1668">
        <w:lastRenderedPageBreak/>
        <w:t>accessibility of meetings and other gatherings related to public affairs to persons with disabilities.</w:t>
      </w:r>
    </w:p>
    <w:p w14:paraId="706C7D78" w14:textId="77777777" w:rsidR="00247320" w:rsidRPr="008C1668" w:rsidRDefault="00247320" w:rsidP="006310BB"/>
    <w:p w14:paraId="0A5035C5" w14:textId="269B5FB3" w:rsidR="0036575B" w:rsidRPr="008C1668" w:rsidRDefault="0036575B" w:rsidP="006310BB">
      <w:r w:rsidRPr="008C1668">
        <w:t>Particularly in respect of demonstrations it can also be inferred from the text of ICCPR Article 21 that the organizer has obligations to participate in the maintenance of public order. Therefore, I find erroneous the formulation in the draft General Comment that while it is “good practi</w:t>
      </w:r>
      <w:r w:rsidR="00247320" w:rsidRPr="008C1668">
        <w:t>c</w:t>
      </w:r>
      <w:r w:rsidRPr="008C1668">
        <w:t>e” for assembly organizers to appoint marshals where necessary, “such an obligation must not be imposed”</w:t>
      </w:r>
      <w:r w:rsidR="00A37A26" w:rsidRPr="008C1668">
        <w:t xml:space="preserve"> (para. 75). In my view</w:t>
      </w:r>
      <w:r w:rsidR="006D7A46" w:rsidRPr="008C1668">
        <w:t>,</w:t>
      </w:r>
      <w:r w:rsidR="00A37A26" w:rsidRPr="008C1668">
        <w:t xml:space="preserve"> the text of Article 21 allows States </w:t>
      </w:r>
      <w:r w:rsidR="00723298">
        <w:t xml:space="preserve">to </w:t>
      </w:r>
      <w:r w:rsidR="00A37A26" w:rsidRPr="008C1668">
        <w:t xml:space="preserve">impose upon organizers of demonstrations or public gatherings a legal obligation to appoint a sufficient number of adequately trained marshals to secure the maintenance of public order during the event. </w:t>
      </w:r>
    </w:p>
    <w:p w14:paraId="30B37602" w14:textId="77777777" w:rsidR="006310BB" w:rsidRPr="008C1668" w:rsidRDefault="006310BB" w:rsidP="006310BB"/>
    <w:p w14:paraId="64063356" w14:textId="2FDB39F1" w:rsidR="006310BB" w:rsidRPr="008C1668" w:rsidRDefault="006310BB" w:rsidP="006310BB">
      <w:pPr>
        <w:pStyle w:val="ListParagraph"/>
        <w:numPr>
          <w:ilvl w:val="0"/>
          <w:numId w:val="3"/>
        </w:numPr>
      </w:pPr>
      <w:r w:rsidRPr="008C1668">
        <w:t xml:space="preserve">Obligations of counter-demonstrators </w:t>
      </w:r>
    </w:p>
    <w:p w14:paraId="445762B3" w14:textId="253D2349" w:rsidR="006310BB" w:rsidRPr="008C1668" w:rsidRDefault="006310BB" w:rsidP="006A07BD"/>
    <w:p w14:paraId="357F60D7" w14:textId="79BB1240" w:rsidR="00A37A26" w:rsidRPr="008C1668" w:rsidRDefault="00A37A26" w:rsidP="006A07BD">
      <w:r w:rsidRPr="008C1668">
        <w:t>Freedom of assembly belongs to counter-demonstrators or counter-gatherings. This position is explicitly included in the Committee’s draft General Comment. Therefore</w:t>
      </w:r>
      <w:r w:rsidR="00247320" w:rsidRPr="008C1668">
        <w:t>,</w:t>
      </w:r>
      <w:r w:rsidRPr="008C1668">
        <w:t xml:space="preserve"> it is again surprising that the draft does not adequately address the duty of such counter-demonstrators to respect the freedom of assembly of the conveners and participants of the original event. The simple rule of neutrality included in the draft (para. 16) is insufficient and should be complemented by a statement that while counter-demonstrators are entitled to the right of peaceful assembly, actions that have the purpose or effect of nullifying the enjoyment of the same right by the organi</w:t>
      </w:r>
      <w:r w:rsidR="00247320" w:rsidRPr="008C1668">
        <w:t>z</w:t>
      </w:r>
      <w:r w:rsidRPr="008C1668">
        <w:t>ers and participants of the original demonstration or other event, may be prevented or stopped pursuant to Articles 21 and 5 of the Covenant.</w:t>
      </w:r>
    </w:p>
    <w:p w14:paraId="26F8AC68" w14:textId="77777777" w:rsidR="00A37A26" w:rsidRPr="008C1668" w:rsidRDefault="00A37A26" w:rsidP="006A07BD"/>
    <w:p w14:paraId="10905B59" w14:textId="77777777" w:rsidR="002B07BF" w:rsidRDefault="003B41EE" w:rsidP="006A07BD">
      <w:pPr>
        <w:rPr>
          <w:rFonts w:ascii="Arial" w:hAnsi="Arial" w:cs="Arial"/>
          <w:i/>
          <w:color w:val="222222"/>
          <w:sz w:val="22"/>
          <w:szCs w:val="22"/>
          <w:shd w:val="clear" w:color="auto" w:fill="FFFFFF"/>
        </w:rPr>
      </w:pPr>
      <w:r w:rsidRPr="008C1668">
        <w:rPr>
          <w:rFonts w:ascii="Arial" w:hAnsi="Arial" w:cs="Arial"/>
          <w:i/>
          <w:color w:val="222222"/>
          <w:sz w:val="22"/>
          <w:szCs w:val="22"/>
          <w:shd w:val="clear" w:color="auto" w:fill="FFFFFF"/>
        </w:rPr>
        <w:t xml:space="preserve">Martin Scheinin </w:t>
      </w:r>
    </w:p>
    <w:p w14:paraId="46D671F6" w14:textId="5CDE4CC8" w:rsidR="002B07BF" w:rsidRDefault="002B07BF" w:rsidP="006A07BD">
      <w:pPr>
        <w:rPr>
          <w:rFonts w:ascii="Arial" w:hAnsi="Arial" w:cs="Arial"/>
          <w:i/>
          <w:color w:val="222222"/>
          <w:sz w:val="22"/>
          <w:szCs w:val="22"/>
          <w:shd w:val="clear" w:color="auto" w:fill="FFFFFF"/>
        </w:rPr>
      </w:pPr>
      <w:r>
        <w:rPr>
          <w:rFonts w:ascii="Arial" w:hAnsi="Arial" w:cs="Arial"/>
          <w:i/>
          <w:color w:val="222222"/>
          <w:sz w:val="22"/>
          <w:szCs w:val="22"/>
          <w:shd w:val="clear" w:color="auto" w:fill="FFFFFF"/>
        </w:rPr>
        <w:t>Professor of International Law and Human Rights, European University Instutute (Florence)</w:t>
      </w:r>
    </w:p>
    <w:p w14:paraId="6200BF8C" w14:textId="57348E90" w:rsidR="003B41EE" w:rsidRPr="008C1668" w:rsidRDefault="002B07BF" w:rsidP="006A07BD">
      <w:pPr>
        <w:rPr>
          <w:i/>
        </w:rPr>
      </w:pPr>
      <w:r>
        <w:rPr>
          <w:rFonts w:ascii="Arial" w:hAnsi="Arial" w:cs="Arial"/>
          <w:i/>
          <w:color w:val="222222"/>
          <w:sz w:val="22"/>
          <w:szCs w:val="22"/>
          <w:shd w:val="clear" w:color="auto" w:fill="FFFFFF"/>
        </w:rPr>
        <w:t>F</w:t>
      </w:r>
      <w:r w:rsidR="003B41EE" w:rsidRPr="008C1668">
        <w:rPr>
          <w:rFonts w:ascii="Arial" w:hAnsi="Arial" w:cs="Arial"/>
          <w:i/>
          <w:color w:val="222222"/>
          <w:sz w:val="22"/>
          <w:szCs w:val="22"/>
          <w:shd w:val="clear" w:color="auto" w:fill="FFFFFF"/>
        </w:rPr>
        <w:t>ormer member of the Human Rights Committee</w:t>
      </w:r>
      <w:r>
        <w:rPr>
          <w:rFonts w:ascii="Arial" w:hAnsi="Arial" w:cs="Arial"/>
          <w:i/>
          <w:color w:val="222222"/>
          <w:sz w:val="22"/>
          <w:szCs w:val="22"/>
          <w:shd w:val="clear" w:color="auto" w:fill="FFFFFF"/>
        </w:rPr>
        <w:t xml:space="preserve"> (1997-2004)</w:t>
      </w:r>
    </w:p>
    <w:sectPr w:rsidR="003B41EE" w:rsidRPr="008C1668" w:rsidSect="00117872">
      <w:headerReference w:type="default" r:id="rId12"/>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48C3B" w14:textId="77777777" w:rsidR="009605F1" w:rsidRDefault="009605F1" w:rsidP="002B07BF">
      <w:r>
        <w:separator/>
      </w:r>
    </w:p>
  </w:endnote>
  <w:endnote w:type="continuationSeparator" w:id="0">
    <w:p w14:paraId="7D0128BC" w14:textId="77777777" w:rsidR="009605F1" w:rsidRDefault="009605F1" w:rsidP="002B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13610746"/>
      <w:docPartObj>
        <w:docPartGallery w:val="Page Numbers (Bottom of Page)"/>
        <w:docPartUnique/>
      </w:docPartObj>
    </w:sdtPr>
    <w:sdtEndPr>
      <w:rPr>
        <w:rStyle w:val="PageNumber"/>
      </w:rPr>
    </w:sdtEndPr>
    <w:sdtContent>
      <w:p w14:paraId="74E2CB45" w14:textId="11304C10" w:rsidR="002B07BF" w:rsidRDefault="002B07BF" w:rsidP="004D4D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148943" w14:textId="77777777" w:rsidR="002B07BF" w:rsidRDefault="002B07BF" w:rsidP="002B0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323147"/>
      <w:docPartObj>
        <w:docPartGallery w:val="Page Numbers (Bottom of Page)"/>
        <w:docPartUnique/>
      </w:docPartObj>
    </w:sdtPr>
    <w:sdtEndPr>
      <w:rPr>
        <w:rStyle w:val="PageNumber"/>
      </w:rPr>
    </w:sdtEndPr>
    <w:sdtContent>
      <w:p w14:paraId="36905FF4" w14:textId="32539D4E" w:rsidR="002B07BF" w:rsidRDefault="002B07BF" w:rsidP="004D4D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1503">
          <w:rPr>
            <w:rStyle w:val="PageNumber"/>
            <w:noProof/>
          </w:rPr>
          <w:t>1</w:t>
        </w:r>
        <w:r>
          <w:rPr>
            <w:rStyle w:val="PageNumber"/>
          </w:rPr>
          <w:fldChar w:fldCharType="end"/>
        </w:r>
      </w:p>
    </w:sdtContent>
  </w:sdt>
  <w:p w14:paraId="62E2EC4E" w14:textId="77777777" w:rsidR="002B07BF" w:rsidRDefault="002B07BF" w:rsidP="002B07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C7D2" w14:textId="77777777" w:rsidR="009605F1" w:rsidRDefault="009605F1" w:rsidP="002B07BF">
      <w:r>
        <w:separator/>
      </w:r>
    </w:p>
  </w:footnote>
  <w:footnote w:type="continuationSeparator" w:id="0">
    <w:p w14:paraId="017FE570" w14:textId="77777777" w:rsidR="009605F1" w:rsidRDefault="009605F1" w:rsidP="002B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9EB9" w14:textId="77777777" w:rsidR="00A21503" w:rsidRDefault="00A21503" w:rsidP="00A21503">
    <w:pPr>
      <w:rPr>
        <w:rFonts w:ascii="Helvetica" w:hAnsi="Helvetica"/>
        <w:color w:val="000000"/>
        <w:sz w:val="18"/>
        <w:szCs w:val="18"/>
      </w:rPr>
    </w:pPr>
    <w:r>
      <w:rPr>
        <w:rFonts w:ascii="Helvetica" w:hAnsi="Helvetica"/>
        <w:color w:val="000000"/>
        <w:sz w:val="18"/>
        <w:szCs w:val="18"/>
      </w:rPr>
      <w:t>Martin Scheinin</w:t>
    </w:r>
    <w:r>
      <w:rPr>
        <w:rFonts w:ascii="Helvetica" w:hAnsi="Helvetica"/>
        <w:color w:val="000000"/>
        <w:sz w:val="18"/>
        <w:szCs w:val="18"/>
      </w:rPr>
      <w:br/>
      <w:t>Professor of International Law and Human Rights</w:t>
    </w:r>
    <w:r>
      <w:rPr>
        <w:rFonts w:ascii="Helvetica" w:hAnsi="Helvetica"/>
        <w:color w:val="000000"/>
        <w:sz w:val="18"/>
        <w:szCs w:val="18"/>
      </w:rPr>
      <w:br/>
      <w:t>Department of Law, European University Institute</w:t>
    </w:r>
  </w:p>
  <w:p w14:paraId="39EA72F9" w14:textId="711BD06F" w:rsidR="00A21503" w:rsidRDefault="00A21503" w:rsidP="00A21503">
    <w:pPr>
      <w:pStyle w:val="Header"/>
    </w:pPr>
    <w:r>
      <w:rPr>
        <w:rFonts w:ascii="Helvetica" w:hAnsi="Helvetica" w:cs="Times New Roman"/>
        <w:color w:val="000000"/>
        <w:sz w:val="18"/>
        <w:szCs w:val="18"/>
      </w:rPr>
      <w:t>Villa Salviati (Castello)</w:t>
    </w:r>
    <w:r>
      <w:rPr>
        <w:rFonts w:ascii="Helvetica" w:hAnsi="Helvetica" w:cs="Times New Roman"/>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364"/>
    <w:multiLevelType w:val="hybridMultilevel"/>
    <w:tmpl w:val="F5C4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2582"/>
    <w:multiLevelType w:val="hybridMultilevel"/>
    <w:tmpl w:val="7BD40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4402"/>
    <w:multiLevelType w:val="hybridMultilevel"/>
    <w:tmpl w:val="3FF05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E6BE6"/>
    <w:multiLevelType w:val="hybridMultilevel"/>
    <w:tmpl w:val="884E9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6A"/>
    <w:rsid w:val="000132FE"/>
    <w:rsid w:val="00020D43"/>
    <w:rsid w:val="00041E12"/>
    <w:rsid w:val="00117872"/>
    <w:rsid w:val="00125FA1"/>
    <w:rsid w:val="001A2207"/>
    <w:rsid w:val="001B2AC8"/>
    <w:rsid w:val="001C58B8"/>
    <w:rsid w:val="00247320"/>
    <w:rsid w:val="00254A10"/>
    <w:rsid w:val="002743F0"/>
    <w:rsid w:val="00283B9A"/>
    <w:rsid w:val="00291DD0"/>
    <w:rsid w:val="002B07BF"/>
    <w:rsid w:val="0036575B"/>
    <w:rsid w:val="00386EC1"/>
    <w:rsid w:val="003B41EE"/>
    <w:rsid w:val="0040154F"/>
    <w:rsid w:val="0040458A"/>
    <w:rsid w:val="00437AB9"/>
    <w:rsid w:val="00464FDE"/>
    <w:rsid w:val="004C21DD"/>
    <w:rsid w:val="004C732E"/>
    <w:rsid w:val="004F7DF2"/>
    <w:rsid w:val="00520914"/>
    <w:rsid w:val="005E38B7"/>
    <w:rsid w:val="00630C41"/>
    <w:rsid w:val="006310BB"/>
    <w:rsid w:val="006570FD"/>
    <w:rsid w:val="00662442"/>
    <w:rsid w:val="006A07BD"/>
    <w:rsid w:val="006A51A1"/>
    <w:rsid w:val="006D7A46"/>
    <w:rsid w:val="007052E4"/>
    <w:rsid w:val="00723298"/>
    <w:rsid w:val="007349E2"/>
    <w:rsid w:val="00761B5F"/>
    <w:rsid w:val="007639F8"/>
    <w:rsid w:val="007A6757"/>
    <w:rsid w:val="00865CD1"/>
    <w:rsid w:val="008C1668"/>
    <w:rsid w:val="009402C6"/>
    <w:rsid w:val="009605F1"/>
    <w:rsid w:val="00976572"/>
    <w:rsid w:val="00984524"/>
    <w:rsid w:val="009A07A1"/>
    <w:rsid w:val="009A2E5C"/>
    <w:rsid w:val="009A5B59"/>
    <w:rsid w:val="009E5833"/>
    <w:rsid w:val="009F4386"/>
    <w:rsid w:val="00A21503"/>
    <w:rsid w:val="00A37A26"/>
    <w:rsid w:val="00A54157"/>
    <w:rsid w:val="00A75AF6"/>
    <w:rsid w:val="00AB2E66"/>
    <w:rsid w:val="00AD461C"/>
    <w:rsid w:val="00AE140D"/>
    <w:rsid w:val="00AE424D"/>
    <w:rsid w:val="00B4033B"/>
    <w:rsid w:val="00B6050F"/>
    <w:rsid w:val="00C07AB4"/>
    <w:rsid w:val="00C30A74"/>
    <w:rsid w:val="00C6303B"/>
    <w:rsid w:val="00D33A1E"/>
    <w:rsid w:val="00D56087"/>
    <w:rsid w:val="00DA2032"/>
    <w:rsid w:val="00DC085E"/>
    <w:rsid w:val="00E416ED"/>
    <w:rsid w:val="00E43D54"/>
    <w:rsid w:val="00E47310"/>
    <w:rsid w:val="00EE0C69"/>
    <w:rsid w:val="00EE208A"/>
    <w:rsid w:val="00F148B7"/>
    <w:rsid w:val="00F66C29"/>
    <w:rsid w:val="00F7536A"/>
    <w:rsid w:val="00F900F6"/>
    <w:rsid w:val="00FA0150"/>
    <w:rsid w:val="00FA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3E2"/>
  <w14:defaultImageDpi w14:val="32767"/>
  <w15:chartTrackingRefBased/>
  <w15:docId w15:val="{B4C93447-2D4B-C241-84A1-53AADC4E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914"/>
    <w:pPr>
      <w:ind w:left="720"/>
      <w:contextualSpacing/>
    </w:pPr>
  </w:style>
  <w:style w:type="paragraph" w:styleId="BalloonText">
    <w:name w:val="Balloon Text"/>
    <w:basedOn w:val="Normal"/>
    <w:link w:val="BalloonTextChar"/>
    <w:uiPriority w:val="99"/>
    <w:semiHidden/>
    <w:unhideWhenUsed/>
    <w:rsid w:val="00FA0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50"/>
    <w:rPr>
      <w:rFonts w:ascii="Segoe UI" w:hAnsi="Segoe UI" w:cs="Segoe UI"/>
      <w:sz w:val="18"/>
      <w:szCs w:val="18"/>
    </w:rPr>
  </w:style>
  <w:style w:type="character" w:styleId="Hyperlink">
    <w:name w:val="Hyperlink"/>
    <w:basedOn w:val="DefaultParagraphFont"/>
    <w:uiPriority w:val="99"/>
    <w:unhideWhenUsed/>
    <w:rsid w:val="001A2207"/>
    <w:rPr>
      <w:color w:val="0563C1" w:themeColor="hyperlink"/>
      <w:u w:val="single"/>
    </w:rPr>
  </w:style>
  <w:style w:type="character" w:customStyle="1" w:styleId="UnresolvedMention1">
    <w:name w:val="Unresolved Mention1"/>
    <w:basedOn w:val="DefaultParagraphFont"/>
    <w:uiPriority w:val="99"/>
    <w:semiHidden/>
    <w:unhideWhenUsed/>
    <w:rsid w:val="001A2207"/>
    <w:rPr>
      <w:color w:val="605E5C"/>
      <w:shd w:val="clear" w:color="auto" w:fill="E1DFDD"/>
    </w:rPr>
  </w:style>
  <w:style w:type="character" w:styleId="CommentReference">
    <w:name w:val="annotation reference"/>
    <w:basedOn w:val="DefaultParagraphFont"/>
    <w:uiPriority w:val="99"/>
    <w:semiHidden/>
    <w:unhideWhenUsed/>
    <w:rsid w:val="007349E2"/>
    <w:rPr>
      <w:sz w:val="16"/>
      <w:szCs w:val="16"/>
    </w:rPr>
  </w:style>
  <w:style w:type="paragraph" w:styleId="CommentText">
    <w:name w:val="annotation text"/>
    <w:basedOn w:val="Normal"/>
    <w:link w:val="CommentTextChar"/>
    <w:uiPriority w:val="99"/>
    <w:semiHidden/>
    <w:unhideWhenUsed/>
    <w:rsid w:val="007349E2"/>
    <w:rPr>
      <w:sz w:val="20"/>
      <w:szCs w:val="20"/>
    </w:rPr>
  </w:style>
  <w:style w:type="character" w:customStyle="1" w:styleId="CommentTextChar">
    <w:name w:val="Comment Text Char"/>
    <w:basedOn w:val="DefaultParagraphFont"/>
    <w:link w:val="CommentText"/>
    <w:uiPriority w:val="99"/>
    <w:semiHidden/>
    <w:rsid w:val="007349E2"/>
    <w:rPr>
      <w:sz w:val="20"/>
      <w:szCs w:val="20"/>
    </w:rPr>
  </w:style>
  <w:style w:type="paragraph" w:styleId="CommentSubject">
    <w:name w:val="annotation subject"/>
    <w:basedOn w:val="CommentText"/>
    <w:next w:val="CommentText"/>
    <w:link w:val="CommentSubjectChar"/>
    <w:uiPriority w:val="99"/>
    <w:semiHidden/>
    <w:unhideWhenUsed/>
    <w:rsid w:val="007349E2"/>
    <w:rPr>
      <w:b/>
      <w:bCs/>
    </w:rPr>
  </w:style>
  <w:style w:type="character" w:customStyle="1" w:styleId="CommentSubjectChar">
    <w:name w:val="Comment Subject Char"/>
    <w:basedOn w:val="CommentTextChar"/>
    <w:link w:val="CommentSubject"/>
    <w:uiPriority w:val="99"/>
    <w:semiHidden/>
    <w:rsid w:val="007349E2"/>
    <w:rPr>
      <w:b/>
      <w:bCs/>
      <w:sz w:val="20"/>
      <w:szCs w:val="20"/>
    </w:rPr>
  </w:style>
  <w:style w:type="paragraph" w:styleId="Footer">
    <w:name w:val="footer"/>
    <w:basedOn w:val="Normal"/>
    <w:link w:val="FooterChar"/>
    <w:uiPriority w:val="99"/>
    <w:unhideWhenUsed/>
    <w:rsid w:val="002B07BF"/>
    <w:pPr>
      <w:tabs>
        <w:tab w:val="center" w:pos="4819"/>
        <w:tab w:val="right" w:pos="9638"/>
      </w:tabs>
    </w:pPr>
  </w:style>
  <w:style w:type="character" w:customStyle="1" w:styleId="FooterChar">
    <w:name w:val="Footer Char"/>
    <w:basedOn w:val="DefaultParagraphFont"/>
    <w:link w:val="Footer"/>
    <w:uiPriority w:val="99"/>
    <w:rsid w:val="002B07BF"/>
  </w:style>
  <w:style w:type="character" w:styleId="PageNumber">
    <w:name w:val="page number"/>
    <w:basedOn w:val="DefaultParagraphFont"/>
    <w:uiPriority w:val="99"/>
    <w:semiHidden/>
    <w:unhideWhenUsed/>
    <w:rsid w:val="002B07BF"/>
  </w:style>
  <w:style w:type="paragraph" w:styleId="Header">
    <w:name w:val="header"/>
    <w:basedOn w:val="Normal"/>
    <w:link w:val="HeaderChar"/>
    <w:uiPriority w:val="99"/>
    <w:unhideWhenUsed/>
    <w:rsid w:val="00A21503"/>
    <w:pPr>
      <w:tabs>
        <w:tab w:val="center" w:pos="4513"/>
        <w:tab w:val="right" w:pos="9026"/>
      </w:tabs>
    </w:pPr>
  </w:style>
  <w:style w:type="character" w:customStyle="1" w:styleId="HeaderChar">
    <w:name w:val="Header Char"/>
    <w:basedOn w:val="DefaultParagraphFont"/>
    <w:link w:val="Header"/>
    <w:uiPriority w:val="99"/>
    <w:rsid w:val="00A2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docid/453883fd1f.html"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efworld.org/docid/45139c394.html"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isabilities/documents/convention/convoptprot-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hchr.org/en/professionalinterest/pages/cedaw.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ohchr.org/en/professionalinterest/pages/cerd.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248709-77FD-44B5-AC2F-3C7E83A1487B}"/>
</file>

<file path=customXml/itemProps2.xml><?xml version="1.0" encoding="utf-8"?>
<ds:datastoreItem xmlns:ds="http://schemas.openxmlformats.org/officeDocument/2006/customXml" ds:itemID="{6EC516D3-35E7-44E4-B9F1-800A1B83912B}"/>
</file>

<file path=customXml/itemProps3.xml><?xml version="1.0" encoding="utf-8"?>
<ds:datastoreItem xmlns:ds="http://schemas.openxmlformats.org/officeDocument/2006/customXml" ds:itemID="{62DB42B5-3CA6-445D-A312-33EB9BBAA6C0}"/>
</file>

<file path=docProps/app.xml><?xml version="1.0" encoding="utf-8"?>
<Properties xmlns="http://schemas.openxmlformats.org/officeDocument/2006/extended-properties" xmlns:vt="http://schemas.openxmlformats.org/officeDocument/2006/docPropsVTypes">
  <Template>Normal.dotm</Template>
  <TotalTime>1</TotalTime>
  <Pages>5</Pages>
  <Words>2266</Words>
  <Characters>12918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Scheinin, Martin</dc:creator>
  <cp:keywords/>
  <dc:description/>
  <cp:lastModifiedBy>ROSNIANSKY Cherry Lou</cp:lastModifiedBy>
  <cp:revision>2</cp:revision>
  <cp:lastPrinted>2020-02-06T13:25:00Z</cp:lastPrinted>
  <dcterms:created xsi:type="dcterms:W3CDTF">2020-02-13T12:30:00Z</dcterms:created>
  <dcterms:modified xsi:type="dcterms:W3CDTF">2020-02-13T12:30:00Z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