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BE3D4" w14:textId="34286056" w:rsidR="00F306BD" w:rsidRDefault="00F306BD" w:rsidP="00F306BD">
      <w:pPr>
        <w:pStyle w:val="Body"/>
        <w:jc w:val="center"/>
        <w:rPr>
          <w:rFonts w:ascii="Arial" w:hAnsi="Arial" w:cs="Arial"/>
          <w:b/>
          <w:bCs/>
        </w:rPr>
      </w:pPr>
      <w:r>
        <w:rPr>
          <w:rFonts w:ascii="Arial" w:hAnsi="Arial" w:cs="Arial"/>
          <w:b/>
          <w:bCs/>
        </w:rPr>
        <w:t>Situation of Environmental Human Rights Defenders</w:t>
      </w:r>
    </w:p>
    <w:p w14:paraId="1F472510" w14:textId="196FA7FA" w:rsidR="00F306BD" w:rsidRDefault="00F306BD" w:rsidP="00F306BD">
      <w:pPr>
        <w:pStyle w:val="Body"/>
        <w:jc w:val="center"/>
        <w:rPr>
          <w:rFonts w:ascii="Times New Roman" w:hAnsi="Times New Roman"/>
        </w:rPr>
      </w:pPr>
      <w:r>
        <w:rPr>
          <w:rFonts w:ascii="Arial" w:hAnsi="Arial" w:cs="Arial"/>
          <w:b/>
          <w:bCs/>
        </w:rPr>
        <w:t>S</w:t>
      </w:r>
      <w:r w:rsidRPr="00725170">
        <w:rPr>
          <w:rFonts w:ascii="Arial" w:hAnsi="Arial" w:cs="Arial"/>
          <w:b/>
          <w:bCs/>
        </w:rPr>
        <w:t>ubmission to the UN Human Rights Committee for the drafting of its General Comment No.37 on Article 21 (right of peaceful assembly)</w:t>
      </w:r>
    </w:p>
    <w:p w14:paraId="5D0CAF57" w14:textId="77777777" w:rsidR="00F306BD" w:rsidRDefault="00F306BD">
      <w:pPr>
        <w:pStyle w:val="Body"/>
        <w:rPr>
          <w:rFonts w:ascii="Times New Roman" w:hAnsi="Times New Roman"/>
        </w:rPr>
      </w:pPr>
    </w:p>
    <w:p w14:paraId="245D09FB" w14:textId="4C8EF03F" w:rsidR="00F306BD" w:rsidRPr="005825C9" w:rsidRDefault="005825C9">
      <w:pPr>
        <w:pStyle w:val="Body"/>
        <w:rPr>
          <w:rFonts w:ascii="Times New Roman" w:hAnsi="Times New Roman"/>
          <w:u w:val="single"/>
        </w:rPr>
      </w:pPr>
      <w:r w:rsidRPr="005825C9">
        <w:rPr>
          <w:rFonts w:ascii="Times New Roman" w:hAnsi="Times New Roman"/>
          <w:u w:val="single"/>
        </w:rPr>
        <w:t>Date:</w:t>
      </w:r>
    </w:p>
    <w:p w14:paraId="4DABA2BC" w14:textId="22A37495" w:rsidR="005825C9" w:rsidRDefault="005825C9">
      <w:pPr>
        <w:pStyle w:val="Body"/>
        <w:rPr>
          <w:rFonts w:ascii="Times New Roman" w:hAnsi="Times New Roman"/>
        </w:rPr>
      </w:pPr>
      <w:r>
        <w:rPr>
          <w:rFonts w:ascii="Times New Roman" w:hAnsi="Times New Roman"/>
        </w:rPr>
        <w:t>21 February 2020</w:t>
      </w:r>
    </w:p>
    <w:p w14:paraId="56BDE29E" w14:textId="77777777" w:rsidR="005825C9" w:rsidRDefault="005825C9">
      <w:pPr>
        <w:pStyle w:val="Body"/>
        <w:rPr>
          <w:rFonts w:ascii="Times New Roman" w:hAnsi="Times New Roman"/>
        </w:rPr>
      </w:pPr>
    </w:p>
    <w:p w14:paraId="2054B3DC" w14:textId="6C84B1F2" w:rsidR="00F306BD" w:rsidRPr="00F306BD" w:rsidRDefault="00F306BD">
      <w:pPr>
        <w:pStyle w:val="Body"/>
        <w:rPr>
          <w:rFonts w:ascii="Times New Roman" w:hAnsi="Times New Roman"/>
          <w:u w:val="single"/>
        </w:rPr>
      </w:pPr>
      <w:r w:rsidRPr="00F306BD">
        <w:rPr>
          <w:rFonts w:ascii="Times New Roman" w:hAnsi="Times New Roman"/>
          <w:u w:val="single"/>
        </w:rPr>
        <w:t>Submission:</w:t>
      </w:r>
    </w:p>
    <w:p w14:paraId="25B51B34" w14:textId="77777777" w:rsidR="00F306BD" w:rsidRDefault="00F306BD">
      <w:pPr>
        <w:pStyle w:val="Body"/>
        <w:rPr>
          <w:rFonts w:ascii="Times New Roman" w:hAnsi="Times New Roman"/>
        </w:rPr>
      </w:pPr>
    </w:p>
    <w:p w14:paraId="2ADF6A4A" w14:textId="07658785" w:rsidR="00507953" w:rsidRPr="00F306BD" w:rsidRDefault="00522EB3">
      <w:pPr>
        <w:pStyle w:val="Body"/>
        <w:rPr>
          <w:rFonts w:ascii="Times New Roman" w:eastAsia="Times New Roman" w:hAnsi="Times New Roman" w:cs="Times New Roman"/>
        </w:rPr>
      </w:pPr>
      <w:r>
        <w:rPr>
          <w:rFonts w:ascii="Times New Roman" w:hAnsi="Times New Roman"/>
        </w:rPr>
        <w:t>Key areas we would like to amend or strengthen:</w:t>
      </w:r>
    </w:p>
    <w:p w14:paraId="57FD6289" w14:textId="77777777" w:rsidR="00507953" w:rsidRDefault="00507953">
      <w:pPr>
        <w:pStyle w:val="Body"/>
      </w:pPr>
      <w:bookmarkStart w:id="0" w:name="_GoBack"/>
      <w:bookmarkEnd w:id="0"/>
    </w:p>
    <w:p w14:paraId="2EBA10D1" w14:textId="77777777" w:rsidR="00507953" w:rsidRDefault="00522EB3">
      <w:pPr>
        <w:pStyle w:val="Body"/>
        <w:numPr>
          <w:ilvl w:val="0"/>
          <w:numId w:val="2"/>
        </w:numPr>
        <w:rPr>
          <w:rFonts w:ascii="Cambria" w:eastAsia="Cambria" w:hAnsi="Cambria" w:cs="Cambria"/>
        </w:rPr>
      </w:pPr>
      <w:r>
        <w:rPr>
          <w:rFonts w:ascii="Cambria" w:eastAsia="Cambria" w:hAnsi="Cambria" w:cs="Cambria"/>
        </w:rPr>
        <w:t>Paragraph 28.</w:t>
      </w:r>
    </w:p>
    <w:p w14:paraId="3323DCBF" w14:textId="77777777" w:rsidR="00507953" w:rsidRDefault="00507953">
      <w:pPr>
        <w:pStyle w:val="Body"/>
        <w:rPr>
          <w:rFonts w:ascii="Cambria" w:eastAsia="Cambria" w:hAnsi="Cambria" w:cs="Cambria"/>
        </w:rPr>
      </w:pPr>
    </w:p>
    <w:p w14:paraId="01D8556C" w14:textId="77777777" w:rsidR="00507953" w:rsidRDefault="00522EB3">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after="120" w:line="240" w:lineRule="atLeast"/>
        <w:ind w:left="1134" w:right="1134"/>
        <w:jc w:val="both"/>
        <w:rPr>
          <w:rFonts w:ascii="Cambria" w:eastAsia="Cambria" w:hAnsi="Cambria" w:cs="Cambria"/>
          <w:sz w:val="20"/>
          <w:szCs w:val="20"/>
          <w:u w:color="000000"/>
        </w:rPr>
      </w:pPr>
      <w:r>
        <w:rPr>
          <w:rFonts w:ascii="Times New Roman" w:hAnsi="Times New Roman"/>
          <w:sz w:val="20"/>
          <w:szCs w:val="20"/>
          <w:u w:color="000000"/>
        </w:rPr>
        <w:t xml:space="preserve">28. </w:t>
      </w:r>
      <w:r>
        <w:rPr>
          <w:rFonts w:ascii="Times New Roman" w:hAnsi="Times New Roman"/>
          <w:sz w:val="20"/>
          <w:szCs w:val="20"/>
          <w:u w:color="000000"/>
        </w:rPr>
        <w:tab/>
        <w:t>States must not deal with assemblies in a discriminatory manner, for example on the basis of nationality, race, ethnicity, age, political opinion, religion, belief, minority status, disability, sexual orientation or gender identity.</w:t>
      </w:r>
      <w:r>
        <w:rPr>
          <w:rFonts w:ascii="Times New Roman" w:eastAsia="Times New Roman" w:hAnsi="Times New Roman" w:cs="Times New Roman"/>
          <w:sz w:val="20"/>
          <w:szCs w:val="20"/>
          <w:u w:color="000000"/>
          <w:vertAlign w:val="superscript"/>
          <w:lang w:val="fr-FR"/>
        </w:rPr>
        <w:footnoteReference w:id="2"/>
      </w:r>
      <w:r>
        <w:rPr>
          <w:rFonts w:ascii="Times New Roman" w:hAnsi="Times New Roman"/>
          <w:sz w:val="20"/>
          <w:szCs w:val="20"/>
          <w:u w:color="000000"/>
        </w:rPr>
        <w:t>. Particular efforts should be made to ensure equal and effective protection of the right of peaceful assembly of individuals who are members of groups who are or have been subjected to discrimination.</w:t>
      </w:r>
      <w:r>
        <w:rPr>
          <w:rFonts w:ascii="Times New Roman" w:eastAsia="Times New Roman" w:hAnsi="Times New Roman" w:cs="Times New Roman"/>
          <w:sz w:val="20"/>
          <w:szCs w:val="20"/>
          <w:u w:color="000000"/>
          <w:vertAlign w:val="superscript"/>
          <w:lang w:val="fr-FR"/>
        </w:rPr>
        <w:footnoteReference w:id="3"/>
      </w:r>
      <w:r>
        <w:rPr>
          <w:rFonts w:ascii="Times New Roman" w:hAnsi="Times New Roman"/>
          <w:sz w:val="20"/>
          <w:szCs w:val="20"/>
          <w:u w:color="000000"/>
        </w:rPr>
        <w:t xml:space="preserve"> This includes the duty to protect participants from homophobic, sexual or gender-based attacks.</w:t>
      </w:r>
      <w:r>
        <w:rPr>
          <w:rFonts w:ascii="Times New Roman" w:eastAsia="Times New Roman" w:hAnsi="Times New Roman" w:cs="Times New Roman"/>
          <w:sz w:val="20"/>
          <w:szCs w:val="20"/>
          <w:u w:color="000000"/>
          <w:vertAlign w:val="superscript"/>
          <w:lang w:val="fr-FR"/>
        </w:rPr>
        <w:footnoteReference w:id="4"/>
      </w:r>
    </w:p>
    <w:p w14:paraId="6351AF07" w14:textId="77777777" w:rsidR="00507953" w:rsidRDefault="00507953">
      <w:pPr>
        <w:pStyle w:val="Body"/>
        <w:rPr>
          <w:rFonts w:ascii="Cambria" w:eastAsia="Cambria" w:hAnsi="Cambria" w:cs="Cambria"/>
        </w:rPr>
      </w:pPr>
    </w:p>
    <w:p w14:paraId="6DF6B4A7" w14:textId="2E14B737" w:rsidR="003D382F" w:rsidRPr="00B007EE" w:rsidRDefault="004866BE" w:rsidP="00B007E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20" w:lineRule="atLeast"/>
        <w:rPr>
          <w:rFonts w:ascii="Times" w:hAnsi="Times" w:cs="Times"/>
          <w:lang w:eastAsia="en-GB"/>
        </w:rPr>
      </w:pPr>
      <w:r>
        <w:rPr>
          <w:rFonts w:asciiTheme="minorBidi" w:eastAsia="Cambria" w:hAnsiTheme="minorBidi" w:cs="Cambria"/>
          <w:sz w:val="22"/>
          <w:szCs w:val="22"/>
        </w:rPr>
        <w:t>N1M proposes</w:t>
      </w:r>
      <w:r w:rsidR="00522EB3" w:rsidRPr="003D382F">
        <w:rPr>
          <w:rFonts w:asciiTheme="minorBidi" w:eastAsia="Cambria" w:hAnsiTheme="minorBidi" w:cs="Cambria"/>
          <w:sz w:val="22"/>
          <w:szCs w:val="22"/>
        </w:rPr>
        <w:t xml:space="preserve"> the inclusion of environmental human rights defenders in this paragraph. </w:t>
      </w:r>
      <w:r w:rsidR="00013EFE" w:rsidRPr="003D382F">
        <w:rPr>
          <w:rFonts w:asciiTheme="minorBidi" w:eastAsia="Cambria" w:hAnsiTheme="minorBidi" w:cs="Cambria"/>
          <w:sz w:val="22"/>
          <w:szCs w:val="22"/>
        </w:rPr>
        <w:t xml:space="preserve">The Human Rights Council resolution 40/11 ‘Recognizing the contribution of </w:t>
      </w:r>
      <w:r w:rsidR="00013EFE" w:rsidRPr="003D382F">
        <w:rPr>
          <w:rFonts w:asciiTheme="minorBidi" w:eastAsia="Cambria" w:hAnsiTheme="minorBidi" w:cs="Cambria"/>
          <w:color w:val="000000"/>
          <w:sz w:val="22"/>
          <w:szCs w:val="22"/>
        </w:rPr>
        <w:t>environmental human rights defenders</w:t>
      </w:r>
      <w:r w:rsidR="00013EFE" w:rsidRPr="003D382F">
        <w:rPr>
          <w:rFonts w:asciiTheme="minorBidi" w:eastAsia="Cambria" w:hAnsiTheme="minorBidi" w:cs="Cambria"/>
          <w:sz w:val="22"/>
          <w:szCs w:val="22"/>
        </w:rPr>
        <w:t xml:space="preserve"> to the enjoyment of human rights, environmental protection and sustainable development’ sets out the rights and significance of environmental human rights defenders </w:t>
      </w:r>
      <w:r w:rsidR="00013EFE" w:rsidRPr="003D382F">
        <w:rPr>
          <w:rFonts w:asciiTheme="minorBidi" w:eastAsia="Cambria" w:hAnsiTheme="minorBidi" w:cs="Cambria"/>
          <w:sz w:val="22"/>
          <w:szCs w:val="22"/>
        </w:rPr>
        <w:lastRenderedPageBreak/>
        <w:t>(EHRDs) and the high levels of discrimination and violence that they face. The rate killings of environmental defenders has been increasing, and b</w:t>
      </w:r>
      <w:r w:rsidR="00013EFE" w:rsidRPr="003D382F">
        <w:rPr>
          <w:rFonts w:asciiTheme="minorBidi" w:hAnsiTheme="minorBidi"/>
          <w:sz w:val="22"/>
          <w:szCs w:val="22"/>
        </w:rPr>
        <w:t xml:space="preserve">etween 2002 and 2017, in total at least 1558 people in 50 countries </w:t>
      </w:r>
      <w:proofErr w:type="gramStart"/>
      <w:r w:rsidR="00013EFE" w:rsidRPr="003D382F">
        <w:rPr>
          <w:rFonts w:asciiTheme="minorBidi" w:hAnsiTheme="minorBidi"/>
          <w:sz w:val="22"/>
          <w:szCs w:val="22"/>
        </w:rPr>
        <w:t>were killed</w:t>
      </w:r>
      <w:proofErr w:type="gramEnd"/>
      <w:r w:rsidR="00013EFE" w:rsidRPr="003D382F">
        <w:rPr>
          <w:rFonts w:asciiTheme="minorBidi" w:hAnsiTheme="minorBidi"/>
          <w:sz w:val="22"/>
          <w:szCs w:val="22"/>
        </w:rPr>
        <w:t xml:space="preserve"> for </w:t>
      </w:r>
      <w:r w:rsidR="00013EFE" w:rsidRPr="003D382F">
        <w:rPr>
          <w:rFonts w:asciiTheme="minorBidi" w:eastAsia="Cambria" w:hAnsiTheme="minorBidi" w:cs="Cambria"/>
          <w:sz w:val="22"/>
          <w:szCs w:val="22"/>
        </w:rPr>
        <w:t>defending their environments and land rights</w:t>
      </w:r>
      <w:r w:rsidR="00013EFE" w:rsidRPr="003D382F">
        <w:rPr>
          <w:rFonts w:asciiTheme="minorBidi" w:eastAsia="Cambria" w:hAnsiTheme="minorBidi" w:cs="Cambria"/>
          <w:sz w:val="22"/>
          <w:szCs w:val="22"/>
          <w:vertAlign w:val="superscript"/>
        </w:rPr>
        <w:footnoteReference w:id="5"/>
      </w:r>
      <w:r w:rsidR="00013EFE" w:rsidRPr="003D382F">
        <w:rPr>
          <w:rFonts w:asciiTheme="minorBidi" w:eastAsia="Cambria" w:hAnsiTheme="minorBidi" w:cs="Cambria"/>
          <w:sz w:val="22"/>
          <w:szCs w:val="22"/>
        </w:rPr>
        <w:t>.</w:t>
      </w:r>
      <w:r w:rsidR="00640B82" w:rsidRPr="003D382F">
        <w:rPr>
          <w:rFonts w:asciiTheme="minorBidi" w:eastAsia="Cambria" w:hAnsiTheme="minorBidi" w:cs="Cambria"/>
          <w:sz w:val="22"/>
          <w:szCs w:val="22"/>
        </w:rPr>
        <w:t xml:space="preserve"> </w:t>
      </w:r>
      <w:r w:rsidR="00EE5591">
        <w:rPr>
          <w:rFonts w:asciiTheme="minorBidi" w:eastAsia="Cambria" w:hAnsiTheme="minorBidi" w:cs="Cambria"/>
          <w:sz w:val="22"/>
          <w:szCs w:val="22"/>
        </w:rPr>
        <w:t>In 2018 at least 164</w:t>
      </w:r>
      <w:r w:rsidR="00B007EE">
        <w:rPr>
          <w:rFonts w:asciiTheme="minorBidi" w:eastAsia="Cambria" w:hAnsiTheme="minorBidi" w:cs="Cambria"/>
          <w:sz w:val="22"/>
          <w:szCs w:val="22"/>
        </w:rPr>
        <w:t xml:space="preserve"> environmental </w:t>
      </w:r>
      <w:r w:rsidR="00EE5591">
        <w:rPr>
          <w:rFonts w:asciiTheme="minorBidi" w:eastAsia="Cambria" w:hAnsiTheme="minorBidi" w:cs="Cambria"/>
          <w:sz w:val="22"/>
          <w:szCs w:val="22"/>
        </w:rPr>
        <w:t xml:space="preserve">and land </w:t>
      </w:r>
      <w:r w:rsidR="00B007EE">
        <w:rPr>
          <w:rFonts w:asciiTheme="minorBidi" w:eastAsia="Cambria" w:hAnsiTheme="minorBidi" w:cs="Cambria"/>
          <w:sz w:val="22"/>
          <w:szCs w:val="22"/>
        </w:rPr>
        <w:t>rights defenders were killed according to research by Global Witness</w:t>
      </w:r>
      <w:r w:rsidR="00EE5591">
        <w:rPr>
          <w:rStyle w:val="FootnoteReference"/>
          <w:rFonts w:asciiTheme="minorBidi" w:eastAsia="Cambria" w:hAnsiTheme="minorBidi" w:cs="Cambria"/>
          <w:sz w:val="22"/>
          <w:szCs w:val="22"/>
        </w:rPr>
        <w:footnoteReference w:id="6"/>
      </w:r>
      <w:r w:rsidR="00B007EE">
        <w:rPr>
          <w:rFonts w:asciiTheme="minorBidi" w:eastAsia="Cambria" w:hAnsiTheme="minorBidi" w:cs="Cambria"/>
          <w:sz w:val="22"/>
          <w:szCs w:val="22"/>
        </w:rPr>
        <w:t xml:space="preserve">. </w:t>
      </w:r>
      <w:r w:rsidR="00FC5834" w:rsidRPr="003D382F">
        <w:rPr>
          <w:rFonts w:asciiTheme="minorBidi" w:eastAsia="Cambria" w:hAnsiTheme="minorBidi" w:cs="Cambria"/>
          <w:sz w:val="22"/>
          <w:szCs w:val="22"/>
        </w:rPr>
        <w:t>Of the human r</w:t>
      </w:r>
      <w:r w:rsidR="003D382F" w:rsidRPr="003D382F">
        <w:rPr>
          <w:rFonts w:asciiTheme="minorBidi" w:eastAsia="Cambria" w:hAnsiTheme="minorBidi" w:cs="Cambria"/>
          <w:sz w:val="22"/>
          <w:szCs w:val="22"/>
        </w:rPr>
        <w:t>ights defenders murdered in 2019, Frontline Defenders reports that an estimated 40% were working to defend land and environmental rights</w:t>
      </w:r>
      <w:r w:rsidR="003D382F">
        <w:rPr>
          <w:rStyle w:val="FootnoteReference"/>
          <w:rFonts w:asciiTheme="minorBidi" w:eastAsia="Cambria" w:hAnsiTheme="minorBidi" w:cs="Cambria"/>
          <w:sz w:val="22"/>
          <w:szCs w:val="22"/>
        </w:rPr>
        <w:footnoteReference w:id="7"/>
      </w:r>
      <w:r w:rsidR="003D382F" w:rsidRPr="003D382F">
        <w:rPr>
          <w:rFonts w:asciiTheme="minorBidi" w:eastAsia="Cambria" w:hAnsiTheme="minorBidi" w:cs="Cambria"/>
          <w:sz w:val="22"/>
          <w:szCs w:val="22"/>
        </w:rPr>
        <w:t xml:space="preserve">. In her statement to the Human Rights Council in September 2019, Victoria </w:t>
      </w:r>
      <w:proofErr w:type="spellStart"/>
      <w:r w:rsidR="003D382F" w:rsidRPr="003D382F">
        <w:rPr>
          <w:rFonts w:asciiTheme="minorBidi" w:eastAsia="Cambria" w:hAnsiTheme="minorBidi" w:cs="Cambria"/>
          <w:sz w:val="22"/>
          <w:szCs w:val="22"/>
        </w:rPr>
        <w:t>Tauli-Corpuz</w:t>
      </w:r>
      <w:proofErr w:type="spellEnd"/>
      <w:r w:rsidR="003D382F" w:rsidRPr="003D382F">
        <w:rPr>
          <w:rFonts w:asciiTheme="minorBidi" w:eastAsia="Cambria" w:hAnsiTheme="minorBidi" w:cs="Cambria"/>
          <w:sz w:val="22"/>
          <w:szCs w:val="22"/>
        </w:rPr>
        <w:t xml:space="preserve">, Special Rapporteur on the rights of Indigenous Peoples reported that, “extractive activities within indigenous peoples’ lands and territories undertaken without adequate consultation or consent are the main source of serious violations of their human rights, including violence, </w:t>
      </w:r>
      <w:proofErr w:type="spellStart"/>
      <w:r w:rsidR="003D382F" w:rsidRPr="003D382F">
        <w:rPr>
          <w:rFonts w:asciiTheme="minorBidi" w:eastAsia="Cambria" w:hAnsiTheme="minorBidi" w:cs="Cambria"/>
          <w:sz w:val="22"/>
          <w:szCs w:val="22"/>
        </w:rPr>
        <w:t>criminalisation</w:t>
      </w:r>
      <w:proofErr w:type="spellEnd"/>
      <w:r w:rsidR="003D382F" w:rsidRPr="003D382F">
        <w:rPr>
          <w:rFonts w:asciiTheme="minorBidi" w:eastAsia="Cambria" w:hAnsiTheme="minorBidi" w:cs="Cambria"/>
          <w:sz w:val="22"/>
          <w:szCs w:val="22"/>
        </w:rPr>
        <w:t xml:space="preserve"> and forced displacement”.</w:t>
      </w:r>
      <w:r w:rsidR="00B007EE">
        <w:rPr>
          <w:rFonts w:asciiTheme="minorBidi" w:eastAsia="Cambria" w:hAnsiTheme="minorBidi" w:cs="Cambria"/>
          <w:sz w:val="22"/>
          <w:szCs w:val="22"/>
        </w:rPr>
        <w:t xml:space="preserve"> Environmental human rights defenders have been specifically mentioned in Convention on Civil and Political Rights reports as those facing restrictions or persecution, such as </w:t>
      </w:r>
      <w:r w:rsidR="00B007EE" w:rsidRPr="00B007EE">
        <w:rPr>
          <w:rFonts w:asciiTheme="minorBidi" w:eastAsia="Cambria" w:hAnsiTheme="minorBidi" w:cs="Cambria"/>
          <w:sz w:val="22"/>
          <w:szCs w:val="22"/>
        </w:rPr>
        <w:t xml:space="preserve">Nguyen Ngoc </w:t>
      </w:r>
      <w:proofErr w:type="spellStart"/>
      <w:r w:rsidR="00B007EE" w:rsidRPr="00B007EE">
        <w:rPr>
          <w:rFonts w:asciiTheme="minorBidi" w:eastAsia="Cambria" w:hAnsiTheme="minorBidi" w:cs="Cambria"/>
          <w:sz w:val="22"/>
          <w:szCs w:val="22"/>
        </w:rPr>
        <w:t>Nhu</w:t>
      </w:r>
      <w:proofErr w:type="spellEnd"/>
      <w:r w:rsidR="00B007EE" w:rsidRPr="00B007EE">
        <w:rPr>
          <w:rFonts w:asciiTheme="minorBidi" w:eastAsia="Cambria" w:hAnsiTheme="minorBidi" w:cs="Cambria"/>
          <w:sz w:val="22"/>
          <w:szCs w:val="22"/>
        </w:rPr>
        <w:t xml:space="preserve"> </w:t>
      </w:r>
      <w:proofErr w:type="spellStart"/>
      <w:r w:rsidR="00B007EE" w:rsidRPr="00B007EE">
        <w:rPr>
          <w:rFonts w:asciiTheme="minorBidi" w:eastAsia="Cambria" w:hAnsiTheme="minorBidi" w:cs="Cambria"/>
          <w:sz w:val="22"/>
          <w:szCs w:val="22"/>
        </w:rPr>
        <w:t>Quynh</w:t>
      </w:r>
      <w:proofErr w:type="spellEnd"/>
      <w:r w:rsidR="00B007EE" w:rsidRPr="00B007EE">
        <w:rPr>
          <w:rFonts w:asciiTheme="minorBidi" w:eastAsia="Cambria" w:hAnsiTheme="minorBidi" w:cs="Cambria"/>
          <w:sz w:val="22"/>
          <w:szCs w:val="22"/>
        </w:rPr>
        <w:t xml:space="preserve"> </w:t>
      </w:r>
      <w:r w:rsidR="00B007EE">
        <w:rPr>
          <w:rFonts w:asciiTheme="minorBidi" w:eastAsia="Cambria" w:hAnsiTheme="minorBidi" w:cs="Cambria"/>
          <w:sz w:val="22"/>
          <w:szCs w:val="22"/>
        </w:rPr>
        <w:t>in Vietnam</w:t>
      </w:r>
      <w:r w:rsidR="00B007EE">
        <w:rPr>
          <w:rStyle w:val="FootnoteReference"/>
          <w:rFonts w:asciiTheme="minorBidi" w:eastAsia="Cambria" w:hAnsiTheme="minorBidi" w:cs="Cambria"/>
          <w:sz w:val="22"/>
          <w:szCs w:val="22"/>
        </w:rPr>
        <w:footnoteReference w:id="8"/>
      </w:r>
      <w:r w:rsidR="00B007EE">
        <w:rPr>
          <w:rFonts w:asciiTheme="minorBidi" w:eastAsia="Cambria" w:hAnsiTheme="minorBidi" w:cs="Cambria"/>
          <w:sz w:val="22"/>
          <w:szCs w:val="22"/>
        </w:rPr>
        <w:t>.</w:t>
      </w:r>
    </w:p>
    <w:p w14:paraId="4FB4927C" w14:textId="5D6C8A0A" w:rsidR="00507953" w:rsidRPr="003D382F" w:rsidRDefault="00522EB3">
      <w:pPr>
        <w:pStyle w:val="Body"/>
        <w:rPr>
          <w:rFonts w:asciiTheme="minorBidi" w:eastAsia="Cambria" w:hAnsiTheme="minorBidi" w:cs="Cambria"/>
        </w:rPr>
      </w:pPr>
      <w:r w:rsidRPr="003D382F">
        <w:rPr>
          <w:rFonts w:asciiTheme="minorBidi" w:eastAsia="Cambria" w:hAnsiTheme="minorBidi" w:cs="Cambria"/>
        </w:rPr>
        <w:t>Our suggested wording:</w:t>
      </w:r>
    </w:p>
    <w:p w14:paraId="5D6481F3" w14:textId="77777777" w:rsidR="00507953" w:rsidRPr="003D382F" w:rsidRDefault="00507953" w:rsidP="003D382F">
      <w:pPr>
        <w:pStyle w:val="Body"/>
        <w:ind w:left="1134" w:right="1133"/>
        <w:jc w:val="both"/>
        <w:rPr>
          <w:rFonts w:asciiTheme="minorBidi" w:eastAsia="Cambria" w:hAnsiTheme="minorBidi" w:cs="Cambria"/>
        </w:rPr>
      </w:pPr>
    </w:p>
    <w:p w14:paraId="73DA3E7C" w14:textId="77777777" w:rsidR="00507953" w:rsidRPr="003D382F" w:rsidRDefault="00522EB3" w:rsidP="003D382F">
      <w:pPr>
        <w:pStyle w:val="Body"/>
        <w:ind w:left="1134" w:right="1133"/>
        <w:jc w:val="both"/>
        <w:rPr>
          <w:rFonts w:asciiTheme="minorBidi" w:eastAsia="Cambria" w:hAnsiTheme="minorBidi" w:cs="Cambria"/>
          <w:b/>
          <w:bCs/>
          <w:i/>
          <w:iCs/>
        </w:rPr>
      </w:pPr>
      <w:r w:rsidRPr="003D382F">
        <w:rPr>
          <w:rFonts w:asciiTheme="minorBidi" w:eastAsia="Cambria" w:hAnsiTheme="minorBidi" w:cs="Cambria"/>
          <w:i/>
          <w:iCs/>
        </w:rPr>
        <w:t xml:space="preserve">States must not deal with assemblies in a discriminatory manner, for example on the basis of nationality, race, ethnicity, age, political opinion, religion, belief, minority status, disability, sexual orientation or gender identity. Particular efforts should be made to ensure equal and effective protection of the right of peaceful assembly of individuals who </w:t>
      </w:r>
      <w:r w:rsidRPr="003D382F">
        <w:rPr>
          <w:rFonts w:asciiTheme="minorBidi" w:eastAsia="Cambria" w:hAnsiTheme="minorBidi" w:cs="Cambria"/>
          <w:i/>
          <w:iCs/>
        </w:rPr>
        <w:lastRenderedPageBreak/>
        <w:t>are members of groups who are or have been subjected to discrimination.</w:t>
      </w:r>
      <w:r w:rsidRPr="003D382F">
        <w:rPr>
          <w:rFonts w:asciiTheme="minorBidi" w:eastAsia="Cambria" w:hAnsiTheme="minorBidi" w:cs="Cambria"/>
          <w:b/>
          <w:bCs/>
          <w:i/>
          <w:iCs/>
        </w:rPr>
        <w:t xml:space="preserve"> </w:t>
      </w:r>
      <w:r w:rsidRPr="003D382F">
        <w:rPr>
          <w:rFonts w:asciiTheme="minorBidi" w:hAnsiTheme="minorBidi"/>
          <w:i/>
          <w:iCs/>
        </w:rPr>
        <w:t>This includes the duty to protect participants from homophobic, sexual or gender-based attacks.</w:t>
      </w:r>
      <w:r w:rsidRPr="003D382F">
        <w:rPr>
          <w:rFonts w:asciiTheme="minorBidi" w:eastAsia="Times New Roman" w:hAnsiTheme="minorBidi" w:cs="Times New Roman"/>
          <w:i/>
          <w:iCs/>
          <w:vertAlign w:val="superscript"/>
          <w:lang w:val="fr-FR"/>
        </w:rPr>
        <w:footnoteReference w:id="9"/>
      </w:r>
      <w:r w:rsidRPr="003D382F">
        <w:rPr>
          <w:rFonts w:asciiTheme="minorBidi" w:hAnsiTheme="minorBidi"/>
          <w:i/>
          <w:iCs/>
        </w:rPr>
        <w:t xml:space="preserve"> </w:t>
      </w:r>
      <w:r w:rsidRPr="003D382F">
        <w:rPr>
          <w:rFonts w:asciiTheme="minorBidi" w:hAnsiTheme="minorBidi"/>
          <w:b/>
          <w:bCs/>
          <w:i/>
          <w:iCs/>
        </w:rPr>
        <w:t xml:space="preserve">Human rights defenders, particularly environmental human rights defenders </w:t>
      </w:r>
      <w:r w:rsidRPr="003D382F">
        <w:rPr>
          <w:rFonts w:asciiTheme="minorBidi" w:eastAsia="Cambria" w:hAnsiTheme="minorBidi" w:cs="Cambria"/>
          <w:b/>
          <w:bCs/>
          <w:i/>
          <w:iCs/>
        </w:rPr>
        <w:t>who are subject to high rates of violence, must be protected.</w:t>
      </w:r>
    </w:p>
    <w:p w14:paraId="7DBFD8B7" w14:textId="77777777" w:rsidR="00507953" w:rsidRDefault="00507953">
      <w:pPr>
        <w:pStyle w:val="Body"/>
        <w:rPr>
          <w:rFonts w:ascii="Cambria" w:eastAsia="Cambria" w:hAnsi="Cambria" w:cs="Cambria"/>
        </w:rPr>
      </w:pPr>
    </w:p>
    <w:p w14:paraId="692AF3AA" w14:textId="77777777" w:rsidR="00507953" w:rsidRDefault="00507953">
      <w:pPr>
        <w:pStyle w:val="Body"/>
        <w:rPr>
          <w:rFonts w:ascii="Cambria" w:eastAsia="Cambria" w:hAnsi="Cambria" w:cs="Cambria"/>
        </w:rPr>
      </w:pPr>
    </w:p>
    <w:p w14:paraId="2FD2AAEF" w14:textId="0F349820" w:rsidR="00507953" w:rsidRPr="004866BE" w:rsidRDefault="004B3F1A">
      <w:pPr>
        <w:pStyle w:val="Body"/>
        <w:rPr>
          <w:rFonts w:asciiTheme="minorBidi" w:eastAsia="Cambria" w:hAnsiTheme="minorBidi" w:cs="Cambria"/>
        </w:rPr>
      </w:pPr>
      <w:r w:rsidRPr="004866BE">
        <w:rPr>
          <w:rFonts w:asciiTheme="minorBidi" w:eastAsia="Cambria" w:hAnsiTheme="minorBidi" w:cs="Cambria"/>
        </w:rPr>
        <w:t>2</w:t>
      </w:r>
      <w:r w:rsidR="00522EB3" w:rsidRPr="004866BE">
        <w:rPr>
          <w:rFonts w:asciiTheme="minorBidi" w:eastAsia="Cambria" w:hAnsiTheme="minorBidi" w:cs="Cambria"/>
        </w:rPr>
        <w:t>. Paragraphs 79. and 92.</w:t>
      </w:r>
      <w:r w:rsidRPr="004866BE">
        <w:rPr>
          <w:rFonts w:asciiTheme="minorBidi" w:eastAsia="Cambria" w:hAnsiTheme="minorBidi" w:cs="Cambria"/>
        </w:rPr>
        <w:t xml:space="preserve"> of the draft General Comment</w:t>
      </w:r>
      <w:r w:rsidR="00522EB3" w:rsidRPr="004866BE">
        <w:rPr>
          <w:rFonts w:asciiTheme="minorBidi" w:eastAsia="Cambria" w:hAnsiTheme="minorBidi" w:cs="Cambria"/>
        </w:rPr>
        <w:t xml:space="preserve"> – relating to terrorism</w:t>
      </w:r>
    </w:p>
    <w:p w14:paraId="3FF45510" w14:textId="77777777" w:rsidR="00507953" w:rsidRDefault="00507953">
      <w:pPr>
        <w:pStyle w:val="Body"/>
        <w:rPr>
          <w:rFonts w:ascii="Cambria" w:eastAsia="Cambria" w:hAnsi="Cambria" w:cs="Cambria"/>
        </w:rPr>
      </w:pPr>
    </w:p>
    <w:p w14:paraId="1B70102B" w14:textId="77777777" w:rsidR="00507953" w:rsidRDefault="00522EB3">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after="120" w:line="240" w:lineRule="atLeast"/>
        <w:ind w:left="1134" w:right="1134"/>
        <w:jc w:val="both"/>
        <w:rPr>
          <w:rFonts w:ascii="Times New Roman" w:eastAsia="Times New Roman" w:hAnsi="Times New Roman" w:cs="Times New Roman"/>
          <w:sz w:val="20"/>
          <w:szCs w:val="20"/>
          <w:u w:color="000000"/>
        </w:rPr>
      </w:pPr>
      <w:r>
        <w:rPr>
          <w:rFonts w:ascii="Times New Roman" w:hAnsi="Times New Roman"/>
          <w:sz w:val="20"/>
          <w:szCs w:val="20"/>
          <w:u w:color="000000"/>
        </w:rPr>
        <w:t xml:space="preserve">79. </w:t>
      </w:r>
      <w:r>
        <w:rPr>
          <w:rFonts w:ascii="Times New Roman" w:hAnsi="Times New Roman"/>
          <w:sz w:val="20"/>
          <w:szCs w:val="20"/>
          <w:u w:color="000000"/>
        </w:rPr>
        <w:tab/>
        <w:t xml:space="preserve">While terrorism and other similar acts of violence must be </w:t>
      </w:r>
      <w:proofErr w:type="spellStart"/>
      <w:r>
        <w:rPr>
          <w:rFonts w:ascii="Times New Roman" w:hAnsi="Times New Roman"/>
          <w:sz w:val="20"/>
          <w:szCs w:val="20"/>
          <w:u w:color="000000"/>
        </w:rPr>
        <w:t>criminalised</w:t>
      </w:r>
      <w:proofErr w:type="spellEnd"/>
      <w:r>
        <w:rPr>
          <w:rFonts w:ascii="Times New Roman" w:hAnsi="Times New Roman"/>
          <w:sz w:val="20"/>
          <w:szCs w:val="20"/>
          <w:u w:color="000000"/>
        </w:rPr>
        <w:t>, such crimes must not be defined in a vague or overly broad manner that may curtail or discourage peaceful assembly.</w:t>
      </w:r>
      <w:r>
        <w:rPr>
          <w:rFonts w:ascii="Times New Roman" w:eastAsia="Times New Roman" w:hAnsi="Times New Roman" w:cs="Times New Roman"/>
          <w:sz w:val="20"/>
          <w:szCs w:val="20"/>
          <w:u w:color="000000"/>
          <w:vertAlign w:val="superscript"/>
          <w:lang w:val="fr-FR"/>
        </w:rPr>
        <w:footnoteReference w:id="10"/>
      </w:r>
    </w:p>
    <w:p w14:paraId="6806CF6F" w14:textId="2A167BC2" w:rsidR="004B3F1A" w:rsidRPr="004866BE" w:rsidRDefault="00F306BD" w:rsidP="004866BE">
      <w:pPr>
        <w:pStyle w:val="Body"/>
        <w:jc w:val="both"/>
        <w:rPr>
          <w:rFonts w:asciiTheme="minorBidi" w:eastAsia="Cambria" w:hAnsiTheme="minorBidi" w:cs="Cambria"/>
        </w:rPr>
      </w:pPr>
      <w:r w:rsidRPr="004866BE">
        <w:rPr>
          <w:rFonts w:asciiTheme="minorBidi" w:eastAsia="Cambria" w:hAnsiTheme="minorBidi" w:cs="Cambria"/>
        </w:rPr>
        <w:t>In</w:t>
      </w:r>
      <w:r w:rsidR="00BC4C67" w:rsidRPr="004866BE">
        <w:rPr>
          <w:rFonts w:asciiTheme="minorBidi" w:eastAsia="Cambria" w:hAnsiTheme="minorBidi" w:cs="Cambria"/>
        </w:rPr>
        <w:t xml:space="preserve"> 2017 the Special Rapporteur on the rights to f</w:t>
      </w:r>
      <w:r w:rsidRPr="004866BE">
        <w:rPr>
          <w:rFonts w:asciiTheme="minorBidi" w:eastAsia="Cambria" w:hAnsiTheme="minorBidi" w:cs="Cambria"/>
        </w:rPr>
        <w:t>reedom</w:t>
      </w:r>
      <w:r w:rsidR="00BC4C67" w:rsidRPr="004866BE">
        <w:rPr>
          <w:rFonts w:asciiTheme="minorBidi" w:eastAsia="Cambria" w:hAnsiTheme="minorBidi" w:cs="Cambria"/>
        </w:rPr>
        <w:t xml:space="preserve"> of peaceful assembly and of association, </w:t>
      </w:r>
      <w:proofErr w:type="spellStart"/>
      <w:r w:rsidR="00BC4C67" w:rsidRPr="004866BE">
        <w:rPr>
          <w:rFonts w:asciiTheme="minorBidi" w:eastAsia="Cambria" w:hAnsiTheme="minorBidi" w:cs="Cambria"/>
        </w:rPr>
        <w:t>Maina</w:t>
      </w:r>
      <w:proofErr w:type="spellEnd"/>
      <w:r w:rsidRPr="004866BE">
        <w:rPr>
          <w:rFonts w:asciiTheme="minorBidi" w:eastAsia="Cambria" w:hAnsiTheme="minorBidi" w:cs="Cambria"/>
        </w:rPr>
        <w:t xml:space="preserve"> </w:t>
      </w:r>
      <w:proofErr w:type="spellStart"/>
      <w:r w:rsidRPr="004866BE">
        <w:rPr>
          <w:rFonts w:asciiTheme="minorBidi" w:eastAsia="Cambria" w:hAnsiTheme="minorBidi" w:cs="Cambria"/>
        </w:rPr>
        <w:t>Kia</w:t>
      </w:r>
      <w:r w:rsidR="00BC4C67" w:rsidRPr="004866BE">
        <w:rPr>
          <w:rFonts w:asciiTheme="minorBidi" w:eastAsia="Cambria" w:hAnsiTheme="minorBidi" w:cs="Cambria"/>
        </w:rPr>
        <w:t>i</w:t>
      </w:r>
      <w:proofErr w:type="spellEnd"/>
      <w:r w:rsidRPr="004866BE">
        <w:rPr>
          <w:rFonts w:asciiTheme="minorBidi" w:eastAsia="Cambria" w:hAnsiTheme="minorBidi" w:cs="Cambria"/>
        </w:rPr>
        <w:t xml:space="preserve">, </w:t>
      </w:r>
      <w:r w:rsidR="00BC4C67" w:rsidRPr="004866BE">
        <w:rPr>
          <w:rFonts w:asciiTheme="minorBidi" w:eastAsia="Cambria" w:hAnsiTheme="minorBidi" w:cs="Cambria"/>
        </w:rPr>
        <w:t xml:space="preserve">commented on the UK’s </w:t>
      </w:r>
      <w:r w:rsidR="00522EB3" w:rsidRPr="004866BE">
        <w:rPr>
          <w:rFonts w:asciiTheme="minorBidi" w:eastAsia="Cambria" w:hAnsiTheme="minorBidi" w:cs="Cambria"/>
        </w:rPr>
        <w:t>P</w:t>
      </w:r>
      <w:r w:rsidR="00BC4C67" w:rsidRPr="004866BE">
        <w:rPr>
          <w:rFonts w:asciiTheme="minorBidi" w:eastAsia="Cambria" w:hAnsiTheme="minorBidi" w:cs="Cambria"/>
        </w:rPr>
        <w:t>revent anti-terrorism policy, which</w:t>
      </w:r>
      <w:r w:rsidR="00522EB3" w:rsidRPr="004866BE">
        <w:rPr>
          <w:rFonts w:asciiTheme="minorBidi" w:eastAsia="Cambria" w:hAnsiTheme="minorBidi" w:cs="Cambria"/>
        </w:rPr>
        <w:t xml:space="preserve"> been used to disproportionately extend surveillance and to curtail activities of environmental </w:t>
      </w:r>
      <w:r w:rsidR="00BC4C67" w:rsidRPr="004866BE">
        <w:rPr>
          <w:rFonts w:asciiTheme="minorBidi" w:eastAsia="Cambria" w:hAnsiTheme="minorBidi" w:cs="Cambria"/>
        </w:rPr>
        <w:t>human rights defenders</w:t>
      </w:r>
      <w:r w:rsidR="004B3F1A" w:rsidRPr="004866BE">
        <w:rPr>
          <w:rFonts w:asciiTheme="minorBidi" w:eastAsia="Cambria" w:hAnsiTheme="minorBidi" w:cs="Cambria"/>
        </w:rPr>
        <w:t xml:space="preserve"> and civil society as a whole</w:t>
      </w:r>
      <w:r w:rsidR="00BC4C67" w:rsidRPr="004866BE">
        <w:rPr>
          <w:rFonts w:asciiTheme="minorBidi" w:eastAsia="Cambria" w:hAnsiTheme="minorBidi" w:cs="Cambria"/>
        </w:rPr>
        <w:t xml:space="preserve"> </w:t>
      </w:r>
      <w:r w:rsidR="00522EB3" w:rsidRPr="004866BE">
        <w:rPr>
          <w:rFonts w:asciiTheme="minorBidi" w:eastAsia="Cambria" w:hAnsiTheme="minorBidi" w:cs="Cambria"/>
        </w:rPr>
        <w:t>in the UK</w:t>
      </w:r>
      <w:r w:rsidR="00BC4C67" w:rsidRPr="004866BE">
        <w:rPr>
          <w:rStyle w:val="FootnoteReference"/>
          <w:rFonts w:asciiTheme="minorBidi" w:eastAsia="Cambria" w:hAnsiTheme="minorBidi" w:cs="Cambria"/>
        </w:rPr>
        <w:footnoteReference w:id="11"/>
      </w:r>
      <w:r w:rsidR="00522EB3" w:rsidRPr="004866BE">
        <w:rPr>
          <w:rFonts w:asciiTheme="minorBidi" w:eastAsia="Cambria" w:hAnsiTheme="minorBidi" w:cs="Cambria"/>
        </w:rPr>
        <w:t xml:space="preserve">. </w:t>
      </w:r>
      <w:r w:rsidR="00450D84" w:rsidRPr="004866BE">
        <w:rPr>
          <w:rFonts w:asciiTheme="minorBidi" w:eastAsia="Cambria" w:hAnsiTheme="minorBidi" w:cs="Cambria"/>
        </w:rPr>
        <w:t>Recent</w:t>
      </w:r>
      <w:r w:rsidR="004B3F1A" w:rsidRPr="004866BE">
        <w:rPr>
          <w:rFonts w:asciiTheme="minorBidi" w:eastAsia="Cambria" w:hAnsiTheme="minorBidi" w:cs="Cambria"/>
        </w:rPr>
        <w:t>ly, environmental movements such as Extinction Rebellion</w:t>
      </w:r>
      <w:r w:rsidR="00E46C65">
        <w:rPr>
          <w:rStyle w:val="FootnoteReference"/>
          <w:rFonts w:asciiTheme="minorBidi" w:eastAsia="Cambria" w:hAnsiTheme="minorBidi" w:cs="Cambria"/>
        </w:rPr>
        <w:footnoteReference w:id="12"/>
      </w:r>
      <w:r w:rsidR="004B3F1A" w:rsidRPr="004866BE">
        <w:rPr>
          <w:rFonts w:asciiTheme="minorBidi" w:eastAsia="Cambria" w:hAnsiTheme="minorBidi" w:cs="Cambria"/>
        </w:rPr>
        <w:t>, and established environmental and peace groups including Greenpeace and the Campaign for Nuclear Disarmament have been labelled as domestic extremists by the State</w:t>
      </w:r>
      <w:r w:rsidR="00B02302">
        <w:rPr>
          <w:rStyle w:val="FootnoteReference"/>
          <w:rFonts w:asciiTheme="minorBidi" w:eastAsia="Cambria" w:hAnsiTheme="minorBidi" w:cs="Cambria"/>
        </w:rPr>
        <w:footnoteReference w:id="13"/>
      </w:r>
      <w:r w:rsidR="004B3F1A" w:rsidRPr="004866BE">
        <w:rPr>
          <w:rFonts w:asciiTheme="minorBidi" w:eastAsia="Cambria" w:hAnsiTheme="minorBidi" w:cs="Cambria"/>
        </w:rPr>
        <w:t>.</w:t>
      </w:r>
      <w:r w:rsidR="00A33C55" w:rsidRPr="004866BE">
        <w:rPr>
          <w:rFonts w:asciiTheme="minorBidi" w:eastAsia="Cambria" w:hAnsiTheme="minorBidi" w:cs="Cambria"/>
        </w:rPr>
        <w:t xml:space="preserve"> UN Special Rapporteur on the rights of Indigenous Peoples, Victoria </w:t>
      </w:r>
      <w:proofErr w:type="spellStart"/>
      <w:r w:rsidR="00A33C55" w:rsidRPr="004866BE">
        <w:rPr>
          <w:rFonts w:asciiTheme="minorBidi" w:eastAsia="Cambria" w:hAnsiTheme="minorBidi" w:cs="Cambria"/>
        </w:rPr>
        <w:t>Tauli-Corpuz</w:t>
      </w:r>
      <w:proofErr w:type="spellEnd"/>
      <w:r w:rsidR="00A33C55" w:rsidRPr="004866BE">
        <w:rPr>
          <w:rFonts w:asciiTheme="minorBidi" w:eastAsia="Cambria" w:hAnsiTheme="minorBidi" w:cs="Cambria"/>
        </w:rPr>
        <w:t>, was inc</w:t>
      </w:r>
      <w:r w:rsidR="00DF4384" w:rsidRPr="004866BE">
        <w:rPr>
          <w:rFonts w:asciiTheme="minorBidi" w:eastAsia="Cambria" w:hAnsiTheme="minorBidi" w:cs="Cambria"/>
        </w:rPr>
        <w:t>luded on a 2018 list of some 649</w:t>
      </w:r>
      <w:r w:rsidR="00A33C55" w:rsidRPr="004866BE">
        <w:rPr>
          <w:rFonts w:asciiTheme="minorBidi" w:eastAsia="Cambria" w:hAnsiTheme="minorBidi" w:cs="Cambria"/>
        </w:rPr>
        <w:t xml:space="preserve"> people that the </w:t>
      </w:r>
      <w:r w:rsidR="00DF4384" w:rsidRPr="004866BE">
        <w:rPr>
          <w:rFonts w:asciiTheme="minorBidi" w:eastAsia="Cambria" w:hAnsiTheme="minorBidi" w:cs="Cambria"/>
        </w:rPr>
        <w:t xml:space="preserve">government of the Philippines under the </w:t>
      </w:r>
      <w:proofErr w:type="spellStart"/>
      <w:r w:rsidR="00DF4384" w:rsidRPr="004866BE">
        <w:rPr>
          <w:rFonts w:asciiTheme="minorBidi" w:eastAsia="Cambria" w:hAnsiTheme="minorBidi" w:cs="Cambria"/>
        </w:rPr>
        <w:t>Duterte</w:t>
      </w:r>
      <w:proofErr w:type="spellEnd"/>
      <w:r w:rsidR="00DF4384" w:rsidRPr="004866BE">
        <w:rPr>
          <w:rFonts w:asciiTheme="minorBidi" w:eastAsia="Cambria" w:hAnsiTheme="minorBidi" w:cs="Cambria"/>
        </w:rPr>
        <w:t xml:space="preserve"> administration </w:t>
      </w:r>
      <w:r w:rsidR="00D57031" w:rsidRPr="004866BE">
        <w:rPr>
          <w:rFonts w:asciiTheme="minorBidi" w:eastAsia="Cambria" w:hAnsiTheme="minorBidi" w:cs="Cambria"/>
        </w:rPr>
        <w:t>filed in a Manila court as</w:t>
      </w:r>
      <w:r w:rsidR="00A33C55" w:rsidRPr="004866BE">
        <w:rPr>
          <w:rFonts w:asciiTheme="minorBidi" w:eastAsia="Cambria" w:hAnsiTheme="minorBidi" w:cs="Cambria"/>
        </w:rPr>
        <w:t xml:space="preserve"> suspected te</w:t>
      </w:r>
      <w:r w:rsidR="00DF4384" w:rsidRPr="004866BE">
        <w:rPr>
          <w:rFonts w:asciiTheme="minorBidi" w:eastAsia="Cambria" w:hAnsiTheme="minorBidi" w:cs="Cambria"/>
        </w:rPr>
        <w:t>rrorists</w:t>
      </w:r>
      <w:r w:rsidR="00D57031" w:rsidRPr="004866BE">
        <w:rPr>
          <w:rStyle w:val="FootnoteReference"/>
          <w:rFonts w:asciiTheme="minorBidi" w:eastAsia="Cambria" w:hAnsiTheme="minorBidi" w:cs="Cambria"/>
        </w:rPr>
        <w:footnoteReference w:id="14"/>
      </w:r>
      <w:r w:rsidR="00DF4384" w:rsidRPr="004866BE">
        <w:rPr>
          <w:rFonts w:asciiTheme="minorBidi" w:eastAsia="Cambria" w:hAnsiTheme="minorBidi" w:cs="Cambria"/>
        </w:rPr>
        <w:t>. The list included</w:t>
      </w:r>
      <w:r w:rsidR="00A33C55" w:rsidRPr="004866BE">
        <w:rPr>
          <w:rFonts w:asciiTheme="minorBidi" w:eastAsia="Cambria" w:hAnsiTheme="minorBidi" w:cs="Cambria"/>
        </w:rPr>
        <w:t xml:space="preserve"> many other land and </w:t>
      </w:r>
      <w:r w:rsidR="00A33C55" w:rsidRPr="004866BE">
        <w:rPr>
          <w:rFonts w:asciiTheme="minorBidi" w:eastAsia="Cambria" w:hAnsiTheme="minorBidi" w:cs="Cambria"/>
        </w:rPr>
        <w:lastRenderedPageBreak/>
        <w:t>environmental defenders</w:t>
      </w:r>
      <w:r w:rsidR="00DF4384" w:rsidRPr="004866BE">
        <w:rPr>
          <w:rFonts w:asciiTheme="minorBidi" w:eastAsia="Cambria" w:hAnsiTheme="minorBidi" w:cs="Cambria"/>
        </w:rPr>
        <w:t xml:space="preserve"> and Indigenous People</w:t>
      </w:r>
      <w:r w:rsidR="00450D84" w:rsidRPr="004866BE">
        <w:rPr>
          <w:rFonts w:asciiTheme="minorBidi" w:eastAsia="Cambria" w:hAnsiTheme="minorBidi" w:cs="Cambria"/>
        </w:rPr>
        <w:t xml:space="preserve">, and others who were </w:t>
      </w:r>
      <w:r w:rsidR="004866BE" w:rsidRPr="004866BE">
        <w:rPr>
          <w:rFonts w:asciiTheme="minorBidi" w:eastAsia="Cambria" w:hAnsiTheme="minorBidi" w:cs="Cambria"/>
        </w:rPr>
        <w:t xml:space="preserve">to be restricted from peaceful assembly and association due to their being listed ‘terrorists’. </w:t>
      </w:r>
    </w:p>
    <w:p w14:paraId="30180AF9" w14:textId="77777777" w:rsidR="004866BE" w:rsidRPr="004866BE" w:rsidRDefault="004866BE">
      <w:pPr>
        <w:pStyle w:val="Body"/>
        <w:rPr>
          <w:rFonts w:asciiTheme="minorBidi" w:eastAsia="Cambria" w:hAnsiTheme="minorBidi" w:cs="Cambria"/>
        </w:rPr>
      </w:pPr>
    </w:p>
    <w:p w14:paraId="352914CB" w14:textId="2569B944" w:rsidR="00507953" w:rsidRPr="004866BE" w:rsidRDefault="004866BE">
      <w:pPr>
        <w:pStyle w:val="Body"/>
        <w:rPr>
          <w:rFonts w:asciiTheme="minorBidi" w:eastAsia="Cambria" w:hAnsiTheme="minorBidi" w:cs="Cambria"/>
        </w:rPr>
      </w:pPr>
      <w:r w:rsidRPr="004866BE">
        <w:rPr>
          <w:rFonts w:asciiTheme="minorBidi" w:eastAsia="Cambria" w:hAnsiTheme="minorBidi" w:cs="Cambria"/>
        </w:rPr>
        <w:t>Our s</w:t>
      </w:r>
      <w:r w:rsidR="00522EB3" w:rsidRPr="004866BE">
        <w:rPr>
          <w:rFonts w:asciiTheme="minorBidi" w:eastAsia="Cambria" w:hAnsiTheme="minorBidi" w:cs="Cambria"/>
        </w:rPr>
        <w:t>uggested wording:</w:t>
      </w:r>
      <w:r w:rsidR="00522EB3" w:rsidRPr="004866BE">
        <w:rPr>
          <w:rFonts w:asciiTheme="minorBidi" w:eastAsia="Cambria" w:hAnsiTheme="minorBidi" w:cs="Cambria"/>
        </w:rPr>
        <w:br/>
      </w:r>
    </w:p>
    <w:p w14:paraId="040F7B0E" w14:textId="77777777" w:rsidR="00507953" w:rsidRPr="004866BE" w:rsidRDefault="00522EB3" w:rsidP="004866BE">
      <w:pPr>
        <w:pStyle w:val="Body"/>
        <w:ind w:left="1134" w:right="1133"/>
        <w:jc w:val="both"/>
        <w:rPr>
          <w:rFonts w:asciiTheme="minorBidi" w:eastAsia="Cambria" w:hAnsiTheme="minorBidi" w:cs="Cambria"/>
          <w:i/>
          <w:iCs/>
        </w:rPr>
      </w:pPr>
      <w:r w:rsidRPr="004866BE">
        <w:rPr>
          <w:rFonts w:asciiTheme="minorBidi" w:eastAsia="Cambria" w:hAnsiTheme="minorBidi" w:cs="Cambria"/>
          <w:i/>
          <w:iCs/>
        </w:rPr>
        <w:t xml:space="preserve">While terrorism and other similar acts of violence must be </w:t>
      </w:r>
      <w:proofErr w:type="spellStart"/>
      <w:r w:rsidRPr="004866BE">
        <w:rPr>
          <w:rFonts w:asciiTheme="minorBidi" w:eastAsia="Cambria" w:hAnsiTheme="minorBidi" w:cs="Cambria"/>
          <w:i/>
          <w:iCs/>
        </w:rPr>
        <w:t>criminalised</w:t>
      </w:r>
      <w:proofErr w:type="spellEnd"/>
      <w:r w:rsidRPr="004866BE">
        <w:rPr>
          <w:rFonts w:asciiTheme="minorBidi" w:eastAsia="Cambria" w:hAnsiTheme="minorBidi" w:cs="Cambria"/>
          <w:i/>
          <w:iCs/>
        </w:rPr>
        <w:t xml:space="preserve">, such crimes must not be defined in a vague or overly broad manner that may curtail or discourage peaceful assembly. </w:t>
      </w:r>
      <w:r w:rsidRPr="004866BE">
        <w:rPr>
          <w:rFonts w:asciiTheme="minorBidi" w:eastAsia="Cambria" w:hAnsiTheme="minorBidi" w:cs="Cambria"/>
          <w:b/>
          <w:bCs/>
          <w:i/>
          <w:iCs/>
        </w:rPr>
        <w:t>Peaceful assemblies must not be treated as, listed as, or implied to pose a terrorist threat.</w:t>
      </w:r>
    </w:p>
    <w:p w14:paraId="60F06A40" w14:textId="77777777" w:rsidR="00507953" w:rsidRDefault="00522EB3">
      <w:pPr>
        <w:pStyle w:val="Body"/>
        <w:rPr>
          <w:rFonts w:ascii="Cambria" w:eastAsia="Cambria" w:hAnsi="Cambria" w:cs="Cambria"/>
          <w:i/>
          <w:iCs/>
        </w:rPr>
      </w:pPr>
      <w:r>
        <w:rPr>
          <w:rFonts w:ascii="Cambria" w:eastAsia="Cambria" w:hAnsi="Cambria" w:cs="Cambria"/>
          <w:i/>
          <w:iCs/>
        </w:rPr>
        <w:t xml:space="preserve"> </w:t>
      </w:r>
    </w:p>
    <w:p w14:paraId="022912DD" w14:textId="77777777" w:rsidR="00507953" w:rsidRDefault="00522EB3">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after="120" w:line="240" w:lineRule="atLeast"/>
        <w:ind w:left="1134" w:right="1134"/>
        <w:jc w:val="both"/>
        <w:rPr>
          <w:rFonts w:ascii="Times New Roman" w:eastAsia="Times New Roman" w:hAnsi="Times New Roman" w:cs="Times New Roman"/>
          <w:sz w:val="20"/>
          <w:szCs w:val="20"/>
          <w:u w:color="000000"/>
        </w:rPr>
      </w:pPr>
      <w:r>
        <w:rPr>
          <w:rFonts w:ascii="Times New Roman" w:hAnsi="Times New Roman"/>
          <w:sz w:val="20"/>
          <w:szCs w:val="20"/>
          <w:u w:color="000000"/>
        </w:rPr>
        <w:t>92.</w:t>
      </w:r>
      <w:r>
        <w:rPr>
          <w:rFonts w:ascii="Times New Roman" w:hAnsi="Times New Roman"/>
          <w:sz w:val="20"/>
          <w:szCs w:val="20"/>
          <w:u w:color="000000"/>
        </w:rPr>
        <w:tab/>
        <w:t>Wherever possible, only law enforcement officials who have been trained in the policing of assemblies should be deployed for that purpose.</w:t>
      </w:r>
      <w:r>
        <w:rPr>
          <w:rFonts w:ascii="Times New Roman" w:eastAsia="Times New Roman" w:hAnsi="Times New Roman" w:cs="Times New Roman"/>
          <w:sz w:val="20"/>
          <w:szCs w:val="20"/>
          <w:u w:color="000000"/>
          <w:vertAlign w:val="superscript"/>
          <w:lang w:val="fr-FR"/>
        </w:rPr>
        <w:footnoteReference w:id="15"/>
      </w:r>
      <w:r>
        <w:rPr>
          <w:rFonts w:ascii="Times New Roman" w:hAnsi="Times New Roman"/>
          <w:sz w:val="20"/>
          <w:szCs w:val="20"/>
          <w:u w:color="000000"/>
        </w:rPr>
        <w:t xml:space="preserve"> As a general rule, the military should not be used to police assemblies.</w:t>
      </w:r>
      <w:r>
        <w:rPr>
          <w:rFonts w:ascii="Times New Roman" w:eastAsia="Times New Roman" w:hAnsi="Times New Roman" w:cs="Times New Roman"/>
          <w:sz w:val="20"/>
          <w:szCs w:val="20"/>
          <w:u w:color="000000"/>
          <w:vertAlign w:val="superscript"/>
          <w:lang w:val="fr-FR"/>
        </w:rPr>
        <w:footnoteReference w:id="16"/>
      </w:r>
      <w:r>
        <w:rPr>
          <w:rFonts w:ascii="Times New Roman" w:hAnsi="Times New Roman"/>
          <w:sz w:val="20"/>
          <w:szCs w:val="20"/>
          <w:u w:color="000000"/>
        </w:rPr>
        <w:t xml:space="preserve"> The law enforcement officials responsible for policing assemblies should be suitably equipped, including where needed with appropriate less-lethal weapons and adequate personal protective equipment.</w:t>
      </w:r>
      <w:r>
        <w:rPr>
          <w:rFonts w:ascii="Times New Roman" w:eastAsia="Times New Roman" w:hAnsi="Times New Roman" w:cs="Times New Roman"/>
          <w:sz w:val="20"/>
          <w:szCs w:val="20"/>
          <w:u w:color="000000"/>
          <w:vertAlign w:val="superscript"/>
          <w:lang w:val="fr-FR"/>
        </w:rPr>
        <w:footnoteReference w:id="17"/>
      </w:r>
      <w:r>
        <w:rPr>
          <w:rFonts w:ascii="Times New Roman" w:hAnsi="Times New Roman"/>
          <w:sz w:val="20"/>
          <w:szCs w:val="20"/>
          <w:u w:color="000000"/>
        </w:rPr>
        <w:t xml:space="preserve"> States parties should ensure that all weapons, including less-lethal weapons, are subject to strict independent testing and should evaluate and monitor their impact on the rights to life and bodily integrity and the mental well-being of those affected.</w:t>
      </w:r>
      <w:r>
        <w:rPr>
          <w:rFonts w:ascii="Times New Roman" w:eastAsia="Times New Roman" w:hAnsi="Times New Roman" w:cs="Times New Roman"/>
          <w:sz w:val="20"/>
          <w:szCs w:val="20"/>
          <w:u w:color="000000"/>
          <w:vertAlign w:val="superscript"/>
          <w:lang w:val="fr-FR"/>
        </w:rPr>
        <w:footnoteReference w:id="18"/>
      </w:r>
    </w:p>
    <w:p w14:paraId="7CC55431" w14:textId="3B445EDE" w:rsidR="00507953" w:rsidRPr="004866BE" w:rsidRDefault="00522EB3" w:rsidP="004866BE">
      <w:pPr>
        <w:pStyle w:val="Body"/>
        <w:jc w:val="both"/>
        <w:rPr>
          <w:rFonts w:asciiTheme="minorBidi" w:eastAsia="Cambria" w:hAnsiTheme="minorBidi" w:cs="Cambria"/>
        </w:rPr>
      </w:pPr>
      <w:r w:rsidRPr="004866BE">
        <w:rPr>
          <w:rFonts w:asciiTheme="minorBidi" w:eastAsia="Cambria" w:hAnsiTheme="minorBidi" w:cs="Cambria"/>
        </w:rPr>
        <w:t xml:space="preserve">Here we would like to suggest also excluding </w:t>
      </w:r>
      <w:r w:rsidR="004866BE" w:rsidRPr="004866BE">
        <w:rPr>
          <w:rFonts w:asciiTheme="minorBidi" w:eastAsia="Cambria" w:hAnsiTheme="minorBidi" w:cs="Cambria"/>
        </w:rPr>
        <w:t>anti-terrorism policing</w:t>
      </w:r>
      <w:r w:rsidRPr="004866BE">
        <w:rPr>
          <w:rFonts w:asciiTheme="minorBidi" w:eastAsia="Cambria" w:hAnsiTheme="minorBidi" w:cs="Cambria"/>
        </w:rPr>
        <w:t xml:space="preserve"> uni</w:t>
      </w:r>
      <w:r w:rsidR="004866BE" w:rsidRPr="004866BE">
        <w:rPr>
          <w:rFonts w:asciiTheme="minorBidi" w:eastAsia="Cambria" w:hAnsiTheme="minorBidi" w:cs="Cambria"/>
        </w:rPr>
        <w:t xml:space="preserve">ts from being deployed as law enforcement at assemblies.  </w:t>
      </w:r>
      <w:r w:rsidR="00024BB6">
        <w:rPr>
          <w:rFonts w:asciiTheme="minorBidi" w:eastAsia="Cambria" w:hAnsiTheme="minorBidi" w:cs="Cambria"/>
        </w:rPr>
        <w:t xml:space="preserve">Anti-terror police have been deployed at peaceful assemblies to protect water at Preston New Road anti-fracking camp, UK. </w:t>
      </w:r>
      <w:r w:rsidR="004866BE" w:rsidRPr="004866BE">
        <w:rPr>
          <w:rFonts w:asciiTheme="minorBidi" w:eastAsia="Cambria" w:hAnsiTheme="minorBidi" w:cs="Cambria"/>
        </w:rPr>
        <w:t>Building on paragraph 79. this would add specific guidance on the policing of assemblies, which would support effective state action to uphold the right of peaceful assembly.  Our</w:t>
      </w:r>
      <w:r w:rsidRPr="004866BE">
        <w:rPr>
          <w:rFonts w:asciiTheme="minorBidi" w:eastAsia="Cambria" w:hAnsiTheme="minorBidi" w:cs="Cambria"/>
        </w:rPr>
        <w:t xml:space="preserve"> suggested text:</w:t>
      </w:r>
    </w:p>
    <w:p w14:paraId="393BC694" w14:textId="77777777" w:rsidR="00507953" w:rsidRDefault="00507953">
      <w:pPr>
        <w:pStyle w:val="Body"/>
        <w:rPr>
          <w:rFonts w:ascii="Cambria" w:eastAsia="Cambria" w:hAnsi="Cambria" w:cs="Cambria"/>
          <w:i/>
          <w:iCs/>
        </w:rPr>
      </w:pPr>
    </w:p>
    <w:p w14:paraId="453DE006" w14:textId="79BE73E4" w:rsidR="00507953" w:rsidRDefault="00522EB3" w:rsidP="005825C9">
      <w:pPr>
        <w:pStyle w:val="Body"/>
        <w:ind w:left="1134" w:right="1133"/>
        <w:jc w:val="both"/>
        <w:rPr>
          <w:rFonts w:ascii="Cambria" w:eastAsia="Cambria" w:hAnsi="Cambria" w:cs="Cambria"/>
          <w:i/>
          <w:iCs/>
        </w:rPr>
      </w:pPr>
      <w:r>
        <w:rPr>
          <w:rFonts w:ascii="Cambria" w:eastAsia="Cambria" w:hAnsi="Cambria" w:cs="Cambria"/>
          <w:i/>
          <w:iCs/>
        </w:rPr>
        <w:t>Wherever possible, only law enforcement officials who have been trained in the policing of assemblies should be deployed for that purpose.</w:t>
      </w:r>
      <w:r>
        <w:rPr>
          <w:rFonts w:ascii="Cambria" w:eastAsia="Cambria" w:hAnsi="Cambria" w:cs="Cambria"/>
          <w:i/>
          <w:iCs/>
          <w:vertAlign w:val="superscript"/>
          <w:lang w:val="fr-FR"/>
        </w:rPr>
        <w:footnoteReference w:id="19"/>
      </w:r>
      <w:r>
        <w:rPr>
          <w:rFonts w:ascii="Cambria" w:eastAsia="Cambria" w:hAnsi="Cambria" w:cs="Cambria"/>
          <w:i/>
          <w:iCs/>
        </w:rPr>
        <w:t xml:space="preserve"> As a general rule,</w:t>
      </w:r>
      <w:r w:rsidR="004866BE" w:rsidRPr="004866BE">
        <w:rPr>
          <w:rFonts w:ascii="Cambria" w:eastAsia="Cambria" w:hAnsi="Cambria" w:cs="Cambria"/>
          <w:b/>
          <w:bCs/>
          <w:i/>
          <w:iCs/>
        </w:rPr>
        <w:t xml:space="preserve"> neither</w:t>
      </w:r>
      <w:r w:rsidR="004866BE">
        <w:rPr>
          <w:rFonts w:ascii="Cambria" w:eastAsia="Cambria" w:hAnsi="Cambria" w:cs="Cambria"/>
          <w:b/>
          <w:bCs/>
          <w:i/>
          <w:iCs/>
        </w:rPr>
        <w:t xml:space="preserve"> the military</w:t>
      </w:r>
      <w:r w:rsidRPr="004866BE">
        <w:rPr>
          <w:rFonts w:ascii="Cambria" w:eastAsia="Cambria" w:hAnsi="Cambria" w:cs="Cambria"/>
          <w:b/>
          <w:bCs/>
          <w:i/>
          <w:iCs/>
        </w:rPr>
        <w:t xml:space="preserve"> </w:t>
      </w:r>
      <w:r w:rsidR="004866BE" w:rsidRPr="004866BE">
        <w:rPr>
          <w:rFonts w:ascii="Cambria" w:eastAsia="Cambria" w:hAnsi="Cambria" w:cs="Cambria"/>
          <w:b/>
          <w:bCs/>
          <w:i/>
          <w:iCs/>
        </w:rPr>
        <w:t>n</w:t>
      </w:r>
      <w:r w:rsidRPr="004866BE">
        <w:rPr>
          <w:rFonts w:ascii="Cambria" w:eastAsia="Cambria" w:hAnsi="Cambria" w:cs="Cambria"/>
          <w:b/>
          <w:bCs/>
          <w:i/>
          <w:iCs/>
        </w:rPr>
        <w:t>or anti-terror</w:t>
      </w:r>
      <w:r w:rsidR="00F306BD" w:rsidRPr="004866BE">
        <w:rPr>
          <w:rFonts w:ascii="Cambria" w:eastAsia="Cambria" w:hAnsi="Cambria" w:cs="Cambria"/>
          <w:b/>
          <w:bCs/>
          <w:i/>
          <w:iCs/>
        </w:rPr>
        <w:t>ism</w:t>
      </w:r>
      <w:r w:rsidRPr="004866BE">
        <w:rPr>
          <w:rFonts w:ascii="Cambria" w:eastAsia="Cambria" w:hAnsi="Cambria" w:cs="Cambria"/>
          <w:b/>
          <w:bCs/>
          <w:i/>
          <w:iCs/>
        </w:rPr>
        <w:t xml:space="preserve"> enforcement units</w:t>
      </w:r>
      <w:r w:rsidR="004866BE" w:rsidRPr="004866BE">
        <w:rPr>
          <w:rFonts w:ascii="Cambria" w:eastAsia="Cambria" w:hAnsi="Cambria" w:cs="Cambria"/>
          <w:b/>
          <w:bCs/>
          <w:i/>
          <w:iCs/>
        </w:rPr>
        <w:t xml:space="preserve"> should</w:t>
      </w:r>
      <w:r w:rsidRPr="004866BE">
        <w:rPr>
          <w:rFonts w:ascii="Cambria" w:eastAsia="Cambria" w:hAnsi="Cambria" w:cs="Cambria"/>
          <w:b/>
          <w:bCs/>
          <w:i/>
          <w:iCs/>
        </w:rPr>
        <w:t xml:space="preserve"> be used to police assemblies</w:t>
      </w:r>
      <w:r>
        <w:rPr>
          <w:rFonts w:ascii="Cambria" w:eastAsia="Cambria" w:hAnsi="Cambria" w:cs="Cambria"/>
          <w:i/>
          <w:iCs/>
        </w:rPr>
        <w:t>.</w:t>
      </w:r>
      <w:r>
        <w:rPr>
          <w:rFonts w:ascii="Cambria" w:eastAsia="Cambria" w:hAnsi="Cambria" w:cs="Cambria"/>
          <w:i/>
          <w:iCs/>
          <w:vertAlign w:val="superscript"/>
          <w:lang w:val="fr-FR"/>
        </w:rPr>
        <w:footnoteReference w:id="20"/>
      </w:r>
      <w:r>
        <w:rPr>
          <w:rFonts w:ascii="Cambria" w:eastAsia="Cambria" w:hAnsi="Cambria" w:cs="Cambria"/>
          <w:i/>
          <w:iCs/>
        </w:rPr>
        <w:t xml:space="preserve"> The law enforcement officials responsible for policing assemblies should be suitably equipped, including where needed with appropriate less-lethal weapons and adequate personal protective equipment.</w:t>
      </w:r>
      <w:r>
        <w:rPr>
          <w:rFonts w:ascii="Cambria" w:eastAsia="Cambria" w:hAnsi="Cambria" w:cs="Cambria"/>
          <w:i/>
          <w:iCs/>
          <w:vertAlign w:val="superscript"/>
          <w:lang w:val="fr-FR"/>
        </w:rPr>
        <w:footnoteReference w:id="21"/>
      </w:r>
      <w:r>
        <w:rPr>
          <w:rFonts w:ascii="Cambria" w:eastAsia="Cambria" w:hAnsi="Cambria" w:cs="Cambria"/>
          <w:i/>
          <w:iCs/>
        </w:rPr>
        <w:t xml:space="preserve"> States parties should ensure that all weapons, including less-lethal weapons, are subject to strict independent testing and should evaluate and monitor their impact on the rights to life and bodily integrity and the mental well-being of those affected.</w:t>
      </w:r>
      <w:r>
        <w:rPr>
          <w:rFonts w:ascii="Cambria" w:eastAsia="Cambria" w:hAnsi="Cambria" w:cs="Cambria"/>
          <w:i/>
          <w:iCs/>
          <w:vertAlign w:val="superscript"/>
          <w:lang w:val="fr-FR"/>
        </w:rPr>
        <w:footnoteReference w:id="22"/>
      </w:r>
    </w:p>
    <w:p w14:paraId="3C2673FF" w14:textId="77777777" w:rsidR="00F306BD" w:rsidRDefault="00F306BD">
      <w:pPr>
        <w:pStyle w:val="Body"/>
        <w:rPr>
          <w:rFonts w:ascii="Cambria" w:eastAsia="Cambria" w:hAnsi="Cambria" w:cs="Cambria"/>
        </w:rPr>
      </w:pPr>
    </w:p>
    <w:p w14:paraId="7A823C3B" w14:textId="77777777" w:rsidR="00F306BD" w:rsidRPr="00F306BD" w:rsidRDefault="00F306BD" w:rsidP="00F306BD">
      <w:pPr>
        <w:pStyle w:val="Body"/>
        <w:rPr>
          <w:rFonts w:ascii="Times New Roman" w:hAnsi="Times New Roman"/>
          <w:u w:val="single"/>
        </w:rPr>
      </w:pPr>
      <w:r w:rsidRPr="00F306BD">
        <w:rPr>
          <w:rFonts w:ascii="Times New Roman" w:hAnsi="Times New Roman"/>
          <w:u w:val="single"/>
        </w:rPr>
        <w:t xml:space="preserve">Background: </w:t>
      </w:r>
    </w:p>
    <w:p w14:paraId="714DA3C8" w14:textId="77777777" w:rsidR="00F306BD" w:rsidRDefault="00F306BD" w:rsidP="00F306BD">
      <w:pPr>
        <w:pStyle w:val="Body"/>
        <w:rPr>
          <w:rFonts w:ascii="Times New Roman" w:hAnsi="Times New Roman"/>
        </w:rPr>
      </w:pPr>
    </w:p>
    <w:p w14:paraId="4A9135B4" w14:textId="77777777" w:rsidR="00F306BD" w:rsidRDefault="00F306BD" w:rsidP="00F306BD">
      <w:pPr>
        <w:pStyle w:val="Body"/>
        <w:rPr>
          <w:rFonts w:ascii="Times New Roman" w:hAnsi="Times New Roman"/>
        </w:rPr>
      </w:pPr>
      <w:r>
        <w:rPr>
          <w:rFonts w:ascii="Times New Roman" w:hAnsi="Times New Roman"/>
        </w:rPr>
        <w:t>This submission is developed by Not1More (N1M) a campaign group registered in the UK and operating internationally as a solidarity and support group for at-risk environmental defenders. N1M</w:t>
      </w:r>
      <w:r w:rsidRPr="00F306BD">
        <w:rPr>
          <w:rFonts w:ascii="Times New Roman" w:hAnsi="Times New Roman"/>
        </w:rPr>
        <w:t xml:space="preserve"> was founded in 2016 by three women. In 2017, when we organized the first conference in our International Forest Defender series, attended by UN Special Rapporteur on Human Rights and the Environment, John Knox. Not1More has supported defenders living through vilification, violence and death threats across the world, and has a track record of successful campaigns with grassroots activists. We are partnering with Oxford and Sussex Universities, University of Bahia </w:t>
      </w:r>
      <w:r w:rsidRPr="00F306BD">
        <w:rPr>
          <w:rFonts w:ascii="Times New Roman" w:hAnsi="Times New Roman"/>
        </w:rPr>
        <w:lastRenderedPageBreak/>
        <w:t xml:space="preserve">(Brazil), University of Dhaka (Bangladesh), University of </w:t>
      </w:r>
      <w:proofErr w:type="spellStart"/>
      <w:r w:rsidRPr="00F306BD">
        <w:rPr>
          <w:rFonts w:ascii="Times New Roman" w:hAnsi="Times New Roman"/>
        </w:rPr>
        <w:t>Graben</w:t>
      </w:r>
      <w:proofErr w:type="spellEnd"/>
      <w:r w:rsidRPr="00F306BD">
        <w:rPr>
          <w:rFonts w:ascii="Times New Roman" w:hAnsi="Times New Roman"/>
        </w:rPr>
        <w:t xml:space="preserve"> / </w:t>
      </w:r>
      <w:proofErr w:type="spellStart"/>
      <w:r w:rsidRPr="00F306BD">
        <w:rPr>
          <w:rFonts w:ascii="Times New Roman" w:hAnsi="Times New Roman"/>
        </w:rPr>
        <w:t>Butembo</w:t>
      </w:r>
      <w:proofErr w:type="spellEnd"/>
      <w:r w:rsidRPr="00F306BD">
        <w:rPr>
          <w:rFonts w:ascii="Times New Roman" w:hAnsi="Times New Roman"/>
        </w:rPr>
        <w:t xml:space="preserve"> (DRC) on an international research project, supported by the British Academy, examining the root causes of violence against environmental defenders.</w:t>
      </w:r>
    </w:p>
    <w:p w14:paraId="2A3CD348" w14:textId="77777777" w:rsidR="00F306BD" w:rsidRDefault="00F306BD">
      <w:pPr>
        <w:pStyle w:val="Body"/>
      </w:pPr>
    </w:p>
    <w:sectPr w:rsidR="00F306BD">
      <w:headerReference w:type="default" r:id="rId7"/>
      <w:pgSz w:w="11906" w:h="16838"/>
      <w:pgMar w:top="1134" w:right="1134" w:bottom="1134" w:left="1134" w:header="709" w:footer="85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ABC4D8" w16cid:durableId="21F99B93"/>
  <w16cid:commentId w16cid:paraId="3DAB4E56" w16cid:durableId="21F99CD4"/>
  <w16cid:commentId w16cid:paraId="716931FA" w16cid:durableId="21F99D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C9258" w14:textId="77777777" w:rsidR="009C3AC6" w:rsidRDefault="009C3AC6">
      <w:r>
        <w:separator/>
      </w:r>
    </w:p>
  </w:endnote>
  <w:endnote w:type="continuationSeparator" w:id="0">
    <w:p w14:paraId="2DDF3B58" w14:textId="77777777" w:rsidR="009C3AC6" w:rsidRDefault="009C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swiss"/>
    <w:pitch w:val="variable"/>
    <w:sig w:usb0="00000000" w:usb1="E9DFFFFF" w:usb2="0000003F" w:usb3="00000000" w:csb0="003F01FF" w:csb1="00000000"/>
  </w:font>
  <w:font w:name="Helvetica Neue">
    <w:altName w:val="Corbel"/>
    <w:charset w:val="00"/>
    <w:family w:val="swiss"/>
    <w:pitch w:val="variable"/>
    <w:sig w:usb0="00000003" w:usb1="500079DB" w:usb2="0000001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03998" w14:textId="77777777" w:rsidR="009C3AC6" w:rsidRDefault="009C3AC6">
      <w:r>
        <w:separator/>
      </w:r>
    </w:p>
  </w:footnote>
  <w:footnote w:type="continuationSeparator" w:id="0">
    <w:p w14:paraId="56C01542" w14:textId="77777777" w:rsidR="009C3AC6" w:rsidRDefault="009C3AC6">
      <w:r>
        <w:continuationSeparator/>
      </w:r>
    </w:p>
  </w:footnote>
  <w:footnote w:type="continuationNotice" w:id="1">
    <w:p w14:paraId="6A10669F" w14:textId="77777777" w:rsidR="009C3AC6" w:rsidRDefault="009C3AC6"/>
  </w:footnote>
  <w:footnote w:id="2">
    <w:p w14:paraId="2C278B63" w14:textId="77777777" w:rsidR="00507953" w:rsidRDefault="00522EB3">
      <w:pPr>
        <w:pStyle w:val="Default"/>
        <w:tabs>
          <w:tab w:val="right" w:pos="1021"/>
        </w:tabs>
        <w:suppressAutoHyphens/>
        <w:spacing w:line="220" w:lineRule="exact"/>
        <w:ind w:left="1134" w:right="1134" w:hanging="1134"/>
      </w:pPr>
      <w:r>
        <w:rPr>
          <w:rFonts w:ascii="Times New Roman" w:eastAsia="Times New Roman" w:hAnsi="Times New Roman" w:cs="Times New Roman"/>
          <w:sz w:val="18"/>
          <w:szCs w:val="18"/>
          <w:u w:color="000000"/>
          <w:lang w:val="en-US"/>
        </w:rPr>
        <w:tab/>
      </w:r>
      <w:r>
        <w:rPr>
          <w:rFonts w:ascii="Times New Roman" w:eastAsia="Times New Roman" w:hAnsi="Times New Roman" w:cs="Times New Roman"/>
          <w:sz w:val="18"/>
          <w:szCs w:val="18"/>
          <w:u w:color="000000"/>
          <w:vertAlign w:val="superscript"/>
          <w:lang w:val="fr-FR"/>
        </w:rPr>
        <w:footnoteRef/>
      </w:r>
      <w:r>
        <w:rPr>
          <w:rFonts w:ascii="Times New Roman" w:eastAsia="Times New Roman" w:hAnsi="Times New Roman" w:cs="Times New Roman"/>
          <w:sz w:val="18"/>
          <w:szCs w:val="18"/>
          <w:u w:color="000000"/>
          <w:lang w:val="en-US"/>
        </w:rPr>
        <w:tab/>
        <w:t>CCPR/C/GEO/CO/4, para. 8; CCPR/C/MNG/CO/6, para. 11; and A/HRC/31/66, paras. 15-16.</w:t>
      </w:r>
    </w:p>
  </w:footnote>
  <w:footnote w:id="3">
    <w:p w14:paraId="041B291D" w14:textId="77777777" w:rsidR="00507953" w:rsidRDefault="00522EB3">
      <w:pPr>
        <w:pStyle w:val="Default"/>
        <w:tabs>
          <w:tab w:val="right" w:pos="1021"/>
        </w:tabs>
        <w:suppressAutoHyphens/>
        <w:spacing w:line="220" w:lineRule="exact"/>
        <w:ind w:left="1134" w:right="1134" w:hanging="1134"/>
      </w:pPr>
      <w:r>
        <w:rPr>
          <w:rFonts w:ascii="Times New Roman" w:eastAsia="Times New Roman" w:hAnsi="Times New Roman" w:cs="Times New Roman"/>
          <w:sz w:val="18"/>
          <w:szCs w:val="18"/>
          <w:u w:color="000000"/>
          <w:lang w:val="en-US"/>
        </w:rPr>
        <w:tab/>
      </w:r>
      <w:r>
        <w:rPr>
          <w:rFonts w:ascii="Times New Roman" w:eastAsia="Times New Roman" w:hAnsi="Times New Roman" w:cs="Times New Roman"/>
          <w:sz w:val="18"/>
          <w:szCs w:val="18"/>
          <w:u w:color="000000"/>
          <w:vertAlign w:val="superscript"/>
          <w:lang w:val="fr-FR"/>
        </w:rPr>
        <w:footnoteRef/>
      </w:r>
      <w:r>
        <w:rPr>
          <w:rFonts w:ascii="Times New Roman" w:eastAsia="Times New Roman" w:hAnsi="Times New Roman" w:cs="Times New Roman"/>
          <w:sz w:val="18"/>
          <w:szCs w:val="18"/>
          <w:u w:color="000000"/>
          <w:lang w:val="en-US"/>
        </w:rPr>
        <w:tab/>
        <w:t>A/HRC/31/66, para. 16.</w:t>
      </w:r>
    </w:p>
  </w:footnote>
  <w:footnote w:id="4">
    <w:p w14:paraId="2104F057" w14:textId="77777777" w:rsidR="00507953" w:rsidRDefault="00522EB3">
      <w:pPr>
        <w:pStyle w:val="Default"/>
        <w:tabs>
          <w:tab w:val="right" w:pos="1021"/>
        </w:tabs>
        <w:suppressAutoHyphens/>
        <w:spacing w:line="220" w:lineRule="exact"/>
        <w:ind w:left="1134" w:right="1134" w:hanging="1134"/>
      </w:pPr>
      <w:r>
        <w:rPr>
          <w:rFonts w:ascii="Times New Roman" w:eastAsia="Times New Roman" w:hAnsi="Times New Roman" w:cs="Times New Roman"/>
          <w:sz w:val="18"/>
          <w:szCs w:val="18"/>
          <w:u w:color="000000"/>
          <w:lang w:val="en-US"/>
        </w:rPr>
        <w:tab/>
      </w:r>
      <w:r>
        <w:rPr>
          <w:rFonts w:ascii="Times New Roman" w:eastAsia="Times New Roman" w:hAnsi="Times New Roman" w:cs="Times New Roman"/>
          <w:sz w:val="18"/>
          <w:szCs w:val="18"/>
          <w:u w:color="000000"/>
          <w:vertAlign w:val="superscript"/>
          <w:lang w:val="fr-FR"/>
        </w:rPr>
        <w:footnoteRef/>
      </w:r>
      <w:r>
        <w:rPr>
          <w:rFonts w:ascii="Times New Roman" w:eastAsia="Times New Roman" w:hAnsi="Times New Roman" w:cs="Times New Roman"/>
          <w:sz w:val="18"/>
          <w:szCs w:val="18"/>
          <w:u w:color="000000"/>
          <w:lang w:val="en-US"/>
        </w:rPr>
        <w:tab/>
        <w:t xml:space="preserve">CCPR/C/CHL/CO/6, para. 19. See also </w:t>
      </w:r>
      <w:proofErr w:type="spellStart"/>
      <w:r>
        <w:rPr>
          <w:rFonts w:ascii="Times New Roman" w:hAnsi="Times New Roman"/>
          <w:i/>
          <w:iCs/>
          <w:sz w:val="18"/>
          <w:szCs w:val="18"/>
          <w:u w:color="000000"/>
          <w:lang w:val="en-US"/>
        </w:rPr>
        <w:t>Fedotova</w:t>
      </w:r>
      <w:proofErr w:type="spellEnd"/>
      <w:r>
        <w:rPr>
          <w:rFonts w:ascii="Times New Roman" w:hAnsi="Times New Roman"/>
          <w:i/>
          <w:iCs/>
          <w:sz w:val="18"/>
          <w:szCs w:val="18"/>
          <w:u w:color="000000"/>
          <w:lang w:val="en-US"/>
        </w:rPr>
        <w:t xml:space="preserve"> v. Russian Federation</w:t>
      </w:r>
      <w:r>
        <w:rPr>
          <w:rFonts w:ascii="Times New Roman" w:hAnsi="Times New Roman"/>
          <w:sz w:val="18"/>
          <w:szCs w:val="18"/>
          <w:u w:color="000000"/>
          <w:lang w:val="en-US"/>
        </w:rPr>
        <w:t xml:space="preserve"> (CCPR/C/106/D/1932/2010), para. 10.4. </w:t>
      </w:r>
    </w:p>
  </w:footnote>
  <w:footnote w:id="5">
    <w:p w14:paraId="7997EBC3" w14:textId="5F118366" w:rsidR="00013EFE" w:rsidRPr="00640B82" w:rsidRDefault="00013EFE" w:rsidP="00640B82">
      <w:pPr>
        <w:ind w:left="1134" w:hanging="141"/>
        <w:rPr>
          <w:rFonts w:eastAsia="Times New Roman"/>
          <w:sz w:val="18"/>
          <w:szCs w:val="18"/>
          <w:bdr w:val="none" w:sz="0" w:space="0" w:color="auto"/>
        </w:rPr>
      </w:pPr>
      <w:r w:rsidRPr="00640B82">
        <w:rPr>
          <w:rStyle w:val="FootnoteReference"/>
          <w:sz w:val="18"/>
          <w:szCs w:val="18"/>
        </w:rPr>
        <w:footnoteRef/>
      </w:r>
      <w:r w:rsidRPr="00640B82">
        <w:rPr>
          <w:sz w:val="18"/>
          <w:szCs w:val="18"/>
        </w:rPr>
        <w:t xml:space="preserve"> </w:t>
      </w:r>
      <w:r w:rsidR="00640B82" w:rsidRPr="00640B82">
        <w:rPr>
          <w:rFonts w:eastAsia="Times New Roman"/>
          <w:sz w:val="18"/>
          <w:szCs w:val="18"/>
          <w:bdr w:val="none" w:sz="0" w:space="0" w:color="auto"/>
        </w:rPr>
        <w:t xml:space="preserve">Butt, N., </w:t>
      </w:r>
      <w:proofErr w:type="spellStart"/>
      <w:r w:rsidR="00640B82" w:rsidRPr="00640B82">
        <w:rPr>
          <w:rFonts w:eastAsia="Times New Roman"/>
          <w:sz w:val="18"/>
          <w:szCs w:val="18"/>
          <w:bdr w:val="none" w:sz="0" w:space="0" w:color="auto"/>
        </w:rPr>
        <w:t>Lambrick</w:t>
      </w:r>
      <w:proofErr w:type="spellEnd"/>
      <w:r w:rsidR="00640B82" w:rsidRPr="00640B82">
        <w:rPr>
          <w:rFonts w:eastAsia="Times New Roman"/>
          <w:sz w:val="18"/>
          <w:szCs w:val="18"/>
          <w:bdr w:val="none" w:sz="0" w:space="0" w:color="auto"/>
        </w:rPr>
        <w:t xml:space="preserve">, F., </w:t>
      </w:r>
      <w:proofErr w:type="spellStart"/>
      <w:r w:rsidR="00640B82" w:rsidRPr="00640B82">
        <w:rPr>
          <w:rFonts w:eastAsia="Times New Roman"/>
          <w:sz w:val="18"/>
          <w:szCs w:val="18"/>
          <w:bdr w:val="none" w:sz="0" w:space="0" w:color="auto"/>
        </w:rPr>
        <w:t>Menton</w:t>
      </w:r>
      <w:proofErr w:type="spellEnd"/>
      <w:r w:rsidR="00640B82" w:rsidRPr="00640B82">
        <w:rPr>
          <w:rFonts w:eastAsia="Times New Roman"/>
          <w:sz w:val="18"/>
          <w:szCs w:val="18"/>
          <w:bdr w:val="none" w:sz="0" w:space="0" w:color="auto"/>
        </w:rPr>
        <w:t xml:space="preserve">, M. </w:t>
      </w:r>
      <w:r w:rsidR="00640B82" w:rsidRPr="00640B82">
        <w:rPr>
          <w:rFonts w:eastAsia="Times New Roman"/>
          <w:i/>
          <w:iCs/>
          <w:sz w:val="18"/>
          <w:szCs w:val="18"/>
          <w:bdr w:val="none" w:sz="0" w:space="0" w:color="auto"/>
        </w:rPr>
        <w:t>et al.</w:t>
      </w:r>
      <w:r w:rsidR="00640B82" w:rsidRPr="00640B82">
        <w:rPr>
          <w:rFonts w:eastAsia="Times New Roman"/>
          <w:sz w:val="18"/>
          <w:szCs w:val="18"/>
          <w:bdr w:val="none" w:sz="0" w:space="0" w:color="auto"/>
        </w:rPr>
        <w:t xml:space="preserve"> The supply chain of violence. </w:t>
      </w:r>
      <w:r w:rsidR="00640B82" w:rsidRPr="00640B82">
        <w:rPr>
          <w:rFonts w:eastAsia="Times New Roman"/>
          <w:i/>
          <w:iCs/>
          <w:sz w:val="18"/>
          <w:szCs w:val="18"/>
          <w:bdr w:val="none" w:sz="0" w:space="0" w:color="auto"/>
        </w:rPr>
        <w:t>Nat Sustain</w:t>
      </w:r>
      <w:r w:rsidR="00640B82" w:rsidRPr="00640B82">
        <w:rPr>
          <w:rFonts w:eastAsia="Times New Roman"/>
          <w:sz w:val="18"/>
          <w:szCs w:val="18"/>
          <w:bdr w:val="none" w:sz="0" w:space="0" w:color="auto"/>
        </w:rPr>
        <w:t xml:space="preserve"> </w:t>
      </w:r>
      <w:r w:rsidR="00640B82" w:rsidRPr="00640B82">
        <w:rPr>
          <w:rFonts w:eastAsia="Times New Roman"/>
          <w:b/>
          <w:bCs/>
          <w:sz w:val="18"/>
          <w:szCs w:val="18"/>
          <w:bdr w:val="none" w:sz="0" w:space="0" w:color="auto"/>
        </w:rPr>
        <w:t xml:space="preserve">2, </w:t>
      </w:r>
      <w:r w:rsidR="00640B82" w:rsidRPr="00640B82">
        <w:rPr>
          <w:rFonts w:eastAsia="Times New Roman"/>
          <w:sz w:val="18"/>
          <w:szCs w:val="18"/>
          <w:bdr w:val="none" w:sz="0" w:space="0" w:color="auto"/>
        </w:rPr>
        <w:t xml:space="preserve">742–747 (2019). </w:t>
      </w:r>
      <w:hyperlink r:id="rId1" w:history="1">
        <w:r w:rsidR="00640B82" w:rsidRPr="00640B82">
          <w:rPr>
            <w:rStyle w:val="Hyperlink"/>
            <w:rFonts w:eastAsia="Times New Roman"/>
            <w:sz w:val="18"/>
            <w:szCs w:val="18"/>
            <w:bdr w:val="none" w:sz="0" w:space="0" w:color="auto"/>
          </w:rPr>
          <w:t>https://doi.org/10.1038/s41893-019-0349-4</w:t>
        </w:r>
      </w:hyperlink>
      <w:r w:rsidR="00640B82" w:rsidRPr="00640B82">
        <w:rPr>
          <w:rFonts w:eastAsia="Times New Roman"/>
          <w:sz w:val="18"/>
          <w:szCs w:val="18"/>
          <w:bdr w:val="none" w:sz="0" w:space="0" w:color="auto"/>
        </w:rPr>
        <w:t xml:space="preserve"> </w:t>
      </w:r>
    </w:p>
  </w:footnote>
  <w:footnote w:id="6">
    <w:p w14:paraId="603F5A1C" w14:textId="0B03CDD7" w:rsidR="00EE5591" w:rsidRPr="00EE5591" w:rsidRDefault="00EE5591" w:rsidP="00EE5591">
      <w:pPr>
        <w:pStyle w:val="FootnoteText"/>
        <w:ind w:left="1134" w:hanging="141"/>
        <w:rPr>
          <w:sz w:val="18"/>
          <w:szCs w:val="18"/>
          <w:lang w:val="en-GB"/>
        </w:rPr>
      </w:pPr>
      <w:r w:rsidRPr="00EE5591">
        <w:rPr>
          <w:rStyle w:val="FootnoteReference"/>
          <w:sz w:val="18"/>
          <w:szCs w:val="18"/>
        </w:rPr>
        <w:footnoteRef/>
      </w:r>
      <w:r w:rsidRPr="00EE5591">
        <w:rPr>
          <w:sz w:val="18"/>
          <w:szCs w:val="18"/>
        </w:rPr>
        <w:t xml:space="preserve"> </w:t>
      </w:r>
      <w:r w:rsidRPr="00EE5591">
        <w:rPr>
          <w:sz w:val="18"/>
          <w:szCs w:val="18"/>
          <w:lang w:val="en-GB"/>
        </w:rPr>
        <w:t xml:space="preserve">Global Witness, Enemies of the State, 2019, </w:t>
      </w:r>
      <w:r w:rsidRPr="00EE5591">
        <w:rPr>
          <w:i/>
          <w:iCs/>
          <w:sz w:val="18"/>
          <w:szCs w:val="18"/>
          <w:lang w:val="en-GB"/>
        </w:rPr>
        <w:t>Global Witness,</w:t>
      </w:r>
      <w:r w:rsidRPr="00EE5591">
        <w:rPr>
          <w:sz w:val="18"/>
          <w:szCs w:val="18"/>
          <w:lang w:val="en-GB"/>
        </w:rPr>
        <w:t xml:space="preserve"> London, </w:t>
      </w:r>
      <w:hyperlink r:id="rId2" w:history="1">
        <w:r w:rsidRPr="00EE5591">
          <w:rPr>
            <w:rStyle w:val="Hyperlink"/>
            <w:sz w:val="18"/>
            <w:szCs w:val="18"/>
            <w:lang w:val="en-GB"/>
          </w:rPr>
          <w:t>https://www.globalwitness.org/en/campaigns/environmental-activists/enemies-state/</w:t>
        </w:r>
      </w:hyperlink>
      <w:r w:rsidRPr="00EE5591">
        <w:rPr>
          <w:sz w:val="18"/>
          <w:szCs w:val="18"/>
          <w:lang w:val="en-GB"/>
        </w:rPr>
        <w:t xml:space="preserve"> </w:t>
      </w:r>
    </w:p>
  </w:footnote>
  <w:footnote w:id="7">
    <w:p w14:paraId="68FD6C63" w14:textId="58024D5B" w:rsidR="003D382F" w:rsidRPr="003D382F" w:rsidRDefault="003D382F" w:rsidP="003D382F">
      <w:pPr>
        <w:pStyle w:val="FootnoteText"/>
        <w:ind w:left="1134" w:hanging="141"/>
        <w:rPr>
          <w:sz w:val="18"/>
          <w:szCs w:val="18"/>
          <w:lang w:val="en-GB"/>
        </w:rPr>
      </w:pPr>
      <w:r w:rsidRPr="003D382F">
        <w:rPr>
          <w:rStyle w:val="FootnoteReference"/>
          <w:sz w:val="18"/>
          <w:szCs w:val="18"/>
        </w:rPr>
        <w:footnoteRef/>
      </w:r>
      <w:r w:rsidRPr="003D382F">
        <w:rPr>
          <w:sz w:val="18"/>
          <w:szCs w:val="18"/>
        </w:rPr>
        <w:t xml:space="preserve"> Font Line Defenders </w:t>
      </w:r>
      <w:r w:rsidRPr="003D382F">
        <w:rPr>
          <w:sz w:val="18"/>
          <w:szCs w:val="18"/>
          <w:lang w:val="en-GB"/>
        </w:rPr>
        <w:t xml:space="preserve">Global Analysis, 2019, </w:t>
      </w:r>
      <w:r w:rsidRPr="003D382F">
        <w:rPr>
          <w:i/>
          <w:iCs/>
          <w:sz w:val="18"/>
          <w:szCs w:val="18"/>
          <w:lang w:val="en-GB"/>
        </w:rPr>
        <w:t>Front Line Defenders</w:t>
      </w:r>
      <w:r w:rsidRPr="003D382F">
        <w:rPr>
          <w:sz w:val="18"/>
          <w:szCs w:val="18"/>
          <w:lang w:val="en-GB"/>
        </w:rPr>
        <w:t xml:space="preserve">, Dublin, </w:t>
      </w:r>
      <w:hyperlink r:id="rId3" w:history="1">
        <w:r w:rsidRPr="002B24CE">
          <w:rPr>
            <w:rStyle w:val="Hyperlink"/>
            <w:sz w:val="18"/>
            <w:szCs w:val="18"/>
            <w:lang w:val="en-GB"/>
          </w:rPr>
          <w:t>https://www.frontlinedefenders.org/sites/default/files/global_analysis_2019_web.pdf</w:t>
        </w:r>
      </w:hyperlink>
      <w:r>
        <w:rPr>
          <w:sz w:val="18"/>
          <w:szCs w:val="18"/>
          <w:lang w:val="en-GB"/>
        </w:rPr>
        <w:t xml:space="preserve"> </w:t>
      </w:r>
    </w:p>
  </w:footnote>
  <w:footnote w:id="8">
    <w:p w14:paraId="18FB5B92" w14:textId="788CBD24" w:rsidR="00B007EE" w:rsidRPr="00B007EE" w:rsidRDefault="00B007EE" w:rsidP="00B007EE">
      <w:pPr>
        <w:pStyle w:val="FootnoteText"/>
        <w:ind w:left="1134" w:hanging="141"/>
        <w:rPr>
          <w:sz w:val="18"/>
          <w:szCs w:val="18"/>
          <w:lang w:val="en-GB"/>
        </w:rPr>
      </w:pPr>
      <w:r w:rsidRPr="00B007EE">
        <w:rPr>
          <w:rStyle w:val="FootnoteReference"/>
          <w:sz w:val="18"/>
          <w:szCs w:val="18"/>
        </w:rPr>
        <w:footnoteRef/>
      </w:r>
      <w:r w:rsidRPr="00B007EE">
        <w:rPr>
          <w:sz w:val="18"/>
          <w:szCs w:val="18"/>
        </w:rPr>
        <w:t xml:space="preserve"> </w:t>
      </w:r>
      <w:r w:rsidRPr="00B007EE">
        <w:rPr>
          <w:sz w:val="18"/>
          <w:szCs w:val="18"/>
          <w:lang w:val="en-GB"/>
        </w:rPr>
        <w:t>CCPR/C/VNM/CO/3, para. 45 (d)</w:t>
      </w:r>
    </w:p>
  </w:footnote>
  <w:footnote w:id="9">
    <w:p w14:paraId="5584F2ED" w14:textId="77777777" w:rsidR="00507953" w:rsidRDefault="00522EB3">
      <w:pPr>
        <w:pStyle w:val="Default"/>
        <w:tabs>
          <w:tab w:val="right" w:pos="1021"/>
        </w:tabs>
        <w:suppressAutoHyphens/>
        <w:spacing w:line="220" w:lineRule="exact"/>
        <w:ind w:left="1134" w:right="1134" w:hanging="1134"/>
      </w:pPr>
      <w:r>
        <w:rPr>
          <w:rFonts w:ascii="Times New Roman" w:eastAsia="Times New Roman" w:hAnsi="Times New Roman" w:cs="Times New Roman"/>
          <w:sz w:val="18"/>
          <w:szCs w:val="18"/>
          <w:u w:color="000000"/>
          <w:lang w:val="en-US"/>
        </w:rPr>
        <w:tab/>
      </w:r>
      <w:r>
        <w:rPr>
          <w:rFonts w:ascii="Times New Roman" w:eastAsia="Times New Roman" w:hAnsi="Times New Roman" w:cs="Times New Roman"/>
          <w:sz w:val="18"/>
          <w:szCs w:val="18"/>
          <w:u w:color="000000"/>
          <w:vertAlign w:val="superscript"/>
          <w:lang w:val="fr-FR"/>
        </w:rPr>
        <w:footnoteRef/>
      </w:r>
      <w:r>
        <w:rPr>
          <w:rFonts w:ascii="Times New Roman" w:eastAsia="Times New Roman" w:hAnsi="Times New Roman" w:cs="Times New Roman"/>
          <w:sz w:val="18"/>
          <w:szCs w:val="18"/>
          <w:u w:color="000000"/>
          <w:lang w:val="en-US"/>
        </w:rPr>
        <w:tab/>
        <w:t xml:space="preserve">CCPR/C/CHL/CO/6, para. 19. See also </w:t>
      </w:r>
      <w:proofErr w:type="spellStart"/>
      <w:r>
        <w:rPr>
          <w:rFonts w:ascii="Times New Roman" w:hAnsi="Times New Roman"/>
          <w:i/>
          <w:iCs/>
          <w:sz w:val="18"/>
          <w:szCs w:val="18"/>
          <w:u w:color="000000"/>
          <w:lang w:val="en-US"/>
        </w:rPr>
        <w:t>Fedotova</w:t>
      </w:r>
      <w:proofErr w:type="spellEnd"/>
      <w:r>
        <w:rPr>
          <w:rFonts w:ascii="Times New Roman" w:hAnsi="Times New Roman"/>
          <w:i/>
          <w:iCs/>
          <w:sz w:val="18"/>
          <w:szCs w:val="18"/>
          <w:u w:color="000000"/>
          <w:lang w:val="en-US"/>
        </w:rPr>
        <w:t xml:space="preserve"> v. Russian Federation</w:t>
      </w:r>
      <w:r>
        <w:rPr>
          <w:rFonts w:ascii="Times New Roman" w:hAnsi="Times New Roman"/>
          <w:sz w:val="18"/>
          <w:szCs w:val="18"/>
          <w:u w:color="000000"/>
          <w:lang w:val="en-US"/>
        </w:rPr>
        <w:t xml:space="preserve"> (CCPR/C/106/D/1932/2010), para. 10.4. </w:t>
      </w:r>
    </w:p>
  </w:footnote>
  <w:footnote w:id="10">
    <w:p w14:paraId="408DB4D4" w14:textId="77777777" w:rsidR="00507953" w:rsidRDefault="00522EB3">
      <w:pPr>
        <w:pStyle w:val="Default"/>
        <w:tabs>
          <w:tab w:val="right" w:pos="1021"/>
        </w:tabs>
        <w:suppressAutoHyphens/>
        <w:spacing w:line="220" w:lineRule="exact"/>
        <w:ind w:left="1134" w:right="1134" w:hanging="1134"/>
      </w:pPr>
      <w:r>
        <w:rPr>
          <w:rFonts w:ascii="Times New Roman" w:eastAsia="Times New Roman" w:hAnsi="Times New Roman" w:cs="Times New Roman"/>
          <w:sz w:val="18"/>
          <w:szCs w:val="18"/>
          <w:u w:color="000000"/>
          <w:lang w:val="en-US"/>
        </w:rPr>
        <w:tab/>
      </w:r>
      <w:r>
        <w:rPr>
          <w:rFonts w:ascii="Times New Roman" w:eastAsia="Times New Roman" w:hAnsi="Times New Roman" w:cs="Times New Roman"/>
          <w:sz w:val="18"/>
          <w:szCs w:val="18"/>
          <w:u w:color="000000"/>
          <w:vertAlign w:val="superscript"/>
          <w:lang w:val="fr-FR"/>
        </w:rPr>
        <w:footnoteRef/>
      </w:r>
      <w:r>
        <w:rPr>
          <w:rFonts w:ascii="Times New Roman" w:eastAsia="Times New Roman" w:hAnsi="Times New Roman" w:cs="Times New Roman"/>
          <w:sz w:val="18"/>
          <w:szCs w:val="18"/>
          <w:u w:color="000000"/>
          <w:lang w:val="en-US"/>
        </w:rPr>
        <w:tab/>
        <w:t>CCPR/C/SWZ/CO/1, para. 36; CCPR/C/BHR/CO/1, para. 29. See also A/HRC/40/52.</w:t>
      </w:r>
    </w:p>
  </w:footnote>
  <w:footnote w:id="11">
    <w:p w14:paraId="3BD5EBB1" w14:textId="10AAD941" w:rsidR="00BC4C67" w:rsidRPr="000674F9" w:rsidRDefault="000674F9" w:rsidP="000674F9">
      <w:pPr>
        <w:pStyle w:val="FootnoteText"/>
        <w:ind w:left="851"/>
        <w:rPr>
          <w:sz w:val="18"/>
          <w:szCs w:val="18"/>
          <w:lang w:val="en-GB"/>
        </w:rPr>
      </w:pPr>
      <w:r>
        <w:rPr>
          <w:sz w:val="18"/>
          <w:szCs w:val="18"/>
        </w:rPr>
        <w:t xml:space="preserve"> </w:t>
      </w:r>
      <w:r w:rsidR="00BC4C67" w:rsidRPr="000674F9">
        <w:rPr>
          <w:rStyle w:val="FootnoteReference"/>
          <w:sz w:val="18"/>
          <w:szCs w:val="18"/>
        </w:rPr>
        <w:footnoteRef/>
      </w:r>
      <w:r>
        <w:rPr>
          <w:sz w:val="18"/>
          <w:szCs w:val="18"/>
        </w:rPr>
        <w:t xml:space="preserve">  </w:t>
      </w:r>
      <w:r w:rsidRPr="000674F9">
        <w:rPr>
          <w:sz w:val="18"/>
          <w:szCs w:val="18"/>
          <w:lang w:val="en-GB"/>
        </w:rPr>
        <w:t>A/HRC/35/28/Add.1</w:t>
      </w:r>
      <w:r w:rsidR="004B3F1A">
        <w:rPr>
          <w:sz w:val="18"/>
          <w:szCs w:val="18"/>
          <w:lang w:val="en-GB"/>
        </w:rPr>
        <w:t>, II. A. Countering extremism and terrorism</w:t>
      </w:r>
    </w:p>
  </w:footnote>
  <w:footnote w:id="12">
    <w:p w14:paraId="206DB3DB" w14:textId="07647A92" w:rsidR="00E46C65" w:rsidRPr="00E46C65" w:rsidRDefault="00E46C65" w:rsidP="00E46C65">
      <w:pPr>
        <w:pStyle w:val="FootnoteText"/>
        <w:ind w:left="1134" w:hanging="283"/>
        <w:rPr>
          <w:sz w:val="18"/>
          <w:szCs w:val="18"/>
          <w:lang w:val="en-GB"/>
        </w:rPr>
      </w:pPr>
      <w:r>
        <w:rPr>
          <w:sz w:val="18"/>
          <w:szCs w:val="18"/>
        </w:rPr>
        <w:t xml:space="preserve"> </w:t>
      </w:r>
      <w:r w:rsidRPr="00E46C65">
        <w:rPr>
          <w:rStyle w:val="FootnoteReference"/>
          <w:sz w:val="18"/>
          <w:szCs w:val="18"/>
        </w:rPr>
        <w:footnoteRef/>
      </w:r>
      <w:r w:rsidRPr="00E46C65">
        <w:rPr>
          <w:sz w:val="18"/>
          <w:szCs w:val="18"/>
        </w:rPr>
        <w:t xml:space="preserve"> </w:t>
      </w:r>
      <w:r>
        <w:rPr>
          <w:sz w:val="18"/>
          <w:szCs w:val="18"/>
        </w:rPr>
        <w:t xml:space="preserve"> </w:t>
      </w:r>
      <w:r w:rsidRPr="00E46C65">
        <w:rPr>
          <w:sz w:val="18"/>
          <w:szCs w:val="18"/>
          <w:lang w:val="en-GB"/>
        </w:rPr>
        <w:t xml:space="preserve">Dodd, V., and Grierson, J., 2020, </w:t>
      </w:r>
      <w:r w:rsidRPr="00E46C65">
        <w:rPr>
          <w:i/>
          <w:iCs/>
          <w:sz w:val="18"/>
          <w:szCs w:val="18"/>
          <w:lang w:val="en-GB"/>
        </w:rPr>
        <w:t>The Guardian</w:t>
      </w:r>
      <w:r w:rsidRPr="00E46C65">
        <w:rPr>
          <w:sz w:val="18"/>
          <w:szCs w:val="18"/>
          <w:lang w:val="en-GB"/>
        </w:rPr>
        <w:t xml:space="preserve">, 9 January 2020, </w:t>
      </w:r>
      <w:hyperlink r:id="rId4" w:history="1">
        <w:r w:rsidRPr="00E46C65">
          <w:rPr>
            <w:rStyle w:val="Hyperlink"/>
            <w:sz w:val="18"/>
            <w:szCs w:val="18"/>
            <w:lang w:val="en-GB"/>
          </w:rPr>
          <w:t>https://www.theguardian.com/uk-news/2020/jan/10/xr-extinction-rebellion-listed-extremist-ideology-police-prevent-scheme-guidance</w:t>
        </w:r>
      </w:hyperlink>
      <w:r w:rsidRPr="00E46C65">
        <w:rPr>
          <w:sz w:val="18"/>
          <w:szCs w:val="18"/>
          <w:lang w:val="en-GB"/>
        </w:rPr>
        <w:t xml:space="preserve"> </w:t>
      </w:r>
    </w:p>
  </w:footnote>
  <w:footnote w:id="13">
    <w:p w14:paraId="3B9690E7" w14:textId="28518486" w:rsidR="00B02302" w:rsidRPr="00B02302" w:rsidRDefault="00B02302" w:rsidP="00B02302">
      <w:pPr>
        <w:pStyle w:val="FootnoteText"/>
        <w:ind w:left="1134" w:hanging="283"/>
        <w:rPr>
          <w:sz w:val="18"/>
          <w:szCs w:val="18"/>
          <w:lang w:val="en-GB"/>
        </w:rPr>
      </w:pPr>
      <w:r>
        <w:rPr>
          <w:sz w:val="18"/>
          <w:szCs w:val="18"/>
        </w:rPr>
        <w:t xml:space="preserve"> </w:t>
      </w:r>
      <w:r w:rsidRPr="00B02302">
        <w:rPr>
          <w:rStyle w:val="FootnoteReference"/>
          <w:sz w:val="18"/>
          <w:szCs w:val="18"/>
        </w:rPr>
        <w:footnoteRef/>
      </w:r>
      <w:r w:rsidRPr="00B02302">
        <w:rPr>
          <w:sz w:val="18"/>
          <w:szCs w:val="18"/>
        </w:rPr>
        <w:t xml:space="preserve"> </w:t>
      </w:r>
      <w:r>
        <w:rPr>
          <w:sz w:val="18"/>
          <w:szCs w:val="18"/>
        </w:rPr>
        <w:t xml:space="preserve"> </w:t>
      </w:r>
      <w:r w:rsidRPr="00B02302">
        <w:rPr>
          <w:sz w:val="18"/>
          <w:szCs w:val="18"/>
          <w:lang w:val="en-GB"/>
        </w:rPr>
        <w:t xml:space="preserve">Dodd, V., and Grierson, J., 2020, </w:t>
      </w:r>
      <w:r w:rsidRPr="00B02302">
        <w:rPr>
          <w:i/>
          <w:iCs/>
          <w:sz w:val="18"/>
          <w:szCs w:val="18"/>
          <w:lang w:val="en-GB"/>
        </w:rPr>
        <w:t>The Guardian</w:t>
      </w:r>
      <w:r w:rsidRPr="00B02302">
        <w:rPr>
          <w:sz w:val="18"/>
          <w:szCs w:val="18"/>
          <w:lang w:val="en-GB"/>
        </w:rPr>
        <w:t xml:space="preserve">, 22 January 2020, </w:t>
      </w:r>
      <w:hyperlink r:id="rId5" w:history="1">
        <w:r w:rsidRPr="00B02302">
          <w:rPr>
            <w:rStyle w:val="Hyperlink"/>
            <w:sz w:val="18"/>
            <w:szCs w:val="18"/>
            <w:lang w:val="en-GB"/>
          </w:rPr>
          <w:t>https://www.theguardian.com/environment/2020/jan/22/minister-denies-government-considers-extinction-rebellion-extremist</w:t>
        </w:r>
      </w:hyperlink>
      <w:r w:rsidRPr="00B02302">
        <w:rPr>
          <w:sz w:val="18"/>
          <w:szCs w:val="18"/>
          <w:lang w:val="en-GB"/>
        </w:rPr>
        <w:t xml:space="preserve"> </w:t>
      </w:r>
    </w:p>
  </w:footnote>
  <w:footnote w:id="14">
    <w:p w14:paraId="182B7794" w14:textId="0196C908" w:rsidR="00D57031" w:rsidRPr="00D57031" w:rsidRDefault="00D57031" w:rsidP="00D57031">
      <w:pPr>
        <w:pStyle w:val="FootnoteText"/>
        <w:ind w:left="1134" w:hanging="283"/>
        <w:rPr>
          <w:sz w:val="18"/>
          <w:szCs w:val="18"/>
          <w:lang w:val="en-GB"/>
        </w:rPr>
      </w:pPr>
      <w:r>
        <w:rPr>
          <w:sz w:val="18"/>
          <w:szCs w:val="18"/>
        </w:rPr>
        <w:t xml:space="preserve"> </w:t>
      </w:r>
      <w:r w:rsidRPr="00D57031">
        <w:rPr>
          <w:rStyle w:val="FootnoteReference"/>
          <w:sz w:val="18"/>
          <w:szCs w:val="18"/>
        </w:rPr>
        <w:footnoteRef/>
      </w:r>
      <w:r w:rsidRPr="00D57031">
        <w:rPr>
          <w:sz w:val="18"/>
          <w:szCs w:val="18"/>
        </w:rPr>
        <w:t xml:space="preserve"> </w:t>
      </w:r>
      <w:r>
        <w:rPr>
          <w:sz w:val="18"/>
          <w:szCs w:val="18"/>
        </w:rPr>
        <w:t xml:space="preserve"> </w:t>
      </w:r>
      <w:r w:rsidRPr="00D57031">
        <w:rPr>
          <w:sz w:val="18"/>
          <w:szCs w:val="18"/>
          <w:lang w:val="en-GB"/>
        </w:rPr>
        <w:t xml:space="preserve">Ellis-Petersen, H., 2018, </w:t>
      </w:r>
      <w:r w:rsidRPr="00D57031">
        <w:rPr>
          <w:i/>
          <w:iCs/>
          <w:sz w:val="18"/>
          <w:szCs w:val="18"/>
          <w:lang w:val="en-GB"/>
        </w:rPr>
        <w:t>The Guardian,</w:t>
      </w:r>
      <w:r w:rsidRPr="00D57031">
        <w:rPr>
          <w:sz w:val="18"/>
          <w:szCs w:val="18"/>
          <w:lang w:val="en-GB"/>
        </w:rPr>
        <w:t xml:space="preserve"> 9 March 2018, </w:t>
      </w:r>
      <w:hyperlink r:id="rId6" w:history="1">
        <w:r w:rsidRPr="00D57031">
          <w:rPr>
            <w:rStyle w:val="Hyperlink"/>
            <w:sz w:val="18"/>
            <w:szCs w:val="18"/>
            <w:lang w:val="en-GB"/>
          </w:rPr>
          <w:t>https://www.theguardian.com/world/2018/mar/09/philippines-lists-un-special-rapporteur-on-terrorist-hit-list-rodrigo-duterte</w:t>
        </w:r>
      </w:hyperlink>
      <w:r w:rsidRPr="00D57031">
        <w:rPr>
          <w:sz w:val="18"/>
          <w:szCs w:val="18"/>
          <w:lang w:val="en-GB"/>
        </w:rPr>
        <w:t xml:space="preserve"> </w:t>
      </w:r>
    </w:p>
  </w:footnote>
  <w:footnote w:id="15">
    <w:p w14:paraId="175EEEA0" w14:textId="77777777" w:rsidR="00507953" w:rsidRDefault="00522EB3">
      <w:pPr>
        <w:pStyle w:val="Default"/>
        <w:tabs>
          <w:tab w:val="right" w:pos="1021"/>
        </w:tabs>
        <w:suppressAutoHyphens/>
        <w:spacing w:line="220" w:lineRule="exact"/>
        <w:ind w:left="1134" w:right="1134" w:hanging="1134"/>
      </w:pPr>
      <w:r>
        <w:rPr>
          <w:rFonts w:ascii="Times New Roman" w:eastAsia="Times New Roman" w:hAnsi="Times New Roman" w:cs="Times New Roman"/>
          <w:sz w:val="18"/>
          <w:szCs w:val="18"/>
          <w:u w:color="000000"/>
          <w:lang w:val="en-US"/>
        </w:rPr>
        <w:tab/>
      </w:r>
      <w:r>
        <w:rPr>
          <w:rFonts w:ascii="Times New Roman" w:eastAsia="Times New Roman" w:hAnsi="Times New Roman" w:cs="Times New Roman"/>
          <w:sz w:val="18"/>
          <w:szCs w:val="18"/>
          <w:u w:color="000000"/>
          <w:vertAlign w:val="superscript"/>
          <w:lang w:val="fr-FR"/>
        </w:rPr>
        <w:footnoteRef/>
      </w:r>
      <w:r>
        <w:rPr>
          <w:rFonts w:ascii="Times New Roman" w:hAnsi="Times New Roman"/>
          <w:sz w:val="18"/>
          <w:szCs w:val="18"/>
          <w:u w:color="000000"/>
          <w:lang w:val="en-US"/>
        </w:rPr>
        <w:t xml:space="preserve"> </w:t>
      </w:r>
      <w:r>
        <w:rPr>
          <w:rFonts w:ascii="Times New Roman" w:hAnsi="Times New Roman"/>
          <w:sz w:val="18"/>
          <w:szCs w:val="18"/>
          <w:u w:color="000000"/>
          <w:lang w:val="en-US"/>
        </w:rPr>
        <w:tab/>
        <w:t>CCPR/C/KHM/CO/2, para. 12; CCPR/C/GRC/CO/2, para. 42; and CCPR/C/BGR/CO/4, para. 38.</w:t>
      </w:r>
    </w:p>
  </w:footnote>
  <w:footnote w:id="16">
    <w:p w14:paraId="2FF54026" w14:textId="77777777" w:rsidR="00507953" w:rsidRDefault="00522EB3">
      <w:pPr>
        <w:pStyle w:val="Default"/>
        <w:tabs>
          <w:tab w:val="right" w:pos="1021"/>
        </w:tabs>
        <w:suppressAutoHyphens/>
        <w:spacing w:line="220" w:lineRule="exact"/>
        <w:ind w:left="1134" w:right="1134" w:hanging="1134"/>
      </w:pPr>
      <w:r>
        <w:rPr>
          <w:rFonts w:ascii="Times New Roman" w:eastAsia="Times New Roman" w:hAnsi="Times New Roman" w:cs="Times New Roman"/>
          <w:sz w:val="18"/>
          <w:szCs w:val="18"/>
          <w:u w:color="000000"/>
          <w:lang w:val="en-US"/>
        </w:rPr>
        <w:tab/>
      </w:r>
      <w:r>
        <w:rPr>
          <w:rFonts w:ascii="Times New Roman" w:eastAsia="Times New Roman" w:hAnsi="Times New Roman" w:cs="Times New Roman"/>
          <w:sz w:val="18"/>
          <w:szCs w:val="18"/>
          <w:u w:color="000000"/>
          <w:vertAlign w:val="superscript"/>
          <w:lang w:val="fr-FR"/>
        </w:rPr>
        <w:footnoteRef/>
      </w:r>
      <w:r>
        <w:rPr>
          <w:rFonts w:ascii="Times New Roman" w:hAnsi="Times New Roman"/>
          <w:sz w:val="18"/>
          <w:szCs w:val="18"/>
          <w:u w:color="000000"/>
          <w:lang w:val="en-US"/>
        </w:rPr>
        <w:t xml:space="preserve"> </w:t>
      </w:r>
      <w:r>
        <w:rPr>
          <w:rFonts w:ascii="Times New Roman" w:hAnsi="Times New Roman"/>
          <w:sz w:val="18"/>
          <w:szCs w:val="18"/>
          <w:u w:color="000000"/>
          <w:lang w:val="en-US"/>
        </w:rPr>
        <w:tab/>
        <w:t xml:space="preserve">CCPR/C/VEN/CO/4, para. 14; and ACHPR, </w:t>
      </w:r>
      <w:r>
        <w:rPr>
          <w:rFonts w:ascii="Times New Roman" w:hAnsi="Times New Roman"/>
          <w:i/>
          <w:iCs/>
          <w:sz w:val="18"/>
          <w:szCs w:val="18"/>
          <w:u w:color="000000"/>
          <w:lang w:val="en-US"/>
        </w:rPr>
        <w:t>Guidelines on Policing Assemblies in Africa</w:t>
      </w:r>
      <w:r>
        <w:rPr>
          <w:rFonts w:ascii="Times New Roman" w:hAnsi="Times New Roman"/>
          <w:sz w:val="18"/>
          <w:szCs w:val="18"/>
          <w:u w:color="000000"/>
          <w:lang w:val="en-US"/>
        </w:rPr>
        <w:t xml:space="preserve">, para. 3.2. </w:t>
      </w:r>
    </w:p>
  </w:footnote>
  <w:footnote w:id="17">
    <w:p w14:paraId="6EAACB57" w14:textId="77777777" w:rsidR="00507953" w:rsidRDefault="00522EB3">
      <w:pPr>
        <w:pStyle w:val="Default"/>
        <w:tabs>
          <w:tab w:val="right" w:pos="1021"/>
        </w:tabs>
        <w:suppressAutoHyphens/>
        <w:spacing w:line="220" w:lineRule="exact"/>
        <w:ind w:left="1134" w:right="1134" w:hanging="1134"/>
      </w:pPr>
      <w:r>
        <w:rPr>
          <w:rFonts w:ascii="Times New Roman" w:eastAsia="Times New Roman" w:hAnsi="Times New Roman" w:cs="Times New Roman"/>
          <w:sz w:val="18"/>
          <w:szCs w:val="18"/>
          <w:u w:color="000000"/>
          <w:lang w:val="en-US"/>
        </w:rPr>
        <w:tab/>
      </w:r>
      <w:r>
        <w:rPr>
          <w:rFonts w:ascii="Times New Roman" w:eastAsia="Times New Roman" w:hAnsi="Times New Roman" w:cs="Times New Roman"/>
          <w:sz w:val="18"/>
          <w:szCs w:val="18"/>
          <w:u w:color="000000"/>
          <w:vertAlign w:val="superscript"/>
          <w:lang w:val="fr-FR"/>
        </w:rPr>
        <w:footnoteRef/>
      </w:r>
      <w:r>
        <w:rPr>
          <w:rFonts w:ascii="Times New Roman" w:hAnsi="Times New Roman"/>
          <w:sz w:val="18"/>
          <w:szCs w:val="18"/>
          <w:u w:color="000000"/>
          <w:lang w:val="en-US"/>
        </w:rPr>
        <w:t xml:space="preserve"> </w:t>
      </w:r>
      <w:r>
        <w:rPr>
          <w:rFonts w:ascii="Times New Roman" w:hAnsi="Times New Roman"/>
          <w:sz w:val="18"/>
          <w:szCs w:val="18"/>
          <w:u w:color="000000"/>
          <w:lang w:val="en-US"/>
        </w:rPr>
        <w:tab/>
      </w:r>
      <w:r>
        <w:rPr>
          <w:rFonts w:ascii="Times New Roman" w:hAnsi="Times New Roman"/>
          <w:i/>
          <w:iCs/>
          <w:sz w:val="18"/>
          <w:szCs w:val="18"/>
          <w:u w:color="000000"/>
          <w:lang w:val="en-US"/>
        </w:rPr>
        <w:t>United Nations Human Rights Guidance on Less-Lethal Weapons in Law Enforcement</w:t>
      </w:r>
      <w:r>
        <w:rPr>
          <w:rFonts w:ascii="Times New Roman" w:hAnsi="Times New Roman"/>
          <w:sz w:val="18"/>
          <w:szCs w:val="18"/>
          <w:u w:color="000000"/>
          <w:lang w:val="en-US"/>
        </w:rPr>
        <w:t xml:space="preserve"> (2019); European Court of Human Rights, </w:t>
      </w:r>
      <w:proofErr w:type="spellStart"/>
      <w:r>
        <w:rPr>
          <w:rFonts w:ascii="Times New Roman" w:hAnsi="Times New Roman"/>
          <w:i/>
          <w:iCs/>
          <w:sz w:val="18"/>
          <w:szCs w:val="18"/>
          <w:u w:color="000000"/>
          <w:lang w:val="en-US"/>
        </w:rPr>
        <w:t>Güleç</w:t>
      </w:r>
      <w:proofErr w:type="spellEnd"/>
      <w:r>
        <w:rPr>
          <w:rFonts w:ascii="Times New Roman" w:hAnsi="Times New Roman"/>
          <w:sz w:val="18"/>
          <w:szCs w:val="18"/>
          <w:u w:color="000000"/>
          <w:lang w:val="en-US"/>
        </w:rPr>
        <w:t xml:space="preserve"> </w:t>
      </w:r>
      <w:r>
        <w:rPr>
          <w:rFonts w:ascii="Times New Roman" w:hAnsi="Times New Roman"/>
          <w:i/>
          <w:iCs/>
          <w:sz w:val="18"/>
          <w:szCs w:val="18"/>
          <w:u w:color="000000"/>
          <w:lang w:val="en-US"/>
        </w:rPr>
        <w:t>v.</w:t>
      </w:r>
      <w:r>
        <w:rPr>
          <w:rFonts w:ascii="Times New Roman" w:hAnsi="Times New Roman"/>
          <w:sz w:val="18"/>
          <w:szCs w:val="18"/>
          <w:u w:color="000000"/>
          <w:lang w:val="en-US"/>
        </w:rPr>
        <w:t xml:space="preserve"> </w:t>
      </w:r>
      <w:r>
        <w:rPr>
          <w:rFonts w:ascii="Times New Roman" w:hAnsi="Times New Roman"/>
          <w:i/>
          <w:iCs/>
          <w:sz w:val="18"/>
          <w:szCs w:val="18"/>
          <w:u w:color="000000"/>
          <w:lang w:val="en-US"/>
        </w:rPr>
        <w:t xml:space="preserve">Turkey </w:t>
      </w:r>
      <w:r>
        <w:rPr>
          <w:rFonts w:ascii="Times New Roman" w:hAnsi="Times New Roman"/>
          <w:sz w:val="18"/>
          <w:szCs w:val="18"/>
          <w:u w:color="000000"/>
          <w:lang w:val="en-US"/>
        </w:rPr>
        <w:t xml:space="preserve">(application No. 21593/93), judgment of 27 July 1998, para. 71; and Basic Principles on the Use of Force and Firearms by Law Enforcement Officials, principle 2. </w:t>
      </w:r>
    </w:p>
  </w:footnote>
  <w:footnote w:id="18">
    <w:p w14:paraId="2947CB22" w14:textId="77777777" w:rsidR="00507953" w:rsidRDefault="00522EB3">
      <w:pPr>
        <w:pStyle w:val="Default"/>
        <w:tabs>
          <w:tab w:val="right" w:pos="1021"/>
        </w:tabs>
        <w:suppressAutoHyphens/>
        <w:spacing w:line="220" w:lineRule="exact"/>
        <w:ind w:left="1134" w:right="1134" w:hanging="1134"/>
      </w:pPr>
      <w:r>
        <w:rPr>
          <w:rFonts w:ascii="Times New Roman" w:eastAsia="Times New Roman" w:hAnsi="Times New Roman" w:cs="Times New Roman"/>
          <w:sz w:val="18"/>
          <w:szCs w:val="18"/>
          <w:u w:color="000000"/>
          <w:lang w:val="en-US"/>
        </w:rPr>
        <w:tab/>
      </w:r>
      <w:r>
        <w:rPr>
          <w:rFonts w:ascii="Times New Roman" w:eastAsia="Times New Roman" w:hAnsi="Times New Roman" w:cs="Times New Roman"/>
          <w:sz w:val="18"/>
          <w:szCs w:val="18"/>
          <w:u w:color="000000"/>
          <w:vertAlign w:val="superscript"/>
          <w:lang w:val="fr-FR"/>
        </w:rPr>
        <w:footnoteRef/>
      </w:r>
      <w:r>
        <w:rPr>
          <w:rFonts w:ascii="Times New Roman" w:hAnsi="Times New Roman"/>
          <w:sz w:val="18"/>
          <w:szCs w:val="18"/>
          <w:u w:color="000000"/>
          <w:lang w:val="en-US"/>
        </w:rPr>
        <w:t xml:space="preserve"> </w:t>
      </w:r>
      <w:r>
        <w:rPr>
          <w:rFonts w:ascii="Times New Roman" w:hAnsi="Times New Roman"/>
          <w:sz w:val="18"/>
          <w:szCs w:val="18"/>
          <w:u w:color="000000"/>
          <w:lang w:val="en-US"/>
        </w:rPr>
        <w:tab/>
        <w:t>General comment No. 36.</w:t>
      </w:r>
    </w:p>
  </w:footnote>
  <w:footnote w:id="19">
    <w:p w14:paraId="42489B03" w14:textId="77777777" w:rsidR="00507953" w:rsidRDefault="00522EB3">
      <w:pPr>
        <w:pStyle w:val="Default"/>
        <w:tabs>
          <w:tab w:val="right" w:pos="1021"/>
        </w:tabs>
        <w:suppressAutoHyphens/>
        <w:spacing w:line="220" w:lineRule="exact"/>
        <w:ind w:left="1134" w:right="1134" w:hanging="1134"/>
      </w:pPr>
      <w:r>
        <w:rPr>
          <w:rFonts w:ascii="Times New Roman" w:eastAsia="Times New Roman" w:hAnsi="Times New Roman" w:cs="Times New Roman"/>
          <w:sz w:val="18"/>
          <w:szCs w:val="18"/>
          <w:u w:color="000000"/>
          <w:lang w:val="en-US"/>
        </w:rPr>
        <w:tab/>
      </w:r>
      <w:r>
        <w:rPr>
          <w:rFonts w:ascii="Times New Roman" w:eastAsia="Times New Roman" w:hAnsi="Times New Roman" w:cs="Times New Roman"/>
          <w:sz w:val="18"/>
          <w:szCs w:val="18"/>
          <w:u w:color="000000"/>
          <w:vertAlign w:val="superscript"/>
          <w:lang w:val="fr-FR"/>
        </w:rPr>
        <w:footnoteRef/>
      </w:r>
      <w:r>
        <w:rPr>
          <w:rFonts w:ascii="Times New Roman" w:hAnsi="Times New Roman"/>
          <w:sz w:val="18"/>
          <w:szCs w:val="18"/>
          <w:u w:color="000000"/>
          <w:lang w:val="en-US"/>
        </w:rPr>
        <w:t xml:space="preserve"> </w:t>
      </w:r>
      <w:r>
        <w:rPr>
          <w:rFonts w:ascii="Times New Roman" w:hAnsi="Times New Roman"/>
          <w:sz w:val="18"/>
          <w:szCs w:val="18"/>
          <w:u w:color="000000"/>
          <w:lang w:val="en-US"/>
        </w:rPr>
        <w:tab/>
        <w:t>CCPR/C/KHM/CO/2, para. 12; CCPR/C/GRC/CO/2, para. 42; and CCPR/C/BGR/CO/4, para. 38.</w:t>
      </w:r>
    </w:p>
  </w:footnote>
  <w:footnote w:id="20">
    <w:p w14:paraId="766F9CC0" w14:textId="77777777" w:rsidR="00507953" w:rsidRDefault="00522EB3">
      <w:pPr>
        <w:pStyle w:val="Default"/>
        <w:tabs>
          <w:tab w:val="right" w:pos="1021"/>
        </w:tabs>
        <w:suppressAutoHyphens/>
        <w:spacing w:line="220" w:lineRule="exact"/>
        <w:ind w:left="1134" w:right="1134" w:hanging="1134"/>
      </w:pPr>
      <w:r>
        <w:rPr>
          <w:rFonts w:ascii="Times New Roman" w:eastAsia="Times New Roman" w:hAnsi="Times New Roman" w:cs="Times New Roman"/>
          <w:sz w:val="18"/>
          <w:szCs w:val="18"/>
          <w:u w:color="000000"/>
          <w:lang w:val="en-US"/>
        </w:rPr>
        <w:tab/>
      </w:r>
      <w:r>
        <w:rPr>
          <w:rFonts w:ascii="Times New Roman" w:eastAsia="Times New Roman" w:hAnsi="Times New Roman" w:cs="Times New Roman"/>
          <w:sz w:val="18"/>
          <w:szCs w:val="18"/>
          <w:u w:color="000000"/>
          <w:vertAlign w:val="superscript"/>
          <w:lang w:val="fr-FR"/>
        </w:rPr>
        <w:footnoteRef/>
      </w:r>
      <w:r>
        <w:rPr>
          <w:rFonts w:ascii="Times New Roman" w:hAnsi="Times New Roman"/>
          <w:sz w:val="18"/>
          <w:szCs w:val="18"/>
          <w:u w:color="000000"/>
          <w:lang w:val="en-US"/>
        </w:rPr>
        <w:t xml:space="preserve"> </w:t>
      </w:r>
      <w:r>
        <w:rPr>
          <w:rFonts w:ascii="Times New Roman" w:hAnsi="Times New Roman"/>
          <w:sz w:val="18"/>
          <w:szCs w:val="18"/>
          <w:u w:color="000000"/>
          <w:lang w:val="en-US"/>
        </w:rPr>
        <w:tab/>
        <w:t xml:space="preserve">CCPR/C/VEN/CO/4, para. 14; and ACHPR, </w:t>
      </w:r>
      <w:r>
        <w:rPr>
          <w:rFonts w:ascii="Times New Roman" w:hAnsi="Times New Roman"/>
          <w:i/>
          <w:iCs/>
          <w:sz w:val="18"/>
          <w:szCs w:val="18"/>
          <w:u w:color="000000"/>
          <w:lang w:val="en-US"/>
        </w:rPr>
        <w:t>Guidelines on Policing Assemblies in Africa</w:t>
      </w:r>
      <w:r>
        <w:rPr>
          <w:rFonts w:ascii="Times New Roman" w:hAnsi="Times New Roman"/>
          <w:sz w:val="18"/>
          <w:szCs w:val="18"/>
          <w:u w:color="000000"/>
          <w:lang w:val="en-US"/>
        </w:rPr>
        <w:t xml:space="preserve">, para. 3.2. </w:t>
      </w:r>
    </w:p>
  </w:footnote>
  <w:footnote w:id="21">
    <w:p w14:paraId="32DD69B6" w14:textId="77777777" w:rsidR="00507953" w:rsidRDefault="00522EB3">
      <w:pPr>
        <w:pStyle w:val="Default"/>
        <w:tabs>
          <w:tab w:val="right" w:pos="1021"/>
        </w:tabs>
        <w:suppressAutoHyphens/>
        <w:spacing w:line="220" w:lineRule="exact"/>
        <w:ind w:left="1134" w:right="1134" w:hanging="1134"/>
      </w:pPr>
      <w:r>
        <w:rPr>
          <w:rFonts w:ascii="Times New Roman" w:eastAsia="Times New Roman" w:hAnsi="Times New Roman" w:cs="Times New Roman"/>
          <w:sz w:val="18"/>
          <w:szCs w:val="18"/>
          <w:u w:color="000000"/>
          <w:lang w:val="en-US"/>
        </w:rPr>
        <w:tab/>
      </w:r>
      <w:r>
        <w:rPr>
          <w:rFonts w:ascii="Times New Roman" w:eastAsia="Times New Roman" w:hAnsi="Times New Roman" w:cs="Times New Roman"/>
          <w:sz w:val="18"/>
          <w:szCs w:val="18"/>
          <w:u w:color="000000"/>
          <w:vertAlign w:val="superscript"/>
          <w:lang w:val="fr-FR"/>
        </w:rPr>
        <w:footnoteRef/>
      </w:r>
      <w:r>
        <w:rPr>
          <w:rFonts w:ascii="Times New Roman" w:hAnsi="Times New Roman"/>
          <w:sz w:val="18"/>
          <w:szCs w:val="18"/>
          <w:u w:color="000000"/>
          <w:lang w:val="en-US"/>
        </w:rPr>
        <w:t xml:space="preserve"> </w:t>
      </w:r>
      <w:r>
        <w:rPr>
          <w:rFonts w:ascii="Times New Roman" w:hAnsi="Times New Roman"/>
          <w:sz w:val="18"/>
          <w:szCs w:val="18"/>
          <w:u w:color="000000"/>
          <w:lang w:val="en-US"/>
        </w:rPr>
        <w:tab/>
      </w:r>
      <w:r>
        <w:rPr>
          <w:rFonts w:ascii="Times New Roman" w:hAnsi="Times New Roman"/>
          <w:i/>
          <w:iCs/>
          <w:sz w:val="18"/>
          <w:szCs w:val="18"/>
          <w:u w:color="000000"/>
          <w:lang w:val="en-US"/>
        </w:rPr>
        <w:t>United Nations Human Rights Guidance on Less-Lethal Weapons in Law Enforcement</w:t>
      </w:r>
      <w:r>
        <w:rPr>
          <w:rFonts w:ascii="Times New Roman" w:hAnsi="Times New Roman"/>
          <w:sz w:val="18"/>
          <w:szCs w:val="18"/>
          <w:u w:color="000000"/>
          <w:lang w:val="en-US"/>
        </w:rPr>
        <w:t xml:space="preserve"> (2019); European Court of Human Rights, </w:t>
      </w:r>
      <w:proofErr w:type="spellStart"/>
      <w:r>
        <w:rPr>
          <w:rFonts w:ascii="Times New Roman" w:hAnsi="Times New Roman"/>
          <w:i/>
          <w:iCs/>
          <w:sz w:val="18"/>
          <w:szCs w:val="18"/>
          <w:u w:color="000000"/>
          <w:lang w:val="en-US"/>
        </w:rPr>
        <w:t>Güleç</w:t>
      </w:r>
      <w:proofErr w:type="spellEnd"/>
      <w:r>
        <w:rPr>
          <w:rFonts w:ascii="Times New Roman" w:hAnsi="Times New Roman"/>
          <w:sz w:val="18"/>
          <w:szCs w:val="18"/>
          <w:u w:color="000000"/>
          <w:lang w:val="en-US"/>
        </w:rPr>
        <w:t xml:space="preserve"> </w:t>
      </w:r>
      <w:r>
        <w:rPr>
          <w:rFonts w:ascii="Times New Roman" w:hAnsi="Times New Roman"/>
          <w:i/>
          <w:iCs/>
          <w:sz w:val="18"/>
          <w:szCs w:val="18"/>
          <w:u w:color="000000"/>
          <w:lang w:val="en-US"/>
        </w:rPr>
        <w:t>v.</w:t>
      </w:r>
      <w:r>
        <w:rPr>
          <w:rFonts w:ascii="Times New Roman" w:hAnsi="Times New Roman"/>
          <w:sz w:val="18"/>
          <w:szCs w:val="18"/>
          <w:u w:color="000000"/>
          <w:lang w:val="en-US"/>
        </w:rPr>
        <w:t xml:space="preserve"> </w:t>
      </w:r>
      <w:r>
        <w:rPr>
          <w:rFonts w:ascii="Times New Roman" w:hAnsi="Times New Roman"/>
          <w:i/>
          <w:iCs/>
          <w:sz w:val="18"/>
          <w:szCs w:val="18"/>
          <w:u w:color="000000"/>
          <w:lang w:val="en-US"/>
        </w:rPr>
        <w:t xml:space="preserve">Turkey </w:t>
      </w:r>
      <w:r>
        <w:rPr>
          <w:rFonts w:ascii="Times New Roman" w:hAnsi="Times New Roman"/>
          <w:sz w:val="18"/>
          <w:szCs w:val="18"/>
          <w:u w:color="000000"/>
          <w:lang w:val="en-US"/>
        </w:rPr>
        <w:t xml:space="preserve">(application No. 21593/93), judgment of 27 July 1998, para. 71; and Basic Principles on the Use of Force and Firearms by Law Enforcement Officials, principle 2. </w:t>
      </w:r>
    </w:p>
  </w:footnote>
  <w:footnote w:id="22">
    <w:p w14:paraId="732D3D9C" w14:textId="77777777" w:rsidR="00507953" w:rsidRDefault="00522EB3">
      <w:pPr>
        <w:pStyle w:val="Default"/>
        <w:tabs>
          <w:tab w:val="right" w:pos="1021"/>
        </w:tabs>
        <w:suppressAutoHyphens/>
        <w:spacing w:line="220" w:lineRule="exact"/>
        <w:ind w:left="1134" w:right="1134" w:hanging="1134"/>
      </w:pPr>
      <w:r>
        <w:rPr>
          <w:rFonts w:ascii="Times New Roman" w:eastAsia="Times New Roman" w:hAnsi="Times New Roman" w:cs="Times New Roman"/>
          <w:sz w:val="18"/>
          <w:szCs w:val="18"/>
          <w:u w:color="000000"/>
          <w:lang w:val="en-US"/>
        </w:rPr>
        <w:tab/>
      </w:r>
      <w:r>
        <w:rPr>
          <w:rFonts w:ascii="Times New Roman" w:eastAsia="Times New Roman" w:hAnsi="Times New Roman" w:cs="Times New Roman"/>
          <w:sz w:val="18"/>
          <w:szCs w:val="18"/>
          <w:u w:color="000000"/>
          <w:vertAlign w:val="superscript"/>
          <w:lang w:val="fr-FR"/>
        </w:rPr>
        <w:footnoteRef/>
      </w:r>
      <w:r>
        <w:rPr>
          <w:rFonts w:ascii="Times New Roman" w:hAnsi="Times New Roman"/>
          <w:sz w:val="18"/>
          <w:szCs w:val="18"/>
          <w:u w:color="000000"/>
          <w:lang w:val="en-US"/>
        </w:rPr>
        <w:t xml:space="preserve"> </w:t>
      </w:r>
      <w:r>
        <w:rPr>
          <w:rFonts w:ascii="Times New Roman" w:hAnsi="Times New Roman"/>
          <w:sz w:val="18"/>
          <w:szCs w:val="18"/>
          <w:u w:color="000000"/>
          <w:lang w:val="en-US"/>
        </w:rPr>
        <w:tab/>
        <w:t>General comment No. 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E2422" w14:textId="560C354E" w:rsidR="009F438D" w:rsidRDefault="009F438D">
    <w:pPr>
      <w:pStyle w:val="Header"/>
    </w:pPr>
    <w:r>
      <w:t>Not1More (N1M)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F2F1A"/>
    <w:multiLevelType w:val="hybridMultilevel"/>
    <w:tmpl w:val="6974073A"/>
    <w:styleLink w:val="Numbered"/>
    <w:lvl w:ilvl="0" w:tplc="7494B86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92758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8E40A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B3A375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9A49D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423D7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638FCB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538145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9E204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35F1394"/>
    <w:multiLevelType w:val="hybridMultilevel"/>
    <w:tmpl w:val="6974073A"/>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53"/>
    <w:rsid w:val="00013EFE"/>
    <w:rsid w:val="00024BB6"/>
    <w:rsid w:val="00025B81"/>
    <w:rsid w:val="00065CA4"/>
    <w:rsid w:val="000674F9"/>
    <w:rsid w:val="000A42B5"/>
    <w:rsid w:val="00184190"/>
    <w:rsid w:val="00333CF9"/>
    <w:rsid w:val="003D382F"/>
    <w:rsid w:val="00450D84"/>
    <w:rsid w:val="004866BE"/>
    <w:rsid w:val="004B3F1A"/>
    <w:rsid w:val="00507953"/>
    <w:rsid w:val="00522EB3"/>
    <w:rsid w:val="005825C9"/>
    <w:rsid w:val="00640B82"/>
    <w:rsid w:val="006E6B47"/>
    <w:rsid w:val="00847A84"/>
    <w:rsid w:val="008C3945"/>
    <w:rsid w:val="008F1312"/>
    <w:rsid w:val="009C3AC6"/>
    <w:rsid w:val="009F438D"/>
    <w:rsid w:val="00A33C55"/>
    <w:rsid w:val="00B007EE"/>
    <w:rsid w:val="00B02302"/>
    <w:rsid w:val="00BC4C67"/>
    <w:rsid w:val="00C5764E"/>
    <w:rsid w:val="00D57031"/>
    <w:rsid w:val="00DF4384"/>
    <w:rsid w:val="00E46C65"/>
    <w:rsid w:val="00EE5591"/>
    <w:rsid w:val="00F306BD"/>
    <w:rsid w:val="00FC5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74885"/>
  <w15:docId w15:val="{2D055052-4A0E-452F-9DA6-727A9E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Body">
    <w:name w:val="Body"/>
    <w:rPr>
      <w:rFonts w:ascii="Helvetica Neue" w:hAnsi="Helvetica Neue" w:cs="Arial Unicode MS"/>
      <w:color w:val="000000"/>
      <w:sz w:val="22"/>
      <w:szCs w:val="22"/>
      <w:lang w:val="en-US"/>
    </w:rPr>
  </w:style>
  <w:style w:type="numbering" w:customStyle="1" w:styleId="Numbered">
    <w:name w:val="Numbered"/>
    <w:pPr>
      <w:numPr>
        <w:numId w:val="1"/>
      </w:numPr>
    </w:pPr>
  </w:style>
  <w:style w:type="paragraph" w:customStyle="1" w:styleId="Default">
    <w:name w:val="Default"/>
    <w:rPr>
      <w:rFonts w:ascii="Helvetica Neue" w:eastAsia="Helvetica Neue" w:hAnsi="Helvetica Neue" w:cs="Helvetica Neue"/>
      <w:color w:val="000000"/>
      <w:sz w:val="22"/>
      <w:szCs w:val="22"/>
    </w:rPr>
  </w:style>
  <w:style w:type="character" w:styleId="CommentReference">
    <w:name w:val="annotation reference"/>
    <w:basedOn w:val="DefaultParagraphFont"/>
    <w:uiPriority w:val="99"/>
    <w:semiHidden/>
    <w:unhideWhenUsed/>
    <w:rsid w:val="008F1312"/>
    <w:rPr>
      <w:sz w:val="16"/>
      <w:szCs w:val="16"/>
    </w:rPr>
  </w:style>
  <w:style w:type="paragraph" w:styleId="CommentText">
    <w:name w:val="annotation text"/>
    <w:basedOn w:val="Normal"/>
    <w:link w:val="CommentTextChar"/>
    <w:uiPriority w:val="99"/>
    <w:semiHidden/>
    <w:unhideWhenUsed/>
    <w:rsid w:val="008F1312"/>
    <w:rPr>
      <w:sz w:val="20"/>
      <w:szCs w:val="20"/>
    </w:rPr>
  </w:style>
  <w:style w:type="character" w:customStyle="1" w:styleId="CommentTextChar">
    <w:name w:val="Comment Text Char"/>
    <w:basedOn w:val="DefaultParagraphFont"/>
    <w:link w:val="CommentText"/>
    <w:uiPriority w:val="99"/>
    <w:semiHidden/>
    <w:rsid w:val="008F1312"/>
    <w:rPr>
      <w:lang w:val="en-US" w:eastAsia="en-US"/>
    </w:rPr>
  </w:style>
  <w:style w:type="paragraph" w:styleId="CommentSubject">
    <w:name w:val="annotation subject"/>
    <w:basedOn w:val="CommentText"/>
    <w:next w:val="CommentText"/>
    <w:link w:val="CommentSubjectChar"/>
    <w:uiPriority w:val="99"/>
    <w:semiHidden/>
    <w:unhideWhenUsed/>
    <w:rsid w:val="008F1312"/>
    <w:rPr>
      <w:b/>
      <w:bCs/>
    </w:rPr>
  </w:style>
  <w:style w:type="character" w:customStyle="1" w:styleId="CommentSubjectChar">
    <w:name w:val="Comment Subject Char"/>
    <w:basedOn w:val="CommentTextChar"/>
    <w:link w:val="CommentSubject"/>
    <w:uiPriority w:val="99"/>
    <w:semiHidden/>
    <w:rsid w:val="008F1312"/>
    <w:rPr>
      <w:b/>
      <w:bCs/>
      <w:lang w:val="en-US" w:eastAsia="en-US"/>
    </w:rPr>
  </w:style>
  <w:style w:type="paragraph" w:styleId="BalloonText">
    <w:name w:val="Balloon Text"/>
    <w:basedOn w:val="Normal"/>
    <w:link w:val="BalloonTextChar"/>
    <w:uiPriority w:val="99"/>
    <w:semiHidden/>
    <w:unhideWhenUsed/>
    <w:rsid w:val="008F13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312"/>
    <w:rPr>
      <w:rFonts w:ascii="Segoe UI" w:hAnsi="Segoe UI" w:cs="Segoe UI"/>
      <w:sz w:val="18"/>
      <w:szCs w:val="18"/>
      <w:lang w:val="en-US" w:eastAsia="en-US"/>
    </w:rPr>
  </w:style>
  <w:style w:type="character" w:customStyle="1" w:styleId="UnresolvedMention">
    <w:name w:val="Unresolved Mention"/>
    <w:basedOn w:val="DefaultParagraphFont"/>
    <w:uiPriority w:val="99"/>
    <w:semiHidden/>
    <w:unhideWhenUsed/>
    <w:rsid w:val="00065CA4"/>
    <w:rPr>
      <w:color w:val="605E5C"/>
      <w:shd w:val="clear" w:color="auto" w:fill="E1DFDD"/>
    </w:rPr>
  </w:style>
  <w:style w:type="character" w:styleId="FollowedHyperlink">
    <w:name w:val="FollowedHyperlink"/>
    <w:basedOn w:val="DefaultParagraphFont"/>
    <w:uiPriority w:val="99"/>
    <w:semiHidden/>
    <w:unhideWhenUsed/>
    <w:rsid w:val="00013EFE"/>
    <w:rPr>
      <w:color w:val="FF00FF" w:themeColor="followedHyperlink"/>
      <w:u w:val="single"/>
    </w:rPr>
  </w:style>
  <w:style w:type="character" w:customStyle="1" w:styleId="Aucun">
    <w:name w:val="Aucun"/>
    <w:rsid w:val="00013EFE"/>
  </w:style>
  <w:style w:type="paragraph" w:styleId="FootnoteText">
    <w:name w:val="footnote text"/>
    <w:basedOn w:val="Normal"/>
    <w:link w:val="FootnoteTextChar"/>
    <w:uiPriority w:val="99"/>
    <w:unhideWhenUsed/>
    <w:rsid w:val="00013EFE"/>
  </w:style>
  <w:style w:type="character" w:customStyle="1" w:styleId="FootnoteTextChar">
    <w:name w:val="Footnote Text Char"/>
    <w:basedOn w:val="DefaultParagraphFont"/>
    <w:link w:val="FootnoteText"/>
    <w:uiPriority w:val="99"/>
    <w:rsid w:val="00013EFE"/>
    <w:rPr>
      <w:sz w:val="24"/>
      <w:szCs w:val="24"/>
      <w:lang w:val="en-US" w:eastAsia="en-US"/>
    </w:rPr>
  </w:style>
  <w:style w:type="character" w:styleId="FootnoteReference">
    <w:name w:val="footnote reference"/>
    <w:basedOn w:val="DefaultParagraphFont"/>
    <w:uiPriority w:val="99"/>
    <w:unhideWhenUsed/>
    <w:rsid w:val="00013EFE"/>
    <w:rPr>
      <w:vertAlign w:val="superscript"/>
    </w:rPr>
  </w:style>
  <w:style w:type="paragraph" w:styleId="Header">
    <w:name w:val="header"/>
    <w:basedOn w:val="Normal"/>
    <w:link w:val="HeaderChar"/>
    <w:uiPriority w:val="99"/>
    <w:unhideWhenUsed/>
    <w:rsid w:val="009F438D"/>
    <w:pPr>
      <w:tabs>
        <w:tab w:val="center" w:pos="4513"/>
        <w:tab w:val="right" w:pos="9026"/>
      </w:tabs>
    </w:pPr>
  </w:style>
  <w:style w:type="character" w:customStyle="1" w:styleId="HeaderChar">
    <w:name w:val="Header Char"/>
    <w:basedOn w:val="DefaultParagraphFont"/>
    <w:link w:val="Header"/>
    <w:uiPriority w:val="99"/>
    <w:rsid w:val="009F438D"/>
    <w:rPr>
      <w:sz w:val="24"/>
      <w:szCs w:val="24"/>
      <w:lang w:val="en-US" w:eastAsia="en-US"/>
    </w:rPr>
  </w:style>
  <w:style w:type="paragraph" w:styleId="Footer">
    <w:name w:val="footer"/>
    <w:basedOn w:val="Normal"/>
    <w:link w:val="FooterChar"/>
    <w:uiPriority w:val="99"/>
    <w:unhideWhenUsed/>
    <w:rsid w:val="009F438D"/>
    <w:pPr>
      <w:tabs>
        <w:tab w:val="center" w:pos="4513"/>
        <w:tab w:val="right" w:pos="9026"/>
      </w:tabs>
    </w:pPr>
  </w:style>
  <w:style w:type="character" w:customStyle="1" w:styleId="FooterChar">
    <w:name w:val="Footer Char"/>
    <w:basedOn w:val="DefaultParagraphFont"/>
    <w:link w:val="Footer"/>
    <w:uiPriority w:val="99"/>
    <w:rsid w:val="009F438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29418">
      <w:bodyDiv w:val="1"/>
      <w:marLeft w:val="0"/>
      <w:marRight w:val="0"/>
      <w:marTop w:val="0"/>
      <w:marBottom w:val="0"/>
      <w:divBdr>
        <w:top w:val="none" w:sz="0" w:space="0" w:color="auto"/>
        <w:left w:val="none" w:sz="0" w:space="0" w:color="auto"/>
        <w:bottom w:val="none" w:sz="0" w:space="0" w:color="auto"/>
        <w:right w:val="none" w:sz="0" w:space="0" w:color="auto"/>
      </w:divBdr>
    </w:div>
    <w:div w:id="1804882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frontlinedefenders.org/sites/default/files/global_analysis_2019_web.pdf" TargetMode="External"/><Relationship Id="rId2" Type="http://schemas.openxmlformats.org/officeDocument/2006/relationships/hyperlink" Target="https://www.globalwitness.org/en/campaigns/environmental-activists/enemies-state/" TargetMode="External"/><Relationship Id="rId1" Type="http://schemas.openxmlformats.org/officeDocument/2006/relationships/hyperlink" Target="https://doi.org/10.1038/s41893-019-0349-4" TargetMode="External"/><Relationship Id="rId6" Type="http://schemas.openxmlformats.org/officeDocument/2006/relationships/hyperlink" Target="https://www.theguardian.com/world/2018/mar/09/philippines-lists-un-special-rapporteur-on-terrorist-hit-list-rodrigo-duterte" TargetMode="External"/><Relationship Id="rId5" Type="http://schemas.openxmlformats.org/officeDocument/2006/relationships/hyperlink" Target="https://www.theguardian.com/environment/2020/jan/22/minister-denies-government-considers-extinction-rebellion-extremist" TargetMode="External"/><Relationship Id="rId4" Type="http://schemas.openxmlformats.org/officeDocument/2006/relationships/hyperlink" Target="https://www.theguardian.com/uk-news/2020/jan/10/xr-extinction-rebellion-listed-extremist-ideology-police-prevent-scheme-guidance"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BE5387-4A78-4428-AB30-E56F5807A059}"/>
</file>

<file path=customXml/itemProps2.xml><?xml version="1.0" encoding="utf-8"?>
<ds:datastoreItem xmlns:ds="http://schemas.openxmlformats.org/officeDocument/2006/customXml" ds:itemID="{2A6A4A95-944B-4958-A593-348C38D921EB}"/>
</file>

<file path=customXml/itemProps3.xml><?xml version="1.0" encoding="utf-8"?>
<ds:datastoreItem xmlns:ds="http://schemas.openxmlformats.org/officeDocument/2006/customXml" ds:itemID="{3BA0ECEE-F67B-4776-B06A-04AA83985536}"/>
</file>

<file path=docProps/app.xml><?xml version="1.0" encoding="utf-8"?>
<Properties xmlns="http://schemas.openxmlformats.org/officeDocument/2006/extended-properties" xmlns:vt="http://schemas.openxmlformats.org/officeDocument/2006/docPropsVTypes">
  <Template>Normal.dotm</Template>
  <TotalTime>0</TotalTime>
  <Pages>3</Pages>
  <Words>1099</Words>
  <Characters>6266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ROSNIANSKY Cherry Lou</dc:creator>
  <cp:lastModifiedBy>ROSNIANSKY Cherry Lou</cp:lastModifiedBy>
  <cp:revision>2</cp:revision>
  <dcterms:created xsi:type="dcterms:W3CDTF">2020-02-22T23:53:00Z</dcterms:created>
  <dcterms:modified xsi:type="dcterms:W3CDTF">2020-02-22T23:53:00Z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