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40" w:rsidRPr="004E208C" w:rsidRDefault="003D50CC">
      <w:pPr>
        <w:pStyle w:val="HMG"/>
        <w:spacing w:line="240" w:lineRule="auto"/>
        <w:ind w:firstLine="0"/>
        <w:jc w:val="center"/>
        <w:rPr>
          <w:rFonts w:cs="Times New Roman"/>
        </w:rPr>
      </w:pPr>
      <w:r w:rsidRPr="004E208C">
        <w:rPr>
          <w:rFonts w:cs="Times New Roman"/>
        </w:rPr>
        <w:t xml:space="preserve">Joint Submission of Hong Kong NGOs </w:t>
      </w:r>
    </w:p>
    <w:p w:rsidR="00090040" w:rsidRPr="004E208C" w:rsidRDefault="003D50CC">
      <w:pPr>
        <w:pStyle w:val="HMG"/>
        <w:spacing w:line="240" w:lineRule="auto"/>
        <w:ind w:firstLine="0"/>
        <w:jc w:val="center"/>
        <w:rPr>
          <w:rFonts w:cs="Times New Roman"/>
          <w:sz w:val="28"/>
          <w:szCs w:val="28"/>
        </w:rPr>
      </w:pPr>
      <w:r w:rsidRPr="004E208C">
        <w:rPr>
          <w:rFonts w:cs="Times New Roman"/>
          <w:sz w:val="28"/>
          <w:szCs w:val="28"/>
        </w:rPr>
        <w:t xml:space="preserve">on the Revised draft of the General Comment No. 37 (right to peaceful assembly) of the International Covenant on Civil and Political Rights prepared by the Rapporteur, Mr. Christof Heyns </w:t>
      </w:r>
    </w:p>
    <w:p w:rsidR="00090040" w:rsidRPr="00B327F8" w:rsidRDefault="003D50CC" w:rsidP="00B327F8">
      <w:pPr>
        <w:pStyle w:val="Body"/>
        <w:keepNext/>
        <w:keepLines/>
        <w:tabs>
          <w:tab w:val="right" w:pos="851"/>
        </w:tabs>
        <w:spacing w:before="360" w:after="240" w:line="240" w:lineRule="auto"/>
        <w:ind w:left="1134" w:right="1134" w:hanging="1134"/>
        <w:contextualSpacing/>
        <w:jc w:val="center"/>
        <w:outlineLvl w:val="0"/>
        <w:rPr>
          <w:rFonts w:cs="Times New Roman"/>
          <w:b/>
          <w:bCs/>
          <w:sz w:val="24"/>
          <w:szCs w:val="24"/>
        </w:rPr>
      </w:pPr>
      <w:r w:rsidRPr="00B327F8">
        <w:rPr>
          <w:rFonts w:cs="Times New Roman"/>
          <w:b/>
          <w:bCs/>
          <w:sz w:val="24"/>
          <w:szCs w:val="24"/>
        </w:rPr>
        <w:t>Hong Kong Special Administrative Region (HKSAR)</w:t>
      </w:r>
    </w:p>
    <w:p w:rsidR="00090040" w:rsidRDefault="003D50CC" w:rsidP="00B327F8">
      <w:pPr>
        <w:pStyle w:val="Body"/>
        <w:keepNext/>
        <w:keepLines/>
        <w:tabs>
          <w:tab w:val="right" w:pos="851"/>
        </w:tabs>
        <w:spacing w:before="360" w:after="240" w:line="240" w:lineRule="auto"/>
        <w:ind w:left="1134" w:right="1134" w:hanging="1134"/>
        <w:contextualSpacing/>
        <w:jc w:val="center"/>
        <w:outlineLvl w:val="0"/>
        <w:rPr>
          <w:rFonts w:cs="Times New Roman"/>
          <w:b/>
          <w:bCs/>
          <w:sz w:val="24"/>
          <w:szCs w:val="24"/>
        </w:rPr>
      </w:pPr>
      <w:r w:rsidRPr="00B327F8">
        <w:rPr>
          <w:rFonts w:cs="Times New Roman"/>
          <w:b/>
          <w:bCs/>
          <w:sz w:val="24"/>
          <w:szCs w:val="24"/>
        </w:rPr>
        <w:t>(February 2020)</w:t>
      </w:r>
    </w:p>
    <w:p w:rsidR="00B327F8" w:rsidRPr="00B327F8" w:rsidRDefault="00B327F8" w:rsidP="00B327F8">
      <w:pPr>
        <w:pStyle w:val="Body"/>
        <w:keepNext/>
        <w:keepLines/>
        <w:tabs>
          <w:tab w:val="right" w:pos="851"/>
        </w:tabs>
        <w:spacing w:before="360" w:after="240" w:line="240" w:lineRule="auto"/>
        <w:ind w:left="1134" w:right="1134" w:hanging="1134"/>
        <w:contextualSpacing/>
        <w:outlineLvl w:val="0"/>
        <w:rPr>
          <w:rFonts w:cs="Times New Roman"/>
          <w:sz w:val="24"/>
          <w:szCs w:val="24"/>
        </w:rPr>
      </w:pPr>
    </w:p>
    <w:p w:rsidR="00090040" w:rsidRPr="004E208C" w:rsidRDefault="003D50CC">
      <w:pPr>
        <w:pStyle w:val="Body"/>
        <w:keepNext/>
        <w:keepLines/>
        <w:tabs>
          <w:tab w:val="right" w:pos="851"/>
        </w:tabs>
        <w:spacing w:before="240" w:after="120" w:line="240" w:lineRule="auto"/>
        <w:ind w:left="1134" w:right="1134" w:hanging="1134"/>
        <w:rPr>
          <w:rFonts w:cs="Times New Roman"/>
          <w:b/>
          <w:bCs/>
        </w:rPr>
      </w:pPr>
      <w:r w:rsidRPr="004E208C">
        <w:rPr>
          <w:rFonts w:cs="Times New Roman"/>
          <w:b/>
          <w:bCs/>
          <w:lang w:val="fr-FR"/>
        </w:rPr>
        <w:tab/>
        <w:t>1.</w:t>
      </w:r>
      <w:r w:rsidRPr="004E208C">
        <w:rPr>
          <w:rFonts w:cs="Times New Roman"/>
          <w:b/>
          <w:bCs/>
          <w:lang w:val="fr-FR"/>
        </w:rPr>
        <w:tab/>
        <w:t xml:space="preserve">Introduction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We thank the Rapporteur, Mr. Christof Heyns for his drafts.</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This submission </w:t>
      </w:r>
      <w:proofErr w:type="gramStart"/>
      <w:r w:rsidRPr="004E208C">
        <w:rPr>
          <w:rFonts w:cs="Times New Roman"/>
        </w:rPr>
        <w:t xml:space="preserve">is prepared and submitted jointly by several Hong Kong human rights NGOs, led by Hong Kong Human Rights Monitor and Civil Rights Observer, whose representatives participated in the regional consultation of the draft general comment in Bangkok, February 2020, </w:t>
      </w:r>
      <w:proofErr w:type="spellStart"/>
      <w:r w:rsidRPr="004E208C">
        <w:rPr>
          <w:rFonts w:cs="Times New Roman"/>
        </w:rPr>
        <w:t>organised</w:t>
      </w:r>
      <w:proofErr w:type="spellEnd"/>
      <w:r w:rsidRPr="004E208C">
        <w:rPr>
          <w:rFonts w:cs="Times New Roman"/>
        </w:rPr>
        <w:t xml:space="preserve"> by Article 19</w:t>
      </w:r>
      <w:proofErr w:type="gramEnd"/>
      <w:r w:rsidRPr="004E208C">
        <w:rPr>
          <w:rFonts w:cs="Times New Roman"/>
        </w:rPr>
        <w:t xml:space="preserve">. The same NGOs also made a joint submission to the Committee in March 2019.  </w:t>
      </w:r>
    </w:p>
    <w:p w:rsidR="00090040" w:rsidRPr="004E208C" w:rsidRDefault="003D50CC">
      <w:pPr>
        <w:pStyle w:val="Body"/>
        <w:keepNext/>
        <w:keepLines/>
        <w:tabs>
          <w:tab w:val="right" w:pos="851"/>
        </w:tabs>
        <w:spacing w:before="240" w:after="120" w:line="240" w:lineRule="auto"/>
        <w:ind w:left="1134" w:right="1134" w:hanging="1134"/>
        <w:rPr>
          <w:rFonts w:cs="Times New Roman"/>
          <w:b/>
          <w:bCs/>
        </w:rPr>
      </w:pPr>
      <w:r w:rsidRPr="004E208C">
        <w:rPr>
          <w:rFonts w:cs="Times New Roman"/>
          <w:b/>
          <w:bCs/>
        </w:rPr>
        <w:tab/>
        <w:t>2.</w:t>
      </w:r>
      <w:r w:rsidRPr="004E208C">
        <w:rPr>
          <w:rFonts w:cs="Times New Roman"/>
          <w:b/>
          <w:bCs/>
        </w:rPr>
        <w:tab/>
        <w:t>Key suggestions based on Hong Kong’s experience</w:t>
      </w:r>
    </w:p>
    <w:p w:rsidR="00090040" w:rsidRPr="004E208C" w:rsidRDefault="003D50CC">
      <w:pPr>
        <w:pStyle w:val="Body"/>
        <w:spacing w:after="120" w:line="240" w:lineRule="auto"/>
        <w:ind w:left="567" w:right="1134" w:firstLine="567"/>
        <w:jc w:val="both"/>
        <w:rPr>
          <w:rFonts w:cs="Times New Roman"/>
          <w:i/>
          <w:iCs/>
        </w:rPr>
      </w:pPr>
      <w:proofErr w:type="spellStart"/>
      <w:r w:rsidRPr="004E208C">
        <w:rPr>
          <w:rFonts w:cs="Times New Roman"/>
          <w:i/>
          <w:iCs/>
          <w:lang w:val="fr-FR"/>
        </w:rPr>
        <w:t>Paragraph</w:t>
      </w:r>
      <w:proofErr w:type="spellEnd"/>
      <w:r w:rsidRPr="004E208C">
        <w:rPr>
          <w:rFonts w:cs="Times New Roman"/>
          <w:i/>
          <w:iCs/>
          <w:lang w:val="fr-FR"/>
        </w:rPr>
        <w:t xml:space="preserve"> 1</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We suggest </w:t>
      </w:r>
      <w:proofErr w:type="gramStart"/>
      <w:r w:rsidRPr="004E208C">
        <w:rPr>
          <w:rFonts w:cs="Times New Roman"/>
        </w:rPr>
        <w:t xml:space="preserve">to </w:t>
      </w:r>
      <w:r w:rsidRPr="00B327F8">
        <w:rPr>
          <w:rFonts w:cs="Times New Roman"/>
          <w:bCs/>
        </w:rPr>
        <w:t>reiterate</w:t>
      </w:r>
      <w:proofErr w:type="gramEnd"/>
      <w:r w:rsidRPr="004E208C">
        <w:rPr>
          <w:rFonts w:cs="Times New Roman"/>
        </w:rPr>
        <w:t xml:space="preserve"> the positive obligation of the state parties to respond to the protests as a sign of respect for assemblies.</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5</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Foreign nationals: The Hong Kong Government has revoked or refused to renew visas for expatriates and migrant domestic workers after they spoke out against the Hong Kong or Chinese government; and refused entry to foreign activists who come to Hong Kong to protest or give speeches. The government takes advantage of the fact that constitutional rights often do </w:t>
      </w:r>
      <w:proofErr w:type="gramStart"/>
      <w:r w:rsidRPr="004E208C">
        <w:rPr>
          <w:rFonts w:cs="Times New Roman"/>
        </w:rPr>
        <w:t>not cover non-citizens</w:t>
      </w:r>
      <w:proofErr w:type="gramEnd"/>
      <w:r w:rsidRPr="004E208C">
        <w:rPr>
          <w:rFonts w:cs="Times New Roman"/>
        </w:rPr>
        <w:t xml:space="preserve">. Suggested change: </w:t>
      </w:r>
      <w:r w:rsidRPr="00B327F8">
        <w:rPr>
          <w:rFonts w:cs="Times New Roman"/>
          <w:bCs/>
        </w:rPr>
        <w:t>to add</w:t>
      </w:r>
      <w:r w:rsidRPr="004E208C">
        <w:rPr>
          <w:rFonts w:cs="Times New Roman"/>
        </w:rPr>
        <w:t xml:space="preserve"> "Domestic laws and administrative measures, including immigration ones, to be compatible with States' duty to protect non-citizens' exercise of the right of peaceful assembly (and expression)."</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Furthermore, in order to respect the rights of children, persons with disabilities, ethnic minorities and other vulnerable groups, the General Comment should </w:t>
      </w:r>
      <w:r w:rsidRPr="00B327F8">
        <w:rPr>
          <w:rFonts w:cs="Times New Roman"/>
          <w:bCs/>
        </w:rPr>
        <w:t>reiterate</w:t>
      </w:r>
      <w:r w:rsidRPr="004E208C">
        <w:rPr>
          <w:rFonts w:cs="Times New Roman"/>
        </w:rPr>
        <w:t xml:space="preserve"> the States' positive duty to facilitate their exercise of rights; moreover, not to deter them from participating.</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10</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We disagree with the clear-cut non-applicability of article 21.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See our previous submission paragraph 3.5, "…the word "peaceful" should not qualify the scope of the right. There should not be an all-or-nothing approach to fundamental rights, whereby an assembly that falls just outside the line of being "peaceful" would lose all protection… "</w:t>
      </w:r>
    </w:p>
    <w:p w:rsidR="00090040" w:rsidRPr="004E208C" w:rsidRDefault="003D50CC" w:rsidP="008C239C">
      <w:pPr>
        <w:pStyle w:val="ListParagraph"/>
        <w:numPr>
          <w:ilvl w:val="0"/>
          <w:numId w:val="2"/>
        </w:numPr>
        <w:spacing w:after="120" w:line="240" w:lineRule="auto"/>
        <w:ind w:right="1134"/>
        <w:jc w:val="both"/>
        <w:rPr>
          <w:rFonts w:cs="Times New Roman"/>
        </w:rPr>
      </w:pPr>
      <w:r w:rsidRPr="004E208C">
        <w:rPr>
          <w:rFonts w:cs="Times New Roman"/>
        </w:rPr>
        <w:t xml:space="preserve">When acts in gatherings are or become beyond the scope of "peaceful assemblies", for example if they become violent, before disregarding the obligation under article 21, the authorities should take steps to intervene proportionately to facilitate the resumption of a peaceful assembly; in the meantime, the individuals involved continue to retain their other rights under the Covenant.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lastRenderedPageBreak/>
        <w:t xml:space="preserve">In considering sentencing of a person for his or her convicted act of violence in public assemblies, the violent act committed in a "political demonstration" should be distinguished from the act of "mindless violence" (English court: R v Al </w:t>
      </w:r>
      <w:proofErr w:type="spellStart"/>
      <w:r w:rsidRPr="004E208C">
        <w:rPr>
          <w:rFonts w:cs="Times New Roman"/>
        </w:rPr>
        <w:t>Dahi</w:t>
      </w:r>
      <w:proofErr w:type="spellEnd"/>
      <w:r w:rsidRPr="004E208C">
        <w:rPr>
          <w:rFonts w:cs="Times New Roman"/>
        </w:rPr>
        <w:t xml:space="preserve"> [2013] EWCA </w:t>
      </w:r>
      <w:proofErr w:type="spellStart"/>
      <w:r w:rsidRPr="004E208C">
        <w:rPr>
          <w:rFonts w:cs="Times New Roman"/>
        </w:rPr>
        <w:t>Crim</w:t>
      </w:r>
      <w:proofErr w:type="spellEnd"/>
      <w:r w:rsidRPr="004E208C">
        <w:rPr>
          <w:rFonts w:cs="Times New Roman"/>
        </w:rPr>
        <w:t xml:space="preserve"> 1267; R v Smith [2016] EWCA </w:t>
      </w:r>
      <w:proofErr w:type="spellStart"/>
      <w:r w:rsidRPr="004E208C">
        <w:rPr>
          <w:rFonts w:cs="Times New Roman"/>
        </w:rPr>
        <w:t>Crim</w:t>
      </w:r>
      <w:proofErr w:type="spellEnd"/>
      <w:r w:rsidRPr="004E208C">
        <w:rPr>
          <w:rFonts w:cs="Times New Roman"/>
        </w:rPr>
        <w:t xml:space="preserve"> 2080). Disproportionate penalties against a person who got convicted for his or her act in relation to public assembly could be consider as a violation of the right to freedom of assembly (</w:t>
      </w:r>
      <w:proofErr w:type="spellStart"/>
      <w:r w:rsidRPr="004E208C">
        <w:rPr>
          <w:rFonts w:cs="Times New Roman"/>
        </w:rPr>
        <w:t>Gülcü</w:t>
      </w:r>
      <w:proofErr w:type="spellEnd"/>
      <w:r w:rsidRPr="004E208C">
        <w:rPr>
          <w:rFonts w:cs="Times New Roman"/>
        </w:rPr>
        <w:t xml:space="preserve"> v. Turkey, App No. 17526/10 para 116, 117).</w:t>
      </w:r>
    </w:p>
    <w:p w:rsidR="00090040" w:rsidRPr="004E208C" w:rsidRDefault="00090040">
      <w:pPr>
        <w:pStyle w:val="Body"/>
        <w:spacing w:line="240" w:lineRule="auto"/>
        <w:ind w:left="1134"/>
        <w:rPr>
          <w:rFonts w:cs="Times New Roman"/>
        </w:rPr>
      </w:pPr>
    </w:p>
    <w:p w:rsidR="00090040" w:rsidRPr="004E208C" w:rsidRDefault="003D50CC">
      <w:pPr>
        <w:pStyle w:val="Body"/>
        <w:spacing w:after="120" w:line="240" w:lineRule="auto"/>
        <w:ind w:left="1134" w:right="1134"/>
        <w:jc w:val="both"/>
        <w:rPr>
          <w:rFonts w:cs="Times New Roman"/>
          <w:i/>
          <w:iCs/>
        </w:rPr>
      </w:pPr>
      <w:proofErr w:type="spellStart"/>
      <w:r w:rsidRPr="004E208C">
        <w:rPr>
          <w:rFonts w:cs="Times New Roman"/>
          <w:i/>
          <w:iCs/>
          <w:lang w:val="fr-FR"/>
        </w:rPr>
        <w:t>Paragraph</w:t>
      </w:r>
      <w:proofErr w:type="spellEnd"/>
      <w:r w:rsidRPr="004E208C">
        <w:rPr>
          <w:rFonts w:cs="Times New Roman"/>
          <w:i/>
          <w:iCs/>
          <w:lang w:val="fr-FR"/>
        </w:rPr>
        <w:t xml:space="preserve"> 13</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w:t>
      </w:r>
      <w:proofErr w:type="gramStart"/>
      <w:r w:rsidRPr="004E208C">
        <w:rPr>
          <w:rFonts w:cs="Times New Roman"/>
        </w:rPr>
        <w:t>provided</w:t>
      </w:r>
      <w:proofErr w:type="gramEnd"/>
      <w:r w:rsidRPr="004E208C">
        <w:rPr>
          <w:rFonts w:cs="Times New Roman"/>
        </w:rPr>
        <w:t xml:space="preserve"> that the property is publicly accessible”: accessibility by the public should not be a necessary condition in defining an assembly, the nature of the private space should be considered.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In addition, denial of access to a </w:t>
      </w:r>
      <w:proofErr w:type="gramStart"/>
      <w:r w:rsidRPr="004E208C">
        <w:rPr>
          <w:rFonts w:cs="Times New Roman"/>
        </w:rPr>
        <w:t>privately-owned</w:t>
      </w:r>
      <w:proofErr w:type="gramEnd"/>
      <w:r w:rsidRPr="004E208C">
        <w:rPr>
          <w:rFonts w:cs="Times New Roman"/>
        </w:rPr>
        <w:t xml:space="preserve"> property for the purpose of assembly must be legitimate and proportional. </w:t>
      </w:r>
      <w:proofErr w:type="gramStart"/>
      <w:r w:rsidRPr="004E208C">
        <w:rPr>
          <w:rFonts w:cs="Times New Roman"/>
        </w:rPr>
        <w:t xml:space="preserve">In </w:t>
      </w:r>
      <w:r w:rsidRPr="004E208C">
        <w:rPr>
          <w:rFonts w:cs="Times New Roman"/>
          <w:i/>
          <w:iCs/>
        </w:rPr>
        <w:t>HKSAR v Fong Kwok Shan Christine</w:t>
      </w:r>
      <w:r w:rsidRPr="004E208C">
        <w:rPr>
          <w:rFonts w:cs="Times New Roman"/>
        </w:rPr>
        <w:t xml:space="preserve">  (FACC 2/2017, 4 October 2017), the Hong Kong Court of Final Appeal stated that excluding the freedom of assembly from any private property “impermissibly seeks to subjugate fundamental rights to property interests” and “fails to </w:t>
      </w:r>
      <w:proofErr w:type="spellStart"/>
      <w:r w:rsidRPr="004E208C">
        <w:rPr>
          <w:rFonts w:cs="Times New Roman"/>
        </w:rPr>
        <w:t>recognise</w:t>
      </w:r>
      <w:proofErr w:type="spellEnd"/>
      <w:r w:rsidRPr="004E208C">
        <w:rPr>
          <w:rFonts w:cs="Times New Roman"/>
        </w:rPr>
        <w:t xml:space="preserve"> that the proposed location of a demonstration or other form of expression is an intrinsic dimension of the right”, and further “the proper approach is to focus on the right instead of on property interests, and to examine the validity of any restrictions imposed on its exercise by applying the principle of proportionality” (para. 70).</w:t>
      </w:r>
      <w:proofErr w:type="gramEnd"/>
      <w:r w:rsidRPr="004E208C">
        <w:rPr>
          <w:rFonts w:cs="Times New Roman"/>
        </w:rPr>
        <w:t xml:space="preserve"> We agree with these reasons and urge the Committee to make corresponding amendments and adopt these principles. </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r w:rsidRPr="004E208C">
        <w:rPr>
          <w:rFonts w:cs="Times New Roman"/>
          <w:i/>
          <w:iCs/>
        </w:rPr>
        <w:t>Paragraph 19</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“widespread and serious” must be kept for characterizing the violence</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 “</w:t>
      </w:r>
      <w:proofErr w:type="gramStart"/>
      <w:r w:rsidRPr="004E208C">
        <w:rPr>
          <w:rFonts w:cs="Times New Roman"/>
        </w:rPr>
        <w:t>and</w:t>
      </w:r>
      <w:proofErr w:type="gramEnd"/>
      <w:r w:rsidRPr="004E208C">
        <w:rPr>
          <w:rFonts w:cs="Times New Roman"/>
        </w:rPr>
        <w:t xml:space="preserve"> is sometimes referred to as riot” should be removed. It is because riot has various legal definitions in different countries. For instance, the legal definition of riot is notoriously vague, ambiguous and with low threshold in Hong Kong. (see further in </w:t>
      </w:r>
      <w:r w:rsidRPr="00480023">
        <w:rPr>
          <w:rFonts w:cs="Times New Roman"/>
        </w:rPr>
        <w:t xml:space="preserve">para </w:t>
      </w:r>
      <w:r w:rsidR="00CC2F22" w:rsidRPr="00480023">
        <w:rPr>
          <w:rFonts w:cs="Times New Roman"/>
        </w:rPr>
        <w:t>30</w:t>
      </w:r>
      <w:r w:rsidRPr="004E208C">
        <w:rPr>
          <w:rFonts w:cs="Times New Roman"/>
        </w:rPr>
        <w:t xml:space="preserve"> below)</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23</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Add that bringing and wearing non-offensive protective gears, such as helmets, pads, and gas masks or respirators to or in an assembly should not render the relevant individual violent participant, nor the assembly not peaceful, especially when </w:t>
      </w:r>
      <w:proofErr w:type="gramStart"/>
      <w:r w:rsidRPr="004E208C">
        <w:rPr>
          <w:rFonts w:cs="Times New Roman"/>
        </w:rPr>
        <w:t>there's</w:t>
      </w:r>
      <w:proofErr w:type="gramEnd"/>
      <w:r w:rsidRPr="004E208C">
        <w:rPr>
          <w:rFonts w:cs="Times New Roman"/>
        </w:rPr>
        <w:t xml:space="preserve"> valid concern of bodily harm from the police, counter, etc. </w:t>
      </w:r>
    </w:p>
    <w:p w:rsidR="008C239C" w:rsidRPr="004E208C" w:rsidRDefault="008C239C" w:rsidP="00CC2F22">
      <w:pPr>
        <w:pStyle w:val="ListParagraph"/>
        <w:spacing w:after="120" w:line="240" w:lineRule="auto"/>
        <w:ind w:left="1134" w:right="1134"/>
        <w:jc w:val="both"/>
        <w:rPr>
          <w:rFonts w:cs="Times New Roman"/>
        </w:rPr>
      </w:pPr>
      <w:r w:rsidRPr="004E208C">
        <w:rPr>
          <w:rFonts w:cs="Times New Roman"/>
          <w:i/>
        </w:rPr>
        <w:br/>
        <w:t>Paragraph 34</w:t>
      </w:r>
    </w:p>
    <w:p w:rsidR="00025349" w:rsidRPr="004E208C" w:rsidRDefault="00025349" w:rsidP="008C239C">
      <w:pPr>
        <w:pStyle w:val="ListParagraph"/>
        <w:numPr>
          <w:ilvl w:val="0"/>
          <w:numId w:val="2"/>
        </w:numPr>
        <w:spacing w:after="120" w:line="240" w:lineRule="auto"/>
        <w:ind w:right="1134"/>
        <w:jc w:val="both"/>
        <w:rPr>
          <w:rFonts w:cs="Times New Roman"/>
        </w:rPr>
      </w:pPr>
      <w:r w:rsidRPr="004E208C">
        <w:rPr>
          <w:rFonts w:cs="Times New Roman"/>
        </w:rPr>
        <w:t xml:space="preserve">Reiterate that the rights of human rights observers to conduct their work </w:t>
      </w:r>
      <w:proofErr w:type="gramStart"/>
      <w:r w:rsidRPr="004E208C">
        <w:rPr>
          <w:rFonts w:cs="Times New Roman"/>
        </w:rPr>
        <w:t>is established</w:t>
      </w:r>
      <w:proofErr w:type="gramEnd"/>
      <w:r w:rsidRPr="004E208C">
        <w:rPr>
          <w:rFonts w:cs="Times New Roman"/>
        </w:rPr>
        <w:t xml:space="preserve"> under Articles 19 and 21 of the Covenant and a number of international human rights standards.</w:t>
      </w:r>
      <w:r w:rsidR="000A3340" w:rsidRPr="004E208C">
        <w:rPr>
          <w:rFonts w:cs="Times New Roman"/>
        </w:rPr>
        <w:t xml:space="preserve"> </w:t>
      </w:r>
    </w:p>
    <w:p w:rsidR="000A3340" w:rsidRPr="004E208C" w:rsidRDefault="000A3340" w:rsidP="008C239C">
      <w:pPr>
        <w:pStyle w:val="ListParagraph"/>
        <w:numPr>
          <w:ilvl w:val="0"/>
          <w:numId w:val="2"/>
        </w:numPr>
        <w:spacing w:after="120" w:line="240" w:lineRule="auto"/>
        <w:ind w:right="1134"/>
        <w:jc w:val="both"/>
        <w:rPr>
          <w:rFonts w:cs="Times New Roman"/>
        </w:rPr>
      </w:pPr>
      <w:r w:rsidRPr="004E208C">
        <w:rPr>
          <w:rFonts w:cs="Times New Roman"/>
        </w:rPr>
        <w:t xml:space="preserve">Other than unlawful or dispersed assembly, the right to monitor continues when an assembly is no longer peaceful. From the experience of Hong Kong, the police would claim that an assembly is violent and demand everyone to leave, including journalists and human rights observers, sometimes claiming that it is unsafe, sometimes claiming that they obstruct police operation. </w:t>
      </w:r>
    </w:p>
    <w:p w:rsidR="00025349" w:rsidRPr="004E208C" w:rsidRDefault="00025349" w:rsidP="00025349">
      <w:pPr>
        <w:pStyle w:val="ListParagraph"/>
        <w:numPr>
          <w:ilvl w:val="0"/>
          <w:numId w:val="2"/>
        </w:numPr>
        <w:spacing w:after="120" w:line="240" w:lineRule="auto"/>
        <w:ind w:right="1134"/>
        <w:jc w:val="both"/>
        <w:rPr>
          <w:rFonts w:cs="Times New Roman"/>
        </w:rPr>
      </w:pPr>
      <w:r w:rsidRPr="004E208C">
        <w:rPr>
          <w:rFonts w:cs="Times New Roman"/>
        </w:rPr>
        <w:t xml:space="preserve">Equipment of observers: Give examples of the equipment that must not be confiscated or damaged: notes, storage media, protective gears, vehicles, </w:t>
      </w:r>
      <w:proofErr w:type="gramStart"/>
      <w:r w:rsidRPr="004E208C">
        <w:rPr>
          <w:rFonts w:cs="Times New Roman"/>
        </w:rPr>
        <w:t>uniform</w:t>
      </w:r>
      <w:proofErr w:type="gramEnd"/>
      <w:r w:rsidRPr="004E208C">
        <w:rPr>
          <w:rFonts w:cs="Times New Roman"/>
        </w:rPr>
        <w:t xml:space="preserve"> and identity documents. Add that their rights to use their equipment during and after police operations, including recording the police’s interaction with them, should also be protected, irrespective of whether the assembly is peaceful or not, lawful or not, dispersed or not, or ended or not.</w:t>
      </w:r>
      <w:r w:rsidR="000A3340" w:rsidRPr="004E208C">
        <w:rPr>
          <w:rFonts w:cs="Times New Roman"/>
        </w:rPr>
        <w:t xml:space="preserve"> Confiscation and/or damaging or destruction of notes, storage media and visual or audio recording equipment, vehicles of the observers by the police should be prohibited and punished.</w:t>
      </w:r>
    </w:p>
    <w:p w:rsidR="008C239C" w:rsidRPr="004E208C" w:rsidRDefault="000A3340" w:rsidP="00853F67">
      <w:pPr>
        <w:pStyle w:val="ListParagraph"/>
        <w:numPr>
          <w:ilvl w:val="0"/>
          <w:numId w:val="2"/>
        </w:numPr>
        <w:spacing w:after="120" w:line="240" w:lineRule="auto"/>
        <w:ind w:right="1134"/>
        <w:jc w:val="both"/>
        <w:rPr>
          <w:rFonts w:cs="Times New Roman"/>
        </w:rPr>
      </w:pPr>
      <w:r w:rsidRPr="004E208C">
        <w:rPr>
          <w:rFonts w:cs="Times New Roman"/>
        </w:rPr>
        <w:t xml:space="preserve">Missing in this draft General Comment is recognition and protection of </w:t>
      </w:r>
      <w:r w:rsidR="00853F67" w:rsidRPr="004E208C">
        <w:rPr>
          <w:rFonts w:cs="Times New Roman"/>
        </w:rPr>
        <w:t xml:space="preserve">humanitarian workers and </w:t>
      </w:r>
      <w:r w:rsidRPr="004E208C">
        <w:rPr>
          <w:rFonts w:cs="Times New Roman"/>
        </w:rPr>
        <w:t xml:space="preserve">human rights defenders </w:t>
      </w:r>
      <w:r w:rsidR="00853F67" w:rsidRPr="004E208C">
        <w:rPr>
          <w:rFonts w:cs="Times New Roman"/>
        </w:rPr>
        <w:t xml:space="preserve">other than those involved in monitoring protests. Such as </w:t>
      </w:r>
      <w:r w:rsidR="008C239C" w:rsidRPr="004E208C">
        <w:rPr>
          <w:rFonts w:cs="Times New Roman"/>
        </w:rPr>
        <w:t>social workers</w:t>
      </w:r>
      <w:r w:rsidR="00853F67" w:rsidRPr="004E208C">
        <w:rPr>
          <w:rFonts w:cs="Times New Roman"/>
        </w:rPr>
        <w:t xml:space="preserve"> (defending children and vulnerable individuals’ rights during arrests)</w:t>
      </w:r>
      <w:r w:rsidR="008C239C" w:rsidRPr="004E208C">
        <w:rPr>
          <w:rFonts w:cs="Times New Roman"/>
        </w:rPr>
        <w:t>, first aiders</w:t>
      </w:r>
      <w:r w:rsidR="00853F67" w:rsidRPr="004E208C">
        <w:rPr>
          <w:rFonts w:cs="Times New Roman"/>
        </w:rPr>
        <w:t xml:space="preserve"> and</w:t>
      </w:r>
      <w:r w:rsidR="008C239C" w:rsidRPr="004E208C">
        <w:rPr>
          <w:rFonts w:cs="Times New Roman"/>
        </w:rPr>
        <w:t xml:space="preserve"> medical professionals</w:t>
      </w:r>
      <w:r w:rsidR="00853F67" w:rsidRPr="004E208C">
        <w:rPr>
          <w:rFonts w:cs="Times New Roman"/>
        </w:rPr>
        <w:t xml:space="preserve"> (defending the rights to health and life, especially in face of </w:t>
      </w:r>
      <w:r w:rsidR="00853F67" w:rsidRPr="004E208C">
        <w:rPr>
          <w:rFonts w:cs="Times New Roman"/>
        </w:rPr>
        <w:lastRenderedPageBreak/>
        <w:t>police brutality)</w:t>
      </w:r>
      <w:r w:rsidR="008C239C" w:rsidRPr="004E208C">
        <w:rPr>
          <w:rFonts w:cs="Times New Roman"/>
        </w:rPr>
        <w:t xml:space="preserve">, </w:t>
      </w:r>
      <w:r w:rsidR="00853F67" w:rsidRPr="004E208C">
        <w:rPr>
          <w:rFonts w:cs="Times New Roman"/>
        </w:rPr>
        <w:t xml:space="preserve">and lawyers. They should be accorded the same protection as journalists and human rights observers, not to be obstructed from carrying out their works, and not to be harassed or penalized </w:t>
      </w:r>
      <w:proofErr w:type="gramStart"/>
      <w:r w:rsidR="00853F67" w:rsidRPr="004E208C">
        <w:rPr>
          <w:rFonts w:cs="Times New Roman"/>
        </w:rPr>
        <w:t>as a result</w:t>
      </w:r>
      <w:proofErr w:type="gramEnd"/>
      <w:r w:rsidR="00853F67" w:rsidRPr="004E208C">
        <w:rPr>
          <w:rFonts w:cs="Times New Roman"/>
        </w:rPr>
        <w:t xml:space="preserve"> of their assistance to participants of unlawful assemblies or of their attendance at demonstrations. </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35</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Business enterprises’ responsibility to respect human rights: employers should not </w:t>
      </w:r>
      <w:proofErr w:type="spellStart"/>
      <w:r w:rsidRPr="004E208C">
        <w:rPr>
          <w:rFonts w:cs="Times New Roman"/>
        </w:rPr>
        <w:t>victimise</w:t>
      </w:r>
      <w:proofErr w:type="spellEnd"/>
      <w:r w:rsidRPr="004E208C">
        <w:rPr>
          <w:rFonts w:cs="Times New Roman"/>
        </w:rPr>
        <w:t xml:space="preserve"> an employee for exercising the right to peaceful assembly. States’ positive duty under article 21 entails having laws to protect employees from unfair treatment or dismissal by their employer in such circumstances, and providing remedies. </w:t>
      </w:r>
    </w:p>
    <w:p w:rsidR="00090040" w:rsidRPr="004E208C" w:rsidRDefault="00090040">
      <w:pPr>
        <w:pStyle w:val="Body"/>
        <w:spacing w:after="120" w:line="240" w:lineRule="auto"/>
        <w:ind w:left="1134" w:right="1134"/>
        <w:jc w:val="both"/>
        <w:rPr>
          <w:rFonts w:cs="Times New Roman"/>
        </w:rPr>
      </w:pPr>
    </w:p>
    <w:p w:rsidR="00090040" w:rsidRPr="004E208C" w:rsidRDefault="003D50CC">
      <w:pPr>
        <w:pStyle w:val="Body"/>
        <w:spacing w:after="120" w:line="240" w:lineRule="auto"/>
        <w:ind w:left="1134" w:right="1134"/>
        <w:jc w:val="both"/>
        <w:rPr>
          <w:rFonts w:cs="Times New Roman"/>
          <w:i/>
          <w:iCs/>
        </w:rPr>
      </w:pPr>
      <w:proofErr w:type="spellStart"/>
      <w:r w:rsidRPr="004E208C">
        <w:rPr>
          <w:rFonts w:cs="Times New Roman"/>
          <w:i/>
          <w:iCs/>
          <w:lang w:val="fr-FR"/>
        </w:rPr>
        <w:t>Paragraph</w:t>
      </w:r>
      <w:proofErr w:type="spellEnd"/>
      <w:r w:rsidRPr="004E208C">
        <w:rPr>
          <w:rFonts w:cs="Times New Roman"/>
          <w:i/>
          <w:iCs/>
          <w:lang w:val="fr-FR"/>
        </w:rPr>
        <w:t xml:space="preserve"> 37</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Add “recruiting resources for organizing the assembly” to the examples of actions that States should protect. Resources can be in the forms of financial support, </w:t>
      </w:r>
      <w:proofErr w:type="gramStart"/>
      <w:r w:rsidRPr="004E208C">
        <w:rPr>
          <w:rFonts w:cs="Times New Roman"/>
        </w:rPr>
        <w:t>manpower</w:t>
      </w:r>
      <w:proofErr w:type="gramEnd"/>
      <w:r w:rsidRPr="004E208C">
        <w:rPr>
          <w:rFonts w:cs="Times New Roman"/>
        </w:rPr>
        <w:t xml:space="preserve">, hardware facilities, and insurance policy, etc. </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62</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 </w:t>
      </w:r>
      <w:r w:rsidR="008C239C" w:rsidRPr="004E208C">
        <w:rPr>
          <w:rFonts w:cs="Times New Roman"/>
        </w:rPr>
        <w:t>Replace “However, the cumulated impact of sustained...rights of others” with “However, the cumulated impact of sustained gatherings should not unreasonably impact the rights of others, but bearing in mind that the authorities have to give serious accommodation of such assembly and the positive duty to mitigate the impacts of the assembly”.</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64</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Add that the duty to facilitate peaceful assemblies includes the duty to ensure that there is space to protest within the sight and sound of the targeted audience.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For example in Hong Kong, the only protest space within the sight and sound of the Liaison Office of the Central People's Government is a 9-meter-wide pathway outside its entrance. In 2002, to prevent Falun Gong practitioners from </w:t>
      </w:r>
      <w:proofErr w:type="spellStart"/>
      <w:r w:rsidRPr="004E208C">
        <w:rPr>
          <w:rFonts w:cs="Times New Roman"/>
        </w:rPr>
        <w:t>practising</w:t>
      </w:r>
      <w:proofErr w:type="spellEnd"/>
      <w:r w:rsidRPr="004E208C">
        <w:rPr>
          <w:rFonts w:cs="Times New Roman"/>
        </w:rPr>
        <w:t xml:space="preserve"> and protesting outside the Liaison Office, the Hong Kong Government decided to put a </w:t>
      </w:r>
      <w:proofErr w:type="gramStart"/>
      <w:r w:rsidRPr="004E208C">
        <w:rPr>
          <w:rFonts w:cs="Times New Roman"/>
        </w:rPr>
        <w:t>flower bed</w:t>
      </w:r>
      <w:proofErr w:type="gramEnd"/>
      <w:r w:rsidRPr="004E208C">
        <w:rPr>
          <w:rFonts w:cs="Times New Roman"/>
        </w:rPr>
        <w:t xml:space="preserve"> in the pathway in the name of greening, reducing the width of the pathway to 3 meters. While demonstrations </w:t>
      </w:r>
      <w:proofErr w:type="gramStart"/>
      <w:r w:rsidRPr="004E208C">
        <w:rPr>
          <w:rFonts w:cs="Times New Roman"/>
        </w:rPr>
        <w:t>can still be held</w:t>
      </w:r>
      <w:proofErr w:type="gramEnd"/>
      <w:r w:rsidRPr="004E208C">
        <w:rPr>
          <w:rFonts w:cs="Times New Roman"/>
        </w:rPr>
        <w:t xml:space="preserve"> outside the Liaison Office, participants in an assembly are often required by the police to keep moving because of the limited space.</w:t>
      </w:r>
    </w:p>
    <w:p w:rsidR="008C239C" w:rsidRPr="004E208C" w:rsidRDefault="008C239C" w:rsidP="00CC2F22">
      <w:pPr>
        <w:pStyle w:val="ListParagraph"/>
        <w:spacing w:after="120" w:line="240" w:lineRule="auto"/>
        <w:ind w:left="1134" w:right="1134"/>
        <w:jc w:val="both"/>
        <w:rPr>
          <w:rFonts w:cs="Times New Roman"/>
        </w:rPr>
      </w:pPr>
      <w:r w:rsidRPr="004E208C">
        <w:rPr>
          <w:rFonts w:cs="Times New Roman"/>
          <w:i/>
        </w:rPr>
        <w:br/>
        <w:t>Paragraph 73</w:t>
      </w:r>
    </w:p>
    <w:p w:rsidR="008C239C" w:rsidRPr="004E208C" w:rsidRDefault="008C239C">
      <w:pPr>
        <w:pStyle w:val="ListParagraph"/>
        <w:numPr>
          <w:ilvl w:val="0"/>
          <w:numId w:val="2"/>
        </w:numPr>
        <w:spacing w:after="120" w:line="240" w:lineRule="auto"/>
        <w:ind w:right="1134"/>
        <w:jc w:val="both"/>
        <w:rPr>
          <w:rFonts w:cs="Times New Roman"/>
        </w:rPr>
      </w:pPr>
      <w:r w:rsidRPr="004E208C">
        <w:rPr>
          <w:rFonts w:cs="Times New Roman"/>
        </w:rPr>
        <w:t>Add “and civil servants” after “State officials”.</w:t>
      </w:r>
    </w:p>
    <w:p w:rsidR="00090040" w:rsidRPr="004E208C" w:rsidRDefault="00090040">
      <w:pPr>
        <w:pStyle w:val="ListParagraph"/>
        <w:spacing w:line="240" w:lineRule="auto"/>
        <w:ind w:left="1134"/>
        <w:rPr>
          <w:rFonts w:cs="Times New Roman"/>
        </w:rPr>
      </w:pPr>
    </w:p>
    <w:p w:rsidR="00090040" w:rsidRPr="004E208C" w:rsidRDefault="003D50CC">
      <w:pPr>
        <w:pStyle w:val="Body"/>
        <w:spacing w:after="120" w:line="240" w:lineRule="auto"/>
        <w:ind w:left="1134" w:right="1134"/>
        <w:jc w:val="both"/>
        <w:rPr>
          <w:rFonts w:cs="Times New Roman"/>
          <w:i/>
          <w:iCs/>
        </w:rPr>
      </w:pPr>
      <w:proofErr w:type="spellStart"/>
      <w:r w:rsidRPr="004E208C">
        <w:rPr>
          <w:rFonts w:cs="Times New Roman"/>
          <w:i/>
          <w:iCs/>
          <w:lang w:val="fr-FR"/>
        </w:rPr>
        <w:t>Paragraph</w:t>
      </w:r>
      <w:proofErr w:type="spellEnd"/>
      <w:r w:rsidRPr="004E208C">
        <w:rPr>
          <w:rFonts w:cs="Times New Roman"/>
          <w:i/>
          <w:iCs/>
          <w:lang w:val="fr-FR"/>
        </w:rPr>
        <w:t xml:space="preserve"> 74</w:t>
      </w:r>
    </w:p>
    <w:p w:rsidR="00090040" w:rsidRPr="004E208C" w:rsidRDefault="003D50CC">
      <w:pPr>
        <w:pStyle w:val="ListParagraph"/>
        <w:numPr>
          <w:ilvl w:val="0"/>
          <w:numId w:val="3"/>
        </w:numPr>
        <w:spacing w:after="120" w:line="240" w:lineRule="auto"/>
        <w:ind w:right="1134"/>
        <w:jc w:val="both"/>
        <w:rPr>
          <w:rFonts w:cs="Times New Roman"/>
          <w:i/>
          <w:iCs/>
        </w:rPr>
      </w:pPr>
      <w:r w:rsidRPr="004E208C">
        <w:rPr>
          <w:rFonts w:cs="Times New Roman"/>
        </w:rPr>
        <w:t>Add organizers on top of participants.</w:t>
      </w:r>
    </w:p>
    <w:p w:rsidR="00090040" w:rsidRPr="004E208C" w:rsidRDefault="003D50CC">
      <w:pPr>
        <w:pStyle w:val="ListParagraph"/>
        <w:spacing w:after="120" w:line="240" w:lineRule="auto"/>
        <w:ind w:left="1134" w:right="1134"/>
        <w:jc w:val="both"/>
        <w:rPr>
          <w:rFonts w:cs="Times New Roman"/>
          <w:i/>
          <w:iCs/>
        </w:rPr>
      </w:pPr>
      <w:r w:rsidRPr="004E208C">
        <w:rPr>
          <w:rFonts w:cs="Times New Roman"/>
        </w:rPr>
        <w:br/>
      </w:r>
      <w:r w:rsidRPr="004E208C">
        <w:rPr>
          <w:rFonts w:cs="Times New Roman"/>
          <w:i/>
          <w:iCs/>
        </w:rPr>
        <w:t xml:space="preserve">Paragraph 75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Remove “If this is done, responsibility must be limited to what they could have foreseen and prevented with reasonable efforts”.</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It is because it could be contradictory to the draft General Comment’s paragraph 50 (peaceful assemblies are in some cases inherently disruptive) and paragraph 18 (non-violent civil disobedience or direct-action campaigns are in principle covered by article 21). Our previous submission (paragraph 12.2) includes an example of an </w:t>
      </w:r>
      <w:proofErr w:type="spellStart"/>
      <w:r w:rsidRPr="004E208C">
        <w:rPr>
          <w:rFonts w:cs="Times New Roman"/>
        </w:rPr>
        <w:t>organiser</w:t>
      </w:r>
      <w:proofErr w:type="spellEnd"/>
      <w:r w:rsidRPr="004E208C">
        <w:rPr>
          <w:rFonts w:cs="Times New Roman"/>
        </w:rPr>
        <w:t xml:space="preserve"> being unjustly held accountable for foreseeable (because it’s intended) inconvenience caused by the assembly – “</w:t>
      </w:r>
    </w:p>
    <w:p w:rsidR="00090040" w:rsidRPr="004E208C" w:rsidRDefault="003D50CC">
      <w:pPr>
        <w:pStyle w:val="ListParagraph"/>
        <w:spacing w:after="120" w:line="240" w:lineRule="auto"/>
        <w:ind w:left="1985" w:right="1984"/>
        <w:jc w:val="both"/>
        <w:rPr>
          <w:rFonts w:cs="Times New Roman"/>
        </w:rPr>
      </w:pPr>
      <w:r w:rsidRPr="004E208C">
        <w:rPr>
          <w:rFonts w:cs="Times New Roman"/>
        </w:rPr>
        <w:t xml:space="preserve">An </w:t>
      </w:r>
      <w:proofErr w:type="spellStart"/>
      <w:r w:rsidRPr="004E208C">
        <w:rPr>
          <w:rFonts w:cs="Times New Roman"/>
        </w:rPr>
        <w:t>organiser</w:t>
      </w:r>
      <w:proofErr w:type="spellEnd"/>
      <w:r w:rsidRPr="004E208C">
        <w:rPr>
          <w:rFonts w:cs="Times New Roman"/>
        </w:rPr>
        <w:t xml:space="preserve"> of the Umbrella Movement [2014], [Professor] Benny Tai, </w:t>
      </w:r>
      <w:proofErr w:type="gramStart"/>
      <w:r w:rsidRPr="004E208C">
        <w:rPr>
          <w:rFonts w:cs="Times New Roman"/>
        </w:rPr>
        <w:t>has been sued</w:t>
      </w:r>
      <w:proofErr w:type="gramEnd"/>
      <w:r w:rsidRPr="004E208C">
        <w:rPr>
          <w:rFonts w:cs="Times New Roman"/>
        </w:rPr>
        <w:t xml:space="preserve"> by a number of persons who claimed to be operators of taxi, minibus and eateries, at Small Claims Tribunal for damages caused by the obstruction of highways during the Movement. The </w:t>
      </w:r>
      <w:r w:rsidRPr="004E208C">
        <w:rPr>
          <w:rFonts w:cs="Times New Roman"/>
        </w:rPr>
        <w:lastRenderedPageBreak/>
        <w:t xml:space="preserve">plaintiffs dropped their cases… Had the plaintiffs succeeded in making the claims, </w:t>
      </w:r>
      <w:proofErr w:type="spellStart"/>
      <w:r w:rsidRPr="004E208C">
        <w:rPr>
          <w:rFonts w:cs="Times New Roman"/>
        </w:rPr>
        <w:t>organisers</w:t>
      </w:r>
      <w:proofErr w:type="spellEnd"/>
      <w:r w:rsidRPr="004E208C">
        <w:rPr>
          <w:rFonts w:cs="Times New Roman"/>
        </w:rPr>
        <w:t xml:space="preserve"> or even participants </w:t>
      </w:r>
      <w:proofErr w:type="gramStart"/>
      <w:r w:rsidRPr="004E208C">
        <w:rPr>
          <w:rFonts w:cs="Times New Roman"/>
        </w:rPr>
        <w:t>might be overwhelmed by litigations and held liable for various claims by say bus companies,</w:t>
      </w:r>
      <w:proofErr w:type="gramEnd"/>
      <w:r w:rsidRPr="004E208C">
        <w:rPr>
          <w:rFonts w:cs="Times New Roman"/>
        </w:rPr>
        <w:t xml:space="preserve"> etc.</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76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We propose the Committee to reiterate in the paragraph that organizers and participants should be not subject to civil or criminal sanctions because of organizing and participating peaceful assemblies. Excessive sanctions would have chilling effects to the exercise of the freedom of rights to assembly.</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79</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Add ", riot," after terrorism.</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The Hong Kong law on riot is vague but carries a maximum penalty of 10 years imprisonment as explained in our previous submission para 7.2:</w:t>
      </w:r>
    </w:p>
    <w:p w:rsidR="00090040" w:rsidRPr="004E208C" w:rsidRDefault="003D50CC">
      <w:pPr>
        <w:pStyle w:val="Body"/>
        <w:spacing w:after="120" w:line="240" w:lineRule="auto"/>
        <w:ind w:left="1985" w:right="1984"/>
        <w:jc w:val="both"/>
        <w:rPr>
          <w:rFonts w:cs="Times New Roman"/>
        </w:rPr>
      </w:pPr>
      <w:r w:rsidRPr="004E208C">
        <w:rPr>
          <w:rFonts w:cs="Times New Roman"/>
        </w:rPr>
        <w:t xml:space="preserve">Section 19(1) of the Public Order Ordinance provides, "When any person taking part in an assembly which is an unlawful assembly by virtue of section 18(1) commits a breach of the peace, the assembly is a riot and the persons assembled are riotously assembled." It unfairly </w:t>
      </w:r>
      <w:proofErr w:type="spellStart"/>
      <w:r w:rsidRPr="004E208C">
        <w:rPr>
          <w:rFonts w:cs="Times New Roman"/>
        </w:rPr>
        <w:t>criminalises</w:t>
      </w:r>
      <w:proofErr w:type="spellEnd"/>
      <w:r w:rsidRPr="004E208C">
        <w:rPr>
          <w:rFonts w:cs="Times New Roman"/>
        </w:rPr>
        <w:t xml:space="preserve"> persons for peaceful participation without violent intent in an unlawful assembly in which one or more persons commit a breach of the peace. </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proofErr w:type="spellStart"/>
      <w:r w:rsidRPr="004E208C">
        <w:rPr>
          <w:rFonts w:cs="Times New Roman"/>
          <w:i/>
          <w:iCs/>
          <w:lang w:val="fr-FR"/>
        </w:rPr>
        <w:t>Paragraph</w:t>
      </w:r>
      <w:proofErr w:type="spellEnd"/>
      <w:r w:rsidRPr="004E208C">
        <w:rPr>
          <w:rFonts w:cs="Times New Roman"/>
          <w:i/>
          <w:iCs/>
          <w:lang w:val="fr-FR"/>
        </w:rPr>
        <w:t xml:space="preserve"> 103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We suggest to further </w:t>
      </w:r>
      <w:proofErr w:type="gramStart"/>
      <w:r w:rsidRPr="004E208C">
        <w:rPr>
          <w:rFonts w:cs="Times New Roman"/>
        </w:rPr>
        <w:t>elaborate</w:t>
      </w:r>
      <w:proofErr w:type="gramEnd"/>
      <w:r w:rsidRPr="004E208C">
        <w:rPr>
          <w:rFonts w:cs="Times New Roman"/>
        </w:rPr>
        <w:t xml:space="preserve"> the obligation of plainclothes officers to identify themselves and give explicit warnings before they exercise police powers such as using force, stopping and searching, and making arrest. </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It is important to stress the positive duty of state parties to effectively monitor and ensure that police offices do not incite violence when they exercising power.</w:t>
      </w:r>
    </w:p>
    <w:p w:rsidR="00090040" w:rsidRPr="004E208C" w:rsidRDefault="003D50CC">
      <w:pPr>
        <w:pStyle w:val="Body"/>
        <w:spacing w:after="120" w:line="240" w:lineRule="auto"/>
        <w:ind w:left="1134" w:right="1134"/>
        <w:jc w:val="both"/>
        <w:rPr>
          <w:rFonts w:cs="Times New Roman"/>
          <w:i/>
          <w:iCs/>
        </w:rPr>
      </w:pPr>
      <w:r w:rsidRPr="004E208C">
        <w:rPr>
          <w:rFonts w:cs="Times New Roman"/>
        </w:rPr>
        <w:br/>
      </w:r>
      <w:r w:rsidRPr="004E208C">
        <w:rPr>
          <w:rFonts w:cs="Times New Roman"/>
          <w:i/>
          <w:iCs/>
          <w:lang w:val="de-DE"/>
        </w:rPr>
        <w:t>Paragraph 105</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After "does not have a chilling", add "or provoking".</w:t>
      </w:r>
    </w:p>
    <w:p w:rsidR="00090040" w:rsidRPr="004E208C" w:rsidRDefault="003D50CC">
      <w:pPr>
        <w:pStyle w:val="ListParagraph"/>
        <w:numPr>
          <w:ilvl w:val="0"/>
          <w:numId w:val="2"/>
        </w:numPr>
        <w:spacing w:after="120" w:line="240" w:lineRule="auto"/>
        <w:ind w:right="1134"/>
        <w:jc w:val="both"/>
        <w:rPr>
          <w:rFonts w:cs="Times New Roman"/>
        </w:rPr>
      </w:pPr>
      <w:r w:rsidRPr="004E208C">
        <w:rPr>
          <w:rFonts w:cs="Times New Roman"/>
        </w:rPr>
        <w:t xml:space="preserve">Authorities recording public assemblies does not only have a chilling effect. As observed in Hong Kong, the Police recording the assemblies may do so in an intimidating and harassing manner, as a way of threatening participants, and </w:t>
      </w:r>
      <w:proofErr w:type="gramStart"/>
      <w:r w:rsidRPr="004E208C">
        <w:rPr>
          <w:rFonts w:cs="Times New Roman"/>
        </w:rPr>
        <w:t>have been seen</w:t>
      </w:r>
      <w:proofErr w:type="gramEnd"/>
      <w:r w:rsidRPr="004E208C">
        <w:rPr>
          <w:rFonts w:cs="Times New Roman"/>
        </w:rPr>
        <w:t xml:space="preserve"> to provoke or escalate conflicts.  </w:t>
      </w:r>
    </w:p>
    <w:p w:rsidR="00090040" w:rsidRPr="004E208C" w:rsidRDefault="003D50CC" w:rsidP="00B327F8">
      <w:pPr>
        <w:pStyle w:val="Body"/>
        <w:spacing w:before="200" w:line="240" w:lineRule="auto"/>
        <w:ind w:left="1134" w:hanging="425"/>
        <w:jc w:val="both"/>
        <w:rPr>
          <w:rFonts w:cs="Times New Roman"/>
          <w:b/>
          <w:bCs/>
        </w:rPr>
      </w:pPr>
      <w:r w:rsidRPr="004E208C">
        <w:rPr>
          <w:rFonts w:cs="Times New Roman"/>
          <w:b/>
          <w:bCs/>
        </w:rPr>
        <w:t>Contributors:</w:t>
      </w:r>
    </w:p>
    <w:p w:rsidR="00090040" w:rsidRPr="004E208C" w:rsidRDefault="003D50CC" w:rsidP="00B327F8">
      <w:pPr>
        <w:pStyle w:val="Body"/>
        <w:spacing w:after="120" w:line="240" w:lineRule="auto"/>
        <w:ind w:left="1134" w:right="1134"/>
        <w:jc w:val="both"/>
        <w:rPr>
          <w:rFonts w:cs="Times New Roman"/>
        </w:rPr>
      </w:pPr>
      <w:r w:rsidRPr="004E208C">
        <w:rPr>
          <w:rFonts w:cs="Times New Roman"/>
        </w:rPr>
        <w:t xml:space="preserve">Civil Human Rights Front, Civil Rights Observer, </w:t>
      </w:r>
      <w:proofErr w:type="spellStart"/>
      <w:r w:rsidRPr="004E208C">
        <w:rPr>
          <w:rFonts w:cs="Times New Roman"/>
        </w:rPr>
        <w:t>Demosistō</w:t>
      </w:r>
      <w:proofErr w:type="spellEnd"/>
      <w:r w:rsidRPr="004E208C">
        <w:rPr>
          <w:rFonts w:cs="Times New Roman"/>
        </w:rPr>
        <w:t>, Hong Kong Human Rights Monitor, Law Lay Dream, Mission for Migrant Workers</w:t>
      </w:r>
    </w:p>
    <w:p w:rsidR="00090040" w:rsidRPr="004E208C" w:rsidRDefault="003D50CC" w:rsidP="00B327F8">
      <w:pPr>
        <w:pStyle w:val="Body"/>
        <w:spacing w:before="200" w:line="240" w:lineRule="auto"/>
        <w:ind w:firstLine="709"/>
        <w:jc w:val="both"/>
        <w:rPr>
          <w:rFonts w:cs="Times New Roman"/>
          <w:b/>
          <w:bCs/>
        </w:rPr>
      </w:pPr>
      <w:r w:rsidRPr="004E208C">
        <w:rPr>
          <w:rFonts w:cs="Times New Roman"/>
          <w:b/>
          <w:bCs/>
        </w:rPr>
        <w:t>Contact Persons:</w:t>
      </w:r>
    </w:p>
    <w:p w:rsidR="00090040" w:rsidRPr="004E208C" w:rsidRDefault="003D50CC" w:rsidP="00B327F8">
      <w:pPr>
        <w:pStyle w:val="Body"/>
        <w:spacing w:after="120" w:line="240" w:lineRule="auto"/>
        <w:ind w:left="1134" w:right="1134"/>
        <w:contextualSpacing/>
        <w:jc w:val="both"/>
        <w:rPr>
          <w:rFonts w:cs="Times New Roman"/>
        </w:rPr>
      </w:pPr>
      <w:r w:rsidRPr="004E208C">
        <w:rPr>
          <w:rFonts w:cs="Times New Roman"/>
        </w:rPr>
        <w:t>Claudia Yip, Hong Kong Human Rights Monitor</w:t>
      </w:r>
    </w:p>
    <w:p w:rsidR="00090040" w:rsidRDefault="003D50CC" w:rsidP="00B327F8">
      <w:pPr>
        <w:pStyle w:val="Body"/>
        <w:spacing w:after="120" w:line="240" w:lineRule="auto"/>
        <w:ind w:left="1134" w:right="1134"/>
        <w:contextualSpacing/>
        <w:jc w:val="both"/>
        <w:rPr>
          <w:rFonts w:cs="Times New Roman"/>
        </w:rPr>
      </w:pPr>
      <w:proofErr w:type="gramStart"/>
      <w:r w:rsidRPr="004E208C">
        <w:rPr>
          <w:rFonts w:cs="Times New Roman"/>
        </w:rPr>
        <w:t>email</w:t>
      </w:r>
      <w:proofErr w:type="gramEnd"/>
      <w:r w:rsidRPr="004E208C">
        <w:rPr>
          <w:rFonts w:cs="Times New Roman"/>
        </w:rPr>
        <w:t xml:space="preserve">: </w:t>
      </w:r>
      <w:hyperlink r:id="rId7" w:history="1">
        <w:r w:rsidR="00B327F8" w:rsidRPr="000E39FC">
          <w:rPr>
            <w:rStyle w:val="Hyperlink"/>
            <w:rFonts w:cs="Times New Roman"/>
          </w:rPr>
          <w:t>claudiayipfy@gmail.com</w:t>
        </w:r>
      </w:hyperlink>
    </w:p>
    <w:p w:rsidR="00B327F8" w:rsidRPr="004E208C" w:rsidRDefault="00B327F8" w:rsidP="00B327F8">
      <w:pPr>
        <w:pStyle w:val="Body"/>
        <w:spacing w:after="120" w:line="240" w:lineRule="auto"/>
        <w:ind w:left="1134" w:right="1134"/>
        <w:contextualSpacing/>
        <w:jc w:val="both"/>
        <w:rPr>
          <w:rFonts w:cs="Times New Roman"/>
        </w:rPr>
      </w:pPr>
    </w:p>
    <w:p w:rsidR="00090040" w:rsidRPr="004E208C" w:rsidRDefault="003D50CC" w:rsidP="00B327F8">
      <w:pPr>
        <w:pStyle w:val="Body"/>
        <w:spacing w:after="120" w:line="240" w:lineRule="auto"/>
        <w:ind w:left="1134" w:right="1134"/>
        <w:contextualSpacing/>
        <w:jc w:val="both"/>
        <w:rPr>
          <w:rFonts w:cs="Times New Roman"/>
        </w:rPr>
      </w:pPr>
      <w:r w:rsidRPr="004E208C">
        <w:rPr>
          <w:rFonts w:cs="Times New Roman"/>
        </w:rPr>
        <w:t>Icarus Wong, Civil Rights Observer</w:t>
      </w:r>
    </w:p>
    <w:p w:rsidR="00B327F8" w:rsidRDefault="003D50CC" w:rsidP="00B327F8">
      <w:pPr>
        <w:pStyle w:val="Body"/>
        <w:spacing w:after="120" w:line="240" w:lineRule="auto"/>
        <w:ind w:left="1134" w:right="1134"/>
        <w:contextualSpacing/>
        <w:jc w:val="both"/>
        <w:rPr>
          <w:rFonts w:cs="Times New Roman"/>
        </w:rPr>
      </w:pPr>
      <w:proofErr w:type="gramStart"/>
      <w:r w:rsidRPr="004E208C">
        <w:rPr>
          <w:rFonts w:cs="Times New Roman"/>
        </w:rPr>
        <w:t>email</w:t>
      </w:r>
      <w:proofErr w:type="gramEnd"/>
      <w:r w:rsidRPr="004E208C">
        <w:rPr>
          <w:rFonts w:cs="Times New Roman"/>
        </w:rPr>
        <w:t xml:space="preserve">: </w:t>
      </w:r>
      <w:hyperlink r:id="rId8" w:history="1">
        <w:r w:rsidR="00B327F8" w:rsidRPr="000E39FC">
          <w:rPr>
            <w:rStyle w:val="Hyperlink"/>
            <w:rFonts w:cs="Times New Roman"/>
          </w:rPr>
          <w:t>info@hkcro.org</w:t>
        </w:r>
      </w:hyperlink>
    </w:p>
    <w:p w:rsidR="00B327F8" w:rsidRPr="004E208C" w:rsidRDefault="00B327F8" w:rsidP="00B327F8">
      <w:pPr>
        <w:pStyle w:val="Body"/>
        <w:spacing w:after="120" w:line="240" w:lineRule="auto"/>
        <w:ind w:left="1134" w:right="1134"/>
        <w:contextualSpacing/>
        <w:jc w:val="both"/>
        <w:rPr>
          <w:rFonts w:cs="Times New Roman"/>
        </w:rPr>
      </w:pPr>
    </w:p>
    <w:sectPr w:rsidR="00B327F8" w:rsidRPr="004E208C">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CC" w:rsidRDefault="003D50CC">
      <w:r>
        <w:separator/>
      </w:r>
    </w:p>
  </w:endnote>
  <w:endnote w:type="continuationSeparator" w:id="0">
    <w:p w:rsidR="003D50CC" w:rsidRDefault="003D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40" w:rsidRDefault="003D50CC">
    <w:pPr>
      <w:pStyle w:val="Footer"/>
      <w:tabs>
        <w:tab w:val="right" w:pos="9612"/>
      </w:tabs>
    </w:pPr>
    <w:r>
      <w:rPr>
        <w:b/>
        <w:bCs/>
        <w:sz w:val="18"/>
        <w:szCs w:val="18"/>
      </w:rPr>
      <w:fldChar w:fldCharType="begin"/>
    </w:r>
    <w:r>
      <w:rPr>
        <w:b/>
        <w:bCs/>
        <w:sz w:val="18"/>
        <w:szCs w:val="18"/>
      </w:rPr>
      <w:instrText xml:space="preserve"> PAGE </w:instrText>
    </w:r>
    <w:r>
      <w:rPr>
        <w:b/>
        <w:bCs/>
        <w:sz w:val="18"/>
        <w:szCs w:val="18"/>
      </w:rPr>
      <w:fldChar w:fldCharType="separate"/>
    </w:r>
    <w:r w:rsidR="00244ED0">
      <w:rPr>
        <w:b/>
        <w:bCs/>
        <w:noProof/>
        <w:sz w:val="18"/>
        <w:szCs w:val="18"/>
      </w:rPr>
      <w:t>2</w:t>
    </w:r>
    <w:r>
      <w:rPr>
        <w:b/>
        <w:bCs/>
        <w:sz w:val="18"/>
        <w:szCs w:val="18"/>
      </w:rPr>
      <w:fldChar w:fldCharType="end"/>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40" w:rsidRDefault="003D50CC">
    <w:pPr>
      <w:pStyle w:val="Footer"/>
      <w:tabs>
        <w:tab w:val="right" w:pos="9612"/>
      </w:tabs>
    </w:pPr>
    <w:r>
      <w:tab/>
    </w:r>
    <w:r>
      <w:rPr>
        <w:b/>
        <w:bCs/>
        <w:sz w:val="18"/>
        <w:szCs w:val="18"/>
      </w:rPr>
      <w:fldChar w:fldCharType="begin"/>
    </w:r>
    <w:r>
      <w:rPr>
        <w:b/>
        <w:bCs/>
        <w:sz w:val="18"/>
        <w:szCs w:val="18"/>
      </w:rPr>
      <w:instrText xml:space="preserve"> PAGE </w:instrText>
    </w:r>
    <w:r>
      <w:rPr>
        <w:b/>
        <w:bCs/>
        <w:sz w:val="18"/>
        <w:szCs w:val="18"/>
      </w:rPr>
      <w:fldChar w:fldCharType="separate"/>
    </w:r>
    <w:r w:rsidR="00244ED0">
      <w:rPr>
        <w:b/>
        <w:bCs/>
        <w:noProof/>
        <w:sz w:val="18"/>
        <w:szCs w:val="18"/>
      </w:rPr>
      <w:t>3</w:t>
    </w:r>
    <w:r>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D0" w:rsidRDefault="0024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CC" w:rsidRDefault="003D50CC">
      <w:r>
        <w:separator/>
      </w:r>
    </w:p>
  </w:footnote>
  <w:footnote w:type="continuationSeparator" w:id="0">
    <w:p w:rsidR="003D50CC" w:rsidRDefault="003D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D0" w:rsidRDefault="00244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D0" w:rsidRDefault="00244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24" w:rsidRPr="00787824" w:rsidRDefault="00244ED0" w:rsidP="007878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en-GB" w:eastAsia="en-GB"/>
      </w:rPr>
    </w:pPr>
    <w:r>
      <w:t>Hong Kong Human Rights Monitor</w:t>
    </w:r>
    <w:r>
      <w:rPr>
        <w:lang w:val="en-GB" w:eastAsia="en-GB"/>
      </w:rPr>
      <w:t xml:space="preserve">, </w:t>
    </w:r>
    <w:r>
      <w:t>Civil Rights Observer</w:t>
    </w:r>
    <w:r>
      <w:t xml:space="preserve">, </w:t>
    </w:r>
    <w:r w:rsidR="00787824">
      <w:t>Civil Human Rights Front</w:t>
    </w:r>
    <w:r>
      <w:rPr>
        <w:lang w:val="en-GB" w:eastAsia="en-GB"/>
      </w:rPr>
      <w:t>,</w:t>
    </w:r>
    <w:r w:rsidR="00787824">
      <w:rPr>
        <w:lang w:val="en-GB" w:eastAsia="en-GB"/>
      </w:rPr>
      <w:t xml:space="preserve"> </w:t>
    </w:r>
    <w:proofErr w:type="spellStart"/>
    <w:r w:rsidR="00787824">
      <w:t>Demosistō</w:t>
    </w:r>
    <w:proofErr w:type="spellEnd"/>
    <w:r w:rsidR="00787824">
      <w:rPr>
        <w:lang w:val="en-GB" w:eastAsia="en-GB"/>
      </w:rPr>
      <w:t xml:space="preserve">, </w:t>
    </w:r>
    <w:r w:rsidR="00787824">
      <w:t>Law Lay Dream</w:t>
    </w:r>
    <w:r>
      <w:t>,</w:t>
    </w:r>
    <w:bookmarkStart w:id="0" w:name="_GoBack"/>
    <w:bookmarkEnd w:id="0"/>
    <w:r w:rsidR="00787824">
      <w:rPr>
        <w:lang w:val="en-GB" w:eastAsia="en-GB"/>
      </w:rPr>
      <w:t xml:space="preserve"> and </w:t>
    </w:r>
    <w:r w:rsidR="00787824">
      <w:t>Mission for Migrant Workers</w:t>
    </w:r>
  </w:p>
  <w:p w:rsidR="00787824" w:rsidRDefault="00787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C5D5A"/>
    <w:multiLevelType w:val="multilevel"/>
    <w:tmpl w:val="0B700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7D2133"/>
    <w:multiLevelType w:val="hybridMultilevel"/>
    <w:tmpl w:val="2E501FC8"/>
    <w:numStyleLink w:val="ImportedStyle1"/>
  </w:abstractNum>
  <w:abstractNum w:abstractNumId="2" w15:restartNumberingAfterBreak="0">
    <w:nsid w:val="538D1F5B"/>
    <w:multiLevelType w:val="hybridMultilevel"/>
    <w:tmpl w:val="2E501FC8"/>
    <w:styleLink w:val="ImportedStyle1"/>
    <w:lvl w:ilvl="0" w:tplc="A10E3E8A">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6387F48">
      <w:start w:val="1"/>
      <w:numFmt w:val="lowerLetter"/>
      <w:lvlText w:val="%2."/>
      <w:lvlJc w:val="left"/>
      <w:pPr>
        <w:tabs>
          <w:tab w:val="num" w:pos="2221"/>
        </w:tabs>
        <w:ind w:left="1654" w:firstLine="153"/>
      </w:pPr>
      <w:rPr>
        <w:rFonts w:hAnsi="Arial Unicode MS"/>
        <w:caps w:val="0"/>
        <w:smallCaps w:val="0"/>
        <w:strike w:val="0"/>
        <w:dstrike w:val="0"/>
        <w:outline w:val="0"/>
        <w:emboss w:val="0"/>
        <w:imprint w:val="0"/>
        <w:spacing w:val="0"/>
        <w:w w:val="100"/>
        <w:kern w:val="0"/>
        <w:position w:val="0"/>
        <w:highlight w:val="none"/>
        <w:vertAlign w:val="baseline"/>
      </w:rPr>
    </w:lvl>
    <w:lvl w:ilvl="2" w:tplc="78B89EA2">
      <w:start w:val="1"/>
      <w:numFmt w:val="lowerRoman"/>
      <w:lvlText w:val="%3."/>
      <w:lvlJc w:val="left"/>
      <w:pPr>
        <w:tabs>
          <w:tab w:val="num" w:pos="2941"/>
        </w:tabs>
        <w:ind w:left="2374" w:firstLine="399"/>
      </w:pPr>
      <w:rPr>
        <w:rFonts w:hAnsi="Arial Unicode MS"/>
        <w:caps w:val="0"/>
        <w:smallCaps w:val="0"/>
        <w:strike w:val="0"/>
        <w:dstrike w:val="0"/>
        <w:outline w:val="0"/>
        <w:emboss w:val="0"/>
        <w:imprint w:val="0"/>
        <w:spacing w:val="0"/>
        <w:w w:val="100"/>
        <w:kern w:val="0"/>
        <w:position w:val="0"/>
        <w:highlight w:val="none"/>
        <w:vertAlign w:val="baseline"/>
      </w:rPr>
    </w:lvl>
    <w:lvl w:ilvl="3" w:tplc="5ACE19FE">
      <w:start w:val="1"/>
      <w:numFmt w:val="decimal"/>
      <w:lvlText w:val="%4."/>
      <w:lvlJc w:val="left"/>
      <w:pPr>
        <w:tabs>
          <w:tab w:val="num" w:pos="3661"/>
        </w:tabs>
        <w:ind w:left="3094" w:firstLine="459"/>
      </w:pPr>
      <w:rPr>
        <w:rFonts w:hAnsi="Arial Unicode MS"/>
        <w:caps w:val="0"/>
        <w:smallCaps w:val="0"/>
        <w:strike w:val="0"/>
        <w:dstrike w:val="0"/>
        <w:outline w:val="0"/>
        <w:emboss w:val="0"/>
        <w:imprint w:val="0"/>
        <w:spacing w:val="0"/>
        <w:w w:val="100"/>
        <w:kern w:val="0"/>
        <w:position w:val="0"/>
        <w:highlight w:val="none"/>
        <w:vertAlign w:val="baseline"/>
      </w:rPr>
    </w:lvl>
    <w:lvl w:ilvl="4" w:tplc="A81CCCBE">
      <w:start w:val="1"/>
      <w:numFmt w:val="lowerLetter"/>
      <w:lvlText w:val="%5."/>
      <w:lvlJc w:val="left"/>
      <w:pPr>
        <w:tabs>
          <w:tab w:val="num" w:pos="4381"/>
        </w:tabs>
        <w:ind w:left="3814" w:firstLine="45"/>
      </w:pPr>
      <w:rPr>
        <w:rFonts w:hAnsi="Arial Unicode MS"/>
        <w:caps w:val="0"/>
        <w:smallCaps w:val="0"/>
        <w:strike w:val="0"/>
        <w:dstrike w:val="0"/>
        <w:outline w:val="0"/>
        <w:emboss w:val="0"/>
        <w:imprint w:val="0"/>
        <w:spacing w:val="0"/>
        <w:w w:val="100"/>
        <w:kern w:val="0"/>
        <w:position w:val="0"/>
        <w:highlight w:val="none"/>
        <w:vertAlign w:val="baseline"/>
      </w:rPr>
    </w:lvl>
    <w:lvl w:ilvl="5" w:tplc="2F5E8D74">
      <w:start w:val="1"/>
      <w:numFmt w:val="lowerRoman"/>
      <w:lvlText w:val="%6."/>
      <w:lvlJc w:val="left"/>
      <w:pPr>
        <w:tabs>
          <w:tab w:val="num" w:pos="5101"/>
        </w:tabs>
        <w:ind w:left="4534" w:firstLine="291"/>
      </w:pPr>
      <w:rPr>
        <w:rFonts w:hAnsi="Arial Unicode MS"/>
        <w:caps w:val="0"/>
        <w:smallCaps w:val="0"/>
        <w:strike w:val="0"/>
        <w:dstrike w:val="0"/>
        <w:outline w:val="0"/>
        <w:emboss w:val="0"/>
        <w:imprint w:val="0"/>
        <w:spacing w:val="0"/>
        <w:w w:val="100"/>
        <w:kern w:val="0"/>
        <w:position w:val="0"/>
        <w:highlight w:val="none"/>
        <w:vertAlign w:val="baseline"/>
      </w:rPr>
    </w:lvl>
    <w:lvl w:ilvl="6" w:tplc="FD8A6336">
      <w:start w:val="1"/>
      <w:numFmt w:val="decimal"/>
      <w:lvlText w:val="%7."/>
      <w:lvlJc w:val="left"/>
      <w:pPr>
        <w:tabs>
          <w:tab w:val="num" w:pos="5821"/>
        </w:tabs>
        <w:ind w:left="5254" w:firstLine="351"/>
      </w:pPr>
      <w:rPr>
        <w:rFonts w:hAnsi="Arial Unicode MS"/>
        <w:caps w:val="0"/>
        <w:smallCaps w:val="0"/>
        <w:strike w:val="0"/>
        <w:dstrike w:val="0"/>
        <w:outline w:val="0"/>
        <w:emboss w:val="0"/>
        <w:imprint w:val="0"/>
        <w:spacing w:val="0"/>
        <w:w w:val="100"/>
        <w:kern w:val="0"/>
        <w:position w:val="0"/>
        <w:highlight w:val="none"/>
        <w:vertAlign w:val="baseline"/>
      </w:rPr>
    </w:lvl>
    <w:lvl w:ilvl="7" w:tplc="85964294">
      <w:start w:val="1"/>
      <w:numFmt w:val="lowerLetter"/>
      <w:lvlText w:val="%8."/>
      <w:lvlJc w:val="left"/>
      <w:pPr>
        <w:tabs>
          <w:tab w:val="num" w:pos="6541"/>
        </w:tabs>
        <w:ind w:left="5974" w:hanging="63"/>
      </w:pPr>
      <w:rPr>
        <w:rFonts w:hAnsi="Arial Unicode MS"/>
        <w:caps w:val="0"/>
        <w:smallCaps w:val="0"/>
        <w:strike w:val="0"/>
        <w:dstrike w:val="0"/>
        <w:outline w:val="0"/>
        <w:emboss w:val="0"/>
        <w:imprint w:val="0"/>
        <w:spacing w:val="0"/>
        <w:w w:val="100"/>
        <w:kern w:val="0"/>
        <w:position w:val="0"/>
        <w:highlight w:val="none"/>
        <w:vertAlign w:val="baseline"/>
      </w:rPr>
    </w:lvl>
    <w:lvl w:ilvl="8" w:tplc="947A769C">
      <w:start w:val="1"/>
      <w:numFmt w:val="lowerRoman"/>
      <w:lvlText w:val="%9."/>
      <w:lvlJc w:val="left"/>
      <w:pPr>
        <w:tabs>
          <w:tab w:val="num" w:pos="7261"/>
        </w:tabs>
        <w:ind w:left="6694" w:firstLine="1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C7409154">
        <w:start w:val="1"/>
        <w:numFmt w:val="decimal"/>
        <w:lvlText w:val="%1."/>
        <w:lvlJc w:val="left"/>
        <w:pPr>
          <w:tabs>
            <w:tab w:val="num" w:pos="1701"/>
          </w:tabs>
          <w:ind w:left="1134"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A4EE070">
        <w:start w:val="1"/>
        <w:numFmt w:val="lowerLetter"/>
        <w:lvlText w:val="%2."/>
        <w:lvlJc w:val="left"/>
        <w:pPr>
          <w:tabs>
            <w:tab w:val="num" w:pos="2221"/>
          </w:tabs>
          <w:ind w:left="1654" w:firstLine="1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ACE8C34">
        <w:start w:val="1"/>
        <w:numFmt w:val="lowerRoman"/>
        <w:lvlText w:val="%3."/>
        <w:lvlJc w:val="left"/>
        <w:pPr>
          <w:tabs>
            <w:tab w:val="num" w:pos="2941"/>
          </w:tabs>
          <w:ind w:left="2374" w:firstLine="39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1ACCC1A">
        <w:start w:val="1"/>
        <w:numFmt w:val="decimal"/>
        <w:lvlText w:val="%4."/>
        <w:lvlJc w:val="left"/>
        <w:pPr>
          <w:tabs>
            <w:tab w:val="num" w:pos="3661"/>
          </w:tabs>
          <w:ind w:left="3094" w:firstLine="45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B05A0182">
        <w:start w:val="1"/>
        <w:numFmt w:val="lowerLetter"/>
        <w:lvlText w:val="%5."/>
        <w:lvlJc w:val="left"/>
        <w:pPr>
          <w:tabs>
            <w:tab w:val="num" w:pos="4381"/>
          </w:tabs>
          <w:ind w:left="3814" w:firstLine="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B1EA734">
        <w:start w:val="1"/>
        <w:numFmt w:val="lowerRoman"/>
        <w:lvlText w:val="%6."/>
        <w:lvlJc w:val="left"/>
        <w:pPr>
          <w:tabs>
            <w:tab w:val="num" w:pos="5101"/>
          </w:tabs>
          <w:ind w:left="4534" w:firstLine="28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EE78F0C2">
        <w:start w:val="1"/>
        <w:numFmt w:val="decimal"/>
        <w:lvlText w:val="%7."/>
        <w:lvlJc w:val="left"/>
        <w:pPr>
          <w:tabs>
            <w:tab w:val="num" w:pos="5821"/>
          </w:tabs>
          <w:ind w:left="5254" w:firstLine="35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82E4460">
        <w:start w:val="1"/>
        <w:numFmt w:val="lowerLetter"/>
        <w:lvlText w:val="%8."/>
        <w:lvlJc w:val="left"/>
        <w:pPr>
          <w:tabs>
            <w:tab w:val="num" w:pos="6541"/>
          </w:tabs>
          <w:ind w:left="5974" w:hanging="6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C2A7454">
        <w:start w:val="1"/>
        <w:numFmt w:val="lowerRoman"/>
        <w:lvlText w:val="%9."/>
        <w:lvlJc w:val="left"/>
        <w:pPr>
          <w:tabs>
            <w:tab w:val="num" w:pos="7261"/>
          </w:tabs>
          <w:ind w:left="6694" w:firstLine="17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40"/>
    <w:rsid w:val="00025349"/>
    <w:rsid w:val="00090040"/>
    <w:rsid w:val="000A3340"/>
    <w:rsid w:val="00244ED0"/>
    <w:rsid w:val="003D50CC"/>
    <w:rsid w:val="00480023"/>
    <w:rsid w:val="004E208C"/>
    <w:rsid w:val="00787824"/>
    <w:rsid w:val="00833B0C"/>
    <w:rsid w:val="00853F67"/>
    <w:rsid w:val="008C239C"/>
    <w:rsid w:val="00B327F8"/>
    <w:rsid w:val="00CC2F22"/>
    <w:rsid w:val="00D962E0"/>
    <w:rsid w:val="00E555B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E1DE"/>
  <w15:docId w15:val="{11E519CE-1EA2-E344-B9B3-B889CB6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HK"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suppressAutoHyphens/>
    </w:pPr>
    <w:rPr>
      <w:rFonts w:cs="Arial Unicode MS"/>
      <w:color w:val="000000"/>
      <w:sz w:val="16"/>
      <w:szCs w:val="16"/>
      <w:u w:color="000000"/>
      <w:lang w:val="en-US"/>
    </w:rPr>
  </w:style>
  <w:style w:type="paragraph" w:customStyle="1" w:styleId="HMG">
    <w:name w:val="_ H __M_G"/>
    <w:next w:val="Body"/>
    <w:pPr>
      <w:keepNext/>
      <w:keepLines/>
      <w:tabs>
        <w:tab w:val="right" w:pos="851"/>
      </w:tabs>
      <w:suppressAutoHyphens/>
      <w:spacing w:before="240" w:after="240" w:line="360" w:lineRule="exact"/>
      <w:ind w:left="1134" w:right="1134" w:hanging="1134"/>
    </w:pPr>
    <w:rPr>
      <w:rFonts w:cs="Arial Unicode MS"/>
      <w:b/>
      <w:bCs/>
      <w:color w:val="000000"/>
      <w:sz w:val="34"/>
      <w:szCs w:val="34"/>
      <w:u w:color="000000"/>
      <w:lang w:val="en-US"/>
    </w:rPr>
  </w:style>
  <w:style w:type="paragraph" w:customStyle="1" w:styleId="Body">
    <w:name w:val="Body"/>
    <w:pPr>
      <w:suppressAutoHyphens/>
      <w:spacing w:line="240" w:lineRule="atLeast"/>
    </w:pPr>
    <w:rPr>
      <w:rFonts w:cs="Arial Unicode MS"/>
      <w:color w:val="000000"/>
      <w:u w:color="000000"/>
      <w:lang w:val="en-US"/>
    </w:rPr>
  </w:style>
  <w:style w:type="paragraph" w:styleId="ListParagraph">
    <w:name w:val="List Paragraph"/>
    <w:pPr>
      <w:suppressAutoHyphens/>
      <w:spacing w:line="240" w:lineRule="atLeast"/>
      <w:ind w:left="720"/>
    </w:pPr>
    <w:rPr>
      <w:rFonts w:cs="Arial Unicode MS"/>
      <w:color w:val="000000"/>
      <w:u w:color="000000"/>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239C"/>
    <w:rPr>
      <w:sz w:val="18"/>
      <w:szCs w:val="18"/>
    </w:rPr>
  </w:style>
  <w:style w:type="character" w:customStyle="1" w:styleId="BalloonTextChar">
    <w:name w:val="Balloon Text Char"/>
    <w:basedOn w:val="DefaultParagraphFont"/>
    <w:link w:val="BalloonText"/>
    <w:uiPriority w:val="99"/>
    <w:semiHidden/>
    <w:rsid w:val="008C239C"/>
    <w:rPr>
      <w:sz w:val="18"/>
      <w:szCs w:val="18"/>
      <w:lang w:val="en-US" w:eastAsia="en-US"/>
    </w:rPr>
  </w:style>
  <w:style w:type="character" w:customStyle="1" w:styleId="UnresolvedMention">
    <w:name w:val="Unresolved Mention"/>
    <w:basedOn w:val="DefaultParagraphFont"/>
    <w:uiPriority w:val="99"/>
    <w:semiHidden/>
    <w:unhideWhenUsed/>
    <w:rsid w:val="00B327F8"/>
    <w:rPr>
      <w:color w:val="605E5C"/>
      <w:shd w:val="clear" w:color="auto" w:fill="E1DFDD"/>
    </w:rPr>
  </w:style>
  <w:style w:type="paragraph" w:styleId="Header">
    <w:name w:val="header"/>
    <w:basedOn w:val="Normal"/>
    <w:link w:val="HeaderChar"/>
    <w:uiPriority w:val="99"/>
    <w:unhideWhenUsed/>
    <w:rsid w:val="00787824"/>
    <w:pPr>
      <w:tabs>
        <w:tab w:val="center" w:pos="4513"/>
        <w:tab w:val="right" w:pos="9026"/>
      </w:tabs>
    </w:pPr>
  </w:style>
  <w:style w:type="character" w:customStyle="1" w:styleId="HeaderChar">
    <w:name w:val="Header Char"/>
    <w:basedOn w:val="DefaultParagraphFont"/>
    <w:link w:val="Header"/>
    <w:uiPriority w:val="99"/>
    <w:rsid w:val="007878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kcro.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laudiayipfy@gmail.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C63206-F4C6-476B-B5E8-3030C905B267}"/>
</file>

<file path=customXml/itemProps2.xml><?xml version="1.0" encoding="utf-8"?>
<ds:datastoreItem xmlns:ds="http://schemas.openxmlformats.org/officeDocument/2006/customXml" ds:itemID="{B5EB9E21-F3DD-4A18-A3BA-4A6CEAD04013}"/>
</file>

<file path=customXml/itemProps3.xml><?xml version="1.0" encoding="utf-8"?>
<ds:datastoreItem xmlns:ds="http://schemas.openxmlformats.org/officeDocument/2006/customXml" ds:itemID="{B3834BFE-D50B-4B70-B06F-9F45FBF66772}"/>
</file>

<file path=docProps/app.xml><?xml version="1.0" encoding="utf-8"?>
<Properties xmlns="http://schemas.openxmlformats.org/officeDocument/2006/extended-properties" xmlns:vt="http://schemas.openxmlformats.org/officeDocument/2006/docPropsVTypes">
  <Template>Normal.dotm</Template>
  <TotalTime>2</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ROSNIANSKY Cherry Lou</dc:creator>
  <cp:lastModifiedBy>ROSNIANSKY Cherry Lou</cp:lastModifiedBy>
  <cp:revision>3</cp:revision>
  <dcterms:created xsi:type="dcterms:W3CDTF">2020-02-22T22:51:00Z</dcterms:created>
  <dcterms:modified xsi:type="dcterms:W3CDTF">2020-02-23T21:08:00Z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