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966E7" w14:textId="77777777" w:rsidR="00FF58D7" w:rsidRDefault="00FF58D7" w:rsidP="00FF58D7">
      <w:pPr>
        <w:jc w:val="center"/>
      </w:pPr>
      <w:bookmarkStart w:id="0" w:name="_GoBack"/>
      <w:bookmarkEnd w:id="0"/>
      <w:r>
        <w:rPr>
          <w:noProof/>
          <w:lang w:val="en-GB" w:eastAsia="en-GB"/>
        </w:rPr>
        <w:drawing>
          <wp:inline distT="0" distB="0" distL="0" distR="0" wp14:anchorId="7BF98848" wp14:editId="777FCACF">
            <wp:extent cx="3433307" cy="2885440"/>
            <wp:effectExtent l="0" t="0" r="0" b="0"/>
            <wp:docPr id="21123247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28A0092B-C50C-407E-A947-70E740481C1C}">
                          <a14:useLocalDpi xmlns:a14="http://schemas.microsoft.com/office/drawing/2010/main" val="0"/>
                        </a:ext>
                      </a:extLst>
                    </a:blip>
                    <a:stretch>
                      <a:fillRect/>
                    </a:stretch>
                  </pic:blipFill>
                  <pic:spPr>
                    <a:xfrm>
                      <a:off x="0" y="0"/>
                      <a:ext cx="3433307" cy="2885440"/>
                    </a:xfrm>
                    <a:prstGeom prst="rect">
                      <a:avLst/>
                    </a:prstGeom>
                  </pic:spPr>
                </pic:pic>
              </a:graphicData>
            </a:graphic>
          </wp:inline>
        </w:drawing>
      </w:r>
    </w:p>
    <w:p w14:paraId="42539ECB" w14:textId="77777777" w:rsidR="00FF58D7" w:rsidRDefault="00FF58D7" w:rsidP="00FF58D7">
      <w:pPr>
        <w:pStyle w:val="Heading1"/>
      </w:pPr>
    </w:p>
    <w:p w14:paraId="5CD50538" w14:textId="4A199F4D" w:rsidR="00FF58D7" w:rsidRDefault="00FF58D7" w:rsidP="00FF58D7">
      <w:pPr>
        <w:pStyle w:val="Title"/>
        <w:jc w:val="center"/>
      </w:pPr>
      <w:r w:rsidRPr="00FF58D7">
        <w:t>Submission to the United Nations Human Rights Committee on the Revised Draft General Comment No. 37</w:t>
      </w:r>
    </w:p>
    <w:p w14:paraId="7FABA4CE" w14:textId="77777777" w:rsidR="00FF58D7" w:rsidRDefault="00FF58D7" w:rsidP="00FF58D7">
      <w:pPr>
        <w:pStyle w:val="Title"/>
        <w:jc w:val="center"/>
      </w:pPr>
    </w:p>
    <w:p w14:paraId="60B39967" w14:textId="7336280E" w:rsidR="00FF58D7" w:rsidRPr="00FF58D7" w:rsidRDefault="00FF58D7" w:rsidP="00FF58D7">
      <w:pPr>
        <w:pStyle w:val="Title"/>
        <w:jc w:val="center"/>
      </w:pPr>
      <w:r w:rsidRPr="00FF58D7">
        <w:lastRenderedPageBreak/>
        <w:t>Article 21: the right of peaceful assembly</w:t>
      </w:r>
    </w:p>
    <w:p w14:paraId="541CD0C9" w14:textId="77777777" w:rsidR="00FF58D7" w:rsidRDefault="00FF58D7"/>
    <w:p w14:paraId="0CD1D7BB" w14:textId="77777777" w:rsidR="00FF58D7" w:rsidRDefault="00FF58D7"/>
    <w:p w14:paraId="4D994FF2" w14:textId="4AB6AE86" w:rsidR="00FF58D7" w:rsidRDefault="00FF58D7" w:rsidP="00FF58D7">
      <w:pPr>
        <w:jc w:val="center"/>
      </w:pPr>
    </w:p>
    <w:p w14:paraId="5D52183B" w14:textId="77777777" w:rsidR="005B5D8F" w:rsidRDefault="005B5D8F" w:rsidP="00FF58D7">
      <w:pPr>
        <w:jc w:val="center"/>
      </w:pPr>
    </w:p>
    <w:p w14:paraId="55DB9872" w14:textId="77777777" w:rsidR="00FF58D7" w:rsidRDefault="00FF58D7" w:rsidP="00FF58D7">
      <w:pPr>
        <w:jc w:val="center"/>
      </w:pPr>
    </w:p>
    <w:p w14:paraId="166C6659" w14:textId="0D9CDD1F" w:rsidR="00FF58D7" w:rsidRPr="005B5D8F" w:rsidRDefault="00FF58D7" w:rsidP="00FF58D7">
      <w:pPr>
        <w:jc w:val="center"/>
        <w:rPr>
          <w:sz w:val="32"/>
          <w:szCs w:val="32"/>
        </w:rPr>
      </w:pPr>
      <w:r w:rsidRPr="005B5D8F">
        <w:rPr>
          <w:sz w:val="32"/>
          <w:szCs w:val="32"/>
        </w:rPr>
        <w:t>February 2020</w:t>
      </w:r>
    </w:p>
    <w:p w14:paraId="090E1F93" w14:textId="71628855" w:rsidR="00E14264" w:rsidRDefault="00FF58D7">
      <w:bookmarkStart w:id="1" w:name="_Toc31370642"/>
      <w:r>
        <w:br w:type="page"/>
      </w:r>
    </w:p>
    <w:sdt>
      <w:sdtPr>
        <w:rPr>
          <w:rFonts w:asciiTheme="minorHAnsi" w:eastAsiaTheme="minorHAnsi" w:hAnsiTheme="minorHAnsi" w:cstheme="minorBidi"/>
          <w:b w:val="0"/>
          <w:bCs w:val="0"/>
          <w:color w:val="auto"/>
          <w:sz w:val="24"/>
          <w:szCs w:val="24"/>
        </w:rPr>
        <w:id w:val="-1650206099"/>
        <w:docPartObj>
          <w:docPartGallery w:val="Table of Contents"/>
          <w:docPartUnique/>
        </w:docPartObj>
      </w:sdtPr>
      <w:sdtEndPr>
        <w:rPr>
          <w:noProof/>
        </w:rPr>
      </w:sdtEndPr>
      <w:sdtContent>
        <w:p w14:paraId="4E057CC8" w14:textId="7A5C6206" w:rsidR="00FF58D7" w:rsidRDefault="00FF58D7">
          <w:pPr>
            <w:pStyle w:val="TOCHeading"/>
          </w:pPr>
          <w:r>
            <w:t>Table of Contents</w:t>
          </w:r>
        </w:p>
        <w:p w14:paraId="184F10AB" w14:textId="0B32C971" w:rsidR="00E14264" w:rsidRDefault="00FF58D7">
          <w:pPr>
            <w:pStyle w:val="TOC2"/>
            <w:tabs>
              <w:tab w:val="right" w:leader="dot" w:pos="9350"/>
            </w:tabs>
            <w:rPr>
              <w:rFonts w:eastAsiaTheme="minorEastAsia"/>
              <w:b w:val="0"/>
              <w:bCs w:val="0"/>
              <w:noProof/>
              <w:sz w:val="24"/>
              <w:szCs w:val="24"/>
            </w:rPr>
          </w:pPr>
          <w:r>
            <w:rPr>
              <w:b w:val="0"/>
              <w:bCs w:val="0"/>
            </w:rPr>
            <w:fldChar w:fldCharType="begin"/>
          </w:r>
          <w:r>
            <w:instrText xml:space="preserve"> TOC \o "1-3" \h \z \u </w:instrText>
          </w:r>
          <w:r>
            <w:rPr>
              <w:b w:val="0"/>
              <w:bCs w:val="0"/>
            </w:rPr>
            <w:fldChar w:fldCharType="separate"/>
          </w:r>
          <w:hyperlink w:anchor="_Toc31981526" w:history="1">
            <w:r w:rsidR="00E14264" w:rsidRPr="00A8146F">
              <w:rPr>
                <w:rStyle w:val="Hyperlink"/>
                <w:noProof/>
              </w:rPr>
              <w:t>About The Carter Center</w:t>
            </w:r>
            <w:r w:rsidR="00E14264">
              <w:rPr>
                <w:noProof/>
                <w:webHidden/>
              </w:rPr>
              <w:tab/>
            </w:r>
            <w:r w:rsidR="00E14264">
              <w:rPr>
                <w:noProof/>
                <w:webHidden/>
              </w:rPr>
              <w:fldChar w:fldCharType="begin"/>
            </w:r>
            <w:r w:rsidR="00E14264">
              <w:rPr>
                <w:noProof/>
                <w:webHidden/>
              </w:rPr>
              <w:instrText xml:space="preserve"> PAGEREF _Toc31981526 \h </w:instrText>
            </w:r>
            <w:r w:rsidR="00E14264">
              <w:rPr>
                <w:noProof/>
                <w:webHidden/>
              </w:rPr>
            </w:r>
            <w:r w:rsidR="00E14264">
              <w:rPr>
                <w:noProof/>
                <w:webHidden/>
              </w:rPr>
              <w:fldChar w:fldCharType="separate"/>
            </w:r>
            <w:r w:rsidR="0020215B">
              <w:rPr>
                <w:noProof/>
                <w:webHidden/>
              </w:rPr>
              <w:t>2</w:t>
            </w:r>
            <w:r w:rsidR="00E14264">
              <w:rPr>
                <w:noProof/>
                <w:webHidden/>
              </w:rPr>
              <w:fldChar w:fldCharType="end"/>
            </w:r>
          </w:hyperlink>
        </w:p>
        <w:p w14:paraId="2C3F2C37" w14:textId="19A629B2" w:rsidR="00E14264" w:rsidRDefault="00CB154B">
          <w:pPr>
            <w:pStyle w:val="TOC2"/>
            <w:tabs>
              <w:tab w:val="right" w:leader="dot" w:pos="9350"/>
            </w:tabs>
            <w:rPr>
              <w:rFonts w:eastAsiaTheme="minorEastAsia"/>
              <w:b w:val="0"/>
              <w:bCs w:val="0"/>
              <w:noProof/>
              <w:sz w:val="24"/>
              <w:szCs w:val="24"/>
            </w:rPr>
          </w:pPr>
          <w:hyperlink w:anchor="_Toc31981527" w:history="1">
            <w:r w:rsidR="00E14264" w:rsidRPr="00A8146F">
              <w:rPr>
                <w:rStyle w:val="Hyperlink"/>
                <w:noProof/>
              </w:rPr>
              <w:t>Introduction</w:t>
            </w:r>
            <w:r w:rsidR="00E14264">
              <w:rPr>
                <w:noProof/>
                <w:webHidden/>
              </w:rPr>
              <w:tab/>
            </w:r>
            <w:r w:rsidR="00E14264">
              <w:rPr>
                <w:noProof/>
                <w:webHidden/>
              </w:rPr>
              <w:fldChar w:fldCharType="begin"/>
            </w:r>
            <w:r w:rsidR="00E14264">
              <w:rPr>
                <w:noProof/>
                <w:webHidden/>
              </w:rPr>
              <w:instrText xml:space="preserve"> PAGEREF _Toc31981527 \h </w:instrText>
            </w:r>
            <w:r w:rsidR="00E14264">
              <w:rPr>
                <w:noProof/>
                <w:webHidden/>
              </w:rPr>
            </w:r>
            <w:r w:rsidR="00E14264">
              <w:rPr>
                <w:noProof/>
                <w:webHidden/>
              </w:rPr>
              <w:fldChar w:fldCharType="separate"/>
            </w:r>
            <w:r w:rsidR="0020215B">
              <w:rPr>
                <w:noProof/>
                <w:webHidden/>
              </w:rPr>
              <w:t>2</w:t>
            </w:r>
            <w:r w:rsidR="00E14264">
              <w:rPr>
                <w:noProof/>
                <w:webHidden/>
              </w:rPr>
              <w:fldChar w:fldCharType="end"/>
            </w:r>
          </w:hyperlink>
        </w:p>
        <w:p w14:paraId="0E900762" w14:textId="36E56D0E" w:rsidR="00E14264" w:rsidRDefault="00CB154B">
          <w:pPr>
            <w:pStyle w:val="TOC3"/>
            <w:tabs>
              <w:tab w:val="right" w:leader="dot" w:pos="9350"/>
            </w:tabs>
            <w:rPr>
              <w:rFonts w:eastAsiaTheme="minorEastAsia"/>
              <w:noProof/>
              <w:sz w:val="24"/>
              <w:szCs w:val="24"/>
            </w:rPr>
          </w:pPr>
          <w:hyperlink w:anchor="_Toc31981528" w:history="1">
            <w:r w:rsidR="00E14264" w:rsidRPr="00A8146F">
              <w:rPr>
                <w:rStyle w:val="Hyperlink"/>
                <w:noProof/>
              </w:rPr>
              <w:t>Paragraph 22:</w:t>
            </w:r>
            <w:r w:rsidR="00E14264">
              <w:rPr>
                <w:noProof/>
                <w:webHidden/>
              </w:rPr>
              <w:tab/>
            </w:r>
            <w:r w:rsidR="00E14264">
              <w:rPr>
                <w:noProof/>
                <w:webHidden/>
              </w:rPr>
              <w:fldChar w:fldCharType="begin"/>
            </w:r>
            <w:r w:rsidR="00E14264">
              <w:rPr>
                <w:noProof/>
                <w:webHidden/>
              </w:rPr>
              <w:instrText xml:space="preserve"> PAGEREF _Toc31981528 \h </w:instrText>
            </w:r>
            <w:r w:rsidR="00E14264">
              <w:rPr>
                <w:noProof/>
                <w:webHidden/>
              </w:rPr>
            </w:r>
            <w:r w:rsidR="00E14264">
              <w:rPr>
                <w:noProof/>
                <w:webHidden/>
              </w:rPr>
              <w:fldChar w:fldCharType="separate"/>
            </w:r>
            <w:r w:rsidR="0020215B">
              <w:rPr>
                <w:noProof/>
                <w:webHidden/>
              </w:rPr>
              <w:t>3</w:t>
            </w:r>
            <w:r w:rsidR="00E14264">
              <w:rPr>
                <w:noProof/>
                <w:webHidden/>
              </w:rPr>
              <w:fldChar w:fldCharType="end"/>
            </w:r>
          </w:hyperlink>
        </w:p>
        <w:p w14:paraId="4678066E" w14:textId="72A7DCFD" w:rsidR="00E14264" w:rsidRDefault="00CB154B">
          <w:pPr>
            <w:pStyle w:val="TOC3"/>
            <w:tabs>
              <w:tab w:val="right" w:leader="dot" w:pos="9350"/>
            </w:tabs>
            <w:rPr>
              <w:rFonts w:eastAsiaTheme="minorEastAsia"/>
              <w:noProof/>
              <w:sz w:val="24"/>
              <w:szCs w:val="24"/>
            </w:rPr>
          </w:pPr>
          <w:hyperlink w:anchor="_Toc31981529" w:history="1">
            <w:r w:rsidR="00E14264" w:rsidRPr="00A8146F">
              <w:rPr>
                <w:rStyle w:val="Hyperlink"/>
                <w:noProof/>
              </w:rPr>
              <w:t>Paragraph 25</w:t>
            </w:r>
            <w:r w:rsidR="00E14264">
              <w:rPr>
                <w:noProof/>
                <w:webHidden/>
              </w:rPr>
              <w:tab/>
            </w:r>
            <w:r w:rsidR="00E14264">
              <w:rPr>
                <w:noProof/>
                <w:webHidden/>
              </w:rPr>
              <w:fldChar w:fldCharType="begin"/>
            </w:r>
            <w:r w:rsidR="00E14264">
              <w:rPr>
                <w:noProof/>
                <w:webHidden/>
              </w:rPr>
              <w:instrText xml:space="preserve"> PAGEREF _Toc31981529 \h </w:instrText>
            </w:r>
            <w:r w:rsidR="00E14264">
              <w:rPr>
                <w:noProof/>
                <w:webHidden/>
              </w:rPr>
            </w:r>
            <w:r w:rsidR="00E14264">
              <w:rPr>
                <w:noProof/>
                <w:webHidden/>
              </w:rPr>
              <w:fldChar w:fldCharType="separate"/>
            </w:r>
            <w:r w:rsidR="0020215B">
              <w:rPr>
                <w:noProof/>
                <w:webHidden/>
              </w:rPr>
              <w:t>3</w:t>
            </w:r>
            <w:r w:rsidR="00E14264">
              <w:rPr>
                <w:noProof/>
                <w:webHidden/>
              </w:rPr>
              <w:fldChar w:fldCharType="end"/>
            </w:r>
          </w:hyperlink>
        </w:p>
        <w:p w14:paraId="059B7CE9" w14:textId="1F0BB052" w:rsidR="00E14264" w:rsidRDefault="00CB154B">
          <w:pPr>
            <w:pStyle w:val="TOC3"/>
            <w:tabs>
              <w:tab w:val="right" w:leader="dot" w:pos="9350"/>
            </w:tabs>
            <w:rPr>
              <w:rFonts w:eastAsiaTheme="minorEastAsia"/>
              <w:noProof/>
              <w:sz w:val="24"/>
              <w:szCs w:val="24"/>
            </w:rPr>
          </w:pPr>
          <w:hyperlink w:anchor="_Toc31981530" w:history="1">
            <w:r w:rsidR="00E14264" w:rsidRPr="00A8146F">
              <w:rPr>
                <w:rStyle w:val="Hyperlink"/>
                <w:noProof/>
              </w:rPr>
              <w:t>Paragraph 33</w:t>
            </w:r>
            <w:r w:rsidR="00E14264">
              <w:rPr>
                <w:noProof/>
                <w:webHidden/>
              </w:rPr>
              <w:tab/>
            </w:r>
            <w:r w:rsidR="00E14264">
              <w:rPr>
                <w:noProof/>
                <w:webHidden/>
              </w:rPr>
              <w:fldChar w:fldCharType="begin"/>
            </w:r>
            <w:r w:rsidR="00E14264">
              <w:rPr>
                <w:noProof/>
                <w:webHidden/>
              </w:rPr>
              <w:instrText xml:space="preserve"> PAGEREF _Toc31981530 \h </w:instrText>
            </w:r>
            <w:r w:rsidR="00E14264">
              <w:rPr>
                <w:noProof/>
                <w:webHidden/>
              </w:rPr>
            </w:r>
            <w:r w:rsidR="00E14264">
              <w:rPr>
                <w:noProof/>
                <w:webHidden/>
              </w:rPr>
              <w:fldChar w:fldCharType="separate"/>
            </w:r>
            <w:r w:rsidR="0020215B">
              <w:rPr>
                <w:noProof/>
                <w:webHidden/>
              </w:rPr>
              <w:t>3</w:t>
            </w:r>
            <w:r w:rsidR="00E14264">
              <w:rPr>
                <w:noProof/>
                <w:webHidden/>
              </w:rPr>
              <w:fldChar w:fldCharType="end"/>
            </w:r>
          </w:hyperlink>
        </w:p>
        <w:p w14:paraId="3913AD0B" w14:textId="7CF8174A" w:rsidR="00E14264" w:rsidRDefault="00CB154B">
          <w:pPr>
            <w:pStyle w:val="TOC3"/>
            <w:tabs>
              <w:tab w:val="right" w:leader="dot" w:pos="9350"/>
            </w:tabs>
            <w:rPr>
              <w:rFonts w:eastAsiaTheme="minorEastAsia"/>
              <w:noProof/>
              <w:sz w:val="24"/>
              <w:szCs w:val="24"/>
            </w:rPr>
          </w:pPr>
          <w:hyperlink w:anchor="_Toc31981531" w:history="1">
            <w:r w:rsidR="00E14264" w:rsidRPr="00A8146F">
              <w:rPr>
                <w:rStyle w:val="Hyperlink"/>
                <w:noProof/>
              </w:rPr>
              <w:t>Paragraph 34</w:t>
            </w:r>
            <w:r w:rsidR="00E14264">
              <w:rPr>
                <w:noProof/>
                <w:webHidden/>
              </w:rPr>
              <w:tab/>
            </w:r>
            <w:r w:rsidR="00E14264">
              <w:rPr>
                <w:noProof/>
                <w:webHidden/>
              </w:rPr>
              <w:fldChar w:fldCharType="begin"/>
            </w:r>
            <w:r w:rsidR="00E14264">
              <w:rPr>
                <w:noProof/>
                <w:webHidden/>
              </w:rPr>
              <w:instrText xml:space="preserve"> PAGEREF _Toc31981531 \h </w:instrText>
            </w:r>
            <w:r w:rsidR="00E14264">
              <w:rPr>
                <w:noProof/>
                <w:webHidden/>
              </w:rPr>
            </w:r>
            <w:r w:rsidR="00E14264">
              <w:rPr>
                <w:noProof/>
                <w:webHidden/>
              </w:rPr>
              <w:fldChar w:fldCharType="separate"/>
            </w:r>
            <w:r w:rsidR="0020215B">
              <w:rPr>
                <w:noProof/>
                <w:webHidden/>
              </w:rPr>
              <w:t>3</w:t>
            </w:r>
            <w:r w:rsidR="00E14264">
              <w:rPr>
                <w:noProof/>
                <w:webHidden/>
              </w:rPr>
              <w:fldChar w:fldCharType="end"/>
            </w:r>
          </w:hyperlink>
        </w:p>
        <w:p w14:paraId="42E253E4" w14:textId="7719667F" w:rsidR="00E14264" w:rsidRDefault="00CB154B">
          <w:pPr>
            <w:pStyle w:val="TOC3"/>
            <w:tabs>
              <w:tab w:val="right" w:leader="dot" w:pos="9350"/>
            </w:tabs>
            <w:rPr>
              <w:rFonts w:eastAsiaTheme="minorEastAsia"/>
              <w:noProof/>
              <w:sz w:val="24"/>
              <w:szCs w:val="24"/>
            </w:rPr>
          </w:pPr>
          <w:hyperlink w:anchor="_Toc31981532" w:history="1">
            <w:r w:rsidR="00E14264" w:rsidRPr="00A8146F">
              <w:rPr>
                <w:rStyle w:val="Hyperlink"/>
                <w:noProof/>
              </w:rPr>
              <w:t>Paragraph 36</w:t>
            </w:r>
            <w:r w:rsidR="00E14264">
              <w:rPr>
                <w:noProof/>
                <w:webHidden/>
              </w:rPr>
              <w:tab/>
            </w:r>
            <w:r w:rsidR="00E14264">
              <w:rPr>
                <w:noProof/>
                <w:webHidden/>
              </w:rPr>
              <w:fldChar w:fldCharType="begin"/>
            </w:r>
            <w:r w:rsidR="00E14264">
              <w:rPr>
                <w:noProof/>
                <w:webHidden/>
              </w:rPr>
              <w:instrText xml:space="preserve"> PAGEREF _Toc31981532 \h </w:instrText>
            </w:r>
            <w:r w:rsidR="00E14264">
              <w:rPr>
                <w:noProof/>
                <w:webHidden/>
              </w:rPr>
            </w:r>
            <w:r w:rsidR="00E14264">
              <w:rPr>
                <w:noProof/>
                <w:webHidden/>
              </w:rPr>
              <w:fldChar w:fldCharType="separate"/>
            </w:r>
            <w:r w:rsidR="0020215B">
              <w:rPr>
                <w:noProof/>
                <w:webHidden/>
              </w:rPr>
              <w:t>3</w:t>
            </w:r>
            <w:r w:rsidR="00E14264">
              <w:rPr>
                <w:noProof/>
                <w:webHidden/>
              </w:rPr>
              <w:fldChar w:fldCharType="end"/>
            </w:r>
          </w:hyperlink>
        </w:p>
        <w:p w14:paraId="7FB923F2" w14:textId="144B7802" w:rsidR="00E14264" w:rsidRDefault="00CB154B">
          <w:pPr>
            <w:pStyle w:val="TOC3"/>
            <w:tabs>
              <w:tab w:val="right" w:leader="dot" w:pos="9350"/>
            </w:tabs>
            <w:rPr>
              <w:rFonts w:eastAsiaTheme="minorEastAsia"/>
              <w:noProof/>
              <w:sz w:val="24"/>
              <w:szCs w:val="24"/>
            </w:rPr>
          </w:pPr>
          <w:hyperlink w:anchor="_Toc31981533" w:history="1">
            <w:r w:rsidR="00E14264" w:rsidRPr="00A8146F">
              <w:rPr>
                <w:rStyle w:val="Hyperlink"/>
                <w:noProof/>
              </w:rPr>
              <w:t>Paragraph 38</w:t>
            </w:r>
            <w:r w:rsidR="00E14264">
              <w:rPr>
                <w:noProof/>
                <w:webHidden/>
              </w:rPr>
              <w:tab/>
            </w:r>
            <w:r w:rsidR="00E14264">
              <w:rPr>
                <w:noProof/>
                <w:webHidden/>
              </w:rPr>
              <w:fldChar w:fldCharType="begin"/>
            </w:r>
            <w:r w:rsidR="00E14264">
              <w:rPr>
                <w:noProof/>
                <w:webHidden/>
              </w:rPr>
              <w:instrText xml:space="preserve"> PAGEREF _Toc31981533 \h </w:instrText>
            </w:r>
            <w:r w:rsidR="00E14264">
              <w:rPr>
                <w:noProof/>
                <w:webHidden/>
              </w:rPr>
            </w:r>
            <w:r w:rsidR="00E14264">
              <w:rPr>
                <w:noProof/>
                <w:webHidden/>
              </w:rPr>
              <w:fldChar w:fldCharType="separate"/>
            </w:r>
            <w:r w:rsidR="0020215B">
              <w:rPr>
                <w:noProof/>
                <w:webHidden/>
              </w:rPr>
              <w:t>3</w:t>
            </w:r>
            <w:r w:rsidR="00E14264">
              <w:rPr>
                <w:noProof/>
                <w:webHidden/>
              </w:rPr>
              <w:fldChar w:fldCharType="end"/>
            </w:r>
          </w:hyperlink>
        </w:p>
        <w:p w14:paraId="7CA4FE1C" w14:textId="0CA0E951" w:rsidR="00E14264" w:rsidRDefault="00CB154B">
          <w:pPr>
            <w:pStyle w:val="TOC3"/>
            <w:tabs>
              <w:tab w:val="right" w:leader="dot" w:pos="9350"/>
            </w:tabs>
            <w:rPr>
              <w:rFonts w:eastAsiaTheme="minorEastAsia"/>
              <w:noProof/>
              <w:sz w:val="24"/>
              <w:szCs w:val="24"/>
            </w:rPr>
          </w:pPr>
          <w:hyperlink w:anchor="_Toc31981534" w:history="1">
            <w:r w:rsidR="00E14264" w:rsidRPr="00A8146F">
              <w:rPr>
                <w:rStyle w:val="Hyperlink"/>
                <w:noProof/>
              </w:rPr>
              <w:t>Paragraph 42</w:t>
            </w:r>
            <w:r w:rsidR="00E14264">
              <w:rPr>
                <w:noProof/>
                <w:webHidden/>
              </w:rPr>
              <w:tab/>
            </w:r>
            <w:r w:rsidR="00E14264">
              <w:rPr>
                <w:noProof/>
                <w:webHidden/>
              </w:rPr>
              <w:fldChar w:fldCharType="begin"/>
            </w:r>
            <w:r w:rsidR="00E14264">
              <w:rPr>
                <w:noProof/>
                <w:webHidden/>
              </w:rPr>
              <w:instrText xml:space="preserve"> PAGEREF _Toc31981534 \h </w:instrText>
            </w:r>
            <w:r w:rsidR="00E14264">
              <w:rPr>
                <w:noProof/>
                <w:webHidden/>
              </w:rPr>
            </w:r>
            <w:r w:rsidR="00E14264">
              <w:rPr>
                <w:noProof/>
                <w:webHidden/>
              </w:rPr>
              <w:fldChar w:fldCharType="separate"/>
            </w:r>
            <w:r w:rsidR="0020215B">
              <w:rPr>
                <w:noProof/>
                <w:webHidden/>
              </w:rPr>
              <w:t>4</w:t>
            </w:r>
            <w:r w:rsidR="00E14264">
              <w:rPr>
                <w:noProof/>
                <w:webHidden/>
              </w:rPr>
              <w:fldChar w:fldCharType="end"/>
            </w:r>
          </w:hyperlink>
        </w:p>
        <w:p w14:paraId="60B57A78" w14:textId="2E471642" w:rsidR="00E14264" w:rsidRDefault="00CB154B">
          <w:pPr>
            <w:pStyle w:val="TOC3"/>
            <w:tabs>
              <w:tab w:val="right" w:leader="dot" w:pos="9350"/>
            </w:tabs>
            <w:rPr>
              <w:rFonts w:eastAsiaTheme="minorEastAsia"/>
              <w:noProof/>
              <w:sz w:val="24"/>
              <w:szCs w:val="24"/>
            </w:rPr>
          </w:pPr>
          <w:hyperlink w:anchor="_Toc31981535" w:history="1">
            <w:r w:rsidR="00E14264" w:rsidRPr="00A8146F">
              <w:rPr>
                <w:rStyle w:val="Hyperlink"/>
                <w:noProof/>
              </w:rPr>
              <w:t>Paragraph 60</w:t>
            </w:r>
            <w:r w:rsidR="00E14264">
              <w:rPr>
                <w:noProof/>
                <w:webHidden/>
              </w:rPr>
              <w:tab/>
            </w:r>
            <w:r w:rsidR="00E14264">
              <w:rPr>
                <w:noProof/>
                <w:webHidden/>
              </w:rPr>
              <w:fldChar w:fldCharType="begin"/>
            </w:r>
            <w:r w:rsidR="00E14264">
              <w:rPr>
                <w:noProof/>
                <w:webHidden/>
              </w:rPr>
              <w:instrText xml:space="preserve"> PAGEREF _Toc31981535 \h </w:instrText>
            </w:r>
            <w:r w:rsidR="00E14264">
              <w:rPr>
                <w:noProof/>
                <w:webHidden/>
              </w:rPr>
            </w:r>
            <w:r w:rsidR="00E14264">
              <w:rPr>
                <w:noProof/>
                <w:webHidden/>
              </w:rPr>
              <w:fldChar w:fldCharType="separate"/>
            </w:r>
            <w:r w:rsidR="0020215B">
              <w:rPr>
                <w:noProof/>
                <w:webHidden/>
              </w:rPr>
              <w:t>4</w:t>
            </w:r>
            <w:r w:rsidR="00E14264">
              <w:rPr>
                <w:noProof/>
                <w:webHidden/>
              </w:rPr>
              <w:fldChar w:fldCharType="end"/>
            </w:r>
          </w:hyperlink>
        </w:p>
        <w:p w14:paraId="2D284901" w14:textId="0B82CA02" w:rsidR="00E14264" w:rsidRDefault="00CB154B">
          <w:pPr>
            <w:pStyle w:val="TOC3"/>
            <w:tabs>
              <w:tab w:val="right" w:leader="dot" w:pos="9350"/>
            </w:tabs>
            <w:rPr>
              <w:rFonts w:eastAsiaTheme="minorEastAsia"/>
              <w:noProof/>
              <w:sz w:val="24"/>
              <w:szCs w:val="24"/>
            </w:rPr>
          </w:pPr>
          <w:hyperlink w:anchor="_Toc31981536" w:history="1">
            <w:r w:rsidR="00E14264" w:rsidRPr="00A8146F">
              <w:rPr>
                <w:rStyle w:val="Hyperlink"/>
                <w:noProof/>
              </w:rPr>
              <w:t>Paragraph 85</w:t>
            </w:r>
            <w:r w:rsidR="00E14264">
              <w:rPr>
                <w:noProof/>
                <w:webHidden/>
              </w:rPr>
              <w:tab/>
            </w:r>
            <w:r w:rsidR="00E14264">
              <w:rPr>
                <w:noProof/>
                <w:webHidden/>
              </w:rPr>
              <w:fldChar w:fldCharType="begin"/>
            </w:r>
            <w:r w:rsidR="00E14264">
              <w:rPr>
                <w:noProof/>
                <w:webHidden/>
              </w:rPr>
              <w:instrText xml:space="preserve"> PAGEREF _Toc31981536 \h </w:instrText>
            </w:r>
            <w:r w:rsidR="00E14264">
              <w:rPr>
                <w:noProof/>
                <w:webHidden/>
              </w:rPr>
            </w:r>
            <w:r w:rsidR="00E14264">
              <w:rPr>
                <w:noProof/>
                <w:webHidden/>
              </w:rPr>
              <w:fldChar w:fldCharType="separate"/>
            </w:r>
            <w:r w:rsidR="0020215B">
              <w:rPr>
                <w:noProof/>
                <w:webHidden/>
              </w:rPr>
              <w:t>4</w:t>
            </w:r>
            <w:r w:rsidR="00E14264">
              <w:rPr>
                <w:noProof/>
                <w:webHidden/>
              </w:rPr>
              <w:fldChar w:fldCharType="end"/>
            </w:r>
          </w:hyperlink>
        </w:p>
        <w:p w14:paraId="7D85650E" w14:textId="2E1E59DB" w:rsidR="00E14264" w:rsidRDefault="00CB154B">
          <w:pPr>
            <w:pStyle w:val="TOC3"/>
            <w:tabs>
              <w:tab w:val="right" w:leader="dot" w:pos="9350"/>
            </w:tabs>
            <w:rPr>
              <w:rFonts w:eastAsiaTheme="minorEastAsia"/>
              <w:noProof/>
              <w:sz w:val="24"/>
              <w:szCs w:val="24"/>
            </w:rPr>
          </w:pPr>
          <w:hyperlink w:anchor="_Toc31981537" w:history="1">
            <w:r w:rsidR="00E14264" w:rsidRPr="00A8146F">
              <w:rPr>
                <w:rStyle w:val="Hyperlink"/>
                <w:noProof/>
              </w:rPr>
              <w:t>Paragraph 112</w:t>
            </w:r>
            <w:r w:rsidR="00E14264">
              <w:rPr>
                <w:noProof/>
                <w:webHidden/>
              </w:rPr>
              <w:tab/>
            </w:r>
            <w:r w:rsidR="00E14264">
              <w:rPr>
                <w:noProof/>
                <w:webHidden/>
              </w:rPr>
              <w:fldChar w:fldCharType="begin"/>
            </w:r>
            <w:r w:rsidR="00E14264">
              <w:rPr>
                <w:noProof/>
                <w:webHidden/>
              </w:rPr>
              <w:instrText xml:space="preserve"> PAGEREF _Toc31981537 \h </w:instrText>
            </w:r>
            <w:r w:rsidR="00E14264">
              <w:rPr>
                <w:noProof/>
                <w:webHidden/>
              </w:rPr>
            </w:r>
            <w:r w:rsidR="00E14264">
              <w:rPr>
                <w:noProof/>
                <w:webHidden/>
              </w:rPr>
              <w:fldChar w:fldCharType="separate"/>
            </w:r>
            <w:r w:rsidR="0020215B">
              <w:rPr>
                <w:noProof/>
                <w:webHidden/>
              </w:rPr>
              <w:t>4</w:t>
            </w:r>
            <w:r w:rsidR="00E14264">
              <w:rPr>
                <w:noProof/>
                <w:webHidden/>
              </w:rPr>
              <w:fldChar w:fldCharType="end"/>
            </w:r>
          </w:hyperlink>
        </w:p>
        <w:p w14:paraId="0182C50C" w14:textId="41AD53A1" w:rsidR="00E14264" w:rsidRDefault="00CB154B">
          <w:pPr>
            <w:pStyle w:val="TOC3"/>
            <w:tabs>
              <w:tab w:val="right" w:leader="dot" w:pos="9350"/>
            </w:tabs>
            <w:rPr>
              <w:rFonts w:eastAsiaTheme="minorEastAsia"/>
              <w:noProof/>
              <w:sz w:val="24"/>
              <w:szCs w:val="24"/>
            </w:rPr>
          </w:pPr>
          <w:hyperlink w:anchor="_Toc31981538" w:history="1">
            <w:r w:rsidR="00E14264" w:rsidRPr="00A8146F">
              <w:rPr>
                <w:rStyle w:val="Hyperlink"/>
                <w:noProof/>
              </w:rPr>
              <w:t>Paragraph 114</w:t>
            </w:r>
            <w:r w:rsidR="00E14264">
              <w:rPr>
                <w:noProof/>
                <w:webHidden/>
              </w:rPr>
              <w:tab/>
            </w:r>
            <w:r w:rsidR="00E14264">
              <w:rPr>
                <w:noProof/>
                <w:webHidden/>
              </w:rPr>
              <w:fldChar w:fldCharType="begin"/>
            </w:r>
            <w:r w:rsidR="00E14264">
              <w:rPr>
                <w:noProof/>
                <w:webHidden/>
              </w:rPr>
              <w:instrText xml:space="preserve"> PAGEREF _Toc31981538 \h </w:instrText>
            </w:r>
            <w:r w:rsidR="00E14264">
              <w:rPr>
                <w:noProof/>
                <w:webHidden/>
              </w:rPr>
            </w:r>
            <w:r w:rsidR="00E14264">
              <w:rPr>
                <w:noProof/>
                <w:webHidden/>
              </w:rPr>
              <w:fldChar w:fldCharType="separate"/>
            </w:r>
            <w:r w:rsidR="0020215B">
              <w:rPr>
                <w:noProof/>
                <w:webHidden/>
              </w:rPr>
              <w:t>4</w:t>
            </w:r>
            <w:r w:rsidR="00E14264">
              <w:rPr>
                <w:noProof/>
                <w:webHidden/>
              </w:rPr>
              <w:fldChar w:fldCharType="end"/>
            </w:r>
          </w:hyperlink>
        </w:p>
        <w:p w14:paraId="4390D1AF" w14:textId="10CE13B0" w:rsidR="00FF58D7" w:rsidRDefault="00FF58D7">
          <w:r>
            <w:rPr>
              <w:b/>
              <w:bCs/>
              <w:noProof/>
            </w:rPr>
            <w:fldChar w:fldCharType="end"/>
          </w:r>
        </w:p>
      </w:sdtContent>
    </w:sdt>
    <w:p w14:paraId="06D3508E" w14:textId="78942187" w:rsidR="00FF58D7" w:rsidRDefault="00FF58D7" w:rsidP="00FF58D7">
      <w:pPr>
        <w:pStyle w:val="Heading2"/>
      </w:pPr>
    </w:p>
    <w:p w14:paraId="0A4C5FFD" w14:textId="550E072D" w:rsidR="00FF58D7" w:rsidRDefault="00FF58D7" w:rsidP="00FF58D7"/>
    <w:p w14:paraId="16362FB4" w14:textId="730AB3F3" w:rsidR="00FF58D7" w:rsidRDefault="00FF58D7" w:rsidP="00FF58D7">
      <w:pPr>
        <w:jc w:val="center"/>
      </w:pPr>
      <w:r>
        <w:t>*****</w:t>
      </w:r>
    </w:p>
    <w:p w14:paraId="7CA674C6" w14:textId="77777777" w:rsidR="00FF58D7" w:rsidRPr="00FF58D7" w:rsidRDefault="00FF58D7" w:rsidP="00FF58D7">
      <w:pPr>
        <w:jc w:val="center"/>
      </w:pPr>
    </w:p>
    <w:p w14:paraId="5D4854C6" w14:textId="7E651493" w:rsidR="00FF58D7" w:rsidRDefault="00FF58D7" w:rsidP="0020215B">
      <w:pPr>
        <w:pStyle w:val="Heading1"/>
      </w:pPr>
      <w:bookmarkStart w:id="2" w:name="_Toc31981526"/>
      <w:r>
        <w:t>About The Carter Center</w:t>
      </w:r>
      <w:bookmarkEnd w:id="1"/>
      <w:bookmarkEnd w:id="2"/>
      <w:r>
        <w:t xml:space="preserve"> </w:t>
      </w:r>
    </w:p>
    <w:p w14:paraId="3AE921BF" w14:textId="1E030690" w:rsidR="00FF58D7" w:rsidRDefault="00FF58D7" w:rsidP="00FF58D7">
      <w:pPr>
        <w:jc w:val="both"/>
        <w:rPr>
          <w:rFonts w:asciiTheme="majorBidi" w:hAnsiTheme="majorBidi" w:cstheme="majorBidi"/>
        </w:rPr>
      </w:pPr>
      <w:r w:rsidRPr="00826EF9">
        <w:rPr>
          <w:rFonts w:asciiTheme="majorBidi" w:hAnsiTheme="majorBidi" w:cstheme="majorBidi"/>
        </w:rPr>
        <w:t xml:space="preserve">The Carter Center is a not-for-profit, nongovernmental organization that has helped to improve life for people in more than 80 countries by resolving conflicts; advancing democracy, human rights, and economic opportunity; preventing diseases; and improving mental health care. The Carter Center was founded in 1982 by former U.S. President Jimmy Carter and his wife, Rosalynn, in partnership with Emory University to advance peace and health worldwide. </w:t>
      </w:r>
    </w:p>
    <w:p w14:paraId="751F9555" w14:textId="77777777" w:rsidR="00FF58D7" w:rsidRPr="00826EF9" w:rsidRDefault="00FF58D7" w:rsidP="00FF58D7">
      <w:pPr>
        <w:jc w:val="both"/>
        <w:rPr>
          <w:rFonts w:asciiTheme="majorBidi" w:hAnsiTheme="majorBidi" w:cstheme="majorBidi"/>
        </w:rPr>
      </w:pPr>
    </w:p>
    <w:p w14:paraId="1CC072DB" w14:textId="36CF94A9" w:rsidR="00FF58D7" w:rsidRDefault="00FF58D7" w:rsidP="246629CC">
      <w:pPr>
        <w:jc w:val="both"/>
        <w:rPr>
          <w:rFonts w:asciiTheme="majorBidi" w:hAnsiTheme="majorBidi" w:cstheme="majorBidi"/>
        </w:rPr>
      </w:pPr>
      <w:r w:rsidRPr="7DE78479">
        <w:rPr>
          <w:rFonts w:asciiTheme="majorBidi" w:hAnsiTheme="majorBidi" w:cstheme="majorBidi"/>
        </w:rPr>
        <w:lastRenderedPageBreak/>
        <w:t>The Carter Center’s Democracy Program works globally to promote democratic elections and governance consistent with human rights. The Center has monitored more than 100 elections in 39 countries since 1989, forging many of the techniques now common to the field. Recognizing that democratic transitions involve much more than elections, the Center also conducts long-term monitoring of political transitions and works to strengthen civil society organizations to support democratic governance. The Democratic Election Standards (DES) initiative aims to build consensus on standards for democratic elections, based on state obligations under public international law. The Carter Center recently collaboration with the United Nations Office of the High Commissioner for Human Rights on the Human Rights and Election Standards Plan of Action</w:t>
      </w:r>
      <w:r w:rsidR="5700AAF8" w:rsidRPr="7DE78479">
        <w:rPr>
          <w:rFonts w:asciiTheme="majorBidi" w:hAnsiTheme="majorBidi" w:cstheme="majorBidi"/>
        </w:rPr>
        <w:t xml:space="preserve"> completed in December 2019</w:t>
      </w:r>
      <w:r w:rsidRPr="7DE78479">
        <w:rPr>
          <w:rFonts w:asciiTheme="majorBidi" w:hAnsiTheme="majorBidi" w:cstheme="majorBidi"/>
        </w:rPr>
        <w:t xml:space="preserve">. </w:t>
      </w:r>
    </w:p>
    <w:p w14:paraId="78E08148" w14:textId="2187CA92" w:rsidR="00FF58D7" w:rsidRDefault="00FF58D7"/>
    <w:p w14:paraId="717313BC" w14:textId="61C324E8" w:rsidR="00FF58D7" w:rsidRDefault="00AD7BE8" w:rsidP="0020215B">
      <w:pPr>
        <w:pStyle w:val="Heading1"/>
      </w:pPr>
      <w:bookmarkStart w:id="3" w:name="_Toc31981527"/>
      <w:r>
        <w:t>Introduction</w:t>
      </w:r>
      <w:bookmarkEnd w:id="3"/>
    </w:p>
    <w:p w14:paraId="48D1BD86" w14:textId="47356974" w:rsidR="00FF58D7" w:rsidRPr="00AD7BE8" w:rsidRDefault="00FF58D7" w:rsidP="00FF58D7">
      <w:pPr>
        <w:rPr>
          <w:rFonts w:asciiTheme="majorBidi" w:hAnsiTheme="majorBidi" w:cstheme="majorBidi"/>
        </w:rPr>
      </w:pPr>
      <w:r w:rsidRPr="00AD7BE8">
        <w:rPr>
          <w:rFonts w:asciiTheme="majorBidi" w:hAnsiTheme="majorBidi" w:cstheme="majorBidi"/>
        </w:rPr>
        <w:t xml:space="preserve">The Carter Center welcomes the opportunity to provide the following submission on the right peaceful assembly.  These comments supplement </w:t>
      </w:r>
      <w:hyperlink r:id="rId8" w:history="1">
        <w:r w:rsidRPr="00AD7BE8">
          <w:rPr>
            <w:rFonts w:asciiTheme="majorBidi" w:hAnsiTheme="majorBidi" w:cstheme="majorBidi"/>
          </w:rPr>
          <w:t>the Carter Center submission</w:t>
        </w:r>
      </w:hyperlink>
      <w:r w:rsidRPr="00AD7BE8">
        <w:rPr>
          <w:rFonts w:asciiTheme="majorBidi" w:hAnsiTheme="majorBidi" w:cstheme="majorBidi"/>
        </w:rPr>
        <w:t xml:space="preserve"> in advance of the hal</w:t>
      </w:r>
      <w:r w:rsidR="00AD7BE8" w:rsidRPr="00AD7BE8">
        <w:rPr>
          <w:rFonts w:asciiTheme="majorBidi" w:hAnsiTheme="majorBidi" w:cstheme="majorBidi"/>
        </w:rPr>
        <w:t>f-</w:t>
      </w:r>
      <w:r w:rsidRPr="00AD7BE8">
        <w:rPr>
          <w:rFonts w:asciiTheme="majorBidi" w:hAnsiTheme="majorBidi" w:cstheme="majorBidi"/>
        </w:rPr>
        <w:t>day discussion held in Geneva on March 20, 2019 during the 125th session of the Human Rights Committee (the Committee).</w:t>
      </w:r>
    </w:p>
    <w:p w14:paraId="67C7E3C5" w14:textId="77777777" w:rsidR="00FF58D7" w:rsidRPr="00AD7BE8" w:rsidRDefault="00FF58D7" w:rsidP="00FF58D7">
      <w:pPr>
        <w:rPr>
          <w:rFonts w:asciiTheme="majorBidi" w:hAnsiTheme="majorBidi" w:cstheme="majorBidi"/>
        </w:rPr>
      </w:pPr>
    </w:p>
    <w:p w14:paraId="3160926D" w14:textId="5F9CAFA0" w:rsidR="00FF58D7" w:rsidRPr="00AD7BE8" w:rsidRDefault="00FF58D7" w:rsidP="00FF58D7">
      <w:pPr>
        <w:rPr>
          <w:rFonts w:asciiTheme="majorBidi" w:hAnsiTheme="majorBidi" w:cstheme="majorBidi"/>
        </w:rPr>
      </w:pPr>
      <w:r w:rsidRPr="00AD7BE8">
        <w:rPr>
          <w:rFonts w:asciiTheme="majorBidi" w:hAnsiTheme="majorBidi" w:cstheme="majorBidi"/>
        </w:rPr>
        <w:t>The</w:t>
      </w:r>
      <w:r w:rsidR="00AD7BE8" w:rsidRPr="00AD7BE8">
        <w:rPr>
          <w:rFonts w:asciiTheme="majorBidi" w:hAnsiTheme="majorBidi" w:cstheme="majorBidi"/>
        </w:rPr>
        <w:t xml:space="preserve"> Center</w:t>
      </w:r>
      <w:r w:rsidRPr="00AD7BE8">
        <w:rPr>
          <w:rFonts w:asciiTheme="majorBidi" w:hAnsiTheme="majorBidi" w:cstheme="majorBidi"/>
        </w:rPr>
        <w:t xml:space="preserve"> would like to reaffirm at the outset its strong support for this initiative. The General Comment provides a</w:t>
      </w:r>
      <w:r w:rsidR="00AD7BE8" w:rsidRPr="00AD7BE8">
        <w:rPr>
          <w:rFonts w:asciiTheme="majorBidi" w:hAnsiTheme="majorBidi" w:cstheme="majorBidi"/>
        </w:rPr>
        <w:t xml:space="preserve">n important </w:t>
      </w:r>
      <w:r w:rsidRPr="00AD7BE8">
        <w:rPr>
          <w:rFonts w:asciiTheme="majorBidi" w:hAnsiTheme="majorBidi" w:cstheme="majorBidi"/>
        </w:rPr>
        <w:t xml:space="preserve">opportunity for the Committee </w:t>
      </w:r>
      <w:r w:rsidR="00AD7BE8" w:rsidRPr="00AD7BE8">
        <w:rPr>
          <w:rFonts w:asciiTheme="majorBidi" w:hAnsiTheme="majorBidi" w:cstheme="majorBidi"/>
        </w:rPr>
        <w:t xml:space="preserve">to clarify the principles </w:t>
      </w:r>
      <w:r w:rsidRPr="00AD7BE8">
        <w:rPr>
          <w:rFonts w:asciiTheme="majorBidi" w:hAnsiTheme="majorBidi" w:cstheme="majorBidi"/>
        </w:rPr>
        <w:t xml:space="preserve">underlying the </w:t>
      </w:r>
      <w:r w:rsidR="00AD7BE8" w:rsidRPr="00AD7BE8">
        <w:rPr>
          <w:rFonts w:asciiTheme="majorBidi" w:hAnsiTheme="majorBidi" w:cstheme="majorBidi"/>
        </w:rPr>
        <w:t xml:space="preserve">right to peaceful assembly, and its relationship to other rights protected by the International Covenant on Civil and Political Rights (ICCPR), and to </w:t>
      </w:r>
      <w:r w:rsidRPr="00AD7BE8">
        <w:rPr>
          <w:rFonts w:asciiTheme="majorBidi" w:hAnsiTheme="majorBidi" w:cstheme="majorBidi"/>
        </w:rPr>
        <w:t xml:space="preserve">help ensure </w:t>
      </w:r>
      <w:r w:rsidR="00AD7BE8" w:rsidRPr="00AD7BE8">
        <w:rPr>
          <w:rFonts w:asciiTheme="majorBidi" w:hAnsiTheme="majorBidi" w:cstheme="majorBidi"/>
        </w:rPr>
        <w:t>the fulfilment of this right.</w:t>
      </w:r>
    </w:p>
    <w:p w14:paraId="3FA6DB75" w14:textId="405CEA45" w:rsidR="00FF58D7" w:rsidRPr="00AD7BE8" w:rsidRDefault="00FF58D7">
      <w:pPr>
        <w:rPr>
          <w:rFonts w:asciiTheme="majorBidi" w:hAnsiTheme="majorBidi" w:cstheme="majorBidi"/>
        </w:rPr>
      </w:pPr>
    </w:p>
    <w:p w14:paraId="47942CD6" w14:textId="42023776" w:rsidR="00FF58D7" w:rsidRDefault="00FF58D7">
      <w:pPr>
        <w:rPr>
          <w:rFonts w:asciiTheme="majorBidi" w:hAnsiTheme="majorBidi" w:cstheme="majorBidi"/>
        </w:rPr>
      </w:pPr>
      <w:r w:rsidRPr="00AD7BE8">
        <w:rPr>
          <w:rFonts w:asciiTheme="majorBidi" w:hAnsiTheme="majorBidi" w:cstheme="majorBidi"/>
        </w:rPr>
        <w:t xml:space="preserve">The Carter Center’s reflections and suggestions on the draft general comment are based on our extensive experience monitoring elections around the world, and draw on our </w:t>
      </w:r>
      <w:r w:rsidRPr="00AD7BE8">
        <w:rPr>
          <w:rFonts w:asciiTheme="majorBidi" w:hAnsiTheme="majorBidi" w:cstheme="majorBidi"/>
        </w:rPr>
        <w:lastRenderedPageBreak/>
        <w:t xml:space="preserve">rights-based approach to election assessment. </w:t>
      </w:r>
      <w:r w:rsidR="00AD7BE8">
        <w:rPr>
          <w:rFonts w:asciiTheme="majorBidi" w:hAnsiTheme="majorBidi" w:cstheme="majorBidi"/>
        </w:rPr>
        <w:t>In the following sections of this submission, we respectfully suggest further revisions of the draft that would provide greater clarity regarding the right peaceful assembly during electoral processes.</w:t>
      </w:r>
      <w:r w:rsidR="005C0FD6">
        <w:rPr>
          <w:rStyle w:val="FootnoteReference"/>
          <w:rFonts w:asciiTheme="majorBidi" w:hAnsiTheme="majorBidi" w:cstheme="majorBidi"/>
        </w:rPr>
        <w:footnoteReference w:id="1"/>
      </w:r>
    </w:p>
    <w:p w14:paraId="7B99573B" w14:textId="44B47D80" w:rsidR="00AD7BE8" w:rsidRDefault="00AD7BE8">
      <w:pPr>
        <w:rPr>
          <w:rFonts w:asciiTheme="majorBidi" w:hAnsiTheme="majorBidi" w:cstheme="majorBidi"/>
        </w:rPr>
      </w:pPr>
    </w:p>
    <w:p w14:paraId="5B3F7622" w14:textId="2FFB5029" w:rsidR="00AD7BE8" w:rsidRDefault="008F0457">
      <w:pPr>
        <w:rPr>
          <w:rFonts w:asciiTheme="majorBidi" w:hAnsiTheme="majorBidi" w:cstheme="majorBidi"/>
        </w:rPr>
      </w:pPr>
      <w:bookmarkStart w:id="4" w:name="_Toc31981528"/>
      <w:r w:rsidRPr="0020215B">
        <w:rPr>
          <w:rStyle w:val="Heading2Char"/>
        </w:rPr>
        <w:t>Paragraph 22</w:t>
      </w:r>
      <w:r w:rsidRPr="008F0457">
        <w:rPr>
          <w:rStyle w:val="Heading3Char"/>
        </w:rPr>
        <w:t>:</w:t>
      </w:r>
      <w:bookmarkEnd w:id="4"/>
      <w:r w:rsidRPr="008F0457">
        <w:rPr>
          <w:rStyle w:val="Heading3Char"/>
        </w:rPr>
        <w:t xml:space="preserve"> </w:t>
      </w:r>
      <w:r>
        <w:rPr>
          <w:rFonts w:asciiTheme="majorBidi" w:hAnsiTheme="majorBidi" w:cstheme="majorBidi"/>
        </w:rPr>
        <w:t xml:space="preserve">We suggest that you delete this paragraph (per option 2) as the content is adequately addressed in the paragraph 57.  </w:t>
      </w:r>
    </w:p>
    <w:p w14:paraId="573F08E3" w14:textId="2844DE0F" w:rsidR="008F0457" w:rsidRDefault="008F0457">
      <w:pPr>
        <w:rPr>
          <w:rFonts w:asciiTheme="majorBidi" w:hAnsiTheme="majorBidi" w:cstheme="majorBidi"/>
        </w:rPr>
      </w:pPr>
    </w:p>
    <w:p w14:paraId="7507A702" w14:textId="779C2654" w:rsidR="008F0457" w:rsidRDefault="008F0457">
      <w:pPr>
        <w:rPr>
          <w:rFonts w:asciiTheme="majorBidi" w:hAnsiTheme="majorBidi" w:cstheme="majorBidi"/>
        </w:rPr>
      </w:pPr>
      <w:bookmarkStart w:id="5" w:name="_Toc31981529"/>
      <w:r w:rsidRPr="0020215B">
        <w:rPr>
          <w:rStyle w:val="Heading2Char"/>
        </w:rPr>
        <w:t>Paragraph 25</w:t>
      </w:r>
      <w:bookmarkEnd w:id="5"/>
      <w:r>
        <w:rPr>
          <w:rFonts w:asciiTheme="majorBidi" w:hAnsiTheme="majorBidi" w:cstheme="majorBidi"/>
        </w:rPr>
        <w:t xml:space="preserve">: In the context of electoral processes, there may be competing demands from different political parties for the same public space that is within “sight and sound” of a target audience. We suggest that a sentence be added to this paragraph reinforcing the need for objective and politically neutral criteria in making such decisions.  </w:t>
      </w:r>
    </w:p>
    <w:p w14:paraId="3C776B3D" w14:textId="4C59CD6A" w:rsidR="008F0457" w:rsidRDefault="008F0457">
      <w:pPr>
        <w:rPr>
          <w:rFonts w:asciiTheme="majorBidi" w:hAnsiTheme="majorBidi" w:cstheme="majorBidi"/>
        </w:rPr>
      </w:pPr>
    </w:p>
    <w:p w14:paraId="2C2A3593" w14:textId="581F1380" w:rsidR="008F0457" w:rsidRDefault="008F0457">
      <w:pPr>
        <w:rPr>
          <w:rFonts w:asciiTheme="majorBidi" w:hAnsiTheme="majorBidi" w:cstheme="majorBidi"/>
          <w:b/>
          <w:bCs/>
          <w:i/>
          <w:iCs/>
        </w:rPr>
      </w:pPr>
      <w:bookmarkStart w:id="6" w:name="_Toc31981530"/>
      <w:r w:rsidRPr="0020215B">
        <w:rPr>
          <w:rStyle w:val="Heading2Char"/>
        </w:rPr>
        <w:t>Paragraph 33</w:t>
      </w:r>
      <w:bookmarkEnd w:id="6"/>
      <w:r>
        <w:rPr>
          <w:rFonts w:asciiTheme="majorBidi" w:hAnsiTheme="majorBidi" w:cstheme="majorBidi"/>
        </w:rPr>
        <w:t xml:space="preserve">: Given the time-bound nature of elections, and the need for quick decisions on remedial actions, we suggest that the following sentence be added at the end of the existing paragraph: </w:t>
      </w:r>
      <w:r w:rsidRPr="008F0457">
        <w:rPr>
          <w:rFonts w:asciiTheme="majorBidi" w:hAnsiTheme="majorBidi" w:cstheme="majorBidi"/>
          <w:b/>
          <w:bCs/>
          <w:i/>
          <w:iCs/>
        </w:rPr>
        <w:t>“For example, in the context of an electoral campaign period, which is necessarily time-bound, remedies may need to be expedited to ensure rights are not inadvertently violated.”</w:t>
      </w:r>
    </w:p>
    <w:p w14:paraId="3B3BF8A1" w14:textId="06BE1E3F" w:rsidR="008F0457" w:rsidRDefault="008F0457">
      <w:pPr>
        <w:rPr>
          <w:rFonts w:asciiTheme="majorBidi" w:hAnsiTheme="majorBidi" w:cstheme="majorBidi"/>
          <w:b/>
          <w:bCs/>
          <w:i/>
          <w:iCs/>
        </w:rPr>
      </w:pPr>
    </w:p>
    <w:p w14:paraId="469AFDA0" w14:textId="132C413C" w:rsidR="008F0457" w:rsidRDefault="008F0457">
      <w:pPr>
        <w:rPr>
          <w:rFonts w:asciiTheme="majorBidi" w:hAnsiTheme="majorBidi" w:cstheme="majorBidi"/>
        </w:rPr>
      </w:pPr>
      <w:bookmarkStart w:id="7" w:name="_Toc31981531"/>
      <w:r w:rsidRPr="0020215B">
        <w:rPr>
          <w:rStyle w:val="Heading2Char"/>
        </w:rPr>
        <w:t>Paragraph 34</w:t>
      </w:r>
      <w:bookmarkEnd w:id="7"/>
      <w:r>
        <w:rPr>
          <w:rFonts w:asciiTheme="majorBidi" w:hAnsiTheme="majorBidi" w:cstheme="majorBidi"/>
        </w:rPr>
        <w:t xml:space="preserve">: We strongly support the focus on third party observation of assemblies that is reflected in this paragraph.  In the first sentence, we would suggest the following addition: “The role of journalists, human rights defenders, </w:t>
      </w:r>
      <w:r w:rsidRPr="008F0457">
        <w:rPr>
          <w:rFonts w:asciiTheme="majorBidi" w:hAnsiTheme="majorBidi" w:cstheme="majorBidi"/>
          <w:b/>
          <w:bCs/>
          <w:i/>
          <w:iCs/>
        </w:rPr>
        <w:t>human rights and election monitors</w:t>
      </w:r>
      <w:r>
        <w:rPr>
          <w:rFonts w:asciiTheme="majorBidi" w:hAnsiTheme="majorBidi" w:cstheme="majorBidi"/>
        </w:rPr>
        <w:t xml:space="preserve"> and other involved in monitoring…”</w:t>
      </w:r>
    </w:p>
    <w:p w14:paraId="23CF4668" w14:textId="61CCD2AE" w:rsidR="008F0457" w:rsidRDefault="008F0457">
      <w:pPr>
        <w:rPr>
          <w:rFonts w:asciiTheme="majorBidi" w:hAnsiTheme="majorBidi" w:cstheme="majorBidi"/>
        </w:rPr>
      </w:pPr>
    </w:p>
    <w:p w14:paraId="09BB4152" w14:textId="07095AEF" w:rsidR="008F0457" w:rsidRDefault="005C0FD6">
      <w:pPr>
        <w:rPr>
          <w:rFonts w:asciiTheme="majorBidi" w:hAnsiTheme="majorBidi" w:cstheme="majorBidi"/>
          <w:b/>
          <w:bCs/>
          <w:i/>
          <w:iCs/>
        </w:rPr>
      </w:pPr>
      <w:bookmarkStart w:id="8" w:name="_Toc31981532"/>
      <w:r w:rsidRPr="0020215B">
        <w:rPr>
          <w:rStyle w:val="Heading2Char"/>
        </w:rPr>
        <w:t>Paragraph 36</w:t>
      </w:r>
      <w:bookmarkEnd w:id="8"/>
      <w:r>
        <w:rPr>
          <w:rFonts w:asciiTheme="majorBidi" w:hAnsiTheme="majorBidi" w:cstheme="majorBidi"/>
        </w:rPr>
        <w:t xml:space="preserve">: We strongly support the view that assemblies with a political message should enjoy a heightened level of accommodation and protection.  We respectfully suggest adding one further sentence that recognizes the unique nature of an election: </w:t>
      </w:r>
      <w:r w:rsidRPr="005C0FD6">
        <w:rPr>
          <w:rFonts w:asciiTheme="majorBidi" w:hAnsiTheme="majorBidi" w:cstheme="majorBidi"/>
          <w:b/>
          <w:bCs/>
          <w:i/>
          <w:iCs/>
        </w:rPr>
        <w:t xml:space="preserve">“This is relevant during an election process, given the potentially high stakes of electoral politics and the potential for violations of freedom of assembly to also undermine </w:t>
      </w:r>
      <w:r w:rsidRPr="005C0FD6">
        <w:rPr>
          <w:rFonts w:asciiTheme="majorBidi" w:hAnsiTheme="majorBidi" w:cstheme="majorBidi"/>
          <w:b/>
          <w:bCs/>
          <w:i/>
          <w:iCs/>
        </w:rPr>
        <w:lastRenderedPageBreak/>
        <w:t>other Covenant rights (e.g. freedom of expression, the opportunity to run for election, and the right to life), as well as political stability.”</w:t>
      </w:r>
    </w:p>
    <w:p w14:paraId="0CF2418B" w14:textId="44C9263F" w:rsidR="005C0FD6" w:rsidRDefault="005C0FD6">
      <w:pPr>
        <w:rPr>
          <w:rFonts w:asciiTheme="majorBidi" w:hAnsiTheme="majorBidi" w:cstheme="majorBidi"/>
          <w:b/>
          <w:bCs/>
          <w:i/>
          <w:iCs/>
        </w:rPr>
      </w:pPr>
    </w:p>
    <w:p w14:paraId="73CD13ED" w14:textId="30FF38EE" w:rsidR="005C0FD6" w:rsidRDefault="005C0FD6">
      <w:pPr>
        <w:rPr>
          <w:rFonts w:asciiTheme="majorBidi" w:hAnsiTheme="majorBidi" w:cstheme="majorBidi"/>
        </w:rPr>
      </w:pPr>
      <w:bookmarkStart w:id="9" w:name="_Toc31981533"/>
      <w:r w:rsidRPr="0020215B">
        <w:rPr>
          <w:rStyle w:val="Heading2Char"/>
        </w:rPr>
        <w:t>Paragraph 38</w:t>
      </w:r>
      <w:bookmarkEnd w:id="9"/>
      <w:r>
        <w:rPr>
          <w:rFonts w:asciiTheme="majorBidi" w:hAnsiTheme="majorBidi" w:cstheme="majorBidi"/>
        </w:rPr>
        <w:t xml:space="preserve">: Given the role of digital technologies in facilitating all assemblies (not just demonstrations) we suggest the addition of the following phrase to the second paragraph: “…refrain from unduly blocking Internet connectivity in relation to demonstrations </w:t>
      </w:r>
      <w:r w:rsidRPr="005C0FD6">
        <w:rPr>
          <w:rFonts w:asciiTheme="majorBidi" w:hAnsiTheme="majorBidi" w:cstheme="majorBidi"/>
          <w:b/>
          <w:bCs/>
          <w:i/>
          <w:iCs/>
        </w:rPr>
        <w:t>or other assemblies</w:t>
      </w:r>
      <w:r>
        <w:rPr>
          <w:rFonts w:asciiTheme="majorBidi" w:hAnsiTheme="majorBidi" w:cstheme="majorBidi"/>
        </w:rPr>
        <w:t>.”</w:t>
      </w:r>
    </w:p>
    <w:p w14:paraId="4A37CBE4" w14:textId="5995C3F7" w:rsidR="005C0FD6" w:rsidRDefault="005C0FD6">
      <w:pPr>
        <w:rPr>
          <w:rFonts w:asciiTheme="majorBidi" w:hAnsiTheme="majorBidi" w:cstheme="majorBidi"/>
        </w:rPr>
      </w:pPr>
    </w:p>
    <w:p w14:paraId="618BC846" w14:textId="1EAF7A49" w:rsidR="005C0FD6" w:rsidRDefault="005C0FD6">
      <w:pPr>
        <w:rPr>
          <w:rFonts w:asciiTheme="majorBidi" w:hAnsiTheme="majorBidi" w:cstheme="majorBidi"/>
        </w:rPr>
      </w:pPr>
      <w:bookmarkStart w:id="10" w:name="_Toc31981534"/>
      <w:r w:rsidRPr="0020215B">
        <w:rPr>
          <w:rStyle w:val="Heading2Char"/>
        </w:rPr>
        <w:t>Paragraph 42</w:t>
      </w:r>
      <w:bookmarkEnd w:id="10"/>
      <w:r>
        <w:rPr>
          <w:rFonts w:asciiTheme="majorBidi" w:hAnsiTheme="majorBidi" w:cstheme="majorBidi"/>
        </w:rPr>
        <w:t>: Given the role of digital technologies highlighted in other paragraphs, we suggest the following edit to the final sentence of this paragraph: “Blanket restrictions on participation in peaceful assemblies</w:t>
      </w:r>
      <w:r>
        <w:rPr>
          <w:rFonts w:asciiTheme="majorBidi" w:hAnsiTheme="majorBidi" w:cstheme="majorBidi"/>
          <w:b/>
          <w:bCs/>
          <w:i/>
          <w:iCs/>
        </w:rPr>
        <w:t xml:space="preserve">, online or offline, </w:t>
      </w:r>
      <w:r>
        <w:rPr>
          <w:rFonts w:asciiTheme="majorBidi" w:hAnsiTheme="majorBidi" w:cstheme="majorBidi"/>
        </w:rPr>
        <w:t xml:space="preserve">are presumptively disproportionate.” </w:t>
      </w:r>
    </w:p>
    <w:p w14:paraId="4CF3116B" w14:textId="23F019FA" w:rsidR="005C0FD6" w:rsidRDefault="005C0FD6">
      <w:pPr>
        <w:rPr>
          <w:rFonts w:asciiTheme="majorBidi" w:hAnsiTheme="majorBidi" w:cstheme="majorBidi"/>
        </w:rPr>
      </w:pPr>
    </w:p>
    <w:p w14:paraId="4D215912" w14:textId="470171A8" w:rsidR="005C0FD6" w:rsidRDefault="005C0FD6">
      <w:pPr>
        <w:rPr>
          <w:rFonts w:asciiTheme="majorBidi" w:hAnsiTheme="majorBidi" w:cstheme="majorBidi"/>
        </w:rPr>
      </w:pPr>
      <w:bookmarkStart w:id="11" w:name="_Toc31981535"/>
      <w:r w:rsidRPr="0020215B">
        <w:rPr>
          <w:rStyle w:val="Heading2Char"/>
        </w:rPr>
        <w:t>Paragraph 60</w:t>
      </w:r>
      <w:bookmarkEnd w:id="11"/>
      <w:r>
        <w:rPr>
          <w:rFonts w:asciiTheme="majorBidi" w:hAnsiTheme="majorBidi" w:cstheme="majorBidi"/>
        </w:rPr>
        <w:t>: To improve the flow of the document, we suggest moving paragraph 60 on the use of flags, uniforms and other symbols up in the draft to follow the current paragraph 57</w:t>
      </w:r>
      <w:r w:rsidR="00A90BFF">
        <w:rPr>
          <w:rFonts w:asciiTheme="majorBidi" w:hAnsiTheme="majorBidi" w:cstheme="majorBidi"/>
        </w:rPr>
        <w:t xml:space="preserve"> (on assemblies and Art. 20).</w:t>
      </w:r>
    </w:p>
    <w:p w14:paraId="1D7210BA" w14:textId="3BF8691E" w:rsidR="00A90BFF" w:rsidRDefault="00A90BFF">
      <w:pPr>
        <w:rPr>
          <w:rFonts w:asciiTheme="majorBidi" w:hAnsiTheme="majorBidi" w:cstheme="majorBidi"/>
        </w:rPr>
      </w:pPr>
    </w:p>
    <w:p w14:paraId="43E56A8E" w14:textId="623D1C56" w:rsidR="00A90BFF" w:rsidRDefault="00A90BFF">
      <w:pPr>
        <w:rPr>
          <w:rFonts w:asciiTheme="majorBidi" w:hAnsiTheme="majorBidi" w:cstheme="majorBidi"/>
        </w:rPr>
      </w:pPr>
      <w:bookmarkStart w:id="12" w:name="_Toc31981536"/>
      <w:r w:rsidRPr="0020215B">
        <w:rPr>
          <w:rStyle w:val="Heading2Char"/>
        </w:rPr>
        <w:t>Paragraph 85</w:t>
      </w:r>
      <w:bookmarkEnd w:id="12"/>
      <w:r>
        <w:rPr>
          <w:rFonts w:asciiTheme="majorBidi" w:hAnsiTheme="majorBidi" w:cstheme="majorBidi"/>
        </w:rPr>
        <w:t xml:space="preserve">: </w:t>
      </w:r>
      <w:r w:rsidR="00F9673C">
        <w:rPr>
          <w:rFonts w:asciiTheme="majorBidi" w:hAnsiTheme="majorBidi" w:cstheme="majorBidi"/>
        </w:rPr>
        <w:t>Reflecting on otherwise “peaceful assemblies” in which women and girls faced sexual and gender based violence,</w:t>
      </w:r>
      <w:r w:rsidR="00F9673C">
        <w:rPr>
          <w:rStyle w:val="FootnoteReference"/>
          <w:rFonts w:asciiTheme="majorBidi" w:hAnsiTheme="majorBidi" w:cstheme="majorBidi"/>
        </w:rPr>
        <w:footnoteReference w:id="2"/>
      </w:r>
      <w:r w:rsidR="00F9673C">
        <w:rPr>
          <w:rFonts w:asciiTheme="majorBidi" w:hAnsiTheme="majorBidi" w:cstheme="majorBidi"/>
        </w:rPr>
        <w:t xml:space="preserve"> the Center</w:t>
      </w:r>
      <w:r>
        <w:rPr>
          <w:rFonts w:asciiTheme="majorBidi" w:hAnsiTheme="majorBidi" w:cstheme="majorBidi"/>
        </w:rPr>
        <w:t xml:space="preserve"> wonder</w:t>
      </w:r>
      <w:r w:rsidR="00F9673C">
        <w:rPr>
          <w:rFonts w:asciiTheme="majorBidi" w:hAnsiTheme="majorBidi" w:cstheme="majorBidi"/>
        </w:rPr>
        <w:t>s</w:t>
      </w:r>
      <w:r>
        <w:rPr>
          <w:rFonts w:asciiTheme="majorBidi" w:hAnsiTheme="majorBidi" w:cstheme="majorBidi"/>
        </w:rPr>
        <w:t xml:space="preserve"> if the Committee would consider elaborating on any increased responsibilities of the state with regard to ensuring that there are </w:t>
      </w:r>
      <w:r w:rsidR="00F9673C">
        <w:rPr>
          <w:rFonts w:asciiTheme="majorBidi" w:hAnsiTheme="majorBidi" w:cstheme="majorBidi"/>
        </w:rPr>
        <w:t xml:space="preserve">adequate safe haven and reporting mechanisms in place for women, girls, LGBTQ and minority assembly participants who may experience different or heightened physical threat even during a peaceful assembly.  </w:t>
      </w:r>
    </w:p>
    <w:p w14:paraId="5D74FC1D" w14:textId="6BF8BB73" w:rsidR="00B545AE" w:rsidRDefault="00B545AE">
      <w:pPr>
        <w:rPr>
          <w:rFonts w:asciiTheme="majorBidi" w:hAnsiTheme="majorBidi" w:cstheme="majorBidi"/>
        </w:rPr>
      </w:pPr>
    </w:p>
    <w:p w14:paraId="403C1F97" w14:textId="256260A1" w:rsidR="00B545AE" w:rsidRDefault="00B545AE">
      <w:pPr>
        <w:rPr>
          <w:rFonts w:asciiTheme="majorBidi" w:hAnsiTheme="majorBidi" w:cstheme="majorBidi"/>
          <w:b/>
          <w:bCs/>
          <w:i/>
          <w:iCs/>
        </w:rPr>
      </w:pPr>
      <w:bookmarkStart w:id="13" w:name="_Toc31981537"/>
      <w:r w:rsidRPr="0020215B">
        <w:rPr>
          <w:rStyle w:val="Heading2Char"/>
        </w:rPr>
        <w:t>Paragraph 11</w:t>
      </w:r>
      <w:r w:rsidR="005A042B" w:rsidRPr="0020215B">
        <w:rPr>
          <w:rStyle w:val="Heading2Char"/>
        </w:rPr>
        <w:t>2</w:t>
      </w:r>
      <w:bookmarkEnd w:id="13"/>
      <w:r w:rsidR="005A042B">
        <w:rPr>
          <w:rFonts w:asciiTheme="majorBidi" w:hAnsiTheme="majorBidi" w:cstheme="majorBidi"/>
        </w:rPr>
        <w:t>: We suggest adding a second clause to the second sentence that would read: “</w:t>
      </w:r>
      <w:r w:rsidR="00587D0A">
        <w:rPr>
          <w:rFonts w:asciiTheme="majorBidi" w:hAnsiTheme="majorBidi" w:cstheme="majorBidi"/>
        </w:rPr>
        <w:t xml:space="preserve">the right to political participation (art. 25) is closely linked to peaceful assembly, </w:t>
      </w:r>
      <w:r w:rsidR="00587D0A" w:rsidRPr="00E14264">
        <w:rPr>
          <w:rFonts w:asciiTheme="majorBidi" w:hAnsiTheme="majorBidi" w:cstheme="majorBidi"/>
          <w:b/>
          <w:bCs/>
          <w:i/>
          <w:iCs/>
        </w:rPr>
        <w:lastRenderedPageBreak/>
        <w:t xml:space="preserve">and political participation through election processes creates </w:t>
      </w:r>
      <w:r w:rsidR="00E14264" w:rsidRPr="00E14264">
        <w:rPr>
          <w:rFonts w:asciiTheme="majorBidi" w:hAnsiTheme="majorBidi" w:cstheme="majorBidi"/>
          <w:b/>
          <w:bCs/>
          <w:i/>
          <w:iCs/>
        </w:rPr>
        <w:t>unique obligations on the state.”</w:t>
      </w:r>
    </w:p>
    <w:p w14:paraId="4A21CB0B" w14:textId="0D773493" w:rsidR="00E14264" w:rsidRDefault="00E14264">
      <w:pPr>
        <w:rPr>
          <w:rFonts w:asciiTheme="majorBidi" w:hAnsiTheme="majorBidi" w:cstheme="majorBidi"/>
          <w:b/>
          <w:bCs/>
          <w:i/>
          <w:iCs/>
        </w:rPr>
      </w:pPr>
    </w:p>
    <w:p w14:paraId="31289B22" w14:textId="51E612FD" w:rsidR="00E14264" w:rsidRPr="00E14264" w:rsidRDefault="00E14264">
      <w:pPr>
        <w:rPr>
          <w:rFonts w:asciiTheme="majorBidi" w:hAnsiTheme="majorBidi" w:cstheme="majorBidi"/>
        </w:rPr>
      </w:pPr>
      <w:bookmarkStart w:id="14" w:name="_Toc31981538"/>
      <w:r w:rsidRPr="0020215B">
        <w:rPr>
          <w:rStyle w:val="Heading2Char"/>
        </w:rPr>
        <w:t>Paragraph 114</w:t>
      </w:r>
      <w:bookmarkEnd w:id="14"/>
      <w:r>
        <w:rPr>
          <w:rFonts w:asciiTheme="majorBidi" w:hAnsiTheme="majorBidi" w:cstheme="majorBidi"/>
        </w:rPr>
        <w:t xml:space="preserve">: We support the retention of paragraph 114 in the General Comment.   </w:t>
      </w:r>
    </w:p>
    <w:sectPr w:rsidR="00E14264" w:rsidRPr="00E14264" w:rsidSect="005B5D8F">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C6F7D" w14:textId="77777777" w:rsidR="00651516" w:rsidRDefault="00651516" w:rsidP="00FF58D7">
      <w:r>
        <w:separator/>
      </w:r>
    </w:p>
  </w:endnote>
  <w:endnote w:type="continuationSeparator" w:id="0">
    <w:p w14:paraId="448B3CD2" w14:textId="77777777" w:rsidR="00651516" w:rsidRDefault="00651516" w:rsidP="00FF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Light">
    <w:altName w:val="Cambria"/>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243498"/>
      <w:docPartObj>
        <w:docPartGallery w:val="Page Numbers (Bottom of Page)"/>
        <w:docPartUnique/>
      </w:docPartObj>
    </w:sdtPr>
    <w:sdtEndPr>
      <w:rPr>
        <w:rStyle w:val="PageNumber"/>
      </w:rPr>
    </w:sdtEndPr>
    <w:sdtContent>
      <w:p w14:paraId="3E6AB8A8" w14:textId="2D2F2918" w:rsidR="00AD7BE8" w:rsidRDefault="00AD7BE8" w:rsidP="00EA67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4BB85" w14:textId="77777777" w:rsidR="00AD7BE8" w:rsidRDefault="00AD7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0113623"/>
      <w:docPartObj>
        <w:docPartGallery w:val="Page Numbers (Bottom of Page)"/>
        <w:docPartUnique/>
      </w:docPartObj>
    </w:sdtPr>
    <w:sdtEndPr>
      <w:rPr>
        <w:rStyle w:val="PageNumber"/>
      </w:rPr>
    </w:sdtEndPr>
    <w:sdtContent>
      <w:p w14:paraId="40700E26" w14:textId="206C8DFC" w:rsidR="00AD7BE8" w:rsidRDefault="00AD7BE8" w:rsidP="00EA67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154B">
          <w:rPr>
            <w:rStyle w:val="PageNumber"/>
            <w:noProof/>
          </w:rPr>
          <w:t>2</w:t>
        </w:r>
        <w:r>
          <w:rPr>
            <w:rStyle w:val="PageNumber"/>
          </w:rPr>
          <w:fldChar w:fldCharType="end"/>
        </w:r>
      </w:p>
    </w:sdtContent>
  </w:sdt>
  <w:p w14:paraId="1E766E3E" w14:textId="77777777" w:rsidR="00AD7BE8" w:rsidRDefault="00AD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B4AEA" w14:textId="77777777" w:rsidR="00651516" w:rsidRDefault="00651516" w:rsidP="00FF58D7">
      <w:r>
        <w:separator/>
      </w:r>
    </w:p>
  </w:footnote>
  <w:footnote w:type="continuationSeparator" w:id="0">
    <w:p w14:paraId="28F4A84E" w14:textId="77777777" w:rsidR="00651516" w:rsidRDefault="00651516" w:rsidP="00FF58D7">
      <w:r>
        <w:continuationSeparator/>
      </w:r>
    </w:p>
  </w:footnote>
  <w:footnote w:id="1">
    <w:p w14:paraId="6A16711F" w14:textId="75D2450A" w:rsidR="005C0FD6" w:rsidRDefault="005C0FD6">
      <w:pPr>
        <w:pStyle w:val="FootnoteText"/>
      </w:pPr>
      <w:r>
        <w:rPr>
          <w:rStyle w:val="FootnoteReference"/>
        </w:rPr>
        <w:footnoteRef/>
      </w:r>
      <w:r>
        <w:t xml:space="preserve"> Suggested text edits from The Carter Center are indicated by the use of </w:t>
      </w:r>
      <w:r w:rsidRPr="005C0FD6">
        <w:rPr>
          <w:b/>
          <w:bCs/>
          <w:i/>
          <w:iCs/>
        </w:rPr>
        <w:t>bold italics</w:t>
      </w:r>
      <w:r>
        <w:t xml:space="preserve">. </w:t>
      </w:r>
    </w:p>
  </w:footnote>
  <w:footnote w:id="2">
    <w:p w14:paraId="5D0A4C1C" w14:textId="2D1D0C50" w:rsidR="00F9673C" w:rsidRDefault="00F9673C">
      <w:pPr>
        <w:pStyle w:val="FootnoteText"/>
      </w:pPr>
      <w:r>
        <w:rPr>
          <w:rStyle w:val="FootnoteReference"/>
        </w:rPr>
        <w:footnoteRef/>
      </w:r>
      <w:r>
        <w:t xml:space="preserve"> See for example, the high incidence of sexual harassment, assault and rape in Tahrir Square during otherwise “peaceful protests” </w:t>
      </w:r>
      <w:hyperlink r:id="rId1" w:history="1">
        <w:r w:rsidRPr="00EA670B">
          <w:rPr>
            <w:rStyle w:val="Hyperlink"/>
          </w:rPr>
          <w:t>https://www.theguardian.com/world/2013/jul/05/egypt-women-rape-sexual-assault-tahrir-square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2B85" w14:textId="77777777" w:rsidR="0020215B" w:rsidRDefault="0020215B">
    <w:pPr>
      <w:pStyle w:val="Header"/>
    </w:pPr>
    <w:r>
      <w:rPr>
        <w:noProof/>
        <w:lang w:val="en-GB" w:eastAsia="en-GB"/>
      </w:rPr>
      <mc:AlternateContent>
        <mc:Choice Requires="wps">
          <w:drawing>
            <wp:anchor distT="0" distB="0" distL="114300" distR="114300" simplePos="0" relativeHeight="251659264" behindDoc="0" locked="0" layoutInCell="1" allowOverlap="1" wp14:anchorId="7D6446EF" wp14:editId="0B0232D1">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4F945DE" w14:textId="2398E961" w:rsidR="0020215B" w:rsidRDefault="00F703A4">
                              <w:pPr>
                                <w:pStyle w:val="NoSpacing"/>
                                <w:jc w:val="center"/>
                                <w:rPr>
                                  <w:b/>
                                  <w:caps/>
                                  <w:spacing w:val="20"/>
                                  <w:sz w:val="28"/>
                                  <w:szCs w:val="28"/>
                                </w:rPr>
                              </w:pPr>
                              <w:r>
                                <w:rPr>
                                  <w:b/>
                                  <w:caps/>
                                  <w:spacing w:val="20"/>
                                  <w:sz w:val="28"/>
                                  <w:szCs w:val="28"/>
                                </w:rPr>
                                <w:t>Submission on General Comment 37</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6446EF"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4F945DE" w14:textId="2398E961" w:rsidR="0020215B" w:rsidRDefault="00F703A4">
                        <w:pPr>
                          <w:pStyle w:val="NoSpacing"/>
                          <w:jc w:val="center"/>
                          <w:rPr>
                            <w:b/>
                            <w:caps/>
                            <w:spacing w:val="20"/>
                            <w:sz w:val="28"/>
                            <w:szCs w:val="28"/>
                          </w:rPr>
                        </w:pPr>
                        <w:r>
                          <w:rPr>
                            <w:b/>
                            <w:caps/>
                            <w:spacing w:val="20"/>
                            <w:sz w:val="28"/>
                            <w:szCs w:val="28"/>
                          </w:rPr>
                          <w:t>Submission on General Comment 37</w:t>
                        </w:r>
                      </w:p>
                    </w:sdtContent>
                  </w:sdt>
                </w:txbxContent>
              </v:textbox>
              <w10:wrap anchorx="page" anchory="page"/>
            </v:rect>
          </w:pict>
        </mc:Fallback>
      </mc:AlternateContent>
    </w:r>
  </w:p>
  <w:p w14:paraId="62C03AA7" w14:textId="77777777" w:rsidR="0020215B" w:rsidRDefault="00202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D7"/>
    <w:rsid w:val="000144A0"/>
    <w:rsid w:val="00041FAA"/>
    <w:rsid w:val="0020215B"/>
    <w:rsid w:val="0024077B"/>
    <w:rsid w:val="00245209"/>
    <w:rsid w:val="004C5AD4"/>
    <w:rsid w:val="00574353"/>
    <w:rsid w:val="00587D0A"/>
    <w:rsid w:val="005A042B"/>
    <w:rsid w:val="005B5D8F"/>
    <w:rsid w:val="005C0FD6"/>
    <w:rsid w:val="00651516"/>
    <w:rsid w:val="008F0457"/>
    <w:rsid w:val="009E7A80"/>
    <w:rsid w:val="00A90BFF"/>
    <w:rsid w:val="00AD7BE8"/>
    <w:rsid w:val="00B545AE"/>
    <w:rsid w:val="00C16A80"/>
    <w:rsid w:val="00C47E07"/>
    <w:rsid w:val="00CB154B"/>
    <w:rsid w:val="00E14264"/>
    <w:rsid w:val="00F36142"/>
    <w:rsid w:val="00F703A4"/>
    <w:rsid w:val="00F9673C"/>
    <w:rsid w:val="00FE6B52"/>
    <w:rsid w:val="00FF58D7"/>
    <w:rsid w:val="246629CC"/>
    <w:rsid w:val="2A8A9CBA"/>
    <w:rsid w:val="5700AAF8"/>
    <w:rsid w:val="7DE78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1E902"/>
  <w15:chartTrackingRefBased/>
  <w15:docId w15:val="{25F3EFBE-206E-DE41-A3AF-3638767D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58D7"/>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fr-FR"/>
    </w:rPr>
  </w:style>
  <w:style w:type="paragraph" w:styleId="Heading2">
    <w:name w:val="heading 2"/>
    <w:basedOn w:val="Normal"/>
    <w:next w:val="Normal"/>
    <w:link w:val="Heading2Char"/>
    <w:uiPriority w:val="9"/>
    <w:unhideWhenUsed/>
    <w:qFormat/>
    <w:rsid w:val="00FF58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045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8D7"/>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rsid w:val="00FF58D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F58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8D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F58D7"/>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FF58D7"/>
    <w:pPr>
      <w:spacing w:before="120"/>
      <w:ind w:left="240"/>
    </w:pPr>
    <w:rPr>
      <w:b/>
      <w:bCs/>
      <w:sz w:val="22"/>
      <w:szCs w:val="22"/>
    </w:rPr>
  </w:style>
  <w:style w:type="character" w:styleId="Hyperlink">
    <w:name w:val="Hyperlink"/>
    <w:basedOn w:val="DefaultParagraphFont"/>
    <w:uiPriority w:val="99"/>
    <w:unhideWhenUsed/>
    <w:rsid w:val="00FF58D7"/>
    <w:rPr>
      <w:color w:val="0563C1" w:themeColor="hyperlink"/>
      <w:u w:val="single"/>
    </w:rPr>
  </w:style>
  <w:style w:type="paragraph" w:styleId="TOC1">
    <w:name w:val="toc 1"/>
    <w:basedOn w:val="Normal"/>
    <w:next w:val="Normal"/>
    <w:autoRedefine/>
    <w:uiPriority w:val="39"/>
    <w:semiHidden/>
    <w:unhideWhenUsed/>
    <w:rsid w:val="00FF58D7"/>
    <w:pPr>
      <w:spacing w:before="120"/>
    </w:pPr>
    <w:rPr>
      <w:b/>
      <w:bCs/>
      <w:i/>
      <w:iCs/>
    </w:rPr>
  </w:style>
  <w:style w:type="paragraph" w:styleId="TOC3">
    <w:name w:val="toc 3"/>
    <w:basedOn w:val="Normal"/>
    <w:next w:val="Normal"/>
    <w:autoRedefine/>
    <w:uiPriority w:val="39"/>
    <w:unhideWhenUsed/>
    <w:rsid w:val="00FF58D7"/>
    <w:pPr>
      <w:ind w:left="480"/>
    </w:pPr>
    <w:rPr>
      <w:sz w:val="20"/>
      <w:szCs w:val="20"/>
    </w:rPr>
  </w:style>
  <w:style w:type="paragraph" w:styleId="TOC4">
    <w:name w:val="toc 4"/>
    <w:basedOn w:val="Normal"/>
    <w:next w:val="Normal"/>
    <w:autoRedefine/>
    <w:uiPriority w:val="39"/>
    <w:semiHidden/>
    <w:unhideWhenUsed/>
    <w:rsid w:val="00FF58D7"/>
    <w:pPr>
      <w:ind w:left="720"/>
    </w:pPr>
    <w:rPr>
      <w:sz w:val="20"/>
      <w:szCs w:val="20"/>
    </w:rPr>
  </w:style>
  <w:style w:type="paragraph" w:styleId="TOC5">
    <w:name w:val="toc 5"/>
    <w:basedOn w:val="Normal"/>
    <w:next w:val="Normal"/>
    <w:autoRedefine/>
    <w:uiPriority w:val="39"/>
    <w:semiHidden/>
    <w:unhideWhenUsed/>
    <w:rsid w:val="00FF58D7"/>
    <w:pPr>
      <w:ind w:left="960"/>
    </w:pPr>
    <w:rPr>
      <w:sz w:val="20"/>
      <w:szCs w:val="20"/>
    </w:rPr>
  </w:style>
  <w:style w:type="paragraph" w:styleId="TOC6">
    <w:name w:val="toc 6"/>
    <w:basedOn w:val="Normal"/>
    <w:next w:val="Normal"/>
    <w:autoRedefine/>
    <w:uiPriority w:val="39"/>
    <w:semiHidden/>
    <w:unhideWhenUsed/>
    <w:rsid w:val="00FF58D7"/>
    <w:pPr>
      <w:ind w:left="1200"/>
    </w:pPr>
    <w:rPr>
      <w:sz w:val="20"/>
      <w:szCs w:val="20"/>
    </w:rPr>
  </w:style>
  <w:style w:type="paragraph" w:styleId="TOC7">
    <w:name w:val="toc 7"/>
    <w:basedOn w:val="Normal"/>
    <w:next w:val="Normal"/>
    <w:autoRedefine/>
    <w:uiPriority w:val="39"/>
    <w:semiHidden/>
    <w:unhideWhenUsed/>
    <w:rsid w:val="00FF58D7"/>
    <w:pPr>
      <w:ind w:left="1440"/>
    </w:pPr>
    <w:rPr>
      <w:sz w:val="20"/>
      <w:szCs w:val="20"/>
    </w:rPr>
  </w:style>
  <w:style w:type="paragraph" w:styleId="TOC8">
    <w:name w:val="toc 8"/>
    <w:basedOn w:val="Normal"/>
    <w:next w:val="Normal"/>
    <w:autoRedefine/>
    <w:uiPriority w:val="39"/>
    <w:semiHidden/>
    <w:unhideWhenUsed/>
    <w:rsid w:val="00FF58D7"/>
    <w:pPr>
      <w:ind w:left="1680"/>
    </w:pPr>
    <w:rPr>
      <w:sz w:val="20"/>
      <w:szCs w:val="20"/>
    </w:rPr>
  </w:style>
  <w:style w:type="paragraph" w:styleId="TOC9">
    <w:name w:val="toc 9"/>
    <w:basedOn w:val="Normal"/>
    <w:next w:val="Normal"/>
    <w:autoRedefine/>
    <w:uiPriority w:val="39"/>
    <w:semiHidden/>
    <w:unhideWhenUsed/>
    <w:rsid w:val="00FF58D7"/>
    <w:pPr>
      <w:ind w:left="1920"/>
    </w:pPr>
    <w:rPr>
      <w:sz w:val="20"/>
      <w:szCs w:val="20"/>
    </w:rPr>
  </w:style>
  <w:style w:type="paragraph" w:customStyle="1" w:styleId="RTBodyText">
    <w:name w:val="RT Body Text"/>
    <w:basedOn w:val="Normal"/>
    <w:uiPriority w:val="9"/>
    <w:qFormat/>
    <w:rsid w:val="00FF58D7"/>
    <w:pPr>
      <w:suppressAutoHyphens/>
      <w:spacing w:after="120"/>
    </w:pPr>
    <w:rPr>
      <w:rFonts w:eastAsiaTheme="minorEastAsia" w:cs="Arial"/>
      <w:color w:val="000000" w:themeColor="text1"/>
      <w:sz w:val="18"/>
      <w:lang w:val="en-GB"/>
    </w:rPr>
  </w:style>
  <w:style w:type="character" w:styleId="FootnoteReference">
    <w:name w:val="footnote reference"/>
    <w:aliases w:val="4_G,Footnote number,4_G Zchn Zchn,Footnote Zchn Zchn,callout Zchn Zchn,Footnote Refernece Zchn Zchn,Footnote Reference Number Zchn Zchn,Fußnotenzeichen_Raxen Zchn Zchn,BVI fnr Zchn Zchn,Fago Fußnotenzeichen Zchn Zchn,callout,Footnote"/>
    <w:basedOn w:val="DefaultParagraphFont"/>
    <w:link w:val="4GZchn"/>
    <w:qFormat/>
    <w:rsid w:val="00FF58D7"/>
    <w:rPr>
      <w:vertAlign w:val="superscript"/>
    </w:rPr>
  </w:style>
  <w:style w:type="paragraph" w:customStyle="1" w:styleId="RTFootnotetext">
    <w:name w:val="RT Footnote text"/>
    <w:basedOn w:val="FootnoteText"/>
    <w:link w:val="RTFootnotetextChar"/>
    <w:uiPriority w:val="97"/>
    <w:qFormat/>
    <w:rsid w:val="00FF58D7"/>
    <w:rPr>
      <w:rFonts w:ascii="Amnesty Trade Gothic Light" w:eastAsiaTheme="minorEastAsia" w:hAnsi="Amnesty Trade Gothic Light" w:cs="Arial"/>
      <w:color w:val="000000" w:themeColor="text1"/>
      <w:sz w:val="14"/>
      <w:szCs w:val="24"/>
    </w:rPr>
  </w:style>
  <w:style w:type="character" w:customStyle="1" w:styleId="RTFootnotetextChar">
    <w:name w:val="RT Footnote text Char"/>
    <w:basedOn w:val="DefaultParagraphFont"/>
    <w:link w:val="RTFootnotetext"/>
    <w:uiPriority w:val="97"/>
    <w:rsid w:val="00FF58D7"/>
    <w:rPr>
      <w:rFonts w:ascii="Amnesty Trade Gothic Light" w:eastAsiaTheme="minorEastAsia" w:hAnsi="Amnesty Trade Gothic Light" w:cs="Arial"/>
      <w:color w:val="000000" w:themeColor="text1"/>
      <w:sz w:val="14"/>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rsid w:val="00FF58D7"/>
    <w:pPr>
      <w:spacing w:after="160" w:line="240" w:lineRule="exact"/>
    </w:pPr>
    <w:rPr>
      <w:vertAlign w:val="superscript"/>
    </w:rPr>
  </w:style>
  <w:style w:type="paragraph" w:styleId="FootnoteText">
    <w:name w:val="footnote text"/>
    <w:basedOn w:val="Normal"/>
    <w:link w:val="FootnoteTextChar"/>
    <w:uiPriority w:val="99"/>
    <w:semiHidden/>
    <w:unhideWhenUsed/>
    <w:rsid w:val="00FF58D7"/>
    <w:rPr>
      <w:sz w:val="20"/>
      <w:szCs w:val="20"/>
    </w:rPr>
  </w:style>
  <w:style w:type="character" w:customStyle="1" w:styleId="FootnoteTextChar">
    <w:name w:val="Footnote Text Char"/>
    <w:basedOn w:val="DefaultParagraphFont"/>
    <w:link w:val="FootnoteText"/>
    <w:uiPriority w:val="99"/>
    <w:semiHidden/>
    <w:rsid w:val="00FF58D7"/>
    <w:rPr>
      <w:sz w:val="20"/>
      <w:szCs w:val="20"/>
    </w:rPr>
  </w:style>
  <w:style w:type="character" w:customStyle="1" w:styleId="UnresolvedMention">
    <w:name w:val="Unresolved Mention"/>
    <w:basedOn w:val="DefaultParagraphFont"/>
    <w:uiPriority w:val="99"/>
    <w:rsid w:val="00AD7BE8"/>
    <w:rPr>
      <w:color w:val="605E5C"/>
      <w:shd w:val="clear" w:color="auto" w:fill="E1DFDD"/>
    </w:rPr>
  </w:style>
  <w:style w:type="paragraph" w:styleId="Footer">
    <w:name w:val="footer"/>
    <w:basedOn w:val="Normal"/>
    <w:link w:val="FooterChar"/>
    <w:uiPriority w:val="99"/>
    <w:unhideWhenUsed/>
    <w:rsid w:val="00AD7BE8"/>
    <w:pPr>
      <w:tabs>
        <w:tab w:val="center" w:pos="4680"/>
        <w:tab w:val="right" w:pos="9360"/>
      </w:tabs>
    </w:pPr>
  </w:style>
  <w:style w:type="character" w:customStyle="1" w:styleId="FooterChar">
    <w:name w:val="Footer Char"/>
    <w:basedOn w:val="DefaultParagraphFont"/>
    <w:link w:val="Footer"/>
    <w:uiPriority w:val="99"/>
    <w:rsid w:val="00AD7BE8"/>
  </w:style>
  <w:style w:type="character" w:styleId="PageNumber">
    <w:name w:val="page number"/>
    <w:basedOn w:val="DefaultParagraphFont"/>
    <w:uiPriority w:val="99"/>
    <w:semiHidden/>
    <w:unhideWhenUsed/>
    <w:rsid w:val="00AD7BE8"/>
  </w:style>
  <w:style w:type="character" w:customStyle="1" w:styleId="Heading3Char">
    <w:name w:val="Heading 3 Char"/>
    <w:basedOn w:val="DefaultParagraphFont"/>
    <w:link w:val="Heading3"/>
    <w:uiPriority w:val="9"/>
    <w:rsid w:val="008F0457"/>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5B5D8F"/>
    <w:pPr>
      <w:tabs>
        <w:tab w:val="center" w:pos="4680"/>
        <w:tab w:val="right" w:pos="9360"/>
      </w:tabs>
    </w:pPr>
  </w:style>
  <w:style w:type="character" w:customStyle="1" w:styleId="HeaderChar">
    <w:name w:val="Header Char"/>
    <w:basedOn w:val="DefaultParagraphFont"/>
    <w:link w:val="Header"/>
    <w:uiPriority w:val="99"/>
    <w:rsid w:val="005B5D8F"/>
  </w:style>
  <w:style w:type="paragraph" w:styleId="NoSpacing">
    <w:name w:val="No Spacing"/>
    <w:uiPriority w:val="1"/>
    <w:qFormat/>
    <w:rsid w:val="0020215B"/>
    <w:rPr>
      <w:rFonts w:eastAsiaTheme="minorEastAsia"/>
      <w:sz w:val="22"/>
      <w:szCs w:val="22"/>
      <w:lang w:eastAsia="zh-CN"/>
    </w:rPr>
  </w:style>
  <w:style w:type="paragraph" w:styleId="BalloonText">
    <w:name w:val="Balloon Text"/>
    <w:basedOn w:val="Normal"/>
    <w:link w:val="BalloonTextChar"/>
    <w:uiPriority w:val="99"/>
    <w:semiHidden/>
    <w:unhideWhenUsed/>
    <w:rsid w:val="00F703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03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HRBodies/CCPR/GC37/TheCarterCenter.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world/2013/jul/05/egypt-women-rape-sexual-assault-tahrir-squ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B33BA9-F921-4D0C-995F-BDDC6D66E692}">
  <ds:schemaRefs>
    <ds:schemaRef ds:uri="http://schemas.openxmlformats.org/officeDocument/2006/bibliography"/>
  </ds:schemaRefs>
</ds:datastoreItem>
</file>

<file path=customXml/itemProps2.xml><?xml version="1.0" encoding="utf-8"?>
<ds:datastoreItem xmlns:ds="http://schemas.openxmlformats.org/officeDocument/2006/customXml" ds:itemID="{6D8A5C9B-5E4F-46A3-A552-71863BE22F45}"/>
</file>

<file path=customXml/itemProps3.xml><?xml version="1.0" encoding="utf-8"?>
<ds:datastoreItem xmlns:ds="http://schemas.openxmlformats.org/officeDocument/2006/customXml" ds:itemID="{D31C1D41-353B-47B2-AA29-BD1CDD0A0034}"/>
</file>

<file path=customXml/itemProps4.xml><?xml version="1.0" encoding="utf-8"?>
<ds:datastoreItem xmlns:ds="http://schemas.openxmlformats.org/officeDocument/2006/customXml" ds:itemID="{D5CDF2B1-27F0-4340-9517-6DBAA6CC95E3}"/>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Submission on General Comment 37</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General Comment 37</dc:title>
  <dc:subject/>
  <dc:creator>Avery Davis-Roberts</dc:creator>
  <cp:keywords/>
  <dc:description/>
  <cp:lastModifiedBy>ROSNIANSKY Cherry Lou</cp:lastModifiedBy>
  <cp:revision>2</cp:revision>
  <cp:lastPrinted>2020-02-07T20:28:00Z</cp:lastPrinted>
  <dcterms:created xsi:type="dcterms:W3CDTF">2020-02-23T00:43:00Z</dcterms:created>
  <dcterms:modified xsi:type="dcterms:W3CDTF">2020-02-23T00:43:00Z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