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DD" w:rsidRDefault="00A832DD">
      <w:pPr>
        <w:spacing w:line="240" w:lineRule="auto"/>
        <w:jc w:val="center"/>
        <w:rPr>
          <w:rFonts w:ascii="Cambria" w:hAnsi="Cambria" w:cs="Cambria"/>
          <w:sz w:val="24"/>
          <w:szCs w:val="24"/>
          <w:lang w:val="en-PH" w:eastAsia="en-PH"/>
        </w:rPr>
      </w:pPr>
      <w:bookmarkStart w:id="0" w:name="_GoBack"/>
      <w:bookmarkEnd w:id="0"/>
    </w:p>
    <w:p w:rsidR="00A832DD" w:rsidRDefault="00741DAA">
      <w:pPr>
        <w:spacing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noProof/>
          <w:sz w:val="24"/>
          <w:szCs w:val="24"/>
          <w:lang w:val="en-GB" w:eastAsia="en-GB"/>
        </w:rPr>
        <w:drawing>
          <wp:inline distT="114300" distB="114300" distL="114300" distR="114300">
            <wp:extent cx="2924175" cy="1524000"/>
            <wp:effectExtent l="0" t="0" r="952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5027" cy="152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2DD" w:rsidRDefault="00741DAA">
      <w:pPr>
        <w:spacing w:line="240" w:lineRule="auto"/>
        <w:jc w:val="center"/>
        <w:rPr>
          <w:rFonts w:ascii="Cambria" w:hAnsi="Cambria" w:cs="Cambria"/>
          <w:b/>
          <w:sz w:val="24"/>
          <w:szCs w:val="24"/>
          <w:lang w:val="en-PH"/>
        </w:rPr>
      </w:pPr>
      <w:r>
        <w:rPr>
          <w:rFonts w:ascii="Cambria" w:hAnsi="Cambria" w:cs="Cambria"/>
          <w:b/>
          <w:sz w:val="24"/>
          <w:szCs w:val="24"/>
          <w:lang w:val="en-PH"/>
        </w:rPr>
        <w:t xml:space="preserve">On </w:t>
      </w:r>
      <w:proofErr w:type="gramStart"/>
      <w:r>
        <w:rPr>
          <w:rFonts w:ascii="Cambria" w:hAnsi="Cambria" w:cs="Cambria"/>
          <w:b/>
          <w:sz w:val="24"/>
          <w:szCs w:val="24"/>
          <w:lang w:val="en-PH"/>
        </w:rPr>
        <w:t>General</w:t>
      </w:r>
      <w:proofErr w:type="gramEnd"/>
      <w:r>
        <w:rPr>
          <w:rFonts w:ascii="Cambria" w:hAnsi="Cambria" w:cs="Cambria"/>
          <w:b/>
          <w:sz w:val="24"/>
          <w:szCs w:val="24"/>
          <w:lang w:val="en-PH"/>
        </w:rPr>
        <w:t xml:space="preserve"> comment No. 37</w:t>
      </w:r>
    </w:p>
    <w:p w:rsidR="00A832DD" w:rsidRDefault="00741DAA">
      <w:pPr>
        <w:spacing w:line="240" w:lineRule="auto"/>
        <w:jc w:val="center"/>
        <w:rPr>
          <w:rFonts w:ascii="Cambria" w:hAnsi="Cambria" w:cs="Cambria"/>
          <w:b/>
          <w:sz w:val="24"/>
          <w:szCs w:val="24"/>
          <w:lang w:val="en-PH"/>
        </w:rPr>
      </w:pPr>
      <w:r>
        <w:rPr>
          <w:rFonts w:ascii="Cambria" w:hAnsi="Cambria" w:cs="Cambria"/>
          <w:b/>
          <w:sz w:val="24"/>
          <w:szCs w:val="24"/>
          <w:lang w:val="en-PH"/>
        </w:rPr>
        <w:t>Article 21: right of peaceful assembly</w:t>
      </w:r>
    </w:p>
    <w:p w:rsidR="00A832DD" w:rsidRDefault="00A832DD">
      <w:pPr>
        <w:spacing w:line="240" w:lineRule="auto"/>
        <w:jc w:val="center"/>
        <w:rPr>
          <w:rFonts w:ascii="Cambria" w:hAnsi="Cambria" w:cs="Cambria"/>
          <w:b/>
          <w:color w:val="FF0000"/>
          <w:sz w:val="24"/>
          <w:szCs w:val="24"/>
          <w:lang w:val="en-PH"/>
        </w:rPr>
      </w:pPr>
    </w:p>
    <w:p w:rsidR="00A832DD" w:rsidRDefault="00A832DD">
      <w:pPr>
        <w:tabs>
          <w:tab w:val="left" w:pos="840"/>
        </w:tabs>
        <w:spacing w:line="240" w:lineRule="auto"/>
        <w:ind w:right="267"/>
        <w:rPr>
          <w:rFonts w:ascii="Cambria" w:eastAsia="SimSun" w:hAnsi="Cambria" w:cs="Cambria"/>
          <w:sz w:val="24"/>
          <w:szCs w:val="24"/>
          <w:lang w:val="en-PH" w:eastAsia="zh-CN"/>
        </w:rPr>
      </w:pPr>
    </w:p>
    <w:p w:rsidR="00A832DD" w:rsidRDefault="00741DAA">
      <w:pPr>
        <w:tabs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The Commission on Human Rights submits the following </w:t>
      </w:r>
      <w:proofErr w:type="gramStart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>suggestions which we hope</w:t>
      </w:r>
      <w:proofErr w:type="gramEnd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 will be of use in the drafting of General Comment No 37:</w:t>
      </w: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/>
          <w:sz w:val="24"/>
          <w:szCs w:val="24"/>
          <w:lang w:val="en-PH" w:eastAsia="zh-CN"/>
        </w:rPr>
      </w:pPr>
    </w:p>
    <w:p w:rsidR="00A832DD" w:rsidRDefault="00741DAA">
      <w:pPr>
        <w:numPr>
          <w:ilvl w:val="0"/>
          <w:numId w:val="1"/>
        </w:numPr>
        <w:tabs>
          <w:tab w:val="clear" w:pos="420"/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The first sentence of Item No. 8 </w:t>
      </w:r>
      <w:proofErr w:type="gramStart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>may be amended</w:t>
      </w:r>
      <w:proofErr w:type="gramEnd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 as follows, 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 xml:space="preserve">“The recognition of the right of peaceful assembly imposes a corresponding obligation on States parties to </w:t>
      </w:r>
      <w:r>
        <w:rPr>
          <w:rFonts w:ascii="Cambria" w:eastAsia="SimSun" w:hAnsi="Cambria" w:cs="Cambria"/>
          <w:b/>
          <w:i/>
          <w:iCs/>
          <w:sz w:val="24"/>
          <w:szCs w:val="24"/>
          <w:lang w:val="en-PH" w:eastAsia="zh-CN"/>
        </w:rPr>
        <w:t>protect, respect, and ensure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 xml:space="preserve"> the exercise of the right.”</w:t>
      </w:r>
    </w:p>
    <w:p w:rsidR="00A832DD" w:rsidRDefault="00A832DD">
      <w:pPr>
        <w:tabs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</w:p>
    <w:p w:rsidR="00A832DD" w:rsidRDefault="00741DAA">
      <w:pPr>
        <w:numPr>
          <w:ilvl w:val="0"/>
          <w:numId w:val="1"/>
        </w:numPr>
        <w:tabs>
          <w:tab w:val="clear" w:pos="420"/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Item No. 10 provides that 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should the assemblies become violent, the participants </w:t>
      </w:r>
      <w:proofErr w:type="gramStart"/>
      <w:r>
        <w:rPr>
          <w:rFonts w:ascii="Cambria" w:eastAsia="SimSun" w:hAnsi="Cambria"/>
          <w:bCs/>
          <w:sz w:val="24"/>
          <w:szCs w:val="24"/>
          <w:lang w:val="en-PH" w:eastAsia="zh-CN"/>
        </w:rPr>
        <w:t>would still</w:t>
      </w:r>
      <w:proofErr w:type="gramEnd"/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 retain some of their rights under the ICCPR, subject to “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>applicable restrictions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.” To make it more specific, this </w:t>
      </w:r>
      <w:proofErr w:type="gramStart"/>
      <w:r>
        <w:rPr>
          <w:rFonts w:ascii="Cambria" w:eastAsia="SimSun" w:hAnsi="Cambria"/>
          <w:bCs/>
          <w:sz w:val="24"/>
          <w:szCs w:val="24"/>
          <w:lang w:val="en-PH" w:eastAsia="zh-CN"/>
        </w:rPr>
        <w:t>may be amended</w:t>
      </w:r>
      <w:proofErr w:type="gramEnd"/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 to “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 xml:space="preserve">applicable restrictions </w:t>
      </w:r>
      <w:r>
        <w:rPr>
          <w:rFonts w:ascii="Cambria" w:eastAsia="SimSun" w:hAnsi="Cambria"/>
          <w:b/>
          <w:i/>
          <w:iCs/>
          <w:sz w:val="24"/>
          <w:szCs w:val="24"/>
          <w:lang w:val="en-PH" w:eastAsia="zh-CN"/>
        </w:rPr>
        <w:t>under the law</w:t>
      </w:r>
      <w:r>
        <w:rPr>
          <w:rFonts w:ascii="Cambria" w:eastAsia="SimSun" w:hAnsi="Cambria"/>
          <w:b/>
          <w:sz w:val="24"/>
          <w:szCs w:val="24"/>
          <w:lang w:val="en-PH" w:eastAsia="zh-CN"/>
        </w:rPr>
        <w:t>.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>”</w:t>
      </w:r>
    </w:p>
    <w:p w:rsidR="00A832DD" w:rsidRDefault="00A832DD">
      <w:pPr>
        <w:tabs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</w:p>
    <w:p w:rsidR="00A832DD" w:rsidRDefault="00741DAA">
      <w:pPr>
        <w:numPr>
          <w:ilvl w:val="0"/>
          <w:numId w:val="1"/>
        </w:numPr>
        <w:tabs>
          <w:tab w:val="clear" w:pos="420"/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The Commission </w:t>
      </w: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prefers the inclusion of </w:t>
      </w:r>
      <w:r>
        <w:rPr>
          <w:rFonts w:ascii="Cambria" w:eastAsia="SimSun" w:hAnsi="Cambria" w:cs="Cambria"/>
          <w:b/>
          <w:sz w:val="24"/>
          <w:szCs w:val="24"/>
          <w:lang w:val="en-PH" w:eastAsia="zh-CN"/>
        </w:rPr>
        <w:t xml:space="preserve">Option 2 </w:t>
      </w: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under Item No. 22. </w:t>
      </w: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</w:p>
    <w:p w:rsidR="00A832DD" w:rsidRDefault="00741DAA">
      <w:pPr>
        <w:numPr>
          <w:ilvl w:val="0"/>
          <w:numId w:val="1"/>
        </w:numPr>
        <w:tabs>
          <w:tab w:val="clear" w:pos="420"/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Item No. 24 provides, 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>“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 xml:space="preserve">Because the right of peaceful assembly is not absolute, the obligation to respect and ensure the right of peaceful assembly may in some cases be adjusted accordingly.” 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There 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>should be an inclusion of a list of situations where the obligation to protect the right of peaceful assembly may be adjusted.</w:t>
      </w: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</w:p>
    <w:p w:rsidR="00A832DD" w:rsidRDefault="00741DAA">
      <w:pPr>
        <w:numPr>
          <w:ilvl w:val="0"/>
          <w:numId w:val="1"/>
        </w:numPr>
        <w:tabs>
          <w:tab w:val="clear" w:pos="420"/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US" w:eastAsia="zh-CN"/>
        </w:rPr>
      </w:pP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Item No. 29 </w:t>
      </w:r>
      <w:proofErr w:type="gramStart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>may be amended</w:t>
      </w:r>
      <w:proofErr w:type="gramEnd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 as follows, 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>“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>In dealing with assemblies, States parties must take precautionary measures aimed at pre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 xml:space="preserve">venting violations and abuses of the different rights at stake. </w:t>
      </w:r>
      <w:r>
        <w:rPr>
          <w:rFonts w:ascii="Cambria" w:eastAsia="SimSun" w:hAnsi="Cambria"/>
          <w:b/>
          <w:i/>
          <w:iCs/>
          <w:sz w:val="24"/>
          <w:szCs w:val="24"/>
          <w:lang w:val="en-PH" w:eastAsia="zh-CN"/>
        </w:rPr>
        <w:t>Such precautionary measures must be in accordance with the laws available, whether domestic or international.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” </w:t>
      </w: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US" w:eastAsia="zh-CN"/>
        </w:rPr>
      </w:pPr>
    </w:p>
    <w:p w:rsidR="00A832DD" w:rsidRDefault="00741DAA">
      <w:pPr>
        <w:numPr>
          <w:ilvl w:val="0"/>
          <w:numId w:val="1"/>
        </w:numPr>
        <w:tabs>
          <w:tab w:val="clear" w:pos="420"/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US" w:eastAsia="zh-CN"/>
        </w:rPr>
      </w:pP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Under Item No. 46, restrictions </w:t>
      </w:r>
      <w:proofErr w:type="gramStart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>should not be based</w:t>
      </w:r>
      <w:proofErr w:type="gramEnd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 on value judgments alone. T</w:t>
      </w: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here must be specific parameters to ensure a careful and objective assessment of the situation.  </w:t>
      </w: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US" w:eastAsia="zh-CN"/>
        </w:rPr>
      </w:pPr>
    </w:p>
    <w:p w:rsidR="00A832DD" w:rsidRDefault="00741DAA">
      <w:pPr>
        <w:numPr>
          <w:ilvl w:val="0"/>
          <w:numId w:val="1"/>
        </w:numPr>
        <w:tabs>
          <w:tab w:val="clear" w:pos="420"/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US" w:eastAsia="zh-CN"/>
        </w:rPr>
      </w:pP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Item No. 52 </w:t>
      </w:r>
      <w:proofErr w:type="gramStart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>may be removed</w:t>
      </w:r>
      <w:proofErr w:type="gramEnd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 due to the existence of different perspectives on morality. Morality is subjective.</w:t>
      </w: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</w:p>
    <w:p w:rsidR="00A832DD" w:rsidRDefault="00741DAA">
      <w:pPr>
        <w:numPr>
          <w:ilvl w:val="0"/>
          <w:numId w:val="1"/>
        </w:numPr>
        <w:tabs>
          <w:tab w:val="clear" w:pos="420"/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</w:pP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lastRenderedPageBreak/>
        <w:t xml:space="preserve">Item No. 76 </w:t>
      </w:r>
      <w:proofErr w:type="gramStart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>may be amended</w:t>
      </w:r>
      <w:proofErr w:type="gramEnd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 as follows, 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>“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 xml:space="preserve">Where criminal or administrative sanctions are used against participants in a peaceful assembly, such sanctions (1) </w:t>
      </w:r>
      <w:r>
        <w:rPr>
          <w:rFonts w:ascii="Cambria" w:eastAsia="SimSun" w:hAnsi="Cambria"/>
          <w:b/>
          <w:i/>
          <w:iCs/>
          <w:sz w:val="24"/>
          <w:szCs w:val="24"/>
          <w:lang w:val="en-PH" w:eastAsia="zh-CN"/>
        </w:rPr>
        <w:t>must be in accordance with law,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 xml:space="preserve"> (2) must be proportionate, (3) and cannot apply where their conduct is protected by the right.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>”</w:t>
      </w:r>
    </w:p>
    <w:p w:rsidR="00A832DD" w:rsidRDefault="00A832DD">
      <w:pPr>
        <w:tabs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</w:pPr>
    </w:p>
    <w:p w:rsidR="00A832DD" w:rsidRDefault="00741DAA">
      <w:pPr>
        <w:numPr>
          <w:ilvl w:val="0"/>
          <w:numId w:val="1"/>
        </w:numPr>
        <w:tabs>
          <w:tab w:val="clear" w:pos="420"/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</w:pPr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Under Item 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No. 84, it should be emphasized that instead of requiring those wishing to assemble to apply for a permit, the requirement should be limited to the act of giving due </w:t>
      </w:r>
      <w:r>
        <w:rPr>
          <w:rFonts w:ascii="Cambria" w:eastAsia="SimSun" w:hAnsi="Cambria"/>
          <w:b/>
          <w:i/>
          <w:iCs/>
          <w:sz w:val="24"/>
          <w:szCs w:val="24"/>
          <w:lang w:val="en-PH" w:eastAsia="zh-CN"/>
        </w:rPr>
        <w:t>notice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 to the authorities. The requirement of a permit to assemble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 is inconsistent with th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>e recognition of peaceful assembly as a basic right.</w:t>
      </w: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/>
          <w:bCs/>
          <w:sz w:val="24"/>
          <w:szCs w:val="24"/>
          <w:lang w:val="en-PH" w:eastAsia="zh-CN"/>
        </w:rPr>
      </w:pPr>
    </w:p>
    <w:p w:rsidR="00A832DD" w:rsidRDefault="00741DAA">
      <w:pPr>
        <w:numPr>
          <w:ilvl w:val="0"/>
          <w:numId w:val="1"/>
        </w:numPr>
        <w:tabs>
          <w:tab w:val="clear" w:pos="420"/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</w:pPr>
      <w:proofErr w:type="gramStart"/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The second sentence under Item No. 93 may be amended as follows, 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 xml:space="preserve">“(Preventive detention) may be done only (1) </w:t>
      </w:r>
      <w:r>
        <w:rPr>
          <w:rFonts w:ascii="Cambria" w:eastAsia="SimSun" w:hAnsi="Cambria"/>
          <w:b/>
          <w:i/>
          <w:iCs/>
          <w:sz w:val="24"/>
          <w:szCs w:val="24"/>
          <w:lang w:val="en-PH" w:eastAsia="zh-CN"/>
        </w:rPr>
        <w:t xml:space="preserve">in accordance with the reasons specified by law, 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>and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 xml:space="preserve"> (2) where the authorities have actual k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>nowledge of the intent of the individuals involved to engage in or incite acts of violence during a particular assembly, and (3) where other measures to prevent violence from occurring will clearly be inadequate.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>”</w:t>
      </w:r>
      <w:proofErr w:type="gramEnd"/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 The phrase “in exceptional cases” </w:t>
      </w:r>
      <w:proofErr w:type="gramStart"/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should 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>also be removed</w:t>
      </w:r>
      <w:proofErr w:type="gramEnd"/>
      <w:r>
        <w:rPr>
          <w:rFonts w:ascii="Cambria" w:eastAsia="SimSun" w:hAnsi="Cambria"/>
          <w:bCs/>
          <w:sz w:val="24"/>
          <w:szCs w:val="24"/>
          <w:lang w:val="en-PH" w:eastAsia="zh-CN"/>
        </w:rPr>
        <w:t>.</w:t>
      </w: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</w:pPr>
    </w:p>
    <w:p w:rsidR="00A832DD" w:rsidRDefault="00741DAA">
      <w:pPr>
        <w:numPr>
          <w:ilvl w:val="0"/>
          <w:numId w:val="1"/>
        </w:numPr>
        <w:tabs>
          <w:tab w:val="clear" w:pos="420"/>
          <w:tab w:val="left" w:pos="425"/>
          <w:tab w:val="left" w:pos="840"/>
        </w:tabs>
        <w:spacing w:line="240" w:lineRule="auto"/>
        <w:ind w:right="267"/>
        <w:jc w:val="both"/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</w:pP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Item No. 113 provides, 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 xml:space="preserve">“Participants in peaceful assemblies </w:t>
      </w:r>
      <w:r>
        <w:rPr>
          <w:rFonts w:ascii="Cambria" w:eastAsia="SimSun" w:hAnsi="Cambria" w:cs="Cambria"/>
          <w:bCs/>
          <w:i/>
          <w:iCs/>
          <w:sz w:val="24"/>
          <w:szCs w:val="24"/>
          <w:u w:val="single"/>
          <w:lang w:val="en-PH" w:eastAsia="zh-CN"/>
        </w:rPr>
        <w:t>must not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 xml:space="preserve"> infringe on the rights of others. This may for example include their freedom of movement.” </w:t>
      </w: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Item No. 96 also provides, 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>“An assembly that remains peaceful but which nevert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 xml:space="preserve">heless causes a high level of disruption, such as the extended blocking of traffic, </w:t>
      </w:r>
      <w:r>
        <w:rPr>
          <w:rFonts w:ascii="Cambria" w:eastAsia="SimSun" w:hAnsi="Cambria" w:cs="Cambria"/>
          <w:bCs/>
          <w:i/>
          <w:iCs/>
          <w:sz w:val="24"/>
          <w:szCs w:val="24"/>
          <w:u w:val="single"/>
          <w:lang w:val="en-PH" w:eastAsia="zh-CN"/>
        </w:rPr>
        <w:t>may be dispersed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>, as a rule, only if the disruption is ‘</w:t>
      </w:r>
      <w:r>
        <w:rPr>
          <w:rFonts w:ascii="Cambria" w:eastAsia="SimSun" w:hAnsi="Cambria" w:cs="Cambria"/>
          <w:bCs/>
          <w:i/>
          <w:iCs/>
          <w:sz w:val="24"/>
          <w:szCs w:val="24"/>
          <w:u w:val="single"/>
          <w:lang w:val="en-PH" w:eastAsia="zh-CN"/>
        </w:rPr>
        <w:t>serious and sustained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 xml:space="preserve">.’” </w:t>
      </w: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</w:p>
    <w:p w:rsidR="00A832DD" w:rsidRDefault="00741DAA">
      <w:pPr>
        <w:numPr>
          <w:ilvl w:val="1"/>
          <w:numId w:val="1"/>
        </w:numPr>
        <w:tabs>
          <w:tab w:val="left" w:pos="425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US" w:eastAsia="zh-CN"/>
        </w:rPr>
      </w:pP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Items No. 113 and 96 are inconsistent with Item No. </w:t>
      </w:r>
      <w:proofErr w:type="gramStart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>7 which</w:t>
      </w:r>
      <w:proofErr w:type="gramEnd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 recognizes that peaceful asse</w:t>
      </w: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mblies may result in the disruption of 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 xml:space="preserve">“vehicular or pedestrian movement, or economic activity.” </w:t>
      </w: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>Item No. 7 provides, “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 xml:space="preserve">… Peaceful assemblies </w:t>
      </w:r>
      <w:proofErr w:type="gramStart"/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>are sometimes used</w:t>
      </w:r>
      <w:proofErr w:type="gramEnd"/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 xml:space="preserve"> to pursue ideas or goals that are somehow contentious, and their scale or nature can cause </w:t>
      </w:r>
      <w:r>
        <w:rPr>
          <w:rFonts w:ascii="Cambria" w:eastAsia="SimSun" w:hAnsi="Cambria"/>
          <w:bCs/>
          <w:i/>
          <w:iCs/>
          <w:sz w:val="24"/>
          <w:szCs w:val="24"/>
          <w:lang w:val="en-PH" w:eastAsia="zh-CN"/>
        </w:rPr>
        <w:t>disruption, for example of vehicular or pedestrian movement or economic activity. They may be intended to have these consequences, without necessarily calling into question the protection such assemblies should enjoy.</w:t>
      </w:r>
      <w:r>
        <w:rPr>
          <w:rFonts w:ascii="Cambria" w:eastAsia="SimSun" w:hAnsi="Cambria"/>
          <w:bCs/>
          <w:sz w:val="24"/>
          <w:szCs w:val="24"/>
          <w:lang w:val="en-PH" w:eastAsia="zh-CN"/>
        </w:rPr>
        <w:t xml:space="preserve">” </w:t>
      </w:r>
    </w:p>
    <w:p w:rsidR="00A832DD" w:rsidRDefault="00A832DD">
      <w:pPr>
        <w:tabs>
          <w:tab w:val="left" w:pos="425"/>
        </w:tabs>
        <w:spacing w:line="240" w:lineRule="auto"/>
        <w:ind w:left="420" w:right="267"/>
        <w:jc w:val="both"/>
        <w:rPr>
          <w:rFonts w:ascii="Cambria" w:eastAsia="SimSun" w:hAnsi="Cambria" w:cs="Cambria"/>
          <w:bCs/>
          <w:sz w:val="24"/>
          <w:szCs w:val="24"/>
          <w:lang w:val="en-US" w:eastAsia="zh-CN"/>
        </w:rPr>
      </w:pPr>
    </w:p>
    <w:p w:rsidR="00A832DD" w:rsidRDefault="00741DAA">
      <w:pPr>
        <w:numPr>
          <w:ilvl w:val="1"/>
          <w:numId w:val="1"/>
        </w:numPr>
        <w:tabs>
          <w:tab w:val="left" w:pos="425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US" w:eastAsia="zh-CN"/>
        </w:rPr>
      </w:pP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Moreover, under Item No. 96, there </w:t>
      </w: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must be specific parameters to determine when a disruption </w:t>
      </w:r>
      <w:proofErr w:type="gramStart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>is considered</w:t>
      </w:r>
      <w:proofErr w:type="gramEnd"/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 xml:space="preserve"> </w:t>
      </w:r>
      <w:r>
        <w:rPr>
          <w:rFonts w:ascii="Cambria" w:eastAsia="SimSun" w:hAnsi="Cambria" w:cs="Cambria"/>
          <w:bCs/>
          <w:i/>
          <w:iCs/>
          <w:sz w:val="24"/>
          <w:szCs w:val="24"/>
          <w:lang w:val="en-PH" w:eastAsia="zh-CN"/>
        </w:rPr>
        <w:t>“serious and sustained.</w:t>
      </w:r>
      <w:r>
        <w:rPr>
          <w:rFonts w:ascii="Cambria" w:eastAsia="SimSun" w:hAnsi="Cambria" w:cs="Cambria"/>
          <w:bCs/>
          <w:sz w:val="24"/>
          <w:szCs w:val="24"/>
          <w:lang w:val="en-PH" w:eastAsia="zh-CN"/>
        </w:rPr>
        <w:t>”</w:t>
      </w: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Cs/>
          <w:sz w:val="24"/>
          <w:szCs w:val="24"/>
          <w:lang w:val="en-PH" w:eastAsia="zh-CN"/>
        </w:rPr>
      </w:pP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sz w:val="24"/>
          <w:szCs w:val="24"/>
          <w:lang w:val="en-PH" w:eastAsia="zh-CN"/>
        </w:rPr>
      </w:pP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sz w:val="24"/>
          <w:szCs w:val="24"/>
          <w:lang w:val="en-US" w:eastAsia="zh-CN"/>
        </w:rPr>
      </w:pPr>
    </w:p>
    <w:p w:rsidR="00A832DD" w:rsidRDefault="00A832DD">
      <w:pPr>
        <w:tabs>
          <w:tab w:val="left" w:pos="840"/>
        </w:tabs>
        <w:spacing w:line="240" w:lineRule="auto"/>
        <w:ind w:right="267"/>
        <w:jc w:val="both"/>
        <w:rPr>
          <w:rFonts w:ascii="Cambria" w:eastAsia="SimSun" w:hAnsi="Cambria" w:cs="Cambria"/>
          <w:b/>
          <w:sz w:val="24"/>
          <w:szCs w:val="24"/>
          <w:lang w:val="en-PH" w:eastAsia="zh-CN"/>
        </w:rPr>
      </w:pPr>
    </w:p>
    <w:sectPr w:rsidR="00A832DD"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E3BF56"/>
    <w:multiLevelType w:val="multilevel"/>
    <w:tmpl w:val="C0E3BF5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081969"/>
    <w:rsid w:val="00741DAA"/>
    <w:rsid w:val="007A0E6D"/>
    <w:rsid w:val="00805E09"/>
    <w:rsid w:val="008D39EB"/>
    <w:rsid w:val="00A832DD"/>
    <w:rsid w:val="00C94AA9"/>
    <w:rsid w:val="00CE79F5"/>
    <w:rsid w:val="00F67845"/>
    <w:rsid w:val="01307D5E"/>
    <w:rsid w:val="01790AF8"/>
    <w:rsid w:val="01A75F5E"/>
    <w:rsid w:val="01AF6CF7"/>
    <w:rsid w:val="01C65138"/>
    <w:rsid w:val="0207485A"/>
    <w:rsid w:val="02320673"/>
    <w:rsid w:val="02C048B2"/>
    <w:rsid w:val="02EB1981"/>
    <w:rsid w:val="033B0499"/>
    <w:rsid w:val="035142B3"/>
    <w:rsid w:val="03D22B52"/>
    <w:rsid w:val="041F22C9"/>
    <w:rsid w:val="04764E37"/>
    <w:rsid w:val="04AE4996"/>
    <w:rsid w:val="050246E6"/>
    <w:rsid w:val="052B1F82"/>
    <w:rsid w:val="05426E44"/>
    <w:rsid w:val="05553EDB"/>
    <w:rsid w:val="05923A5F"/>
    <w:rsid w:val="05D71230"/>
    <w:rsid w:val="05F227FE"/>
    <w:rsid w:val="062222CF"/>
    <w:rsid w:val="062643FF"/>
    <w:rsid w:val="06625803"/>
    <w:rsid w:val="06687D12"/>
    <w:rsid w:val="067341D2"/>
    <w:rsid w:val="0676222C"/>
    <w:rsid w:val="06967D21"/>
    <w:rsid w:val="06A71BC8"/>
    <w:rsid w:val="06D35CDA"/>
    <w:rsid w:val="075A774B"/>
    <w:rsid w:val="077D49E0"/>
    <w:rsid w:val="079F01A1"/>
    <w:rsid w:val="07C30CFF"/>
    <w:rsid w:val="07EA02CB"/>
    <w:rsid w:val="07F814F8"/>
    <w:rsid w:val="081F2C1C"/>
    <w:rsid w:val="082B49DB"/>
    <w:rsid w:val="08303A56"/>
    <w:rsid w:val="083F193D"/>
    <w:rsid w:val="08861794"/>
    <w:rsid w:val="08974E4B"/>
    <w:rsid w:val="08BA7F4C"/>
    <w:rsid w:val="08D42CC3"/>
    <w:rsid w:val="08F717A5"/>
    <w:rsid w:val="0918331B"/>
    <w:rsid w:val="09975B3E"/>
    <w:rsid w:val="09D07DCC"/>
    <w:rsid w:val="0A595129"/>
    <w:rsid w:val="0B370D17"/>
    <w:rsid w:val="0C004D8F"/>
    <w:rsid w:val="0C4A4526"/>
    <w:rsid w:val="0C547C57"/>
    <w:rsid w:val="0C933EAF"/>
    <w:rsid w:val="0C995DE2"/>
    <w:rsid w:val="0CE47D0B"/>
    <w:rsid w:val="0D055897"/>
    <w:rsid w:val="0D312EAB"/>
    <w:rsid w:val="0D5200D5"/>
    <w:rsid w:val="0D7E5996"/>
    <w:rsid w:val="0DE96BD7"/>
    <w:rsid w:val="0E5F67A0"/>
    <w:rsid w:val="0E965800"/>
    <w:rsid w:val="0E9A3ACC"/>
    <w:rsid w:val="0E9B0B2C"/>
    <w:rsid w:val="0EC61A89"/>
    <w:rsid w:val="0EF85B53"/>
    <w:rsid w:val="0F343570"/>
    <w:rsid w:val="0F380BAC"/>
    <w:rsid w:val="0F4F3F11"/>
    <w:rsid w:val="0F8D38EF"/>
    <w:rsid w:val="0F8E07F9"/>
    <w:rsid w:val="0F9E0343"/>
    <w:rsid w:val="0FB26F91"/>
    <w:rsid w:val="0FF31890"/>
    <w:rsid w:val="101037BE"/>
    <w:rsid w:val="103E7274"/>
    <w:rsid w:val="10604DB5"/>
    <w:rsid w:val="10A36E52"/>
    <w:rsid w:val="10AE57AA"/>
    <w:rsid w:val="111E30C7"/>
    <w:rsid w:val="11203605"/>
    <w:rsid w:val="11215033"/>
    <w:rsid w:val="11227BAA"/>
    <w:rsid w:val="112D4BB3"/>
    <w:rsid w:val="11423DC6"/>
    <w:rsid w:val="114A12DD"/>
    <w:rsid w:val="11587091"/>
    <w:rsid w:val="11777308"/>
    <w:rsid w:val="11B962CE"/>
    <w:rsid w:val="121A5807"/>
    <w:rsid w:val="123166CD"/>
    <w:rsid w:val="1234685F"/>
    <w:rsid w:val="12455CAF"/>
    <w:rsid w:val="127429D4"/>
    <w:rsid w:val="127B27F8"/>
    <w:rsid w:val="128D305C"/>
    <w:rsid w:val="12A90D82"/>
    <w:rsid w:val="132C0FD4"/>
    <w:rsid w:val="136B5986"/>
    <w:rsid w:val="137654C8"/>
    <w:rsid w:val="13D116B2"/>
    <w:rsid w:val="140011EC"/>
    <w:rsid w:val="142416C9"/>
    <w:rsid w:val="142C690B"/>
    <w:rsid w:val="142D3468"/>
    <w:rsid w:val="14664222"/>
    <w:rsid w:val="147B59BA"/>
    <w:rsid w:val="14D47E4C"/>
    <w:rsid w:val="14D569A4"/>
    <w:rsid w:val="15253E6C"/>
    <w:rsid w:val="15364DDF"/>
    <w:rsid w:val="15491E65"/>
    <w:rsid w:val="15FA20E5"/>
    <w:rsid w:val="16147AC7"/>
    <w:rsid w:val="1630300B"/>
    <w:rsid w:val="163B00E9"/>
    <w:rsid w:val="16595115"/>
    <w:rsid w:val="169B5AFC"/>
    <w:rsid w:val="16A0256A"/>
    <w:rsid w:val="16BE7A8E"/>
    <w:rsid w:val="16D17694"/>
    <w:rsid w:val="16DE0945"/>
    <w:rsid w:val="1708009A"/>
    <w:rsid w:val="1729404F"/>
    <w:rsid w:val="177F1DC2"/>
    <w:rsid w:val="17C250C9"/>
    <w:rsid w:val="17DA36FC"/>
    <w:rsid w:val="18372D5F"/>
    <w:rsid w:val="186A6A84"/>
    <w:rsid w:val="18916CFD"/>
    <w:rsid w:val="18BB23C2"/>
    <w:rsid w:val="18D763E0"/>
    <w:rsid w:val="19040FA0"/>
    <w:rsid w:val="190A1BE7"/>
    <w:rsid w:val="191F7698"/>
    <w:rsid w:val="19214398"/>
    <w:rsid w:val="1941455F"/>
    <w:rsid w:val="194E5DC9"/>
    <w:rsid w:val="19671FFE"/>
    <w:rsid w:val="19B2524C"/>
    <w:rsid w:val="19CE102B"/>
    <w:rsid w:val="19EF6BD0"/>
    <w:rsid w:val="19F0034E"/>
    <w:rsid w:val="19FC4E64"/>
    <w:rsid w:val="1A081969"/>
    <w:rsid w:val="1A790CE4"/>
    <w:rsid w:val="1AB131A2"/>
    <w:rsid w:val="1ADA3C8E"/>
    <w:rsid w:val="1B095E4B"/>
    <w:rsid w:val="1B2F6153"/>
    <w:rsid w:val="1B81682D"/>
    <w:rsid w:val="1B8B1610"/>
    <w:rsid w:val="1BA9729F"/>
    <w:rsid w:val="1BB5345C"/>
    <w:rsid w:val="1C737091"/>
    <w:rsid w:val="1CE84E95"/>
    <w:rsid w:val="1D2D4AD8"/>
    <w:rsid w:val="1D381681"/>
    <w:rsid w:val="1D5B7825"/>
    <w:rsid w:val="1D822035"/>
    <w:rsid w:val="1DC7561D"/>
    <w:rsid w:val="1DEE03CA"/>
    <w:rsid w:val="1E170FD1"/>
    <w:rsid w:val="1E6D50C3"/>
    <w:rsid w:val="1ECC7724"/>
    <w:rsid w:val="1EDC2A82"/>
    <w:rsid w:val="1EE06CB1"/>
    <w:rsid w:val="1F5A6AF9"/>
    <w:rsid w:val="1F7374B2"/>
    <w:rsid w:val="1F9C46F0"/>
    <w:rsid w:val="1FCD26E6"/>
    <w:rsid w:val="1FD86204"/>
    <w:rsid w:val="20160311"/>
    <w:rsid w:val="20246420"/>
    <w:rsid w:val="20253354"/>
    <w:rsid w:val="206C3174"/>
    <w:rsid w:val="20906108"/>
    <w:rsid w:val="20A657A6"/>
    <w:rsid w:val="20BB28A8"/>
    <w:rsid w:val="20D25062"/>
    <w:rsid w:val="20DF44E4"/>
    <w:rsid w:val="210D6947"/>
    <w:rsid w:val="210E48A9"/>
    <w:rsid w:val="21367AF8"/>
    <w:rsid w:val="213C6589"/>
    <w:rsid w:val="21600896"/>
    <w:rsid w:val="21937097"/>
    <w:rsid w:val="21D03581"/>
    <w:rsid w:val="21D51269"/>
    <w:rsid w:val="222970C9"/>
    <w:rsid w:val="222D0DC8"/>
    <w:rsid w:val="223909FC"/>
    <w:rsid w:val="22AE7776"/>
    <w:rsid w:val="22ED5AFD"/>
    <w:rsid w:val="22F3214C"/>
    <w:rsid w:val="22FC70AE"/>
    <w:rsid w:val="23043381"/>
    <w:rsid w:val="23382007"/>
    <w:rsid w:val="23B50E7A"/>
    <w:rsid w:val="23DA1518"/>
    <w:rsid w:val="23EC14C5"/>
    <w:rsid w:val="24735F53"/>
    <w:rsid w:val="249629ED"/>
    <w:rsid w:val="249D0AA4"/>
    <w:rsid w:val="24DA1323"/>
    <w:rsid w:val="24F471F5"/>
    <w:rsid w:val="25284799"/>
    <w:rsid w:val="25887415"/>
    <w:rsid w:val="25A60336"/>
    <w:rsid w:val="25BE7510"/>
    <w:rsid w:val="25CA09D0"/>
    <w:rsid w:val="25FA3CB6"/>
    <w:rsid w:val="2609101D"/>
    <w:rsid w:val="262B6295"/>
    <w:rsid w:val="262F2F33"/>
    <w:rsid w:val="2634099D"/>
    <w:rsid w:val="26730798"/>
    <w:rsid w:val="26801CA5"/>
    <w:rsid w:val="26D05461"/>
    <w:rsid w:val="26D27BF6"/>
    <w:rsid w:val="26DA617A"/>
    <w:rsid w:val="26F42701"/>
    <w:rsid w:val="26FB194F"/>
    <w:rsid w:val="27090D1D"/>
    <w:rsid w:val="271A7A9C"/>
    <w:rsid w:val="27A4367B"/>
    <w:rsid w:val="27EC2446"/>
    <w:rsid w:val="27F36CEE"/>
    <w:rsid w:val="27FE6235"/>
    <w:rsid w:val="28317E89"/>
    <w:rsid w:val="2889759E"/>
    <w:rsid w:val="28976EF7"/>
    <w:rsid w:val="28E04EA7"/>
    <w:rsid w:val="28F30157"/>
    <w:rsid w:val="28FD2DD4"/>
    <w:rsid w:val="2907319B"/>
    <w:rsid w:val="291C4C61"/>
    <w:rsid w:val="292C3640"/>
    <w:rsid w:val="29471308"/>
    <w:rsid w:val="295E1007"/>
    <w:rsid w:val="296678E7"/>
    <w:rsid w:val="296B394E"/>
    <w:rsid w:val="29962DE8"/>
    <w:rsid w:val="299B643B"/>
    <w:rsid w:val="29A46803"/>
    <w:rsid w:val="29A75F00"/>
    <w:rsid w:val="29E159BB"/>
    <w:rsid w:val="29E457AA"/>
    <w:rsid w:val="29FA40E5"/>
    <w:rsid w:val="2A365827"/>
    <w:rsid w:val="2A62690C"/>
    <w:rsid w:val="2ABB62DA"/>
    <w:rsid w:val="2B161FA6"/>
    <w:rsid w:val="2B601480"/>
    <w:rsid w:val="2B662C7B"/>
    <w:rsid w:val="2B795BDB"/>
    <w:rsid w:val="2B863EAC"/>
    <w:rsid w:val="2BCA12AB"/>
    <w:rsid w:val="2BF83A19"/>
    <w:rsid w:val="2C215AF5"/>
    <w:rsid w:val="2C2626BC"/>
    <w:rsid w:val="2C504E0E"/>
    <w:rsid w:val="2C6D6830"/>
    <w:rsid w:val="2C7B0A57"/>
    <w:rsid w:val="2CB37305"/>
    <w:rsid w:val="2CC91F84"/>
    <w:rsid w:val="2CD77EF1"/>
    <w:rsid w:val="2CDD1EB6"/>
    <w:rsid w:val="2CE072B7"/>
    <w:rsid w:val="2D062402"/>
    <w:rsid w:val="2D0F3F8E"/>
    <w:rsid w:val="2D2B0664"/>
    <w:rsid w:val="2D567FA8"/>
    <w:rsid w:val="2D8F38A1"/>
    <w:rsid w:val="2DA24792"/>
    <w:rsid w:val="2DA86BC4"/>
    <w:rsid w:val="2DEA57D6"/>
    <w:rsid w:val="2E077D85"/>
    <w:rsid w:val="2E117B82"/>
    <w:rsid w:val="2E606A30"/>
    <w:rsid w:val="2E6A5B96"/>
    <w:rsid w:val="2E985419"/>
    <w:rsid w:val="2E9F4898"/>
    <w:rsid w:val="2EB3534A"/>
    <w:rsid w:val="2EE57D79"/>
    <w:rsid w:val="2F7A49C8"/>
    <w:rsid w:val="2F814077"/>
    <w:rsid w:val="2F861C5B"/>
    <w:rsid w:val="2F9C1F29"/>
    <w:rsid w:val="2FD20B8A"/>
    <w:rsid w:val="2FD55384"/>
    <w:rsid w:val="2FEF5A70"/>
    <w:rsid w:val="300952B2"/>
    <w:rsid w:val="30473CA3"/>
    <w:rsid w:val="305C477D"/>
    <w:rsid w:val="30B21C30"/>
    <w:rsid w:val="30B74E80"/>
    <w:rsid w:val="30BE3A67"/>
    <w:rsid w:val="30CE7C5B"/>
    <w:rsid w:val="30DD5349"/>
    <w:rsid w:val="30F5719D"/>
    <w:rsid w:val="31C853E6"/>
    <w:rsid w:val="31DA28F6"/>
    <w:rsid w:val="31F52055"/>
    <w:rsid w:val="31FE4CA9"/>
    <w:rsid w:val="323776E0"/>
    <w:rsid w:val="32624332"/>
    <w:rsid w:val="327B3F6D"/>
    <w:rsid w:val="33125BF4"/>
    <w:rsid w:val="335D42F1"/>
    <w:rsid w:val="336902EA"/>
    <w:rsid w:val="33ED7D16"/>
    <w:rsid w:val="33F7035D"/>
    <w:rsid w:val="342B6404"/>
    <w:rsid w:val="348238C1"/>
    <w:rsid w:val="34D205D5"/>
    <w:rsid w:val="34ED5804"/>
    <w:rsid w:val="3502278C"/>
    <w:rsid w:val="361B68A0"/>
    <w:rsid w:val="36450D48"/>
    <w:rsid w:val="365B2992"/>
    <w:rsid w:val="365C43A2"/>
    <w:rsid w:val="369F4FCF"/>
    <w:rsid w:val="36AE51C0"/>
    <w:rsid w:val="36AF23E2"/>
    <w:rsid w:val="36C1233E"/>
    <w:rsid w:val="36D4199D"/>
    <w:rsid w:val="36E01492"/>
    <w:rsid w:val="375D1E3E"/>
    <w:rsid w:val="37B45913"/>
    <w:rsid w:val="37B52573"/>
    <w:rsid w:val="37CB7FB4"/>
    <w:rsid w:val="37F339C7"/>
    <w:rsid w:val="385D22C6"/>
    <w:rsid w:val="38AB5D51"/>
    <w:rsid w:val="38CF01FD"/>
    <w:rsid w:val="390D7313"/>
    <w:rsid w:val="39384118"/>
    <w:rsid w:val="39635977"/>
    <w:rsid w:val="39913F9B"/>
    <w:rsid w:val="3A045E6B"/>
    <w:rsid w:val="3A763FA8"/>
    <w:rsid w:val="3A91013D"/>
    <w:rsid w:val="3AAE0355"/>
    <w:rsid w:val="3AD80E1D"/>
    <w:rsid w:val="3AF91533"/>
    <w:rsid w:val="3B062D12"/>
    <w:rsid w:val="3B0B0BA0"/>
    <w:rsid w:val="3B1B2FDF"/>
    <w:rsid w:val="3B501AD7"/>
    <w:rsid w:val="3B90646F"/>
    <w:rsid w:val="3B921471"/>
    <w:rsid w:val="3BC05512"/>
    <w:rsid w:val="3BC56710"/>
    <w:rsid w:val="3BD527C6"/>
    <w:rsid w:val="3BD87982"/>
    <w:rsid w:val="3C2F6717"/>
    <w:rsid w:val="3C4776B2"/>
    <w:rsid w:val="3C707D9E"/>
    <w:rsid w:val="3C7D27C4"/>
    <w:rsid w:val="3C8F4954"/>
    <w:rsid w:val="3CAD5DC0"/>
    <w:rsid w:val="3D2E55FA"/>
    <w:rsid w:val="3D981EE1"/>
    <w:rsid w:val="3D9A411C"/>
    <w:rsid w:val="3DCF78B2"/>
    <w:rsid w:val="3DDA3B68"/>
    <w:rsid w:val="3DFF7DC9"/>
    <w:rsid w:val="3E143E02"/>
    <w:rsid w:val="3E3E0305"/>
    <w:rsid w:val="3E7A4297"/>
    <w:rsid w:val="3EC342D0"/>
    <w:rsid w:val="3ED22966"/>
    <w:rsid w:val="3EDE3EBC"/>
    <w:rsid w:val="3EE54B53"/>
    <w:rsid w:val="3F25563F"/>
    <w:rsid w:val="3F3B65FA"/>
    <w:rsid w:val="3F49565D"/>
    <w:rsid w:val="3FAD6ADE"/>
    <w:rsid w:val="40027114"/>
    <w:rsid w:val="4035418B"/>
    <w:rsid w:val="405C4CE6"/>
    <w:rsid w:val="40B05247"/>
    <w:rsid w:val="40CA10D9"/>
    <w:rsid w:val="40EE3759"/>
    <w:rsid w:val="411E679C"/>
    <w:rsid w:val="413443DD"/>
    <w:rsid w:val="416B79E1"/>
    <w:rsid w:val="41745D0E"/>
    <w:rsid w:val="42414032"/>
    <w:rsid w:val="42565B26"/>
    <w:rsid w:val="42AF2FB0"/>
    <w:rsid w:val="42EA52A1"/>
    <w:rsid w:val="43526732"/>
    <w:rsid w:val="437D0324"/>
    <w:rsid w:val="43D23BE4"/>
    <w:rsid w:val="44603821"/>
    <w:rsid w:val="45057D96"/>
    <w:rsid w:val="457529BD"/>
    <w:rsid w:val="45BC6130"/>
    <w:rsid w:val="4620553D"/>
    <w:rsid w:val="463029E9"/>
    <w:rsid w:val="465E04E6"/>
    <w:rsid w:val="46631D33"/>
    <w:rsid w:val="467705D5"/>
    <w:rsid w:val="467D364D"/>
    <w:rsid w:val="46A23D8A"/>
    <w:rsid w:val="46AB3478"/>
    <w:rsid w:val="46BF064E"/>
    <w:rsid w:val="46D8050C"/>
    <w:rsid w:val="474B1F4D"/>
    <w:rsid w:val="47554681"/>
    <w:rsid w:val="478747D2"/>
    <w:rsid w:val="47B603F3"/>
    <w:rsid w:val="47B928DE"/>
    <w:rsid w:val="47E51107"/>
    <w:rsid w:val="485B15D6"/>
    <w:rsid w:val="48892C69"/>
    <w:rsid w:val="493714CF"/>
    <w:rsid w:val="49374AED"/>
    <w:rsid w:val="49381C48"/>
    <w:rsid w:val="49561E22"/>
    <w:rsid w:val="4969084C"/>
    <w:rsid w:val="496C2286"/>
    <w:rsid w:val="49840035"/>
    <w:rsid w:val="49AE3FA9"/>
    <w:rsid w:val="49BA7136"/>
    <w:rsid w:val="49D852AE"/>
    <w:rsid w:val="49EF41F1"/>
    <w:rsid w:val="49F7646F"/>
    <w:rsid w:val="4A020AAD"/>
    <w:rsid w:val="4A5D0998"/>
    <w:rsid w:val="4A71479C"/>
    <w:rsid w:val="4A846130"/>
    <w:rsid w:val="4AD363EA"/>
    <w:rsid w:val="4B0A7382"/>
    <w:rsid w:val="4B0F6D18"/>
    <w:rsid w:val="4B151DDA"/>
    <w:rsid w:val="4B4F39D8"/>
    <w:rsid w:val="4B6F6B7E"/>
    <w:rsid w:val="4B7C01A9"/>
    <w:rsid w:val="4B956D3E"/>
    <w:rsid w:val="4BB25A15"/>
    <w:rsid w:val="4C3312AC"/>
    <w:rsid w:val="4C79657A"/>
    <w:rsid w:val="4C797276"/>
    <w:rsid w:val="4C87603A"/>
    <w:rsid w:val="4CD81D89"/>
    <w:rsid w:val="4D1E35E6"/>
    <w:rsid w:val="4D462151"/>
    <w:rsid w:val="4D650396"/>
    <w:rsid w:val="4D933AFE"/>
    <w:rsid w:val="4DBD1D01"/>
    <w:rsid w:val="4DC3419F"/>
    <w:rsid w:val="4DCF2752"/>
    <w:rsid w:val="4E3D077F"/>
    <w:rsid w:val="4E420354"/>
    <w:rsid w:val="4E677063"/>
    <w:rsid w:val="4E777C26"/>
    <w:rsid w:val="4EAA0E58"/>
    <w:rsid w:val="4EC3665A"/>
    <w:rsid w:val="4ECD3565"/>
    <w:rsid w:val="4ED529AA"/>
    <w:rsid w:val="4EF44DE1"/>
    <w:rsid w:val="4F066FD4"/>
    <w:rsid w:val="4F0A2BF8"/>
    <w:rsid w:val="4F263066"/>
    <w:rsid w:val="4F472873"/>
    <w:rsid w:val="4F5A216D"/>
    <w:rsid w:val="4F783A72"/>
    <w:rsid w:val="4F8711FD"/>
    <w:rsid w:val="4F876DC7"/>
    <w:rsid w:val="4F9262EA"/>
    <w:rsid w:val="4FCC7C03"/>
    <w:rsid w:val="4FCD185F"/>
    <w:rsid w:val="4FF47FBB"/>
    <w:rsid w:val="511920B7"/>
    <w:rsid w:val="511C0B18"/>
    <w:rsid w:val="514C27EB"/>
    <w:rsid w:val="51560A90"/>
    <w:rsid w:val="51585F06"/>
    <w:rsid w:val="52585328"/>
    <w:rsid w:val="52590E68"/>
    <w:rsid w:val="5265045D"/>
    <w:rsid w:val="52A31ED4"/>
    <w:rsid w:val="52CF4A77"/>
    <w:rsid w:val="52D3672A"/>
    <w:rsid w:val="52D40CCF"/>
    <w:rsid w:val="52D530EF"/>
    <w:rsid w:val="52D568AB"/>
    <w:rsid w:val="52D62EF6"/>
    <w:rsid w:val="52D83CBB"/>
    <w:rsid w:val="5313575C"/>
    <w:rsid w:val="531F786E"/>
    <w:rsid w:val="53225A97"/>
    <w:rsid w:val="537D672C"/>
    <w:rsid w:val="53936636"/>
    <w:rsid w:val="539D2CF2"/>
    <w:rsid w:val="540760BF"/>
    <w:rsid w:val="545A2931"/>
    <w:rsid w:val="54780635"/>
    <w:rsid w:val="54C96330"/>
    <w:rsid w:val="54CF3F03"/>
    <w:rsid w:val="553B7CD3"/>
    <w:rsid w:val="55556AA0"/>
    <w:rsid w:val="55840CB4"/>
    <w:rsid w:val="5585694A"/>
    <w:rsid w:val="55870099"/>
    <w:rsid w:val="55A6410F"/>
    <w:rsid w:val="56186B59"/>
    <w:rsid w:val="56731A28"/>
    <w:rsid w:val="569230CB"/>
    <w:rsid w:val="56BF1808"/>
    <w:rsid w:val="56C936C2"/>
    <w:rsid w:val="572410D2"/>
    <w:rsid w:val="57461D98"/>
    <w:rsid w:val="575A2924"/>
    <w:rsid w:val="57751B82"/>
    <w:rsid w:val="577B43AF"/>
    <w:rsid w:val="57874F94"/>
    <w:rsid w:val="57D3586A"/>
    <w:rsid w:val="57F17F88"/>
    <w:rsid w:val="57F86BDB"/>
    <w:rsid w:val="5822134D"/>
    <w:rsid w:val="58371797"/>
    <w:rsid w:val="583D4C30"/>
    <w:rsid w:val="5842528E"/>
    <w:rsid w:val="58921299"/>
    <w:rsid w:val="58B74971"/>
    <w:rsid w:val="58D323B6"/>
    <w:rsid w:val="59366742"/>
    <w:rsid w:val="59954875"/>
    <w:rsid w:val="59D166A4"/>
    <w:rsid w:val="59D7712D"/>
    <w:rsid w:val="59F162F6"/>
    <w:rsid w:val="59F47FD7"/>
    <w:rsid w:val="5A1D6DB5"/>
    <w:rsid w:val="5A2B1440"/>
    <w:rsid w:val="5A2C08CC"/>
    <w:rsid w:val="5A2F5747"/>
    <w:rsid w:val="5A694058"/>
    <w:rsid w:val="5A9F3763"/>
    <w:rsid w:val="5AA17F7F"/>
    <w:rsid w:val="5AB61867"/>
    <w:rsid w:val="5ABA622C"/>
    <w:rsid w:val="5ABE733D"/>
    <w:rsid w:val="5B260DA3"/>
    <w:rsid w:val="5B2939D8"/>
    <w:rsid w:val="5B685CE4"/>
    <w:rsid w:val="5B6F7BCC"/>
    <w:rsid w:val="5B902AAE"/>
    <w:rsid w:val="5BAB08CC"/>
    <w:rsid w:val="5BB5635E"/>
    <w:rsid w:val="5BB95056"/>
    <w:rsid w:val="5BDD1CD4"/>
    <w:rsid w:val="5C244156"/>
    <w:rsid w:val="5C623653"/>
    <w:rsid w:val="5CF75F1B"/>
    <w:rsid w:val="5D08729F"/>
    <w:rsid w:val="5D5E5616"/>
    <w:rsid w:val="5D5E5A0A"/>
    <w:rsid w:val="5D70299B"/>
    <w:rsid w:val="5DA36863"/>
    <w:rsid w:val="5DB91219"/>
    <w:rsid w:val="5DD45CB6"/>
    <w:rsid w:val="5E0C1958"/>
    <w:rsid w:val="5E632360"/>
    <w:rsid w:val="5E6D3DC6"/>
    <w:rsid w:val="5E821C4D"/>
    <w:rsid w:val="5E924D80"/>
    <w:rsid w:val="5EAB7929"/>
    <w:rsid w:val="5EB23B8D"/>
    <w:rsid w:val="5ECF07D0"/>
    <w:rsid w:val="5EDC027E"/>
    <w:rsid w:val="5EFD5434"/>
    <w:rsid w:val="5F09025F"/>
    <w:rsid w:val="5F0A72CF"/>
    <w:rsid w:val="5F147BAD"/>
    <w:rsid w:val="5F602435"/>
    <w:rsid w:val="5F630632"/>
    <w:rsid w:val="5F834918"/>
    <w:rsid w:val="5FD12436"/>
    <w:rsid w:val="5FD66E48"/>
    <w:rsid w:val="5FE130C7"/>
    <w:rsid w:val="605D70BA"/>
    <w:rsid w:val="607E6952"/>
    <w:rsid w:val="60B83D04"/>
    <w:rsid w:val="60E04A39"/>
    <w:rsid w:val="60EE7A55"/>
    <w:rsid w:val="61426460"/>
    <w:rsid w:val="617356B6"/>
    <w:rsid w:val="61A551F7"/>
    <w:rsid w:val="61A74EB2"/>
    <w:rsid w:val="61C32766"/>
    <w:rsid w:val="61E1033C"/>
    <w:rsid w:val="620F435F"/>
    <w:rsid w:val="624A59F8"/>
    <w:rsid w:val="62AD6969"/>
    <w:rsid w:val="62B24A4F"/>
    <w:rsid w:val="62B373D6"/>
    <w:rsid w:val="62E97941"/>
    <w:rsid w:val="632120A9"/>
    <w:rsid w:val="63996282"/>
    <w:rsid w:val="63B1641D"/>
    <w:rsid w:val="63E30368"/>
    <w:rsid w:val="64121196"/>
    <w:rsid w:val="64144810"/>
    <w:rsid w:val="64160F6F"/>
    <w:rsid w:val="642A75E2"/>
    <w:rsid w:val="643C7676"/>
    <w:rsid w:val="64545BEA"/>
    <w:rsid w:val="645C3596"/>
    <w:rsid w:val="64926F3D"/>
    <w:rsid w:val="649E4622"/>
    <w:rsid w:val="64A5457F"/>
    <w:rsid w:val="64B62643"/>
    <w:rsid w:val="64CC55CC"/>
    <w:rsid w:val="650F7F38"/>
    <w:rsid w:val="6574570D"/>
    <w:rsid w:val="657D2688"/>
    <w:rsid w:val="65856ADB"/>
    <w:rsid w:val="65875DF4"/>
    <w:rsid w:val="65C56353"/>
    <w:rsid w:val="66024331"/>
    <w:rsid w:val="665E74BD"/>
    <w:rsid w:val="667627D7"/>
    <w:rsid w:val="668C492F"/>
    <w:rsid w:val="669C250D"/>
    <w:rsid w:val="66B269FC"/>
    <w:rsid w:val="66C82B8C"/>
    <w:rsid w:val="66EC0B12"/>
    <w:rsid w:val="67161A56"/>
    <w:rsid w:val="673801DA"/>
    <w:rsid w:val="6738037C"/>
    <w:rsid w:val="679A50DD"/>
    <w:rsid w:val="67D534B2"/>
    <w:rsid w:val="68064382"/>
    <w:rsid w:val="688D3171"/>
    <w:rsid w:val="68D3515B"/>
    <w:rsid w:val="6960036A"/>
    <w:rsid w:val="69A31433"/>
    <w:rsid w:val="69AD2681"/>
    <w:rsid w:val="69C224A3"/>
    <w:rsid w:val="6A5506BB"/>
    <w:rsid w:val="6A7A05E3"/>
    <w:rsid w:val="6A7E3B8B"/>
    <w:rsid w:val="6AA2605C"/>
    <w:rsid w:val="6AFC5615"/>
    <w:rsid w:val="6B0B30BF"/>
    <w:rsid w:val="6B2865C7"/>
    <w:rsid w:val="6B797FDC"/>
    <w:rsid w:val="6B8A404D"/>
    <w:rsid w:val="6C1A3883"/>
    <w:rsid w:val="6C2C455A"/>
    <w:rsid w:val="6C300354"/>
    <w:rsid w:val="6CE33AFE"/>
    <w:rsid w:val="6D2717A1"/>
    <w:rsid w:val="6D4B52BA"/>
    <w:rsid w:val="6D676BAD"/>
    <w:rsid w:val="6D773DFE"/>
    <w:rsid w:val="6D817C48"/>
    <w:rsid w:val="6D9304BC"/>
    <w:rsid w:val="6DBE7064"/>
    <w:rsid w:val="6DDF65AF"/>
    <w:rsid w:val="6DE32D23"/>
    <w:rsid w:val="6E114D97"/>
    <w:rsid w:val="6E1D359F"/>
    <w:rsid w:val="6E38651A"/>
    <w:rsid w:val="6E412078"/>
    <w:rsid w:val="6E861969"/>
    <w:rsid w:val="6E8A42E4"/>
    <w:rsid w:val="6E90368A"/>
    <w:rsid w:val="6F903CDB"/>
    <w:rsid w:val="6F913AE1"/>
    <w:rsid w:val="6F972CD0"/>
    <w:rsid w:val="6FFE48CA"/>
    <w:rsid w:val="700C1E25"/>
    <w:rsid w:val="70234C2C"/>
    <w:rsid w:val="7027792A"/>
    <w:rsid w:val="70735BDB"/>
    <w:rsid w:val="709747D2"/>
    <w:rsid w:val="70C86493"/>
    <w:rsid w:val="70DC6263"/>
    <w:rsid w:val="70E34797"/>
    <w:rsid w:val="70EC23D6"/>
    <w:rsid w:val="70EF13F9"/>
    <w:rsid w:val="71442EBB"/>
    <w:rsid w:val="716E584B"/>
    <w:rsid w:val="71764C6A"/>
    <w:rsid w:val="717A379C"/>
    <w:rsid w:val="717F4015"/>
    <w:rsid w:val="718D7BA0"/>
    <w:rsid w:val="71F708B4"/>
    <w:rsid w:val="71F86C43"/>
    <w:rsid w:val="72181F2A"/>
    <w:rsid w:val="7219488B"/>
    <w:rsid w:val="726D5D18"/>
    <w:rsid w:val="72AE37E1"/>
    <w:rsid w:val="7300302C"/>
    <w:rsid w:val="732964B4"/>
    <w:rsid w:val="7359799D"/>
    <w:rsid w:val="736548C0"/>
    <w:rsid w:val="737D166A"/>
    <w:rsid w:val="73DC5DDF"/>
    <w:rsid w:val="740630A4"/>
    <w:rsid w:val="746C4086"/>
    <w:rsid w:val="74863A20"/>
    <w:rsid w:val="74B70B05"/>
    <w:rsid w:val="74CE14DB"/>
    <w:rsid w:val="7526466B"/>
    <w:rsid w:val="75656275"/>
    <w:rsid w:val="75924BE8"/>
    <w:rsid w:val="75A7555D"/>
    <w:rsid w:val="75BD64F0"/>
    <w:rsid w:val="75FE1DB2"/>
    <w:rsid w:val="7671655D"/>
    <w:rsid w:val="767212B5"/>
    <w:rsid w:val="76A4360E"/>
    <w:rsid w:val="76C55795"/>
    <w:rsid w:val="77152905"/>
    <w:rsid w:val="77673F0F"/>
    <w:rsid w:val="776C7335"/>
    <w:rsid w:val="777373EF"/>
    <w:rsid w:val="77767C68"/>
    <w:rsid w:val="77B677C9"/>
    <w:rsid w:val="77D853E5"/>
    <w:rsid w:val="78160DFD"/>
    <w:rsid w:val="78315632"/>
    <w:rsid w:val="783606A4"/>
    <w:rsid w:val="78441659"/>
    <w:rsid w:val="786B534A"/>
    <w:rsid w:val="786F408B"/>
    <w:rsid w:val="78903D33"/>
    <w:rsid w:val="7892738C"/>
    <w:rsid w:val="78DA68E5"/>
    <w:rsid w:val="790D08E7"/>
    <w:rsid w:val="792B697D"/>
    <w:rsid w:val="7965645C"/>
    <w:rsid w:val="796C3555"/>
    <w:rsid w:val="79A652DE"/>
    <w:rsid w:val="79AB1787"/>
    <w:rsid w:val="79C346F3"/>
    <w:rsid w:val="79E03B93"/>
    <w:rsid w:val="79E81224"/>
    <w:rsid w:val="79F051BF"/>
    <w:rsid w:val="79F80478"/>
    <w:rsid w:val="7A105BCB"/>
    <w:rsid w:val="7A367386"/>
    <w:rsid w:val="7A4303A9"/>
    <w:rsid w:val="7AB53665"/>
    <w:rsid w:val="7B7C453A"/>
    <w:rsid w:val="7B807732"/>
    <w:rsid w:val="7BB416F9"/>
    <w:rsid w:val="7BB66875"/>
    <w:rsid w:val="7BEC1A53"/>
    <w:rsid w:val="7C11377D"/>
    <w:rsid w:val="7C370D78"/>
    <w:rsid w:val="7C4307F3"/>
    <w:rsid w:val="7C496611"/>
    <w:rsid w:val="7C526175"/>
    <w:rsid w:val="7CA8754A"/>
    <w:rsid w:val="7CAD2595"/>
    <w:rsid w:val="7CBA745F"/>
    <w:rsid w:val="7D1852A0"/>
    <w:rsid w:val="7D1B7596"/>
    <w:rsid w:val="7D6F587B"/>
    <w:rsid w:val="7D7B78A2"/>
    <w:rsid w:val="7D8A360F"/>
    <w:rsid w:val="7D904FE2"/>
    <w:rsid w:val="7D981297"/>
    <w:rsid w:val="7D9977E6"/>
    <w:rsid w:val="7D9B6344"/>
    <w:rsid w:val="7DB30B73"/>
    <w:rsid w:val="7DDE5710"/>
    <w:rsid w:val="7DE51615"/>
    <w:rsid w:val="7DF91D38"/>
    <w:rsid w:val="7E0D7665"/>
    <w:rsid w:val="7E124D51"/>
    <w:rsid w:val="7E176920"/>
    <w:rsid w:val="7E351DA3"/>
    <w:rsid w:val="7E355378"/>
    <w:rsid w:val="7E5043C8"/>
    <w:rsid w:val="7E547525"/>
    <w:rsid w:val="7E8D21D5"/>
    <w:rsid w:val="7EA001DB"/>
    <w:rsid w:val="7EC53D8A"/>
    <w:rsid w:val="7ED82EFE"/>
    <w:rsid w:val="7F4F14BF"/>
    <w:rsid w:val="7F5D40D4"/>
    <w:rsid w:val="7F5E0844"/>
    <w:rsid w:val="7F5F19E4"/>
    <w:rsid w:val="7FB56FAC"/>
    <w:rsid w:val="7FB9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B9DE5F-C3E2-43DD-8F68-D35048EC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99"/>
    <w:unhideWhenUsed/>
    <w:qFormat/>
    <w:pPr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link w:val="BVIfnr"/>
    <w:uiPriority w:val="99"/>
    <w:semiHidden/>
    <w:unhideWhenUsed/>
    <w:qFormat/>
    <w:rPr>
      <w:vertAlign w:val="superscript"/>
      <w:lang w:val="en-US"/>
    </w:rPr>
  </w:style>
  <w:style w:type="paragraph" w:customStyle="1" w:styleId="BVIfnr">
    <w:name w:val="BVI fnr Знак"/>
    <w:basedOn w:val="Normal"/>
    <w:link w:val="FootnoteReference"/>
    <w:qFormat/>
    <w:pPr>
      <w:spacing w:line="240" w:lineRule="exact"/>
      <w:jc w:val="both"/>
    </w:pPr>
    <w:rPr>
      <w:vertAlign w:val="superscript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8FBC03-222F-4A5C-92D3-04013C4BA315}"/>
</file>

<file path=customXml/itemProps3.xml><?xml version="1.0" encoding="utf-8"?>
<ds:datastoreItem xmlns:ds="http://schemas.openxmlformats.org/officeDocument/2006/customXml" ds:itemID="{DA619C9E-D231-4E5C-8E96-09375283ACDB}"/>
</file>

<file path=customXml/itemProps4.xml><?xml version="1.0" encoding="utf-8"?>
<ds:datastoreItem xmlns:ds="http://schemas.openxmlformats.org/officeDocument/2006/customXml" ds:itemID="{508F7ABC-0AD0-4B5B-8538-71FA1DF20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rnapi</dc:creator>
  <cp:lastModifiedBy>ROSNIANSKY Cherry Lou</cp:lastModifiedBy>
  <cp:revision>2</cp:revision>
  <cp:lastPrinted>2020-02-19T06:49:00Z</cp:lastPrinted>
  <dcterms:created xsi:type="dcterms:W3CDTF">2020-02-21T14:15:00Z</dcterms:created>
  <dcterms:modified xsi:type="dcterms:W3CDTF">2020-02-21T14:15:00Z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  <property fmtid="{D5CDD505-2E9C-101B-9397-08002B2CF9AE}" pid="3" name="ContentTypeId">
    <vt:lpwstr>0x0101008822B9E06671B54FA89F14538B9B0FEA</vt:lpwstr>
  </property>
</Properties>
</file>