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C86" w:rsidRPr="0013167F" w:rsidRDefault="00C17FA0" w:rsidP="004B2AC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Theme="majorHAnsi" w:eastAsia="Arial" w:hAnsiTheme="majorHAnsi" w:cstheme="majorHAnsi"/>
          <w:color w:val="000000"/>
          <w:sz w:val="20"/>
          <w:szCs w:val="20"/>
          <w:lang w:eastAsia="es-CL"/>
        </w:rPr>
      </w:pPr>
      <w:r>
        <w:rPr>
          <w:rFonts w:asciiTheme="majorHAnsi" w:eastAsia="Calibri" w:hAnsiTheme="majorHAnsi" w:cstheme="majorHAnsi"/>
          <w:b/>
          <w:noProof/>
          <w:color w:val="000000"/>
          <w:sz w:val="20"/>
          <w:szCs w:val="20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-322580</wp:posOffset>
            </wp:positionH>
            <wp:positionV relativeFrom="paragraph">
              <wp:posOffset>0</wp:posOffset>
            </wp:positionV>
            <wp:extent cx="878840" cy="720725"/>
            <wp:effectExtent l="0" t="0" r="0" b="3175"/>
            <wp:wrapTight wrapText="bothSides">
              <wp:wrapPolygon edited="0">
                <wp:start x="0" y="0"/>
                <wp:lineTo x="0" y="21124"/>
                <wp:lineTo x="21069" y="21124"/>
                <wp:lineTo x="2106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27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278"/>
      </w:tblGrid>
      <w:tr w:rsidR="00091C86" w:rsidRPr="0013167F" w:rsidTr="00C17FA0">
        <w:trPr>
          <w:trHeight w:val="1266"/>
        </w:trPr>
        <w:tc>
          <w:tcPr>
            <w:tcW w:w="10278" w:type="dxa"/>
            <w:shd w:val="clear" w:color="auto" w:fill="FFFFFF"/>
          </w:tcPr>
          <w:p w:rsidR="00452317" w:rsidRPr="0013167F" w:rsidRDefault="00452317" w:rsidP="00C13D6B">
            <w:pPr>
              <w:spacing w:after="0" w:line="240" w:lineRule="auto"/>
              <w:ind w:right="100"/>
              <w:jc w:val="both"/>
              <w:rPr>
                <w:rFonts w:asciiTheme="majorHAnsi" w:eastAsia="Georgia" w:hAnsiTheme="majorHAnsi" w:cstheme="majorHAnsi"/>
                <w:b/>
                <w:smallCaps/>
                <w:color w:val="000000"/>
                <w:sz w:val="20"/>
                <w:szCs w:val="20"/>
                <w:highlight w:val="white"/>
                <w:lang w:eastAsia="es-CL"/>
              </w:rPr>
            </w:pPr>
          </w:p>
        </w:tc>
      </w:tr>
      <w:tr w:rsidR="00091C86" w:rsidRPr="00C17FA0" w:rsidTr="00C17FA0">
        <w:trPr>
          <w:trHeight w:val="546"/>
        </w:trPr>
        <w:tc>
          <w:tcPr>
            <w:tcW w:w="10278" w:type="dxa"/>
            <w:vAlign w:val="center"/>
          </w:tcPr>
          <w:p w:rsidR="00091C86" w:rsidRPr="00C17FA0" w:rsidRDefault="00887611" w:rsidP="008F0F08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17FA0">
              <w:rPr>
                <w:rFonts w:cstheme="minorHAnsi"/>
                <w:b/>
                <w:sz w:val="24"/>
                <w:szCs w:val="24"/>
              </w:rPr>
              <w:t>Observaciones de</w:t>
            </w:r>
            <w:r w:rsidR="007961AB" w:rsidRPr="00C17FA0">
              <w:rPr>
                <w:rFonts w:cstheme="minorHAnsi"/>
                <w:b/>
                <w:sz w:val="24"/>
                <w:szCs w:val="24"/>
              </w:rPr>
              <w:t xml:space="preserve"> la Comisión de Derechos Humanos de la Ciudad de México al Bo</w:t>
            </w:r>
            <w:r w:rsidR="00D04A12" w:rsidRPr="00C17FA0">
              <w:rPr>
                <w:rFonts w:cstheme="minorHAnsi"/>
                <w:b/>
                <w:sz w:val="24"/>
                <w:szCs w:val="24"/>
              </w:rPr>
              <w:t xml:space="preserve">rrador </w:t>
            </w:r>
            <w:r w:rsidRPr="00C17FA0">
              <w:rPr>
                <w:rFonts w:cstheme="minorHAnsi"/>
                <w:b/>
                <w:sz w:val="24"/>
                <w:szCs w:val="24"/>
              </w:rPr>
              <w:t xml:space="preserve">de </w:t>
            </w:r>
            <w:r w:rsidR="00D04A12" w:rsidRPr="00C17FA0">
              <w:rPr>
                <w:rFonts w:cstheme="minorHAnsi"/>
                <w:b/>
                <w:sz w:val="24"/>
                <w:szCs w:val="24"/>
              </w:rPr>
              <w:t xml:space="preserve">Comentario General </w:t>
            </w:r>
            <w:r w:rsidR="008F0F08">
              <w:rPr>
                <w:rFonts w:cstheme="minorHAnsi"/>
                <w:b/>
                <w:sz w:val="24"/>
                <w:szCs w:val="24"/>
              </w:rPr>
              <w:t xml:space="preserve">37 </w:t>
            </w:r>
            <w:r w:rsidR="00D04A12" w:rsidRPr="00C17FA0">
              <w:rPr>
                <w:rFonts w:cstheme="minorHAnsi"/>
                <w:b/>
                <w:sz w:val="24"/>
                <w:szCs w:val="24"/>
              </w:rPr>
              <w:t xml:space="preserve">sobre </w:t>
            </w:r>
            <w:r w:rsidR="008F0F08">
              <w:rPr>
                <w:rFonts w:cstheme="minorHAnsi"/>
                <w:b/>
                <w:sz w:val="24"/>
                <w:szCs w:val="24"/>
              </w:rPr>
              <w:t xml:space="preserve">Reunió </w:t>
            </w:r>
            <w:r w:rsidR="00D04A12" w:rsidRPr="00C17FA0">
              <w:rPr>
                <w:rFonts w:cstheme="minorHAnsi"/>
                <w:b/>
                <w:sz w:val="24"/>
                <w:szCs w:val="24"/>
              </w:rPr>
              <w:t>Pacífica</w:t>
            </w:r>
          </w:p>
          <w:p w:rsidR="00D04A12" w:rsidRPr="00C17FA0" w:rsidRDefault="00D04A12" w:rsidP="002D13D1">
            <w:pPr>
              <w:spacing w:after="0"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91C86" w:rsidRPr="00C17FA0" w:rsidTr="00C17FA0">
        <w:trPr>
          <w:trHeight w:val="841"/>
        </w:trPr>
        <w:tc>
          <w:tcPr>
            <w:tcW w:w="10278" w:type="dxa"/>
          </w:tcPr>
          <w:p w:rsidR="00C17FA0" w:rsidRPr="00C17FA0" w:rsidRDefault="00C17FA0" w:rsidP="00C17F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17FA0" w:rsidRPr="00C17FA0" w:rsidRDefault="00C17FA0" w:rsidP="00C17F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7FA0">
              <w:rPr>
                <w:rFonts w:ascii="Arial" w:hAnsi="Arial" w:cs="Arial"/>
                <w:sz w:val="24"/>
                <w:szCs w:val="24"/>
              </w:rPr>
              <w:t xml:space="preserve">La </w:t>
            </w:r>
            <w:bookmarkStart w:id="0" w:name="_GoBack"/>
            <w:r w:rsidRPr="00C17FA0">
              <w:rPr>
                <w:rFonts w:ascii="Arial" w:hAnsi="Arial" w:cs="Arial"/>
                <w:sz w:val="24"/>
                <w:szCs w:val="24"/>
              </w:rPr>
              <w:t xml:space="preserve">Comisión de Derechos Humanos de la Ciudad de México (CDHCM) </w:t>
            </w:r>
            <w:bookmarkEnd w:id="0"/>
            <w:r w:rsidRPr="00C17FA0">
              <w:rPr>
                <w:rFonts w:ascii="Arial" w:hAnsi="Arial" w:cs="Arial"/>
                <w:sz w:val="24"/>
                <w:szCs w:val="24"/>
              </w:rPr>
              <w:t xml:space="preserve">es un organismo público autónomo, con personalidad jurídica y patrimonio propio, cuyo objetivo es la protección, defensa, vigilancia, promoción, estudio, educación y difusión de los derechos humanos de las personas que habitan y transitan en la Ciudad de México (CDMX), así como el combate a toda forma de discriminación y exclusión, como consecuencia de un acto de autoridad en contra de cualquier persona o grupo social. </w:t>
            </w:r>
          </w:p>
          <w:p w:rsidR="00C17FA0" w:rsidRPr="00C17FA0" w:rsidRDefault="00C17FA0" w:rsidP="00C17F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17FA0" w:rsidRPr="00C17FA0" w:rsidRDefault="00C17FA0" w:rsidP="00C17F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7FA0">
              <w:rPr>
                <w:rFonts w:ascii="Arial" w:hAnsi="Arial" w:cs="Arial"/>
                <w:sz w:val="24"/>
                <w:szCs w:val="24"/>
              </w:rPr>
              <w:t xml:space="preserve">En atención a la invitación realizada por El Comité para proveer comentarios al borrador de la </w:t>
            </w:r>
            <w:r w:rsidR="008F0F08">
              <w:rPr>
                <w:rFonts w:ascii="Arial" w:hAnsi="Arial" w:cs="Arial"/>
                <w:i/>
                <w:sz w:val="24"/>
                <w:szCs w:val="24"/>
              </w:rPr>
              <w:t>Comentario</w:t>
            </w:r>
            <w:r w:rsidRPr="00C17FA0">
              <w:rPr>
                <w:rFonts w:ascii="Arial" w:hAnsi="Arial" w:cs="Arial"/>
                <w:i/>
                <w:sz w:val="24"/>
                <w:szCs w:val="24"/>
              </w:rPr>
              <w:t xml:space="preserve"> General 37 relacionada al artículo 21 de la Convención Internacional de Derechos Civiles y Políticos</w:t>
            </w:r>
            <w:r w:rsidRPr="00C17FA0">
              <w:rPr>
                <w:rFonts w:ascii="Arial" w:hAnsi="Arial" w:cs="Arial"/>
                <w:sz w:val="24"/>
                <w:szCs w:val="24"/>
              </w:rPr>
              <w:t>, la CDHCM ha considerado aportar elementos para incluir la perspectiva de protección reforzada a adolescentes en el ejercicio de su derecho de reunión pacífica. Asimismo, considera oportuno que incorpore pautas específicas para el acompañamiento y garantía de derechos de personas con discapacidad en el ejercicio de su derecho de reunión pacífica, como parte de las obligaciones del Estado en la materia y de necesaria incorporación en la normativa que lo regule.</w:t>
            </w:r>
          </w:p>
          <w:p w:rsidR="00C17FA0" w:rsidRPr="00C17FA0" w:rsidRDefault="00C17FA0" w:rsidP="00C17F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17FA0" w:rsidRPr="00C17FA0" w:rsidRDefault="00C17FA0" w:rsidP="00C17FA0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17FA0">
              <w:rPr>
                <w:rFonts w:ascii="Arial" w:hAnsi="Arial" w:cs="Arial"/>
                <w:b/>
                <w:sz w:val="24"/>
                <w:szCs w:val="24"/>
              </w:rPr>
              <w:t>Información del Estado y/o la organización</w:t>
            </w:r>
          </w:p>
          <w:p w:rsidR="00C17FA0" w:rsidRPr="00C17FA0" w:rsidRDefault="00C17FA0" w:rsidP="00C17F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17FA0" w:rsidRPr="00C17FA0" w:rsidRDefault="00C17FA0" w:rsidP="00C17F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7FA0">
              <w:rPr>
                <w:rFonts w:ascii="Arial" w:hAnsi="Arial" w:cs="Arial"/>
                <w:i/>
                <w:sz w:val="24"/>
                <w:szCs w:val="24"/>
              </w:rPr>
              <w:t>Nombre de la institución:</w:t>
            </w:r>
            <w:r w:rsidRPr="00C17FA0">
              <w:rPr>
                <w:rFonts w:ascii="Arial" w:hAnsi="Arial" w:cs="Arial"/>
                <w:sz w:val="24"/>
                <w:szCs w:val="24"/>
              </w:rPr>
              <w:t xml:space="preserve"> Comisión de Derechos Humanos de la Ciudad de México (CDHCM)</w:t>
            </w:r>
          </w:p>
          <w:p w:rsidR="00C17FA0" w:rsidRPr="00C17FA0" w:rsidRDefault="00C17FA0" w:rsidP="00C17F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7FA0">
              <w:rPr>
                <w:rFonts w:ascii="Arial" w:hAnsi="Arial" w:cs="Arial"/>
                <w:i/>
                <w:sz w:val="24"/>
                <w:szCs w:val="24"/>
              </w:rPr>
              <w:t>País:</w:t>
            </w:r>
            <w:r w:rsidRPr="00C17FA0">
              <w:rPr>
                <w:rFonts w:ascii="Arial" w:hAnsi="Arial" w:cs="Arial"/>
                <w:sz w:val="24"/>
                <w:szCs w:val="24"/>
              </w:rPr>
              <w:t xml:space="preserve"> México </w:t>
            </w:r>
          </w:p>
          <w:p w:rsidR="00C17FA0" w:rsidRPr="00C17FA0" w:rsidRDefault="00C17FA0" w:rsidP="00C17FA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17FA0">
              <w:rPr>
                <w:rFonts w:ascii="Arial" w:hAnsi="Arial" w:cs="Arial"/>
                <w:i/>
                <w:sz w:val="24"/>
                <w:szCs w:val="24"/>
              </w:rPr>
              <w:t>Información de contacto:</w:t>
            </w:r>
            <w:r w:rsidRPr="00C17F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17FA0">
              <w:rPr>
                <w:rFonts w:ascii="Arial" w:hAnsi="Arial" w:cs="Arial"/>
                <w:sz w:val="24"/>
                <w:szCs w:val="24"/>
              </w:rPr>
              <w:t xml:space="preserve">Secretaria Ejecutiva, Tel. </w:t>
            </w:r>
            <w:r w:rsidRPr="00C17FA0">
              <w:rPr>
                <w:rFonts w:ascii="Arial" w:hAnsi="Arial" w:cs="Arial"/>
                <w:sz w:val="24"/>
                <w:szCs w:val="24"/>
                <w:lang w:val="en-US"/>
              </w:rPr>
              <w:t xml:space="preserve">+ (52) 55.52.29.56.00 Ext. 2404, </w:t>
            </w:r>
            <w:hyperlink r:id="rId12" w:history="1">
              <w:r w:rsidRPr="00C17FA0">
                <w:rPr>
                  <w:rStyle w:val="Hyperlink"/>
                  <w:rFonts w:ascii="Arial" w:hAnsi="Arial" w:cs="Arial"/>
                  <w:sz w:val="24"/>
                  <w:szCs w:val="24"/>
                  <w:lang w:val="en-US"/>
                </w:rPr>
                <w:t>secretaria.ejecutiva@cdhcm.org.mx</w:t>
              </w:r>
            </w:hyperlink>
            <w:r w:rsidRPr="00C17FA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C17FA0" w:rsidRDefault="00C17FA0" w:rsidP="00C17F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7FA0">
              <w:rPr>
                <w:rFonts w:ascii="Arial" w:hAnsi="Arial" w:cs="Arial"/>
                <w:i/>
                <w:sz w:val="24"/>
                <w:szCs w:val="24"/>
              </w:rPr>
              <w:t>Fecha:</w:t>
            </w:r>
            <w:r w:rsidRPr="00C17FA0">
              <w:rPr>
                <w:rFonts w:ascii="Arial" w:hAnsi="Arial" w:cs="Arial"/>
                <w:sz w:val="24"/>
                <w:szCs w:val="24"/>
              </w:rPr>
              <w:t xml:space="preserve"> 21 de febrero de 2020</w:t>
            </w:r>
          </w:p>
          <w:p w:rsidR="00C17FA0" w:rsidRDefault="00C17FA0" w:rsidP="00C17F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17FA0" w:rsidRDefault="00C17FA0" w:rsidP="00C17F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17FA0" w:rsidRDefault="00C17FA0" w:rsidP="00C17F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17FA0" w:rsidRDefault="00C17FA0" w:rsidP="00C17F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17FA0" w:rsidRDefault="00C17FA0" w:rsidP="00C17F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17FA0" w:rsidRPr="00C17FA0" w:rsidRDefault="00C17FA0" w:rsidP="00C17F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17FA0" w:rsidRPr="00C17FA0" w:rsidRDefault="00C17FA0" w:rsidP="00C17FA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85664" w:rsidRPr="00C17FA0" w:rsidRDefault="007961AB" w:rsidP="002D13D1">
            <w:pPr>
              <w:pStyle w:val="ListParagraph"/>
              <w:numPr>
                <w:ilvl w:val="0"/>
                <w:numId w:val="10"/>
              </w:numPr>
              <w:spacing w:line="360" w:lineRule="auto"/>
              <w:ind w:right="528"/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C17FA0">
              <w:rPr>
                <w:rFonts w:cstheme="minorHAnsi"/>
                <w:b/>
                <w:sz w:val="24"/>
                <w:szCs w:val="24"/>
              </w:rPr>
              <w:lastRenderedPageBreak/>
              <w:t>Obligaciones del Estado para respetar los derechos de niñas, niños y adolescentes en el ejercicio de su derecho de reunión pacífica.</w:t>
            </w:r>
          </w:p>
          <w:p w:rsidR="00690ECF" w:rsidRPr="00C17FA0" w:rsidRDefault="00690ECF" w:rsidP="002D13D1">
            <w:pPr>
              <w:spacing w:line="360" w:lineRule="auto"/>
              <w:ind w:right="528"/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C17FA0">
              <w:rPr>
                <w:rFonts w:cstheme="minorHAnsi"/>
                <w:sz w:val="24"/>
                <w:szCs w:val="24"/>
                <w:lang w:val="es-MX"/>
              </w:rPr>
              <w:t>El borrador de la Observación General No. 37 explicita el derecho de reunión pacífica de niñas y niños. Sin embargo, no interpreta la obligación de los Estados parte con respecto a su protección reforzada en el ejercicio de ese derecho.</w:t>
            </w:r>
          </w:p>
          <w:p w:rsidR="002D13D1" w:rsidRPr="00C17FA0" w:rsidRDefault="002D13D1" w:rsidP="002D13D1">
            <w:pPr>
              <w:spacing w:line="360" w:lineRule="auto"/>
              <w:ind w:right="528"/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C17FA0">
              <w:rPr>
                <w:rFonts w:cstheme="minorHAnsi"/>
                <w:sz w:val="24"/>
                <w:szCs w:val="24"/>
                <w:lang w:val="es-MX"/>
              </w:rPr>
              <w:t>Lo anterior es relevante dada la frecuencia de participación de adolescentes en las manifestaciones públicas y protestas, así como el reconocimiento de la incidencia de conflicto entre las autoridades encargadas de hacer cumplir la ley e integrantes de esa población con resultados generalmente lesivos a sus derechos humanos.</w:t>
            </w:r>
          </w:p>
          <w:p w:rsidR="007961AB" w:rsidRPr="00C17FA0" w:rsidRDefault="002D13D1" w:rsidP="002D13D1">
            <w:pPr>
              <w:spacing w:line="360" w:lineRule="auto"/>
              <w:ind w:right="528"/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C17FA0">
              <w:rPr>
                <w:rFonts w:cstheme="minorHAnsi"/>
                <w:sz w:val="24"/>
                <w:szCs w:val="24"/>
                <w:lang w:val="es-MX"/>
              </w:rPr>
              <w:t>Por ello, la interpretación que el Comité haga al respecto de los estándares de cumplimiento de las obligaciones de Estados parte aplicados a la protección reforzada de niñas, niños y adolescentes en el ejercicio de su derecho a la reunión pacífica fijaría un piso mínimo de incorporación en legislación y medidas administrativas.</w:t>
            </w:r>
          </w:p>
          <w:p w:rsidR="007961AB" w:rsidRPr="00C17FA0" w:rsidRDefault="007961AB" w:rsidP="002D13D1">
            <w:pPr>
              <w:pStyle w:val="ListParagraph"/>
              <w:numPr>
                <w:ilvl w:val="0"/>
                <w:numId w:val="10"/>
              </w:numPr>
              <w:spacing w:line="360" w:lineRule="auto"/>
              <w:ind w:right="528"/>
              <w:jc w:val="both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C17FA0">
              <w:rPr>
                <w:rFonts w:cstheme="minorHAnsi"/>
                <w:b/>
                <w:sz w:val="24"/>
                <w:szCs w:val="24"/>
                <w:lang w:val="es-MX"/>
              </w:rPr>
              <w:t>Obligaciones del Estado para respetar los derechos de las personas con discapacidad en el ejercicio de su derecho de reunión pacífica.</w:t>
            </w:r>
          </w:p>
          <w:p w:rsidR="00690ECF" w:rsidRPr="00C17FA0" w:rsidRDefault="0074332E" w:rsidP="002D13D1">
            <w:pPr>
              <w:spacing w:line="360" w:lineRule="auto"/>
              <w:ind w:right="528"/>
              <w:jc w:val="both"/>
              <w:rPr>
                <w:rFonts w:cstheme="minorHAnsi"/>
                <w:sz w:val="24"/>
                <w:szCs w:val="24"/>
              </w:rPr>
            </w:pPr>
            <w:r w:rsidRPr="00C17FA0">
              <w:rPr>
                <w:rFonts w:cstheme="minorHAnsi"/>
                <w:sz w:val="24"/>
                <w:szCs w:val="24"/>
              </w:rPr>
              <w:t>El ejercicio del derecho de reunión pacífica puede representar desafíos particulares para las personas con discapacidad</w:t>
            </w:r>
            <w:r w:rsidR="00690ECF" w:rsidRPr="00C17FA0">
              <w:rPr>
                <w:rFonts w:cstheme="minorHAnsi"/>
                <w:sz w:val="24"/>
                <w:szCs w:val="24"/>
              </w:rPr>
              <w:t>, sin embargo, el establecimiento de medidas orientadas a disminuir la brecha en el ejercicio de ese derecho es necesario para que las personas con discapacidad ejerzan a su vez, otros derechos civiles y políticos</w:t>
            </w:r>
            <w:r w:rsidR="002E06DB" w:rsidRPr="00C17FA0">
              <w:rPr>
                <w:rFonts w:cstheme="minorHAnsi"/>
                <w:sz w:val="24"/>
                <w:szCs w:val="24"/>
              </w:rPr>
              <w:t xml:space="preserve"> que</w:t>
            </w:r>
            <w:r w:rsidR="002D13D1" w:rsidRPr="00C17FA0">
              <w:rPr>
                <w:rFonts w:cstheme="minorHAnsi"/>
                <w:sz w:val="24"/>
                <w:szCs w:val="24"/>
              </w:rPr>
              <w:t xml:space="preserve"> les </w:t>
            </w:r>
            <w:r w:rsidR="002E06DB" w:rsidRPr="00C17FA0">
              <w:rPr>
                <w:rFonts w:cstheme="minorHAnsi"/>
                <w:sz w:val="24"/>
                <w:szCs w:val="24"/>
              </w:rPr>
              <w:t>permitan la consecución y progresividad en la garantía de otros derechos humanos en igualdad</w:t>
            </w:r>
            <w:r w:rsidR="00690ECF" w:rsidRPr="00C17FA0">
              <w:rPr>
                <w:rFonts w:cstheme="minorHAnsi"/>
                <w:sz w:val="24"/>
                <w:szCs w:val="24"/>
              </w:rPr>
              <w:t>.</w:t>
            </w:r>
          </w:p>
          <w:p w:rsidR="00690ECF" w:rsidRPr="00C17FA0" w:rsidRDefault="00690ECF" w:rsidP="002D13D1">
            <w:pPr>
              <w:spacing w:line="360" w:lineRule="auto"/>
              <w:ind w:right="528"/>
              <w:jc w:val="both"/>
              <w:rPr>
                <w:rFonts w:cstheme="minorHAnsi"/>
                <w:sz w:val="24"/>
                <w:szCs w:val="24"/>
              </w:rPr>
            </w:pPr>
            <w:r w:rsidRPr="00C17FA0">
              <w:rPr>
                <w:rFonts w:cstheme="minorHAnsi"/>
                <w:sz w:val="24"/>
                <w:szCs w:val="24"/>
              </w:rPr>
              <w:t>Dado que el derecho de reunión pacífica es una forma de ejercer la autonomía individua</w:t>
            </w:r>
            <w:r w:rsidR="002D13D1" w:rsidRPr="00C17FA0">
              <w:rPr>
                <w:rFonts w:cstheme="minorHAnsi"/>
                <w:sz w:val="24"/>
                <w:szCs w:val="24"/>
              </w:rPr>
              <w:t>l</w:t>
            </w:r>
            <w:r w:rsidRPr="00C17FA0">
              <w:rPr>
                <w:rFonts w:cstheme="minorHAnsi"/>
                <w:sz w:val="24"/>
                <w:szCs w:val="24"/>
              </w:rPr>
              <w:t xml:space="preserve"> en solidaridad con el resto</w:t>
            </w:r>
            <w:r w:rsidR="002D13D1" w:rsidRPr="00C17FA0">
              <w:rPr>
                <w:rFonts w:cstheme="minorHAnsi"/>
                <w:sz w:val="24"/>
                <w:szCs w:val="24"/>
              </w:rPr>
              <w:t xml:space="preserve"> de las personas</w:t>
            </w:r>
            <w:r w:rsidRPr="00C17FA0">
              <w:rPr>
                <w:rFonts w:cstheme="minorHAnsi"/>
                <w:sz w:val="24"/>
                <w:szCs w:val="24"/>
              </w:rPr>
              <w:t xml:space="preserve">, permite la participación en la comunidad y es una expresión de la vida independiente de las personas con discapacidad. </w:t>
            </w:r>
          </w:p>
          <w:p w:rsidR="0074332E" w:rsidRPr="00C17FA0" w:rsidRDefault="0074332E" w:rsidP="002D13D1">
            <w:pPr>
              <w:spacing w:line="360" w:lineRule="auto"/>
              <w:ind w:right="528"/>
              <w:jc w:val="both"/>
              <w:rPr>
                <w:rFonts w:cstheme="minorHAnsi"/>
                <w:sz w:val="24"/>
                <w:szCs w:val="24"/>
              </w:rPr>
            </w:pPr>
            <w:r w:rsidRPr="00C17FA0">
              <w:rPr>
                <w:rFonts w:cstheme="minorHAnsi"/>
                <w:sz w:val="24"/>
                <w:szCs w:val="24"/>
              </w:rPr>
              <w:t xml:space="preserve">En atención a los principios de la </w:t>
            </w:r>
            <w:r w:rsidRPr="00C17FA0">
              <w:rPr>
                <w:rFonts w:cstheme="minorHAnsi"/>
                <w:i/>
                <w:sz w:val="24"/>
                <w:szCs w:val="24"/>
              </w:rPr>
              <w:t>Convención sobre los Derechos de las Personas con Discapacidad</w:t>
            </w:r>
            <w:r w:rsidRPr="00C17FA0">
              <w:rPr>
                <w:rFonts w:cstheme="minorHAnsi"/>
                <w:sz w:val="24"/>
                <w:szCs w:val="24"/>
              </w:rPr>
              <w:t xml:space="preserve">, en particular el de la autonomía, </w:t>
            </w:r>
            <w:r w:rsidR="002D13D1" w:rsidRPr="00C17FA0">
              <w:rPr>
                <w:rFonts w:cstheme="minorHAnsi"/>
                <w:sz w:val="24"/>
                <w:szCs w:val="24"/>
              </w:rPr>
              <w:t xml:space="preserve">el de </w:t>
            </w:r>
            <w:r w:rsidRPr="00C17FA0">
              <w:rPr>
                <w:rFonts w:cstheme="minorHAnsi"/>
                <w:sz w:val="24"/>
                <w:szCs w:val="24"/>
              </w:rPr>
              <w:t>la independencia de las personas, la no discriminación, la participación e inclusión plenas y efectivas en la sociedad, así como la accesibilidad, es necesario que los Estados dispongan de sistemas de apoyo efectivos que permitan su participación</w:t>
            </w:r>
            <w:r w:rsidR="00690ECF" w:rsidRPr="00C17FA0">
              <w:rPr>
                <w:rFonts w:cstheme="minorHAnsi"/>
                <w:sz w:val="24"/>
                <w:szCs w:val="24"/>
              </w:rPr>
              <w:t>, con independencia de la satisfacción del principio de accesibilidad en todo momento.</w:t>
            </w:r>
          </w:p>
          <w:p w:rsidR="0074332E" w:rsidRPr="00C17FA0" w:rsidRDefault="0074332E" w:rsidP="002D13D1">
            <w:pPr>
              <w:spacing w:line="360" w:lineRule="auto"/>
              <w:ind w:right="528"/>
              <w:jc w:val="both"/>
              <w:rPr>
                <w:rFonts w:cstheme="minorHAnsi"/>
                <w:sz w:val="24"/>
                <w:szCs w:val="24"/>
              </w:rPr>
            </w:pPr>
            <w:r w:rsidRPr="00C17FA0">
              <w:rPr>
                <w:rFonts w:cstheme="minorHAnsi"/>
                <w:sz w:val="24"/>
                <w:szCs w:val="24"/>
              </w:rPr>
              <w:lastRenderedPageBreak/>
              <w:t xml:space="preserve">La Observación General No. 37 es una oportunidad para establecer las pautas </w:t>
            </w:r>
            <w:r w:rsidR="00690ECF" w:rsidRPr="00C17FA0">
              <w:rPr>
                <w:rFonts w:cstheme="minorHAnsi"/>
                <w:sz w:val="24"/>
                <w:szCs w:val="24"/>
              </w:rPr>
              <w:t xml:space="preserve">generales </w:t>
            </w:r>
            <w:r w:rsidRPr="00C17FA0">
              <w:rPr>
                <w:rFonts w:cstheme="minorHAnsi"/>
                <w:sz w:val="24"/>
                <w:szCs w:val="24"/>
              </w:rPr>
              <w:t>que debe</w:t>
            </w:r>
            <w:r w:rsidR="00690ECF" w:rsidRPr="00C17FA0">
              <w:rPr>
                <w:rFonts w:cstheme="minorHAnsi"/>
                <w:sz w:val="24"/>
                <w:szCs w:val="24"/>
              </w:rPr>
              <w:t xml:space="preserve"> </w:t>
            </w:r>
            <w:r w:rsidRPr="00C17FA0">
              <w:rPr>
                <w:rFonts w:cstheme="minorHAnsi"/>
                <w:sz w:val="24"/>
                <w:szCs w:val="24"/>
              </w:rPr>
              <w:t xml:space="preserve">cumplir </w:t>
            </w:r>
            <w:r w:rsidR="00690ECF" w:rsidRPr="00C17FA0">
              <w:rPr>
                <w:rFonts w:cstheme="minorHAnsi"/>
                <w:sz w:val="24"/>
                <w:szCs w:val="24"/>
              </w:rPr>
              <w:t xml:space="preserve">el Estado, principalmente a través de </w:t>
            </w:r>
            <w:r w:rsidRPr="00C17FA0">
              <w:rPr>
                <w:rFonts w:cstheme="minorHAnsi"/>
                <w:sz w:val="24"/>
                <w:szCs w:val="24"/>
              </w:rPr>
              <w:t>medidas administrativas</w:t>
            </w:r>
            <w:r w:rsidR="00690ECF" w:rsidRPr="00C17FA0">
              <w:rPr>
                <w:rFonts w:cstheme="minorHAnsi"/>
                <w:sz w:val="24"/>
                <w:szCs w:val="24"/>
              </w:rPr>
              <w:t xml:space="preserve"> específicas, para </w:t>
            </w:r>
            <w:r w:rsidRPr="00C17FA0">
              <w:rPr>
                <w:rFonts w:cstheme="minorHAnsi"/>
                <w:sz w:val="24"/>
                <w:szCs w:val="24"/>
              </w:rPr>
              <w:t xml:space="preserve">brindar los apoyos y medidas de accesibilidad </w:t>
            </w:r>
            <w:r w:rsidR="00690ECF" w:rsidRPr="00C17FA0">
              <w:rPr>
                <w:rFonts w:cstheme="minorHAnsi"/>
                <w:sz w:val="24"/>
                <w:szCs w:val="24"/>
              </w:rPr>
              <w:t>necesarias.</w:t>
            </w:r>
          </w:p>
          <w:p w:rsidR="00DC72F5" w:rsidRPr="00C17FA0" w:rsidRDefault="00830EAD" w:rsidP="002D13D1">
            <w:pPr>
              <w:spacing w:line="360" w:lineRule="auto"/>
              <w:ind w:right="528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17FA0">
              <w:rPr>
                <w:rFonts w:cstheme="minorHAnsi"/>
                <w:b/>
                <w:sz w:val="24"/>
                <w:szCs w:val="24"/>
              </w:rPr>
              <w:t>Conclusiones</w:t>
            </w:r>
          </w:p>
          <w:p w:rsidR="00091C86" w:rsidRPr="00C17FA0" w:rsidRDefault="002E06DB" w:rsidP="002D13D1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C17FA0">
              <w:rPr>
                <w:rFonts w:cstheme="minorHAnsi"/>
                <w:sz w:val="24"/>
                <w:szCs w:val="24"/>
              </w:rPr>
              <w:t>Si bien la Observación General No. 37 desarrolla contenido explícito respecto a la prohibición de discriminación en el ejercicio del derecho a la reunión pacífico, se observa que la inclusión de pautas generales sobre las obligaciones del Estado para garantizar el ejercicio de ese derecho a poblaciones que requieren de protección reforzada o de sistemas de apoyo para la efectiva participación,</w:t>
            </w:r>
            <w:r w:rsidR="005042FE" w:rsidRPr="00C17FA0">
              <w:rPr>
                <w:rFonts w:cstheme="minorHAnsi"/>
                <w:sz w:val="24"/>
                <w:szCs w:val="24"/>
              </w:rPr>
              <w:t xml:space="preserve"> </w:t>
            </w:r>
            <w:r w:rsidRPr="00C17FA0">
              <w:rPr>
                <w:rFonts w:cstheme="minorHAnsi"/>
                <w:sz w:val="24"/>
                <w:szCs w:val="24"/>
              </w:rPr>
              <w:t>contribuiría a que los Estados parte incluyeran en su legislación y protocolos de actuación</w:t>
            </w:r>
            <w:r w:rsidR="002D13D1" w:rsidRPr="00C17FA0">
              <w:rPr>
                <w:rFonts w:cstheme="minorHAnsi"/>
                <w:sz w:val="24"/>
                <w:szCs w:val="24"/>
              </w:rPr>
              <w:t xml:space="preserve"> estándares mínimos para garantizar sus derechos.</w:t>
            </w:r>
          </w:p>
        </w:tc>
      </w:tr>
    </w:tbl>
    <w:p w:rsidR="002C11ED" w:rsidRPr="0013167F" w:rsidRDefault="002C11ED" w:rsidP="000B29C6">
      <w:pPr>
        <w:jc w:val="both"/>
        <w:rPr>
          <w:rFonts w:asciiTheme="majorHAnsi" w:hAnsiTheme="majorHAnsi" w:cstheme="majorHAnsi"/>
          <w:sz w:val="20"/>
          <w:szCs w:val="20"/>
        </w:rPr>
      </w:pPr>
    </w:p>
    <w:sectPr w:rsidR="002C11ED" w:rsidRPr="0013167F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21A" w:rsidRDefault="0038421A">
      <w:pPr>
        <w:spacing w:after="0" w:line="240" w:lineRule="auto"/>
      </w:pPr>
      <w:r>
        <w:separator/>
      </w:r>
    </w:p>
  </w:endnote>
  <w:endnote w:type="continuationSeparator" w:id="0">
    <w:p w:rsidR="0038421A" w:rsidRDefault="0038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9202747"/>
      <w:docPartObj>
        <w:docPartGallery w:val="Page Numbers (Bottom of Page)"/>
        <w:docPartUnique/>
      </w:docPartObj>
    </w:sdtPr>
    <w:sdtEndPr/>
    <w:sdtContent>
      <w:p w:rsidR="00C17FA0" w:rsidRDefault="00C17F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D89" w:rsidRPr="00642D89">
          <w:rPr>
            <w:noProof/>
            <w:lang w:val="es-ES"/>
          </w:rPr>
          <w:t>1</w:t>
        </w:r>
        <w:r>
          <w:fldChar w:fldCharType="end"/>
        </w:r>
      </w:p>
    </w:sdtContent>
  </w:sdt>
  <w:p w:rsidR="0004541D" w:rsidRDefault="000454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21A" w:rsidRDefault="0038421A">
      <w:pPr>
        <w:spacing w:after="0" w:line="240" w:lineRule="auto"/>
      </w:pPr>
      <w:r>
        <w:separator/>
      </w:r>
    </w:p>
  </w:footnote>
  <w:footnote w:type="continuationSeparator" w:id="0">
    <w:p w:rsidR="0038421A" w:rsidRDefault="0038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A0" w:rsidRDefault="00C17FA0" w:rsidP="00887611">
    <w:pPr>
      <w:pStyle w:val="Header"/>
      <w:jc w:val="right"/>
    </w:pPr>
    <w:r>
      <w:t>Comisión de Derechos Humanos de la Ciudad de México</w:t>
    </w:r>
  </w:p>
  <w:p w:rsidR="00887611" w:rsidRDefault="00C17FA0" w:rsidP="00887611">
    <w:pPr>
      <w:pStyle w:val="Header"/>
      <w:jc w:val="right"/>
    </w:pPr>
    <w:r>
      <w:t xml:space="preserve">21 de febrero de </w:t>
    </w:r>
    <w:r w:rsidR="00887611"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A0641"/>
    <w:multiLevelType w:val="hybridMultilevel"/>
    <w:tmpl w:val="78F82B9E"/>
    <w:lvl w:ilvl="0" w:tplc="CBF645AE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056412C"/>
    <w:multiLevelType w:val="hybridMultilevel"/>
    <w:tmpl w:val="8E1C35DC"/>
    <w:lvl w:ilvl="0" w:tplc="807E0808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6C7155"/>
    <w:multiLevelType w:val="hybridMultilevel"/>
    <w:tmpl w:val="AE06A67C"/>
    <w:lvl w:ilvl="0" w:tplc="63F0736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333A78"/>
    <w:multiLevelType w:val="hybridMultilevel"/>
    <w:tmpl w:val="5FC09E0C"/>
    <w:lvl w:ilvl="0" w:tplc="4C3E54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2368B4"/>
    <w:multiLevelType w:val="hybridMultilevel"/>
    <w:tmpl w:val="1B26D40C"/>
    <w:lvl w:ilvl="0" w:tplc="3EF4614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A629B6"/>
    <w:multiLevelType w:val="hybridMultilevel"/>
    <w:tmpl w:val="E4CACF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A020D"/>
    <w:multiLevelType w:val="hybridMultilevel"/>
    <w:tmpl w:val="D4A2E4D6"/>
    <w:lvl w:ilvl="0" w:tplc="569865DA">
      <w:start w:val="1"/>
      <w:numFmt w:val="lowerLetter"/>
      <w:lvlText w:val="(%1)"/>
      <w:lvlJc w:val="left"/>
      <w:pPr>
        <w:ind w:left="178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508" w:hanging="360"/>
      </w:pPr>
    </w:lvl>
    <w:lvl w:ilvl="2" w:tplc="340A001B" w:tentative="1">
      <w:start w:val="1"/>
      <w:numFmt w:val="lowerRoman"/>
      <w:lvlText w:val="%3."/>
      <w:lvlJc w:val="right"/>
      <w:pPr>
        <w:ind w:left="3228" w:hanging="180"/>
      </w:pPr>
    </w:lvl>
    <w:lvl w:ilvl="3" w:tplc="340A000F" w:tentative="1">
      <w:start w:val="1"/>
      <w:numFmt w:val="decimal"/>
      <w:lvlText w:val="%4."/>
      <w:lvlJc w:val="left"/>
      <w:pPr>
        <w:ind w:left="3948" w:hanging="360"/>
      </w:pPr>
    </w:lvl>
    <w:lvl w:ilvl="4" w:tplc="340A0019" w:tentative="1">
      <w:start w:val="1"/>
      <w:numFmt w:val="lowerLetter"/>
      <w:lvlText w:val="%5."/>
      <w:lvlJc w:val="left"/>
      <w:pPr>
        <w:ind w:left="4668" w:hanging="360"/>
      </w:pPr>
    </w:lvl>
    <w:lvl w:ilvl="5" w:tplc="340A001B" w:tentative="1">
      <w:start w:val="1"/>
      <w:numFmt w:val="lowerRoman"/>
      <w:lvlText w:val="%6."/>
      <w:lvlJc w:val="right"/>
      <w:pPr>
        <w:ind w:left="5388" w:hanging="180"/>
      </w:pPr>
    </w:lvl>
    <w:lvl w:ilvl="6" w:tplc="340A000F" w:tentative="1">
      <w:start w:val="1"/>
      <w:numFmt w:val="decimal"/>
      <w:lvlText w:val="%7."/>
      <w:lvlJc w:val="left"/>
      <w:pPr>
        <w:ind w:left="6108" w:hanging="360"/>
      </w:pPr>
    </w:lvl>
    <w:lvl w:ilvl="7" w:tplc="340A0019" w:tentative="1">
      <w:start w:val="1"/>
      <w:numFmt w:val="lowerLetter"/>
      <w:lvlText w:val="%8."/>
      <w:lvlJc w:val="left"/>
      <w:pPr>
        <w:ind w:left="6828" w:hanging="360"/>
      </w:pPr>
    </w:lvl>
    <w:lvl w:ilvl="8" w:tplc="34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76557520"/>
    <w:multiLevelType w:val="hybridMultilevel"/>
    <w:tmpl w:val="1AF8E504"/>
    <w:lvl w:ilvl="0" w:tplc="56080C4C">
      <w:start w:val="4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8DA03EB"/>
    <w:multiLevelType w:val="hybridMultilevel"/>
    <w:tmpl w:val="C6ECC562"/>
    <w:lvl w:ilvl="0" w:tplc="9E7A14F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B4C8C"/>
    <w:multiLevelType w:val="hybridMultilevel"/>
    <w:tmpl w:val="C2DCF4F6"/>
    <w:lvl w:ilvl="0" w:tplc="45985C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86"/>
    <w:rsid w:val="000260F8"/>
    <w:rsid w:val="0004541D"/>
    <w:rsid w:val="00074D15"/>
    <w:rsid w:val="000808E8"/>
    <w:rsid w:val="00091C86"/>
    <w:rsid w:val="000B29C6"/>
    <w:rsid w:val="000C15BF"/>
    <w:rsid w:val="0013167F"/>
    <w:rsid w:val="00136A27"/>
    <w:rsid w:val="00141256"/>
    <w:rsid w:val="00147219"/>
    <w:rsid w:val="001506DF"/>
    <w:rsid w:val="00165FED"/>
    <w:rsid w:val="00185664"/>
    <w:rsid w:val="00191358"/>
    <w:rsid w:val="001B2FC0"/>
    <w:rsid w:val="001D47D3"/>
    <w:rsid w:val="001D75E8"/>
    <w:rsid w:val="001E120A"/>
    <w:rsid w:val="001F26B1"/>
    <w:rsid w:val="001F40B9"/>
    <w:rsid w:val="00215519"/>
    <w:rsid w:val="002176BE"/>
    <w:rsid w:val="002300C9"/>
    <w:rsid w:val="00265309"/>
    <w:rsid w:val="00275C9E"/>
    <w:rsid w:val="002C11ED"/>
    <w:rsid w:val="002D13D1"/>
    <w:rsid w:val="002D561F"/>
    <w:rsid w:val="002E06DB"/>
    <w:rsid w:val="002E0EDF"/>
    <w:rsid w:val="002E1710"/>
    <w:rsid w:val="002F01F0"/>
    <w:rsid w:val="00331676"/>
    <w:rsid w:val="00336091"/>
    <w:rsid w:val="003403B6"/>
    <w:rsid w:val="00356513"/>
    <w:rsid w:val="003577E1"/>
    <w:rsid w:val="0038421A"/>
    <w:rsid w:val="0039374B"/>
    <w:rsid w:val="0039422A"/>
    <w:rsid w:val="003F4ED0"/>
    <w:rsid w:val="004243F5"/>
    <w:rsid w:val="00430674"/>
    <w:rsid w:val="004346C9"/>
    <w:rsid w:val="004415F5"/>
    <w:rsid w:val="00446735"/>
    <w:rsid w:val="00452317"/>
    <w:rsid w:val="004A1413"/>
    <w:rsid w:val="004A67EE"/>
    <w:rsid w:val="004B2AC2"/>
    <w:rsid w:val="004D4114"/>
    <w:rsid w:val="004D72DA"/>
    <w:rsid w:val="004E2209"/>
    <w:rsid w:val="004F676D"/>
    <w:rsid w:val="005042FE"/>
    <w:rsid w:val="00514421"/>
    <w:rsid w:val="00520FCF"/>
    <w:rsid w:val="005470DE"/>
    <w:rsid w:val="0055012F"/>
    <w:rsid w:val="0055148C"/>
    <w:rsid w:val="00556BC8"/>
    <w:rsid w:val="00560EF4"/>
    <w:rsid w:val="005676E0"/>
    <w:rsid w:val="00575E79"/>
    <w:rsid w:val="00582693"/>
    <w:rsid w:val="005A5C05"/>
    <w:rsid w:val="005A7557"/>
    <w:rsid w:val="005B399B"/>
    <w:rsid w:val="005D1EE0"/>
    <w:rsid w:val="005D4C16"/>
    <w:rsid w:val="005D5777"/>
    <w:rsid w:val="005D790F"/>
    <w:rsid w:val="005E7365"/>
    <w:rsid w:val="00600D78"/>
    <w:rsid w:val="00601B3B"/>
    <w:rsid w:val="006138DA"/>
    <w:rsid w:val="006320C1"/>
    <w:rsid w:val="00636BE1"/>
    <w:rsid w:val="00642D89"/>
    <w:rsid w:val="00645CCC"/>
    <w:rsid w:val="006561D0"/>
    <w:rsid w:val="00663BBB"/>
    <w:rsid w:val="00687707"/>
    <w:rsid w:val="00690ECF"/>
    <w:rsid w:val="006B1C7A"/>
    <w:rsid w:val="006D21F2"/>
    <w:rsid w:val="006F3716"/>
    <w:rsid w:val="0071204A"/>
    <w:rsid w:val="0074332E"/>
    <w:rsid w:val="00746CF3"/>
    <w:rsid w:val="0076727A"/>
    <w:rsid w:val="00771306"/>
    <w:rsid w:val="00785797"/>
    <w:rsid w:val="007961AB"/>
    <w:rsid w:val="007A5625"/>
    <w:rsid w:val="007C529D"/>
    <w:rsid w:val="007D7DE4"/>
    <w:rsid w:val="007E201D"/>
    <w:rsid w:val="007E4F3F"/>
    <w:rsid w:val="00801EEA"/>
    <w:rsid w:val="008057AA"/>
    <w:rsid w:val="00830EAD"/>
    <w:rsid w:val="00832334"/>
    <w:rsid w:val="00847614"/>
    <w:rsid w:val="00854EE6"/>
    <w:rsid w:val="0086040D"/>
    <w:rsid w:val="008630B1"/>
    <w:rsid w:val="00877EBC"/>
    <w:rsid w:val="00886106"/>
    <w:rsid w:val="0088702A"/>
    <w:rsid w:val="00887611"/>
    <w:rsid w:val="0089068A"/>
    <w:rsid w:val="00895562"/>
    <w:rsid w:val="008B0640"/>
    <w:rsid w:val="008B1FD3"/>
    <w:rsid w:val="008C6E97"/>
    <w:rsid w:val="008D589D"/>
    <w:rsid w:val="008F0F08"/>
    <w:rsid w:val="0090329C"/>
    <w:rsid w:val="00933169"/>
    <w:rsid w:val="00941585"/>
    <w:rsid w:val="0096094D"/>
    <w:rsid w:val="00962511"/>
    <w:rsid w:val="009719D8"/>
    <w:rsid w:val="00981DA1"/>
    <w:rsid w:val="009A09DB"/>
    <w:rsid w:val="009B2423"/>
    <w:rsid w:val="009C6196"/>
    <w:rsid w:val="009E7AB2"/>
    <w:rsid w:val="00A05C17"/>
    <w:rsid w:val="00A40E70"/>
    <w:rsid w:val="00A43F1D"/>
    <w:rsid w:val="00A66E51"/>
    <w:rsid w:val="00A731BA"/>
    <w:rsid w:val="00A77C94"/>
    <w:rsid w:val="00A85592"/>
    <w:rsid w:val="00A97C01"/>
    <w:rsid w:val="00AA059A"/>
    <w:rsid w:val="00AA4C19"/>
    <w:rsid w:val="00AC4DC0"/>
    <w:rsid w:val="00AD0DA9"/>
    <w:rsid w:val="00AD3825"/>
    <w:rsid w:val="00AE51C8"/>
    <w:rsid w:val="00AF501A"/>
    <w:rsid w:val="00AF7BC1"/>
    <w:rsid w:val="00B31038"/>
    <w:rsid w:val="00B52778"/>
    <w:rsid w:val="00B638D6"/>
    <w:rsid w:val="00B75155"/>
    <w:rsid w:val="00B97F49"/>
    <w:rsid w:val="00BA72A7"/>
    <w:rsid w:val="00BB273F"/>
    <w:rsid w:val="00BE4938"/>
    <w:rsid w:val="00BF0D89"/>
    <w:rsid w:val="00C06EE5"/>
    <w:rsid w:val="00C10EA0"/>
    <w:rsid w:val="00C13D6B"/>
    <w:rsid w:val="00C15AAD"/>
    <w:rsid w:val="00C17FA0"/>
    <w:rsid w:val="00C210A2"/>
    <w:rsid w:val="00C3578E"/>
    <w:rsid w:val="00C43A9D"/>
    <w:rsid w:val="00C46414"/>
    <w:rsid w:val="00C52932"/>
    <w:rsid w:val="00C54A8A"/>
    <w:rsid w:val="00C6674D"/>
    <w:rsid w:val="00C9456D"/>
    <w:rsid w:val="00C95C88"/>
    <w:rsid w:val="00CA6B5F"/>
    <w:rsid w:val="00CE3E8E"/>
    <w:rsid w:val="00CF1D89"/>
    <w:rsid w:val="00D007D2"/>
    <w:rsid w:val="00D00A79"/>
    <w:rsid w:val="00D04A12"/>
    <w:rsid w:val="00D06583"/>
    <w:rsid w:val="00D42C5E"/>
    <w:rsid w:val="00D62A04"/>
    <w:rsid w:val="00D65039"/>
    <w:rsid w:val="00D67D43"/>
    <w:rsid w:val="00D82676"/>
    <w:rsid w:val="00D84AFF"/>
    <w:rsid w:val="00D86C59"/>
    <w:rsid w:val="00DA19CF"/>
    <w:rsid w:val="00DA208A"/>
    <w:rsid w:val="00DC72F5"/>
    <w:rsid w:val="00DD2270"/>
    <w:rsid w:val="00E071BB"/>
    <w:rsid w:val="00E12378"/>
    <w:rsid w:val="00E1559D"/>
    <w:rsid w:val="00E16110"/>
    <w:rsid w:val="00E254BC"/>
    <w:rsid w:val="00E365AD"/>
    <w:rsid w:val="00E37108"/>
    <w:rsid w:val="00E53A1E"/>
    <w:rsid w:val="00E5661E"/>
    <w:rsid w:val="00E7481B"/>
    <w:rsid w:val="00E93434"/>
    <w:rsid w:val="00EB1AFD"/>
    <w:rsid w:val="00EC40A0"/>
    <w:rsid w:val="00ED4375"/>
    <w:rsid w:val="00EF4F44"/>
    <w:rsid w:val="00F0152D"/>
    <w:rsid w:val="00F20B27"/>
    <w:rsid w:val="00F707E6"/>
    <w:rsid w:val="00F760FA"/>
    <w:rsid w:val="00FB5729"/>
    <w:rsid w:val="00FD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062CF-152B-41C4-AA6D-E187A584F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169"/>
  </w:style>
  <w:style w:type="paragraph" w:styleId="Heading1">
    <w:name w:val="heading 1"/>
    <w:basedOn w:val="Normal"/>
    <w:next w:val="Normal"/>
    <w:link w:val="Heading1Char"/>
    <w:uiPriority w:val="9"/>
    <w:qFormat/>
    <w:rsid w:val="00BF0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C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0D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LightShading-Accent1">
    <w:name w:val="Light Shading Accent 1"/>
    <w:basedOn w:val="TableNormal"/>
    <w:uiPriority w:val="60"/>
    <w:semiHidden/>
    <w:unhideWhenUsed/>
    <w:rsid w:val="00BF0D8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D84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2AC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2A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2AC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02A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20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0FCF"/>
    <w:rPr>
      <w:rFonts w:ascii="Courier New" w:eastAsia="Times New Roman" w:hAnsi="Courier New" w:cs="Courier New"/>
      <w:sz w:val="20"/>
      <w:szCs w:val="20"/>
      <w:lang w:eastAsia="es-CL"/>
    </w:rPr>
  </w:style>
  <w:style w:type="character" w:styleId="Hyperlink">
    <w:name w:val="Hyperlink"/>
    <w:basedOn w:val="DefaultParagraphFont"/>
    <w:uiPriority w:val="99"/>
    <w:unhideWhenUsed/>
    <w:rsid w:val="005B399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76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611"/>
  </w:style>
  <w:style w:type="paragraph" w:styleId="Footer">
    <w:name w:val="footer"/>
    <w:basedOn w:val="Normal"/>
    <w:link w:val="FooterChar"/>
    <w:uiPriority w:val="99"/>
    <w:unhideWhenUsed/>
    <w:rsid w:val="008876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cretaria.ejecutiva@cdhcm.org.m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C4574-698C-421C-A61E-1B9D5065176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4412AC-71E7-44FD-B7F8-144598393C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6B381E-8EFF-4C53-B5F7-F5DD8D4EF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8BA0E-FA9B-45AC-90B6-13346A7B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4061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cdhcm</dc:creator>
  <cp:keywords/>
  <dc:description/>
  <cp:lastModifiedBy>ROSNIANSKY Cherry Lou</cp:lastModifiedBy>
  <cp:revision>2</cp:revision>
  <cp:lastPrinted>2020-02-22T02:19:00Z</cp:lastPrinted>
  <dcterms:created xsi:type="dcterms:W3CDTF">2020-02-22T23:21:00Z</dcterms:created>
  <dcterms:modified xsi:type="dcterms:W3CDTF">2020-02-22T23:21:00Z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