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300" w:rsidRPr="00BD29F6" w:rsidRDefault="008C4CAF" w:rsidP="002B610C">
      <w:pPr>
        <w:jc w:val="center"/>
        <w:rPr>
          <w:szCs w:val="24"/>
          <w:u w:val="single"/>
          <w:lang w:val="en-GB"/>
        </w:rPr>
      </w:pPr>
      <w:r w:rsidRPr="00BD29F6">
        <w:rPr>
          <w:b/>
          <w:szCs w:val="24"/>
          <w:lang w:val="en-GB"/>
        </w:rPr>
        <w:t>Submission by the Norwegian Government</w:t>
      </w:r>
    </w:p>
    <w:p w:rsidR="00164D8B" w:rsidRPr="00BD29F6" w:rsidRDefault="002B610C" w:rsidP="00D81E85">
      <w:pPr>
        <w:jc w:val="center"/>
        <w:rPr>
          <w:b/>
          <w:szCs w:val="24"/>
          <w:lang w:val="en-GB"/>
        </w:rPr>
      </w:pPr>
      <w:r w:rsidRPr="00BD29F6">
        <w:rPr>
          <w:b/>
          <w:szCs w:val="24"/>
          <w:lang w:val="en-GB"/>
        </w:rPr>
        <w:t>D</w:t>
      </w:r>
      <w:r w:rsidR="00164D8B" w:rsidRPr="00BD29F6">
        <w:rPr>
          <w:b/>
          <w:szCs w:val="24"/>
          <w:lang w:val="en-GB"/>
        </w:rPr>
        <w:t>raft Gener</w:t>
      </w:r>
      <w:r w:rsidR="00084E14" w:rsidRPr="00BD29F6">
        <w:rPr>
          <w:b/>
          <w:szCs w:val="24"/>
          <w:lang w:val="en-GB"/>
        </w:rPr>
        <w:t>al Comment No. 37</w:t>
      </w:r>
      <w:r w:rsidR="000271F1" w:rsidRPr="00BD29F6">
        <w:rPr>
          <w:b/>
          <w:szCs w:val="24"/>
          <w:lang w:val="en-GB"/>
        </w:rPr>
        <w:t xml:space="preserve"> </w:t>
      </w:r>
      <w:r w:rsidR="00084E14" w:rsidRPr="00BD29F6">
        <w:rPr>
          <w:b/>
          <w:szCs w:val="24"/>
          <w:lang w:val="en-GB"/>
        </w:rPr>
        <w:t>on Article 21 (the right of peaceful assembly) of th</w:t>
      </w:r>
      <w:r w:rsidR="00084E14" w:rsidRPr="002C6289">
        <w:rPr>
          <w:b/>
          <w:szCs w:val="24"/>
          <w:lang w:val="en-GB"/>
        </w:rPr>
        <w:t xml:space="preserve">e </w:t>
      </w:r>
      <w:r w:rsidR="002C6289" w:rsidRPr="002C6289">
        <w:rPr>
          <w:b/>
          <w:szCs w:val="24"/>
          <w:lang w:val="en-GB"/>
        </w:rPr>
        <w:t>International Covenant on Civil and Political Rights</w:t>
      </w:r>
    </w:p>
    <w:p w:rsidR="00164D8B" w:rsidRPr="00BD29F6" w:rsidRDefault="00164D8B" w:rsidP="00495300">
      <w:pPr>
        <w:rPr>
          <w:szCs w:val="24"/>
          <w:lang w:val="en-GB"/>
        </w:rPr>
      </w:pPr>
    </w:p>
    <w:p w:rsidR="00164D8B" w:rsidRPr="00BD29F6" w:rsidRDefault="00164D8B" w:rsidP="00BD29F6">
      <w:pPr>
        <w:rPr>
          <w:szCs w:val="24"/>
          <w:lang w:val="en-GB"/>
        </w:rPr>
      </w:pPr>
      <w:r w:rsidRPr="00BD29F6">
        <w:rPr>
          <w:szCs w:val="24"/>
          <w:lang w:val="en-GB"/>
        </w:rPr>
        <w:t xml:space="preserve">The Norwegian Government </w:t>
      </w:r>
      <w:r w:rsidR="008C4CAF" w:rsidRPr="00BD29F6">
        <w:rPr>
          <w:szCs w:val="24"/>
          <w:lang w:val="en-GB"/>
        </w:rPr>
        <w:t xml:space="preserve">refers to the invitation </w:t>
      </w:r>
      <w:r w:rsidR="000358F1" w:rsidRPr="00BD29F6">
        <w:rPr>
          <w:szCs w:val="24"/>
          <w:lang w:val="en-GB"/>
        </w:rPr>
        <w:t xml:space="preserve">from </w:t>
      </w:r>
      <w:r w:rsidR="008C4CAF" w:rsidRPr="00BD29F6">
        <w:rPr>
          <w:szCs w:val="24"/>
          <w:lang w:val="en-GB"/>
        </w:rPr>
        <w:t xml:space="preserve">the </w:t>
      </w:r>
      <w:r w:rsidR="00084E14" w:rsidRPr="00BD29F6">
        <w:rPr>
          <w:szCs w:val="24"/>
          <w:lang w:val="en-GB"/>
        </w:rPr>
        <w:t>Human Rights Committee</w:t>
      </w:r>
      <w:r w:rsidR="008C4CAF" w:rsidRPr="00BD29F6">
        <w:rPr>
          <w:szCs w:val="24"/>
          <w:lang w:val="en-GB"/>
        </w:rPr>
        <w:t xml:space="preserve"> to submit written contributions </w:t>
      </w:r>
      <w:r w:rsidR="00ED6BDF" w:rsidRPr="00BD29F6">
        <w:rPr>
          <w:szCs w:val="24"/>
          <w:lang w:val="en-GB"/>
        </w:rPr>
        <w:t>on</w:t>
      </w:r>
      <w:r w:rsidR="008C4CAF" w:rsidRPr="00BD29F6">
        <w:rPr>
          <w:szCs w:val="24"/>
          <w:lang w:val="en-GB"/>
        </w:rPr>
        <w:t xml:space="preserve"> the </w:t>
      </w:r>
      <w:r w:rsidR="002B610C" w:rsidRPr="00BD29F6">
        <w:rPr>
          <w:szCs w:val="24"/>
          <w:lang w:val="en-GB"/>
        </w:rPr>
        <w:t>d</w:t>
      </w:r>
      <w:r w:rsidR="00961D4B" w:rsidRPr="00BD29F6">
        <w:rPr>
          <w:szCs w:val="24"/>
          <w:lang w:val="en-GB"/>
        </w:rPr>
        <w:t>raft General Comment No.</w:t>
      </w:r>
      <w:r w:rsidR="004A683E" w:rsidRPr="00BD29F6">
        <w:rPr>
          <w:szCs w:val="24"/>
          <w:lang w:val="en-GB"/>
        </w:rPr>
        <w:t xml:space="preserve"> </w:t>
      </w:r>
      <w:r w:rsidR="00084E14" w:rsidRPr="00BD29F6">
        <w:rPr>
          <w:szCs w:val="24"/>
          <w:lang w:val="en-GB"/>
        </w:rPr>
        <w:t>37</w:t>
      </w:r>
      <w:r w:rsidR="00D9461C" w:rsidRPr="00BD29F6">
        <w:rPr>
          <w:szCs w:val="24"/>
          <w:lang w:val="en-GB"/>
        </w:rPr>
        <w:t xml:space="preserve"> on </w:t>
      </w:r>
      <w:r w:rsidR="00084E14" w:rsidRPr="00BD29F6">
        <w:rPr>
          <w:szCs w:val="24"/>
          <w:lang w:val="en-GB"/>
        </w:rPr>
        <w:t>Ar</w:t>
      </w:r>
      <w:r w:rsidR="002C6289">
        <w:rPr>
          <w:szCs w:val="24"/>
          <w:lang w:val="en-GB"/>
        </w:rPr>
        <w:t>t</w:t>
      </w:r>
      <w:r w:rsidR="00084E14" w:rsidRPr="00BD29F6">
        <w:rPr>
          <w:szCs w:val="24"/>
          <w:lang w:val="en-GB"/>
        </w:rPr>
        <w:t>icle 21 (the rig</w:t>
      </w:r>
      <w:r w:rsidR="00262102">
        <w:rPr>
          <w:szCs w:val="24"/>
          <w:lang w:val="en-GB"/>
        </w:rPr>
        <w:t>ht of peaceful assembly) of the</w:t>
      </w:r>
      <w:r w:rsidR="00431EBD" w:rsidRPr="00941C68">
        <w:rPr>
          <w:szCs w:val="24"/>
          <w:lang w:val="en-GB"/>
        </w:rPr>
        <w:t xml:space="preserve"> International Covenant on Civil and Political Rights</w:t>
      </w:r>
      <w:r w:rsidR="00431EBD">
        <w:rPr>
          <w:szCs w:val="24"/>
          <w:lang w:val="en-GB"/>
        </w:rPr>
        <w:t xml:space="preserve"> (</w:t>
      </w:r>
      <w:r w:rsidR="00431EBD" w:rsidRPr="00BD29F6">
        <w:rPr>
          <w:szCs w:val="24"/>
          <w:lang w:val="en-GB"/>
        </w:rPr>
        <w:t>hereinafter referred to as the Co</w:t>
      </w:r>
      <w:r w:rsidR="00E2052F">
        <w:rPr>
          <w:szCs w:val="24"/>
          <w:lang w:val="en-GB"/>
        </w:rPr>
        <w:t>venant</w:t>
      </w:r>
      <w:r w:rsidR="00431EBD" w:rsidRPr="00BD29F6">
        <w:rPr>
          <w:szCs w:val="24"/>
          <w:lang w:val="en-GB"/>
        </w:rPr>
        <w:t>)</w:t>
      </w:r>
      <w:r w:rsidR="000358F1" w:rsidRPr="00BD29F6">
        <w:rPr>
          <w:szCs w:val="24"/>
          <w:lang w:val="en-GB"/>
        </w:rPr>
        <w:t>.</w:t>
      </w:r>
      <w:r w:rsidR="00961D4B" w:rsidRPr="00BD29F6">
        <w:rPr>
          <w:szCs w:val="24"/>
          <w:lang w:val="en-GB"/>
        </w:rPr>
        <w:t xml:space="preserve"> </w:t>
      </w:r>
    </w:p>
    <w:p w:rsidR="00DC76D2" w:rsidRPr="00BD29F6" w:rsidRDefault="00DC76D2" w:rsidP="00BD29F6">
      <w:pPr>
        <w:rPr>
          <w:szCs w:val="24"/>
          <w:lang w:val="en-GB"/>
        </w:rPr>
      </w:pPr>
    </w:p>
    <w:p w:rsidR="00164D8B" w:rsidRPr="00BD29F6" w:rsidRDefault="00164D8B" w:rsidP="00BD29F6">
      <w:pPr>
        <w:rPr>
          <w:szCs w:val="24"/>
          <w:lang w:val="en-GB"/>
        </w:rPr>
      </w:pPr>
      <w:r w:rsidRPr="00BD29F6">
        <w:rPr>
          <w:szCs w:val="24"/>
          <w:lang w:val="en-GB"/>
        </w:rPr>
        <w:t xml:space="preserve">Norway </w:t>
      </w:r>
      <w:r w:rsidR="00BF27CC" w:rsidRPr="00BD29F6">
        <w:rPr>
          <w:szCs w:val="24"/>
          <w:lang w:val="en-GB"/>
        </w:rPr>
        <w:t xml:space="preserve">has been a party to the </w:t>
      </w:r>
      <w:r w:rsidR="00E2052F">
        <w:rPr>
          <w:szCs w:val="24"/>
          <w:lang w:val="en-GB"/>
        </w:rPr>
        <w:t>Covenant</w:t>
      </w:r>
      <w:r w:rsidRPr="00BD29F6">
        <w:rPr>
          <w:szCs w:val="24"/>
          <w:lang w:val="en-GB"/>
        </w:rPr>
        <w:t xml:space="preserve"> </w:t>
      </w:r>
      <w:r w:rsidR="00431EBD">
        <w:rPr>
          <w:szCs w:val="24"/>
          <w:lang w:val="en-GB"/>
        </w:rPr>
        <w:t xml:space="preserve">since 1972. </w:t>
      </w:r>
      <w:r w:rsidR="00BF27CC" w:rsidRPr="00BD29F6">
        <w:rPr>
          <w:szCs w:val="24"/>
          <w:lang w:val="en-GB"/>
        </w:rPr>
        <w:t>The</w:t>
      </w:r>
      <w:r w:rsidRPr="00BD29F6">
        <w:rPr>
          <w:szCs w:val="24"/>
          <w:lang w:val="en-GB"/>
        </w:rPr>
        <w:t xml:space="preserve"> Government would first like to underline the importan</w:t>
      </w:r>
      <w:r w:rsidR="00E2052F">
        <w:rPr>
          <w:szCs w:val="24"/>
          <w:lang w:val="en-GB"/>
        </w:rPr>
        <w:t>ce it attaches to the Covenant</w:t>
      </w:r>
      <w:r w:rsidR="008C4CAF" w:rsidRPr="00BD29F6">
        <w:rPr>
          <w:szCs w:val="24"/>
          <w:lang w:val="en-GB"/>
        </w:rPr>
        <w:t xml:space="preserve">, </w:t>
      </w:r>
      <w:r w:rsidRPr="00BD29F6">
        <w:rPr>
          <w:szCs w:val="24"/>
          <w:lang w:val="en-GB"/>
        </w:rPr>
        <w:t xml:space="preserve">and confirm its commitment to fully comply with Norway’s treaty obligations. </w:t>
      </w:r>
    </w:p>
    <w:p w:rsidR="00164D8B" w:rsidRPr="00BD29F6" w:rsidRDefault="00164D8B" w:rsidP="00BD29F6">
      <w:pPr>
        <w:rPr>
          <w:szCs w:val="24"/>
          <w:lang w:val="en-GB"/>
        </w:rPr>
      </w:pPr>
    </w:p>
    <w:p w:rsidR="00262102" w:rsidRDefault="00961D4B" w:rsidP="00BD29F6">
      <w:pPr>
        <w:rPr>
          <w:szCs w:val="24"/>
          <w:lang w:val="en-GB"/>
        </w:rPr>
      </w:pPr>
      <w:r w:rsidRPr="00BD29F6">
        <w:rPr>
          <w:szCs w:val="24"/>
          <w:lang w:val="en-GB"/>
        </w:rPr>
        <w:t xml:space="preserve">Norway welcomes the Committee’s efforts to formulate General Comments with regard to articles or specific </w:t>
      </w:r>
      <w:r w:rsidR="00E2052F">
        <w:rPr>
          <w:szCs w:val="24"/>
          <w:lang w:val="en-GB"/>
        </w:rPr>
        <w:t>themes concerning the Covenant</w:t>
      </w:r>
      <w:r w:rsidRPr="00BD29F6">
        <w:rPr>
          <w:szCs w:val="24"/>
          <w:lang w:val="en-GB"/>
        </w:rPr>
        <w:t xml:space="preserve"> and appreciates </w:t>
      </w:r>
      <w:r w:rsidR="008C4CAF" w:rsidRPr="00BD29F6">
        <w:rPr>
          <w:szCs w:val="24"/>
          <w:lang w:val="en-GB"/>
        </w:rPr>
        <w:t>th</w:t>
      </w:r>
      <w:r w:rsidR="000E0E1E" w:rsidRPr="00BD29F6">
        <w:rPr>
          <w:szCs w:val="24"/>
          <w:lang w:val="en-GB"/>
        </w:rPr>
        <w:t>is</w:t>
      </w:r>
      <w:r w:rsidR="008C4CAF" w:rsidRPr="00BD29F6">
        <w:rPr>
          <w:szCs w:val="24"/>
          <w:lang w:val="en-GB"/>
        </w:rPr>
        <w:t xml:space="preserve"> opportunity to su</w:t>
      </w:r>
      <w:r w:rsidR="000271F1" w:rsidRPr="00BD29F6">
        <w:rPr>
          <w:szCs w:val="24"/>
          <w:lang w:val="en-GB"/>
        </w:rPr>
        <w:t>bmit its observations on the</w:t>
      </w:r>
      <w:r w:rsidR="008C4CAF" w:rsidRPr="00BD29F6">
        <w:rPr>
          <w:szCs w:val="24"/>
          <w:lang w:val="en-GB"/>
        </w:rPr>
        <w:t xml:space="preserve"> </w:t>
      </w:r>
      <w:r w:rsidR="00500D66" w:rsidRPr="00BD29F6">
        <w:rPr>
          <w:szCs w:val="24"/>
          <w:lang w:val="en-GB"/>
        </w:rPr>
        <w:t>d</w:t>
      </w:r>
      <w:r w:rsidR="008C4CAF" w:rsidRPr="00BD29F6">
        <w:rPr>
          <w:szCs w:val="24"/>
          <w:lang w:val="en-GB"/>
        </w:rPr>
        <w:t>r</w:t>
      </w:r>
      <w:r w:rsidR="00084E14" w:rsidRPr="00BD29F6">
        <w:rPr>
          <w:szCs w:val="24"/>
          <w:lang w:val="en-GB"/>
        </w:rPr>
        <w:t xml:space="preserve">aft </w:t>
      </w:r>
      <w:r w:rsidR="008C4CAF" w:rsidRPr="00BD29F6">
        <w:rPr>
          <w:szCs w:val="24"/>
          <w:lang w:val="en-GB"/>
        </w:rPr>
        <w:t xml:space="preserve"> General Comment</w:t>
      </w:r>
      <w:r w:rsidR="000271F1" w:rsidRPr="00BD29F6">
        <w:rPr>
          <w:szCs w:val="24"/>
          <w:lang w:val="en-GB"/>
        </w:rPr>
        <w:t xml:space="preserve"> concerning Article </w:t>
      </w:r>
      <w:r w:rsidR="00084E14" w:rsidRPr="00BD29F6">
        <w:rPr>
          <w:szCs w:val="24"/>
          <w:lang w:val="en-GB"/>
        </w:rPr>
        <w:t>21</w:t>
      </w:r>
      <w:r w:rsidR="001E14CF" w:rsidRPr="00BD29F6">
        <w:rPr>
          <w:szCs w:val="24"/>
          <w:lang w:val="en-GB"/>
        </w:rPr>
        <w:t xml:space="preserve">. </w:t>
      </w:r>
      <w:r w:rsidR="000D16EE" w:rsidRPr="00BD29F6">
        <w:rPr>
          <w:szCs w:val="24"/>
          <w:lang w:val="en-GB"/>
        </w:rPr>
        <w:t xml:space="preserve">Where Norway has not provided specific comments on issues raised in the draft General Comment, this should not be interpreted as either agreement or disagreement with its substance. </w:t>
      </w:r>
    </w:p>
    <w:p w:rsidR="002C6289" w:rsidRDefault="002C6289" w:rsidP="00BD29F6">
      <w:pPr>
        <w:rPr>
          <w:szCs w:val="24"/>
          <w:lang w:val="en-GB"/>
        </w:rPr>
      </w:pPr>
    </w:p>
    <w:p w:rsidR="002C6289" w:rsidRPr="00BD29F6" w:rsidRDefault="002C6289" w:rsidP="00BD29F6">
      <w:pPr>
        <w:rPr>
          <w:szCs w:val="24"/>
          <w:lang w:val="en-GB"/>
        </w:rPr>
      </w:pPr>
      <w:r>
        <w:rPr>
          <w:szCs w:val="24"/>
          <w:lang w:val="en-GB"/>
        </w:rPr>
        <w:t>The Norwegian Government would like to comment on the following parts of the draft General Comment:</w:t>
      </w:r>
    </w:p>
    <w:p w:rsidR="00BD29F6" w:rsidRPr="00BD29F6" w:rsidRDefault="00BD29F6" w:rsidP="00BD29F6">
      <w:pPr>
        <w:rPr>
          <w:szCs w:val="24"/>
          <w:lang w:val="en-GB"/>
        </w:rPr>
      </w:pPr>
    </w:p>
    <w:p w:rsidR="00BD29F6" w:rsidRPr="00BD29F6" w:rsidRDefault="00BD29F6" w:rsidP="00BD29F6">
      <w:pPr>
        <w:rPr>
          <w:szCs w:val="24"/>
          <w:lang w:val="en-GB"/>
        </w:rPr>
      </w:pPr>
      <w:r w:rsidRPr="00BD29F6">
        <w:rPr>
          <w:szCs w:val="24"/>
          <w:lang w:val="en-GB"/>
        </w:rPr>
        <w:t xml:space="preserve">In </w:t>
      </w:r>
      <w:r w:rsidRPr="00BD29F6">
        <w:rPr>
          <w:b/>
          <w:szCs w:val="24"/>
          <w:lang w:val="en-GB"/>
        </w:rPr>
        <w:t>paragraph 70</w:t>
      </w:r>
      <w:r w:rsidRPr="00BD29F6">
        <w:rPr>
          <w:szCs w:val="24"/>
          <w:lang w:val="en-GB"/>
        </w:rPr>
        <w:t>, the Committee states:</w:t>
      </w:r>
    </w:p>
    <w:p w:rsidR="00BD29F6" w:rsidRPr="00BD29F6" w:rsidRDefault="00BD29F6" w:rsidP="00BD29F6">
      <w:pPr>
        <w:rPr>
          <w:szCs w:val="24"/>
          <w:lang w:val="en-GB"/>
        </w:rPr>
      </w:pPr>
    </w:p>
    <w:p w:rsidR="00BD29F6" w:rsidRPr="00BD29F6" w:rsidRDefault="00BD29F6" w:rsidP="00BD29F6">
      <w:pPr>
        <w:rPr>
          <w:i/>
          <w:szCs w:val="24"/>
          <w:lang w:val="en-US"/>
        </w:rPr>
      </w:pPr>
      <w:r w:rsidRPr="00BD29F6">
        <w:rPr>
          <w:i/>
          <w:szCs w:val="24"/>
          <w:lang w:val="en-GB"/>
        </w:rPr>
        <w:t>“</w:t>
      </w:r>
      <w:r w:rsidRPr="00BD29F6">
        <w:rPr>
          <w:i/>
          <w:szCs w:val="24"/>
          <w:lang w:val="x-none"/>
        </w:rPr>
        <w:t xml:space="preserve">The wearing of face coverings </w:t>
      </w:r>
      <w:r w:rsidRPr="00BD29F6">
        <w:rPr>
          <w:i/>
          <w:szCs w:val="24"/>
          <w:lang w:val="en-US"/>
        </w:rPr>
        <w:t xml:space="preserve">or other disguises </w:t>
      </w:r>
      <w:r w:rsidRPr="00BD29F6">
        <w:rPr>
          <w:i/>
          <w:szCs w:val="24"/>
          <w:lang w:val="x-none"/>
        </w:rPr>
        <w:t xml:space="preserve">by assembly participants, such as hoods or masks, </w:t>
      </w:r>
      <w:r w:rsidRPr="00BD29F6">
        <w:rPr>
          <w:i/>
          <w:szCs w:val="24"/>
          <w:lang w:val="en-US"/>
        </w:rPr>
        <w:t>may form part of the expressive element of a peaceful assembly or serve to counter reprisals, also in the context of new surveillance technologies, and serve to protect privacy. Assembly participants should not be prohibited from wearing face coverings where there is no demonstrable evidence of imminent violence on their part and probable cause for arrest. As such, blanket bans can only be justified on an exceptional basis.”</w:t>
      </w:r>
    </w:p>
    <w:p w:rsidR="00BD29F6" w:rsidRDefault="00BD29F6" w:rsidP="00BD29F6">
      <w:pPr>
        <w:ind w:right="1134"/>
        <w:rPr>
          <w:szCs w:val="24"/>
          <w:lang w:val="en-US"/>
        </w:rPr>
      </w:pPr>
    </w:p>
    <w:p w:rsidR="00B16566" w:rsidRDefault="00B16566" w:rsidP="00B16566">
      <w:pPr>
        <w:rPr>
          <w:rFonts w:cs="Calibri"/>
          <w:szCs w:val="24"/>
          <w:lang w:val="en-US"/>
        </w:rPr>
      </w:pPr>
      <w:r w:rsidRPr="00BD29F6">
        <w:rPr>
          <w:rFonts w:cs="Calibri"/>
          <w:szCs w:val="24"/>
          <w:lang w:val="en-US"/>
        </w:rPr>
        <w:t xml:space="preserve">While recognizing that there may be legitimate reasons for assembly participants to cover their faces, Norway is of the view that Article 21 cannot be understood to only allow States to prohibit hoods or masks during assemblies when there is “demonstrable evidence of imminent violence on their part and probable cause of arrest”. Article 21 allows for restrictions on the right of peaceful assembly which are in conformity with the law and necessary in a democratic society in the interest of i.a. national security or public safety, public order or the protection of the rights and freedoms of others. </w:t>
      </w:r>
    </w:p>
    <w:p w:rsidR="00B16566" w:rsidRDefault="00B16566" w:rsidP="00B16566">
      <w:pPr>
        <w:rPr>
          <w:rFonts w:cs="Calibri"/>
          <w:szCs w:val="24"/>
          <w:lang w:val="en-US"/>
        </w:rPr>
      </w:pPr>
    </w:p>
    <w:p w:rsidR="00B16566" w:rsidRPr="00B16566" w:rsidRDefault="00B16566" w:rsidP="00B16566">
      <w:pPr>
        <w:rPr>
          <w:rFonts w:eastAsia="Calibri"/>
          <w:szCs w:val="24"/>
          <w:lang w:val="en-US"/>
        </w:rPr>
      </w:pPr>
      <w:r w:rsidRPr="00B16566">
        <w:rPr>
          <w:rFonts w:eastAsia="Calibri" w:cs="Calibri"/>
          <w:szCs w:val="24"/>
          <w:lang w:val="en-US"/>
        </w:rPr>
        <w:t xml:space="preserve">In regard to the legitimate aim of protecting the rights and freedoms of others, Norway invites the Committee to consider the jurisprudence of the European Court of Human Rights regarding laws prohibiting the concealment of one’s face in public places when deciding on the wording of paragraph 70. Reference is made to the Court’s judgements in </w:t>
      </w:r>
      <w:r w:rsidRPr="00B16566">
        <w:rPr>
          <w:rFonts w:eastAsia="Calibri" w:cs="Calibri"/>
          <w:i/>
          <w:iCs/>
          <w:szCs w:val="24"/>
          <w:lang w:val="en-US"/>
        </w:rPr>
        <w:t>S.A.S v. France</w:t>
      </w:r>
      <w:r w:rsidRPr="00B16566">
        <w:rPr>
          <w:rFonts w:eastAsia="Calibri" w:cs="Calibri"/>
          <w:szCs w:val="24"/>
          <w:lang w:val="en-US"/>
        </w:rPr>
        <w:t xml:space="preserve">, </w:t>
      </w:r>
      <w:r w:rsidRPr="00B16566">
        <w:rPr>
          <w:rFonts w:eastAsia="Calibri" w:cs="Calibri"/>
          <w:i/>
          <w:iCs/>
          <w:szCs w:val="24"/>
          <w:lang w:val="en-US"/>
        </w:rPr>
        <w:t>Belcacemi and Oussar v. Belgium</w:t>
      </w:r>
      <w:r w:rsidRPr="00B16566">
        <w:rPr>
          <w:rFonts w:eastAsia="Calibri" w:cs="Calibri"/>
          <w:szCs w:val="24"/>
          <w:lang w:val="en-US"/>
        </w:rPr>
        <w:t xml:space="preserve"> and </w:t>
      </w:r>
      <w:r w:rsidRPr="00B16566">
        <w:rPr>
          <w:rFonts w:eastAsia="Calibri" w:cs="Calibri"/>
          <w:i/>
          <w:iCs/>
          <w:szCs w:val="24"/>
          <w:lang w:val="en-US"/>
        </w:rPr>
        <w:t>Dakir v. Belgium.</w:t>
      </w:r>
      <w:r w:rsidRPr="00B16566">
        <w:rPr>
          <w:rFonts w:eastAsia="Calibri" w:cs="Calibri"/>
          <w:szCs w:val="24"/>
          <w:lang w:val="en-US"/>
        </w:rPr>
        <w:t xml:space="preserve"> According to </w:t>
      </w:r>
      <w:r w:rsidRPr="00B16566">
        <w:rPr>
          <w:rFonts w:eastAsia="Calibri" w:cs="Calibri"/>
          <w:szCs w:val="24"/>
          <w:lang w:val="en-US"/>
        </w:rPr>
        <w:lastRenderedPageBreak/>
        <w:t xml:space="preserve">the Court, blanket bans on face coverings may be justified to ensure interaction between individuals to ensure the functioning of a democratic society. While there may be legitimate reasons for assembly participants to cover their faces, Norway invites the Committee to also take into consideration that, depending on the circumstances, the wearing of face coverings by assembly participants in public places may have an intimidating or frightening effect on others. </w:t>
      </w:r>
      <w:r w:rsidRPr="00B16566">
        <w:rPr>
          <w:rFonts w:ascii="Cambria" w:eastAsia="Calibri" w:hAnsi="Cambria" w:cs="Cambria"/>
          <w:szCs w:val="24"/>
          <w:lang w:val="en-US"/>
        </w:rPr>
        <w:t> </w:t>
      </w:r>
    </w:p>
    <w:p w:rsidR="00B16566" w:rsidRPr="00D45F00" w:rsidRDefault="00B16566" w:rsidP="00B16566">
      <w:pPr>
        <w:rPr>
          <w:rFonts w:cs="Calibri"/>
          <w:szCs w:val="24"/>
          <w:lang w:val="en-US"/>
        </w:rPr>
      </w:pPr>
    </w:p>
    <w:p w:rsidR="00B16566" w:rsidRPr="00D45F00" w:rsidRDefault="00B16566" w:rsidP="00BD29F6">
      <w:pPr>
        <w:ind w:right="1134"/>
        <w:rPr>
          <w:szCs w:val="24"/>
          <w:lang w:val="en-US"/>
        </w:rPr>
      </w:pPr>
      <w:r w:rsidRPr="00D45F00">
        <w:rPr>
          <w:szCs w:val="24"/>
          <w:lang w:val="en-US"/>
        </w:rPr>
        <w:t>Against this background, Norway suggests the following changes to paragraph 70:</w:t>
      </w:r>
    </w:p>
    <w:p w:rsidR="00B16566" w:rsidRDefault="00B16566" w:rsidP="00BD29F6">
      <w:pPr>
        <w:rPr>
          <w:rFonts w:cs="Calibri"/>
          <w:szCs w:val="24"/>
          <w:lang w:val="en-US"/>
        </w:rPr>
      </w:pPr>
    </w:p>
    <w:p w:rsidR="00B16566" w:rsidRPr="00D45F00" w:rsidRDefault="00B16566" w:rsidP="00D45F00">
      <w:pPr>
        <w:ind w:left="708"/>
        <w:rPr>
          <w:rFonts w:eastAsia="Calibri"/>
          <w:szCs w:val="24"/>
          <w:lang w:val="en-US"/>
        </w:rPr>
      </w:pPr>
      <w:r w:rsidRPr="00B16566">
        <w:rPr>
          <w:rFonts w:cs="Calibri"/>
          <w:szCs w:val="24"/>
          <w:lang w:val="en-US"/>
        </w:rPr>
        <w:t>“</w:t>
      </w:r>
      <w:r w:rsidRPr="00B16566">
        <w:rPr>
          <w:rFonts w:eastAsia="Calibri"/>
          <w:strike/>
          <w:szCs w:val="24"/>
          <w:lang w:val="x-none"/>
        </w:rPr>
        <w:t xml:space="preserve">The wearing of face coverings </w:t>
      </w:r>
      <w:r w:rsidRPr="00B16566">
        <w:rPr>
          <w:rFonts w:eastAsia="Calibri"/>
          <w:strike/>
          <w:szCs w:val="24"/>
          <w:lang w:val="en-US"/>
        </w:rPr>
        <w:t xml:space="preserve">or other disguises </w:t>
      </w:r>
      <w:r w:rsidRPr="00B16566">
        <w:rPr>
          <w:rFonts w:eastAsia="Calibri"/>
          <w:strike/>
          <w:szCs w:val="24"/>
          <w:lang w:val="x-none"/>
        </w:rPr>
        <w:t xml:space="preserve">by assembly participants, such as hoods or masks, </w:t>
      </w:r>
      <w:r w:rsidRPr="00B16566">
        <w:rPr>
          <w:rFonts w:eastAsia="Calibri"/>
          <w:strike/>
          <w:szCs w:val="24"/>
          <w:lang w:val="en-US"/>
        </w:rPr>
        <w:t>may form part of the expressive element of a peaceful assembly or serve to counter reprisals, also in the context of new surveillance technologies, and serve to protect privacy</w:t>
      </w:r>
      <w:r w:rsidRPr="00B16566">
        <w:rPr>
          <w:rFonts w:eastAsia="Calibri"/>
          <w:szCs w:val="24"/>
          <w:lang w:val="en-US"/>
        </w:rPr>
        <w:t xml:space="preserve">. Assembly participants should not be prohibited from wearing face coverings where there is </w:t>
      </w:r>
      <w:r w:rsidRPr="00B16566">
        <w:rPr>
          <w:rFonts w:eastAsia="Calibri"/>
          <w:b/>
          <w:szCs w:val="24"/>
          <w:lang w:val="en-US"/>
        </w:rPr>
        <w:t>just cause for wearing them, for instance where they may form part of the expressive element of a peaceful assembly or serve to counter reprisals, also in the context of new surveillance technologies.</w:t>
      </w:r>
      <w:r w:rsidRPr="00B16566">
        <w:rPr>
          <w:rFonts w:eastAsia="Calibri"/>
          <w:color w:val="FF0000"/>
          <w:szCs w:val="24"/>
          <w:lang w:val="en-US"/>
        </w:rPr>
        <w:t xml:space="preserve"> </w:t>
      </w:r>
      <w:r w:rsidRPr="00B16566">
        <w:rPr>
          <w:rFonts w:ascii="Cambria" w:eastAsia="Calibri" w:hAnsi="Cambria" w:cs="Cambria"/>
          <w:color w:val="FF0000"/>
          <w:szCs w:val="24"/>
          <w:lang w:val="en-US"/>
        </w:rPr>
        <w:t> </w:t>
      </w:r>
      <w:r w:rsidRPr="00B16566">
        <w:rPr>
          <w:rFonts w:eastAsia="Calibri"/>
          <w:strike/>
          <w:szCs w:val="24"/>
          <w:lang w:val="en-US"/>
        </w:rPr>
        <w:t>no demonstrable evidence of imminent violence on their part and probable cause for arrest.</w:t>
      </w:r>
      <w:r w:rsidRPr="00B16566">
        <w:rPr>
          <w:rFonts w:eastAsia="Calibri"/>
          <w:szCs w:val="24"/>
          <w:lang w:val="en-US"/>
        </w:rPr>
        <w:t xml:space="preserve"> </w:t>
      </w:r>
      <w:r w:rsidRPr="00B16566">
        <w:rPr>
          <w:rFonts w:eastAsia="Calibri"/>
          <w:strike/>
          <w:szCs w:val="24"/>
          <w:lang w:val="en-US"/>
        </w:rPr>
        <w:t>As such</w:t>
      </w:r>
      <w:r w:rsidRPr="00B16566">
        <w:rPr>
          <w:rFonts w:eastAsia="Calibri"/>
          <w:szCs w:val="24"/>
          <w:lang w:val="en-US"/>
        </w:rPr>
        <w:t xml:space="preserve"> </w:t>
      </w:r>
      <w:r w:rsidRPr="00D45F00">
        <w:rPr>
          <w:rFonts w:eastAsia="Calibri"/>
          <w:b/>
          <w:szCs w:val="24"/>
          <w:lang w:val="en-US"/>
        </w:rPr>
        <w:t>B</w:t>
      </w:r>
      <w:r w:rsidRPr="00B16566">
        <w:rPr>
          <w:rFonts w:eastAsia="Calibri"/>
          <w:szCs w:val="24"/>
          <w:lang w:val="en-US"/>
        </w:rPr>
        <w:t xml:space="preserve">lanket bans can only be justified </w:t>
      </w:r>
      <w:r w:rsidRPr="00B16566">
        <w:rPr>
          <w:rFonts w:eastAsia="Calibri"/>
          <w:strike/>
          <w:szCs w:val="24"/>
          <w:lang w:val="en-US"/>
        </w:rPr>
        <w:t>on an exceptional basis</w:t>
      </w:r>
      <w:r w:rsidRPr="00D45F00">
        <w:rPr>
          <w:rFonts w:eastAsia="Calibri"/>
          <w:strike/>
          <w:szCs w:val="24"/>
          <w:lang w:val="en-US"/>
        </w:rPr>
        <w:t>.</w:t>
      </w:r>
      <w:r w:rsidRPr="00D45F00">
        <w:rPr>
          <w:rFonts w:eastAsia="Calibri"/>
          <w:szCs w:val="24"/>
          <w:lang w:val="en-US" w:eastAsia="nb-NO"/>
        </w:rPr>
        <w:t xml:space="preserve"> </w:t>
      </w:r>
      <w:r w:rsidRPr="00D45F00">
        <w:rPr>
          <w:rFonts w:eastAsia="Calibri"/>
          <w:b/>
          <w:szCs w:val="24"/>
          <w:lang w:val="en-US" w:eastAsia="nb-NO"/>
        </w:rPr>
        <w:t xml:space="preserve">if they </w:t>
      </w:r>
      <w:r w:rsidRPr="00D45F00">
        <w:rPr>
          <w:rFonts w:eastAsia="Calibri"/>
          <w:b/>
          <w:szCs w:val="24"/>
          <w:lang w:val="en-US"/>
        </w:rPr>
        <w:t>are in conformity with the law and necessary in a democratic society in the interest of i.a. national security or public safety, public order or the protection of the rights and freedoms of others.</w:t>
      </w:r>
      <w:r w:rsidR="00D45F00" w:rsidRPr="00D45F00">
        <w:rPr>
          <w:rFonts w:eastAsia="Calibri"/>
          <w:szCs w:val="24"/>
          <w:lang w:val="en-US"/>
        </w:rPr>
        <w:t>”</w:t>
      </w:r>
    </w:p>
    <w:p w:rsidR="00BD29F6" w:rsidRDefault="00BD29F6" w:rsidP="00BD29F6">
      <w:pPr>
        <w:rPr>
          <w:rFonts w:cs="Calibri"/>
          <w:szCs w:val="24"/>
          <w:lang w:val="en-US"/>
        </w:rPr>
      </w:pPr>
    </w:p>
    <w:p w:rsidR="00BD29F6" w:rsidRPr="00BD29F6" w:rsidRDefault="00BD29F6" w:rsidP="00BD29F6">
      <w:pPr>
        <w:rPr>
          <w:szCs w:val="24"/>
          <w:lang w:val="en-GB"/>
        </w:rPr>
      </w:pPr>
      <w:r w:rsidRPr="00BD29F6">
        <w:rPr>
          <w:szCs w:val="24"/>
          <w:lang w:val="en-GB"/>
        </w:rPr>
        <w:t xml:space="preserve">In </w:t>
      </w:r>
      <w:r>
        <w:rPr>
          <w:b/>
          <w:szCs w:val="24"/>
          <w:lang w:val="en-GB"/>
        </w:rPr>
        <w:t>paragraph 99</w:t>
      </w:r>
      <w:r w:rsidRPr="00BD29F6">
        <w:rPr>
          <w:szCs w:val="24"/>
          <w:lang w:val="en-GB"/>
        </w:rPr>
        <w:t>, the Committee states:</w:t>
      </w:r>
    </w:p>
    <w:p w:rsidR="00BD29F6" w:rsidRPr="00BD29F6" w:rsidRDefault="00BD29F6" w:rsidP="00BD29F6">
      <w:pPr>
        <w:ind w:right="1134"/>
        <w:rPr>
          <w:rFonts w:cs="Calibri"/>
          <w:szCs w:val="24"/>
          <w:lang w:val="en-GB"/>
        </w:rPr>
      </w:pPr>
    </w:p>
    <w:p w:rsidR="00BD29F6" w:rsidRPr="00BD29F6" w:rsidRDefault="00BD29F6" w:rsidP="00BD29F6">
      <w:pPr>
        <w:rPr>
          <w:i/>
          <w:szCs w:val="24"/>
          <w:lang w:val="en-US"/>
        </w:rPr>
      </w:pPr>
      <w:r w:rsidRPr="00BD29F6">
        <w:rPr>
          <w:i/>
          <w:szCs w:val="24"/>
          <w:lang w:val="en-GB"/>
        </w:rPr>
        <w:t>“</w:t>
      </w:r>
      <w:r w:rsidRPr="00BD29F6">
        <w:rPr>
          <w:i/>
          <w:szCs w:val="24"/>
          <w:lang w:val="en-US"/>
        </w:rPr>
        <w:t>The use of unnecessary or disproportionate force may breach articles 7 and 9 of the Covenant and, where death results, may violate article 6. In an extreme case, widespread or systematic use of lethal force against participants in peaceful assemblies may constitute a crime against humanity.”</w:t>
      </w:r>
    </w:p>
    <w:p w:rsidR="00BD29F6" w:rsidRDefault="00BD29F6" w:rsidP="00BD29F6">
      <w:pPr>
        <w:rPr>
          <w:rFonts w:cs="Calibri"/>
          <w:szCs w:val="24"/>
          <w:lang w:val="en-US"/>
        </w:rPr>
      </w:pPr>
    </w:p>
    <w:p w:rsidR="00BD29F6" w:rsidRPr="00BD29F6" w:rsidRDefault="00BD29F6" w:rsidP="00BD29F6">
      <w:pPr>
        <w:rPr>
          <w:rFonts w:cs="Calibri"/>
          <w:szCs w:val="24"/>
          <w:lang w:val="en-US"/>
        </w:rPr>
      </w:pPr>
      <w:r w:rsidRPr="00BD29F6">
        <w:rPr>
          <w:rFonts w:cs="Calibri"/>
          <w:szCs w:val="24"/>
          <w:lang w:val="en-US"/>
        </w:rPr>
        <w:t xml:space="preserve">Norway would caution against adopting a statement relating to crimes against humanity that may conflict with, or which may be read as adding to or diminishing, the definition of such crimes in other international instruments, such as the Rome Statute. </w:t>
      </w:r>
    </w:p>
    <w:p w:rsidR="00BD29F6" w:rsidRDefault="00BD29F6" w:rsidP="00BD29F6">
      <w:pPr>
        <w:rPr>
          <w:rFonts w:cs="Calibri"/>
          <w:szCs w:val="24"/>
          <w:lang w:val="en-US"/>
        </w:rPr>
      </w:pPr>
    </w:p>
    <w:p w:rsidR="00BD29F6" w:rsidRPr="00BD29F6" w:rsidRDefault="00BD29F6" w:rsidP="00BD29F6">
      <w:pPr>
        <w:rPr>
          <w:rFonts w:cs="Calibri"/>
          <w:szCs w:val="24"/>
          <w:lang w:val="en-US"/>
        </w:rPr>
      </w:pPr>
      <w:r w:rsidRPr="00BD29F6">
        <w:rPr>
          <w:rFonts w:cs="Calibri"/>
          <w:szCs w:val="24"/>
          <w:lang w:val="en-US"/>
        </w:rPr>
        <w:t>Norway does not disagree with the statement in paragraph 99 that «widespread or systematic use of lethal force against participants in peaceful assemblies may consti</w:t>
      </w:r>
      <w:r>
        <w:rPr>
          <w:rFonts w:cs="Calibri"/>
          <w:szCs w:val="24"/>
          <w:lang w:val="en-US"/>
        </w:rPr>
        <w:t xml:space="preserve">tute a crime against humanity”. </w:t>
      </w:r>
      <w:r w:rsidRPr="00BD29F6">
        <w:rPr>
          <w:rFonts w:cs="Calibri"/>
          <w:szCs w:val="24"/>
          <w:lang w:val="en-US"/>
        </w:rPr>
        <w:t xml:space="preserve">However, Norway notes that the concept of crimes against humanity in the Rome Statute is not limited to the use of lethal force. Murder is one of several offenses that might, if performed as part of widespread or systematic attack directed against any civilian population, amount to a crime against humanity. We question whether it is appropriate to limit the statement to the “use of lethal force” when also other acts against participants in peaceful assemblies may, if performed as part of a widespread or systematic attack directed against any civilian population, </w:t>
      </w:r>
      <w:r w:rsidRPr="00BD29F6">
        <w:rPr>
          <w:rFonts w:cs="Calibri"/>
          <w:szCs w:val="24"/>
          <w:lang w:val="en-US"/>
        </w:rPr>
        <w:lastRenderedPageBreak/>
        <w:t xml:space="preserve">constitute crimes against humanity. In the context of peaceful assemblies, such other acts may possibly include: </w:t>
      </w:r>
    </w:p>
    <w:p w:rsidR="00BD29F6" w:rsidRPr="00BD29F6" w:rsidRDefault="00BD29F6" w:rsidP="00BD29F6">
      <w:pPr>
        <w:rPr>
          <w:rFonts w:cs="Calibri"/>
          <w:szCs w:val="24"/>
          <w:lang w:val="en-US"/>
        </w:rPr>
      </w:pPr>
    </w:p>
    <w:p w:rsidR="00BD29F6" w:rsidRPr="00BD29F6" w:rsidRDefault="00BD29F6" w:rsidP="00BD29F6">
      <w:pPr>
        <w:pStyle w:val="Listeavsnitt"/>
        <w:numPr>
          <w:ilvl w:val="0"/>
          <w:numId w:val="2"/>
        </w:numPr>
        <w:rPr>
          <w:rFonts w:cs="Calibri"/>
          <w:szCs w:val="24"/>
          <w:lang w:val="en-US"/>
        </w:rPr>
      </w:pPr>
      <w:r w:rsidRPr="00BD29F6">
        <w:rPr>
          <w:rFonts w:cs="Calibri"/>
          <w:szCs w:val="24"/>
          <w:lang w:val="en-US"/>
        </w:rPr>
        <w:t xml:space="preserve">imprisonment or other severe deprivation of physical liberty in violation of fundamental rules of international law, cf. Rome Statute Article 7(1)(e); </w:t>
      </w:r>
    </w:p>
    <w:p w:rsidR="00BD29F6" w:rsidRPr="00BD29F6" w:rsidRDefault="00BD29F6" w:rsidP="00BD29F6">
      <w:pPr>
        <w:pStyle w:val="Listeavsnitt"/>
        <w:numPr>
          <w:ilvl w:val="0"/>
          <w:numId w:val="2"/>
        </w:numPr>
        <w:rPr>
          <w:rFonts w:cs="Calibri"/>
          <w:szCs w:val="24"/>
          <w:lang w:val="en-US"/>
        </w:rPr>
      </w:pPr>
      <w:r w:rsidRPr="00BD29F6">
        <w:rPr>
          <w:rFonts w:cs="Calibri"/>
          <w:szCs w:val="24"/>
          <w:lang w:val="en-US"/>
        </w:rPr>
        <w:t xml:space="preserve">enforced disappearance of persons, cf. Rome Statute Article 7(1)(i); </w:t>
      </w:r>
    </w:p>
    <w:p w:rsidR="00BD29F6" w:rsidRPr="00BD29F6" w:rsidRDefault="00BD29F6" w:rsidP="00BD29F6">
      <w:pPr>
        <w:pStyle w:val="Listeavsnitt"/>
        <w:numPr>
          <w:ilvl w:val="0"/>
          <w:numId w:val="2"/>
        </w:numPr>
        <w:rPr>
          <w:rFonts w:cs="Calibri"/>
          <w:szCs w:val="24"/>
          <w:lang w:val="en-US"/>
        </w:rPr>
      </w:pPr>
      <w:r w:rsidRPr="00BD29F6">
        <w:rPr>
          <w:rFonts w:cs="Calibri"/>
          <w:szCs w:val="24"/>
          <w:lang w:val="en-US"/>
        </w:rPr>
        <w:t xml:space="preserve">other inhumane acts of similar character intentionally causing great suffering, or serious injury to body or to mental or physical health, cf. Rome Statute Article 7(1)(k). </w:t>
      </w:r>
    </w:p>
    <w:p w:rsidR="00BD29F6" w:rsidRDefault="00BD29F6" w:rsidP="00BD29F6">
      <w:pPr>
        <w:rPr>
          <w:rFonts w:cs="Calibri"/>
          <w:szCs w:val="24"/>
          <w:lang w:val="en-US"/>
        </w:rPr>
      </w:pPr>
    </w:p>
    <w:p w:rsidR="00BD29F6" w:rsidRPr="00BD29F6" w:rsidRDefault="00BD29F6" w:rsidP="00BD29F6">
      <w:pPr>
        <w:rPr>
          <w:rFonts w:cs="Calibri"/>
          <w:szCs w:val="24"/>
          <w:lang w:val="en-US"/>
        </w:rPr>
      </w:pPr>
      <w:r w:rsidRPr="00BD29F6">
        <w:rPr>
          <w:rFonts w:cs="Calibri"/>
          <w:szCs w:val="24"/>
          <w:lang w:val="en-US"/>
        </w:rPr>
        <w:t>Norway also questions whether the introduction of “[i]n an extreme case” is necessary. This may be read as adding a level of gravity needed to qualify as a crime against humanity which is not reflected in the Rome Statute definition.</w:t>
      </w:r>
      <w:r w:rsidRPr="00BD29F6">
        <w:rPr>
          <w:rFonts w:ascii="Cambria" w:hAnsi="Cambria" w:cs="Cambria"/>
          <w:szCs w:val="24"/>
          <w:lang w:val="en-US"/>
        </w:rPr>
        <w:t> </w:t>
      </w:r>
      <w:r w:rsidRPr="00BD29F6">
        <w:rPr>
          <w:rFonts w:cs="Calibri"/>
          <w:szCs w:val="24"/>
          <w:lang w:val="en-US"/>
        </w:rPr>
        <w:t xml:space="preserve"> </w:t>
      </w:r>
    </w:p>
    <w:p w:rsidR="00BD29F6" w:rsidRDefault="00BD29F6" w:rsidP="00BD29F6">
      <w:pPr>
        <w:rPr>
          <w:rFonts w:cs="Calibri"/>
          <w:szCs w:val="24"/>
          <w:lang w:val="en-US"/>
        </w:rPr>
      </w:pPr>
    </w:p>
    <w:p w:rsidR="00BD29F6" w:rsidRDefault="00BD29F6" w:rsidP="00BD29F6">
      <w:pPr>
        <w:rPr>
          <w:rFonts w:cs="Calibri"/>
          <w:szCs w:val="24"/>
          <w:lang w:val="en-US"/>
        </w:rPr>
      </w:pPr>
      <w:r w:rsidRPr="00BD29F6">
        <w:rPr>
          <w:rFonts w:cs="Calibri"/>
          <w:szCs w:val="24"/>
          <w:lang w:val="en-US"/>
        </w:rPr>
        <w:t>An alternative to redrafting the reference to crimes against humanity could be to remove it from the general comment. While we appreciate the inclusion of a reference to crimes against humanity and find it relevant, removing the reference would not, in our opin</w:t>
      </w:r>
      <w:r w:rsidR="00DC3BA8">
        <w:rPr>
          <w:rFonts w:cs="Calibri"/>
          <w:szCs w:val="24"/>
          <w:lang w:val="en-US"/>
        </w:rPr>
        <w:t>ion, diminish the value of the General C</w:t>
      </w:r>
      <w:r w:rsidRPr="00BD29F6">
        <w:rPr>
          <w:rFonts w:cs="Calibri"/>
          <w:szCs w:val="24"/>
          <w:lang w:val="en-US"/>
        </w:rPr>
        <w:t>omment.</w:t>
      </w:r>
      <w:r w:rsidRPr="00BD29F6">
        <w:rPr>
          <w:rFonts w:ascii="Cambria" w:hAnsi="Cambria" w:cs="Cambria"/>
          <w:szCs w:val="24"/>
          <w:lang w:val="en-US"/>
        </w:rPr>
        <w:t> </w:t>
      </w:r>
      <w:r w:rsidRPr="00BD29F6">
        <w:rPr>
          <w:rFonts w:cs="Calibri"/>
          <w:szCs w:val="24"/>
          <w:lang w:val="en-US"/>
        </w:rPr>
        <w:t xml:space="preserve"> </w:t>
      </w:r>
      <w:bookmarkStart w:id="0" w:name="_GoBack"/>
      <w:bookmarkEnd w:id="0"/>
    </w:p>
    <w:p w:rsidR="00BD29F6" w:rsidRDefault="00BD29F6" w:rsidP="00BD29F6">
      <w:pPr>
        <w:rPr>
          <w:rFonts w:cs="Calibri"/>
          <w:szCs w:val="24"/>
          <w:lang w:val="en-US"/>
        </w:rPr>
      </w:pPr>
    </w:p>
    <w:p w:rsidR="00BD29F6" w:rsidRPr="00262102" w:rsidRDefault="00BD29F6" w:rsidP="00BD29F6">
      <w:pPr>
        <w:rPr>
          <w:szCs w:val="24"/>
          <w:lang w:val="en-GB"/>
        </w:rPr>
      </w:pPr>
      <w:r w:rsidRPr="00BD29F6">
        <w:rPr>
          <w:szCs w:val="24"/>
          <w:lang w:val="en-GB"/>
        </w:rPr>
        <w:t xml:space="preserve">In </w:t>
      </w:r>
      <w:r w:rsidRPr="00BD29F6">
        <w:rPr>
          <w:b/>
          <w:szCs w:val="24"/>
          <w:lang w:val="en-GB"/>
        </w:rPr>
        <w:t xml:space="preserve">paragraph </w:t>
      </w:r>
      <w:r>
        <w:rPr>
          <w:b/>
          <w:szCs w:val="24"/>
          <w:lang w:val="en-GB"/>
        </w:rPr>
        <w:t>106</w:t>
      </w:r>
      <w:r w:rsidRPr="00BD29F6">
        <w:rPr>
          <w:szCs w:val="24"/>
          <w:lang w:val="en-GB"/>
        </w:rPr>
        <w:t>, the Committee states:</w:t>
      </w:r>
    </w:p>
    <w:p w:rsidR="00BD29F6" w:rsidRPr="00BD29F6" w:rsidRDefault="00BD29F6" w:rsidP="00BD29F6">
      <w:pPr>
        <w:ind w:right="1134"/>
        <w:rPr>
          <w:szCs w:val="24"/>
          <w:lang w:val="en-US"/>
        </w:rPr>
      </w:pPr>
    </w:p>
    <w:p w:rsidR="00BD29F6" w:rsidRPr="00BD29F6" w:rsidRDefault="00BD29F6" w:rsidP="00BD29F6">
      <w:pPr>
        <w:rPr>
          <w:i/>
          <w:szCs w:val="24"/>
          <w:lang w:val="en-US"/>
        </w:rPr>
      </w:pPr>
      <w:r w:rsidRPr="00BD29F6">
        <w:rPr>
          <w:i/>
          <w:szCs w:val="24"/>
          <w:lang w:val="en-US"/>
        </w:rPr>
        <w:t>“The State is fully responsible for any remotely controlled weapons systems that it uses during an assembly. Such methods of force delivery may escalate tensions and should be used only with great caution. Fully autonomous weapons systems, where lethal or less-lethal force can be used against assembly participants without meaningful human intervention once a system has been deployed, shall never be used for law enforcement during an assembly.”</w:t>
      </w:r>
    </w:p>
    <w:p w:rsidR="00BD29F6" w:rsidRDefault="00BD29F6" w:rsidP="00BD29F6">
      <w:pPr>
        <w:ind w:right="1134"/>
        <w:rPr>
          <w:rFonts w:cs="Calibri"/>
          <w:szCs w:val="24"/>
          <w:lang w:val="en-US"/>
        </w:rPr>
      </w:pPr>
    </w:p>
    <w:p w:rsidR="00BD29F6" w:rsidRPr="00BD29F6" w:rsidRDefault="00BD29F6" w:rsidP="00BD29F6">
      <w:pPr>
        <w:rPr>
          <w:rFonts w:cs="Calibri"/>
          <w:szCs w:val="24"/>
          <w:lang w:val="en-US"/>
        </w:rPr>
      </w:pPr>
      <w:r w:rsidRPr="00BD29F6">
        <w:rPr>
          <w:rFonts w:cs="Calibri"/>
          <w:szCs w:val="24"/>
          <w:lang w:val="en-US"/>
        </w:rPr>
        <w:t>Norway would like to note that there is so far no internationally agreed definition of fully autonomous weapons, and that there are currently ongoing international discussions of this issue. In that context, including a reference to “[f]ully autonomous weapons systems” in this General Comment may seem somewhat premature.</w:t>
      </w:r>
    </w:p>
    <w:p w:rsidR="00BD29F6" w:rsidRPr="00BD29F6" w:rsidRDefault="00BD29F6" w:rsidP="00BD29F6">
      <w:pPr>
        <w:rPr>
          <w:szCs w:val="24"/>
          <w:lang w:val="en-US"/>
        </w:rPr>
      </w:pPr>
    </w:p>
    <w:p w:rsidR="002D5FC7" w:rsidRPr="00BD29F6" w:rsidRDefault="002D5FC7" w:rsidP="00BD29F6">
      <w:pPr>
        <w:rPr>
          <w:szCs w:val="24"/>
          <w:lang w:val="en-GB"/>
        </w:rPr>
      </w:pPr>
      <w:r w:rsidRPr="00BD29F6">
        <w:rPr>
          <w:szCs w:val="24"/>
          <w:lang w:val="en-GB"/>
        </w:rPr>
        <w:t xml:space="preserve">Against the above </w:t>
      </w:r>
      <w:r w:rsidR="004A60D1" w:rsidRPr="00BD29F6">
        <w:rPr>
          <w:szCs w:val="24"/>
          <w:lang w:val="en-GB"/>
        </w:rPr>
        <w:t>background,</w:t>
      </w:r>
      <w:r w:rsidR="00F8764E" w:rsidRPr="00BD29F6">
        <w:rPr>
          <w:szCs w:val="24"/>
          <w:lang w:val="en-GB"/>
        </w:rPr>
        <w:t xml:space="preserve"> Norway </w:t>
      </w:r>
      <w:r w:rsidR="00F318C0">
        <w:rPr>
          <w:szCs w:val="24"/>
          <w:lang w:val="en-GB"/>
        </w:rPr>
        <w:t>invites the Committee to reconsider</w:t>
      </w:r>
      <w:r w:rsidR="00F8764E" w:rsidRPr="00BD29F6">
        <w:rPr>
          <w:szCs w:val="24"/>
          <w:lang w:val="en-GB"/>
        </w:rPr>
        <w:t xml:space="preserve"> </w:t>
      </w:r>
      <w:r w:rsidR="009A2BF3" w:rsidRPr="00BD29F6">
        <w:rPr>
          <w:szCs w:val="24"/>
          <w:lang w:val="en-GB"/>
        </w:rPr>
        <w:t xml:space="preserve">the </w:t>
      </w:r>
      <w:r w:rsidR="00F8764E" w:rsidRPr="00BD29F6">
        <w:rPr>
          <w:szCs w:val="24"/>
          <w:lang w:val="en-GB"/>
        </w:rPr>
        <w:t>d</w:t>
      </w:r>
      <w:r w:rsidRPr="00BD29F6">
        <w:rPr>
          <w:szCs w:val="24"/>
          <w:lang w:val="en-GB"/>
        </w:rPr>
        <w:t>raft General Comment</w:t>
      </w:r>
      <w:r w:rsidR="00495300" w:rsidRPr="00BD29F6">
        <w:rPr>
          <w:szCs w:val="24"/>
          <w:lang w:val="en-GB"/>
        </w:rPr>
        <w:t xml:space="preserve"> </w:t>
      </w:r>
      <w:r w:rsidRPr="00BD29F6">
        <w:rPr>
          <w:szCs w:val="24"/>
          <w:lang w:val="en-GB"/>
        </w:rPr>
        <w:t xml:space="preserve">No. </w:t>
      </w:r>
      <w:r w:rsidR="00084E14" w:rsidRPr="00BD29F6">
        <w:rPr>
          <w:szCs w:val="24"/>
          <w:lang w:val="en-GB"/>
        </w:rPr>
        <w:t>37</w:t>
      </w:r>
      <w:r w:rsidRPr="00BD29F6">
        <w:rPr>
          <w:szCs w:val="24"/>
          <w:lang w:val="en-GB"/>
        </w:rPr>
        <w:t xml:space="preserve"> </w:t>
      </w:r>
      <w:r w:rsidR="00084E14" w:rsidRPr="00BD29F6">
        <w:rPr>
          <w:szCs w:val="24"/>
          <w:lang w:val="en-GB"/>
        </w:rPr>
        <w:t xml:space="preserve">on certain </w:t>
      </w:r>
      <w:r w:rsidRPr="00BD29F6">
        <w:rPr>
          <w:szCs w:val="24"/>
          <w:lang w:val="en-GB"/>
        </w:rPr>
        <w:t xml:space="preserve">accounts, </w:t>
      </w:r>
      <w:r w:rsidRPr="00F318C0">
        <w:rPr>
          <w:szCs w:val="24"/>
          <w:lang w:val="en-GB"/>
        </w:rPr>
        <w:t>taking into consideration</w:t>
      </w:r>
      <w:r w:rsidR="00495300" w:rsidRPr="00F318C0">
        <w:rPr>
          <w:szCs w:val="24"/>
          <w:lang w:val="en-GB"/>
        </w:rPr>
        <w:t xml:space="preserve"> </w:t>
      </w:r>
      <w:r w:rsidRPr="00F318C0">
        <w:rPr>
          <w:szCs w:val="24"/>
          <w:lang w:val="en-GB"/>
        </w:rPr>
        <w:t>the prevalent understanding among the States Parties of the obligations assumed under the Co</w:t>
      </w:r>
      <w:r w:rsidR="00E2052F">
        <w:rPr>
          <w:szCs w:val="24"/>
          <w:lang w:val="en-GB"/>
        </w:rPr>
        <w:t>venant</w:t>
      </w:r>
      <w:r w:rsidRPr="00F318C0">
        <w:rPr>
          <w:szCs w:val="24"/>
          <w:lang w:val="en-GB"/>
        </w:rPr>
        <w:t>.</w:t>
      </w:r>
    </w:p>
    <w:p w:rsidR="001E14CF" w:rsidRPr="00BD29F6" w:rsidRDefault="001E14CF" w:rsidP="00BD29F6">
      <w:pPr>
        <w:pStyle w:val="Default"/>
        <w:rPr>
          <w:rFonts w:ascii="DepCentury Old Style" w:hAnsi="DepCentury Old Style"/>
          <w:lang w:val="en-GB"/>
        </w:rPr>
      </w:pPr>
    </w:p>
    <w:p w:rsidR="00D81E85" w:rsidRPr="00BD29F6" w:rsidRDefault="00E2052F" w:rsidP="00BD29F6">
      <w:pPr>
        <w:pStyle w:val="Default"/>
        <w:rPr>
          <w:rFonts w:ascii="DepCentury Old Style" w:hAnsi="DepCentury Old Style"/>
          <w:lang w:val="en-GB"/>
        </w:rPr>
      </w:pPr>
      <w:r>
        <w:rPr>
          <w:rFonts w:ascii="DepCentury Old Style" w:hAnsi="DepCentury Old Style"/>
          <w:lang w:val="en-GB"/>
        </w:rPr>
        <w:t>12</w:t>
      </w:r>
      <w:r w:rsidR="00D81E85" w:rsidRPr="00BD29F6">
        <w:rPr>
          <w:rFonts w:ascii="DepCentury Old Style" w:hAnsi="DepCentury Old Style"/>
          <w:lang w:val="en-GB"/>
        </w:rPr>
        <w:t xml:space="preserve"> </w:t>
      </w:r>
      <w:r w:rsidR="00084E14" w:rsidRPr="00BD29F6">
        <w:rPr>
          <w:rFonts w:ascii="DepCentury Old Style" w:hAnsi="DepCentury Old Style"/>
          <w:lang w:val="en-GB"/>
        </w:rPr>
        <w:t>February 2020</w:t>
      </w:r>
    </w:p>
    <w:p w:rsidR="00D81E85" w:rsidRPr="00BD29F6" w:rsidRDefault="00D81E85" w:rsidP="00BD29F6">
      <w:pPr>
        <w:pStyle w:val="Default"/>
        <w:rPr>
          <w:rFonts w:ascii="DepCentury Old Style" w:hAnsi="DepCentury Old Style"/>
          <w:lang w:val="en-GB"/>
        </w:rPr>
      </w:pPr>
    </w:p>
    <w:sectPr w:rsidR="00D81E85" w:rsidRPr="00BD29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57D" w:rsidRDefault="00A1557D" w:rsidP="00B841A1">
      <w:r>
        <w:separator/>
      </w:r>
    </w:p>
  </w:endnote>
  <w:endnote w:type="continuationSeparator" w:id="0">
    <w:p w:rsidR="00A1557D" w:rsidRDefault="00A1557D" w:rsidP="00B8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57D" w:rsidRDefault="00A1557D" w:rsidP="00B841A1">
      <w:r>
        <w:separator/>
      </w:r>
    </w:p>
  </w:footnote>
  <w:footnote w:type="continuationSeparator" w:id="0">
    <w:p w:rsidR="00A1557D" w:rsidRDefault="00A1557D" w:rsidP="00B8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237"/>
    <w:multiLevelType w:val="hybridMultilevel"/>
    <w:tmpl w:val="2354A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783ECC"/>
    <w:multiLevelType w:val="hybridMultilevel"/>
    <w:tmpl w:val="B5DC6D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4A"/>
    <w:rsid w:val="0002094B"/>
    <w:rsid w:val="000228FC"/>
    <w:rsid w:val="0002374C"/>
    <w:rsid w:val="000271F1"/>
    <w:rsid w:val="000330A4"/>
    <w:rsid w:val="000344B2"/>
    <w:rsid w:val="000358F1"/>
    <w:rsid w:val="00036D7A"/>
    <w:rsid w:val="0004137D"/>
    <w:rsid w:val="00053BDD"/>
    <w:rsid w:val="000572E8"/>
    <w:rsid w:val="000601B8"/>
    <w:rsid w:val="000633BC"/>
    <w:rsid w:val="0007009A"/>
    <w:rsid w:val="00070437"/>
    <w:rsid w:val="0008227F"/>
    <w:rsid w:val="00084E14"/>
    <w:rsid w:val="00085F3A"/>
    <w:rsid w:val="00093120"/>
    <w:rsid w:val="00096200"/>
    <w:rsid w:val="000A1230"/>
    <w:rsid w:val="000A7CB3"/>
    <w:rsid w:val="000D16EE"/>
    <w:rsid w:val="000D3790"/>
    <w:rsid w:val="000D72FF"/>
    <w:rsid w:val="000E0E1E"/>
    <w:rsid w:val="000F0437"/>
    <w:rsid w:val="000F4962"/>
    <w:rsid w:val="000F5FC2"/>
    <w:rsid w:val="00104DF8"/>
    <w:rsid w:val="00106398"/>
    <w:rsid w:val="00107CC2"/>
    <w:rsid w:val="0012606A"/>
    <w:rsid w:val="001278BD"/>
    <w:rsid w:val="00133B8C"/>
    <w:rsid w:val="00137E18"/>
    <w:rsid w:val="00152C10"/>
    <w:rsid w:val="00164D8B"/>
    <w:rsid w:val="001663D3"/>
    <w:rsid w:val="00171500"/>
    <w:rsid w:val="00175721"/>
    <w:rsid w:val="00180900"/>
    <w:rsid w:val="00180BEE"/>
    <w:rsid w:val="00184C2B"/>
    <w:rsid w:val="001915AB"/>
    <w:rsid w:val="001A2007"/>
    <w:rsid w:val="001A729B"/>
    <w:rsid w:val="001B545B"/>
    <w:rsid w:val="001B6DDE"/>
    <w:rsid w:val="001C0027"/>
    <w:rsid w:val="001C0B19"/>
    <w:rsid w:val="001C7F76"/>
    <w:rsid w:val="001D4ECF"/>
    <w:rsid w:val="001E14CF"/>
    <w:rsid w:val="001E1922"/>
    <w:rsid w:val="001F5B87"/>
    <w:rsid w:val="00200BAD"/>
    <w:rsid w:val="0020370D"/>
    <w:rsid w:val="002111AF"/>
    <w:rsid w:val="00217741"/>
    <w:rsid w:val="00243D08"/>
    <w:rsid w:val="00246BB7"/>
    <w:rsid w:val="00255166"/>
    <w:rsid w:val="00262102"/>
    <w:rsid w:val="00266529"/>
    <w:rsid w:val="002756C8"/>
    <w:rsid w:val="00287431"/>
    <w:rsid w:val="00291988"/>
    <w:rsid w:val="002948DA"/>
    <w:rsid w:val="00294B2B"/>
    <w:rsid w:val="00294B99"/>
    <w:rsid w:val="002A3328"/>
    <w:rsid w:val="002A46AD"/>
    <w:rsid w:val="002B3DBD"/>
    <w:rsid w:val="002B610C"/>
    <w:rsid w:val="002C51C1"/>
    <w:rsid w:val="002C6289"/>
    <w:rsid w:val="002D5FC7"/>
    <w:rsid w:val="002E0A73"/>
    <w:rsid w:val="002E652A"/>
    <w:rsid w:val="002F1C74"/>
    <w:rsid w:val="002F1DE4"/>
    <w:rsid w:val="002F3C12"/>
    <w:rsid w:val="002F67D0"/>
    <w:rsid w:val="002F7F14"/>
    <w:rsid w:val="00317C2C"/>
    <w:rsid w:val="003309B4"/>
    <w:rsid w:val="003373DE"/>
    <w:rsid w:val="003405A7"/>
    <w:rsid w:val="0034780B"/>
    <w:rsid w:val="00347FE4"/>
    <w:rsid w:val="003506A4"/>
    <w:rsid w:val="003516E4"/>
    <w:rsid w:val="00354641"/>
    <w:rsid w:val="003632C3"/>
    <w:rsid w:val="003633E5"/>
    <w:rsid w:val="00365194"/>
    <w:rsid w:val="00372DFA"/>
    <w:rsid w:val="00372E1E"/>
    <w:rsid w:val="003745F6"/>
    <w:rsid w:val="00374631"/>
    <w:rsid w:val="00385EB6"/>
    <w:rsid w:val="003941EA"/>
    <w:rsid w:val="0039471C"/>
    <w:rsid w:val="00397359"/>
    <w:rsid w:val="003A4661"/>
    <w:rsid w:val="003B15BA"/>
    <w:rsid w:val="003B6836"/>
    <w:rsid w:val="003B7C4B"/>
    <w:rsid w:val="003D34BE"/>
    <w:rsid w:val="003E689E"/>
    <w:rsid w:val="003F0E92"/>
    <w:rsid w:val="004103F8"/>
    <w:rsid w:val="00410BE6"/>
    <w:rsid w:val="004119D6"/>
    <w:rsid w:val="00415305"/>
    <w:rsid w:val="00423FC6"/>
    <w:rsid w:val="00431EBD"/>
    <w:rsid w:val="00433A73"/>
    <w:rsid w:val="00442B4A"/>
    <w:rsid w:val="0044555B"/>
    <w:rsid w:val="004519C7"/>
    <w:rsid w:val="00455BEE"/>
    <w:rsid w:val="004563A8"/>
    <w:rsid w:val="00457AE1"/>
    <w:rsid w:val="00464D4A"/>
    <w:rsid w:val="0046781B"/>
    <w:rsid w:val="00473D99"/>
    <w:rsid w:val="004763C7"/>
    <w:rsid w:val="004820A8"/>
    <w:rsid w:val="004840A2"/>
    <w:rsid w:val="00484699"/>
    <w:rsid w:val="004874A4"/>
    <w:rsid w:val="004941A6"/>
    <w:rsid w:val="00494DF1"/>
    <w:rsid w:val="00495300"/>
    <w:rsid w:val="00497C87"/>
    <w:rsid w:val="004A327E"/>
    <w:rsid w:val="004A60D1"/>
    <w:rsid w:val="004A683E"/>
    <w:rsid w:val="004B041E"/>
    <w:rsid w:val="004B08EB"/>
    <w:rsid w:val="004B5AD3"/>
    <w:rsid w:val="004D40DD"/>
    <w:rsid w:val="004D69CF"/>
    <w:rsid w:val="004E0927"/>
    <w:rsid w:val="004E2801"/>
    <w:rsid w:val="004E38FE"/>
    <w:rsid w:val="004E4C03"/>
    <w:rsid w:val="004E5CE4"/>
    <w:rsid w:val="00500D66"/>
    <w:rsid w:val="005030E8"/>
    <w:rsid w:val="00534E92"/>
    <w:rsid w:val="00537650"/>
    <w:rsid w:val="00540730"/>
    <w:rsid w:val="00540F85"/>
    <w:rsid w:val="0055023B"/>
    <w:rsid w:val="00553965"/>
    <w:rsid w:val="00557699"/>
    <w:rsid w:val="00561200"/>
    <w:rsid w:val="00562AFB"/>
    <w:rsid w:val="00582114"/>
    <w:rsid w:val="00586FD4"/>
    <w:rsid w:val="00587583"/>
    <w:rsid w:val="005943D8"/>
    <w:rsid w:val="005A237B"/>
    <w:rsid w:val="005A62F4"/>
    <w:rsid w:val="005A699B"/>
    <w:rsid w:val="005C0B17"/>
    <w:rsid w:val="005D313F"/>
    <w:rsid w:val="005E16C4"/>
    <w:rsid w:val="005E48B7"/>
    <w:rsid w:val="005F4A53"/>
    <w:rsid w:val="005F7135"/>
    <w:rsid w:val="00601A13"/>
    <w:rsid w:val="00613A66"/>
    <w:rsid w:val="00614D09"/>
    <w:rsid w:val="00621CD2"/>
    <w:rsid w:val="00625DE8"/>
    <w:rsid w:val="006327AB"/>
    <w:rsid w:val="00634231"/>
    <w:rsid w:val="006367B4"/>
    <w:rsid w:val="00640327"/>
    <w:rsid w:val="00640B3E"/>
    <w:rsid w:val="006429BB"/>
    <w:rsid w:val="0064356E"/>
    <w:rsid w:val="006533C8"/>
    <w:rsid w:val="00660D9F"/>
    <w:rsid w:val="00662985"/>
    <w:rsid w:val="00662ABF"/>
    <w:rsid w:val="00672EDC"/>
    <w:rsid w:val="00674F68"/>
    <w:rsid w:val="006777DF"/>
    <w:rsid w:val="00685796"/>
    <w:rsid w:val="006940C8"/>
    <w:rsid w:val="00696A1D"/>
    <w:rsid w:val="006974FA"/>
    <w:rsid w:val="006A5DB0"/>
    <w:rsid w:val="006A6BB9"/>
    <w:rsid w:val="006B2437"/>
    <w:rsid w:val="006C148C"/>
    <w:rsid w:val="006C1BAE"/>
    <w:rsid w:val="006D5CF4"/>
    <w:rsid w:val="006F4BD4"/>
    <w:rsid w:val="006F5F1F"/>
    <w:rsid w:val="0070645A"/>
    <w:rsid w:val="007064F0"/>
    <w:rsid w:val="00711297"/>
    <w:rsid w:val="00714C8F"/>
    <w:rsid w:val="00721810"/>
    <w:rsid w:val="00726EEF"/>
    <w:rsid w:val="00727967"/>
    <w:rsid w:val="007352E1"/>
    <w:rsid w:val="00742E9F"/>
    <w:rsid w:val="0075296D"/>
    <w:rsid w:val="0076171A"/>
    <w:rsid w:val="00763EF6"/>
    <w:rsid w:val="00772F0D"/>
    <w:rsid w:val="00773108"/>
    <w:rsid w:val="00777ABB"/>
    <w:rsid w:val="00785F77"/>
    <w:rsid w:val="007B19F3"/>
    <w:rsid w:val="007C4144"/>
    <w:rsid w:val="007D05FD"/>
    <w:rsid w:val="007D44F4"/>
    <w:rsid w:val="007D7B3A"/>
    <w:rsid w:val="007E17A8"/>
    <w:rsid w:val="007E1FCF"/>
    <w:rsid w:val="007E661C"/>
    <w:rsid w:val="0083031A"/>
    <w:rsid w:val="0083111A"/>
    <w:rsid w:val="00835B9F"/>
    <w:rsid w:val="00853BAB"/>
    <w:rsid w:val="00854044"/>
    <w:rsid w:val="0085610E"/>
    <w:rsid w:val="008656C3"/>
    <w:rsid w:val="00874F03"/>
    <w:rsid w:val="00890B18"/>
    <w:rsid w:val="008973E9"/>
    <w:rsid w:val="008A5AF5"/>
    <w:rsid w:val="008B11BE"/>
    <w:rsid w:val="008B5B39"/>
    <w:rsid w:val="008B5ED4"/>
    <w:rsid w:val="008C1CDB"/>
    <w:rsid w:val="008C4388"/>
    <w:rsid w:val="008C4CAF"/>
    <w:rsid w:val="008C4DC8"/>
    <w:rsid w:val="008D104E"/>
    <w:rsid w:val="008D155B"/>
    <w:rsid w:val="008E57E1"/>
    <w:rsid w:val="008F12FD"/>
    <w:rsid w:val="009017F3"/>
    <w:rsid w:val="00904144"/>
    <w:rsid w:val="009258E7"/>
    <w:rsid w:val="00932614"/>
    <w:rsid w:val="009366FF"/>
    <w:rsid w:val="009374DF"/>
    <w:rsid w:val="00941379"/>
    <w:rsid w:val="00941EA7"/>
    <w:rsid w:val="00942185"/>
    <w:rsid w:val="00944E6B"/>
    <w:rsid w:val="00946E40"/>
    <w:rsid w:val="0095262D"/>
    <w:rsid w:val="00960059"/>
    <w:rsid w:val="00961D4B"/>
    <w:rsid w:val="00962974"/>
    <w:rsid w:val="0096629A"/>
    <w:rsid w:val="009732C2"/>
    <w:rsid w:val="00973A55"/>
    <w:rsid w:val="00973D33"/>
    <w:rsid w:val="00977EC4"/>
    <w:rsid w:val="00980768"/>
    <w:rsid w:val="0099495B"/>
    <w:rsid w:val="009A2BF3"/>
    <w:rsid w:val="009B250F"/>
    <w:rsid w:val="009C144D"/>
    <w:rsid w:val="009D2C26"/>
    <w:rsid w:val="009F1447"/>
    <w:rsid w:val="009F3CB3"/>
    <w:rsid w:val="009F714E"/>
    <w:rsid w:val="00A010ED"/>
    <w:rsid w:val="00A10B12"/>
    <w:rsid w:val="00A11C0C"/>
    <w:rsid w:val="00A1557D"/>
    <w:rsid w:val="00A23397"/>
    <w:rsid w:val="00A2543D"/>
    <w:rsid w:val="00A32C28"/>
    <w:rsid w:val="00A46A34"/>
    <w:rsid w:val="00A50FA5"/>
    <w:rsid w:val="00A60C55"/>
    <w:rsid w:val="00A63706"/>
    <w:rsid w:val="00A70CDB"/>
    <w:rsid w:val="00A74BDB"/>
    <w:rsid w:val="00A75592"/>
    <w:rsid w:val="00A81CF1"/>
    <w:rsid w:val="00A847D0"/>
    <w:rsid w:val="00A868A2"/>
    <w:rsid w:val="00A90103"/>
    <w:rsid w:val="00A904A0"/>
    <w:rsid w:val="00A96EEC"/>
    <w:rsid w:val="00A97123"/>
    <w:rsid w:val="00AA3ABB"/>
    <w:rsid w:val="00AA5A8A"/>
    <w:rsid w:val="00AB2AAA"/>
    <w:rsid w:val="00AB55C0"/>
    <w:rsid w:val="00AC3103"/>
    <w:rsid w:val="00AC690E"/>
    <w:rsid w:val="00AD09B6"/>
    <w:rsid w:val="00AE2FB2"/>
    <w:rsid w:val="00AF1079"/>
    <w:rsid w:val="00AF15DD"/>
    <w:rsid w:val="00AF1C45"/>
    <w:rsid w:val="00AF3211"/>
    <w:rsid w:val="00B0036C"/>
    <w:rsid w:val="00B00EB0"/>
    <w:rsid w:val="00B040A9"/>
    <w:rsid w:val="00B15DD7"/>
    <w:rsid w:val="00B16566"/>
    <w:rsid w:val="00B22108"/>
    <w:rsid w:val="00B24DA2"/>
    <w:rsid w:val="00B262E7"/>
    <w:rsid w:val="00B60EFA"/>
    <w:rsid w:val="00B73420"/>
    <w:rsid w:val="00B841A1"/>
    <w:rsid w:val="00B8539A"/>
    <w:rsid w:val="00B9157C"/>
    <w:rsid w:val="00B92832"/>
    <w:rsid w:val="00B93A67"/>
    <w:rsid w:val="00B97304"/>
    <w:rsid w:val="00BB2587"/>
    <w:rsid w:val="00BB3F81"/>
    <w:rsid w:val="00BB6E1B"/>
    <w:rsid w:val="00BC3E3B"/>
    <w:rsid w:val="00BD29F6"/>
    <w:rsid w:val="00BD7E5E"/>
    <w:rsid w:val="00BE3EE1"/>
    <w:rsid w:val="00BF0047"/>
    <w:rsid w:val="00BF037C"/>
    <w:rsid w:val="00BF2287"/>
    <w:rsid w:val="00BF27CC"/>
    <w:rsid w:val="00BF3E6B"/>
    <w:rsid w:val="00C1058F"/>
    <w:rsid w:val="00C2001C"/>
    <w:rsid w:val="00C21390"/>
    <w:rsid w:val="00C326FF"/>
    <w:rsid w:val="00C43A7D"/>
    <w:rsid w:val="00C55CB9"/>
    <w:rsid w:val="00C6056C"/>
    <w:rsid w:val="00C67EC3"/>
    <w:rsid w:val="00C77135"/>
    <w:rsid w:val="00C776B0"/>
    <w:rsid w:val="00C83254"/>
    <w:rsid w:val="00C93D46"/>
    <w:rsid w:val="00CA6D8F"/>
    <w:rsid w:val="00CC76A2"/>
    <w:rsid w:val="00CC7A73"/>
    <w:rsid w:val="00CD32CF"/>
    <w:rsid w:val="00CD3D0B"/>
    <w:rsid w:val="00CF1936"/>
    <w:rsid w:val="00CF39B0"/>
    <w:rsid w:val="00CF7110"/>
    <w:rsid w:val="00D0428C"/>
    <w:rsid w:val="00D131DB"/>
    <w:rsid w:val="00D131ED"/>
    <w:rsid w:val="00D16F16"/>
    <w:rsid w:val="00D2146F"/>
    <w:rsid w:val="00D332F9"/>
    <w:rsid w:val="00D45F00"/>
    <w:rsid w:val="00D644DD"/>
    <w:rsid w:val="00D66DD6"/>
    <w:rsid w:val="00D76B56"/>
    <w:rsid w:val="00D81E85"/>
    <w:rsid w:val="00D8771C"/>
    <w:rsid w:val="00D92061"/>
    <w:rsid w:val="00D9461C"/>
    <w:rsid w:val="00D9716F"/>
    <w:rsid w:val="00D9742C"/>
    <w:rsid w:val="00DA4484"/>
    <w:rsid w:val="00DA698B"/>
    <w:rsid w:val="00DB49C9"/>
    <w:rsid w:val="00DC0FC2"/>
    <w:rsid w:val="00DC1A4E"/>
    <w:rsid w:val="00DC286A"/>
    <w:rsid w:val="00DC30E8"/>
    <w:rsid w:val="00DC3BA8"/>
    <w:rsid w:val="00DC76D2"/>
    <w:rsid w:val="00DC7D87"/>
    <w:rsid w:val="00DD0D7E"/>
    <w:rsid w:val="00DE5803"/>
    <w:rsid w:val="00E03415"/>
    <w:rsid w:val="00E1710E"/>
    <w:rsid w:val="00E2052F"/>
    <w:rsid w:val="00E2508C"/>
    <w:rsid w:val="00E25650"/>
    <w:rsid w:val="00E26212"/>
    <w:rsid w:val="00E31BB4"/>
    <w:rsid w:val="00E42A1F"/>
    <w:rsid w:val="00E7538D"/>
    <w:rsid w:val="00E75DDE"/>
    <w:rsid w:val="00E83231"/>
    <w:rsid w:val="00E902C2"/>
    <w:rsid w:val="00EB1732"/>
    <w:rsid w:val="00EB33EB"/>
    <w:rsid w:val="00EC3862"/>
    <w:rsid w:val="00ED462C"/>
    <w:rsid w:val="00ED5F69"/>
    <w:rsid w:val="00ED6BDF"/>
    <w:rsid w:val="00ED6CD9"/>
    <w:rsid w:val="00EF1BAC"/>
    <w:rsid w:val="00F038BD"/>
    <w:rsid w:val="00F05962"/>
    <w:rsid w:val="00F13429"/>
    <w:rsid w:val="00F150C8"/>
    <w:rsid w:val="00F20B4B"/>
    <w:rsid w:val="00F318C0"/>
    <w:rsid w:val="00F44B26"/>
    <w:rsid w:val="00F473C0"/>
    <w:rsid w:val="00F51BC9"/>
    <w:rsid w:val="00F659E3"/>
    <w:rsid w:val="00F80E90"/>
    <w:rsid w:val="00F82651"/>
    <w:rsid w:val="00F84EC4"/>
    <w:rsid w:val="00F856E6"/>
    <w:rsid w:val="00F8764E"/>
    <w:rsid w:val="00F92E83"/>
    <w:rsid w:val="00F9344F"/>
    <w:rsid w:val="00F9638E"/>
    <w:rsid w:val="00F9659A"/>
    <w:rsid w:val="00F97947"/>
    <w:rsid w:val="00FA1DAA"/>
    <w:rsid w:val="00FA28C3"/>
    <w:rsid w:val="00FA3C6C"/>
    <w:rsid w:val="00FA5468"/>
    <w:rsid w:val="00FB15BF"/>
    <w:rsid w:val="00FC24ED"/>
    <w:rsid w:val="00FC4B81"/>
    <w:rsid w:val="00FD03AD"/>
    <w:rsid w:val="00FD1179"/>
    <w:rsid w:val="00FD4C42"/>
    <w:rsid w:val="00FE365D"/>
    <w:rsid w:val="00FE6F6E"/>
    <w:rsid w:val="00FF55B6"/>
    <w:rsid w:val="00FF72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5251"/>
  <w15:docId w15:val="{73677C63-556A-4FE6-96E8-D4011DA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AD"/>
    <w:pPr>
      <w:spacing w:after="0" w:line="240" w:lineRule="auto"/>
    </w:pPr>
    <w:rPr>
      <w:rFonts w:ascii="DepCentury Old Style" w:eastAsia="Times New Roman" w:hAnsi="DepCentury Old Style" w:cs="Times New Roman"/>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64D8B"/>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5E16C4"/>
    <w:pPr>
      <w:ind w:left="720"/>
      <w:contextualSpacing/>
    </w:pPr>
  </w:style>
  <w:style w:type="character" w:styleId="Hyperkobling">
    <w:name w:val="Hyperlink"/>
    <w:basedOn w:val="Standardskriftforavsnitt"/>
    <w:uiPriority w:val="99"/>
    <w:semiHidden/>
    <w:unhideWhenUsed/>
    <w:rsid w:val="0099495B"/>
    <w:rPr>
      <w:color w:val="0000FF"/>
      <w:u w:val="single"/>
    </w:rPr>
  </w:style>
  <w:style w:type="character" w:styleId="Fulgthyperkobling">
    <w:name w:val="FollowedHyperlink"/>
    <w:basedOn w:val="Standardskriftforavsnitt"/>
    <w:uiPriority w:val="99"/>
    <w:semiHidden/>
    <w:unhideWhenUsed/>
    <w:rsid w:val="000A1230"/>
    <w:rPr>
      <w:color w:val="954F72" w:themeColor="followedHyperlink"/>
      <w:u w:val="single"/>
    </w:rPr>
  </w:style>
  <w:style w:type="character" w:styleId="Utheving">
    <w:name w:val="Emphasis"/>
    <w:basedOn w:val="Standardskriftforavsnitt"/>
    <w:uiPriority w:val="20"/>
    <w:qFormat/>
    <w:rsid w:val="00AD09B6"/>
    <w:rPr>
      <w:i/>
      <w:iCs/>
    </w:rPr>
  </w:style>
  <w:style w:type="paragraph" w:styleId="Bobletekst">
    <w:name w:val="Balloon Text"/>
    <w:basedOn w:val="Normal"/>
    <w:link w:val="BobletekstTegn"/>
    <w:uiPriority w:val="99"/>
    <w:semiHidden/>
    <w:unhideWhenUsed/>
    <w:rsid w:val="00613A6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3A66"/>
    <w:rPr>
      <w:rFonts w:ascii="Segoe UI" w:eastAsia="Times New Roman" w:hAnsi="Segoe UI" w:cs="Segoe UI"/>
      <w:sz w:val="18"/>
      <w:szCs w:val="18"/>
    </w:rPr>
  </w:style>
  <w:style w:type="character" w:styleId="Merknadsreferanse">
    <w:name w:val="annotation reference"/>
    <w:basedOn w:val="Standardskriftforavsnitt"/>
    <w:uiPriority w:val="99"/>
    <w:semiHidden/>
    <w:unhideWhenUsed/>
    <w:rsid w:val="00EF1BAC"/>
    <w:rPr>
      <w:sz w:val="16"/>
      <w:szCs w:val="16"/>
    </w:rPr>
  </w:style>
  <w:style w:type="paragraph" w:styleId="Merknadstekst">
    <w:name w:val="annotation text"/>
    <w:basedOn w:val="Normal"/>
    <w:link w:val="MerknadstekstTegn"/>
    <w:uiPriority w:val="99"/>
    <w:semiHidden/>
    <w:unhideWhenUsed/>
    <w:rsid w:val="00EF1BAC"/>
    <w:rPr>
      <w:sz w:val="20"/>
    </w:rPr>
  </w:style>
  <w:style w:type="character" w:customStyle="1" w:styleId="MerknadstekstTegn">
    <w:name w:val="Merknadstekst Tegn"/>
    <w:basedOn w:val="Standardskriftforavsnitt"/>
    <w:link w:val="Merknadstekst"/>
    <w:uiPriority w:val="99"/>
    <w:semiHidden/>
    <w:rsid w:val="00EF1BAC"/>
    <w:rPr>
      <w:rFonts w:ascii="DepCentury Old Style" w:eastAsia="Times New Roman" w:hAnsi="DepCentury Old Style" w:cs="Times New Roman"/>
      <w:sz w:val="20"/>
      <w:szCs w:val="20"/>
    </w:rPr>
  </w:style>
  <w:style w:type="paragraph" w:styleId="Kommentaremne">
    <w:name w:val="annotation subject"/>
    <w:basedOn w:val="Merknadstekst"/>
    <w:next w:val="Merknadstekst"/>
    <w:link w:val="KommentaremneTegn"/>
    <w:uiPriority w:val="99"/>
    <w:semiHidden/>
    <w:unhideWhenUsed/>
    <w:rsid w:val="00EF1BAC"/>
    <w:rPr>
      <w:b/>
      <w:bCs/>
    </w:rPr>
  </w:style>
  <w:style w:type="character" w:customStyle="1" w:styleId="KommentaremneTegn">
    <w:name w:val="Kommentaremne Tegn"/>
    <w:basedOn w:val="MerknadstekstTegn"/>
    <w:link w:val="Kommentaremne"/>
    <w:uiPriority w:val="99"/>
    <w:semiHidden/>
    <w:rsid w:val="00EF1BAC"/>
    <w:rPr>
      <w:rFonts w:ascii="DepCentury Old Style" w:eastAsia="Times New Roman" w:hAnsi="DepCentury Old Style" w:cs="Times New Roman"/>
      <w:b/>
      <w:bCs/>
      <w:sz w:val="20"/>
      <w:szCs w:val="20"/>
    </w:rPr>
  </w:style>
  <w:style w:type="character" w:customStyle="1" w:styleId="s7d2086b4">
    <w:name w:val="s7d2086b4"/>
    <w:basedOn w:val="Standardskriftforavsnitt"/>
    <w:rsid w:val="009017F3"/>
  </w:style>
  <w:style w:type="character" w:customStyle="1" w:styleId="wordhighlighted">
    <w:name w:val="wordhighlighted"/>
    <w:basedOn w:val="Standardskriftforavsnitt"/>
    <w:rsid w:val="009017F3"/>
  </w:style>
  <w:style w:type="paragraph" w:customStyle="1" w:styleId="s32b251d">
    <w:name w:val="s32b251d"/>
    <w:basedOn w:val="Normal"/>
    <w:rsid w:val="00640327"/>
    <w:pPr>
      <w:spacing w:before="100" w:beforeAutospacing="1" w:after="100" w:afterAutospacing="1"/>
    </w:pPr>
    <w:rPr>
      <w:rFonts w:ascii="Times New Roman" w:hAnsi="Times New Roman"/>
      <w:szCs w:val="24"/>
      <w:lang w:eastAsia="nb-NO"/>
    </w:rPr>
  </w:style>
  <w:style w:type="character" w:customStyle="1" w:styleId="s6b621b36">
    <w:name w:val="s6b621b36"/>
    <w:basedOn w:val="Standardskriftforavsnitt"/>
    <w:rsid w:val="00640327"/>
  </w:style>
  <w:style w:type="character" w:customStyle="1" w:styleId="sb8d990e2">
    <w:name w:val="sb8d990e2"/>
    <w:basedOn w:val="Standardskriftforavsnitt"/>
    <w:rsid w:val="00640327"/>
  </w:style>
  <w:style w:type="paragraph" w:styleId="Revisjon">
    <w:name w:val="Revision"/>
    <w:hidden/>
    <w:uiPriority w:val="99"/>
    <w:semiHidden/>
    <w:rsid w:val="00BF0047"/>
    <w:pPr>
      <w:spacing w:after="0" w:line="240" w:lineRule="auto"/>
    </w:pPr>
    <w:rPr>
      <w:rFonts w:ascii="DepCentury Old Style" w:eastAsia="Times New Roman" w:hAnsi="DepCentury Old Style" w:cs="Times New Roman"/>
      <w:sz w:val="24"/>
      <w:szCs w:val="20"/>
    </w:rPr>
  </w:style>
  <w:style w:type="paragraph" w:customStyle="1" w:styleId="BrdtekstA">
    <w:name w:val="Brødtekst A"/>
    <w:rsid w:val="00B841A1"/>
    <w:pPr>
      <w:pBdr>
        <w:top w:val="nil"/>
        <w:left w:val="nil"/>
        <w:bottom w:val="nil"/>
        <w:right w:val="nil"/>
        <w:between w:val="nil"/>
        <w:bar w:val="nil"/>
      </w:pBdr>
      <w:spacing w:after="0" w:line="240" w:lineRule="auto"/>
    </w:pPr>
    <w:rPr>
      <w:rFonts w:ascii="DepCentury Old Style" w:eastAsia="DepCentury Old Style" w:hAnsi="DepCentury Old Style" w:cs="DepCentury Old Style"/>
      <w:color w:val="000000"/>
      <w:sz w:val="24"/>
      <w:szCs w:val="24"/>
      <w:u w:color="000000"/>
      <w:bdr w:val="nil"/>
      <w:lang w:val="en-US" w:eastAsia="nb-NO"/>
    </w:rPr>
  </w:style>
  <w:style w:type="paragraph" w:styleId="Fotnotetekst">
    <w:name w:val="footnote text"/>
    <w:basedOn w:val="Normal"/>
    <w:link w:val="FotnotetekstTegn"/>
    <w:uiPriority w:val="99"/>
    <w:semiHidden/>
    <w:unhideWhenUsed/>
    <w:rsid w:val="00B841A1"/>
    <w:rPr>
      <w:sz w:val="20"/>
    </w:rPr>
  </w:style>
  <w:style w:type="character" w:customStyle="1" w:styleId="FotnotetekstTegn">
    <w:name w:val="Fotnotetekst Tegn"/>
    <w:basedOn w:val="Standardskriftforavsnitt"/>
    <w:link w:val="Fotnotetekst"/>
    <w:uiPriority w:val="99"/>
    <w:semiHidden/>
    <w:rsid w:val="00B841A1"/>
    <w:rPr>
      <w:rFonts w:ascii="DepCentury Old Style" w:eastAsia="Times New Roman" w:hAnsi="DepCentury Old Style" w:cs="Times New Roman"/>
      <w:sz w:val="20"/>
      <w:szCs w:val="20"/>
    </w:rPr>
  </w:style>
  <w:style w:type="character" w:styleId="Fotnotereferanse">
    <w:name w:val="footnote reference"/>
    <w:basedOn w:val="Standardskriftforavsnitt"/>
    <w:uiPriority w:val="99"/>
    <w:semiHidden/>
    <w:unhideWhenUsed/>
    <w:rsid w:val="00B841A1"/>
    <w:rPr>
      <w:vertAlign w:val="superscript"/>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n Char"/>
    <w:basedOn w:val="Standardskriftforavsnitt"/>
    <w:link w:val="Fotnotetekst1"/>
    <w:uiPriority w:val="99"/>
    <w:semiHidden/>
    <w:locked/>
    <w:rsid w:val="00BD29F6"/>
    <w:rPr>
      <w:rFonts w:ascii="SimSun" w:eastAsia="SimSun" w:hAnsi="SimSun"/>
      <w:lang w:eastAsia="zh-CN"/>
    </w:rPr>
  </w:style>
  <w:style w:type="paragraph" w:customStyle="1" w:styleId="Fotnotetekst1">
    <w:name w:val="Fotnotetekst1"/>
    <w:aliases w:val="5_G,Voetnoottekst1,Char1,FA Fu1,Footnote Text Char Char Char1,Footnote Text Char Char Char Char1,Footnote Text Char Char1,Footnote Text Char Char Char Char Char1,5_GR,Fodnotetekst Tegn1,Fodnotetekst Tegn Tegn,Char,Footnote reference,fn"/>
    <w:basedOn w:val="Normal"/>
    <w:link w:val="FootnoteTextChar"/>
    <w:uiPriority w:val="99"/>
    <w:semiHidden/>
    <w:rsid w:val="00BD29F6"/>
    <w:pPr>
      <w:overflowPunct w:val="0"/>
      <w:autoSpaceDE w:val="0"/>
      <w:autoSpaceDN w:val="0"/>
      <w:snapToGrid w:val="0"/>
      <w:spacing w:line="220" w:lineRule="exact"/>
      <w:ind w:left="1134" w:right="1134" w:hanging="1134"/>
    </w:pPr>
    <w:rPr>
      <w:rFonts w:ascii="SimSun" w:eastAsia="SimSun" w:hAnsi="SimSun" w:cstheme="minorBidi"/>
      <w:sz w:val="22"/>
      <w:szCs w:val="22"/>
      <w:lang w:eastAsia="zh-CN"/>
    </w:rPr>
  </w:style>
  <w:style w:type="character" w:customStyle="1" w:styleId="Fotnotereferanse1">
    <w:name w:val="Fotnotereferanse1"/>
    <w:aliases w:val="4_G,Texto de nota al pie,Footnote number,Footnote Reference Char3,Footnote Reference Char1 Char,Char Char Car Char Car Char Car Char Car Char Car Char Char Char1 Char,Footnote Reference Char Char Char,ftref,BVI fnr,16 Point,SUPERS,4_"/>
    <w:basedOn w:val="Standardskriftforavsnitt"/>
    <w:link w:val="Appelnotedebasde"/>
    <w:uiPriority w:val="99"/>
    <w:semiHidden/>
    <w:locked/>
    <w:rsid w:val="00BD29F6"/>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tnotereferanse1"/>
    <w:uiPriority w:val="99"/>
    <w:semiHidden/>
    <w:rsid w:val="00BD29F6"/>
    <w:pPr>
      <w:spacing w:before="120" w:after="12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3465">
      <w:bodyDiv w:val="1"/>
      <w:marLeft w:val="0"/>
      <w:marRight w:val="0"/>
      <w:marTop w:val="0"/>
      <w:marBottom w:val="0"/>
      <w:divBdr>
        <w:top w:val="none" w:sz="0" w:space="0" w:color="auto"/>
        <w:left w:val="none" w:sz="0" w:space="0" w:color="auto"/>
        <w:bottom w:val="none" w:sz="0" w:space="0" w:color="auto"/>
        <w:right w:val="none" w:sz="0" w:space="0" w:color="auto"/>
      </w:divBdr>
    </w:div>
    <w:div w:id="412750510">
      <w:bodyDiv w:val="1"/>
      <w:marLeft w:val="0"/>
      <w:marRight w:val="0"/>
      <w:marTop w:val="0"/>
      <w:marBottom w:val="0"/>
      <w:divBdr>
        <w:top w:val="none" w:sz="0" w:space="0" w:color="auto"/>
        <w:left w:val="none" w:sz="0" w:space="0" w:color="auto"/>
        <w:bottom w:val="none" w:sz="0" w:space="0" w:color="auto"/>
        <w:right w:val="none" w:sz="0" w:space="0" w:color="auto"/>
      </w:divBdr>
    </w:div>
    <w:div w:id="504394716">
      <w:bodyDiv w:val="1"/>
      <w:marLeft w:val="0"/>
      <w:marRight w:val="0"/>
      <w:marTop w:val="0"/>
      <w:marBottom w:val="0"/>
      <w:divBdr>
        <w:top w:val="none" w:sz="0" w:space="0" w:color="auto"/>
        <w:left w:val="none" w:sz="0" w:space="0" w:color="auto"/>
        <w:bottom w:val="none" w:sz="0" w:space="0" w:color="auto"/>
        <w:right w:val="none" w:sz="0" w:space="0" w:color="auto"/>
      </w:divBdr>
    </w:div>
    <w:div w:id="688871313">
      <w:bodyDiv w:val="1"/>
      <w:marLeft w:val="0"/>
      <w:marRight w:val="0"/>
      <w:marTop w:val="0"/>
      <w:marBottom w:val="0"/>
      <w:divBdr>
        <w:top w:val="none" w:sz="0" w:space="0" w:color="auto"/>
        <w:left w:val="none" w:sz="0" w:space="0" w:color="auto"/>
        <w:bottom w:val="none" w:sz="0" w:space="0" w:color="auto"/>
        <w:right w:val="none" w:sz="0" w:space="0" w:color="auto"/>
      </w:divBdr>
    </w:div>
    <w:div w:id="905723067">
      <w:bodyDiv w:val="1"/>
      <w:marLeft w:val="0"/>
      <w:marRight w:val="0"/>
      <w:marTop w:val="0"/>
      <w:marBottom w:val="0"/>
      <w:divBdr>
        <w:top w:val="none" w:sz="0" w:space="0" w:color="auto"/>
        <w:left w:val="none" w:sz="0" w:space="0" w:color="auto"/>
        <w:bottom w:val="none" w:sz="0" w:space="0" w:color="auto"/>
        <w:right w:val="none" w:sz="0" w:space="0" w:color="auto"/>
      </w:divBdr>
      <w:divsChild>
        <w:div w:id="1188564944">
          <w:marLeft w:val="0"/>
          <w:marRight w:val="0"/>
          <w:marTop w:val="0"/>
          <w:marBottom w:val="0"/>
          <w:divBdr>
            <w:top w:val="none" w:sz="0" w:space="0" w:color="auto"/>
            <w:left w:val="none" w:sz="0" w:space="0" w:color="auto"/>
            <w:bottom w:val="none" w:sz="0" w:space="0" w:color="auto"/>
            <w:right w:val="none" w:sz="0" w:space="0" w:color="auto"/>
          </w:divBdr>
          <w:divsChild>
            <w:div w:id="1183789445">
              <w:marLeft w:val="0"/>
              <w:marRight w:val="0"/>
              <w:marTop w:val="0"/>
              <w:marBottom w:val="0"/>
              <w:divBdr>
                <w:top w:val="none" w:sz="0" w:space="0" w:color="auto"/>
                <w:left w:val="none" w:sz="0" w:space="0" w:color="auto"/>
                <w:bottom w:val="none" w:sz="0" w:space="0" w:color="auto"/>
                <w:right w:val="none" w:sz="0" w:space="0" w:color="auto"/>
              </w:divBdr>
              <w:divsChild>
                <w:div w:id="240453401">
                  <w:marLeft w:val="0"/>
                  <w:marRight w:val="0"/>
                  <w:marTop w:val="0"/>
                  <w:marBottom w:val="0"/>
                  <w:divBdr>
                    <w:top w:val="none" w:sz="0" w:space="0" w:color="auto"/>
                    <w:left w:val="none" w:sz="0" w:space="0" w:color="auto"/>
                    <w:bottom w:val="none" w:sz="0" w:space="0" w:color="auto"/>
                    <w:right w:val="none" w:sz="0" w:space="0" w:color="auto"/>
                  </w:divBdr>
                  <w:divsChild>
                    <w:div w:id="2097047036">
                      <w:marLeft w:val="0"/>
                      <w:marRight w:val="0"/>
                      <w:marTop w:val="0"/>
                      <w:marBottom w:val="0"/>
                      <w:divBdr>
                        <w:top w:val="none" w:sz="0" w:space="0" w:color="auto"/>
                        <w:left w:val="none" w:sz="0" w:space="0" w:color="auto"/>
                        <w:bottom w:val="none" w:sz="0" w:space="0" w:color="auto"/>
                        <w:right w:val="none" w:sz="0" w:space="0" w:color="auto"/>
                      </w:divBdr>
                      <w:divsChild>
                        <w:div w:id="1626111161">
                          <w:marLeft w:val="0"/>
                          <w:marRight w:val="0"/>
                          <w:marTop w:val="0"/>
                          <w:marBottom w:val="0"/>
                          <w:divBdr>
                            <w:top w:val="none" w:sz="0" w:space="0" w:color="auto"/>
                            <w:left w:val="none" w:sz="0" w:space="0" w:color="auto"/>
                            <w:bottom w:val="none" w:sz="0" w:space="0" w:color="auto"/>
                            <w:right w:val="none" w:sz="0" w:space="0" w:color="auto"/>
                          </w:divBdr>
                          <w:divsChild>
                            <w:div w:id="12622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2193">
      <w:bodyDiv w:val="1"/>
      <w:marLeft w:val="0"/>
      <w:marRight w:val="0"/>
      <w:marTop w:val="0"/>
      <w:marBottom w:val="0"/>
      <w:divBdr>
        <w:top w:val="none" w:sz="0" w:space="0" w:color="auto"/>
        <w:left w:val="none" w:sz="0" w:space="0" w:color="auto"/>
        <w:bottom w:val="none" w:sz="0" w:space="0" w:color="auto"/>
        <w:right w:val="none" w:sz="0" w:space="0" w:color="auto"/>
      </w:divBdr>
      <w:divsChild>
        <w:div w:id="925724445">
          <w:marLeft w:val="0"/>
          <w:marRight w:val="0"/>
          <w:marTop w:val="0"/>
          <w:marBottom w:val="0"/>
          <w:divBdr>
            <w:top w:val="none" w:sz="0" w:space="0" w:color="auto"/>
            <w:left w:val="none" w:sz="0" w:space="0" w:color="auto"/>
            <w:bottom w:val="none" w:sz="0" w:space="0" w:color="auto"/>
            <w:right w:val="none" w:sz="0" w:space="0" w:color="auto"/>
          </w:divBdr>
          <w:divsChild>
            <w:div w:id="1179538149">
              <w:marLeft w:val="0"/>
              <w:marRight w:val="0"/>
              <w:marTop w:val="0"/>
              <w:marBottom w:val="0"/>
              <w:divBdr>
                <w:top w:val="none" w:sz="0" w:space="0" w:color="auto"/>
                <w:left w:val="none" w:sz="0" w:space="0" w:color="auto"/>
                <w:bottom w:val="none" w:sz="0" w:space="0" w:color="auto"/>
                <w:right w:val="none" w:sz="0" w:space="0" w:color="auto"/>
              </w:divBdr>
              <w:divsChild>
                <w:div w:id="461072450">
                  <w:marLeft w:val="0"/>
                  <w:marRight w:val="0"/>
                  <w:marTop w:val="0"/>
                  <w:marBottom w:val="0"/>
                  <w:divBdr>
                    <w:top w:val="none" w:sz="0" w:space="0" w:color="auto"/>
                    <w:left w:val="none" w:sz="0" w:space="0" w:color="auto"/>
                    <w:bottom w:val="none" w:sz="0" w:space="0" w:color="auto"/>
                    <w:right w:val="none" w:sz="0" w:space="0" w:color="auto"/>
                  </w:divBdr>
                  <w:divsChild>
                    <w:div w:id="1358238925">
                      <w:marLeft w:val="0"/>
                      <w:marRight w:val="0"/>
                      <w:marTop w:val="0"/>
                      <w:marBottom w:val="0"/>
                      <w:divBdr>
                        <w:top w:val="none" w:sz="0" w:space="0" w:color="auto"/>
                        <w:left w:val="none" w:sz="0" w:space="0" w:color="auto"/>
                        <w:bottom w:val="none" w:sz="0" w:space="0" w:color="auto"/>
                        <w:right w:val="none" w:sz="0" w:space="0" w:color="auto"/>
                      </w:divBdr>
                      <w:divsChild>
                        <w:div w:id="754325851">
                          <w:marLeft w:val="0"/>
                          <w:marRight w:val="0"/>
                          <w:marTop w:val="0"/>
                          <w:marBottom w:val="0"/>
                          <w:divBdr>
                            <w:top w:val="none" w:sz="0" w:space="0" w:color="auto"/>
                            <w:left w:val="none" w:sz="0" w:space="0" w:color="auto"/>
                            <w:bottom w:val="none" w:sz="0" w:space="0" w:color="auto"/>
                            <w:right w:val="none" w:sz="0" w:space="0" w:color="auto"/>
                          </w:divBdr>
                          <w:divsChild>
                            <w:div w:id="1907185177">
                              <w:marLeft w:val="0"/>
                              <w:marRight w:val="0"/>
                              <w:marTop w:val="0"/>
                              <w:marBottom w:val="0"/>
                              <w:divBdr>
                                <w:top w:val="none" w:sz="0" w:space="0" w:color="auto"/>
                                <w:left w:val="none" w:sz="0" w:space="0" w:color="auto"/>
                                <w:bottom w:val="none" w:sz="0" w:space="0" w:color="auto"/>
                                <w:right w:val="none" w:sz="0" w:space="0" w:color="auto"/>
                              </w:divBdr>
                              <w:divsChild>
                                <w:div w:id="636035227">
                                  <w:marLeft w:val="0"/>
                                  <w:marRight w:val="0"/>
                                  <w:marTop w:val="0"/>
                                  <w:marBottom w:val="0"/>
                                  <w:divBdr>
                                    <w:top w:val="none" w:sz="0" w:space="0" w:color="auto"/>
                                    <w:left w:val="none" w:sz="0" w:space="0" w:color="auto"/>
                                    <w:bottom w:val="none" w:sz="0" w:space="0" w:color="auto"/>
                                    <w:right w:val="none" w:sz="0" w:space="0" w:color="auto"/>
                                  </w:divBdr>
                                  <w:divsChild>
                                    <w:div w:id="1746099651">
                                      <w:marLeft w:val="0"/>
                                      <w:marRight w:val="0"/>
                                      <w:marTop w:val="0"/>
                                      <w:marBottom w:val="0"/>
                                      <w:divBdr>
                                        <w:top w:val="none" w:sz="0" w:space="0" w:color="auto"/>
                                        <w:left w:val="none" w:sz="0" w:space="0" w:color="auto"/>
                                        <w:bottom w:val="none" w:sz="0" w:space="0" w:color="auto"/>
                                        <w:right w:val="none" w:sz="0" w:space="0" w:color="auto"/>
                                      </w:divBdr>
                                      <w:divsChild>
                                        <w:div w:id="1644391084">
                                          <w:marLeft w:val="0"/>
                                          <w:marRight w:val="0"/>
                                          <w:marTop w:val="0"/>
                                          <w:marBottom w:val="0"/>
                                          <w:divBdr>
                                            <w:top w:val="none" w:sz="0" w:space="0" w:color="auto"/>
                                            <w:left w:val="none" w:sz="0" w:space="0" w:color="auto"/>
                                            <w:bottom w:val="none" w:sz="0" w:space="0" w:color="auto"/>
                                            <w:right w:val="none" w:sz="0" w:space="0" w:color="auto"/>
                                          </w:divBdr>
                                          <w:divsChild>
                                            <w:div w:id="202333226">
                                              <w:marLeft w:val="0"/>
                                              <w:marRight w:val="0"/>
                                              <w:marTop w:val="75"/>
                                              <w:marBottom w:val="0"/>
                                              <w:divBdr>
                                                <w:top w:val="none" w:sz="0" w:space="0" w:color="auto"/>
                                                <w:left w:val="none" w:sz="0" w:space="0" w:color="auto"/>
                                                <w:bottom w:val="none" w:sz="0" w:space="0" w:color="auto"/>
                                                <w:right w:val="none" w:sz="0" w:space="0" w:color="auto"/>
                                              </w:divBdr>
                                              <w:divsChild>
                                                <w:div w:id="1101604396">
                                                  <w:marLeft w:val="0"/>
                                                  <w:marRight w:val="0"/>
                                                  <w:marTop w:val="0"/>
                                                  <w:marBottom w:val="0"/>
                                                  <w:divBdr>
                                                    <w:top w:val="none" w:sz="0" w:space="0" w:color="auto"/>
                                                    <w:left w:val="none" w:sz="0" w:space="0" w:color="auto"/>
                                                    <w:bottom w:val="none" w:sz="0" w:space="0" w:color="auto"/>
                                                    <w:right w:val="none" w:sz="0" w:space="0" w:color="auto"/>
                                                  </w:divBdr>
                                                  <w:divsChild>
                                                    <w:div w:id="457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057479">
      <w:bodyDiv w:val="1"/>
      <w:marLeft w:val="0"/>
      <w:marRight w:val="0"/>
      <w:marTop w:val="0"/>
      <w:marBottom w:val="0"/>
      <w:divBdr>
        <w:top w:val="none" w:sz="0" w:space="0" w:color="auto"/>
        <w:left w:val="none" w:sz="0" w:space="0" w:color="auto"/>
        <w:bottom w:val="none" w:sz="0" w:space="0" w:color="auto"/>
        <w:right w:val="none" w:sz="0" w:space="0" w:color="auto"/>
      </w:divBdr>
    </w:div>
    <w:div w:id="1358658774">
      <w:bodyDiv w:val="1"/>
      <w:marLeft w:val="0"/>
      <w:marRight w:val="0"/>
      <w:marTop w:val="0"/>
      <w:marBottom w:val="0"/>
      <w:divBdr>
        <w:top w:val="none" w:sz="0" w:space="0" w:color="auto"/>
        <w:left w:val="none" w:sz="0" w:space="0" w:color="auto"/>
        <w:bottom w:val="none" w:sz="0" w:space="0" w:color="auto"/>
        <w:right w:val="none" w:sz="0" w:space="0" w:color="auto"/>
      </w:divBdr>
    </w:div>
    <w:div w:id="1710447431">
      <w:bodyDiv w:val="1"/>
      <w:marLeft w:val="0"/>
      <w:marRight w:val="0"/>
      <w:marTop w:val="0"/>
      <w:marBottom w:val="0"/>
      <w:divBdr>
        <w:top w:val="none" w:sz="0" w:space="0" w:color="auto"/>
        <w:left w:val="none" w:sz="0" w:space="0" w:color="auto"/>
        <w:bottom w:val="none" w:sz="0" w:space="0" w:color="auto"/>
        <w:right w:val="none" w:sz="0" w:space="0" w:color="auto"/>
      </w:divBdr>
    </w:div>
    <w:div w:id="1729303651">
      <w:bodyDiv w:val="1"/>
      <w:marLeft w:val="0"/>
      <w:marRight w:val="0"/>
      <w:marTop w:val="0"/>
      <w:marBottom w:val="0"/>
      <w:divBdr>
        <w:top w:val="none" w:sz="0" w:space="0" w:color="auto"/>
        <w:left w:val="none" w:sz="0" w:space="0" w:color="auto"/>
        <w:bottom w:val="none" w:sz="0" w:space="0" w:color="auto"/>
        <w:right w:val="none" w:sz="0" w:space="0" w:color="auto"/>
      </w:divBdr>
    </w:div>
    <w:div w:id="20837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18D21B-7411-4E3F-99E8-9CC7B86F0112}">
  <ds:schemaRefs>
    <ds:schemaRef ds:uri="http://schemas.openxmlformats.org/officeDocument/2006/bibliography"/>
  </ds:schemaRefs>
</ds:datastoreItem>
</file>

<file path=customXml/itemProps2.xml><?xml version="1.0" encoding="utf-8"?>
<ds:datastoreItem xmlns:ds="http://schemas.openxmlformats.org/officeDocument/2006/customXml" ds:itemID="{4A510AFF-8774-4B03-BB1B-ECE5303A5AE5}"/>
</file>

<file path=customXml/itemProps3.xml><?xml version="1.0" encoding="utf-8"?>
<ds:datastoreItem xmlns:ds="http://schemas.openxmlformats.org/officeDocument/2006/customXml" ds:itemID="{AFDEE944-BAE5-4AE5-BC44-197D924F9F82}"/>
</file>

<file path=customXml/itemProps4.xml><?xml version="1.0" encoding="utf-8"?>
<ds:datastoreItem xmlns:ds="http://schemas.openxmlformats.org/officeDocument/2006/customXml" ds:itemID="{9CA893EB-4AAA-4F82-BAC3-AEB5E2EE65C6}"/>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6586</Characters>
  <Application>Microsoft Office Word</Application>
  <DocSecurity>0</DocSecurity>
  <Lines>54</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Justis- og beredskapsdepartementet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Drazdiak</dc:creator>
  <cp:lastModifiedBy>Helle Aase Falkenberg</cp:lastModifiedBy>
  <cp:revision>2</cp:revision>
  <cp:lastPrinted>2017-04-06T10:54:00Z</cp:lastPrinted>
  <dcterms:created xsi:type="dcterms:W3CDTF">2020-02-12T13:59:00Z</dcterms:created>
  <dcterms:modified xsi:type="dcterms:W3CDTF">2020-02-12T13:59:00Z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