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A4C09" w14:textId="77777777" w:rsidR="006933FC" w:rsidRDefault="00A946D7" w:rsidP="00AA0052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  <w:lang w:val="en-US"/>
        </w:rPr>
      </w:pPr>
      <w:bookmarkStart w:id="0" w:name="_GoBack"/>
      <w:bookmarkEnd w:id="0"/>
      <w:r>
        <w:rPr>
          <w:rFonts w:ascii="Book Antiqua" w:hAnsi="Book Antiqua"/>
          <w:b/>
          <w:sz w:val="22"/>
          <w:szCs w:val="22"/>
          <w:u w:val="single"/>
          <w:lang w:val="en-US"/>
        </w:rPr>
        <w:t>COMMENTS OF THE HONG KONG BAR ASSOCIATION</w:t>
      </w:r>
    </w:p>
    <w:p w14:paraId="6463B4E2" w14:textId="77777777" w:rsidR="00A946D7" w:rsidRDefault="00DB3B0B" w:rsidP="00AA0052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  <w:lang w:val="en-US"/>
        </w:rPr>
      </w:pPr>
      <w:r>
        <w:rPr>
          <w:rFonts w:ascii="Book Antiqua" w:hAnsi="Book Antiqua"/>
          <w:b/>
          <w:sz w:val="22"/>
          <w:szCs w:val="22"/>
          <w:u w:val="single"/>
          <w:lang w:val="en-US"/>
        </w:rPr>
        <w:t>ON DRAFT GENERAL COMMENT 37</w:t>
      </w:r>
    </w:p>
    <w:p w14:paraId="601F241B" w14:textId="65452618" w:rsidR="00EE2DAD" w:rsidRPr="00EE2DAD" w:rsidRDefault="00EE2DAD" w:rsidP="00AA0052">
      <w:pPr>
        <w:spacing w:line="360" w:lineRule="auto"/>
        <w:jc w:val="center"/>
        <w:rPr>
          <w:rFonts w:ascii="Book Antiqua" w:hAnsi="Book Antiqua"/>
          <w:bCs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u w:val="single"/>
          <w:lang w:val="en-US"/>
        </w:rPr>
        <w:t>(ARTICLE 2</w:t>
      </w:r>
      <w:r w:rsidR="00C95343">
        <w:rPr>
          <w:rFonts w:ascii="Book Antiqua" w:hAnsi="Book Antiqua"/>
          <w:b/>
          <w:sz w:val="22"/>
          <w:szCs w:val="22"/>
          <w:u w:val="single"/>
          <w:lang w:val="en-US"/>
        </w:rPr>
        <w:t>1</w:t>
      </w:r>
      <w:r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 – RIGHT </w:t>
      </w:r>
      <w:r w:rsidR="00073F26">
        <w:rPr>
          <w:rFonts w:ascii="Book Antiqua" w:hAnsi="Book Antiqua"/>
          <w:b/>
          <w:sz w:val="22"/>
          <w:szCs w:val="22"/>
          <w:u w:val="single"/>
          <w:lang w:val="en-US"/>
        </w:rPr>
        <w:t>OF</w:t>
      </w:r>
      <w:r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 PEACEFUL ASSEMBLY)</w:t>
      </w:r>
    </w:p>
    <w:p w14:paraId="25B91021" w14:textId="77777777" w:rsidR="005E7CAB" w:rsidRDefault="005E7CAB" w:rsidP="00AA0052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</w:p>
    <w:p w14:paraId="47AC802E" w14:textId="77777777" w:rsidR="005C578B" w:rsidRPr="005C578B" w:rsidRDefault="00017223" w:rsidP="005555F7">
      <w:pPr>
        <w:snapToGrid w:val="0"/>
        <w:spacing w:after="240" w:line="360" w:lineRule="auto"/>
        <w:jc w:val="both"/>
        <w:rPr>
          <w:rFonts w:ascii="Book Antiqua" w:hAnsi="Book Antiqua"/>
          <w:b/>
          <w:bCs/>
          <w:sz w:val="22"/>
          <w:szCs w:val="22"/>
          <w:u w:val="single"/>
          <w:lang w:val="en-U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en-US"/>
        </w:rPr>
        <w:t>Introduction</w:t>
      </w:r>
    </w:p>
    <w:p w14:paraId="3FBE3569" w14:textId="413311EE" w:rsidR="005E7CAB" w:rsidRDefault="00A15860" w:rsidP="005555F7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The Hong Kong Bar Association </w:t>
      </w:r>
      <w:r w:rsidR="00D23671">
        <w:rPr>
          <w:rFonts w:ascii="Book Antiqua" w:hAnsi="Book Antiqua"/>
          <w:sz w:val="22"/>
          <w:szCs w:val="22"/>
          <w:lang w:val="en-US"/>
        </w:rPr>
        <w:t>(“</w:t>
      </w:r>
      <w:r w:rsidR="00D23671" w:rsidRPr="00D23671">
        <w:rPr>
          <w:rFonts w:ascii="Book Antiqua" w:hAnsi="Book Antiqua"/>
          <w:b/>
          <w:bCs/>
          <w:sz w:val="22"/>
          <w:szCs w:val="22"/>
          <w:lang w:val="en-US"/>
        </w:rPr>
        <w:t>HKBA</w:t>
      </w:r>
      <w:r w:rsidR="00D23671">
        <w:rPr>
          <w:rFonts w:ascii="Book Antiqua" w:hAnsi="Book Antiqua"/>
          <w:sz w:val="22"/>
          <w:szCs w:val="22"/>
          <w:lang w:val="en-US"/>
        </w:rPr>
        <w:t>”)</w:t>
      </w:r>
      <w:r w:rsidR="0027116A">
        <w:rPr>
          <w:rFonts w:ascii="Book Antiqua" w:hAnsi="Book Antiqua"/>
          <w:sz w:val="22"/>
          <w:szCs w:val="22"/>
          <w:lang w:val="en-US"/>
        </w:rPr>
        <w:t xml:space="preserve"> </w:t>
      </w:r>
      <w:r w:rsidR="00620EBE">
        <w:rPr>
          <w:rFonts w:ascii="Book Antiqua" w:hAnsi="Book Antiqua"/>
          <w:sz w:val="22"/>
          <w:szCs w:val="22"/>
          <w:lang w:val="en-US"/>
        </w:rPr>
        <w:t xml:space="preserve">welcomes the work of the </w:t>
      </w:r>
      <w:r w:rsidR="004C605E">
        <w:rPr>
          <w:rFonts w:ascii="Book Antiqua" w:hAnsi="Book Antiqua"/>
          <w:sz w:val="22"/>
          <w:szCs w:val="22"/>
          <w:lang w:val="en-US"/>
        </w:rPr>
        <w:t xml:space="preserve">United Nations </w:t>
      </w:r>
      <w:r w:rsidR="001B5B8B">
        <w:rPr>
          <w:rFonts w:ascii="Book Antiqua" w:hAnsi="Book Antiqua"/>
          <w:sz w:val="22"/>
          <w:szCs w:val="22"/>
          <w:lang w:val="en-US"/>
        </w:rPr>
        <w:t>Human Rights Committee</w:t>
      </w:r>
      <w:r w:rsidR="00CA752B">
        <w:rPr>
          <w:rFonts w:ascii="Book Antiqua" w:hAnsi="Book Antiqua"/>
          <w:sz w:val="22"/>
          <w:szCs w:val="22"/>
          <w:lang w:val="en-US"/>
        </w:rPr>
        <w:t xml:space="preserve">, and of </w:t>
      </w:r>
      <w:r w:rsidR="00253EE0">
        <w:rPr>
          <w:rFonts w:ascii="Book Antiqua" w:hAnsi="Book Antiqua"/>
          <w:sz w:val="22"/>
          <w:szCs w:val="22"/>
          <w:lang w:val="en-US"/>
        </w:rPr>
        <w:t xml:space="preserve">Special Rapporteur </w:t>
      </w:r>
      <w:r w:rsidR="0093498E">
        <w:rPr>
          <w:rFonts w:ascii="Book Antiqua" w:hAnsi="Book Antiqua"/>
          <w:sz w:val="22"/>
          <w:szCs w:val="22"/>
          <w:lang w:val="en-US"/>
        </w:rPr>
        <w:t>Mr Christo</w:t>
      </w:r>
      <w:r w:rsidR="00B25D4E">
        <w:rPr>
          <w:rFonts w:ascii="Book Antiqua" w:hAnsi="Book Antiqua"/>
          <w:sz w:val="22"/>
          <w:szCs w:val="22"/>
          <w:lang w:val="en-US"/>
        </w:rPr>
        <w:t>f</w:t>
      </w:r>
      <w:r w:rsidR="0093498E">
        <w:rPr>
          <w:rFonts w:ascii="Book Antiqua" w:hAnsi="Book Antiqua"/>
          <w:sz w:val="22"/>
          <w:szCs w:val="22"/>
          <w:lang w:val="en-US"/>
        </w:rPr>
        <w:t xml:space="preserve"> Hynes, </w:t>
      </w:r>
      <w:r w:rsidR="0049693C">
        <w:rPr>
          <w:rFonts w:ascii="Book Antiqua" w:hAnsi="Book Antiqua"/>
          <w:sz w:val="22"/>
          <w:szCs w:val="22"/>
          <w:lang w:val="en-US"/>
        </w:rPr>
        <w:t xml:space="preserve">on </w:t>
      </w:r>
      <w:r w:rsidR="004B0225">
        <w:rPr>
          <w:rFonts w:ascii="Book Antiqua" w:hAnsi="Book Antiqua"/>
          <w:sz w:val="22"/>
          <w:szCs w:val="22"/>
          <w:lang w:val="en-US"/>
        </w:rPr>
        <w:t xml:space="preserve">draft </w:t>
      </w:r>
      <w:r w:rsidR="00377144">
        <w:rPr>
          <w:rFonts w:ascii="Book Antiqua" w:hAnsi="Book Antiqua"/>
          <w:sz w:val="22"/>
          <w:szCs w:val="22"/>
          <w:lang w:val="en-US"/>
        </w:rPr>
        <w:t>General Comment 37</w:t>
      </w:r>
      <w:r w:rsidR="007072B6">
        <w:rPr>
          <w:rFonts w:ascii="Book Antiqua" w:hAnsi="Book Antiqua"/>
          <w:sz w:val="22"/>
          <w:szCs w:val="22"/>
          <w:lang w:val="en-US"/>
        </w:rPr>
        <w:t xml:space="preserve"> (“</w:t>
      </w:r>
      <w:r w:rsidR="007072B6">
        <w:rPr>
          <w:rFonts w:ascii="Book Antiqua" w:hAnsi="Book Antiqua"/>
          <w:b/>
          <w:bCs/>
          <w:sz w:val="22"/>
          <w:szCs w:val="22"/>
          <w:lang w:val="en-US"/>
        </w:rPr>
        <w:t>the Draft Comment</w:t>
      </w:r>
      <w:r w:rsidR="007072B6">
        <w:rPr>
          <w:rFonts w:ascii="Book Antiqua" w:hAnsi="Book Antiqua"/>
          <w:sz w:val="22"/>
          <w:szCs w:val="22"/>
          <w:lang w:val="en-US"/>
        </w:rPr>
        <w:t>”)</w:t>
      </w:r>
      <w:r w:rsidR="00A1461E">
        <w:rPr>
          <w:rFonts w:ascii="Book Antiqua" w:hAnsi="Book Antiqua"/>
          <w:sz w:val="22"/>
          <w:szCs w:val="22"/>
          <w:lang w:val="en-US"/>
        </w:rPr>
        <w:t>.</w:t>
      </w:r>
      <w:r w:rsidR="0021720A">
        <w:rPr>
          <w:rFonts w:ascii="Book Antiqua" w:hAnsi="Book Antiqua"/>
          <w:sz w:val="22"/>
          <w:szCs w:val="22"/>
          <w:lang w:val="en-US"/>
        </w:rPr>
        <w:t xml:space="preserve"> </w:t>
      </w:r>
      <w:r w:rsidR="008419E3">
        <w:rPr>
          <w:rFonts w:ascii="Book Antiqua" w:hAnsi="Book Antiqua"/>
          <w:sz w:val="22"/>
          <w:szCs w:val="22"/>
          <w:lang w:val="en-US"/>
        </w:rPr>
        <w:t>T</w:t>
      </w:r>
      <w:r w:rsidR="00C70031">
        <w:rPr>
          <w:rFonts w:ascii="Book Antiqua" w:hAnsi="Book Antiqua"/>
          <w:sz w:val="22"/>
          <w:szCs w:val="22"/>
          <w:lang w:val="en-US"/>
        </w:rPr>
        <w:t>his is a particularly timely and relevant project</w:t>
      </w:r>
      <w:r w:rsidR="003E231D">
        <w:rPr>
          <w:rFonts w:ascii="Book Antiqua" w:hAnsi="Book Antiqua"/>
          <w:sz w:val="22"/>
          <w:szCs w:val="22"/>
          <w:lang w:val="en-US"/>
        </w:rPr>
        <w:t>, as</w:t>
      </w:r>
      <w:r w:rsidR="00C70031">
        <w:rPr>
          <w:rFonts w:ascii="Book Antiqua" w:hAnsi="Book Antiqua"/>
          <w:sz w:val="22"/>
          <w:szCs w:val="22"/>
          <w:lang w:val="en-US"/>
        </w:rPr>
        <w:t xml:space="preserve"> </w:t>
      </w:r>
      <w:r w:rsidR="003E231D">
        <w:rPr>
          <w:rFonts w:ascii="Book Antiqua" w:hAnsi="Book Antiqua"/>
          <w:sz w:val="22"/>
          <w:szCs w:val="22"/>
          <w:lang w:val="en-US"/>
        </w:rPr>
        <w:t>r</w:t>
      </w:r>
      <w:r w:rsidR="0021720A">
        <w:rPr>
          <w:rFonts w:ascii="Book Antiqua" w:hAnsi="Book Antiqua"/>
          <w:sz w:val="22"/>
          <w:szCs w:val="22"/>
          <w:lang w:val="en-US"/>
        </w:rPr>
        <w:t>ecent events in Hong Kong</w:t>
      </w:r>
      <w:r w:rsidR="00834CBF">
        <w:rPr>
          <w:rFonts w:ascii="Book Antiqua" w:hAnsi="Book Antiqua"/>
          <w:sz w:val="22"/>
          <w:szCs w:val="22"/>
          <w:lang w:val="en-US"/>
        </w:rPr>
        <w:t xml:space="preserve"> and elsewhere </w:t>
      </w:r>
      <w:r w:rsidR="005E4302">
        <w:rPr>
          <w:rFonts w:ascii="Book Antiqua" w:hAnsi="Book Antiqua"/>
          <w:sz w:val="22"/>
          <w:szCs w:val="22"/>
          <w:lang w:val="en-US"/>
        </w:rPr>
        <w:t>show.</w:t>
      </w:r>
    </w:p>
    <w:p w14:paraId="793E1987" w14:textId="3EF9249A" w:rsidR="00CF52FD" w:rsidRPr="00CF52FD" w:rsidRDefault="00A31362" w:rsidP="00CF52FD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HKBA sets out</w:t>
      </w:r>
      <w:r w:rsidR="0039486E">
        <w:rPr>
          <w:rFonts w:ascii="Book Antiqua" w:hAnsi="Book Antiqua"/>
          <w:sz w:val="22"/>
          <w:szCs w:val="22"/>
          <w:lang w:val="en-US"/>
        </w:rPr>
        <w:t xml:space="preserve"> its </w:t>
      </w:r>
      <w:r w:rsidR="002C7EF9">
        <w:rPr>
          <w:rFonts w:ascii="Book Antiqua" w:hAnsi="Book Antiqua"/>
          <w:sz w:val="22"/>
          <w:szCs w:val="22"/>
          <w:lang w:val="en-US"/>
        </w:rPr>
        <w:t xml:space="preserve">comments on the </w:t>
      </w:r>
      <w:r w:rsidR="00AD151C">
        <w:rPr>
          <w:rFonts w:ascii="Book Antiqua" w:hAnsi="Book Antiqua"/>
          <w:sz w:val="22"/>
          <w:szCs w:val="22"/>
          <w:lang w:val="en-US"/>
        </w:rPr>
        <w:t>D</w:t>
      </w:r>
      <w:r w:rsidR="002C7EF9">
        <w:rPr>
          <w:rFonts w:ascii="Book Antiqua" w:hAnsi="Book Antiqua"/>
          <w:sz w:val="22"/>
          <w:szCs w:val="22"/>
          <w:lang w:val="en-US"/>
        </w:rPr>
        <w:t xml:space="preserve">raft </w:t>
      </w:r>
      <w:r w:rsidR="00AD151C">
        <w:rPr>
          <w:rFonts w:ascii="Book Antiqua" w:hAnsi="Book Antiqua"/>
          <w:sz w:val="22"/>
          <w:szCs w:val="22"/>
          <w:lang w:val="en-US"/>
        </w:rPr>
        <w:t xml:space="preserve">Comment </w:t>
      </w:r>
      <w:r w:rsidR="00E37E88">
        <w:rPr>
          <w:rFonts w:ascii="Book Antiqua" w:hAnsi="Book Antiqua"/>
          <w:sz w:val="22"/>
          <w:szCs w:val="22"/>
          <w:lang w:val="en-US"/>
        </w:rPr>
        <w:t xml:space="preserve">below. </w:t>
      </w:r>
      <w:r w:rsidR="00753062">
        <w:rPr>
          <w:rFonts w:ascii="Book Antiqua" w:hAnsi="Book Antiqua"/>
          <w:sz w:val="22"/>
          <w:szCs w:val="22"/>
          <w:lang w:val="en-US"/>
        </w:rPr>
        <w:t>References to p</w:t>
      </w:r>
      <w:r w:rsidR="00CD1E40">
        <w:rPr>
          <w:rFonts w:ascii="Book Antiqua" w:hAnsi="Book Antiqua"/>
          <w:sz w:val="22"/>
          <w:szCs w:val="22"/>
          <w:lang w:val="en-US"/>
        </w:rPr>
        <w:t xml:space="preserve">aragraph </w:t>
      </w:r>
      <w:r w:rsidR="00285F12">
        <w:rPr>
          <w:rFonts w:ascii="Book Antiqua" w:hAnsi="Book Antiqua"/>
          <w:sz w:val="22"/>
          <w:szCs w:val="22"/>
          <w:lang w:val="en-US"/>
        </w:rPr>
        <w:t xml:space="preserve">numbers </w:t>
      </w:r>
      <w:r w:rsidR="008B1016">
        <w:rPr>
          <w:rFonts w:ascii="Book Antiqua" w:hAnsi="Book Antiqua"/>
          <w:sz w:val="22"/>
          <w:szCs w:val="22"/>
          <w:lang w:val="en-US"/>
        </w:rPr>
        <w:t>are to those in</w:t>
      </w:r>
      <w:r w:rsidR="009650B9">
        <w:rPr>
          <w:rFonts w:ascii="Book Antiqua" w:hAnsi="Book Antiqua"/>
          <w:sz w:val="22"/>
          <w:szCs w:val="22"/>
          <w:lang w:val="en-US"/>
        </w:rPr>
        <w:t xml:space="preserve"> the Draft Comment</w:t>
      </w:r>
      <w:r w:rsidR="008B1016">
        <w:rPr>
          <w:rFonts w:ascii="Book Antiqua" w:hAnsi="Book Antiqua"/>
          <w:sz w:val="22"/>
          <w:szCs w:val="22"/>
          <w:lang w:val="en-US"/>
        </w:rPr>
        <w:t>.</w:t>
      </w:r>
    </w:p>
    <w:p w14:paraId="5A08E426" w14:textId="2AF11D1E" w:rsidR="00CF52FD" w:rsidRPr="00CF52FD" w:rsidRDefault="00A642D4" w:rsidP="003F72F2">
      <w:pPr>
        <w:snapToGrid w:val="0"/>
        <w:spacing w:after="240" w:line="360" w:lineRule="auto"/>
        <w:ind w:firstLine="567"/>
        <w:jc w:val="both"/>
        <w:rPr>
          <w:rFonts w:ascii="Book Antiqua" w:hAnsi="Book Antiqua"/>
          <w:b/>
          <w:bCs/>
          <w:sz w:val="22"/>
          <w:szCs w:val="22"/>
          <w:u w:val="single"/>
          <w:lang w:val="en-U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en-US"/>
        </w:rPr>
        <w:t xml:space="preserve">1. </w:t>
      </w:r>
      <w:r w:rsidR="00CF52FD">
        <w:rPr>
          <w:rFonts w:ascii="Book Antiqua" w:hAnsi="Book Antiqua"/>
          <w:b/>
          <w:bCs/>
          <w:sz w:val="22"/>
          <w:szCs w:val="22"/>
          <w:u w:val="single"/>
          <w:lang w:val="en-US"/>
        </w:rPr>
        <w:t xml:space="preserve">General </w:t>
      </w:r>
      <w:r w:rsidR="002B40DD">
        <w:rPr>
          <w:rFonts w:ascii="Book Antiqua" w:hAnsi="Book Antiqua"/>
          <w:b/>
          <w:bCs/>
          <w:sz w:val="22"/>
          <w:szCs w:val="22"/>
          <w:u w:val="single"/>
          <w:lang w:val="en-US"/>
        </w:rPr>
        <w:t>r</w:t>
      </w:r>
      <w:r w:rsidR="00CF52FD">
        <w:rPr>
          <w:rFonts w:ascii="Book Antiqua" w:hAnsi="Book Antiqua"/>
          <w:b/>
          <w:bCs/>
          <w:sz w:val="22"/>
          <w:szCs w:val="22"/>
          <w:u w:val="single"/>
          <w:lang w:val="en-US"/>
        </w:rPr>
        <w:t>emarks</w:t>
      </w:r>
    </w:p>
    <w:p w14:paraId="4F566C57" w14:textId="4D9DAB84" w:rsidR="00CF52FD" w:rsidRDefault="005A0C9B" w:rsidP="005555F7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In paragraph 1</w:t>
      </w:r>
      <w:r w:rsidR="00386121">
        <w:rPr>
          <w:rFonts w:ascii="Book Antiqua" w:hAnsi="Book Antiqua"/>
          <w:sz w:val="22"/>
          <w:szCs w:val="22"/>
          <w:lang w:val="en-US"/>
        </w:rPr>
        <w:t xml:space="preserve"> of the Draft Comment</w:t>
      </w:r>
      <w:r>
        <w:rPr>
          <w:rFonts w:ascii="Book Antiqua" w:hAnsi="Book Antiqua"/>
          <w:sz w:val="22"/>
          <w:szCs w:val="22"/>
          <w:lang w:val="en-US"/>
        </w:rPr>
        <w:t xml:space="preserve">, </w:t>
      </w:r>
      <w:r w:rsidR="00215D07">
        <w:rPr>
          <w:rFonts w:ascii="Book Antiqua" w:hAnsi="Book Antiqua"/>
          <w:sz w:val="22"/>
          <w:szCs w:val="22"/>
          <w:lang w:val="en-US"/>
        </w:rPr>
        <w:t xml:space="preserve">HKBA supports the inclusion of </w:t>
      </w:r>
      <w:r w:rsidR="00215D07" w:rsidRPr="00CD4A4E">
        <w:rPr>
          <w:rFonts w:ascii="Book Antiqua" w:hAnsi="Book Antiqua"/>
          <w:sz w:val="23"/>
          <w:szCs w:val="23"/>
          <w:lang w:val="en-US"/>
        </w:rPr>
        <w:t xml:space="preserve">the </w:t>
      </w:r>
      <w:r w:rsidR="00307971" w:rsidRPr="00CD4A4E">
        <w:rPr>
          <w:rFonts w:ascii="Book Antiqua" w:hAnsi="Book Antiqua"/>
          <w:sz w:val="23"/>
          <w:szCs w:val="23"/>
          <w:lang w:val="en-US"/>
        </w:rPr>
        <w:t xml:space="preserve">bracketed </w:t>
      </w:r>
      <w:r w:rsidR="008923FE" w:rsidRPr="00CD4A4E">
        <w:rPr>
          <w:rFonts w:ascii="Book Antiqua" w:hAnsi="Book Antiqua"/>
          <w:sz w:val="23"/>
          <w:szCs w:val="23"/>
          <w:lang w:val="en-US"/>
        </w:rPr>
        <w:t xml:space="preserve">text </w:t>
      </w:r>
      <w:r w:rsidR="00F80BCC">
        <w:rPr>
          <w:rFonts w:ascii="Book Antiqua" w:hAnsi="Book Antiqua"/>
          <w:sz w:val="23"/>
          <w:szCs w:val="23"/>
          <w:lang w:val="en-US"/>
        </w:rPr>
        <w:t xml:space="preserve">– </w:t>
      </w:r>
      <w:r w:rsidR="008923FE" w:rsidRPr="00F80BCC">
        <w:rPr>
          <w:rFonts w:ascii="Book Antiqua" w:hAnsi="Book Antiqua"/>
          <w:i/>
          <w:iCs/>
          <w:sz w:val="23"/>
          <w:szCs w:val="23"/>
          <w:lang w:val="en-US"/>
        </w:rPr>
        <w:t>“</w:t>
      </w:r>
      <w:r w:rsidR="008923FE" w:rsidRPr="00F80BCC">
        <w:rPr>
          <w:rFonts w:ascii="Book Antiqua" w:hAnsi="Book Antiqua"/>
          <w:i/>
          <w:iCs/>
          <w:sz w:val="23"/>
          <w:szCs w:val="23"/>
        </w:rPr>
        <w:t>the rule of law”</w:t>
      </w:r>
      <w:r w:rsidR="008923FE" w:rsidRPr="00CD4A4E">
        <w:rPr>
          <w:rFonts w:ascii="Book Antiqua" w:hAnsi="Book Antiqua"/>
          <w:sz w:val="23"/>
          <w:szCs w:val="23"/>
        </w:rPr>
        <w:t>.</w:t>
      </w:r>
    </w:p>
    <w:p w14:paraId="12A680DF" w14:textId="403828E2" w:rsidR="00B04C3B" w:rsidRPr="00B04C3B" w:rsidRDefault="003F72F2" w:rsidP="003F72F2">
      <w:pPr>
        <w:snapToGrid w:val="0"/>
        <w:spacing w:after="240" w:line="360" w:lineRule="auto"/>
        <w:ind w:firstLine="567"/>
        <w:jc w:val="both"/>
        <w:rPr>
          <w:rFonts w:ascii="Book Antiqua" w:hAnsi="Book Antiqua"/>
          <w:b/>
          <w:bCs/>
          <w:sz w:val="22"/>
          <w:szCs w:val="22"/>
          <w:u w:val="single"/>
          <w:lang w:val="en-U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en-US"/>
        </w:rPr>
        <w:t xml:space="preserve">2. </w:t>
      </w:r>
      <w:r w:rsidR="00B04C3B">
        <w:rPr>
          <w:rFonts w:ascii="Book Antiqua" w:hAnsi="Book Antiqua"/>
          <w:b/>
          <w:bCs/>
          <w:sz w:val="22"/>
          <w:szCs w:val="22"/>
          <w:u w:val="single"/>
          <w:lang w:val="en-US"/>
        </w:rPr>
        <w:t>Scope of the Right of Peaceful Assembly</w:t>
      </w:r>
    </w:p>
    <w:p w14:paraId="7F13C8AB" w14:textId="773B05B8" w:rsidR="005E4302" w:rsidRPr="00E676DF" w:rsidRDefault="00960BA1" w:rsidP="005555F7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sz w:val="23"/>
          <w:szCs w:val="23"/>
          <w:lang w:val="en-US"/>
        </w:rPr>
      </w:pPr>
      <w:r>
        <w:rPr>
          <w:rFonts w:ascii="Book Antiqua" w:hAnsi="Book Antiqua"/>
          <w:sz w:val="23"/>
          <w:szCs w:val="23"/>
          <w:lang w:val="en-US"/>
        </w:rPr>
        <w:t>The second sentence of p</w:t>
      </w:r>
      <w:r w:rsidR="00B07C8E" w:rsidRPr="00057C74">
        <w:rPr>
          <w:rFonts w:ascii="Book Antiqua" w:hAnsi="Book Antiqua"/>
          <w:sz w:val="23"/>
          <w:szCs w:val="23"/>
          <w:lang w:val="en-US"/>
        </w:rPr>
        <w:t>aragraph 13</w:t>
      </w:r>
      <w:r w:rsidR="00A95681">
        <w:rPr>
          <w:rFonts w:ascii="Book Antiqua" w:hAnsi="Book Antiqua"/>
          <w:sz w:val="23"/>
          <w:szCs w:val="23"/>
          <w:lang w:val="en-US"/>
        </w:rPr>
        <w:t xml:space="preserve"> of the Draft Comment</w:t>
      </w:r>
      <w:r w:rsidR="00DB1CDC">
        <w:rPr>
          <w:rFonts w:ascii="Book Antiqua" w:hAnsi="Book Antiqua"/>
          <w:sz w:val="23"/>
          <w:szCs w:val="23"/>
          <w:lang w:val="en-US"/>
        </w:rPr>
        <w:t xml:space="preserve"> reads</w:t>
      </w:r>
      <w:r w:rsidR="00585F94" w:rsidRPr="00057C74">
        <w:rPr>
          <w:rFonts w:ascii="Book Antiqua" w:hAnsi="Book Antiqua"/>
          <w:sz w:val="23"/>
          <w:szCs w:val="23"/>
          <w:lang w:val="en-US"/>
        </w:rPr>
        <w:t xml:space="preserve">: </w:t>
      </w:r>
      <w:r w:rsidR="00585F94" w:rsidRPr="008A655C">
        <w:rPr>
          <w:rFonts w:ascii="Book Antiqua" w:hAnsi="Book Antiqua"/>
          <w:i/>
          <w:iCs/>
          <w:sz w:val="23"/>
          <w:szCs w:val="23"/>
          <w:lang w:val="en-US"/>
        </w:rPr>
        <w:t>“</w:t>
      </w:r>
      <w:r w:rsidR="00585F94" w:rsidRPr="008A655C">
        <w:rPr>
          <w:rFonts w:ascii="Book Antiqua" w:hAnsi="Book Antiqua"/>
          <w:i/>
          <w:iCs/>
          <w:sz w:val="23"/>
          <w:szCs w:val="23"/>
        </w:rPr>
        <w:t xml:space="preserve">Assemblies can be held on publicly or privately-owned property [provided the property is publicly </w:t>
      </w:r>
      <w:r w:rsidR="00585F94" w:rsidRPr="008A655C">
        <w:rPr>
          <w:rFonts w:ascii="Book Antiqua" w:hAnsi="Book Antiqua"/>
          <w:i/>
          <w:iCs/>
          <w:sz w:val="23"/>
          <w:szCs w:val="23"/>
        </w:rPr>
        <w:lastRenderedPageBreak/>
        <w:t>accessible].</w:t>
      </w:r>
      <w:r w:rsidR="008A655C" w:rsidRPr="008A655C">
        <w:rPr>
          <w:rFonts w:ascii="Book Antiqua" w:hAnsi="Book Antiqua"/>
          <w:i/>
          <w:iCs/>
          <w:sz w:val="23"/>
          <w:szCs w:val="23"/>
        </w:rPr>
        <w:t>”</w:t>
      </w:r>
      <w:r w:rsidR="00CE173D">
        <w:rPr>
          <w:rFonts w:ascii="Book Antiqua" w:hAnsi="Book Antiqua"/>
          <w:i/>
          <w:iCs/>
          <w:sz w:val="23"/>
          <w:szCs w:val="23"/>
        </w:rPr>
        <w:t xml:space="preserve"> </w:t>
      </w:r>
      <w:r w:rsidR="00C81259">
        <w:rPr>
          <w:rFonts w:ascii="Book Antiqua" w:hAnsi="Book Antiqua"/>
          <w:sz w:val="23"/>
          <w:szCs w:val="23"/>
        </w:rPr>
        <w:t xml:space="preserve">The HKBA agrees </w:t>
      </w:r>
      <w:r w:rsidR="00886F85">
        <w:rPr>
          <w:rFonts w:ascii="Book Antiqua" w:hAnsi="Book Antiqua"/>
          <w:sz w:val="23"/>
          <w:szCs w:val="23"/>
        </w:rPr>
        <w:t>that</w:t>
      </w:r>
      <w:r w:rsidR="004407E9">
        <w:rPr>
          <w:rFonts w:ascii="Book Antiqua" w:hAnsi="Book Antiqua"/>
          <w:sz w:val="23"/>
          <w:szCs w:val="23"/>
        </w:rPr>
        <w:t xml:space="preserve"> Article 21</w:t>
      </w:r>
      <w:r w:rsidR="003D1FDE">
        <w:rPr>
          <w:rFonts w:ascii="Book Antiqua" w:hAnsi="Book Antiqua"/>
          <w:sz w:val="23"/>
          <w:szCs w:val="23"/>
        </w:rPr>
        <w:t xml:space="preserve"> </w:t>
      </w:r>
      <w:r w:rsidR="00BF0ED9">
        <w:rPr>
          <w:rFonts w:ascii="Book Antiqua" w:hAnsi="Book Antiqua"/>
          <w:sz w:val="23"/>
          <w:szCs w:val="23"/>
        </w:rPr>
        <w:t xml:space="preserve">applies to peaceful </w:t>
      </w:r>
      <w:r w:rsidR="005B665B">
        <w:rPr>
          <w:rFonts w:ascii="Book Antiqua" w:hAnsi="Book Antiqua"/>
          <w:sz w:val="23"/>
          <w:szCs w:val="23"/>
        </w:rPr>
        <w:t xml:space="preserve">assemblies </w:t>
      </w:r>
      <w:r w:rsidR="004848AA">
        <w:rPr>
          <w:rFonts w:ascii="Book Antiqua" w:hAnsi="Book Antiqua"/>
          <w:sz w:val="23"/>
          <w:szCs w:val="23"/>
        </w:rPr>
        <w:t>that occur on private property</w:t>
      </w:r>
      <w:r w:rsidR="0024091A">
        <w:rPr>
          <w:rFonts w:ascii="Book Antiqua" w:hAnsi="Book Antiqua"/>
          <w:sz w:val="23"/>
          <w:szCs w:val="23"/>
        </w:rPr>
        <w:t>.</w:t>
      </w:r>
      <w:r w:rsidR="00D0064B">
        <w:rPr>
          <w:rFonts w:ascii="Book Antiqua" w:hAnsi="Book Antiqua"/>
          <w:sz w:val="23"/>
          <w:szCs w:val="23"/>
        </w:rPr>
        <w:t xml:space="preserve"> It is suggested that the words in brackets </w:t>
      </w:r>
      <w:r w:rsidR="00DE4975">
        <w:rPr>
          <w:rFonts w:ascii="Book Antiqua" w:hAnsi="Book Antiqua"/>
          <w:sz w:val="23"/>
          <w:szCs w:val="23"/>
        </w:rPr>
        <w:t>should be omitted.</w:t>
      </w:r>
      <w:r w:rsidR="006D4C1E">
        <w:rPr>
          <w:rFonts w:ascii="Book Antiqua" w:hAnsi="Book Antiqua"/>
          <w:sz w:val="23"/>
          <w:szCs w:val="23"/>
        </w:rPr>
        <w:t xml:space="preserve"> </w:t>
      </w:r>
      <w:r w:rsidR="00577F43">
        <w:rPr>
          <w:rFonts w:ascii="Book Antiqua" w:hAnsi="Book Antiqua"/>
          <w:sz w:val="23"/>
          <w:szCs w:val="23"/>
        </w:rPr>
        <w:t xml:space="preserve">In principle, </w:t>
      </w:r>
      <w:r w:rsidR="00121CBC">
        <w:rPr>
          <w:rFonts w:ascii="Book Antiqua" w:hAnsi="Book Antiqua"/>
          <w:sz w:val="23"/>
          <w:szCs w:val="23"/>
        </w:rPr>
        <w:t xml:space="preserve">the </w:t>
      </w:r>
      <w:r w:rsidR="0018576E">
        <w:rPr>
          <w:rFonts w:ascii="Book Antiqua" w:hAnsi="Book Antiqua"/>
          <w:sz w:val="23"/>
          <w:szCs w:val="23"/>
        </w:rPr>
        <w:t xml:space="preserve">application of </w:t>
      </w:r>
      <w:r w:rsidR="0098680C">
        <w:rPr>
          <w:rFonts w:ascii="Book Antiqua" w:hAnsi="Book Antiqua"/>
          <w:sz w:val="23"/>
          <w:szCs w:val="23"/>
        </w:rPr>
        <w:t>Article</w:t>
      </w:r>
      <w:r w:rsidR="00FF04F5">
        <w:rPr>
          <w:rFonts w:ascii="Book Antiqua" w:hAnsi="Book Antiqua"/>
          <w:sz w:val="23"/>
          <w:szCs w:val="23"/>
        </w:rPr>
        <w:t xml:space="preserve"> </w:t>
      </w:r>
      <w:r w:rsidR="0069540B">
        <w:rPr>
          <w:rFonts w:ascii="Book Antiqua" w:hAnsi="Book Antiqua"/>
          <w:sz w:val="23"/>
          <w:szCs w:val="23"/>
        </w:rPr>
        <w:t>21</w:t>
      </w:r>
      <w:r w:rsidR="00021CA3">
        <w:rPr>
          <w:rFonts w:ascii="Book Antiqua" w:hAnsi="Book Antiqua"/>
          <w:sz w:val="23"/>
          <w:szCs w:val="23"/>
        </w:rPr>
        <w:t xml:space="preserve"> to </w:t>
      </w:r>
      <w:r w:rsidR="008D74AF">
        <w:rPr>
          <w:rFonts w:ascii="Book Antiqua" w:hAnsi="Book Antiqua"/>
          <w:sz w:val="23"/>
          <w:szCs w:val="23"/>
        </w:rPr>
        <w:t xml:space="preserve">a </w:t>
      </w:r>
      <w:r w:rsidR="00021CA3">
        <w:rPr>
          <w:rFonts w:ascii="Book Antiqua" w:hAnsi="Book Antiqua"/>
          <w:sz w:val="23"/>
          <w:szCs w:val="23"/>
        </w:rPr>
        <w:t>peaceful assembl</w:t>
      </w:r>
      <w:r w:rsidR="00A00ABD">
        <w:rPr>
          <w:rFonts w:ascii="Book Antiqua" w:hAnsi="Book Antiqua"/>
          <w:sz w:val="23"/>
          <w:szCs w:val="23"/>
        </w:rPr>
        <w:t>y</w:t>
      </w:r>
      <w:r w:rsidR="00021CA3">
        <w:rPr>
          <w:rFonts w:ascii="Book Antiqua" w:hAnsi="Book Antiqua"/>
          <w:sz w:val="23"/>
          <w:szCs w:val="23"/>
        </w:rPr>
        <w:t xml:space="preserve"> </w:t>
      </w:r>
      <w:r w:rsidR="005F2734">
        <w:rPr>
          <w:rFonts w:ascii="Book Antiqua" w:hAnsi="Book Antiqua"/>
          <w:sz w:val="23"/>
          <w:szCs w:val="23"/>
        </w:rPr>
        <w:t xml:space="preserve">occurring </w:t>
      </w:r>
      <w:r w:rsidR="00FE5EE5">
        <w:rPr>
          <w:rFonts w:ascii="Book Antiqua" w:hAnsi="Book Antiqua"/>
          <w:sz w:val="23"/>
          <w:szCs w:val="23"/>
        </w:rPr>
        <w:t>on private property</w:t>
      </w:r>
      <w:r w:rsidR="0069540B">
        <w:rPr>
          <w:rFonts w:ascii="Book Antiqua" w:hAnsi="Book Antiqua"/>
          <w:sz w:val="23"/>
          <w:szCs w:val="23"/>
        </w:rPr>
        <w:t xml:space="preserve"> </w:t>
      </w:r>
      <w:r w:rsidR="00F16005">
        <w:rPr>
          <w:rFonts w:ascii="Book Antiqua" w:hAnsi="Book Antiqua"/>
          <w:sz w:val="23"/>
          <w:szCs w:val="23"/>
        </w:rPr>
        <w:t xml:space="preserve">should not </w:t>
      </w:r>
      <w:r w:rsidR="008B4A2A">
        <w:rPr>
          <w:rFonts w:ascii="Book Antiqua" w:hAnsi="Book Antiqua"/>
          <w:sz w:val="23"/>
          <w:szCs w:val="23"/>
        </w:rPr>
        <w:t xml:space="preserve">depend </w:t>
      </w:r>
      <w:r w:rsidR="006F2164">
        <w:rPr>
          <w:rFonts w:ascii="Book Antiqua" w:hAnsi="Book Antiqua"/>
          <w:sz w:val="23"/>
          <w:szCs w:val="23"/>
        </w:rPr>
        <w:t xml:space="preserve">on </w:t>
      </w:r>
      <w:r w:rsidR="009516F5">
        <w:rPr>
          <w:rFonts w:ascii="Book Antiqua" w:hAnsi="Book Antiqua"/>
          <w:sz w:val="23"/>
          <w:szCs w:val="23"/>
        </w:rPr>
        <w:t>the proper</w:t>
      </w:r>
      <w:r w:rsidR="00D71359">
        <w:rPr>
          <w:rFonts w:ascii="Book Antiqua" w:hAnsi="Book Antiqua"/>
          <w:sz w:val="23"/>
          <w:szCs w:val="23"/>
        </w:rPr>
        <w:t xml:space="preserve">ty </w:t>
      </w:r>
      <w:r w:rsidR="00E7693C">
        <w:rPr>
          <w:rFonts w:ascii="Book Antiqua" w:hAnsi="Book Antiqua"/>
          <w:sz w:val="23"/>
          <w:szCs w:val="23"/>
        </w:rPr>
        <w:t xml:space="preserve">being </w:t>
      </w:r>
      <w:r w:rsidR="00DA071D">
        <w:rPr>
          <w:rFonts w:ascii="Book Antiqua" w:hAnsi="Book Antiqua"/>
          <w:sz w:val="23"/>
          <w:szCs w:val="23"/>
        </w:rPr>
        <w:t>publicly accessible</w:t>
      </w:r>
      <w:r w:rsidR="00FC1376">
        <w:rPr>
          <w:rFonts w:ascii="Book Antiqua" w:hAnsi="Book Antiqua"/>
          <w:sz w:val="23"/>
          <w:szCs w:val="23"/>
        </w:rPr>
        <w:t>.</w:t>
      </w:r>
      <w:r w:rsidR="005B1322">
        <w:rPr>
          <w:rFonts w:ascii="Book Antiqua" w:hAnsi="Book Antiqua"/>
          <w:sz w:val="23"/>
          <w:szCs w:val="23"/>
        </w:rPr>
        <w:t xml:space="preserve"> </w:t>
      </w:r>
      <w:r w:rsidR="006952D3">
        <w:rPr>
          <w:rFonts w:ascii="Book Antiqua" w:hAnsi="Book Antiqua"/>
          <w:sz w:val="23"/>
          <w:szCs w:val="23"/>
        </w:rPr>
        <w:t>For example,</w:t>
      </w:r>
      <w:r w:rsidR="00FB7886">
        <w:rPr>
          <w:rFonts w:ascii="Book Antiqua" w:hAnsi="Book Antiqua"/>
          <w:sz w:val="23"/>
          <w:szCs w:val="23"/>
        </w:rPr>
        <w:t xml:space="preserve"> a </w:t>
      </w:r>
      <w:r w:rsidR="00702548">
        <w:rPr>
          <w:rFonts w:ascii="Book Antiqua" w:hAnsi="Book Antiqua"/>
          <w:sz w:val="23"/>
          <w:szCs w:val="23"/>
        </w:rPr>
        <w:t xml:space="preserve">peaceful </w:t>
      </w:r>
      <w:r w:rsidR="00FB7886">
        <w:rPr>
          <w:rFonts w:ascii="Book Antiqua" w:hAnsi="Book Antiqua"/>
          <w:sz w:val="23"/>
          <w:szCs w:val="23"/>
        </w:rPr>
        <w:t xml:space="preserve">religious </w:t>
      </w:r>
      <w:r w:rsidR="00702548">
        <w:rPr>
          <w:rFonts w:ascii="Book Antiqua" w:hAnsi="Book Antiqua"/>
          <w:sz w:val="23"/>
          <w:szCs w:val="23"/>
        </w:rPr>
        <w:t>gathering taking place</w:t>
      </w:r>
      <w:r w:rsidR="00675E40">
        <w:rPr>
          <w:rFonts w:ascii="Book Antiqua" w:hAnsi="Book Antiqua"/>
          <w:sz w:val="23"/>
          <w:szCs w:val="23"/>
        </w:rPr>
        <w:t xml:space="preserve"> on private premises </w:t>
      </w:r>
      <w:r w:rsidR="009C1F8C">
        <w:rPr>
          <w:rFonts w:ascii="Book Antiqua" w:hAnsi="Book Antiqua"/>
          <w:sz w:val="23"/>
          <w:szCs w:val="23"/>
        </w:rPr>
        <w:t xml:space="preserve">should </w:t>
      </w:r>
      <w:r w:rsidR="00DA5B15">
        <w:rPr>
          <w:rFonts w:ascii="Book Antiqua" w:hAnsi="Book Antiqua"/>
          <w:sz w:val="23"/>
          <w:szCs w:val="23"/>
        </w:rPr>
        <w:t xml:space="preserve">not </w:t>
      </w:r>
      <w:r w:rsidR="00126489">
        <w:rPr>
          <w:rFonts w:ascii="Book Antiqua" w:hAnsi="Book Antiqua"/>
          <w:sz w:val="23"/>
          <w:szCs w:val="23"/>
        </w:rPr>
        <w:t xml:space="preserve">cease to </w:t>
      </w:r>
      <w:r w:rsidR="008A3926">
        <w:rPr>
          <w:rFonts w:ascii="Book Antiqua" w:hAnsi="Book Antiqua"/>
          <w:sz w:val="23"/>
          <w:szCs w:val="23"/>
        </w:rPr>
        <w:t>enjoy</w:t>
      </w:r>
      <w:r w:rsidR="00BA58E7">
        <w:rPr>
          <w:rFonts w:ascii="Book Antiqua" w:hAnsi="Book Antiqua"/>
          <w:sz w:val="23"/>
          <w:szCs w:val="23"/>
        </w:rPr>
        <w:t xml:space="preserve"> protection under Article 21 </w:t>
      </w:r>
      <w:r w:rsidR="00857C87">
        <w:rPr>
          <w:rFonts w:ascii="Book Antiqua" w:hAnsi="Book Antiqua"/>
          <w:sz w:val="23"/>
          <w:szCs w:val="23"/>
        </w:rPr>
        <w:t xml:space="preserve">just because it </w:t>
      </w:r>
      <w:r w:rsidR="007D716E">
        <w:rPr>
          <w:rFonts w:ascii="Book Antiqua" w:hAnsi="Book Antiqua"/>
          <w:sz w:val="23"/>
          <w:szCs w:val="23"/>
        </w:rPr>
        <w:t xml:space="preserve">is open </w:t>
      </w:r>
      <w:r w:rsidR="00810204">
        <w:rPr>
          <w:rFonts w:ascii="Book Antiqua" w:hAnsi="Book Antiqua"/>
          <w:sz w:val="23"/>
          <w:szCs w:val="23"/>
        </w:rPr>
        <w:t xml:space="preserve">to a limited class of persons, </w:t>
      </w:r>
      <w:r w:rsidR="00232C06">
        <w:rPr>
          <w:rFonts w:ascii="Book Antiqua" w:hAnsi="Book Antiqua"/>
          <w:sz w:val="23"/>
          <w:szCs w:val="23"/>
        </w:rPr>
        <w:t xml:space="preserve">not the public at large. </w:t>
      </w:r>
      <w:r w:rsidR="003B3E91">
        <w:rPr>
          <w:rFonts w:ascii="Book Antiqua" w:hAnsi="Book Antiqua"/>
          <w:sz w:val="23"/>
          <w:szCs w:val="23"/>
        </w:rPr>
        <w:t>Moreover,</w:t>
      </w:r>
      <w:r w:rsidR="006952D3">
        <w:rPr>
          <w:rFonts w:ascii="Book Antiqua" w:hAnsi="Book Antiqua"/>
          <w:sz w:val="23"/>
          <w:szCs w:val="23"/>
        </w:rPr>
        <w:t xml:space="preserve"> </w:t>
      </w:r>
      <w:r w:rsidR="00B719DD">
        <w:rPr>
          <w:rFonts w:ascii="Book Antiqua" w:hAnsi="Book Antiqua"/>
          <w:sz w:val="23"/>
          <w:szCs w:val="23"/>
        </w:rPr>
        <w:t xml:space="preserve">a peaceful gathering of </w:t>
      </w:r>
      <w:r w:rsidR="00755AA8">
        <w:rPr>
          <w:rFonts w:ascii="Book Antiqua" w:hAnsi="Book Antiqua"/>
          <w:sz w:val="23"/>
          <w:szCs w:val="23"/>
        </w:rPr>
        <w:t xml:space="preserve">participants in </w:t>
      </w:r>
      <w:r w:rsidR="00905DAA">
        <w:rPr>
          <w:rFonts w:ascii="Book Antiqua" w:hAnsi="Book Antiqua"/>
          <w:sz w:val="23"/>
          <w:szCs w:val="23"/>
        </w:rPr>
        <w:t xml:space="preserve">an </w:t>
      </w:r>
      <w:r w:rsidR="00DB07A3">
        <w:rPr>
          <w:rFonts w:ascii="Book Antiqua" w:hAnsi="Book Antiqua"/>
          <w:sz w:val="23"/>
          <w:szCs w:val="23"/>
        </w:rPr>
        <w:t xml:space="preserve">industrial action </w:t>
      </w:r>
      <w:r w:rsidR="007C2CEC">
        <w:rPr>
          <w:rFonts w:ascii="Book Antiqua" w:hAnsi="Book Antiqua"/>
          <w:sz w:val="23"/>
          <w:szCs w:val="23"/>
        </w:rPr>
        <w:t xml:space="preserve">taking place </w:t>
      </w:r>
      <w:r w:rsidR="00DB07A3">
        <w:rPr>
          <w:rFonts w:ascii="Book Antiqua" w:hAnsi="Book Antiqua"/>
          <w:sz w:val="23"/>
          <w:szCs w:val="23"/>
        </w:rPr>
        <w:t xml:space="preserve">on </w:t>
      </w:r>
      <w:r w:rsidR="00D3488F">
        <w:rPr>
          <w:rFonts w:ascii="Book Antiqua" w:hAnsi="Book Antiqua"/>
          <w:sz w:val="23"/>
          <w:szCs w:val="23"/>
        </w:rPr>
        <w:t xml:space="preserve">the employer’s </w:t>
      </w:r>
      <w:r w:rsidR="00B47A17">
        <w:rPr>
          <w:rFonts w:ascii="Book Antiqua" w:hAnsi="Book Antiqua"/>
          <w:sz w:val="23"/>
          <w:szCs w:val="23"/>
        </w:rPr>
        <w:t xml:space="preserve">private premises </w:t>
      </w:r>
      <w:r w:rsidR="002013E2">
        <w:rPr>
          <w:rFonts w:ascii="Book Antiqua" w:hAnsi="Book Antiqua"/>
          <w:sz w:val="23"/>
          <w:szCs w:val="23"/>
        </w:rPr>
        <w:t xml:space="preserve">should </w:t>
      </w:r>
      <w:r w:rsidR="00F93ECB">
        <w:rPr>
          <w:rFonts w:ascii="Book Antiqua" w:hAnsi="Book Antiqua"/>
          <w:sz w:val="23"/>
          <w:szCs w:val="23"/>
        </w:rPr>
        <w:t xml:space="preserve">in principle </w:t>
      </w:r>
      <w:r w:rsidR="002C57AD">
        <w:rPr>
          <w:rFonts w:ascii="Book Antiqua" w:hAnsi="Book Antiqua"/>
          <w:sz w:val="23"/>
          <w:szCs w:val="23"/>
        </w:rPr>
        <w:t xml:space="preserve">fall within </w:t>
      </w:r>
      <w:r w:rsidR="00747B82">
        <w:rPr>
          <w:rFonts w:ascii="Book Antiqua" w:hAnsi="Book Antiqua"/>
          <w:sz w:val="23"/>
          <w:szCs w:val="23"/>
        </w:rPr>
        <w:t xml:space="preserve">the scope of </w:t>
      </w:r>
      <w:r w:rsidR="00D25685">
        <w:rPr>
          <w:rFonts w:ascii="Book Antiqua" w:hAnsi="Book Antiqua"/>
          <w:sz w:val="23"/>
          <w:szCs w:val="23"/>
        </w:rPr>
        <w:t>Article 21</w:t>
      </w:r>
      <w:r w:rsidR="0097381E">
        <w:rPr>
          <w:rFonts w:ascii="Book Antiqua" w:hAnsi="Book Antiqua"/>
          <w:sz w:val="23"/>
          <w:szCs w:val="23"/>
        </w:rPr>
        <w:t xml:space="preserve">, as should a gathering or meeting of residents </w:t>
      </w:r>
      <w:r w:rsidR="00003D7F">
        <w:rPr>
          <w:rFonts w:ascii="Book Antiqua" w:hAnsi="Book Antiqua"/>
          <w:sz w:val="23"/>
          <w:szCs w:val="23"/>
        </w:rPr>
        <w:t xml:space="preserve">within </w:t>
      </w:r>
      <w:r w:rsidR="009B4FEF">
        <w:rPr>
          <w:rFonts w:ascii="Book Antiqua" w:hAnsi="Book Antiqua"/>
          <w:sz w:val="23"/>
          <w:szCs w:val="23"/>
        </w:rPr>
        <w:t xml:space="preserve">a </w:t>
      </w:r>
      <w:r w:rsidR="003E3319">
        <w:rPr>
          <w:rFonts w:ascii="Book Antiqua" w:hAnsi="Book Antiqua"/>
          <w:sz w:val="23"/>
          <w:szCs w:val="23"/>
        </w:rPr>
        <w:t>housing estate</w:t>
      </w:r>
      <w:r w:rsidR="00502C35">
        <w:rPr>
          <w:rFonts w:ascii="Book Antiqua" w:hAnsi="Book Antiqua"/>
          <w:sz w:val="23"/>
          <w:szCs w:val="23"/>
        </w:rPr>
        <w:t xml:space="preserve"> – notwithstanding that the </w:t>
      </w:r>
      <w:r w:rsidR="00767BE3">
        <w:rPr>
          <w:rFonts w:ascii="Book Antiqua" w:hAnsi="Book Antiqua"/>
          <w:sz w:val="23"/>
          <w:szCs w:val="23"/>
        </w:rPr>
        <w:t xml:space="preserve">public at large may not have </w:t>
      </w:r>
      <w:r w:rsidR="0078731A">
        <w:rPr>
          <w:rFonts w:ascii="Book Antiqua" w:hAnsi="Book Antiqua"/>
          <w:sz w:val="23"/>
          <w:szCs w:val="23"/>
        </w:rPr>
        <w:t xml:space="preserve">a right to access </w:t>
      </w:r>
      <w:r w:rsidR="00211436">
        <w:rPr>
          <w:rFonts w:ascii="Book Antiqua" w:hAnsi="Book Antiqua"/>
          <w:sz w:val="23"/>
          <w:szCs w:val="23"/>
        </w:rPr>
        <w:t>these areas</w:t>
      </w:r>
      <w:r w:rsidR="003E3319">
        <w:rPr>
          <w:rFonts w:ascii="Book Antiqua" w:hAnsi="Book Antiqua"/>
          <w:sz w:val="23"/>
          <w:szCs w:val="23"/>
        </w:rPr>
        <w:t>.</w:t>
      </w:r>
    </w:p>
    <w:p w14:paraId="4A0240C7" w14:textId="228BA805" w:rsidR="00A70EF6" w:rsidRPr="00D0336A" w:rsidRDefault="008031F5" w:rsidP="005555F7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sz w:val="23"/>
          <w:szCs w:val="23"/>
          <w:lang w:val="en-US"/>
        </w:rPr>
      </w:pPr>
      <w:r w:rsidRPr="00151F90">
        <w:rPr>
          <w:rFonts w:ascii="Book Antiqua" w:hAnsi="Book Antiqua"/>
          <w:sz w:val="23"/>
          <w:szCs w:val="23"/>
          <w:lang w:val="en-US"/>
        </w:rPr>
        <w:t xml:space="preserve">Paragraph 22 </w:t>
      </w:r>
      <w:r w:rsidR="00076B36" w:rsidRPr="00151F90">
        <w:rPr>
          <w:rFonts w:ascii="Book Antiqua" w:hAnsi="Book Antiqua"/>
          <w:sz w:val="23"/>
          <w:szCs w:val="23"/>
          <w:lang w:val="en-US"/>
        </w:rPr>
        <w:t xml:space="preserve">presents </w:t>
      </w:r>
      <w:r w:rsidR="008B1734" w:rsidRPr="00151F90">
        <w:rPr>
          <w:rFonts w:ascii="Book Antiqua" w:hAnsi="Book Antiqua"/>
          <w:sz w:val="23"/>
          <w:szCs w:val="23"/>
          <w:lang w:val="en-US"/>
        </w:rPr>
        <w:t>two options</w:t>
      </w:r>
      <w:r w:rsidR="0058444C" w:rsidRPr="00151F90">
        <w:rPr>
          <w:rFonts w:ascii="Book Antiqua" w:hAnsi="Book Antiqua"/>
          <w:sz w:val="23"/>
          <w:szCs w:val="23"/>
          <w:lang w:val="en-US"/>
        </w:rPr>
        <w:t xml:space="preserve"> concerning assemblies </w:t>
      </w:r>
      <w:r w:rsidR="00A80C99" w:rsidRPr="00151F90">
        <w:rPr>
          <w:rFonts w:ascii="Book Antiqua" w:hAnsi="Book Antiqua"/>
          <w:sz w:val="23"/>
          <w:szCs w:val="23"/>
          <w:lang w:val="en-US"/>
        </w:rPr>
        <w:t xml:space="preserve">involving </w:t>
      </w:r>
      <w:r w:rsidR="00B721F8" w:rsidRPr="00151F90">
        <w:rPr>
          <w:rFonts w:ascii="Book Antiqua" w:hAnsi="Book Antiqua"/>
          <w:sz w:val="23"/>
          <w:szCs w:val="23"/>
          <w:lang w:val="en-US"/>
        </w:rPr>
        <w:t xml:space="preserve">dissemination of propaganda for war, or of </w:t>
      </w:r>
      <w:r w:rsidR="00A71225" w:rsidRPr="00151F90">
        <w:rPr>
          <w:rFonts w:ascii="Book Antiqua" w:hAnsi="Book Antiqua"/>
          <w:sz w:val="23"/>
          <w:szCs w:val="23"/>
        </w:rPr>
        <w:t>and advocacy of national, racial or religious hatred that constitutes incitement to discrimination or hostility</w:t>
      </w:r>
      <w:r w:rsidR="002D04F5">
        <w:rPr>
          <w:rFonts w:ascii="Book Antiqua" w:hAnsi="Book Antiqua"/>
          <w:sz w:val="23"/>
          <w:szCs w:val="23"/>
        </w:rPr>
        <w:t xml:space="preserve"> or violence. </w:t>
      </w:r>
      <w:r w:rsidR="00DC79C7">
        <w:rPr>
          <w:rFonts w:ascii="Book Antiqua" w:hAnsi="Book Antiqua"/>
          <w:sz w:val="23"/>
          <w:szCs w:val="23"/>
        </w:rPr>
        <w:t xml:space="preserve">The HKBA </w:t>
      </w:r>
      <w:r w:rsidR="00A51840">
        <w:rPr>
          <w:rFonts w:ascii="Book Antiqua" w:hAnsi="Book Antiqua"/>
          <w:sz w:val="23"/>
          <w:szCs w:val="23"/>
        </w:rPr>
        <w:t>suggests</w:t>
      </w:r>
      <w:r w:rsidR="008E646D">
        <w:rPr>
          <w:rFonts w:ascii="Book Antiqua" w:hAnsi="Book Antiqua"/>
          <w:sz w:val="23"/>
          <w:szCs w:val="23"/>
        </w:rPr>
        <w:t xml:space="preserve"> Option 2 is </w:t>
      </w:r>
      <w:r w:rsidR="006A48E2">
        <w:rPr>
          <w:rFonts w:ascii="Book Antiqua" w:hAnsi="Book Antiqua"/>
          <w:sz w:val="23"/>
          <w:szCs w:val="23"/>
        </w:rPr>
        <w:t>the more coherent approach.</w:t>
      </w:r>
      <w:r w:rsidR="00A51840">
        <w:rPr>
          <w:rFonts w:ascii="Book Antiqua" w:hAnsi="Book Antiqua"/>
          <w:sz w:val="23"/>
          <w:szCs w:val="23"/>
        </w:rPr>
        <w:t xml:space="preserve"> </w:t>
      </w:r>
      <w:r w:rsidR="007C03C3">
        <w:rPr>
          <w:rFonts w:ascii="Book Antiqua" w:hAnsi="Book Antiqua"/>
          <w:sz w:val="23"/>
          <w:szCs w:val="23"/>
        </w:rPr>
        <w:t xml:space="preserve">The </w:t>
      </w:r>
      <w:r w:rsidR="005D7238">
        <w:rPr>
          <w:rFonts w:ascii="Book Antiqua" w:hAnsi="Book Antiqua"/>
          <w:sz w:val="23"/>
          <w:szCs w:val="23"/>
        </w:rPr>
        <w:t>content</w:t>
      </w:r>
      <w:r w:rsidR="00D31D23">
        <w:rPr>
          <w:rFonts w:ascii="Book Antiqua" w:hAnsi="Book Antiqua"/>
          <w:sz w:val="23"/>
          <w:szCs w:val="23"/>
        </w:rPr>
        <w:t xml:space="preserve"> of </w:t>
      </w:r>
      <w:r w:rsidR="009B65FD">
        <w:rPr>
          <w:rFonts w:ascii="Book Antiqua" w:hAnsi="Book Antiqua"/>
          <w:sz w:val="23"/>
          <w:szCs w:val="23"/>
        </w:rPr>
        <w:t>the collective</w:t>
      </w:r>
      <w:r w:rsidR="00867F3D">
        <w:rPr>
          <w:rFonts w:ascii="Book Antiqua" w:hAnsi="Book Antiqua"/>
          <w:sz w:val="23"/>
          <w:szCs w:val="23"/>
        </w:rPr>
        <w:t xml:space="preserve"> express</w:t>
      </w:r>
      <w:r w:rsidR="009B65FD">
        <w:rPr>
          <w:rFonts w:ascii="Book Antiqua" w:hAnsi="Book Antiqua"/>
          <w:sz w:val="23"/>
          <w:szCs w:val="23"/>
        </w:rPr>
        <w:t>ion</w:t>
      </w:r>
      <w:r w:rsidR="00867F3D">
        <w:rPr>
          <w:rFonts w:ascii="Book Antiqua" w:hAnsi="Book Antiqua"/>
          <w:sz w:val="23"/>
          <w:szCs w:val="23"/>
        </w:rPr>
        <w:t xml:space="preserve"> at an </w:t>
      </w:r>
      <w:r w:rsidR="004D5B0D">
        <w:rPr>
          <w:rFonts w:ascii="Book Antiqua" w:hAnsi="Book Antiqua"/>
          <w:sz w:val="23"/>
          <w:szCs w:val="23"/>
        </w:rPr>
        <w:t>assembl</w:t>
      </w:r>
      <w:r w:rsidR="009007FD">
        <w:rPr>
          <w:rFonts w:ascii="Book Antiqua" w:hAnsi="Book Antiqua"/>
          <w:sz w:val="23"/>
          <w:szCs w:val="23"/>
        </w:rPr>
        <w:t xml:space="preserve">y </w:t>
      </w:r>
      <w:r w:rsidR="009870ED">
        <w:rPr>
          <w:rFonts w:ascii="Book Antiqua" w:hAnsi="Book Antiqua"/>
          <w:sz w:val="23"/>
          <w:szCs w:val="23"/>
        </w:rPr>
        <w:t xml:space="preserve">should be </w:t>
      </w:r>
      <w:r w:rsidR="007645C5">
        <w:rPr>
          <w:rFonts w:ascii="Book Antiqua" w:hAnsi="Book Antiqua"/>
          <w:sz w:val="23"/>
          <w:szCs w:val="23"/>
        </w:rPr>
        <w:t xml:space="preserve">taken into account when assessing whether </w:t>
      </w:r>
      <w:r w:rsidR="00BD2006">
        <w:rPr>
          <w:rFonts w:ascii="Book Antiqua" w:hAnsi="Book Antiqua"/>
          <w:sz w:val="23"/>
          <w:szCs w:val="23"/>
        </w:rPr>
        <w:t xml:space="preserve">any restriction imposed </w:t>
      </w:r>
      <w:r w:rsidR="00182080">
        <w:rPr>
          <w:rFonts w:ascii="Book Antiqua" w:hAnsi="Book Antiqua"/>
          <w:sz w:val="23"/>
          <w:szCs w:val="23"/>
        </w:rPr>
        <w:t xml:space="preserve">on it is </w:t>
      </w:r>
      <w:r w:rsidR="0035111E">
        <w:rPr>
          <w:rFonts w:ascii="Book Antiqua" w:hAnsi="Book Antiqua"/>
          <w:sz w:val="23"/>
          <w:szCs w:val="23"/>
        </w:rPr>
        <w:t xml:space="preserve">proportionate, </w:t>
      </w:r>
      <w:r w:rsidR="00A740F8">
        <w:rPr>
          <w:rFonts w:ascii="Book Antiqua" w:hAnsi="Book Antiqua"/>
          <w:sz w:val="23"/>
          <w:szCs w:val="23"/>
        </w:rPr>
        <w:t>not</w:t>
      </w:r>
      <w:r w:rsidR="001C7CB8">
        <w:rPr>
          <w:rFonts w:ascii="Book Antiqua" w:hAnsi="Book Antiqua"/>
          <w:sz w:val="23"/>
          <w:szCs w:val="23"/>
        </w:rPr>
        <w:t xml:space="preserve"> </w:t>
      </w:r>
      <w:r w:rsidR="00E50BC0">
        <w:rPr>
          <w:rFonts w:ascii="Book Antiqua" w:hAnsi="Book Antiqua"/>
          <w:sz w:val="23"/>
          <w:szCs w:val="23"/>
        </w:rPr>
        <w:t xml:space="preserve">at the stage of categorising </w:t>
      </w:r>
      <w:r w:rsidR="00F61AF8">
        <w:rPr>
          <w:rFonts w:ascii="Book Antiqua" w:hAnsi="Book Antiqua"/>
          <w:sz w:val="23"/>
          <w:szCs w:val="23"/>
        </w:rPr>
        <w:t xml:space="preserve">whether </w:t>
      </w:r>
      <w:r w:rsidR="00E50BC0">
        <w:rPr>
          <w:rFonts w:ascii="Book Antiqua" w:hAnsi="Book Antiqua"/>
          <w:sz w:val="23"/>
          <w:szCs w:val="23"/>
        </w:rPr>
        <w:t xml:space="preserve">a given </w:t>
      </w:r>
      <w:r w:rsidR="000840E1">
        <w:rPr>
          <w:rFonts w:ascii="Book Antiqua" w:hAnsi="Book Antiqua"/>
          <w:sz w:val="23"/>
          <w:szCs w:val="23"/>
        </w:rPr>
        <w:t xml:space="preserve">event </w:t>
      </w:r>
      <w:r w:rsidR="00867E17">
        <w:rPr>
          <w:rFonts w:ascii="Book Antiqua" w:hAnsi="Book Antiqua"/>
          <w:sz w:val="23"/>
          <w:szCs w:val="23"/>
        </w:rPr>
        <w:t xml:space="preserve">constitutes a </w:t>
      </w:r>
      <w:r w:rsidR="00751159">
        <w:rPr>
          <w:rFonts w:ascii="Book Antiqua" w:hAnsi="Book Antiqua"/>
          <w:sz w:val="23"/>
          <w:szCs w:val="23"/>
        </w:rPr>
        <w:t xml:space="preserve">peaceful assembly </w:t>
      </w:r>
      <w:r w:rsidR="00B12B25">
        <w:rPr>
          <w:rFonts w:ascii="Book Antiqua" w:hAnsi="Book Antiqua"/>
          <w:sz w:val="23"/>
          <w:szCs w:val="23"/>
        </w:rPr>
        <w:t xml:space="preserve">or </w:t>
      </w:r>
      <w:r w:rsidR="00EC617F">
        <w:rPr>
          <w:rFonts w:ascii="Book Antiqua" w:hAnsi="Book Antiqua"/>
          <w:sz w:val="23"/>
          <w:szCs w:val="23"/>
        </w:rPr>
        <w:t>something else.</w:t>
      </w:r>
    </w:p>
    <w:p w14:paraId="4E4A9C70" w14:textId="6E68CEE5" w:rsidR="009E335B" w:rsidRPr="005A4BD6" w:rsidRDefault="00271240" w:rsidP="009E335B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i/>
          <w:iCs/>
          <w:sz w:val="23"/>
          <w:szCs w:val="23"/>
          <w:lang w:val="en-US"/>
        </w:rPr>
      </w:pPr>
      <w:r w:rsidRPr="007000FA">
        <w:rPr>
          <w:rFonts w:ascii="Book Antiqua" w:hAnsi="Book Antiqua"/>
          <w:sz w:val="23"/>
          <w:szCs w:val="23"/>
        </w:rPr>
        <w:lastRenderedPageBreak/>
        <w:t>In paragraph 31</w:t>
      </w:r>
      <w:r w:rsidR="0074786E" w:rsidRPr="007000FA">
        <w:rPr>
          <w:rFonts w:ascii="Book Antiqua" w:hAnsi="Book Antiqua"/>
          <w:sz w:val="23"/>
          <w:szCs w:val="23"/>
        </w:rPr>
        <w:t xml:space="preserve">, the HKBA favours the </w:t>
      </w:r>
      <w:r w:rsidR="000D4C0B" w:rsidRPr="007000FA">
        <w:rPr>
          <w:rFonts w:ascii="Book Antiqua" w:hAnsi="Book Antiqua"/>
          <w:sz w:val="23"/>
          <w:szCs w:val="23"/>
        </w:rPr>
        <w:t>formulation</w:t>
      </w:r>
      <w:r w:rsidR="0074786E" w:rsidRPr="007000FA">
        <w:rPr>
          <w:rFonts w:ascii="Book Antiqua" w:hAnsi="Book Antiqua"/>
          <w:sz w:val="23"/>
          <w:szCs w:val="23"/>
        </w:rPr>
        <w:t xml:space="preserve"> that</w:t>
      </w:r>
      <w:r w:rsidR="002E16E6" w:rsidRPr="007000FA">
        <w:rPr>
          <w:rFonts w:ascii="Book Antiqua" w:hAnsi="Book Antiqua"/>
          <w:sz w:val="23"/>
          <w:szCs w:val="23"/>
        </w:rPr>
        <w:t>:</w:t>
      </w:r>
      <w:r w:rsidR="0074786E" w:rsidRPr="007000FA">
        <w:rPr>
          <w:rFonts w:ascii="Book Antiqua" w:hAnsi="Book Antiqua"/>
          <w:sz w:val="23"/>
          <w:szCs w:val="23"/>
        </w:rPr>
        <w:t xml:space="preserve"> </w:t>
      </w:r>
      <w:r w:rsidR="009E335B" w:rsidRPr="007000FA">
        <w:rPr>
          <w:rFonts w:ascii="Book Antiqua" w:hAnsi="Book Antiqua"/>
          <w:i/>
          <w:iCs/>
          <w:sz w:val="23"/>
          <w:szCs w:val="23"/>
        </w:rPr>
        <w:t xml:space="preserve">“The State is obliged to take all </w:t>
      </w:r>
      <w:r w:rsidR="009E335B" w:rsidRPr="007000FA">
        <w:rPr>
          <w:rFonts w:ascii="Book Antiqua" w:hAnsi="Book Antiqua"/>
          <w:i/>
          <w:iCs/>
          <w:sz w:val="23"/>
          <w:szCs w:val="23"/>
          <w:u w:val="single"/>
        </w:rPr>
        <w:t>possible</w:t>
      </w:r>
      <w:r w:rsidR="009E335B" w:rsidRPr="007000FA">
        <w:rPr>
          <w:rFonts w:ascii="Book Antiqua" w:hAnsi="Book Antiqua"/>
          <w:i/>
          <w:iCs/>
          <w:sz w:val="23"/>
          <w:szCs w:val="23"/>
        </w:rPr>
        <w:t xml:space="preserve"> measures to protect the participants and as far as possible to allow the assembly to take place in an uninterrupted manner”,</w:t>
      </w:r>
      <w:r w:rsidR="00B57D36" w:rsidRPr="007000FA">
        <w:rPr>
          <w:rFonts w:ascii="Book Antiqua" w:hAnsi="Book Antiqua"/>
          <w:i/>
          <w:iCs/>
          <w:sz w:val="23"/>
          <w:szCs w:val="23"/>
        </w:rPr>
        <w:t xml:space="preserve"> </w:t>
      </w:r>
      <w:r w:rsidR="003433A2" w:rsidRPr="007000FA">
        <w:rPr>
          <w:rFonts w:ascii="Book Antiqua" w:hAnsi="Book Antiqua"/>
          <w:sz w:val="23"/>
          <w:szCs w:val="23"/>
        </w:rPr>
        <w:t xml:space="preserve">as opposed to </w:t>
      </w:r>
      <w:r w:rsidR="001B03EA" w:rsidRPr="007000FA">
        <w:rPr>
          <w:rFonts w:ascii="Book Antiqua" w:hAnsi="Book Antiqua"/>
          <w:sz w:val="23"/>
          <w:szCs w:val="23"/>
        </w:rPr>
        <w:t>the suggested alternative (</w:t>
      </w:r>
      <w:r w:rsidR="001B03EA" w:rsidRPr="007000FA">
        <w:rPr>
          <w:rFonts w:ascii="Book Antiqua" w:hAnsi="Book Antiqua"/>
          <w:i/>
          <w:iCs/>
          <w:sz w:val="23"/>
          <w:szCs w:val="23"/>
        </w:rPr>
        <w:t xml:space="preserve">“all </w:t>
      </w:r>
      <w:r w:rsidR="001B03EA" w:rsidRPr="007000FA">
        <w:rPr>
          <w:rFonts w:ascii="Book Antiqua" w:hAnsi="Book Antiqua"/>
          <w:i/>
          <w:iCs/>
          <w:sz w:val="23"/>
          <w:szCs w:val="23"/>
          <w:u w:val="single"/>
        </w:rPr>
        <w:t>appropriate</w:t>
      </w:r>
      <w:r w:rsidR="001B03EA" w:rsidRPr="007000FA">
        <w:rPr>
          <w:rFonts w:ascii="Book Antiqua" w:hAnsi="Book Antiqua"/>
          <w:i/>
          <w:iCs/>
          <w:sz w:val="23"/>
          <w:szCs w:val="23"/>
        </w:rPr>
        <w:t xml:space="preserve"> measures”</w:t>
      </w:r>
      <w:r w:rsidR="001B03EA" w:rsidRPr="007000FA">
        <w:rPr>
          <w:rFonts w:ascii="Book Antiqua" w:hAnsi="Book Antiqua"/>
          <w:sz w:val="23"/>
          <w:szCs w:val="23"/>
        </w:rPr>
        <w:t xml:space="preserve">). </w:t>
      </w:r>
      <w:r w:rsidR="00CD78CC" w:rsidRPr="007000FA">
        <w:rPr>
          <w:rFonts w:ascii="Book Antiqua" w:hAnsi="Book Antiqua"/>
          <w:sz w:val="23"/>
          <w:szCs w:val="23"/>
        </w:rPr>
        <w:t xml:space="preserve">The word </w:t>
      </w:r>
      <w:r w:rsidR="006A2D01" w:rsidRPr="007000FA">
        <w:rPr>
          <w:rFonts w:ascii="Book Antiqua" w:hAnsi="Book Antiqua"/>
          <w:i/>
          <w:iCs/>
          <w:sz w:val="23"/>
          <w:szCs w:val="23"/>
        </w:rPr>
        <w:t>“appropriate”</w:t>
      </w:r>
      <w:r w:rsidR="006A2D01" w:rsidRPr="007000FA">
        <w:rPr>
          <w:rFonts w:ascii="Book Antiqua" w:hAnsi="Book Antiqua"/>
          <w:sz w:val="23"/>
          <w:szCs w:val="23"/>
        </w:rPr>
        <w:t xml:space="preserve"> </w:t>
      </w:r>
      <w:r w:rsidR="000C60AB" w:rsidRPr="007000FA">
        <w:rPr>
          <w:rFonts w:ascii="Book Antiqua" w:hAnsi="Book Antiqua"/>
          <w:sz w:val="23"/>
          <w:szCs w:val="23"/>
        </w:rPr>
        <w:t xml:space="preserve">in this context </w:t>
      </w:r>
      <w:r w:rsidR="00AB5D65" w:rsidRPr="007000FA">
        <w:rPr>
          <w:rFonts w:ascii="Book Antiqua" w:hAnsi="Book Antiqua"/>
          <w:sz w:val="23"/>
          <w:szCs w:val="23"/>
        </w:rPr>
        <w:t xml:space="preserve">could be read </w:t>
      </w:r>
      <w:r w:rsidR="00E929F3" w:rsidRPr="007000FA">
        <w:rPr>
          <w:rFonts w:ascii="Book Antiqua" w:hAnsi="Book Antiqua"/>
          <w:sz w:val="23"/>
          <w:szCs w:val="23"/>
        </w:rPr>
        <w:t xml:space="preserve">as suggesting </w:t>
      </w:r>
      <w:r w:rsidR="006A2D01" w:rsidRPr="007000FA">
        <w:rPr>
          <w:rFonts w:ascii="Book Antiqua" w:hAnsi="Book Antiqua"/>
          <w:sz w:val="23"/>
          <w:szCs w:val="23"/>
        </w:rPr>
        <w:t xml:space="preserve">a subjective </w:t>
      </w:r>
      <w:r w:rsidR="00CD78CC" w:rsidRPr="007000FA">
        <w:rPr>
          <w:rFonts w:ascii="Book Antiqua" w:hAnsi="Book Antiqua"/>
          <w:sz w:val="23"/>
          <w:szCs w:val="23"/>
        </w:rPr>
        <w:t>standard</w:t>
      </w:r>
      <w:r w:rsidR="006A2D01" w:rsidRPr="007000FA">
        <w:rPr>
          <w:rFonts w:ascii="Book Antiqua" w:hAnsi="Book Antiqua"/>
          <w:sz w:val="23"/>
          <w:szCs w:val="23"/>
        </w:rPr>
        <w:t xml:space="preserve">, </w:t>
      </w:r>
      <w:r w:rsidR="00F72752" w:rsidRPr="007000FA">
        <w:rPr>
          <w:rFonts w:ascii="Book Antiqua" w:hAnsi="Book Antiqua"/>
          <w:sz w:val="23"/>
          <w:szCs w:val="23"/>
        </w:rPr>
        <w:t xml:space="preserve">effectively leaving States parties to decide </w:t>
      </w:r>
      <w:r w:rsidR="00532EA7" w:rsidRPr="007000FA">
        <w:rPr>
          <w:rFonts w:ascii="Book Antiqua" w:hAnsi="Book Antiqua"/>
          <w:sz w:val="23"/>
          <w:szCs w:val="23"/>
        </w:rPr>
        <w:t xml:space="preserve">how far they will go in protecting </w:t>
      </w:r>
      <w:r w:rsidR="006D1AA9" w:rsidRPr="007000FA">
        <w:rPr>
          <w:rFonts w:ascii="Book Antiqua" w:hAnsi="Book Antiqua"/>
          <w:sz w:val="23"/>
          <w:szCs w:val="23"/>
        </w:rPr>
        <w:t xml:space="preserve">the safety of participants </w:t>
      </w:r>
      <w:r w:rsidR="009B2EC8" w:rsidRPr="007000FA">
        <w:rPr>
          <w:rFonts w:ascii="Book Antiqua" w:hAnsi="Book Antiqua"/>
          <w:sz w:val="23"/>
          <w:szCs w:val="23"/>
        </w:rPr>
        <w:t>in an assembly</w:t>
      </w:r>
      <w:r w:rsidR="002A6354" w:rsidRPr="007000FA">
        <w:rPr>
          <w:rFonts w:ascii="Book Antiqua" w:hAnsi="Book Antiqua"/>
          <w:sz w:val="23"/>
          <w:szCs w:val="23"/>
        </w:rPr>
        <w:t>.</w:t>
      </w:r>
      <w:r w:rsidR="00B92E78" w:rsidRPr="007000FA">
        <w:rPr>
          <w:rFonts w:ascii="Book Antiqua" w:hAnsi="Book Antiqua"/>
          <w:sz w:val="23"/>
          <w:szCs w:val="23"/>
        </w:rPr>
        <w:t xml:space="preserve"> </w:t>
      </w:r>
      <w:r w:rsidR="00C9053A" w:rsidRPr="007000FA">
        <w:rPr>
          <w:rFonts w:ascii="Book Antiqua" w:hAnsi="Book Antiqua"/>
          <w:sz w:val="23"/>
          <w:szCs w:val="23"/>
        </w:rPr>
        <w:t>I</w:t>
      </w:r>
      <w:r w:rsidR="000C374D" w:rsidRPr="007000FA">
        <w:rPr>
          <w:rFonts w:ascii="Book Antiqua" w:hAnsi="Book Antiqua"/>
          <w:sz w:val="23"/>
          <w:szCs w:val="23"/>
        </w:rPr>
        <w:t>n a case in which</w:t>
      </w:r>
      <w:r w:rsidR="00C9053A" w:rsidRPr="007000FA">
        <w:rPr>
          <w:rFonts w:ascii="Book Antiqua" w:hAnsi="Book Antiqua"/>
          <w:sz w:val="23"/>
          <w:szCs w:val="23"/>
        </w:rPr>
        <w:t xml:space="preserve"> </w:t>
      </w:r>
      <w:r w:rsidR="001B0647" w:rsidRPr="007000FA">
        <w:rPr>
          <w:rFonts w:ascii="Book Antiqua" w:hAnsi="Book Antiqua"/>
          <w:sz w:val="23"/>
          <w:szCs w:val="23"/>
        </w:rPr>
        <w:t xml:space="preserve">authorities have </w:t>
      </w:r>
      <w:r w:rsidR="008C6A3C" w:rsidRPr="007000FA">
        <w:rPr>
          <w:rFonts w:ascii="Book Antiqua" w:hAnsi="Book Antiqua"/>
          <w:sz w:val="23"/>
          <w:szCs w:val="23"/>
        </w:rPr>
        <w:t xml:space="preserve">failed to </w:t>
      </w:r>
      <w:r w:rsidR="0048761B" w:rsidRPr="007000FA">
        <w:rPr>
          <w:rFonts w:ascii="Book Antiqua" w:hAnsi="Book Antiqua"/>
          <w:sz w:val="23"/>
          <w:szCs w:val="23"/>
        </w:rPr>
        <w:t xml:space="preserve">keep </w:t>
      </w:r>
      <w:r w:rsidR="007363B7" w:rsidRPr="007000FA">
        <w:rPr>
          <w:rFonts w:ascii="Book Antiqua" w:hAnsi="Book Antiqua"/>
          <w:sz w:val="23"/>
          <w:szCs w:val="23"/>
        </w:rPr>
        <w:t>participants</w:t>
      </w:r>
      <w:r w:rsidR="005741AB" w:rsidRPr="007000FA">
        <w:rPr>
          <w:rFonts w:ascii="Book Antiqua" w:hAnsi="Book Antiqua"/>
          <w:sz w:val="23"/>
          <w:szCs w:val="23"/>
        </w:rPr>
        <w:t xml:space="preserve"> </w:t>
      </w:r>
      <w:r w:rsidR="004D55F1" w:rsidRPr="007000FA">
        <w:rPr>
          <w:rFonts w:ascii="Book Antiqua" w:hAnsi="Book Antiqua"/>
          <w:sz w:val="23"/>
          <w:szCs w:val="23"/>
        </w:rPr>
        <w:t xml:space="preserve">at a peaceful assembly </w:t>
      </w:r>
      <w:r w:rsidR="005741AB" w:rsidRPr="007000FA">
        <w:rPr>
          <w:rFonts w:ascii="Book Antiqua" w:hAnsi="Book Antiqua"/>
          <w:sz w:val="23"/>
          <w:szCs w:val="23"/>
        </w:rPr>
        <w:t>safe</w:t>
      </w:r>
      <w:r w:rsidR="007363B7" w:rsidRPr="007000FA">
        <w:rPr>
          <w:rFonts w:ascii="Book Antiqua" w:hAnsi="Book Antiqua"/>
          <w:sz w:val="23"/>
          <w:szCs w:val="23"/>
        </w:rPr>
        <w:t xml:space="preserve">, </w:t>
      </w:r>
      <w:r w:rsidR="0099655E">
        <w:rPr>
          <w:rFonts w:ascii="Book Antiqua" w:hAnsi="Book Antiqua"/>
          <w:sz w:val="23"/>
          <w:szCs w:val="23"/>
        </w:rPr>
        <w:t xml:space="preserve">it should not be </w:t>
      </w:r>
      <w:r w:rsidR="00296207">
        <w:rPr>
          <w:rFonts w:ascii="Book Antiqua" w:hAnsi="Book Antiqua"/>
          <w:sz w:val="23"/>
          <w:szCs w:val="23"/>
        </w:rPr>
        <w:t xml:space="preserve">imagined </w:t>
      </w:r>
      <w:r w:rsidR="00CF47BA">
        <w:rPr>
          <w:rFonts w:ascii="Book Antiqua" w:hAnsi="Book Antiqua"/>
          <w:sz w:val="23"/>
          <w:szCs w:val="23"/>
        </w:rPr>
        <w:t xml:space="preserve">that it is sufficient for States parties to </w:t>
      </w:r>
      <w:r w:rsidR="008227C0">
        <w:rPr>
          <w:rFonts w:ascii="Book Antiqua" w:hAnsi="Book Antiqua"/>
          <w:sz w:val="23"/>
          <w:szCs w:val="23"/>
        </w:rPr>
        <w:t xml:space="preserve">assert that </w:t>
      </w:r>
      <w:r w:rsidR="0063187F">
        <w:rPr>
          <w:rFonts w:ascii="Book Antiqua" w:hAnsi="Book Antiqua"/>
          <w:sz w:val="23"/>
          <w:szCs w:val="23"/>
        </w:rPr>
        <w:t xml:space="preserve">the </w:t>
      </w:r>
      <w:r w:rsidR="00A87AC9" w:rsidRPr="007000FA">
        <w:rPr>
          <w:rFonts w:ascii="Book Antiqua" w:hAnsi="Book Antiqua"/>
          <w:sz w:val="23"/>
          <w:szCs w:val="23"/>
        </w:rPr>
        <w:t xml:space="preserve">measures </w:t>
      </w:r>
      <w:r w:rsidR="004B364D" w:rsidRPr="007000FA">
        <w:rPr>
          <w:rFonts w:ascii="Book Antiqua" w:hAnsi="Book Antiqua"/>
          <w:sz w:val="23"/>
          <w:szCs w:val="23"/>
        </w:rPr>
        <w:t xml:space="preserve">taken were judged to </w:t>
      </w:r>
      <w:r w:rsidR="004B364D" w:rsidRPr="00892351">
        <w:rPr>
          <w:rFonts w:ascii="Book Antiqua" w:hAnsi="Book Antiqua"/>
          <w:sz w:val="23"/>
          <w:szCs w:val="23"/>
        </w:rPr>
        <w:t xml:space="preserve">be </w:t>
      </w:r>
      <w:r w:rsidR="00473315" w:rsidRPr="00892351">
        <w:rPr>
          <w:rFonts w:ascii="Book Antiqua" w:hAnsi="Book Antiqua"/>
          <w:sz w:val="23"/>
          <w:szCs w:val="23"/>
        </w:rPr>
        <w:t>appropriate</w:t>
      </w:r>
      <w:r w:rsidR="00330D01" w:rsidRPr="00892351">
        <w:rPr>
          <w:rFonts w:ascii="Book Antiqua" w:hAnsi="Book Antiqua"/>
          <w:sz w:val="23"/>
          <w:szCs w:val="23"/>
        </w:rPr>
        <w:t xml:space="preserve"> at the time</w:t>
      </w:r>
      <w:r w:rsidR="00257192" w:rsidRPr="00892351">
        <w:rPr>
          <w:rFonts w:ascii="Book Antiqua" w:hAnsi="Book Antiqua"/>
          <w:sz w:val="23"/>
          <w:szCs w:val="23"/>
        </w:rPr>
        <w:t>.</w:t>
      </w:r>
      <w:r w:rsidR="00B53247" w:rsidRPr="00892351">
        <w:rPr>
          <w:rFonts w:ascii="Book Antiqua" w:hAnsi="Book Antiqua"/>
          <w:sz w:val="23"/>
          <w:szCs w:val="23"/>
        </w:rPr>
        <w:t xml:space="preserve"> This approach is consistent with the statement in paragraph </w:t>
      </w:r>
      <w:r w:rsidR="00D958DD" w:rsidRPr="00892351">
        <w:rPr>
          <w:rFonts w:ascii="Book Antiqua" w:hAnsi="Book Antiqua"/>
          <w:sz w:val="23"/>
          <w:szCs w:val="23"/>
        </w:rPr>
        <w:t xml:space="preserve">58 that: </w:t>
      </w:r>
      <w:r w:rsidR="00D958DD" w:rsidRPr="00892351">
        <w:rPr>
          <w:rFonts w:ascii="Book Antiqua" w:hAnsi="Book Antiqua"/>
          <w:i/>
          <w:iCs/>
          <w:sz w:val="23"/>
          <w:szCs w:val="23"/>
        </w:rPr>
        <w:t>“</w:t>
      </w:r>
      <w:r w:rsidR="00D958DD" w:rsidRPr="00892351">
        <w:rPr>
          <w:rFonts w:ascii="Book Antiqua" w:hAnsi="Book Antiqua"/>
          <w:i/>
          <w:iCs/>
          <w:sz w:val="23"/>
          <w:szCs w:val="23"/>
          <w:lang w:val="en-US"/>
        </w:rPr>
        <w:t xml:space="preserve">in the exceptional case where the State is </w:t>
      </w:r>
      <w:r w:rsidR="00D958DD" w:rsidRPr="00892351">
        <w:rPr>
          <w:rFonts w:ascii="Book Antiqua" w:hAnsi="Book Antiqua"/>
          <w:b/>
          <w:bCs/>
          <w:i/>
          <w:iCs/>
          <w:sz w:val="23"/>
          <w:szCs w:val="23"/>
          <w:lang w:val="en-US"/>
        </w:rPr>
        <w:t>manifestly unable</w:t>
      </w:r>
      <w:r w:rsidR="00D958DD" w:rsidRPr="00892351">
        <w:rPr>
          <w:rFonts w:ascii="Book Antiqua" w:hAnsi="Book Antiqua"/>
          <w:i/>
          <w:iCs/>
          <w:sz w:val="23"/>
          <w:szCs w:val="23"/>
          <w:lang w:val="en-US"/>
        </w:rPr>
        <w:t xml:space="preserve"> to protect the participants from such threat, restrictions on the assembly may be imposed.</w:t>
      </w:r>
      <w:r w:rsidR="003E0AD7" w:rsidRPr="00892351">
        <w:rPr>
          <w:rFonts w:ascii="Book Antiqua" w:hAnsi="Book Antiqua"/>
          <w:i/>
          <w:iCs/>
          <w:sz w:val="23"/>
          <w:szCs w:val="23"/>
          <w:lang w:val="en-US"/>
        </w:rPr>
        <w:t>”</w:t>
      </w:r>
    </w:p>
    <w:p w14:paraId="5BAFFE4E" w14:textId="48A5371A" w:rsidR="00ED1C1F" w:rsidRPr="00A42C32" w:rsidRDefault="00D92EA4" w:rsidP="009E335B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i/>
          <w:iCs/>
          <w:sz w:val="23"/>
          <w:szCs w:val="23"/>
          <w:lang w:val="en-US"/>
        </w:rPr>
      </w:pPr>
      <w:r>
        <w:rPr>
          <w:rFonts w:ascii="Book Antiqua" w:hAnsi="Book Antiqua"/>
          <w:sz w:val="23"/>
          <w:szCs w:val="23"/>
          <w:lang w:val="en-US"/>
        </w:rPr>
        <w:t xml:space="preserve">In relation to </w:t>
      </w:r>
      <w:r w:rsidR="00062A29">
        <w:rPr>
          <w:rFonts w:ascii="Book Antiqua" w:hAnsi="Book Antiqua"/>
          <w:sz w:val="23"/>
          <w:szCs w:val="23"/>
          <w:lang w:val="en-US"/>
        </w:rPr>
        <w:t xml:space="preserve">the first sentence of </w:t>
      </w:r>
      <w:r>
        <w:rPr>
          <w:rFonts w:ascii="Book Antiqua" w:hAnsi="Book Antiqua"/>
          <w:sz w:val="23"/>
          <w:szCs w:val="23"/>
          <w:lang w:val="en-US"/>
        </w:rPr>
        <w:t xml:space="preserve">paragraph </w:t>
      </w:r>
      <w:r w:rsidR="00C6116A">
        <w:rPr>
          <w:rFonts w:ascii="Book Antiqua" w:hAnsi="Book Antiqua"/>
          <w:sz w:val="23"/>
          <w:szCs w:val="23"/>
          <w:lang w:val="en-US"/>
        </w:rPr>
        <w:t xml:space="preserve">34, </w:t>
      </w:r>
      <w:r w:rsidR="00891B18">
        <w:rPr>
          <w:rFonts w:ascii="Book Antiqua" w:hAnsi="Book Antiqua"/>
          <w:sz w:val="23"/>
          <w:szCs w:val="23"/>
          <w:lang w:val="en-US"/>
        </w:rPr>
        <w:t xml:space="preserve">it is suggested that </w:t>
      </w:r>
      <w:r w:rsidR="00744850">
        <w:rPr>
          <w:rFonts w:ascii="Book Antiqua" w:hAnsi="Book Antiqua"/>
          <w:sz w:val="23"/>
          <w:szCs w:val="23"/>
          <w:lang w:val="en-US"/>
        </w:rPr>
        <w:t xml:space="preserve">this should </w:t>
      </w:r>
      <w:r w:rsidR="00744850" w:rsidRPr="00D51BB5">
        <w:rPr>
          <w:rFonts w:ascii="Book Antiqua" w:hAnsi="Book Antiqua"/>
          <w:sz w:val="23"/>
          <w:szCs w:val="23"/>
          <w:lang w:val="en-US"/>
        </w:rPr>
        <w:t xml:space="preserve">conclude </w:t>
      </w:r>
      <w:r w:rsidR="002D1CC7" w:rsidRPr="00084052">
        <w:rPr>
          <w:rFonts w:ascii="Book Antiqua" w:hAnsi="Book Antiqua"/>
          <w:i/>
          <w:iCs/>
          <w:sz w:val="23"/>
          <w:szCs w:val="23"/>
          <w:lang w:val="en-US"/>
        </w:rPr>
        <w:t>“</w:t>
      </w:r>
      <w:r w:rsidR="002D1CC7" w:rsidRPr="00084052">
        <w:rPr>
          <w:rFonts w:ascii="Book Antiqua" w:hAnsi="Book Antiqua"/>
          <w:i/>
          <w:iCs/>
          <w:sz w:val="23"/>
          <w:szCs w:val="23"/>
        </w:rPr>
        <w:t xml:space="preserve">under article 21 </w:t>
      </w:r>
      <w:r w:rsidR="001B0DE9" w:rsidRPr="00084052">
        <w:rPr>
          <w:rFonts w:ascii="Book Antiqua" w:hAnsi="Book Antiqua"/>
          <w:i/>
          <w:iCs/>
          <w:sz w:val="23"/>
          <w:szCs w:val="23"/>
        </w:rPr>
        <w:t xml:space="preserve">and other provisions of </w:t>
      </w:r>
      <w:r w:rsidR="002D1CC7" w:rsidRPr="00084052">
        <w:rPr>
          <w:rFonts w:ascii="Book Antiqua" w:hAnsi="Book Antiqua"/>
          <w:i/>
          <w:iCs/>
          <w:sz w:val="23"/>
          <w:szCs w:val="23"/>
        </w:rPr>
        <w:t>the Covenant</w:t>
      </w:r>
      <w:r w:rsidR="00A462E1" w:rsidRPr="00084052">
        <w:rPr>
          <w:rFonts w:ascii="Book Antiqua" w:hAnsi="Book Antiqua"/>
          <w:i/>
          <w:iCs/>
          <w:sz w:val="23"/>
          <w:szCs w:val="23"/>
        </w:rPr>
        <w:t>”</w:t>
      </w:r>
      <w:r w:rsidR="00A462E1" w:rsidRPr="00D51BB5">
        <w:rPr>
          <w:rFonts w:ascii="Book Antiqua" w:hAnsi="Book Antiqua"/>
          <w:sz w:val="23"/>
          <w:szCs w:val="23"/>
        </w:rPr>
        <w:t>.</w:t>
      </w:r>
      <w:r w:rsidR="001C225C">
        <w:rPr>
          <w:rFonts w:ascii="Book Antiqua" w:hAnsi="Book Antiqua"/>
          <w:sz w:val="23"/>
          <w:szCs w:val="23"/>
        </w:rPr>
        <w:t xml:space="preserve"> This </w:t>
      </w:r>
      <w:r w:rsidR="00036246">
        <w:rPr>
          <w:rFonts w:ascii="Book Antiqua" w:hAnsi="Book Antiqua"/>
          <w:sz w:val="23"/>
          <w:szCs w:val="23"/>
        </w:rPr>
        <w:t>reflects the fact that</w:t>
      </w:r>
      <w:r w:rsidR="00135612">
        <w:rPr>
          <w:rFonts w:ascii="Book Antiqua" w:hAnsi="Book Antiqua"/>
          <w:sz w:val="23"/>
          <w:szCs w:val="23"/>
        </w:rPr>
        <w:t xml:space="preserve">, while </w:t>
      </w:r>
      <w:r w:rsidR="003879C2">
        <w:rPr>
          <w:rFonts w:ascii="Book Antiqua" w:hAnsi="Book Antiqua"/>
          <w:sz w:val="23"/>
          <w:szCs w:val="23"/>
        </w:rPr>
        <w:t xml:space="preserve">the freedom of the press is </w:t>
      </w:r>
      <w:r w:rsidR="00D64939">
        <w:rPr>
          <w:rFonts w:ascii="Book Antiqua" w:hAnsi="Book Antiqua"/>
          <w:sz w:val="23"/>
          <w:szCs w:val="23"/>
        </w:rPr>
        <w:t xml:space="preserve">primarily </w:t>
      </w:r>
      <w:r w:rsidR="001C1A30">
        <w:rPr>
          <w:rFonts w:ascii="Book Antiqua" w:hAnsi="Book Antiqua"/>
          <w:sz w:val="23"/>
          <w:szCs w:val="23"/>
        </w:rPr>
        <w:t xml:space="preserve">protected under other provisions of the Covenant, </w:t>
      </w:r>
      <w:r w:rsidR="00CB64FE">
        <w:rPr>
          <w:rFonts w:ascii="Book Antiqua" w:hAnsi="Book Antiqua"/>
          <w:sz w:val="23"/>
          <w:szCs w:val="23"/>
        </w:rPr>
        <w:t xml:space="preserve">the guarantee of </w:t>
      </w:r>
      <w:r w:rsidR="009D6189">
        <w:rPr>
          <w:rFonts w:ascii="Book Antiqua" w:hAnsi="Book Antiqua"/>
          <w:sz w:val="23"/>
          <w:szCs w:val="23"/>
        </w:rPr>
        <w:t xml:space="preserve">the right of peaceful assembly </w:t>
      </w:r>
      <w:r w:rsidR="00FB305A">
        <w:rPr>
          <w:rFonts w:ascii="Book Antiqua" w:hAnsi="Book Antiqua"/>
          <w:sz w:val="23"/>
          <w:szCs w:val="23"/>
        </w:rPr>
        <w:t xml:space="preserve">under Article 21 </w:t>
      </w:r>
      <w:r w:rsidR="00DD2FD4">
        <w:rPr>
          <w:rFonts w:ascii="Book Antiqua" w:hAnsi="Book Antiqua"/>
          <w:sz w:val="23"/>
          <w:szCs w:val="23"/>
        </w:rPr>
        <w:t xml:space="preserve">itself </w:t>
      </w:r>
      <w:r w:rsidR="00BF1255">
        <w:rPr>
          <w:rFonts w:ascii="Book Antiqua" w:hAnsi="Book Antiqua"/>
          <w:sz w:val="23"/>
          <w:szCs w:val="23"/>
        </w:rPr>
        <w:t>presupposes</w:t>
      </w:r>
      <w:r w:rsidR="00BD0192">
        <w:rPr>
          <w:rFonts w:ascii="Book Antiqua" w:hAnsi="Book Antiqua"/>
          <w:sz w:val="23"/>
          <w:szCs w:val="23"/>
        </w:rPr>
        <w:t xml:space="preserve"> </w:t>
      </w:r>
      <w:r w:rsidR="00CE5A35">
        <w:rPr>
          <w:rFonts w:ascii="Book Antiqua" w:hAnsi="Book Antiqua"/>
          <w:sz w:val="23"/>
          <w:szCs w:val="23"/>
        </w:rPr>
        <w:t xml:space="preserve">and requires </w:t>
      </w:r>
      <w:r w:rsidR="00BD0192">
        <w:rPr>
          <w:rFonts w:ascii="Book Antiqua" w:hAnsi="Book Antiqua"/>
          <w:sz w:val="23"/>
          <w:szCs w:val="23"/>
        </w:rPr>
        <w:t xml:space="preserve">that </w:t>
      </w:r>
      <w:r w:rsidR="000B30D0">
        <w:rPr>
          <w:rFonts w:ascii="Book Antiqua" w:hAnsi="Book Antiqua"/>
          <w:sz w:val="23"/>
          <w:szCs w:val="23"/>
        </w:rPr>
        <w:t>the press</w:t>
      </w:r>
      <w:r w:rsidR="00E7023F">
        <w:rPr>
          <w:rFonts w:ascii="Book Antiqua" w:hAnsi="Book Antiqua"/>
          <w:sz w:val="23"/>
          <w:szCs w:val="23"/>
        </w:rPr>
        <w:t>, and others</w:t>
      </w:r>
      <w:r w:rsidR="00BF4B2C">
        <w:rPr>
          <w:rFonts w:ascii="Book Antiqua" w:hAnsi="Book Antiqua"/>
          <w:sz w:val="23"/>
          <w:szCs w:val="23"/>
        </w:rPr>
        <w:t xml:space="preserve"> such as human rights monitors,</w:t>
      </w:r>
      <w:r w:rsidR="000B30D0">
        <w:rPr>
          <w:rFonts w:ascii="Book Antiqua" w:hAnsi="Book Antiqua"/>
          <w:sz w:val="23"/>
          <w:szCs w:val="23"/>
        </w:rPr>
        <w:t xml:space="preserve"> </w:t>
      </w:r>
      <w:r w:rsidR="006A796E">
        <w:rPr>
          <w:rFonts w:ascii="Book Antiqua" w:hAnsi="Book Antiqua"/>
          <w:sz w:val="23"/>
          <w:szCs w:val="23"/>
        </w:rPr>
        <w:t>have unimpeded access</w:t>
      </w:r>
      <w:r w:rsidR="00E3331B">
        <w:rPr>
          <w:rFonts w:ascii="Book Antiqua" w:hAnsi="Book Antiqua"/>
          <w:sz w:val="23"/>
          <w:szCs w:val="23"/>
        </w:rPr>
        <w:t>.</w:t>
      </w:r>
    </w:p>
    <w:p w14:paraId="35064BEC" w14:textId="11CA4DE9" w:rsidR="005E7CAB" w:rsidRPr="00F963D3" w:rsidRDefault="00E35D23" w:rsidP="00AA0052">
      <w:pPr>
        <w:pStyle w:val="ListParagraph"/>
        <w:numPr>
          <w:ilvl w:val="0"/>
          <w:numId w:val="1"/>
        </w:numPr>
        <w:snapToGrid w:val="0"/>
        <w:spacing w:after="240" w:line="360" w:lineRule="auto"/>
        <w:contextualSpacing w:val="0"/>
        <w:jc w:val="both"/>
        <w:rPr>
          <w:rFonts w:ascii="Book Antiqua" w:hAnsi="Book Antiqua"/>
          <w:i/>
          <w:iCs/>
          <w:sz w:val="23"/>
          <w:szCs w:val="23"/>
          <w:lang w:val="en-US"/>
        </w:rPr>
      </w:pPr>
      <w:r w:rsidRPr="009C6150">
        <w:rPr>
          <w:rFonts w:ascii="Book Antiqua" w:hAnsi="Book Antiqua"/>
          <w:sz w:val="23"/>
          <w:szCs w:val="23"/>
        </w:rPr>
        <w:lastRenderedPageBreak/>
        <w:t xml:space="preserve">The </w:t>
      </w:r>
      <w:r w:rsidR="001F0F9B" w:rsidRPr="009C6150">
        <w:rPr>
          <w:rFonts w:ascii="Book Antiqua" w:hAnsi="Book Antiqua"/>
          <w:sz w:val="23"/>
          <w:szCs w:val="23"/>
        </w:rPr>
        <w:t xml:space="preserve">final sentence </w:t>
      </w:r>
      <w:r w:rsidR="001D2FC9" w:rsidRPr="009C6150">
        <w:rPr>
          <w:rFonts w:ascii="Book Antiqua" w:hAnsi="Book Antiqua"/>
          <w:sz w:val="23"/>
          <w:szCs w:val="23"/>
        </w:rPr>
        <w:t xml:space="preserve">of paragraph </w:t>
      </w:r>
      <w:r w:rsidR="0050062F" w:rsidRPr="009C6150">
        <w:rPr>
          <w:rFonts w:ascii="Book Antiqua" w:hAnsi="Book Antiqua"/>
          <w:sz w:val="23"/>
          <w:szCs w:val="23"/>
        </w:rPr>
        <w:t>44</w:t>
      </w:r>
      <w:r w:rsidR="00837CCF" w:rsidRPr="009C6150">
        <w:rPr>
          <w:rFonts w:ascii="Book Antiqua" w:hAnsi="Book Antiqua"/>
          <w:sz w:val="23"/>
          <w:szCs w:val="23"/>
        </w:rPr>
        <w:t xml:space="preserve"> has been the subject of valuable judicial guidance </w:t>
      </w:r>
      <w:r w:rsidR="00214FBA" w:rsidRPr="009C6150">
        <w:rPr>
          <w:rFonts w:ascii="Book Antiqua" w:hAnsi="Book Antiqua"/>
          <w:sz w:val="23"/>
          <w:szCs w:val="23"/>
        </w:rPr>
        <w:t>from the Hong Kong Court of Final Appeal.</w:t>
      </w:r>
      <w:r w:rsidR="0050062F" w:rsidRPr="009C6150">
        <w:rPr>
          <w:rFonts w:ascii="Book Antiqua" w:hAnsi="Book Antiqua"/>
          <w:sz w:val="23"/>
          <w:szCs w:val="23"/>
        </w:rPr>
        <w:t xml:space="preserve"> </w:t>
      </w:r>
      <w:r w:rsidR="009F7603" w:rsidRPr="009C6150">
        <w:rPr>
          <w:rFonts w:ascii="Book Antiqua" w:hAnsi="Book Antiqua"/>
          <w:sz w:val="23"/>
          <w:szCs w:val="23"/>
        </w:rPr>
        <w:t xml:space="preserve">In </w:t>
      </w:r>
      <w:r w:rsidR="00B043DB" w:rsidRPr="009C6150">
        <w:rPr>
          <w:rFonts w:ascii="Book Antiqua" w:hAnsi="Book Antiqua"/>
          <w:b/>
          <w:bCs/>
          <w:i/>
          <w:iCs/>
          <w:sz w:val="23"/>
          <w:szCs w:val="23"/>
        </w:rPr>
        <w:t xml:space="preserve">Leung Kwok Hung v HKSAR </w:t>
      </w:r>
      <w:hyperlink r:id="rId7" w:history="1">
        <w:r w:rsidR="00AA49E4" w:rsidRPr="00C83976">
          <w:rPr>
            <w:rStyle w:val="Hyperlink"/>
            <w:rFonts w:ascii="Book Antiqua" w:eastAsia="Times New Roman" w:hAnsi="Book Antiqua" w:cs="Arial"/>
            <w:sz w:val="23"/>
            <w:szCs w:val="23"/>
            <w:shd w:val="clear" w:color="auto" w:fill="FFFFFF"/>
            <w:lang w:val="en-HK" w:eastAsia="zh-TW"/>
          </w:rPr>
          <w:t>(2005) 8 HKCFAR 229</w:t>
        </w:r>
      </w:hyperlink>
      <w:r w:rsidR="00767232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, </w:t>
      </w:r>
      <w:r w:rsidR="00126384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the relevant </w:t>
      </w:r>
      <w:r w:rsidR="0068231B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statutory </w:t>
      </w:r>
      <w:r w:rsidR="00126384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scheme </w:t>
      </w:r>
      <w:r w:rsidR="00E14322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required </w:t>
      </w:r>
      <w:r w:rsidR="002F0DDF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that </w:t>
      </w:r>
      <w:r w:rsidR="00335F09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any </w:t>
      </w:r>
      <w:r w:rsidR="00CC33C8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public </w:t>
      </w:r>
      <w:r w:rsidR="00335F09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procession </w:t>
      </w:r>
      <w:r w:rsidR="00924417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be notified </w:t>
      </w:r>
      <w:r w:rsidR="003D4F5D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>in a</w:t>
      </w:r>
      <w:r w:rsidR="00A52E9D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>d</w:t>
      </w:r>
      <w:r w:rsidR="003D4F5D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vance to the </w:t>
      </w:r>
      <w:r w:rsidR="00A25CD9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Commissioner of Police, </w:t>
      </w:r>
      <w:r w:rsidR="00687A7E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who </w:t>
      </w:r>
      <w:r w:rsidR="00631781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might </w:t>
      </w:r>
      <w:r w:rsidR="005227B3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issue a letter of no consent </w:t>
      </w:r>
      <w:r w:rsidR="00F33980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(thereby rendering </w:t>
      </w:r>
      <w:r w:rsidR="00E56307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the </w:t>
      </w:r>
      <w:r w:rsidR="00501E1B" w:rsidRPr="009C6150">
        <w:rPr>
          <w:rFonts w:ascii="Book Antiqua" w:eastAsia="Times New Roman" w:hAnsi="Book Antiqua" w:cs="Arial"/>
          <w:sz w:val="23"/>
          <w:szCs w:val="23"/>
          <w:shd w:val="clear" w:color="auto" w:fill="FFFFFF"/>
          <w:lang w:val="en-HK" w:eastAsia="zh-TW"/>
        </w:rPr>
        <w:t xml:space="preserve">assembly unauthorised) </w:t>
      </w:r>
      <w:r w:rsidR="00513602" w:rsidRPr="009C6150">
        <w:rPr>
          <w:rFonts w:ascii="Book Antiqua" w:eastAsia="Times New Roman" w:hAnsi="Book Antiqua" w:cs="Times New Roman"/>
          <w:i/>
          <w:iCs/>
          <w:color w:val="000000"/>
          <w:sz w:val="23"/>
          <w:szCs w:val="23"/>
          <w:lang w:val="en-HK" w:eastAsia="zh-TW"/>
        </w:rPr>
        <w:t>“if he reasonably considers that the objection is necessary in the interests of national security or public safety, public order (ordre public) or the protection of the rights and freedom of others.”</w:t>
      </w:r>
      <w:r w:rsidR="005563C3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 </w:t>
      </w:r>
      <w:r w:rsidR="00FE504B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The </w:t>
      </w:r>
      <w:r w:rsidR="00844447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Court held that </w:t>
      </w:r>
      <w:r w:rsidR="00AA7459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this </w:t>
      </w:r>
      <w:r w:rsidR="007C05C6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provision </w:t>
      </w:r>
      <w:r w:rsidR="005D5501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represented an </w:t>
      </w:r>
      <w:r w:rsidR="00174D3A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unconstitutional </w:t>
      </w:r>
      <w:r w:rsidR="00AA7459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restriction </w:t>
      </w:r>
      <w:r w:rsidR="005B520B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on the freedom of assembly </w:t>
      </w:r>
      <w:r w:rsidR="009813C9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because it was </w:t>
      </w:r>
      <w:r w:rsidR="00021B17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not prescribed by law. </w:t>
      </w:r>
      <w:r w:rsidR="005E422F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A </w:t>
      </w:r>
      <w:r w:rsidR="00E05787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mere </w:t>
      </w:r>
      <w:r w:rsidR="00D14A0C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>recitation</w:t>
      </w:r>
      <w:r w:rsidR="00E05787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 of the </w:t>
      </w:r>
      <w:r w:rsidR="004B6C9F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general </w:t>
      </w:r>
      <w:r w:rsidR="00935A99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criteria </w:t>
      </w:r>
      <w:r w:rsidR="007B298E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>listed in Article 21</w:t>
      </w:r>
      <w:r w:rsidR="00E81CDC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 </w:t>
      </w:r>
      <w:r w:rsidR="003F0C85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was </w:t>
      </w:r>
      <w:r w:rsidR="00861AA0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too broad to give an adequate indication of the scope of </w:t>
      </w:r>
      <w:r w:rsidR="001B240C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the </w:t>
      </w:r>
      <w:r w:rsidR="00861AA0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>discretion</w:t>
      </w:r>
      <w:r w:rsidR="009139B5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 xml:space="preserve"> to restrict </w:t>
      </w:r>
      <w:r w:rsidR="006104C9" w:rsidRPr="009C6150">
        <w:rPr>
          <w:rFonts w:ascii="Book Antiqua" w:eastAsia="Times New Roman" w:hAnsi="Book Antiqua" w:cs="Times New Roman"/>
          <w:color w:val="000000"/>
          <w:sz w:val="23"/>
          <w:szCs w:val="23"/>
          <w:lang w:val="en-HK" w:eastAsia="zh-TW"/>
        </w:rPr>
        <w:t>an assembly.</w:t>
      </w:r>
    </w:p>
    <w:p w14:paraId="191B904E" w14:textId="3805CE07" w:rsidR="00F963D3" w:rsidRDefault="00F963D3" w:rsidP="00F963D3">
      <w:pPr>
        <w:snapToGrid w:val="0"/>
        <w:spacing w:after="240" w:line="360" w:lineRule="auto"/>
        <w:jc w:val="both"/>
        <w:rPr>
          <w:rFonts w:ascii="Book Antiqua" w:hAnsi="Book Antiqua"/>
          <w:i/>
          <w:iCs/>
          <w:sz w:val="23"/>
          <w:szCs w:val="23"/>
          <w:lang w:val="en-US"/>
        </w:rPr>
      </w:pPr>
    </w:p>
    <w:p w14:paraId="51BDBC88" w14:textId="725116EF" w:rsidR="00F963D3" w:rsidRDefault="00953811" w:rsidP="005F2311">
      <w:pPr>
        <w:snapToGrid w:val="0"/>
        <w:spacing w:after="240" w:line="360" w:lineRule="auto"/>
        <w:jc w:val="right"/>
        <w:rPr>
          <w:rFonts w:ascii="Book Antiqua" w:hAnsi="Book Antiqua"/>
          <w:iCs/>
          <w:sz w:val="23"/>
          <w:szCs w:val="23"/>
          <w:lang w:val="en-US"/>
        </w:rPr>
      </w:pPr>
      <w:r>
        <w:rPr>
          <w:rFonts w:ascii="Book Antiqua" w:hAnsi="Book Antiqua"/>
          <w:iCs/>
          <w:sz w:val="23"/>
          <w:szCs w:val="23"/>
          <w:lang w:val="en-US"/>
        </w:rPr>
        <w:t>Hong Kong Bar Association</w:t>
      </w:r>
    </w:p>
    <w:p w14:paraId="2BE9CA15" w14:textId="44857996" w:rsidR="005F2311" w:rsidRPr="00953811" w:rsidRDefault="007A3BC1" w:rsidP="005F2311">
      <w:pPr>
        <w:snapToGrid w:val="0"/>
        <w:spacing w:after="240" w:line="360" w:lineRule="auto"/>
        <w:jc w:val="right"/>
        <w:rPr>
          <w:rFonts w:ascii="Book Antiqua" w:hAnsi="Book Antiqua"/>
          <w:iCs/>
          <w:sz w:val="23"/>
          <w:szCs w:val="23"/>
          <w:lang w:val="en-US"/>
        </w:rPr>
      </w:pPr>
      <w:r>
        <w:rPr>
          <w:rFonts w:ascii="Book Antiqua" w:hAnsi="Book Antiqua"/>
          <w:iCs/>
          <w:sz w:val="23"/>
          <w:szCs w:val="23"/>
          <w:lang w:val="en-US"/>
        </w:rPr>
        <w:t>21 February 2020</w:t>
      </w:r>
    </w:p>
    <w:sectPr w:rsidR="005F2311" w:rsidRPr="00953811" w:rsidSect="00CD2E0D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65F4" w14:textId="77777777" w:rsidR="00EE3112" w:rsidRDefault="00EE3112" w:rsidP="004D443B">
      <w:r>
        <w:separator/>
      </w:r>
    </w:p>
  </w:endnote>
  <w:endnote w:type="continuationSeparator" w:id="0">
    <w:p w14:paraId="47933391" w14:textId="77777777" w:rsidR="00EE3112" w:rsidRDefault="00EE3112" w:rsidP="004D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29D1" w14:textId="77777777" w:rsidR="004D443B" w:rsidRDefault="004D443B" w:rsidP="00A1397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23AA6" w14:textId="77777777" w:rsidR="004D443B" w:rsidRDefault="004D4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6363" w14:textId="616FF0A5" w:rsidR="004D443B" w:rsidRPr="004D443B" w:rsidRDefault="004D443B" w:rsidP="00A1397C">
    <w:pPr>
      <w:pStyle w:val="Footer"/>
      <w:framePr w:wrap="none" w:vAnchor="text" w:hAnchor="margin" w:xAlign="center" w:y="1"/>
      <w:rPr>
        <w:rStyle w:val="PageNumber"/>
        <w:rFonts w:ascii="Book Antiqua" w:hAnsi="Book Antiqua"/>
        <w:sz w:val="20"/>
        <w:szCs w:val="20"/>
      </w:rPr>
    </w:pPr>
    <w:r w:rsidRPr="004D443B">
      <w:rPr>
        <w:rStyle w:val="PageNumber"/>
        <w:rFonts w:ascii="Book Antiqua" w:hAnsi="Book Antiqua"/>
        <w:sz w:val="20"/>
        <w:szCs w:val="20"/>
      </w:rPr>
      <w:fldChar w:fldCharType="begin"/>
    </w:r>
    <w:r w:rsidRPr="004D443B">
      <w:rPr>
        <w:rStyle w:val="PageNumber"/>
        <w:rFonts w:ascii="Book Antiqua" w:hAnsi="Book Antiqua"/>
        <w:sz w:val="20"/>
        <w:szCs w:val="20"/>
      </w:rPr>
      <w:instrText xml:space="preserve">PAGE  </w:instrText>
    </w:r>
    <w:r w:rsidRPr="004D443B">
      <w:rPr>
        <w:rStyle w:val="PageNumber"/>
        <w:rFonts w:ascii="Book Antiqua" w:hAnsi="Book Antiqua"/>
        <w:sz w:val="20"/>
        <w:szCs w:val="20"/>
      </w:rPr>
      <w:fldChar w:fldCharType="separate"/>
    </w:r>
    <w:r w:rsidR="000C6805">
      <w:rPr>
        <w:rStyle w:val="PageNumber"/>
        <w:rFonts w:ascii="Book Antiqua" w:hAnsi="Book Antiqua"/>
        <w:noProof/>
        <w:sz w:val="20"/>
        <w:szCs w:val="20"/>
      </w:rPr>
      <w:t>1</w:t>
    </w:r>
    <w:r w:rsidRPr="004D443B">
      <w:rPr>
        <w:rStyle w:val="PageNumber"/>
        <w:rFonts w:ascii="Book Antiqua" w:hAnsi="Book Antiqua"/>
        <w:sz w:val="20"/>
        <w:szCs w:val="20"/>
      </w:rPr>
      <w:fldChar w:fldCharType="end"/>
    </w:r>
  </w:p>
  <w:p w14:paraId="362CA48F" w14:textId="77777777" w:rsidR="004D443B" w:rsidRPr="004D443B" w:rsidRDefault="004D443B">
    <w:pPr>
      <w:pStyle w:val="Foo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E6E0" w14:textId="77777777" w:rsidR="00EE3112" w:rsidRDefault="00EE3112" w:rsidP="004D443B">
      <w:r>
        <w:separator/>
      </w:r>
    </w:p>
  </w:footnote>
  <w:footnote w:type="continuationSeparator" w:id="0">
    <w:p w14:paraId="47FCF7B8" w14:textId="77777777" w:rsidR="00EE3112" w:rsidRDefault="00EE3112" w:rsidP="004D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5EA5"/>
    <w:multiLevelType w:val="multilevel"/>
    <w:tmpl w:val="634E28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C252CE"/>
    <w:multiLevelType w:val="multilevel"/>
    <w:tmpl w:val="036C7F1E"/>
    <w:lvl w:ilvl="0">
      <w:start w:val="1"/>
      <w:numFmt w:val="decimal"/>
      <w:lvlText w:val="%1"/>
      <w:lvlJc w:val="left"/>
      <w:pPr>
        <w:ind w:left="567" w:hanging="567"/>
      </w:pPr>
      <w:rPr>
        <w:rFonts w:hint="eastAsia"/>
        <w:b w:val="0"/>
        <w:i w:val="0"/>
        <w:color w:val="auto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A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96"/>
    <w:rsid w:val="00001908"/>
    <w:rsid w:val="00002171"/>
    <w:rsid w:val="00002D36"/>
    <w:rsid w:val="00003AA0"/>
    <w:rsid w:val="00003D7F"/>
    <w:rsid w:val="000115D0"/>
    <w:rsid w:val="00017223"/>
    <w:rsid w:val="000201E5"/>
    <w:rsid w:val="00020344"/>
    <w:rsid w:val="00021B17"/>
    <w:rsid w:val="00021CA3"/>
    <w:rsid w:val="0002209E"/>
    <w:rsid w:val="00025ACF"/>
    <w:rsid w:val="0002609B"/>
    <w:rsid w:val="000261D4"/>
    <w:rsid w:val="00026F20"/>
    <w:rsid w:val="00036246"/>
    <w:rsid w:val="00041872"/>
    <w:rsid w:val="00042744"/>
    <w:rsid w:val="000470E1"/>
    <w:rsid w:val="00047F10"/>
    <w:rsid w:val="000502CE"/>
    <w:rsid w:val="000536C2"/>
    <w:rsid w:val="00053CC7"/>
    <w:rsid w:val="000549AB"/>
    <w:rsid w:val="000569FE"/>
    <w:rsid w:val="00057C74"/>
    <w:rsid w:val="0006148D"/>
    <w:rsid w:val="00062A29"/>
    <w:rsid w:val="000634D2"/>
    <w:rsid w:val="00066754"/>
    <w:rsid w:val="00070486"/>
    <w:rsid w:val="000719ED"/>
    <w:rsid w:val="00073C60"/>
    <w:rsid w:val="00073F26"/>
    <w:rsid w:val="00076B36"/>
    <w:rsid w:val="00076BBE"/>
    <w:rsid w:val="00077E8D"/>
    <w:rsid w:val="00080873"/>
    <w:rsid w:val="00084052"/>
    <w:rsid w:val="000840E1"/>
    <w:rsid w:val="00087C0D"/>
    <w:rsid w:val="000922D1"/>
    <w:rsid w:val="0009664C"/>
    <w:rsid w:val="00096D13"/>
    <w:rsid w:val="000A24AA"/>
    <w:rsid w:val="000A3282"/>
    <w:rsid w:val="000A3532"/>
    <w:rsid w:val="000B30D0"/>
    <w:rsid w:val="000C0F0F"/>
    <w:rsid w:val="000C374D"/>
    <w:rsid w:val="000C60AB"/>
    <w:rsid w:val="000C6805"/>
    <w:rsid w:val="000C6D69"/>
    <w:rsid w:val="000C741E"/>
    <w:rsid w:val="000D1033"/>
    <w:rsid w:val="000D2508"/>
    <w:rsid w:val="000D4C0B"/>
    <w:rsid w:val="000D702E"/>
    <w:rsid w:val="000E1478"/>
    <w:rsid w:val="000E7E41"/>
    <w:rsid w:val="000F7C03"/>
    <w:rsid w:val="00100990"/>
    <w:rsid w:val="00104B80"/>
    <w:rsid w:val="00107153"/>
    <w:rsid w:val="00107391"/>
    <w:rsid w:val="00113847"/>
    <w:rsid w:val="00121CBC"/>
    <w:rsid w:val="00121D1B"/>
    <w:rsid w:val="0012334B"/>
    <w:rsid w:val="00123E8C"/>
    <w:rsid w:val="001241BB"/>
    <w:rsid w:val="00125455"/>
    <w:rsid w:val="00126384"/>
    <w:rsid w:val="00126489"/>
    <w:rsid w:val="00130770"/>
    <w:rsid w:val="00133BD0"/>
    <w:rsid w:val="00135612"/>
    <w:rsid w:val="00150697"/>
    <w:rsid w:val="00151F90"/>
    <w:rsid w:val="00156D8B"/>
    <w:rsid w:val="0016228F"/>
    <w:rsid w:val="0016475D"/>
    <w:rsid w:val="00164837"/>
    <w:rsid w:val="00164B2D"/>
    <w:rsid w:val="00165C79"/>
    <w:rsid w:val="001733A4"/>
    <w:rsid w:val="001745C2"/>
    <w:rsid w:val="00174D3A"/>
    <w:rsid w:val="00176E7C"/>
    <w:rsid w:val="001813B6"/>
    <w:rsid w:val="00182080"/>
    <w:rsid w:val="0018576E"/>
    <w:rsid w:val="00185DFC"/>
    <w:rsid w:val="00191A16"/>
    <w:rsid w:val="00193BF0"/>
    <w:rsid w:val="001A5ACB"/>
    <w:rsid w:val="001B0072"/>
    <w:rsid w:val="001B03EA"/>
    <w:rsid w:val="001B0647"/>
    <w:rsid w:val="001B0C6C"/>
    <w:rsid w:val="001B0DE9"/>
    <w:rsid w:val="001B240C"/>
    <w:rsid w:val="001B5B8B"/>
    <w:rsid w:val="001B5CEB"/>
    <w:rsid w:val="001B6F4D"/>
    <w:rsid w:val="001C1A30"/>
    <w:rsid w:val="001C225C"/>
    <w:rsid w:val="001C3097"/>
    <w:rsid w:val="001C39F5"/>
    <w:rsid w:val="001C3DB6"/>
    <w:rsid w:val="001C4CBE"/>
    <w:rsid w:val="001C51C8"/>
    <w:rsid w:val="001C5D55"/>
    <w:rsid w:val="001C5DE7"/>
    <w:rsid w:val="001C63C5"/>
    <w:rsid w:val="001C6E55"/>
    <w:rsid w:val="001C7CB8"/>
    <w:rsid w:val="001D218C"/>
    <w:rsid w:val="001D28E4"/>
    <w:rsid w:val="001D2FC9"/>
    <w:rsid w:val="001D4A13"/>
    <w:rsid w:val="001D633C"/>
    <w:rsid w:val="001E70FD"/>
    <w:rsid w:val="001E764D"/>
    <w:rsid w:val="001F009D"/>
    <w:rsid w:val="001F0F9B"/>
    <w:rsid w:val="001F1B77"/>
    <w:rsid w:val="001F55DF"/>
    <w:rsid w:val="00200592"/>
    <w:rsid w:val="002013E2"/>
    <w:rsid w:val="00207211"/>
    <w:rsid w:val="00211436"/>
    <w:rsid w:val="002127CE"/>
    <w:rsid w:val="00214998"/>
    <w:rsid w:val="00214FBA"/>
    <w:rsid w:val="00215969"/>
    <w:rsid w:val="00215D07"/>
    <w:rsid w:val="0021720A"/>
    <w:rsid w:val="00217B0B"/>
    <w:rsid w:val="00222AF7"/>
    <w:rsid w:val="00232897"/>
    <w:rsid w:val="00232A18"/>
    <w:rsid w:val="00232C06"/>
    <w:rsid w:val="002357D2"/>
    <w:rsid w:val="00236F5F"/>
    <w:rsid w:val="00237000"/>
    <w:rsid w:val="0024091A"/>
    <w:rsid w:val="00243735"/>
    <w:rsid w:val="002438CB"/>
    <w:rsid w:val="00246BEC"/>
    <w:rsid w:val="00247E87"/>
    <w:rsid w:val="002502BC"/>
    <w:rsid w:val="00250FFF"/>
    <w:rsid w:val="00253DA7"/>
    <w:rsid w:val="00253EE0"/>
    <w:rsid w:val="00257192"/>
    <w:rsid w:val="00261352"/>
    <w:rsid w:val="00261688"/>
    <w:rsid w:val="00263D3E"/>
    <w:rsid w:val="0026665D"/>
    <w:rsid w:val="0027077D"/>
    <w:rsid w:val="00270901"/>
    <w:rsid w:val="002709E4"/>
    <w:rsid w:val="0027116A"/>
    <w:rsid w:val="00271240"/>
    <w:rsid w:val="00275246"/>
    <w:rsid w:val="002766F6"/>
    <w:rsid w:val="00277BA5"/>
    <w:rsid w:val="00277DE6"/>
    <w:rsid w:val="00282F1B"/>
    <w:rsid w:val="002840D7"/>
    <w:rsid w:val="00284450"/>
    <w:rsid w:val="00285F12"/>
    <w:rsid w:val="00287660"/>
    <w:rsid w:val="00287779"/>
    <w:rsid w:val="00287E66"/>
    <w:rsid w:val="002939B0"/>
    <w:rsid w:val="00295817"/>
    <w:rsid w:val="00296207"/>
    <w:rsid w:val="002A4496"/>
    <w:rsid w:val="002A6354"/>
    <w:rsid w:val="002B40DD"/>
    <w:rsid w:val="002B4144"/>
    <w:rsid w:val="002B57BA"/>
    <w:rsid w:val="002C3FBE"/>
    <w:rsid w:val="002C57AD"/>
    <w:rsid w:val="002C7EF9"/>
    <w:rsid w:val="002D04F5"/>
    <w:rsid w:val="002D1CC7"/>
    <w:rsid w:val="002D243F"/>
    <w:rsid w:val="002D46D7"/>
    <w:rsid w:val="002D4E5D"/>
    <w:rsid w:val="002D56EC"/>
    <w:rsid w:val="002E16E6"/>
    <w:rsid w:val="002E2820"/>
    <w:rsid w:val="002E7262"/>
    <w:rsid w:val="002E740B"/>
    <w:rsid w:val="002F09F9"/>
    <w:rsid w:val="002F0DDF"/>
    <w:rsid w:val="002F3D79"/>
    <w:rsid w:val="002F45F0"/>
    <w:rsid w:val="00301BA1"/>
    <w:rsid w:val="00301D3B"/>
    <w:rsid w:val="003062D8"/>
    <w:rsid w:val="003070C4"/>
    <w:rsid w:val="00307971"/>
    <w:rsid w:val="003137E1"/>
    <w:rsid w:val="00315A17"/>
    <w:rsid w:val="0031646C"/>
    <w:rsid w:val="00317C65"/>
    <w:rsid w:val="00320479"/>
    <w:rsid w:val="0032116B"/>
    <w:rsid w:val="003221DC"/>
    <w:rsid w:val="00324B71"/>
    <w:rsid w:val="0032531B"/>
    <w:rsid w:val="003303BD"/>
    <w:rsid w:val="00330D01"/>
    <w:rsid w:val="0033277A"/>
    <w:rsid w:val="00335F09"/>
    <w:rsid w:val="00336A50"/>
    <w:rsid w:val="0034002F"/>
    <w:rsid w:val="003405E5"/>
    <w:rsid w:val="003417E8"/>
    <w:rsid w:val="003433A2"/>
    <w:rsid w:val="00345AE7"/>
    <w:rsid w:val="0035111E"/>
    <w:rsid w:val="003556E5"/>
    <w:rsid w:val="0036169E"/>
    <w:rsid w:val="00364466"/>
    <w:rsid w:val="00366869"/>
    <w:rsid w:val="00373672"/>
    <w:rsid w:val="0037536B"/>
    <w:rsid w:val="00377144"/>
    <w:rsid w:val="00377C71"/>
    <w:rsid w:val="00386121"/>
    <w:rsid w:val="003879C2"/>
    <w:rsid w:val="00390CC9"/>
    <w:rsid w:val="0039125A"/>
    <w:rsid w:val="0039486E"/>
    <w:rsid w:val="00394A1B"/>
    <w:rsid w:val="003A01FC"/>
    <w:rsid w:val="003A5982"/>
    <w:rsid w:val="003B3E91"/>
    <w:rsid w:val="003B7CEF"/>
    <w:rsid w:val="003C14E4"/>
    <w:rsid w:val="003C330F"/>
    <w:rsid w:val="003C4BF1"/>
    <w:rsid w:val="003D1350"/>
    <w:rsid w:val="003D1FDE"/>
    <w:rsid w:val="003D26AE"/>
    <w:rsid w:val="003D3A1F"/>
    <w:rsid w:val="003D4BDA"/>
    <w:rsid w:val="003D4F5D"/>
    <w:rsid w:val="003D5A3D"/>
    <w:rsid w:val="003D6C51"/>
    <w:rsid w:val="003D7E00"/>
    <w:rsid w:val="003E0AD7"/>
    <w:rsid w:val="003E18B5"/>
    <w:rsid w:val="003E195B"/>
    <w:rsid w:val="003E1D16"/>
    <w:rsid w:val="003E231D"/>
    <w:rsid w:val="003E2EA6"/>
    <w:rsid w:val="003E3319"/>
    <w:rsid w:val="003E4C6A"/>
    <w:rsid w:val="003E6A3A"/>
    <w:rsid w:val="003F0C85"/>
    <w:rsid w:val="003F72F2"/>
    <w:rsid w:val="003F7313"/>
    <w:rsid w:val="0040617B"/>
    <w:rsid w:val="00412EF6"/>
    <w:rsid w:val="00413616"/>
    <w:rsid w:val="00414C04"/>
    <w:rsid w:val="004211F6"/>
    <w:rsid w:val="00422764"/>
    <w:rsid w:val="004227F2"/>
    <w:rsid w:val="00423C2A"/>
    <w:rsid w:val="00425FDF"/>
    <w:rsid w:val="00431BBD"/>
    <w:rsid w:val="004379D8"/>
    <w:rsid w:val="004407E9"/>
    <w:rsid w:val="00442418"/>
    <w:rsid w:val="00442C9E"/>
    <w:rsid w:val="004433A0"/>
    <w:rsid w:val="00443880"/>
    <w:rsid w:val="00443C65"/>
    <w:rsid w:val="00444142"/>
    <w:rsid w:val="00445EAF"/>
    <w:rsid w:val="0044760B"/>
    <w:rsid w:val="00454AB4"/>
    <w:rsid w:val="00455F15"/>
    <w:rsid w:val="00467F4E"/>
    <w:rsid w:val="004714EA"/>
    <w:rsid w:val="00473185"/>
    <w:rsid w:val="00473315"/>
    <w:rsid w:val="00480CF1"/>
    <w:rsid w:val="00483887"/>
    <w:rsid w:val="0048454F"/>
    <w:rsid w:val="004848AA"/>
    <w:rsid w:val="0048761B"/>
    <w:rsid w:val="00492EE8"/>
    <w:rsid w:val="0049693C"/>
    <w:rsid w:val="004A61DC"/>
    <w:rsid w:val="004A7470"/>
    <w:rsid w:val="004B0225"/>
    <w:rsid w:val="004B0AF0"/>
    <w:rsid w:val="004B364D"/>
    <w:rsid w:val="004B3E02"/>
    <w:rsid w:val="004B641A"/>
    <w:rsid w:val="004B6C9F"/>
    <w:rsid w:val="004C014F"/>
    <w:rsid w:val="004C605E"/>
    <w:rsid w:val="004D2DB0"/>
    <w:rsid w:val="004D3D55"/>
    <w:rsid w:val="004D443B"/>
    <w:rsid w:val="004D55F1"/>
    <w:rsid w:val="004D5B0D"/>
    <w:rsid w:val="004E03B3"/>
    <w:rsid w:val="004E36F6"/>
    <w:rsid w:val="004E4B03"/>
    <w:rsid w:val="004E53DA"/>
    <w:rsid w:val="004F19BD"/>
    <w:rsid w:val="004F346B"/>
    <w:rsid w:val="004F3938"/>
    <w:rsid w:val="004F53FC"/>
    <w:rsid w:val="004F62F9"/>
    <w:rsid w:val="0050062F"/>
    <w:rsid w:val="00501E1B"/>
    <w:rsid w:val="00502C35"/>
    <w:rsid w:val="00504100"/>
    <w:rsid w:val="005041D8"/>
    <w:rsid w:val="0050690B"/>
    <w:rsid w:val="00507EAB"/>
    <w:rsid w:val="00510188"/>
    <w:rsid w:val="00513602"/>
    <w:rsid w:val="00514673"/>
    <w:rsid w:val="0051595D"/>
    <w:rsid w:val="005215DF"/>
    <w:rsid w:val="005227B3"/>
    <w:rsid w:val="00523557"/>
    <w:rsid w:val="00524A85"/>
    <w:rsid w:val="00532EA7"/>
    <w:rsid w:val="00534B33"/>
    <w:rsid w:val="00535ED1"/>
    <w:rsid w:val="00537305"/>
    <w:rsid w:val="005409BD"/>
    <w:rsid w:val="00541244"/>
    <w:rsid w:val="0054239C"/>
    <w:rsid w:val="005464B8"/>
    <w:rsid w:val="00547C73"/>
    <w:rsid w:val="005555F7"/>
    <w:rsid w:val="005563C3"/>
    <w:rsid w:val="00565C78"/>
    <w:rsid w:val="0056623A"/>
    <w:rsid w:val="005666A1"/>
    <w:rsid w:val="00573C88"/>
    <w:rsid w:val="005741AB"/>
    <w:rsid w:val="00577F43"/>
    <w:rsid w:val="00581FB2"/>
    <w:rsid w:val="005822A5"/>
    <w:rsid w:val="0058295D"/>
    <w:rsid w:val="0058444C"/>
    <w:rsid w:val="00585F94"/>
    <w:rsid w:val="00586F15"/>
    <w:rsid w:val="005931EB"/>
    <w:rsid w:val="00596132"/>
    <w:rsid w:val="00596C08"/>
    <w:rsid w:val="005A0C9B"/>
    <w:rsid w:val="005A29E8"/>
    <w:rsid w:val="005A2D52"/>
    <w:rsid w:val="005A470F"/>
    <w:rsid w:val="005A4BD6"/>
    <w:rsid w:val="005A7D3C"/>
    <w:rsid w:val="005B041B"/>
    <w:rsid w:val="005B1248"/>
    <w:rsid w:val="005B1322"/>
    <w:rsid w:val="005B3CD9"/>
    <w:rsid w:val="005B520B"/>
    <w:rsid w:val="005B665B"/>
    <w:rsid w:val="005C1922"/>
    <w:rsid w:val="005C533E"/>
    <w:rsid w:val="005C578B"/>
    <w:rsid w:val="005C608C"/>
    <w:rsid w:val="005D0889"/>
    <w:rsid w:val="005D5501"/>
    <w:rsid w:val="005D7238"/>
    <w:rsid w:val="005E01C2"/>
    <w:rsid w:val="005E04E5"/>
    <w:rsid w:val="005E2AB2"/>
    <w:rsid w:val="005E422F"/>
    <w:rsid w:val="005E4302"/>
    <w:rsid w:val="005E51C5"/>
    <w:rsid w:val="005E7CAB"/>
    <w:rsid w:val="005F09B2"/>
    <w:rsid w:val="005F11D8"/>
    <w:rsid w:val="005F2311"/>
    <w:rsid w:val="005F2734"/>
    <w:rsid w:val="005F44D2"/>
    <w:rsid w:val="005F7C16"/>
    <w:rsid w:val="00602528"/>
    <w:rsid w:val="006046AA"/>
    <w:rsid w:val="006104C9"/>
    <w:rsid w:val="006126FE"/>
    <w:rsid w:val="00612F16"/>
    <w:rsid w:val="006206AA"/>
    <w:rsid w:val="00620EBE"/>
    <w:rsid w:val="00622C83"/>
    <w:rsid w:val="00622E32"/>
    <w:rsid w:val="00623B71"/>
    <w:rsid w:val="00623C38"/>
    <w:rsid w:val="0062704E"/>
    <w:rsid w:val="00627A40"/>
    <w:rsid w:val="00631781"/>
    <w:rsid w:val="0063187F"/>
    <w:rsid w:val="00631AD8"/>
    <w:rsid w:val="006333B5"/>
    <w:rsid w:val="00633C64"/>
    <w:rsid w:val="0063756C"/>
    <w:rsid w:val="00642649"/>
    <w:rsid w:val="00644240"/>
    <w:rsid w:val="00644F13"/>
    <w:rsid w:val="0064535C"/>
    <w:rsid w:val="006471DA"/>
    <w:rsid w:val="006503AB"/>
    <w:rsid w:val="00651019"/>
    <w:rsid w:val="0065257A"/>
    <w:rsid w:val="00652CD2"/>
    <w:rsid w:val="00653A2B"/>
    <w:rsid w:val="0066102A"/>
    <w:rsid w:val="006610BD"/>
    <w:rsid w:val="0066135E"/>
    <w:rsid w:val="00662FA5"/>
    <w:rsid w:val="00663343"/>
    <w:rsid w:val="006636B3"/>
    <w:rsid w:val="00664913"/>
    <w:rsid w:val="006701D3"/>
    <w:rsid w:val="0067071C"/>
    <w:rsid w:val="00671DDA"/>
    <w:rsid w:val="0067395B"/>
    <w:rsid w:val="006754C6"/>
    <w:rsid w:val="00675E40"/>
    <w:rsid w:val="00675EFC"/>
    <w:rsid w:val="00676BDE"/>
    <w:rsid w:val="0068231B"/>
    <w:rsid w:val="006829A5"/>
    <w:rsid w:val="00684FCF"/>
    <w:rsid w:val="0068500D"/>
    <w:rsid w:val="00685F28"/>
    <w:rsid w:val="00686856"/>
    <w:rsid w:val="00686CE7"/>
    <w:rsid w:val="00687A7E"/>
    <w:rsid w:val="00691CDF"/>
    <w:rsid w:val="006952D3"/>
    <w:rsid w:val="0069540B"/>
    <w:rsid w:val="00696A5D"/>
    <w:rsid w:val="006A2D01"/>
    <w:rsid w:val="006A48E2"/>
    <w:rsid w:val="006A56BA"/>
    <w:rsid w:val="006A59BD"/>
    <w:rsid w:val="006A6A31"/>
    <w:rsid w:val="006A6F33"/>
    <w:rsid w:val="006A796E"/>
    <w:rsid w:val="006B0AED"/>
    <w:rsid w:val="006B11CB"/>
    <w:rsid w:val="006B22AB"/>
    <w:rsid w:val="006B49DA"/>
    <w:rsid w:val="006B571C"/>
    <w:rsid w:val="006B6C1C"/>
    <w:rsid w:val="006B767E"/>
    <w:rsid w:val="006C06E5"/>
    <w:rsid w:val="006C09ED"/>
    <w:rsid w:val="006C3B8A"/>
    <w:rsid w:val="006C54D9"/>
    <w:rsid w:val="006C74A8"/>
    <w:rsid w:val="006D1AA9"/>
    <w:rsid w:val="006D4857"/>
    <w:rsid w:val="006D4C1E"/>
    <w:rsid w:val="006D78BC"/>
    <w:rsid w:val="006D7FBE"/>
    <w:rsid w:val="006E01E7"/>
    <w:rsid w:val="006E2318"/>
    <w:rsid w:val="006E252E"/>
    <w:rsid w:val="006F0EDF"/>
    <w:rsid w:val="006F2164"/>
    <w:rsid w:val="006F6AF2"/>
    <w:rsid w:val="007000FA"/>
    <w:rsid w:val="00700F5C"/>
    <w:rsid w:val="00702548"/>
    <w:rsid w:val="0070507B"/>
    <w:rsid w:val="00705405"/>
    <w:rsid w:val="007072B6"/>
    <w:rsid w:val="007100D9"/>
    <w:rsid w:val="00713825"/>
    <w:rsid w:val="00713B0A"/>
    <w:rsid w:val="00720B06"/>
    <w:rsid w:val="007235F7"/>
    <w:rsid w:val="007263B5"/>
    <w:rsid w:val="00733CD6"/>
    <w:rsid w:val="00733D26"/>
    <w:rsid w:val="0073624F"/>
    <w:rsid w:val="007363B7"/>
    <w:rsid w:val="00736C9B"/>
    <w:rsid w:val="0074465D"/>
    <w:rsid w:val="00744850"/>
    <w:rsid w:val="00747071"/>
    <w:rsid w:val="0074786E"/>
    <w:rsid w:val="00747B82"/>
    <w:rsid w:val="00750FEA"/>
    <w:rsid w:val="00751159"/>
    <w:rsid w:val="00752B0D"/>
    <w:rsid w:val="00753062"/>
    <w:rsid w:val="00755AA8"/>
    <w:rsid w:val="00756C32"/>
    <w:rsid w:val="007570A6"/>
    <w:rsid w:val="00762848"/>
    <w:rsid w:val="00762A0B"/>
    <w:rsid w:val="00763CBB"/>
    <w:rsid w:val="007645C5"/>
    <w:rsid w:val="007656A8"/>
    <w:rsid w:val="00767232"/>
    <w:rsid w:val="00767BE3"/>
    <w:rsid w:val="007725C5"/>
    <w:rsid w:val="00773F5C"/>
    <w:rsid w:val="007748DB"/>
    <w:rsid w:val="00777F87"/>
    <w:rsid w:val="00782F89"/>
    <w:rsid w:val="007855DA"/>
    <w:rsid w:val="0078731A"/>
    <w:rsid w:val="00790DE3"/>
    <w:rsid w:val="00793788"/>
    <w:rsid w:val="007A1A80"/>
    <w:rsid w:val="007A3BC1"/>
    <w:rsid w:val="007B08BC"/>
    <w:rsid w:val="007B298E"/>
    <w:rsid w:val="007B554F"/>
    <w:rsid w:val="007B593A"/>
    <w:rsid w:val="007B6953"/>
    <w:rsid w:val="007C03C3"/>
    <w:rsid w:val="007C05C6"/>
    <w:rsid w:val="007C2CEC"/>
    <w:rsid w:val="007C5B55"/>
    <w:rsid w:val="007D27CC"/>
    <w:rsid w:val="007D3ADF"/>
    <w:rsid w:val="007D4CD5"/>
    <w:rsid w:val="007D5EEB"/>
    <w:rsid w:val="007D716E"/>
    <w:rsid w:val="007E3598"/>
    <w:rsid w:val="007F2B26"/>
    <w:rsid w:val="007F31A2"/>
    <w:rsid w:val="008031F5"/>
    <w:rsid w:val="00810204"/>
    <w:rsid w:val="00814824"/>
    <w:rsid w:val="00815A00"/>
    <w:rsid w:val="00820A58"/>
    <w:rsid w:val="008217C0"/>
    <w:rsid w:val="008222B7"/>
    <w:rsid w:val="008227C0"/>
    <w:rsid w:val="00824A8A"/>
    <w:rsid w:val="00826FE7"/>
    <w:rsid w:val="0083221A"/>
    <w:rsid w:val="008325F4"/>
    <w:rsid w:val="00834CBF"/>
    <w:rsid w:val="0083513B"/>
    <w:rsid w:val="00837CCF"/>
    <w:rsid w:val="008419E3"/>
    <w:rsid w:val="00842AE7"/>
    <w:rsid w:val="00844447"/>
    <w:rsid w:val="00845A32"/>
    <w:rsid w:val="00847216"/>
    <w:rsid w:val="00850A5E"/>
    <w:rsid w:val="0085372A"/>
    <w:rsid w:val="00857B82"/>
    <w:rsid w:val="00857C87"/>
    <w:rsid w:val="00857FE7"/>
    <w:rsid w:val="00860647"/>
    <w:rsid w:val="00861AA0"/>
    <w:rsid w:val="00861DE9"/>
    <w:rsid w:val="00862150"/>
    <w:rsid w:val="00863012"/>
    <w:rsid w:val="00867E17"/>
    <w:rsid w:val="00867F3D"/>
    <w:rsid w:val="008736F1"/>
    <w:rsid w:val="00880CE2"/>
    <w:rsid w:val="00881983"/>
    <w:rsid w:val="00886F85"/>
    <w:rsid w:val="008870A0"/>
    <w:rsid w:val="008879F8"/>
    <w:rsid w:val="00891B18"/>
    <w:rsid w:val="00892351"/>
    <w:rsid w:val="008923FE"/>
    <w:rsid w:val="00894994"/>
    <w:rsid w:val="008A3926"/>
    <w:rsid w:val="008A5FE4"/>
    <w:rsid w:val="008A61AC"/>
    <w:rsid w:val="008A655C"/>
    <w:rsid w:val="008B1016"/>
    <w:rsid w:val="008B1734"/>
    <w:rsid w:val="008B1D2A"/>
    <w:rsid w:val="008B47A7"/>
    <w:rsid w:val="008B4A2A"/>
    <w:rsid w:val="008B5FBE"/>
    <w:rsid w:val="008B6BC5"/>
    <w:rsid w:val="008C4385"/>
    <w:rsid w:val="008C5E55"/>
    <w:rsid w:val="008C6A3C"/>
    <w:rsid w:val="008C706A"/>
    <w:rsid w:val="008D2A7D"/>
    <w:rsid w:val="008D2E26"/>
    <w:rsid w:val="008D56D5"/>
    <w:rsid w:val="008D6D76"/>
    <w:rsid w:val="008D74AF"/>
    <w:rsid w:val="008E23F3"/>
    <w:rsid w:val="008E4ECB"/>
    <w:rsid w:val="008E646D"/>
    <w:rsid w:val="008E6E45"/>
    <w:rsid w:val="008F37BD"/>
    <w:rsid w:val="008F51F7"/>
    <w:rsid w:val="008F6316"/>
    <w:rsid w:val="008F6A44"/>
    <w:rsid w:val="009007FD"/>
    <w:rsid w:val="00901742"/>
    <w:rsid w:val="00902141"/>
    <w:rsid w:val="0090414C"/>
    <w:rsid w:val="00905DAA"/>
    <w:rsid w:val="0091253C"/>
    <w:rsid w:val="009139B5"/>
    <w:rsid w:val="00914F09"/>
    <w:rsid w:val="00915BBC"/>
    <w:rsid w:val="00917D0C"/>
    <w:rsid w:val="00921D28"/>
    <w:rsid w:val="00923517"/>
    <w:rsid w:val="00924086"/>
    <w:rsid w:val="00924308"/>
    <w:rsid w:val="00924417"/>
    <w:rsid w:val="00925E61"/>
    <w:rsid w:val="00931E9F"/>
    <w:rsid w:val="0093498E"/>
    <w:rsid w:val="00935A99"/>
    <w:rsid w:val="00937A9B"/>
    <w:rsid w:val="0094104D"/>
    <w:rsid w:val="0094149E"/>
    <w:rsid w:val="009418B9"/>
    <w:rsid w:val="00942693"/>
    <w:rsid w:val="00943FAB"/>
    <w:rsid w:val="0094696E"/>
    <w:rsid w:val="00946FE9"/>
    <w:rsid w:val="00947D1F"/>
    <w:rsid w:val="00951619"/>
    <w:rsid w:val="009516F5"/>
    <w:rsid w:val="00951D6E"/>
    <w:rsid w:val="00953811"/>
    <w:rsid w:val="00954C09"/>
    <w:rsid w:val="009573A2"/>
    <w:rsid w:val="00960BA1"/>
    <w:rsid w:val="00961A5C"/>
    <w:rsid w:val="009650B9"/>
    <w:rsid w:val="00965857"/>
    <w:rsid w:val="00966698"/>
    <w:rsid w:val="0097103E"/>
    <w:rsid w:val="00971AC0"/>
    <w:rsid w:val="0097381E"/>
    <w:rsid w:val="009813C9"/>
    <w:rsid w:val="009840A5"/>
    <w:rsid w:val="00984C77"/>
    <w:rsid w:val="0098680C"/>
    <w:rsid w:val="009870ED"/>
    <w:rsid w:val="00992743"/>
    <w:rsid w:val="00992E2F"/>
    <w:rsid w:val="0099385E"/>
    <w:rsid w:val="00994209"/>
    <w:rsid w:val="0099655E"/>
    <w:rsid w:val="00997134"/>
    <w:rsid w:val="00997AD0"/>
    <w:rsid w:val="009A1D89"/>
    <w:rsid w:val="009A30CA"/>
    <w:rsid w:val="009A43FD"/>
    <w:rsid w:val="009A5682"/>
    <w:rsid w:val="009B2EC8"/>
    <w:rsid w:val="009B44B9"/>
    <w:rsid w:val="009B4FEF"/>
    <w:rsid w:val="009B65FD"/>
    <w:rsid w:val="009B691B"/>
    <w:rsid w:val="009C0397"/>
    <w:rsid w:val="009C1C0D"/>
    <w:rsid w:val="009C1F8C"/>
    <w:rsid w:val="009C6150"/>
    <w:rsid w:val="009C6380"/>
    <w:rsid w:val="009C6674"/>
    <w:rsid w:val="009C6D84"/>
    <w:rsid w:val="009D0D2E"/>
    <w:rsid w:val="009D1689"/>
    <w:rsid w:val="009D5BA5"/>
    <w:rsid w:val="009D6189"/>
    <w:rsid w:val="009E0C8A"/>
    <w:rsid w:val="009E335B"/>
    <w:rsid w:val="009F1F2A"/>
    <w:rsid w:val="009F4182"/>
    <w:rsid w:val="009F7603"/>
    <w:rsid w:val="00A00526"/>
    <w:rsid w:val="00A00ABD"/>
    <w:rsid w:val="00A075A7"/>
    <w:rsid w:val="00A101F9"/>
    <w:rsid w:val="00A1461E"/>
    <w:rsid w:val="00A14691"/>
    <w:rsid w:val="00A14D95"/>
    <w:rsid w:val="00A15860"/>
    <w:rsid w:val="00A15961"/>
    <w:rsid w:val="00A15F1B"/>
    <w:rsid w:val="00A16A31"/>
    <w:rsid w:val="00A20D3E"/>
    <w:rsid w:val="00A25CD9"/>
    <w:rsid w:val="00A30B38"/>
    <w:rsid w:val="00A31362"/>
    <w:rsid w:val="00A31506"/>
    <w:rsid w:val="00A36321"/>
    <w:rsid w:val="00A40B78"/>
    <w:rsid w:val="00A414FF"/>
    <w:rsid w:val="00A41E59"/>
    <w:rsid w:val="00A42C32"/>
    <w:rsid w:val="00A42DF6"/>
    <w:rsid w:val="00A4383A"/>
    <w:rsid w:val="00A44729"/>
    <w:rsid w:val="00A45E77"/>
    <w:rsid w:val="00A462E1"/>
    <w:rsid w:val="00A51840"/>
    <w:rsid w:val="00A52613"/>
    <w:rsid w:val="00A52E9D"/>
    <w:rsid w:val="00A53E29"/>
    <w:rsid w:val="00A57C44"/>
    <w:rsid w:val="00A61994"/>
    <w:rsid w:val="00A63C50"/>
    <w:rsid w:val="00A642D4"/>
    <w:rsid w:val="00A65ED9"/>
    <w:rsid w:val="00A67023"/>
    <w:rsid w:val="00A70ECD"/>
    <w:rsid w:val="00A70EF6"/>
    <w:rsid w:val="00A71225"/>
    <w:rsid w:val="00A740F8"/>
    <w:rsid w:val="00A74EF8"/>
    <w:rsid w:val="00A80C99"/>
    <w:rsid w:val="00A84886"/>
    <w:rsid w:val="00A87AC9"/>
    <w:rsid w:val="00A90D00"/>
    <w:rsid w:val="00A932D4"/>
    <w:rsid w:val="00A942DE"/>
    <w:rsid w:val="00A946D7"/>
    <w:rsid w:val="00A94C73"/>
    <w:rsid w:val="00A95681"/>
    <w:rsid w:val="00AA0052"/>
    <w:rsid w:val="00AA0B0F"/>
    <w:rsid w:val="00AA49E4"/>
    <w:rsid w:val="00AA7459"/>
    <w:rsid w:val="00AB058E"/>
    <w:rsid w:val="00AB148A"/>
    <w:rsid w:val="00AB2089"/>
    <w:rsid w:val="00AB2A7E"/>
    <w:rsid w:val="00AB5330"/>
    <w:rsid w:val="00AB5D65"/>
    <w:rsid w:val="00AC1AA9"/>
    <w:rsid w:val="00AC2313"/>
    <w:rsid w:val="00AC533F"/>
    <w:rsid w:val="00AC7335"/>
    <w:rsid w:val="00AC7A16"/>
    <w:rsid w:val="00AD151C"/>
    <w:rsid w:val="00AD4F77"/>
    <w:rsid w:val="00AD71AB"/>
    <w:rsid w:val="00AD7E1C"/>
    <w:rsid w:val="00AE089E"/>
    <w:rsid w:val="00AE5340"/>
    <w:rsid w:val="00AF18C1"/>
    <w:rsid w:val="00AF2519"/>
    <w:rsid w:val="00AF33C6"/>
    <w:rsid w:val="00B043DB"/>
    <w:rsid w:val="00B04C3B"/>
    <w:rsid w:val="00B05571"/>
    <w:rsid w:val="00B05D31"/>
    <w:rsid w:val="00B060AD"/>
    <w:rsid w:val="00B0717E"/>
    <w:rsid w:val="00B07C8E"/>
    <w:rsid w:val="00B11A6F"/>
    <w:rsid w:val="00B11CFE"/>
    <w:rsid w:val="00B12B25"/>
    <w:rsid w:val="00B14420"/>
    <w:rsid w:val="00B14CAF"/>
    <w:rsid w:val="00B176B5"/>
    <w:rsid w:val="00B22658"/>
    <w:rsid w:val="00B2384D"/>
    <w:rsid w:val="00B252BB"/>
    <w:rsid w:val="00B25D4E"/>
    <w:rsid w:val="00B27694"/>
    <w:rsid w:val="00B27763"/>
    <w:rsid w:val="00B3226D"/>
    <w:rsid w:val="00B32F65"/>
    <w:rsid w:val="00B34B99"/>
    <w:rsid w:val="00B36A9C"/>
    <w:rsid w:val="00B376AE"/>
    <w:rsid w:val="00B37B7D"/>
    <w:rsid w:val="00B416F2"/>
    <w:rsid w:val="00B416FD"/>
    <w:rsid w:val="00B430AD"/>
    <w:rsid w:val="00B43A33"/>
    <w:rsid w:val="00B47A17"/>
    <w:rsid w:val="00B53247"/>
    <w:rsid w:val="00B5375A"/>
    <w:rsid w:val="00B57747"/>
    <w:rsid w:val="00B57D36"/>
    <w:rsid w:val="00B719DD"/>
    <w:rsid w:val="00B721F8"/>
    <w:rsid w:val="00B72551"/>
    <w:rsid w:val="00B72F42"/>
    <w:rsid w:val="00B734FA"/>
    <w:rsid w:val="00B76BBB"/>
    <w:rsid w:val="00B92E78"/>
    <w:rsid w:val="00B97C3B"/>
    <w:rsid w:val="00BA2463"/>
    <w:rsid w:val="00BA3958"/>
    <w:rsid w:val="00BA58A1"/>
    <w:rsid w:val="00BA58E7"/>
    <w:rsid w:val="00BA6943"/>
    <w:rsid w:val="00BA694A"/>
    <w:rsid w:val="00BA6D92"/>
    <w:rsid w:val="00BA7973"/>
    <w:rsid w:val="00BB2AAE"/>
    <w:rsid w:val="00BB4C05"/>
    <w:rsid w:val="00BB74D9"/>
    <w:rsid w:val="00BC09AA"/>
    <w:rsid w:val="00BC1FD1"/>
    <w:rsid w:val="00BC3234"/>
    <w:rsid w:val="00BC5371"/>
    <w:rsid w:val="00BC63F4"/>
    <w:rsid w:val="00BD0192"/>
    <w:rsid w:val="00BD043C"/>
    <w:rsid w:val="00BD0966"/>
    <w:rsid w:val="00BD0C96"/>
    <w:rsid w:val="00BD2006"/>
    <w:rsid w:val="00BD2852"/>
    <w:rsid w:val="00BD4C75"/>
    <w:rsid w:val="00BD659B"/>
    <w:rsid w:val="00BE0395"/>
    <w:rsid w:val="00BE2367"/>
    <w:rsid w:val="00BE7484"/>
    <w:rsid w:val="00BF0ED9"/>
    <w:rsid w:val="00BF1255"/>
    <w:rsid w:val="00BF38E4"/>
    <w:rsid w:val="00BF4B2C"/>
    <w:rsid w:val="00BF546E"/>
    <w:rsid w:val="00BF6E5E"/>
    <w:rsid w:val="00BF7574"/>
    <w:rsid w:val="00C019EE"/>
    <w:rsid w:val="00C03BCD"/>
    <w:rsid w:val="00C0456D"/>
    <w:rsid w:val="00C05294"/>
    <w:rsid w:val="00C05364"/>
    <w:rsid w:val="00C115C8"/>
    <w:rsid w:val="00C11831"/>
    <w:rsid w:val="00C11F5B"/>
    <w:rsid w:val="00C120D2"/>
    <w:rsid w:val="00C144E1"/>
    <w:rsid w:val="00C1592C"/>
    <w:rsid w:val="00C17E98"/>
    <w:rsid w:val="00C26E9D"/>
    <w:rsid w:val="00C304FB"/>
    <w:rsid w:val="00C31E44"/>
    <w:rsid w:val="00C33401"/>
    <w:rsid w:val="00C348F7"/>
    <w:rsid w:val="00C36684"/>
    <w:rsid w:val="00C426CC"/>
    <w:rsid w:val="00C46486"/>
    <w:rsid w:val="00C52091"/>
    <w:rsid w:val="00C52AD0"/>
    <w:rsid w:val="00C53B08"/>
    <w:rsid w:val="00C57883"/>
    <w:rsid w:val="00C6044B"/>
    <w:rsid w:val="00C60FA3"/>
    <w:rsid w:val="00C6116A"/>
    <w:rsid w:val="00C621F0"/>
    <w:rsid w:val="00C64BC8"/>
    <w:rsid w:val="00C70006"/>
    <w:rsid w:val="00C70031"/>
    <w:rsid w:val="00C705EE"/>
    <w:rsid w:val="00C7167C"/>
    <w:rsid w:val="00C7175A"/>
    <w:rsid w:val="00C75561"/>
    <w:rsid w:val="00C81259"/>
    <w:rsid w:val="00C83976"/>
    <w:rsid w:val="00C87422"/>
    <w:rsid w:val="00C9053A"/>
    <w:rsid w:val="00C912AD"/>
    <w:rsid w:val="00C95343"/>
    <w:rsid w:val="00CA2A34"/>
    <w:rsid w:val="00CA752B"/>
    <w:rsid w:val="00CB2364"/>
    <w:rsid w:val="00CB25B9"/>
    <w:rsid w:val="00CB627A"/>
    <w:rsid w:val="00CB64FE"/>
    <w:rsid w:val="00CB6952"/>
    <w:rsid w:val="00CB7D7F"/>
    <w:rsid w:val="00CC202C"/>
    <w:rsid w:val="00CC33C8"/>
    <w:rsid w:val="00CC41E9"/>
    <w:rsid w:val="00CD125F"/>
    <w:rsid w:val="00CD1E40"/>
    <w:rsid w:val="00CD2E0D"/>
    <w:rsid w:val="00CD4A4E"/>
    <w:rsid w:val="00CD78CC"/>
    <w:rsid w:val="00CE173D"/>
    <w:rsid w:val="00CE3A4D"/>
    <w:rsid w:val="00CE5A35"/>
    <w:rsid w:val="00CE7218"/>
    <w:rsid w:val="00CE7649"/>
    <w:rsid w:val="00CF47BA"/>
    <w:rsid w:val="00CF52FD"/>
    <w:rsid w:val="00CF5360"/>
    <w:rsid w:val="00CF5FBC"/>
    <w:rsid w:val="00D0064B"/>
    <w:rsid w:val="00D00B4A"/>
    <w:rsid w:val="00D0336A"/>
    <w:rsid w:val="00D043D8"/>
    <w:rsid w:val="00D04ED2"/>
    <w:rsid w:val="00D04F63"/>
    <w:rsid w:val="00D07F6E"/>
    <w:rsid w:val="00D11CFA"/>
    <w:rsid w:val="00D11F34"/>
    <w:rsid w:val="00D14A0C"/>
    <w:rsid w:val="00D2049E"/>
    <w:rsid w:val="00D23671"/>
    <w:rsid w:val="00D25685"/>
    <w:rsid w:val="00D31D23"/>
    <w:rsid w:val="00D31EEC"/>
    <w:rsid w:val="00D32290"/>
    <w:rsid w:val="00D3488F"/>
    <w:rsid w:val="00D422E1"/>
    <w:rsid w:val="00D45A3E"/>
    <w:rsid w:val="00D47AA4"/>
    <w:rsid w:val="00D50FC3"/>
    <w:rsid w:val="00D51BB5"/>
    <w:rsid w:val="00D619F0"/>
    <w:rsid w:val="00D62FB6"/>
    <w:rsid w:val="00D64939"/>
    <w:rsid w:val="00D6597A"/>
    <w:rsid w:val="00D71359"/>
    <w:rsid w:val="00D74539"/>
    <w:rsid w:val="00D85F1A"/>
    <w:rsid w:val="00D8715F"/>
    <w:rsid w:val="00D87232"/>
    <w:rsid w:val="00D92EA4"/>
    <w:rsid w:val="00D93C29"/>
    <w:rsid w:val="00D958DD"/>
    <w:rsid w:val="00D9673D"/>
    <w:rsid w:val="00DA071D"/>
    <w:rsid w:val="00DA1560"/>
    <w:rsid w:val="00DA519F"/>
    <w:rsid w:val="00DA5B15"/>
    <w:rsid w:val="00DA6177"/>
    <w:rsid w:val="00DB07A3"/>
    <w:rsid w:val="00DB1CDC"/>
    <w:rsid w:val="00DB2078"/>
    <w:rsid w:val="00DB3B0B"/>
    <w:rsid w:val="00DB3C82"/>
    <w:rsid w:val="00DB60D1"/>
    <w:rsid w:val="00DB6EF6"/>
    <w:rsid w:val="00DB7187"/>
    <w:rsid w:val="00DB7E02"/>
    <w:rsid w:val="00DC71DB"/>
    <w:rsid w:val="00DC79C7"/>
    <w:rsid w:val="00DD0B80"/>
    <w:rsid w:val="00DD1652"/>
    <w:rsid w:val="00DD2FD4"/>
    <w:rsid w:val="00DE2324"/>
    <w:rsid w:val="00DE4975"/>
    <w:rsid w:val="00DF04A1"/>
    <w:rsid w:val="00DF4B19"/>
    <w:rsid w:val="00DF4D61"/>
    <w:rsid w:val="00DF65FE"/>
    <w:rsid w:val="00E00D82"/>
    <w:rsid w:val="00E026F7"/>
    <w:rsid w:val="00E03959"/>
    <w:rsid w:val="00E05787"/>
    <w:rsid w:val="00E060C8"/>
    <w:rsid w:val="00E0787A"/>
    <w:rsid w:val="00E111B1"/>
    <w:rsid w:val="00E1270B"/>
    <w:rsid w:val="00E14322"/>
    <w:rsid w:val="00E22970"/>
    <w:rsid w:val="00E25634"/>
    <w:rsid w:val="00E26352"/>
    <w:rsid w:val="00E316E3"/>
    <w:rsid w:val="00E324E6"/>
    <w:rsid w:val="00E3331B"/>
    <w:rsid w:val="00E349C3"/>
    <w:rsid w:val="00E351DA"/>
    <w:rsid w:val="00E35D23"/>
    <w:rsid w:val="00E37C84"/>
    <w:rsid w:val="00E37E88"/>
    <w:rsid w:val="00E45647"/>
    <w:rsid w:val="00E50BC0"/>
    <w:rsid w:val="00E5281C"/>
    <w:rsid w:val="00E56307"/>
    <w:rsid w:val="00E57429"/>
    <w:rsid w:val="00E61706"/>
    <w:rsid w:val="00E6620E"/>
    <w:rsid w:val="00E664E5"/>
    <w:rsid w:val="00E676DF"/>
    <w:rsid w:val="00E7023F"/>
    <w:rsid w:val="00E71638"/>
    <w:rsid w:val="00E72394"/>
    <w:rsid w:val="00E75A77"/>
    <w:rsid w:val="00E76366"/>
    <w:rsid w:val="00E7693C"/>
    <w:rsid w:val="00E81CDC"/>
    <w:rsid w:val="00E82367"/>
    <w:rsid w:val="00E929F3"/>
    <w:rsid w:val="00E950AF"/>
    <w:rsid w:val="00E95BFE"/>
    <w:rsid w:val="00E97527"/>
    <w:rsid w:val="00E97760"/>
    <w:rsid w:val="00EA017E"/>
    <w:rsid w:val="00EA10B7"/>
    <w:rsid w:val="00EA1E95"/>
    <w:rsid w:val="00EA48C4"/>
    <w:rsid w:val="00EB4992"/>
    <w:rsid w:val="00EB7183"/>
    <w:rsid w:val="00EC56D7"/>
    <w:rsid w:val="00EC617F"/>
    <w:rsid w:val="00EC6234"/>
    <w:rsid w:val="00ED1C1F"/>
    <w:rsid w:val="00ED394D"/>
    <w:rsid w:val="00ED3A47"/>
    <w:rsid w:val="00ED62D3"/>
    <w:rsid w:val="00EE00F4"/>
    <w:rsid w:val="00EE2DAD"/>
    <w:rsid w:val="00EE3112"/>
    <w:rsid w:val="00EE434C"/>
    <w:rsid w:val="00EE7457"/>
    <w:rsid w:val="00EF40F6"/>
    <w:rsid w:val="00EF5CA8"/>
    <w:rsid w:val="00EF693B"/>
    <w:rsid w:val="00F05491"/>
    <w:rsid w:val="00F107C2"/>
    <w:rsid w:val="00F12DA0"/>
    <w:rsid w:val="00F14EB2"/>
    <w:rsid w:val="00F15360"/>
    <w:rsid w:val="00F1562A"/>
    <w:rsid w:val="00F15901"/>
    <w:rsid w:val="00F15B57"/>
    <w:rsid w:val="00F16005"/>
    <w:rsid w:val="00F16809"/>
    <w:rsid w:val="00F17528"/>
    <w:rsid w:val="00F20849"/>
    <w:rsid w:val="00F21F6E"/>
    <w:rsid w:val="00F22594"/>
    <w:rsid w:val="00F24945"/>
    <w:rsid w:val="00F30E92"/>
    <w:rsid w:val="00F33980"/>
    <w:rsid w:val="00F343BE"/>
    <w:rsid w:val="00F37E3B"/>
    <w:rsid w:val="00F400BE"/>
    <w:rsid w:val="00F426C8"/>
    <w:rsid w:val="00F43099"/>
    <w:rsid w:val="00F46668"/>
    <w:rsid w:val="00F46B19"/>
    <w:rsid w:val="00F47940"/>
    <w:rsid w:val="00F522AB"/>
    <w:rsid w:val="00F52CD2"/>
    <w:rsid w:val="00F53325"/>
    <w:rsid w:val="00F55BBB"/>
    <w:rsid w:val="00F60C4A"/>
    <w:rsid w:val="00F61AF8"/>
    <w:rsid w:val="00F63B54"/>
    <w:rsid w:val="00F65967"/>
    <w:rsid w:val="00F72752"/>
    <w:rsid w:val="00F748BF"/>
    <w:rsid w:val="00F80BCC"/>
    <w:rsid w:val="00F80FF1"/>
    <w:rsid w:val="00F81AF2"/>
    <w:rsid w:val="00F8327C"/>
    <w:rsid w:val="00F83284"/>
    <w:rsid w:val="00F93152"/>
    <w:rsid w:val="00F93ECB"/>
    <w:rsid w:val="00F963D3"/>
    <w:rsid w:val="00F96F86"/>
    <w:rsid w:val="00F9792F"/>
    <w:rsid w:val="00FB27E4"/>
    <w:rsid w:val="00FB305A"/>
    <w:rsid w:val="00FB3272"/>
    <w:rsid w:val="00FB589E"/>
    <w:rsid w:val="00FB7886"/>
    <w:rsid w:val="00FC0B53"/>
    <w:rsid w:val="00FC1376"/>
    <w:rsid w:val="00FC257A"/>
    <w:rsid w:val="00FC3253"/>
    <w:rsid w:val="00FD1226"/>
    <w:rsid w:val="00FD7A79"/>
    <w:rsid w:val="00FE504B"/>
    <w:rsid w:val="00FE5EE5"/>
    <w:rsid w:val="00FE6499"/>
    <w:rsid w:val="00FF04F5"/>
    <w:rsid w:val="00FF5210"/>
    <w:rsid w:val="00FF565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21CF"/>
  <w14:defaultImageDpi w14:val="32767"/>
  <w15:chartTrackingRefBased/>
  <w15:docId w15:val="{E49464C4-EAFF-A548-8D2C-5409BC2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3B"/>
  </w:style>
  <w:style w:type="paragraph" w:styleId="Footer">
    <w:name w:val="footer"/>
    <w:basedOn w:val="Normal"/>
    <w:link w:val="FooterChar"/>
    <w:uiPriority w:val="99"/>
    <w:unhideWhenUsed/>
    <w:rsid w:val="004D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3B"/>
  </w:style>
  <w:style w:type="character" w:styleId="PageNumber">
    <w:name w:val="page number"/>
    <w:basedOn w:val="DefaultParagraphFont"/>
    <w:uiPriority w:val="99"/>
    <w:semiHidden/>
    <w:unhideWhenUsed/>
    <w:rsid w:val="004D443B"/>
  </w:style>
  <w:style w:type="paragraph" w:styleId="FootnoteText">
    <w:name w:val="footnote text"/>
    <w:basedOn w:val="Normal"/>
    <w:link w:val="FootnoteTextChar"/>
    <w:uiPriority w:val="99"/>
    <w:semiHidden/>
    <w:unhideWhenUsed/>
    <w:rsid w:val="00F153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3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360"/>
    <w:rPr>
      <w:vertAlign w:val="superscript"/>
    </w:rPr>
  </w:style>
  <w:style w:type="character" w:customStyle="1" w:styleId="apple-converted-space">
    <w:name w:val="apple-converted-space"/>
    <w:basedOn w:val="DefaultParagraphFont"/>
    <w:rsid w:val="00861AA0"/>
  </w:style>
  <w:style w:type="character" w:styleId="Hyperlink">
    <w:name w:val="Hyperlink"/>
    <w:basedOn w:val="DefaultParagraphFont"/>
    <w:uiPriority w:val="99"/>
    <w:unhideWhenUsed/>
    <w:rsid w:val="00C839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8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hklii.hk/eng/hk/cases/hkcfa/2005/41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AD5F0E-B731-48C8-B5F0-54C9BE57B4BB}"/>
</file>

<file path=customXml/itemProps2.xml><?xml version="1.0" encoding="utf-8"?>
<ds:datastoreItem xmlns:ds="http://schemas.openxmlformats.org/officeDocument/2006/customXml" ds:itemID="{B877530A-9198-4DC3-B159-ABA4DCDAB45B}"/>
</file>

<file path=customXml/itemProps3.xml><?xml version="1.0" encoding="utf-8"?>
<ds:datastoreItem xmlns:ds="http://schemas.openxmlformats.org/officeDocument/2006/customXml" ds:itemID="{7CA2A01B-B6FB-4429-BD09-BC95D218C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Parker</dc:creator>
  <cp:keywords/>
  <dc:description/>
  <cp:lastModifiedBy>ROSNIANSKY Cherry Lou</cp:lastModifiedBy>
  <cp:revision>2</cp:revision>
  <dcterms:created xsi:type="dcterms:W3CDTF">2020-02-23T20:36:00Z</dcterms:created>
  <dcterms:modified xsi:type="dcterms:W3CDTF">2020-02-23T20:36:00Z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