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AB" w:rsidRDefault="00F26F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Комментарии Российской Федерации</w:t>
      </w:r>
    </w:p>
    <w:p w:rsidR="00BD02AB" w:rsidRDefault="00F26F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 проекту замечания общего характера № 37 Комитета по правам человека относительно статьи 21 (право на мирные собрания) Международного пакта о гражданских и политических правах</w:t>
      </w:r>
    </w:p>
    <w:p w:rsidR="00BD02AB" w:rsidRDefault="00BD02AB">
      <w:pPr>
        <w:spacing w:after="0" w:line="240" w:lineRule="auto"/>
        <w:jc w:val="center"/>
        <w:rPr>
          <w:rFonts w:ascii="Times New Roman" w:hAnsi="Times New Roman" w:cs="Times New Roman"/>
          <w:b/>
          <w:sz w:val="28"/>
          <w:szCs w:val="28"/>
        </w:rPr>
      </w:pPr>
    </w:p>
    <w:p w:rsidR="00BD02AB" w:rsidRDefault="00BD02AB">
      <w:pPr>
        <w:spacing w:after="0" w:line="360" w:lineRule="exact"/>
        <w:ind w:firstLine="709"/>
        <w:jc w:val="center"/>
        <w:rPr>
          <w:rFonts w:ascii="Times New Roman" w:hAnsi="Times New Roman" w:cs="Times New Roman"/>
          <w:sz w:val="28"/>
          <w:szCs w:val="28"/>
        </w:rPr>
      </w:pP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подготовкой Комитетом по правам человека проекта замечания общего порядка № 37 (далее – проект), посвященного праву на мирные собрания, закрепленному в статье 21 Международного пакта о гражданских и политических правах (далее – Пакт), российская сторона хотела бы сообщить следующее. </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контексте реализации права на мирные собрания Российская Федерация исходит из того, что публичным мероприятием признается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политических партий, других общественных и религиозных объединений, в том числе с использованием транспортных средств. </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публичного мероприятия должно являться свободное выражение и формирование мнений, выдвижение требований по </w:t>
      </w:r>
      <w:r>
        <w:rPr>
          <w:rFonts w:ascii="Times New Roman" w:hAnsi="Times New Roman" w:cs="Times New Roman"/>
          <w:sz w:val="28"/>
          <w:szCs w:val="28"/>
        </w:rPr>
        <w:lastRenderedPageBreak/>
        <w:t>различным вопросам политической, экономической, социальной и культурной жизни страны и вопросам внешней политики.</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российским законодательством организатор публичного мероприятия, в частности, обязан: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соответствующим органом власти; требовать от участников публичного мероприятия соблюдения общественного порядка и регламента проведения публичного мероприятия, а также прекращения нарушения закона.</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публичного мероприятия имеют право: участвовать в обсуждении и принятии решений, иных коллективных действиях в соответствии с целями публичного мероприятия; использовать различную символику и иные средства публичного выражения коллективного или индивидуального мнения, а также средства </w:t>
      </w:r>
      <w:r>
        <w:rPr>
          <w:rFonts w:ascii="Times New Roman" w:hAnsi="Times New Roman" w:cs="Times New Roman"/>
          <w:sz w:val="28"/>
          <w:szCs w:val="28"/>
        </w:rPr>
        <w:lastRenderedPageBreak/>
        <w:t>агитации, не запрещенные законодательством;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проведения публичного мероприятия его участники обязаны: выполнять все законные требования организатора публичного мероприятия, уполномоченного представителя соответствующего органа власти и сотрудников органов внутренних дел; соблюдать общественный порядок и регламент проведения публичного мероприятия; соблюдать требования по обеспечению транспортной безопасности и безопасности дорожного движения, если публичное мероприятие проводится с использованием транспортных средств.</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публичных мероприятий не вправе: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 иметь при себе оружие, боеприпасы, колющие или режущие предметы, другие предметы, которые могут быть использованы в </w:t>
      </w:r>
      <w:r>
        <w:rPr>
          <w:rFonts w:ascii="Times New Roman" w:hAnsi="Times New Roman" w:cs="Times New Roman"/>
          <w:sz w:val="28"/>
          <w:szCs w:val="28"/>
        </w:rPr>
        <w:lastRenderedPageBreak/>
        <w:t>качестве оружия, взрывные устройства, взрывчатые, пиротехнические, ядовитые, отравляющие, огнеопасные вещества, материалы или изделия (за исключением спичек и карманных зажигалок), предметы и химические материалы, которые могут быть использованы для изготовления пиротехнических изделий или дымов; иметь при себе и распивать спиртные напитки; находиться в месте проведения публичного мероприятия в состоянии опьянения.</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подготовленного Комитетом по правам человека проекта замечания общего порядка № 37 российская сторона хотела бы сообщить следующее.</w:t>
      </w:r>
    </w:p>
    <w:p w:rsidR="00BD02AB" w:rsidRDefault="00F26F01">
      <w:pPr>
        <w:spacing w:after="0" w:line="360" w:lineRule="auto"/>
        <w:ind w:firstLine="708"/>
        <w:jc w:val="both"/>
        <w:rPr>
          <w:rFonts w:ascii="Times New Roman" w:hAnsi="Times New Roman" w:cs="Times New Roman"/>
          <w:sz w:val="28"/>
          <w:szCs w:val="28"/>
        </w:rPr>
      </w:pPr>
      <w:r w:rsidRPr="007B527B">
        <w:rPr>
          <w:rFonts w:ascii="Times New Roman" w:hAnsi="Times New Roman" w:cs="Times New Roman"/>
          <w:sz w:val="28"/>
          <w:szCs w:val="28"/>
          <w:lang w:val="en-US"/>
        </w:rPr>
        <w:t>1.</w:t>
      </w:r>
      <w:r>
        <w:rPr>
          <w:rFonts w:ascii="Times New Roman" w:hAnsi="Times New Roman" w:cs="Times New Roman"/>
          <w:sz w:val="28"/>
          <w:szCs w:val="28"/>
          <w:lang w:val="en-US"/>
        </w:rPr>
        <w:t> </w:t>
      </w:r>
      <w:r>
        <w:rPr>
          <w:rFonts w:ascii="Times New Roman" w:hAnsi="Times New Roman" w:cs="Times New Roman"/>
          <w:sz w:val="28"/>
          <w:szCs w:val="28"/>
        </w:rPr>
        <w:t>Согласно</w:t>
      </w:r>
      <w:r w:rsidRPr="007B527B">
        <w:rPr>
          <w:rFonts w:ascii="Times New Roman" w:hAnsi="Times New Roman" w:cs="Times New Roman"/>
          <w:sz w:val="28"/>
          <w:szCs w:val="28"/>
          <w:lang w:val="en-US"/>
        </w:rPr>
        <w:t xml:space="preserve"> </w:t>
      </w:r>
      <w:r>
        <w:rPr>
          <w:rFonts w:ascii="Times New Roman" w:hAnsi="Times New Roman" w:cs="Times New Roman"/>
          <w:sz w:val="28"/>
          <w:szCs w:val="28"/>
        </w:rPr>
        <w:t>пункту</w:t>
      </w:r>
      <w:r w:rsidRPr="007B527B">
        <w:rPr>
          <w:rFonts w:ascii="Times New Roman" w:hAnsi="Times New Roman" w:cs="Times New Roman"/>
          <w:sz w:val="28"/>
          <w:szCs w:val="28"/>
          <w:lang w:val="en-US"/>
        </w:rPr>
        <w:t xml:space="preserve"> 2 </w:t>
      </w:r>
      <w:r>
        <w:rPr>
          <w:rFonts w:ascii="Times New Roman" w:hAnsi="Times New Roman" w:cs="Times New Roman"/>
          <w:sz w:val="28"/>
          <w:szCs w:val="28"/>
        </w:rPr>
        <w:t>проекта</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failure</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7B527B">
        <w:rPr>
          <w:rFonts w:ascii="Times New Roman" w:hAnsi="Times New Roman" w:cs="Times New Roman"/>
          <w:sz w:val="28"/>
          <w:szCs w:val="28"/>
          <w:lang w:val="en-US"/>
        </w:rPr>
        <w:t xml:space="preserve"> </w:t>
      </w:r>
      <w:r w:rsidR="009A25D5">
        <w:rPr>
          <w:rFonts w:ascii="Times New Roman" w:hAnsi="Times New Roman" w:cs="Times New Roman"/>
          <w:sz w:val="28"/>
          <w:szCs w:val="28"/>
          <w:lang w:val="en-US"/>
        </w:rPr>
        <w:t>recognize</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right</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participate</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peaceful</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assemblies</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marker</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7B527B">
        <w:rPr>
          <w:rFonts w:ascii="Times New Roman" w:hAnsi="Times New Roman" w:cs="Times New Roman"/>
          <w:sz w:val="28"/>
          <w:szCs w:val="28"/>
          <w:lang w:val="en-US"/>
        </w:rPr>
        <w:t xml:space="preserve"> </w:t>
      </w:r>
      <w:r>
        <w:rPr>
          <w:rFonts w:ascii="Times New Roman" w:hAnsi="Times New Roman" w:cs="Times New Roman"/>
          <w:sz w:val="28"/>
          <w:szCs w:val="28"/>
          <w:lang w:val="en-US"/>
        </w:rPr>
        <w:t>repression</w:t>
      </w:r>
      <w:r w:rsidRPr="007B527B">
        <w:rPr>
          <w:rFonts w:ascii="Times New Roman" w:hAnsi="Times New Roman" w:cs="Times New Roman"/>
          <w:sz w:val="28"/>
          <w:szCs w:val="28"/>
          <w:lang w:val="en-US"/>
        </w:rPr>
        <w:t xml:space="preserve">». </w:t>
      </w:r>
      <w:r>
        <w:rPr>
          <w:rFonts w:ascii="Times New Roman" w:hAnsi="Times New Roman" w:cs="Times New Roman"/>
          <w:sz w:val="28"/>
          <w:szCs w:val="28"/>
        </w:rPr>
        <w:t xml:space="preserve">Российская сторона полагает целесообразным исключить указанное положение, поскольку оно носит субъективный оценочный характер и не имеет под собой какой-либо международно признанной нормативно-правовой базы. Возникает также вопрос, будут ли в этом случае ограничения права на мирные собрания квалифицироваться в качестве «признаков репрессий». </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2. 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пункте</w:t>
      </w:r>
      <w:r>
        <w:rPr>
          <w:rFonts w:ascii="Times New Roman" w:hAnsi="Times New Roman" w:cs="Times New Roman"/>
          <w:sz w:val="28"/>
          <w:szCs w:val="28"/>
          <w:lang w:val="en-US"/>
        </w:rPr>
        <w:t xml:space="preserve"> 7 </w:t>
      </w:r>
      <w:r>
        <w:rPr>
          <w:rFonts w:ascii="Times New Roman" w:hAnsi="Times New Roman" w:cs="Times New Roman"/>
          <w:sz w:val="28"/>
          <w:szCs w:val="28"/>
        </w:rPr>
        <w:t>проекта</w:t>
      </w:r>
      <w:r>
        <w:rPr>
          <w:rFonts w:ascii="Times New Roman" w:hAnsi="Times New Roman" w:cs="Times New Roman"/>
          <w:sz w:val="28"/>
          <w:szCs w:val="28"/>
          <w:lang w:val="en-US"/>
        </w:rPr>
        <w:t xml:space="preserve"> </w:t>
      </w:r>
      <w:r>
        <w:rPr>
          <w:rFonts w:ascii="Times New Roman" w:hAnsi="Times New Roman" w:cs="Times New Roman"/>
          <w:sz w:val="28"/>
          <w:szCs w:val="28"/>
        </w:rPr>
        <w:t>указывается</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проведение</w:t>
      </w:r>
      <w:r>
        <w:rPr>
          <w:rFonts w:ascii="Times New Roman" w:hAnsi="Times New Roman" w:cs="Times New Roman"/>
          <w:sz w:val="28"/>
          <w:szCs w:val="28"/>
          <w:lang w:val="en-US"/>
        </w:rPr>
        <w:t xml:space="preserve"> </w:t>
      </w:r>
      <w:r>
        <w:rPr>
          <w:rFonts w:ascii="Times New Roman" w:hAnsi="Times New Roman" w:cs="Times New Roman"/>
          <w:sz w:val="28"/>
          <w:szCs w:val="28"/>
        </w:rPr>
        <w:t>мирных</w:t>
      </w:r>
      <w:r>
        <w:rPr>
          <w:rFonts w:ascii="Times New Roman" w:hAnsi="Times New Roman" w:cs="Times New Roman"/>
          <w:sz w:val="28"/>
          <w:szCs w:val="28"/>
          <w:lang w:val="en-US"/>
        </w:rPr>
        <w:t xml:space="preserve"> </w:t>
      </w:r>
      <w:r>
        <w:rPr>
          <w:rFonts w:ascii="Times New Roman" w:hAnsi="Times New Roman" w:cs="Times New Roman"/>
          <w:sz w:val="28"/>
          <w:szCs w:val="28"/>
        </w:rPr>
        <w:t>собраний</w:t>
      </w:r>
      <w:r>
        <w:rPr>
          <w:rFonts w:ascii="Times New Roman" w:hAnsi="Times New Roman" w:cs="Times New Roman"/>
          <w:sz w:val="28"/>
          <w:szCs w:val="28"/>
          <w:lang w:val="en-US"/>
        </w:rPr>
        <w:t xml:space="preserve"> «can cause disruption, for example of vehicular or pedestrian movement or economic activity». </w:t>
      </w:r>
      <w:r>
        <w:rPr>
          <w:rFonts w:ascii="Times New Roman" w:hAnsi="Times New Roman" w:cs="Times New Roman"/>
          <w:sz w:val="28"/>
          <w:szCs w:val="28"/>
        </w:rPr>
        <w:t xml:space="preserve">В этой связи представляется целесообразным уточнить, что упомянутые нарушения не должны являться непосредственной целью проведения публичного мероприятия, а лишь представлять собой возможные сопутствующие последствия его проведения. </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3. 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пунктом</w:t>
      </w:r>
      <w:r>
        <w:rPr>
          <w:rFonts w:ascii="Times New Roman" w:hAnsi="Times New Roman" w:cs="Times New Roman"/>
          <w:sz w:val="28"/>
          <w:szCs w:val="28"/>
          <w:lang w:val="en-US"/>
        </w:rPr>
        <w:t xml:space="preserve"> 14 </w:t>
      </w:r>
      <w:r>
        <w:rPr>
          <w:rFonts w:ascii="Times New Roman" w:hAnsi="Times New Roman" w:cs="Times New Roman"/>
          <w:sz w:val="28"/>
          <w:szCs w:val="28"/>
        </w:rPr>
        <w:t>проекта</w:t>
      </w:r>
      <w:r>
        <w:rPr>
          <w:rFonts w:ascii="Times New Roman" w:hAnsi="Times New Roman" w:cs="Times New Roman"/>
          <w:sz w:val="28"/>
          <w:szCs w:val="28"/>
          <w:lang w:val="en-US"/>
        </w:rPr>
        <w:t xml:space="preserve"> «assemblies may, in addition to having such an expressive purpose, also serve other goals and still be protected by article 21». </w:t>
      </w:r>
      <w:r>
        <w:rPr>
          <w:rFonts w:ascii="Times New Roman" w:hAnsi="Times New Roman" w:cs="Times New Roman"/>
          <w:sz w:val="28"/>
          <w:szCs w:val="28"/>
        </w:rPr>
        <w:t>В этой связи необходимы дополнительные разъяснения относительно того, что авторы документа подразумевают под термином «other goals».</w:t>
      </w:r>
    </w:p>
    <w:p w:rsidR="00BD02AB" w:rsidRDefault="00F26F01">
      <w:pPr>
        <w:spacing w:after="0" w:line="360" w:lineRule="auto"/>
        <w:ind w:firstLine="709"/>
        <w:jc w:val="both"/>
      </w:pPr>
      <w:r>
        <w:rPr>
          <w:rFonts w:ascii="Times New Roman" w:hAnsi="Times New Roman" w:cs="Times New Roman"/>
          <w:sz w:val="28"/>
          <w:szCs w:val="28"/>
        </w:rPr>
        <w:t>4. В пункте 19 проекта зафиксирована некая презумпция мирного характера собраний, которая неизвестна международному праву и представляет собой расширительное толкование статьи 21 Пакта. В этом контексте не совсем понятна причина, по которой в обоснование данного тезиса используются пункты 402-403 постановления Европейского суда по правам человека от 7 февраля 2017 г.</w:t>
      </w:r>
      <w:r w:rsidR="007B527B" w:rsidRPr="007B527B">
        <w:rPr>
          <w:rFonts w:ascii="Times New Roman" w:hAnsi="Times New Roman" w:cs="Times New Roman"/>
          <w:sz w:val="28"/>
          <w:szCs w:val="28"/>
        </w:rPr>
        <w:t xml:space="preserve"> </w:t>
      </w:r>
      <w:r>
        <w:rPr>
          <w:rFonts w:ascii="Times New Roman" w:hAnsi="Times New Roman" w:cs="Times New Roman"/>
          <w:sz w:val="28"/>
          <w:szCs w:val="28"/>
        </w:rPr>
        <w:t xml:space="preserve">по делу </w:t>
      </w:r>
      <w:r w:rsidR="007B527B">
        <w:rPr>
          <w:rFonts w:ascii="Times New Roman" w:hAnsi="Times New Roman" w:cs="Times New Roman"/>
          <w:sz w:val="28"/>
          <w:szCs w:val="28"/>
        </w:rPr>
        <w:lastRenderedPageBreak/>
        <w:t xml:space="preserve">«Lashmankin and others </w:t>
      </w:r>
      <w:r>
        <w:rPr>
          <w:rFonts w:ascii="Times New Roman" w:hAnsi="Times New Roman" w:cs="Times New Roman"/>
          <w:sz w:val="28"/>
          <w:szCs w:val="28"/>
        </w:rPr>
        <w:t xml:space="preserve">v. </w:t>
      </w:r>
      <w:r w:rsidR="007B527B">
        <w:rPr>
          <w:rFonts w:ascii="Times New Roman" w:hAnsi="Times New Roman" w:cs="Times New Roman"/>
          <w:sz w:val="28"/>
          <w:szCs w:val="28"/>
        </w:rPr>
        <w:t>Russia»</w:t>
      </w:r>
      <w:r>
        <w:rPr>
          <w:rFonts w:ascii="Times New Roman" w:hAnsi="Times New Roman" w:cs="Times New Roman"/>
          <w:sz w:val="28"/>
          <w:szCs w:val="28"/>
        </w:rPr>
        <w:t>, не имеющие никакого отношения к рассматриваемой в пункте 19 проекта теме.</w:t>
      </w:r>
    </w:p>
    <w:p w:rsidR="00BD02AB" w:rsidRDefault="00F26F01">
      <w:pPr>
        <w:spacing w:after="0" w:line="360" w:lineRule="auto"/>
        <w:ind w:firstLine="709"/>
        <w:jc w:val="both"/>
      </w:pPr>
      <w:r>
        <w:rPr>
          <w:rFonts w:ascii="Times New Roman" w:hAnsi="Times New Roman" w:cs="Times New Roman"/>
          <w:sz w:val="28"/>
          <w:szCs w:val="28"/>
        </w:rPr>
        <w:t>Равным образом необоснованной видится ссылка на «presumption against restrictions» в пункте 40.</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Представляется спорным положение пункта 23 проекта о том, что наличие у участников собрания оружия само по себе не означает того, что собрание не является мирным. При доработке данного положения российская сторона считает необходимым учитывать то обстоятельство, что конституции ряда государств-участников Пакта (например, статья 31 Конституции Российской Федерации, статья 8 Основного Закона Федеративной Республики Германии, статья 17 Конституции Итальянской Республики и др.), предусматривают право граждан собираться мирно, но без оружия.</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Российская сторона не может согласиться с предпринятой в пунктах 28, 34 и 36 проекта попыткой создания некоего привилегированного режима защиты отдельных категорий лиц при осуществлении ими права на мирные собрания. Российская Федерация исходит из того, что закрепленные в Пакте права и свободы, включая </w:t>
      </w:r>
      <w:r>
        <w:rPr>
          <w:rFonts w:ascii="Times New Roman" w:hAnsi="Times New Roman" w:cs="Times New Roman"/>
          <w:sz w:val="28"/>
          <w:szCs w:val="28"/>
        </w:rPr>
        <w:lastRenderedPageBreak/>
        <w:t>право на мирные собрания, гарантируются всем лицам вне зависимости от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(статья 2 Пакта).</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7. </w:t>
      </w:r>
      <w:r>
        <w:rPr>
          <w:rFonts w:ascii="Times New Roman" w:hAnsi="Times New Roman" w:cs="Times New Roman"/>
          <w:sz w:val="28"/>
          <w:szCs w:val="28"/>
        </w:rPr>
        <w:t>Сомнительным</w:t>
      </w:r>
      <w:r>
        <w:rPr>
          <w:rFonts w:ascii="Times New Roman" w:hAnsi="Times New Roman" w:cs="Times New Roman"/>
          <w:sz w:val="28"/>
          <w:szCs w:val="28"/>
          <w:lang w:val="en-US"/>
        </w:rPr>
        <w:t xml:space="preserve"> </w:t>
      </w:r>
      <w:r>
        <w:rPr>
          <w:rFonts w:ascii="Times New Roman" w:hAnsi="Times New Roman" w:cs="Times New Roman"/>
          <w:sz w:val="28"/>
          <w:szCs w:val="28"/>
        </w:rPr>
        <w:t>представляется</w:t>
      </w:r>
      <w:r>
        <w:rPr>
          <w:rFonts w:ascii="Times New Roman" w:hAnsi="Times New Roman" w:cs="Times New Roman"/>
          <w:sz w:val="28"/>
          <w:szCs w:val="28"/>
          <w:lang w:val="en-US"/>
        </w:rPr>
        <w:t xml:space="preserve"> </w:t>
      </w:r>
      <w:r>
        <w:rPr>
          <w:rFonts w:ascii="Times New Roman" w:hAnsi="Times New Roman" w:cs="Times New Roman"/>
          <w:sz w:val="28"/>
          <w:szCs w:val="28"/>
        </w:rPr>
        <w:t>содержащийся</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пункте</w:t>
      </w:r>
      <w:r>
        <w:rPr>
          <w:rFonts w:ascii="Times New Roman" w:hAnsi="Times New Roman" w:cs="Times New Roman"/>
          <w:sz w:val="28"/>
          <w:szCs w:val="28"/>
          <w:lang w:val="en-US"/>
        </w:rPr>
        <w:t xml:space="preserve"> 30 </w:t>
      </w:r>
      <w:r>
        <w:rPr>
          <w:rFonts w:ascii="Times New Roman" w:hAnsi="Times New Roman" w:cs="Times New Roman"/>
          <w:sz w:val="28"/>
          <w:szCs w:val="28"/>
        </w:rPr>
        <w:t>проекта</w:t>
      </w:r>
      <w:r>
        <w:rPr>
          <w:rFonts w:ascii="Times New Roman" w:hAnsi="Times New Roman" w:cs="Times New Roman"/>
          <w:sz w:val="28"/>
          <w:szCs w:val="28"/>
          <w:lang w:val="en-US"/>
        </w:rPr>
        <w:t xml:space="preserve"> </w:t>
      </w:r>
      <w:r>
        <w:rPr>
          <w:rFonts w:ascii="Times New Roman" w:hAnsi="Times New Roman" w:cs="Times New Roman"/>
          <w:sz w:val="28"/>
          <w:szCs w:val="28"/>
        </w:rPr>
        <w:t>тезис</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том</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«counter-assemblies should also be treated in a content-neutral way, and be allowed to take place, where possible, within sight and sound of the assemblies against which they are directed». </w:t>
      </w:r>
      <w:r>
        <w:rPr>
          <w:rFonts w:ascii="Times New Roman" w:hAnsi="Times New Roman" w:cs="Times New Roman"/>
          <w:sz w:val="28"/>
          <w:szCs w:val="28"/>
        </w:rPr>
        <w:t xml:space="preserve">Как представляется, его реализация на практике может не только негативным образом сказаться на уровне обеспечения безопасности, но и в некоторых случаях спровоцировать открытый конфликт между участниками «конкурирующих» мероприятий. В этой связи российская сторона выступает за снятие упомянутой формулировки. </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Содержащийся в пункте 35 проекта тезис о том, что бизнес-структуры должны уважать права участвующих в мирном собрании лиц целесообразно дополнить положением о важности соблюдения баланса интересов частных предприятий и граждан, реализующих свое право на </w:t>
      </w:r>
      <w:r>
        <w:rPr>
          <w:rFonts w:ascii="Times New Roman" w:hAnsi="Times New Roman" w:cs="Times New Roman"/>
          <w:sz w:val="28"/>
          <w:szCs w:val="28"/>
        </w:rPr>
        <w:lastRenderedPageBreak/>
        <w:t>участие в соответствующем публичном мероприятии. В равной степени это касается уважения прав частных собственников территорий, на которых организовывается соответствующее мероприятие (пункт 67).</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Pr>
          <w:rFonts w:ascii="Times New Roman" w:hAnsi="Times New Roman" w:cs="Times New Roman"/>
          <w:sz w:val="28"/>
          <w:szCs w:val="28"/>
        </w:rPr>
        <w:t>С учетом включения в пункт 36 проекта пассажа о том, что «</w:t>
      </w:r>
      <w:r>
        <w:rPr>
          <w:rFonts w:ascii="Times New Roman" w:hAnsi="Times New Roman" w:cs="Times New Roman"/>
          <w:sz w:val="28"/>
          <w:szCs w:val="28"/>
          <w:lang w:val="en-US"/>
        </w:rPr>
        <w:t>assemblies</w:t>
      </w:r>
      <w:r>
        <w:rPr>
          <w:rFonts w:ascii="Times New Roman" w:hAnsi="Times New Roman" w:cs="Times New Roman"/>
          <w:sz w:val="28"/>
          <w:szCs w:val="28"/>
        </w:rPr>
        <w:t xml:space="preserve"> </w:t>
      </w:r>
      <w:r>
        <w:rPr>
          <w:rFonts w:ascii="Times New Roman" w:hAnsi="Times New Roman" w:cs="Times New Roman"/>
          <w:sz w:val="28"/>
          <w:szCs w:val="28"/>
          <w:lang w:val="en-US"/>
        </w:rPr>
        <w:t>with</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political</w:t>
      </w:r>
      <w:r>
        <w:rPr>
          <w:rFonts w:ascii="Times New Roman" w:hAnsi="Times New Roman" w:cs="Times New Roman"/>
          <w:sz w:val="28"/>
          <w:szCs w:val="28"/>
        </w:rPr>
        <w:t xml:space="preserve"> </w:t>
      </w:r>
      <w:r>
        <w:rPr>
          <w:rFonts w:ascii="Times New Roman" w:hAnsi="Times New Roman" w:cs="Times New Roman"/>
          <w:sz w:val="28"/>
          <w:szCs w:val="28"/>
          <w:lang w:val="en-US"/>
        </w:rPr>
        <w:t>message</w:t>
      </w:r>
      <w:r>
        <w:rPr>
          <w:rFonts w:ascii="Times New Roman" w:hAnsi="Times New Roman" w:cs="Times New Roman"/>
          <w:sz w:val="28"/>
          <w:szCs w:val="28"/>
        </w:rPr>
        <w:t xml:space="preserve"> </w:t>
      </w:r>
      <w:r>
        <w:rPr>
          <w:rFonts w:ascii="Times New Roman" w:hAnsi="Times New Roman" w:cs="Times New Roman"/>
          <w:sz w:val="28"/>
          <w:szCs w:val="28"/>
          <w:lang w:val="en-US"/>
        </w:rPr>
        <w:t>should</w:t>
      </w:r>
      <w:r>
        <w:rPr>
          <w:rFonts w:ascii="Times New Roman" w:hAnsi="Times New Roman" w:cs="Times New Roman"/>
          <w:sz w:val="28"/>
          <w:szCs w:val="28"/>
        </w:rPr>
        <w:t xml:space="preserve"> </w:t>
      </w:r>
      <w:r>
        <w:rPr>
          <w:rFonts w:ascii="Times New Roman" w:hAnsi="Times New Roman" w:cs="Times New Roman"/>
          <w:sz w:val="28"/>
          <w:szCs w:val="28"/>
          <w:lang w:val="en-US"/>
        </w:rPr>
        <w:t>likewise</w:t>
      </w:r>
      <w:r>
        <w:rPr>
          <w:rFonts w:ascii="Times New Roman" w:hAnsi="Times New Roman" w:cs="Times New Roman"/>
          <w:sz w:val="28"/>
          <w:szCs w:val="28"/>
        </w:rPr>
        <w:t xml:space="preserve"> </w:t>
      </w:r>
      <w:r>
        <w:rPr>
          <w:rFonts w:ascii="Times New Roman" w:hAnsi="Times New Roman" w:cs="Times New Roman"/>
          <w:sz w:val="28"/>
          <w:szCs w:val="28"/>
          <w:lang w:val="en-US"/>
        </w:rPr>
        <w:t>enjoy</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heightened</w:t>
      </w:r>
      <w:r>
        <w:rPr>
          <w:rFonts w:ascii="Times New Roman" w:hAnsi="Times New Roman" w:cs="Times New Roman"/>
          <w:sz w:val="28"/>
          <w:szCs w:val="28"/>
        </w:rPr>
        <w:t xml:space="preserve"> </w:t>
      </w:r>
      <w:r>
        <w:rPr>
          <w:rFonts w:ascii="Times New Roman" w:hAnsi="Times New Roman" w:cs="Times New Roman"/>
          <w:sz w:val="28"/>
          <w:szCs w:val="28"/>
          <w:lang w:val="en-US"/>
        </w:rPr>
        <w:t>level</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accommodation</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protection</w:t>
      </w:r>
      <w:r>
        <w:rPr>
          <w:rFonts w:ascii="Times New Roman" w:hAnsi="Times New Roman" w:cs="Times New Roman"/>
          <w:sz w:val="28"/>
          <w:szCs w:val="28"/>
        </w:rPr>
        <w:t xml:space="preserve">», необходимы дальнейшие разъяснения авторов документа относительно того, что они понимают под фразой «heightened level of accommodation and protection». </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 пунктах 48 и 52 проекта утверждается, что ограничение права мирных собраний по соображениям национальной безопасности и с целью защиты государственной или общественной безопасности, а также нравственности населения допускается только в исключительных случаях. Данный посыл не находит своего подтверждения в статье 21 Пакта, согласно которой для применения ограничений необходимо лишь, чтобы они налагались в соответствии с законом и были необходимы в демократическом обществе.</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 пункте 49 проекта наряду с жизнью и физической неприкосновенностью целесообразно упомянуть здоровье и </w:t>
      </w:r>
      <w:r>
        <w:rPr>
          <w:rFonts w:ascii="Times New Roman" w:hAnsi="Times New Roman" w:cs="Times New Roman"/>
          <w:sz w:val="28"/>
          <w:szCs w:val="28"/>
        </w:rPr>
        <w:lastRenderedPageBreak/>
        <w:t>психологическую неприкосновенность, которые также могут охватываться понятием «public safety», для обеспечения которой право на мирные собрания может быть ограничено.</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12. 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пункте</w:t>
      </w:r>
      <w:r>
        <w:rPr>
          <w:rFonts w:ascii="Times New Roman" w:hAnsi="Times New Roman" w:cs="Times New Roman"/>
          <w:sz w:val="28"/>
          <w:szCs w:val="28"/>
          <w:lang w:val="en-US"/>
        </w:rPr>
        <w:t xml:space="preserve"> 50 </w:t>
      </w:r>
      <w:r>
        <w:rPr>
          <w:rFonts w:ascii="Times New Roman" w:hAnsi="Times New Roman" w:cs="Times New Roman"/>
          <w:sz w:val="28"/>
          <w:szCs w:val="28"/>
        </w:rPr>
        <w:t>проекта</w:t>
      </w:r>
      <w:r>
        <w:rPr>
          <w:rFonts w:ascii="Times New Roman" w:hAnsi="Times New Roman" w:cs="Times New Roman"/>
          <w:sz w:val="28"/>
          <w:szCs w:val="28"/>
          <w:lang w:val="en-US"/>
        </w:rPr>
        <w:t xml:space="preserve"> </w:t>
      </w:r>
      <w:r>
        <w:rPr>
          <w:rFonts w:ascii="Times New Roman" w:hAnsi="Times New Roman" w:cs="Times New Roman"/>
          <w:sz w:val="28"/>
          <w:szCs w:val="28"/>
        </w:rPr>
        <w:t>указано</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«States parties should not rely on some vague notion of “public order” as a ground to justify overbroad restrictions on the right of peaceful assembly». </w:t>
      </w:r>
      <w:r>
        <w:rPr>
          <w:rFonts w:ascii="Times New Roman" w:hAnsi="Times New Roman" w:cs="Times New Roman"/>
          <w:sz w:val="28"/>
          <w:szCs w:val="28"/>
        </w:rPr>
        <w:t xml:space="preserve">Вместе с тем ни в данном пункте, ни в других положениях документа его авторы не конкретизируют понятие «public order». Представляется целесообразным восполнить этот пробел. </w:t>
      </w:r>
    </w:p>
    <w:p w:rsidR="00BD02AB" w:rsidRPr="007B527B" w:rsidRDefault="00F26F01">
      <w:pPr>
        <w:spacing w:after="0" w:line="360" w:lineRule="auto"/>
        <w:ind w:firstLine="709"/>
        <w:jc w:val="both"/>
        <w:rPr>
          <w:lang w:val="en-US"/>
        </w:rPr>
      </w:pPr>
      <w:r>
        <w:rPr>
          <w:rFonts w:ascii="Times New Roman" w:hAnsi="Times New Roman" w:cs="Times New Roman"/>
          <w:sz w:val="28"/>
          <w:szCs w:val="28"/>
        </w:rPr>
        <w:t>13. Не вполне обоснованной представляется содержащаяся в пункте 52 проекта трактовка членами Комитета норм морали. Принимая во внимание отсутствие в международном праве определения термина «мораль» подходить к данной теме необходимо с учетом национальных, исторических, религиозных и иных особенностей каждого конкретного государства. Навязывание</w:t>
      </w:r>
      <w:r w:rsidRPr="007B527B">
        <w:rPr>
          <w:rFonts w:ascii="Times New Roman" w:hAnsi="Times New Roman" w:cs="Times New Roman"/>
          <w:sz w:val="28"/>
          <w:szCs w:val="28"/>
          <w:lang w:val="en-US"/>
        </w:rPr>
        <w:t xml:space="preserve"> </w:t>
      </w:r>
      <w:r>
        <w:rPr>
          <w:rFonts w:ascii="Times New Roman" w:hAnsi="Times New Roman" w:cs="Times New Roman"/>
          <w:sz w:val="28"/>
          <w:szCs w:val="28"/>
        </w:rPr>
        <w:t>в</w:t>
      </w:r>
      <w:r w:rsidRPr="007B527B">
        <w:rPr>
          <w:rFonts w:ascii="Times New Roman" w:hAnsi="Times New Roman" w:cs="Times New Roman"/>
          <w:sz w:val="28"/>
          <w:szCs w:val="28"/>
          <w:lang w:val="en-US"/>
        </w:rPr>
        <w:t xml:space="preserve"> </w:t>
      </w:r>
      <w:r>
        <w:rPr>
          <w:rFonts w:ascii="Times New Roman" w:hAnsi="Times New Roman" w:cs="Times New Roman"/>
          <w:sz w:val="28"/>
          <w:szCs w:val="28"/>
        </w:rPr>
        <w:t>этом</w:t>
      </w:r>
      <w:r w:rsidRPr="007B527B">
        <w:rPr>
          <w:rFonts w:ascii="Times New Roman" w:hAnsi="Times New Roman" w:cs="Times New Roman"/>
          <w:sz w:val="28"/>
          <w:szCs w:val="28"/>
          <w:lang w:val="en-US"/>
        </w:rPr>
        <w:t xml:space="preserve"> </w:t>
      </w:r>
      <w:r>
        <w:rPr>
          <w:rFonts w:ascii="Times New Roman" w:hAnsi="Times New Roman" w:cs="Times New Roman"/>
          <w:sz w:val="28"/>
          <w:szCs w:val="28"/>
        </w:rPr>
        <w:t>вопросе</w:t>
      </w:r>
      <w:r w:rsidRPr="007B527B">
        <w:rPr>
          <w:rFonts w:ascii="Times New Roman" w:hAnsi="Times New Roman" w:cs="Times New Roman"/>
          <w:sz w:val="28"/>
          <w:szCs w:val="28"/>
          <w:lang w:val="en-US"/>
        </w:rPr>
        <w:t xml:space="preserve"> </w:t>
      </w:r>
      <w:r>
        <w:rPr>
          <w:rFonts w:ascii="Times New Roman" w:hAnsi="Times New Roman" w:cs="Times New Roman"/>
          <w:sz w:val="28"/>
          <w:szCs w:val="28"/>
        </w:rPr>
        <w:t>каких</w:t>
      </w:r>
      <w:r w:rsidRPr="007B527B">
        <w:rPr>
          <w:rFonts w:ascii="Times New Roman" w:hAnsi="Times New Roman" w:cs="Times New Roman"/>
          <w:sz w:val="28"/>
          <w:szCs w:val="28"/>
          <w:lang w:val="en-US"/>
        </w:rPr>
        <w:t>-</w:t>
      </w:r>
      <w:r>
        <w:rPr>
          <w:rFonts w:ascii="Times New Roman" w:hAnsi="Times New Roman" w:cs="Times New Roman"/>
          <w:sz w:val="28"/>
          <w:szCs w:val="28"/>
        </w:rPr>
        <w:t>то</w:t>
      </w:r>
      <w:r w:rsidRPr="007B527B">
        <w:rPr>
          <w:rFonts w:ascii="Times New Roman" w:hAnsi="Times New Roman" w:cs="Times New Roman"/>
          <w:sz w:val="28"/>
          <w:szCs w:val="28"/>
          <w:lang w:val="en-US"/>
        </w:rPr>
        <w:t xml:space="preserve"> </w:t>
      </w:r>
      <w:r>
        <w:rPr>
          <w:rFonts w:ascii="Times New Roman" w:hAnsi="Times New Roman" w:cs="Times New Roman"/>
          <w:sz w:val="28"/>
          <w:szCs w:val="28"/>
        </w:rPr>
        <w:t>универсальных</w:t>
      </w:r>
      <w:r w:rsidRPr="007B527B">
        <w:rPr>
          <w:rFonts w:ascii="Times New Roman" w:hAnsi="Times New Roman" w:cs="Times New Roman"/>
          <w:sz w:val="28"/>
          <w:szCs w:val="28"/>
          <w:lang w:val="en-US"/>
        </w:rPr>
        <w:t xml:space="preserve"> </w:t>
      </w:r>
      <w:r>
        <w:rPr>
          <w:rFonts w:ascii="Times New Roman" w:hAnsi="Times New Roman" w:cs="Times New Roman"/>
          <w:sz w:val="28"/>
          <w:szCs w:val="28"/>
        </w:rPr>
        <w:t>подходов</w:t>
      </w:r>
      <w:r w:rsidRPr="007B527B">
        <w:rPr>
          <w:rFonts w:ascii="Times New Roman" w:hAnsi="Times New Roman" w:cs="Times New Roman"/>
          <w:sz w:val="28"/>
          <w:szCs w:val="28"/>
          <w:lang w:val="en-US"/>
        </w:rPr>
        <w:t xml:space="preserve"> </w:t>
      </w:r>
      <w:r>
        <w:rPr>
          <w:rFonts w:ascii="Times New Roman" w:hAnsi="Times New Roman" w:cs="Times New Roman"/>
          <w:sz w:val="28"/>
          <w:szCs w:val="28"/>
        </w:rPr>
        <w:t>недопустимо</w:t>
      </w:r>
      <w:r w:rsidRPr="007B527B">
        <w:rPr>
          <w:rFonts w:ascii="Times New Roman" w:hAnsi="Times New Roman" w:cs="Times New Roman"/>
          <w:sz w:val="28"/>
          <w:szCs w:val="28"/>
          <w:lang w:val="en-US"/>
        </w:rPr>
        <w:t xml:space="preserve">. </w:t>
      </w:r>
    </w:p>
    <w:p w:rsidR="00BD02AB" w:rsidRDefault="00F26F01">
      <w:pPr>
        <w:tabs>
          <w:tab w:val="left" w:pos="22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14. </w:t>
      </w:r>
      <w:r>
        <w:rPr>
          <w:rFonts w:ascii="Times New Roman" w:hAnsi="Times New Roman" w:cs="Times New Roman"/>
          <w:sz w:val="28"/>
          <w:szCs w:val="28"/>
        </w:rPr>
        <w:t>Формулировка</w:t>
      </w:r>
      <w:r>
        <w:rPr>
          <w:rFonts w:ascii="Times New Roman" w:hAnsi="Times New Roman" w:cs="Times New Roman"/>
          <w:sz w:val="28"/>
          <w:szCs w:val="28"/>
          <w:lang w:val="en-US"/>
        </w:rPr>
        <w:t xml:space="preserve"> </w:t>
      </w:r>
      <w:r>
        <w:rPr>
          <w:rFonts w:ascii="Times New Roman" w:hAnsi="Times New Roman" w:cs="Times New Roman"/>
          <w:sz w:val="28"/>
          <w:szCs w:val="28"/>
        </w:rPr>
        <w:t>пункта</w:t>
      </w:r>
      <w:r>
        <w:rPr>
          <w:rFonts w:ascii="Times New Roman" w:hAnsi="Times New Roman" w:cs="Times New Roman"/>
          <w:sz w:val="28"/>
          <w:szCs w:val="28"/>
          <w:lang w:val="en-US"/>
        </w:rPr>
        <w:t xml:space="preserve"> 55 </w:t>
      </w:r>
      <w:r>
        <w:rPr>
          <w:rFonts w:ascii="Times New Roman" w:hAnsi="Times New Roman" w:cs="Times New Roman"/>
          <w:sz w:val="28"/>
          <w:szCs w:val="28"/>
        </w:rPr>
        <w:t>проекта</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том</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«restrictions on peaceful assemblies must thus not be used, explicitly or implicitly, to stifle </w:t>
      </w:r>
      <w:r>
        <w:rPr>
          <w:rFonts w:ascii="Times New Roman" w:hAnsi="Times New Roman" w:cs="Times New Roman"/>
          <w:sz w:val="28"/>
          <w:szCs w:val="28"/>
          <w:lang w:val="en-US"/>
        </w:rPr>
        <w:lastRenderedPageBreak/>
        <w:t xml:space="preserve">expression of political opposition to a government, including calls for changes of government, the constitution, the political system, or political independence for part of the country» </w:t>
      </w:r>
      <w:r>
        <w:rPr>
          <w:rFonts w:ascii="Times New Roman" w:hAnsi="Times New Roman" w:cs="Times New Roman"/>
          <w:sz w:val="28"/>
          <w:szCs w:val="28"/>
        </w:rPr>
        <w:t>при</w:t>
      </w:r>
      <w:r>
        <w:rPr>
          <w:rFonts w:ascii="Times New Roman" w:hAnsi="Times New Roman" w:cs="Times New Roman"/>
          <w:sz w:val="28"/>
          <w:szCs w:val="28"/>
          <w:lang w:val="en-US"/>
        </w:rPr>
        <w:t xml:space="preserve"> </w:t>
      </w:r>
      <w:r>
        <w:rPr>
          <w:rFonts w:ascii="Times New Roman" w:hAnsi="Times New Roman" w:cs="Times New Roman"/>
          <w:sz w:val="28"/>
          <w:szCs w:val="28"/>
        </w:rPr>
        <w:t>определенных</w:t>
      </w:r>
      <w:r>
        <w:rPr>
          <w:rFonts w:ascii="Times New Roman" w:hAnsi="Times New Roman" w:cs="Times New Roman"/>
          <w:sz w:val="28"/>
          <w:szCs w:val="28"/>
          <w:lang w:val="en-US"/>
        </w:rPr>
        <w:t xml:space="preserve"> </w:t>
      </w:r>
      <w:r>
        <w:rPr>
          <w:rFonts w:ascii="Times New Roman" w:hAnsi="Times New Roman" w:cs="Times New Roman"/>
          <w:sz w:val="28"/>
          <w:szCs w:val="28"/>
        </w:rPr>
        <w:t>условиях</w:t>
      </w:r>
      <w:r>
        <w:rPr>
          <w:rFonts w:ascii="Times New Roman" w:hAnsi="Times New Roman" w:cs="Times New Roman"/>
          <w:sz w:val="28"/>
          <w:szCs w:val="28"/>
          <w:lang w:val="en-US"/>
        </w:rPr>
        <w:t xml:space="preserve">, </w:t>
      </w:r>
      <w:r>
        <w:rPr>
          <w:rFonts w:ascii="Times New Roman" w:hAnsi="Times New Roman" w:cs="Times New Roman"/>
          <w:sz w:val="28"/>
          <w:szCs w:val="28"/>
        </w:rPr>
        <w:t>как</w:t>
      </w:r>
      <w:r>
        <w:rPr>
          <w:rFonts w:ascii="Times New Roman" w:hAnsi="Times New Roman" w:cs="Times New Roman"/>
          <w:sz w:val="28"/>
          <w:szCs w:val="28"/>
          <w:lang w:val="en-US"/>
        </w:rPr>
        <w:t xml:space="preserve"> </w:t>
      </w:r>
      <w:r>
        <w:rPr>
          <w:rFonts w:ascii="Times New Roman" w:hAnsi="Times New Roman" w:cs="Times New Roman"/>
          <w:sz w:val="28"/>
          <w:szCs w:val="28"/>
        </w:rPr>
        <w:t>представляется</w:t>
      </w:r>
      <w:r>
        <w:rPr>
          <w:rFonts w:ascii="Times New Roman" w:hAnsi="Times New Roman" w:cs="Times New Roman"/>
          <w:sz w:val="28"/>
          <w:szCs w:val="28"/>
          <w:lang w:val="en-US"/>
        </w:rPr>
        <w:t xml:space="preserve">, </w:t>
      </w:r>
      <w:r>
        <w:rPr>
          <w:rFonts w:ascii="Times New Roman" w:hAnsi="Times New Roman" w:cs="Times New Roman"/>
          <w:sz w:val="28"/>
          <w:szCs w:val="28"/>
        </w:rPr>
        <w:t>может</w:t>
      </w:r>
      <w:r>
        <w:rPr>
          <w:rFonts w:ascii="Times New Roman" w:hAnsi="Times New Roman" w:cs="Times New Roman"/>
          <w:sz w:val="28"/>
          <w:szCs w:val="28"/>
          <w:lang w:val="en-US"/>
        </w:rPr>
        <w:t xml:space="preserve"> </w:t>
      </w:r>
      <w:r>
        <w:rPr>
          <w:rFonts w:ascii="Times New Roman" w:hAnsi="Times New Roman" w:cs="Times New Roman"/>
          <w:sz w:val="28"/>
          <w:szCs w:val="28"/>
        </w:rPr>
        <w:t>входить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противоречие</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положениями</w:t>
      </w:r>
      <w:r>
        <w:rPr>
          <w:rFonts w:ascii="Times New Roman" w:hAnsi="Times New Roman" w:cs="Times New Roman"/>
          <w:sz w:val="28"/>
          <w:szCs w:val="28"/>
          <w:lang w:val="en-US"/>
        </w:rPr>
        <w:t xml:space="preserve"> </w:t>
      </w:r>
      <w:r>
        <w:rPr>
          <w:rFonts w:ascii="Times New Roman" w:hAnsi="Times New Roman" w:cs="Times New Roman"/>
          <w:sz w:val="28"/>
          <w:szCs w:val="28"/>
        </w:rPr>
        <w:t>Пакта</w:t>
      </w:r>
      <w:r>
        <w:rPr>
          <w:rFonts w:ascii="Times New Roman" w:hAnsi="Times New Roman" w:cs="Times New Roman"/>
          <w:sz w:val="28"/>
          <w:szCs w:val="28"/>
          <w:lang w:val="en-US"/>
        </w:rPr>
        <w:t xml:space="preserve">. </w:t>
      </w:r>
      <w:r>
        <w:rPr>
          <w:rFonts w:ascii="Times New Roman" w:hAnsi="Times New Roman" w:cs="Times New Roman"/>
          <w:sz w:val="28"/>
          <w:szCs w:val="28"/>
        </w:rPr>
        <w:t>В частности, согласно его статьи 21 право на мирные собрания не является абсолютным и может быть ограничено в соответствии с законом, при условии, если это необходимо в демократическом обществе, в том числе, в интересах государственной или общественной безопасности.</w:t>
      </w:r>
    </w:p>
    <w:p w:rsidR="00BD02AB" w:rsidRDefault="00F26F01">
      <w:pPr>
        <w:tabs>
          <w:tab w:val="left" w:pos="22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в некоторых случаях перечисленные в пункте 55 проекта деяния могут подпадать под закрепленные в международных документах определения таких противоправных действий, как:</w:t>
      </w:r>
    </w:p>
    <w:p w:rsidR="00BD02AB" w:rsidRDefault="00F26F01">
      <w:pPr>
        <w:tabs>
          <w:tab w:val="left" w:pos="22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«экстремистская деятельность (экстремизм)» (подпункт 3 пункта 1 статьи 1 Шанхайской конвенции о борьбе с терроризмом, сепаратизмом </w:t>
      </w:r>
      <w:r>
        <w:rPr>
          <w:rFonts w:ascii="Times New Roman" w:hAnsi="Times New Roman" w:cs="Times New Roman"/>
          <w:sz w:val="28"/>
          <w:szCs w:val="28"/>
        </w:rPr>
        <w:br/>
        <w:t>и экстремизмом от 15 июня 2001 г.);</w:t>
      </w:r>
    </w:p>
    <w:p w:rsidR="00BD02AB" w:rsidRDefault="00F26F01">
      <w:pPr>
        <w:tabs>
          <w:tab w:val="left" w:pos="22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«экстремистский акт» (подпункт 3 пункта 1 статьи 2 Конвенции Шанхайской организации сотрудничества по противодействию экстремизму от 9 июня 2017 г.).</w:t>
      </w:r>
    </w:p>
    <w:p w:rsidR="00BD02AB" w:rsidRDefault="00F26F01">
      <w:pPr>
        <w:tabs>
          <w:tab w:val="left" w:pos="22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15. </w:t>
      </w:r>
      <w:r>
        <w:rPr>
          <w:rFonts w:ascii="Times New Roman" w:hAnsi="Times New Roman" w:cs="Times New Roman"/>
          <w:sz w:val="28"/>
          <w:szCs w:val="28"/>
        </w:rPr>
        <w:t>Спорным</w:t>
      </w:r>
      <w:r>
        <w:rPr>
          <w:rFonts w:ascii="Times New Roman" w:hAnsi="Times New Roman" w:cs="Times New Roman"/>
          <w:sz w:val="28"/>
          <w:szCs w:val="28"/>
          <w:lang w:val="en-US"/>
        </w:rPr>
        <w:t xml:space="preserve"> </w:t>
      </w:r>
      <w:r>
        <w:rPr>
          <w:rFonts w:ascii="Times New Roman" w:hAnsi="Times New Roman" w:cs="Times New Roman"/>
          <w:sz w:val="28"/>
          <w:szCs w:val="28"/>
        </w:rPr>
        <w:t>представляется</w:t>
      </w:r>
      <w:r>
        <w:rPr>
          <w:rFonts w:ascii="Times New Roman" w:hAnsi="Times New Roman" w:cs="Times New Roman"/>
          <w:sz w:val="28"/>
          <w:szCs w:val="28"/>
          <w:lang w:val="en-US"/>
        </w:rPr>
        <w:t xml:space="preserve"> </w:t>
      </w:r>
      <w:r>
        <w:rPr>
          <w:rFonts w:ascii="Times New Roman" w:hAnsi="Times New Roman" w:cs="Times New Roman"/>
          <w:sz w:val="28"/>
          <w:szCs w:val="28"/>
        </w:rPr>
        <w:t>содержащееся</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пункте</w:t>
      </w:r>
      <w:r>
        <w:rPr>
          <w:rFonts w:ascii="Times New Roman" w:hAnsi="Times New Roman" w:cs="Times New Roman"/>
          <w:sz w:val="28"/>
          <w:szCs w:val="28"/>
          <w:lang w:val="en-US"/>
        </w:rPr>
        <w:t xml:space="preserve"> 55 </w:t>
      </w:r>
      <w:r>
        <w:rPr>
          <w:rFonts w:ascii="Times New Roman" w:hAnsi="Times New Roman" w:cs="Times New Roman"/>
          <w:sz w:val="28"/>
          <w:szCs w:val="28"/>
        </w:rPr>
        <w:t>проекта</w:t>
      </w:r>
      <w:r>
        <w:rPr>
          <w:rFonts w:ascii="Times New Roman" w:hAnsi="Times New Roman" w:cs="Times New Roman"/>
          <w:sz w:val="28"/>
          <w:szCs w:val="28"/>
          <w:lang w:val="en-US"/>
        </w:rPr>
        <w:t xml:space="preserve"> </w:t>
      </w:r>
      <w:r>
        <w:rPr>
          <w:rFonts w:ascii="Times New Roman" w:hAnsi="Times New Roman" w:cs="Times New Roman"/>
          <w:sz w:val="28"/>
          <w:szCs w:val="28"/>
        </w:rPr>
        <w:t>положение</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том</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ограничения</w:t>
      </w:r>
      <w:r>
        <w:rPr>
          <w:rFonts w:ascii="Times New Roman" w:hAnsi="Times New Roman" w:cs="Times New Roman"/>
          <w:sz w:val="28"/>
          <w:szCs w:val="28"/>
          <w:lang w:val="en-US"/>
        </w:rPr>
        <w:t xml:space="preserve"> «should not be used to prohibit insults to the honour and dignity of officials or State organs or to pursue other objectives favoured by the authorities». </w:t>
      </w:r>
      <w:r>
        <w:rPr>
          <w:rFonts w:ascii="Times New Roman" w:hAnsi="Times New Roman" w:cs="Times New Roman"/>
          <w:sz w:val="28"/>
          <w:szCs w:val="28"/>
        </w:rPr>
        <w:t>Несмотря на то, что к государственным служащим, действующим в официальном качестве, и политическим деятелям применимы более широкие пределы допустимой критики, чем к частным лицам, (пункт 59 постановления Европейского Суда по правам человека от 30 мая 2013 г. по делу «</w:t>
      </w:r>
      <w:r>
        <w:rPr>
          <w:rFonts w:ascii="Times New Roman" w:hAnsi="Times New Roman" w:cs="Times New Roman"/>
          <w:sz w:val="28"/>
          <w:szCs w:val="28"/>
          <w:lang w:val="en-US"/>
        </w:rPr>
        <w:t>OOO</w:t>
      </w:r>
      <w:r>
        <w:rPr>
          <w:rFonts w:ascii="Times New Roman" w:hAnsi="Times New Roman" w:cs="Times New Roman"/>
          <w:sz w:val="28"/>
          <w:szCs w:val="28"/>
        </w:rPr>
        <w:t xml:space="preserve"> «</w:t>
      </w:r>
      <w:r>
        <w:rPr>
          <w:rFonts w:ascii="Times New Roman" w:hAnsi="Times New Roman" w:cs="Times New Roman"/>
          <w:sz w:val="28"/>
          <w:szCs w:val="28"/>
          <w:lang w:val="en-US"/>
        </w:rPr>
        <w:t>Vesti</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Ukhov</w:t>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w:t>
      </w:r>
      <w:r>
        <w:rPr>
          <w:rFonts w:ascii="Times New Roman" w:hAnsi="Times New Roman" w:cs="Times New Roman"/>
          <w:sz w:val="28"/>
          <w:szCs w:val="28"/>
          <w:lang w:val="en-US"/>
        </w:rPr>
        <w:t>Russia</w:t>
      </w:r>
      <w:r>
        <w:rPr>
          <w:rFonts w:ascii="Times New Roman" w:hAnsi="Times New Roman" w:cs="Times New Roman"/>
          <w:sz w:val="28"/>
          <w:szCs w:val="28"/>
        </w:rPr>
        <w:t>»), такие прецедентные нормы не могут произвольно толковаться как неограниченное право публично оскорблять государственных служащих и органы государственной власти.</w:t>
      </w:r>
    </w:p>
    <w:p w:rsidR="00BD02AB" w:rsidRDefault="00F26F01">
      <w:pPr>
        <w:tabs>
          <w:tab w:val="left" w:pos="22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16.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можем</w:t>
      </w:r>
      <w:r>
        <w:rPr>
          <w:rFonts w:ascii="Times New Roman" w:hAnsi="Times New Roman" w:cs="Times New Roman"/>
          <w:sz w:val="28"/>
          <w:szCs w:val="28"/>
          <w:lang w:val="en-US"/>
        </w:rPr>
        <w:t xml:space="preserve"> </w:t>
      </w:r>
      <w:r>
        <w:rPr>
          <w:rFonts w:ascii="Times New Roman" w:hAnsi="Times New Roman" w:cs="Times New Roman"/>
          <w:sz w:val="28"/>
          <w:szCs w:val="28"/>
        </w:rPr>
        <w:t>согласиться</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содержащимся</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пункте</w:t>
      </w:r>
      <w:r>
        <w:rPr>
          <w:rFonts w:ascii="Times New Roman" w:hAnsi="Times New Roman" w:cs="Times New Roman"/>
          <w:sz w:val="28"/>
          <w:szCs w:val="28"/>
          <w:lang w:val="en-US"/>
        </w:rPr>
        <w:t xml:space="preserve"> 58 </w:t>
      </w:r>
      <w:r>
        <w:rPr>
          <w:rFonts w:ascii="Times New Roman" w:hAnsi="Times New Roman" w:cs="Times New Roman"/>
          <w:sz w:val="28"/>
          <w:szCs w:val="28"/>
        </w:rPr>
        <w:t>проекта</w:t>
      </w:r>
      <w:r>
        <w:rPr>
          <w:rFonts w:ascii="Times New Roman" w:hAnsi="Times New Roman" w:cs="Times New Roman"/>
          <w:sz w:val="28"/>
          <w:szCs w:val="28"/>
          <w:lang w:val="en-US"/>
        </w:rPr>
        <w:t xml:space="preserve"> </w:t>
      </w:r>
      <w:r>
        <w:rPr>
          <w:rFonts w:ascii="Times New Roman" w:hAnsi="Times New Roman" w:cs="Times New Roman"/>
          <w:sz w:val="28"/>
          <w:szCs w:val="28"/>
        </w:rPr>
        <w:t>тезисом</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том</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«the fact that an assembly provokes or may provoke a hostile reaction from members of the public against participants, as a general </w:t>
      </w:r>
      <w:r>
        <w:rPr>
          <w:rFonts w:ascii="Times New Roman" w:hAnsi="Times New Roman" w:cs="Times New Roman"/>
          <w:sz w:val="28"/>
          <w:szCs w:val="28"/>
          <w:lang w:val="en-US"/>
        </w:rPr>
        <w:lastRenderedPageBreak/>
        <w:t xml:space="preserve">rule, does not justify prohibition». </w:t>
      </w:r>
      <w:r>
        <w:rPr>
          <w:rFonts w:ascii="Times New Roman" w:hAnsi="Times New Roman" w:cs="Times New Roman"/>
          <w:sz w:val="28"/>
          <w:szCs w:val="28"/>
        </w:rPr>
        <w:t>Российская сторона исходит из того, что угроза возникновения насилия в результате проведения массового мероприятия является достаточным основанием для применения в отношении него ограничительных мер в целях защиты прав и законных интересов других граждан.</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17. </w:t>
      </w:r>
      <w:r>
        <w:rPr>
          <w:rFonts w:ascii="Times New Roman" w:hAnsi="Times New Roman" w:cs="Times New Roman"/>
          <w:sz w:val="28"/>
          <w:szCs w:val="28"/>
        </w:rPr>
        <w:t>Как</w:t>
      </w:r>
      <w:r>
        <w:rPr>
          <w:rFonts w:ascii="Times New Roman" w:hAnsi="Times New Roman" w:cs="Times New Roman"/>
          <w:sz w:val="28"/>
          <w:szCs w:val="28"/>
          <w:lang w:val="en-US"/>
        </w:rPr>
        <w:t xml:space="preserve"> </w:t>
      </w:r>
      <w:r>
        <w:rPr>
          <w:rFonts w:ascii="Times New Roman" w:hAnsi="Times New Roman" w:cs="Times New Roman"/>
          <w:sz w:val="28"/>
          <w:szCs w:val="28"/>
        </w:rPr>
        <w:t>представляется</w:t>
      </w:r>
      <w:r>
        <w:rPr>
          <w:rFonts w:ascii="Times New Roman" w:hAnsi="Times New Roman" w:cs="Times New Roman"/>
          <w:sz w:val="28"/>
          <w:szCs w:val="28"/>
          <w:lang w:val="en-US"/>
        </w:rPr>
        <w:t xml:space="preserve">, </w:t>
      </w:r>
      <w:r>
        <w:rPr>
          <w:rFonts w:ascii="Times New Roman" w:hAnsi="Times New Roman" w:cs="Times New Roman"/>
          <w:sz w:val="28"/>
          <w:szCs w:val="28"/>
        </w:rPr>
        <w:t>доработки</w:t>
      </w:r>
      <w:r>
        <w:rPr>
          <w:rFonts w:ascii="Times New Roman" w:hAnsi="Times New Roman" w:cs="Times New Roman"/>
          <w:sz w:val="28"/>
          <w:szCs w:val="28"/>
          <w:lang w:val="en-US"/>
        </w:rPr>
        <w:t xml:space="preserve"> </w:t>
      </w:r>
      <w:r>
        <w:rPr>
          <w:rFonts w:ascii="Times New Roman" w:hAnsi="Times New Roman" w:cs="Times New Roman"/>
          <w:sz w:val="28"/>
          <w:szCs w:val="28"/>
        </w:rPr>
        <w:t>требует</w:t>
      </w:r>
      <w:r>
        <w:rPr>
          <w:rFonts w:ascii="Times New Roman" w:hAnsi="Times New Roman" w:cs="Times New Roman"/>
          <w:sz w:val="28"/>
          <w:szCs w:val="28"/>
          <w:lang w:val="en-US"/>
        </w:rPr>
        <w:t xml:space="preserve"> </w:t>
      </w:r>
      <w:r>
        <w:rPr>
          <w:rFonts w:ascii="Times New Roman" w:hAnsi="Times New Roman" w:cs="Times New Roman"/>
          <w:sz w:val="28"/>
          <w:szCs w:val="28"/>
        </w:rPr>
        <w:t>пункт</w:t>
      </w:r>
      <w:r>
        <w:rPr>
          <w:rFonts w:ascii="Times New Roman" w:hAnsi="Times New Roman" w:cs="Times New Roman"/>
          <w:sz w:val="28"/>
          <w:szCs w:val="28"/>
          <w:lang w:val="en-US"/>
        </w:rPr>
        <w:t xml:space="preserve"> 60 </w:t>
      </w:r>
      <w:r>
        <w:rPr>
          <w:rFonts w:ascii="Times New Roman" w:hAnsi="Times New Roman" w:cs="Times New Roman"/>
          <w:sz w:val="28"/>
          <w:szCs w:val="28"/>
        </w:rPr>
        <w:t>проекта</w:t>
      </w:r>
      <w:r>
        <w:rPr>
          <w:rFonts w:ascii="Times New Roman" w:hAnsi="Times New Roman" w:cs="Times New Roman"/>
          <w:sz w:val="28"/>
          <w:szCs w:val="28"/>
          <w:lang w:val="en-US"/>
        </w:rPr>
        <w:t xml:space="preserve">, </w:t>
      </w:r>
      <w:r>
        <w:rPr>
          <w:rFonts w:ascii="Times New Roman" w:hAnsi="Times New Roman" w:cs="Times New Roman"/>
          <w:sz w:val="28"/>
          <w:szCs w:val="28"/>
        </w:rPr>
        <w:t>содержащий</w:t>
      </w:r>
      <w:r>
        <w:rPr>
          <w:rFonts w:ascii="Times New Roman" w:hAnsi="Times New Roman" w:cs="Times New Roman"/>
          <w:sz w:val="28"/>
          <w:szCs w:val="28"/>
          <w:lang w:val="en-US"/>
        </w:rPr>
        <w:t xml:space="preserve"> </w:t>
      </w:r>
      <w:r>
        <w:rPr>
          <w:rFonts w:ascii="Times New Roman" w:hAnsi="Times New Roman" w:cs="Times New Roman"/>
          <w:sz w:val="28"/>
          <w:szCs w:val="28"/>
        </w:rPr>
        <w:t>утверждение</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том</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«generally, the use of flags, uniforms, signs and banners is to be regarded as a legitimate form of expression that should not be restricted, even if such symbols are reminders of a painful past». </w:t>
      </w:r>
      <w:r>
        <w:rPr>
          <w:rFonts w:ascii="Times New Roman" w:hAnsi="Times New Roman" w:cs="Times New Roman"/>
          <w:sz w:val="28"/>
          <w:szCs w:val="28"/>
        </w:rPr>
        <w:t xml:space="preserve">В частности, российская сторона полагает необходимым дополнить данный пункт положением о том, что ограничения могут быть оправданы в отношении использования нацистской символики, к которой относятся свастика, знамена, значки, атрибуты униформы, приветствия, приветственные жесты и другие отличительные знаки государственных, военных и иных структур, признанных преступными Нюрнбергским Трибуналом. Подобный подход отвечает общему пониманию недопустимости героизации нацизма, закрепленному в резолюциях «Combating glorification of Nazism, neo-Nazism and other </w:t>
      </w:r>
      <w:r>
        <w:rPr>
          <w:rFonts w:ascii="Times New Roman" w:hAnsi="Times New Roman" w:cs="Times New Roman"/>
          <w:sz w:val="28"/>
          <w:szCs w:val="28"/>
        </w:rPr>
        <w:lastRenderedPageBreak/>
        <w:t>practices that contribute to fueling contemporary forms of racism, racial discrimination, xenophobia and related intolerance», ежегодно принимаемых Генеральной Ассамблеей ООН подавляющим большинством голосов государств-членов Всемирной организации.</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en-US"/>
        </w:rPr>
        <w:t> </w:t>
      </w:r>
      <w:r>
        <w:rPr>
          <w:rFonts w:ascii="Times New Roman" w:hAnsi="Times New Roman" w:cs="Times New Roman"/>
          <w:sz w:val="28"/>
          <w:szCs w:val="28"/>
        </w:rPr>
        <w:t>Вызывает сомнения содержащийся в пункте 70 проекта тезис о том, что «</w:t>
      </w:r>
      <w:r>
        <w:rPr>
          <w:rFonts w:ascii="Times New Roman" w:hAnsi="Times New Roman" w:cs="Times New Roman"/>
          <w:sz w:val="28"/>
          <w:szCs w:val="28"/>
          <w:lang w:val="en-US"/>
        </w:rPr>
        <w:t>assembly</w:t>
      </w:r>
      <w:r>
        <w:rPr>
          <w:rFonts w:ascii="Times New Roman" w:hAnsi="Times New Roman" w:cs="Times New Roman"/>
          <w:sz w:val="28"/>
          <w:szCs w:val="28"/>
        </w:rPr>
        <w:t xml:space="preserve"> </w:t>
      </w:r>
      <w:r>
        <w:rPr>
          <w:rFonts w:ascii="Times New Roman" w:hAnsi="Times New Roman" w:cs="Times New Roman"/>
          <w:sz w:val="28"/>
          <w:szCs w:val="28"/>
          <w:lang w:val="en-US"/>
        </w:rPr>
        <w:t>participants</w:t>
      </w:r>
      <w:r>
        <w:rPr>
          <w:rFonts w:ascii="Times New Roman" w:hAnsi="Times New Roman" w:cs="Times New Roman"/>
          <w:sz w:val="28"/>
          <w:szCs w:val="28"/>
        </w:rPr>
        <w:t xml:space="preserve"> </w:t>
      </w:r>
      <w:r>
        <w:rPr>
          <w:rFonts w:ascii="Times New Roman" w:hAnsi="Times New Roman" w:cs="Times New Roman"/>
          <w:sz w:val="28"/>
          <w:szCs w:val="28"/>
          <w:lang w:val="en-US"/>
        </w:rPr>
        <w:t>should</w:t>
      </w:r>
      <w:r>
        <w:rPr>
          <w:rFonts w:ascii="Times New Roman" w:hAnsi="Times New Roman" w:cs="Times New Roman"/>
          <w:sz w:val="28"/>
          <w:szCs w:val="28"/>
        </w:rPr>
        <w:t xml:space="preserve"> </w:t>
      </w:r>
      <w:r>
        <w:rPr>
          <w:rFonts w:ascii="Times New Roman" w:hAnsi="Times New Roman" w:cs="Times New Roman"/>
          <w:sz w:val="28"/>
          <w:szCs w:val="28"/>
          <w:lang w:val="en-US"/>
        </w:rPr>
        <w:t>not</w:t>
      </w:r>
      <w:r>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w:t>
      </w:r>
      <w:r>
        <w:rPr>
          <w:rFonts w:ascii="Times New Roman" w:hAnsi="Times New Roman" w:cs="Times New Roman"/>
          <w:sz w:val="28"/>
          <w:szCs w:val="28"/>
          <w:lang w:val="en-US"/>
        </w:rPr>
        <w:t>prohibited</w:t>
      </w:r>
      <w:r>
        <w:rPr>
          <w:rFonts w:ascii="Times New Roman" w:hAnsi="Times New Roman" w:cs="Times New Roman"/>
          <w:sz w:val="28"/>
          <w:szCs w:val="28"/>
        </w:rPr>
        <w:t xml:space="preserve"> </w:t>
      </w:r>
      <w:r>
        <w:rPr>
          <w:rFonts w:ascii="Times New Roman" w:hAnsi="Times New Roman" w:cs="Times New Roman"/>
          <w:sz w:val="28"/>
          <w:szCs w:val="28"/>
          <w:lang w:val="en-US"/>
        </w:rPr>
        <w:t>from</w:t>
      </w:r>
      <w:r>
        <w:rPr>
          <w:rFonts w:ascii="Times New Roman" w:hAnsi="Times New Roman" w:cs="Times New Roman"/>
          <w:sz w:val="28"/>
          <w:szCs w:val="28"/>
        </w:rPr>
        <w:t xml:space="preserve"> </w:t>
      </w:r>
      <w:r>
        <w:rPr>
          <w:rFonts w:ascii="Times New Roman" w:hAnsi="Times New Roman" w:cs="Times New Roman"/>
          <w:sz w:val="28"/>
          <w:szCs w:val="28"/>
          <w:lang w:val="en-US"/>
        </w:rPr>
        <w:t>wearing</w:t>
      </w:r>
      <w:r>
        <w:rPr>
          <w:rFonts w:ascii="Times New Roman" w:hAnsi="Times New Roman" w:cs="Times New Roman"/>
          <w:sz w:val="28"/>
          <w:szCs w:val="28"/>
        </w:rPr>
        <w:t xml:space="preserve"> </w:t>
      </w:r>
      <w:r>
        <w:rPr>
          <w:rFonts w:ascii="Times New Roman" w:hAnsi="Times New Roman" w:cs="Times New Roman"/>
          <w:sz w:val="28"/>
          <w:szCs w:val="28"/>
          <w:lang w:val="en-US"/>
        </w:rPr>
        <w:t>face</w:t>
      </w:r>
      <w:r>
        <w:rPr>
          <w:rFonts w:ascii="Times New Roman" w:hAnsi="Times New Roman" w:cs="Times New Roman"/>
          <w:sz w:val="28"/>
          <w:szCs w:val="28"/>
        </w:rPr>
        <w:t xml:space="preserve"> </w:t>
      </w:r>
      <w:r>
        <w:rPr>
          <w:rFonts w:ascii="Times New Roman" w:hAnsi="Times New Roman" w:cs="Times New Roman"/>
          <w:sz w:val="28"/>
          <w:szCs w:val="28"/>
          <w:lang w:val="en-US"/>
        </w:rPr>
        <w:t>coverings</w:t>
      </w:r>
      <w:r>
        <w:rPr>
          <w:rFonts w:ascii="Times New Roman" w:hAnsi="Times New Roman" w:cs="Times New Roman"/>
          <w:sz w:val="28"/>
          <w:szCs w:val="28"/>
        </w:rPr>
        <w:t xml:space="preserve"> </w:t>
      </w:r>
      <w:r>
        <w:rPr>
          <w:rFonts w:ascii="Times New Roman" w:hAnsi="Times New Roman" w:cs="Times New Roman"/>
          <w:sz w:val="28"/>
          <w:szCs w:val="28"/>
          <w:lang w:val="en-US"/>
        </w:rPr>
        <w:t>where</w:t>
      </w:r>
      <w:r>
        <w:rPr>
          <w:rFonts w:ascii="Times New Roman" w:hAnsi="Times New Roman" w:cs="Times New Roman"/>
          <w:sz w:val="28"/>
          <w:szCs w:val="28"/>
        </w:rPr>
        <w:t xml:space="preserve"> </w:t>
      </w:r>
      <w:r>
        <w:rPr>
          <w:rFonts w:ascii="Times New Roman" w:hAnsi="Times New Roman" w:cs="Times New Roman"/>
          <w:sz w:val="28"/>
          <w:szCs w:val="28"/>
          <w:lang w:val="en-US"/>
        </w:rPr>
        <w:t>there</w:t>
      </w:r>
      <w:r>
        <w:rPr>
          <w:rFonts w:ascii="Times New Roman" w:hAnsi="Times New Roman" w:cs="Times New Roman"/>
          <w:sz w:val="28"/>
          <w:szCs w:val="28"/>
        </w:rPr>
        <w:t xml:space="preserve"> </w:t>
      </w:r>
      <w:r>
        <w:rPr>
          <w:rFonts w:ascii="Times New Roman" w:hAnsi="Times New Roman" w:cs="Times New Roman"/>
          <w:sz w:val="28"/>
          <w:szCs w:val="28"/>
          <w:lang w:val="en-US"/>
        </w:rPr>
        <w:t>is</w:t>
      </w:r>
      <w:r>
        <w:rPr>
          <w:rFonts w:ascii="Times New Roman" w:hAnsi="Times New Roman" w:cs="Times New Roman"/>
          <w:sz w:val="28"/>
          <w:szCs w:val="28"/>
        </w:rPr>
        <w:t xml:space="preserve"> </w:t>
      </w:r>
      <w:r>
        <w:rPr>
          <w:rFonts w:ascii="Times New Roman" w:hAnsi="Times New Roman" w:cs="Times New Roman"/>
          <w:sz w:val="28"/>
          <w:szCs w:val="28"/>
          <w:lang w:val="en-US"/>
        </w:rPr>
        <w:t>no</w:t>
      </w:r>
      <w:r>
        <w:rPr>
          <w:rFonts w:ascii="Times New Roman" w:hAnsi="Times New Roman" w:cs="Times New Roman"/>
          <w:sz w:val="28"/>
          <w:szCs w:val="28"/>
        </w:rPr>
        <w:t xml:space="preserve"> </w:t>
      </w:r>
      <w:r>
        <w:rPr>
          <w:rFonts w:ascii="Times New Roman" w:hAnsi="Times New Roman" w:cs="Times New Roman"/>
          <w:sz w:val="28"/>
          <w:szCs w:val="28"/>
          <w:lang w:val="en-US"/>
        </w:rPr>
        <w:t>demonstrable</w:t>
      </w:r>
      <w:r>
        <w:rPr>
          <w:rFonts w:ascii="Times New Roman" w:hAnsi="Times New Roman" w:cs="Times New Roman"/>
          <w:sz w:val="28"/>
          <w:szCs w:val="28"/>
        </w:rPr>
        <w:t xml:space="preserve"> </w:t>
      </w:r>
      <w:r>
        <w:rPr>
          <w:rFonts w:ascii="Times New Roman" w:hAnsi="Times New Roman" w:cs="Times New Roman"/>
          <w:sz w:val="28"/>
          <w:szCs w:val="28"/>
          <w:lang w:val="en-US"/>
        </w:rPr>
        <w:t>evidence</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imminent</w:t>
      </w:r>
      <w:r>
        <w:rPr>
          <w:rFonts w:ascii="Times New Roman" w:hAnsi="Times New Roman" w:cs="Times New Roman"/>
          <w:sz w:val="28"/>
          <w:szCs w:val="28"/>
        </w:rPr>
        <w:t xml:space="preserve"> </w:t>
      </w:r>
      <w:r>
        <w:rPr>
          <w:rFonts w:ascii="Times New Roman" w:hAnsi="Times New Roman" w:cs="Times New Roman"/>
          <w:sz w:val="28"/>
          <w:szCs w:val="28"/>
          <w:lang w:val="en-US"/>
        </w:rPr>
        <w:t>violence</w:t>
      </w:r>
      <w:r>
        <w:rPr>
          <w:rFonts w:ascii="Times New Roman" w:hAnsi="Times New Roman" w:cs="Times New Roman"/>
          <w:sz w:val="28"/>
          <w:szCs w:val="28"/>
        </w:rPr>
        <w:t xml:space="preserve"> </w:t>
      </w:r>
      <w:r>
        <w:rPr>
          <w:rFonts w:ascii="Times New Roman" w:hAnsi="Times New Roman" w:cs="Times New Roman"/>
          <w:sz w:val="28"/>
          <w:szCs w:val="28"/>
          <w:lang w:val="en-US"/>
        </w:rPr>
        <w:t>on</w:t>
      </w:r>
      <w:r>
        <w:rPr>
          <w:rFonts w:ascii="Times New Roman" w:hAnsi="Times New Roman" w:cs="Times New Roman"/>
          <w:sz w:val="28"/>
          <w:szCs w:val="28"/>
        </w:rPr>
        <w:t xml:space="preserve"> </w:t>
      </w:r>
      <w:r>
        <w:rPr>
          <w:rFonts w:ascii="Times New Roman" w:hAnsi="Times New Roman" w:cs="Times New Roman"/>
          <w:sz w:val="28"/>
          <w:szCs w:val="28"/>
          <w:lang w:val="en-US"/>
        </w:rPr>
        <w:t>their</w:t>
      </w:r>
      <w:r>
        <w:rPr>
          <w:rFonts w:ascii="Times New Roman" w:hAnsi="Times New Roman" w:cs="Times New Roman"/>
          <w:sz w:val="28"/>
          <w:szCs w:val="28"/>
        </w:rPr>
        <w:t xml:space="preserve"> </w:t>
      </w:r>
      <w:r>
        <w:rPr>
          <w:rFonts w:ascii="Times New Roman" w:hAnsi="Times New Roman" w:cs="Times New Roman"/>
          <w:sz w:val="28"/>
          <w:szCs w:val="28"/>
          <w:lang w:val="en-US"/>
        </w:rPr>
        <w:t>part</w:t>
      </w:r>
      <w:r>
        <w:rPr>
          <w:rFonts w:ascii="Times New Roman" w:hAnsi="Times New Roman" w:cs="Times New Roman"/>
          <w:sz w:val="28"/>
          <w:szCs w:val="28"/>
        </w:rPr>
        <w:t>», реализация которого на практике может привести к снижению уровня безопасности при проведении публичных мероприятий. Российская сторона исходит из того, что предусмотренные законом ограничительные меры в рассматриваемой ситуации могут использоваться не только в случаях, когда имеются очевидные доказательства прямого насилия, но и при наличии реальной угрозы его применения.</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Обращает на себя внимание пункт 75 проекта, предусматривающий, что организаторы массовых мероприятий не должны нести ответственность за действия других участников. Такой подход представляется не вполне обоснованным, поскольку </w:t>
      </w:r>
      <w:r>
        <w:rPr>
          <w:rFonts w:ascii="Times New Roman" w:hAnsi="Times New Roman" w:cs="Times New Roman"/>
          <w:sz w:val="28"/>
          <w:szCs w:val="28"/>
        </w:rPr>
        <w:lastRenderedPageBreak/>
        <w:t>обеспечение мирного характера массовых мероприятий во многом зависит именно от организаторов. В этой связи российская сторона не видит оснований выводить их из-под ответственности в случае, когда их действия явились причиной причинения ущерба.</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В пункте 85 проекта указано, что основной обязанностью сил правопорядка является обеспечение права на мирные собрания. Что же касается такой важнейшей задачи, как обеспечение общественного порядка, то о ней не упоминается вовсе. Российская сторона считает необходимым восполнить этот пробел.</w:t>
      </w:r>
    </w:p>
    <w:p w:rsidR="00BD02AB" w:rsidRDefault="00F2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Не вполне очевидными представляются сформулированные в пунктах 93, 94 и 103 проекта ограничения на превентивные задержания и обыски при проведении массовых мероприятия, а также участия в них сотрудников сил правопорядка в штатском. Безоговорочное следование указанным предписаниям, как представляется, может существенно снизить способность правоохранительных органов эффективно и оперативно реагировать на противоправные проявления в преддверии или в ходе массовых мероприятий, а также создать серьезные риски для безопасности их участников. </w:t>
      </w:r>
    </w:p>
    <w:sectPr w:rsidR="00BD02AB">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701" w:header="709"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2F" w:rsidRDefault="00F26F01">
      <w:pPr>
        <w:spacing w:after="0" w:line="240" w:lineRule="auto"/>
      </w:pPr>
      <w:r>
        <w:separator/>
      </w:r>
    </w:p>
  </w:endnote>
  <w:endnote w:type="continuationSeparator" w:id="0">
    <w:p w:rsidR="0046212F" w:rsidRDefault="00F2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F4" w:rsidRDefault="00966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AB" w:rsidRDefault="00BD02AB">
    <w:pPr>
      <w:pStyle w:val="Footer"/>
      <w:rPr>
        <w:rFonts w:ascii="Times New Roman" w:hAnsi="Times New Roman" w:cs="Times New Roman"/>
      </w:rPr>
    </w:pPr>
  </w:p>
  <w:p w:rsidR="00BD02AB" w:rsidRDefault="00F26F01">
    <w:pPr>
      <w:pStyle w:val="Footer"/>
      <w:tabs>
        <w:tab w:val="clear" w:pos="4677"/>
        <w:tab w:val="clear" w:pos="9355"/>
        <w:tab w:val="left" w:pos="396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F4" w:rsidRDefault="00966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2F" w:rsidRDefault="00F26F01">
      <w:pPr>
        <w:spacing w:after="0" w:line="240" w:lineRule="auto"/>
      </w:pPr>
      <w:r>
        <w:separator/>
      </w:r>
    </w:p>
  </w:footnote>
  <w:footnote w:type="continuationSeparator" w:id="0">
    <w:p w:rsidR="0046212F" w:rsidRDefault="00F2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F4" w:rsidRDefault="00966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56894"/>
      <w:docPartObj>
        <w:docPartGallery w:val="Page Numbers (Top of Page)"/>
        <w:docPartUnique/>
      </w:docPartObj>
    </w:sdtPr>
    <w:sdtEndPr/>
    <w:sdtContent>
      <w:p w:rsidR="00BD02AB" w:rsidRDefault="00F26F01">
        <w:pPr>
          <w:pStyle w:val="Header"/>
          <w:jc w:val="right"/>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660F4">
          <w:rPr>
            <w:rFonts w:ascii="Times New Roman" w:hAnsi="Times New Roman" w:cs="Times New Roman"/>
            <w:noProof/>
          </w:rPr>
          <w:t>2</w:t>
        </w:r>
        <w:r>
          <w:rPr>
            <w:rFonts w:ascii="Times New Roman" w:hAnsi="Times New Roman" w:cs="Times New Roman"/>
          </w:rPr>
          <w:fldChar w:fldCharType="end"/>
        </w:r>
      </w:p>
    </w:sdtContent>
  </w:sdt>
  <w:p w:rsidR="00BD02AB" w:rsidRDefault="00BD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F4" w:rsidRPr="009660F4" w:rsidRDefault="009660F4">
    <w:pPr>
      <w:pStyle w:val="Header"/>
      <w:rPr>
        <w:lang w:val="en-GB"/>
      </w:rPr>
    </w:pPr>
    <w:r>
      <w:rPr>
        <w:lang w:val="en-GB"/>
      </w:rPr>
      <w:t>RUSSIAN FEDERATION</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AB"/>
    <w:rsid w:val="004351DC"/>
    <w:rsid w:val="0046212F"/>
    <w:rsid w:val="007B527B"/>
    <w:rsid w:val="009447F5"/>
    <w:rsid w:val="009660F4"/>
    <w:rsid w:val="009A25D5"/>
    <w:rsid w:val="00BD02AB"/>
    <w:rsid w:val="00F26F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62FE"/>
  <w15:docId w15:val="{778BC731-F2AC-45E7-AD2C-50556079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сноски Знак"/>
    <w:basedOn w:val="DefaultParagraphFont"/>
    <w:uiPriority w:val="99"/>
    <w:semiHidden/>
    <w:qFormat/>
    <w:rsid w:val="003D5B90"/>
    <w:rPr>
      <w:sz w:val="20"/>
      <w:szCs w:val="20"/>
    </w:rPr>
  </w:style>
  <w:style w:type="character" w:customStyle="1" w:styleId="a0">
    <w:name w:val="Привязка сноски"/>
    <w:rPr>
      <w:vertAlign w:val="superscript"/>
    </w:rPr>
  </w:style>
  <w:style w:type="character" w:customStyle="1" w:styleId="FootnoteCharacters">
    <w:name w:val="Footnote Characters"/>
    <w:basedOn w:val="DefaultParagraphFont"/>
    <w:uiPriority w:val="99"/>
    <w:semiHidden/>
    <w:unhideWhenUsed/>
    <w:qFormat/>
    <w:rsid w:val="003D5B90"/>
    <w:rPr>
      <w:vertAlign w:val="superscript"/>
    </w:rPr>
  </w:style>
  <w:style w:type="character" w:customStyle="1" w:styleId="-">
    <w:name w:val="Интернет-ссылка"/>
    <w:basedOn w:val="DefaultParagraphFont"/>
    <w:uiPriority w:val="99"/>
    <w:unhideWhenUsed/>
    <w:rsid w:val="003D5B90"/>
    <w:rPr>
      <w:color w:val="0000FF" w:themeColor="hyperlink"/>
      <w:u w:val="single"/>
    </w:rPr>
  </w:style>
  <w:style w:type="character" w:styleId="FollowedHyperlink">
    <w:name w:val="FollowedHyperlink"/>
    <w:basedOn w:val="DefaultParagraphFont"/>
    <w:uiPriority w:val="99"/>
    <w:semiHidden/>
    <w:unhideWhenUsed/>
    <w:qFormat/>
    <w:rsid w:val="00D3753D"/>
    <w:rPr>
      <w:color w:val="800080" w:themeColor="followedHyperlink"/>
      <w:u w:val="single"/>
    </w:rPr>
  </w:style>
  <w:style w:type="character" w:customStyle="1" w:styleId="a1">
    <w:name w:val="Верхний колонтитул Знак"/>
    <w:basedOn w:val="DefaultParagraphFont"/>
    <w:uiPriority w:val="99"/>
    <w:qFormat/>
    <w:rsid w:val="008E3BDB"/>
  </w:style>
  <w:style w:type="character" w:customStyle="1" w:styleId="a2">
    <w:name w:val="Нижний колонтитул Знак"/>
    <w:basedOn w:val="DefaultParagraphFont"/>
    <w:uiPriority w:val="99"/>
    <w:qFormat/>
    <w:rsid w:val="008E3BD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a3">
    <w:name w:val="Символ сноски"/>
    <w:qFormat/>
  </w:style>
  <w:style w:type="character" w:customStyle="1" w:styleId="a4">
    <w:name w:val="Привязка концевой сноски"/>
    <w:rPr>
      <w:vertAlign w:val="superscript"/>
    </w:rPr>
  </w:style>
  <w:style w:type="character" w:customStyle="1" w:styleId="a5">
    <w:name w:val="Символ концевой сноски"/>
    <w:qFormat/>
  </w:style>
  <w:style w:type="paragraph" w:customStyle="1" w:styleId="a6">
    <w:name w:val="Заголовок"/>
    <w:basedOn w:val="Normal"/>
    <w:next w:val="BodyText"/>
    <w:qFormat/>
    <w:pPr>
      <w:keepNext/>
      <w:spacing w:before="240" w:after="120"/>
    </w:pPr>
    <w:rPr>
      <w:rFonts w:ascii="Arial" w:eastAsia="Tahoma" w:hAnsi="Arial" w:cs="Lohit Hindi"/>
      <w:sz w:val="28"/>
      <w:szCs w:val="28"/>
    </w:rPr>
  </w:style>
  <w:style w:type="paragraph" w:styleId="BodyText">
    <w:name w:val="Body Text"/>
    <w:basedOn w:val="Normal"/>
    <w:pPr>
      <w:spacing w:after="14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Heading">
    <w:name w:val="index heading"/>
    <w:basedOn w:val="Normal"/>
    <w:qFormat/>
    <w:pPr>
      <w:suppressLineNumbers/>
    </w:pPr>
    <w:rPr>
      <w:rFonts w:cs="Lohit Hindi"/>
    </w:rPr>
  </w:style>
  <w:style w:type="paragraph" w:styleId="ListParagraph">
    <w:name w:val="List Paragraph"/>
    <w:basedOn w:val="Normal"/>
    <w:uiPriority w:val="34"/>
    <w:qFormat/>
    <w:rsid w:val="007A579B"/>
    <w:pPr>
      <w:ind w:left="720"/>
      <w:contextualSpacing/>
    </w:pPr>
  </w:style>
  <w:style w:type="paragraph" w:styleId="FootnoteText">
    <w:name w:val="footnote text"/>
    <w:basedOn w:val="Normal"/>
    <w:uiPriority w:val="99"/>
    <w:semiHidden/>
    <w:unhideWhenUsed/>
    <w:rsid w:val="003D5B90"/>
    <w:pPr>
      <w:spacing w:after="0" w:line="240" w:lineRule="auto"/>
    </w:pPr>
    <w:rPr>
      <w:sz w:val="20"/>
      <w:szCs w:val="20"/>
    </w:rPr>
  </w:style>
  <w:style w:type="paragraph" w:styleId="Header">
    <w:name w:val="header"/>
    <w:basedOn w:val="Normal"/>
    <w:uiPriority w:val="99"/>
    <w:unhideWhenUsed/>
    <w:rsid w:val="008E3BDB"/>
    <w:pPr>
      <w:tabs>
        <w:tab w:val="center" w:pos="4677"/>
        <w:tab w:val="right" w:pos="9355"/>
      </w:tabs>
      <w:spacing w:after="0" w:line="240" w:lineRule="auto"/>
    </w:pPr>
  </w:style>
  <w:style w:type="paragraph" w:styleId="Footer">
    <w:name w:val="footer"/>
    <w:basedOn w:val="Normal"/>
    <w:uiPriority w:val="99"/>
    <w:unhideWhenUsed/>
    <w:rsid w:val="008E3BDB"/>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170F78-C543-4985-A135-57C9E1F52C26}">
  <ds:schemaRefs>
    <ds:schemaRef ds:uri="http://schemas.openxmlformats.org/officeDocument/2006/bibliography"/>
  </ds:schemaRefs>
</ds:datastoreItem>
</file>

<file path=customXml/itemProps2.xml><?xml version="1.0" encoding="utf-8"?>
<ds:datastoreItem xmlns:ds="http://schemas.openxmlformats.org/officeDocument/2006/customXml" ds:itemID="{EEBBFFA6-2E94-4035-8BFE-D17DD0A0AE84}"/>
</file>

<file path=customXml/itemProps3.xml><?xml version="1.0" encoding="utf-8"?>
<ds:datastoreItem xmlns:ds="http://schemas.openxmlformats.org/officeDocument/2006/customXml" ds:itemID="{D69FB7BD-3A38-4F34-884D-F3C06919147A}"/>
</file>

<file path=customXml/itemProps4.xml><?xml version="1.0" encoding="utf-8"?>
<ds:datastoreItem xmlns:ds="http://schemas.openxmlformats.org/officeDocument/2006/customXml" ds:itemID="{00CFAE63-7B85-495E-A86D-83AC8A3768CF}"/>
</file>

<file path=docProps/app.xml><?xml version="1.0" encoding="utf-8"?>
<Properties xmlns="http://schemas.openxmlformats.org/officeDocument/2006/extended-properties" xmlns:vt="http://schemas.openxmlformats.org/officeDocument/2006/docPropsVTypes">
  <Template>Normal.dotm</Template>
  <TotalTime>1</TotalTime>
  <Pages>9</Pages>
  <Words>2225</Words>
  <Characters>12685</Characters>
  <Application>Microsoft Office Word</Application>
  <DocSecurity>4</DocSecurity>
  <Lines>105</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Федченко Сергей Андреевич</dc:creator>
  <cp:lastModifiedBy>ROSNIANSKY Cherry Lou</cp:lastModifiedBy>
  <cp:revision>2</cp:revision>
  <cp:lastPrinted>2019-02-15T11:47:00Z</cp:lastPrinted>
  <dcterms:created xsi:type="dcterms:W3CDTF">2020-02-22T20:53:00Z</dcterms:created>
  <dcterms:modified xsi:type="dcterms:W3CDTF">2020-02-22T20:53:00Z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