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A7B3A" w14:textId="04077268" w:rsidR="00D13E58" w:rsidRPr="00BA6593" w:rsidRDefault="00BA6593" w:rsidP="00997838">
      <w:pPr>
        <w:spacing w:after="0" w:line="360" w:lineRule="auto"/>
        <w:rPr>
          <w:b/>
          <w:lang w:val="en-GB"/>
        </w:rPr>
      </w:pPr>
      <w:r w:rsidRPr="00BA6593">
        <w:rPr>
          <w:b/>
          <w:lang w:val="en-GB"/>
        </w:rPr>
        <w:t xml:space="preserve">Response by the </w:t>
      </w:r>
      <w:r w:rsidRPr="00E42D90">
        <w:rPr>
          <w:b/>
          <w:lang w:val="en-GB"/>
        </w:rPr>
        <w:t>Constitutional Affairs and Legislation Department</w:t>
      </w:r>
      <w:r>
        <w:rPr>
          <w:b/>
          <w:lang w:val="en-GB"/>
        </w:rPr>
        <w:t xml:space="preserve"> of the </w:t>
      </w:r>
      <w:r w:rsidRPr="00BA6593">
        <w:rPr>
          <w:b/>
          <w:lang w:val="en-GB"/>
        </w:rPr>
        <w:t>Dutch Ministry of</w:t>
      </w:r>
      <w:r>
        <w:rPr>
          <w:b/>
          <w:lang w:val="en-GB"/>
        </w:rPr>
        <w:t xml:space="preserve"> </w:t>
      </w:r>
      <w:r w:rsidRPr="00BA6593">
        <w:rPr>
          <w:b/>
          <w:lang w:val="en-GB"/>
        </w:rPr>
        <w:t xml:space="preserve">the Interior and Kingdom </w:t>
      </w:r>
      <w:r>
        <w:rPr>
          <w:b/>
          <w:lang w:val="en-GB"/>
        </w:rPr>
        <w:t>R</w:t>
      </w:r>
      <w:r w:rsidRPr="00BA6593">
        <w:rPr>
          <w:b/>
          <w:lang w:val="en-GB"/>
        </w:rPr>
        <w:t xml:space="preserve">elations </w:t>
      </w:r>
      <w:r>
        <w:rPr>
          <w:b/>
          <w:lang w:val="en-GB"/>
        </w:rPr>
        <w:t>to Gen</w:t>
      </w:r>
      <w:r w:rsidR="00D13E58" w:rsidRPr="00BA6593">
        <w:rPr>
          <w:b/>
          <w:lang w:val="en-GB"/>
        </w:rPr>
        <w:t xml:space="preserve">eral </w:t>
      </w:r>
      <w:r w:rsidR="00372B77">
        <w:rPr>
          <w:b/>
          <w:lang w:val="en-GB"/>
        </w:rPr>
        <w:t>C</w:t>
      </w:r>
      <w:r w:rsidR="00D13E58" w:rsidRPr="00BA6593">
        <w:rPr>
          <w:b/>
          <w:lang w:val="en-GB"/>
        </w:rPr>
        <w:t xml:space="preserve">omment no. 37 </w:t>
      </w:r>
      <w:r>
        <w:rPr>
          <w:b/>
          <w:lang w:val="en-GB"/>
        </w:rPr>
        <w:t xml:space="preserve">of the Human Rights Committee regarding </w:t>
      </w:r>
      <w:r w:rsidR="005F7C19">
        <w:rPr>
          <w:b/>
          <w:lang w:val="en-GB"/>
        </w:rPr>
        <w:t>a</w:t>
      </w:r>
      <w:r w:rsidR="00D13E58" w:rsidRPr="00BA6593">
        <w:rPr>
          <w:b/>
          <w:lang w:val="en-GB"/>
        </w:rPr>
        <w:t xml:space="preserve">rticle 21 </w:t>
      </w:r>
      <w:r w:rsidR="00A87480">
        <w:rPr>
          <w:b/>
          <w:lang w:val="en-GB"/>
        </w:rPr>
        <w:t>(</w:t>
      </w:r>
      <w:r w:rsidR="00D13E58" w:rsidRPr="00BA6593">
        <w:rPr>
          <w:b/>
          <w:lang w:val="en-GB"/>
        </w:rPr>
        <w:t>right of peaceful assembly</w:t>
      </w:r>
      <w:r w:rsidR="00A87480">
        <w:rPr>
          <w:b/>
          <w:lang w:val="en-GB"/>
        </w:rPr>
        <w:t xml:space="preserve">) </w:t>
      </w:r>
      <w:r w:rsidR="00A87480" w:rsidRPr="00A87480">
        <w:rPr>
          <w:b/>
          <w:lang w:val="en-GB"/>
        </w:rPr>
        <w:t>of the International Covenant on Civil and Political Rights</w:t>
      </w:r>
    </w:p>
    <w:p w14:paraId="12963C03" w14:textId="77777777" w:rsidR="00D13E58" w:rsidRPr="00BA6593" w:rsidRDefault="00D13E58" w:rsidP="00997838">
      <w:pPr>
        <w:spacing w:after="0" w:line="360" w:lineRule="auto"/>
        <w:rPr>
          <w:lang w:val="en-GB"/>
        </w:rPr>
      </w:pPr>
    </w:p>
    <w:p w14:paraId="2888EDB2" w14:textId="77777777" w:rsidR="00D13E58" w:rsidRPr="00BA6593" w:rsidRDefault="00D13E58" w:rsidP="00997838">
      <w:pPr>
        <w:spacing w:after="0" w:line="360" w:lineRule="auto"/>
        <w:rPr>
          <w:b/>
          <w:lang w:val="en-GB"/>
        </w:rPr>
      </w:pPr>
      <w:r w:rsidRPr="00ED5F75">
        <w:rPr>
          <w:b/>
          <w:lang w:val="en-GB"/>
        </w:rPr>
        <w:t>Para</w:t>
      </w:r>
      <w:r w:rsidRPr="00BA6593">
        <w:rPr>
          <w:b/>
          <w:lang w:val="en-GB"/>
        </w:rPr>
        <w:t xml:space="preserve"> 34:</w:t>
      </w:r>
    </w:p>
    <w:p w14:paraId="28139EC1" w14:textId="2F3E5AF6" w:rsidR="00D13E58" w:rsidRDefault="00A229B1" w:rsidP="00997838">
      <w:pPr>
        <w:spacing w:after="0" w:line="360" w:lineRule="auto"/>
        <w:rPr>
          <w:lang w:val="en-GB"/>
        </w:rPr>
      </w:pPr>
      <w:r w:rsidRPr="00BA6593">
        <w:rPr>
          <w:lang w:val="en-GB"/>
        </w:rPr>
        <w:t>‘The role of journalists, human rights defenders and others involved in monitoring, including documenting or reporting on assemblies, is of a special importance, and they are entitled to protection under [article 21 of] the Covenant.’</w:t>
      </w:r>
    </w:p>
    <w:p w14:paraId="06346BAF" w14:textId="77777777" w:rsidR="00997838" w:rsidRPr="00BA6593" w:rsidRDefault="00997838" w:rsidP="00997838">
      <w:pPr>
        <w:spacing w:after="0" w:line="360" w:lineRule="auto"/>
        <w:rPr>
          <w:lang w:val="en-GB"/>
        </w:rPr>
      </w:pPr>
    </w:p>
    <w:p w14:paraId="13BE2AD5" w14:textId="0513A2C1" w:rsidR="00A229B1" w:rsidRDefault="00BA6593" w:rsidP="00997838">
      <w:pPr>
        <w:spacing w:after="0" w:line="360" w:lineRule="auto"/>
        <w:rPr>
          <w:lang w:val="en-GB"/>
        </w:rPr>
      </w:pPr>
      <w:r>
        <w:rPr>
          <w:lang w:val="en-GB"/>
        </w:rPr>
        <w:t xml:space="preserve">Isn’t the protection afforded by article </w:t>
      </w:r>
      <w:r w:rsidRPr="00BA6593">
        <w:rPr>
          <w:lang w:val="en-GB"/>
        </w:rPr>
        <w:t xml:space="preserve">19 </w:t>
      </w:r>
      <w:r>
        <w:rPr>
          <w:lang w:val="en-GB"/>
        </w:rPr>
        <w:t xml:space="preserve">of the </w:t>
      </w:r>
      <w:r w:rsidR="006D6C19">
        <w:rPr>
          <w:lang w:val="en-GB"/>
        </w:rPr>
        <w:t xml:space="preserve">Covenant </w:t>
      </w:r>
      <w:r w:rsidRPr="00BA6593">
        <w:rPr>
          <w:lang w:val="en-GB"/>
        </w:rPr>
        <w:t>(</w:t>
      </w:r>
      <w:r>
        <w:rPr>
          <w:lang w:val="en-GB"/>
        </w:rPr>
        <w:t>freedom of expression</w:t>
      </w:r>
      <w:r w:rsidRPr="00BA6593">
        <w:rPr>
          <w:lang w:val="en-GB"/>
        </w:rPr>
        <w:t>)</w:t>
      </w:r>
      <w:r>
        <w:rPr>
          <w:lang w:val="en-GB"/>
        </w:rPr>
        <w:t xml:space="preserve"> more relevant to these categories of </w:t>
      </w:r>
      <w:r w:rsidR="0048695E">
        <w:rPr>
          <w:lang w:val="en-GB"/>
        </w:rPr>
        <w:t>people</w:t>
      </w:r>
      <w:r>
        <w:rPr>
          <w:lang w:val="en-GB"/>
        </w:rPr>
        <w:t>, particularly journalists</w:t>
      </w:r>
      <w:r w:rsidR="00A229B1" w:rsidRPr="00BA6593">
        <w:rPr>
          <w:lang w:val="en-GB"/>
        </w:rPr>
        <w:t xml:space="preserve">? </w:t>
      </w:r>
      <w:r>
        <w:rPr>
          <w:lang w:val="en-GB"/>
        </w:rPr>
        <w:t>If so, it would make sense to mention more than just artic</w:t>
      </w:r>
      <w:r w:rsidR="00A229B1" w:rsidRPr="00BA6593">
        <w:rPr>
          <w:lang w:val="en-GB"/>
        </w:rPr>
        <w:t>l</w:t>
      </w:r>
      <w:r>
        <w:rPr>
          <w:lang w:val="en-GB"/>
        </w:rPr>
        <w:t>e</w:t>
      </w:r>
      <w:r w:rsidR="00A229B1" w:rsidRPr="00BA6593">
        <w:rPr>
          <w:lang w:val="en-GB"/>
        </w:rPr>
        <w:t xml:space="preserve"> 21</w:t>
      </w:r>
      <w:r w:rsidR="00372B77">
        <w:rPr>
          <w:lang w:val="en-GB"/>
        </w:rPr>
        <w:t xml:space="preserve"> in this context</w:t>
      </w:r>
      <w:r w:rsidR="00A229B1" w:rsidRPr="00BA6593">
        <w:rPr>
          <w:lang w:val="en-GB"/>
        </w:rPr>
        <w:t>.</w:t>
      </w:r>
    </w:p>
    <w:p w14:paraId="0C2D598B" w14:textId="77777777" w:rsidR="00997838" w:rsidRPr="00BA6593" w:rsidRDefault="00997838" w:rsidP="00997838">
      <w:pPr>
        <w:spacing w:after="0" w:line="360" w:lineRule="auto"/>
        <w:rPr>
          <w:lang w:val="en-GB"/>
        </w:rPr>
      </w:pPr>
    </w:p>
    <w:p w14:paraId="017DE342" w14:textId="77777777" w:rsidR="00A229B1" w:rsidRPr="00BA6593" w:rsidRDefault="00A229B1" w:rsidP="00997838">
      <w:pPr>
        <w:spacing w:after="0" w:line="360" w:lineRule="auto"/>
        <w:rPr>
          <w:b/>
          <w:lang w:val="en-GB"/>
        </w:rPr>
      </w:pPr>
      <w:r w:rsidRPr="00BA6593">
        <w:rPr>
          <w:b/>
          <w:lang w:val="en-GB"/>
        </w:rPr>
        <w:t>Para</w:t>
      </w:r>
      <w:r w:rsidR="00615D08" w:rsidRPr="00BA6593">
        <w:rPr>
          <w:b/>
          <w:lang w:val="en-GB"/>
        </w:rPr>
        <w:t xml:space="preserve"> 36:</w:t>
      </w:r>
    </w:p>
    <w:p w14:paraId="5583FF17" w14:textId="42EC0BDE" w:rsidR="00615D08" w:rsidRDefault="0093582C" w:rsidP="00997838">
      <w:pPr>
        <w:spacing w:after="0" w:line="360" w:lineRule="auto"/>
        <w:rPr>
          <w:lang w:val="en-GB"/>
        </w:rPr>
      </w:pPr>
      <w:r w:rsidRPr="00BA6593">
        <w:rPr>
          <w:lang w:val="en-GB"/>
        </w:rPr>
        <w:t>‘Given that peaceful assemblies have an expressive function, and political speech enjoys particular protection as a form of expression, it follows that assemblies with a political message should likewise enjoy a heightened level of accommodation and protection.’</w:t>
      </w:r>
    </w:p>
    <w:p w14:paraId="74901039" w14:textId="77777777" w:rsidR="00997838" w:rsidRPr="00BA6593" w:rsidRDefault="00997838" w:rsidP="00997838">
      <w:pPr>
        <w:spacing w:after="0" w:line="360" w:lineRule="auto"/>
        <w:rPr>
          <w:lang w:val="en-GB"/>
        </w:rPr>
      </w:pPr>
    </w:p>
    <w:p w14:paraId="43DE0453" w14:textId="5FB73AD6" w:rsidR="00741871" w:rsidRDefault="00BB2855" w:rsidP="00997838">
      <w:pPr>
        <w:spacing w:after="0" w:line="360" w:lineRule="auto"/>
        <w:rPr>
          <w:lang w:val="en-GB"/>
        </w:rPr>
      </w:pPr>
      <w:r>
        <w:rPr>
          <w:lang w:val="en-GB"/>
        </w:rPr>
        <w:t xml:space="preserve">This </w:t>
      </w:r>
      <w:r w:rsidR="00BA6593">
        <w:rPr>
          <w:lang w:val="en-GB"/>
        </w:rPr>
        <w:t>raise</w:t>
      </w:r>
      <w:r>
        <w:rPr>
          <w:lang w:val="en-GB"/>
        </w:rPr>
        <w:t>s</w:t>
      </w:r>
      <w:r w:rsidR="00BA6593">
        <w:rPr>
          <w:lang w:val="en-GB"/>
        </w:rPr>
        <w:t xml:space="preserve"> the question of whether </w:t>
      </w:r>
      <w:r>
        <w:rPr>
          <w:lang w:val="en-GB"/>
        </w:rPr>
        <w:t xml:space="preserve">it is justifiable to offer </w:t>
      </w:r>
      <w:r w:rsidR="00BA6593">
        <w:rPr>
          <w:lang w:val="en-GB"/>
        </w:rPr>
        <w:t xml:space="preserve">assemblies with a political message a higher level of protection. Does this </w:t>
      </w:r>
      <w:r w:rsidR="00382E98">
        <w:rPr>
          <w:lang w:val="en-GB"/>
        </w:rPr>
        <w:t xml:space="preserve">place </w:t>
      </w:r>
      <w:r w:rsidR="00BA6593">
        <w:rPr>
          <w:lang w:val="en-GB"/>
        </w:rPr>
        <w:t xml:space="preserve">higher demands </w:t>
      </w:r>
      <w:r w:rsidR="00372B77">
        <w:rPr>
          <w:lang w:val="en-GB"/>
        </w:rPr>
        <w:t xml:space="preserve">on </w:t>
      </w:r>
      <w:r w:rsidR="00BA6593">
        <w:rPr>
          <w:lang w:val="en-GB"/>
        </w:rPr>
        <w:t xml:space="preserve">the efforts that the </w:t>
      </w:r>
      <w:r w:rsidR="00A77859">
        <w:rPr>
          <w:lang w:val="en-GB"/>
        </w:rPr>
        <w:t xml:space="preserve">authorities </w:t>
      </w:r>
      <w:r w:rsidR="00BA6593">
        <w:rPr>
          <w:lang w:val="en-GB"/>
        </w:rPr>
        <w:t>must make to facilitate such assemblies</w:t>
      </w:r>
      <w:r w:rsidR="00115CBD" w:rsidRPr="00BA6593">
        <w:rPr>
          <w:lang w:val="en-GB"/>
        </w:rPr>
        <w:t>?</w:t>
      </w:r>
      <w:r w:rsidR="00741871" w:rsidRPr="00BA6593">
        <w:rPr>
          <w:lang w:val="en-GB"/>
        </w:rPr>
        <w:t xml:space="preserve"> </w:t>
      </w:r>
      <w:r w:rsidR="00BA6593">
        <w:rPr>
          <w:lang w:val="en-GB"/>
        </w:rPr>
        <w:t xml:space="preserve">And are restrictions </w:t>
      </w:r>
      <w:r w:rsidR="00C675B8">
        <w:rPr>
          <w:lang w:val="en-GB"/>
        </w:rPr>
        <w:t>on</w:t>
      </w:r>
      <w:r w:rsidR="00BA6593">
        <w:rPr>
          <w:lang w:val="en-GB"/>
        </w:rPr>
        <w:t xml:space="preserve"> the right </w:t>
      </w:r>
      <w:r w:rsidR="00BF7B36">
        <w:rPr>
          <w:lang w:val="en-GB"/>
        </w:rPr>
        <w:t>of</w:t>
      </w:r>
      <w:r w:rsidR="00BA6593">
        <w:rPr>
          <w:lang w:val="en-GB"/>
        </w:rPr>
        <w:t xml:space="preserve"> </w:t>
      </w:r>
      <w:r w:rsidR="00BF7B36">
        <w:rPr>
          <w:lang w:val="en-GB"/>
        </w:rPr>
        <w:t xml:space="preserve">peaceful </w:t>
      </w:r>
      <w:r w:rsidR="00BA6593">
        <w:rPr>
          <w:lang w:val="en-GB"/>
        </w:rPr>
        <w:t>assembly the</w:t>
      </w:r>
      <w:r w:rsidR="00C675B8">
        <w:rPr>
          <w:lang w:val="en-GB"/>
        </w:rPr>
        <w:t>n</w:t>
      </w:r>
      <w:r w:rsidR="00BA6593">
        <w:rPr>
          <w:lang w:val="en-GB"/>
        </w:rPr>
        <w:t xml:space="preserve"> less acceptable in such cases?</w:t>
      </w:r>
    </w:p>
    <w:p w14:paraId="3947AD46" w14:textId="77777777" w:rsidR="00997838" w:rsidRPr="00BA6593" w:rsidRDefault="00997838" w:rsidP="00997838">
      <w:pPr>
        <w:spacing w:after="0" w:line="360" w:lineRule="auto"/>
        <w:rPr>
          <w:lang w:val="en-GB"/>
        </w:rPr>
      </w:pPr>
    </w:p>
    <w:p w14:paraId="3758C9D5" w14:textId="13591470" w:rsidR="00741871" w:rsidRDefault="00382E98" w:rsidP="00997838">
      <w:pPr>
        <w:spacing w:after="0" w:line="360" w:lineRule="auto"/>
        <w:rPr>
          <w:lang w:val="en-GB"/>
        </w:rPr>
      </w:pPr>
      <w:r>
        <w:rPr>
          <w:lang w:val="en-GB"/>
        </w:rPr>
        <w:lastRenderedPageBreak/>
        <w:t xml:space="preserve">Wouldn’t </w:t>
      </w:r>
      <w:r w:rsidR="00C85D77">
        <w:rPr>
          <w:lang w:val="en-GB"/>
        </w:rPr>
        <w:t xml:space="preserve">this </w:t>
      </w:r>
      <w:r>
        <w:rPr>
          <w:lang w:val="en-GB"/>
        </w:rPr>
        <w:t xml:space="preserve">involve </w:t>
      </w:r>
      <w:r w:rsidR="00C85D77">
        <w:rPr>
          <w:lang w:val="en-GB"/>
        </w:rPr>
        <w:t xml:space="preserve">making </w:t>
      </w:r>
      <w:r w:rsidR="004A092F">
        <w:rPr>
          <w:lang w:val="en-GB"/>
        </w:rPr>
        <w:t>a legal distinction on the basis of a value judgment about the</w:t>
      </w:r>
      <w:r w:rsidR="00372B77">
        <w:rPr>
          <w:lang w:val="en-GB"/>
        </w:rPr>
        <w:t xml:space="preserve"> nature</w:t>
      </w:r>
      <w:r w:rsidR="004A092F">
        <w:rPr>
          <w:lang w:val="en-GB"/>
        </w:rPr>
        <w:t xml:space="preserve"> of the assembly</w:t>
      </w:r>
      <w:r w:rsidR="00836DAA" w:rsidRPr="00BA6593">
        <w:rPr>
          <w:lang w:val="en-GB"/>
        </w:rPr>
        <w:t xml:space="preserve">, </w:t>
      </w:r>
      <w:r w:rsidR="004A092F">
        <w:rPr>
          <w:lang w:val="en-GB"/>
        </w:rPr>
        <w:t xml:space="preserve">while the </w:t>
      </w:r>
      <w:r w:rsidR="00A77859">
        <w:rPr>
          <w:lang w:val="en-GB"/>
        </w:rPr>
        <w:t xml:space="preserve">authorities </w:t>
      </w:r>
      <w:r w:rsidR="00370141">
        <w:rPr>
          <w:lang w:val="en-GB"/>
        </w:rPr>
        <w:t>are</w:t>
      </w:r>
      <w:r w:rsidR="004A092F">
        <w:rPr>
          <w:lang w:val="en-GB"/>
        </w:rPr>
        <w:t xml:space="preserve"> meant to </w:t>
      </w:r>
      <w:r w:rsidR="00A77859">
        <w:rPr>
          <w:lang w:val="en-GB"/>
        </w:rPr>
        <w:t xml:space="preserve">take a </w:t>
      </w:r>
      <w:r w:rsidR="000E1BCA" w:rsidRPr="00BA6593">
        <w:rPr>
          <w:lang w:val="en-GB"/>
        </w:rPr>
        <w:t>‘content neutral’</w:t>
      </w:r>
      <w:r w:rsidR="004A092F">
        <w:rPr>
          <w:lang w:val="en-GB"/>
        </w:rPr>
        <w:t xml:space="preserve"> </w:t>
      </w:r>
      <w:r w:rsidR="00A77859">
        <w:rPr>
          <w:lang w:val="en-GB"/>
        </w:rPr>
        <w:t xml:space="preserve">approach </w:t>
      </w:r>
      <w:r w:rsidR="004A092F">
        <w:rPr>
          <w:lang w:val="en-GB"/>
        </w:rPr>
        <w:t xml:space="preserve">in regulating assemblies? </w:t>
      </w:r>
      <w:r w:rsidR="000E1BCA" w:rsidRPr="00BA6593">
        <w:rPr>
          <w:lang w:val="en-GB"/>
        </w:rPr>
        <w:t>Ho</w:t>
      </w:r>
      <w:r w:rsidR="004A092F">
        <w:rPr>
          <w:lang w:val="en-GB"/>
        </w:rPr>
        <w:t xml:space="preserve">w </w:t>
      </w:r>
      <w:r w:rsidR="00372B77">
        <w:rPr>
          <w:lang w:val="en-GB"/>
        </w:rPr>
        <w:t xml:space="preserve">can </w:t>
      </w:r>
      <w:r w:rsidR="004A092F">
        <w:rPr>
          <w:lang w:val="en-GB"/>
        </w:rPr>
        <w:t>these two things be reconciled</w:t>
      </w:r>
      <w:r w:rsidR="000E1BCA" w:rsidRPr="00BA6593">
        <w:rPr>
          <w:lang w:val="en-GB"/>
        </w:rPr>
        <w:t xml:space="preserve">? </w:t>
      </w:r>
      <w:r w:rsidR="004A092F">
        <w:rPr>
          <w:lang w:val="en-GB"/>
        </w:rPr>
        <w:t xml:space="preserve">And what if the political message </w:t>
      </w:r>
      <w:r w:rsidR="00372B77">
        <w:rPr>
          <w:lang w:val="en-GB"/>
        </w:rPr>
        <w:t xml:space="preserve">being voiced </w:t>
      </w:r>
      <w:r w:rsidR="004A092F">
        <w:rPr>
          <w:lang w:val="en-GB"/>
        </w:rPr>
        <w:t>is a controversial one</w:t>
      </w:r>
      <w:r w:rsidR="00247AD1" w:rsidRPr="00BA6593">
        <w:rPr>
          <w:lang w:val="en-GB"/>
        </w:rPr>
        <w:t xml:space="preserve">? </w:t>
      </w:r>
      <w:r w:rsidR="00A64630">
        <w:rPr>
          <w:lang w:val="en-GB"/>
        </w:rPr>
        <w:t>Should</w:t>
      </w:r>
      <w:r w:rsidR="00372B77">
        <w:rPr>
          <w:lang w:val="en-GB"/>
        </w:rPr>
        <w:t>n’t</w:t>
      </w:r>
      <w:r w:rsidR="00A64630">
        <w:rPr>
          <w:lang w:val="en-GB"/>
        </w:rPr>
        <w:t xml:space="preserve"> the duty to respect and safeguard the right </w:t>
      </w:r>
      <w:r w:rsidR="00C86303">
        <w:rPr>
          <w:lang w:val="en-GB"/>
        </w:rPr>
        <w:t>of</w:t>
      </w:r>
      <w:r w:rsidR="00A64630">
        <w:rPr>
          <w:lang w:val="en-GB"/>
        </w:rPr>
        <w:t xml:space="preserve"> </w:t>
      </w:r>
      <w:r w:rsidR="00C86303">
        <w:rPr>
          <w:lang w:val="en-GB"/>
        </w:rPr>
        <w:t xml:space="preserve">peaceful </w:t>
      </w:r>
      <w:r w:rsidR="00A64630">
        <w:rPr>
          <w:lang w:val="en-GB"/>
        </w:rPr>
        <w:t xml:space="preserve">assembly apply generally to all assemblies, regardless of </w:t>
      </w:r>
      <w:r w:rsidR="00370141">
        <w:rPr>
          <w:lang w:val="en-GB"/>
        </w:rPr>
        <w:t>the message they convey</w:t>
      </w:r>
      <w:r w:rsidR="00F424F4" w:rsidRPr="00BA6593">
        <w:rPr>
          <w:lang w:val="en-GB"/>
        </w:rPr>
        <w:t>?</w:t>
      </w:r>
    </w:p>
    <w:p w14:paraId="260526BE" w14:textId="77777777" w:rsidR="00997838" w:rsidRPr="00BA6593" w:rsidRDefault="00997838" w:rsidP="00997838">
      <w:pPr>
        <w:spacing w:after="0" w:line="360" w:lineRule="auto"/>
        <w:rPr>
          <w:lang w:val="en-GB"/>
        </w:rPr>
      </w:pPr>
    </w:p>
    <w:p w14:paraId="6443B683" w14:textId="77777777" w:rsidR="000E1BCA" w:rsidRPr="00BA6593" w:rsidRDefault="00805F07" w:rsidP="00997838">
      <w:pPr>
        <w:spacing w:after="0" w:line="360" w:lineRule="auto"/>
        <w:rPr>
          <w:b/>
          <w:lang w:val="en-GB"/>
        </w:rPr>
      </w:pPr>
      <w:r w:rsidRPr="00BA6593">
        <w:rPr>
          <w:b/>
          <w:lang w:val="en-GB"/>
        </w:rPr>
        <w:t>Para 37</w:t>
      </w:r>
      <w:r w:rsidR="00930094" w:rsidRPr="00BA6593">
        <w:rPr>
          <w:b/>
          <w:lang w:val="en-GB"/>
        </w:rPr>
        <w:t xml:space="preserve"> </w:t>
      </w:r>
      <w:r w:rsidR="00A64630">
        <w:rPr>
          <w:b/>
          <w:lang w:val="en-GB"/>
        </w:rPr>
        <w:t>and</w:t>
      </w:r>
      <w:r w:rsidR="00930094" w:rsidRPr="00BA6593">
        <w:rPr>
          <w:b/>
          <w:lang w:val="en-GB"/>
        </w:rPr>
        <w:t xml:space="preserve"> 38:</w:t>
      </w:r>
    </w:p>
    <w:p w14:paraId="14BD9A08" w14:textId="7BAAFB2C" w:rsidR="00A64630" w:rsidRDefault="00372B77" w:rsidP="00997838">
      <w:pPr>
        <w:spacing w:after="0" w:line="360" w:lineRule="auto"/>
        <w:rPr>
          <w:lang w:val="en-GB"/>
        </w:rPr>
      </w:pPr>
      <w:r>
        <w:rPr>
          <w:lang w:val="en-GB"/>
        </w:rPr>
        <w:t>According to p</w:t>
      </w:r>
      <w:r w:rsidR="00A64630">
        <w:rPr>
          <w:lang w:val="en-GB"/>
        </w:rPr>
        <w:t xml:space="preserve">aragraphs </w:t>
      </w:r>
      <w:r w:rsidR="008E58E4" w:rsidRPr="00BA6593">
        <w:rPr>
          <w:lang w:val="en-GB"/>
        </w:rPr>
        <w:t xml:space="preserve">37 </w:t>
      </w:r>
      <w:r w:rsidR="00A64630">
        <w:rPr>
          <w:lang w:val="en-GB"/>
        </w:rPr>
        <w:t>and</w:t>
      </w:r>
      <w:r>
        <w:rPr>
          <w:lang w:val="en-GB"/>
        </w:rPr>
        <w:t xml:space="preserve"> 38, </w:t>
      </w:r>
      <w:r w:rsidR="00A64630">
        <w:rPr>
          <w:lang w:val="en-GB"/>
        </w:rPr>
        <w:t xml:space="preserve">certain activities </w:t>
      </w:r>
      <w:r>
        <w:rPr>
          <w:lang w:val="en-GB"/>
        </w:rPr>
        <w:t xml:space="preserve">that </w:t>
      </w:r>
      <w:r w:rsidR="00A64630">
        <w:rPr>
          <w:lang w:val="en-GB"/>
        </w:rPr>
        <w:t xml:space="preserve">fall outside the </w:t>
      </w:r>
      <w:r w:rsidR="002909EF">
        <w:rPr>
          <w:lang w:val="en-GB"/>
        </w:rPr>
        <w:t>immediate</w:t>
      </w:r>
      <w:r w:rsidR="00A64630">
        <w:rPr>
          <w:lang w:val="en-GB"/>
        </w:rPr>
        <w:t xml:space="preserve"> </w:t>
      </w:r>
      <w:r w:rsidR="00805F07" w:rsidRPr="00BA6593">
        <w:rPr>
          <w:lang w:val="en-GB"/>
        </w:rPr>
        <w:t xml:space="preserve">scope </w:t>
      </w:r>
      <w:r w:rsidR="00A64630">
        <w:rPr>
          <w:lang w:val="en-GB"/>
        </w:rPr>
        <w:t xml:space="preserve">of an assembly but are necessary for </w:t>
      </w:r>
      <w:r w:rsidR="00ED5F75">
        <w:rPr>
          <w:lang w:val="en-GB"/>
        </w:rPr>
        <w:t xml:space="preserve">or are somehow related to </w:t>
      </w:r>
      <w:r w:rsidR="00A64630">
        <w:rPr>
          <w:lang w:val="en-GB"/>
        </w:rPr>
        <w:t xml:space="preserve">the meaningful exercise of the right of </w:t>
      </w:r>
      <w:r w:rsidR="00C86303">
        <w:rPr>
          <w:lang w:val="en-GB"/>
        </w:rPr>
        <w:t xml:space="preserve">peaceful </w:t>
      </w:r>
      <w:r w:rsidR="00A64630">
        <w:rPr>
          <w:lang w:val="en-GB"/>
        </w:rPr>
        <w:t xml:space="preserve">assembly </w:t>
      </w:r>
      <w:r>
        <w:rPr>
          <w:lang w:val="en-GB"/>
        </w:rPr>
        <w:t xml:space="preserve">may </w:t>
      </w:r>
      <w:r w:rsidR="00A64630">
        <w:rPr>
          <w:lang w:val="en-GB"/>
        </w:rPr>
        <w:t xml:space="preserve">also fall under the protection of article 21 or a related right. Various activities are mentioned in this connection, including </w:t>
      </w:r>
      <w:r w:rsidR="002909EF">
        <w:rPr>
          <w:lang w:val="en-GB"/>
        </w:rPr>
        <w:t>leaving</w:t>
      </w:r>
      <w:r w:rsidR="00A64630">
        <w:rPr>
          <w:lang w:val="en-GB"/>
        </w:rPr>
        <w:t xml:space="preserve"> an assembly after</w:t>
      </w:r>
      <w:r w:rsidR="002909EF">
        <w:rPr>
          <w:lang w:val="en-GB"/>
        </w:rPr>
        <w:t>wards</w:t>
      </w:r>
      <w:r w:rsidR="00A64630">
        <w:rPr>
          <w:lang w:val="en-GB"/>
        </w:rPr>
        <w:t>. Do these paragraphs intend to say that all the activities cite</w:t>
      </w:r>
      <w:r w:rsidR="00360F72">
        <w:rPr>
          <w:lang w:val="en-GB"/>
        </w:rPr>
        <w:t>d</w:t>
      </w:r>
      <w:r w:rsidR="00A64630">
        <w:rPr>
          <w:lang w:val="en-GB"/>
        </w:rPr>
        <w:t xml:space="preserve"> are </w:t>
      </w:r>
      <w:r w:rsidR="00A64630">
        <w:t>(</w:t>
      </w:r>
      <w:r w:rsidR="00A64630">
        <w:rPr>
          <w:lang w:val="en-GB"/>
        </w:rPr>
        <w:t xml:space="preserve">potentially) entitled to protection under article 21? This would seem to be stretching the scope of the right </w:t>
      </w:r>
      <w:r w:rsidR="00C86303">
        <w:rPr>
          <w:lang w:val="en-GB"/>
        </w:rPr>
        <w:t>of</w:t>
      </w:r>
      <w:r w:rsidR="00A64630">
        <w:rPr>
          <w:lang w:val="en-GB"/>
        </w:rPr>
        <w:t xml:space="preserve"> </w:t>
      </w:r>
      <w:r w:rsidR="00C86303">
        <w:rPr>
          <w:lang w:val="en-GB"/>
        </w:rPr>
        <w:t xml:space="preserve">peaceful </w:t>
      </w:r>
      <w:r w:rsidR="00A64630">
        <w:rPr>
          <w:lang w:val="en-GB"/>
        </w:rPr>
        <w:t>assem</w:t>
      </w:r>
      <w:r>
        <w:rPr>
          <w:lang w:val="en-GB"/>
        </w:rPr>
        <w:t xml:space="preserve">bly quite far indeed. Or is it </w:t>
      </w:r>
      <w:r w:rsidR="00BD7A3F">
        <w:rPr>
          <w:lang w:val="en-GB"/>
        </w:rPr>
        <w:t xml:space="preserve">instead </w:t>
      </w:r>
      <w:r w:rsidR="00A64630">
        <w:rPr>
          <w:lang w:val="en-GB"/>
        </w:rPr>
        <w:t xml:space="preserve">the case that </w:t>
      </w:r>
      <w:r w:rsidR="00997838">
        <w:rPr>
          <w:lang w:val="en-GB"/>
        </w:rPr>
        <w:t xml:space="preserve">the issue of protection for these activities </w:t>
      </w:r>
      <w:r w:rsidR="00BF7B36">
        <w:rPr>
          <w:lang w:val="en-GB"/>
        </w:rPr>
        <w:t xml:space="preserve">is also, or even exclusively, covered by </w:t>
      </w:r>
      <w:r w:rsidRPr="00FA436A">
        <w:rPr>
          <w:lang w:val="en-GB"/>
        </w:rPr>
        <w:t xml:space="preserve">other rights specified in the </w:t>
      </w:r>
      <w:r w:rsidR="00BD7A3F" w:rsidRPr="00FA436A">
        <w:rPr>
          <w:lang w:val="en-GB"/>
        </w:rPr>
        <w:t>Covenant</w:t>
      </w:r>
      <w:r>
        <w:rPr>
          <w:lang w:val="en-GB"/>
        </w:rPr>
        <w:t>,</w:t>
      </w:r>
      <w:r w:rsidR="00CE14A4">
        <w:rPr>
          <w:lang w:val="en-GB"/>
        </w:rPr>
        <w:t xml:space="preserve"> </w:t>
      </w:r>
      <w:r>
        <w:rPr>
          <w:lang w:val="en-GB"/>
        </w:rPr>
        <w:t>such as freedom of movement or freedom of expression</w:t>
      </w:r>
      <w:r w:rsidR="00A64630">
        <w:rPr>
          <w:lang w:val="en-GB"/>
        </w:rPr>
        <w:t>? If that is the case, it would be helpful to distinguish those rights more clearly</w:t>
      </w:r>
      <w:r w:rsidR="006D6C19">
        <w:rPr>
          <w:lang w:val="en-GB"/>
        </w:rPr>
        <w:t xml:space="preserve"> here</w:t>
      </w:r>
      <w:r w:rsidR="00A64630">
        <w:rPr>
          <w:lang w:val="en-GB"/>
        </w:rPr>
        <w:t>.</w:t>
      </w:r>
    </w:p>
    <w:p w14:paraId="5012EFF3" w14:textId="77777777" w:rsidR="00997838" w:rsidRPr="00A64630" w:rsidRDefault="00997838" w:rsidP="00997838">
      <w:pPr>
        <w:spacing w:after="0" w:line="360" w:lineRule="auto"/>
        <w:rPr>
          <w:lang w:val="en-GB"/>
        </w:rPr>
      </w:pPr>
    </w:p>
    <w:p w14:paraId="48CAE199" w14:textId="6B79BCA1" w:rsidR="000559DB" w:rsidRPr="00BA6593" w:rsidRDefault="00360F72" w:rsidP="00997838">
      <w:pPr>
        <w:spacing w:after="0" w:line="360" w:lineRule="auto"/>
        <w:rPr>
          <w:lang w:val="en-GB"/>
        </w:rPr>
      </w:pPr>
      <w:r>
        <w:rPr>
          <w:lang w:val="en-GB"/>
        </w:rPr>
        <w:t xml:space="preserve">The following sentence can </w:t>
      </w:r>
      <w:r w:rsidR="00BF7B36">
        <w:rPr>
          <w:lang w:val="en-GB"/>
        </w:rPr>
        <w:t xml:space="preserve">also </w:t>
      </w:r>
      <w:r>
        <w:rPr>
          <w:lang w:val="en-GB"/>
        </w:rPr>
        <w:t xml:space="preserve">be found in </w:t>
      </w:r>
      <w:r w:rsidR="000559DB" w:rsidRPr="00BA6593">
        <w:rPr>
          <w:lang w:val="en-GB"/>
        </w:rPr>
        <w:t>para 38: ‘States parties should ensure that self-regulation by Internet service providers does not unduly affect assemblies and that the activities of those providers do not unduly infringe upon the privacy or safety of assembly participants.’</w:t>
      </w:r>
    </w:p>
    <w:p w14:paraId="33CECF7E" w14:textId="77777777" w:rsidR="0048695E" w:rsidRDefault="0048695E" w:rsidP="00997838">
      <w:pPr>
        <w:spacing w:after="0" w:line="360" w:lineRule="auto"/>
        <w:rPr>
          <w:lang w:val="en-GB"/>
        </w:rPr>
      </w:pPr>
    </w:p>
    <w:p w14:paraId="2A3D895E" w14:textId="551EBB0D" w:rsidR="000559DB" w:rsidRDefault="00AD572A" w:rsidP="00997838">
      <w:pPr>
        <w:spacing w:after="0" w:line="360" w:lineRule="auto"/>
        <w:rPr>
          <w:lang w:val="en-GB"/>
        </w:rPr>
      </w:pPr>
      <w:r>
        <w:rPr>
          <w:lang w:val="en-GB"/>
        </w:rPr>
        <w:lastRenderedPageBreak/>
        <w:t>Without further explanation or reference</w:t>
      </w:r>
      <w:r w:rsidR="00997838">
        <w:rPr>
          <w:lang w:val="en-GB"/>
        </w:rPr>
        <w:t>s</w:t>
      </w:r>
      <w:r>
        <w:rPr>
          <w:lang w:val="en-GB"/>
        </w:rPr>
        <w:t>, this passage assumes</w:t>
      </w:r>
      <w:r w:rsidR="00997838">
        <w:rPr>
          <w:lang w:val="en-GB"/>
        </w:rPr>
        <w:t xml:space="preserve"> a </w:t>
      </w:r>
      <w:r>
        <w:rPr>
          <w:lang w:val="en-GB"/>
        </w:rPr>
        <w:t xml:space="preserve">far-reaching obligation </w:t>
      </w:r>
      <w:r w:rsidR="00997838">
        <w:rPr>
          <w:lang w:val="en-GB"/>
        </w:rPr>
        <w:t xml:space="preserve">on the part of </w:t>
      </w:r>
      <w:r>
        <w:rPr>
          <w:lang w:val="en-GB"/>
        </w:rPr>
        <w:t xml:space="preserve">the </w:t>
      </w:r>
      <w:r w:rsidR="00C265F2">
        <w:rPr>
          <w:lang w:val="en-GB"/>
        </w:rPr>
        <w:t>S</w:t>
      </w:r>
      <w:r w:rsidR="00A77859">
        <w:rPr>
          <w:lang w:val="en-GB"/>
        </w:rPr>
        <w:t>tate</w:t>
      </w:r>
      <w:r w:rsidR="006D6C19">
        <w:rPr>
          <w:lang w:val="en-GB"/>
        </w:rPr>
        <w:t xml:space="preserve"> </w:t>
      </w:r>
      <w:r w:rsidR="003204EF" w:rsidRPr="00BA6593">
        <w:rPr>
          <w:lang w:val="en-GB"/>
        </w:rPr>
        <w:t>(</w:t>
      </w:r>
      <w:r w:rsidR="0026522A" w:rsidRPr="00BA6593">
        <w:rPr>
          <w:lang w:val="en-GB"/>
        </w:rPr>
        <w:t>‘</w:t>
      </w:r>
      <w:r w:rsidR="003204EF" w:rsidRPr="00BA6593">
        <w:rPr>
          <w:lang w:val="en-GB"/>
        </w:rPr>
        <w:t>ensure</w:t>
      </w:r>
      <w:r w:rsidR="0026522A" w:rsidRPr="00BA6593">
        <w:rPr>
          <w:lang w:val="en-GB"/>
        </w:rPr>
        <w:t>’</w:t>
      </w:r>
      <w:r w:rsidR="002C7A0B">
        <w:rPr>
          <w:lang w:val="en-GB"/>
        </w:rPr>
        <w:t xml:space="preserve">); yet </w:t>
      </w:r>
      <w:r w:rsidR="00997838">
        <w:rPr>
          <w:lang w:val="en-GB"/>
        </w:rPr>
        <w:t>this obligation relates</w:t>
      </w:r>
      <w:r>
        <w:rPr>
          <w:lang w:val="en-GB"/>
        </w:rPr>
        <w:t xml:space="preserve"> to a party and </w:t>
      </w:r>
      <w:r w:rsidR="00CA279D">
        <w:rPr>
          <w:lang w:val="en-GB"/>
        </w:rPr>
        <w:t>a</w:t>
      </w:r>
      <w:r w:rsidR="002C7A0B">
        <w:rPr>
          <w:lang w:val="en-GB"/>
        </w:rPr>
        <w:t xml:space="preserve">n issue </w:t>
      </w:r>
      <w:r w:rsidR="00CA279D">
        <w:rPr>
          <w:lang w:val="en-GB"/>
        </w:rPr>
        <w:t xml:space="preserve">over which the </w:t>
      </w:r>
      <w:r w:rsidR="00C265F2">
        <w:rPr>
          <w:lang w:val="en-GB"/>
        </w:rPr>
        <w:t>S</w:t>
      </w:r>
      <w:r w:rsidR="00A77859">
        <w:rPr>
          <w:lang w:val="en-GB"/>
        </w:rPr>
        <w:t xml:space="preserve">tate </w:t>
      </w:r>
      <w:r w:rsidR="00CA279D">
        <w:rPr>
          <w:lang w:val="en-GB"/>
        </w:rPr>
        <w:t>generally has no direct authority.</w:t>
      </w:r>
    </w:p>
    <w:p w14:paraId="598AF280" w14:textId="77777777" w:rsidR="00997838" w:rsidRPr="00BA6593" w:rsidRDefault="00997838" w:rsidP="00997838">
      <w:pPr>
        <w:spacing w:after="0" w:line="360" w:lineRule="auto"/>
        <w:rPr>
          <w:lang w:val="en-GB"/>
        </w:rPr>
      </w:pPr>
    </w:p>
    <w:p w14:paraId="15CBAC60" w14:textId="77777777" w:rsidR="001E2D72" w:rsidRPr="00BA6593" w:rsidRDefault="001E2D72" w:rsidP="00997838">
      <w:pPr>
        <w:spacing w:after="0" w:line="360" w:lineRule="auto"/>
        <w:rPr>
          <w:b/>
          <w:lang w:val="en-GB"/>
        </w:rPr>
      </w:pPr>
      <w:r w:rsidRPr="00BA6593">
        <w:rPr>
          <w:b/>
          <w:lang w:val="en-GB"/>
        </w:rPr>
        <w:t>Para 72</w:t>
      </w:r>
      <w:r w:rsidR="006D7585" w:rsidRPr="00BA6593">
        <w:rPr>
          <w:b/>
          <w:lang w:val="en-GB"/>
        </w:rPr>
        <w:t>:</w:t>
      </w:r>
    </w:p>
    <w:p w14:paraId="75CC6538" w14:textId="335F1A55" w:rsidR="006D2F77" w:rsidRDefault="006D7585" w:rsidP="00997838">
      <w:pPr>
        <w:spacing w:after="0" w:line="360" w:lineRule="auto"/>
        <w:rPr>
          <w:lang w:val="en-GB"/>
        </w:rPr>
      </w:pPr>
      <w:r w:rsidRPr="00BA6593">
        <w:rPr>
          <w:lang w:val="en-GB"/>
        </w:rPr>
        <w:t>‘Independent scrutiny and oversight must be exercised over the collection of personal information and data of those engaged in peaceful assemblies.’</w:t>
      </w:r>
    </w:p>
    <w:p w14:paraId="6281FAA1" w14:textId="77777777" w:rsidR="00997838" w:rsidRPr="00BA6593" w:rsidRDefault="00997838" w:rsidP="00997838">
      <w:pPr>
        <w:spacing w:after="0" w:line="360" w:lineRule="auto"/>
        <w:rPr>
          <w:lang w:val="en-GB"/>
        </w:rPr>
      </w:pPr>
    </w:p>
    <w:p w14:paraId="3D541CD1" w14:textId="6972BF8B" w:rsidR="006D7585" w:rsidRPr="00BA6593" w:rsidRDefault="00CA279D" w:rsidP="00997838">
      <w:pPr>
        <w:spacing w:after="0" w:line="360" w:lineRule="auto"/>
        <w:rPr>
          <w:lang w:val="en-GB"/>
        </w:rPr>
      </w:pPr>
      <w:r>
        <w:rPr>
          <w:lang w:val="en-GB"/>
        </w:rPr>
        <w:t xml:space="preserve">Can the underlying </w:t>
      </w:r>
      <w:r w:rsidR="002C7A0B">
        <w:rPr>
          <w:lang w:val="en-GB"/>
        </w:rPr>
        <w:t xml:space="preserve">reasoning of </w:t>
      </w:r>
      <w:r>
        <w:rPr>
          <w:lang w:val="en-GB"/>
        </w:rPr>
        <w:t>this</w:t>
      </w:r>
      <w:r w:rsidR="006D7585" w:rsidRPr="00BA6593">
        <w:rPr>
          <w:lang w:val="en-GB"/>
        </w:rPr>
        <w:t xml:space="preserve"> passage </w:t>
      </w:r>
      <w:r>
        <w:rPr>
          <w:lang w:val="en-GB"/>
        </w:rPr>
        <w:t>be further explained or elucidated</w:t>
      </w:r>
      <w:r w:rsidR="006D7585" w:rsidRPr="00BA6593">
        <w:rPr>
          <w:lang w:val="en-GB"/>
        </w:rPr>
        <w:t xml:space="preserve">, </w:t>
      </w:r>
      <w:r>
        <w:rPr>
          <w:lang w:val="en-GB"/>
        </w:rPr>
        <w:t>especially the legal basis for assuming this obligation</w:t>
      </w:r>
      <w:r w:rsidR="006D7585" w:rsidRPr="00BA6593">
        <w:rPr>
          <w:lang w:val="en-GB"/>
        </w:rPr>
        <w:t xml:space="preserve">? </w:t>
      </w:r>
      <w:r>
        <w:rPr>
          <w:lang w:val="en-GB"/>
        </w:rPr>
        <w:t>Does</w:t>
      </w:r>
      <w:r w:rsidR="00C265F2">
        <w:rPr>
          <w:lang w:val="en-GB"/>
        </w:rPr>
        <w:t>n’t</w:t>
      </w:r>
      <w:r>
        <w:rPr>
          <w:lang w:val="en-GB"/>
        </w:rPr>
        <w:t xml:space="preserve"> data protection law play a (primary) role here</w:t>
      </w:r>
      <w:r w:rsidR="00E674FE" w:rsidRPr="00BA6593">
        <w:rPr>
          <w:lang w:val="en-GB"/>
        </w:rPr>
        <w:t>?</w:t>
      </w:r>
      <w:r w:rsidR="00FE2DF5" w:rsidRPr="00BA6593">
        <w:rPr>
          <w:lang w:val="en-GB"/>
        </w:rPr>
        <w:t xml:space="preserve"> </w:t>
      </w:r>
      <w:r w:rsidR="006D7585" w:rsidRPr="00BA6593">
        <w:rPr>
          <w:lang w:val="en-GB"/>
        </w:rPr>
        <w:t xml:space="preserve">  </w:t>
      </w:r>
    </w:p>
    <w:p w14:paraId="31B90F13" w14:textId="69C53B4B" w:rsidR="00372B77" w:rsidRDefault="00372B77" w:rsidP="00997838">
      <w:pPr>
        <w:spacing w:after="0" w:line="360" w:lineRule="auto"/>
        <w:rPr>
          <w:b/>
          <w:lang w:val="en-GB"/>
        </w:rPr>
      </w:pPr>
    </w:p>
    <w:p w14:paraId="5EE240FC" w14:textId="1D4D18B1" w:rsidR="006D7585" w:rsidRPr="00BA6593" w:rsidRDefault="00C22AF8" w:rsidP="00997838">
      <w:pPr>
        <w:spacing w:after="0" w:line="360" w:lineRule="auto"/>
        <w:rPr>
          <w:b/>
          <w:lang w:val="en-GB"/>
        </w:rPr>
      </w:pPr>
      <w:r w:rsidRPr="00BA6593">
        <w:rPr>
          <w:b/>
          <w:lang w:val="en-GB"/>
        </w:rPr>
        <w:t>Para 114:</w:t>
      </w:r>
    </w:p>
    <w:p w14:paraId="28E3F331" w14:textId="77777777" w:rsidR="00E4480B" w:rsidRPr="00BA6593" w:rsidRDefault="00E4480B" w:rsidP="00997838">
      <w:pPr>
        <w:spacing w:after="0" w:line="360" w:lineRule="auto"/>
        <w:rPr>
          <w:lang w:val="en-GB"/>
        </w:rPr>
      </w:pPr>
      <w:r w:rsidRPr="00BA6593">
        <w:rPr>
          <w:lang w:val="en-GB"/>
        </w:rPr>
        <w:t>‘[The right of peaceful assembly is often exercised with the aim of advancing the implementation of other fundamental human rights, as well as other norms and principles of international law. In such cases, the duty to respect and ensure the right of peaceful assembly derives its legal justification from the intrinsic value of the right, but also from the importance of the other rights, norms and principles whose implementation it advances.]’</w:t>
      </w:r>
    </w:p>
    <w:p w14:paraId="77C2C8D1" w14:textId="77777777" w:rsidR="00372B77" w:rsidRDefault="00372B77" w:rsidP="00997838">
      <w:pPr>
        <w:spacing w:after="0" w:line="360" w:lineRule="auto"/>
        <w:rPr>
          <w:lang w:val="en-GB"/>
        </w:rPr>
      </w:pPr>
    </w:p>
    <w:p w14:paraId="4BF56B01" w14:textId="7AC61095" w:rsidR="00002DD2" w:rsidRPr="00BA6593" w:rsidRDefault="00CA279D" w:rsidP="00997838">
      <w:pPr>
        <w:spacing w:after="0" w:line="360" w:lineRule="auto"/>
        <w:rPr>
          <w:lang w:val="en-GB"/>
        </w:rPr>
      </w:pPr>
      <w:r>
        <w:rPr>
          <w:lang w:val="en-GB"/>
        </w:rPr>
        <w:t xml:space="preserve">There is no </w:t>
      </w:r>
      <w:r w:rsidR="00C265F2">
        <w:rPr>
          <w:lang w:val="en-GB"/>
        </w:rPr>
        <w:t xml:space="preserve">question </w:t>
      </w:r>
      <w:r>
        <w:rPr>
          <w:lang w:val="en-GB"/>
        </w:rPr>
        <w:t xml:space="preserve">that the right </w:t>
      </w:r>
      <w:r w:rsidR="00BF7B36">
        <w:rPr>
          <w:lang w:val="en-GB"/>
        </w:rPr>
        <w:t>of</w:t>
      </w:r>
      <w:r>
        <w:rPr>
          <w:lang w:val="en-GB"/>
        </w:rPr>
        <w:t xml:space="preserve"> </w:t>
      </w:r>
      <w:r w:rsidR="00BF7B36">
        <w:rPr>
          <w:lang w:val="en-GB"/>
        </w:rPr>
        <w:t xml:space="preserve">peaceful </w:t>
      </w:r>
      <w:r>
        <w:rPr>
          <w:lang w:val="en-GB"/>
        </w:rPr>
        <w:t>assem</w:t>
      </w:r>
      <w:r w:rsidR="00997838">
        <w:rPr>
          <w:lang w:val="en-GB"/>
        </w:rPr>
        <w:t>bly is an important one</w:t>
      </w:r>
      <w:r>
        <w:rPr>
          <w:lang w:val="en-GB"/>
        </w:rPr>
        <w:t xml:space="preserve">, </w:t>
      </w:r>
      <w:r w:rsidR="00F67EDD">
        <w:rPr>
          <w:lang w:val="en-GB"/>
        </w:rPr>
        <w:t xml:space="preserve">and that it </w:t>
      </w:r>
      <w:r>
        <w:rPr>
          <w:lang w:val="en-GB"/>
        </w:rPr>
        <w:t>can also support the exercise of other (fundamental) rights</w:t>
      </w:r>
      <w:r w:rsidR="006D27FA" w:rsidRPr="00BA6593">
        <w:rPr>
          <w:lang w:val="en-GB"/>
        </w:rPr>
        <w:t xml:space="preserve">. </w:t>
      </w:r>
      <w:r w:rsidR="00F67EDD">
        <w:rPr>
          <w:lang w:val="en-GB"/>
        </w:rPr>
        <w:t xml:space="preserve">However, </w:t>
      </w:r>
      <w:r w:rsidR="00E42D90">
        <w:rPr>
          <w:lang w:val="en-GB"/>
        </w:rPr>
        <w:t xml:space="preserve">as with </w:t>
      </w:r>
      <w:r w:rsidR="00002DD2" w:rsidRPr="00BA6593">
        <w:rPr>
          <w:lang w:val="en-GB"/>
        </w:rPr>
        <w:t>para</w:t>
      </w:r>
      <w:r w:rsidR="00F67EDD">
        <w:rPr>
          <w:lang w:val="en-GB"/>
        </w:rPr>
        <w:t>graph</w:t>
      </w:r>
      <w:r w:rsidR="00002DD2" w:rsidRPr="00BA6593">
        <w:rPr>
          <w:lang w:val="en-GB"/>
        </w:rPr>
        <w:t xml:space="preserve"> 36</w:t>
      </w:r>
      <w:r w:rsidR="00997838">
        <w:rPr>
          <w:lang w:val="en-GB"/>
        </w:rPr>
        <w:t xml:space="preserve"> above</w:t>
      </w:r>
      <w:r w:rsidR="00E42D90">
        <w:rPr>
          <w:lang w:val="en-GB"/>
        </w:rPr>
        <w:t>,</w:t>
      </w:r>
      <w:r w:rsidR="00002DD2" w:rsidRPr="00BA6593">
        <w:rPr>
          <w:lang w:val="en-GB"/>
        </w:rPr>
        <w:t xml:space="preserve"> </w:t>
      </w:r>
      <w:r w:rsidR="00EE7DBE">
        <w:rPr>
          <w:lang w:val="en-GB"/>
        </w:rPr>
        <w:t>th</w:t>
      </w:r>
      <w:r w:rsidR="007779E7">
        <w:rPr>
          <w:lang w:val="en-GB"/>
        </w:rPr>
        <w:t xml:space="preserve">is raises </w:t>
      </w:r>
      <w:r w:rsidR="007337FB">
        <w:rPr>
          <w:lang w:val="en-GB"/>
        </w:rPr>
        <w:t xml:space="preserve">the question of whether the </w:t>
      </w:r>
      <w:r w:rsidR="00370141">
        <w:rPr>
          <w:lang w:val="en-GB"/>
        </w:rPr>
        <w:t>message</w:t>
      </w:r>
      <w:r w:rsidR="007337FB">
        <w:rPr>
          <w:lang w:val="en-GB"/>
        </w:rPr>
        <w:t xml:space="preserve"> </w:t>
      </w:r>
      <w:r w:rsidR="00002DD2" w:rsidRPr="00BA6593">
        <w:rPr>
          <w:lang w:val="en-GB"/>
        </w:rPr>
        <w:t>(o</w:t>
      </w:r>
      <w:r w:rsidR="007337FB">
        <w:rPr>
          <w:lang w:val="en-GB"/>
        </w:rPr>
        <w:t>r aim</w:t>
      </w:r>
      <w:r w:rsidR="00002DD2" w:rsidRPr="00BA6593">
        <w:rPr>
          <w:lang w:val="en-GB"/>
        </w:rPr>
        <w:t xml:space="preserve">) </w:t>
      </w:r>
      <w:r w:rsidR="007337FB">
        <w:rPr>
          <w:lang w:val="en-GB"/>
        </w:rPr>
        <w:t xml:space="preserve">of an assembly </w:t>
      </w:r>
      <w:r w:rsidR="00EE7DBE">
        <w:rPr>
          <w:lang w:val="en-GB"/>
        </w:rPr>
        <w:t>should</w:t>
      </w:r>
      <w:r w:rsidR="007337FB">
        <w:rPr>
          <w:lang w:val="en-GB"/>
        </w:rPr>
        <w:t xml:space="preserve"> play a role in the legal justification</w:t>
      </w:r>
      <w:r w:rsidR="00002DD2" w:rsidRPr="00BA6593">
        <w:rPr>
          <w:lang w:val="en-GB"/>
        </w:rPr>
        <w:t>/</w:t>
      </w:r>
      <w:r w:rsidR="007337FB">
        <w:rPr>
          <w:lang w:val="en-GB"/>
        </w:rPr>
        <w:t>assessment of w</w:t>
      </w:r>
      <w:r w:rsidR="003F7128">
        <w:rPr>
          <w:lang w:val="en-GB"/>
        </w:rPr>
        <w:t>he</w:t>
      </w:r>
      <w:r w:rsidR="007337FB">
        <w:rPr>
          <w:lang w:val="en-GB"/>
        </w:rPr>
        <w:t xml:space="preserve">ther an assembly is entitled to protection. The formulation used would suggest </w:t>
      </w:r>
      <w:r w:rsidR="003F7128">
        <w:rPr>
          <w:lang w:val="en-GB"/>
        </w:rPr>
        <w:t xml:space="preserve">that the duty to respect and safeguard the right </w:t>
      </w:r>
      <w:r w:rsidR="00BF7B36">
        <w:rPr>
          <w:lang w:val="en-GB"/>
        </w:rPr>
        <w:t>of</w:t>
      </w:r>
      <w:r w:rsidR="003F7128">
        <w:rPr>
          <w:lang w:val="en-GB"/>
        </w:rPr>
        <w:t xml:space="preserve"> </w:t>
      </w:r>
      <w:r w:rsidR="00BF7B36">
        <w:rPr>
          <w:lang w:val="en-GB"/>
        </w:rPr>
        <w:t xml:space="preserve">peaceful </w:t>
      </w:r>
      <w:r w:rsidR="003F7128">
        <w:rPr>
          <w:lang w:val="en-GB"/>
        </w:rPr>
        <w:t xml:space="preserve">assembly </w:t>
      </w:r>
      <w:r w:rsidR="00997838">
        <w:rPr>
          <w:lang w:val="en-GB"/>
        </w:rPr>
        <w:t xml:space="preserve">relates in some way </w:t>
      </w:r>
      <w:r w:rsidR="003F7128">
        <w:rPr>
          <w:lang w:val="en-GB"/>
        </w:rPr>
        <w:t xml:space="preserve">to the </w:t>
      </w:r>
      <w:r w:rsidR="00370141">
        <w:rPr>
          <w:lang w:val="en-GB"/>
        </w:rPr>
        <w:lastRenderedPageBreak/>
        <w:t xml:space="preserve">message </w:t>
      </w:r>
      <w:r w:rsidR="003F7128">
        <w:rPr>
          <w:lang w:val="en-GB"/>
        </w:rPr>
        <w:t xml:space="preserve">/aim of the assembly. Does this mean, for example, that the protection to which </w:t>
      </w:r>
      <w:r w:rsidR="00BB44CA">
        <w:rPr>
          <w:lang w:val="en-GB"/>
        </w:rPr>
        <w:t>assemblies are</w:t>
      </w:r>
      <w:r w:rsidR="003F7128">
        <w:rPr>
          <w:lang w:val="en-GB"/>
        </w:rPr>
        <w:t xml:space="preserve"> entitled can vary depending on </w:t>
      </w:r>
      <w:r w:rsidR="00BB44CA">
        <w:rPr>
          <w:lang w:val="en-GB"/>
        </w:rPr>
        <w:t xml:space="preserve">their </w:t>
      </w:r>
      <w:r w:rsidR="003F7128">
        <w:rPr>
          <w:lang w:val="en-GB"/>
        </w:rPr>
        <w:t>aim/</w:t>
      </w:r>
      <w:r w:rsidR="00370141">
        <w:rPr>
          <w:lang w:val="en-GB"/>
        </w:rPr>
        <w:t xml:space="preserve">message </w:t>
      </w:r>
      <w:r w:rsidR="006D27FA" w:rsidRPr="00BA6593">
        <w:rPr>
          <w:lang w:val="en-GB"/>
        </w:rPr>
        <w:t>?</w:t>
      </w:r>
    </w:p>
    <w:p w14:paraId="2116D4CA" w14:textId="77777777" w:rsidR="00C22AF8" w:rsidRPr="00BA6593" w:rsidRDefault="00C22AF8" w:rsidP="00997838">
      <w:pPr>
        <w:spacing w:after="0" w:line="360" w:lineRule="auto"/>
        <w:rPr>
          <w:lang w:val="en-GB"/>
        </w:rPr>
      </w:pPr>
    </w:p>
    <w:p w14:paraId="03EE118B" w14:textId="77777777" w:rsidR="00C22AF8" w:rsidRPr="00BA6593" w:rsidRDefault="00C22AF8" w:rsidP="00997838">
      <w:pPr>
        <w:spacing w:after="0" w:line="360" w:lineRule="auto"/>
        <w:rPr>
          <w:lang w:val="en-GB"/>
        </w:rPr>
      </w:pPr>
    </w:p>
    <w:p w14:paraId="5F23B1E6" w14:textId="77777777" w:rsidR="001E2D72" w:rsidRPr="00BA6593" w:rsidRDefault="001E2D72" w:rsidP="00997838">
      <w:pPr>
        <w:spacing w:after="0" w:line="360" w:lineRule="auto"/>
        <w:rPr>
          <w:lang w:val="en-GB"/>
        </w:rPr>
      </w:pPr>
    </w:p>
    <w:p w14:paraId="776CAB6E" w14:textId="77777777" w:rsidR="00836DAA" w:rsidRPr="00BA6593" w:rsidRDefault="00836DAA" w:rsidP="00997838">
      <w:pPr>
        <w:spacing w:after="0" w:line="360" w:lineRule="auto"/>
        <w:rPr>
          <w:lang w:val="en-GB"/>
        </w:rPr>
      </w:pPr>
    </w:p>
    <w:p w14:paraId="1EF983DD" w14:textId="77777777" w:rsidR="00A229B1" w:rsidRPr="00BA6593" w:rsidRDefault="00A229B1" w:rsidP="00997838">
      <w:pPr>
        <w:spacing w:after="0" w:line="360" w:lineRule="auto"/>
        <w:rPr>
          <w:lang w:val="en-GB"/>
        </w:rPr>
      </w:pPr>
    </w:p>
    <w:sectPr w:rsidR="00A229B1" w:rsidRPr="00BA6593" w:rsidSect="001E6A24">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4D0EB" w14:textId="77777777" w:rsidR="00381F1A" w:rsidRDefault="00381F1A" w:rsidP="00381F1A">
      <w:pPr>
        <w:spacing w:after="0" w:line="240" w:lineRule="auto"/>
      </w:pPr>
      <w:r>
        <w:separator/>
      </w:r>
    </w:p>
  </w:endnote>
  <w:endnote w:type="continuationSeparator" w:id="0">
    <w:p w14:paraId="6F90B348" w14:textId="77777777" w:rsidR="00381F1A" w:rsidRDefault="00381F1A" w:rsidP="0038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5442" w14:textId="77777777" w:rsidR="007A460F" w:rsidRDefault="007A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D7F6" w14:textId="3904FCCE" w:rsidR="00381F1A" w:rsidRDefault="00381F1A">
    <w:pPr>
      <w:pStyle w:val="Footer"/>
    </w:pPr>
    <w:r>
      <w:tab/>
    </w:r>
    <w:r>
      <w:fldChar w:fldCharType="begin"/>
    </w:r>
    <w:r>
      <w:instrText>PAGE   \* MERGEFORMAT</w:instrText>
    </w:r>
    <w:r>
      <w:fldChar w:fldCharType="separate"/>
    </w:r>
    <w:r w:rsidR="007A460F" w:rsidRPr="007A460F">
      <w:rPr>
        <w:noProof/>
        <w:lang w:val="nl-NL"/>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5773" w14:textId="77777777" w:rsidR="007A460F" w:rsidRDefault="007A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C636" w14:textId="77777777" w:rsidR="00381F1A" w:rsidRDefault="00381F1A" w:rsidP="00381F1A">
      <w:pPr>
        <w:spacing w:after="0" w:line="240" w:lineRule="auto"/>
      </w:pPr>
      <w:r>
        <w:separator/>
      </w:r>
    </w:p>
  </w:footnote>
  <w:footnote w:type="continuationSeparator" w:id="0">
    <w:p w14:paraId="6EC152D4" w14:textId="77777777" w:rsidR="00381F1A" w:rsidRDefault="00381F1A" w:rsidP="0038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1C64" w14:textId="77777777" w:rsidR="007A460F" w:rsidRDefault="007A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9646" w14:textId="09DA83F2" w:rsidR="007A460F" w:rsidRPr="007A460F" w:rsidRDefault="007A460F">
    <w:pPr>
      <w:pStyle w:val="Header"/>
      <w:rPr>
        <w:sz w:val="22"/>
        <w:lang w:val="en-GB"/>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B844" w14:textId="77777777" w:rsidR="007A460F" w:rsidRDefault="007A4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58"/>
    <w:rsid w:val="00002DD2"/>
    <w:rsid w:val="000559DB"/>
    <w:rsid w:val="00073E3F"/>
    <w:rsid w:val="0007467E"/>
    <w:rsid w:val="00082BD3"/>
    <w:rsid w:val="000851EC"/>
    <w:rsid w:val="000E1BCA"/>
    <w:rsid w:val="000F17A9"/>
    <w:rsid w:val="00101A22"/>
    <w:rsid w:val="00115CBD"/>
    <w:rsid w:val="001E2D72"/>
    <w:rsid w:val="001E6A24"/>
    <w:rsid w:val="00247AD1"/>
    <w:rsid w:val="0026522A"/>
    <w:rsid w:val="002909EF"/>
    <w:rsid w:val="002C446C"/>
    <w:rsid w:val="002C7A0B"/>
    <w:rsid w:val="00302CA9"/>
    <w:rsid w:val="003204EF"/>
    <w:rsid w:val="00360F72"/>
    <w:rsid w:val="00370141"/>
    <w:rsid w:val="00372B77"/>
    <w:rsid w:val="00380965"/>
    <w:rsid w:val="00381F1A"/>
    <w:rsid w:val="00382E98"/>
    <w:rsid w:val="003C6619"/>
    <w:rsid w:val="003F7128"/>
    <w:rsid w:val="0046622C"/>
    <w:rsid w:val="0048695E"/>
    <w:rsid w:val="004A092F"/>
    <w:rsid w:val="004B0EF8"/>
    <w:rsid w:val="004E5711"/>
    <w:rsid w:val="005638B3"/>
    <w:rsid w:val="005A1495"/>
    <w:rsid w:val="005F0C9C"/>
    <w:rsid w:val="005F7C19"/>
    <w:rsid w:val="00615D08"/>
    <w:rsid w:val="00640387"/>
    <w:rsid w:val="006935FC"/>
    <w:rsid w:val="006D27FA"/>
    <w:rsid w:val="006D2F77"/>
    <w:rsid w:val="006D6C19"/>
    <w:rsid w:val="006D7585"/>
    <w:rsid w:val="007337FB"/>
    <w:rsid w:val="00741871"/>
    <w:rsid w:val="00751BAA"/>
    <w:rsid w:val="0077376A"/>
    <w:rsid w:val="007779E7"/>
    <w:rsid w:val="007A460F"/>
    <w:rsid w:val="007C5210"/>
    <w:rsid w:val="00805F07"/>
    <w:rsid w:val="00836DAA"/>
    <w:rsid w:val="008E58E4"/>
    <w:rsid w:val="009025E2"/>
    <w:rsid w:val="00930094"/>
    <w:rsid w:val="0093582C"/>
    <w:rsid w:val="00997838"/>
    <w:rsid w:val="00A229B1"/>
    <w:rsid w:val="00A64630"/>
    <w:rsid w:val="00A77859"/>
    <w:rsid w:val="00A87480"/>
    <w:rsid w:val="00AD0A95"/>
    <w:rsid w:val="00AD572A"/>
    <w:rsid w:val="00AE6B1A"/>
    <w:rsid w:val="00B06701"/>
    <w:rsid w:val="00BA02E9"/>
    <w:rsid w:val="00BA6593"/>
    <w:rsid w:val="00BB2855"/>
    <w:rsid w:val="00BB44CA"/>
    <w:rsid w:val="00BD7A3F"/>
    <w:rsid w:val="00BF2C7F"/>
    <w:rsid w:val="00BF7B36"/>
    <w:rsid w:val="00C01FCC"/>
    <w:rsid w:val="00C223D2"/>
    <w:rsid w:val="00C22AF8"/>
    <w:rsid w:val="00C265F2"/>
    <w:rsid w:val="00C32C6A"/>
    <w:rsid w:val="00C675B8"/>
    <w:rsid w:val="00C7647A"/>
    <w:rsid w:val="00C85D77"/>
    <w:rsid w:val="00C86303"/>
    <w:rsid w:val="00CA279D"/>
    <w:rsid w:val="00CE14A4"/>
    <w:rsid w:val="00D13E58"/>
    <w:rsid w:val="00DF6A9F"/>
    <w:rsid w:val="00E202E6"/>
    <w:rsid w:val="00E42D90"/>
    <w:rsid w:val="00E4480B"/>
    <w:rsid w:val="00E674FE"/>
    <w:rsid w:val="00ED5F75"/>
    <w:rsid w:val="00EE5B85"/>
    <w:rsid w:val="00EE7DBE"/>
    <w:rsid w:val="00F03157"/>
    <w:rsid w:val="00F424F4"/>
    <w:rsid w:val="00F67EDD"/>
    <w:rsid w:val="00F7441A"/>
    <w:rsid w:val="00F859C1"/>
    <w:rsid w:val="00FA436A"/>
    <w:rsid w:val="00FE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F6938"/>
  <w15:chartTrackingRefBased/>
  <w15:docId w15:val="{713D9ED8-8412-4A09-B7A3-6249EAB9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F1A"/>
  </w:style>
  <w:style w:type="paragraph" w:styleId="Footer">
    <w:name w:val="footer"/>
    <w:basedOn w:val="Normal"/>
    <w:link w:val="FooterChar"/>
    <w:uiPriority w:val="99"/>
    <w:unhideWhenUsed/>
    <w:rsid w:val="0038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F1A"/>
  </w:style>
  <w:style w:type="character" w:styleId="CommentReference">
    <w:name w:val="annotation reference"/>
    <w:basedOn w:val="DefaultParagraphFont"/>
    <w:uiPriority w:val="99"/>
    <w:semiHidden/>
    <w:unhideWhenUsed/>
    <w:rsid w:val="00360F72"/>
    <w:rPr>
      <w:sz w:val="16"/>
      <w:szCs w:val="16"/>
    </w:rPr>
  </w:style>
  <w:style w:type="paragraph" w:styleId="CommentText">
    <w:name w:val="annotation text"/>
    <w:basedOn w:val="Normal"/>
    <w:link w:val="CommentTextChar"/>
    <w:uiPriority w:val="99"/>
    <w:semiHidden/>
    <w:unhideWhenUsed/>
    <w:rsid w:val="00360F72"/>
    <w:pPr>
      <w:spacing w:line="240" w:lineRule="auto"/>
    </w:pPr>
    <w:rPr>
      <w:sz w:val="20"/>
      <w:szCs w:val="20"/>
    </w:rPr>
  </w:style>
  <w:style w:type="character" w:customStyle="1" w:styleId="CommentTextChar">
    <w:name w:val="Comment Text Char"/>
    <w:basedOn w:val="DefaultParagraphFont"/>
    <w:link w:val="CommentText"/>
    <w:uiPriority w:val="99"/>
    <w:semiHidden/>
    <w:rsid w:val="00360F72"/>
    <w:rPr>
      <w:sz w:val="20"/>
      <w:szCs w:val="20"/>
    </w:rPr>
  </w:style>
  <w:style w:type="paragraph" w:styleId="CommentSubject">
    <w:name w:val="annotation subject"/>
    <w:basedOn w:val="CommentText"/>
    <w:next w:val="CommentText"/>
    <w:link w:val="CommentSubjectChar"/>
    <w:uiPriority w:val="99"/>
    <w:semiHidden/>
    <w:unhideWhenUsed/>
    <w:rsid w:val="00360F72"/>
    <w:rPr>
      <w:b/>
      <w:bCs/>
    </w:rPr>
  </w:style>
  <w:style w:type="character" w:customStyle="1" w:styleId="CommentSubjectChar">
    <w:name w:val="Comment Subject Char"/>
    <w:basedOn w:val="CommentTextChar"/>
    <w:link w:val="CommentSubject"/>
    <w:uiPriority w:val="99"/>
    <w:semiHidden/>
    <w:rsid w:val="00360F72"/>
    <w:rPr>
      <w:b/>
      <w:bCs/>
      <w:sz w:val="20"/>
      <w:szCs w:val="20"/>
    </w:rPr>
  </w:style>
  <w:style w:type="paragraph" w:styleId="BalloonText">
    <w:name w:val="Balloon Text"/>
    <w:basedOn w:val="Normal"/>
    <w:link w:val="BalloonTextChar"/>
    <w:uiPriority w:val="99"/>
    <w:semiHidden/>
    <w:unhideWhenUsed/>
    <w:rsid w:val="00360F7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60F72"/>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6503">
      <w:bodyDiv w:val="1"/>
      <w:marLeft w:val="0"/>
      <w:marRight w:val="0"/>
      <w:marTop w:val="0"/>
      <w:marBottom w:val="0"/>
      <w:divBdr>
        <w:top w:val="none" w:sz="0" w:space="0" w:color="auto"/>
        <w:left w:val="none" w:sz="0" w:space="0" w:color="auto"/>
        <w:bottom w:val="none" w:sz="0" w:space="0" w:color="auto"/>
        <w:right w:val="none" w:sz="0" w:space="0" w:color="auto"/>
      </w:divBdr>
    </w:div>
    <w:div w:id="195489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C46583-9A1F-4E40-8108-2F3970A12A48}"/>
</file>

<file path=customXml/itemProps2.xml><?xml version="1.0" encoding="utf-8"?>
<ds:datastoreItem xmlns:ds="http://schemas.openxmlformats.org/officeDocument/2006/customXml" ds:itemID="{AEC2C023-5A1B-463E-B8D9-EA39174E8119}"/>
</file>

<file path=customXml/itemProps3.xml><?xml version="1.0" encoding="utf-8"?>
<ds:datastoreItem xmlns:ds="http://schemas.openxmlformats.org/officeDocument/2006/customXml" ds:itemID="{0912F132-FF36-41DB-A542-3133D0647749}"/>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4048</Characters>
  <Application>Microsoft Office Word</Application>
  <DocSecurity>4</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Molenaar, Ingrid</dc:creator>
  <cp:keywords/>
  <dc:description/>
  <cp:lastModifiedBy>ROSNIANSKY Cherry Lou</cp:lastModifiedBy>
  <cp:revision>2</cp:revision>
  <cp:lastPrinted>2020-02-17T10:54:00Z</cp:lastPrinted>
  <dcterms:created xsi:type="dcterms:W3CDTF">2020-02-17T10:55:00Z</dcterms:created>
  <dcterms:modified xsi:type="dcterms:W3CDTF">2020-02-17T10:55:00Z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