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907DB" w14:textId="77777777" w:rsidR="00905ADC" w:rsidRDefault="00905ADC" w:rsidP="007B6F62">
      <w:pPr>
        <w:spacing w:line="276" w:lineRule="auto"/>
        <w:jc w:val="center"/>
        <w:rPr>
          <w:rFonts w:ascii="Arial" w:hAnsi="Arial" w:cs="Arial"/>
          <w:noProof/>
        </w:rPr>
      </w:pPr>
      <w:bookmarkStart w:id="0" w:name="_GoBack"/>
      <w:bookmarkEnd w:id="0"/>
    </w:p>
    <w:p w14:paraId="73DF3E0A" w14:textId="77777777" w:rsidR="00CC0A0F" w:rsidRPr="00BE2697" w:rsidRDefault="002B21CE" w:rsidP="007B6F62">
      <w:pPr>
        <w:spacing w:line="276" w:lineRule="auto"/>
        <w:jc w:val="center"/>
        <w:rPr>
          <w:rFonts w:ascii="Arial" w:hAnsi="Arial" w:cs="Arial"/>
          <w:sz w:val="22"/>
        </w:rPr>
      </w:pPr>
      <w:r w:rsidRPr="00BE2697">
        <w:rPr>
          <w:rFonts w:ascii="Arial" w:hAnsi="Arial" w:cs="Arial"/>
          <w:noProof/>
          <w:lang w:val="en-GB" w:eastAsia="en-GB"/>
        </w:rPr>
        <w:drawing>
          <wp:inline distT="0" distB="0" distL="0" distR="0" wp14:anchorId="22BEF3F5" wp14:editId="12A1B228">
            <wp:extent cx="2909639" cy="2156347"/>
            <wp:effectExtent l="19050" t="0" r="5011" b="0"/>
            <wp:docPr id="2" name="Picture 1" descr="C:\Users\pcoleman\AppData\Local\Microsoft\Windows\Temporary Internet Files\Content.Word\logoADF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oleman\AppData\Local\Microsoft\Windows\Temporary Internet Files\Content.Word\logoADFi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143" cy="2159685"/>
                    </a:xfrm>
                    <a:prstGeom prst="rect">
                      <a:avLst/>
                    </a:prstGeom>
                    <a:noFill/>
                    <a:ln>
                      <a:noFill/>
                    </a:ln>
                  </pic:spPr>
                </pic:pic>
              </a:graphicData>
            </a:graphic>
          </wp:inline>
        </w:drawing>
      </w:r>
    </w:p>
    <w:p w14:paraId="565BEB89" w14:textId="77777777" w:rsidR="00CC0A0F" w:rsidRPr="00BE2697" w:rsidRDefault="00CC0A0F" w:rsidP="007B6F62">
      <w:pPr>
        <w:spacing w:line="276" w:lineRule="auto"/>
        <w:jc w:val="center"/>
        <w:rPr>
          <w:rFonts w:ascii="Arial" w:hAnsi="Arial" w:cs="Arial"/>
          <w:sz w:val="22"/>
        </w:rPr>
      </w:pPr>
    </w:p>
    <w:p w14:paraId="1F67C1CF" w14:textId="77777777" w:rsidR="00CC0A0F" w:rsidRPr="00BE2697" w:rsidRDefault="00CC0A0F" w:rsidP="007B6F62">
      <w:pPr>
        <w:spacing w:line="276" w:lineRule="auto"/>
        <w:jc w:val="center"/>
        <w:rPr>
          <w:rFonts w:ascii="Arial" w:hAnsi="Arial" w:cs="Arial"/>
          <w:i/>
          <w:sz w:val="22"/>
        </w:rPr>
      </w:pPr>
      <w:r w:rsidRPr="00BE2697">
        <w:rPr>
          <w:rFonts w:ascii="Arial" w:hAnsi="Arial" w:cs="Arial"/>
          <w:i/>
          <w:sz w:val="22"/>
        </w:rPr>
        <w:t>ECOSOC Special Consultative Status (2010)</w:t>
      </w:r>
    </w:p>
    <w:p w14:paraId="6A82F046" w14:textId="77777777" w:rsidR="00CC0A0F" w:rsidRPr="00BE2697" w:rsidRDefault="00CC0A0F" w:rsidP="007B6F62">
      <w:pPr>
        <w:spacing w:line="276" w:lineRule="auto"/>
        <w:jc w:val="center"/>
        <w:rPr>
          <w:rFonts w:ascii="Arial" w:hAnsi="Arial" w:cs="Arial"/>
          <w:i/>
          <w:sz w:val="22"/>
        </w:rPr>
      </w:pPr>
    </w:p>
    <w:p w14:paraId="3C48919C" w14:textId="77777777" w:rsidR="00CC0A0F" w:rsidRPr="00BE2697" w:rsidRDefault="00CC0A0F" w:rsidP="007B6F62">
      <w:pPr>
        <w:spacing w:line="276" w:lineRule="auto"/>
        <w:jc w:val="center"/>
        <w:rPr>
          <w:rFonts w:ascii="Arial" w:hAnsi="Arial" w:cs="Arial"/>
          <w:i/>
          <w:sz w:val="22"/>
        </w:rPr>
      </w:pPr>
    </w:p>
    <w:p w14:paraId="4706E1E4" w14:textId="77777777" w:rsidR="00CC0A0F" w:rsidRPr="00BE2697" w:rsidRDefault="00CC0A0F" w:rsidP="007B6F62">
      <w:pPr>
        <w:spacing w:line="276" w:lineRule="auto"/>
        <w:jc w:val="center"/>
        <w:rPr>
          <w:rFonts w:ascii="Arial" w:hAnsi="Arial" w:cs="Arial"/>
          <w:i/>
          <w:sz w:val="22"/>
        </w:rPr>
      </w:pPr>
    </w:p>
    <w:p w14:paraId="6E14C7F5" w14:textId="77777777" w:rsidR="00CC0A0F" w:rsidRPr="00BE2697" w:rsidRDefault="00CC0A0F" w:rsidP="007B6F62">
      <w:pPr>
        <w:spacing w:line="276" w:lineRule="auto"/>
        <w:jc w:val="center"/>
        <w:rPr>
          <w:rFonts w:ascii="Arial" w:hAnsi="Arial" w:cs="Arial"/>
          <w:i/>
          <w:sz w:val="22"/>
        </w:rPr>
      </w:pPr>
    </w:p>
    <w:p w14:paraId="2E4803EE" w14:textId="77777777" w:rsidR="00CC0A0F" w:rsidRDefault="00CC0A0F" w:rsidP="007B6F62">
      <w:pPr>
        <w:spacing w:line="276" w:lineRule="auto"/>
        <w:jc w:val="center"/>
        <w:rPr>
          <w:rFonts w:ascii="Arial" w:hAnsi="Arial" w:cs="Arial"/>
          <w:i/>
          <w:sz w:val="22"/>
        </w:rPr>
      </w:pPr>
    </w:p>
    <w:p w14:paraId="1BCB9A1B" w14:textId="77777777" w:rsidR="009E1577" w:rsidRPr="00BE2697" w:rsidRDefault="009E1577" w:rsidP="007B6F62">
      <w:pPr>
        <w:spacing w:line="276" w:lineRule="auto"/>
        <w:jc w:val="center"/>
        <w:rPr>
          <w:rFonts w:ascii="Arial" w:hAnsi="Arial" w:cs="Arial"/>
          <w:i/>
          <w:sz w:val="22"/>
        </w:rPr>
      </w:pPr>
    </w:p>
    <w:p w14:paraId="6CE3ACB6" w14:textId="77777777" w:rsidR="00CC0A0F" w:rsidRPr="00BE2697" w:rsidRDefault="00CC0A0F" w:rsidP="007B6F62">
      <w:pPr>
        <w:spacing w:line="276" w:lineRule="auto"/>
        <w:jc w:val="center"/>
        <w:rPr>
          <w:rFonts w:ascii="Arial" w:hAnsi="Arial" w:cs="Arial"/>
          <w:i/>
          <w:sz w:val="22"/>
        </w:rPr>
      </w:pPr>
    </w:p>
    <w:p w14:paraId="7565B714" w14:textId="77777777" w:rsidR="00CC0A0F" w:rsidRPr="00BE2697" w:rsidRDefault="006F5209" w:rsidP="007B6F62">
      <w:pPr>
        <w:spacing w:line="276" w:lineRule="auto"/>
        <w:jc w:val="center"/>
        <w:rPr>
          <w:rFonts w:ascii="Arial" w:hAnsi="Arial" w:cs="Arial"/>
          <w:sz w:val="22"/>
        </w:rPr>
      </w:pPr>
      <w:r w:rsidRPr="00BE2697">
        <w:rPr>
          <w:rFonts w:ascii="Arial" w:hAnsi="Arial" w:cs="Arial"/>
          <w:sz w:val="22"/>
        </w:rPr>
        <w:t>HUMAN RIGHTS COMMITTEE</w:t>
      </w:r>
    </w:p>
    <w:p w14:paraId="5A2D68EF" w14:textId="77777777" w:rsidR="00CC0A0F" w:rsidRPr="00BE2697" w:rsidRDefault="00CC0A0F" w:rsidP="007B6F62">
      <w:pPr>
        <w:spacing w:line="276" w:lineRule="auto"/>
        <w:jc w:val="center"/>
        <w:rPr>
          <w:rFonts w:ascii="Arial" w:hAnsi="Arial" w:cs="Arial"/>
          <w:sz w:val="22"/>
        </w:rPr>
      </w:pPr>
    </w:p>
    <w:p w14:paraId="1B1F7D9B" w14:textId="77777777" w:rsidR="006F5209" w:rsidRPr="00BE2697" w:rsidRDefault="006F5209" w:rsidP="007B6F62">
      <w:pPr>
        <w:spacing w:line="276" w:lineRule="auto"/>
        <w:jc w:val="center"/>
        <w:rPr>
          <w:rFonts w:ascii="Arial" w:hAnsi="Arial" w:cs="Arial"/>
          <w:b/>
          <w:sz w:val="22"/>
          <w:lang w:val="en-GB"/>
        </w:rPr>
      </w:pPr>
      <w:r w:rsidRPr="00BE2697">
        <w:rPr>
          <w:rFonts w:ascii="Arial" w:hAnsi="Arial" w:cs="Arial"/>
          <w:b/>
          <w:sz w:val="22"/>
          <w:lang w:val="en-GB"/>
        </w:rPr>
        <w:t>General Comment No.</w:t>
      </w:r>
      <w:r w:rsidR="008A1DD3">
        <w:rPr>
          <w:rFonts w:ascii="Arial" w:hAnsi="Arial" w:cs="Arial"/>
          <w:b/>
          <w:sz w:val="22"/>
          <w:lang w:val="en-GB"/>
        </w:rPr>
        <w:t xml:space="preserve"> </w:t>
      </w:r>
      <w:r w:rsidRPr="00BE2697">
        <w:rPr>
          <w:rFonts w:ascii="Arial" w:hAnsi="Arial" w:cs="Arial"/>
          <w:b/>
          <w:sz w:val="22"/>
          <w:lang w:val="en-GB"/>
        </w:rPr>
        <w:t xml:space="preserve">36 </w:t>
      </w:r>
      <w:r w:rsidR="008A1DD3">
        <w:rPr>
          <w:rFonts w:ascii="Arial" w:hAnsi="Arial" w:cs="Arial"/>
          <w:b/>
          <w:sz w:val="22"/>
          <w:lang w:val="en-GB"/>
        </w:rPr>
        <w:t>on Article 6 of the ICCPR - the</w:t>
      </w:r>
      <w:r w:rsidRPr="00BE2697">
        <w:rPr>
          <w:rFonts w:ascii="Arial" w:hAnsi="Arial" w:cs="Arial"/>
          <w:b/>
          <w:sz w:val="22"/>
          <w:lang w:val="en-GB"/>
        </w:rPr>
        <w:t xml:space="preserve"> </w:t>
      </w:r>
      <w:r w:rsidR="008A1DD3">
        <w:rPr>
          <w:rFonts w:ascii="Arial" w:hAnsi="Arial" w:cs="Arial"/>
          <w:b/>
          <w:sz w:val="22"/>
          <w:lang w:val="en-GB"/>
        </w:rPr>
        <w:t>Right to Li</w:t>
      </w:r>
      <w:r w:rsidRPr="00BE2697">
        <w:rPr>
          <w:rFonts w:ascii="Arial" w:hAnsi="Arial" w:cs="Arial"/>
          <w:b/>
          <w:sz w:val="22"/>
          <w:lang w:val="en-GB"/>
        </w:rPr>
        <w:t>fe</w:t>
      </w:r>
    </w:p>
    <w:p w14:paraId="2222628D" w14:textId="77777777" w:rsidR="00CC0A0F" w:rsidRPr="00BE2697" w:rsidRDefault="00CC0A0F" w:rsidP="007B6F62">
      <w:pPr>
        <w:spacing w:line="276" w:lineRule="auto"/>
        <w:jc w:val="center"/>
        <w:rPr>
          <w:rFonts w:ascii="Arial" w:hAnsi="Arial" w:cs="Arial"/>
          <w:b/>
          <w:sz w:val="22"/>
        </w:rPr>
      </w:pPr>
    </w:p>
    <w:p w14:paraId="1C2B7A64" w14:textId="070DB599" w:rsidR="008A1DD3" w:rsidRDefault="00292FB4" w:rsidP="007B6F62">
      <w:pPr>
        <w:spacing w:line="276" w:lineRule="auto"/>
        <w:jc w:val="center"/>
        <w:rPr>
          <w:rFonts w:ascii="Arial" w:hAnsi="Arial" w:cs="Arial"/>
          <w:b/>
          <w:sz w:val="22"/>
        </w:rPr>
      </w:pPr>
      <w:r>
        <w:rPr>
          <w:rFonts w:ascii="Arial" w:hAnsi="Arial" w:cs="Arial"/>
          <w:b/>
          <w:sz w:val="22"/>
        </w:rPr>
        <w:t>5</w:t>
      </w:r>
      <w:r w:rsidR="008A1DD3" w:rsidRPr="008A1DD3">
        <w:rPr>
          <w:rFonts w:ascii="Arial" w:hAnsi="Arial" w:cs="Arial"/>
          <w:b/>
          <w:sz w:val="22"/>
          <w:vertAlign w:val="superscript"/>
        </w:rPr>
        <w:t>th</w:t>
      </w:r>
      <w:r w:rsidR="008A1DD3">
        <w:rPr>
          <w:rFonts w:ascii="Arial" w:hAnsi="Arial" w:cs="Arial"/>
          <w:b/>
          <w:sz w:val="22"/>
        </w:rPr>
        <w:t xml:space="preserve"> October 2017</w:t>
      </w:r>
    </w:p>
    <w:p w14:paraId="4B030686" w14:textId="77777777" w:rsidR="00CC0A0F" w:rsidRPr="00BE2697" w:rsidRDefault="00CC0A0F" w:rsidP="007B6F62">
      <w:pPr>
        <w:spacing w:line="276" w:lineRule="auto"/>
        <w:jc w:val="center"/>
        <w:rPr>
          <w:rFonts w:ascii="Arial" w:hAnsi="Arial" w:cs="Arial"/>
          <w:b/>
          <w:sz w:val="22"/>
        </w:rPr>
      </w:pPr>
      <w:r w:rsidRPr="00BE2697">
        <w:rPr>
          <w:rFonts w:ascii="Arial" w:hAnsi="Arial" w:cs="Arial"/>
          <w:b/>
          <w:sz w:val="22"/>
        </w:rPr>
        <w:t>Geneva, Switzerland</w:t>
      </w:r>
    </w:p>
    <w:p w14:paraId="4E1E255C" w14:textId="77777777" w:rsidR="00CC0A0F" w:rsidRPr="00BE2697" w:rsidRDefault="00CC0A0F" w:rsidP="007B6F62">
      <w:pPr>
        <w:spacing w:line="276" w:lineRule="auto"/>
        <w:jc w:val="center"/>
        <w:rPr>
          <w:rFonts w:ascii="Arial" w:hAnsi="Arial" w:cs="Arial"/>
          <w:b/>
          <w:sz w:val="22"/>
        </w:rPr>
      </w:pPr>
    </w:p>
    <w:p w14:paraId="758C1CBA" w14:textId="77777777" w:rsidR="00CC0A0F" w:rsidRPr="00BE2697" w:rsidRDefault="00CC0A0F" w:rsidP="007B6F62">
      <w:pPr>
        <w:spacing w:line="276" w:lineRule="auto"/>
        <w:jc w:val="center"/>
        <w:rPr>
          <w:rFonts w:ascii="Arial" w:hAnsi="Arial" w:cs="Arial"/>
          <w:b/>
          <w:sz w:val="22"/>
        </w:rPr>
      </w:pPr>
    </w:p>
    <w:p w14:paraId="1B36F167" w14:textId="77777777" w:rsidR="00CC0A0F" w:rsidRPr="00BE2697" w:rsidRDefault="00CC0A0F" w:rsidP="007B6F62">
      <w:pPr>
        <w:spacing w:line="276" w:lineRule="auto"/>
        <w:jc w:val="center"/>
        <w:rPr>
          <w:rFonts w:ascii="Arial" w:hAnsi="Arial" w:cs="Arial"/>
          <w:b/>
          <w:sz w:val="22"/>
        </w:rPr>
      </w:pPr>
    </w:p>
    <w:p w14:paraId="25D7AA33" w14:textId="77777777" w:rsidR="00CC0A0F" w:rsidRDefault="00CC0A0F" w:rsidP="007B6F62">
      <w:pPr>
        <w:spacing w:line="276" w:lineRule="auto"/>
        <w:jc w:val="center"/>
        <w:rPr>
          <w:rFonts w:ascii="Arial" w:hAnsi="Arial" w:cs="Arial"/>
          <w:b/>
          <w:sz w:val="22"/>
        </w:rPr>
      </w:pPr>
    </w:p>
    <w:p w14:paraId="5DA93FB1" w14:textId="77777777" w:rsidR="009E1577" w:rsidRDefault="009E1577" w:rsidP="007B6F62">
      <w:pPr>
        <w:spacing w:line="276" w:lineRule="auto"/>
        <w:jc w:val="center"/>
        <w:rPr>
          <w:rFonts w:ascii="Arial" w:hAnsi="Arial" w:cs="Arial"/>
          <w:b/>
          <w:sz w:val="22"/>
        </w:rPr>
      </w:pPr>
    </w:p>
    <w:p w14:paraId="40FD48FC" w14:textId="77777777" w:rsidR="009E1577" w:rsidRDefault="009E1577" w:rsidP="007B6F62">
      <w:pPr>
        <w:spacing w:line="276" w:lineRule="auto"/>
        <w:jc w:val="center"/>
        <w:rPr>
          <w:rFonts w:ascii="Arial" w:hAnsi="Arial" w:cs="Arial"/>
          <w:b/>
          <w:sz w:val="22"/>
        </w:rPr>
      </w:pPr>
    </w:p>
    <w:p w14:paraId="4FE5C3A9" w14:textId="77777777" w:rsidR="009E1577" w:rsidRDefault="009E1577" w:rsidP="007B6F62">
      <w:pPr>
        <w:spacing w:line="276" w:lineRule="auto"/>
        <w:jc w:val="center"/>
        <w:rPr>
          <w:rFonts w:ascii="Arial" w:hAnsi="Arial" w:cs="Arial"/>
          <w:b/>
          <w:sz w:val="22"/>
        </w:rPr>
      </w:pPr>
    </w:p>
    <w:p w14:paraId="3C901B9D" w14:textId="77777777" w:rsidR="009E1577" w:rsidRDefault="009E1577" w:rsidP="007B6F62">
      <w:pPr>
        <w:spacing w:line="276" w:lineRule="auto"/>
        <w:jc w:val="center"/>
        <w:rPr>
          <w:rFonts w:ascii="Arial" w:hAnsi="Arial" w:cs="Arial"/>
          <w:b/>
          <w:sz w:val="22"/>
        </w:rPr>
      </w:pPr>
    </w:p>
    <w:p w14:paraId="7F801B1E" w14:textId="77777777" w:rsidR="009E1577" w:rsidRPr="00BE2697" w:rsidRDefault="009E1577" w:rsidP="007B6F62">
      <w:pPr>
        <w:spacing w:line="276" w:lineRule="auto"/>
        <w:jc w:val="center"/>
        <w:rPr>
          <w:rFonts w:ascii="Arial" w:hAnsi="Arial" w:cs="Arial"/>
          <w:b/>
          <w:sz w:val="22"/>
        </w:rPr>
      </w:pPr>
    </w:p>
    <w:p w14:paraId="709D39DE" w14:textId="77777777" w:rsidR="00CC0A0F" w:rsidRPr="00BE2697" w:rsidRDefault="00CC0A0F" w:rsidP="007B6F62">
      <w:pPr>
        <w:spacing w:line="276" w:lineRule="auto"/>
        <w:jc w:val="center"/>
        <w:rPr>
          <w:rFonts w:ascii="Arial" w:hAnsi="Arial" w:cs="Arial"/>
          <w:b/>
          <w:sz w:val="22"/>
        </w:rPr>
      </w:pPr>
    </w:p>
    <w:p w14:paraId="5AC1F01C" w14:textId="77777777" w:rsidR="00002AF5" w:rsidRPr="00BE2697" w:rsidRDefault="00002AF5" w:rsidP="007B6F62">
      <w:pPr>
        <w:spacing w:line="276" w:lineRule="auto"/>
        <w:jc w:val="center"/>
        <w:rPr>
          <w:rFonts w:ascii="Arial" w:hAnsi="Arial" w:cs="Arial"/>
          <w:sz w:val="22"/>
        </w:rPr>
      </w:pPr>
      <w:r w:rsidRPr="00BE2697">
        <w:rPr>
          <w:rFonts w:ascii="Arial" w:hAnsi="Arial" w:cs="Arial"/>
          <w:sz w:val="22"/>
        </w:rPr>
        <w:t>Submission by:</w:t>
      </w:r>
    </w:p>
    <w:p w14:paraId="5D2542C1" w14:textId="77777777" w:rsidR="00002AF5" w:rsidRPr="00BE2697" w:rsidRDefault="00002AF5" w:rsidP="007B6F62">
      <w:pPr>
        <w:spacing w:line="276" w:lineRule="auto"/>
        <w:jc w:val="center"/>
        <w:rPr>
          <w:rFonts w:ascii="Arial" w:hAnsi="Arial" w:cs="Arial"/>
          <w:sz w:val="22"/>
        </w:rPr>
      </w:pPr>
    </w:p>
    <w:p w14:paraId="797EC51F" w14:textId="77777777" w:rsidR="00002AF5" w:rsidRPr="00292FB4" w:rsidRDefault="00002AF5" w:rsidP="007B6F62">
      <w:pPr>
        <w:spacing w:line="276" w:lineRule="auto"/>
        <w:jc w:val="center"/>
        <w:rPr>
          <w:rFonts w:ascii="Arial" w:hAnsi="Arial" w:cs="Arial"/>
          <w:sz w:val="22"/>
          <w:lang w:val="fr-CH"/>
        </w:rPr>
      </w:pPr>
      <w:r w:rsidRPr="00292FB4">
        <w:rPr>
          <w:rFonts w:ascii="Arial" w:hAnsi="Arial" w:cs="Arial"/>
          <w:sz w:val="22"/>
          <w:lang w:val="fr-CH"/>
        </w:rPr>
        <w:t>ADF International</w:t>
      </w:r>
    </w:p>
    <w:p w14:paraId="0F5D1C64" w14:textId="77777777" w:rsidR="00002AF5" w:rsidRPr="00292FB4" w:rsidRDefault="008604BC" w:rsidP="007B6F62">
      <w:pPr>
        <w:spacing w:line="276" w:lineRule="auto"/>
        <w:jc w:val="center"/>
        <w:rPr>
          <w:rFonts w:ascii="Arial" w:hAnsi="Arial" w:cs="Arial"/>
          <w:sz w:val="22"/>
          <w:lang w:val="fr-CH"/>
        </w:rPr>
      </w:pPr>
      <w:r w:rsidRPr="00292FB4">
        <w:rPr>
          <w:rFonts w:ascii="Arial" w:hAnsi="Arial" w:cs="Arial"/>
          <w:sz w:val="22"/>
          <w:lang w:val="fr-CH"/>
        </w:rPr>
        <w:t>Chemin du Petit-Saconnex 28</w:t>
      </w:r>
    </w:p>
    <w:p w14:paraId="0216F1FD" w14:textId="77777777" w:rsidR="00002AF5" w:rsidRPr="00BE2697" w:rsidRDefault="00002AF5" w:rsidP="007B6F62">
      <w:pPr>
        <w:spacing w:line="276" w:lineRule="auto"/>
        <w:jc w:val="center"/>
        <w:rPr>
          <w:rFonts w:ascii="Arial" w:hAnsi="Arial" w:cs="Arial"/>
          <w:sz w:val="22"/>
        </w:rPr>
      </w:pPr>
      <w:r w:rsidRPr="00BE2697">
        <w:rPr>
          <w:rFonts w:ascii="Arial" w:hAnsi="Arial" w:cs="Arial"/>
          <w:sz w:val="22"/>
        </w:rPr>
        <w:t>1209 Geneva, Switzerland</w:t>
      </w:r>
    </w:p>
    <w:p w14:paraId="454E193A" w14:textId="77777777" w:rsidR="00002AF5" w:rsidRPr="00BE2697" w:rsidRDefault="00002AF5" w:rsidP="007B6F62">
      <w:pPr>
        <w:spacing w:line="276" w:lineRule="auto"/>
        <w:jc w:val="center"/>
        <w:rPr>
          <w:rFonts w:ascii="Arial" w:hAnsi="Arial" w:cs="Arial"/>
          <w:sz w:val="22"/>
        </w:rPr>
      </w:pPr>
    </w:p>
    <w:p w14:paraId="602AA741" w14:textId="77777777" w:rsidR="00002AF5" w:rsidRPr="00BE2697" w:rsidRDefault="00002AF5" w:rsidP="007B6F62">
      <w:pPr>
        <w:spacing w:line="276" w:lineRule="auto"/>
        <w:jc w:val="center"/>
        <w:rPr>
          <w:rFonts w:ascii="Arial" w:hAnsi="Arial" w:cs="Arial"/>
          <w:sz w:val="22"/>
        </w:rPr>
      </w:pPr>
      <w:r w:rsidRPr="00BE2697">
        <w:rPr>
          <w:rFonts w:ascii="Arial" w:hAnsi="Arial" w:cs="Arial"/>
          <w:sz w:val="22"/>
        </w:rPr>
        <w:t>Web: www.adfinternational.org</w:t>
      </w:r>
    </w:p>
    <w:p w14:paraId="5F5F49A5" w14:textId="77777777" w:rsidR="00002AF5" w:rsidRPr="00BE2697" w:rsidRDefault="00002AF5" w:rsidP="007B6F62">
      <w:pPr>
        <w:spacing w:line="276" w:lineRule="auto"/>
        <w:jc w:val="center"/>
        <w:rPr>
          <w:rFonts w:ascii="Arial" w:hAnsi="Arial" w:cs="Arial"/>
          <w:sz w:val="22"/>
        </w:rPr>
      </w:pPr>
      <w:r w:rsidRPr="00BE2697">
        <w:rPr>
          <w:rFonts w:ascii="Arial" w:hAnsi="Arial" w:cs="Arial"/>
          <w:sz w:val="22"/>
        </w:rPr>
        <w:t xml:space="preserve">Email: </w:t>
      </w:r>
      <w:r w:rsidR="008604BC">
        <w:rPr>
          <w:rFonts w:ascii="Arial" w:hAnsi="Arial" w:cs="Arial"/>
          <w:sz w:val="22"/>
        </w:rPr>
        <w:t>rnavarro</w:t>
      </w:r>
      <w:r w:rsidRPr="00BE2697">
        <w:rPr>
          <w:rFonts w:ascii="Arial" w:hAnsi="Arial" w:cs="Arial"/>
          <w:sz w:val="22"/>
        </w:rPr>
        <w:t>@adfinternational.org</w:t>
      </w:r>
    </w:p>
    <w:p w14:paraId="65992165" w14:textId="77777777" w:rsidR="00CC0A0F" w:rsidRPr="00BE2697" w:rsidRDefault="00CC0A0F" w:rsidP="007B6F62">
      <w:pPr>
        <w:spacing w:line="276" w:lineRule="auto"/>
        <w:jc w:val="both"/>
        <w:rPr>
          <w:rFonts w:ascii="Arial" w:hAnsi="Arial" w:cs="Arial"/>
          <w:sz w:val="22"/>
        </w:rPr>
        <w:sectPr w:rsidR="00CC0A0F" w:rsidRPr="00BE2697" w:rsidSect="008658EA">
          <w:headerReference w:type="even" r:id="rId9"/>
          <w:headerReference w:type="default" r:id="rId10"/>
          <w:footerReference w:type="even" r:id="rId11"/>
          <w:footerReference w:type="default" r:id="rId12"/>
          <w:headerReference w:type="first" r:id="rId13"/>
          <w:footerReference w:type="first" r:id="rId14"/>
          <w:pgSz w:w="11900" w:h="16840"/>
          <w:pgMar w:top="1440" w:right="1418" w:bottom="1440" w:left="1418" w:header="709" w:footer="1134" w:gutter="0"/>
          <w:cols w:space="708"/>
          <w:titlePg/>
          <w:docGrid w:linePitch="360"/>
        </w:sectPr>
      </w:pPr>
    </w:p>
    <w:p w14:paraId="3EA31375" w14:textId="77777777" w:rsidR="00002AF5" w:rsidRPr="00BE2697" w:rsidRDefault="00002AF5" w:rsidP="007B6F62">
      <w:pPr>
        <w:pStyle w:val="CourtNumberedpara"/>
        <w:numPr>
          <w:ilvl w:val="0"/>
          <w:numId w:val="0"/>
        </w:numPr>
        <w:spacing w:line="276" w:lineRule="auto"/>
        <w:jc w:val="both"/>
        <w:rPr>
          <w:rFonts w:ascii="Arial" w:hAnsi="Arial" w:cs="Arial"/>
          <w:b/>
          <w:sz w:val="22"/>
        </w:rPr>
      </w:pPr>
      <w:r w:rsidRPr="00BE2697">
        <w:rPr>
          <w:rFonts w:ascii="Arial" w:hAnsi="Arial" w:cs="Arial"/>
          <w:b/>
          <w:sz w:val="22"/>
        </w:rPr>
        <w:lastRenderedPageBreak/>
        <w:t>Introduction</w:t>
      </w:r>
    </w:p>
    <w:p w14:paraId="0353FFF8" w14:textId="61BFD6A7" w:rsidR="004718E8" w:rsidRPr="004718E8" w:rsidRDefault="004718E8" w:rsidP="004718E8">
      <w:pPr>
        <w:pStyle w:val="CourtNumberedpara"/>
        <w:spacing w:line="276" w:lineRule="auto"/>
        <w:jc w:val="both"/>
        <w:rPr>
          <w:rFonts w:ascii="Arial" w:hAnsi="Arial" w:cs="Arial"/>
          <w:sz w:val="22"/>
        </w:rPr>
      </w:pPr>
      <w:r w:rsidRPr="004718E8">
        <w:rPr>
          <w:rFonts w:ascii="Arial" w:hAnsi="Arial" w:cs="Arial"/>
          <w:sz w:val="22"/>
        </w:rPr>
        <w:t>ADF International is a global alliance-building legal organization that advocates for religious freedom, life, and marriage and family before national and international institutions. As well as having ECOSOC consultative status with the United Nations (registered name “Alliance Defending Freedom”), ADF International has accreditation with the European Commission and Parliament, the Organization for Security and Co-operation in Europe, and the Organization of American States, and is a participant in the FRA Fundamental Rights Platform.</w:t>
      </w:r>
    </w:p>
    <w:p w14:paraId="35A6FED3" w14:textId="77777777" w:rsidR="0067582D" w:rsidRPr="0067582D" w:rsidRDefault="0067582D" w:rsidP="0067582D">
      <w:pPr>
        <w:pStyle w:val="CourtNumberedpara"/>
        <w:spacing w:line="276" w:lineRule="auto"/>
        <w:jc w:val="both"/>
        <w:rPr>
          <w:rFonts w:ascii="Arial" w:hAnsi="Arial" w:cs="Arial"/>
          <w:sz w:val="22"/>
        </w:rPr>
      </w:pPr>
      <w:r w:rsidRPr="0067582D">
        <w:rPr>
          <w:rFonts w:ascii="Arial" w:hAnsi="Arial" w:cs="Arial"/>
          <w:sz w:val="22"/>
        </w:rPr>
        <w:t xml:space="preserve">This submission covers the applicability of Article 6 to the unborn and other forms of human existence. It first details the legal justifications for the right to life of the unborn, considering the International Covenant on Civil and Political Rights (ICCPR), other international human rights instruments, and national legal provisions. Secondly, it defines the unborn as all human life from fertilization, the earliest stage of human development, and explains how human embryos </w:t>
      </w:r>
      <w:r w:rsidRPr="0067582D">
        <w:rPr>
          <w:rFonts w:ascii="Arial" w:hAnsi="Arial" w:cs="Arial"/>
          <w:i/>
          <w:sz w:val="22"/>
        </w:rPr>
        <w:t>in vitro</w:t>
      </w:r>
      <w:r w:rsidRPr="0067582D">
        <w:rPr>
          <w:rFonts w:ascii="Arial" w:hAnsi="Arial" w:cs="Arial"/>
          <w:sz w:val="22"/>
        </w:rPr>
        <w:t xml:space="preserve"> are included in the definition of unborn and therefore deserve protection. Thirdly, it indicates how the recognition of the unborn in international law means that there cannot be an implicit right to abortion in the ICCPR. Lastly, this submission uses both UN treaties and decisions of the European Court of Human Rights to show that the right to life does not justify a right to die. </w:t>
      </w:r>
    </w:p>
    <w:p w14:paraId="628AC169" w14:textId="77777777" w:rsidR="0067582D" w:rsidRDefault="0067582D" w:rsidP="00000DA8">
      <w:pPr>
        <w:pStyle w:val="CourtNumberedpara"/>
        <w:spacing w:line="276" w:lineRule="auto"/>
        <w:jc w:val="both"/>
        <w:rPr>
          <w:rFonts w:ascii="Arial" w:hAnsi="Arial" w:cs="Arial"/>
          <w:sz w:val="22"/>
        </w:rPr>
      </w:pPr>
      <w:r>
        <w:rPr>
          <w:rFonts w:ascii="Arial" w:hAnsi="Arial" w:cs="Arial"/>
          <w:sz w:val="22"/>
        </w:rPr>
        <w:t xml:space="preserve">Accordingly, </w:t>
      </w:r>
      <w:r w:rsidR="00363677" w:rsidRPr="00000DA8">
        <w:rPr>
          <w:rFonts w:ascii="Arial" w:hAnsi="Arial" w:cs="Arial"/>
          <w:sz w:val="22"/>
        </w:rPr>
        <w:t xml:space="preserve">ADF </w:t>
      </w:r>
      <w:r w:rsidR="00AD3B70" w:rsidRPr="00000DA8">
        <w:rPr>
          <w:rFonts w:ascii="Arial" w:hAnsi="Arial" w:cs="Arial"/>
          <w:sz w:val="22"/>
        </w:rPr>
        <w:t>International</w:t>
      </w:r>
      <w:r w:rsidR="006F21B4" w:rsidRPr="00000DA8">
        <w:rPr>
          <w:rFonts w:ascii="Arial" w:hAnsi="Arial" w:cs="Arial"/>
          <w:sz w:val="22"/>
        </w:rPr>
        <w:t xml:space="preserve"> </w:t>
      </w:r>
      <w:r w:rsidR="00AD3B70" w:rsidRPr="00000DA8">
        <w:rPr>
          <w:rFonts w:ascii="Arial" w:hAnsi="Arial" w:cs="Arial"/>
          <w:sz w:val="22"/>
        </w:rPr>
        <w:t>makes the following recommendations to</w:t>
      </w:r>
      <w:r w:rsidR="006F21B4" w:rsidRPr="00000DA8">
        <w:rPr>
          <w:rFonts w:ascii="Arial" w:hAnsi="Arial" w:cs="Arial"/>
          <w:sz w:val="22"/>
        </w:rPr>
        <w:t xml:space="preserve"> the Human Rights Committee </w:t>
      </w:r>
      <w:r w:rsidR="003F6AD0">
        <w:rPr>
          <w:rFonts w:ascii="Arial" w:hAnsi="Arial" w:cs="Arial"/>
          <w:sz w:val="22"/>
        </w:rPr>
        <w:t>regarding Draft General Comment No. 36 on Article 6 of the ICCPR (the right to life)</w:t>
      </w:r>
      <w:r w:rsidR="00AD3B70" w:rsidRPr="00000DA8">
        <w:rPr>
          <w:rFonts w:ascii="Arial" w:hAnsi="Arial" w:cs="Arial"/>
          <w:sz w:val="22"/>
        </w:rPr>
        <w:t xml:space="preserve">: </w:t>
      </w:r>
    </w:p>
    <w:p w14:paraId="002AD468" w14:textId="77777777" w:rsidR="0067582D" w:rsidRPr="0067582D" w:rsidRDefault="0067582D" w:rsidP="00E91F71">
      <w:pPr>
        <w:pStyle w:val="ListParagraph"/>
        <w:numPr>
          <w:ilvl w:val="0"/>
          <w:numId w:val="9"/>
        </w:numPr>
        <w:spacing w:line="276" w:lineRule="auto"/>
        <w:ind w:left="1710"/>
        <w:jc w:val="both"/>
        <w:rPr>
          <w:rFonts w:ascii="Arial" w:hAnsi="Arial" w:cs="Arial"/>
          <w:sz w:val="22"/>
        </w:rPr>
      </w:pPr>
      <w:r w:rsidRPr="0067582D">
        <w:rPr>
          <w:rFonts w:ascii="Arial" w:hAnsi="Arial" w:cs="Arial"/>
          <w:sz w:val="22"/>
        </w:rPr>
        <w:t>Affirm</w:t>
      </w:r>
      <w:r w:rsidR="004A7CE8" w:rsidRPr="0067582D">
        <w:rPr>
          <w:rFonts w:ascii="Arial" w:hAnsi="Arial" w:cs="Arial"/>
          <w:sz w:val="22"/>
        </w:rPr>
        <w:t xml:space="preserve"> that the right to l</w:t>
      </w:r>
      <w:r w:rsidR="00AD3B70" w:rsidRPr="0067582D">
        <w:rPr>
          <w:rFonts w:ascii="Arial" w:hAnsi="Arial" w:cs="Arial"/>
          <w:sz w:val="22"/>
        </w:rPr>
        <w:t xml:space="preserve">ife </w:t>
      </w:r>
      <w:r w:rsidR="00363677" w:rsidRPr="0067582D">
        <w:rPr>
          <w:rFonts w:ascii="Arial" w:hAnsi="Arial" w:cs="Arial"/>
          <w:sz w:val="22"/>
        </w:rPr>
        <w:t>applies</w:t>
      </w:r>
      <w:r w:rsidR="00AD3B70" w:rsidRPr="0067582D">
        <w:rPr>
          <w:rFonts w:ascii="Arial" w:hAnsi="Arial" w:cs="Arial"/>
          <w:sz w:val="22"/>
        </w:rPr>
        <w:t xml:space="preserve"> to the unborn, from </w:t>
      </w:r>
      <w:r w:rsidR="00BE3F1E" w:rsidRPr="0067582D">
        <w:rPr>
          <w:rFonts w:ascii="Arial" w:hAnsi="Arial" w:cs="Arial"/>
          <w:sz w:val="22"/>
        </w:rPr>
        <w:t xml:space="preserve">the moment of </w:t>
      </w:r>
      <w:r w:rsidR="00AD3B70" w:rsidRPr="0067582D">
        <w:rPr>
          <w:rFonts w:ascii="Arial" w:hAnsi="Arial" w:cs="Arial"/>
          <w:sz w:val="22"/>
        </w:rPr>
        <w:t xml:space="preserve">fertilization, including human embryos </w:t>
      </w:r>
      <w:r w:rsidR="00AD3B70" w:rsidRPr="00DD0B4A">
        <w:rPr>
          <w:rFonts w:ascii="Arial" w:hAnsi="Arial" w:cs="Arial"/>
          <w:i/>
          <w:sz w:val="22"/>
        </w:rPr>
        <w:t>in vitro</w:t>
      </w:r>
      <w:r w:rsidR="00AD3B70" w:rsidRPr="0067582D">
        <w:rPr>
          <w:rFonts w:ascii="Arial" w:hAnsi="Arial" w:cs="Arial"/>
          <w:sz w:val="22"/>
        </w:rPr>
        <w:t>;</w:t>
      </w:r>
      <w:r w:rsidR="00000DA8" w:rsidRPr="0067582D">
        <w:rPr>
          <w:rFonts w:ascii="Arial" w:hAnsi="Arial" w:cs="Arial"/>
          <w:sz w:val="22"/>
        </w:rPr>
        <w:t xml:space="preserve"> </w:t>
      </w:r>
    </w:p>
    <w:p w14:paraId="0623458B" w14:textId="77777777" w:rsidR="0067582D" w:rsidRPr="0067582D" w:rsidRDefault="0067582D" w:rsidP="00E91F71">
      <w:pPr>
        <w:pStyle w:val="ListParagraph"/>
        <w:numPr>
          <w:ilvl w:val="0"/>
          <w:numId w:val="9"/>
        </w:numPr>
        <w:spacing w:line="276" w:lineRule="auto"/>
        <w:ind w:left="1710"/>
        <w:jc w:val="both"/>
        <w:rPr>
          <w:rFonts w:ascii="Arial" w:hAnsi="Arial" w:cs="Arial"/>
          <w:sz w:val="22"/>
        </w:rPr>
      </w:pPr>
      <w:r w:rsidRPr="0067582D">
        <w:rPr>
          <w:rFonts w:ascii="Arial" w:hAnsi="Arial" w:cs="Arial"/>
          <w:sz w:val="22"/>
        </w:rPr>
        <w:t>Affirm</w:t>
      </w:r>
      <w:r w:rsidR="00DD0B4A">
        <w:rPr>
          <w:rFonts w:ascii="Arial" w:hAnsi="Arial" w:cs="Arial"/>
          <w:sz w:val="22"/>
        </w:rPr>
        <w:t xml:space="preserve"> that, </w:t>
      </w:r>
      <w:r w:rsidR="00363677" w:rsidRPr="0067582D">
        <w:rPr>
          <w:rFonts w:ascii="Arial" w:hAnsi="Arial" w:cs="Arial"/>
          <w:sz w:val="22"/>
        </w:rPr>
        <w:t xml:space="preserve">given the </w:t>
      </w:r>
      <w:r w:rsidR="005277B5" w:rsidRPr="0067582D">
        <w:rPr>
          <w:rFonts w:ascii="Arial" w:hAnsi="Arial" w:cs="Arial"/>
          <w:sz w:val="22"/>
        </w:rPr>
        <w:t xml:space="preserve">recognition </w:t>
      </w:r>
      <w:r w:rsidR="00363677" w:rsidRPr="0067582D">
        <w:rPr>
          <w:rFonts w:ascii="Arial" w:hAnsi="Arial" w:cs="Arial"/>
          <w:sz w:val="22"/>
        </w:rPr>
        <w:t xml:space="preserve">of the unborn in the ICCPR and other international treaties and national laws, </w:t>
      </w:r>
      <w:r w:rsidR="00ED1DC2">
        <w:rPr>
          <w:rFonts w:ascii="Arial" w:hAnsi="Arial" w:cs="Arial"/>
          <w:sz w:val="22"/>
        </w:rPr>
        <w:t xml:space="preserve">as well as international consensus on the matter, </w:t>
      </w:r>
      <w:r w:rsidR="00363677" w:rsidRPr="0067582D">
        <w:rPr>
          <w:rFonts w:ascii="Arial" w:hAnsi="Arial" w:cs="Arial"/>
          <w:sz w:val="22"/>
        </w:rPr>
        <w:t xml:space="preserve">no </w:t>
      </w:r>
      <w:r w:rsidR="00D12C05">
        <w:rPr>
          <w:rFonts w:ascii="Arial" w:hAnsi="Arial" w:cs="Arial"/>
          <w:sz w:val="22"/>
        </w:rPr>
        <w:t>“</w:t>
      </w:r>
      <w:r w:rsidR="003C7A1F">
        <w:rPr>
          <w:rFonts w:ascii="Arial" w:hAnsi="Arial" w:cs="Arial"/>
          <w:sz w:val="22"/>
        </w:rPr>
        <w:t xml:space="preserve">human </w:t>
      </w:r>
      <w:r w:rsidR="00363677" w:rsidRPr="0067582D">
        <w:rPr>
          <w:rFonts w:ascii="Arial" w:hAnsi="Arial" w:cs="Arial"/>
          <w:sz w:val="22"/>
        </w:rPr>
        <w:t>right to abortion</w:t>
      </w:r>
      <w:r w:rsidR="00D12C05">
        <w:rPr>
          <w:rFonts w:ascii="Arial" w:hAnsi="Arial" w:cs="Arial"/>
          <w:sz w:val="22"/>
        </w:rPr>
        <w:t>”</w:t>
      </w:r>
      <w:r w:rsidR="00363677" w:rsidRPr="0067582D">
        <w:rPr>
          <w:rFonts w:ascii="Arial" w:hAnsi="Arial" w:cs="Arial"/>
          <w:sz w:val="22"/>
        </w:rPr>
        <w:t xml:space="preserve"> exists;</w:t>
      </w:r>
    </w:p>
    <w:p w14:paraId="122F9BF9" w14:textId="77777777" w:rsidR="00AD3B70" w:rsidRDefault="0067582D" w:rsidP="00E91F71">
      <w:pPr>
        <w:pStyle w:val="ListParagraph"/>
        <w:numPr>
          <w:ilvl w:val="0"/>
          <w:numId w:val="9"/>
        </w:numPr>
        <w:spacing w:line="276" w:lineRule="auto"/>
        <w:ind w:left="1710"/>
        <w:jc w:val="both"/>
        <w:rPr>
          <w:rFonts w:ascii="Arial" w:hAnsi="Arial" w:cs="Arial"/>
          <w:sz w:val="22"/>
        </w:rPr>
      </w:pPr>
      <w:r w:rsidRPr="0067582D">
        <w:rPr>
          <w:rFonts w:ascii="Arial" w:hAnsi="Arial" w:cs="Arial"/>
          <w:sz w:val="22"/>
        </w:rPr>
        <w:t>Affirm</w:t>
      </w:r>
      <w:r w:rsidR="00AD3B70" w:rsidRPr="0067582D">
        <w:rPr>
          <w:rFonts w:ascii="Arial" w:hAnsi="Arial" w:cs="Arial"/>
          <w:sz w:val="22"/>
        </w:rPr>
        <w:t xml:space="preserve"> that the right to life </w:t>
      </w:r>
      <w:r w:rsidR="00363677" w:rsidRPr="0067582D">
        <w:rPr>
          <w:rFonts w:ascii="Arial" w:hAnsi="Arial" w:cs="Arial"/>
          <w:sz w:val="22"/>
        </w:rPr>
        <w:t xml:space="preserve">does not justify and is fundamentally incompatible with a </w:t>
      </w:r>
      <w:r w:rsidR="00D12C05">
        <w:rPr>
          <w:rFonts w:ascii="Arial" w:hAnsi="Arial" w:cs="Arial"/>
          <w:sz w:val="22"/>
        </w:rPr>
        <w:t>“</w:t>
      </w:r>
      <w:r w:rsidR="00363677" w:rsidRPr="0067582D">
        <w:rPr>
          <w:rFonts w:ascii="Arial" w:hAnsi="Arial" w:cs="Arial"/>
          <w:sz w:val="22"/>
        </w:rPr>
        <w:t>right to die</w:t>
      </w:r>
      <w:r w:rsidR="003F6AD0">
        <w:rPr>
          <w:rFonts w:ascii="Arial" w:hAnsi="Arial" w:cs="Arial"/>
          <w:sz w:val="22"/>
        </w:rPr>
        <w:t>;”</w:t>
      </w:r>
    </w:p>
    <w:p w14:paraId="477F6354" w14:textId="77777777" w:rsidR="000E18CA" w:rsidRDefault="003F6AD0" w:rsidP="003724EF">
      <w:pPr>
        <w:pStyle w:val="ListParagraph"/>
        <w:numPr>
          <w:ilvl w:val="0"/>
          <w:numId w:val="9"/>
        </w:numPr>
        <w:spacing w:line="276" w:lineRule="auto"/>
        <w:ind w:left="1710"/>
        <w:jc w:val="both"/>
        <w:rPr>
          <w:rFonts w:ascii="Arial" w:hAnsi="Arial" w:cs="Arial"/>
          <w:sz w:val="22"/>
        </w:rPr>
      </w:pPr>
      <w:r w:rsidRPr="000E18CA">
        <w:rPr>
          <w:rFonts w:ascii="Arial" w:hAnsi="Arial" w:cs="Arial"/>
          <w:sz w:val="22"/>
        </w:rPr>
        <w:t xml:space="preserve">Remove </w:t>
      </w:r>
      <w:r w:rsidR="000E18CA" w:rsidRPr="000E18CA">
        <w:rPr>
          <w:rFonts w:ascii="Arial" w:hAnsi="Arial" w:cs="Arial"/>
          <w:sz w:val="22"/>
        </w:rPr>
        <w:t xml:space="preserve">from the current version of the draft general comment </w:t>
      </w:r>
      <w:r w:rsidRPr="000E18CA">
        <w:rPr>
          <w:rFonts w:ascii="Arial" w:hAnsi="Arial" w:cs="Arial"/>
          <w:sz w:val="22"/>
        </w:rPr>
        <w:t xml:space="preserve">paragraph 9 (which </w:t>
      </w:r>
      <w:r w:rsidR="006E44D2" w:rsidRPr="000E18CA">
        <w:rPr>
          <w:rFonts w:ascii="Arial" w:hAnsi="Arial" w:cs="Arial"/>
          <w:sz w:val="22"/>
        </w:rPr>
        <w:t>seek</w:t>
      </w:r>
      <w:r w:rsidR="000E18CA" w:rsidRPr="000E18CA">
        <w:rPr>
          <w:rFonts w:ascii="Arial" w:hAnsi="Arial" w:cs="Arial"/>
          <w:sz w:val="22"/>
        </w:rPr>
        <w:t>s</w:t>
      </w:r>
      <w:r w:rsidR="006E44D2" w:rsidRPr="000E18CA">
        <w:rPr>
          <w:rFonts w:ascii="Arial" w:hAnsi="Arial" w:cs="Arial"/>
          <w:sz w:val="22"/>
        </w:rPr>
        <w:t xml:space="preserve"> to recognize</w:t>
      </w:r>
      <w:r w:rsidRPr="000E18CA">
        <w:rPr>
          <w:rFonts w:ascii="Arial" w:hAnsi="Arial" w:cs="Arial"/>
          <w:sz w:val="22"/>
        </w:rPr>
        <w:t xml:space="preserve"> </w:t>
      </w:r>
      <w:r w:rsidR="000E18CA" w:rsidRPr="000E18CA">
        <w:rPr>
          <w:rFonts w:ascii="Arial" w:hAnsi="Arial" w:cs="Arial"/>
          <w:sz w:val="22"/>
        </w:rPr>
        <w:t xml:space="preserve">a </w:t>
      </w:r>
      <w:r w:rsidRPr="000E18CA">
        <w:rPr>
          <w:rFonts w:ascii="Arial" w:hAnsi="Arial" w:cs="Arial"/>
          <w:sz w:val="22"/>
        </w:rPr>
        <w:t>non-existent international human right to abortion</w:t>
      </w:r>
      <w:r w:rsidR="000E18CA">
        <w:rPr>
          <w:rFonts w:ascii="Arial" w:hAnsi="Arial" w:cs="Arial"/>
          <w:sz w:val="22"/>
        </w:rPr>
        <w:t>) and those portions of paragraph 10 which seek to either allow or demand that States permit euthanasia and/or assisted suicide; and</w:t>
      </w:r>
    </w:p>
    <w:p w14:paraId="7D126631" w14:textId="77777777" w:rsidR="003F6AD0" w:rsidRPr="000E18CA" w:rsidRDefault="003F6AD0" w:rsidP="003724EF">
      <w:pPr>
        <w:pStyle w:val="ListParagraph"/>
        <w:numPr>
          <w:ilvl w:val="0"/>
          <w:numId w:val="9"/>
        </w:numPr>
        <w:spacing w:line="276" w:lineRule="auto"/>
        <w:ind w:left="1710"/>
        <w:jc w:val="both"/>
        <w:rPr>
          <w:rFonts w:ascii="Arial" w:hAnsi="Arial" w:cs="Arial"/>
          <w:sz w:val="22"/>
        </w:rPr>
      </w:pPr>
      <w:r w:rsidRPr="000E18CA">
        <w:rPr>
          <w:rFonts w:ascii="Arial" w:hAnsi="Arial" w:cs="Arial"/>
          <w:sz w:val="22"/>
        </w:rPr>
        <w:t>Restore to paragraph 52 of the current version of draft general comment the recognition of the right to life of the unborn child necessitated by Article 6(5) of the ICCPR as it existed in the second revisio</w:t>
      </w:r>
      <w:r w:rsidR="002335DA">
        <w:rPr>
          <w:rFonts w:ascii="Arial" w:hAnsi="Arial" w:cs="Arial"/>
          <w:sz w:val="22"/>
        </w:rPr>
        <w:t>n of the draft general comment.</w:t>
      </w:r>
    </w:p>
    <w:p w14:paraId="45E751B3" w14:textId="77777777" w:rsidR="00775177" w:rsidRDefault="00775177" w:rsidP="002274F5">
      <w:pPr>
        <w:pStyle w:val="CourtNumberedpara"/>
        <w:numPr>
          <w:ilvl w:val="0"/>
          <w:numId w:val="0"/>
        </w:numPr>
        <w:spacing w:before="0" w:after="0"/>
        <w:ind w:left="270" w:right="1107" w:hanging="270"/>
        <w:jc w:val="both"/>
        <w:rPr>
          <w:rFonts w:ascii="Arial" w:hAnsi="Arial" w:cs="Arial"/>
          <w:b/>
          <w:sz w:val="22"/>
        </w:rPr>
      </w:pPr>
    </w:p>
    <w:p w14:paraId="56360915" w14:textId="77777777" w:rsidR="00775177" w:rsidRDefault="00775177" w:rsidP="002274F5">
      <w:pPr>
        <w:pStyle w:val="CourtNumberedpara"/>
        <w:numPr>
          <w:ilvl w:val="0"/>
          <w:numId w:val="0"/>
        </w:numPr>
        <w:spacing w:before="0" w:after="0"/>
        <w:ind w:left="270" w:right="1107" w:hanging="270"/>
        <w:jc w:val="both"/>
        <w:rPr>
          <w:rFonts w:ascii="Arial" w:hAnsi="Arial" w:cs="Arial"/>
          <w:b/>
          <w:sz w:val="22"/>
        </w:rPr>
      </w:pPr>
    </w:p>
    <w:p w14:paraId="72074849" w14:textId="77777777" w:rsidR="006F5209" w:rsidRPr="00BE2697" w:rsidRDefault="002274F5" w:rsidP="002274F5">
      <w:pPr>
        <w:pStyle w:val="CourtNumberedpara"/>
        <w:numPr>
          <w:ilvl w:val="0"/>
          <w:numId w:val="0"/>
        </w:numPr>
        <w:spacing w:before="0" w:after="0"/>
        <w:ind w:left="270" w:right="1107" w:hanging="270"/>
        <w:jc w:val="both"/>
        <w:rPr>
          <w:rFonts w:ascii="Arial" w:hAnsi="Arial" w:cs="Arial"/>
          <w:b/>
          <w:sz w:val="22"/>
        </w:rPr>
      </w:pPr>
      <w:r>
        <w:rPr>
          <w:rFonts w:ascii="Arial" w:hAnsi="Arial" w:cs="Arial"/>
          <w:b/>
          <w:sz w:val="22"/>
        </w:rPr>
        <w:lastRenderedPageBreak/>
        <w:t xml:space="preserve">I. </w:t>
      </w:r>
      <w:r w:rsidR="00FA74F0" w:rsidRPr="00BE2697">
        <w:rPr>
          <w:rFonts w:ascii="Arial" w:hAnsi="Arial" w:cs="Arial"/>
          <w:b/>
          <w:sz w:val="22"/>
        </w:rPr>
        <w:t>“</w:t>
      </w:r>
      <w:r w:rsidR="003B53C5" w:rsidRPr="00BE2697">
        <w:rPr>
          <w:rFonts w:ascii="Arial" w:hAnsi="Arial" w:cs="Arial"/>
          <w:b/>
          <w:sz w:val="22"/>
        </w:rPr>
        <w:t>Applicability of Article 6 to the Unborn and</w:t>
      </w:r>
      <w:r w:rsidR="007000B3" w:rsidRPr="00BE2697">
        <w:rPr>
          <w:rFonts w:ascii="Arial" w:hAnsi="Arial" w:cs="Arial"/>
          <w:b/>
          <w:sz w:val="22"/>
        </w:rPr>
        <w:t xml:space="preserve"> </w:t>
      </w:r>
      <w:r w:rsidR="00D12C05">
        <w:rPr>
          <w:rFonts w:ascii="Arial" w:hAnsi="Arial" w:cs="Arial"/>
          <w:b/>
          <w:sz w:val="22"/>
        </w:rPr>
        <w:t>o</w:t>
      </w:r>
      <w:r w:rsidR="007000B3" w:rsidRPr="00BE2697">
        <w:rPr>
          <w:rFonts w:ascii="Arial" w:hAnsi="Arial" w:cs="Arial"/>
          <w:b/>
          <w:sz w:val="22"/>
        </w:rPr>
        <w:t>ther Forms of Human Existence</w:t>
      </w:r>
      <w:r w:rsidR="00FA74F0" w:rsidRPr="00BE2697">
        <w:rPr>
          <w:rFonts w:ascii="Arial" w:hAnsi="Arial" w:cs="Arial"/>
          <w:b/>
          <w:sz w:val="22"/>
        </w:rPr>
        <w:t>”</w:t>
      </w:r>
      <w:r w:rsidR="00FA74F0" w:rsidRPr="00764C32">
        <w:rPr>
          <w:rStyle w:val="FootnoteReference"/>
          <w:rFonts w:ascii="Arial" w:hAnsi="Arial" w:cs="Arial"/>
          <w:sz w:val="22"/>
        </w:rPr>
        <w:footnoteReference w:id="1"/>
      </w:r>
    </w:p>
    <w:p w14:paraId="1C6D1AAC" w14:textId="77777777" w:rsidR="006F5209" w:rsidRPr="00BE2697" w:rsidRDefault="006F5209" w:rsidP="00D12C05">
      <w:pPr>
        <w:pStyle w:val="CourtNumberedpara"/>
        <w:numPr>
          <w:ilvl w:val="0"/>
          <w:numId w:val="0"/>
        </w:numPr>
        <w:spacing w:before="0" w:after="0"/>
        <w:ind w:right="1107"/>
        <w:jc w:val="both"/>
        <w:rPr>
          <w:rFonts w:ascii="Arial" w:hAnsi="Arial" w:cs="Arial"/>
          <w:b/>
          <w:sz w:val="22"/>
        </w:rPr>
      </w:pPr>
    </w:p>
    <w:p w14:paraId="20A4FF98" w14:textId="77777777" w:rsidR="00DF7511" w:rsidRPr="00BE2697" w:rsidRDefault="006F5209" w:rsidP="00E91F71">
      <w:pPr>
        <w:pStyle w:val="CourtNumberedpara"/>
        <w:numPr>
          <w:ilvl w:val="0"/>
          <w:numId w:val="6"/>
        </w:numPr>
        <w:spacing w:before="0" w:after="0"/>
        <w:ind w:right="1107"/>
        <w:jc w:val="both"/>
        <w:rPr>
          <w:rFonts w:ascii="Arial" w:hAnsi="Arial" w:cs="Arial"/>
          <w:b/>
          <w:sz w:val="22"/>
        </w:rPr>
      </w:pPr>
      <w:r w:rsidRPr="00BE2697">
        <w:rPr>
          <w:rFonts w:ascii="Arial" w:hAnsi="Arial" w:cs="Arial"/>
          <w:b/>
          <w:sz w:val="22"/>
        </w:rPr>
        <w:t xml:space="preserve">Legal Justifications for </w:t>
      </w:r>
      <w:r w:rsidR="00895ACA" w:rsidRPr="00BE2697">
        <w:rPr>
          <w:rFonts w:ascii="Arial" w:hAnsi="Arial" w:cs="Arial"/>
          <w:b/>
          <w:sz w:val="22"/>
        </w:rPr>
        <w:t xml:space="preserve">the </w:t>
      </w:r>
      <w:r w:rsidRPr="00BE2697">
        <w:rPr>
          <w:rFonts w:ascii="Arial" w:hAnsi="Arial" w:cs="Arial"/>
          <w:b/>
          <w:sz w:val="22"/>
        </w:rPr>
        <w:t xml:space="preserve">Right to Life of the Unborn </w:t>
      </w:r>
    </w:p>
    <w:p w14:paraId="74EE2C27" w14:textId="77777777" w:rsidR="000D004C" w:rsidRPr="00BE2697" w:rsidRDefault="000D004C" w:rsidP="00D12C05">
      <w:pPr>
        <w:pStyle w:val="CourtNumberedpara"/>
        <w:numPr>
          <w:ilvl w:val="0"/>
          <w:numId w:val="0"/>
        </w:numPr>
        <w:spacing w:before="0" w:after="0"/>
        <w:ind w:left="720" w:right="1107"/>
        <w:jc w:val="both"/>
        <w:rPr>
          <w:rFonts w:ascii="Arial" w:hAnsi="Arial" w:cs="Arial"/>
          <w:b/>
          <w:sz w:val="22"/>
        </w:rPr>
      </w:pPr>
    </w:p>
    <w:p w14:paraId="7020CE60" w14:textId="77777777" w:rsidR="006F5209" w:rsidRPr="00BE2697" w:rsidRDefault="00834295" w:rsidP="00E91F71">
      <w:pPr>
        <w:pStyle w:val="CourtNumberedpara"/>
        <w:numPr>
          <w:ilvl w:val="1"/>
          <w:numId w:val="6"/>
        </w:numPr>
        <w:spacing w:before="0" w:after="0"/>
        <w:ind w:right="1107"/>
        <w:jc w:val="both"/>
        <w:rPr>
          <w:rFonts w:ascii="Arial" w:hAnsi="Arial" w:cs="Arial"/>
          <w:b/>
          <w:sz w:val="22"/>
        </w:rPr>
      </w:pPr>
      <w:r w:rsidRPr="00BE2697">
        <w:rPr>
          <w:rFonts w:ascii="Arial" w:hAnsi="Arial" w:cs="Arial"/>
          <w:b/>
          <w:sz w:val="22"/>
        </w:rPr>
        <w:t xml:space="preserve">Right to Life </w:t>
      </w:r>
      <w:r w:rsidR="005E5CB0" w:rsidRPr="00BE2697">
        <w:rPr>
          <w:rFonts w:ascii="Arial" w:hAnsi="Arial" w:cs="Arial"/>
          <w:b/>
          <w:sz w:val="22"/>
        </w:rPr>
        <w:t xml:space="preserve">of the Unborn </w:t>
      </w:r>
      <w:r w:rsidRPr="00BE2697">
        <w:rPr>
          <w:rFonts w:ascii="Arial" w:hAnsi="Arial" w:cs="Arial"/>
          <w:b/>
          <w:sz w:val="22"/>
        </w:rPr>
        <w:t xml:space="preserve">in </w:t>
      </w:r>
      <w:r w:rsidR="003D106B">
        <w:rPr>
          <w:rFonts w:ascii="Arial" w:hAnsi="Arial" w:cs="Arial"/>
          <w:b/>
          <w:sz w:val="22"/>
        </w:rPr>
        <w:t>Article 6 of the ICCPR</w:t>
      </w:r>
    </w:p>
    <w:p w14:paraId="359A1C9B" w14:textId="77777777" w:rsidR="007C1993" w:rsidRPr="00BE2697" w:rsidRDefault="003C7A1F" w:rsidP="007B6F62">
      <w:pPr>
        <w:pStyle w:val="CourtNumberedpara"/>
        <w:spacing w:line="276" w:lineRule="auto"/>
        <w:jc w:val="both"/>
        <w:rPr>
          <w:rFonts w:ascii="Arial" w:hAnsi="Arial" w:cs="Arial"/>
          <w:sz w:val="22"/>
        </w:rPr>
      </w:pPr>
      <w:r>
        <w:rPr>
          <w:rFonts w:ascii="Arial" w:hAnsi="Arial" w:cs="Arial"/>
          <w:sz w:val="22"/>
        </w:rPr>
        <w:t>Article 6</w:t>
      </w:r>
      <w:r w:rsidR="00EC436B" w:rsidRPr="00BE2697">
        <w:rPr>
          <w:rFonts w:ascii="Arial" w:hAnsi="Arial" w:cs="Arial"/>
          <w:sz w:val="22"/>
        </w:rPr>
        <w:t>(1) of the ICCPR states</w:t>
      </w:r>
      <w:r w:rsidR="00DD1CAA">
        <w:rPr>
          <w:rFonts w:ascii="Arial" w:hAnsi="Arial" w:cs="Arial"/>
          <w:sz w:val="22"/>
        </w:rPr>
        <w:t>:</w:t>
      </w:r>
      <w:r w:rsidR="00EC436B" w:rsidRPr="00BE2697">
        <w:rPr>
          <w:rFonts w:ascii="Arial" w:hAnsi="Arial" w:cs="Arial"/>
          <w:sz w:val="22"/>
        </w:rPr>
        <w:t xml:space="preserve"> “Every human being has the inherent right to life.” </w:t>
      </w:r>
      <w:r w:rsidR="00457004" w:rsidRPr="00BE2697">
        <w:rPr>
          <w:rFonts w:ascii="Arial" w:hAnsi="Arial" w:cs="Arial"/>
          <w:sz w:val="22"/>
        </w:rPr>
        <w:t xml:space="preserve">In prior general comments on </w:t>
      </w:r>
      <w:r w:rsidR="007000B3" w:rsidRPr="00BE2697">
        <w:rPr>
          <w:rFonts w:ascii="Arial" w:hAnsi="Arial" w:cs="Arial"/>
          <w:sz w:val="22"/>
        </w:rPr>
        <w:t xml:space="preserve">Article </w:t>
      </w:r>
      <w:r w:rsidR="00457004" w:rsidRPr="00BE2697">
        <w:rPr>
          <w:rFonts w:ascii="Arial" w:hAnsi="Arial" w:cs="Arial"/>
          <w:sz w:val="22"/>
        </w:rPr>
        <w:t>6, the Committee has stated clearly that the right to life should be interpreted broadly</w:t>
      </w:r>
      <w:r w:rsidR="002274F5">
        <w:rPr>
          <w:rFonts w:ascii="Arial" w:hAnsi="Arial" w:cs="Arial"/>
          <w:sz w:val="22"/>
        </w:rPr>
        <w:t>, and this has been repeated in paragraph 3 of this present draft general comment</w:t>
      </w:r>
      <w:r w:rsidR="00457004" w:rsidRPr="00BE2697">
        <w:rPr>
          <w:rFonts w:ascii="Arial" w:hAnsi="Arial" w:cs="Arial"/>
          <w:sz w:val="22"/>
        </w:rPr>
        <w:t>. Specifically, the Committee has noted</w:t>
      </w:r>
      <w:r w:rsidR="00DD1CAA">
        <w:rPr>
          <w:rFonts w:ascii="Arial" w:hAnsi="Arial" w:cs="Arial"/>
          <w:sz w:val="22"/>
        </w:rPr>
        <w:t xml:space="preserve"> that “t</w:t>
      </w:r>
      <w:r w:rsidR="000D004C" w:rsidRPr="00BE2697">
        <w:rPr>
          <w:rFonts w:ascii="Arial" w:eastAsia="Calibri" w:hAnsi="Arial" w:cs="Arial"/>
          <w:sz w:val="22"/>
        </w:rPr>
        <w:t>he right to life has been too often narrowly interpreted. The expression ‘inherent right to life’ cannot properly be un</w:t>
      </w:r>
      <w:r w:rsidR="00457004" w:rsidRPr="00BE2697">
        <w:rPr>
          <w:rFonts w:ascii="Arial" w:eastAsia="Calibri" w:hAnsi="Arial" w:cs="Arial"/>
          <w:sz w:val="22"/>
        </w:rPr>
        <w:t>derstood in a restrictive manner</w:t>
      </w:r>
      <w:r w:rsidR="00E059E5" w:rsidRPr="00BE2697">
        <w:rPr>
          <w:rFonts w:ascii="Arial" w:eastAsia="Calibri" w:hAnsi="Arial" w:cs="Arial"/>
          <w:sz w:val="22"/>
        </w:rPr>
        <w:t>[.]</w:t>
      </w:r>
      <w:r w:rsidR="007352A1" w:rsidRPr="00BE2697">
        <w:rPr>
          <w:rFonts w:ascii="Arial" w:eastAsia="Calibri" w:hAnsi="Arial" w:cs="Arial"/>
          <w:sz w:val="22"/>
        </w:rPr>
        <w:t>”</w:t>
      </w:r>
      <w:r w:rsidR="007352A1" w:rsidRPr="00BE2697">
        <w:rPr>
          <w:rFonts w:ascii="Arial" w:hAnsi="Arial" w:cs="Arial"/>
          <w:sz w:val="22"/>
          <w:vertAlign w:val="superscript"/>
        </w:rPr>
        <w:footnoteReference w:id="2"/>
      </w:r>
      <w:r w:rsidR="007352A1" w:rsidRPr="00BE2697">
        <w:rPr>
          <w:rFonts w:ascii="Arial" w:eastAsia="Calibri" w:hAnsi="Arial" w:cs="Arial"/>
          <w:sz w:val="22"/>
        </w:rPr>
        <w:t xml:space="preserve"> </w:t>
      </w:r>
      <w:r w:rsidR="002274F5">
        <w:rPr>
          <w:rFonts w:ascii="Arial" w:eastAsia="Calibri" w:hAnsi="Arial" w:cs="Arial"/>
          <w:sz w:val="22"/>
        </w:rPr>
        <w:t xml:space="preserve">The present draft general comment reaffirms this in paragraph 3. </w:t>
      </w:r>
      <w:r w:rsidR="007C1993" w:rsidRPr="00BE2697">
        <w:rPr>
          <w:rFonts w:ascii="Arial" w:eastAsia="Calibri" w:hAnsi="Arial" w:cs="Arial"/>
          <w:sz w:val="22"/>
        </w:rPr>
        <w:t xml:space="preserve">Therefore, </w:t>
      </w:r>
      <w:r w:rsidR="00764C32">
        <w:rPr>
          <w:rFonts w:ascii="Arial" w:eastAsia="Calibri" w:hAnsi="Arial" w:cs="Arial"/>
          <w:sz w:val="22"/>
        </w:rPr>
        <w:t xml:space="preserve">consistent with its foundational importance to all other rights, </w:t>
      </w:r>
      <w:r w:rsidR="007C1993" w:rsidRPr="00BE2697">
        <w:rPr>
          <w:rFonts w:ascii="Arial" w:eastAsia="Calibri" w:hAnsi="Arial" w:cs="Arial"/>
          <w:sz w:val="22"/>
        </w:rPr>
        <w:t xml:space="preserve">the meaning of Article 6 must be construed broadly, erring on the side of protecting more groups </w:t>
      </w:r>
      <w:r w:rsidR="00EC436B" w:rsidRPr="00BE2697">
        <w:rPr>
          <w:rFonts w:ascii="Arial" w:eastAsia="Calibri" w:hAnsi="Arial" w:cs="Arial"/>
          <w:sz w:val="22"/>
        </w:rPr>
        <w:t xml:space="preserve">and more instances, </w:t>
      </w:r>
      <w:r w:rsidR="007C1993" w:rsidRPr="00BE2697">
        <w:rPr>
          <w:rFonts w:ascii="Arial" w:eastAsia="Calibri" w:hAnsi="Arial" w:cs="Arial"/>
          <w:sz w:val="22"/>
        </w:rPr>
        <w:t xml:space="preserve">rather than </w:t>
      </w:r>
      <w:r w:rsidR="007000B3" w:rsidRPr="00BE2697">
        <w:rPr>
          <w:rFonts w:ascii="Arial" w:eastAsia="Calibri" w:hAnsi="Arial" w:cs="Arial"/>
          <w:sz w:val="22"/>
        </w:rPr>
        <w:t>fewer</w:t>
      </w:r>
      <w:r w:rsidR="007C1993" w:rsidRPr="00BE2697">
        <w:rPr>
          <w:rFonts w:ascii="Arial" w:eastAsia="Calibri" w:hAnsi="Arial" w:cs="Arial"/>
          <w:sz w:val="22"/>
        </w:rPr>
        <w:t xml:space="preserve">. </w:t>
      </w:r>
    </w:p>
    <w:p w14:paraId="74483727" w14:textId="77777777" w:rsidR="00F81FA6" w:rsidRDefault="007A0A95" w:rsidP="007B6F62">
      <w:pPr>
        <w:pStyle w:val="CourtNumberedpara"/>
        <w:spacing w:line="276" w:lineRule="auto"/>
        <w:jc w:val="both"/>
        <w:rPr>
          <w:rFonts w:ascii="Arial" w:hAnsi="Arial" w:cs="Arial"/>
          <w:sz w:val="22"/>
        </w:rPr>
      </w:pPr>
      <w:r>
        <w:rPr>
          <w:rFonts w:ascii="Arial" w:hAnsi="Arial" w:cs="Arial"/>
          <w:sz w:val="22"/>
        </w:rPr>
        <w:t>Moreover,</w:t>
      </w:r>
      <w:r w:rsidR="00EC436B" w:rsidRPr="00BE2697">
        <w:rPr>
          <w:rFonts w:ascii="Arial" w:hAnsi="Arial" w:cs="Arial"/>
          <w:sz w:val="22"/>
        </w:rPr>
        <w:t xml:space="preserve"> t</w:t>
      </w:r>
      <w:r w:rsidR="007C1993" w:rsidRPr="00BE2697">
        <w:rPr>
          <w:rFonts w:ascii="Arial" w:hAnsi="Arial" w:cs="Arial"/>
          <w:sz w:val="22"/>
        </w:rPr>
        <w:t xml:space="preserve">he ICCPR’s prohibition of the death penalty for pregnant women </w:t>
      </w:r>
      <w:r w:rsidR="00E5058E" w:rsidRPr="00BE2697">
        <w:rPr>
          <w:rFonts w:ascii="Arial" w:hAnsi="Arial" w:cs="Arial"/>
          <w:sz w:val="22"/>
        </w:rPr>
        <w:t>implicitly</w:t>
      </w:r>
      <w:r w:rsidR="007C1993" w:rsidRPr="00BE2697">
        <w:rPr>
          <w:rFonts w:ascii="Arial" w:hAnsi="Arial" w:cs="Arial"/>
          <w:sz w:val="22"/>
        </w:rPr>
        <w:t xml:space="preserve"> recognizes the right to life of the unborn. Although t</w:t>
      </w:r>
      <w:r w:rsidR="000D004C" w:rsidRPr="00BE2697">
        <w:rPr>
          <w:rFonts w:ascii="Arial" w:hAnsi="Arial" w:cs="Arial"/>
          <w:sz w:val="22"/>
        </w:rPr>
        <w:t xml:space="preserve">he ICCPR allows for the death penalty to be imposed on </w:t>
      </w:r>
      <w:r w:rsidR="007C1993" w:rsidRPr="00BE2697">
        <w:rPr>
          <w:rFonts w:ascii="Arial" w:hAnsi="Arial" w:cs="Arial"/>
          <w:sz w:val="22"/>
        </w:rPr>
        <w:t xml:space="preserve">both </w:t>
      </w:r>
      <w:r w:rsidR="000D004C" w:rsidRPr="00BE2697">
        <w:rPr>
          <w:rFonts w:ascii="Arial" w:hAnsi="Arial" w:cs="Arial"/>
          <w:sz w:val="22"/>
        </w:rPr>
        <w:t xml:space="preserve">adult men and women, </w:t>
      </w:r>
      <w:r w:rsidR="007C1993" w:rsidRPr="00BE2697">
        <w:rPr>
          <w:rFonts w:ascii="Arial" w:hAnsi="Arial" w:cs="Arial"/>
          <w:sz w:val="22"/>
        </w:rPr>
        <w:t>it</w:t>
      </w:r>
      <w:r w:rsidR="000D004C" w:rsidRPr="00BE2697">
        <w:rPr>
          <w:rFonts w:ascii="Arial" w:hAnsi="Arial" w:cs="Arial"/>
          <w:sz w:val="22"/>
        </w:rPr>
        <w:t xml:space="preserve"> explicitly prohibits applying </w:t>
      </w:r>
      <w:r w:rsidR="007352A1" w:rsidRPr="00BE2697">
        <w:rPr>
          <w:rFonts w:ascii="Arial" w:hAnsi="Arial" w:cs="Arial"/>
          <w:sz w:val="22"/>
        </w:rPr>
        <w:t>the death penalty</w:t>
      </w:r>
      <w:r w:rsidR="000D004C" w:rsidRPr="00BE2697">
        <w:rPr>
          <w:rFonts w:ascii="Arial" w:hAnsi="Arial" w:cs="Arial"/>
          <w:sz w:val="22"/>
        </w:rPr>
        <w:t xml:space="preserve"> to pregnant women. Article 6(5) states</w:t>
      </w:r>
      <w:r w:rsidR="00F81FA6">
        <w:rPr>
          <w:rFonts w:ascii="Arial" w:hAnsi="Arial" w:cs="Arial"/>
          <w:sz w:val="22"/>
        </w:rPr>
        <w:t xml:space="preserve"> that a “s</w:t>
      </w:r>
      <w:r w:rsidR="000D004C" w:rsidRPr="00BE2697">
        <w:rPr>
          <w:rFonts w:ascii="Arial" w:hAnsi="Arial" w:cs="Arial"/>
          <w:sz w:val="22"/>
        </w:rPr>
        <w:t xml:space="preserve">entence of death shall not be imposed for crimes committed by persons below eighteen years of age and </w:t>
      </w:r>
      <w:r w:rsidR="000D004C" w:rsidRPr="00BE2697">
        <w:rPr>
          <w:rFonts w:ascii="Arial" w:hAnsi="Arial" w:cs="Arial"/>
          <w:i/>
          <w:sz w:val="22"/>
        </w:rPr>
        <w:t>shall not be carried out on pregnant women</w:t>
      </w:r>
      <w:r w:rsidR="000D004C" w:rsidRPr="00BE2697">
        <w:rPr>
          <w:rFonts w:ascii="Arial" w:hAnsi="Arial" w:cs="Arial"/>
          <w:sz w:val="22"/>
        </w:rPr>
        <w:t xml:space="preserve">.” </w:t>
      </w:r>
    </w:p>
    <w:p w14:paraId="1178D300" w14:textId="20026F4C" w:rsidR="000D004C" w:rsidRPr="00BE2697" w:rsidRDefault="007352A1" w:rsidP="007B6F62">
      <w:pPr>
        <w:pStyle w:val="CourtNumberedpara"/>
        <w:spacing w:line="276" w:lineRule="auto"/>
        <w:jc w:val="both"/>
        <w:rPr>
          <w:rFonts w:ascii="Arial" w:hAnsi="Arial" w:cs="Arial"/>
          <w:sz w:val="22"/>
        </w:rPr>
      </w:pPr>
      <w:r w:rsidRPr="00BE2697">
        <w:rPr>
          <w:rFonts w:ascii="Arial" w:hAnsi="Arial" w:cs="Arial"/>
          <w:sz w:val="22"/>
        </w:rPr>
        <w:t>Under the ICCPR, a</w:t>
      </w:r>
      <w:r w:rsidR="000D004C" w:rsidRPr="00BE2697">
        <w:rPr>
          <w:rFonts w:ascii="Arial" w:hAnsi="Arial" w:cs="Arial"/>
          <w:sz w:val="22"/>
        </w:rPr>
        <w:t xml:space="preserve">ll other adult women may be subject to the death penalty, </w:t>
      </w:r>
      <w:r w:rsidRPr="00BE2697">
        <w:rPr>
          <w:rFonts w:ascii="Arial" w:hAnsi="Arial" w:cs="Arial"/>
          <w:sz w:val="22"/>
        </w:rPr>
        <w:t xml:space="preserve">therefore </w:t>
      </w:r>
      <w:r w:rsidR="000D004C" w:rsidRPr="00BE2697">
        <w:rPr>
          <w:rFonts w:ascii="Arial" w:hAnsi="Arial" w:cs="Arial"/>
          <w:sz w:val="22"/>
        </w:rPr>
        <w:t xml:space="preserve">this clause </w:t>
      </w:r>
      <w:r w:rsidRPr="00BE2697">
        <w:rPr>
          <w:rFonts w:ascii="Arial" w:hAnsi="Arial" w:cs="Arial"/>
          <w:sz w:val="22"/>
        </w:rPr>
        <w:t xml:space="preserve">must be understood as recognizing the </w:t>
      </w:r>
      <w:r w:rsidR="00A02031" w:rsidRPr="00BE2697">
        <w:rPr>
          <w:rFonts w:ascii="Arial" w:hAnsi="Arial" w:cs="Arial"/>
          <w:sz w:val="22"/>
        </w:rPr>
        <w:t>distinct identity</w:t>
      </w:r>
      <w:r w:rsidRPr="00BE2697">
        <w:rPr>
          <w:rFonts w:ascii="Arial" w:hAnsi="Arial" w:cs="Arial"/>
          <w:sz w:val="22"/>
        </w:rPr>
        <w:t xml:space="preserve"> </w:t>
      </w:r>
      <w:r w:rsidR="00F81FA6">
        <w:rPr>
          <w:rFonts w:ascii="Arial" w:hAnsi="Arial" w:cs="Arial"/>
          <w:sz w:val="22"/>
        </w:rPr>
        <w:t>of the unborn child f</w:t>
      </w:r>
      <w:r w:rsidRPr="00BE2697">
        <w:rPr>
          <w:rFonts w:ascii="Arial" w:hAnsi="Arial" w:cs="Arial"/>
          <w:sz w:val="22"/>
        </w:rPr>
        <w:t xml:space="preserve">rom the mother and </w:t>
      </w:r>
      <w:r w:rsidR="00A02031" w:rsidRPr="00BE2697">
        <w:rPr>
          <w:rFonts w:ascii="Arial" w:hAnsi="Arial" w:cs="Arial"/>
          <w:sz w:val="22"/>
        </w:rPr>
        <w:t>protecting</w:t>
      </w:r>
      <w:r w:rsidRPr="00BE2697">
        <w:rPr>
          <w:rFonts w:ascii="Arial" w:hAnsi="Arial" w:cs="Arial"/>
          <w:sz w:val="22"/>
        </w:rPr>
        <w:t xml:space="preserve"> the unborn</w:t>
      </w:r>
      <w:r w:rsidR="00F81FA6">
        <w:rPr>
          <w:rFonts w:ascii="Arial" w:hAnsi="Arial" w:cs="Arial"/>
          <w:sz w:val="22"/>
        </w:rPr>
        <w:t xml:space="preserve"> child</w:t>
      </w:r>
      <w:r w:rsidRPr="00BE2697">
        <w:rPr>
          <w:rFonts w:ascii="Arial" w:hAnsi="Arial" w:cs="Arial"/>
          <w:sz w:val="22"/>
        </w:rPr>
        <w:t>’s right to life.</w:t>
      </w:r>
      <w:r w:rsidR="00F81FA6">
        <w:rPr>
          <w:rFonts w:ascii="Arial" w:hAnsi="Arial" w:cs="Arial"/>
          <w:sz w:val="22"/>
        </w:rPr>
        <w:t xml:space="preserve"> This is especially clear in light of the fact that, unlike the prohibition </w:t>
      </w:r>
      <w:r w:rsidR="005E129D">
        <w:rPr>
          <w:rFonts w:ascii="Arial" w:hAnsi="Arial" w:cs="Arial"/>
          <w:sz w:val="22"/>
        </w:rPr>
        <w:t xml:space="preserve">of </w:t>
      </w:r>
      <w:r w:rsidR="00F81FA6">
        <w:rPr>
          <w:rFonts w:ascii="Arial" w:hAnsi="Arial" w:cs="Arial"/>
          <w:sz w:val="22"/>
        </w:rPr>
        <w:t xml:space="preserve">executing persons at any time for crimes committed before the age of eighteen, the prohibition </w:t>
      </w:r>
      <w:r w:rsidR="005E129D">
        <w:rPr>
          <w:rFonts w:ascii="Arial" w:hAnsi="Arial" w:cs="Arial"/>
          <w:sz w:val="22"/>
        </w:rPr>
        <w:t xml:space="preserve">of </w:t>
      </w:r>
      <w:r w:rsidR="00F81FA6">
        <w:rPr>
          <w:rFonts w:ascii="Arial" w:hAnsi="Arial" w:cs="Arial"/>
          <w:sz w:val="22"/>
        </w:rPr>
        <w:t>executing pregnant women only extends as far as the condemned woman’s pregnancy lasts</w:t>
      </w:r>
      <w:r w:rsidR="004718E8">
        <w:rPr>
          <w:rFonts w:ascii="Arial" w:hAnsi="Arial" w:cs="Arial"/>
          <w:sz w:val="22"/>
        </w:rPr>
        <w:t>.</w:t>
      </w:r>
    </w:p>
    <w:p w14:paraId="634355FA" w14:textId="77777777" w:rsidR="00A91AC8" w:rsidRPr="00634892" w:rsidRDefault="000D004C" w:rsidP="007B6F62">
      <w:pPr>
        <w:pStyle w:val="CourtNumberedpara"/>
        <w:spacing w:line="276" w:lineRule="auto"/>
        <w:jc w:val="both"/>
        <w:rPr>
          <w:rFonts w:ascii="Arial" w:hAnsi="Arial" w:cs="Arial"/>
          <w:sz w:val="22"/>
        </w:rPr>
      </w:pPr>
      <w:r w:rsidRPr="00BE2697">
        <w:rPr>
          <w:rFonts w:ascii="Arial" w:eastAsia="Calibri" w:hAnsi="Arial" w:cs="Arial"/>
          <w:sz w:val="22"/>
        </w:rPr>
        <w:t xml:space="preserve">As </w:t>
      </w:r>
      <w:r w:rsidRPr="00F81FA6">
        <w:rPr>
          <w:rFonts w:ascii="Arial" w:eastAsia="Calibri" w:hAnsi="Arial" w:cs="Arial"/>
          <w:sz w:val="22"/>
        </w:rPr>
        <w:t xml:space="preserve">the </w:t>
      </w:r>
      <w:r w:rsidRPr="00F81FA6">
        <w:rPr>
          <w:rFonts w:ascii="Arial" w:eastAsia="Calibri" w:hAnsi="Arial" w:cs="Arial"/>
          <w:i/>
          <w:sz w:val="22"/>
        </w:rPr>
        <w:t>travaux préparatoires</w:t>
      </w:r>
      <w:r w:rsidRPr="00F81FA6">
        <w:rPr>
          <w:rFonts w:ascii="Arial" w:eastAsia="Calibri" w:hAnsi="Arial" w:cs="Arial"/>
          <w:sz w:val="22"/>
          <w:vertAlign w:val="superscript"/>
        </w:rPr>
        <w:footnoteReference w:id="3"/>
      </w:r>
      <w:r w:rsidRPr="00F81FA6">
        <w:rPr>
          <w:rFonts w:ascii="Arial" w:eastAsia="Calibri" w:hAnsi="Arial" w:cs="Arial"/>
          <w:sz w:val="22"/>
        </w:rPr>
        <w:t xml:space="preserve"> of the ICCPR</w:t>
      </w:r>
      <w:r w:rsidRPr="00F81FA6">
        <w:rPr>
          <w:rFonts w:ascii="Arial" w:eastAsia="Calibri" w:hAnsi="Arial" w:cs="Arial"/>
          <w:sz w:val="22"/>
          <w:vertAlign w:val="superscript"/>
        </w:rPr>
        <w:t xml:space="preserve"> </w:t>
      </w:r>
      <w:r w:rsidRPr="00F81FA6">
        <w:rPr>
          <w:rFonts w:ascii="Arial" w:eastAsia="Calibri" w:hAnsi="Arial" w:cs="Arial"/>
          <w:sz w:val="22"/>
        </w:rPr>
        <w:t xml:space="preserve">state, “The principal reason for providing in paragraph 4 [now Article 6(5)] of the original text that the death sentence should not be carried out on pregnant women was to </w:t>
      </w:r>
      <w:r w:rsidRPr="00F81FA6">
        <w:rPr>
          <w:rFonts w:ascii="Arial" w:eastAsia="Calibri" w:hAnsi="Arial" w:cs="Arial"/>
          <w:i/>
          <w:sz w:val="22"/>
        </w:rPr>
        <w:t>save the life of an innocent unborn child</w:t>
      </w:r>
      <w:r w:rsidRPr="00F81FA6">
        <w:rPr>
          <w:rFonts w:ascii="Arial" w:eastAsia="Calibri" w:hAnsi="Arial" w:cs="Arial"/>
          <w:sz w:val="22"/>
        </w:rPr>
        <w:t>.”</w:t>
      </w:r>
      <w:r w:rsidRPr="00F81FA6">
        <w:rPr>
          <w:rFonts w:ascii="Arial" w:eastAsia="Calibri" w:hAnsi="Arial" w:cs="Arial"/>
          <w:sz w:val="22"/>
          <w:vertAlign w:val="superscript"/>
        </w:rPr>
        <w:footnoteReference w:id="4"/>
      </w:r>
      <w:r w:rsidRPr="00F81FA6">
        <w:rPr>
          <w:rFonts w:ascii="Arial" w:eastAsia="Calibri" w:hAnsi="Arial" w:cs="Arial"/>
          <w:sz w:val="22"/>
          <w:vertAlign w:val="superscript"/>
        </w:rPr>
        <w:t xml:space="preserve"> </w:t>
      </w:r>
      <w:r w:rsidRPr="00F81FA6">
        <w:rPr>
          <w:rFonts w:ascii="Arial" w:eastAsia="Calibri" w:hAnsi="Arial" w:cs="Arial"/>
          <w:sz w:val="22"/>
        </w:rPr>
        <w:t>Similarly, the Secretary</w:t>
      </w:r>
      <w:r w:rsidR="00C441CC" w:rsidRPr="00F81FA6">
        <w:rPr>
          <w:rFonts w:ascii="Arial" w:eastAsia="Calibri" w:hAnsi="Arial" w:cs="Arial"/>
          <w:sz w:val="22"/>
        </w:rPr>
        <w:t xml:space="preserve"> </w:t>
      </w:r>
      <w:r w:rsidRPr="00F81FA6">
        <w:rPr>
          <w:rFonts w:ascii="Arial" w:eastAsia="Calibri" w:hAnsi="Arial" w:cs="Arial"/>
          <w:sz w:val="22"/>
        </w:rPr>
        <w:t xml:space="preserve">General report of 1955 notes that the intention of the paragraph “was inspired by humanitarian considerations and by </w:t>
      </w:r>
      <w:r w:rsidRPr="00F81FA6">
        <w:rPr>
          <w:rFonts w:ascii="Arial" w:eastAsia="Calibri" w:hAnsi="Arial" w:cs="Arial"/>
          <w:i/>
          <w:sz w:val="22"/>
        </w:rPr>
        <w:t>consideration for the interests of the unborn child</w:t>
      </w:r>
      <w:r w:rsidR="00706258" w:rsidRPr="00F81FA6">
        <w:rPr>
          <w:rFonts w:ascii="Arial" w:eastAsia="Calibri" w:hAnsi="Arial" w:cs="Arial"/>
          <w:sz w:val="22"/>
        </w:rPr>
        <w:t>[.]”</w:t>
      </w:r>
      <w:r w:rsidR="00706258" w:rsidRPr="00F81FA6">
        <w:rPr>
          <w:rFonts w:ascii="Arial" w:eastAsia="Calibri" w:hAnsi="Arial" w:cs="Arial"/>
          <w:sz w:val="22"/>
          <w:vertAlign w:val="superscript"/>
        </w:rPr>
        <w:footnoteReference w:id="5"/>
      </w:r>
      <w:r w:rsidR="00ED1DC2">
        <w:rPr>
          <w:rFonts w:ascii="Arial" w:eastAsia="Calibri" w:hAnsi="Arial" w:cs="Arial"/>
          <w:sz w:val="22"/>
        </w:rPr>
        <w:t xml:space="preserve"> </w:t>
      </w:r>
    </w:p>
    <w:p w14:paraId="294653C1" w14:textId="481178E7" w:rsidR="00FA74F0" w:rsidRPr="00F81FA6" w:rsidRDefault="00ED1DC2" w:rsidP="007B6F62">
      <w:pPr>
        <w:pStyle w:val="CourtNumberedpara"/>
        <w:spacing w:line="276" w:lineRule="auto"/>
        <w:jc w:val="both"/>
        <w:rPr>
          <w:rFonts w:ascii="Arial" w:hAnsi="Arial" w:cs="Arial"/>
          <w:sz w:val="22"/>
        </w:rPr>
      </w:pPr>
      <w:r>
        <w:rPr>
          <w:rFonts w:ascii="Arial" w:eastAsia="Calibri" w:hAnsi="Arial" w:cs="Arial"/>
          <w:sz w:val="22"/>
        </w:rPr>
        <w:t xml:space="preserve">In fact, the main reason why proposals to explicitly recognize the right to life as being guaranteed from the moment of conception were rejected was not due to a denial of </w:t>
      </w:r>
      <w:r>
        <w:rPr>
          <w:rFonts w:ascii="Arial" w:eastAsia="Calibri" w:hAnsi="Arial" w:cs="Arial"/>
          <w:sz w:val="22"/>
        </w:rPr>
        <w:lastRenderedPageBreak/>
        <w:t>the personhood and rights of unborn children. Rather, at the time the article was being drafted, determining the moment of conception of any given human individual was considered too difficult to achieve with requisite precision, and would place too high a burden on States with regard to their obligations under the ICCPR.</w:t>
      </w:r>
      <w:r w:rsidR="005254DB">
        <w:rPr>
          <w:rStyle w:val="FootnoteReference"/>
          <w:rFonts w:ascii="Arial" w:eastAsia="Calibri" w:hAnsi="Arial" w:cs="Arial"/>
          <w:sz w:val="22"/>
        </w:rPr>
        <w:footnoteReference w:id="6"/>
      </w:r>
      <w:r w:rsidR="00634892">
        <w:rPr>
          <w:rFonts w:ascii="Arial" w:eastAsia="Calibri" w:hAnsi="Arial" w:cs="Arial"/>
          <w:sz w:val="22"/>
        </w:rPr>
        <w:t xml:space="preserve"> </w:t>
      </w:r>
    </w:p>
    <w:p w14:paraId="0A07D73A" w14:textId="77777777" w:rsidR="00F81FA6" w:rsidRPr="00F81FA6" w:rsidRDefault="00F81FA6" w:rsidP="00117F39">
      <w:pPr>
        <w:pStyle w:val="CourtNumberedpara"/>
        <w:spacing w:before="0" w:line="276" w:lineRule="auto"/>
        <w:jc w:val="both"/>
        <w:rPr>
          <w:rFonts w:ascii="Arial" w:hAnsi="Arial" w:cs="Arial"/>
          <w:sz w:val="22"/>
        </w:rPr>
      </w:pPr>
      <w:r w:rsidRPr="00F81FA6">
        <w:rPr>
          <w:rFonts w:ascii="Arial" w:hAnsi="Arial" w:cs="Arial"/>
          <w:sz w:val="22"/>
        </w:rPr>
        <w:t>An earlier version of the draft general comment contained</w:t>
      </w:r>
      <w:r w:rsidR="009230E2">
        <w:rPr>
          <w:rFonts w:ascii="Arial" w:hAnsi="Arial" w:cs="Arial"/>
          <w:sz w:val="22"/>
        </w:rPr>
        <w:t xml:space="preserve"> this rationale</w:t>
      </w:r>
      <w:r w:rsidRPr="00F81FA6">
        <w:rPr>
          <w:rFonts w:ascii="Arial" w:hAnsi="Arial" w:cs="Arial"/>
          <w:sz w:val="22"/>
        </w:rPr>
        <w:t xml:space="preserve"> in what</w:t>
      </w:r>
      <w:r w:rsidR="009230E2">
        <w:rPr>
          <w:rFonts w:ascii="Arial" w:hAnsi="Arial" w:cs="Arial"/>
          <w:sz w:val="22"/>
        </w:rPr>
        <w:t xml:space="preserve"> is</w:t>
      </w:r>
      <w:r w:rsidRPr="00F81FA6">
        <w:rPr>
          <w:rFonts w:ascii="Arial" w:hAnsi="Arial" w:cs="Arial"/>
          <w:sz w:val="22"/>
        </w:rPr>
        <w:t xml:space="preserve"> now paragraph 52 of its latest version. Consistent with the </w:t>
      </w:r>
      <w:r w:rsidRPr="00F81FA6">
        <w:rPr>
          <w:rFonts w:ascii="Arial" w:hAnsi="Arial" w:cs="Arial"/>
          <w:i/>
          <w:sz w:val="22"/>
        </w:rPr>
        <w:t xml:space="preserve">travaux préparatoires </w:t>
      </w:r>
      <w:r w:rsidRPr="00F81FA6">
        <w:rPr>
          <w:rFonts w:ascii="Arial" w:hAnsi="Arial" w:cs="Arial"/>
          <w:sz w:val="22"/>
        </w:rPr>
        <w:t>and the logical implications of Article 6(5), it previously read</w:t>
      </w:r>
      <w:r>
        <w:rPr>
          <w:rFonts w:ascii="Arial" w:hAnsi="Arial" w:cs="Arial"/>
          <w:sz w:val="22"/>
        </w:rPr>
        <w:t xml:space="preserve">: </w:t>
      </w:r>
      <w:r w:rsidRPr="00F81FA6">
        <w:rPr>
          <w:rFonts w:ascii="Arial" w:hAnsi="Arial" w:cs="Arial"/>
          <w:sz w:val="22"/>
        </w:rPr>
        <w:t>“</w:t>
      </w:r>
      <w:r w:rsidRPr="00F81FA6">
        <w:rPr>
          <w:rFonts w:ascii="Arial" w:eastAsia="Calibri" w:hAnsi="Arial" w:cs="Arial"/>
          <w:sz w:val="22"/>
        </w:rPr>
        <w:t xml:space="preserve">The special protection afforded to pregnant women stems from an interest in protecting the rights and interests of affected family members, </w:t>
      </w:r>
      <w:r w:rsidRPr="00F81FA6">
        <w:rPr>
          <w:rFonts w:ascii="Arial" w:eastAsia="Calibri" w:hAnsi="Arial" w:cs="Arial"/>
          <w:b/>
          <w:sz w:val="22"/>
        </w:rPr>
        <w:t>including the unborn fetus</w:t>
      </w:r>
      <w:r>
        <w:rPr>
          <w:rFonts w:ascii="Arial" w:eastAsia="Calibri" w:hAnsi="Arial" w:cs="Arial"/>
          <w:sz w:val="22"/>
        </w:rPr>
        <w:t xml:space="preserve"> and the fetus’s father.”</w:t>
      </w:r>
      <w:r w:rsidR="00E91EB3">
        <w:rPr>
          <w:rStyle w:val="FootnoteReference"/>
          <w:rFonts w:ascii="Arial" w:eastAsia="Calibri" w:hAnsi="Arial" w:cs="Arial"/>
          <w:sz w:val="22"/>
        </w:rPr>
        <w:footnoteReference w:id="7"/>
      </w:r>
    </w:p>
    <w:p w14:paraId="69D883D1" w14:textId="77777777" w:rsidR="00F81FA6" w:rsidRPr="00F81FA6" w:rsidRDefault="00BE172E" w:rsidP="00117F39">
      <w:pPr>
        <w:pStyle w:val="CourtNumberedpara"/>
        <w:spacing w:before="0" w:line="276" w:lineRule="auto"/>
        <w:jc w:val="both"/>
        <w:rPr>
          <w:rFonts w:ascii="Arial" w:hAnsi="Arial" w:cs="Arial"/>
          <w:sz w:val="22"/>
        </w:rPr>
      </w:pPr>
      <w:r>
        <w:rPr>
          <w:rFonts w:ascii="Arial" w:eastAsia="Calibri" w:hAnsi="Arial" w:cs="Arial"/>
          <w:sz w:val="22"/>
        </w:rPr>
        <w:t>This previous version of the paragraph demonstrates a</w:t>
      </w:r>
      <w:r w:rsidR="00F81FA6">
        <w:rPr>
          <w:rFonts w:ascii="Arial" w:eastAsia="Calibri" w:hAnsi="Arial" w:cs="Arial"/>
          <w:sz w:val="22"/>
        </w:rPr>
        <w:t xml:space="preserve"> clear recognition of the well-established principle of</w:t>
      </w:r>
      <w:r w:rsidR="006A3930">
        <w:rPr>
          <w:rFonts w:ascii="Arial" w:eastAsia="Calibri" w:hAnsi="Arial" w:cs="Arial"/>
          <w:sz w:val="22"/>
        </w:rPr>
        <w:t xml:space="preserve"> international human rights law on </w:t>
      </w:r>
      <w:r>
        <w:rPr>
          <w:rFonts w:ascii="Arial" w:eastAsia="Calibri" w:hAnsi="Arial" w:cs="Arial"/>
          <w:sz w:val="22"/>
        </w:rPr>
        <w:t>the right to life of the unborn. However, the Committee realized that such a recognition c</w:t>
      </w:r>
      <w:r w:rsidR="006A3930">
        <w:rPr>
          <w:rFonts w:ascii="Arial" w:eastAsia="Calibri" w:hAnsi="Arial" w:cs="Arial"/>
          <w:sz w:val="22"/>
        </w:rPr>
        <w:t xml:space="preserve">onflicted with </w:t>
      </w:r>
      <w:r>
        <w:rPr>
          <w:rFonts w:ascii="Arial" w:eastAsia="Calibri" w:hAnsi="Arial" w:cs="Arial"/>
          <w:sz w:val="22"/>
        </w:rPr>
        <w:t>its</w:t>
      </w:r>
      <w:r w:rsidR="006A3930">
        <w:rPr>
          <w:rFonts w:ascii="Arial" w:eastAsia="Calibri" w:hAnsi="Arial" w:cs="Arial"/>
          <w:sz w:val="22"/>
        </w:rPr>
        <w:t xml:space="preserve"> invented “right to abortion” set out in</w:t>
      </w:r>
      <w:r w:rsidR="003D106B">
        <w:rPr>
          <w:rFonts w:ascii="Arial" w:eastAsia="Calibri" w:hAnsi="Arial" w:cs="Arial"/>
          <w:sz w:val="22"/>
        </w:rPr>
        <w:t xml:space="preserve"> its former</w:t>
      </w:r>
      <w:r w:rsidR="006A3930">
        <w:rPr>
          <w:rFonts w:ascii="Arial" w:eastAsia="Calibri" w:hAnsi="Arial" w:cs="Arial"/>
          <w:sz w:val="22"/>
        </w:rPr>
        <w:t xml:space="preserve"> paragraph 7 </w:t>
      </w:r>
      <w:r w:rsidR="003D106B">
        <w:rPr>
          <w:rFonts w:ascii="Arial" w:eastAsia="Calibri" w:hAnsi="Arial" w:cs="Arial"/>
          <w:sz w:val="22"/>
        </w:rPr>
        <w:t xml:space="preserve">(now paragraph 9) </w:t>
      </w:r>
      <w:r w:rsidR="006A3930">
        <w:rPr>
          <w:rFonts w:ascii="Arial" w:eastAsia="Calibri" w:hAnsi="Arial" w:cs="Arial"/>
          <w:sz w:val="22"/>
        </w:rPr>
        <w:t>of the draft general comment. Rather than remove the formulation of this so-called “right” in order to make the general comment consistent with the aforementioned well-established principle, however, the Committee decided instead to remove the reference in para</w:t>
      </w:r>
      <w:r w:rsidR="00E91EB3">
        <w:rPr>
          <w:rFonts w:ascii="Arial" w:eastAsia="Calibri" w:hAnsi="Arial" w:cs="Arial"/>
          <w:sz w:val="22"/>
        </w:rPr>
        <w:t xml:space="preserve">graph 52 to the rights of </w:t>
      </w:r>
      <w:r w:rsidR="006A3930">
        <w:rPr>
          <w:rFonts w:ascii="Arial" w:eastAsia="Calibri" w:hAnsi="Arial" w:cs="Arial"/>
          <w:sz w:val="22"/>
        </w:rPr>
        <w:t>the unborn child, in flagrant disregard of a proper and correct understanding of the Covenant.</w:t>
      </w:r>
    </w:p>
    <w:p w14:paraId="3245C829" w14:textId="77777777" w:rsidR="000358CB" w:rsidRPr="00F81FA6" w:rsidRDefault="005E5CB0" w:rsidP="00E91F71">
      <w:pPr>
        <w:pStyle w:val="CourtNumberedpara"/>
        <w:numPr>
          <w:ilvl w:val="1"/>
          <w:numId w:val="6"/>
        </w:numPr>
        <w:ind w:right="1107"/>
        <w:jc w:val="both"/>
        <w:rPr>
          <w:rFonts w:ascii="Arial" w:hAnsi="Arial" w:cs="Arial"/>
          <w:b/>
          <w:sz w:val="22"/>
        </w:rPr>
      </w:pPr>
      <w:r w:rsidRPr="00F81FA6">
        <w:rPr>
          <w:rFonts w:ascii="Arial" w:hAnsi="Arial" w:cs="Arial"/>
          <w:b/>
          <w:sz w:val="22"/>
        </w:rPr>
        <w:t xml:space="preserve">Recognition of the Unborn in </w:t>
      </w:r>
      <w:r w:rsidR="000358CB" w:rsidRPr="00F81FA6">
        <w:rPr>
          <w:rFonts w:ascii="Arial" w:hAnsi="Arial" w:cs="Arial"/>
          <w:b/>
          <w:sz w:val="22"/>
        </w:rPr>
        <w:t xml:space="preserve">International Instruments </w:t>
      </w:r>
    </w:p>
    <w:p w14:paraId="3A1CA190" w14:textId="77777777" w:rsidR="007630E7" w:rsidRPr="00BE2697" w:rsidRDefault="001A2AAD" w:rsidP="00D12C05">
      <w:pPr>
        <w:pStyle w:val="Subheading"/>
        <w:spacing w:line="276" w:lineRule="auto"/>
        <w:ind w:firstLine="432"/>
        <w:jc w:val="both"/>
        <w:rPr>
          <w:rStyle w:val="A7"/>
          <w:rFonts w:ascii="Arial" w:hAnsi="Arial" w:cs="Arial"/>
          <w:color w:val="auto"/>
        </w:rPr>
      </w:pPr>
      <w:r w:rsidRPr="00BE2697">
        <w:rPr>
          <w:rStyle w:val="A7"/>
          <w:rFonts w:ascii="Arial" w:hAnsi="Arial" w:cs="Arial"/>
          <w:color w:val="auto"/>
        </w:rPr>
        <w:t>I</w:t>
      </w:r>
      <w:r w:rsidR="007630E7" w:rsidRPr="00BE2697">
        <w:rPr>
          <w:rStyle w:val="A7"/>
          <w:rFonts w:ascii="Arial" w:hAnsi="Arial" w:cs="Arial"/>
          <w:color w:val="auto"/>
        </w:rPr>
        <w:t>nternational human rights instruments</w:t>
      </w:r>
    </w:p>
    <w:p w14:paraId="776EF4E4" w14:textId="77777777" w:rsidR="007630E7" w:rsidRPr="00BE2697" w:rsidRDefault="007630E7" w:rsidP="007B6F62">
      <w:pPr>
        <w:pStyle w:val="CourtNumberedpara"/>
        <w:spacing w:line="276" w:lineRule="auto"/>
        <w:jc w:val="both"/>
        <w:rPr>
          <w:rFonts w:ascii="Arial" w:hAnsi="Arial" w:cs="Arial"/>
          <w:sz w:val="22"/>
        </w:rPr>
      </w:pPr>
      <w:r w:rsidRPr="00BE2697">
        <w:rPr>
          <w:rStyle w:val="A7"/>
          <w:rFonts w:ascii="Arial" w:hAnsi="Arial" w:cs="Arial"/>
          <w:color w:val="auto"/>
        </w:rPr>
        <w:t xml:space="preserve">The clear reference to the unborn child in the ICCPR is buttressed by several other references to the unborn in international documents. For example, the Geneva Convention relative to the Protection of Civilian Persons in Time of War states that “the wounded and sick, as well as the infirm, and </w:t>
      </w:r>
      <w:r w:rsidRPr="00BE2697">
        <w:rPr>
          <w:rStyle w:val="A7"/>
          <w:rFonts w:ascii="Arial" w:hAnsi="Arial" w:cs="Arial"/>
          <w:i/>
          <w:color w:val="auto"/>
        </w:rPr>
        <w:t>expectant mothers</w:t>
      </w:r>
      <w:r w:rsidRPr="00BE2697">
        <w:rPr>
          <w:rStyle w:val="A7"/>
          <w:rFonts w:ascii="Arial" w:hAnsi="Arial" w:cs="Arial"/>
          <w:color w:val="auto"/>
        </w:rPr>
        <w:t>, shall be the object of particular protection and respect.”</w:t>
      </w:r>
      <w:r w:rsidRPr="00BE2697">
        <w:rPr>
          <w:rStyle w:val="FootnoteReference"/>
          <w:rFonts w:ascii="Arial" w:hAnsi="Arial" w:cs="Arial"/>
          <w:sz w:val="22"/>
        </w:rPr>
        <w:footnoteReference w:id="8"/>
      </w:r>
      <w:r w:rsidRPr="00BE2697">
        <w:rPr>
          <w:rStyle w:val="A7"/>
          <w:rFonts w:ascii="Arial" w:hAnsi="Arial" w:cs="Arial"/>
          <w:color w:val="auto"/>
        </w:rPr>
        <w:t xml:space="preserve"> </w:t>
      </w:r>
      <w:r w:rsidRPr="00BE2697">
        <w:rPr>
          <w:rFonts w:ascii="Arial" w:hAnsi="Arial" w:cs="Arial"/>
          <w:sz w:val="22"/>
        </w:rPr>
        <w:t xml:space="preserve">Similarly, the Convention on the Prevention and Punishment of the Crime of Genocide defines genocide to include “imposing measures intended to </w:t>
      </w:r>
      <w:r w:rsidRPr="00BE2697">
        <w:rPr>
          <w:rFonts w:ascii="Arial" w:hAnsi="Arial" w:cs="Arial"/>
          <w:i/>
          <w:sz w:val="22"/>
        </w:rPr>
        <w:t>prevent births</w:t>
      </w:r>
      <w:r w:rsidRPr="00BE2697">
        <w:rPr>
          <w:rFonts w:ascii="Arial" w:hAnsi="Arial" w:cs="Arial"/>
          <w:sz w:val="22"/>
        </w:rPr>
        <w:t xml:space="preserve"> within the group.”</w:t>
      </w:r>
      <w:r w:rsidRPr="00BE2697">
        <w:rPr>
          <w:rStyle w:val="FootnoteReference"/>
          <w:rFonts w:ascii="Arial" w:hAnsi="Arial" w:cs="Arial"/>
          <w:sz w:val="22"/>
        </w:rPr>
        <w:footnoteReference w:id="9"/>
      </w:r>
    </w:p>
    <w:p w14:paraId="76B5B806" w14:textId="77777777" w:rsidR="007630E7" w:rsidRPr="00BE2697" w:rsidRDefault="007630E7" w:rsidP="007B6F62">
      <w:pPr>
        <w:pStyle w:val="CourtNumberedpara"/>
        <w:spacing w:line="276" w:lineRule="auto"/>
        <w:jc w:val="both"/>
        <w:rPr>
          <w:rStyle w:val="A7"/>
          <w:rFonts w:ascii="Arial" w:hAnsi="Arial" w:cs="Arial"/>
          <w:color w:val="auto"/>
        </w:rPr>
      </w:pPr>
      <w:r w:rsidRPr="00BE2697">
        <w:rPr>
          <w:rStyle w:val="A7"/>
          <w:rFonts w:ascii="Arial" w:hAnsi="Arial" w:cs="Arial"/>
          <w:color w:val="auto"/>
        </w:rPr>
        <w:t xml:space="preserve">The protection of unborn life is also found through an ordinary reading of the language in the preamble of the </w:t>
      </w:r>
      <w:r w:rsidRPr="00BE2697">
        <w:rPr>
          <w:rFonts w:ascii="Arial" w:hAnsi="Arial" w:cs="Arial"/>
          <w:sz w:val="22"/>
        </w:rPr>
        <w:t>Convention on the Rights of the Child</w:t>
      </w:r>
      <w:r w:rsidRPr="00BE2697">
        <w:rPr>
          <w:rStyle w:val="A7"/>
          <w:rFonts w:ascii="Arial" w:hAnsi="Arial" w:cs="Arial"/>
          <w:color w:val="auto"/>
        </w:rPr>
        <w:t xml:space="preserve"> (CRC). According to the Vienna Convention, the preamble of a treaty provides necessary interpretive context.</w:t>
      </w:r>
      <w:r w:rsidRPr="00BE2697">
        <w:rPr>
          <w:rStyle w:val="FootnoteReference"/>
          <w:rFonts w:ascii="Arial" w:hAnsi="Arial" w:cs="Arial"/>
          <w:sz w:val="22"/>
        </w:rPr>
        <w:footnoteReference w:id="10"/>
      </w:r>
      <w:r w:rsidRPr="00BE2697">
        <w:rPr>
          <w:rStyle w:val="A7"/>
          <w:rFonts w:ascii="Arial" w:hAnsi="Arial" w:cs="Arial"/>
          <w:color w:val="auto"/>
        </w:rPr>
        <w:t xml:space="preserve"> It is therefore striking that the </w:t>
      </w:r>
      <w:r w:rsidRPr="00BE2697">
        <w:rPr>
          <w:rFonts w:ascii="Arial" w:hAnsi="Arial" w:cs="Arial"/>
          <w:sz w:val="22"/>
        </w:rPr>
        <w:t>CRC</w:t>
      </w:r>
      <w:r w:rsidRPr="00BE2697">
        <w:rPr>
          <w:rStyle w:val="A7"/>
          <w:rFonts w:ascii="Arial" w:hAnsi="Arial" w:cs="Arial"/>
          <w:color w:val="auto"/>
        </w:rPr>
        <w:t xml:space="preserve"> explicitly recognizes the child </w:t>
      </w:r>
      <w:r w:rsidRPr="00BE2697">
        <w:rPr>
          <w:rStyle w:val="A7"/>
          <w:rFonts w:ascii="Arial" w:hAnsi="Arial" w:cs="Arial"/>
          <w:i/>
          <w:color w:val="auto"/>
        </w:rPr>
        <w:t>before birth</w:t>
      </w:r>
      <w:r w:rsidRPr="00BE2697">
        <w:rPr>
          <w:rStyle w:val="A7"/>
          <w:rFonts w:ascii="Arial" w:hAnsi="Arial" w:cs="Arial"/>
          <w:color w:val="auto"/>
        </w:rPr>
        <w:t xml:space="preserve"> as a rights-bearing person entitled to special need and protection. The preamble states, “</w:t>
      </w:r>
      <w:r w:rsidRPr="00BE2697">
        <w:rPr>
          <w:rFonts w:ascii="Arial" w:hAnsi="Arial" w:cs="Arial"/>
          <w:sz w:val="22"/>
        </w:rPr>
        <w:t>[T]</w:t>
      </w:r>
      <w:r w:rsidRPr="00BE2697">
        <w:rPr>
          <w:rStyle w:val="A7"/>
          <w:rFonts w:ascii="Arial" w:hAnsi="Arial" w:cs="Arial"/>
          <w:color w:val="auto"/>
        </w:rPr>
        <w:t xml:space="preserve">he child, by reason of his physical and mental immaturity, needs special safeguards and care, including appropriate legal protection, </w:t>
      </w:r>
      <w:r w:rsidRPr="00BE2697">
        <w:rPr>
          <w:rStyle w:val="A7"/>
          <w:rFonts w:ascii="Arial" w:hAnsi="Arial" w:cs="Arial"/>
          <w:i/>
          <w:color w:val="auto"/>
        </w:rPr>
        <w:t xml:space="preserve">before as well as after </w:t>
      </w:r>
      <w:r w:rsidRPr="00BE2697">
        <w:rPr>
          <w:rStyle w:val="A7"/>
          <w:rFonts w:ascii="Arial" w:hAnsi="Arial" w:cs="Arial"/>
          <w:i/>
          <w:color w:val="auto"/>
        </w:rPr>
        <w:lastRenderedPageBreak/>
        <w:t>birth</w:t>
      </w:r>
      <w:r w:rsidRPr="00BE2697">
        <w:rPr>
          <w:rFonts w:ascii="Arial" w:hAnsi="Arial" w:cs="Arial"/>
          <w:sz w:val="22"/>
        </w:rPr>
        <w:t>.”</w:t>
      </w:r>
      <w:r w:rsidRPr="00BE2697">
        <w:rPr>
          <w:rStyle w:val="FootnoteReference"/>
          <w:rFonts w:ascii="Arial" w:hAnsi="Arial" w:cs="Arial"/>
          <w:sz w:val="22"/>
        </w:rPr>
        <w:footnoteReference w:id="11"/>
      </w:r>
      <w:r w:rsidRPr="00BE2697">
        <w:rPr>
          <w:rStyle w:val="A7"/>
          <w:rFonts w:ascii="Arial" w:hAnsi="Arial" w:cs="Arial"/>
          <w:color w:val="auto"/>
          <w:vertAlign w:val="superscript"/>
        </w:rPr>
        <w:t xml:space="preserve"> </w:t>
      </w:r>
      <w:r w:rsidRPr="00BE2697">
        <w:rPr>
          <w:rStyle w:val="A7"/>
          <w:rFonts w:ascii="Arial" w:hAnsi="Arial" w:cs="Arial"/>
          <w:color w:val="auto"/>
        </w:rPr>
        <w:t>This clear reference to the unborn child was includ</w:t>
      </w:r>
      <w:r w:rsidR="00EC436B" w:rsidRPr="00BE2697">
        <w:rPr>
          <w:rStyle w:val="A7"/>
          <w:rFonts w:ascii="Arial" w:hAnsi="Arial" w:cs="Arial"/>
          <w:color w:val="auto"/>
        </w:rPr>
        <w:t>ed</w:t>
      </w:r>
      <w:r w:rsidRPr="00BE2697">
        <w:rPr>
          <w:rStyle w:val="A7"/>
          <w:rFonts w:ascii="Arial" w:hAnsi="Arial" w:cs="Arial"/>
          <w:color w:val="auto"/>
        </w:rPr>
        <w:t xml:space="preserve"> directly from the Declaration of the Rights of the Child</w:t>
      </w:r>
      <w:r w:rsidR="00D20658" w:rsidRPr="00BE2697">
        <w:rPr>
          <w:rStyle w:val="A7"/>
          <w:rFonts w:ascii="Arial" w:hAnsi="Arial" w:cs="Arial"/>
          <w:color w:val="auto"/>
        </w:rPr>
        <w:t xml:space="preserve">. </w:t>
      </w:r>
      <w:r w:rsidRPr="00BE2697">
        <w:rPr>
          <w:rStyle w:val="A7"/>
          <w:rFonts w:ascii="Arial" w:hAnsi="Arial" w:cs="Arial"/>
          <w:color w:val="auto"/>
        </w:rPr>
        <w:t>The Declaration was adopted unanimously by the then-78 Member States of the UN General Assembly in Resolution 1386 (XIV), 20</w:t>
      </w:r>
      <w:r w:rsidR="003D106B" w:rsidRPr="003D106B">
        <w:rPr>
          <w:rStyle w:val="A7"/>
          <w:rFonts w:ascii="Arial" w:hAnsi="Arial" w:cs="Arial"/>
          <w:color w:val="auto"/>
          <w:vertAlign w:val="superscript"/>
        </w:rPr>
        <w:t>th</w:t>
      </w:r>
      <w:r w:rsidR="003D106B">
        <w:rPr>
          <w:rStyle w:val="A7"/>
          <w:rFonts w:ascii="Arial" w:hAnsi="Arial" w:cs="Arial"/>
          <w:color w:val="auto"/>
        </w:rPr>
        <w:t xml:space="preserve"> </w:t>
      </w:r>
      <w:r w:rsidRPr="00BE2697">
        <w:rPr>
          <w:rStyle w:val="A7"/>
          <w:rFonts w:ascii="Arial" w:hAnsi="Arial" w:cs="Arial"/>
          <w:color w:val="auto"/>
        </w:rPr>
        <w:t>November 1959.</w:t>
      </w:r>
    </w:p>
    <w:p w14:paraId="3461BF48" w14:textId="50A50CF2" w:rsidR="007630E7" w:rsidRPr="00BE2697" w:rsidRDefault="007630E7" w:rsidP="007B6F62">
      <w:pPr>
        <w:pStyle w:val="CourtNumberedpara"/>
        <w:spacing w:line="276" w:lineRule="auto"/>
        <w:jc w:val="both"/>
        <w:rPr>
          <w:rFonts w:ascii="Arial" w:hAnsi="Arial" w:cs="Arial"/>
          <w:sz w:val="22"/>
        </w:rPr>
      </w:pPr>
      <w:r w:rsidRPr="00BE2697">
        <w:rPr>
          <w:rStyle w:val="A7"/>
          <w:rFonts w:ascii="Arial" w:hAnsi="Arial" w:cs="Arial"/>
          <w:color w:val="auto"/>
        </w:rPr>
        <w:t>Article 1 of the CRC defines a child as “every human being below the age of eighteen years.” This provides a</w:t>
      </w:r>
      <w:r w:rsidR="00EC436B" w:rsidRPr="00BE2697">
        <w:rPr>
          <w:rStyle w:val="A7"/>
          <w:rFonts w:ascii="Arial" w:hAnsi="Arial" w:cs="Arial"/>
          <w:color w:val="auto"/>
        </w:rPr>
        <w:t>n</w:t>
      </w:r>
      <w:r w:rsidRPr="00BE2697">
        <w:rPr>
          <w:rStyle w:val="A7"/>
          <w:rFonts w:ascii="Arial" w:hAnsi="Arial" w:cs="Arial"/>
          <w:color w:val="auto"/>
        </w:rPr>
        <w:t xml:space="preserve"> upper limit as to who is a child, but does not provide a lower limit on wh</w:t>
      </w:r>
      <w:r w:rsidR="00D20658" w:rsidRPr="00BE2697">
        <w:rPr>
          <w:rStyle w:val="A7"/>
          <w:rFonts w:ascii="Arial" w:hAnsi="Arial" w:cs="Arial"/>
          <w:color w:val="auto"/>
        </w:rPr>
        <w:t>en</w:t>
      </w:r>
      <w:r w:rsidRPr="00BE2697">
        <w:rPr>
          <w:rStyle w:val="A7"/>
          <w:rFonts w:ascii="Arial" w:hAnsi="Arial" w:cs="Arial"/>
          <w:color w:val="auto"/>
        </w:rPr>
        <w:t xml:space="preserve"> the status of “child” attaches. Moreover, </w:t>
      </w:r>
      <w:r w:rsidRPr="00BE2697">
        <w:rPr>
          <w:rFonts w:ascii="Arial" w:hAnsi="Arial" w:cs="Arial"/>
          <w:sz w:val="22"/>
        </w:rPr>
        <w:t>Article 6</w:t>
      </w:r>
      <w:r w:rsidR="00262D8A" w:rsidRPr="00BE2697">
        <w:rPr>
          <w:rFonts w:ascii="Arial" w:hAnsi="Arial" w:cs="Arial"/>
          <w:sz w:val="22"/>
        </w:rPr>
        <w:t xml:space="preserve"> of the CRC</w:t>
      </w:r>
      <w:r w:rsidRPr="00BE2697">
        <w:rPr>
          <w:rFonts w:ascii="Arial" w:hAnsi="Arial" w:cs="Arial"/>
          <w:sz w:val="22"/>
        </w:rPr>
        <w:t xml:space="preserve"> </w:t>
      </w:r>
      <w:r w:rsidRPr="00BE2697">
        <w:rPr>
          <w:rStyle w:val="A7"/>
          <w:rFonts w:ascii="Arial" w:hAnsi="Arial" w:cs="Arial"/>
          <w:color w:val="auto"/>
        </w:rPr>
        <w:t xml:space="preserve">holds, </w:t>
      </w:r>
      <w:r w:rsidRPr="00BE2697">
        <w:rPr>
          <w:rFonts w:ascii="Arial" w:hAnsi="Arial" w:cs="Arial"/>
          <w:sz w:val="22"/>
        </w:rPr>
        <w:t xml:space="preserve">“States Parties recognize that every child has the inherent right to life. States Parties shall ensure to the maximum extent possible the survival and development of the child.” Viewed in the context of the preamble, both Articles 1 and 6 of the CRC indicate recognition and protection </w:t>
      </w:r>
      <w:r w:rsidR="00E2396F">
        <w:rPr>
          <w:rFonts w:ascii="Arial" w:hAnsi="Arial" w:cs="Arial"/>
          <w:sz w:val="22"/>
        </w:rPr>
        <w:t>of</w:t>
      </w:r>
      <w:r w:rsidRPr="00BE2697">
        <w:rPr>
          <w:rFonts w:ascii="Arial" w:hAnsi="Arial" w:cs="Arial"/>
          <w:sz w:val="22"/>
        </w:rPr>
        <w:t xml:space="preserve"> unborn life. </w:t>
      </w:r>
    </w:p>
    <w:p w14:paraId="24F405CC" w14:textId="77777777" w:rsidR="007630E7" w:rsidRPr="00BE2697" w:rsidRDefault="007630E7" w:rsidP="00D12C05">
      <w:pPr>
        <w:pStyle w:val="Subheading"/>
        <w:spacing w:line="276" w:lineRule="auto"/>
        <w:ind w:firstLine="432"/>
        <w:jc w:val="both"/>
        <w:rPr>
          <w:rFonts w:ascii="Arial" w:hAnsi="Arial" w:cs="Arial"/>
          <w:sz w:val="22"/>
          <w:lang w:val="en-GB"/>
        </w:rPr>
      </w:pPr>
      <w:r w:rsidRPr="00BE2697">
        <w:rPr>
          <w:rFonts w:ascii="Arial" w:hAnsi="Arial" w:cs="Arial"/>
          <w:sz w:val="22"/>
          <w:lang w:val="en-GB"/>
        </w:rPr>
        <w:t>European Convention on Human Rights</w:t>
      </w:r>
    </w:p>
    <w:p w14:paraId="408F3861" w14:textId="66EE734F" w:rsidR="007630E7" w:rsidRPr="00BE2697" w:rsidRDefault="007630E7" w:rsidP="007B6F62">
      <w:pPr>
        <w:pStyle w:val="CourtNumberedpara"/>
        <w:spacing w:line="276" w:lineRule="auto"/>
        <w:jc w:val="both"/>
        <w:rPr>
          <w:rFonts w:ascii="Arial" w:hAnsi="Arial" w:cs="Arial"/>
          <w:sz w:val="22"/>
        </w:rPr>
      </w:pPr>
      <w:r w:rsidRPr="00BE2697">
        <w:rPr>
          <w:rFonts w:ascii="Arial" w:hAnsi="Arial" w:cs="Arial"/>
          <w:sz w:val="22"/>
        </w:rPr>
        <w:t>Article 2</w:t>
      </w:r>
      <w:r w:rsidR="000C2AD1" w:rsidRPr="00BE2697">
        <w:rPr>
          <w:rFonts w:ascii="Arial" w:hAnsi="Arial" w:cs="Arial"/>
          <w:sz w:val="22"/>
        </w:rPr>
        <w:t>(</w:t>
      </w:r>
      <w:r w:rsidRPr="00BE2697">
        <w:rPr>
          <w:rFonts w:ascii="Arial" w:hAnsi="Arial" w:cs="Arial"/>
          <w:sz w:val="22"/>
        </w:rPr>
        <w:t>1</w:t>
      </w:r>
      <w:r w:rsidR="000C2AD1" w:rsidRPr="00BE2697">
        <w:rPr>
          <w:rFonts w:ascii="Arial" w:hAnsi="Arial" w:cs="Arial"/>
          <w:sz w:val="22"/>
        </w:rPr>
        <w:t>)</w:t>
      </w:r>
      <w:r w:rsidRPr="00BE2697">
        <w:rPr>
          <w:rFonts w:ascii="Arial" w:hAnsi="Arial" w:cs="Arial"/>
          <w:sz w:val="22"/>
        </w:rPr>
        <w:t xml:space="preserve"> of the European Convention on Human Rights (ECHR) states</w:t>
      </w:r>
      <w:r w:rsidR="00E2396F">
        <w:rPr>
          <w:rFonts w:ascii="Arial" w:hAnsi="Arial" w:cs="Arial"/>
          <w:sz w:val="22"/>
        </w:rPr>
        <w:t>:</w:t>
      </w:r>
      <w:r w:rsidRPr="00BE2697">
        <w:rPr>
          <w:rFonts w:ascii="Arial" w:hAnsi="Arial" w:cs="Arial"/>
          <w:sz w:val="22"/>
        </w:rPr>
        <w:t xml:space="preserve"> “Everyone’s right to life shall be protected by law.”</w:t>
      </w:r>
    </w:p>
    <w:p w14:paraId="5172AFD6" w14:textId="77777777" w:rsidR="007630E7" w:rsidRPr="00BE2697" w:rsidRDefault="007630E7" w:rsidP="007B6F62">
      <w:pPr>
        <w:pStyle w:val="CourtNumberedpara"/>
        <w:spacing w:line="276" w:lineRule="auto"/>
        <w:jc w:val="both"/>
        <w:rPr>
          <w:rFonts w:ascii="Arial" w:hAnsi="Arial" w:cs="Arial"/>
          <w:sz w:val="22"/>
        </w:rPr>
      </w:pPr>
      <w:r w:rsidRPr="00BE2697">
        <w:rPr>
          <w:rFonts w:ascii="Arial" w:hAnsi="Arial" w:cs="Arial"/>
          <w:sz w:val="22"/>
        </w:rPr>
        <w:t xml:space="preserve">The </w:t>
      </w:r>
      <w:r w:rsidR="005B295C" w:rsidRPr="00BE2697">
        <w:rPr>
          <w:rFonts w:ascii="Arial" w:hAnsi="Arial" w:cs="Arial"/>
          <w:sz w:val="22"/>
        </w:rPr>
        <w:t xml:space="preserve">European Court of Human Rights’ (ECtHR) </w:t>
      </w:r>
      <w:r w:rsidRPr="00BE2697">
        <w:rPr>
          <w:rFonts w:ascii="Arial" w:hAnsi="Arial" w:cs="Arial"/>
          <w:sz w:val="22"/>
        </w:rPr>
        <w:t xml:space="preserve">most stringent treatment of what protections should be afforded to the unborn child </w:t>
      </w:r>
      <w:r w:rsidR="005B295C" w:rsidRPr="00BE2697">
        <w:rPr>
          <w:rFonts w:ascii="Arial" w:hAnsi="Arial" w:cs="Arial"/>
          <w:sz w:val="22"/>
        </w:rPr>
        <w:t xml:space="preserve">under the ECHR </w:t>
      </w:r>
      <w:r w:rsidRPr="00BE2697">
        <w:rPr>
          <w:rFonts w:ascii="Arial" w:hAnsi="Arial" w:cs="Arial"/>
          <w:sz w:val="22"/>
        </w:rPr>
        <w:t xml:space="preserve">can be found in the </w:t>
      </w:r>
      <w:r w:rsidR="009C1700">
        <w:rPr>
          <w:rFonts w:ascii="Arial" w:hAnsi="Arial" w:cs="Arial"/>
          <w:sz w:val="22"/>
        </w:rPr>
        <w:t>c</w:t>
      </w:r>
      <w:r w:rsidRPr="009C1700">
        <w:rPr>
          <w:rFonts w:ascii="Arial" w:hAnsi="Arial" w:cs="Arial"/>
          <w:sz w:val="22"/>
        </w:rPr>
        <w:t>ase of</w:t>
      </w:r>
      <w:r w:rsidRPr="00BE2697">
        <w:rPr>
          <w:rFonts w:ascii="Arial" w:hAnsi="Arial" w:cs="Arial"/>
          <w:i/>
          <w:sz w:val="22"/>
        </w:rPr>
        <w:t xml:space="preserve"> Vo v. France</w:t>
      </w:r>
      <w:r w:rsidR="00006E2E" w:rsidRPr="00BE2697">
        <w:rPr>
          <w:rFonts w:ascii="Arial" w:hAnsi="Arial" w:cs="Arial"/>
          <w:sz w:val="22"/>
        </w:rPr>
        <w:t>,</w:t>
      </w:r>
      <w:r w:rsidRPr="00BE2697">
        <w:rPr>
          <w:rStyle w:val="FootnoteReference"/>
          <w:rFonts w:ascii="Arial" w:hAnsi="Arial" w:cs="Arial"/>
          <w:sz w:val="22"/>
        </w:rPr>
        <w:footnoteReference w:id="12"/>
      </w:r>
      <w:r w:rsidRPr="00BE2697">
        <w:rPr>
          <w:rFonts w:ascii="Arial" w:hAnsi="Arial" w:cs="Arial"/>
          <w:sz w:val="22"/>
        </w:rPr>
        <w:t xml:space="preserve"> </w:t>
      </w:r>
      <w:r w:rsidR="00006E2E" w:rsidRPr="00BE2697">
        <w:rPr>
          <w:rFonts w:ascii="Arial" w:hAnsi="Arial" w:cs="Arial"/>
          <w:sz w:val="22"/>
        </w:rPr>
        <w:t>in which it acknowledged that with scientific progress a growing consensus is emerging among Member States that the unborn child is part of the human race and is worthy of some level of protection.</w:t>
      </w:r>
      <w:r w:rsidR="00006E2E" w:rsidRPr="00BE2697">
        <w:rPr>
          <w:rStyle w:val="FootnoteReference"/>
          <w:rFonts w:ascii="Arial" w:hAnsi="Arial" w:cs="Arial"/>
          <w:sz w:val="22"/>
        </w:rPr>
        <w:footnoteReference w:id="13"/>
      </w:r>
    </w:p>
    <w:p w14:paraId="37D09356" w14:textId="64CA94E9" w:rsidR="007630E7" w:rsidRPr="00BE2697" w:rsidRDefault="007630E7" w:rsidP="00117F39">
      <w:pPr>
        <w:pStyle w:val="CourtNumberedpara"/>
        <w:spacing w:before="0" w:line="276" w:lineRule="auto"/>
        <w:jc w:val="both"/>
        <w:rPr>
          <w:rFonts w:ascii="Arial" w:hAnsi="Arial" w:cs="Arial"/>
          <w:sz w:val="22"/>
        </w:rPr>
      </w:pPr>
      <w:r w:rsidRPr="00BE2697">
        <w:rPr>
          <w:rFonts w:ascii="Arial" w:hAnsi="Arial" w:cs="Arial"/>
          <w:sz w:val="22"/>
        </w:rPr>
        <w:t xml:space="preserve">The ECtHR has never defined Article 2 so as to exclude the protection of </w:t>
      </w:r>
      <w:r w:rsidR="006E6B83" w:rsidRPr="00BE2697">
        <w:rPr>
          <w:rFonts w:ascii="Arial" w:hAnsi="Arial" w:cs="Arial"/>
          <w:sz w:val="22"/>
        </w:rPr>
        <w:t>fetal</w:t>
      </w:r>
      <w:r w:rsidRPr="00BE2697">
        <w:rPr>
          <w:rFonts w:ascii="Arial" w:hAnsi="Arial" w:cs="Arial"/>
          <w:sz w:val="22"/>
        </w:rPr>
        <w:t xml:space="preserve"> life from its scope.</w:t>
      </w:r>
      <w:r w:rsidRPr="00BE2697">
        <w:rPr>
          <w:rStyle w:val="FootnoteReference"/>
          <w:rFonts w:ascii="Arial" w:hAnsi="Arial" w:cs="Arial"/>
          <w:sz w:val="22"/>
        </w:rPr>
        <w:footnoteReference w:id="14"/>
      </w:r>
      <w:r w:rsidRPr="00BE2697">
        <w:rPr>
          <w:rFonts w:ascii="Arial" w:hAnsi="Arial" w:cs="Arial"/>
          <w:sz w:val="22"/>
        </w:rPr>
        <w:t xml:space="preserve"> Furthermore, the permissible exceptions to Article 2, set out in paragraph 2, provide an exhaustive list in which deprivation of life can be justified where the use of force used </w:t>
      </w:r>
      <w:r w:rsidR="00E2396F">
        <w:rPr>
          <w:rFonts w:ascii="Arial" w:hAnsi="Arial" w:cs="Arial"/>
          <w:sz w:val="22"/>
        </w:rPr>
        <w:t>is</w:t>
      </w:r>
      <w:r w:rsidRPr="00BE2697">
        <w:rPr>
          <w:rFonts w:ascii="Arial" w:hAnsi="Arial" w:cs="Arial"/>
          <w:sz w:val="22"/>
        </w:rPr>
        <w:t xml:space="preserve"> no more than absolutely necessary: (a) in defence of any person from unlawful violence; (b) in order to effect a lawful arrest or to prevent the escape of a person lawfully detained; (c) in action lawfully taken for the purpose of quelling a riot or insurrection. The ECtHR itself has never departed from this view except with regard to the margin of appreciation afforded to Member States where abortion is viewed as a derogation from the right to life within the meaning of their national legislation. The ECtHR has also called for restraint with a view to unborn life within the context of bioethics,</w:t>
      </w:r>
      <w:r w:rsidRPr="00BE2697">
        <w:rPr>
          <w:rStyle w:val="FootnoteReference"/>
          <w:rFonts w:ascii="Arial" w:hAnsi="Arial" w:cs="Arial"/>
          <w:sz w:val="22"/>
        </w:rPr>
        <w:footnoteReference w:id="15"/>
      </w:r>
      <w:r w:rsidRPr="00BE2697">
        <w:rPr>
          <w:rFonts w:ascii="Arial" w:hAnsi="Arial" w:cs="Arial"/>
          <w:sz w:val="22"/>
        </w:rPr>
        <w:t xml:space="preserve"> which is also reflected in the Council of Europe’s 1997 Convention on Human Rights and Biomedicine</w:t>
      </w:r>
      <w:r w:rsidR="006B66EA" w:rsidRPr="00BE2697">
        <w:rPr>
          <w:rFonts w:ascii="Arial" w:hAnsi="Arial" w:cs="Arial"/>
          <w:sz w:val="22"/>
        </w:rPr>
        <w:t xml:space="preserve"> (the Oviedo Convention)</w:t>
      </w:r>
      <w:r w:rsidRPr="00BE2697">
        <w:rPr>
          <w:rStyle w:val="FootnoteReference"/>
          <w:rFonts w:ascii="Arial" w:hAnsi="Arial" w:cs="Arial"/>
          <w:sz w:val="22"/>
        </w:rPr>
        <w:footnoteReference w:id="16"/>
      </w:r>
      <w:r w:rsidRPr="00BE2697">
        <w:rPr>
          <w:rFonts w:ascii="Arial" w:hAnsi="Arial" w:cs="Arial"/>
          <w:sz w:val="22"/>
        </w:rPr>
        <w:t xml:space="preserve"> and the conservative jurisprudence of the Court of Justice of the European Union in this area.</w:t>
      </w:r>
      <w:r w:rsidRPr="00BE2697">
        <w:rPr>
          <w:rStyle w:val="FootnoteReference"/>
          <w:rFonts w:ascii="Arial" w:hAnsi="Arial" w:cs="Arial"/>
          <w:sz w:val="22"/>
        </w:rPr>
        <w:footnoteReference w:id="17"/>
      </w:r>
    </w:p>
    <w:p w14:paraId="57B127FA" w14:textId="77777777" w:rsidR="007630E7" w:rsidRPr="00BE2697" w:rsidRDefault="007630E7" w:rsidP="00117F39">
      <w:pPr>
        <w:pStyle w:val="CourtNumberedpara"/>
        <w:spacing w:before="0" w:line="276" w:lineRule="auto"/>
        <w:jc w:val="both"/>
        <w:rPr>
          <w:rFonts w:ascii="Arial" w:hAnsi="Arial" w:cs="Arial"/>
          <w:sz w:val="22"/>
        </w:rPr>
      </w:pPr>
      <w:r w:rsidRPr="00BE2697">
        <w:rPr>
          <w:rFonts w:ascii="Arial" w:hAnsi="Arial" w:cs="Arial"/>
          <w:sz w:val="22"/>
        </w:rPr>
        <w:t>Furthermore, the ECtHR has respected and recognized the profound moral values associated with the right to life of the unborn child in relation to Article 2 of the ECHR.</w:t>
      </w:r>
      <w:r w:rsidRPr="00BE2697">
        <w:rPr>
          <w:rStyle w:val="FootnoteReference"/>
          <w:rFonts w:ascii="Arial" w:hAnsi="Arial" w:cs="Arial"/>
          <w:sz w:val="22"/>
        </w:rPr>
        <w:footnoteReference w:id="18"/>
      </w:r>
      <w:r w:rsidRPr="00BE2697">
        <w:rPr>
          <w:rFonts w:ascii="Arial" w:hAnsi="Arial" w:cs="Arial"/>
          <w:sz w:val="22"/>
        </w:rPr>
        <w:t xml:space="preserve"> It has therefore ruled, for example, that Article 8 </w:t>
      </w:r>
      <w:r w:rsidR="00006E2E" w:rsidRPr="00BE2697">
        <w:rPr>
          <w:rFonts w:ascii="Arial" w:hAnsi="Arial" w:cs="Arial"/>
          <w:sz w:val="22"/>
        </w:rPr>
        <w:t xml:space="preserve">on the right to respect </w:t>
      </w:r>
      <w:r w:rsidR="003D636B" w:rsidRPr="00BE2697">
        <w:rPr>
          <w:rFonts w:ascii="Arial" w:hAnsi="Arial" w:cs="Arial"/>
          <w:sz w:val="22"/>
        </w:rPr>
        <w:t xml:space="preserve">for private and </w:t>
      </w:r>
      <w:r w:rsidR="003D636B" w:rsidRPr="00BE2697">
        <w:rPr>
          <w:rFonts w:ascii="Arial" w:hAnsi="Arial" w:cs="Arial"/>
          <w:sz w:val="22"/>
        </w:rPr>
        <w:lastRenderedPageBreak/>
        <w:t xml:space="preserve">family life </w:t>
      </w:r>
      <w:r w:rsidRPr="00BE2697">
        <w:rPr>
          <w:rFonts w:ascii="Arial" w:hAnsi="Arial" w:cs="Arial"/>
          <w:sz w:val="22"/>
        </w:rPr>
        <w:t>cannot be interpreted as conferring a right to abortion.</w:t>
      </w:r>
      <w:r w:rsidRPr="00BE2697">
        <w:rPr>
          <w:rStyle w:val="FootnoteReference"/>
          <w:rFonts w:ascii="Arial" w:hAnsi="Arial" w:cs="Arial"/>
          <w:sz w:val="22"/>
        </w:rPr>
        <w:footnoteReference w:id="19"/>
      </w:r>
      <w:r w:rsidRPr="00BE2697">
        <w:rPr>
          <w:rFonts w:ascii="Arial" w:hAnsi="Arial" w:cs="Arial"/>
          <w:sz w:val="22"/>
        </w:rPr>
        <w:t xml:space="preserve"> It has also recognized, because of the application of Article 2, that States are required to make regulations compelling hospitals to take measures to protect the life (born or unborn) of their patients.</w:t>
      </w:r>
      <w:r w:rsidRPr="00BE2697">
        <w:rPr>
          <w:rStyle w:val="FootnoteReference"/>
          <w:rFonts w:ascii="Arial" w:hAnsi="Arial" w:cs="Arial"/>
          <w:sz w:val="22"/>
        </w:rPr>
        <w:footnoteReference w:id="20"/>
      </w:r>
    </w:p>
    <w:p w14:paraId="42578493" w14:textId="77777777" w:rsidR="007630E7" w:rsidRPr="00BE2697" w:rsidRDefault="007630E7" w:rsidP="007B6F62">
      <w:pPr>
        <w:pStyle w:val="CourtNumberedpara"/>
        <w:spacing w:line="276" w:lineRule="auto"/>
        <w:jc w:val="both"/>
        <w:rPr>
          <w:rFonts w:ascii="Arial" w:hAnsi="Arial" w:cs="Arial"/>
          <w:sz w:val="22"/>
        </w:rPr>
      </w:pPr>
      <w:r w:rsidRPr="00BE2697">
        <w:rPr>
          <w:rFonts w:ascii="Arial" w:hAnsi="Arial" w:cs="Arial"/>
          <w:sz w:val="22"/>
        </w:rPr>
        <w:t>In summary, while the jurisprudence of the ECtHR has been purposeful in not answering the question of when life begins, it has been equally clear in recognizing that the unborn child is worthy of protection under the ECHR.</w:t>
      </w:r>
    </w:p>
    <w:p w14:paraId="3285E4AE" w14:textId="77777777" w:rsidR="007630E7" w:rsidRPr="00BE2697" w:rsidRDefault="007630E7" w:rsidP="00D12C05">
      <w:pPr>
        <w:pStyle w:val="Subheading"/>
        <w:spacing w:line="276" w:lineRule="auto"/>
        <w:ind w:firstLine="432"/>
        <w:jc w:val="both"/>
        <w:rPr>
          <w:rFonts w:ascii="Arial" w:hAnsi="Arial" w:cs="Arial"/>
          <w:sz w:val="22"/>
        </w:rPr>
      </w:pPr>
      <w:r w:rsidRPr="00BE2697">
        <w:rPr>
          <w:rFonts w:ascii="Arial" w:hAnsi="Arial" w:cs="Arial"/>
          <w:sz w:val="22"/>
        </w:rPr>
        <w:t>American Convention on Human Rights</w:t>
      </w:r>
    </w:p>
    <w:p w14:paraId="55A2A28E" w14:textId="4ABF881C" w:rsidR="007630E7" w:rsidRDefault="007630E7" w:rsidP="007B6F62">
      <w:pPr>
        <w:pStyle w:val="CourtNumberedpara"/>
        <w:spacing w:line="276" w:lineRule="auto"/>
        <w:jc w:val="both"/>
        <w:rPr>
          <w:rStyle w:val="A7"/>
          <w:rFonts w:ascii="Arial" w:hAnsi="Arial" w:cs="Arial"/>
          <w:color w:val="auto"/>
        </w:rPr>
      </w:pPr>
      <w:r w:rsidRPr="00BE2697">
        <w:rPr>
          <w:rFonts w:ascii="Arial" w:hAnsi="Arial" w:cs="Arial"/>
          <w:sz w:val="22"/>
        </w:rPr>
        <w:t>The most explicit reference to the unborn</w:t>
      </w:r>
      <w:r w:rsidR="007F437D" w:rsidRPr="00BE2697">
        <w:rPr>
          <w:rFonts w:ascii="Arial" w:hAnsi="Arial" w:cs="Arial"/>
          <w:sz w:val="22"/>
        </w:rPr>
        <w:t xml:space="preserve"> within international human rights instruments</w:t>
      </w:r>
      <w:r w:rsidRPr="00BE2697">
        <w:rPr>
          <w:rFonts w:ascii="Arial" w:hAnsi="Arial" w:cs="Arial"/>
          <w:sz w:val="22"/>
        </w:rPr>
        <w:t xml:space="preserve"> is contained in Article 4(1) of the American Convention on Human Rights </w:t>
      </w:r>
      <w:r w:rsidR="0005719F" w:rsidRPr="00BE2697">
        <w:rPr>
          <w:rFonts w:ascii="Arial" w:hAnsi="Arial" w:cs="Arial"/>
          <w:sz w:val="22"/>
        </w:rPr>
        <w:t>(ACHR)</w:t>
      </w:r>
      <w:r w:rsidRPr="00BE2697">
        <w:rPr>
          <w:rFonts w:ascii="Arial" w:hAnsi="Arial" w:cs="Arial"/>
          <w:sz w:val="22"/>
        </w:rPr>
        <w:t xml:space="preserve">, which states, “Every person has the right to have his life respected. This right shall be protected by law and, in general, </w:t>
      </w:r>
      <w:r w:rsidRPr="00BE2697">
        <w:rPr>
          <w:rFonts w:ascii="Arial" w:hAnsi="Arial" w:cs="Arial"/>
          <w:i/>
          <w:sz w:val="22"/>
        </w:rPr>
        <w:t>from the moment of conception</w:t>
      </w:r>
      <w:r w:rsidRPr="00BE2697">
        <w:rPr>
          <w:rFonts w:ascii="Arial" w:hAnsi="Arial" w:cs="Arial"/>
          <w:sz w:val="22"/>
        </w:rPr>
        <w:t>. No one shall be arbitrarily deprived of his life.”</w:t>
      </w:r>
      <w:r w:rsidRPr="00BE2697">
        <w:rPr>
          <w:rStyle w:val="FootnoteReference"/>
          <w:rFonts w:ascii="Arial" w:hAnsi="Arial" w:cs="Arial"/>
          <w:sz w:val="22"/>
        </w:rPr>
        <w:footnoteReference w:id="21"/>
      </w:r>
      <w:r w:rsidRPr="00BE2697">
        <w:rPr>
          <w:rFonts w:ascii="Arial" w:hAnsi="Arial" w:cs="Arial"/>
          <w:sz w:val="22"/>
        </w:rPr>
        <w:t xml:space="preserve"> </w:t>
      </w:r>
      <w:r w:rsidRPr="00BE2697">
        <w:rPr>
          <w:rStyle w:val="A7"/>
          <w:rFonts w:ascii="Arial" w:hAnsi="Arial" w:cs="Arial"/>
          <w:color w:val="auto"/>
        </w:rPr>
        <w:t>While the wording of Article 4(1) appears to allow exceptions to the legal protection of the right to life of the unborn, it does not explicitly describe them. Thus, the correct interpretation of Article 4(1) has been the source of much debate.</w:t>
      </w:r>
      <w:r w:rsidRPr="00BE2697">
        <w:rPr>
          <w:rStyle w:val="FootnoteReference"/>
          <w:rFonts w:ascii="Arial" w:hAnsi="Arial" w:cs="Arial"/>
          <w:sz w:val="22"/>
        </w:rPr>
        <w:footnoteReference w:id="22"/>
      </w:r>
      <w:r w:rsidRPr="00BE2697">
        <w:rPr>
          <w:rStyle w:val="A7"/>
          <w:rFonts w:ascii="Arial" w:hAnsi="Arial" w:cs="Arial"/>
          <w:color w:val="auto"/>
        </w:rPr>
        <w:t xml:space="preserve"> </w:t>
      </w:r>
      <w:r w:rsidR="00E2396F">
        <w:rPr>
          <w:rStyle w:val="A7"/>
          <w:rFonts w:ascii="Arial" w:hAnsi="Arial" w:cs="Arial"/>
          <w:color w:val="auto"/>
        </w:rPr>
        <w:t>P</w:t>
      </w:r>
      <w:r w:rsidRPr="00BE2697">
        <w:rPr>
          <w:rStyle w:val="A7"/>
          <w:rFonts w:ascii="Arial" w:hAnsi="Arial" w:cs="Arial"/>
          <w:color w:val="auto"/>
        </w:rPr>
        <w:t>rotecting the right to life from the moment of conception</w:t>
      </w:r>
      <w:r w:rsidR="00E2396F">
        <w:rPr>
          <w:rStyle w:val="A7"/>
          <w:rFonts w:ascii="Arial" w:hAnsi="Arial" w:cs="Arial"/>
          <w:color w:val="auto"/>
        </w:rPr>
        <w:t>, however,</w:t>
      </w:r>
      <w:r w:rsidRPr="00BE2697">
        <w:rPr>
          <w:rStyle w:val="A7"/>
          <w:rFonts w:ascii="Arial" w:hAnsi="Arial" w:cs="Arial"/>
          <w:color w:val="auto"/>
        </w:rPr>
        <w:t xml:space="preserve"> is</w:t>
      </w:r>
      <w:r w:rsidR="00E2396F">
        <w:rPr>
          <w:rStyle w:val="A7"/>
          <w:rFonts w:ascii="Arial" w:hAnsi="Arial" w:cs="Arial"/>
          <w:color w:val="auto"/>
        </w:rPr>
        <w:t xml:space="preserve"> clearly</w:t>
      </w:r>
      <w:r w:rsidRPr="00BE2697">
        <w:rPr>
          <w:rStyle w:val="A7"/>
          <w:rFonts w:ascii="Arial" w:hAnsi="Arial" w:cs="Arial"/>
          <w:color w:val="auto"/>
        </w:rPr>
        <w:t xml:space="preserve"> the purpose and intention of the article read as a whole.</w:t>
      </w:r>
    </w:p>
    <w:p w14:paraId="5B42F607" w14:textId="77777777" w:rsidR="006E6B83" w:rsidRPr="00BE2697" w:rsidRDefault="006E6B83" w:rsidP="007B6F62">
      <w:pPr>
        <w:pStyle w:val="CourtNumberedpara"/>
        <w:spacing w:line="276" w:lineRule="auto"/>
        <w:jc w:val="both"/>
        <w:rPr>
          <w:rStyle w:val="A7"/>
          <w:rFonts w:ascii="Arial" w:hAnsi="Arial" w:cs="Arial"/>
          <w:color w:val="auto"/>
        </w:rPr>
      </w:pPr>
      <w:r>
        <w:rPr>
          <w:rStyle w:val="A7"/>
          <w:rFonts w:ascii="Arial" w:hAnsi="Arial" w:cs="Arial"/>
          <w:color w:val="auto"/>
        </w:rPr>
        <w:t>The former paragraph 7 of the draft general comment under consideration itself referenced the ACHR as explicitly dealing the rights of unborn children, as a point of distinction with the ICCPR which does not (although the plain reading of the ICCPR, denied by the Committee, does indeed include a right to life on the part of the unborn). Paragraph 9 of the current draft, however, has removed this acknowledgement entirely rather than resolve the apparent conflict in an internally consistent fashion.</w:t>
      </w:r>
    </w:p>
    <w:p w14:paraId="32E55F95" w14:textId="77777777" w:rsidR="007630E7" w:rsidRPr="00BE2697" w:rsidRDefault="007630E7" w:rsidP="007B6F62">
      <w:pPr>
        <w:pStyle w:val="CourtNumberedpara"/>
        <w:spacing w:line="276" w:lineRule="auto"/>
        <w:jc w:val="both"/>
        <w:rPr>
          <w:rFonts w:ascii="Arial" w:hAnsi="Arial" w:cs="Arial"/>
          <w:sz w:val="22"/>
        </w:rPr>
      </w:pPr>
      <w:r w:rsidRPr="00BE2697">
        <w:rPr>
          <w:rStyle w:val="A7"/>
          <w:rFonts w:ascii="Arial" w:hAnsi="Arial" w:cs="Arial"/>
          <w:color w:val="auto"/>
        </w:rPr>
        <w:t xml:space="preserve">Therefore, given the above references within international and regional human rights treaties, there is </w:t>
      </w:r>
      <w:r w:rsidR="00764C32">
        <w:rPr>
          <w:rStyle w:val="A7"/>
          <w:rFonts w:ascii="Arial" w:hAnsi="Arial" w:cs="Arial"/>
          <w:color w:val="auto"/>
        </w:rPr>
        <w:t xml:space="preserve">strong support for </w:t>
      </w:r>
      <w:r w:rsidRPr="00BE2697">
        <w:rPr>
          <w:rStyle w:val="A7"/>
          <w:rFonts w:ascii="Arial" w:hAnsi="Arial" w:cs="Arial"/>
          <w:color w:val="auto"/>
        </w:rPr>
        <w:t>the</w:t>
      </w:r>
      <w:r w:rsidR="009C1700">
        <w:rPr>
          <w:rStyle w:val="A7"/>
          <w:rFonts w:ascii="Arial" w:hAnsi="Arial" w:cs="Arial"/>
          <w:color w:val="auto"/>
        </w:rPr>
        <w:t xml:space="preserve"> proposition that the</w:t>
      </w:r>
      <w:r w:rsidRPr="00BE2697">
        <w:rPr>
          <w:rStyle w:val="A7"/>
          <w:rFonts w:ascii="Arial" w:hAnsi="Arial" w:cs="Arial"/>
          <w:color w:val="auto"/>
        </w:rPr>
        <w:t xml:space="preserve"> international legal framework </w:t>
      </w:r>
      <w:r w:rsidR="009C1700">
        <w:rPr>
          <w:rStyle w:val="A7"/>
          <w:rFonts w:ascii="Arial" w:hAnsi="Arial" w:cs="Arial"/>
          <w:color w:val="auto"/>
        </w:rPr>
        <w:t>can be</w:t>
      </w:r>
      <w:r w:rsidRPr="00BE2697">
        <w:rPr>
          <w:rStyle w:val="A7"/>
          <w:rFonts w:ascii="Arial" w:hAnsi="Arial" w:cs="Arial"/>
          <w:color w:val="auto"/>
        </w:rPr>
        <w:t xml:space="preserve"> understood as </w:t>
      </w:r>
      <w:r w:rsidR="007F437D" w:rsidRPr="00BE2697">
        <w:rPr>
          <w:rStyle w:val="A7"/>
          <w:rFonts w:ascii="Arial" w:hAnsi="Arial" w:cs="Arial"/>
          <w:color w:val="auto"/>
        </w:rPr>
        <w:t xml:space="preserve">recognizing </w:t>
      </w:r>
      <w:r w:rsidRPr="00BE2697">
        <w:rPr>
          <w:rStyle w:val="A7"/>
          <w:rFonts w:ascii="Arial" w:hAnsi="Arial" w:cs="Arial"/>
          <w:color w:val="auto"/>
        </w:rPr>
        <w:t xml:space="preserve">unborn life. </w:t>
      </w:r>
    </w:p>
    <w:p w14:paraId="2490A655" w14:textId="77777777" w:rsidR="00623B4E" w:rsidRPr="00BE2697" w:rsidRDefault="005E5CB0" w:rsidP="00E91F71">
      <w:pPr>
        <w:pStyle w:val="CourtNumberedpara"/>
        <w:numPr>
          <w:ilvl w:val="1"/>
          <w:numId w:val="6"/>
        </w:numPr>
        <w:ind w:right="1107"/>
        <w:jc w:val="both"/>
        <w:rPr>
          <w:rFonts w:ascii="Arial" w:hAnsi="Arial" w:cs="Arial"/>
          <w:b/>
          <w:sz w:val="22"/>
        </w:rPr>
      </w:pPr>
      <w:r w:rsidRPr="00BE2697">
        <w:rPr>
          <w:rFonts w:ascii="Arial" w:hAnsi="Arial" w:cs="Arial"/>
          <w:b/>
          <w:sz w:val="22"/>
        </w:rPr>
        <w:t xml:space="preserve">Recognition of the Right to Life of the Unborn in </w:t>
      </w:r>
      <w:r w:rsidR="00541884" w:rsidRPr="00BE2697">
        <w:rPr>
          <w:rFonts w:ascii="Arial" w:hAnsi="Arial" w:cs="Arial"/>
          <w:b/>
          <w:sz w:val="22"/>
        </w:rPr>
        <w:t xml:space="preserve">National Legal Provisions of Numerous </w:t>
      </w:r>
      <w:r w:rsidRPr="00BE2697">
        <w:rPr>
          <w:rFonts w:ascii="Arial" w:hAnsi="Arial" w:cs="Arial"/>
          <w:b/>
          <w:sz w:val="22"/>
        </w:rPr>
        <w:t xml:space="preserve">ICCPR </w:t>
      </w:r>
      <w:r w:rsidR="00541884" w:rsidRPr="00BE2697">
        <w:rPr>
          <w:rFonts w:ascii="Arial" w:hAnsi="Arial" w:cs="Arial"/>
          <w:b/>
          <w:sz w:val="22"/>
        </w:rPr>
        <w:t>Signatories</w:t>
      </w:r>
    </w:p>
    <w:p w14:paraId="5C49BE21" w14:textId="77777777" w:rsidR="000E6040" w:rsidRPr="00BE2697" w:rsidRDefault="000E6040" w:rsidP="007B6F62">
      <w:pPr>
        <w:pStyle w:val="CourtNumberedpara"/>
        <w:spacing w:line="276" w:lineRule="auto"/>
        <w:jc w:val="both"/>
        <w:rPr>
          <w:rFonts w:ascii="Arial" w:hAnsi="Arial" w:cs="Arial"/>
          <w:sz w:val="22"/>
        </w:rPr>
      </w:pPr>
      <w:r w:rsidRPr="00BE2697">
        <w:rPr>
          <w:rFonts w:ascii="Arial" w:hAnsi="Arial" w:cs="Arial"/>
          <w:sz w:val="22"/>
        </w:rPr>
        <w:t xml:space="preserve">In addition to the ICCPR and other international instruments, numerous signatories to the ICCPR recognize the right to life of the unborn in their constitutions and legal provisions. </w:t>
      </w:r>
      <w:r w:rsidR="00623B4E" w:rsidRPr="00BE2697">
        <w:rPr>
          <w:rFonts w:ascii="Arial" w:hAnsi="Arial" w:cs="Arial"/>
          <w:sz w:val="22"/>
        </w:rPr>
        <w:t xml:space="preserve">Article 6 </w:t>
      </w:r>
      <w:r w:rsidR="007F437D" w:rsidRPr="00BE2697">
        <w:rPr>
          <w:rFonts w:ascii="Arial" w:hAnsi="Arial" w:cs="Arial"/>
          <w:sz w:val="22"/>
        </w:rPr>
        <w:t xml:space="preserve">may </w:t>
      </w:r>
      <w:r w:rsidRPr="00BE2697">
        <w:rPr>
          <w:rFonts w:ascii="Arial" w:hAnsi="Arial" w:cs="Arial"/>
          <w:sz w:val="22"/>
        </w:rPr>
        <w:t xml:space="preserve">be interpreted to include the right to life of the unborn in accordance with these provisions. </w:t>
      </w:r>
    </w:p>
    <w:p w14:paraId="140FDB1F" w14:textId="77777777" w:rsidR="00623B4E" w:rsidRPr="00BE2697" w:rsidRDefault="000E6040" w:rsidP="007B6F62">
      <w:pPr>
        <w:pStyle w:val="CourtNumberedpara"/>
        <w:spacing w:line="276" w:lineRule="auto"/>
        <w:jc w:val="both"/>
        <w:rPr>
          <w:rFonts w:ascii="Arial" w:eastAsia="Calibri" w:hAnsi="Arial" w:cs="Arial"/>
          <w:sz w:val="22"/>
        </w:rPr>
      </w:pPr>
      <w:r w:rsidRPr="00BE2697">
        <w:rPr>
          <w:rFonts w:ascii="Arial" w:hAnsi="Arial" w:cs="Arial"/>
          <w:sz w:val="22"/>
        </w:rPr>
        <w:t xml:space="preserve">Numerous constitutions include explicit protections for unborn life. The constitutions of the following signatories to the ICCPR provide examples: </w:t>
      </w:r>
      <w:r w:rsidR="00623B4E" w:rsidRPr="00BE2697">
        <w:rPr>
          <w:rFonts w:ascii="Arial" w:eastAsia="Calibri" w:hAnsi="Arial" w:cs="Arial"/>
          <w:sz w:val="22"/>
        </w:rPr>
        <w:t xml:space="preserve">Ireland (Article 40.3.3°); Hungary (Article 2); </w:t>
      </w:r>
      <w:r w:rsidR="0081517E" w:rsidRPr="00BE2697">
        <w:rPr>
          <w:rFonts w:ascii="Arial" w:eastAsia="Calibri" w:hAnsi="Arial" w:cs="Arial"/>
          <w:sz w:val="22"/>
        </w:rPr>
        <w:t xml:space="preserve">Guatemala (Article 3); </w:t>
      </w:r>
      <w:r w:rsidR="00623B4E" w:rsidRPr="00BE2697">
        <w:rPr>
          <w:rFonts w:ascii="Arial" w:eastAsia="Calibri" w:hAnsi="Arial" w:cs="Arial"/>
          <w:sz w:val="22"/>
        </w:rPr>
        <w:t xml:space="preserve">Slovakia (Article 15(1)); Dominican Republic (Article 37); Ecuador (Article 45); El Salvador (Title 1, Article 1); Chile (Article </w:t>
      </w:r>
      <w:r w:rsidR="00623B4E" w:rsidRPr="00BE2697">
        <w:rPr>
          <w:rFonts w:ascii="Arial" w:eastAsia="Calibri" w:hAnsi="Arial" w:cs="Arial"/>
          <w:sz w:val="22"/>
        </w:rPr>
        <w:lastRenderedPageBreak/>
        <w:t>19(1)); Honduras (Article 67); Peru (Article 2</w:t>
      </w:r>
      <w:r w:rsidR="000C2AD1" w:rsidRPr="00BE2697">
        <w:rPr>
          <w:rFonts w:ascii="Arial" w:eastAsia="Calibri" w:hAnsi="Arial" w:cs="Arial"/>
          <w:sz w:val="22"/>
        </w:rPr>
        <w:t>(</w:t>
      </w:r>
      <w:r w:rsidR="00623B4E" w:rsidRPr="00BE2697">
        <w:rPr>
          <w:rFonts w:ascii="Arial" w:eastAsia="Calibri" w:hAnsi="Arial" w:cs="Arial"/>
          <w:sz w:val="22"/>
        </w:rPr>
        <w:t>1</w:t>
      </w:r>
      <w:r w:rsidR="000C2AD1" w:rsidRPr="00BE2697">
        <w:rPr>
          <w:rFonts w:ascii="Arial" w:eastAsia="Calibri" w:hAnsi="Arial" w:cs="Arial"/>
          <w:sz w:val="22"/>
        </w:rPr>
        <w:t>)</w:t>
      </w:r>
      <w:r w:rsidR="00623B4E" w:rsidRPr="00BE2697">
        <w:rPr>
          <w:rFonts w:ascii="Arial" w:eastAsia="Calibri" w:hAnsi="Arial" w:cs="Arial"/>
          <w:sz w:val="22"/>
        </w:rPr>
        <w:t xml:space="preserve">); Madagascar (Title 1, Article 19); and the Philippines (Article 1, section 12). </w:t>
      </w:r>
      <w:r w:rsidR="00CA010B" w:rsidRPr="00BE2697">
        <w:rPr>
          <w:rFonts w:ascii="Arial" w:eastAsia="Calibri" w:hAnsi="Arial" w:cs="Arial"/>
          <w:sz w:val="22"/>
        </w:rPr>
        <w:t xml:space="preserve">Additionally, the constitutions of </w:t>
      </w:r>
      <w:r w:rsidR="00305466" w:rsidRPr="00BE2697">
        <w:rPr>
          <w:rFonts w:ascii="Arial" w:eastAsia="Calibri" w:hAnsi="Arial" w:cs="Arial"/>
          <w:sz w:val="22"/>
        </w:rPr>
        <w:t>Colom</w:t>
      </w:r>
      <w:r w:rsidR="00CA010B" w:rsidRPr="00BE2697">
        <w:rPr>
          <w:rFonts w:ascii="Arial" w:eastAsia="Calibri" w:hAnsi="Arial" w:cs="Arial"/>
          <w:sz w:val="22"/>
        </w:rPr>
        <w:t xml:space="preserve">bia, Costa Rica, and Nicaragua </w:t>
      </w:r>
      <w:r w:rsidR="00305466" w:rsidRPr="00BE2697">
        <w:rPr>
          <w:rFonts w:ascii="Arial" w:eastAsia="Calibri" w:hAnsi="Arial" w:cs="Arial"/>
          <w:sz w:val="22"/>
        </w:rPr>
        <w:t>all state that “th</w:t>
      </w:r>
      <w:r w:rsidR="00ED6D78" w:rsidRPr="00BE2697">
        <w:rPr>
          <w:rFonts w:ascii="Arial" w:eastAsia="Calibri" w:hAnsi="Arial" w:cs="Arial"/>
          <w:sz w:val="22"/>
        </w:rPr>
        <w:t>e right to life is inviolable,”</w:t>
      </w:r>
      <w:r w:rsidR="00305466" w:rsidRPr="00BE2697">
        <w:rPr>
          <w:rFonts w:ascii="Arial" w:eastAsia="Calibri" w:hAnsi="Arial" w:cs="Arial"/>
          <w:sz w:val="22"/>
        </w:rPr>
        <w:t xml:space="preserve"> and this is interpreted as being extended to the unborn.</w:t>
      </w:r>
      <w:r w:rsidR="00F06295" w:rsidRPr="00BE2697">
        <w:rPr>
          <w:rStyle w:val="FootnoteReference"/>
          <w:rFonts w:ascii="Arial" w:eastAsia="Calibri" w:hAnsi="Arial" w:cs="Arial"/>
          <w:sz w:val="22"/>
        </w:rPr>
        <w:footnoteReference w:id="23"/>
      </w:r>
    </w:p>
    <w:p w14:paraId="3F55F3A7" w14:textId="77777777" w:rsidR="00305466" w:rsidRPr="00BE2697" w:rsidRDefault="00ED6D78" w:rsidP="007B6F62">
      <w:pPr>
        <w:pStyle w:val="CourtNumberedpara"/>
        <w:spacing w:line="276" w:lineRule="auto"/>
        <w:jc w:val="both"/>
        <w:rPr>
          <w:rFonts w:ascii="Arial" w:eastAsia="Calibri" w:hAnsi="Arial" w:cs="Arial"/>
          <w:sz w:val="22"/>
        </w:rPr>
      </w:pPr>
      <w:r w:rsidRPr="00BE2697">
        <w:rPr>
          <w:rFonts w:ascii="Arial" w:hAnsi="Arial" w:cs="Arial"/>
          <w:sz w:val="22"/>
        </w:rPr>
        <w:t>Furthermore,</w:t>
      </w:r>
      <w:r w:rsidR="00305466" w:rsidRPr="00BE2697">
        <w:rPr>
          <w:rFonts w:ascii="Arial" w:hAnsi="Arial" w:cs="Arial"/>
          <w:sz w:val="22"/>
        </w:rPr>
        <w:t xml:space="preserve"> </w:t>
      </w:r>
      <w:r w:rsidRPr="00BE2697">
        <w:rPr>
          <w:rFonts w:ascii="Arial" w:hAnsi="Arial" w:cs="Arial"/>
          <w:sz w:val="22"/>
        </w:rPr>
        <w:t xml:space="preserve">legislative </w:t>
      </w:r>
      <w:r w:rsidR="00305466" w:rsidRPr="00BE2697">
        <w:rPr>
          <w:rFonts w:ascii="Arial" w:hAnsi="Arial" w:cs="Arial"/>
          <w:sz w:val="22"/>
        </w:rPr>
        <w:t xml:space="preserve">provisions of signatories around the world </w:t>
      </w:r>
      <w:r w:rsidR="00DF7511" w:rsidRPr="00BE2697">
        <w:rPr>
          <w:rFonts w:ascii="Arial" w:hAnsi="Arial" w:cs="Arial"/>
          <w:sz w:val="22"/>
        </w:rPr>
        <w:t xml:space="preserve">recognize </w:t>
      </w:r>
      <w:r w:rsidR="00305466" w:rsidRPr="00BE2697">
        <w:rPr>
          <w:rFonts w:ascii="Arial" w:hAnsi="Arial" w:cs="Arial"/>
          <w:sz w:val="22"/>
        </w:rPr>
        <w:t xml:space="preserve">the right to life of the unborn. Examples </w:t>
      </w:r>
      <w:r w:rsidR="00CA010B" w:rsidRPr="00BE2697">
        <w:rPr>
          <w:rFonts w:ascii="Arial" w:hAnsi="Arial" w:cs="Arial"/>
          <w:sz w:val="22"/>
        </w:rPr>
        <w:t xml:space="preserve">in Latin America </w:t>
      </w:r>
      <w:r w:rsidR="00305466" w:rsidRPr="00BE2697">
        <w:rPr>
          <w:rFonts w:ascii="Arial" w:hAnsi="Arial" w:cs="Arial"/>
          <w:sz w:val="22"/>
        </w:rPr>
        <w:t>include Mexico, where a</w:t>
      </w:r>
      <w:r w:rsidR="00623B4E" w:rsidRPr="00BE2697">
        <w:rPr>
          <w:rFonts w:ascii="Arial" w:eastAsia="Calibri" w:hAnsi="Arial" w:cs="Arial"/>
          <w:sz w:val="22"/>
        </w:rPr>
        <w:t xml:space="preserve"> large number of </w:t>
      </w:r>
      <w:r w:rsidR="00D20658" w:rsidRPr="00BE2697">
        <w:rPr>
          <w:rFonts w:ascii="Arial" w:eastAsia="Calibri" w:hAnsi="Arial" w:cs="Arial"/>
          <w:sz w:val="22"/>
        </w:rPr>
        <w:t>s</w:t>
      </w:r>
      <w:r w:rsidR="00623B4E" w:rsidRPr="00BE2697">
        <w:rPr>
          <w:rFonts w:ascii="Arial" w:eastAsia="Calibri" w:hAnsi="Arial" w:cs="Arial"/>
          <w:sz w:val="22"/>
        </w:rPr>
        <w:t xml:space="preserve">tate constitutions explicitly protect unborn life, from </w:t>
      </w:r>
      <w:r w:rsidR="00D20658" w:rsidRPr="00BE2697">
        <w:rPr>
          <w:rFonts w:ascii="Arial" w:eastAsia="Calibri" w:hAnsi="Arial" w:cs="Arial"/>
          <w:sz w:val="22"/>
        </w:rPr>
        <w:t xml:space="preserve">either </w:t>
      </w:r>
      <w:r w:rsidR="00623B4E" w:rsidRPr="00BE2697">
        <w:rPr>
          <w:rFonts w:ascii="Arial" w:eastAsia="Calibri" w:hAnsi="Arial" w:cs="Arial"/>
          <w:sz w:val="22"/>
        </w:rPr>
        <w:t xml:space="preserve">the moment of conception or the moment of </w:t>
      </w:r>
      <w:r w:rsidR="007000B3" w:rsidRPr="00BE2697">
        <w:rPr>
          <w:rFonts w:ascii="Arial" w:eastAsia="Calibri" w:hAnsi="Arial" w:cs="Arial"/>
          <w:sz w:val="22"/>
        </w:rPr>
        <w:t>fertilization</w:t>
      </w:r>
      <w:r w:rsidR="00623B4E" w:rsidRPr="00BE2697">
        <w:rPr>
          <w:rFonts w:ascii="Arial" w:eastAsia="Calibri" w:hAnsi="Arial" w:cs="Arial"/>
          <w:sz w:val="22"/>
        </w:rPr>
        <w:t xml:space="preserve">. Article 5 of the </w:t>
      </w:r>
      <w:r w:rsidR="00305466" w:rsidRPr="00BE2697">
        <w:rPr>
          <w:rFonts w:ascii="Arial" w:eastAsia="Calibri" w:hAnsi="Arial" w:cs="Arial"/>
          <w:sz w:val="22"/>
        </w:rPr>
        <w:t xml:space="preserve">Constitution of the Mexican State of </w:t>
      </w:r>
      <w:r w:rsidR="00623B4E" w:rsidRPr="00BE2697">
        <w:rPr>
          <w:rFonts w:ascii="Arial" w:eastAsia="Calibri" w:hAnsi="Arial" w:cs="Arial"/>
          <w:sz w:val="22"/>
        </w:rPr>
        <w:t>Chihuahua, for instance, holds</w:t>
      </w:r>
      <w:r w:rsidR="005B295C" w:rsidRPr="00BE2697">
        <w:rPr>
          <w:rFonts w:ascii="Arial" w:eastAsia="Calibri" w:hAnsi="Arial" w:cs="Arial"/>
          <w:sz w:val="22"/>
        </w:rPr>
        <w:t>,</w:t>
      </w:r>
      <w:r w:rsidR="00623B4E" w:rsidRPr="00BE2697">
        <w:rPr>
          <w:rFonts w:ascii="Arial" w:eastAsia="Calibri" w:hAnsi="Arial" w:cs="Arial"/>
          <w:sz w:val="22"/>
        </w:rPr>
        <w:t xml:space="preserve"> “All human beings have the right to legal protection of their life, from the moment of conception.”</w:t>
      </w:r>
      <w:r w:rsidR="00623B4E" w:rsidRPr="00BE2697">
        <w:rPr>
          <w:rFonts w:ascii="Arial" w:eastAsia="Calibri" w:hAnsi="Arial" w:cs="Arial"/>
          <w:sz w:val="22"/>
          <w:vertAlign w:val="superscript"/>
        </w:rPr>
        <w:footnoteReference w:id="24"/>
      </w:r>
      <w:r w:rsidR="00623B4E" w:rsidRPr="00BE2697">
        <w:rPr>
          <w:rFonts w:ascii="Arial" w:eastAsia="Calibri" w:hAnsi="Arial" w:cs="Arial"/>
          <w:sz w:val="22"/>
        </w:rPr>
        <w:t xml:space="preserve"> </w:t>
      </w:r>
      <w:r w:rsidR="00305466" w:rsidRPr="00BE2697">
        <w:rPr>
          <w:rFonts w:ascii="Arial" w:eastAsia="Calibri" w:hAnsi="Arial" w:cs="Arial"/>
          <w:sz w:val="22"/>
        </w:rPr>
        <w:t xml:space="preserve">Similarly, in Argentina, the </w:t>
      </w:r>
      <w:r w:rsidR="00623B4E" w:rsidRPr="00BE2697">
        <w:rPr>
          <w:rFonts w:ascii="Arial" w:eastAsia="Calibri" w:hAnsi="Arial" w:cs="Arial"/>
          <w:sz w:val="22"/>
        </w:rPr>
        <w:t>majority of</w:t>
      </w:r>
      <w:r w:rsidR="00305466" w:rsidRPr="00BE2697">
        <w:rPr>
          <w:rFonts w:ascii="Arial" w:eastAsia="Calibri" w:hAnsi="Arial" w:cs="Arial"/>
          <w:sz w:val="22"/>
        </w:rPr>
        <w:t xml:space="preserve"> the </w:t>
      </w:r>
      <w:r w:rsidR="00623B4E" w:rsidRPr="00BE2697">
        <w:rPr>
          <w:rFonts w:ascii="Arial" w:eastAsia="Calibri" w:hAnsi="Arial" w:cs="Arial"/>
          <w:sz w:val="22"/>
        </w:rPr>
        <w:t xml:space="preserve">Provincial Constitutions protect unborn life. For example, Article 12(1) of the Buenos Aires Provincial Constitution states </w:t>
      </w:r>
      <w:r w:rsidR="00D20658" w:rsidRPr="00BE2697">
        <w:rPr>
          <w:rFonts w:ascii="Arial" w:eastAsia="Calibri" w:hAnsi="Arial" w:cs="Arial"/>
          <w:sz w:val="22"/>
        </w:rPr>
        <w:t xml:space="preserve">that </w:t>
      </w:r>
      <w:r w:rsidR="00623B4E" w:rsidRPr="00BE2697">
        <w:rPr>
          <w:rFonts w:ascii="Arial" w:eastAsia="Calibri" w:hAnsi="Arial" w:cs="Arial"/>
          <w:sz w:val="22"/>
        </w:rPr>
        <w:t>every person in the Province enjoys the right to life, “from the time of conception until natural death.”</w:t>
      </w:r>
      <w:r w:rsidR="00623B4E" w:rsidRPr="00BE2697">
        <w:rPr>
          <w:rFonts w:ascii="Arial" w:eastAsia="Calibri" w:hAnsi="Arial" w:cs="Arial"/>
          <w:sz w:val="22"/>
          <w:vertAlign w:val="superscript"/>
        </w:rPr>
        <w:footnoteReference w:id="25"/>
      </w:r>
      <w:r w:rsidR="00305466" w:rsidRPr="00BE2697">
        <w:rPr>
          <w:rFonts w:ascii="Arial" w:eastAsia="Calibri" w:hAnsi="Arial" w:cs="Arial"/>
          <w:sz w:val="22"/>
        </w:rPr>
        <w:t xml:space="preserve"> </w:t>
      </w:r>
    </w:p>
    <w:p w14:paraId="5F711AC5" w14:textId="77CC4C27" w:rsidR="004A4EA2" w:rsidRDefault="00CA010B" w:rsidP="007B6F62">
      <w:pPr>
        <w:pStyle w:val="CourtNumberedpara"/>
        <w:autoSpaceDE w:val="0"/>
        <w:autoSpaceDN w:val="0"/>
        <w:adjustRightInd w:val="0"/>
        <w:spacing w:line="276" w:lineRule="auto"/>
        <w:jc w:val="both"/>
        <w:rPr>
          <w:rFonts w:ascii="Arial" w:eastAsia="Calibri" w:hAnsi="Arial" w:cs="Arial"/>
          <w:sz w:val="22"/>
        </w:rPr>
      </w:pPr>
      <w:r w:rsidRPr="00BE2697">
        <w:rPr>
          <w:rFonts w:ascii="Arial" w:eastAsia="Calibri" w:hAnsi="Arial" w:cs="Arial"/>
          <w:sz w:val="22"/>
        </w:rPr>
        <w:t xml:space="preserve">In Europe, the </w:t>
      </w:r>
      <w:r w:rsidR="00623B4E" w:rsidRPr="00BE2697">
        <w:rPr>
          <w:rFonts w:ascii="Arial" w:eastAsia="Calibri" w:hAnsi="Arial" w:cs="Arial"/>
          <w:sz w:val="22"/>
        </w:rPr>
        <w:t>Basic Law</w:t>
      </w:r>
      <w:r w:rsidRPr="00BE2697">
        <w:rPr>
          <w:rFonts w:ascii="Arial" w:eastAsia="Calibri" w:hAnsi="Arial" w:cs="Arial"/>
          <w:sz w:val="22"/>
        </w:rPr>
        <w:t xml:space="preserve"> of Germany</w:t>
      </w:r>
      <w:r w:rsidR="00623B4E" w:rsidRPr="00BE2697">
        <w:rPr>
          <w:rFonts w:ascii="Arial" w:eastAsia="Calibri" w:hAnsi="Arial" w:cs="Arial"/>
          <w:sz w:val="22"/>
        </w:rPr>
        <w:t xml:space="preserve"> obliges the </w:t>
      </w:r>
      <w:r w:rsidR="0022056B" w:rsidRPr="00BE2697">
        <w:rPr>
          <w:rFonts w:ascii="Arial" w:eastAsia="Calibri" w:hAnsi="Arial" w:cs="Arial"/>
          <w:sz w:val="22"/>
        </w:rPr>
        <w:t xml:space="preserve">State </w:t>
      </w:r>
      <w:r w:rsidR="00623B4E" w:rsidRPr="00BE2697">
        <w:rPr>
          <w:rFonts w:ascii="Arial" w:eastAsia="Calibri" w:hAnsi="Arial" w:cs="Arial"/>
          <w:sz w:val="22"/>
        </w:rPr>
        <w:t>to protect human life, including that of the unborn. This duty is grounded in Article 1(1)</w:t>
      </w:r>
      <w:r w:rsidR="00262D8A" w:rsidRPr="00BE2697">
        <w:rPr>
          <w:rFonts w:ascii="Arial" w:eastAsia="Calibri" w:hAnsi="Arial" w:cs="Arial"/>
          <w:sz w:val="22"/>
        </w:rPr>
        <w:t>,</w:t>
      </w:r>
      <w:r w:rsidR="00623B4E" w:rsidRPr="00BE2697">
        <w:rPr>
          <w:rFonts w:ascii="Arial" w:eastAsia="Calibri" w:hAnsi="Arial" w:cs="Arial"/>
          <w:sz w:val="22"/>
        </w:rPr>
        <w:t xml:space="preserve"> concerning </w:t>
      </w:r>
      <w:r w:rsidR="00262D8A" w:rsidRPr="00BE2697">
        <w:rPr>
          <w:rFonts w:ascii="Arial" w:eastAsia="Calibri" w:hAnsi="Arial" w:cs="Arial"/>
          <w:sz w:val="22"/>
        </w:rPr>
        <w:t xml:space="preserve">“inviolable” </w:t>
      </w:r>
      <w:r w:rsidR="00623B4E" w:rsidRPr="00BE2697">
        <w:rPr>
          <w:rFonts w:ascii="Arial" w:eastAsia="Calibri" w:hAnsi="Arial" w:cs="Arial"/>
          <w:sz w:val="22"/>
        </w:rPr>
        <w:t>human dignity</w:t>
      </w:r>
      <w:r w:rsidR="00262D8A" w:rsidRPr="00BE2697">
        <w:rPr>
          <w:rFonts w:ascii="Arial" w:eastAsia="Calibri" w:hAnsi="Arial" w:cs="Arial"/>
          <w:sz w:val="22"/>
        </w:rPr>
        <w:t>,</w:t>
      </w:r>
      <w:r w:rsidR="00623B4E" w:rsidRPr="00BE2697">
        <w:rPr>
          <w:rFonts w:ascii="Arial" w:eastAsia="Calibri" w:hAnsi="Arial" w:cs="Arial"/>
          <w:sz w:val="22"/>
        </w:rPr>
        <w:t xml:space="preserve"> and Article 2(2), which attributes the “right to life and physical integrity” to “every person.”</w:t>
      </w:r>
      <w:r w:rsidR="00623B4E" w:rsidRPr="00BE2697">
        <w:rPr>
          <w:rFonts w:ascii="Arial" w:eastAsia="Calibri" w:hAnsi="Arial" w:cs="Arial"/>
          <w:sz w:val="22"/>
          <w:vertAlign w:val="superscript"/>
        </w:rPr>
        <w:footnoteReference w:id="26"/>
      </w:r>
      <w:r w:rsidR="00623B4E" w:rsidRPr="00BE2697">
        <w:rPr>
          <w:rFonts w:ascii="Arial" w:eastAsia="Calibri" w:hAnsi="Arial" w:cs="Arial"/>
          <w:sz w:val="22"/>
        </w:rPr>
        <w:t xml:space="preserve"> The German Constitutional Court has confirmed that the word “everyone” extends to (living) unborn human beings.</w:t>
      </w:r>
      <w:r w:rsidR="00623B4E" w:rsidRPr="00BE2697">
        <w:rPr>
          <w:rFonts w:ascii="Arial" w:eastAsia="Calibri" w:hAnsi="Arial" w:cs="Arial"/>
          <w:sz w:val="22"/>
          <w:vertAlign w:val="superscript"/>
        </w:rPr>
        <w:footnoteReference w:id="27"/>
      </w:r>
      <w:r w:rsidR="00623B4E" w:rsidRPr="00BE2697">
        <w:rPr>
          <w:rFonts w:ascii="Arial" w:eastAsia="Calibri" w:hAnsi="Arial" w:cs="Arial"/>
          <w:sz w:val="22"/>
        </w:rPr>
        <w:t xml:space="preserve"> </w:t>
      </w:r>
      <w:r w:rsidR="004A4EA2">
        <w:rPr>
          <w:rFonts w:ascii="Arial" w:eastAsia="Calibri" w:hAnsi="Arial" w:cs="Arial"/>
          <w:sz w:val="22"/>
        </w:rPr>
        <w:t xml:space="preserve">Laws permitting abortion in Germany have been successfully challenged on numerous occasions, and while the Constitutional Court ruled </w:t>
      </w:r>
      <w:r w:rsidR="00472345">
        <w:rPr>
          <w:rFonts w:ascii="Arial" w:eastAsia="Calibri" w:hAnsi="Arial" w:cs="Arial"/>
          <w:sz w:val="22"/>
        </w:rPr>
        <w:t xml:space="preserve">in 1993 </w:t>
      </w:r>
      <w:r w:rsidR="004A4EA2">
        <w:rPr>
          <w:rFonts w:ascii="Arial" w:eastAsia="Calibri" w:hAnsi="Arial" w:cs="Arial"/>
          <w:sz w:val="22"/>
        </w:rPr>
        <w:t>that the Bundestag had discretion</w:t>
      </w:r>
      <w:r w:rsidR="00472345">
        <w:rPr>
          <w:rFonts w:ascii="Arial" w:eastAsia="Calibri" w:hAnsi="Arial" w:cs="Arial"/>
          <w:sz w:val="22"/>
        </w:rPr>
        <w:t xml:space="preserve"> not to punish first-trimester abortions</w:t>
      </w:r>
      <w:r w:rsidR="00A33215">
        <w:rPr>
          <w:rFonts w:ascii="Arial" w:eastAsia="Calibri" w:hAnsi="Arial" w:cs="Arial"/>
          <w:sz w:val="22"/>
        </w:rPr>
        <w:t xml:space="preserve"> under certain circumstances</w:t>
      </w:r>
      <w:r w:rsidR="00472345">
        <w:rPr>
          <w:rFonts w:ascii="Arial" w:eastAsia="Calibri" w:hAnsi="Arial" w:cs="Arial"/>
          <w:sz w:val="22"/>
        </w:rPr>
        <w:t>, it nevertheless legally upheld the principle that the unborn child has the right to life from conception.</w:t>
      </w:r>
      <w:r w:rsidR="00600307">
        <w:rPr>
          <w:rFonts w:ascii="Arial" w:eastAsia="Calibri" w:hAnsi="Arial" w:cs="Arial"/>
          <w:sz w:val="22"/>
        </w:rPr>
        <w:t xml:space="preserve"> While the current German legislative situation seems contradictory </w:t>
      </w:r>
      <w:r w:rsidR="00272017">
        <w:rPr>
          <w:rFonts w:ascii="Arial" w:eastAsia="Calibri" w:hAnsi="Arial" w:cs="Arial"/>
          <w:sz w:val="22"/>
        </w:rPr>
        <w:t xml:space="preserve">to </w:t>
      </w:r>
      <w:r w:rsidR="00600307">
        <w:rPr>
          <w:rFonts w:ascii="Arial" w:eastAsia="Calibri" w:hAnsi="Arial" w:cs="Arial"/>
          <w:sz w:val="22"/>
        </w:rPr>
        <w:t>and inconsistent</w:t>
      </w:r>
      <w:r w:rsidR="00272017">
        <w:rPr>
          <w:rFonts w:ascii="Arial" w:eastAsia="Calibri" w:hAnsi="Arial" w:cs="Arial"/>
          <w:sz w:val="22"/>
        </w:rPr>
        <w:t xml:space="preserve"> with its Basic Law</w:t>
      </w:r>
      <w:r w:rsidR="00600307">
        <w:rPr>
          <w:rFonts w:ascii="Arial" w:eastAsia="Calibri" w:hAnsi="Arial" w:cs="Arial"/>
          <w:sz w:val="22"/>
        </w:rPr>
        <w:t>, th</w:t>
      </w:r>
      <w:r w:rsidR="00272017">
        <w:rPr>
          <w:rFonts w:ascii="Arial" w:eastAsia="Calibri" w:hAnsi="Arial" w:cs="Arial"/>
          <w:sz w:val="22"/>
        </w:rPr>
        <w:t>is</w:t>
      </w:r>
      <w:r w:rsidR="00600307">
        <w:rPr>
          <w:rFonts w:ascii="Arial" w:eastAsia="Calibri" w:hAnsi="Arial" w:cs="Arial"/>
          <w:sz w:val="22"/>
        </w:rPr>
        <w:t xml:space="preserve"> constitutional principle still considered good law by the Constitutional Court is in direct conflict with the opinion of the Committee in this draft general comment.</w:t>
      </w:r>
    </w:p>
    <w:p w14:paraId="111CCDE3" w14:textId="418591BB" w:rsidR="00623B4E" w:rsidRPr="00BE2697" w:rsidRDefault="00CA010B" w:rsidP="007B6F62">
      <w:pPr>
        <w:pStyle w:val="CourtNumberedpara"/>
        <w:autoSpaceDE w:val="0"/>
        <w:autoSpaceDN w:val="0"/>
        <w:adjustRightInd w:val="0"/>
        <w:spacing w:line="276" w:lineRule="auto"/>
        <w:jc w:val="both"/>
        <w:rPr>
          <w:rFonts w:ascii="Arial" w:eastAsia="Calibri" w:hAnsi="Arial" w:cs="Arial"/>
          <w:sz w:val="22"/>
        </w:rPr>
      </w:pPr>
      <w:r w:rsidRPr="00BE2697">
        <w:rPr>
          <w:rFonts w:ascii="Arial" w:eastAsia="Calibri" w:hAnsi="Arial" w:cs="Arial"/>
          <w:sz w:val="22"/>
        </w:rPr>
        <w:t xml:space="preserve">In Latvia, the </w:t>
      </w:r>
      <w:r w:rsidR="00623B4E" w:rsidRPr="00BE2697">
        <w:rPr>
          <w:rFonts w:ascii="Arial" w:eastAsia="Calibri" w:hAnsi="Arial" w:cs="Arial"/>
          <w:sz w:val="22"/>
        </w:rPr>
        <w:t>Medical Treatment Law provides</w:t>
      </w:r>
      <w:r w:rsidR="00E91EB3">
        <w:rPr>
          <w:rFonts w:ascii="Arial" w:eastAsia="Calibri" w:hAnsi="Arial" w:cs="Arial"/>
          <w:sz w:val="22"/>
        </w:rPr>
        <w:t>:</w:t>
      </w:r>
      <w:r w:rsidR="00623B4E" w:rsidRPr="00BE2697">
        <w:rPr>
          <w:rFonts w:ascii="Arial" w:eastAsia="Calibri" w:hAnsi="Arial" w:cs="Arial"/>
          <w:sz w:val="22"/>
        </w:rPr>
        <w:t xml:space="preserve"> “A doctor has a duty to protect unborn life</w:t>
      </w:r>
      <w:r w:rsidR="00706258" w:rsidRPr="00BE2697">
        <w:rPr>
          <w:rFonts w:ascii="Arial" w:eastAsia="Calibri" w:hAnsi="Arial" w:cs="Arial"/>
          <w:sz w:val="22"/>
        </w:rPr>
        <w:t>[</w:t>
      </w:r>
      <w:r w:rsidR="006B3649">
        <w:rPr>
          <w:rFonts w:ascii="Arial" w:eastAsia="Calibri" w:hAnsi="Arial" w:cs="Arial"/>
          <w:sz w:val="22"/>
        </w:rPr>
        <w:t>,</w:t>
      </w:r>
      <w:r w:rsidR="00706258" w:rsidRPr="00BE2697">
        <w:rPr>
          <w:rFonts w:ascii="Arial" w:eastAsia="Calibri" w:hAnsi="Arial" w:cs="Arial"/>
          <w:sz w:val="22"/>
        </w:rPr>
        <w:t>]”</w:t>
      </w:r>
      <w:r w:rsidR="006B3649">
        <w:rPr>
          <w:rFonts w:ascii="Arial" w:eastAsia="Calibri" w:hAnsi="Arial" w:cs="Arial"/>
          <w:sz w:val="22"/>
        </w:rPr>
        <w:t xml:space="preserve"> and although Latvia’s Soviet heritage has led to abortion being legal in the country, this is nevertheless a recognition of the inherent value of unborn life.</w:t>
      </w:r>
      <w:r w:rsidR="00706258" w:rsidRPr="00BE2697">
        <w:rPr>
          <w:rFonts w:ascii="Arial" w:eastAsia="Calibri" w:hAnsi="Arial" w:cs="Arial"/>
          <w:sz w:val="22"/>
        </w:rPr>
        <w:t xml:space="preserve"> </w:t>
      </w:r>
      <w:r w:rsidRPr="00BE2697">
        <w:rPr>
          <w:rFonts w:ascii="Arial" w:eastAsia="Calibri" w:hAnsi="Arial" w:cs="Arial"/>
          <w:sz w:val="22"/>
        </w:rPr>
        <w:t xml:space="preserve">Legislation in Poland states that </w:t>
      </w:r>
      <w:r w:rsidR="00623B4E" w:rsidRPr="00BE2697">
        <w:rPr>
          <w:rFonts w:ascii="Arial" w:eastAsia="Calibri" w:hAnsi="Arial" w:cs="Arial"/>
          <w:sz w:val="22"/>
        </w:rPr>
        <w:t>“every human being shall have an inherent right to life from the moment of conception”</w:t>
      </w:r>
      <w:r w:rsidR="00623B4E" w:rsidRPr="00BE2697">
        <w:rPr>
          <w:rFonts w:ascii="Arial" w:eastAsia="Calibri" w:hAnsi="Arial" w:cs="Arial"/>
          <w:sz w:val="22"/>
          <w:vertAlign w:val="superscript"/>
        </w:rPr>
        <w:footnoteReference w:id="28"/>
      </w:r>
      <w:r w:rsidR="00623B4E" w:rsidRPr="00BE2697">
        <w:rPr>
          <w:rFonts w:ascii="Arial" w:eastAsia="Calibri" w:hAnsi="Arial" w:cs="Arial"/>
          <w:sz w:val="22"/>
        </w:rPr>
        <w:t xml:space="preserve"> and that life shall be protected “including in the prenatal phase</w:t>
      </w:r>
      <w:r w:rsidR="006B3649">
        <w:rPr>
          <w:rFonts w:ascii="Arial" w:eastAsia="Calibri" w:hAnsi="Arial" w:cs="Arial"/>
          <w:sz w:val="22"/>
        </w:rPr>
        <w:t>,</w:t>
      </w:r>
      <w:r w:rsidR="00623B4E" w:rsidRPr="00BE2697">
        <w:rPr>
          <w:rFonts w:ascii="Arial" w:eastAsia="Calibri" w:hAnsi="Arial" w:cs="Arial"/>
          <w:sz w:val="22"/>
        </w:rPr>
        <w:t xml:space="preserve">” </w:t>
      </w:r>
      <w:r w:rsidR="006B3649">
        <w:rPr>
          <w:rFonts w:ascii="Arial" w:eastAsia="Calibri" w:hAnsi="Arial" w:cs="Arial"/>
          <w:sz w:val="22"/>
        </w:rPr>
        <w:t>and this has been reflected in Poland’s laws regarding abortion.</w:t>
      </w:r>
    </w:p>
    <w:p w14:paraId="19133A89" w14:textId="76498CE9" w:rsidR="00623B4E" w:rsidRPr="00BE2697" w:rsidRDefault="00CB6CDE" w:rsidP="007B6F62">
      <w:pPr>
        <w:pStyle w:val="CourtNumberedpara"/>
        <w:spacing w:line="276" w:lineRule="auto"/>
        <w:jc w:val="both"/>
        <w:rPr>
          <w:rFonts w:ascii="Arial" w:hAnsi="Arial" w:cs="Arial"/>
          <w:sz w:val="22"/>
        </w:rPr>
      </w:pPr>
      <w:r>
        <w:rPr>
          <w:rFonts w:ascii="Arial" w:hAnsi="Arial" w:cs="Arial"/>
          <w:sz w:val="22"/>
        </w:rPr>
        <w:lastRenderedPageBreak/>
        <w:t>Laws in</w:t>
      </w:r>
      <w:r w:rsidR="00CA010B" w:rsidRPr="00BE2697">
        <w:rPr>
          <w:rFonts w:ascii="Arial" w:hAnsi="Arial" w:cs="Arial"/>
          <w:sz w:val="22"/>
        </w:rPr>
        <w:t xml:space="preserve"> the United States also </w:t>
      </w:r>
      <w:r w:rsidR="00724AAC" w:rsidRPr="00BE2697">
        <w:rPr>
          <w:rFonts w:ascii="Arial" w:hAnsi="Arial" w:cs="Arial"/>
          <w:sz w:val="22"/>
        </w:rPr>
        <w:t>recognize</w:t>
      </w:r>
      <w:r w:rsidR="00FD0AEB">
        <w:rPr>
          <w:rFonts w:ascii="Arial" w:hAnsi="Arial" w:cs="Arial"/>
          <w:sz w:val="22"/>
        </w:rPr>
        <w:t xml:space="preserve"> that</w:t>
      </w:r>
      <w:r w:rsidR="00724AAC" w:rsidRPr="00BE2697">
        <w:rPr>
          <w:rFonts w:ascii="Arial" w:hAnsi="Arial" w:cs="Arial"/>
          <w:sz w:val="22"/>
        </w:rPr>
        <w:t xml:space="preserve"> the unborn deserve protection and have their own legal rights</w:t>
      </w:r>
      <w:r w:rsidR="004A4EA2">
        <w:rPr>
          <w:rFonts w:ascii="Arial" w:hAnsi="Arial" w:cs="Arial"/>
          <w:sz w:val="22"/>
        </w:rPr>
        <w:t xml:space="preserve">, despite the fact that the Supreme Court unilaterally and controversially imposed </w:t>
      </w:r>
      <w:r>
        <w:rPr>
          <w:rFonts w:ascii="Arial" w:hAnsi="Arial" w:cs="Arial"/>
          <w:sz w:val="22"/>
        </w:rPr>
        <w:t>legal abortion on the entire nation</w:t>
      </w:r>
      <w:r w:rsidR="004A4EA2">
        <w:rPr>
          <w:rFonts w:ascii="Arial" w:hAnsi="Arial" w:cs="Arial"/>
          <w:sz w:val="22"/>
        </w:rPr>
        <w:t xml:space="preserve"> </w:t>
      </w:r>
      <w:r>
        <w:rPr>
          <w:rFonts w:ascii="Arial" w:hAnsi="Arial" w:cs="Arial"/>
          <w:sz w:val="22"/>
        </w:rPr>
        <w:t xml:space="preserve">in </w:t>
      </w:r>
      <w:r w:rsidRPr="00117F39">
        <w:rPr>
          <w:rFonts w:ascii="Arial" w:hAnsi="Arial" w:cs="Arial"/>
          <w:i/>
          <w:sz w:val="22"/>
        </w:rPr>
        <w:t>Roe v. Wade</w:t>
      </w:r>
      <w:r w:rsidR="00CA010B" w:rsidRPr="00BE2697">
        <w:rPr>
          <w:rFonts w:ascii="Arial" w:hAnsi="Arial" w:cs="Arial"/>
          <w:sz w:val="22"/>
        </w:rPr>
        <w:t>. For example, t</w:t>
      </w:r>
      <w:r w:rsidR="00623B4E" w:rsidRPr="00BE2697">
        <w:rPr>
          <w:rFonts w:ascii="Arial" w:hAnsi="Arial" w:cs="Arial"/>
          <w:sz w:val="22"/>
        </w:rPr>
        <w:t xml:space="preserve">he </w:t>
      </w:r>
      <w:r w:rsidR="00E177A6" w:rsidRPr="00BE2697">
        <w:rPr>
          <w:rFonts w:ascii="Arial" w:hAnsi="Arial" w:cs="Arial"/>
          <w:sz w:val="22"/>
        </w:rPr>
        <w:t xml:space="preserve">federal </w:t>
      </w:r>
      <w:r w:rsidR="00623B4E" w:rsidRPr="00117F39">
        <w:rPr>
          <w:rFonts w:ascii="Arial" w:hAnsi="Arial" w:cs="Arial"/>
          <w:i/>
          <w:sz w:val="22"/>
        </w:rPr>
        <w:t>Unborn Victims of Violence Act</w:t>
      </w:r>
      <w:r w:rsidR="00623B4E" w:rsidRPr="00BE2697">
        <w:rPr>
          <w:rFonts w:ascii="Arial" w:hAnsi="Arial" w:cs="Arial"/>
          <w:sz w:val="22"/>
        </w:rPr>
        <w:t xml:space="preserve"> recognizes </w:t>
      </w:r>
      <w:r w:rsidR="00A3577C" w:rsidRPr="00BE2697">
        <w:rPr>
          <w:rFonts w:ascii="Arial" w:hAnsi="Arial" w:cs="Arial"/>
          <w:sz w:val="22"/>
        </w:rPr>
        <w:t xml:space="preserve">an unborn child </w:t>
      </w:r>
      <w:r w:rsidR="007000B3" w:rsidRPr="00BE2697">
        <w:rPr>
          <w:rFonts w:ascii="Arial" w:hAnsi="Arial" w:cs="Arial"/>
          <w:sz w:val="22"/>
        </w:rPr>
        <w:t xml:space="preserve">as a legal victim when </w:t>
      </w:r>
      <w:r w:rsidR="00F44444" w:rsidRPr="00BE2697">
        <w:rPr>
          <w:rFonts w:ascii="Arial" w:hAnsi="Arial" w:cs="Arial"/>
          <w:sz w:val="22"/>
        </w:rPr>
        <w:t>it</w:t>
      </w:r>
      <w:r w:rsidR="007000B3" w:rsidRPr="00BE2697">
        <w:rPr>
          <w:rFonts w:ascii="Arial" w:hAnsi="Arial" w:cs="Arial"/>
          <w:sz w:val="22"/>
        </w:rPr>
        <w:t xml:space="preserve"> is killed or injured during a federal crime of violence</w:t>
      </w:r>
      <w:r w:rsidR="00A3577C" w:rsidRPr="00BE2697">
        <w:rPr>
          <w:rFonts w:ascii="Arial" w:hAnsi="Arial" w:cs="Arial"/>
          <w:sz w:val="22"/>
        </w:rPr>
        <w:t>, with rights distinct from those of the mother</w:t>
      </w:r>
      <w:r w:rsidR="00623B4E" w:rsidRPr="00BE2697">
        <w:rPr>
          <w:rFonts w:ascii="Arial" w:hAnsi="Arial" w:cs="Arial"/>
          <w:sz w:val="22"/>
        </w:rPr>
        <w:t xml:space="preserve">. The law defines </w:t>
      </w:r>
      <w:r w:rsidR="00A3577C" w:rsidRPr="00BE2697">
        <w:rPr>
          <w:rFonts w:ascii="Arial" w:hAnsi="Arial" w:cs="Arial"/>
          <w:sz w:val="22"/>
        </w:rPr>
        <w:t xml:space="preserve">“unborn child” as a </w:t>
      </w:r>
      <w:r w:rsidR="00623B4E" w:rsidRPr="00BE2697">
        <w:rPr>
          <w:rFonts w:ascii="Arial" w:hAnsi="Arial" w:cs="Arial"/>
          <w:sz w:val="22"/>
        </w:rPr>
        <w:t>“child in utero</w:t>
      </w:r>
      <w:r w:rsidR="00A3577C" w:rsidRPr="00BE2697">
        <w:rPr>
          <w:rFonts w:ascii="Arial" w:hAnsi="Arial" w:cs="Arial"/>
          <w:sz w:val="22"/>
        </w:rPr>
        <w:t>,</w:t>
      </w:r>
      <w:r w:rsidR="00623B4E" w:rsidRPr="00BE2697">
        <w:rPr>
          <w:rFonts w:ascii="Arial" w:hAnsi="Arial" w:cs="Arial"/>
          <w:sz w:val="22"/>
        </w:rPr>
        <w:t>”</w:t>
      </w:r>
      <w:r w:rsidR="00A3577C" w:rsidRPr="00BE2697">
        <w:rPr>
          <w:rFonts w:ascii="Arial" w:hAnsi="Arial" w:cs="Arial"/>
          <w:sz w:val="22"/>
        </w:rPr>
        <w:t xml:space="preserve"> which in turn is</w:t>
      </w:r>
      <w:r w:rsidR="00623B4E" w:rsidRPr="00BE2697">
        <w:rPr>
          <w:rFonts w:ascii="Arial" w:hAnsi="Arial" w:cs="Arial"/>
          <w:sz w:val="22"/>
        </w:rPr>
        <w:t xml:space="preserve"> “a member of the species Homo sapiens, at any stage of development, who is carried in the womb.”</w:t>
      </w:r>
      <w:r w:rsidR="00623B4E" w:rsidRPr="00BE2697">
        <w:rPr>
          <w:rFonts w:ascii="Arial" w:hAnsi="Arial" w:cs="Arial"/>
          <w:sz w:val="22"/>
          <w:vertAlign w:val="superscript"/>
        </w:rPr>
        <w:footnoteReference w:id="29"/>
      </w:r>
      <w:r w:rsidR="00253C19" w:rsidRPr="00BE2697">
        <w:rPr>
          <w:rFonts w:ascii="Arial" w:hAnsi="Arial" w:cs="Arial"/>
          <w:sz w:val="22"/>
        </w:rPr>
        <w:t xml:space="preserve"> Further</w:t>
      </w:r>
      <w:r w:rsidR="00444FE1">
        <w:rPr>
          <w:rFonts w:ascii="Arial" w:hAnsi="Arial" w:cs="Arial"/>
          <w:sz w:val="22"/>
        </w:rPr>
        <w:t>more</w:t>
      </w:r>
      <w:r w:rsidR="00253C19" w:rsidRPr="00BE2697">
        <w:rPr>
          <w:rFonts w:ascii="Arial" w:hAnsi="Arial" w:cs="Arial"/>
          <w:sz w:val="22"/>
        </w:rPr>
        <w:t>, at least 38 of the 50 U.S. states have fetal homicide laws.</w:t>
      </w:r>
      <w:r w:rsidR="00253C19" w:rsidRPr="00BE2697">
        <w:rPr>
          <w:rFonts w:ascii="Arial" w:hAnsi="Arial" w:cs="Arial"/>
          <w:sz w:val="22"/>
          <w:vertAlign w:val="superscript"/>
        </w:rPr>
        <w:footnoteReference w:id="30"/>
      </w:r>
    </w:p>
    <w:p w14:paraId="11B94EAC" w14:textId="77777777" w:rsidR="00775177" w:rsidRPr="00775177" w:rsidRDefault="00253C19">
      <w:pPr>
        <w:pStyle w:val="CourtNumberedpara"/>
        <w:spacing w:line="276" w:lineRule="auto"/>
        <w:jc w:val="both"/>
        <w:rPr>
          <w:rFonts w:ascii="Arial" w:hAnsi="Arial" w:cs="Arial"/>
          <w:sz w:val="22"/>
        </w:rPr>
      </w:pPr>
      <w:r w:rsidRPr="00BE2697">
        <w:rPr>
          <w:rFonts w:ascii="Arial" w:hAnsi="Arial" w:cs="Arial"/>
          <w:sz w:val="22"/>
        </w:rPr>
        <w:t xml:space="preserve">These national legal provisions, in addition to the </w:t>
      </w:r>
      <w:r w:rsidR="00E11468">
        <w:rPr>
          <w:rFonts w:ascii="Arial" w:hAnsi="Arial" w:cs="Arial"/>
          <w:sz w:val="22"/>
        </w:rPr>
        <w:t xml:space="preserve">international instruments listed above, </w:t>
      </w:r>
      <w:r w:rsidRPr="00BE2697">
        <w:rPr>
          <w:rFonts w:ascii="Arial" w:hAnsi="Arial" w:cs="Arial"/>
          <w:sz w:val="22"/>
        </w:rPr>
        <w:t xml:space="preserve">are compatible with the growing international consensus in favour of broad protection for human life </w:t>
      </w:r>
      <w:r w:rsidR="00834295" w:rsidRPr="00BE2697">
        <w:rPr>
          <w:rFonts w:ascii="Arial" w:hAnsi="Arial" w:cs="Arial"/>
          <w:sz w:val="22"/>
        </w:rPr>
        <w:t>throughout its</w:t>
      </w:r>
      <w:r w:rsidRPr="00BE2697">
        <w:rPr>
          <w:rFonts w:ascii="Arial" w:hAnsi="Arial" w:cs="Arial"/>
          <w:sz w:val="22"/>
        </w:rPr>
        <w:t xml:space="preserve"> stages of development. </w:t>
      </w:r>
    </w:p>
    <w:p w14:paraId="1A949244" w14:textId="77777777" w:rsidR="006F5209" w:rsidRPr="00BE2697" w:rsidRDefault="00A070FA" w:rsidP="00E91F71">
      <w:pPr>
        <w:pStyle w:val="CourtNumberedpara"/>
        <w:numPr>
          <w:ilvl w:val="0"/>
          <w:numId w:val="6"/>
        </w:numPr>
        <w:spacing w:before="0" w:after="0"/>
        <w:ind w:right="1107"/>
        <w:jc w:val="both"/>
        <w:rPr>
          <w:rFonts w:ascii="Arial" w:hAnsi="Arial" w:cs="Arial"/>
          <w:b/>
          <w:sz w:val="22"/>
        </w:rPr>
      </w:pPr>
      <w:r w:rsidRPr="00BE2697">
        <w:rPr>
          <w:rFonts w:ascii="Arial" w:hAnsi="Arial" w:cs="Arial"/>
          <w:b/>
          <w:sz w:val="22"/>
        </w:rPr>
        <w:t>Definition</w:t>
      </w:r>
      <w:r w:rsidR="00895ACA" w:rsidRPr="00BE2697">
        <w:rPr>
          <w:rFonts w:ascii="Arial" w:hAnsi="Arial" w:cs="Arial"/>
          <w:b/>
          <w:sz w:val="22"/>
        </w:rPr>
        <w:t xml:space="preserve"> of the Unborn and </w:t>
      </w:r>
      <w:r w:rsidRPr="00BE2697">
        <w:rPr>
          <w:rFonts w:ascii="Arial" w:hAnsi="Arial" w:cs="Arial"/>
          <w:b/>
          <w:sz w:val="22"/>
        </w:rPr>
        <w:t xml:space="preserve">Applicability of the Right to Life to </w:t>
      </w:r>
      <w:r w:rsidR="00895ACA" w:rsidRPr="00BE2697">
        <w:rPr>
          <w:rFonts w:ascii="Arial" w:hAnsi="Arial" w:cs="Arial"/>
          <w:b/>
          <w:sz w:val="22"/>
        </w:rPr>
        <w:t>Human Embryos</w:t>
      </w:r>
    </w:p>
    <w:p w14:paraId="50BBE9AF" w14:textId="77777777" w:rsidR="00D91148" w:rsidRPr="00BE2697" w:rsidRDefault="00083FA3" w:rsidP="00D12C05">
      <w:pPr>
        <w:pStyle w:val="Subheading"/>
        <w:spacing w:line="276" w:lineRule="auto"/>
        <w:ind w:firstLine="360"/>
        <w:jc w:val="both"/>
        <w:rPr>
          <w:rFonts w:ascii="Arial" w:hAnsi="Arial" w:cs="Arial"/>
          <w:sz w:val="22"/>
        </w:rPr>
      </w:pPr>
      <w:r w:rsidRPr="00BE2697">
        <w:rPr>
          <w:rFonts w:ascii="Arial" w:hAnsi="Arial" w:cs="Arial"/>
          <w:sz w:val="22"/>
        </w:rPr>
        <w:t>Definition of Unborn</w:t>
      </w:r>
    </w:p>
    <w:p w14:paraId="5400B424" w14:textId="77777777" w:rsidR="00D565DA" w:rsidRPr="00BE2697" w:rsidRDefault="00634954" w:rsidP="007B6F62">
      <w:pPr>
        <w:pStyle w:val="CourtNumberedpara"/>
        <w:spacing w:line="276" w:lineRule="auto"/>
        <w:jc w:val="both"/>
        <w:rPr>
          <w:rFonts w:ascii="Arial" w:hAnsi="Arial" w:cs="Arial"/>
          <w:sz w:val="22"/>
        </w:rPr>
      </w:pPr>
      <w:r w:rsidRPr="00BE2697">
        <w:rPr>
          <w:rFonts w:ascii="Arial" w:hAnsi="Arial" w:cs="Arial"/>
          <w:sz w:val="22"/>
        </w:rPr>
        <w:t xml:space="preserve">Given the references to the pregnant woman in the ICCPR and the unborn in the CRC, the right to life, including that guaranteed in Article 6 of the ICCPR, </w:t>
      </w:r>
      <w:r w:rsidR="00E11468">
        <w:rPr>
          <w:rFonts w:ascii="Arial" w:hAnsi="Arial" w:cs="Arial"/>
          <w:sz w:val="22"/>
        </w:rPr>
        <w:t xml:space="preserve">can and should be </w:t>
      </w:r>
      <w:r w:rsidRPr="00BE2697">
        <w:rPr>
          <w:rFonts w:ascii="Arial" w:hAnsi="Arial" w:cs="Arial"/>
          <w:sz w:val="22"/>
        </w:rPr>
        <w:t>applie</w:t>
      </w:r>
      <w:r w:rsidR="00E11468">
        <w:rPr>
          <w:rFonts w:ascii="Arial" w:hAnsi="Arial" w:cs="Arial"/>
          <w:sz w:val="22"/>
        </w:rPr>
        <w:t>d</w:t>
      </w:r>
      <w:r w:rsidRPr="00BE2697">
        <w:rPr>
          <w:rFonts w:ascii="Arial" w:hAnsi="Arial" w:cs="Arial"/>
          <w:sz w:val="22"/>
        </w:rPr>
        <w:t xml:space="preserve"> to the human life being carried by the pregnant woman. The right to life </w:t>
      </w:r>
      <w:r w:rsidR="00E11468">
        <w:rPr>
          <w:rFonts w:ascii="Arial" w:hAnsi="Arial" w:cs="Arial"/>
          <w:sz w:val="22"/>
        </w:rPr>
        <w:t xml:space="preserve">should </w:t>
      </w:r>
      <w:r w:rsidRPr="00BE2697">
        <w:rPr>
          <w:rFonts w:ascii="Arial" w:hAnsi="Arial" w:cs="Arial"/>
          <w:sz w:val="22"/>
        </w:rPr>
        <w:t>attach as soon as the life is created, that is, at the moment of fertilization.</w:t>
      </w:r>
    </w:p>
    <w:p w14:paraId="3A0BB38D" w14:textId="77777777" w:rsidR="002A3D66" w:rsidRPr="00BE2697" w:rsidRDefault="002A3D66" w:rsidP="007B6F62">
      <w:pPr>
        <w:pStyle w:val="CourtNumberedpara"/>
        <w:spacing w:line="276" w:lineRule="auto"/>
        <w:jc w:val="both"/>
        <w:rPr>
          <w:rFonts w:ascii="Arial" w:hAnsi="Arial" w:cs="Arial"/>
          <w:sz w:val="22"/>
        </w:rPr>
      </w:pPr>
      <w:r w:rsidRPr="00BE2697">
        <w:rPr>
          <w:rFonts w:ascii="Arial" w:hAnsi="Arial" w:cs="Arial"/>
          <w:sz w:val="22"/>
        </w:rPr>
        <w:t>Th</w:t>
      </w:r>
      <w:r w:rsidR="007C31DE" w:rsidRPr="00BE2697">
        <w:rPr>
          <w:rFonts w:ascii="Arial" w:hAnsi="Arial" w:cs="Arial"/>
          <w:sz w:val="22"/>
        </w:rPr>
        <w:t xml:space="preserve">is </w:t>
      </w:r>
      <w:r w:rsidR="0068379C">
        <w:rPr>
          <w:rFonts w:ascii="Arial" w:hAnsi="Arial" w:cs="Arial"/>
          <w:sz w:val="22"/>
        </w:rPr>
        <w:t xml:space="preserve">conclusion </w:t>
      </w:r>
      <w:r w:rsidR="007C31DE" w:rsidRPr="00BE2697">
        <w:rPr>
          <w:rFonts w:ascii="Arial" w:hAnsi="Arial" w:cs="Arial"/>
          <w:sz w:val="22"/>
        </w:rPr>
        <w:t>is supported by th</w:t>
      </w:r>
      <w:r w:rsidRPr="00BE2697">
        <w:rPr>
          <w:rFonts w:ascii="Arial" w:hAnsi="Arial" w:cs="Arial"/>
          <w:sz w:val="22"/>
        </w:rPr>
        <w:t>e language of the CRC preamble</w:t>
      </w:r>
      <w:r w:rsidR="00D565DA" w:rsidRPr="00BE2697">
        <w:rPr>
          <w:rFonts w:ascii="Arial" w:hAnsi="Arial" w:cs="Arial"/>
          <w:sz w:val="22"/>
        </w:rPr>
        <w:t xml:space="preserve">, </w:t>
      </w:r>
      <w:r w:rsidR="007C31DE" w:rsidRPr="00BE2697">
        <w:rPr>
          <w:rFonts w:ascii="Arial" w:hAnsi="Arial" w:cs="Arial"/>
          <w:sz w:val="22"/>
        </w:rPr>
        <w:t xml:space="preserve">which </w:t>
      </w:r>
      <w:r w:rsidR="00764C32">
        <w:rPr>
          <w:rFonts w:ascii="Arial" w:hAnsi="Arial" w:cs="Arial"/>
          <w:sz w:val="22"/>
        </w:rPr>
        <w:t xml:space="preserve">purposefully </w:t>
      </w:r>
      <w:r w:rsidR="00895ACA" w:rsidRPr="00BE2697">
        <w:rPr>
          <w:rFonts w:ascii="Arial" w:hAnsi="Arial" w:cs="Arial"/>
          <w:sz w:val="22"/>
        </w:rPr>
        <w:t>does</w:t>
      </w:r>
      <w:r w:rsidR="00D565DA" w:rsidRPr="00BE2697">
        <w:rPr>
          <w:rFonts w:ascii="Arial" w:hAnsi="Arial" w:cs="Arial"/>
          <w:sz w:val="22"/>
        </w:rPr>
        <w:t xml:space="preserve"> not establish a beginning point at</w:t>
      </w:r>
      <w:r w:rsidR="007C31DE" w:rsidRPr="00BE2697">
        <w:rPr>
          <w:rFonts w:ascii="Arial" w:hAnsi="Arial" w:cs="Arial"/>
          <w:sz w:val="22"/>
        </w:rPr>
        <w:t xml:space="preserve"> which a child needs protection</w:t>
      </w:r>
      <w:r w:rsidR="00895ACA" w:rsidRPr="00BE2697">
        <w:rPr>
          <w:rFonts w:ascii="Arial" w:hAnsi="Arial" w:cs="Arial"/>
          <w:sz w:val="22"/>
        </w:rPr>
        <w:t>,</w:t>
      </w:r>
      <w:r w:rsidRPr="00BE2697">
        <w:rPr>
          <w:rFonts w:ascii="Arial" w:hAnsi="Arial" w:cs="Arial"/>
          <w:sz w:val="22"/>
        </w:rPr>
        <w:t xml:space="preserve"> suggest</w:t>
      </w:r>
      <w:r w:rsidR="00895ACA" w:rsidRPr="00BE2697">
        <w:rPr>
          <w:rFonts w:ascii="Arial" w:hAnsi="Arial" w:cs="Arial"/>
          <w:sz w:val="22"/>
        </w:rPr>
        <w:t>ing</w:t>
      </w:r>
      <w:r w:rsidR="00D565DA" w:rsidRPr="00BE2697">
        <w:rPr>
          <w:rFonts w:ascii="Arial" w:hAnsi="Arial" w:cs="Arial"/>
          <w:sz w:val="22"/>
        </w:rPr>
        <w:t xml:space="preserve"> that the unborn child is human life at</w:t>
      </w:r>
      <w:r w:rsidRPr="00BE2697">
        <w:rPr>
          <w:rFonts w:ascii="Arial" w:hAnsi="Arial" w:cs="Arial"/>
          <w:sz w:val="22"/>
        </w:rPr>
        <w:t xml:space="preserve"> any </w:t>
      </w:r>
      <w:r w:rsidR="00D565DA" w:rsidRPr="00BE2697">
        <w:rPr>
          <w:rFonts w:ascii="Arial" w:hAnsi="Arial" w:cs="Arial"/>
          <w:sz w:val="22"/>
        </w:rPr>
        <w:t>point</w:t>
      </w:r>
      <w:r w:rsidRPr="00BE2697">
        <w:rPr>
          <w:rFonts w:ascii="Arial" w:hAnsi="Arial" w:cs="Arial"/>
          <w:sz w:val="22"/>
        </w:rPr>
        <w:t xml:space="preserve"> before birth.</w:t>
      </w:r>
      <w:r w:rsidR="00E7153B" w:rsidRPr="00BE2697">
        <w:rPr>
          <w:rFonts w:ascii="Arial" w:hAnsi="Arial" w:cs="Arial"/>
          <w:sz w:val="22"/>
        </w:rPr>
        <w:t xml:space="preserve"> </w:t>
      </w:r>
    </w:p>
    <w:p w14:paraId="6DF40655" w14:textId="7EAFD022" w:rsidR="002A3D66" w:rsidRPr="00BE2697" w:rsidRDefault="007C31DE" w:rsidP="007B6F62">
      <w:pPr>
        <w:pStyle w:val="CourtNumberedpara"/>
        <w:spacing w:line="276" w:lineRule="auto"/>
        <w:jc w:val="both"/>
        <w:rPr>
          <w:rFonts w:ascii="Arial" w:hAnsi="Arial" w:cs="Arial"/>
          <w:sz w:val="22"/>
        </w:rPr>
      </w:pPr>
      <w:r w:rsidRPr="00BE2697">
        <w:rPr>
          <w:rFonts w:ascii="Arial" w:hAnsi="Arial" w:cs="Arial"/>
          <w:sz w:val="22"/>
        </w:rPr>
        <w:t>T</w:t>
      </w:r>
      <w:r w:rsidR="00D565DA" w:rsidRPr="00BE2697">
        <w:rPr>
          <w:rFonts w:ascii="Arial" w:hAnsi="Arial" w:cs="Arial"/>
          <w:sz w:val="22"/>
        </w:rPr>
        <w:t xml:space="preserve">he </w:t>
      </w:r>
      <w:r w:rsidR="006B3649">
        <w:rPr>
          <w:rFonts w:ascii="Arial" w:hAnsi="Arial" w:cs="Arial"/>
          <w:sz w:val="22"/>
        </w:rPr>
        <w:t>United States</w:t>
      </w:r>
      <w:r w:rsidR="00D565DA" w:rsidRPr="00BE2697">
        <w:rPr>
          <w:rFonts w:ascii="Arial" w:hAnsi="Arial" w:cs="Arial"/>
          <w:sz w:val="22"/>
        </w:rPr>
        <w:t xml:space="preserve"> </w:t>
      </w:r>
      <w:r w:rsidR="00D565DA" w:rsidRPr="00117F39">
        <w:rPr>
          <w:rFonts w:ascii="Arial" w:hAnsi="Arial" w:cs="Arial"/>
          <w:i/>
          <w:sz w:val="22"/>
        </w:rPr>
        <w:t>Unborn Victims of Violence Act</w:t>
      </w:r>
      <w:r w:rsidR="00D565DA" w:rsidRPr="00BE2697">
        <w:rPr>
          <w:rFonts w:ascii="Arial" w:hAnsi="Arial" w:cs="Arial"/>
          <w:sz w:val="22"/>
        </w:rPr>
        <w:t xml:space="preserve"> </w:t>
      </w:r>
      <w:r w:rsidRPr="00BE2697">
        <w:rPr>
          <w:rFonts w:ascii="Arial" w:hAnsi="Arial" w:cs="Arial"/>
          <w:sz w:val="22"/>
        </w:rPr>
        <w:t>is instructive. It gives legal rights to the</w:t>
      </w:r>
      <w:r w:rsidR="00D565DA" w:rsidRPr="00BE2697">
        <w:rPr>
          <w:rFonts w:ascii="Arial" w:hAnsi="Arial" w:cs="Arial"/>
          <w:sz w:val="22"/>
        </w:rPr>
        <w:t xml:space="preserve"> “unborn child</w:t>
      </w:r>
      <w:r w:rsidRPr="00BE2697">
        <w:rPr>
          <w:rFonts w:ascii="Arial" w:hAnsi="Arial" w:cs="Arial"/>
          <w:sz w:val="22"/>
        </w:rPr>
        <w:t>,</w:t>
      </w:r>
      <w:r w:rsidR="00D565DA" w:rsidRPr="00BE2697">
        <w:rPr>
          <w:rFonts w:ascii="Arial" w:hAnsi="Arial" w:cs="Arial"/>
          <w:sz w:val="22"/>
        </w:rPr>
        <w:t xml:space="preserve">” </w:t>
      </w:r>
      <w:r w:rsidRPr="00BE2697">
        <w:rPr>
          <w:rFonts w:ascii="Arial" w:hAnsi="Arial" w:cs="Arial"/>
          <w:sz w:val="22"/>
        </w:rPr>
        <w:t xml:space="preserve">defined </w:t>
      </w:r>
      <w:r w:rsidR="00D565DA" w:rsidRPr="00BE2697">
        <w:rPr>
          <w:rFonts w:ascii="Arial" w:hAnsi="Arial" w:cs="Arial"/>
          <w:sz w:val="22"/>
        </w:rPr>
        <w:t>as “a member of the species Homo sapiens, at any stage of development, who is carried in the womb.” This includes</w:t>
      </w:r>
      <w:r w:rsidR="001A7828" w:rsidRPr="00BE2697">
        <w:rPr>
          <w:rFonts w:ascii="Arial" w:hAnsi="Arial" w:cs="Arial"/>
          <w:sz w:val="22"/>
        </w:rPr>
        <w:t xml:space="preserve"> the</w:t>
      </w:r>
      <w:r w:rsidR="00D565DA" w:rsidRPr="00BE2697">
        <w:rPr>
          <w:rFonts w:ascii="Arial" w:hAnsi="Arial" w:cs="Arial"/>
          <w:sz w:val="22"/>
        </w:rPr>
        <w:t xml:space="preserve"> </w:t>
      </w:r>
      <w:r w:rsidR="001A7828" w:rsidRPr="00BE2697">
        <w:rPr>
          <w:rFonts w:ascii="Arial" w:hAnsi="Arial" w:cs="Arial"/>
          <w:sz w:val="22"/>
        </w:rPr>
        <w:t>zygote, blastocyst, embryo, and f</w:t>
      </w:r>
      <w:r w:rsidR="00764C32">
        <w:rPr>
          <w:rFonts w:ascii="Arial" w:hAnsi="Arial" w:cs="Arial"/>
          <w:sz w:val="22"/>
        </w:rPr>
        <w:t>e</w:t>
      </w:r>
      <w:r w:rsidR="001A7828" w:rsidRPr="00BE2697">
        <w:rPr>
          <w:rFonts w:ascii="Arial" w:hAnsi="Arial" w:cs="Arial"/>
          <w:sz w:val="22"/>
        </w:rPr>
        <w:t>tus.</w:t>
      </w:r>
    </w:p>
    <w:p w14:paraId="45A3CA1D" w14:textId="77777777" w:rsidR="004A68DA" w:rsidRPr="00BE2697" w:rsidRDefault="00D565DA" w:rsidP="00D12C05">
      <w:pPr>
        <w:pStyle w:val="Subheading"/>
        <w:spacing w:line="276" w:lineRule="auto"/>
        <w:ind w:firstLine="432"/>
        <w:jc w:val="both"/>
        <w:rPr>
          <w:rFonts w:ascii="Arial" w:hAnsi="Arial" w:cs="Arial"/>
          <w:sz w:val="22"/>
        </w:rPr>
      </w:pPr>
      <w:r w:rsidRPr="00BE2697" w:rsidDel="00D565DA">
        <w:t xml:space="preserve"> </w:t>
      </w:r>
      <w:r w:rsidR="00D91148" w:rsidRPr="00BE2697">
        <w:rPr>
          <w:rFonts w:ascii="Arial" w:hAnsi="Arial" w:cs="Arial"/>
          <w:sz w:val="22"/>
        </w:rPr>
        <w:t xml:space="preserve">Applicability to </w:t>
      </w:r>
      <w:r w:rsidR="00634954" w:rsidRPr="00BE2697">
        <w:rPr>
          <w:rFonts w:ascii="Arial" w:hAnsi="Arial" w:cs="Arial"/>
          <w:sz w:val="22"/>
        </w:rPr>
        <w:t xml:space="preserve">human </w:t>
      </w:r>
      <w:r w:rsidR="00D91148" w:rsidRPr="00BE2697">
        <w:rPr>
          <w:rFonts w:ascii="Arial" w:hAnsi="Arial" w:cs="Arial"/>
          <w:sz w:val="22"/>
        </w:rPr>
        <w:t>embryos</w:t>
      </w:r>
    </w:p>
    <w:p w14:paraId="378D8F48" w14:textId="77777777" w:rsidR="00D91148" w:rsidRPr="00BE2697" w:rsidRDefault="00634954" w:rsidP="007B6F62">
      <w:pPr>
        <w:pStyle w:val="CourtNumberedpara"/>
        <w:spacing w:line="276" w:lineRule="auto"/>
        <w:jc w:val="both"/>
        <w:rPr>
          <w:rFonts w:ascii="Arial" w:hAnsi="Arial" w:cs="Arial"/>
          <w:sz w:val="22"/>
        </w:rPr>
      </w:pPr>
      <w:r w:rsidRPr="00BE2697">
        <w:rPr>
          <w:rFonts w:ascii="Arial" w:hAnsi="Arial" w:cs="Arial"/>
          <w:sz w:val="22"/>
        </w:rPr>
        <w:t>H</w:t>
      </w:r>
      <w:r w:rsidR="00D91148" w:rsidRPr="00BE2697">
        <w:rPr>
          <w:rFonts w:ascii="Arial" w:hAnsi="Arial" w:cs="Arial"/>
          <w:sz w:val="22"/>
        </w:rPr>
        <w:t xml:space="preserve">uman embryos </w:t>
      </w:r>
      <w:r w:rsidR="00D91148" w:rsidRPr="00BE2697">
        <w:rPr>
          <w:rFonts w:ascii="Arial" w:hAnsi="Arial" w:cs="Arial"/>
          <w:i/>
          <w:sz w:val="22"/>
        </w:rPr>
        <w:t>in vitro</w:t>
      </w:r>
      <w:r w:rsidRPr="00BE2697">
        <w:rPr>
          <w:rFonts w:ascii="Arial" w:hAnsi="Arial" w:cs="Arial"/>
          <w:sz w:val="22"/>
        </w:rPr>
        <w:t xml:space="preserve">, </w:t>
      </w:r>
      <w:r w:rsidR="004A68DA" w:rsidRPr="00BE2697">
        <w:rPr>
          <w:rFonts w:ascii="Arial" w:hAnsi="Arial" w:cs="Arial"/>
          <w:sz w:val="22"/>
        </w:rPr>
        <w:t xml:space="preserve">despite their location outside the womb, </w:t>
      </w:r>
      <w:r w:rsidRPr="00BE2697">
        <w:rPr>
          <w:rFonts w:ascii="Arial" w:hAnsi="Arial" w:cs="Arial"/>
          <w:sz w:val="22"/>
        </w:rPr>
        <w:t>also</w:t>
      </w:r>
      <w:r w:rsidR="00D91148" w:rsidRPr="00BE2697">
        <w:rPr>
          <w:rFonts w:ascii="Arial" w:hAnsi="Arial" w:cs="Arial"/>
          <w:sz w:val="22"/>
        </w:rPr>
        <w:t xml:space="preserve"> deserve protection.</w:t>
      </w:r>
      <w:r w:rsidR="0057369C" w:rsidRPr="00BE2697">
        <w:rPr>
          <w:rFonts w:ascii="Arial" w:hAnsi="Arial" w:cs="Arial"/>
          <w:sz w:val="22"/>
        </w:rPr>
        <w:t xml:space="preserve"> The ruling of the only international court ever to define directly when life begins, in a case involving the destruction of human embryos, is persuasive.</w:t>
      </w:r>
    </w:p>
    <w:p w14:paraId="4CBE8157" w14:textId="77777777" w:rsidR="00D91148" w:rsidRPr="00BE2697" w:rsidRDefault="00D91148" w:rsidP="007B6F62">
      <w:pPr>
        <w:pStyle w:val="CourtNumberedpara"/>
        <w:spacing w:line="276" w:lineRule="auto"/>
        <w:jc w:val="both"/>
        <w:rPr>
          <w:rFonts w:ascii="Arial" w:hAnsi="Arial" w:cs="Arial"/>
          <w:sz w:val="22"/>
        </w:rPr>
      </w:pPr>
      <w:r w:rsidRPr="00BE2697">
        <w:rPr>
          <w:rFonts w:ascii="Arial" w:hAnsi="Arial" w:cs="Arial"/>
          <w:sz w:val="22"/>
        </w:rPr>
        <w:t xml:space="preserve">In 2011, the Court of Justice of the European Union (CJEU), in </w:t>
      </w:r>
      <w:r w:rsidRPr="00BE2697">
        <w:rPr>
          <w:rFonts w:ascii="Arial" w:hAnsi="Arial" w:cs="Arial"/>
          <w:i/>
          <w:sz w:val="22"/>
        </w:rPr>
        <w:t>Oliver Brüstle v. Greenpeace e.V.</w:t>
      </w:r>
      <w:r w:rsidRPr="00BE2697">
        <w:rPr>
          <w:rFonts w:ascii="Arial" w:hAnsi="Arial" w:cs="Arial"/>
          <w:sz w:val="22"/>
        </w:rPr>
        <w:t xml:space="preserve">, a case on the patentability of a process that involved the destruction of human embryos, </w:t>
      </w:r>
      <w:r w:rsidR="004A68DA" w:rsidRPr="00BE2697">
        <w:rPr>
          <w:rFonts w:ascii="Arial" w:hAnsi="Arial" w:cs="Arial"/>
          <w:sz w:val="22"/>
        </w:rPr>
        <w:t>answered the question of w</w:t>
      </w:r>
      <w:r w:rsidRPr="00BE2697">
        <w:rPr>
          <w:rFonts w:ascii="Arial" w:hAnsi="Arial" w:cs="Arial"/>
          <w:sz w:val="22"/>
        </w:rPr>
        <w:t>hat is meant by the term “human embryo</w:t>
      </w:r>
      <w:r w:rsidR="004A68DA" w:rsidRPr="00BE2697">
        <w:rPr>
          <w:rFonts w:ascii="Arial" w:hAnsi="Arial" w:cs="Arial"/>
          <w:sz w:val="22"/>
        </w:rPr>
        <w:t>.”</w:t>
      </w:r>
      <w:r w:rsidR="00C8712D" w:rsidRPr="00BE2697">
        <w:rPr>
          <w:rStyle w:val="FootnoteReference"/>
          <w:rFonts w:ascii="Arial" w:hAnsi="Arial" w:cs="Arial"/>
          <w:sz w:val="22"/>
        </w:rPr>
        <w:footnoteReference w:id="31"/>
      </w:r>
    </w:p>
    <w:p w14:paraId="4374CBAF" w14:textId="77777777" w:rsidR="005254DB" w:rsidRDefault="00D91148" w:rsidP="007B6F62">
      <w:pPr>
        <w:pStyle w:val="CourtNumberedpara"/>
        <w:spacing w:line="276" w:lineRule="auto"/>
        <w:jc w:val="both"/>
        <w:rPr>
          <w:rFonts w:ascii="Arial" w:hAnsi="Arial" w:cs="Arial"/>
          <w:sz w:val="22"/>
        </w:rPr>
      </w:pPr>
      <w:r w:rsidRPr="00BE2697">
        <w:rPr>
          <w:rFonts w:ascii="Arial" w:hAnsi="Arial" w:cs="Arial"/>
          <w:sz w:val="22"/>
        </w:rPr>
        <w:t xml:space="preserve">The </w:t>
      </w:r>
      <w:r w:rsidR="006B66EA" w:rsidRPr="00BE2697">
        <w:rPr>
          <w:rFonts w:ascii="Arial" w:hAnsi="Arial" w:cs="Arial"/>
          <w:sz w:val="22"/>
        </w:rPr>
        <w:t xml:space="preserve">CJEU </w:t>
      </w:r>
      <w:r w:rsidRPr="00BE2697">
        <w:rPr>
          <w:rFonts w:ascii="Arial" w:hAnsi="Arial" w:cs="Arial"/>
          <w:sz w:val="22"/>
        </w:rPr>
        <w:t xml:space="preserve">noted that the European Union legislature had intended to exclude any possibility of patentability where respect for “human dignity” could be affected. Thus, </w:t>
      </w:r>
      <w:r w:rsidRPr="00BE2697">
        <w:rPr>
          <w:rFonts w:ascii="Arial" w:hAnsi="Arial" w:cs="Arial"/>
          <w:sz w:val="22"/>
        </w:rPr>
        <w:lastRenderedPageBreak/>
        <w:t>the concept of the human embryo must be understood in a wide sense.</w:t>
      </w:r>
      <w:r w:rsidR="00C8712D" w:rsidRPr="00BE2697">
        <w:rPr>
          <w:rStyle w:val="FootnoteReference"/>
          <w:rFonts w:ascii="Arial" w:hAnsi="Arial" w:cs="Arial"/>
          <w:sz w:val="22"/>
        </w:rPr>
        <w:footnoteReference w:id="32"/>
      </w:r>
      <w:r w:rsidRPr="00BE2697">
        <w:rPr>
          <w:rFonts w:ascii="Arial" w:hAnsi="Arial" w:cs="Arial"/>
          <w:sz w:val="22"/>
        </w:rPr>
        <w:t xml:space="preserve"> Accordingly, the </w:t>
      </w:r>
      <w:r w:rsidR="006B66EA" w:rsidRPr="00BE2697">
        <w:rPr>
          <w:rFonts w:ascii="Arial" w:hAnsi="Arial" w:cs="Arial"/>
          <w:sz w:val="22"/>
        </w:rPr>
        <w:t xml:space="preserve">CJEU </w:t>
      </w:r>
      <w:r w:rsidRPr="00BE2697">
        <w:rPr>
          <w:rFonts w:ascii="Arial" w:hAnsi="Arial" w:cs="Arial"/>
          <w:sz w:val="22"/>
        </w:rPr>
        <w:t>held that any human ovum must, as soon as fertilized, be regarded as a human embryo, since fertilization commence</w:t>
      </w:r>
      <w:r w:rsidR="006B66EA" w:rsidRPr="00BE2697">
        <w:rPr>
          <w:rFonts w:ascii="Arial" w:hAnsi="Arial" w:cs="Arial"/>
          <w:sz w:val="22"/>
        </w:rPr>
        <w:t>s</w:t>
      </w:r>
      <w:r w:rsidRPr="00BE2697">
        <w:rPr>
          <w:rFonts w:ascii="Arial" w:hAnsi="Arial" w:cs="Arial"/>
          <w:sz w:val="22"/>
        </w:rPr>
        <w:t xml:space="preserve"> the process of development of a human being. </w:t>
      </w:r>
    </w:p>
    <w:p w14:paraId="72B6D3AF" w14:textId="77777777" w:rsidR="005254DB" w:rsidRDefault="00D91148" w:rsidP="007B6F62">
      <w:pPr>
        <w:pStyle w:val="CourtNumberedpara"/>
        <w:spacing w:line="276" w:lineRule="auto"/>
        <w:jc w:val="both"/>
        <w:rPr>
          <w:rFonts w:ascii="Arial" w:hAnsi="Arial" w:cs="Arial"/>
          <w:sz w:val="22"/>
        </w:rPr>
      </w:pPr>
      <w:r w:rsidRPr="00BE2697">
        <w:rPr>
          <w:rFonts w:ascii="Arial" w:hAnsi="Arial" w:cs="Arial"/>
          <w:sz w:val="22"/>
        </w:rPr>
        <w:t xml:space="preserve">Moreover, the </w:t>
      </w:r>
      <w:r w:rsidR="006B66EA" w:rsidRPr="00BE2697">
        <w:rPr>
          <w:rFonts w:ascii="Arial" w:hAnsi="Arial" w:cs="Arial"/>
          <w:sz w:val="22"/>
        </w:rPr>
        <w:t xml:space="preserve">CJEU </w:t>
      </w:r>
      <w:r w:rsidRPr="00BE2697">
        <w:rPr>
          <w:rFonts w:ascii="Arial" w:hAnsi="Arial" w:cs="Arial"/>
          <w:sz w:val="22"/>
        </w:rPr>
        <w:t>held that the same classification must apply to a non-fertilized human ovum into which the cell nucleus from a mature human cell</w:t>
      </w:r>
      <w:r w:rsidR="00BC0CFF" w:rsidRPr="00BE2697">
        <w:rPr>
          <w:rFonts w:ascii="Arial" w:hAnsi="Arial" w:cs="Arial"/>
          <w:sz w:val="22"/>
        </w:rPr>
        <w:t>,</w:t>
      </w:r>
      <w:r w:rsidRPr="00BE2697">
        <w:rPr>
          <w:rFonts w:ascii="Arial" w:hAnsi="Arial" w:cs="Arial"/>
          <w:sz w:val="22"/>
        </w:rPr>
        <w:t xml:space="preserve"> has been transplanted, and a non-fertilized human ovum whose division and further development have been stimulated by parthenogenesis.</w:t>
      </w:r>
      <w:r w:rsidR="00C8712D" w:rsidRPr="00BE2697">
        <w:rPr>
          <w:rStyle w:val="FootnoteReference"/>
          <w:rFonts w:ascii="Arial" w:hAnsi="Arial" w:cs="Arial"/>
          <w:sz w:val="22"/>
        </w:rPr>
        <w:footnoteReference w:id="33"/>
      </w:r>
      <w:r w:rsidRPr="00BE2697">
        <w:rPr>
          <w:rFonts w:ascii="Arial" w:hAnsi="Arial" w:cs="Arial"/>
          <w:sz w:val="22"/>
        </w:rPr>
        <w:t xml:space="preserve"> Regarding stem cells obtained from a human embryo at the blastocyst stage, the C</w:t>
      </w:r>
      <w:r w:rsidR="006B66EA" w:rsidRPr="00BE2697">
        <w:rPr>
          <w:rFonts w:ascii="Arial" w:hAnsi="Arial" w:cs="Arial"/>
          <w:sz w:val="22"/>
        </w:rPr>
        <w:t>JEU</w:t>
      </w:r>
      <w:r w:rsidRPr="00BE2697">
        <w:rPr>
          <w:rFonts w:ascii="Arial" w:hAnsi="Arial" w:cs="Arial"/>
          <w:sz w:val="22"/>
        </w:rPr>
        <w:t xml:space="preserve"> held that it is for the referring court to ascertain, in the light of scientific developments, whether they are capable of “commencing the process of development of a human being” and therefore are included within the concept of the human embryo.</w:t>
      </w:r>
      <w:r w:rsidR="00C8712D" w:rsidRPr="00BE2697">
        <w:rPr>
          <w:rStyle w:val="FootnoteReference"/>
          <w:rFonts w:ascii="Arial" w:hAnsi="Arial" w:cs="Arial"/>
          <w:sz w:val="22"/>
        </w:rPr>
        <w:footnoteReference w:id="34"/>
      </w:r>
      <w:r w:rsidRPr="00BE2697">
        <w:rPr>
          <w:rFonts w:ascii="Arial" w:hAnsi="Arial" w:cs="Arial"/>
          <w:sz w:val="22"/>
        </w:rPr>
        <w:t xml:space="preserve"> </w:t>
      </w:r>
    </w:p>
    <w:p w14:paraId="6AE3DBFB" w14:textId="77777777" w:rsidR="004A68DA" w:rsidRPr="00BE2697" w:rsidRDefault="00D91148" w:rsidP="00117F39">
      <w:pPr>
        <w:pStyle w:val="CourtNumberedpara"/>
        <w:spacing w:before="0" w:line="276" w:lineRule="auto"/>
        <w:jc w:val="both"/>
        <w:rPr>
          <w:rFonts w:ascii="Arial" w:hAnsi="Arial" w:cs="Arial"/>
          <w:sz w:val="22"/>
        </w:rPr>
      </w:pPr>
      <w:r w:rsidRPr="00BE2697">
        <w:rPr>
          <w:rFonts w:ascii="Arial" w:hAnsi="Arial" w:cs="Arial"/>
          <w:sz w:val="22"/>
        </w:rPr>
        <w:t>Thus, the C</w:t>
      </w:r>
      <w:r w:rsidR="006B66EA" w:rsidRPr="00BE2697">
        <w:rPr>
          <w:rFonts w:ascii="Arial" w:hAnsi="Arial" w:cs="Arial"/>
          <w:sz w:val="22"/>
        </w:rPr>
        <w:t>JEU</w:t>
      </w:r>
      <w:r w:rsidRPr="00BE2697">
        <w:rPr>
          <w:rFonts w:ascii="Arial" w:hAnsi="Arial" w:cs="Arial"/>
          <w:sz w:val="22"/>
        </w:rPr>
        <w:t>—perhaps mindful of the fact that at present, stem cells obtained from a blastocyst are pluripotent and are incapable of developing into a human being—avoided stating that pluripotent cells are not regarded as human embryos. Instead</w:t>
      </w:r>
      <w:r w:rsidR="00BC0CFF" w:rsidRPr="00BE2697">
        <w:rPr>
          <w:rFonts w:ascii="Arial" w:hAnsi="Arial" w:cs="Arial"/>
          <w:sz w:val="22"/>
        </w:rPr>
        <w:t>,</w:t>
      </w:r>
      <w:r w:rsidRPr="00BE2697">
        <w:rPr>
          <w:rFonts w:ascii="Arial" w:hAnsi="Arial" w:cs="Arial"/>
          <w:sz w:val="22"/>
        </w:rPr>
        <w:t xml:space="preserve"> the </w:t>
      </w:r>
      <w:r w:rsidR="006B66EA" w:rsidRPr="00BE2697">
        <w:rPr>
          <w:rFonts w:ascii="Arial" w:hAnsi="Arial" w:cs="Arial"/>
          <w:sz w:val="22"/>
        </w:rPr>
        <w:t xml:space="preserve">CJEU </w:t>
      </w:r>
      <w:r w:rsidRPr="00BE2697">
        <w:rPr>
          <w:rFonts w:ascii="Arial" w:hAnsi="Arial" w:cs="Arial"/>
          <w:sz w:val="22"/>
        </w:rPr>
        <w:t xml:space="preserve">stated that if cells can commence the process of development into a human being, they must be protected within the concept of the human embryo. </w:t>
      </w:r>
    </w:p>
    <w:p w14:paraId="427B0C51" w14:textId="77777777" w:rsidR="00D91148" w:rsidRPr="00BE2697" w:rsidRDefault="00D91148" w:rsidP="00117F39">
      <w:pPr>
        <w:pStyle w:val="CourtNumberedpara"/>
        <w:spacing w:before="0" w:line="276" w:lineRule="auto"/>
        <w:jc w:val="both"/>
        <w:rPr>
          <w:rFonts w:ascii="Arial" w:hAnsi="Arial" w:cs="Arial"/>
          <w:sz w:val="22"/>
        </w:rPr>
      </w:pPr>
      <w:r w:rsidRPr="00BE2697">
        <w:rPr>
          <w:rFonts w:ascii="Arial" w:hAnsi="Arial" w:cs="Arial"/>
          <w:sz w:val="22"/>
        </w:rPr>
        <w:t xml:space="preserve">Precisely stated, the Grand Chamber of the </w:t>
      </w:r>
      <w:r w:rsidR="00764C32">
        <w:rPr>
          <w:rFonts w:ascii="Arial" w:hAnsi="Arial" w:cs="Arial"/>
          <w:sz w:val="22"/>
        </w:rPr>
        <w:t>CJEU</w:t>
      </w:r>
      <w:r w:rsidRPr="00BE2697">
        <w:rPr>
          <w:rFonts w:ascii="Arial" w:hAnsi="Arial" w:cs="Arial"/>
          <w:sz w:val="22"/>
        </w:rPr>
        <w:t xml:space="preserve"> ruled that in the context of European patent law, life begins from the moment of </w:t>
      </w:r>
      <w:r w:rsidR="004A68DA" w:rsidRPr="00BE2697">
        <w:rPr>
          <w:rFonts w:ascii="Arial" w:hAnsi="Arial" w:cs="Arial"/>
          <w:sz w:val="22"/>
        </w:rPr>
        <w:t>fertilization</w:t>
      </w:r>
      <w:r w:rsidRPr="00BE2697">
        <w:rPr>
          <w:rFonts w:ascii="Arial" w:hAnsi="Arial" w:cs="Arial"/>
          <w:sz w:val="22"/>
        </w:rPr>
        <w:t xml:space="preserve">. It further held that </w:t>
      </w:r>
      <w:r w:rsidR="004A68DA" w:rsidRPr="00BE2697">
        <w:rPr>
          <w:rFonts w:ascii="Arial" w:hAnsi="Arial" w:cs="Arial"/>
          <w:sz w:val="22"/>
        </w:rPr>
        <w:t xml:space="preserve">fertilization </w:t>
      </w:r>
      <w:r w:rsidRPr="00BE2697">
        <w:rPr>
          <w:rFonts w:ascii="Arial" w:hAnsi="Arial" w:cs="Arial"/>
          <w:sz w:val="22"/>
        </w:rPr>
        <w:t>marks the commencement of the process of development of the human being.</w:t>
      </w:r>
    </w:p>
    <w:p w14:paraId="05945B11" w14:textId="77777777" w:rsidR="00D91148" w:rsidRPr="00BE2697" w:rsidRDefault="00D91148" w:rsidP="007B6F62">
      <w:pPr>
        <w:pStyle w:val="CourtNumberedpara"/>
        <w:spacing w:line="276" w:lineRule="auto"/>
        <w:jc w:val="both"/>
        <w:rPr>
          <w:rFonts w:ascii="Arial" w:hAnsi="Arial" w:cs="Arial"/>
          <w:sz w:val="22"/>
        </w:rPr>
      </w:pPr>
      <w:r w:rsidRPr="00BE2697">
        <w:rPr>
          <w:rFonts w:ascii="Arial" w:hAnsi="Arial" w:cs="Arial"/>
          <w:sz w:val="22"/>
        </w:rPr>
        <w:t xml:space="preserve">The CJEU held that the definition of the human embryo must be understood in a wide sense, and went on to provide legal protection for that embryo. The ruling lends support to the propositions that: (i) human life begins at </w:t>
      </w:r>
      <w:r w:rsidR="004A68DA" w:rsidRPr="00BE2697">
        <w:rPr>
          <w:rFonts w:ascii="Arial" w:hAnsi="Arial" w:cs="Arial"/>
          <w:sz w:val="22"/>
        </w:rPr>
        <w:t>fertilization</w:t>
      </w:r>
      <w:r w:rsidRPr="00BE2697">
        <w:rPr>
          <w:rFonts w:ascii="Arial" w:hAnsi="Arial" w:cs="Arial"/>
          <w:sz w:val="22"/>
        </w:rPr>
        <w:t xml:space="preserve">; (ii) the human embryo is worthy of protection; </w:t>
      </w:r>
      <w:r w:rsidR="00C760FD" w:rsidRPr="00BE2697">
        <w:rPr>
          <w:rFonts w:ascii="Arial" w:hAnsi="Arial" w:cs="Arial"/>
          <w:sz w:val="22"/>
        </w:rPr>
        <w:t xml:space="preserve">and </w:t>
      </w:r>
      <w:r w:rsidRPr="00BE2697">
        <w:rPr>
          <w:rFonts w:ascii="Arial" w:hAnsi="Arial" w:cs="Arial"/>
          <w:sz w:val="22"/>
        </w:rPr>
        <w:t>(iii) the argument that the embryo is “not yet human” in certain stages of development is no longer valid.</w:t>
      </w:r>
    </w:p>
    <w:p w14:paraId="27765446" w14:textId="77777777" w:rsidR="00D91148" w:rsidRPr="00BE2697" w:rsidRDefault="00D91148" w:rsidP="007B6F62">
      <w:pPr>
        <w:pStyle w:val="CourtNumberedpara"/>
        <w:spacing w:line="276" w:lineRule="auto"/>
        <w:jc w:val="both"/>
        <w:rPr>
          <w:rFonts w:ascii="Arial" w:hAnsi="Arial" w:cs="Arial"/>
          <w:sz w:val="22"/>
        </w:rPr>
      </w:pPr>
      <w:r w:rsidRPr="00BE2697">
        <w:rPr>
          <w:rFonts w:ascii="Arial" w:hAnsi="Arial" w:cs="Arial"/>
          <w:sz w:val="22"/>
        </w:rPr>
        <w:t>The</w:t>
      </w:r>
      <w:r w:rsidR="000349C1" w:rsidRPr="00BE2697">
        <w:rPr>
          <w:rFonts w:ascii="Arial" w:hAnsi="Arial" w:cs="Arial"/>
          <w:sz w:val="22"/>
        </w:rPr>
        <w:t xml:space="preserve"> Oviedo</w:t>
      </w:r>
      <w:r w:rsidRPr="00BE2697">
        <w:rPr>
          <w:rFonts w:ascii="Arial" w:hAnsi="Arial" w:cs="Arial"/>
          <w:sz w:val="22"/>
        </w:rPr>
        <w:t xml:space="preserve"> Convention on Human Rights and Biomedicin</w:t>
      </w:r>
      <w:r w:rsidR="000349C1" w:rsidRPr="00BE2697">
        <w:rPr>
          <w:rFonts w:ascii="Arial" w:hAnsi="Arial" w:cs="Arial"/>
          <w:sz w:val="22"/>
        </w:rPr>
        <w:t>e</w:t>
      </w:r>
      <w:r w:rsidRPr="00BE2697">
        <w:rPr>
          <w:rFonts w:ascii="Arial" w:hAnsi="Arial" w:cs="Arial"/>
          <w:sz w:val="22"/>
        </w:rPr>
        <w:t xml:space="preserve"> also recognizes the inherent value of the human embryo. Article 18 prohibits the creation of human embryos for research purposes and calls for the “adequate protection” of human embryos </w:t>
      </w:r>
      <w:r w:rsidRPr="00BE2697">
        <w:rPr>
          <w:rFonts w:ascii="Arial" w:hAnsi="Arial" w:cs="Arial"/>
          <w:i/>
          <w:sz w:val="22"/>
        </w:rPr>
        <w:t>in vitro</w:t>
      </w:r>
      <w:r w:rsidRPr="00BE2697">
        <w:rPr>
          <w:rFonts w:ascii="Arial" w:hAnsi="Arial" w:cs="Arial"/>
          <w:sz w:val="22"/>
        </w:rPr>
        <w:t xml:space="preserve"> used for research. This is in recognition that the human embryo is a “human being [whose interests and welfare] shall prevail over the sole interest of society or science.”</w:t>
      </w:r>
    </w:p>
    <w:p w14:paraId="4DB51372" w14:textId="56C7D8F9" w:rsidR="00117F39" w:rsidRDefault="00D91148" w:rsidP="00117F39">
      <w:pPr>
        <w:pStyle w:val="CourtNumberedpara"/>
        <w:spacing w:before="0" w:after="0" w:line="276" w:lineRule="auto"/>
        <w:jc w:val="both"/>
        <w:rPr>
          <w:rFonts w:ascii="Arial" w:hAnsi="Arial" w:cs="Arial"/>
          <w:sz w:val="22"/>
        </w:rPr>
      </w:pPr>
      <w:r w:rsidRPr="00BE2697">
        <w:rPr>
          <w:rFonts w:ascii="Arial" w:hAnsi="Arial" w:cs="Arial"/>
          <w:sz w:val="22"/>
        </w:rPr>
        <w:t xml:space="preserve">Therefore, in the development of law for the scientific community there is an ever-increasing and robust protection of the unborn child from </w:t>
      </w:r>
      <w:r w:rsidR="0078043B" w:rsidRPr="00BE2697">
        <w:rPr>
          <w:rFonts w:ascii="Arial" w:hAnsi="Arial" w:cs="Arial"/>
          <w:sz w:val="22"/>
        </w:rPr>
        <w:t>fertilization</w:t>
      </w:r>
      <w:r w:rsidRPr="00BE2697">
        <w:rPr>
          <w:rFonts w:ascii="Arial" w:hAnsi="Arial" w:cs="Arial"/>
          <w:sz w:val="22"/>
        </w:rPr>
        <w:t>.</w:t>
      </w:r>
    </w:p>
    <w:p w14:paraId="4BDBB69A" w14:textId="77777777" w:rsidR="00117F39" w:rsidRDefault="00117F39" w:rsidP="00117F39">
      <w:pPr>
        <w:pStyle w:val="CourtNumberedpara"/>
        <w:numPr>
          <w:ilvl w:val="0"/>
          <w:numId w:val="0"/>
        </w:numPr>
        <w:spacing w:before="0" w:after="0" w:line="276" w:lineRule="auto"/>
        <w:ind w:left="792"/>
        <w:jc w:val="both"/>
        <w:rPr>
          <w:rFonts w:ascii="Arial" w:hAnsi="Arial" w:cs="Arial"/>
          <w:sz w:val="22"/>
        </w:rPr>
      </w:pPr>
    </w:p>
    <w:p w14:paraId="325EC4C9" w14:textId="77777777" w:rsidR="00117F39" w:rsidRDefault="00117F39" w:rsidP="00117F39">
      <w:pPr>
        <w:pStyle w:val="CourtNumberedpara"/>
        <w:numPr>
          <w:ilvl w:val="0"/>
          <w:numId w:val="0"/>
        </w:numPr>
        <w:spacing w:before="0" w:after="0" w:line="276" w:lineRule="auto"/>
        <w:ind w:left="792"/>
        <w:jc w:val="both"/>
        <w:rPr>
          <w:rFonts w:ascii="Arial" w:hAnsi="Arial" w:cs="Arial"/>
          <w:sz w:val="22"/>
        </w:rPr>
      </w:pPr>
    </w:p>
    <w:p w14:paraId="78B02E5B" w14:textId="77777777" w:rsidR="00117F39" w:rsidRPr="00117F39" w:rsidRDefault="00117F39" w:rsidP="00117F39">
      <w:pPr>
        <w:pStyle w:val="CourtNumberedpara"/>
        <w:numPr>
          <w:ilvl w:val="0"/>
          <w:numId w:val="0"/>
        </w:numPr>
        <w:spacing w:before="0" w:after="0" w:line="276" w:lineRule="auto"/>
        <w:ind w:left="792"/>
        <w:jc w:val="both"/>
        <w:rPr>
          <w:rFonts w:ascii="Arial" w:hAnsi="Arial" w:cs="Arial"/>
          <w:sz w:val="22"/>
        </w:rPr>
      </w:pPr>
    </w:p>
    <w:p w14:paraId="6A039ECB" w14:textId="77777777" w:rsidR="00724AAC" w:rsidRPr="00BE2697" w:rsidRDefault="00CD6C5F" w:rsidP="00117F39">
      <w:pPr>
        <w:numPr>
          <w:ilvl w:val="0"/>
          <w:numId w:val="6"/>
        </w:numPr>
        <w:spacing w:line="276" w:lineRule="auto"/>
        <w:contextualSpacing/>
        <w:jc w:val="both"/>
        <w:rPr>
          <w:rFonts w:ascii="Arial" w:hAnsi="Arial" w:cs="Arial"/>
          <w:sz w:val="22"/>
        </w:rPr>
      </w:pPr>
      <w:r w:rsidRPr="00BE2697">
        <w:rPr>
          <w:rFonts w:ascii="Arial" w:eastAsia="Calibri" w:hAnsi="Arial" w:cs="Arial"/>
          <w:b/>
          <w:sz w:val="22"/>
        </w:rPr>
        <w:lastRenderedPageBreak/>
        <w:t>No Implicit</w:t>
      </w:r>
      <w:r w:rsidR="0073697F" w:rsidRPr="00BE2697">
        <w:rPr>
          <w:rFonts w:ascii="Arial" w:eastAsia="Calibri" w:hAnsi="Arial" w:cs="Arial"/>
          <w:b/>
          <w:sz w:val="22"/>
        </w:rPr>
        <w:t xml:space="preserve"> </w:t>
      </w:r>
      <w:r w:rsidR="00FA74F0" w:rsidRPr="00BE2697">
        <w:rPr>
          <w:rFonts w:ascii="Arial" w:eastAsia="Calibri" w:hAnsi="Arial" w:cs="Arial"/>
          <w:b/>
          <w:sz w:val="22"/>
        </w:rPr>
        <w:t>“</w:t>
      </w:r>
      <w:r w:rsidR="0073697F" w:rsidRPr="00BE2697">
        <w:rPr>
          <w:rFonts w:ascii="Arial" w:eastAsia="Calibri" w:hAnsi="Arial" w:cs="Arial"/>
          <w:b/>
          <w:sz w:val="22"/>
        </w:rPr>
        <w:t>Right to Abortion</w:t>
      </w:r>
      <w:r w:rsidR="00FA74F0" w:rsidRPr="00BE2697">
        <w:rPr>
          <w:rFonts w:ascii="Arial" w:eastAsia="Calibri" w:hAnsi="Arial" w:cs="Arial"/>
          <w:b/>
          <w:sz w:val="22"/>
        </w:rPr>
        <w:t xml:space="preserve">” </w:t>
      </w:r>
      <w:r w:rsidRPr="00BE2697">
        <w:rPr>
          <w:rFonts w:ascii="Arial" w:eastAsia="Calibri" w:hAnsi="Arial" w:cs="Arial"/>
          <w:b/>
          <w:sz w:val="22"/>
        </w:rPr>
        <w:t>in</w:t>
      </w:r>
      <w:r w:rsidR="00FA74F0" w:rsidRPr="00BE2697">
        <w:rPr>
          <w:rFonts w:ascii="Arial" w:eastAsia="Calibri" w:hAnsi="Arial" w:cs="Arial"/>
          <w:b/>
          <w:sz w:val="22"/>
        </w:rPr>
        <w:t xml:space="preserve"> </w:t>
      </w:r>
      <w:r w:rsidR="00C34C5B">
        <w:rPr>
          <w:rFonts w:ascii="Arial" w:eastAsia="Calibri" w:hAnsi="Arial" w:cs="Arial"/>
          <w:b/>
          <w:sz w:val="22"/>
        </w:rPr>
        <w:t xml:space="preserve">Article 6 of the </w:t>
      </w:r>
      <w:r w:rsidR="00B37CFE" w:rsidRPr="00BE2697">
        <w:rPr>
          <w:rFonts w:ascii="Arial" w:eastAsia="Calibri" w:hAnsi="Arial" w:cs="Arial"/>
          <w:b/>
          <w:sz w:val="22"/>
        </w:rPr>
        <w:t>I</w:t>
      </w:r>
      <w:r w:rsidR="00CB6AB4" w:rsidRPr="00BE2697">
        <w:rPr>
          <w:rFonts w:ascii="Arial" w:eastAsia="Calibri" w:hAnsi="Arial" w:cs="Arial"/>
          <w:b/>
          <w:sz w:val="22"/>
        </w:rPr>
        <w:t>CCPR</w:t>
      </w:r>
    </w:p>
    <w:p w14:paraId="27EFBC13" w14:textId="77777777" w:rsidR="007E22EE" w:rsidRPr="00BE2697" w:rsidRDefault="00C976EA" w:rsidP="007B6F62">
      <w:pPr>
        <w:pStyle w:val="CourtNumberedpara"/>
        <w:spacing w:after="0" w:line="276" w:lineRule="auto"/>
        <w:jc w:val="both"/>
        <w:rPr>
          <w:rFonts w:ascii="Arial" w:hAnsi="Arial" w:cs="Arial"/>
          <w:sz w:val="22"/>
        </w:rPr>
      </w:pPr>
      <w:r w:rsidRPr="00BE2697">
        <w:rPr>
          <w:rFonts w:ascii="Arial" w:hAnsi="Arial" w:cs="Arial"/>
          <w:sz w:val="22"/>
        </w:rPr>
        <w:t>I</w:t>
      </w:r>
      <w:r w:rsidR="00ED6D78" w:rsidRPr="00BE2697">
        <w:rPr>
          <w:rFonts w:ascii="Arial" w:hAnsi="Arial" w:cs="Arial"/>
          <w:sz w:val="22"/>
        </w:rPr>
        <w:t xml:space="preserve">nternational law </w:t>
      </w:r>
      <w:r w:rsidR="00FA74F0" w:rsidRPr="00BE2697">
        <w:rPr>
          <w:rFonts w:ascii="Arial" w:hAnsi="Arial" w:cs="Arial"/>
          <w:sz w:val="22"/>
        </w:rPr>
        <w:t xml:space="preserve">recognizes the right to life of </w:t>
      </w:r>
      <w:r w:rsidR="007E22EE" w:rsidRPr="00BE2697">
        <w:rPr>
          <w:rFonts w:ascii="Arial" w:hAnsi="Arial" w:cs="Arial"/>
          <w:sz w:val="22"/>
        </w:rPr>
        <w:t>the unborn</w:t>
      </w:r>
      <w:r w:rsidR="00A070FA" w:rsidRPr="00BE2697">
        <w:rPr>
          <w:rFonts w:ascii="Arial" w:hAnsi="Arial" w:cs="Arial"/>
          <w:sz w:val="22"/>
        </w:rPr>
        <w:t xml:space="preserve">. </w:t>
      </w:r>
      <w:r w:rsidR="00764C32">
        <w:rPr>
          <w:rFonts w:ascii="Arial" w:hAnsi="Arial" w:cs="Arial"/>
          <w:sz w:val="22"/>
        </w:rPr>
        <w:t>By contrast</w:t>
      </w:r>
      <w:r w:rsidR="00FB716A" w:rsidRPr="00BE2697">
        <w:rPr>
          <w:rFonts w:ascii="Arial" w:hAnsi="Arial" w:cs="Arial"/>
          <w:sz w:val="22"/>
        </w:rPr>
        <w:t>,</w:t>
      </w:r>
      <w:r w:rsidR="00F514A1" w:rsidRPr="00BE2697">
        <w:rPr>
          <w:rFonts w:ascii="Arial" w:hAnsi="Arial" w:cs="Arial"/>
          <w:sz w:val="22"/>
        </w:rPr>
        <w:t xml:space="preserve"> neither </w:t>
      </w:r>
      <w:r w:rsidR="00704135" w:rsidRPr="00BE2697">
        <w:rPr>
          <w:rFonts w:ascii="Arial" w:hAnsi="Arial" w:cs="Arial"/>
          <w:sz w:val="22"/>
        </w:rPr>
        <w:t xml:space="preserve">the </w:t>
      </w:r>
      <w:r w:rsidR="00F514A1" w:rsidRPr="00BE2697">
        <w:rPr>
          <w:rFonts w:ascii="Arial" w:hAnsi="Arial" w:cs="Arial"/>
          <w:sz w:val="22"/>
        </w:rPr>
        <w:t xml:space="preserve">ICCPR nor any </w:t>
      </w:r>
      <w:r w:rsidR="00A070FA" w:rsidRPr="00BE2697">
        <w:rPr>
          <w:rFonts w:ascii="Arial" w:hAnsi="Arial" w:cs="Arial"/>
          <w:sz w:val="22"/>
        </w:rPr>
        <w:t xml:space="preserve">other </w:t>
      </w:r>
      <w:r w:rsidR="00F514A1" w:rsidRPr="00BE2697">
        <w:rPr>
          <w:rFonts w:ascii="Arial" w:hAnsi="Arial" w:cs="Arial"/>
          <w:sz w:val="22"/>
        </w:rPr>
        <w:t>international human rights treaty recognizes a right to abortion</w:t>
      </w:r>
      <w:r w:rsidRPr="00BE2697">
        <w:rPr>
          <w:rFonts w:ascii="Arial" w:hAnsi="Arial" w:cs="Arial"/>
          <w:sz w:val="22"/>
        </w:rPr>
        <w:t>.</w:t>
      </w:r>
      <w:r w:rsidR="00F514A1" w:rsidRPr="00BE2697">
        <w:rPr>
          <w:rFonts w:ascii="Arial" w:hAnsi="Arial" w:cs="Arial"/>
          <w:sz w:val="22"/>
        </w:rPr>
        <w:t xml:space="preserve"> </w:t>
      </w:r>
      <w:r w:rsidRPr="00BE2697">
        <w:rPr>
          <w:rFonts w:ascii="Arial" w:hAnsi="Arial" w:cs="Arial"/>
          <w:sz w:val="22"/>
        </w:rPr>
        <w:t xml:space="preserve">Yet </w:t>
      </w:r>
      <w:r w:rsidR="00F514A1" w:rsidRPr="00BE2697">
        <w:rPr>
          <w:rFonts w:ascii="Arial" w:hAnsi="Arial" w:cs="Arial"/>
          <w:sz w:val="22"/>
        </w:rPr>
        <w:t xml:space="preserve">abortion advocates claim that the </w:t>
      </w:r>
      <w:r w:rsidR="002107CB" w:rsidRPr="00BE2697">
        <w:rPr>
          <w:rFonts w:ascii="Arial" w:hAnsi="Arial" w:cs="Arial"/>
          <w:sz w:val="22"/>
        </w:rPr>
        <w:t xml:space="preserve">right to abortion is implicit in international law because certain rights of the mother </w:t>
      </w:r>
      <w:r w:rsidR="00052B2C">
        <w:rPr>
          <w:rFonts w:ascii="Arial" w:hAnsi="Arial" w:cs="Arial"/>
          <w:sz w:val="22"/>
        </w:rPr>
        <w:t xml:space="preserve">supposedly </w:t>
      </w:r>
      <w:r w:rsidR="008B188B" w:rsidRPr="00BE2697">
        <w:rPr>
          <w:rFonts w:ascii="Arial" w:hAnsi="Arial" w:cs="Arial"/>
          <w:sz w:val="22"/>
        </w:rPr>
        <w:t xml:space="preserve">require </w:t>
      </w:r>
      <w:r w:rsidR="007E22EE" w:rsidRPr="00BE2697">
        <w:rPr>
          <w:rFonts w:ascii="Arial" w:hAnsi="Arial" w:cs="Arial"/>
          <w:sz w:val="22"/>
        </w:rPr>
        <w:t>abortion</w:t>
      </w:r>
      <w:r w:rsidR="008B188B" w:rsidRPr="00BE2697">
        <w:rPr>
          <w:rFonts w:ascii="Arial" w:hAnsi="Arial" w:cs="Arial"/>
          <w:sz w:val="22"/>
        </w:rPr>
        <w:t xml:space="preserve"> legalization</w:t>
      </w:r>
      <w:r w:rsidR="007C31DE" w:rsidRPr="00BE2697">
        <w:rPr>
          <w:rFonts w:ascii="Arial" w:hAnsi="Arial" w:cs="Arial"/>
          <w:sz w:val="22"/>
        </w:rPr>
        <w:t>, including the woman’s own right to life</w:t>
      </w:r>
      <w:r w:rsidR="007E22EE" w:rsidRPr="00BE2697">
        <w:rPr>
          <w:rFonts w:ascii="Arial" w:hAnsi="Arial" w:cs="Arial"/>
          <w:sz w:val="22"/>
        </w:rPr>
        <w:t xml:space="preserve">. </w:t>
      </w:r>
      <w:r w:rsidR="002107CB" w:rsidRPr="00BE2697">
        <w:rPr>
          <w:rFonts w:ascii="Arial" w:hAnsi="Arial" w:cs="Arial"/>
          <w:sz w:val="22"/>
        </w:rPr>
        <w:t>However</w:t>
      </w:r>
      <w:r w:rsidR="00062829" w:rsidRPr="00BE2697">
        <w:rPr>
          <w:rFonts w:ascii="Arial" w:hAnsi="Arial" w:cs="Arial"/>
          <w:sz w:val="22"/>
        </w:rPr>
        <w:t xml:space="preserve">, </w:t>
      </w:r>
      <w:r w:rsidR="00157D69" w:rsidRPr="00BE2697">
        <w:rPr>
          <w:rFonts w:ascii="Arial" w:hAnsi="Arial" w:cs="Arial"/>
          <w:sz w:val="22"/>
        </w:rPr>
        <w:t xml:space="preserve">as detailed below, </w:t>
      </w:r>
      <w:r w:rsidR="00811E91" w:rsidRPr="00BE2697">
        <w:rPr>
          <w:rFonts w:ascii="Arial" w:hAnsi="Arial" w:cs="Arial"/>
          <w:sz w:val="22"/>
        </w:rPr>
        <w:t>the</w:t>
      </w:r>
      <w:r w:rsidR="00157D69" w:rsidRPr="00BE2697">
        <w:rPr>
          <w:rFonts w:ascii="Arial" w:hAnsi="Arial" w:cs="Arial"/>
          <w:sz w:val="22"/>
        </w:rPr>
        <w:t xml:space="preserve"> right</w:t>
      </w:r>
      <w:r w:rsidR="00075036" w:rsidRPr="00BE2697">
        <w:rPr>
          <w:rFonts w:ascii="Arial" w:hAnsi="Arial" w:cs="Arial"/>
          <w:sz w:val="22"/>
        </w:rPr>
        <w:t xml:space="preserve"> to life in Article 6 does</w:t>
      </w:r>
      <w:r w:rsidR="00811E91" w:rsidRPr="00BE2697">
        <w:rPr>
          <w:rFonts w:ascii="Arial" w:hAnsi="Arial" w:cs="Arial"/>
          <w:sz w:val="22"/>
        </w:rPr>
        <w:t xml:space="preserve"> not create or justify </w:t>
      </w:r>
      <w:r w:rsidR="008B188B" w:rsidRPr="00BE2697">
        <w:rPr>
          <w:rFonts w:ascii="Arial" w:hAnsi="Arial" w:cs="Arial"/>
          <w:sz w:val="22"/>
        </w:rPr>
        <w:t>a</w:t>
      </w:r>
      <w:r w:rsidR="00811E91" w:rsidRPr="00BE2697">
        <w:rPr>
          <w:rFonts w:ascii="Arial" w:hAnsi="Arial" w:cs="Arial"/>
          <w:sz w:val="22"/>
        </w:rPr>
        <w:t xml:space="preserve"> so-called</w:t>
      </w:r>
      <w:r w:rsidR="008B188B" w:rsidRPr="00BE2697">
        <w:rPr>
          <w:rFonts w:ascii="Arial" w:hAnsi="Arial" w:cs="Arial"/>
          <w:sz w:val="22"/>
        </w:rPr>
        <w:t xml:space="preserve"> </w:t>
      </w:r>
      <w:r w:rsidR="00811E91" w:rsidRPr="00BE2697">
        <w:rPr>
          <w:rFonts w:ascii="Arial" w:hAnsi="Arial" w:cs="Arial"/>
          <w:sz w:val="22"/>
        </w:rPr>
        <w:t>“</w:t>
      </w:r>
      <w:r w:rsidR="008B188B" w:rsidRPr="00BE2697">
        <w:rPr>
          <w:rFonts w:ascii="Arial" w:hAnsi="Arial" w:cs="Arial"/>
          <w:sz w:val="22"/>
        </w:rPr>
        <w:t>right to abortion</w:t>
      </w:r>
      <w:r w:rsidR="00811E91" w:rsidRPr="00BE2697">
        <w:rPr>
          <w:rFonts w:ascii="Arial" w:hAnsi="Arial" w:cs="Arial"/>
          <w:sz w:val="22"/>
        </w:rPr>
        <w:t>” in international law</w:t>
      </w:r>
      <w:r w:rsidR="00075036" w:rsidRPr="00BE2697">
        <w:rPr>
          <w:rFonts w:ascii="Arial" w:hAnsi="Arial" w:cs="Arial"/>
          <w:sz w:val="22"/>
        </w:rPr>
        <w:t>, and in fact such a right to abortion would put more women at risk</w:t>
      </w:r>
      <w:r w:rsidR="008B188B" w:rsidRPr="00BE2697">
        <w:rPr>
          <w:rFonts w:ascii="Arial" w:hAnsi="Arial" w:cs="Arial"/>
          <w:sz w:val="22"/>
        </w:rPr>
        <w:t>.</w:t>
      </w:r>
    </w:p>
    <w:p w14:paraId="330EDA2D" w14:textId="77777777" w:rsidR="00584891" w:rsidRPr="00BE2697" w:rsidRDefault="00584891" w:rsidP="007B6F62">
      <w:pPr>
        <w:pStyle w:val="CourtNumberedpara"/>
        <w:spacing w:after="0" w:line="276" w:lineRule="auto"/>
        <w:jc w:val="both"/>
        <w:rPr>
          <w:rFonts w:ascii="Arial" w:hAnsi="Arial" w:cs="Arial"/>
          <w:sz w:val="22"/>
        </w:rPr>
      </w:pPr>
      <w:r w:rsidRPr="00BE2697">
        <w:rPr>
          <w:rFonts w:ascii="Arial" w:hAnsi="Arial" w:cs="Arial"/>
          <w:sz w:val="22"/>
        </w:rPr>
        <w:t xml:space="preserve">First, </w:t>
      </w:r>
      <w:r w:rsidR="003D2F90" w:rsidRPr="00BE2697">
        <w:rPr>
          <w:rFonts w:ascii="Arial" w:hAnsi="Arial" w:cs="Arial"/>
          <w:sz w:val="22"/>
        </w:rPr>
        <w:t xml:space="preserve">an ordinary reading of the text of the ICCPR does not find a right to abortion. There is no mention of abortion. Further, </w:t>
      </w:r>
      <w:r w:rsidRPr="00BE2697">
        <w:rPr>
          <w:rFonts w:ascii="Arial" w:hAnsi="Arial" w:cs="Arial"/>
          <w:sz w:val="22"/>
        </w:rPr>
        <w:t xml:space="preserve">the recognition of the unborn in the </w:t>
      </w:r>
      <w:r w:rsidR="00C738B1" w:rsidRPr="00BE2697">
        <w:rPr>
          <w:rFonts w:ascii="Arial" w:hAnsi="Arial" w:cs="Arial"/>
          <w:sz w:val="22"/>
        </w:rPr>
        <w:t xml:space="preserve">ICCPR and other international human rights instruments </w:t>
      </w:r>
      <w:r w:rsidRPr="00BE2697">
        <w:rPr>
          <w:rFonts w:ascii="Arial" w:hAnsi="Arial" w:cs="Arial"/>
          <w:sz w:val="22"/>
        </w:rPr>
        <w:t>is incompatible with a right to abortion.</w:t>
      </w:r>
      <w:r w:rsidR="00C738B1" w:rsidRPr="00BE2697">
        <w:rPr>
          <w:rFonts w:ascii="Arial" w:hAnsi="Arial" w:cs="Arial"/>
          <w:sz w:val="22"/>
        </w:rPr>
        <w:t xml:space="preserve"> The right to life of the unborn, </w:t>
      </w:r>
      <w:r w:rsidR="00622C12" w:rsidRPr="00BE2697">
        <w:rPr>
          <w:rFonts w:ascii="Arial" w:hAnsi="Arial" w:cs="Arial"/>
          <w:sz w:val="22"/>
        </w:rPr>
        <w:t>implicitly recognized in</w:t>
      </w:r>
      <w:r w:rsidR="00C738B1" w:rsidRPr="00BE2697">
        <w:rPr>
          <w:rFonts w:ascii="Arial" w:hAnsi="Arial" w:cs="Arial"/>
          <w:sz w:val="22"/>
        </w:rPr>
        <w:t xml:space="preserve"> Article 6, means that Article 6 or any other provision of the ICCPR cannot be understood as providing a categorical right to take the life of the unborn.</w:t>
      </w:r>
    </w:p>
    <w:p w14:paraId="5BD4CFCE" w14:textId="77777777" w:rsidR="00622C12" w:rsidRPr="00BE2697" w:rsidRDefault="00C738B1" w:rsidP="00117F39">
      <w:pPr>
        <w:pStyle w:val="CourtNumberedpara"/>
        <w:spacing w:after="0" w:line="276" w:lineRule="auto"/>
        <w:jc w:val="both"/>
        <w:rPr>
          <w:rFonts w:ascii="Arial" w:hAnsi="Arial" w:cs="Arial"/>
          <w:sz w:val="22"/>
        </w:rPr>
      </w:pPr>
      <w:r w:rsidRPr="00BE2697">
        <w:rPr>
          <w:rFonts w:ascii="Arial" w:hAnsi="Arial" w:cs="Arial"/>
          <w:sz w:val="22"/>
        </w:rPr>
        <w:t xml:space="preserve">Nevertheless, abortion proponents argue that Article 6 itself provides justification for a so-called right to abortion within </w:t>
      </w:r>
      <w:r w:rsidR="00A1246E" w:rsidRPr="00BE2697">
        <w:rPr>
          <w:rFonts w:ascii="Arial" w:hAnsi="Arial" w:cs="Arial"/>
          <w:sz w:val="22"/>
        </w:rPr>
        <w:t xml:space="preserve">the ICCPR. The argument is that abortion must be available in the case </w:t>
      </w:r>
      <w:r w:rsidR="006F009F" w:rsidRPr="00BE2697">
        <w:rPr>
          <w:rFonts w:ascii="Arial" w:hAnsi="Arial" w:cs="Arial"/>
          <w:sz w:val="22"/>
        </w:rPr>
        <w:t>of a life-threatening pregnancy, or the woman’s right to life is violated.</w:t>
      </w:r>
    </w:p>
    <w:p w14:paraId="0E34FB6A" w14:textId="77777777" w:rsidR="00A1246E" w:rsidRPr="00BE2697" w:rsidRDefault="006F009F" w:rsidP="00117F39">
      <w:pPr>
        <w:pStyle w:val="CourtNumberedpara"/>
        <w:spacing w:after="0" w:line="276" w:lineRule="auto"/>
        <w:jc w:val="both"/>
        <w:rPr>
          <w:rFonts w:ascii="Arial" w:hAnsi="Arial" w:cs="Arial"/>
          <w:sz w:val="22"/>
        </w:rPr>
      </w:pPr>
      <w:r w:rsidRPr="00BE2697">
        <w:rPr>
          <w:rFonts w:ascii="Arial" w:hAnsi="Arial" w:cs="Arial"/>
          <w:sz w:val="22"/>
        </w:rPr>
        <w:t>In most cases i</w:t>
      </w:r>
      <w:r w:rsidR="00A1246E" w:rsidRPr="00BE2697">
        <w:rPr>
          <w:rFonts w:ascii="Arial" w:hAnsi="Arial" w:cs="Arial"/>
          <w:sz w:val="22"/>
        </w:rPr>
        <w:t>t is impossible to say with certainty that a pregnancy will result in the death of a woman</w:t>
      </w:r>
      <w:r w:rsidR="00622C12" w:rsidRPr="00BE2697">
        <w:rPr>
          <w:rFonts w:ascii="Arial" w:hAnsi="Arial" w:cs="Arial"/>
          <w:sz w:val="22"/>
        </w:rPr>
        <w:t xml:space="preserve">. It is also impossible to say with certainty </w:t>
      </w:r>
      <w:r w:rsidR="00A1246E" w:rsidRPr="00BE2697">
        <w:rPr>
          <w:rFonts w:ascii="Arial" w:hAnsi="Arial" w:cs="Arial"/>
          <w:sz w:val="22"/>
        </w:rPr>
        <w:t>that an abortion would save the woman’s life.</w:t>
      </w:r>
      <w:r w:rsidR="00622C12" w:rsidRPr="00BE2697">
        <w:rPr>
          <w:rFonts w:ascii="Arial" w:hAnsi="Arial" w:cs="Arial"/>
          <w:sz w:val="22"/>
        </w:rPr>
        <w:t xml:space="preserve"> </w:t>
      </w:r>
      <w:r w:rsidR="000B2BF5" w:rsidRPr="00BE2697">
        <w:rPr>
          <w:rFonts w:ascii="Arial" w:hAnsi="Arial" w:cs="Arial"/>
          <w:sz w:val="22"/>
        </w:rPr>
        <w:t xml:space="preserve">Creating a right based on uncertainty is imprudent, especially when it is certain that abortion will take the life of the unborn. </w:t>
      </w:r>
      <w:r w:rsidR="00322AEC" w:rsidRPr="00BE2697">
        <w:rPr>
          <w:rFonts w:ascii="Arial" w:hAnsi="Arial" w:cs="Arial"/>
          <w:sz w:val="22"/>
        </w:rPr>
        <w:t>Instead</w:t>
      </w:r>
      <w:r w:rsidR="00622C12" w:rsidRPr="00BE2697">
        <w:rPr>
          <w:rFonts w:ascii="Arial" w:hAnsi="Arial" w:cs="Arial"/>
          <w:sz w:val="22"/>
        </w:rPr>
        <w:t>, a doctor c</w:t>
      </w:r>
      <w:r w:rsidR="00075036" w:rsidRPr="00BE2697">
        <w:rPr>
          <w:rFonts w:ascii="Arial" w:hAnsi="Arial" w:cs="Arial"/>
          <w:sz w:val="22"/>
        </w:rPr>
        <w:t>an</w:t>
      </w:r>
      <w:r w:rsidR="00622C12" w:rsidRPr="00BE2697">
        <w:rPr>
          <w:rFonts w:ascii="Arial" w:hAnsi="Arial" w:cs="Arial"/>
          <w:sz w:val="22"/>
        </w:rPr>
        <w:t xml:space="preserve"> </w:t>
      </w:r>
      <w:r w:rsidRPr="00BE2697">
        <w:rPr>
          <w:rFonts w:ascii="Arial" w:hAnsi="Arial" w:cs="Arial"/>
          <w:sz w:val="22"/>
        </w:rPr>
        <w:t xml:space="preserve">treat the pregnant woman while also taking care to </w:t>
      </w:r>
      <w:r w:rsidR="00322AEC" w:rsidRPr="00BE2697">
        <w:rPr>
          <w:rFonts w:ascii="Arial" w:hAnsi="Arial" w:cs="Arial"/>
          <w:sz w:val="22"/>
        </w:rPr>
        <w:t>preserve the life of the unborn, with the understanding that the life of the unborn may perish in the course of treatment</w:t>
      </w:r>
      <w:r w:rsidRPr="00BE2697">
        <w:rPr>
          <w:rFonts w:ascii="Arial" w:hAnsi="Arial" w:cs="Arial"/>
          <w:sz w:val="22"/>
        </w:rPr>
        <w:t>.</w:t>
      </w:r>
      <w:r w:rsidR="00322AEC" w:rsidRPr="00BE2697">
        <w:rPr>
          <w:rFonts w:ascii="Arial" w:hAnsi="Arial" w:cs="Arial"/>
          <w:sz w:val="22"/>
        </w:rPr>
        <w:t xml:space="preserve"> In this case, the goal </w:t>
      </w:r>
      <w:r w:rsidR="00075036" w:rsidRPr="00BE2697">
        <w:rPr>
          <w:rFonts w:ascii="Arial" w:hAnsi="Arial" w:cs="Arial"/>
          <w:sz w:val="22"/>
        </w:rPr>
        <w:t>i</w:t>
      </w:r>
      <w:r w:rsidR="00322AEC" w:rsidRPr="00BE2697">
        <w:rPr>
          <w:rFonts w:ascii="Arial" w:hAnsi="Arial" w:cs="Arial"/>
          <w:sz w:val="22"/>
        </w:rPr>
        <w:t>s never to take the life of the unborn, unlike with abortion.</w:t>
      </w:r>
    </w:p>
    <w:p w14:paraId="219DC25D" w14:textId="39D0B48B" w:rsidR="00322AEC" w:rsidRPr="00BE2697" w:rsidRDefault="006F009F" w:rsidP="00117F39">
      <w:pPr>
        <w:pStyle w:val="CourtNumberedpara"/>
        <w:spacing w:after="0" w:line="276" w:lineRule="auto"/>
        <w:jc w:val="both"/>
      </w:pPr>
      <w:r w:rsidRPr="00BE2697">
        <w:rPr>
          <w:rFonts w:ascii="Arial" w:hAnsi="Arial" w:cs="Arial"/>
          <w:sz w:val="22"/>
        </w:rPr>
        <w:t xml:space="preserve">What </w:t>
      </w:r>
      <w:r w:rsidR="00322AEC" w:rsidRPr="00BE2697">
        <w:rPr>
          <w:rFonts w:ascii="Arial" w:hAnsi="Arial" w:cs="Arial"/>
          <w:sz w:val="22"/>
        </w:rPr>
        <w:t>“</w:t>
      </w:r>
      <w:r w:rsidRPr="00BE2697">
        <w:rPr>
          <w:rFonts w:ascii="Arial" w:hAnsi="Arial" w:cs="Arial"/>
          <w:sz w:val="22"/>
        </w:rPr>
        <w:t>life-threatening</w:t>
      </w:r>
      <w:r w:rsidR="00322AEC" w:rsidRPr="00BE2697">
        <w:rPr>
          <w:rFonts w:ascii="Arial" w:hAnsi="Arial" w:cs="Arial"/>
          <w:sz w:val="22"/>
        </w:rPr>
        <w:t>”</w:t>
      </w:r>
      <w:r w:rsidRPr="00BE2697">
        <w:rPr>
          <w:rFonts w:ascii="Arial" w:hAnsi="Arial" w:cs="Arial"/>
          <w:sz w:val="22"/>
        </w:rPr>
        <w:t xml:space="preserve"> means </w:t>
      </w:r>
      <w:r w:rsidR="00322AEC" w:rsidRPr="00BE2697">
        <w:rPr>
          <w:rFonts w:ascii="Arial" w:hAnsi="Arial" w:cs="Arial"/>
          <w:sz w:val="22"/>
        </w:rPr>
        <w:t xml:space="preserve">or may evolve to mean is also concerning. Given that “health” exceptions to abortion prohibitions are </w:t>
      </w:r>
      <w:r w:rsidR="001C581E" w:rsidRPr="00BE2697">
        <w:rPr>
          <w:rFonts w:ascii="Arial" w:hAnsi="Arial" w:cs="Arial"/>
          <w:sz w:val="22"/>
        </w:rPr>
        <w:t xml:space="preserve">broadly construed, often including </w:t>
      </w:r>
      <w:r w:rsidR="00075036" w:rsidRPr="00BE2697">
        <w:rPr>
          <w:rFonts w:ascii="Arial" w:hAnsi="Arial" w:cs="Arial"/>
          <w:sz w:val="22"/>
        </w:rPr>
        <w:t xml:space="preserve">nebulous concepts such as </w:t>
      </w:r>
      <w:r w:rsidR="001C581E" w:rsidRPr="00BE2697">
        <w:rPr>
          <w:rFonts w:ascii="Arial" w:hAnsi="Arial" w:cs="Arial"/>
          <w:sz w:val="22"/>
        </w:rPr>
        <w:t xml:space="preserve">emotional health, </w:t>
      </w:r>
      <w:r w:rsidRPr="00BE2697">
        <w:rPr>
          <w:rFonts w:ascii="Arial" w:hAnsi="Arial" w:cs="Arial"/>
          <w:sz w:val="22"/>
        </w:rPr>
        <w:t>i</w:t>
      </w:r>
      <w:r w:rsidR="001C581E" w:rsidRPr="00BE2697">
        <w:rPr>
          <w:rFonts w:ascii="Arial" w:hAnsi="Arial" w:cs="Arial"/>
          <w:sz w:val="22"/>
        </w:rPr>
        <w:t>t is possible that a “life” exception would eventually be so broad a</w:t>
      </w:r>
      <w:r w:rsidRPr="00BE2697">
        <w:rPr>
          <w:rFonts w:ascii="Arial" w:hAnsi="Arial" w:cs="Arial"/>
          <w:sz w:val="22"/>
        </w:rPr>
        <w:t xml:space="preserve">s </w:t>
      </w:r>
      <w:r w:rsidR="001C581E" w:rsidRPr="00BE2697">
        <w:rPr>
          <w:rFonts w:ascii="Arial" w:hAnsi="Arial" w:cs="Arial"/>
          <w:sz w:val="22"/>
        </w:rPr>
        <w:t xml:space="preserve">to cover almost any situation. In this case, the right to life of the unborn </w:t>
      </w:r>
      <w:r w:rsidR="00004044">
        <w:rPr>
          <w:rFonts w:ascii="Arial" w:hAnsi="Arial" w:cs="Arial"/>
          <w:sz w:val="22"/>
        </w:rPr>
        <w:t>would be</w:t>
      </w:r>
      <w:r w:rsidR="001C581E" w:rsidRPr="00BE2697">
        <w:rPr>
          <w:rFonts w:ascii="Arial" w:hAnsi="Arial" w:cs="Arial"/>
          <w:sz w:val="22"/>
        </w:rPr>
        <w:t xml:space="preserve"> completely eroded</w:t>
      </w:r>
      <w:r w:rsidR="000A09E6">
        <w:rPr>
          <w:rFonts w:ascii="Arial" w:hAnsi="Arial" w:cs="Arial"/>
          <w:sz w:val="22"/>
        </w:rPr>
        <w:t>.</w:t>
      </w:r>
    </w:p>
    <w:p w14:paraId="3C362DBF" w14:textId="77777777" w:rsidR="00074DCA" w:rsidRDefault="00322AEC" w:rsidP="007B6F62">
      <w:pPr>
        <w:pStyle w:val="CourtNumberedpara"/>
        <w:spacing w:line="276" w:lineRule="auto"/>
        <w:jc w:val="both"/>
        <w:rPr>
          <w:rFonts w:ascii="Arial" w:hAnsi="Arial" w:cs="Arial"/>
          <w:sz w:val="22"/>
        </w:rPr>
      </w:pPr>
      <w:r w:rsidRPr="00BE2697">
        <w:rPr>
          <w:rFonts w:ascii="Arial" w:hAnsi="Arial" w:cs="Arial"/>
          <w:sz w:val="22"/>
        </w:rPr>
        <w:t xml:space="preserve">On a broader </w:t>
      </w:r>
      <w:r w:rsidR="003B2A9C" w:rsidRPr="00BE2697">
        <w:rPr>
          <w:rFonts w:ascii="Arial" w:hAnsi="Arial" w:cs="Arial"/>
          <w:sz w:val="22"/>
        </w:rPr>
        <w:t xml:space="preserve">community-wide </w:t>
      </w:r>
      <w:r w:rsidRPr="00BE2697">
        <w:rPr>
          <w:rFonts w:ascii="Arial" w:hAnsi="Arial" w:cs="Arial"/>
          <w:sz w:val="22"/>
        </w:rPr>
        <w:t>level, recognizing abortion as a human right and requiring abortion l</w:t>
      </w:r>
      <w:r w:rsidR="006F009F" w:rsidRPr="00BE2697">
        <w:rPr>
          <w:rFonts w:ascii="Arial" w:hAnsi="Arial" w:cs="Arial"/>
          <w:sz w:val="22"/>
        </w:rPr>
        <w:t>egal</w:t>
      </w:r>
      <w:r w:rsidRPr="00BE2697">
        <w:rPr>
          <w:rFonts w:ascii="Arial" w:hAnsi="Arial" w:cs="Arial"/>
          <w:sz w:val="22"/>
        </w:rPr>
        <w:t>ization</w:t>
      </w:r>
      <w:r w:rsidR="006F009F" w:rsidRPr="00BE2697">
        <w:rPr>
          <w:rFonts w:ascii="Arial" w:hAnsi="Arial" w:cs="Arial"/>
          <w:sz w:val="22"/>
        </w:rPr>
        <w:t xml:space="preserve"> </w:t>
      </w:r>
      <w:r w:rsidRPr="00BE2697">
        <w:rPr>
          <w:rFonts w:ascii="Arial" w:hAnsi="Arial" w:cs="Arial"/>
          <w:sz w:val="22"/>
        </w:rPr>
        <w:t xml:space="preserve">are not </w:t>
      </w:r>
      <w:r w:rsidR="006F009F" w:rsidRPr="00BE2697">
        <w:rPr>
          <w:rFonts w:ascii="Arial" w:hAnsi="Arial" w:cs="Arial"/>
          <w:sz w:val="22"/>
        </w:rPr>
        <w:t>solution</w:t>
      </w:r>
      <w:r w:rsidRPr="00BE2697">
        <w:rPr>
          <w:rFonts w:ascii="Arial" w:hAnsi="Arial" w:cs="Arial"/>
          <w:sz w:val="22"/>
        </w:rPr>
        <w:t>s</w:t>
      </w:r>
      <w:r w:rsidR="006F009F" w:rsidRPr="00BE2697">
        <w:rPr>
          <w:rFonts w:ascii="Arial" w:hAnsi="Arial" w:cs="Arial"/>
          <w:sz w:val="22"/>
        </w:rPr>
        <w:t xml:space="preserve"> to maternal mortality</w:t>
      </w:r>
      <w:r w:rsidR="00E05533" w:rsidRPr="00BE2697">
        <w:rPr>
          <w:rFonts w:ascii="Arial" w:hAnsi="Arial" w:cs="Arial"/>
          <w:sz w:val="22"/>
        </w:rPr>
        <w:t xml:space="preserve"> an</w:t>
      </w:r>
      <w:r w:rsidR="000A09E6">
        <w:rPr>
          <w:rFonts w:ascii="Arial" w:hAnsi="Arial" w:cs="Arial"/>
          <w:sz w:val="22"/>
        </w:rPr>
        <w:t>d do nothing to guarantee a woma</w:t>
      </w:r>
      <w:r w:rsidR="00E05533" w:rsidRPr="00BE2697">
        <w:rPr>
          <w:rFonts w:ascii="Arial" w:hAnsi="Arial" w:cs="Arial"/>
          <w:sz w:val="22"/>
        </w:rPr>
        <w:t>n’s right to life</w:t>
      </w:r>
      <w:r w:rsidR="006F009F" w:rsidRPr="00BE2697">
        <w:rPr>
          <w:rFonts w:ascii="Arial" w:hAnsi="Arial" w:cs="Arial"/>
          <w:sz w:val="22"/>
        </w:rPr>
        <w:t xml:space="preserve">. </w:t>
      </w:r>
    </w:p>
    <w:p w14:paraId="0585C890" w14:textId="77777777" w:rsidR="00322AEC" w:rsidRPr="00BE2697" w:rsidRDefault="00E05533" w:rsidP="007B6F62">
      <w:pPr>
        <w:pStyle w:val="CourtNumberedpara"/>
        <w:spacing w:line="276" w:lineRule="auto"/>
        <w:jc w:val="both"/>
        <w:rPr>
          <w:rFonts w:ascii="Arial" w:hAnsi="Arial" w:cs="Arial"/>
          <w:sz w:val="22"/>
        </w:rPr>
      </w:pPr>
      <w:r w:rsidRPr="00BE2697">
        <w:rPr>
          <w:rFonts w:ascii="Arial" w:hAnsi="Arial" w:cs="Arial"/>
          <w:sz w:val="22"/>
        </w:rPr>
        <w:t xml:space="preserve">First, </w:t>
      </w:r>
      <w:r w:rsidRPr="00BE2697">
        <w:rPr>
          <w:rFonts w:ascii="Arial" w:eastAsia="Calibri" w:hAnsi="Arial" w:cs="Arial"/>
          <w:sz w:val="22"/>
        </w:rPr>
        <w:t>l</w:t>
      </w:r>
      <w:r w:rsidR="00322AEC" w:rsidRPr="00BE2697">
        <w:rPr>
          <w:rFonts w:ascii="Arial" w:hAnsi="Arial" w:cs="Arial"/>
          <w:sz w:val="22"/>
        </w:rPr>
        <w:t xml:space="preserve">egalizing abortion does not guarantee that it becomes safe. A report by the Guttmacher Institute </w:t>
      </w:r>
      <w:r w:rsidR="00052B2C">
        <w:rPr>
          <w:rFonts w:ascii="Arial" w:hAnsi="Arial" w:cs="Arial"/>
          <w:sz w:val="22"/>
        </w:rPr>
        <w:t xml:space="preserve">itself </w:t>
      </w:r>
      <w:r w:rsidR="00322AEC" w:rsidRPr="00BE2697">
        <w:rPr>
          <w:rFonts w:ascii="Arial" w:hAnsi="Arial" w:cs="Arial"/>
          <w:sz w:val="22"/>
        </w:rPr>
        <w:t>states, “</w:t>
      </w:r>
      <w:r w:rsidR="00322AEC" w:rsidRPr="00BE2697">
        <w:rPr>
          <w:rFonts w:ascii="Arial" w:eastAsia="Times New Roman" w:hAnsi="Arial" w:cs="Arial"/>
          <w:sz w:val="22"/>
        </w:rPr>
        <w:t>Changing the law [</w:t>
      </w:r>
      <w:r w:rsidR="00052B2C">
        <w:rPr>
          <w:rFonts w:ascii="Arial" w:eastAsia="Times New Roman" w:hAnsi="Arial" w:cs="Arial"/>
          <w:sz w:val="22"/>
        </w:rPr>
        <w:t>…</w:t>
      </w:r>
      <w:r w:rsidR="00322AEC" w:rsidRPr="00BE2697">
        <w:rPr>
          <w:rFonts w:ascii="Arial" w:eastAsia="Times New Roman" w:hAnsi="Arial" w:cs="Arial"/>
          <w:sz w:val="22"/>
        </w:rPr>
        <w:t>] is no guarantee that unsafe abortion will cease to exist.”</w:t>
      </w:r>
      <w:r w:rsidR="00322AEC" w:rsidRPr="00BE2697">
        <w:rPr>
          <w:rStyle w:val="FootnoteReference"/>
          <w:rFonts w:ascii="Arial" w:hAnsi="Arial" w:cs="Arial"/>
          <w:sz w:val="22"/>
        </w:rPr>
        <w:footnoteReference w:id="35"/>
      </w:r>
      <w:r w:rsidR="00322AEC" w:rsidRPr="00BE2697">
        <w:rPr>
          <w:rFonts w:ascii="Arial" w:eastAsia="Times New Roman" w:hAnsi="Arial" w:cs="Arial"/>
          <w:sz w:val="22"/>
        </w:rPr>
        <w:t xml:space="preserve"> </w:t>
      </w:r>
      <w:r w:rsidR="003B2A9C" w:rsidRPr="00BE2697">
        <w:rPr>
          <w:rFonts w:ascii="Arial" w:eastAsia="Calibri" w:hAnsi="Arial" w:cs="Arial"/>
          <w:sz w:val="22"/>
        </w:rPr>
        <w:t xml:space="preserve">Recognizing a right to abortion </w:t>
      </w:r>
      <w:r w:rsidRPr="00BE2697">
        <w:rPr>
          <w:rFonts w:ascii="Arial" w:hAnsi="Arial" w:cs="Arial"/>
          <w:sz w:val="22"/>
        </w:rPr>
        <w:t>will not meet the needs of pregnant women in countries where the maternal mortality ratio is high, because women die during pregnancy and childbirth most commonly from sepsis and hemorrhage, which are</w:t>
      </w:r>
      <w:r w:rsidR="003B2A9C" w:rsidRPr="00BE2697">
        <w:rPr>
          <w:rFonts w:ascii="Arial" w:hAnsi="Arial" w:cs="Arial"/>
          <w:sz w:val="22"/>
        </w:rPr>
        <w:t xml:space="preserve"> also</w:t>
      </w:r>
      <w:r w:rsidRPr="00BE2697">
        <w:rPr>
          <w:rFonts w:ascii="Arial" w:hAnsi="Arial" w:cs="Arial"/>
          <w:sz w:val="22"/>
        </w:rPr>
        <w:t xml:space="preserve"> two of the main causes of abortion-related deaths.</w:t>
      </w:r>
      <w:r w:rsidRPr="00BE2697">
        <w:rPr>
          <w:rFonts w:ascii="Arial" w:eastAsia="Calibri" w:hAnsi="Arial" w:cs="Arial"/>
          <w:sz w:val="22"/>
        </w:rPr>
        <w:t xml:space="preserve"> </w:t>
      </w:r>
      <w:r w:rsidR="003B2A9C" w:rsidRPr="00BE2697">
        <w:rPr>
          <w:rFonts w:ascii="Arial" w:eastAsia="Calibri" w:hAnsi="Arial" w:cs="Arial"/>
          <w:sz w:val="22"/>
        </w:rPr>
        <w:t xml:space="preserve">The </w:t>
      </w:r>
      <w:r w:rsidR="003B2A9C" w:rsidRPr="00BE2697">
        <w:rPr>
          <w:rFonts w:ascii="Arial" w:eastAsia="Calibri" w:hAnsi="Arial" w:cs="Arial"/>
          <w:sz w:val="22"/>
        </w:rPr>
        <w:lastRenderedPageBreak/>
        <w:t>health care system infrastructure is already poor</w:t>
      </w:r>
      <w:r w:rsidR="002F133A" w:rsidRPr="00BE2697">
        <w:rPr>
          <w:rFonts w:ascii="Arial" w:eastAsia="Calibri" w:hAnsi="Arial" w:cs="Arial"/>
          <w:sz w:val="22"/>
        </w:rPr>
        <w:t xml:space="preserve"> in these countries</w:t>
      </w:r>
      <w:r w:rsidR="003B2A9C" w:rsidRPr="00BE2697">
        <w:rPr>
          <w:rFonts w:ascii="Arial" w:eastAsia="Calibri" w:hAnsi="Arial" w:cs="Arial"/>
          <w:sz w:val="22"/>
        </w:rPr>
        <w:t xml:space="preserve">, and more abortions </w:t>
      </w:r>
      <w:r w:rsidR="000A09E6">
        <w:rPr>
          <w:rFonts w:ascii="Arial" w:eastAsia="Calibri" w:hAnsi="Arial" w:cs="Arial"/>
          <w:sz w:val="22"/>
        </w:rPr>
        <w:t>may well</w:t>
      </w:r>
      <w:r w:rsidR="003B2A9C" w:rsidRPr="00BE2697">
        <w:rPr>
          <w:rFonts w:ascii="Arial" w:eastAsia="Calibri" w:hAnsi="Arial" w:cs="Arial"/>
          <w:sz w:val="22"/>
        </w:rPr>
        <w:t xml:space="preserve"> mean more </w:t>
      </w:r>
      <w:r w:rsidR="00075036" w:rsidRPr="00BE2697">
        <w:rPr>
          <w:rFonts w:ascii="Arial" w:eastAsia="Calibri" w:hAnsi="Arial" w:cs="Arial"/>
          <w:sz w:val="22"/>
        </w:rPr>
        <w:t xml:space="preserve">maternal </w:t>
      </w:r>
      <w:r w:rsidR="003B2A9C" w:rsidRPr="00BE2697">
        <w:rPr>
          <w:rFonts w:ascii="Arial" w:eastAsia="Calibri" w:hAnsi="Arial" w:cs="Arial"/>
          <w:sz w:val="22"/>
        </w:rPr>
        <w:t>deaths.</w:t>
      </w:r>
    </w:p>
    <w:p w14:paraId="786BFD6C" w14:textId="3B10C8BE" w:rsidR="00322AEC" w:rsidRPr="00BE2697" w:rsidRDefault="00322AEC" w:rsidP="007B6F62">
      <w:pPr>
        <w:pStyle w:val="CourtNumberedpara"/>
        <w:spacing w:line="276" w:lineRule="auto"/>
        <w:jc w:val="both"/>
        <w:rPr>
          <w:rFonts w:ascii="Arial" w:hAnsi="Arial" w:cs="Arial"/>
          <w:sz w:val="22"/>
        </w:rPr>
      </w:pPr>
      <w:r w:rsidRPr="00BE2697">
        <w:rPr>
          <w:rFonts w:ascii="Arial" w:hAnsi="Arial" w:cs="Arial"/>
          <w:sz w:val="22"/>
        </w:rPr>
        <w:t>Further, t</w:t>
      </w:r>
      <w:r w:rsidRPr="00BE2697">
        <w:rPr>
          <w:rFonts w:ascii="Arial" w:eastAsia="Calibri" w:hAnsi="Arial" w:cs="Arial"/>
          <w:sz w:val="22"/>
        </w:rPr>
        <w:t xml:space="preserve">he most recent evidence controverts the idea that </w:t>
      </w:r>
      <w:r w:rsidR="001C581E" w:rsidRPr="00BE2697">
        <w:rPr>
          <w:rFonts w:ascii="Arial" w:eastAsia="Calibri" w:hAnsi="Arial" w:cs="Arial"/>
          <w:sz w:val="22"/>
        </w:rPr>
        <w:t xml:space="preserve">a total prohibition </w:t>
      </w:r>
      <w:r w:rsidR="005E129D" w:rsidRPr="00BE2697">
        <w:rPr>
          <w:rFonts w:ascii="Arial" w:eastAsia="Calibri" w:hAnsi="Arial" w:cs="Arial"/>
          <w:sz w:val="22"/>
        </w:rPr>
        <w:t>o</w:t>
      </w:r>
      <w:r w:rsidR="005E129D">
        <w:rPr>
          <w:rFonts w:ascii="Arial" w:eastAsia="Calibri" w:hAnsi="Arial" w:cs="Arial"/>
          <w:sz w:val="22"/>
        </w:rPr>
        <w:t>f</w:t>
      </w:r>
      <w:r w:rsidR="005E129D" w:rsidRPr="00BE2697">
        <w:rPr>
          <w:rFonts w:ascii="Arial" w:eastAsia="Calibri" w:hAnsi="Arial" w:cs="Arial"/>
          <w:sz w:val="22"/>
        </w:rPr>
        <w:t xml:space="preserve"> </w:t>
      </w:r>
      <w:r w:rsidRPr="00BE2697">
        <w:rPr>
          <w:rFonts w:ascii="Arial" w:eastAsia="Calibri" w:hAnsi="Arial" w:cs="Arial"/>
          <w:sz w:val="22"/>
        </w:rPr>
        <w:t xml:space="preserve">abortion undermines maternal health. A major study published in the </w:t>
      </w:r>
      <w:r w:rsidRPr="00BE2697">
        <w:rPr>
          <w:rFonts w:ascii="Arial" w:eastAsia="Calibri" w:hAnsi="Arial" w:cs="Arial"/>
          <w:i/>
          <w:sz w:val="22"/>
        </w:rPr>
        <w:t xml:space="preserve">British Medical Journal </w:t>
      </w:r>
      <w:r w:rsidR="005E6130">
        <w:rPr>
          <w:rFonts w:ascii="Arial" w:eastAsia="Calibri" w:hAnsi="Arial" w:cs="Arial"/>
          <w:sz w:val="22"/>
        </w:rPr>
        <w:t xml:space="preserve">in 2015 concluded </w:t>
      </w:r>
      <w:r w:rsidRPr="00BE2697">
        <w:rPr>
          <w:rFonts w:ascii="Arial" w:eastAsia="Calibri" w:hAnsi="Arial" w:cs="Arial"/>
          <w:sz w:val="22"/>
        </w:rPr>
        <w:t>that States with “less permissive” abortion laws “exhibited consistently lower maternal mortality rates.”</w:t>
      </w:r>
      <w:r w:rsidRPr="00BE2697">
        <w:rPr>
          <w:rFonts w:ascii="Arial" w:eastAsia="Calibri" w:hAnsi="Arial" w:cs="Arial"/>
          <w:sz w:val="22"/>
          <w:vertAlign w:val="superscript"/>
        </w:rPr>
        <w:footnoteReference w:id="36"/>
      </w:r>
      <w:r w:rsidRPr="00BE2697">
        <w:rPr>
          <w:rFonts w:ascii="Arial" w:eastAsia="Calibri" w:hAnsi="Arial" w:cs="Arial"/>
          <w:sz w:val="22"/>
        </w:rPr>
        <w:t xml:space="preserve"> Although the study explains these differences in terms of other independent factors rather than in terms of abortion legislation itself, it nevertheless concludes</w:t>
      </w:r>
      <w:r w:rsidR="005E6130">
        <w:rPr>
          <w:rFonts w:ascii="Arial" w:eastAsia="Calibri" w:hAnsi="Arial" w:cs="Arial"/>
          <w:sz w:val="22"/>
        </w:rPr>
        <w:t>: “No</w:t>
      </w:r>
      <w:r w:rsidRPr="00BE2697">
        <w:rPr>
          <w:rFonts w:ascii="Arial" w:eastAsia="Calibri" w:hAnsi="Arial" w:cs="Arial"/>
          <w:sz w:val="22"/>
        </w:rPr>
        <w:t xml:space="preserve"> statistically independent effect was observed for abortion legislation, constitutional amendment or other covariates.”</w:t>
      </w:r>
      <w:r w:rsidRPr="00BE2697">
        <w:rPr>
          <w:rFonts w:ascii="Arial" w:eastAsia="Calibri" w:hAnsi="Arial" w:cs="Arial"/>
          <w:sz w:val="22"/>
          <w:vertAlign w:val="superscript"/>
        </w:rPr>
        <w:footnoteReference w:id="37"/>
      </w:r>
      <w:r w:rsidRPr="00BE2697">
        <w:rPr>
          <w:rFonts w:ascii="Arial" w:eastAsia="Calibri" w:hAnsi="Arial" w:cs="Arial"/>
          <w:sz w:val="22"/>
        </w:rPr>
        <w:t xml:space="preserve"> Because abortion legislation has no </w:t>
      </w:r>
      <w:r w:rsidR="00596246">
        <w:rPr>
          <w:rFonts w:ascii="Arial" w:eastAsia="Calibri" w:hAnsi="Arial" w:cs="Arial"/>
          <w:sz w:val="22"/>
        </w:rPr>
        <w:t xml:space="preserve">positive </w:t>
      </w:r>
      <w:r w:rsidRPr="00BE2697">
        <w:rPr>
          <w:rFonts w:ascii="Arial" w:eastAsia="Calibri" w:hAnsi="Arial" w:cs="Arial"/>
          <w:sz w:val="22"/>
        </w:rPr>
        <w:t>effect on maternal mortality, abortion need not be legalized to protect women’s health.</w:t>
      </w:r>
      <w:r w:rsidRPr="00BE2697">
        <w:rPr>
          <w:rFonts w:ascii="Arial" w:hAnsi="Arial" w:cs="Arial"/>
          <w:sz w:val="22"/>
        </w:rPr>
        <w:t xml:space="preserve"> </w:t>
      </w:r>
    </w:p>
    <w:p w14:paraId="61E61284" w14:textId="5FF9FFB1" w:rsidR="00322AEC" w:rsidRPr="00BE2697" w:rsidRDefault="00322AEC"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Case studies of three nations—Ireland, Malta, and Chile—are particularly relevant on th</w:t>
      </w:r>
      <w:r w:rsidR="00117F39">
        <w:rPr>
          <w:rFonts w:ascii="Arial" w:eastAsia="Calibri" w:hAnsi="Arial" w:cs="Arial"/>
          <w:sz w:val="22"/>
        </w:rPr>
        <w:t>is</w:t>
      </w:r>
      <w:r w:rsidRPr="00BE2697">
        <w:rPr>
          <w:rFonts w:ascii="Arial" w:eastAsia="Calibri" w:hAnsi="Arial" w:cs="Arial"/>
          <w:sz w:val="22"/>
        </w:rPr>
        <w:t xml:space="preserve"> point</w:t>
      </w:r>
      <w:r w:rsidR="001C581E" w:rsidRPr="00BE2697">
        <w:rPr>
          <w:rFonts w:ascii="Arial" w:eastAsia="Calibri" w:hAnsi="Arial" w:cs="Arial"/>
          <w:sz w:val="22"/>
        </w:rPr>
        <w:t>.</w:t>
      </w:r>
    </w:p>
    <w:p w14:paraId="52613C93" w14:textId="77777777" w:rsidR="00322AEC" w:rsidRPr="00BE2697" w:rsidRDefault="00322AEC"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According to the World Health Organization, Ireland is </w:t>
      </w:r>
      <w:r w:rsidR="00160600" w:rsidRPr="00BE2697">
        <w:rPr>
          <w:rFonts w:ascii="Arial" w:eastAsia="Calibri" w:hAnsi="Arial" w:cs="Arial"/>
          <w:sz w:val="22"/>
        </w:rPr>
        <w:t xml:space="preserve">one of </w:t>
      </w:r>
      <w:r w:rsidRPr="00BE2697">
        <w:rPr>
          <w:rFonts w:ascii="Arial" w:eastAsia="Calibri" w:hAnsi="Arial" w:cs="Arial"/>
          <w:sz w:val="22"/>
        </w:rPr>
        <w:t>the safest place</w:t>
      </w:r>
      <w:r w:rsidR="00160600" w:rsidRPr="00BE2697">
        <w:rPr>
          <w:rFonts w:ascii="Arial" w:eastAsia="Calibri" w:hAnsi="Arial" w:cs="Arial"/>
          <w:sz w:val="22"/>
        </w:rPr>
        <w:t>s</w:t>
      </w:r>
      <w:r w:rsidRPr="00BE2697">
        <w:rPr>
          <w:rFonts w:ascii="Arial" w:eastAsia="Calibri" w:hAnsi="Arial" w:cs="Arial"/>
          <w:sz w:val="22"/>
        </w:rPr>
        <w:t xml:space="preserve"> in the world for an expectant mother to give birth. After banning almost all abortions in 1983, the country strengthened its focus on providing high</w:t>
      </w:r>
      <w:r w:rsidR="00160600" w:rsidRPr="00BE2697">
        <w:rPr>
          <w:rFonts w:ascii="Arial" w:eastAsia="Calibri" w:hAnsi="Arial" w:cs="Arial"/>
          <w:sz w:val="22"/>
        </w:rPr>
        <w:t>-</w:t>
      </w:r>
      <w:r w:rsidRPr="00BE2697">
        <w:rPr>
          <w:rFonts w:ascii="Arial" w:eastAsia="Calibri" w:hAnsi="Arial" w:cs="Arial"/>
          <w:sz w:val="22"/>
        </w:rPr>
        <w:t>quality prenatal care and rose to become an international model in women’s health. UNICEF ranked the country number 1 in 2005 and number 3 in 2008 for the lowest global maternal mortality rate. Richly documented evidence reveals that, in an emergency, Irish doctors will go to virtually any length to save the lives of both mother and baby, and have succeeding in doing so—thus demonstrating that it is possible to protect them both.</w:t>
      </w:r>
    </w:p>
    <w:p w14:paraId="775DBF72" w14:textId="0DF200B6" w:rsidR="00074DCA" w:rsidRDefault="00322AEC"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Similarly, following the total prohibition of abortion in 1989, Chile experienced a steep decline in the number of maternal deaths (69.2 percent).</w:t>
      </w:r>
      <w:r w:rsidRPr="00BE2697">
        <w:rPr>
          <w:rStyle w:val="FootnoteReference"/>
          <w:rFonts w:ascii="Arial" w:eastAsia="Calibri" w:hAnsi="Arial" w:cs="Arial"/>
          <w:sz w:val="22"/>
        </w:rPr>
        <w:footnoteReference w:id="38"/>
      </w:r>
      <w:r w:rsidRPr="00BE2697">
        <w:rPr>
          <w:rFonts w:ascii="Arial" w:eastAsia="Calibri" w:hAnsi="Arial" w:cs="Arial"/>
          <w:sz w:val="22"/>
        </w:rPr>
        <w:t xml:space="preserve"> Chile came to have the second-lowest maternal mortality ratio in the Western Hemisphere (after Canada)</w:t>
      </w:r>
      <w:r w:rsidR="00004044">
        <w:rPr>
          <w:rFonts w:ascii="Arial" w:eastAsia="Calibri" w:hAnsi="Arial" w:cs="Arial"/>
          <w:sz w:val="22"/>
        </w:rPr>
        <w:t xml:space="preserve">, making its recent legalization of abortion </w:t>
      </w:r>
      <w:r w:rsidR="00775177">
        <w:rPr>
          <w:rFonts w:ascii="Arial" w:eastAsia="Calibri" w:hAnsi="Arial" w:cs="Arial"/>
          <w:sz w:val="22"/>
        </w:rPr>
        <w:t>unnecessary</w:t>
      </w:r>
      <w:r w:rsidR="00004044">
        <w:rPr>
          <w:rFonts w:ascii="Arial" w:eastAsia="Calibri" w:hAnsi="Arial" w:cs="Arial"/>
          <w:sz w:val="22"/>
        </w:rPr>
        <w:t xml:space="preserve"> at best</w:t>
      </w:r>
      <w:r w:rsidR="00775177">
        <w:rPr>
          <w:rFonts w:ascii="Arial" w:eastAsia="Calibri" w:hAnsi="Arial" w:cs="Arial"/>
          <w:sz w:val="22"/>
        </w:rPr>
        <w:t xml:space="preserve"> and gravely misguided and damaging at worst</w:t>
      </w:r>
      <w:r w:rsidRPr="00BE2697">
        <w:rPr>
          <w:rFonts w:ascii="Arial" w:eastAsia="Calibri" w:hAnsi="Arial" w:cs="Arial"/>
          <w:sz w:val="22"/>
        </w:rPr>
        <w:t>.</w:t>
      </w:r>
    </w:p>
    <w:p w14:paraId="628675C4" w14:textId="77777777" w:rsidR="00322AEC" w:rsidRPr="00BE2697" w:rsidRDefault="00322AEC"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An unprecedented fifty-year analysis of maternity data from Chile reveals two essential facts. First, restricting access to abortion services does not negatively impact maternal mortality. In fact, prohibiting abortion in Chile resulted in significantly improved maternal health for the country by freeing up resources to care for mothers and babies. Second, the data make</w:t>
      </w:r>
      <w:r w:rsidR="005E6130">
        <w:rPr>
          <w:rFonts w:ascii="Arial" w:eastAsia="Calibri" w:hAnsi="Arial" w:cs="Arial"/>
          <w:sz w:val="22"/>
        </w:rPr>
        <w:t>s</w:t>
      </w:r>
      <w:r w:rsidRPr="00BE2697">
        <w:rPr>
          <w:rFonts w:ascii="Arial" w:eastAsia="Calibri" w:hAnsi="Arial" w:cs="Arial"/>
          <w:sz w:val="22"/>
        </w:rPr>
        <w:t xml:space="preserve"> clear that women’s educational levels are the single most important factor in reducing mortality rates among mothers. The more educated a woman is, the greater her ability to access the health care resources available to her and thus go safely through pregnancy and childbirth.</w:t>
      </w:r>
    </w:p>
    <w:p w14:paraId="5B60DC0F" w14:textId="1811F7DF" w:rsidR="00322AEC" w:rsidRPr="00BE2697" w:rsidRDefault="00322AEC" w:rsidP="007B6F62">
      <w:pPr>
        <w:pStyle w:val="CourtNumberedpara"/>
        <w:spacing w:line="276" w:lineRule="auto"/>
        <w:jc w:val="both"/>
      </w:pPr>
      <w:r w:rsidRPr="00BE2697">
        <w:rPr>
          <w:rFonts w:ascii="Arial" w:eastAsia="Calibri" w:hAnsi="Arial" w:cs="Arial"/>
          <w:sz w:val="22"/>
        </w:rPr>
        <w:t>Malta, with one of the lowest maternal mortality rates in the world, is another one of the safest places to be pregnant. Abortion is illegal in Malta</w:t>
      </w:r>
      <w:r w:rsidR="003724EF">
        <w:rPr>
          <w:rFonts w:ascii="Arial" w:eastAsia="Calibri" w:hAnsi="Arial" w:cs="Arial"/>
          <w:sz w:val="22"/>
        </w:rPr>
        <w:t>, and y</w:t>
      </w:r>
      <w:r w:rsidRPr="00BE2697">
        <w:rPr>
          <w:rFonts w:ascii="Arial" w:eastAsia="Calibri" w:hAnsi="Arial" w:cs="Arial"/>
          <w:sz w:val="22"/>
        </w:rPr>
        <w:t xml:space="preserve">et Malta boasts a </w:t>
      </w:r>
      <w:r w:rsidRPr="00BE2697">
        <w:rPr>
          <w:rFonts w:ascii="Arial" w:eastAsia="Calibri" w:hAnsi="Arial" w:cs="Arial"/>
          <w:sz w:val="22"/>
        </w:rPr>
        <w:lastRenderedPageBreak/>
        <w:t>maternal mortality ratio of 8, which is equal to or lower than that of 18 countries that allow abortion on demand and is exactly the same as Belgium, France and Switzerland.</w:t>
      </w:r>
    </w:p>
    <w:p w14:paraId="2DE70EF5" w14:textId="77777777" w:rsidR="00074DCA" w:rsidRPr="00117F39" w:rsidRDefault="00E05533" w:rsidP="005E6130">
      <w:pPr>
        <w:pStyle w:val="CourtNumberedpara"/>
        <w:spacing w:line="276" w:lineRule="auto"/>
        <w:jc w:val="both"/>
      </w:pPr>
      <w:r w:rsidRPr="00BE2697">
        <w:rPr>
          <w:rFonts w:ascii="Arial" w:eastAsia="Calibri" w:hAnsi="Arial" w:cs="Arial"/>
          <w:sz w:val="22"/>
        </w:rPr>
        <w:t>To improve maternal health and decrease the risks women have of dying during pregnancy or childbirth, the focus must be on providing the key interventions</w:t>
      </w:r>
      <w:r w:rsidR="003B2A9C" w:rsidRPr="00BE2697">
        <w:rPr>
          <w:rFonts w:ascii="Arial" w:eastAsia="Calibri" w:hAnsi="Arial" w:cs="Arial"/>
          <w:sz w:val="22"/>
        </w:rPr>
        <w:t xml:space="preserve"> necessary to get mother and baby safely through pregnancy and childbirth</w:t>
      </w:r>
      <w:r w:rsidR="002F133A" w:rsidRPr="00BE2697">
        <w:rPr>
          <w:rFonts w:ascii="Arial" w:eastAsia="Calibri" w:hAnsi="Arial" w:cs="Arial"/>
          <w:sz w:val="22"/>
        </w:rPr>
        <w:t>, not providing abortion</w:t>
      </w:r>
      <w:r w:rsidRPr="00BE2697">
        <w:rPr>
          <w:rFonts w:ascii="Arial" w:eastAsia="Calibri" w:hAnsi="Arial" w:cs="Arial"/>
          <w:sz w:val="22"/>
        </w:rPr>
        <w:t xml:space="preserve">. </w:t>
      </w:r>
      <w:r w:rsidR="001C581E" w:rsidRPr="00BE2697">
        <w:rPr>
          <w:rFonts w:ascii="Arial" w:hAnsi="Arial" w:cs="Arial"/>
          <w:sz w:val="22"/>
        </w:rPr>
        <w:t>Almost all maternal deaths are preventable,</w:t>
      </w:r>
      <w:r w:rsidR="001C581E" w:rsidRPr="00BE2697">
        <w:rPr>
          <w:rStyle w:val="FootnoteReference"/>
          <w:rFonts w:ascii="Arial" w:hAnsi="Arial" w:cs="Arial"/>
          <w:sz w:val="22"/>
        </w:rPr>
        <w:footnoteReference w:id="39"/>
      </w:r>
      <w:r w:rsidR="001C581E" w:rsidRPr="00BE2697">
        <w:rPr>
          <w:rFonts w:ascii="Arial" w:hAnsi="Arial" w:cs="Arial"/>
          <w:sz w:val="22"/>
        </w:rPr>
        <w:t xml:space="preserve"> particularly when skilled birth attendants are present to manage complications and the necessary drugs are available, such as oxytocin (to prevent hemorrhage) and magnesium sulfate (to treat pre-eclampsia</w:t>
      </w:r>
      <w:r w:rsidRPr="00BE2697">
        <w:rPr>
          <w:rFonts w:ascii="Arial" w:hAnsi="Arial" w:cs="Arial"/>
          <w:sz w:val="22"/>
        </w:rPr>
        <w:t>)</w:t>
      </w:r>
      <w:r w:rsidR="001C581E" w:rsidRPr="00BE2697">
        <w:rPr>
          <w:rFonts w:ascii="Arial" w:hAnsi="Arial" w:cs="Arial"/>
          <w:sz w:val="22"/>
        </w:rPr>
        <w:t>.</w:t>
      </w:r>
      <w:r w:rsidR="003B2A9C" w:rsidRPr="00BE2697">
        <w:rPr>
          <w:rFonts w:ascii="Arial" w:hAnsi="Arial" w:cs="Arial"/>
          <w:sz w:val="22"/>
        </w:rPr>
        <w:t xml:space="preserve"> Focusing on abortion legalization and liberalization of abortion laws takes money</w:t>
      </w:r>
      <w:r w:rsidR="002F133A" w:rsidRPr="00BE2697">
        <w:rPr>
          <w:rFonts w:ascii="Arial" w:hAnsi="Arial" w:cs="Arial"/>
          <w:sz w:val="22"/>
        </w:rPr>
        <w:t>, manpower, and other resources</w:t>
      </w:r>
      <w:r w:rsidR="003B2A9C" w:rsidRPr="00BE2697">
        <w:rPr>
          <w:rFonts w:ascii="Arial" w:hAnsi="Arial" w:cs="Arial"/>
          <w:sz w:val="22"/>
        </w:rPr>
        <w:t xml:space="preserve"> away from these life-saving maternal health </w:t>
      </w:r>
      <w:r w:rsidR="002F133A" w:rsidRPr="00BE2697">
        <w:rPr>
          <w:rFonts w:ascii="Arial" w:hAnsi="Arial" w:cs="Arial"/>
          <w:sz w:val="22"/>
        </w:rPr>
        <w:t>interventions</w:t>
      </w:r>
      <w:r w:rsidR="003B2A9C" w:rsidRPr="00BE2697">
        <w:rPr>
          <w:rFonts w:ascii="Arial" w:hAnsi="Arial" w:cs="Arial"/>
          <w:sz w:val="22"/>
        </w:rPr>
        <w:t>.</w:t>
      </w:r>
    </w:p>
    <w:p w14:paraId="143588E0" w14:textId="77777777" w:rsidR="00775177" w:rsidRDefault="00775177" w:rsidP="00117F39">
      <w:pPr>
        <w:pStyle w:val="ListParagraph"/>
        <w:numPr>
          <w:ilvl w:val="0"/>
          <w:numId w:val="6"/>
        </w:numPr>
        <w:spacing w:line="276" w:lineRule="auto"/>
        <w:jc w:val="both"/>
        <w:rPr>
          <w:rFonts w:ascii="Arial" w:hAnsi="Arial" w:cs="Arial"/>
          <w:b/>
          <w:sz w:val="22"/>
        </w:rPr>
      </w:pPr>
      <w:r w:rsidRPr="00117F39">
        <w:rPr>
          <w:rFonts w:ascii="Arial" w:hAnsi="Arial" w:cs="Arial"/>
          <w:b/>
          <w:sz w:val="22"/>
        </w:rPr>
        <w:t>Abortion and National Sovereignty</w:t>
      </w:r>
    </w:p>
    <w:p w14:paraId="64D0B1DE" w14:textId="045EF0DE" w:rsidR="00775177" w:rsidRPr="004A513B" w:rsidRDefault="003724EF" w:rsidP="00117F39">
      <w:pPr>
        <w:pStyle w:val="CourtNumberedpara"/>
        <w:spacing w:line="276" w:lineRule="auto"/>
        <w:jc w:val="both"/>
        <w:rPr>
          <w:rFonts w:ascii="Arial" w:hAnsi="Arial" w:cs="Arial"/>
          <w:sz w:val="22"/>
        </w:rPr>
      </w:pPr>
      <w:r w:rsidRPr="004A513B">
        <w:rPr>
          <w:rFonts w:ascii="Arial" w:hAnsi="Arial" w:cs="Arial"/>
          <w:sz w:val="22"/>
        </w:rPr>
        <w:t>At the 1994 International Conference on Population and Development</w:t>
      </w:r>
      <w:r w:rsidR="0024252B">
        <w:rPr>
          <w:rFonts w:ascii="Arial" w:hAnsi="Arial" w:cs="Arial"/>
          <w:sz w:val="22"/>
        </w:rPr>
        <w:t xml:space="preserve"> (ICPD) </w:t>
      </w:r>
      <w:r w:rsidRPr="004A513B">
        <w:rPr>
          <w:rFonts w:ascii="Arial" w:hAnsi="Arial" w:cs="Arial"/>
          <w:sz w:val="22"/>
        </w:rPr>
        <w:t>in Cairo,</w:t>
      </w:r>
      <w:r w:rsidR="004A513B" w:rsidRPr="004A513B">
        <w:rPr>
          <w:rFonts w:ascii="Arial" w:hAnsi="Arial" w:cs="Arial"/>
          <w:sz w:val="22"/>
        </w:rPr>
        <w:t xml:space="preserve"> the adopted Programme of Action made clear in paragraph 8.25 that:</w:t>
      </w:r>
    </w:p>
    <w:p w14:paraId="35449034" w14:textId="77777777" w:rsidR="004A513B" w:rsidRDefault="004A513B" w:rsidP="00117F39">
      <w:pPr>
        <w:pStyle w:val="CourtNumberedpara"/>
        <w:numPr>
          <w:ilvl w:val="0"/>
          <w:numId w:val="0"/>
        </w:numPr>
        <w:spacing w:line="276" w:lineRule="auto"/>
        <w:ind w:left="1440"/>
        <w:rPr>
          <w:rFonts w:ascii="Arial" w:hAnsi="Arial" w:cs="Arial"/>
          <w:sz w:val="22"/>
        </w:rPr>
      </w:pPr>
      <w:r w:rsidRPr="00117F39">
        <w:rPr>
          <w:rFonts w:ascii="Arial" w:hAnsi="Arial" w:cs="Arial"/>
          <w:b/>
          <w:sz w:val="22"/>
        </w:rPr>
        <w:t>In no case should abortion be promoted as a method of family planning.</w:t>
      </w:r>
      <w:r w:rsidRPr="00117F39">
        <w:rPr>
          <w:rFonts w:ascii="Arial" w:hAnsi="Arial" w:cs="Arial"/>
          <w:sz w:val="22"/>
        </w:rPr>
        <w:t xml:space="preserve">  All Governments and relevant intergovernmental and non-governmental organizations are urged to strengthen their commitment to women's health, to deal with the health impact of unsafe abortion as a major public health concern </w:t>
      </w:r>
      <w:r w:rsidRPr="00117F39">
        <w:rPr>
          <w:rFonts w:ascii="Arial" w:hAnsi="Arial" w:cs="Arial"/>
          <w:b/>
          <w:sz w:val="22"/>
        </w:rPr>
        <w:t>and to reduce the recourse to abortion</w:t>
      </w:r>
      <w:r w:rsidRPr="00117F39">
        <w:rPr>
          <w:rFonts w:ascii="Arial" w:hAnsi="Arial" w:cs="Arial"/>
          <w:sz w:val="22"/>
        </w:rPr>
        <w:t xml:space="preserve"> through expanded and improved family-planning services.  Prevention of unwanted pregnancies must always be given the highest priority and </w:t>
      </w:r>
      <w:r w:rsidRPr="00117F39">
        <w:rPr>
          <w:rFonts w:ascii="Arial" w:hAnsi="Arial" w:cs="Arial"/>
          <w:b/>
          <w:sz w:val="22"/>
        </w:rPr>
        <w:t>every attempt should be made to eliminate the need for abortion.</w:t>
      </w:r>
      <w:r w:rsidRPr="00117F39">
        <w:rPr>
          <w:rFonts w:ascii="Arial" w:hAnsi="Arial" w:cs="Arial"/>
          <w:sz w:val="22"/>
        </w:rPr>
        <w:t xml:space="preserve">  Women who have unwanted pregnancies should have ready access to reliable information and compassionate counselling.  </w:t>
      </w:r>
      <w:r w:rsidRPr="00117F39">
        <w:rPr>
          <w:rFonts w:ascii="Arial" w:hAnsi="Arial" w:cs="Arial"/>
          <w:b/>
          <w:sz w:val="22"/>
        </w:rPr>
        <w:t>Any measures or changes related to abortion within the health system can only be determined at the national or local level according to the national legislative process.</w:t>
      </w:r>
      <w:r w:rsidRPr="00117F39">
        <w:rPr>
          <w:rFonts w:ascii="Arial" w:hAnsi="Arial" w:cs="Arial"/>
          <w:sz w:val="22"/>
        </w:rPr>
        <w:t xml:space="preserve">  In circumstances where abortion is not against the law, such abortion should be safe.  In all cases, women should have access to quality services for the management of complications arising from abortion.  Post-abortion counselling, education and family-planning services should be offered promptly, which will also help to avoid repeat abortions.</w:t>
      </w:r>
      <w:r w:rsidR="00FE2AB5">
        <w:rPr>
          <w:rStyle w:val="FootnoteReference"/>
          <w:rFonts w:ascii="Arial" w:hAnsi="Arial" w:cs="Arial"/>
          <w:sz w:val="22"/>
        </w:rPr>
        <w:footnoteReference w:id="40"/>
      </w:r>
    </w:p>
    <w:p w14:paraId="225CECB7" w14:textId="73C8A005" w:rsidR="000200BC" w:rsidRDefault="00B46EF1" w:rsidP="00117F39">
      <w:pPr>
        <w:pStyle w:val="CourtNumberedpara"/>
        <w:spacing w:line="276" w:lineRule="auto"/>
        <w:jc w:val="both"/>
        <w:rPr>
          <w:rFonts w:ascii="Arial" w:hAnsi="Arial" w:cs="Arial"/>
          <w:sz w:val="22"/>
        </w:rPr>
      </w:pPr>
      <w:r>
        <w:rPr>
          <w:rFonts w:ascii="Arial" w:hAnsi="Arial" w:cs="Arial"/>
          <w:sz w:val="22"/>
        </w:rPr>
        <w:t>The</w:t>
      </w:r>
      <w:r w:rsidR="0024252B">
        <w:rPr>
          <w:rFonts w:ascii="Arial" w:hAnsi="Arial" w:cs="Arial"/>
          <w:sz w:val="22"/>
        </w:rPr>
        <w:t xml:space="preserve"> ICPD Programme of Action </w:t>
      </w:r>
      <w:r>
        <w:rPr>
          <w:rFonts w:ascii="Arial" w:hAnsi="Arial" w:cs="Arial"/>
          <w:sz w:val="22"/>
        </w:rPr>
        <w:t xml:space="preserve">was </w:t>
      </w:r>
      <w:r w:rsidR="000200BC">
        <w:rPr>
          <w:rFonts w:ascii="Arial" w:hAnsi="Arial" w:cs="Arial"/>
          <w:sz w:val="22"/>
        </w:rPr>
        <w:t xml:space="preserve">adopted by </w:t>
      </w:r>
      <w:r w:rsidR="00985029">
        <w:rPr>
          <w:rFonts w:ascii="Arial" w:hAnsi="Arial" w:cs="Arial"/>
          <w:sz w:val="22"/>
        </w:rPr>
        <w:t xml:space="preserve">broad </w:t>
      </w:r>
      <w:r w:rsidR="000200BC">
        <w:rPr>
          <w:rFonts w:ascii="Arial" w:hAnsi="Arial" w:cs="Arial"/>
          <w:sz w:val="22"/>
        </w:rPr>
        <w:t>consensus</w:t>
      </w:r>
      <w:r>
        <w:rPr>
          <w:rFonts w:ascii="Arial" w:hAnsi="Arial" w:cs="Arial"/>
          <w:sz w:val="22"/>
        </w:rPr>
        <w:t>, and is consistently reaffirmed by States at its review</w:t>
      </w:r>
      <w:r w:rsidR="000200BC">
        <w:rPr>
          <w:rFonts w:ascii="Arial" w:hAnsi="Arial" w:cs="Arial"/>
          <w:sz w:val="22"/>
        </w:rPr>
        <w:t xml:space="preserve">. </w:t>
      </w:r>
      <w:r>
        <w:rPr>
          <w:rFonts w:ascii="Arial" w:hAnsi="Arial" w:cs="Arial"/>
          <w:sz w:val="22"/>
        </w:rPr>
        <w:t>The</w:t>
      </w:r>
      <w:r w:rsidR="00985029">
        <w:rPr>
          <w:rFonts w:ascii="Arial" w:hAnsi="Arial" w:cs="Arial"/>
          <w:sz w:val="22"/>
        </w:rPr>
        <w:t xml:space="preserve"> bulk</w:t>
      </w:r>
      <w:r w:rsidR="000200BC">
        <w:rPr>
          <w:rFonts w:ascii="Arial" w:hAnsi="Arial" w:cs="Arial"/>
          <w:sz w:val="22"/>
        </w:rPr>
        <w:t xml:space="preserve"> of the reservations officially noted within it on the topic of abortion relate to nations reiterating their opposition to abortion being construed as a fundamental human right under international law, in light of the heavy use of terminology such as “reproductive health” and “reproductive rights” within the document. Even within the document itself, however, every </w:t>
      </w:r>
      <w:r>
        <w:rPr>
          <w:rFonts w:ascii="Arial" w:hAnsi="Arial" w:cs="Arial"/>
          <w:sz w:val="22"/>
        </w:rPr>
        <w:t xml:space="preserve">mention </w:t>
      </w:r>
      <w:r w:rsidR="00985029">
        <w:rPr>
          <w:rFonts w:ascii="Arial" w:hAnsi="Arial" w:cs="Arial"/>
          <w:sz w:val="22"/>
        </w:rPr>
        <w:t xml:space="preserve">of abortion as a </w:t>
      </w:r>
      <w:r w:rsidR="00985029">
        <w:rPr>
          <w:rFonts w:ascii="Arial" w:hAnsi="Arial" w:cs="Arial"/>
          <w:sz w:val="22"/>
        </w:rPr>
        <w:lastRenderedPageBreak/>
        <w:t>component of “reproductive health care” or similar is qualified by the aforementioned paragraph 8.25.</w:t>
      </w:r>
    </w:p>
    <w:p w14:paraId="61F1E971" w14:textId="77777777" w:rsidR="004A513B" w:rsidRDefault="00985029">
      <w:pPr>
        <w:pStyle w:val="CourtNumberedpara"/>
        <w:spacing w:line="276" w:lineRule="auto"/>
        <w:jc w:val="both"/>
        <w:rPr>
          <w:rFonts w:ascii="Arial" w:hAnsi="Arial" w:cs="Arial"/>
          <w:sz w:val="22"/>
        </w:rPr>
      </w:pPr>
      <w:r>
        <w:rPr>
          <w:rFonts w:ascii="Arial" w:hAnsi="Arial" w:cs="Arial"/>
          <w:sz w:val="22"/>
        </w:rPr>
        <w:t>This makes the ICPD Programme of Action</w:t>
      </w:r>
      <w:r w:rsidR="000200BC">
        <w:rPr>
          <w:rFonts w:ascii="Arial" w:hAnsi="Arial" w:cs="Arial"/>
          <w:sz w:val="22"/>
        </w:rPr>
        <w:t xml:space="preserve"> one of the clearest examples in international custom of the fact </w:t>
      </w:r>
      <w:r>
        <w:rPr>
          <w:rFonts w:ascii="Arial" w:hAnsi="Arial" w:cs="Arial"/>
          <w:sz w:val="22"/>
        </w:rPr>
        <w:t xml:space="preserve">that </w:t>
      </w:r>
      <w:r w:rsidR="000200BC">
        <w:rPr>
          <w:rFonts w:ascii="Arial" w:hAnsi="Arial" w:cs="Arial"/>
          <w:sz w:val="22"/>
        </w:rPr>
        <w:t xml:space="preserve">the question of abortion is, subject to the aforementioned right to life of the unborn child under </w:t>
      </w:r>
      <w:r>
        <w:rPr>
          <w:rFonts w:ascii="Arial" w:hAnsi="Arial" w:cs="Arial"/>
          <w:sz w:val="22"/>
        </w:rPr>
        <w:t xml:space="preserve">Article 6 of </w:t>
      </w:r>
      <w:r w:rsidR="000200BC">
        <w:rPr>
          <w:rFonts w:ascii="Arial" w:hAnsi="Arial" w:cs="Arial"/>
          <w:sz w:val="22"/>
        </w:rPr>
        <w:t>the ICCPR, an issue to be addressed within the framework of national sovereignty and domestic jurisdiction and competence. This stands in contrast to the Committee’s aim of imposing an alleged international human right to abortion in a top-down manner</w:t>
      </w:r>
      <w:r>
        <w:rPr>
          <w:rFonts w:ascii="Arial" w:hAnsi="Arial" w:cs="Arial"/>
          <w:sz w:val="22"/>
        </w:rPr>
        <w:t>.</w:t>
      </w:r>
    </w:p>
    <w:p w14:paraId="18958066" w14:textId="326804D3" w:rsidR="00985029" w:rsidRDefault="00985029">
      <w:pPr>
        <w:pStyle w:val="CourtNumberedpara"/>
        <w:spacing w:line="276" w:lineRule="auto"/>
        <w:jc w:val="both"/>
        <w:rPr>
          <w:rFonts w:ascii="Arial" w:hAnsi="Arial" w:cs="Arial"/>
          <w:sz w:val="22"/>
        </w:rPr>
      </w:pPr>
      <w:r>
        <w:rPr>
          <w:rFonts w:ascii="Arial" w:hAnsi="Arial" w:cs="Arial"/>
          <w:sz w:val="22"/>
        </w:rPr>
        <w:t xml:space="preserve">The relationship between and interaction of the principles set out under the ICCPR and the ICPD Programme of Action respectively potentially </w:t>
      </w:r>
      <w:r w:rsidR="00B46EF1">
        <w:rPr>
          <w:rFonts w:ascii="Arial" w:hAnsi="Arial" w:cs="Arial"/>
          <w:sz w:val="22"/>
        </w:rPr>
        <w:t xml:space="preserve">can </w:t>
      </w:r>
      <w:r>
        <w:rPr>
          <w:rFonts w:ascii="Arial" w:hAnsi="Arial" w:cs="Arial"/>
          <w:sz w:val="22"/>
        </w:rPr>
        <w:t>be understood in an analogous fashion to the margin of appreciation doctrine utilized by the ECtHR</w:t>
      </w:r>
      <w:r w:rsidR="00205535">
        <w:rPr>
          <w:rFonts w:ascii="Arial" w:hAnsi="Arial" w:cs="Arial"/>
          <w:sz w:val="22"/>
        </w:rPr>
        <w:t xml:space="preserve"> as explained earlier in this submission</w:t>
      </w:r>
      <w:r>
        <w:rPr>
          <w:rFonts w:ascii="Arial" w:hAnsi="Arial" w:cs="Arial"/>
          <w:sz w:val="22"/>
        </w:rPr>
        <w:t xml:space="preserve">. Article 6 of the ICCPR is to be understood as recognizing the right to life of all human persons, including the unborn child. The baseline, therefore, is that abortion should not be considered </w:t>
      </w:r>
      <w:r w:rsidR="00E04BA5">
        <w:rPr>
          <w:rFonts w:ascii="Arial" w:hAnsi="Arial" w:cs="Arial"/>
          <w:sz w:val="22"/>
        </w:rPr>
        <w:t>permissible under international law</w:t>
      </w:r>
      <w:r>
        <w:rPr>
          <w:rFonts w:ascii="Arial" w:hAnsi="Arial" w:cs="Arial"/>
          <w:sz w:val="22"/>
        </w:rPr>
        <w:t xml:space="preserve">, and any State Party </w:t>
      </w:r>
      <w:r w:rsidR="00B46EF1">
        <w:rPr>
          <w:rFonts w:ascii="Arial" w:hAnsi="Arial" w:cs="Arial"/>
          <w:sz w:val="22"/>
        </w:rPr>
        <w:t>that</w:t>
      </w:r>
      <w:r>
        <w:rPr>
          <w:rFonts w:ascii="Arial" w:hAnsi="Arial" w:cs="Arial"/>
          <w:sz w:val="22"/>
        </w:rPr>
        <w:t xml:space="preserve"> seeks to exercise its national sovereignty in legalizing</w:t>
      </w:r>
      <w:r w:rsidR="00E04BA5">
        <w:rPr>
          <w:rFonts w:ascii="Arial" w:hAnsi="Arial" w:cs="Arial"/>
          <w:sz w:val="22"/>
        </w:rPr>
        <w:t xml:space="preserve"> abortion</w:t>
      </w:r>
      <w:r>
        <w:rPr>
          <w:rFonts w:ascii="Arial" w:hAnsi="Arial" w:cs="Arial"/>
          <w:sz w:val="22"/>
        </w:rPr>
        <w:t xml:space="preserve"> has the onus of justifying this with reference to the Covenant rights of other parties. In all cases, in line with the ICPD Programme of Action, </w:t>
      </w:r>
      <w:r w:rsidR="00E04BA5">
        <w:rPr>
          <w:rFonts w:ascii="Arial" w:hAnsi="Arial" w:cs="Arial"/>
          <w:sz w:val="22"/>
        </w:rPr>
        <w:t>recourse to abortion must be avoided to the greatest extent possible.</w:t>
      </w:r>
    </w:p>
    <w:p w14:paraId="3A6B958F" w14:textId="5B8DD423" w:rsidR="00E04BA5" w:rsidRPr="00117F39" w:rsidRDefault="00E04BA5">
      <w:pPr>
        <w:pStyle w:val="CourtNumberedpara"/>
        <w:spacing w:line="276" w:lineRule="auto"/>
        <w:jc w:val="both"/>
        <w:rPr>
          <w:rFonts w:ascii="Arial" w:hAnsi="Arial" w:cs="Arial"/>
          <w:sz w:val="22"/>
        </w:rPr>
      </w:pPr>
      <w:r>
        <w:rPr>
          <w:rFonts w:ascii="Arial" w:hAnsi="Arial" w:cs="Arial"/>
          <w:sz w:val="22"/>
        </w:rPr>
        <w:t xml:space="preserve">What the Committee is seemingly seeking to do, however, is reverse that </w:t>
      </w:r>
      <w:r w:rsidR="005E129D">
        <w:rPr>
          <w:rFonts w:ascii="Arial" w:hAnsi="Arial" w:cs="Arial"/>
          <w:sz w:val="22"/>
        </w:rPr>
        <w:t>onus. According to the Committee</w:t>
      </w:r>
      <w:r w:rsidR="00205535">
        <w:rPr>
          <w:rFonts w:ascii="Arial" w:hAnsi="Arial" w:cs="Arial"/>
          <w:sz w:val="22"/>
        </w:rPr>
        <w:t xml:space="preserve"> in this draft general comment</w:t>
      </w:r>
      <w:r>
        <w:rPr>
          <w:rFonts w:ascii="Arial" w:hAnsi="Arial" w:cs="Arial"/>
          <w:sz w:val="22"/>
        </w:rPr>
        <w:t>, under the ICCPR the unborn child has no inherent right to life</w:t>
      </w:r>
      <w:r w:rsidR="00B46EF1">
        <w:rPr>
          <w:rFonts w:ascii="Arial" w:hAnsi="Arial" w:cs="Arial"/>
          <w:sz w:val="22"/>
        </w:rPr>
        <w:t>.</w:t>
      </w:r>
      <w:r>
        <w:rPr>
          <w:rFonts w:ascii="Arial" w:hAnsi="Arial" w:cs="Arial"/>
          <w:sz w:val="22"/>
        </w:rPr>
        <w:t xml:space="preserve"> States Parties are</w:t>
      </w:r>
      <w:r w:rsidR="005254DB">
        <w:rPr>
          <w:rFonts w:ascii="Arial" w:hAnsi="Arial" w:cs="Arial"/>
          <w:sz w:val="22"/>
        </w:rPr>
        <w:t xml:space="preserve"> also allegedly</w:t>
      </w:r>
      <w:r>
        <w:rPr>
          <w:rFonts w:ascii="Arial" w:hAnsi="Arial" w:cs="Arial"/>
          <w:sz w:val="22"/>
        </w:rPr>
        <w:t xml:space="preserve"> required to </w:t>
      </w:r>
      <w:r w:rsidR="005E129D">
        <w:rPr>
          <w:rFonts w:ascii="Arial" w:hAnsi="Arial" w:cs="Arial"/>
          <w:sz w:val="22"/>
        </w:rPr>
        <w:t>actively provide for legal abortion in at least a minimum set of circumstances specified by the Committee, and States Parties are in no case permitted to enforce criminal prohibitions of abortion. It stands to reason that, under this view, a State Party whose national law contradicted any of these opinions of the Committee would bear the burden of proof as to why its laws on the matter were justified with reference to the rights of others under the Covenant. This flagrantly disregards the principle established under international consensus that the manner in which a country handles abortion is ultimately a matter of national law, and that abortion is in no case to be promoted or encouraged.</w:t>
      </w:r>
    </w:p>
    <w:p w14:paraId="4C5553E2" w14:textId="77777777" w:rsidR="00CC661A" w:rsidRPr="004A513B" w:rsidRDefault="00CC661A" w:rsidP="00E91F71">
      <w:pPr>
        <w:pStyle w:val="ListParagraph"/>
        <w:numPr>
          <w:ilvl w:val="0"/>
          <w:numId w:val="6"/>
        </w:numPr>
        <w:spacing w:line="276" w:lineRule="auto"/>
        <w:jc w:val="both"/>
        <w:rPr>
          <w:rFonts w:ascii="Arial" w:hAnsi="Arial" w:cs="Arial"/>
          <w:b/>
          <w:sz w:val="22"/>
        </w:rPr>
      </w:pPr>
      <w:r w:rsidRPr="004A513B">
        <w:rPr>
          <w:rFonts w:ascii="Arial" w:hAnsi="Arial" w:cs="Arial"/>
          <w:b/>
          <w:sz w:val="22"/>
        </w:rPr>
        <w:t>Conclusion</w:t>
      </w:r>
    </w:p>
    <w:p w14:paraId="007FE324" w14:textId="77777777" w:rsidR="00E76487" w:rsidRPr="00B04866" w:rsidRDefault="002C2B1A" w:rsidP="007B6F62">
      <w:pPr>
        <w:pStyle w:val="CourtNumberedpara"/>
        <w:spacing w:line="276" w:lineRule="auto"/>
        <w:jc w:val="both"/>
        <w:rPr>
          <w:rFonts w:ascii="Arial" w:eastAsia="Calibri" w:hAnsi="Arial" w:cs="Arial"/>
          <w:sz w:val="22"/>
        </w:rPr>
      </w:pPr>
      <w:r w:rsidRPr="004A513B">
        <w:rPr>
          <w:rFonts w:ascii="Arial" w:hAnsi="Arial" w:cs="Arial"/>
          <w:sz w:val="22"/>
        </w:rPr>
        <w:t>The ICCPR implicitly recognizes the right to life of the unborn, which is reinforced</w:t>
      </w:r>
      <w:r w:rsidRPr="00BE2697">
        <w:rPr>
          <w:rFonts w:ascii="Arial" w:hAnsi="Arial" w:cs="Arial"/>
          <w:sz w:val="22"/>
        </w:rPr>
        <w:t xml:space="preserve"> by the recognition of the unborn in other international human rights treaties and national legal provisions. </w:t>
      </w:r>
      <w:r w:rsidR="00EF3FFD" w:rsidRPr="00BE2697">
        <w:rPr>
          <w:rFonts w:ascii="Arial" w:hAnsi="Arial" w:cs="Arial"/>
          <w:sz w:val="22"/>
        </w:rPr>
        <w:t>While a</w:t>
      </w:r>
      <w:r w:rsidR="0078217C" w:rsidRPr="00BE2697">
        <w:rPr>
          <w:rFonts w:ascii="Arial" w:hAnsi="Arial" w:cs="Arial"/>
          <w:sz w:val="22"/>
        </w:rPr>
        <w:t xml:space="preserve">bortion proponents claim that international human rights treaties, </w:t>
      </w:r>
      <w:r w:rsidR="000A09E6">
        <w:rPr>
          <w:rFonts w:ascii="Arial" w:hAnsi="Arial" w:cs="Arial"/>
          <w:sz w:val="22"/>
        </w:rPr>
        <w:t xml:space="preserve">including the ICCPR, contain a </w:t>
      </w:r>
      <w:r w:rsidR="0078217C" w:rsidRPr="00BE2697">
        <w:rPr>
          <w:rFonts w:ascii="Arial" w:hAnsi="Arial" w:cs="Arial"/>
          <w:sz w:val="22"/>
        </w:rPr>
        <w:t>right to abortion</w:t>
      </w:r>
      <w:r w:rsidR="00EF3FFD" w:rsidRPr="00BE2697">
        <w:rPr>
          <w:rFonts w:ascii="Arial" w:hAnsi="Arial" w:cs="Arial"/>
          <w:sz w:val="22"/>
        </w:rPr>
        <w:t>, there is no justification for this position within t</w:t>
      </w:r>
      <w:r w:rsidR="00C55A9A" w:rsidRPr="00BE2697">
        <w:rPr>
          <w:rFonts w:ascii="Arial" w:hAnsi="Arial" w:cs="Arial"/>
          <w:sz w:val="22"/>
        </w:rPr>
        <w:t>he ordinary meaning of the text</w:t>
      </w:r>
      <w:r w:rsidR="00AA10F6" w:rsidRPr="00BE2697">
        <w:rPr>
          <w:rFonts w:ascii="Arial" w:hAnsi="Arial" w:cs="Arial"/>
          <w:sz w:val="22"/>
        </w:rPr>
        <w:t xml:space="preserve">, and the idea that </w:t>
      </w:r>
      <w:r w:rsidR="0008482A">
        <w:rPr>
          <w:rFonts w:ascii="Arial" w:hAnsi="Arial" w:cs="Arial"/>
          <w:sz w:val="22"/>
        </w:rPr>
        <w:t xml:space="preserve">a </w:t>
      </w:r>
      <w:r w:rsidR="00AA10F6" w:rsidRPr="00BE2697">
        <w:rPr>
          <w:rFonts w:ascii="Arial" w:hAnsi="Arial" w:cs="Arial"/>
          <w:sz w:val="22"/>
        </w:rPr>
        <w:t>w</w:t>
      </w:r>
      <w:r w:rsidR="0008482A">
        <w:rPr>
          <w:rFonts w:ascii="Arial" w:hAnsi="Arial" w:cs="Arial"/>
          <w:sz w:val="22"/>
        </w:rPr>
        <w:t>o</w:t>
      </w:r>
      <w:r w:rsidR="00AA10F6" w:rsidRPr="00BE2697">
        <w:rPr>
          <w:rFonts w:ascii="Arial" w:hAnsi="Arial" w:cs="Arial"/>
          <w:sz w:val="22"/>
        </w:rPr>
        <w:t>m</w:t>
      </w:r>
      <w:r w:rsidR="0008482A">
        <w:rPr>
          <w:rFonts w:ascii="Arial" w:hAnsi="Arial" w:cs="Arial"/>
          <w:sz w:val="22"/>
        </w:rPr>
        <w:t>a</w:t>
      </w:r>
      <w:r w:rsidR="00AA10F6" w:rsidRPr="00BE2697">
        <w:rPr>
          <w:rFonts w:ascii="Arial" w:hAnsi="Arial" w:cs="Arial"/>
          <w:sz w:val="22"/>
        </w:rPr>
        <w:t xml:space="preserve">n’s right to life would be protected by abortion </w:t>
      </w:r>
      <w:r w:rsidR="0008482A">
        <w:rPr>
          <w:rFonts w:ascii="Arial" w:hAnsi="Arial" w:cs="Arial"/>
          <w:sz w:val="22"/>
        </w:rPr>
        <w:t xml:space="preserve">on demand </w:t>
      </w:r>
      <w:r w:rsidR="00AA10F6" w:rsidRPr="00BE2697">
        <w:rPr>
          <w:rFonts w:ascii="Arial" w:hAnsi="Arial" w:cs="Arial"/>
          <w:sz w:val="22"/>
        </w:rPr>
        <w:t>is tenuous</w:t>
      </w:r>
      <w:r w:rsidR="00140E3D" w:rsidRPr="00BE2697">
        <w:rPr>
          <w:rFonts w:ascii="Arial" w:hAnsi="Arial" w:cs="Arial"/>
          <w:sz w:val="22"/>
        </w:rPr>
        <w:t>.</w:t>
      </w:r>
      <w:r w:rsidR="00E76487" w:rsidRPr="00BE2697">
        <w:rPr>
          <w:rFonts w:ascii="Arial" w:hAnsi="Arial" w:cs="Arial"/>
          <w:sz w:val="22"/>
        </w:rPr>
        <w:t xml:space="preserve"> </w:t>
      </w:r>
    </w:p>
    <w:p w14:paraId="45398DFB" w14:textId="77777777" w:rsidR="00B04866" w:rsidRPr="00BE2697" w:rsidRDefault="00B04866" w:rsidP="007B6F62">
      <w:pPr>
        <w:pStyle w:val="CourtNumberedpara"/>
        <w:spacing w:line="276" w:lineRule="auto"/>
        <w:jc w:val="both"/>
        <w:rPr>
          <w:rFonts w:ascii="Arial" w:eastAsia="Calibri" w:hAnsi="Arial" w:cs="Arial"/>
          <w:sz w:val="22"/>
        </w:rPr>
      </w:pPr>
      <w:r>
        <w:rPr>
          <w:rFonts w:ascii="Arial" w:hAnsi="Arial" w:cs="Arial"/>
          <w:sz w:val="22"/>
        </w:rPr>
        <w:t xml:space="preserve">For this reason, paragraph 9 of the current version of the draft resolution must be removed in its entirety, as it seeks to enshrine a non-existent “human right to abortion” as part of the Committee’s interpretation of, inter alia, Article 6 of the ICCPR. Similarly, the previous reference to the rights of the unborn child under Article 6(5) removed from what is now paragraph 52 of the current version of the draft general comment </w:t>
      </w:r>
      <w:r>
        <w:rPr>
          <w:rFonts w:ascii="Arial" w:hAnsi="Arial" w:cs="Arial"/>
          <w:sz w:val="22"/>
        </w:rPr>
        <w:lastRenderedPageBreak/>
        <w:t>must be restored and, if possible, strengthened in order to give effect to the clear intention of the draft</w:t>
      </w:r>
      <w:r w:rsidR="00E1133A">
        <w:rPr>
          <w:rFonts w:ascii="Arial" w:hAnsi="Arial" w:cs="Arial"/>
          <w:sz w:val="22"/>
        </w:rPr>
        <w:t>er</w:t>
      </w:r>
      <w:r>
        <w:rPr>
          <w:rFonts w:ascii="Arial" w:hAnsi="Arial" w:cs="Arial"/>
          <w:sz w:val="22"/>
        </w:rPr>
        <w:t>s of the Covenant.</w:t>
      </w:r>
    </w:p>
    <w:p w14:paraId="4C08AEF9" w14:textId="77777777" w:rsidR="007E22EE" w:rsidRPr="00BE2697" w:rsidRDefault="007E22EE" w:rsidP="007B6F62">
      <w:pPr>
        <w:spacing w:line="276" w:lineRule="auto"/>
        <w:jc w:val="both"/>
        <w:rPr>
          <w:rFonts w:ascii="Arial" w:eastAsia="Calibri" w:hAnsi="Arial" w:cs="Arial"/>
          <w:b/>
          <w:sz w:val="22"/>
        </w:rPr>
      </w:pPr>
      <w:r w:rsidRPr="00BE2697">
        <w:rPr>
          <w:rFonts w:ascii="Arial" w:eastAsia="Calibri" w:hAnsi="Arial" w:cs="Arial"/>
          <w:b/>
          <w:sz w:val="22"/>
        </w:rPr>
        <w:t xml:space="preserve">II. The </w:t>
      </w:r>
      <w:r w:rsidR="00107570" w:rsidRPr="00BE2697">
        <w:rPr>
          <w:rFonts w:ascii="Arial" w:eastAsia="Calibri" w:hAnsi="Arial" w:cs="Arial"/>
          <w:b/>
          <w:sz w:val="22"/>
        </w:rPr>
        <w:t xml:space="preserve">Relationship </w:t>
      </w:r>
      <w:r w:rsidR="007B6F62">
        <w:rPr>
          <w:rFonts w:ascii="Arial" w:eastAsia="Calibri" w:hAnsi="Arial" w:cs="Arial"/>
          <w:b/>
          <w:sz w:val="22"/>
        </w:rPr>
        <w:t>b</w:t>
      </w:r>
      <w:r w:rsidR="00107570" w:rsidRPr="00BE2697">
        <w:rPr>
          <w:rFonts w:ascii="Arial" w:eastAsia="Calibri" w:hAnsi="Arial" w:cs="Arial"/>
          <w:b/>
          <w:sz w:val="22"/>
        </w:rPr>
        <w:t xml:space="preserve">etween </w:t>
      </w:r>
      <w:r w:rsidRPr="00BE2697">
        <w:rPr>
          <w:rFonts w:ascii="Arial" w:eastAsia="Calibri" w:hAnsi="Arial" w:cs="Arial"/>
          <w:b/>
          <w:sz w:val="22"/>
        </w:rPr>
        <w:t xml:space="preserve">the </w:t>
      </w:r>
      <w:r w:rsidR="00107570" w:rsidRPr="00BE2697">
        <w:rPr>
          <w:rFonts w:ascii="Arial" w:eastAsia="Calibri" w:hAnsi="Arial" w:cs="Arial"/>
          <w:b/>
          <w:sz w:val="22"/>
        </w:rPr>
        <w:t xml:space="preserve">Right </w:t>
      </w:r>
      <w:r w:rsidRPr="00BE2697">
        <w:rPr>
          <w:rFonts w:ascii="Arial" w:eastAsia="Calibri" w:hAnsi="Arial" w:cs="Arial"/>
          <w:b/>
          <w:sz w:val="22"/>
        </w:rPr>
        <w:t xml:space="preserve">to </w:t>
      </w:r>
      <w:r w:rsidR="00107570" w:rsidRPr="00BE2697">
        <w:rPr>
          <w:rFonts w:ascii="Arial" w:eastAsia="Calibri" w:hAnsi="Arial" w:cs="Arial"/>
          <w:b/>
          <w:sz w:val="22"/>
        </w:rPr>
        <w:t xml:space="preserve">Life </w:t>
      </w:r>
      <w:r w:rsidRPr="00BE2697">
        <w:rPr>
          <w:rFonts w:ascii="Arial" w:eastAsia="Calibri" w:hAnsi="Arial" w:cs="Arial"/>
          <w:b/>
          <w:sz w:val="22"/>
        </w:rPr>
        <w:t>and the “</w:t>
      </w:r>
      <w:r w:rsidR="00107570" w:rsidRPr="00BE2697">
        <w:rPr>
          <w:rFonts w:ascii="Arial" w:eastAsia="Calibri" w:hAnsi="Arial" w:cs="Arial"/>
          <w:b/>
          <w:sz w:val="22"/>
        </w:rPr>
        <w:t xml:space="preserve">Right </w:t>
      </w:r>
      <w:r w:rsidRPr="00BE2697">
        <w:rPr>
          <w:rFonts w:ascii="Arial" w:eastAsia="Calibri" w:hAnsi="Arial" w:cs="Arial"/>
          <w:b/>
          <w:sz w:val="22"/>
        </w:rPr>
        <w:t xml:space="preserve">to </w:t>
      </w:r>
      <w:r w:rsidR="00107570" w:rsidRPr="00BE2697">
        <w:rPr>
          <w:rFonts w:ascii="Arial" w:eastAsia="Calibri" w:hAnsi="Arial" w:cs="Arial"/>
          <w:b/>
          <w:sz w:val="22"/>
        </w:rPr>
        <w:t>Die</w:t>
      </w:r>
      <w:r w:rsidRPr="00BE2697">
        <w:rPr>
          <w:rFonts w:ascii="Arial" w:eastAsia="Calibri" w:hAnsi="Arial" w:cs="Arial"/>
          <w:b/>
          <w:sz w:val="22"/>
        </w:rPr>
        <w:t>”</w:t>
      </w:r>
    </w:p>
    <w:p w14:paraId="042D7521" w14:textId="77777777" w:rsidR="007E22EE" w:rsidRDefault="007E22EE" w:rsidP="007B6F62">
      <w:pPr>
        <w:pStyle w:val="CourtNumberedpara"/>
        <w:spacing w:line="276" w:lineRule="auto"/>
        <w:jc w:val="both"/>
        <w:rPr>
          <w:rFonts w:ascii="Arial" w:hAnsi="Arial" w:cs="Arial"/>
          <w:sz w:val="22"/>
        </w:rPr>
      </w:pPr>
      <w:r w:rsidRPr="00BE2697">
        <w:rPr>
          <w:rFonts w:ascii="Arial" w:hAnsi="Arial" w:cs="Arial"/>
          <w:sz w:val="22"/>
        </w:rPr>
        <w:t>As the following section makes clear, the right to life, as recognized by Article 6</w:t>
      </w:r>
      <w:r w:rsidR="00F51B44" w:rsidRPr="00BE2697">
        <w:rPr>
          <w:rFonts w:ascii="Arial" w:hAnsi="Arial" w:cs="Arial"/>
          <w:sz w:val="22"/>
        </w:rPr>
        <w:t xml:space="preserve"> of the</w:t>
      </w:r>
      <w:r w:rsidRPr="00BE2697">
        <w:rPr>
          <w:rFonts w:ascii="Arial" w:hAnsi="Arial" w:cs="Arial"/>
          <w:sz w:val="22"/>
        </w:rPr>
        <w:t xml:space="preserve"> ICCPR and other regional human rights treaties, cannot be interpreted as including a diametrically opposed claim, namely a so-called “right to die</w:t>
      </w:r>
      <w:r w:rsidR="000C2AD1" w:rsidRPr="00BE2697">
        <w:rPr>
          <w:rFonts w:ascii="Arial" w:hAnsi="Arial" w:cs="Arial"/>
          <w:sz w:val="22"/>
        </w:rPr>
        <w:t>.</w:t>
      </w:r>
      <w:r w:rsidRPr="00BE2697">
        <w:rPr>
          <w:rFonts w:ascii="Arial" w:hAnsi="Arial" w:cs="Arial"/>
          <w:sz w:val="22"/>
        </w:rPr>
        <w:t>”</w:t>
      </w:r>
    </w:p>
    <w:p w14:paraId="5EF33154" w14:textId="77777777" w:rsidR="00F0159D" w:rsidRPr="00BE2697" w:rsidRDefault="00F0159D" w:rsidP="007B6F62">
      <w:pPr>
        <w:pStyle w:val="CourtNumberedpara"/>
        <w:spacing w:line="276" w:lineRule="auto"/>
        <w:jc w:val="both"/>
        <w:rPr>
          <w:rFonts w:ascii="Arial" w:hAnsi="Arial" w:cs="Arial"/>
          <w:sz w:val="22"/>
        </w:rPr>
      </w:pPr>
      <w:r>
        <w:rPr>
          <w:rFonts w:ascii="Arial" w:hAnsi="Arial" w:cs="Arial"/>
          <w:sz w:val="22"/>
        </w:rPr>
        <w:t>Paragraph 10 of the current draft general comment, while c</w:t>
      </w:r>
      <w:r w:rsidR="0050717A">
        <w:rPr>
          <w:rFonts w:ascii="Arial" w:hAnsi="Arial" w:cs="Arial"/>
          <w:sz w:val="22"/>
        </w:rPr>
        <w:t>orrectly asserting that States P</w:t>
      </w:r>
      <w:r>
        <w:rPr>
          <w:rFonts w:ascii="Arial" w:hAnsi="Arial" w:cs="Arial"/>
          <w:sz w:val="22"/>
        </w:rPr>
        <w:t>arties are to take adequate measures to prevent suicides, is poised</w:t>
      </w:r>
      <w:r w:rsidR="0050717A">
        <w:rPr>
          <w:rFonts w:ascii="Arial" w:hAnsi="Arial" w:cs="Arial"/>
          <w:sz w:val="22"/>
        </w:rPr>
        <w:t xml:space="preserve"> to either declare that States P</w:t>
      </w:r>
      <w:r>
        <w:rPr>
          <w:rFonts w:ascii="Arial" w:hAnsi="Arial" w:cs="Arial"/>
          <w:sz w:val="22"/>
        </w:rPr>
        <w:t>arties “may allow” or “should not prevent” medical professionals facilitating termination of lif</w:t>
      </w:r>
      <w:r w:rsidR="00DD1CAA">
        <w:rPr>
          <w:rFonts w:ascii="Arial" w:hAnsi="Arial" w:cs="Arial"/>
          <w:sz w:val="22"/>
        </w:rPr>
        <w:t>e regarding “[catastrophically] afflicted adults.” Depending on which wording is chosen, this wi</w:t>
      </w:r>
      <w:r w:rsidR="0050717A">
        <w:rPr>
          <w:rFonts w:ascii="Arial" w:hAnsi="Arial" w:cs="Arial"/>
          <w:sz w:val="22"/>
        </w:rPr>
        <w:t>ll either seek to allow States P</w:t>
      </w:r>
      <w:r w:rsidR="00DD1CAA">
        <w:rPr>
          <w:rFonts w:ascii="Arial" w:hAnsi="Arial" w:cs="Arial"/>
          <w:sz w:val="22"/>
        </w:rPr>
        <w:t xml:space="preserve">arties to enshrine a supposed “right to die” in their domestic law, or it will effectively </w:t>
      </w:r>
      <w:r w:rsidR="004A4EA2">
        <w:rPr>
          <w:rFonts w:ascii="Arial" w:hAnsi="Arial" w:cs="Arial"/>
          <w:sz w:val="22"/>
        </w:rPr>
        <w:t xml:space="preserve">claim that they are obliged </w:t>
      </w:r>
      <w:r w:rsidR="00DD1CAA">
        <w:rPr>
          <w:rFonts w:ascii="Arial" w:hAnsi="Arial" w:cs="Arial"/>
          <w:sz w:val="22"/>
        </w:rPr>
        <w:t>to do so.</w:t>
      </w:r>
    </w:p>
    <w:p w14:paraId="32B84227" w14:textId="77777777" w:rsidR="007E22EE" w:rsidRPr="00BE2697" w:rsidRDefault="007E22EE" w:rsidP="00E91F71">
      <w:pPr>
        <w:numPr>
          <w:ilvl w:val="0"/>
          <w:numId w:val="8"/>
        </w:numPr>
        <w:spacing w:line="276" w:lineRule="auto"/>
        <w:contextualSpacing/>
        <w:jc w:val="both"/>
        <w:rPr>
          <w:rFonts w:ascii="Arial" w:eastAsia="Calibri" w:hAnsi="Arial" w:cs="Arial"/>
          <w:b/>
          <w:sz w:val="22"/>
        </w:rPr>
      </w:pPr>
      <w:r w:rsidRPr="00BE2697">
        <w:rPr>
          <w:rFonts w:ascii="Arial" w:eastAsia="Calibri" w:hAnsi="Arial" w:cs="Arial"/>
          <w:b/>
          <w:sz w:val="22"/>
        </w:rPr>
        <w:t>No Recognition of “Right to Die” within UN Treaties</w:t>
      </w:r>
    </w:p>
    <w:p w14:paraId="61CE9574" w14:textId="77777777"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No international or regional human rights treaty</w:t>
      </w:r>
      <w:r w:rsidR="00DD1CAA">
        <w:rPr>
          <w:rFonts w:ascii="Arial" w:eastAsia="Calibri" w:hAnsi="Arial" w:cs="Arial"/>
          <w:sz w:val="22"/>
        </w:rPr>
        <w:t>, however,</w:t>
      </w:r>
      <w:r w:rsidRPr="00BE2697">
        <w:rPr>
          <w:rFonts w:ascii="Arial" w:eastAsia="Calibri" w:hAnsi="Arial" w:cs="Arial"/>
          <w:sz w:val="22"/>
        </w:rPr>
        <w:t xml:space="preserve"> provides any mention of a “right to die</w:t>
      </w:r>
      <w:r w:rsidR="000C2AD1" w:rsidRPr="00BE2697">
        <w:rPr>
          <w:rFonts w:ascii="Arial" w:eastAsia="Calibri" w:hAnsi="Arial" w:cs="Arial"/>
          <w:sz w:val="22"/>
        </w:rPr>
        <w:t>,</w:t>
      </w:r>
      <w:r w:rsidRPr="00BE2697">
        <w:rPr>
          <w:rFonts w:ascii="Arial" w:eastAsia="Calibri" w:hAnsi="Arial" w:cs="Arial"/>
          <w:sz w:val="22"/>
        </w:rPr>
        <w:t xml:space="preserve">” nor can such a “right” ever be inferred from the ordinary meaning of </w:t>
      </w:r>
      <w:r w:rsidR="006F3D78">
        <w:rPr>
          <w:rFonts w:ascii="Arial" w:eastAsia="Calibri" w:hAnsi="Arial" w:cs="Arial"/>
          <w:sz w:val="22"/>
        </w:rPr>
        <w:t>the</w:t>
      </w:r>
      <w:r w:rsidRPr="00BE2697">
        <w:rPr>
          <w:rFonts w:ascii="Arial" w:eastAsia="Calibri" w:hAnsi="Arial" w:cs="Arial"/>
          <w:sz w:val="22"/>
        </w:rPr>
        <w:t xml:space="preserve"> right to life</w:t>
      </w:r>
      <w:r w:rsidR="000C2AD1" w:rsidRPr="00BE2697">
        <w:rPr>
          <w:rFonts w:ascii="Arial" w:eastAsia="Calibri" w:hAnsi="Arial" w:cs="Arial"/>
          <w:sz w:val="22"/>
        </w:rPr>
        <w:t>.</w:t>
      </w:r>
    </w:p>
    <w:p w14:paraId="4D486153" w14:textId="77777777"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Article 6</w:t>
      </w:r>
      <w:r w:rsidR="000C2AD1" w:rsidRPr="00BE2697">
        <w:rPr>
          <w:rFonts w:ascii="Arial" w:eastAsia="Calibri" w:hAnsi="Arial" w:cs="Arial"/>
          <w:sz w:val="22"/>
        </w:rPr>
        <w:t>(</w:t>
      </w:r>
      <w:r w:rsidRPr="00BE2697">
        <w:rPr>
          <w:rFonts w:ascii="Arial" w:eastAsia="Calibri" w:hAnsi="Arial" w:cs="Arial"/>
          <w:sz w:val="22"/>
        </w:rPr>
        <w:t>1</w:t>
      </w:r>
      <w:r w:rsidR="000C2AD1" w:rsidRPr="00BE2697">
        <w:rPr>
          <w:rFonts w:ascii="Arial" w:eastAsia="Calibri" w:hAnsi="Arial" w:cs="Arial"/>
          <w:sz w:val="22"/>
        </w:rPr>
        <w:t>)</w:t>
      </w:r>
      <w:r w:rsidRPr="00BE2697">
        <w:rPr>
          <w:rFonts w:ascii="Arial" w:eastAsia="Calibri" w:hAnsi="Arial" w:cs="Arial"/>
          <w:sz w:val="22"/>
        </w:rPr>
        <w:t xml:space="preserve"> of the ICCPR states, “Every human being has the inherent right to life. This right shall be protected by law. No one shall be arbitrarily deprived of his life.” Article 6</w:t>
      </w:r>
      <w:r w:rsidR="000C2AD1" w:rsidRPr="00BE2697">
        <w:rPr>
          <w:rFonts w:ascii="Arial" w:eastAsia="Calibri" w:hAnsi="Arial" w:cs="Arial"/>
          <w:sz w:val="22"/>
        </w:rPr>
        <w:t>(</w:t>
      </w:r>
      <w:r w:rsidRPr="00BE2697">
        <w:rPr>
          <w:rFonts w:ascii="Arial" w:eastAsia="Calibri" w:hAnsi="Arial" w:cs="Arial"/>
          <w:sz w:val="22"/>
        </w:rPr>
        <w:t>1</w:t>
      </w:r>
      <w:r w:rsidR="000C2AD1" w:rsidRPr="00BE2697">
        <w:rPr>
          <w:rFonts w:ascii="Arial" w:eastAsia="Calibri" w:hAnsi="Arial" w:cs="Arial"/>
          <w:sz w:val="22"/>
        </w:rPr>
        <w:t>)</w:t>
      </w:r>
      <w:r w:rsidRPr="00BE2697">
        <w:rPr>
          <w:rFonts w:ascii="Arial" w:eastAsia="Calibri" w:hAnsi="Arial" w:cs="Arial"/>
          <w:sz w:val="22"/>
        </w:rPr>
        <w:t xml:space="preserve"> of the </w:t>
      </w:r>
      <w:r w:rsidR="007A21FC" w:rsidRPr="00BE2697">
        <w:rPr>
          <w:rFonts w:ascii="Arial" w:eastAsia="Calibri" w:hAnsi="Arial" w:cs="Arial"/>
          <w:sz w:val="22"/>
        </w:rPr>
        <w:t>CRC</w:t>
      </w:r>
      <w:r w:rsidRPr="00BE2697">
        <w:rPr>
          <w:rFonts w:ascii="Arial" w:eastAsia="Calibri" w:hAnsi="Arial" w:cs="Arial"/>
          <w:sz w:val="22"/>
        </w:rPr>
        <w:t xml:space="preserve"> states that “every child has the inherent right to life,” and makes no mention of a right to death. Article 10 of the Convention on the Rights of Persons with Disabilities </w:t>
      </w:r>
      <w:r w:rsidR="007A21FC" w:rsidRPr="00BE2697">
        <w:rPr>
          <w:rFonts w:ascii="Arial" w:eastAsia="Calibri" w:hAnsi="Arial" w:cs="Arial"/>
          <w:sz w:val="22"/>
        </w:rPr>
        <w:t xml:space="preserve">(CRPD) </w:t>
      </w:r>
      <w:r w:rsidRPr="00BE2697">
        <w:rPr>
          <w:rFonts w:ascii="Arial" w:eastAsia="Calibri" w:hAnsi="Arial" w:cs="Arial"/>
          <w:sz w:val="22"/>
        </w:rPr>
        <w:t xml:space="preserve">safeguards against, rather than recognizes, a right to death by stating, “States Parties reaffirm that every human being has the inherent right to life and shall take all necessary measures to ensure its effective enjoyment by persons with disabilities on an equal basis with others.” </w:t>
      </w:r>
    </w:p>
    <w:p w14:paraId="6CCA935A" w14:textId="77777777" w:rsidR="007E22EE" w:rsidRPr="00BE2697" w:rsidRDefault="006F3D78" w:rsidP="007B6F62">
      <w:pPr>
        <w:pStyle w:val="CourtNumberedpara"/>
        <w:spacing w:line="276" w:lineRule="auto"/>
        <w:jc w:val="both"/>
        <w:rPr>
          <w:rFonts w:ascii="Arial" w:eastAsia="Calibri" w:hAnsi="Arial" w:cs="Arial"/>
          <w:sz w:val="22"/>
        </w:rPr>
      </w:pPr>
      <w:r>
        <w:rPr>
          <w:rFonts w:ascii="Arial" w:eastAsia="Calibri" w:hAnsi="Arial" w:cs="Arial"/>
          <w:sz w:val="22"/>
        </w:rPr>
        <w:t xml:space="preserve">Rather than recognizing a “right to die”, </w:t>
      </w:r>
      <w:r w:rsidR="007E22EE" w:rsidRPr="00BE2697">
        <w:rPr>
          <w:rFonts w:ascii="Arial" w:eastAsia="Calibri" w:hAnsi="Arial" w:cs="Arial"/>
          <w:sz w:val="22"/>
        </w:rPr>
        <w:t xml:space="preserve">UN treaties implicitly reject </w:t>
      </w:r>
      <w:r>
        <w:rPr>
          <w:rFonts w:ascii="Arial" w:eastAsia="Calibri" w:hAnsi="Arial" w:cs="Arial"/>
          <w:sz w:val="22"/>
        </w:rPr>
        <w:t>this notion</w:t>
      </w:r>
      <w:r w:rsidR="007E22EE" w:rsidRPr="00BE2697">
        <w:rPr>
          <w:rFonts w:ascii="Arial" w:eastAsia="Calibri" w:hAnsi="Arial" w:cs="Arial"/>
          <w:sz w:val="22"/>
        </w:rPr>
        <w:t xml:space="preserve"> by including strong protections for the sick, disabled, and elderly – the people most often affected by the legalization of euthanasia and assisted suicide. For example, Article 11</w:t>
      </w:r>
      <w:r w:rsidR="000C02F5" w:rsidRPr="00BE2697">
        <w:rPr>
          <w:rFonts w:ascii="Arial" w:eastAsia="Calibri" w:hAnsi="Arial" w:cs="Arial"/>
          <w:sz w:val="22"/>
        </w:rPr>
        <w:t>(</w:t>
      </w:r>
      <w:r w:rsidR="007E22EE" w:rsidRPr="00BE2697">
        <w:rPr>
          <w:rFonts w:ascii="Arial" w:eastAsia="Calibri" w:hAnsi="Arial" w:cs="Arial"/>
          <w:sz w:val="22"/>
        </w:rPr>
        <w:t>1</w:t>
      </w:r>
      <w:r w:rsidR="000C02F5" w:rsidRPr="00BE2697">
        <w:rPr>
          <w:rFonts w:ascii="Arial" w:eastAsia="Calibri" w:hAnsi="Arial" w:cs="Arial"/>
          <w:sz w:val="22"/>
        </w:rPr>
        <w:t>)</w:t>
      </w:r>
      <w:r w:rsidR="007E22EE" w:rsidRPr="00BE2697">
        <w:rPr>
          <w:rFonts w:ascii="Arial" w:eastAsia="Calibri" w:hAnsi="Arial" w:cs="Arial"/>
          <w:sz w:val="22"/>
        </w:rPr>
        <w:t xml:space="preserve">(e) of the Convention on the Elimination of All Forms of Discrimination </w:t>
      </w:r>
      <w:r w:rsidR="000C02F5" w:rsidRPr="00BE2697">
        <w:rPr>
          <w:rFonts w:ascii="Arial" w:eastAsia="Calibri" w:hAnsi="Arial" w:cs="Arial"/>
          <w:sz w:val="22"/>
        </w:rPr>
        <w:t xml:space="preserve">against </w:t>
      </w:r>
      <w:r w:rsidR="007E22EE" w:rsidRPr="00BE2697">
        <w:rPr>
          <w:rFonts w:ascii="Arial" w:eastAsia="Calibri" w:hAnsi="Arial" w:cs="Arial"/>
          <w:sz w:val="22"/>
        </w:rPr>
        <w:t>Women</w:t>
      </w:r>
      <w:r w:rsidR="000C02F5" w:rsidRPr="00BE2697">
        <w:rPr>
          <w:rFonts w:ascii="Arial" w:eastAsia="Calibri" w:hAnsi="Arial" w:cs="Arial"/>
          <w:sz w:val="22"/>
        </w:rPr>
        <w:t xml:space="preserve"> (CEDAW)</w:t>
      </w:r>
      <w:r w:rsidR="007E22EE" w:rsidRPr="00BE2697">
        <w:rPr>
          <w:rFonts w:ascii="Arial" w:eastAsia="Calibri" w:hAnsi="Arial" w:cs="Arial"/>
          <w:sz w:val="22"/>
        </w:rPr>
        <w:t xml:space="preserve"> provides for the equal right of women to social security in old age and in sickness. Articles 25(b) and 28</w:t>
      </w:r>
      <w:r w:rsidR="000C02F5" w:rsidRPr="00BE2697">
        <w:rPr>
          <w:rFonts w:ascii="Arial" w:eastAsia="Calibri" w:hAnsi="Arial" w:cs="Arial"/>
          <w:sz w:val="22"/>
        </w:rPr>
        <w:t>(</w:t>
      </w:r>
      <w:r w:rsidR="007E22EE" w:rsidRPr="00BE2697">
        <w:rPr>
          <w:rFonts w:ascii="Arial" w:eastAsia="Calibri" w:hAnsi="Arial" w:cs="Arial"/>
          <w:sz w:val="22"/>
        </w:rPr>
        <w:t>2</w:t>
      </w:r>
      <w:r w:rsidR="000C02F5" w:rsidRPr="00BE2697">
        <w:rPr>
          <w:rFonts w:ascii="Arial" w:eastAsia="Calibri" w:hAnsi="Arial" w:cs="Arial"/>
          <w:sz w:val="22"/>
        </w:rPr>
        <w:t>)</w:t>
      </w:r>
      <w:r w:rsidR="007E22EE" w:rsidRPr="00BE2697">
        <w:rPr>
          <w:rFonts w:ascii="Arial" w:eastAsia="Calibri" w:hAnsi="Arial" w:cs="Arial"/>
          <w:sz w:val="22"/>
        </w:rPr>
        <w:t>(b) of the C</w:t>
      </w:r>
      <w:r w:rsidR="007A21FC" w:rsidRPr="00BE2697">
        <w:rPr>
          <w:rFonts w:ascii="Arial" w:eastAsia="Calibri" w:hAnsi="Arial" w:cs="Arial"/>
          <w:sz w:val="22"/>
        </w:rPr>
        <w:t>RPD</w:t>
      </w:r>
      <w:r w:rsidR="007E22EE" w:rsidRPr="00BE2697">
        <w:rPr>
          <w:rFonts w:ascii="Arial" w:eastAsia="Calibri" w:hAnsi="Arial" w:cs="Arial"/>
          <w:sz w:val="22"/>
        </w:rPr>
        <w:t xml:space="preserve"> call on States Parties to “provide those health services needed by persons with disabilities…” and “to ensure access by persons with disabilities, in particular women and girls with disabilities and older persons with disabilities, to social protection programmes and poverty reduction programmes.” Article 23 of the </w:t>
      </w:r>
      <w:r w:rsidR="007A21FC" w:rsidRPr="00BE2697">
        <w:rPr>
          <w:rFonts w:ascii="Arial" w:eastAsia="Calibri" w:hAnsi="Arial" w:cs="Arial"/>
          <w:sz w:val="22"/>
        </w:rPr>
        <w:t>CRC</w:t>
      </w:r>
      <w:r w:rsidR="007E22EE" w:rsidRPr="00BE2697">
        <w:rPr>
          <w:rFonts w:ascii="Arial" w:eastAsia="Calibri" w:hAnsi="Arial" w:cs="Arial"/>
          <w:sz w:val="22"/>
        </w:rPr>
        <w:t xml:space="preserve"> recognizes that “a mentally or physically disabled child should enjoy a full and decent life, in conditions which ensure dignity, promote self-reliance and facilitate the child's active participation in the community.” </w:t>
      </w:r>
    </w:p>
    <w:p w14:paraId="3283DA9C" w14:textId="77777777"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Not only is there no mention of a “right to die” within UN treaties, the interpretation of these treaties over the course of several decades has not resulted in a single </w:t>
      </w:r>
      <w:r w:rsidR="004A4EA2">
        <w:rPr>
          <w:rFonts w:ascii="Arial" w:eastAsia="Calibri" w:hAnsi="Arial" w:cs="Arial"/>
          <w:sz w:val="22"/>
        </w:rPr>
        <w:t xml:space="preserve">instance </w:t>
      </w:r>
      <w:r w:rsidRPr="00BE2697">
        <w:rPr>
          <w:rFonts w:ascii="Arial" w:eastAsia="Calibri" w:hAnsi="Arial" w:cs="Arial"/>
          <w:sz w:val="22"/>
        </w:rPr>
        <w:t>of support for euthanasia or assisted suicide. On the contrary, the UN treaty</w:t>
      </w:r>
      <w:r w:rsidR="001B00D0" w:rsidRPr="00BE2697">
        <w:rPr>
          <w:rFonts w:ascii="Arial" w:eastAsia="Calibri" w:hAnsi="Arial" w:cs="Arial"/>
          <w:sz w:val="22"/>
        </w:rPr>
        <w:t>-</w:t>
      </w:r>
      <w:r w:rsidRPr="00BE2697">
        <w:rPr>
          <w:rFonts w:ascii="Arial" w:eastAsia="Calibri" w:hAnsi="Arial" w:cs="Arial"/>
          <w:sz w:val="22"/>
        </w:rPr>
        <w:t xml:space="preserve">monitoring bodies have consistently expressed concern regarding the practice of euthanasia and assisted suicide in the small minority of countries where it is legal. For </w:t>
      </w:r>
      <w:r w:rsidRPr="00BE2697">
        <w:rPr>
          <w:rFonts w:ascii="Arial" w:eastAsia="Calibri" w:hAnsi="Arial" w:cs="Arial"/>
          <w:sz w:val="22"/>
        </w:rPr>
        <w:lastRenderedPageBreak/>
        <w:t xml:space="preserve">example, the </w:t>
      </w:r>
      <w:r w:rsidR="001B00D0" w:rsidRPr="00BE2697">
        <w:rPr>
          <w:rFonts w:ascii="Arial" w:eastAsia="Calibri" w:hAnsi="Arial" w:cs="Arial"/>
          <w:sz w:val="22"/>
        </w:rPr>
        <w:t xml:space="preserve">recent </w:t>
      </w:r>
      <w:r w:rsidRPr="00BE2697">
        <w:rPr>
          <w:rFonts w:ascii="Arial" w:eastAsia="Calibri" w:hAnsi="Arial" w:cs="Arial"/>
          <w:sz w:val="22"/>
        </w:rPr>
        <w:t>Concluding Observations of the Human Rights Committee on the Netherlands state</w:t>
      </w:r>
      <w:r w:rsidR="00D40FB6" w:rsidRPr="00BE2697">
        <w:rPr>
          <w:rFonts w:ascii="Arial" w:eastAsia="Calibri" w:hAnsi="Arial" w:cs="Arial"/>
          <w:sz w:val="22"/>
        </w:rPr>
        <w:t xml:space="preserve">, </w:t>
      </w:r>
      <w:r w:rsidRPr="00BE2697">
        <w:rPr>
          <w:rFonts w:ascii="Arial" w:eastAsia="Calibri" w:hAnsi="Arial" w:cs="Arial"/>
          <w:sz w:val="22"/>
        </w:rPr>
        <w:t>“The Committee remains concerned at the extent of euthanasia and assisted suicides in the State party</w:t>
      </w:r>
      <w:r w:rsidR="00FB716A" w:rsidRPr="00BE2697">
        <w:rPr>
          <w:rFonts w:ascii="Arial" w:eastAsia="Calibri" w:hAnsi="Arial" w:cs="Arial"/>
          <w:sz w:val="22"/>
        </w:rPr>
        <w:t>[.]</w:t>
      </w:r>
      <w:r w:rsidRPr="00BE2697">
        <w:rPr>
          <w:rFonts w:ascii="Arial" w:eastAsia="Calibri" w:hAnsi="Arial" w:cs="Arial"/>
          <w:sz w:val="22"/>
        </w:rPr>
        <w:t xml:space="preserve"> The Committee reiterates its previous recommendations in this regard and urges that this legislation be reviewed in light of the Covenant’s recognition of the right to life.”</w:t>
      </w:r>
      <w:r w:rsidRPr="00BE2697">
        <w:rPr>
          <w:rFonts w:ascii="Arial" w:eastAsia="Calibri" w:hAnsi="Arial" w:cs="Arial"/>
          <w:sz w:val="22"/>
          <w:vertAlign w:val="superscript"/>
        </w:rPr>
        <w:footnoteReference w:id="41"/>
      </w:r>
      <w:r w:rsidRPr="00BE2697">
        <w:rPr>
          <w:rFonts w:ascii="Arial" w:eastAsia="Calibri" w:hAnsi="Arial" w:cs="Arial"/>
          <w:sz w:val="22"/>
        </w:rPr>
        <w:t xml:space="preserve"> Many </w:t>
      </w:r>
      <w:r w:rsidR="00C45BD7" w:rsidRPr="00BE2697">
        <w:rPr>
          <w:rFonts w:ascii="Arial" w:eastAsia="Calibri" w:hAnsi="Arial" w:cs="Arial"/>
          <w:sz w:val="22"/>
        </w:rPr>
        <w:t>other UN treaty-</w:t>
      </w:r>
      <w:r w:rsidR="00D40FB6" w:rsidRPr="00BE2697">
        <w:rPr>
          <w:rFonts w:ascii="Arial" w:eastAsia="Calibri" w:hAnsi="Arial" w:cs="Arial"/>
          <w:sz w:val="22"/>
        </w:rPr>
        <w:t xml:space="preserve">monitoring bodies have made </w:t>
      </w:r>
      <w:r w:rsidRPr="00BE2697">
        <w:rPr>
          <w:rFonts w:ascii="Arial" w:eastAsia="Calibri" w:hAnsi="Arial" w:cs="Arial"/>
          <w:sz w:val="22"/>
        </w:rPr>
        <w:t>similar statements of concern</w:t>
      </w:r>
      <w:r w:rsidR="00D40FB6" w:rsidRPr="00BE2697">
        <w:rPr>
          <w:rFonts w:ascii="Arial" w:eastAsia="Calibri" w:hAnsi="Arial" w:cs="Arial"/>
          <w:sz w:val="22"/>
        </w:rPr>
        <w:t>.</w:t>
      </w:r>
      <w:r w:rsidRPr="00BE2697">
        <w:rPr>
          <w:rFonts w:ascii="Arial" w:eastAsia="Calibri" w:hAnsi="Arial" w:cs="Arial"/>
          <w:sz w:val="22"/>
          <w:vertAlign w:val="superscript"/>
        </w:rPr>
        <w:footnoteReference w:id="42"/>
      </w:r>
    </w:p>
    <w:p w14:paraId="07665057" w14:textId="77777777" w:rsidR="007E22EE" w:rsidRPr="00BE2697" w:rsidRDefault="005E5CB0" w:rsidP="00E91F71">
      <w:pPr>
        <w:numPr>
          <w:ilvl w:val="0"/>
          <w:numId w:val="8"/>
        </w:numPr>
        <w:spacing w:line="276" w:lineRule="auto"/>
        <w:contextualSpacing/>
        <w:jc w:val="both"/>
        <w:rPr>
          <w:rFonts w:ascii="Arial" w:eastAsia="Calibri" w:hAnsi="Arial" w:cs="Arial"/>
          <w:b/>
          <w:sz w:val="22"/>
        </w:rPr>
      </w:pPr>
      <w:r w:rsidRPr="00BE2697">
        <w:rPr>
          <w:rFonts w:ascii="Arial" w:eastAsia="Calibri" w:hAnsi="Arial" w:cs="Arial"/>
          <w:b/>
          <w:sz w:val="22"/>
        </w:rPr>
        <w:t xml:space="preserve">Exclusion of </w:t>
      </w:r>
      <w:r w:rsidR="007E22EE" w:rsidRPr="00BE2697">
        <w:rPr>
          <w:rFonts w:ascii="Arial" w:eastAsia="Calibri" w:hAnsi="Arial" w:cs="Arial"/>
          <w:b/>
          <w:sz w:val="22"/>
        </w:rPr>
        <w:t>“Right to Die” from Meaning of Right to Life</w:t>
      </w:r>
    </w:p>
    <w:p w14:paraId="7B24DFE3" w14:textId="77777777" w:rsidR="007E22EE" w:rsidRPr="00BE2697" w:rsidRDefault="00D40FB6"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Numerous regional human rights treaties recognize the </w:t>
      </w:r>
      <w:r w:rsidR="007E22EE" w:rsidRPr="00BE2697">
        <w:rPr>
          <w:rFonts w:ascii="Arial" w:eastAsia="Calibri" w:hAnsi="Arial" w:cs="Arial"/>
          <w:sz w:val="22"/>
        </w:rPr>
        <w:t>right to life, including Article 2 of the European Convention on Human Rights, Article 2 of the European Charter of Fundamental Rights, Article 4 of the American Convention on Human Rights, and Article 4 of the African Charter of Human and Peoples’ Rights – none of which mention or even hint at a “right to die</w:t>
      </w:r>
      <w:r w:rsidR="000C2AD1" w:rsidRPr="00BE2697">
        <w:rPr>
          <w:rFonts w:ascii="Arial" w:eastAsia="Calibri" w:hAnsi="Arial" w:cs="Arial"/>
          <w:sz w:val="22"/>
        </w:rPr>
        <w:t>.</w:t>
      </w:r>
      <w:r w:rsidR="007E22EE" w:rsidRPr="00BE2697">
        <w:rPr>
          <w:rFonts w:ascii="Arial" w:eastAsia="Calibri" w:hAnsi="Arial" w:cs="Arial"/>
          <w:sz w:val="22"/>
        </w:rPr>
        <w:t xml:space="preserve">” </w:t>
      </w:r>
    </w:p>
    <w:p w14:paraId="50ADEFD7" w14:textId="77777777"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Of these provisions, Article 2 of the </w:t>
      </w:r>
      <w:r w:rsidR="007F771B">
        <w:rPr>
          <w:rFonts w:ascii="Arial" w:eastAsia="Calibri" w:hAnsi="Arial" w:cs="Arial"/>
          <w:sz w:val="22"/>
        </w:rPr>
        <w:t>ECHR</w:t>
      </w:r>
      <w:r w:rsidRPr="00BE2697">
        <w:rPr>
          <w:rFonts w:ascii="Arial" w:eastAsia="Calibri" w:hAnsi="Arial" w:cs="Arial"/>
          <w:sz w:val="22"/>
        </w:rPr>
        <w:t xml:space="preserve"> is the only provision in which a “right to die” has </w:t>
      </w:r>
      <w:r w:rsidR="006F3D78">
        <w:rPr>
          <w:rFonts w:ascii="Arial" w:eastAsia="Calibri" w:hAnsi="Arial" w:cs="Arial"/>
          <w:sz w:val="22"/>
        </w:rPr>
        <w:t xml:space="preserve">even </w:t>
      </w:r>
      <w:r w:rsidRPr="00BE2697">
        <w:rPr>
          <w:rFonts w:ascii="Arial" w:eastAsia="Calibri" w:hAnsi="Arial" w:cs="Arial"/>
          <w:sz w:val="22"/>
        </w:rPr>
        <w:t>been considered by a</w:t>
      </w:r>
      <w:r w:rsidR="006F3D78">
        <w:rPr>
          <w:rFonts w:ascii="Arial" w:eastAsia="Calibri" w:hAnsi="Arial" w:cs="Arial"/>
          <w:sz w:val="22"/>
        </w:rPr>
        <w:t>n international</w:t>
      </w:r>
      <w:r w:rsidRPr="00BE2697">
        <w:rPr>
          <w:rFonts w:ascii="Arial" w:eastAsia="Calibri" w:hAnsi="Arial" w:cs="Arial"/>
          <w:sz w:val="22"/>
        </w:rPr>
        <w:t xml:space="preserve"> court. </w:t>
      </w:r>
    </w:p>
    <w:p w14:paraId="3BD6E5FE" w14:textId="77777777"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According to the case law of the </w:t>
      </w:r>
      <w:r w:rsidR="007F771B">
        <w:rPr>
          <w:rFonts w:ascii="Arial" w:eastAsia="Calibri" w:hAnsi="Arial" w:cs="Arial"/>
          <w:sz w:val="22"/>
        </w:rPr>
        <w:t>ECtHR</w:t>
      </w:r>
      <w:r w:rsidRPr="00BE2697">
        <w:rPr>
          <w:rFonts w:ascii="Arial" w:eastAsia="Calibri" w:hAnsi="Arial" w:cs="Arial"/>
          <w:sz w:val="22"/>
        </w:rPr>
        <w:t>, “Article 2 ranks as one of the most fundamental provisions in the Convention,” enshrining one of the basic values of the democratic societies that make up the Council of Europe.</w:t>
      </w:r>
      <w:r w:rsidRPr="00BE2697">
        <w:rPr>
          <w:rFonts w:ascii="Arial" w:eastAsia="Calibri" w:hAnsi="Arial" w:cs="Arial"/>
          <w:sz w:val="22"/>
          <w:vertAlign w:val="superscript"/>
        </w:rPr>
        <w:footnoteReference w:id="43"/>
      </w:r>
      <w:r w:rsidRPr="00BE2697">
        <w:rPr>
          <w:rFonts w:ascii="Arial" w:eastAsia="Calibri" w:hAnsi="Arial" w:cs="Arial"/>
          <w:sz w:val="22"/>
        </w:rPr>
        <w:t xml:space="preserve"> In addition to safeguarding the right to life, without which enjoyment of any of the other rights and freedoms in the </w:t>
      </w:r>
      <w:r w:rsidR="00D40FB6" w:rsidRPr="00BE2697">
        <w:rPr>
          <w:rFonts w:ascii="Arial" w:eastAsia="Calibri" w:hAnsi="Arial" w:cs="Arial"/>
          <w:sz w:val="22"/>
        </w:rPr>
        <w:t xml:space="preserve">ECHR </w:t>
      </w:r>
      <w:r w:rsidRPr="00BE2697">
        <w:rPr>
          <w:rFonts w:ascii="Arial" w:eastAsia="Calibri" w:hAnsi="Arial" w:cs="Arial"/>
          <w:sz w:val="22"/>
        </w:rPr>
        <w:t>are rendered nugatory,</w:t>
      </w:r>
      <w:r w:rsidRPr="00BE2697">
        <w:rPr>
          <w:rFonts w:ascii="Arial" w:eastAsia="Calibri" w:hAnsi="Arial" w:cs="Arial"/>
          <w:sz w:val="22"/>
          <w:vertAlign w:val="superscript"/>
        </w:rPr>
        <w:footnoteReference w:id="44"/>
      </w:r>
      <w:r w:rsidRPr="00BE2697">
        <w:rPr>
          <w:rFonts w:ascii="Arial" w:eastAsia="Calibri" w:hAnsi="Arial" w:cs="Arial"/>
          <w:sz w:val="22"/>
        </w:rPr>
        <w:t xml:space="preserve"> Article 2 sets out only very limited circumstances when deprivation of life may be justified, and the </w:t>
      </w:r>
      <w:r w:rsidR="005A15DC" w:rsidRPr="00BE2697">
        <w:rPr>
          <w:rFonts w:ascii="Arial" w:eastAsia="Calibri" w:hAnsi="Arial" w:cs="Arial"/>
          <w:sz w:val="22"/>
        </w:rPr>
        <w:t xml:space="preserve">ECtHR </w:t>
      </w:r>
      <w:r w:rsidRPr="00BE2697">
        <w:rPr>
          <w:rFonts w:ascii="Arial" w:eastAsia="Calibri" w:hAnsi="Arial" w:cs="Arial"/>
          <w:sz w:val="22"/>
        </w:rPr>
        <w:t>has applied a strict scrutiny test when those exceptions have been invoked by respondent Governments.</w:t>
      </w:r>
      <w:r w:rsidRPr="00BE2697">
        <w:rPr>
          <w:rFonts w:ascii="Arial" w:eastAsia="Calibri" w:hAnsi="Arial" w:cs="Arial"/>
          <w:sz w:val="22"/>
          <w:vertAlign w:val="superscript"/>
        </w:rPr>
        <w:footnoteReference w:id="45"/>
      </w:r>
    </w:p>
    <w:p w14:paraId="3E4227C7" w14:textId="77777777"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However, the </w:t>
      </w:r>
      <w:r w:rsidR="00D40FB6" w:rsidRPr="00BE2697">
        <w:rPr>
          <w:rFonts w:ascii="Arial" w:eastAsia="Calibri" w:hAnsi="Arial" w:cs="Arial"/>
          <w:sz w:val="22"/>
        </w:rPr>
        <w:t xml:space="preserve">ECtHR </w:t>
      </w:r>
      <w:r w:rsidRPr="00BE2697">
        <w:rPr>
          <w:rFonts w:ascii="Arial" w:eastAsia="Calibri" w:hAnsi="Arial" w:cs="Arial"/>
          <w:sz w:val="22"/>
        </w:rPr>
        <w:t xml:space="preserve">has </w:t>
      </w:r>
      <w:r w:rsidR="006F3D78" w:rsidRPr="00BE2697">
        <w:rPr>
          <w:rFonts w:ascii="Arial" w:eastAsia="Calibri" w:hAnsi="Arial" w:cs="Arial"/>
          <w:sz w:val="22"/>
        </w:rPr>
        <w:t xml:space="preserve">further </w:t>
      </w:r>
      <w:r w:rsidRPr="00BE2697">
        <w:rPr>
          <w:rFonts w:ascii="Arial" w:eastAsia="Calibri" w:hAnsi="Arial" w:cs="Arial"/>
          <w:sz w:val="22"/>
        </w:rPr>
        <w:t>held that the first sentence of Article 2</w:t>
      </w:r>
      <w:r w:rsidR="006F3D78">
        <w:rPr>
          <w:rFonts w:ascii="Arial" w:eastAsia="Calibri" w:hAnsi="Arial" w:cs="Arial"/>
          <w:sz w:val="22"/>
        </w:rPr>
        <w:t>(</w:t>
      </w:r>
      <w:r w:rsidRPr="00BE2697">
        <w:rPr>
          <w:rFonts w:ascii="Arial" w:eastAsia="Calibri" w:hAnsi="Arial" w:cs="Arial"/>
          <w:sz w:val="22"/>
        </w:rPr>
        <w:t>1</w:t>
      </w:r>
      <w:r w:rsidR="006F3D78">
        <w:rPr>
          <w:rFonts w:ascii="Arial" w:eastAsia="Calibri" w:hAnsi="Arial" w:cs="Arial"/>
          <w:sz w:val="22"/>
        </w:rPr>
        <w:t>)</w:t>
      </w:r>
      <w:r w:rsidRPr="00BE2697">
        <w:rPr>
          <w:rFonts w:ascii="Arial" w:eastAsia="Calibri" w:hAnsi="Arial" w:cs="Arial"/>
          <w:sz w:val="22"/>
        </w:rPr>
        <w:t xml:space="preserve"> enjoins the State not only to refrain from the intentional and unlawful taking of life, but also to take appropriate steps to safeguard the lives of those within its jurisdiction.</w:t>
      </w:r>
      <w:r w:rsidRPr="00BE2697">
        <w:rPr>
          <w:rFonts w:ascii="Arial" w:eastAsia="Calibri" w:hAnsi="Arial" w:cs="Arial"/>
          <w:sz w:val="22"/>
          <w:vertAlign w:val="superscript"/>
        </w:rPr>
        <w:footnoteReference w:id="46"/>
      </w:r>
      <w:r w:rsidRPr="00BE2697">
        <w:rPr>
          <w:rFonts w:ascii="Arial" w:eastAsia="Calibri" w:hAnsi="Arial" w:cs="Arial"/>
          <w:sz w:val="22"/>
        </w:rPr>
        <w:t xml:space="preserve"> Therefore, if there are positive obligations on the State, it is not to facilitate suicide, but to protect life. </w:t>
      </w:r>
    </w:p>
    <w:p w14:paraId="0AFCC35B" w14:textId="77777777"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The </w:t>
      </w:r>
      <w:r w:rsidR="00D40FB6" w:rsidRPr="00BE2697">
        <w:rPr>
          <w:rFonts w:ascii="Arial" w:eastAsia="Calibri" w:hAnsi="Arial" w:cs="Arial"/>
          <w:sz w:val="22"/>
        </w:rPr>
        <w:t xml:space="preserve">ECtHR </w:t>
      </w:r>
      <w:r w:rsidRPr="00BE2697">
        <w:rPr>
          <w:rFonts w:ascii="Arial" w:eastAsia="Calibri" w:hAnsi="Arial" w:cs="Arial"/>
          <w:sz w:val="22"/>
        </w:rPr>
        <w:t xml:space="preserve">has only considered the so-called “right to die” under Article 2 of the </w:t>
      </w:r>
      <w:r w:rsidR="005A15DC" w:rsidRPr="00BE2697">
        <w:rPr>
          <w:rFonts w:ascii="Arial" w:eastAsia="Calibri" w:hAnsi="Arial" w:cs="Arial"/>
          <w:sz w:val="22"/>
        </w:rPr>
        <w:t xml:space="preserve">ECHR </w:t>
      </w:r>
      <w:r w:rsidRPr="00BE2697">
        <w:rPr>
          <w:rFonts w:ascii="Arial" w:eastAsia="Calibri" w:hAnsi="Arial" w:cs="Arial"/>
          <w:sz w:val="22"/>
        </w:rPr>
        <w:t xml:space="preserve">on two occasions. In the first case of </w:t>
      </w:r>
      <w:r w:rsidRPr="00BE2697">
        <w:rPr>
          <w:rFonts w:ascii="Arial" w:eastAsia="Calibri" w:hAnsi="Arial" w:cs="Arial"/>
          <w:i/>
          <w:sz w:val="22"/>
        </w:rPr>
        <w:t>Sanles Sanles v. Spain</w:t>
      </w:r>
      <w:r w:rsidRPr="00BE2697">
        <w:rPr>
          <w:rFonts w:ascii="Arial" w:eastAsia="Calibri" w:hAnsi="Arial" w:cs="Arial"/>
          <w:sz w:val="22"/>
        </w:rPr>
        <w:t>,</w:t>
      </w:r>
      <w:r w:rsidRPr="00BE2697">
        <w:rPr>
          <w:rFonts w:ascii="Arial" w:eastAsia="Calibri" w:hAnsi="Arial" w:cs="Arial"/>
          <w:sz w:val="22"/>
          <w:vertAlign w:val="superscript"/>
        </w:rPr>
        <w:footnoteReference w:id="47"/>
      </w:r>
      <w:r w:rsidRPr="00BE2697">
        <w:rPr>
          <w:rFonts w:ascii="Arial" w:eastAsia="Calibri" w:hAnsi="Arial" w:cs="Arial"/>
          <w:sz w:val="22"/>
        </w:rPr>
        <w:t xml:space="preserve"> the </w:t>
      </w:r>
      <w:r w:rsidR="00D40FB6" w:rsidRPr="00BE2697">
        <w:rPr>
          <w:rFonts w:ascii="Arial" w:eastAsia="Calibri" w:hAnsi="Arial" w:cs="Arial"/>
          <w:sz w:val="22"/>
        </w:rPr>
        <w:t xml:space="preserve">ECtHR </w:t>
      </w:r>
      <w:r w:rsidRPr="00BE2697">
        <w:rPr>
          <w:rFonts w:ascii="Arial" w:eastAsia="Calibri" w:hAnsi="Arial" w:cs="Arial"/>
          <w:sz w:val="22"/>
        </w:rPr>
        <w:t>dismissed the application as inadmissible. The case was later brought to the Human Rights Committee under the Optional First Protocol, where it was again dismissed as inadmissible.</w:t>
      </w:r>
      <w:r w:rsidRPr="00BE2697">
        <w:rPr>
          <w:rFonts w:ascii="Arial" w:eastAsia="Calibri" w:hAnsi="Arial" w:cs="Arial"/>
          <w:sz w:val="22"/>
          <w:vertAlign w:val="superscript"/>
        </w:rPr>
        <w:footnoteReference w:id="48"/>
      </w:r>
      <w:r w:rsidRPr="00BE2697">
        <w:rPr>
          <w:rFonts w:ascii="Arial" w:eastAsia="Calibri" w:hAnsi="Arial" w:cs="Arial"/>
          <w:sz w:val="22"/>
        </w:rPr>
        <w:t xml:space="preserve"> </w:t>
      </w:r>
    </w:p>
    <w:p w14:paraId="1DDF272B" w14:textId="77777777"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lastRenderedPageBreak/>
        <w:t xml:space="preserve">In 2002, the </w:t>
      </w:r>
      <w:r w:rsidR="00D40FB6" w:rsidRPr="00BE2697">
        <w:rPr>
          <w:rFonts w:ascii="Arial" w:eastAsia="Calibri" w:hAnsi="Arial" w:cs="Arial"/>
          <w:sz w:val="22"/>
        </w:rPr>
        <w:t xml:space="preserve">ECtHR </w:t>
      </w:r>
      <w:r w:rsidRPr="00BE2697">
        <w:rPr>
          <w:rFonts w:ascii="Arial" w:eastAsia="Calibri" w:hAnsi="Arial" w:cs="Arial"/>
          <w:sz w:val="22"/>
        </w:rPr>
        <w:t xml:space="preserve">ruled on the seminal case of </w:t>
      </w:r>
      <w:r w:rsidRPr="00BE2697">
        <w:rPr>
          <w:rFonts w:ascii="Arial" w:eastAsia="Calibri" w:hAnsi="Arial" w:cs="Arial"/>
          <w:i/>
          <w:sz w:val="22"/>
        </w:rPr>
        <w:t>Pretty v. United Kingdom</w:t>
      </w:r>
      <w:r w:rsidRPr="00BE2697">
        <w:rPr>
          <w:rFonts w:ascii="Arial" w:eastAsia="Calibri" w:hAnsi="Arial" w:cs="Arial"/>
          <w:sz w:val="22"/>
        </w:rPr>
        <w:t>.</w:t>
      </w:r>
      <w:r w:rsidRPr="00BE2697">
        <w:rPr>
          <w:rFonts w:ascii="Arial" w:eastAsia="Calibri" w:hAnsi="Arial" w:cs="Arial"/>
          <w:sz w:val="22"/>
          <w:vertAlign w:val="superscript"/>
        </w:rPr>
        <w:footnoteReference w:id="49"/>
      </w:r>
      <w:r w:rsidRPr="00BE2697">
        <w:rPr>
          <w:rFonts w:ascii="Arial" w:eastAsia="Calibri" w:hAnsi="Arial" w:cs="Arial"/>
          <w:sz w:val="22"/>
        </w:rPr>
        <w:t xml:space="preserve"> The applicant in </w:t>
      </w:r>
      <w:r w:rsidRPr="00BE2697">
        <w:rPr>
          <w:rFonts w:ascii="Arial" w:eastAsia="Calibri" w:hAnsi="Arial" w:cs="Arial"/>
          <w:i/>
          <w:sz w:val="22"/>
        </w:rPr>
        <w:t>Pretty</w:t>
      </w:r>
      <w:r w:rsidRPr="00BE2697">
        <w:rPr>
          <w:rFonts w:ascii="Arial" w:eastAsia="Calibri" w:hAnsi="Arial" w:cs="Arial"/>
          <w:sz w:val="22"/>
        </w:rPr>
        <w:t xml:space="preserve"> had sought recognition in the United Kingdom of a “right to die</w:t>
      </w:r>
      <w:r w:rsidR="000C2AD1" w:rsidRPr="00BE2697">
        <w:rPr>
          <w:rFonts w:ascii="Arial" w:eastAsia="Calibri" w:hAnsi="Arial" w:cs="Arial"/>
          <w:sz w:val="22"/>
        </w:rPr>
        <w:t>.</w:t>
      </w:r>
      <w:r w:rsidRPr="00BE2697">
        <w:rPr>
          <w:rFonts w:ascii="Arial" w:eastAsia="Calibri" w:hAnsi="Arial" w:cs="Arial"/>
          <w:sz w:val="22"/>
        </w:rPr>
        <w:t xml:space="preserve">” However, the </w:t>
      </w:r>
      <w:r w:rsidR="00D40FB6" w:rsidRPr="00BE2697">
        <w:rPr>
          <w:rFonts w:ascii="Arial" w:eastAsia="Calibri" w:hAnsi="Arial" w:cs="Arial"/>
          <w:sz w:val="22"/>
        </w:rPr>
        <w:t xml:space="preserve">ECtHR </w:t>
      </w:r>
      <w:r w:rsidRPr="00BE2697">
        <w:rPr>
          <w:rFonts w:ascii="Arial" w:eastAsia="Calibri" w:hAnsi="Arial" w:cs="Arial"/>
          <w:sz w:val="22"/>
        </w:rPr>
        <w:t xml:space="preserve">unanimously held that there is no right to assisted suicide under the </w:t>
      </w:r>
      <w:r w:rsidR="00D40FB6" w:rsidRPr="00BE2697">
        <w:rPr>
          <w:rFonts w:ascii="Arial" w:eastAsia="Calibri" w:hAnsi="Arial" w:cs="Arial"/>
          <w:sz w:val="22"/>
        </w:rPr>
        <w:t xml:space="preserve">ECHR </w:t>
      </w:r>
      <w:r w:rsidRPr="00BE2697">
        <w:rPr>
          <w:rFonts w:ascii="Arial" w:eastAsia="Calibri" w:hAnsi="Arial" w:cs="Arial"/>
          <w:sz w:val="22"/>
        </w:rPr>
        <w:t>and furthermore, in certain situations the State may even have a positive obligation to ensure the protection of an individual whose life is at risk.</w:t>
      </w:r>
      <w:r w:rsidRPr="00BE2697">
        <w:rPr>
          <w:rFonts w:ascii="Arial" w:eastAsia="Calibri" w:hAnsi="Arial" w:cs="Arial"/>
          <w:sz w:val="22"/>
          <w:vertAlign w:val="superscript"/>
        </w:rPr>
        <w:footnoteReference w:id="50"/>
      </w:r>
      <w:r w:rsidRPr="00BE2697">
        <w:rPr>
          <w:rFonts w:ascii="Arial" w:eastAsia="Calibri" w:hAnsi="Arial" w:cs="Arial"/>
          <w:sz w:val="22"/>
        </w:rPr>
        <w:t xml:space="preserve"> </w:t>
      </w:r>
    </w:p>
    <w:p w14:paraId="14EE5D70" w14:textId="77777777"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Accordingly, the </w:t>
      </w:r>
      <w:r w:rsidR="00D40FB6" w:rsidRPr="00BE2697">
        <w:rPr>
          <w:rFonts w:ascii="Arial" w:eastAsia="Calibri" w:hAnsi="Arial" w:cs="Arial"/>
          <w:sz w:val="22"/>
        </w:rPr>
        <w:t xml:space="preserve">ECtHR </w:t>
      </w:r>
      <w:r w:rsidRPr="00BE2697">
        <w:rPr>
          <w:rFonts w:ascii="Arial" w:eastAsia="Calibri" w:hAnsi="Arial" w:cs="Arial"/>
          <w:sz w:val="22"/>
        </w:rPr>
        <w:t xml:space="preserve">held in </w:t>
      </w:r>
      <w:r w:rsidRPr="00BE2697">
        <w:rPr>
          <w:rFonts w:ascii="Arial" w:eastAsia="Calibri" w:hAnsi="Arial" w:cs="Arial"/>
          <w:i/>
          <w:sz w:val="22"/>
        </w:rPr>
        <w:t>Pretty v. United Kingdom</w:t>
      </w:r>
      <w:r w:rsidRPr="00BE2697">
        <w:rPr>
          <w:rFonts w:ascii="Arial" w:eastAsia="Calibri" w:hAnsi="Arial" w:cs="Arial"/>
          <w:sz w:val="22"/>
        </w:rPr>
        <w:t>:</w:t>
      </w:r>
    </w:p>
    <w:p w14:paraId="178349BD" w14:textId="77777777" w:rsidR="007E22EE" w:rsidRPr="00BE2697" w:rsidRDefault="007E22EE" w:rsidP="007B6F62">
      <w:pPr>
        <w:widowControl w:val="0"/>
        <w:autoSpaceDE w:val="0"/>
        <w:autoSpaceDN w:val="0"/>
        <w:adjustRightInd w:val="0"/>
        <w:ind w:left="1440" w:right="521"/>
        <w:jc w:val="both"/>
        <w:rPr>
          <w:rFonts w:ascii="Arial" w:eastAsia="Times New Roman" w:hAnsi="Arial" w:cs="Arial"/>
          <w:sz w:val="20"/>
          <w:u w:val="single"/>
        </w:rPr>
      </w:pPr>
      <w:r w:rsidRPr="00BE2697">
        <w:rPr>
          <w:rFonts w:ascii="Arial" w:eastAsia="Times New Roman" w:hAnsi="Arial" w:cs="Arial"/>
          <w:sz w:val="20"/>
          <w:u w:val="single"/>
        </w:rPr>
        <w:t>The consistent emphasis in all the cases before the Court has been the obligation of the State to protect life.</w:t>
      </w:r>
      <w:r w:rsidRPr="00BE2697">
        <w:rPr>
          <w:rFonts w:ascii="Arial" w:eastAsia="Times New Roman" w:hAnsi="Arial" w:cs="Arial"/>
          <w:sz w:val="20"/>
        </w:rPr>
        <w:t xml:space="preserve"> The Court is not persuaded that “the right to life” guaranteed in Article 2 can be interpreted as involving a negative aspect. While, for example, in the context of Article 11 of the Convention, the freedom of association was found to involve not only a right to join an association but a corresponding right not to be forced to join an association, the Court observes that the notion of a freedom implies some measure of choice as to its exercise. </w:t>
      </w:r>
      <w:bookmarkStart w:id="1" w:name="Document1zz14.top"/>
      <w:bookmarkEnd w:id="1"/>
      <w:r w:rsidRPr="00BE2697">
        <w:rPr>
          <w:rFonts w:ascii="Arial" w:eastAsia="Times New Roman" w:hAnsi="Arial" w:cs="Arial"/>
          <w:sz w:val="20"/>
        </w:rPr>
        <w:t xml:space="preserve">Article 2 of the Convention is phrased in different terms. It is unconcerned with issues to do with the quality of living or what a person chooses to do with his or her life. To the extent that these aspects are recognised as so fundamental to the human condition that they require protection from State interference, they may be reflected in the rights guaranteed by other Articles of the Convention, or in other international human rights instruments. </w:t>
      </w:r>
      <w:r w:rsidRPr="00BE2697">
        <w:rPr>
          <w:rFonts w:ascii="Arial" w:eastAsia="Times New Roman" w:hAnsi="Arial" w:cs="Arial"/>
          <w:sz w:val="20"/>
          <w:u w:val="single"/>
        </w:rPr>
        <w:t xml:space="preserve">Article 2 cannot, without a distortion of language, be interpreted as conferring the diametrically opposite right, namely a right to die; nor can it create a right to self-determination in the sense of conferring on an individual the entitlement to choose death rather than life. </w:t>
      </w:r>
    </w:p>
    <w:p w14:paraId="22B0860B" w14:textId="77777777" w:rsidR="007E22EE" w:rsidRPr="00BE2697" w:rsidRDefault="007E22EE" w:rsidP="007B6F62">
      <w:pPr>
        <w:widowControl w:val="0"/>
        <w:autoSpaceDE w:val="0"/>
        <w:autoSpaceDN w:val="0"/>
        <w:adjustRightInd w:val="0"/>
        <w:ind w:right="521"/>
        <w:jc w:val="both"/>
        <w:rPr>
          <w:rFonts w:ascii="Arial" w:eastAsia="Times New Roman" w:hAnsi="Arial" w:cs="Arial"/>
          <w:sz w:val="20"/>
          <w:u w:val="single"/>
        </w:rPr>
      </w:pPr>
    </w:p>
    <w:p w14:paraId="6913182E" w14:textId="77777777" w:rsidR="007E22EE" w:rsidRPr="00BE2697" w:rsidRDefault="007E22EE" w:rsidP="007B6F62">
      <w:pPr>
        <w:widowControl w:val="0"/>
        <w:autoSpaceDE w:val="0"/>
        <w:autoSpaceDN w:val="0"/>
        <w:adjustRightInd w:val="0"/>
        <w:ind w:left="1440" w:right="521"/>
        <w:jc w:val="both"/>
        <w:rPr>
          <w:rFonts w:ascii="Arial" w:eastAsia="Times New Roman" w:hAnsi="Arial" w:cs="Arial"/>
          <w:sz w:val="22"/>
        </w:rPr>
      </w:pPr>
      <w:r w:rsidRPr="00BE2697">
        <w:rPr>
          <w:rFonts w:ascii="Arial" w:eastAsia="Times New Roman" w:hAnsi="Arial" w:cs="Arial"/>
          <w:sz w:val="20"/>
          <w:u w:val="single"/>
        </w:rPr>
        <w:t>The Court accordingly finds that no right to die, whether at the hands of a third person or with the assistance of a public authority, can be derived from Article 2 of the Convention.</w:t>
      </w:r>
      <w:bookmarkStart w:id="2" w:name="Document1zz15.top"/>
      <w:bookmarkEnd w:id="2"/>
      <w:r w:rsidRPr="00BE2697">
        <w:rPr>
          <w:rFonts w:ascii="Arial" w:eastAsia="Times New Roman" w:hAnsi="Arial" w:cs="Arial"/>
          <w:sz w:val="20"/>
          <w:vertAlign w:val="superscript"/>
        </w:rPr>
        <w:footnoteReference w:id="51"/>
      </w:r>
      <w:r w:rsidRPr="00BE2697">
        <w:rPr>
          <w:rFonts w:ascii="Arial" w:eastAsia="Times New Roman" w:hAnsi="Arial" w:cs="Arial"/>
          <w:sz w:val="20"/>
        </w:rPr>
        <w:t xml:space="preserve"> </w:t>
      </w:r>
    </w:p>
    <w:p w14:paraId="1C9381CB" w14:textId="77777777"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The applicant in </w:t>
      </w:r>
      <w:r w:rsidRPr="00BE2697">
        <w:rPr>
          <w:rFonts w:ascii="Arial" w:eastAsia="Calibri" w:hAnsi="Arial" w:cs="Arial"/>
          <w:i/>
          <w:sz w:val="22"/>
        </w:rPr>
        <w:t xml:space="preserve">Pretty </w:t>
      </w:r>
      <w:r w:rsidRPr="00BE2697">
        <w:rPr>
          <w:rFonts w:ascii="Arial" w:eastAsia="Calibri" w:hAnsi="Arial" w:cs="Arial"/>
          <w:sz w:val="22"/>
        </w:rPr>
        <w:t xml:space="preserve">further submitted that a right to assisted suicide could be found under Article 3 of the </w:t>
      </w:r>
      <w:r w:rsidR="00D40FB6" w:rsidRPr="00BE2697">
        <w:rPr>
          <w:rFonts w:ascii="Arial" w:eastAsia="Calibri" w:hAnsi="Arial" w:cs="Arial"/>
          <w:sz w:val="22"/>
        </w:rPr>
        <w:t>ECHR</w:t>
      </w:r>
      <w:r w:rsidRPr="00BE2697">
        <w:rPr>
          <w:rFonts w:ascii="Arial" w:eastAsia="Calibri" w:hAnsi="Arial" w:cs="Arial"/>
          <w:sz w:val="22"/>
        </w:rPr>
        <w:t xml:space="preserve"> (prohibition of torture). The applicant argued that the suffering her illness was causing amounted to “inhuman or degrading treatment” and the State therefore had a positive obligation to take steps to prevent this suffering, by allowing her to be assisted in her suicide.</w:t>
      </w:r>
      <w:r w:rsidRPr="00BE2697">
        <w:rPr>
          <w:rFonts w:ascii="Arial" w:eastAsia="Calibri" w:hAnsi="Arial" w:cs="Arial"/>
          <w:sz w:val="22"/>
          <w:vertAlign w:val="superscript"/>
        </w:rPr>
        <w:footnoteReference w:id="52"/>
      </w:r>
      <w:r w:rsidRPr="00BE2697">
        <w:rPr>
          <w:rFonts w:ascii="Arial" w:eastAsia="Calibri" w:hAnsi="Arial" w:cs="Arial"/>
          <w:sz w:val="22"/>
        </w:rPr>
        <w:t xml:space="preserve"> The </w:t>
      </w:r>
      <w:r w:rsidR="00D40FB6" w:rsidRPr="00BE2697">
        <w:rPr>
          <w:rFonts w:ascii="Arial" w:eastAsia="Calibri" w:hAnsi="Arial" w:cs="Arial"/>
          <w:sz w:val="22"/>
        </w:rPr>
        <w:t xml:space="preserve">ECtHR </w:t>
      </w:r>
      <w:r w:rsidRPr="00BE2697">
        <w:rPr>
          <w:rFonts w:ascii="Arial" w:eastAsia="Calibri" w:hAnsi="Arial" w:cs="Arial"/>
          <w:sz w:val="22"/>
        </w:rPr>
        <w:t>acknowledged that in certain circumstances Article 3 can create positive obligations on the Contracting States.</w:t>
      </w:r>
      <w:r w:rsidRPr="00BE2697">
        <w:rPr>
          <w:rFonts w:ascii="Arial" w:eastAsia="Calibri" w:hAnsi="Arial" w:cs="Arial"/>
          <w:sz w:val="22"/>
          <w:vertAlign w:val="superscript"/>
        </w:rPr>
        <w:footnoteReference w:id="53"/>
      </w:r>
      <w:r w:rsidRPr="00BE2697">
        <w:rPr>
          <w:rFonts w:ascii="Arial" w:eastAsia="Calibri" w:hAnsi="Arial" w:cs="Arial"/>
          <w:sz w:val="22"/>
        </w:rPr>
        <w:t xml:space="preserve"> However, the </w:t>
      </w:r>
      <w:r w:rsidR="00D40FB6" w:rsidRPr="00BE2697">
        <w:rPr>
          <w:rFonts w:ascii="Arial" w:eastAsia="Calibri" w:hAnsi="Arial" w:cs="Arial"/>
          <w:sz w:val="22"/>
        </w:rPr>
        <w:t xml:space="preserve">ECtHR </w:t>
      </w:r>
      <w:r w:rsidRPr="00BE2697">
        <w:rPr>
          <w:rFonts w:ascii="Arial" w:eastAsia="Calibri" w:hAnsi="Arial" w:cs="Arial"/>
          <w:sz w:val="22"/>
        </w:rPr>
        <w:t>held that “Article 3 must be construed in harmony with Article 2</w:t>
      </w:r>
      <w:r w:rsidR="000C2AD1" w:rsidRPr="00BE2697">
        <w:rPr>
          <w:rFonts w:ascii="Arial" w:eastAsia="Calibri" w:hAnsi="Arial" w:cs="Arial"/>
          <w:sz w:val="22"/>
        </w:rPr>
        <w:t>,</w:t>
      </w:r>
      <w:r w:rsidRPr="00BE2697">
        <w:rPr>
          <w:rFonts w:ascii="Arial" w:eastAsia="Calibri" w:hAnsi="Arial" w:cs="Arial"/>
          <w:sz w:val="22"/>
        </w:rPr>
        <w:t>” which, as it had previously found, “does not confer any claim on an individual to require a State to permit or facilitate his or her death.”</w:t>
      </w:r>
      <w:r w:rsidRPr="00BE2697">
        <w:rPr>
          <w:rFonts w:ascii="Arial" w:eastAsia="Calibri" w:hAnsi="Arial" w:cs="Arial"/>
          <w:sz w:val="22"/>
          <w:vertAlign w:val="superscript"/>
        </w:rPr>
        <w:footnoteReference w:id="54"/>
      </w:r>
      <w:r w:rsidRPr="00BE2697">
        <w:rPr>
          <w:rFonts w:ascii="Arial" w:eastAsia="Calibri" w:hAnsi="Arial" w:cs="Arial"/>
          <w:sz w:val="22"/>
        </w:rPr>
        <w:t xml:space="preserve"> Therefore, despite expressing sympathy with the position </w:t>
      </w:r>
      <w:r w:rsidR="00D40FB6" w:rsidRPr="00BE2697">
        <w:rPr>
          <w:rFonts w:ascii="Arial" w:eastAsia="Calibri" w:hAnsi="Arial" w:cs="Arial"/>
          <w:sz w:val="22"/>
        </w:rPr>
        <w:t xml:space="preserve">in which </w:t>
      </w:r>
      <w:r w:rsidRPr="00BE2697">
        <w:rPr>
          <w:rFonts w:ascii="Arial" w:eastAsia="Calibri" w:hAnsi="Arial" w:cs="Arial"/>
          <w:sz w:val="22"/>
        </w:rPr>
        <w:t xml:space="preserve">the applicant found herself, the </w:t>
      </w:r>
      <w:r w:rsidR="00D40FB6" w:rsidRPr="00BE2697">
        <w:rPr>
          <w:rFonts w:ascii="Arial" w:eastAsia="Calibri" w:hAnsi="Arial" w:cs="Arial"/>
          <w:sz w:val="22"/>
        </w:rPr>
        <w:t xml:space="preserve">ECtHR </w:t>
      </w:r>
      <w:r w:rsidRPr="00BE2697">
        <w:rPr>
          <w:rFonts w:ascii="Arial" w:eastAsia="Calibri" w:hAnsi="Arial" w:cs="Arial"/>
          <w:sz w:val="22"/>
        </w:rPr>
        <w:t>nevertheless rejected the proposition that the State had a positive obligation to assist in her suicide.</w:t>
      </w:r>
      <w:r w:rsidRPr="00BE2697">
        <w:rPr>
          <w:rFonts w:ascii="Arial" w:eastAsia="Calibri" w:hAnsi="Arial" w:cs="Arial"/>
          <w:sz w:val="22"/>
          <w:vertAlign w:val="superscript"/>
        </w:rPr>
        <w:footnoteReference w:id="55"/>
      </w:r>
    </w:p>
    <w:p w14:paraId="61E6FD7E" w14:textId="77777777" w:rsidR="007E22EE" w:rsidRPr="00BE2697"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 xml:space="preserve">Thus, </w:t>
      </w:r>
      <w:r w:rsidR="006F21B4" w:rsidRPr="00BE2697">
        <w:rPr>
          <w:rFonts w:ascii="Arial" w:eastAsia="Calibri" w:hAnsi="Arial" w:cs="Arial"/>
          <w:sz w:val="22"/>
        </w:rPr>
        <w:t xml:space="preserve">in </w:t>
      </w:r>
      <w:r w:rsidRPr="00BE2697">
        <w:rPr>
          <w:rFonts w:ascii="Arial" w:eastAsia="Calibri" w:hAnsi="Arial" w:cs="Arial"/>
          <w:sz w:val="22"/>
        </w:rPr>
        <w:t>the case</w:t>
      </w:r>
      <w:r w:rsidR="00D40FB6" w:rsidRPr="00BE2697">
        <w:rPr>
          <w:rFonts w:ascii="Arial" w:eastAsia="Calibri" w:hAnsi="Arial" w:cs="Arial"/>
          <w:sz w:val="22"/>
        </w:rPr>
        <w:t xml:space="preserve"> </w:t>
      </w:r>
      <w:r w:rsidRPr="00BE2697">
        <w:rPr>
          <w:rFonts w:ascii="Arial" w:eastAsia="Calibri" w:hAnsi="Arial" w:cs="Arial"/>
          <w:sz w:val="22"/>
        </w:rPr>
        <w:t xml:space="preserve">law of the ECHR </w:t>
      </w:r>
      <w:r w:rsidR="00D40FB6" w:rsidRPr="00BE2697">
        <w:rPr>
          <w:rFonts w:ascii="Arial" w:eastAsia="Calibri" w:hAnsi="Arial" w:cs="Arial"/>
          <w:sz w:val="22"/>
        </w:rPr>
        <w:t xml:space="preserve">there is no </w:t>
      </w:r>
      <w:r w:rsidRPr="00BE2697">
        <w:rPr>
          <w:rFonts w:ascii="Arial" w:eastAsia="Calibri" w:hAnsi="Arial" w:cs="Arial"/>
          <w:sz w:val="22"/>
        </w:rPr>
        <w:t>so-called “right to die” within protections for the “right to life</w:t>
      </w:r>
      <w:r w:rsidR="000C2AD1" w:rsidRPr="00BE2697">
        <w:rPr>
          <w:rFonts w:ascii="Arial" w:eastAsia="Calibri" w:hAnsi="Arial" w:cs="Arial"/>
          <w:sz w:val="22"/>
        </w:rPr>
        <w:t>.</w:t>
      </w:r>
      <w:r w:rsidRPr="00BE2697">
        <w:rPr>
          <w:rFonts w:ascii="Arial" w:eastAsia="Calibri" w:hAnsi="Arial" w:cs="Arial"/>
          <w:sz w:val="22"/>
        </w:rPr>
        <w:t>” Moreover, in some circumstances there is a positive obligation on the State to protect an individual whose life is at risk.</w:t>
      </w:r>
      <w:r w:rsidRPr="00BE2697">
        <w:rPr>
          <w:rFonts w:ascii="Arial" w:eastAsia="Calibri" w:hAnsi="Arial" w:cs="Arial"/>
          <w:sz w:val="22"/>
          <w:vertAlign w:val="superscript"/>
        </w:rPr>
        <w:footnoteReference w:id="56"/>
      </w:r>
      <w:r w:rsidRPr="00BE2697">
        <w:rPr>
          <w:rFonts w:ascii="Arial" w:eastAsia="Calibri" w:hAnsi="Arial" w:cs="Arial"/>
          <w:sz w:val="22"/>
        </w:rPr>
        <w:t xml:space="preserve"> Although the </w:t>
      </w:r>
      <w:r w:rsidR="00D40FB6" w:rsidRPr="00BE2697">
        <w:rPr>
          <w:rFonts w:ascii="Arial" w:eastAsia="Calibri" w:hAnsi="Arial" w:cs="Arial"/>
          <w:sz w:val="22"/>
        </w:rPr>
        <w:t xml:space="preserve">ECtHR </w:t>
      </w:r>
      <w:r w:rsidRPr="00BE2697">
        <w:rPr>
          <w:rFonts w:ascii="Arial" w:eastAsia="Calibri" w:hAnsi="Arial" w:cs="Arial"/>
          <w:sz w:val="22"/>
        </w:rPr>
        <w:t xml:space="preserve">has </w:t>
      </w:r>
      <w:r w:rsidRPr="00BE2697">
        <w:rPr>
          <w:rFonts w:ascii="Arial" w:eastAsia="Calibri" w:hAnsi="Arial" w:cs="Arial"/>
          <w:sz w:val="22"/>
        </w:rPr>
        <w:lastRenderedPageBreak/>
        <w:t xml:space="preserve">reconsidered the issue of euthanasia and assisted suicide on three further occasions since </w:t>
      </w:r>
      <w:r w:rsidRPr="00BE2697">
        <w:rPr>
          <w:rFonts w:ascii="Arial" w:eastAsia="Calibri" w:hAnsi="Arial" w:cs="Arial"/>
          <w:i/>
          <w:sz w:val="22"/>
        </w:rPr>
        <w:t xml:space="preserve">Pretty, </w:t>
      </w:r>
      <w:r w:rsidRPr="00BE2697">
        <w:rPr>
          <w:rFonts w:ascii="Arial" w:eastAsia="Calibri" w:hAnsi="Arial" w:cs="Arial"/>
          <w:sz w:val="22"/>
        </w:rPr>
        <w:t xml:space="preserve">the </w:t>
      </w:r>
      <w:r w:rsidR="00D40FB6" w:rsidRPr="00BE2697">
        <w:rPr>
          <w:rFonts w:ascii="Arial" w:eastAsia="Calibri" w:hAnsi="Arial" w:cs="Arial"/>
          <w:sz w:val="22"/>
        </w:rPr>
        <w:t xml:space="preserve">ECtHR </w:t>
      </w:r>
      <w:r w:rsidRPr="00BE2697">
        <w:rPr>
          <w:rFonts w:ascii="Arial" w:eastAsia="Calibri" w:hAnsi="Arial" w:cs="Arial"/>
          <w:sz w:val="22"/>
        </w:rPr>
        <w:t xml:space="preserve">has not reconsidered the applicability of Article 2 to those cases. Indeed, the right to life has never again been invoked by applicants seeking a “right” to assisted suicide or euthanasia under the </w:t>
      </w:r>
      <w:r w:rsidR="00D40FB6" w:rsidRPr="00BE2697">
        <w:rPr>
          <w:rFonts w:ascii="Arial" w:eastAsia="Calibri" w:hAnsi="Arial" w:cs="Arial"/>
          <w:sz w:val="22"/>
        </w:rPr>
        <w:t>ECHR</w:t>
      </w:r>
      <w:r w:rsidRPr="00BE2697">
        <w:rPr>
          <w:rFonts w:ascii="Arial" w:eastAsia="Calibri" w:hAnsi="Arial" w:cs="Arial"/>
          <w:sz w:val="22"/>
        </w:rPr>
        <w:t>.</w:t>
      </w:r>
    </w:p>
    <w:p w14:paraId="7597C62D" w14:textId="77777777" w:rsidR="00A92107" w:rsidRPr="00BE2697" w:rsidRDefault="006F21B4" w:rsidP="00E91F71">
      <w:pPr>
        <w:pStyle w:val="ListParagraph"/>
        <w:numPr>
          <w:ilvl w:val="0"/>
          <w:numId w:val="8"/>
        </w:numPr>
        <w:spacing w:line="276" w:lineRule="auto"/>
        <w:jc w:val="both"/>
        <w:rPr>
          <w:rFonts w:ascii="Arial" w:hAnsi="Arial" w:cs="Arial"/>
          <w:b/>
          <w:sz w:val="22"/>
        </w:rPr>
      </w:pPr>
      <w:r w:rsidRPr="00BE2697">
        <w:rPr>
          <w:rFonts w:ascii="Arial" w:hAnsi="Arial" w:cs="Arial"/>
          <w:b/>
          <w:sz w:val="22"/>
        </w:rPr>
        <w:t>Further Opposition to</w:t>
      </w:r>
      <w:r w:rsidR="000C1A85" w:rsidRPr="00BE2697">
        <w:rPr>
          <w:rFonts w:ascii="Arial" w:hAnsi="Arial" w:cs="Arial"/>
          <w:b/>
          <w:sz w:val="22"/>
        </w:rPr>
        <w:t xml:space="preserve"> Assisted Suicide and Euthanasia </w:t>
      </w:r>
    </w:p>
    <w:p w14:paraId="5A9AB2C5" w14:textId="77777777" w:rsidR="007E22EE" w:rsidRPr="00BE2697" w:rsidRDefault="007E22EE" w:rsidP="007B6F62">
      <w:pPr>
        <w:pStyle w:val="CourtNumberedpara"/>
        <w:spacing w:line="276" w:lineRule="auto"/>
        <w:jc w:val="both"/>
        <w:rPr>
          <w:rFonts w:ascii="Arial" w:eastAsia="Calibri" w:hAnsi="Arial" w:cs="Arial"/>
          <w:sz w:val="22"/>
          <w:u w:val="single"/>
        </w:rPr>
      </w:pPr>
      <w:r w:rsidRPr="00BE2697">
        <w:rPr>
          <w:rFonts w:ascii="Arial" w:eastAsia="Calibri" w:hAnsi="Arial" w:cs="Arial"/>
          <w:sz w:val="22"/>
        </w:rPr>
        <w:t xml:space="preserve">The </w:t>
      </w:r>
      <w:r w:rsidR="00D40FB6" w:rsidRPr="00BE2697">
        <w:rPr>
          <w:rFonts w:ascii="Arial" w:eastAsia="Calibri" w:hAnsi="Arial" w:cs="Arial"/>
          <w:sz w:val="22"/>
        </w:rPr>
        <w:t xml:space="preserve">ECtHR’s </w:t>
      </w:r>
      <w:r w:rsidRPr="00BE2697">
        <w:rPr>
          <w:rFonts w:ascii="Arial" w:eastAsia="Calibri" w:hAnsi="Arial" w:cs="Arial"/>
          <w:sz w:val="22"/>
        </w:rPr>
        <w:t>understanding of Article 2 is buttressed by the position</w:t>
      </w:r>
      <w:r w:rsidR="00A92107" w:rsidRPr="00BE2697">
        <w:rPr>
          <w:rFonts w:ascii="Arial" w:eastAsia="Calibri" w:hAnsi="Arial" w:cs="Arial"/>
          <w:sz w:val="22"/>
        </w:rPr>
        <w:t>s</w:t>
      </w:r>
      <w:r w:rsidRPr="00BE2697">
        <w:rPr>
          <w:rFonts w:ascii="Arial" w:eastAsia="Calibri" w:hAnsi="Arial" w:cs="Arial"/>
          <w:sz w:val="22"/>
        </w:rPr>
        <w:t xml:space="preserve"> of the Parliamentary Assembly of the Council of Europe and </w:t>
      </w:r>
      <w:r w:rsidR="00A92107" w:rsidRPr="00BE2697">
        <w:rPr>
          <w:rFonts w:ascii="Arial" w:eastAsia="Calibri" w:hAnsi="Arial" w:cs="Arial"/>
          <w:sz w:val="22"/>
        </w:rPr>
        <w:t xml:space="preserve">the </w:t>
      </w:r>
      <w:r w:rsidRPr="00BE2697">
        <w:rPr>
          <w:rFonts w:ascii="Arial" w:eastAsia="Calibri" w:hAnsi="Arial" w:cs="Arial"/>
          <w:sz w:val="22"/>
        </w:rPr>
        <w:t xml:space="preserve">World Medical Association. </w:t>
      </w:r>
    </w:p>
    <w:p w14:paraId="7BC9044F" w14:textId="77777777" w:rsidR="007E22EE" w:rsidRPr="00BE2697" w:rsidRDefault="007E22EE" w:rsidP="007B6F62">
      <w:pPr>
        <w:pStyle w:val="CourtNumberedpara"/>
        <w:spacing w:line="276" w:lineRule="auto"/>
        <w:jc w:val="both"/>
        <w:rPr>
          <w:rFonts w:ascii="Arial" w:eastAsia="Calibri" w:hAnsi="Arial" w:cs="Arial"/>
          <w:sz w:val="22"/>
          <w:u w:val="single"/>
        </w:rPr>
      </w:pPr>
      <w:r w:rsidRPr="00BE2697">
        <w:rPr>
          <w:rFonts w:ascii="Arial" w:eastAsia="Calibri" w:hAnsi="Arial" w:cs="Arial"/>
          <w:sz w:val="22"/>
        </w:rPr>
        <w:t>In Recommendation 1418 (1999) on the “Protection of the human rights and dignity of the terminally ill and the dying,” the Parliamentary Assembly recommended that:</w:t>
      </w:r>
    </w:p>
    <w:p w14:paraId="69B7353F" w14:textId="77777777" w:rsidR="007E22EE" w:rsidRPr="00BE2697" w:rsidRDefault="007E22EE" w:rsidP="007B6F62">
      <w:pPr>
        <w:widowControl w:val="0"/>
        <w:autoSpaceDE w:val="0"/>
        <w:autoSpaceDN w:val="0"/>
        <w:adjustRightInd w:val="0"/>
        <w:ind w:left="1440" w:right="720"/>
        <w:jc w:val="both"/>
        <w:rPr>
          <w:rFonts w:ascii="Arial" w:eastAsia="Times New Roman" w:hAnsi="Arial" w:cs="Arial"/>
          <w:sz w:val="20"/>
        </w:rPr>
      </w:pPr>
      <w:r w:rsidRPr="00BE2697">
        <w:rPr>
          <w:rFonts w:ascii="Arial" w:eastAsia="Times New Roman" w:hAnsi="Arial" w:cs="Arial"/>
          <w:sz w:val="20"/>
        </w:rPr>
        <w:t>9. The Committee of Ministers encourage the member states of the Council of Europe to respect and protect the dignity of terminally ill or dying persons in all respects […] by upholding the prohibition against intentionally taking the life of terminally ill or dying persons, while:</w:t>
      </w:r>
    </w:p>
    <w:p w14:paraId="3482971E" w14:textId="77777777" w:rsidR="007E22EE" w:rsidRPr="00BE2697" w:rsidRDefault="007E22EE" w:rsidP="007B6F62">
      <w:pPr>
        <w:widowControl w:val="0"/>
        <w:autoSpaceDE w:val="0"/>
        <w:autoSpaceDN w:val="0"/>
        <w:adjustRightInd w:val="0"/>
        <w:ind w:right="720"/>
        <w:jc w:val="both"/>
        <w:rPr>
          <w:rFonts w:ascii="Arial" w:eastAsia="Times New Roman" w:hAnsi="Arial" w:cs="Arial"/>
          <w:sz w:val="20"/>
        </w:rPr>
      </w:pPr>
    </w:p>
    <w:p w14:paraId="10EC1C96" w14:textId="77777777" w:rsidR="007E22EE" w:rsidRPr="00BE2697" w:rsidRDefault="007E22EE" w:rsidP="00E91F71">
      <w:pPr>
        <w:widowControl w:val="0"/>
        <w:numPr>
          <w:ilvl w:val="0"/>
          <w:numId w:val="7"/>
        </w:numPr>
        <w:autoSpaceDE w:val="0"/>
        <w:autoSpaceDN w:val="0"/>
        <w:adjustRightInd w:val="0"/>
        <w:ind w:right="720"/>
        <w:jc w:val="both"/>
        <w:rPr>
          <w:rFonts w:ascii="Arial" w:eastAsia="Times New Roman" w:hAnsi="Arial" w:cs="Arial"/>
          <w:sz w:val="20"/>
        </w:rPr>
      </w:pPr>
      <w:r w:rsidRPr="00BE2697">
        <w:rPr>
          <w:rFonts w:ascii="Arial" w:eastAsia="Times New Roman" w:hAnsi="Arial" w:cs="Arial"/>
          <w:sz w:val="20"/>
        </w:rPr>
        <w:t>recognising that the right to life, especially with regard to a terminally ill or dying person, is guaranteed by the member states, in accordance with Article 2 of the European Convention on Human Rights which states that “no one shall be deprived of his life intentionally”;</w:t>
      </w:r>
    </w:p>
    <w:p w14:paraId="4D11734B" w14:textId="77777777" w:rsidR="007E22EE" w:rsidRPr="00BE2697" w:rsidRDefault="007E22EE" w:rsidP="007B6F62">
      <w:pPr>
        <w:widowControl w:val="0"/>
        <w:autoSpaceDE w:val="0"/>
        <w:autoSpaceDN w:val="0"/>
        <w:adjustRightInd w:val="0"/>
        <w:ind w:right="720"/>
        <w:jc w:val="both"/>
        <w:rPr>
          <w:rFonts w:ascii="Arial" w:eastAsia="Times New Roman" w:hAnsi="Arial" w:cs="Arial"/>
          <w:sz w:val="20"/>
        </w:rPr>
      </w:pPr>
    </w:p>
    <w:p w14:paraId="3180E50E" w14:textId="77777777" w:rsidR="007E22EE" w:rsidRPr="00BE2697" w:rsidRDefault="007E22EE" w:rsidP="00E91F71">
      <w:pPr>
        <w:widowControl w:val="0"/>
        <w:numPr>
          <w:ilvl w:val="0"/>
          <w:numId w:val="7"/>
        </w:numPr>
        <w:autoSpaceDE w:val="0"/>
        <w:autoSpaceDN w:val="0"/>
        <w:adjustRightInd w:val="0"/>
        <w:ind w:right="720"/>
        <w:jc w:val="both"/>
        <w:rPr>
          <w:rFonts w:ascii="Arial" w:eastAsia="Times New Roman" w:hAnsi="Arial" w:cs="Arial"/>
          <w:sz w:val="20"/>
        </w:rPr>
      </w:pPr>
      <w:r w:rsidRPr="00BE2697">
        <w:rPr>
          <w:rFonts w:ascii="Arial" w:eastAsia="Times New Roman" w:hAnsi="Arial" w:cs="Arial"/>
          <w:sz w:val="20"/>
        </w:rPr>
        <w:t>recognising that a terminally ill or dying person’s wish to die never constitutes any legal claim to die at the hand of another person;</w:t>
      </w:r>
    </w:p>
    <w:p w14:paraId="38E017A3" w14:textId="77777777" w:rsidR="007E22EE" w:rsidRPr="00BE2697" w:rsidRDefault="007E22EE" w:rsidP="007B6F62">
      <w:pPr>
        <w:jc w:val="both"/>
        <w:rPr>
          <w:rFonts w:ascii="Arial" w:eastAsia="Calibri" w:hAnsi="Arial" w:cs="Arial"/>
          <w:sz w:val="20"/>
        </w:rPr>
      </w:pPr>
    </w:p>
    <w:p w14:paraId="07F7A1FC" w14:textId="77777777" w:rsidR="007E22EE" w:rsidRPr="00BE2697" w:rsidRDefault="007E22EE" w:rsidP="00E91F71">
      <w:pPr>
        <w:widowControl w:val="0"/>
        <w:numPr>
          <w:ilvl w:val="0"/>
          <w:numId w:val="7"/>
        </w:numPr>
        <w:autoSpaceDE w:val="0"/>
        <w:autoSpaceDN w:val="0"/>
        <w:adjustRightInd w:val="0"/>
        <w:ind w:right="720"/>
        <w:jc w:val="both"/>
        <w:rPr>
          <w:rFonts w:ascii="Arial" w:eastAsia="Times New Roman" w:hAnsi="Arial" w:cs="Arial"/>
          <w:sz w:val="20"/>
        </w:rPr>
      </w:pPr>
      <w:r w:rsidRPr="00BE2697">
        <w:rPr>
          <w:rFonts w:ascii="Arial" w:eastAsia="Times New Roman" w:hAnsi="Arial" w:cs="Arial"/>
          <w:sz w:val="20"/>
        </w:rPr>
        <w:t>recognising that a terminally ill or dying person’s wish to die cannot of itself constitute a legal justification to carry out actions intended to bring about death.</w:t>
      </w:r>
      <w:r w:rsidRPr="00BE2697">
        <w:rPr>
          <w:rFonts w:ascii="Arial" w:eastAsia="Times New Roman" w:hAnsi="Arial" w:cs="Arial"/>
          <w:sz w:val="20"/>
          <w:vertAlign w:val="superscript"/>
        </w:rPr>
        <w:footnoteReference w:id="57"/>
      </w:r>
    </w:p>
    <w:p w14:paraId="420DE4E3" w14:textId="77777777" w:rsidR="007E22EE" w:rsidRPr="00BE2697" w:rsidRDefault="007E22EE" w:rsidP="007B6F62">
      <w:pPr>
        <w:pStyle w:val="CourtNumberedpara"/>
        <w:spacing w:line="276" w:lineRule="auto"/>
        <w:jc w:val="both"/>
        <w:rPr>
          <w:rFonts w:ascii="Arial" w:eastAsia="Times New Roman" w:hAnsi="Arial" w:cs="Arial"/>
          <w:sz w:val="22"/>
        </w:rPr>
      </w:pPr>
      <w:r w:rsidRPr="00BE2697">
        <w:rPr>
          <w:rFonts w:ascii="Arial" w:eastAsia="Times New Roman" w:hAnsi="Arial" w:cs="Arial"/>
          <w:sz w:val="22"/>
        </w:rPr>
        <w:t>On 25</w:t>
      </w:r>
      <w:r w:rsidR="003D106B" w:rsidRPr="003D106B">
        <w:rPr>
          <w:rFonts w:ascii="Arial" w:eastAsia="Times New Roman" w:hAnsi="Arial" w:cs="Arial"/>
          <w:sz w:val="22"/>
          <w:vertAlign w:val="superscript"/>
        </w:rPr>
        <w:t>th</w:t>
      </w:r>
      <w:r w:rsidRPr="00BE2697">
        <w:rPr>
          <w:rFonts w:ascii="Arial" w:eastAsia="Times New Roman" w:hAnsi="Arial" w:cs="Arial"/>
          <w:sz w:val="22"/>
        </w:rPr>
        <w:t xml:space="preserve"> January 2012, the Parliamentary Assembly went even further. In Resolution 1859 (2012), the Assembly stated unequivocally</w:t>
      </w:r>
      <w:r w:rsidR="00DD1CAA">
        <w:rPr>
          <w:rFonts w:ascii="Arial" w:eastAsia="Times New Roman" w:hAnsi="Arial" w:cs="Arial"/>
          <w:sz w:val="22"/>
        </w:rPr>
        <w:t>:</w:t>
      </w:r>
      <w:r w:rsidRPr="00BE2697">
        <w:rPr>
          <w:rFonts w:ascii="Arial" w:eastAsia="Times New Roman" w:hAnsi="Arial" w:cs="Arial"/>
          <w:sz w:val="22"/>
        </w:rPr>
        <w:t xml:space="preserve"> “Euthanasia, in the sense of the intentional killing by act or omission of a dependent human being for his or her alleged benefit, must always be prohibited.”</w:t>
      </w:r>
      <w:r w:rsidRPr="00BE2697">
        <w:rPr>
          <w:rFonts w:ascii="Arial" w:eastAsia="Times New Roman" w:hAnsi="Arial" w:cs="Arial"/>
          <w:sz w:val="22"/>
          <w:vertAlign w:val="superscript"/>
        </w:rPr>
        <w:footnoteReference w:id="58"/>
      </w:r>
      <w:r w:rsidRPr="00BE2697">
        <w:rPr>
          <w:rFonts w:ascii="Arial" w:eastAsia="Times New Roman" w:hAnsi="Arial" w:cs="Arial"/>
          <w:sz w:val="22"/>
        </w:rPr>
        <w:t xml:space="preserve"> </w:t>
      </w:r>
    </w:p>
    <w:p w14:paraId="2A12B5FA" w14:textId="77777777" w:rsidR="007E22EE" w:rsidRPr="00BE2697" w:rsidRDefault="007E22EE" w:rsidP="007B6F62">
      <w:pPr>
        <w:pStyle w:val="CourtNumberedpara"/>
        <w:spacing w:line="276" w:lineRule="auto"/>
        <w:jc w:val="both"/>
        <w:rPr>
          <w:rFonts w:ascii="Arial" w:eastAsia="Times New Roman" w:hAnsi="Arial" w:cs="Arial"/>
          <w:sz w:val="22"/>
        </w:rPr>
      </w:pPr>
      <w:r w:rsidRPr="00BE2697">
        <w:rPr>
          <w:rFonts w:ascii="Arial" w:eastAsia="Times New Roman" w:hAnsi="Arial" w:cs="Arial"/>
          <w:sz w:val="22"/>
        </w:rPr>
        <w:t xml:space="preserve">Equally pertinent, the World Medical Association (WMA) has consistently and categorically rejected the practice of euthanasia and assisted suicide as being unethical. Most recently, the WMA reaffirmed an earlier resolution against euthanasia in Bali, Indonesia, </w:t>
      </w:r>
      <w:r w:rsidR="00A92107" w:rsidRPr="00BE2697">
        <w:rPr>
          <w:rFonts w:ascii="Arial" w:eastAsia="Times New Roman" w:hAnsi="Arial" w:cs="Arial"/>
          <w:sz w:val="22"/>
        </w:rPr>
        <w:t xml:space="preserve">in </w:t>
      </w:r>
      <w:r w:rsidRPr="00BE2697">
        <w:rPr>
          <w:rFonts w:ascii="Arial" w:eastAsia="Times New Roman" w:hAnsi="Arial" w:cs="Arial"/>
          <w:sz w:val="22"/>
        </w:rPr>
        <w:t>April 2013. The resolution includes the following statements:</w:t>
      </w:r>
    </w:p>
    <w:p w14:paraId="2ADC05AC" w14:textId="77777777" w:rsidR="007E22EE" w:rsidRPr="00BE2697" w:rsidRDefault="007E22EE" w:rsidP="007B6F62">
      <w:pPr>
        <w:ind w:left="1440" w:right="720"/>
        <w:jc w:val="both"/>
        <w:rPr>
          <w:rFonts w:ascii="Arial" w:eastAsia="Calibri" w:hAnsi="Arial" w:cs="Arial"/>
          <w:sz w:val="20"/>
        </w:rPr>
      </w:pPr>
      <w:r w:rsidRPr="00BE2697">
        <w:rPr>
          <w:rFonts w:ascii="Arial" w:eastAsia="Calibri" w:hAnsi="Arial" w:cs="Arial"/>
          <w:sz w:val="20"/>
        </w:rPr>
        <w:t>Euthanasia, that is the act of deliberately ending the life of a patient, even at the patient's own request or at the request of close relatives, is unethical. This does not prevent the physician from respecting the desire of a patient to allow the natural process of death to follow its course in the terminal phase of sickness.</w:t>
      </w:r>
      <w:r w:rsidRPr="00BE2697">
        <w:rPr>
          <w:rFonts w:ascii="Arial" w:eastAsia="Calibri" w:hAnsi="Arial" w:cs="Arial"/>
          <w:sz w:val="20"/>
          <w:vertAlign w:val="superscript"/>
        </w:rPr>
        <w:footnoteReference w:id="59"/>
      </w:r>
    </w:p>
    <w:p w14:paraId="55D266C2" w14:textId="77777777" w:rsidR="007E22EE" w:rsidRPr="00BE2697" w:rsidRDefault="007E22EE" w:rsidP="007B6F62">
      <w:pPr>
        <w:ind w:left="1440" w:right="720"/>
        <w:jc w:val="both"/>
        <w:rPr>
          <w:rFonts w:ascii="Arial" w:eastAsia="Calibri" w:hAnsi="Arial" w:cs="Arial"/>
          <w:sz w:val="20"/>
        </w:rPr>
      </w:pPr>
    </w:p>
    <w:p w14:paraId="03BD0110" w14:textId="77777777" w:rsidR="007E22EE" w:rsidRPr="00BE2697" w:rsidRDefault="007E22EE" w:rsidP="007B6F62">
      <w:pPr>
        <w:ind w:left="1440" w:right="720"/>
        <w:jc w:val="both"/>
        <w:rPr>
          <w:rFonts w:ascii="Arial" w:eastAsia="Calibri" w:hAnsi="Arial" w:cs="Arial"/>
          <w:sz w:val="20"/>
        </w:rPr>
      </w:pPr>
      <w:r w:rsidRPr="00BE2697">
        <w:rPr>
          <w:rFonts w:ascii="Arial" w:eastAsia="Calibri" w:hAnsi="Arial" w:cs="Arial"/>
          <w:sz w:val="20"/>
        </w:rPr>
        <w:t xml:space="preserve">Physicians-assisted suicide, like euthanasia, is unethical and must be condemned by the medical profession. Where the assistance of the physician is intentionally and deliberately directed at enabling an individual to end his or </w:t>
      </w:r>
      <w:r w:rsidRPr="00BE2697">
        <w:rPr>
          <w:rFonts w:ascii="Arial" w:eastAsia="Calibri" w:hAnsi="Arial" w:cs="Arial"/>
          <w:sz w:val="20"/>
        </w:rPr>
        <w:lastRenderedPageBreak/>
        <w:t>her own life, the physician acts unethically. However the right to decline medical treatment is a basic right of the patient and the physician does not act unethically even if respecting such a wish results in the death of the patient.</w:t>
      </w:r>
      <w:r w:rsidRPr="00BE2697">
        <w:rPr>
          <w:rFonts w:ascii="Arial" w:eastAsia="Calibri" w:hAnsi="Arial" w:cs="Arial"/>
          <w:sz w:val="20"/>
          <w:vertAlign w:val="superscript"/>
        </w:rPr>
        <w:footnoteReference w:id="60"/>
      </w:r>
    </w:p>
    <w:p w14:paraId="04DE7B76" w14:textId="77777777" w:rsidR="007E22EE" w:rsidRPr="00BE2697" w:rsidRDefault="007E22EE" w:rsidP="007B6F62">
      <w:pPr>
        <w:ind w:left="1440" w:right="720"/>
        <w:jc w:val="both"/>
        <w:rPr>
          <w:rFonts w:ascii="Arial" w:eastAsia="Calibri" w:hAnsi="Arial" w:cs="Arial"/>
          <w:sz w:val="20"/>
        </w:rPr>
      </w:pPr>
    </w:p>
    <w:p w14:paraId="66331DA1" w14:textId="77777777" w:rsidR="007E22EE" w:rsidRPr="00BE2697" w:rsidRDefault="007E22EE" w:rsidP="007B6F62">
      <w:pPr>
        <w:ind w:left="1440" w:right="720"/>
        <w:jc w:val="both"/>
        <w:rPr>
          <w:rFonts w:ascii="Arial" w:eastAsia="Calibri" w:hAnsi="Arial" w:cs="Arial"/>
          <w:sz w:val="20"/>
        </w:rPr>
      </w:pPr>
      <w:r w:rsidRPr="00BE2697">
        <w:rPr>
          <w:rFonts w:ascii="Arial" w:eastAsia="Calibri" w:hAnsi="Arial" w:cs="Arial"/>
          <w:sz w:val="20"/>
        </w:rPr>
        <w:t>BE IT RESOLVED that:</w:t>
      </w:r>
    </w:p>
    <w:p w14:paraId="5204996E" w14:textId="77777777" w:rsidR="007E22EE" w:rsidRPr="00BE2697" w:rsidRDefault="007E22EE" w:rsidP="007B6F62">
      <w:pPr>
        <w:ind w:left="1440" w:right="720"/>
        <w:jc w:val="both"/>
        <w:rPr>
          <w:rFonts w:ascii="Arial" w:eastAsia="Calibri" w:hAnsi="Arial" w:cs="Arial"/>
          <w:sz w:val="20"/>
        </w:rPr>
      </w:pPr>
    </w:p>
    <w:p w14:paraId="157EF90A" w14:textId="77777777" w:rsidR="007E22EE" w:rsidRPr="00BE2697" w:rsidRDefault="007E22EE" w:rsidP="007B6F62">
      <w:pPr>
        <w:ind w:left="1440" w:right="720"/>
        <w:jc w:val="both"/>
        <w:rPr>
          <w:rFonts w:ascii="Arial" w:eastAsia="Calibri" w:hAnsi="Arial" w:cs="Arial"/>
          <w:sz w:val="20"/>
        </w:rPr>
      </w:pPr>
      <w:r w:rsidRPr="00BE2697">
        <w:rPr>
          <w:rFonts w:ascii="Arial" w:eastAsia="Calibri" w:hAnsi="Arial" w:cs="Arial"/>
          <w:sz w:val="20"/>
        </w:rPr>
        <w:t>The World Medical Association reaffirms its strong belief that euthanasia is in conflict with basic ethical principles of medical practice, and</w:t>
      </w:r>
    </w:p>
    <w:p w14:paraId="4324B393" w14:textId="77777777" w:rsidR="007E22EE" w:rsidRPr="00BE2697" w:rsidRDefault="007E22EE" w:rsidP="007B6F62">
      <w:pPr>
        <w:ind w:left="1440" w:right="720"/>
        <w:jc w:val="both"/>
        <w:rPr>
          <w:rFonts w:ascii="Arial" w:eastAsia="Calibri" w:hAnsi="Arial" w:cs="Arial"/>
          <w:sz w:val="20"/>
        </w:rPr>
      </w:pPr>
    </w:p>
    <w:p w14:paraId="7209D80E" w14:textId="77777777" w:rsidR="007E22EE" w:rsidRPr="00BE2697" w:rsidRDefault="007E22EE" w:rsidP="007B6F62">
      <w:pPr>
        <w:ind w:left="1440" w:right="720"/>
        <w:jc w:val="both"/>
        <w:rPr>
          <w:rFonts w:ascii="Arial" w:eastAsia="Calibri" w:hAnsi="Arial" w:cs="Arial"/>
          <w:sz w:val="22"/>
        </w:rPr>
      </w:pPr>
      <w:r w:rsidRPr="00BE2697">
        <w:rPr>
          <w:rFonts w:ascii="Arial" w:eastAsia="Calibri" w:hAnsi="Arial" w:cs="Arial"/>
          <w:sz w:val="20"/>
        </w:rPr>
        <w:t>The World Medical Association strongly encourages all National Medical Associations and physicians to refrain from participating in euthanasia, even if national law allows it or decriminalizes it under certain conditions.</w:t>
      </w:r>
      <w:r w:rsidRPr="00BE2697">
        <w:rPr>
          <w:rFonts w:ascii="Arial" w:eastAsia="Calibri" w:hAnsi="Arial" w:cs="Arial"/>
          <w:sz w:val="20"/>
          <w:vertAlign w:val="superscript"/>
        </w:rPr>
        <w:footnoteReference w:id="61"/>
      </w:r>
    </w:p>
    <w:p w14:paraId="7EB28020" w14:textId="77777777" w:rsidR="007E22EE" w:rsidRPr="00BE2697" w:rsidRDefault="007E22EE" w:rsidP="00E91F71">
      <w:pPr>
        <w:pStyle w:val="ListParagraph"/>
        <w:numPr>
          <w:ilvl w:val="0"/>
          <w:numId w:val="8"/>
        </w:numPr>
        <w:spacing w:line="276" w:lineRule="auto"/>
        <w:jc w:val="both"/>
        <w:rPr>
          <w:rFonts w:ascii="Arial" w:hAnsi="Arial" w:cs="Arial"/>
          <w:b/>
          <w:sz w:val="22"/>
        </w:rPr>
      </w:pPr>
      <w:r w:rsidRPr="00BE2697">
        <w:rPr>
          <w:rFonts w:ascii="Arial" w:hAnsi="Arial" w:cs="Arial"/>
          <w:b/>
          <w:sz w:val="22"/>
        </w:rPr>
        <w:t>Conclusion</w:t>
      </w:r>
    </w:p>
    <w:p w14:paraId="20EA5353" w14:textId="77777777" w:rsidR="007E22EE" w:rsidRDefault="007E22EE" w:rsidP="007B6F62">
      <w:pPr>
        <w:pStyle w:val="CourtNumberedpara"/>
        <w:spacing w:line="276" w:lineRule="auto"/>
        <w:jc w:val="both"/>
        <w:rPr>
          <w:rFonts w:ascii="Arial" w:eastAsia="Calibri" w:hAnsi="Arial" w:cs="Arial"/>
          <w:sz w:val="22"/>
        </w:rPr>
      </w:pPr>
      <w:r w:rsidRPr="00BE2697">
        <w:rPr>
          <w:rFonts w:ascii="Arial" w:eastAsia="Calibri" w:hAnsi="Arial" w:cs="Arial"/>
          <w:sz w:val="22"/>
        </w:rPr>
        <w:t>Thus, given the unambiguous language of UN treaties and regional human rights treaties, the clear reasoning of the ECH</w:t>
      </w:r>
      <w:r w:rsidR="006F3D78">
        <w:rPr>
          <w:rFonts w:ascii="Arial" w:eastAsia="Calibri" w:hAnsi="Arial" w:cs="Arial"/>
          <w:sz w:val="22"/>
        </w:rPr>
        <w:t>t</w:t>
      </w:r>
      <w:r w:rsidRPr="00BE2697">
        <w:rPr>
          <w:rFonts w:ascii="Arial" w:eastAsia="Calibri" w:hAnsi="Arial" w:cs="Arial"/>
          <w:sz w:val="22"/>
        </w:rPr>
        <w:t xml:space="preserve">R and other human rights bodies, and the resolutions and recommendations of both medical and international human rights bodies, a so-called “right to die,” either at the hands of a third person or with the assistance of a public authority, does not exist within the Article 6 ICCPR protections </w:t>
      </w:r>
      <w:r w:rsidR="006F3D78">
        <w:rPr>
          <w:rFonts w:ascii="Arial" w:eastAsia="Calibri" w:hAnsi="Arial" w:cs="Arial"/>
          <w:sz w:val="22"/>
        </w:rPr>
        <w:t xml:space="preserve">for the right to life. As the ECtHR </w:t>
      </w:r>
      <w:r w:rsidRPr="00BE2697">
        <w:rPr>
          <w:rFonts w:ascii="Arial" w:eastAsia="Calibri" w:hAnsi="Arial" w:cs="Arial"/>
          <w:sz w:val="22"/>
        </w:rPr>
        <w:t>has stated, it would take a “distortion of language” for the right to life to be interpreted as “conferring the diametrically opposite right.”</w:t>
      </w:r>
      <w:r w:rsidRPr="00BE2697">
        <w:rPr>
          <w:rFonts w:ascii="Arial" w:eastAsia="Calibri" w:hAnsi="Arial" w:cs="Arial"/>
          <w:sz w:val="22"/>
          <w:vertAlign w:val="superscript"/>
        </w:rPr>
        <w:footnoteReference w:id="62"/>
      </w:r>
    </w:p>
    <w:p w14:paraId="588B48D4" w14:textId="77777777" w:rsidR="000E18CA" w:rsidRDefault="000E18CA" w:rsidP="007B6F62">
      <w:pPr>
        <w:pStyle w:val="CourtNumberedpara"/>
        <w:spacing w:line="276" w:lineRule="auto"/>
        <w:jc w:val="both"/>
        <w:rPr>
          <w:rFonts w:ascii="Arial" w:eastAsia="Calibri" w:hAnsi="Arial" w:cs="Arial"/>
          <w:sz w:val="22"/>
        </w:rPr>
      </w:pPr>
      <w:r>
        <w:rPr>
          <w:rFonts w:ascii="Arial" w:eastAsia="Calibri" w:hAnsi="Arial" w:cs="Arial"/>
          <w:sz w:val="22"/>
        </w:rPr>
        <w:t xml:space="preserve">For this reason, the Committee must not even purport to give license to States </w:t>
      </w:r>
      <w:r w:rsidR="0050717A">
        <w:rPr>
          <w:rFonts w:ascii="Arial" w:eastAsia="Calibri" w:hAnsi="Arial" w:cs="Arial"/>
          <w:sz w:val="22"/>
        </w:rPr>
        <w:t>P</w:t>
      </w:r>
      <w:r>
        <w:rPr>
          <w:rFonts w:ascii="Arial" w:eastAsia="Calibri" w:hAnsi="Arial" w:cs="Arial"/>
          <w:sz w:val="22"/>
        </w:rPr>
        <w:t xml:space="preserve">arties to legislate for euthanasia or assisted suicide as an exception to Article 6 obligations, let alone place an </w:t>
      </w:r>
      <w:r w:rsidR="0050717A">
        <w:rPr>
          <w:rFonts w:ascii="Arial" w:eastAsia="Calibri" w:hAnsi="Arial" w:cs="Arial"/>
          <w:sz w:val="22"/>
        </w:rPr>
        <w:t>Article 6 obligation on States P</w:t>
      </w:r>
      <w:r>
        <w:rPr>
          <w:rFonts w:ascii="Arial" w:eastAsia="Calibri" w:hAnsi="Arial" w:cs="Arial"/>
          <w:sz w:val="22"/>
        </w:rPr>
        <w:t>arties to allow for either procedure. Paragraph 10 of the current version of the draft general comment must therefore be removed insofar as it relates to this topic, and instead must only set out the State’s obligation to prevent suicide to the greatest extent possible.</w:t>
      </w:r>
    </w:p>
    <w:p w14:paraId="7275D743" w14:textId="77777777" w:rsidR="007F771B" w:rsidRPr="00BE2697" w:rsidRDefault="007F771B" w:rsidP="002274F5">
      <w:pPr>
        <w:pStyle w:val="CourtNumberedpara"/>
        <w:numPr>
          <w:ilvl w:val="0"/>
          <w:numId w:val="0"/>
        </w:numPr>
        <w:spacing w:before="0" w:after="0"/>
        <w:jc w:val="both"/>
        <w:rPr>
          <w:rFonts w:ascii="Arial" w:eastAsia="Calibri" w:hAnsi="Arial" w:cs="Arial"/>
          <w:sz w:val="22"/>
        </w:rPr>
      </w:pPr>
    </w:p>
    <w:p w14:paraId="2DD014E9" w14:textId="77777777" w:rsidR="007E22EE" w:rsidRPr="005F683F" w:rsidRDefault="007E22EE" w:rsidP="007F771B">
      <w:pPr>
        <w:pStyle w:val="CourtNumberedpara"/>
        <w:numPr>
          <w:ilvl w:val="0"/>
          <w:numId w:val="0"/>
        </w:numPr>
        <w:spacing w:before="0" w:after="0"/>
        <w:ind w:left="792" w:right="1107" w:hanging="360"/>
        <w:jc w:val="both"/>
        <w:rPr>
          <w:rFonts w:ascii="Arial" w:hAnsi="Arial" w:cs="Arial"/>
          <w:b/>
          <w:sz w:val="14"/>
        </w:rPr>
      </w:pPr>
    </w:p>
    <w:sectPr w:rsidR="007E22EE" w:rsidRPr="005F683F" w:rsidSect="007F771B">
      <w:headerReference w:type="default" r:id="rId15"/>
      <w:footerReference w:type="default" r:id="rId16"/>
      <w:headerReference w:type="first" r:id="rId17"/>
      <w:footerReference w:type="first" r:id="rId18"/>
      <w:type w:val="continuous"/>
      <w:pgSz w:w="11907" w:h="16839" w:code="9"/>
      <w:pgMar w:top="1728"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A1BFC" w14:textId="77777777" w:rsidR="0053250F" w:rsidRDefault="0053250F" w:rsidP="008D2BAE">
      <w:r>
        <w:separator/>
      </w:r>
    </w:p>
  </w:endnote>
  <w:endnote w:type="continuationSeparator" w:id="0">
    <w:p w14:paraId="047942FE" w14:textId="77777777" w:rsidR="0053250F" w:rsidRDefault="0053250F" w:rsidP="008D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Minion">
    <w:altName w:val="Minio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2CE2B" w14:textId="77777777" w:rsidR="00E04BA5" w:rsidRDefault="00E04BA5" w:rsidP="00865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0C01EB" w14:textId="77777777" w:rsidR="00E04BA5" w:rsidRDefault="00E04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CCC8E" w14:textId="77777777" w:rsidR="00E04BA5" w:rsidRPr="0093262F" w:rsidRDefault="00E04BA5" w:rsidP="008658EA">
    <w:pPr>
      <w:pStyle w:val="Footer"/>
      <w:framePr w:wrap="around" w:vAnchor="text" w:hAnchor="margin" w:xAlign="center" w:y="1"/>
      <w:rPr>
        <w:rStyle w:val="PageNumber"/>
        <w:rFonts w:ascii="Times" w:hAnsi="Times"/>
      </w:rPr>
    </w:pPr>
    <w:r w:rsidRPr="00CC0FAF">
      <w:rPr>
        <w:rStyle w:val="PageNumber"/>
        <w:rFonts w:ascii="Times" w:hAnsi="Times"/>
      </w:rPr>
      <w:fldChar w:fldCharType="begin"/>
    </w:r>
    <w:r w:rsidRPr="00CC0FAF">
      <w:rPr>
        <w:rStyle w:val="PageNumber"/>
        <w:rFonts w:ascii="Times" w:hAnsi="Times"/>
      </w:rPr>
      <w:instrText xml:space="preserve">PAGE  </w:instrText>
    </w:r>
    <w:r w:rsidRPr="00CC0FAF">
      <w:rPr>
        <w:rStyle w:val="PageNumber"/>
        <w:rFonts w:ascii="Times" w:hAnsi="Times"/>
      </w:rPr>
      <w:fldChar w:fldCharType="separate"/>
    </w:r>
    <w:r>
      <w:rPr>
        <w:rStyle w:val="PageNumber"/>
        <w:rFonts w:ascii="Times" w:hAnsi="Times"/>
        <w:noProof/>
      </w:rPr>
      <w:t>2</w:t>
    </w:r>
    <w:r w:rsidRPr="00CC0FAF">
      <w:rPr>
        <w:rStyle w:val="PageNumber"/>
        <w:rFonts w:ascii="Times" w:hAnsi="Times"/>
      </w:rPr>
      <w:fldChar w:fldCharType="end"/>
    </w:r>
  </w:p>
  <w:p w14:paraId="25502D8B" w14:textId="77777777" w:rsidR="00E04BA5" w:rsidRDefault="00E04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28B5F" w14:textId="77777777" w:rsidR="007D7754" w:rsidRDefault="007D77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261157794"/>
      <w:docPartObj>
        <w:docPartGallery w:val="Page Numbers (Bottom of Page)"/>
        <w:docPartUnique/>
      </w:docPartObj>
    </w:sdtPr>
    <w:sdtEndPr/>
    <w:sdtContent>
      <w:p w14:paraId="7E7AF575" w14:textId="385C1EAE" w:rsidR="00E04BA5" w:rsidRPr="00326818" w:rsidRDefault="00E04BA5" w:rsidP="00BE2697">
        <w:pPr>
          <w:pStyle w:val="Footer"/>
          <w:jc w:val="center"/>
          <w:rPr>
            <w:rFonts w:ascii="Arial" w:hAnsi="Arial" w:cs="Arial"/>
            <w:sz w:val="22"/>
          </w:rPr>
        </w:pPr>
        <w:r w:rsidRPr="00326818">
          <w:rPr>
            <w:rFonts w:ascii="Arial" w:hAnsi="Arial" w:cs="Arial"/>
            <w:sz w:val="22"/>
          </w:rPr>
          <w:fldChar w:fldCharType="begin"/>
        </w:r>
        <w:r w:rsidRPr="00326818">
          <w:rPr>
            <w:rFonts w:ascii="Arial" w:hAnsi="Arial" w:cs="Arial"/>
            <w:sz w:val="22"/>
          </w:rPr>
          <w:instrText xml:space="preserve"> PAGE   \* MERGEFORMAT </w:instrText>
        </w:r>
        <w:r w:rsidRPr="00326818">
          <w:rPr>
            <w:rFonts w:ascii="Arial" w:hAnsi="Arial" w:cs="Arial"/>
            <w:sz w:val="22"/>
          </w:rPr>
          <w:fldChar w:fldCharType="separate"/>
        </w:r>
        <w:r w:rsidR="00065587">
          <w:rPr>
            <w:rFonts w:ascii="Arial" w:hAnsi="Arial" w:cs="Arial"/>
            <w:noProof/>
            <w:sz w:val="22"/>
          </w:rPr>
          <w:t>17</w:t>
        </w:r>
        <w:r w:rsidRPr="00326818">
          <w:rPr>
            <w:rFonts w:ascii="Arial" w:hAnsi="Arial" w:cs="Arial"/>
            <w:sz w:val="22"/>
          </w:rPr>
          <w:fldChar w:fldCharType="end"/>
        </w:r>
      </w:p>
    </w:sdtContent>
  </w:sdt>
  <w:p w14:paraId="4E278DC0" w14:textId="77777777" w:rsidR="00E04BA5" w:rsidRPr="00326818" w:rsidRDefault="00E04BA5" w:rsidP="008D2BAE">
    <w:pPr>
      <w:pStyle w:val="Footer"/>
      <w:rPr>
        <w:rFonts w:ascii="Arial" w:hAnsi="Arial" w:cs="Arial"/>
        <w:sz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D4CAC" w14:textId="77777777" w:rsidR="00E04BA5" w:rsidRPr="00326818" w:rsidRDefault="00E04BA5">
    <w:pPr>
      <w:pStyle w:val="Footer"/>
      <w:jc w:val="center"/>
      <w:rPr>
        <w:rFonts w:ascii="Arial" w:hAnsi="Arial" w:cs="Arial"/>
        <w:sz w:val="22"/>
      </w:rPr>
    </w:pPr>
    <w:r>
      <w:rPr>
        <w:rFonts w:ascii="Arial" w:hAnsi="Arial" w:cs="Arial"/>
        <w:sz w:val="22"/>
      </w:rPr>
      <w:t>1</w:t>
    </w:r>
  </w:p>
  <w:p w14:paraId="1B5331C3" w14:textId="77777777" w:rsidR="00E04BA5" w:rsidRPr="00326818" w:rsidRDefault="00E04BA5" w:rsidP="008D2BAE">
    <w:pPr>
      <w:ind w:left="792" w:hanging="360"/>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7BD3B" w14:textId="77777777" w:rsidR="0053250F" w:rsidRDefault="0053250F" w:rsidP="008D2BAE">
      <w:r>
        <w:separator/>
      </w:r>
    </w:p>
  </w:footnote>
  <w:footnote w:type="continuationSeparator" w:id="0">
    <w:p w14:paraId="540EDE21" w14:textId="77777777" w:rsidR="0053250F" w:rsidRDefault="0053250F" w:rsidP="008D2BAE">
      <w:r>
        <w:continuationSeparator/>
      </w:r>
    </w:p>
  </w:footnote>
  <w:footnote w:id="1">
    <w:p w14:paraId="314F14A2"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Wording taken from the draft note prepared by Yuval Shany and Nigel Rodley, Rapporteurs, p.2 (CCPR/C/GC/R.36). Available at </w:t>
      </w:r>
    </w:p>
    <w:p w14:paraId="41D7546E" w14:textId="77777777" w:rsidR="00E04BA5" w:rsidRPr="00E91EB3" w:rsidRDefault="00E04BA5" w:rsidP="00BE2697">
      <w:pPr>
        <w:pStyle w:val="FootnoteText"/>
        <w:jc w:val="both"/>
        <w:rPr>
          <w:rFonts w:ascii="Arial" w:hAnsi="Arial" w:cs="Arial"/>
        </w:rPr>
      </w:pPr>
      <w:r w:rsidRPr="00E91EB3">
        <w:rPr>
          <w:rFonts w:ascii="Arial" w:hAnsi="Arial" w:cs="Arial"/>
        </w:rPr>
        <w:t>http://www.ohchr.org/EN/HRBodies/CCPR/Pages/GC36-Article6Righttolife.aspx.</w:t>
      </w:r>
    </w:p>
  </w:footnote>
  <w:footnote w:id="2">
    <w:p w14:paraId="7CCEE808"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w:t>
      </w:r>
      <w:r w:rsidRPr="00E91EB3">
        <w:rPr>
          <w:rStyle w:val="A7"/>
          <w:rFonts w:ascii="Arial" w:hAnsi="Arial" w:cs="Arial"/>
          <w:color w:val="auto"/>
          <w:sz w:val="20"/>
          <w:szCs w:val="20"/>
        </w:rPr>
        <w:t>Adopted 30</w:t>
      </w:r>
      <w:r w:rsidRPr="00E91EB3">
        <w:rPr>
          <w:rStyle w:val="A7"/>
          <w:rFonts w:ascii="Arial" w:hAnsi="Arial" w:cs="Arial"/>
          <w:color w:val="auto"/>
          <w:sz w:val="20"/>
          <w:szCs w:val="20"/>
          <w:vertAlign w:val="superscript"/>
        </w:rPr>
        <w:t>th</w:t>
      </w:r>
      <w:r w:rsidRPr="00E91EB3">
        <w:rPr>
          <w:rStyle w:val="A7"/>
          <w:rFonts w:ascii="Arial" w:hAnsi="Arial" w:cs="Arial"/>
          <w:color w:val="auto"/>
          <w:sz w:val="20"/>
          <w:szCs w:val="20"/>
        </w:rPr>
        <w:t xml:space="preserve"> April 1982, HRI/GEN/1/Rev.9 (Vol. I).</w:t>
      </w:r>
    </w:p>
  </w:footnote>
  <w:footnote w:id="3">
    <w:p w14:paraId="28A88693"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In accordance with the Article 32 of the Vienna Convention, the </w:t>
      </w:r>
      <w:r w:rsidRPr="00E91EB3">
        <w:rPr>
          <w:rFonts w:ascii="Arial" w:hAnsi="Arial" w:cs="Arial"/>
          <w:i/>
        </w:rPr>
        <w:t>travaux préparatoires</w:t>
      </w:r>
      <w:r w:rsidRPr="00E91EB3">
        <w:rPr>
          <w:rFonts w:ascii="Arial" w:hAnsi="Arial" w:cs="Arial"/>
        </w:rPr>
        <w:t xml:space="preserve"> are considered to be a “supplementary means of interpretation.”</w:t>
      </w:r>
    </w:p>
  </w:footnote>
  <w:footnote w:id="4">
    <w:p w14:paraId="643F7F0E"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A/3764 § </w:t>
      </w:r>
      <w:r>
        <w:rPr>
          <w:rFonts w:ascii="Arial" w:hAnsi="Arial" w:cs="Arial"/>
        </w:rPr>
        <w:t>1</w:t>
      </w:r>
      <w:r w:rsidRPr="00E91EB3">
        <w:rPr>
          <w:rFonts w:ascii="Arial" w:hAnsi="Arial" w:cs="Arial"/>
        </w:rPr>
        <w:t>18. Report of the Third Committee to the 12th Session of the General Assembly, 5</w:t>
      </w:r>
      <w:r w:rsidRPr="00E91EB3">
        <w:rPr>
          <w:rFonts w:ascii="Arial" w:hAnsi="Arial" w:cs="Arial"/>
          <w:vertAlign w:val="superscript"/>
        </w:rPr>
        <w:t>th</w:t>
      </w:r>
      <w:r w:rsidRPr="00E91EB3">
        <w:rPr>
          <w:rFonts w:ascii="Arial" w:hAnsi="Arial" w:cs="Arial"/>
        </w:rPr>
        <w:t xml:space="preserve"> December 1957. </w:t>
      </w:r>
    </w:p>
  </w:footnote>
  <w:footnote w:id="5">
    <w:p w14:paraId="72FA2B20"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A/2929, Chapter VI, §10. Report of the Secretary-General to the 10</w:t>
      </w:r>
      <w:r w:rsidRPr="00E91EB3">
        <w:rPr>
          <w:rFonts w:ascii="Arial" w:hAnsi="Arial" w:cs="Arial"/>
          <w:vertAlign w:val="superscript"/>
        </w:rPr>
        <w:t>th</w:t>
      </w:r>
      <w:r w:rsidRPr="00E91EB3">
        <w:rPr>
          <w:rFonts w:ascii="Arial" w:hAnsi="Arial" w:cs="Arial"/>
        </w:rPr>
        <w:t xml:space="preserve"> Session of the General Assembly, 1</w:t>
      </w:r>
      <w:r w:rsidRPr="00E91EB3">
        <w:rPr>
          <w:rFonts w:ascii="Arial" w:hAnsi="Arial" w:cs="Arial"/>
          <w:vertAlign w:val="superscript"/>
        </w:rPr>
        <w:t>st</w:t>
      </w:r>
      <w:r w:rsidRPr="00E91EB3">
        <w:rPr>
          <w:rFonts w:ascii="Arial" w:hAnsi="Arial" w:cs="Arial"/>
        </w:rPr>
        <w:t xml:space="preserve"> July 1955. </w:t>
      </w:r>
    </w:p>
  </w:footnote>
  <w:footnote w:id="6">
    <w:p w14:paraId="0255722D" w14:textId="77777777" w:rsidR="005254DB" w:rsidRDefault="005254DB" w:rsidP="005254DB">
      <w:pPr>
        <w:pStyle w:val="FootnoteText"/>
      </w:pPr>
      <w:r>
        <w:rPr>
          <w:rStyle w:val="FootnoteReference"/>
        </w:rPr>
        <w:footnoteRef/>
      </w:r>
      <w:r>
        <w:t xml:space="preserve"> </w:t>
      </w:r>
      <w:r w:rsidRPr="00E91EB3">
        <w:rPr>
          <w:rFonts w:ascii="Arial" w:hAnsi="Arial" w:cs="Arial"/>
        </w:rPr>
        <w:t xml:space="preserve">A/3764 § </w:t>
      </w:r>
      <w:r>
        <w:rPr>
          <w:rFonts w:ascii="Arial" w:hAnsi="Arial" w:cs="Arial"/>
        </w:rPr>
        <w:t>1</w:t>
      </w:r>
      <w:r w:rsidRPr="00E91EB3">
        <w:rPr>
          <w:rFonts w:ascii="Arial" w:hAnsi="Arial" w:cs="Arial"/>
        </w:rPr>
        <w:t>1</w:t>
      </w:r>
      <w:r>
        <w:rPr>
          <w:rFonts w:ascii="Arial" w:hAnsi="Arial" w:cs="Arial"/>
        </w:rPr>
        <w:t>3</w:t>
      </w:r>
      <w:r w:rsidRPr="00E91EB3">
        <w:rPr>
          <w:rFonts w:ascii="Arial" w:hAnsi="Arial" w:cs="Arial"/>
        </w:rPr>
        <w:t>. Report of the Third Committee to the 12th Session of the General Assembly, 5</w:t>
      </w:r>
      <w:r w:rsidRPr="00E91EB3">
        <w:rPr>
          <w:rFonts w:ascii="Arial" w:hAnsi="Arial" w:cs="Arial"/>
          <w:vertAlign w:val="superscript"/>
        </w:rPr>
        <w:t>th</w:t>
      </w:r>
      <w:r w:rsidRPr="00E91EB3">
        <w:rPr>
          <w:rFonts w:ascii="Arial" w:hAnsi="Arial" w:cs="Arial"/>
        </w:rPr>
        <w:t xml:space="preserve"> December 1957.</w:t>
      </w:r>
    </w:p>
  </w:footnote>
  <w:footnote w:id="7">
    <w:p w14:paraId="2309CC17" w14:textId="77777777" w:rsidR="00E04BA5" w:rsidRPr="00E91EB3" w:rsidRDefault="00E04BA5">
      <w:pPr>
        <w:pStyle w:val="FootnoteText"/>
        <w:rPr>
          <w:rFonts w:ascii="Arial" w:hAnsi="Arial" w:cs="Arial"/>
        </w:rPr>
      </w:pPr>
      <w:r w:rsidRPr="00E91EB3">
        <w:rPr>
          <w:rStyle w:val="FootnoteReference"/>
          <w:rFonts w:ascii="Arial" w:hAnsi="Arial" w:cs="Arial"/>
        </w:rPr>
        <w:footnoteRef/>
      </w:r>
      <w:r w:rsidRPr="00E91EB3">
        <w:rPr>
          <w:rFonts w:ascii="Arial" w:hAnsi="Arial" w:cs="Arial"/>
        </w:rPr>
        <w:t xml:space="preserve"> Emphasis added.</w:t>
      </w:r>
    </w:p>
  </w:footnote>
  <w:footnote w:id="8">
    <w:p w14:paraId="49E75A7C"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Article 16. Emphasis added.</w:t>
      </w:r>
    </w:p>
  </w:footnote>
  <w:footnote w:id="9">
    <w:p w14:paraId="4B872681"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Article 2(d). Emphasis added. In 1948 during the Nuremberg Trials, the practice of encouraging abortions among Eastern Europeans was considered a crime against humanity. See </w:t>
      </w:r>
      <w:r w:rsidRPr="00E91EB3">
        <w:rPr>
          <w:rFonts w:ascii="Arial" w:hAnsi="Arial" w:cs="Arial"/>
          <w:i/>
        </w:rPr>
        <w:t>United States v. Greifelt</w:t>
      </w:r>
      <w:r w:rsidRPr="00E91EB3">
        <w:rPr>
          <w:rFonts w:ascii="Arial" w:hAnsi="Arial" w:cs="Arial"/>
        </w:rPr>
        <w:t>, US Military Tribunal Nuremberg, Judgment of 10</w:t>
      </w:r>
      <w:r w:rsidRPr="00E91EB3">
        <w:rPr>
          <w:rFonts w:ascii="Arial" w:hAnsi="Arial" w:cs="Arial"/>
          <w:vertAlign w:val="superscript"/>
        </w:rPr>
        <w:t>th</w:t>
      </w:r>
      <w:r w:rsidRPr="00E91EB3">
        <w:rPr>
          <w:rFonts w:ascii="Arial" w:hAnsi="Arial" w:cs="Arial"/>
        </w:rPr>
        <w:t xml:space="preserve"> March 1948, §§ 102–108. </w:t>
      </w:r>
    </w:p>
  </w:footnote>
  <w:footnote w:id="10">
    <w:p w14:paraId="1ADD0C71"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vertAlign w:val="superscript"/>
        </w:rPr>
        <w:t xml:space="preserve"> </w:t>
      </w:r>
      <w:r w:rsidRPr="00E91EB3">
        <w:rPr>
          <w:rFonts w:ascii="Arial" w:hAnsi="Arial" w:cs="Arial"/>
        </w:rPr>
        <w:t>Article 31(2) states, “The context [ . . . ]</w:t>
      </w:r>
      <w:r w:rsidRPr="00E91EB3" w:rsidDel="00E059E5">
        <w:rPr>
          <w:rFonts w:ascii="Arial" w:hAnsi="Arial" w:cs="Arial"/>
        </w:rPr>
        <w:t xml:space="preserve"> </w:t>
      </w:r>
      <w:r w:rsidRPr="00E91EB3">
        <w:rPr>
          <w:rFonts w:ascii="Arial" w:hAnsi="Arial" w:cs="Arial"/>
        </w:rPr>
        <w:t xml:space="preserve">shall comprise [ . . . ] the text, including its preamble and annexes.” </w:t>
      </w:r>
    </w:p>
  </w:footnote>
  <w:footnote w:id="11">
    <w:p w14:paraId="2D32FBE8"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vertAlign w:val="superscript"/>
        </w:rPr>
        <w:t xml:space="preserve"> </w:t>
      </w:r>
      <w:r w:rsidRPr="00E91EB3">
        <w:rPr>
          <w:rFonts w:ascii="Arial" w:hAnsi="Arial" w:cs="Arial"/>
        </w:rPr>
        <w:t>Emphasis added.</w:t>
      </w:r>
    </w:p>
  </w:footnote>
  <w:footnote w:id="12">
    <w:p w14:paraId="17F6B73E"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Application No. 53924/00, 8</w:t>
      </w:r>
      <w:r w:rsidRPr="00E91EB3">
        <w:rPr>
          <w:rFonts w:ascii="Arial" w:hAnsi="Arial" w:cs="Arial"/>
          <w:vertAlign w:val="superscript"/>
        </w:rPr>
        <w:t>th</w:t>
      </w:r>
      <w:r w:rsidRPr="00E91EB3">
        <w:rPr>
          <w:rFonts w:ascii="Arial" w:hAnsi="Arial" w:cs="Arial"/>
        </w:rPr>
        <w:t xml:space="preserve"> July 2004.</w:t>
      </w:r>
    </w:p>
  </w:footnote>
  <w:footnote w:id="13">
    <w:p w14:paraId="6EE095B2"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w:t>
      </w:r>
      <w:r w:rsidRPr="00E91EB3">
        <w:rPr>
          <w:rFonts w:ascii="Arial" w:hAnsi="Arial" w:cs="Arial"/>
          <w:i/>
        </w:rPr>
        <w:t>Case of Vo v. France</w:t>
      </w:r>
      <w:r w:rsidRPr="00E91EB3">
        <w:rPr>
          <w:rFonts w:ascii="Arial" w:hAnsi="Arial" w:cs="Arial"/>
        </w:rPr>
        <w:t xml:space="preserve">, </w:t>
      </w:r>
      <w:r w:rsidRPr="00E91EB3">
        <w:rPr>
          <w:rFonts w:ascii="Arial" w:hAnsi="Arial" w:cs="Arial"/>
          <w:i/>
        </w:rPr>
        <w:t>op cit.</w:t>
      </w:r>
      <w:r w:rsidRPr="00E91EB3">
        <w:rPr>
          <w:rFonts w:ascii="Arial" w:hAnsi="Arial" w:cs="Arial"/>
        </w:rPr>
        <w:t>, at para. 84.</w:t>
      </w:r>
    </w:p>
  </w:footnote>
  <w:footnote w:id="14">
    <w:p w14:paraId="38DBB524"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w:t>
      </w:r>
      <w:r w:rsidRPr="00E91EB3">
        <w:rPr>
          <w:rFonts w:ascii="Arial" w:hAnsi="Arial" w:cs="Arial"/>
          <w:i/>
        </w:rPr>
        <w:t>Cf.</w:t>
      </w:r>
      <w:r w:rsidRPr="00E91EB3">
        <w:rPr>
          <w:rFonts w:ascii="Arial" w:hAnsi="Arial" w:cs="Arial"/>
        </w:rPr>
        <w:t xml:space="preserve"> </w:t>
      </w:r>
      <w:r w:rsidRPr="00E91EB3">
        <w:rPr>
          <w:rFonts w:ascii="Arial" w:hAnsi="Arial" w:cs="Arial"/>
          <w:i/>
        </w:rPr>
        <w:t>Vo v. France</w:t>
      </w:r>
      <w:r w:rsidRPr="00E91EB3">
        <w:rPr>
          <w:rFonts w:ascii="Arial" w:hAnsi="Arial" w:cs="Arial"/>
        </w:rPr>
        <w:t xml:space="preserve">, </w:t>
      </w:r>
      <w:r w:rsidRPr="00E91EB3">
        <w:rPr>
          <w:rFonts w:ascii="Arial" w:hAnsi="Arial" w:cs="Arial"/>
          <w:i/>
        </w:rPr>
        <w:t xml:space="preserve">op. cit., </w:t>
      </w:r>
      <w:r w:rsidRPr="00E91EB3">
        <w:rPr>
          <w:rFonts w:ascii="Arial" w:hAnsi="Arial" w:cs="Arial"/>
        </w:rPr>
        <w:t>separate opinion of Judge Costa at para. 11.</w:t>
      </w:r>
    </w:p>
  </w:footnote>
  <w:footnote w:id="15">
    <w:p w14:paraId="5FC0FA12" w14:textId="77777777" w:rsidR="00E04BA5" w:rsidRPr="00E91EB3" w:rsidRDefault="00E04BA5" w:rsidP="00BE2697">
      <w:pPr>
        <w:jc w:val="both"/>
        <w:rPr>
          <w:rFonts w:ascii="Arial" w:eastAsia="Times New Roman" w:hAnsi="Arial" w:cs="Arial"/>
          <w:sz w:val="20"/>
          <w:szCs w:val="20"/>
        </w:rPr>
      </w:pPr>
      <w:r w:rsidRPr="00E91EB3">
        <w:rPr>
          <w:rStyle w:val="FootnoteReference"/>
          <w:rFonts w:ascii="Arial" w:hAnsi="Arial" w:cs="Arial"/>
          <w:sz w:val="20"/>
          <w:szCs w:val="20"/>
        </w:rPr>
        <w:footnoteRef/>
      </w:r>
      <w:r w:rsidRPr="00E91EB3">
        <w:rPr>
          <w:rFonts w:ascii="Arial" w:hAnsi="Arial" w:cs="Arial"/>
          <w:sz w:val="20"/>
          <w:szCs w:val="20"/>
        </w:rPr>
        <w:t xml:space="preserve"> </w:t>
      </w:r>
      <w:r w:rsidRPr="00E91EB3">
        <w:rPr>
          <w:rFonts w:ascii="Arial" w:hAnsi="Arial" w:cs="Arial"/>
          <w:i/>
          <w:sz w:val="20"/>
          <w:szCs w:val="20"/>
        </w:rPr>
        <w:t>See e.g.</w:t>
      </w:r>
      <w:r w:rsidRPr="00E91EB3">
        <w:rPr>
          <w:rFonts w:ascii="Arial" w:hAnsi="Arial" w:cs="Arial"/>
          <w:sz w:val="20"/>
          <w:szCs w:val="20"/>
        </w:rPr>
        <w:t xml:space="preserve">: </w:t>
      </w:r>
      <w:r w:rsidRPr="00E91EB3">
        <w:rPr>
          <w:rFonts w:ascii="Arial" w:eastAsia="Times New Roman" w:hAnsi="Arial" w:cs="Arial"/>
          <w:i/>
          <w:iCs/>
          <w:sz w:val="20"/>
          <w:szCs w:val="20"/>
        </w:rPr>
        <w:t>S. H. and others v. Austria,</w:t>
      </w:r>
      <w:r w:rsidRPr="00E91EB3">
        <w:rPr>
          <w:rFonts w:ascii="Arial" w:eastAsia="Times New Roman" w:hAnsi="Arial" w:cs="Arial"/>
          <w:sz w:val="20"/>
          <w:szCs w:val="20"/>
        </w:rPr>
        <w:t xml:space="preserve"> [GC], no. 57813/02, 3</w:t>
      </w:r>
      <w:r w:rsidRPr="00E91EB3">
        <w:rPr>
          <w:rFonts w:ascii="Arial" w:eastAsia="Times New Roman" w:hAnsi="Arial" w:cs="Arial"/>
          <w:sz w:val="20"/>
          <w:szCs w:val="20"/>
          <w:vertAlign w:val="superscript"/>
        </w:rPr>
        <w:t>rd</w:t>
      </w:r>
      <w:r w:rsidRPr="00E91EB3">
        <w:rPr>
          <w:rFonts w:ascii="Arial" w:eastAsia="Times New Roman" w:hAnsi="Arial" w:cs="Arial"/>
          <w:sz w:val="20"/>
          <w:szCs w:val="20"/>
        </w:rPr>
        <w:t xml:space="preserve"> November 2011.</w:t>
      </w:r>
    </w:p>
  </w:footnote>
  <w:footnote w:id="16">
    <w:p w14:paraId="09467622"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S</w:t>
      </w:r>
      <w:r w:rsidRPr="00E91EB3">
        <w:rPr>
          <w:rFonts w:ascii="Arial" w:hAnsi="Arial" w:cs="Arial"/>
          <w:i/>
        </w:rPr>
        <w:t xml:space="preserve">ee </w:t>
      </w:r>
      <w:r w:rsidRPr="00E91EB3">
        <w:rPr>
          <w:rFonts w:ascii="Arial" w:hAnsi="Arial" w:cs="Arial"/>
        </w:rPr>
        <w:t>Article 1 protecting human “dignity” and Article 3 on bioethics.</w:t>
      </w:r>
    </w:p>
  </w:footnote>
  <w:footnote w:id="17">
    <w:p w14:paraId="6F2EB7E9"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w:t>
      </w:r>
      <w:r w:rsidRPr="00E91EB3">
        <w:rPr>
          <w:rFonts w:ascii="Arial" w:hAnsi="Arial" w:cs="Arial"/>
          <w:i/>
        </w:rPr>
        <w:t>Oliver</w:t>
      </w:r>
      <w:r w:rsidRPr="00E91EB3">
        <w:rPr>
          <w:rFonts w:ascii="Arial" w:hAnsi="Arial" w:cs="Arial"/>
        </w:rPr>
        <w:t xml:space="preserve"> </w:t>
      </w:r>
      <w:r w:rsidRPr="00E91EB3">
        <w:rPr>
          <w:rFonts w:ascii="Arial" w:hAnsi="Arial" w:cs="Arial"/>
          <w:i/>
        </w:rPr>
        <w:t xml:space="preserve">Brüstle v. Greenpeace eV. </w:t>
      </w:r>
      <w:r w:rsidRPr="00E91EB3">
        <w:rPr>
          <w:rFonts w:ascii="Arial" w:hAnsi="Arial" w:cs="Arial"/>
        </w:rPr>
        <w:t>C-34/10 (18</w:t>
      </w:r>
      <w:r w:rsidRPr="00E91EB3">
        <w:rPr>
          <w:rFonts w:ascii="Arial" w:hAnsi="Arial" w:cs="Arial"/>
          <w:vertAlign w:val="superscript"/>
        </w:rPr>
        <w:t>th</w:t>
      </w:r>
      <w:r w:rsidRPr="00E91EB3">
        <w:rPr>
          <w:rFonts w:ascii="Arial" w:hAnsi="Arial" w:cs="Arial"/>
        </w:rPr>
        <w:t xml:space="preserve"> October 2011).</w:t>
      </w:r>
    </w:p>
  </w:footnote>
  <w:footnote w:id="18">
    <w:p w14:paraId="6E52635F"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w:t>
      </w:r>
      <w:r w:rsidRPr="00E91EB3">
        <w:rPr>
          <w:rFonts w:ascii="Arial" w:hAnsi="Arial" w:cs="Arial"/>
          <w:i/>
        </w:rPr>
        <w:t>A., B. and C. v. Ireland</w:t>
      </w:r>
      <w:r w:rsidRPr="00E91EB3">
        <w:rPr>
          <w:rFonts w:ascii="Arial" w:hAnsi="Arial" w:cs="Arial"/>
        </w:rPr>
        <w:t>, [GC], no. 25579/05, 16</w:t>
      </w:r>
      <w:r w:rsidRPr="00E91EB3">
        <w:rPr>
          <w:rFonts w:ascii="Arial" w:hAnsi="Arial" w:cs="Arial"/>
          <w:vertAlign w:val="superscript"/>
        </w:rPr>
        <w:t>th</w:t>
      </w:r>
      <w:r w:rsidRPr="00E91EB3">
        <w:rPr>
          <w:rFonts w:ascii="Arial" w:hAnsi="Arial" w:cs="Arial"/>
        </w:rPr>
        <w:t xml:space="preserve"> December 2010, at paras. 222-223. </w:t>
      </w:r>
    </w:p>
  </w:footnote>
  <w:footnote w:id="19">
    <w:p w14:paraId="69BB2BEB"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w:t>
      </w:r>
      <w:r w:rsidRPr="00E91EB3">
        <w:rPr>
          <w:rFonts w:ascii="Arial" w:hAnsi="Arial" w:cs="Arial"/>
          <w:i/>
        </w:rPr>
        <w:t>Id</w:t>
      </w:r>
      <w:r w:rsidRPr="00E91EB3">
        <w:rPr>
          <w:rFonts w:ascii="Arial" w:hAnsi="Arial" w:cs="Arial"/>
        </w:rPr>
        <w:t>., at para. 214.</w:t>
      </w:r>
    </w:p>
  </w:footnote>
  <w:footnote w:id="20">
    <w:p w14:paraId="4C90D2AD"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w:t>
      </w:r>
      <w:r w:rsidRPr="00E91EB3">
        <w:rPr>
          <w:rFonts w:ascii="Arial" w:hAnsi="Arial" w:cs="Arial"/>
          <w:i/>
        </w:rPr>
        <w:t>See e.g.</w:t>
      </w:r>
      <w:r w:rsidRPr="00E91EB3">
        <w:rPr>
          <w:rFonts w:ascii="Arial" w:hAnsi="Arial" w:cs="Arial"/>
        </w:rPr>
        <w:t xml:space="preserve">: </w:t>
      </w:r>
      <w:r w:rsidRPr="00E91EB3">
        <w:rPr>
          <w:rFonts w:ascii="Arial" w:hAnsi="Arial" w:cs="Arial"/>
          <w:i/>
        </w:rPr>
        <w:t>Powell v. the United Kingdom</w:t>
      </w:r>
      <w:r w:rsidRPr="00E91EB3">
        <w:rPr>
          <w:rFonts w:ascii="Arial" w:hAnsi="Arial" w:cs="Arial"/>
        </w:rPr>
        <w:t xml:space="preserve"> (dec.), no. 45305/99, ECHR 2000-V.</w:t>
      </w:r>
    </w:p>
  </w:footnote>
  <w:footnote w:id="21">
    <w:p w14:paraId="6AEF1DCC"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Emphasis added.</w:t>
      </w:r>
    </w:p>
  </w:footnote>
  <w:footnote w:id="22">
    <w:p w14:paraId="72570AF9"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For a discussion of the various interpretations of Article 4(1), see the </w:t>
      </w:r>
      <w:r w:rsidRPr="00E91EB3">
        <w:rPr>
          <w:rFonts w:ascii="Arial" w:hAnsi="Arial" w:cs="Arial"/>
          <w:i/>
        </w:rPr>
        <w:t>amici curiae</w:t>
      </w:r>
      <w:r w:rsidRPr="00E91EB3">
        <w:rPr>
          <w:rFonts w:ascii="Arial" w:hAnsi="Arial" w:cs="Arial"/>
        </w:rPr>
        <w:t xml:space="preserve"> brief of ADF, C-FAM, and AUL in the case of </w:t>
      </w:r>
      <w:r w:rsidRPr="00E91EB3">
        <w:rPr>
          <w:rFonts w:ascii="Arial" w:hAnsi="Arial" w:cs="Arial"/>
          <w:i/>
        </w:rPr>
        <w:t>Gretel Artavia Murillo et al v. Costa Rica</w:t>
      </w:r>
      <w:r w:rsidRPr="00E91EB3">
        <w:rPr>
          <w:rFonts w:ascii="Arial" w:hAnsi="Arial" w:cs="Arial"/>
        </w:rPr>
        <w:t>, Case No. 12,361 (2012), available at http://adfinternational.org/2012/11/28/murillo-v-costa-rica/.</w:t>
      </w:r>
    </w:p>
  </w:footnote>
  <w:footnote w:id="23">
    <w:p w14:paraId="104CFA01"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See, for example, paragraph 34 of the response of the government of Costa Rica in the Inter-American Court of Human Rights case </w:t>
      </w:r>
      <w:r w:rsidRPr="00E91EB3">
        <w:rPr>
          <w:rFonts w:ascii="Arial" w:hAnsi="Arial" w:cs="Arial"/>
          <w:i/>
        </w:rPr>
        <w:t>Artavia Murillo v. Costa Rica</w:t>
      </w:r>
      <w:r w:rsidRPr="00E91EB3">
        <w:rPr>
          <w:rFonts w:ascii="Arial" w:hAnsi="Arial" w:cs="Arial"/>
        </w:rPr>
        <w:t xml:space="preserve">, in which the government explains that the destruction of embryos is in violation of its constitution. Available at https://www.cidh.oas.org/demandas/12.361Esp.pdf. </w:t>
      </w:r>
    </w:p>
  </w:footnote>
  <w:footnote w:id="24">
    <w:p w14:paraId="741FC277"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The Mexican State Constitutions that contain protections for unborn life are: Baja California, Chihuahua, Coahuila, Colima, Durango, Guanajuato, Jalisco, Morelos, Nayarit, Oaxaca, Puebla, Queretaro, Quintana Roo, San Luis Potosi, Sonora, and Yucatan. </w:t>
      </w:r>
    </w:p>
  </w:footnote>
  <w:footnote w:id="25">
    <w:p w14:paraId="017441BA"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The Argentinean Provincial Constitutions that contain protections for unborn life are: Buenos Aires, Catamarca, Chaco, Chubut, Cordoba, Corrientes Formosa, Rio Negro, Salta, San Juan, San Luis, Santiago de Estero, Tierra del Fuego, and Tucumán.</w:t>
      </w:r>
    </w:p>
  </w:footnote>
  <w:footnote w:id="26">
    <w:p w14:paraId="640A1EA9"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Basic law, article 2(2).</w:t>
      </w:r>
    </w:p>
  </w:footnote>
  <w:footnote w:id="27">
    <w:p w14:paraId="73472C08"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39 BVerfGE 1 (1975).</w:t>
      </w:r>
    </w:p>
  </w:footnote>
  <w:footnote w:id="28">
    <w:p w14:paraId="0C713721"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Law on Family Planning (Protection of the Human Fetus and Conditions permitting Pregnancy Termination) 1993, s.1.</w:t>
      </w:r>
    </w:p>
  </w:footnote>
  <w:footnote w:id="29">
    <w:p w14:paraId="6E5CA927"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18 U.S.C. § 1841.</w:t>
      </w:r>
    </w:p>
  </w:footnote>
  <w:footnote w:id="30">
    <w:p w14:paraId="73D237E6"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National Conference of State Legislatures, Fetal Homicide Laws, available at http://www.ncsl.org/research/health/fetal-homicide-state-laws.aspx.</w:t>
      </w:r>
    </w:p>
  </w:footnote>
  <w:footnote w:id="31">
    <w:p w14:paraId="62B760C6" w14:textId="77777777" w:rsidR="00E04BA5" w:rsidRPr="00E91EB3" w:rsidRDefault="00E04BA5" w:rsidP="00BE2697">
      <w:pPr>
        <w:widowControl w:val="0"/>
        <w:autoSpaceDE w:val="0"/>
        <w:autoSpaceDN w:val="0"/>
        <w:adjustRightInd w:val="0"/>
        <w:jc w:val="both"/>
        <w:rPr>
          <w:rFonts w:ascii="Arial" w:hAnsi="Arial" w:cs="Arial"/>
          <w:sz w:val="20"/>
          <w:szCs w:val="20"/>
        </w:rPr>
      </w:pPr>
      <w:r w:rsidRPr="00E91EB3">
        <w:rPr>
          <w:rStyle w:val="FootnoteReference"/>
          <w:rFonts w:ascii="Arial" w:hAnsi="Arial" w:cs="Arial"/>
          <w:sz w:val="20"/>
          <w:szCs w:val="20"/>
        </w:rPr>
        <w:footnoteRef/>
      </w:r>
      <w:r w:rsidRPr="00E91EB3">
        <w:rPr>
          <w:rFonts w:ascii="Arial" w:hAnsi="Arial" w:cs="Arial"/>
          <w:sz w:val="20"/>
          <w:szCs w:val="20"/>
        </w:rPr>
        <w:t xml:space="preserve"> Case C-34/10, 18</w:t>
      </w:r>
      <w:r w:rsidRPr="00E91EB3">
        <w:rPr>
          <w:rFonts w:ascii="Arial" w:hAnsi="Arial" w:cs="Arial"/>
          <w:sz w:val="20"/>
          <w:szCs w:val="20"/>
          <w:vertAlign w:val="superscript"/>
        </w:rPr>
        <w:t>th</w:t>
      </w:r>
      <w:r w:rsidRPr="00E91EB3">
        <w:rPr>
          <w:rFonts w:ascii="Arial" w:hAnsi="Arial" w:cs="Arial"/>
          <w:sz w:val="20"/>
          <w:szCs w:val="20"/>
        </w:rPr>
        <w:t xml:space="preserve"> October 2011. Available at http://curia.europa.eu/jurisp/cgibin/form.pl?lang=EN</w:t>
      </w:r>
    </w:p>
    <w:p w14:paraId="30086D43" w14:textId="77777777" w:rsidR="00E04BA5" w:rsidRPr="00E91EB3" w:rsidRDefault="00E04BA5" w:rsidP="00BE2697">
      <w:pPr>
        <w:widowControl w:val="0"/>
        <w:autoSpaceDE w:val="0"/>
        <w:autoSpaceDN w:val="0"/>
        <w:adjustRightInd w:val="0"/>
        <w:jc w:val="both"/>
        <w:rPr>
          <w:rFonts w:ascii="Arial" w:hAnsi="Arial" w:cs="Arial"/>
          <w:sz w:val="20"/>
          <w:szCs w:val="20"/>
        </w:rPr>
      </w:pPr>
      <w:r w:rsidRPr="00E91EB3">
        <w:rPr>
          <w:rFonts w:ascii="Arial" w:hAnsi="Arial" w:cs="Arial"/>
          <w:sz w:val="20"/>
          <w:szCs w:val="20"/>
        </w:rPr>
        <w:t>&amp;Submit=rechercher&amp;numaff=C-34/10.</w:t>
      </w:r>
    </w:p>
  </w:footnote>
  <w:footnote w:id="32">
    <w:p w14:paraId="4E547B4E"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 34.</w:t>
      </w:r>
    </w:p>
  </w:footnote>
  <w:footnote w:id="33">
    <w:p w14:paraId="1A0B429E" w14:textId="77777777" w:rsidR="00E04BA5" w:rsidRPr="00E91EB3" w:rsidRDefault="00E04BA5" w:rsidP="00BE2697">
      <w:pPr>
        <w:widowControl w:val="0"/>
        <w:autoSpaceDE w:val="0"/>
        <w:autoSpaceDN w:val="0"/>
        <w:adjustRightInd w:val="0"/>
        <w:jc w:val="both"/>
        <w:rPr>
          <w:rFonts w:ascii="Arial" w:hAnsi="Arial" w:cs="Arial"/>
          <w:sz w:val="20"/>
          <w:szCs w:val="20"/>
        </w:rPr>
      </w:pPr>
      <w:r w:rsidRPr="00E91EB3">
        <w:rPr>
          <w:rStyle w:val="FootnoteReference"/>
          <w:rFonts w:ascii="Arial" w:hAnsi="Arial" w:cs="Arial"/>
          <w:sz w:val="20"/>
          <w:szCs w:val="20"/>
        </w:rPr>
        <w:footnoteRef/>
      </w:r>
      <w:r w:rsidRPr="00E91EB3">
        <w:rPr>
          <w:rFonts w:ascii="Arial" w:hAnsi="Arial" w:cs="Arial"/>
          <w:sz w:val="20"/>
          <w:szCs w:val="20"/>
        </w:rPr>
        <w:t xml:space="preserve"> The Court noted that “although those organisms have not, strictly speaking, been the object of fertilisation, due to the effect of the technique used to obtain them they are, as is apparent from the written observations presented to the Court, capable of commencing the process of development of a human being just as an embryo created by fertilisation of an ovum can do so.” § 36.</w:t>
      </w:r>
    </w:p>
  </w:footnote>
  <w:footnote w:id="34">
    <w:p w14:paraId="3D0774BA"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 37.</w:t>
      </w:r>
    </w:p>
  </w:footnote>
  <w:footnote w:id="35">
    <w:p w14:paraId="6215C86D"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See Susan A. Cohen, </w:t>
      </w:r>
      <w:r w:rsidRPr="00E91EB3">
        <w:rPr>
          <w:rFonts w:ascii="Arial" w:hAnsi="Arial" w:cs="Arial"/>
          <w:i/>
        </w:rPr>
        <w:t>Facts and Consequences: Legality, Incidence and Safety of Abortion Worldwide</w:t>
      </w:r>
      <w:r w:rsidRPr="00E91EB3">
        <w:rPr>
          <w:rFonts w:ascii="Arial" w:hAnsi="Arial" w:cs="Arial"/>
        </w:rPr>
        <w:t xml:space="preserve">, </w:t>
      </w:r>
      <w:r w:rsidRPr="00E91EB3">
        <w:rPr>
          <w:rFonts w:ascii="Arial" w:hAnsi="Arial" w:cs="Arial"/>
          <w:smallCaps/>
        </w:rPr>
        <w:t>Guttmacher Pol’Y Rev.</w:t>
      </w:r>
      <w:r w:rsidRPr="00E91EB3">
        <w:rPr>
          <w:rFonts w:ascii="Arial" w:hAnsi="Arial" w:cs="Arial"/>
        </w:rPr>
        <w:t xml:space="preserve"> (2009), available at http://www.guttmacher.org/pubs/gpr/12/4/</w:t>
      </w:r>
    </w:p>
    <w:p w14:paraId="78B6FB06" w14:textId="77777777" w:rsidR="00E04BA5" w:rsidRPr="00E91EB3" w:rsidRDefault="00E04BA5" w:rsidP="00BE2697">
      <w:pPr>
        <w:pStyle w:val="FootnoteText"/>
        <w:jc w:val="both"/>
        <w:rPr>
          <w:rFonts w:ascii="Arial" w:hAnsi="Arial" w:cs="Arial"/>
        </w:rPr>
      </w:pPr>
      <w:r w:rsidRPr="00E91EB3">
        <w:rPr>
          <w:rFonts w:ascii="Arial" w:hAnsi="Arial" w:cs="Arial"/>
        </w:rPr>
        <w:t>gpr120402.html.</w:t>
      </w:r>
    </w:p>
  </w:footnote>
  <w:footnote w:id="36">
    <w:p w14:paraId="1EC917EF"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Elard Koch, Monique Chireau, and Fernando Pliego et. al., </w:t>
      </w:r>
      <w:r w:rsidRPr="00E91EB3">
        <w:rPr>
          <w:rFonts w:ascii="Arial" w:hAnsi="Arial" w:cs="Arial"/>
          <w:i/>
        </w:rPr>
        <w:t>Abortion Legislation, Maternal Healthcare, Fertility, Female Literacy, Sanitation, Violence Against Women and Maternal Deaths: A Natural Experiment in 32 Mexican States</w:t>
      </w:r>
      <w:r w:rsidRPr="00E91EB3">
        <w:rPr>
          <w:rFonts w:ascii="Arial" w:hAnsi="Arial" w:cs="Arial"/>
        </w:rPr>
        <w:t xml:space="preserve">, </w:t>
      </w:r>
      <w:r w:rsidRPr="00E91EB3">
        <w:rPr>
          <w:rFonts w:ascii="Arial" w:hAnsi="Arial" w:cs="Arial"/>
          <w:smallCaps/>
        </w:rPr>
        <w:t xml:space="preserve">BMJ Open </w:t>
      </w:r>
      <w:r w:rsidRPr="00E91EB3">
        <w:rPr>
          <w:rFonts w:ascii="Arial" w:hAnsi="Arial" w:cs="Arial"/>
        </w:rPr>
        <w:t>2015:5 e006013, doi:10.1136/bmjopen-2014-006013</w:t>
      </w:r>
      <w:r w:rsidRPr="00E91EB3">
        <w:rPr>
          <w:rFonts w:ascii="Arial" w:hAnsi="Arial" w:cs="Arial"/>
          <w:smallCaps/>
        </w:rPr>
        <w:t xml:space="preserve">, </w:t>
      </w:r>
      <w:r w:rsidRPr="00E91EB3">
        <w:rPr>
          <w:rFonts w:ascii="Arial" w:hAnsi="Arial" w:cs="Arial"/>
        </w:rPr>
        <w:t>p. 1.</w:t>
      </w:r>
    </w:p>
  </w:footnote>
  <w:footnote w:id="37">
    <w:p w14:paraId="23A7DDF4"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w:t>
      </w:r>
      <w:r w:rsidRPr="00E91EB3">
        <w:rPr>
          <w:rFonts w:ascii="Arial" w:hAnsi="Arial" w:cs="Arial"/>
          <w:i/>
        </w:rPr>
        <w:t>Id.</w:t>
      </w:r>
    </w:p>
  </w:footnote>
  <w:footnote w:id="38">
    <w:p w14:paraId="79FAA0F8" w14:textId="77777777" w:rsidR="00E04BA5" w:rsidRPr="00E91EB3" w:rsidRDefault="00E04BA5" w:rsidP="00BE2697">
      <w:pPr>
        <w:jc w:val="both"/>
        <w:rPr>
          <w:rFonts w:ascii="Arial" w:eastAsia="Times New Roman" w:hAnsi="Arial" w:cs="Arial"/>
          <w:bCs/>
          <w:sz w:val="20"/>
          <w:szCs w:val="20"/>
        </w:rPr>
      </w:pPr>
      <w:r w:rsidRPr="00E91EB3">
        <w:rPr>
          <w:rStyle w:val="FootnoteReference"/>
          <w:rFonts w:ascii="Arial" w:hAnsi="Arial" w:cs="Arial"/>
          <w:sz w:val="20"/>
          <w:szCs w:val="20"/>
        </w:rPr>
        <w:footnoteRef/>
      </w:r>
      <w:r w:rsidRPr="00E91EB3">
        <w:rPr>
          <w:rFonts w:ascii="Arial" w:hAnsi="Arial" w:cs="Arial"/>
          <w:sz w:val="20"/>
          <w:szCs w:val="20"/>
        </w:rPr>
        <w:t xml:space="preserve"> Koch et al., </w:t>
      </w:r>
      <w:r w:rsidRPr="00E91EB3">
        <w:rPr>
          <w:rFonts w:ascii="Arial" w:eastAsia="Times New Roman" w:hAnsi="Arial" w:cs="Arial"/>
          <w:bCs/>
          <w:i/>
          <w:sz w:val="20"/>
          <w:szCs w:val="20"/>
        </w:rPr>
        <w:t>Women’s Education Level, Maternal Health Facilities, Abortion Legislation and Maternal Deaths: A Natural Experiment in Chile from 1957 to 2007</w:t>
      </w:r>
      <w:r w:rsidRPr="00E91EB3">
        <w:rPr>
          <w:rFonts w:ascii="Arial" w:eastAsia="Times New Roman" w:hAnsi="Arial" w:cs="Arial"/>
          <w:bCs/>
          <w:sz w:val="20"/>
          <w:szCs w:val="20"/>
        </w:rPr>
        <w:t xml:space="preserve">, </w:t>
      </w:r>
      <w:r w:rsidRPr="00E91EB3">
        <w:rPr>
          <w:rFonts w:ascii="Arial" w:eastAsia="Times New Roman" w:hAnsi="Arial" w:cs="Arial"/>
          <w:bCs/>
          <w:smallCaps/>
          <w:sz w:val="20"/>
          <w:szCs w:val="20"/>
        </w:rPr>
        <w:t>Plos One</w:t>
      </w:r>
      <w:r w:rsidRPr="00E91EB3">
        <w:rPr>
          <w:rFonts w:ascii="Arial" w:eastAsia="Times New Roman" w:hAnsi="Arial" w:cs="Arial"/>
          <w:bCs/>
          <w:sz w:val="20"/>
          <w:szCs w:val="20"/>
        </w:rPr>
        <w:t xml:space="preserve"> (2012), available at http://journals.plos.org/plosone/article?id=10.1371/journal.pone.0036613. </w:t>
      </w:r>
    </w:p>
  </w:footnote>
  <w:footnote w:id="39">
    <w:p w14:paraId="1EFE474D"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World Health Organization, Fact Sheet, Maternal mortality, available at </w:t>
      </w:r>
    </w:p>
    <w:p w14:paraId="1C021C88" w14:textId="77777777" w:rsidR="00E04BA5" w:rsidRPr="00E91EB3" w:rsidRDefault="00E04BA5" w:rsidP="00BE2697">
      <w:pPr>
        <w:pStyle w:val="FootnoteText"/>
        <w:jc w:val="both"/>
        <w:rPr>
          <w:rFonts w:ascii="Arial" w:hAnsi="Arial" w:cs="Arial"/>
        </w:rPr>
      </w:pPr>
      <w:r w:rsidRPr="00E91EB3">
        <w:rPr>
          <w:rFonts w:ascii="Arial" w:hAnsi="Arial" w:cs="Arial"/>
        </w:rPr>
        <w:t>http://www.who.int/mediacentre/factsheets/fs348/en/.</w:t>
      </w:r>
    </w:p>
  </w:footnote>
  <w:footnote w:id="40">
    <w:p w14:paraId="180D52CB" w14:textId="6B103979" w:rsidR="00E04BA5" w:rsidRDefault="00E04BA5" w:rsidP="00117F39">
      <w:pPr>
        <w:pStyle w:val="FootnoteText"/>
        <w:jc w:val="both"/>
      </w:pPr>
      <w:r>
        <w:rPr>
          <w:rStyle w:val="FootnoteReference"/>
        </w:rPr>
        <w:footnoteRef/>
      </w:r>
      <w:r>
        <w:t xml:space="preserve"> </w:t>
      </w:r>
      <w:r w:rsidRPr="00117F39">
        <w:rPr>
          <w:rFonts w:ascii="Arial" w:hAnsi="Arial" w:cs="Arial"/>
        </w:rPr>
        <w:t>United</w:t>
      </w:r>
      <w:r>
        <w:t xml:space="preserve"> </w:t>
      </w:r>
      <w:r w:rsidRPr="00117F39">
        <w:rPr>
          <w:rFonts w:ascii="Arial" w:hAnsi="Arial" w:cs="Arial"/>
        </w:rPr>
        <w:t>Nation</w:t>
      </w:r>
      <w:r>
        <w:rPr>
          <w:rFonts w:ascii="Arial" w:hAnsi="Arial" w:cs="Arial"/>
        </w:rPr>
        <w:t>s Population Division, Department of Economic and Social Affairs, with support from the UN Population Fund (UNFPA), A/CONF.171/13: Report of the ICPD (94/10/18), Programme of Action of the International Conference on Population and Development, paragraph 8.25 (emphasis added).</w:t>
      </w:r>
    </w:p>
  </w:footnote>
  <w:footnote w:id="41">
    <w:p w14:paraId="522DF0DD" w14:textId="77777777" w:rsidR="00E04BA5" w:rsidRPr="00E91EB3" w:rsidRDefault="00E04BA5" w:rsidP="00BE2697">
      <w:pPr>
        <w:pStyle w:val="Longqoute"/>
        <w:ind w:left="0"/>
        <w:rPr>
          <w:rFonts w:ascii="Arial" w:hAnsi="Arial" w:cs="Arial"/>
          <w:sz w:val="20"/>
          <w:szCs w:val="20"/>
        </w:rPr>
      </w:pPr>
      <w:r w:rsidRPr="00E91EB3">
        <w:rPr>
          <w:rStyle w:val="FootnoteReference"/>
          <w:rFonts w:ascii="Arial" w:hAnsi="Arial" w:cs="Arial"/>
          <w:sz w:val="20"/>
          <w:szCs w:val="20"/>
        </w:rPr>
        <w:footnoteRef/>
      </w:r>
      <w:r w:rsidRPr="00E91EB3">
        <w:rPr>
          <w:rFonts w:ascii="Arial" w:hAnsi="Arial" w:cs="Arial"/>
          <w:sz w:val="20"/>
          <w:szCs w:val="20"/>
        </w:rPr>
        <w:t xml:space="preserve"> Ninety-sixth session, (CCPR/C/NLD/CO/42), 5</w:t>
      </w:r>
      <w:r w:rsidRPr="00E91EB3">
        <w:rPr>
          <w:rFonts w:ascii="Arial" w:hAnsi="Arial" w:cs="Arial"/>
          <w:sz w:val="20"/>
          <w:szCs w:val="20"/>
          <w:vertAlign w:val="superscript"/>
        </w:rPr>
        <w:t>th</w:t>
      </w:r>
      <w:r w:rsidRPr="00E91EB3">
        <w:rPr>
          <w:rFonts w:ascii="Arial" w:hAnsi="Arial" w:cs="Arial"/>
          <w:sz w:val="20"/>
          <w:szCs w:val="20"/>
        </w:rPr>
        <w:t xml:space="preserve"> August 2009, at § 7. </w:t>
      </w:r>
    </w:p>
  </w:footnote>
  <w:footnote w:id="42">
    <w:p w14:paraId="477E3430"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For example, </w:t>
      </w:r>
      <w:r w:rsidRPr="00E91EB3">
        <w:rPr>
          <w:rFonts w:ascii="Arial" w:hAnsi="Arial" w:cs="Arial"/>
          <w:i/>
        </w:rPr>
        <w:t xml:space="preserve">see </w:t>
      </w:r>
      <w:r w:rsidRPr="00E91EB3">
        <w:rPr>
          <w:rFonts w:ascii="Arial" w:hAnsi="Arial" w:cs="Arial"/>
        </w:rPr>
        <w:t>Committee on the Rights of the Child, Fiftieth session, (CRC/C/NLD/CO/3), 27</w:t>
      </w:r>
      <w:r w:rsidRPr="00E91EB3">
        <w:rPr>
          <w:rFonts w:ascii="Arial" w:hAnsi="Arial" w:cs="Arial"/>
          <w:vertAlign w:val="superscript"/>
        </w:rPr>
        <w:t xml:space="preserve">th </w:t>
      </w:r>
      <w:r w:rsidRPr="00E91EB3">
        <w:rPr>
          <w:rFonts w:ascii="Arial" w:hAnsi="Arial" w:cs="Arial"/>
        </w:rPr>
        <w:t>March 2009; Concluding Observations: Netherlands, at §§ 30-31 and Human Rights Committee, Ninety-seventh session, (CCPR/C/CHE/CO/3), 3</w:t>
      </w:r>
      <w:r w:rsidRPr="00E91EB3">
        <w:rPr>
          <w:rFonts w:ascii="Arial" w:hAnsi="Arial" w:cs="Arial"/>
          <w:vertAlign w:val="superscript"/>
        </w:rPr>
        <w:t>rd</w:t>
      </w:r>
      <w:r w:rsidRPr="00E91EB3">
        <w:rPr>
          <w:rFonts w:ascii="Arial" w:hAnsi="Arial" w:cs="Arial"/>
        </w:rPr>
        <w:t xml:space="preserve"> November 2009, Concluding Observations: Switzerland, at § 13.</w:t>
      </w:r>
    </w:p>
  </w:footnote>
  <w:footnote w:id="43">
    <w:p w14:paraId="4FA4F07A" w14:textId="77777777" w:rsidR="00E04BA5" w:rsidRPr="00E91EB3" w:rsidRDefault="00E04BA5" w:rsidP="00BE2697">
      <w:pPr>
        <w:jc w:val="both"/>
        <w:rPr>
          <w:rFonts w:ascii="Arial" w:hAnsi="Arial" w:cs="Arial"/>
          <w:sz w:val="20"/>
          <w:szCs w:val="20"/>
        </w:rPr>
      </w:pPr>
      <w:r w:rsidRPr="00E91EB3">
        <w:rPr>
          <w:rStyle w:val="FootnoteReference"/>
          <w:rFonts w:ascii="Arial" w:hAnsi="Arial" w:cs="Arial"/>
          <w:sz w:val="20"/>
          <w:szCs w:val="20"/>
        </w:rPr>
        <w:footnoteRef/>
      </w:r>
      <w:r w:rsidRPr="00E91EB3">
        <w:rPr>
          <w:rFonts w:ascii="Arial" w:hAnsi="Arial" w:cs="Arial"/>
          <w:sz w:val="20"/>
          <w:szCs w:val="20"/>
        </w:rPr>
        <w:t xml:space="preserve"> </w:t>
      </w:r>
      <w:r w:rsidRPr="00E91EB3">
        <w:rPr>
          <w:rFonts w:ascii="Arial" w:hAnsi="Arial" w:cs="Arial"/>
          <w:i/>
          <w:sz w:val="20"/>
          <w:szCs w:val="20"/>
        </w:rPr>
        <w:t>McCann and Others v. The United Kingdom</w:t>
      </w:r>
      <w:r w:rsidRPr="00E91EB3">
        <w:rPr>
          <w:rFonts w:ascii="Arial" w:hAnsi="Arial" w:cs="Arial"/>
          <w:sz w:val="20"/>
          <w:szCs w:val="20"/>
        </w:rPr>
        <w:t>, (1996) 21 E.H.R.R. 97 at § 147.</w:t>
      </w:r>
    </w:p>
  </w:footnote>
  <w:footnote w:id="44">
    <w:p w14:paraId="05AA4666" w14:textId="77777777" w:rsidR="00E04BA5" w:rsidRPr="00E91EB3" w:rsidRDefault="00E04BA5" w:rsidP="00BE2697">
      <w:pPr>
        <w:jc w:val="both"/>
        <w:rPr>
          <w:rFonts w:ascii="Arial" w:hAnsi="Arial" w:cs="Arial"/>
          <w:sz w:val="20"/>
          <w:szCs w:val="20"/>
        </w:rPr>
      </w:pPr>
      <w:r w:rsidRPr="00E91EB3">
        <w:rPr>
          <w:rStyle w:val="FootnoteReference"/>
          <w:rFonts w:ascii="Arial" w:hAnsi="Arial" w:cs="Arial"/>
          <w:sz w:val="20"/>
          <w:szCs w:val="20"/>
        </w:rPr>
        <w:footnoteRef/>
      </w:r>
      <w:r w:rsidRPr="00E91EB3">
        <w:rPr>
          <w:rFonts w:ascii="Arial" w:hAnsi="Arial" w:cs="Arial"/>
          <w:sz w:val="20"/>
          <w:szCs w:val="20"/>
        </w:rPr>
        <w:t xml:space="preserve"> </w:t>
      </w:r>
      <w:r w:rsidRPr="00E91EB3">
        <w:rPr>
          <w:rFonts w:ascii="Arial" w:hAnsi="Arial" w:cs="Arial"/>
          <w:i/>
          <w:sz w:val="20"/>
          <w:szCs w:val="20"/>
        </w:rPr>
        <w:t>Pretty v. United Kingdom</w:t>
      </w:r>
      <w:r w:rsidRPr="00E91EB3">
        <w:rPr>
          <w:rFonts w:ascii="Arial" w:hAnsi="Arial" w:cs="Arial"/>
          <w:sz w:val="20"/>
          <w:szCs w:val="20"/>
        </w:rPr>
        <w:t xml:space="preserve"> (2002) 35 E.H.R.R. 1. at § 37.</w:t>
      </w:r>
    </w:p>
  </w:footnote>
  <w:footnote w:id="45">
    <w:p w14:paraId="705B74DE" w14:textId="77777777" w:rsidR="00E04BA5" w:rsidRPr="00E91EB3" w:rsidRDefault="00E04BA5" w:rsidP="00BE2697">
      <w:pPr>
        <w:jc w:val="both"/>
        <w:rPr>
          <w:rFonts w:ascii="Arial" w:hAnsi="Arial" w:cs="Arial"/>
          <w:sz w:val="20"/>
          <w:szCs w:val="20"/>
        </w:rPr>
      </w:pPr>
      <w:r w:rsidRPr="00E91EB3">
        <w:rPr>
          <w:rStyle w:val="FootnoteReference"/>
          <w:rFonts w:ascii="Arial" w:hAnsi="Arial" w:cs="Arial"/>
          <w:sz w:val="20"/>
          <w:szCs w:val="20"/>
        </w:rPr>
        <w:footnoteRef/>
      </w:r>
      <w:r w:rsidRPr="00E91EB3">
        <w:rPr>
          <w:rFonts w:ascii="Arial" w:hAnsi="Arial" w:cs="Arial"/>
          <w:sz w:val="20"/>
          <w:szCs w:val="20"/>
        </w:rPr>
        <w:t xml:space="preserve"> </w:t>
      </w:r>
      <w:r w:rsidRPr="00E91EB3">
        <w:rPr>
          <w:rFonts w:ascii="Arial" w:hAnsi="Arial" w:cs="Arial"/>
          <w:i/>
          <w:sz w:val="20"/>
          <w:szCs w:val="20"/>
        </w:rPr>
        <w:t xml:space="preserve">McCann </w:t>
      </w:r>
      <w:r w:rsidRPr="00E91EB3">
        <w:rPr>
          <w:rFonts w:ascii="Arial" w:hAnsi="Arial" w:cs="Arial"/>
          <w:sz w:val="20"/>
          <w:szCs w:val="20"/>
        </w:rPr>
        <w:t>at §§ 149-150.</w:t>
      </w:r>
    </w:p>
  </w:footnote>
  <w:footnote w:id="46">
    <w:p w14:paraId="7F9F633A" w14:textId="77777777" w:rsidR="00E04BA5" w:rsidRPr="00E91EB3" w:rsidRDefault="00E04BA5" w:rsidP="00BE2697">
      <w:pPr>
        <w:jc w:val="both"/>
        <w:rPr>
          <w:rFonts w:ascii="Arial" w:hAnsi="Arial" w:cs="Arial"/>
          <w:sz w:val="20"/>
          <w:szCs w:val="20"/>
        </w:rPr>
      </w:pPr>
      <w:r w:rsidRPr="00E91EB3">
        <w:rPr>
          <w:rStyle w:val="FootnoteReference"/>
          <w:rFonts w:ascii="Arial" w:hAnsi="Arial" w:cs="Arial"/>
          <w:sz w:val="20"/>
          <w:szCs w:val="20"/>
        </w:rPr>
        <w:footnoteRef/>
      </w:r>
      <w:r w:rsidRPr="00E91EB3">
        <w:rPr>
          <w:rFonts w:ascii="Arial" w:hAnsi="Arial" w:cs="Arial"/>
          <w:sz w:val="20"/>
          <w:szCs w:val="20"/>
        </w:rPr>
        <w:t xml:space="preserve"> </w:t>
      </w:r>
      <w:r w:rsidRPr="00E91EB3">
        <w:rPr>
          <w:rFonts w:ascii="Arial" w:hAnsi="Arial" w:cs="Arial"/>
          <w:i/>
          <w:sz w:val="20"/>
          <w:szCs w:val="20"/>
        </w:rPr>
        <w:t>Pretty</w:t>
      </w:r>
      <w:r w:rsidRPr="00E91EB3">
        <w:rPr>
          <w:rFonts w:ascii="Arial" w:hAnsi="Arial" w:cs="Arial"/>
          <w:sz w:val="20"/>
          <w:szCs w:val="20"/>
        </w:rPr>
        <w:t xml:space="preserve"> at § 38.</w:t>
      </w:r>
    </w:p>
  </w:footnote>
  <w:footnote w:id="47">
    <w:p w14:paraId="20AEAE92" w14:textId="77777777" w:rsidR="00E04BA5" w:rsidRPr="00E91EB3" w:rsidRDefault="00E04BA5" w:rsidP="00BE2697">
      <w:pPr>
        <w:jc w:val="both"/>
        <w:rPr>
          <w:rFonts w:ascii="Arial" w:hAnsi="Arial" w:cs="Arial"/>
          <w:sz w:val="20"/>
          <w:szCs w:val="20"/>
        </w:rPr>
      </w:pPr>
      <w:r w:rsidRPr="00E91EB3">
        <w:rPr>
          <w:rStyle w:val="FootnoteReference"/>
          <w:rFonts w:ascii="Arial" w:hAnsi="Arial" w:cs="Arial"/>
          <w:sz w:val="20"/>
          <w:szCs w:val="20"/>
        </w:rPr>
        <w:footnoteRef/>
      </w:r>
      <w:r w:rsidRPr="00E91EB3">
        <w:rPr>
          <w:rFonts w:ascii="Arial" w:hAnsi="Arial" w:cs="Arial"/>
          <w:sz w:val="20"/>
          <w:szCs w:val="20"/>
        </w:rPr>
        <w:t xml:space="preserve"> Application no. 48335/99, ECHR 2000-XI, [4</w:t>
      </w:r>
      <w:r w:rsidRPr="00117F39">
        <w:rPr>
          <w:rFonts w:ascii="Arial" w:hAnsi="Arial" w:cs="Arial"/>
          <w:sz w:val="20"/>
          <w:szCs w:val="20"/>
          <w:vertAlign w:val="superscript"/>
        </w:rPr>
        <w:t>th</w:t>
      </w:r>
      <w:r w:rsidRPr="00E91EB3">
        <w:rPr>
          <w:rFonts w:ascii="Arial" w:hAnsi="Arial" w:cs="Arial"/>
          <w:sz w:val="20"/>
          <w:szCs w:val="20"/>
        </w:rPr>
        <w:t xml:space="preserve"> Section], decision of 26</w:t>
      </w:r>
      <w:r w:rsidRPr="00E91EB3">
        <w:rPr>
          <w:rFonts w:ascii="Arial" w:hAnsi="Arial" w:cs="Arial"/>
          <w:sz w:val="20"/>
          <w:szCs w:val="20"/>
          <w:vertAlign w:val="superscript"/>
        </w:rPr>
        <w:t>th</w:t>
      </w:r>
      <w:r w:rsidRPr="00E91EB3">
        <w:rPr>
          <w:rFonts w:ascii="Arial" w:hAnsi="Arial" w:cs="Arial"/>
          <w:sz w:val="20"/>
          <w:szCs w:val="20"/>
        </w:rPr>
        <w:t xml:space="preserve"> October 2000.</w:t>
      </w:r>
    </w:p>
  </w:footnote>
  <w:footnote w:id="48">
    <w:p w14:paraId="686BCC50"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292FB4">
        <w:rPr>
          <w:rFonts w:ascii="Arial" w:hAnsi="Arial" w:cs="Arial"/>
          <w:lang w:val="fr-CH"/>
        </w:rPr>
        <w:t xml:space="preserve"> Manuela Sanlés Sanlés v. Spain, Communication No. 1024/2001, U.N. Doc. </w:t>
      </w:r>
      <w:r w:rsidRPr="00E91EB3">
        <w:rPr>
          <w:rFonts w:ascii="Arial" w:hAnsi="Arial" w:cs="Arial"/>
        </w:rPr>
        <w:t>CCPR/C/80/D/1024/2001 (2004). This is the only individual communication that has come before the Committee on this issue.</w:t>
      </w:r>
    </w:p>
  </w:footnote>
  <w:footnote w:id="49">
    <w:p w14:paraId="0A89F886" w14:textId="77777777" w:rsidR="00E04BA5" w:rsidRPr="00E91EB3" w:rsidRDefault="00E04BA5" w:rsidP="00BE2697">
      <w:pPr>
        <w:jc w:val="both"/>
        <w:rPr>
          <w:rFonts w:ascii="Arial" w:hAnsi="Arial" w:cs="Arial"/>
          <w:sz w:val="20"/>
          <w:szCs w:val="20"/>
        </w:rPr>
      </w:pPr>
      <w:r w:rsidRPr="00E91EB3">
        <w:rPr>
          <w:rStyle w:val="FootnoteReference"/>
          <w:rFonts w:ascii="Arial" w:hAnsi="Arial" w:cs="Arial"/>
          <w:sz w:val="20"/>
          <w:szCs w:val="20"/>
        </w:rPr>
        <w:footnoteRef/>
      </w:r>
      <w:r w:rsidRPr="00E91EB3">
        <w:rPr>
          <w:rFonts w:ascii="Arial" w:hAnsi="Arial" w:cs="Arial"/>
          <w:sz w:val="20"/>
          <w:szCs w:val="20"/>
        </w:rPr>
        <w:t xml:space="preserve"> </w:t>
      </w:r>
      <w:r w:rsidRPr="00E91EB3">
        <w:rPr>
          <w:rFonts w:ascii="Arial" w:hAnsi="Arial" w:cs="Arial"/>
          <w:i/>
          <w:sz w:val="20"/>
          <w:szCs w:val="20"/>
        </w:rPr>
        <w:t>Pretty v. United Kingdom</w:t>
      </w:r>
      <w:r w:rsidRPr="00E91EB3">
        <w:rPr>
          <w:rFonts w:ascii="Arial" w:hAnsi="Arial" w:cs="Arial"/>
          <w:sz w:val="20"/>
          <w:szCs w:val="20"/>
        </w:rPr>
        <w:t xml:space="preserve"> (2002) 35 E.H.R.R. 1.</w:t>
      </w:r>
    </w:p>
  </w:footnote>
  <w:footnote w:id="50">
    <w:p w14:paraId="6A0FEFE3" w14:textId="77777777" w:rsidR="00E04BA5" w:rsidRPr="00E91EB3" w:rsidRDefault="00E04BA5" w:rsidP="00BE2697">
      <w:pPr>
        <w:jc w:val="both"/>
        <w:rPr>
          <w:rFonts w:ascii="Arial" w:hAnsi="Arial" w:cs="Arial"/>
          <w:sz w:val="20"/>
          <w:szCs w:val="20"/>
        </w:rPr>
      </w:pPr>
      <w:r w:rsidRPr="00E91EB3">
        <w:rPr>
          <w:rStyle w:val="FootnoteReference"/>
          <w:rFonts w:ascii="Arial" w:hAnsi="Arial" w:cs="Arial"/>
          <w:sz w:val="20"/>
          <w:szCs w:val="20"/>
        </w:rPr>
        <w:footnoteRef/>
      </w:r>
      <w:r w:rsidRPr="00E91EB3">
        <w:rPr>
          <w:rFonts w:ascii="Arial" w:hAnsi="Arial" w:cs="Arial"/>
          <w:sz w:val="20"/>
          <w:szCs w:val="20"/>
        </w:rPr>
        <w:t xml:space="preserve"> </w:t>
      </w:r>
      <w:r w:rsidRPr="00E91EB3">
        <w:rPr>
          <w:rFonts w:ascii="Arial" w:hAnsi="Arial" w:cs="Arial"/>
          <w:i/>
          <w:sz w:val="20"/>
          <w:szCs w:val="20"/>
        </w:rPr>
        <w:t xml:space="preserve">Id. </w:t>
      </w:r>
      <w:r w:rsidRPr="00E91EB3">
        <w:rPr>
          <w:rFonts w:ascii="Arial" w:hAnsi="Arial" w:cs="Arial"/>
          <w:sz w:val="20"/>
          <w:szCs w:val="20"/>
        </w:rPr>
        <w:t>at § 38.</w:t>
      </w:r>
    </w:p>
  </w:footnote>
  <w:footnote w:id="51">
    <w:p w14:paraId="0072D50D" w14:textId="77777777" w:rsidR="00E04BA5" w:rsidRPr="00E91EB3" w:rsidRDefault="00E04BA5" w:rsidP="00BE2697">
      <w:pPr>
        <w:jc w:val="both"/>
        <w:rPr>
          <w:rFonts w:ascii="Arial" w:hAnsi="Arial" w:cs="Arial"/>
          <w:sz w:val="20"/>
          <w:szCs w:val="20"/>
        </w:rPr>
      </w:pPr>
      <w:r w:rsidRPr="00E91EB3">
        <w:rPr>
          <w:rStyle w:val="FootnoteReference"/>
          <w:rFonts w:ascii="Arial" w:hAnsi="Arial" w:cs="Arial"/>
          <w:sz w:val="20"/>
          <w:szCs w:val="20"/>
        </w:rPr>
        <w:footnoteRef/>
      </w:r>
      <w:r w:rsidRPr="00E91EB3">
        <w:rPr>
          <w:rFonts w:ascii="Arial" w:hAnsi="Arial" w:cs="Arial"/>
          <w:sz w:val="20"/>
          <w:szCs w:val="20"/>
        </w:rPr>
        <w:t xml:space="preserve"> </w:t>
      </w:r>
      <w:r w:rsidRPr="00E91EB3">
        <w:rPr>
          <w:rFonts w:ascii="Arial" w:hAnsi="Arial" w:cs="Arial"/>
          <w:i/>
          <w:sz w:val="20"/>
          <w:szCs w:val="20"/>
        </w:rPr>
        <w:t>Id.</w:t>
      </w:r>
      <w:r w:rsidRPr="00E91EB3">
        <w:rPr>
          <w:rFonts w:ascii="Arial" w:hAnsi="Arial" w:cs="Arial"/>
          <w:sz w:val="20"/>
          <w:szCs w:val="20"/>
        </w:rPr>
        <w:t xml:space="preserve"> at §§ 39-40. Emphasis added.</w:t>
      </w:r>
    </w:p>
  </w:footnote>
  <w:footnote w:id="52">
    <w:p w14:paraId="5063F152" w14:textId="77777777" w:rsidR="00E04BA5" w:rsidRPr="00E91EB3" w:rsidRDefault="00E04BA5" w:rsidP="00BE2697">
      <w:pPr>
        <w:jc w:val="both"/>
        <w:rPr>
          <w:rFonts w:ascii="Arial" w:hAnsi="Arial" w:cs="Arial"/>
          <w:sz w:val="20"/>
          <w:szCs w:val="20"/>
        </w:rPr>
      </w:pPr>
      <w:r w:rsidRPr="00E91EB3">
        <w:rPr>
          <w:rStyle w:val="FootnoteReference"/>
          <w:rFonts w:ascii="Arial" w:hAnsi="Arial" w:cs="Arial"/>
          <w:sz w:val="20"/>
          <w:szCs w:val="20"/>
        </w:rPr>
        <w:footnoteRef/>
      </w:r>
      <w:r w:rsidRPr="00E91EB3">
        <w:rPr>
          <w:rFonts w:ascii="Arial" w:hAnsi="Arial" w:cs="Arial"/>
          <w:sz w:val="20"/>
          <w:szCs w:val="20"/>
        </w:rPr>
        <w:t xml:space="preserve"> </w:t>
      </w:r>
      <w:r w:rsidRPr="00E91EB3">
        <w:rPr>
          <w:rFonts w:ascii="Arial" w:hAnsi="Arial" w:cs="Arial"/>
          <w:i/>
          <w:sz w:val="20"/>
          <w:szCs w:val="20"/>
        </w:rPr>
        <w:t>Id.</w:t>
      </w:r>
      <w:r w:rsidRPr="00E91EB3">
        <w:rPr>
          <w:rFonts w:ascii="Arial" w:hAnsi="Arial" w:cs="Arial"/>
          <w:sz w:val="20"/>
          <w:szCs w:val="20"/>
        </w:rPr>
        <w:t xml:space="preserve"> at §§ 44-45.</w:t>
      </w:r>
    </w:p>
  </w:footnote>
  <w:footnote w:id="53">
    <w:p w14:paraId="252DA6F7" w14:textId="77777777" w:rsidR="00E04BA5" w:rsidRPr="00E91EB3" w:rsidRDefault="00E04BA5" w:rsidP="00BE2697">
      <w:pPr>
        <w:jc w:val="both"/>
        <w:rPr>
          <w:rFonts w:ascii="Arial" w:hAnsi="Arial" w:cs="Arial"/>
          <w:sz w:val="20"/>
          <w:szCs w:val="20"/>
        </w:rPr>
      </w:pPr>
      <w:r w:rsidRPr="00E91EB3">
        <w:rPr>
          <w:rStyle w:val="FootnoteReference"/>
          <w:rFonts w:ascii="Arial" w:hAnsi="Arial" w:cs="Arial"/>
          <w:sz w:val="20"/>
          <w:szCs w:val="20"/>
        </w:rPr>
        <w:footnoteRef/>
      </w:r>
      <w:r w:rsidRPr="00E91EB3">
        <w:rPr>
          <w:rFonts w:ascii="Arial" w:hAnsi="Arial" w:cs="Arial"/>
          <w:sz w:val="20"/>
          <w:szCs w:val="20"/>
        </w:rPr>
        <w:t xml:space="preserve"> For example, </w:t>
      </w:r>
      <w:r w:rsidRPr="00E91EB3">
        <w:rPr>
          <w:rFonts w:ascii="Arial" w:hAnsi="Arial" w:cs="Arial"/>
          <w:i/>
          <w:sz w:val="20"/>
          <w:szCs w:val="20"/>
        </w:rPr>
        <w:t>see Z and Others v. United Kingdom</w:t>
      </w:r>
      <w:r w:rsidRPr="00E91EB3">
        <w:rPr>
          <w:rFonts w:ascii="Arial" w:hAnsi="Arial" w:cs="Arial"/>
          <w:sz w:val="20"/>
          <w:szCs w:val="20"/>
        </w:rPr>
        <w:t xml:space="preserve"> (2001) 34 E.H.R.R. 3.</w:t>
      </w:r>
    </w:p>
  </w:footnote>
  <w:footnote w:id="54">
    <w:p w14:paraId="636B1E4E" w14:textId="77777777" w:rsidR="00E04BA5" w:rsidRPr="00E91EB3" w:rsidRDefault="00E04BA5" w:rsidP="00BE2697">
      <w:pPr>
        <w:jc w:val="both"/>
        <w:rPr>
          <w:rFonts w:ascii="Arial" w:hAnsi="Arial" w:cs="Arial"/>
          <w:sz w:val="20"/>
          <w:szCs w:val="20"/>
        </w:rPr>
      </w:pPr>
      <w:r w:rsidRPr="00E91EB3">
        <w:rPr>
          <w:rStyle w:val="FootnoteReference"/>
          <w:rFonts w:ascii="Arial" w:hAnsi="Arial" w:cs="Arial"/>
          <w:sz w:val="20"/>
          <w:szCs w:val="20"/>
        </w:rPr>
        <w:footnoteRef/>
      </w:r>
      <w:r w:rsidRPr="00E91EB3">
        <w:rPr>
          <w:rFonts w:ascii="Arial" w:hAnsi="Arial" w:cs="Arial"/>
          <w:sz w:val="20"/>
          <w:szCs w:val="20"/>
        </w:rPr>
        <w:t xml:space="preserve"> </w:t>
      </w:r>
      <w:r w:rsidRPr="00E91EB3">
        <w:rPr>
          <w:rFonts w:ascii="Arial" w:hAnsi="Arial" w:cs="Arial"/>
          <w:i/>
          <w:sz w:val="20"/>
          <w:szCs w:val="20"/>
        </w:rPr>
        <w:t>Pretty</w:t>
      </w:r>
      <w:r w:rsidRPr="00E91EB3">
        <w:rPr>
          <w:rFonts w:ascii="Arial" w:hAnsi="Arial" w:cs="Arial"/>
          <w:sz w:val="20"/>
          <w:szCs w:val="20"/>
        </w:rPr>
        <w:t xml:space="preserve"> at § 54.</w:t>
      </w:r>
    </w:p>
  </w:footnote>
  <w:footnote w:id="55">
    <w:p w14:paraId="1F76889B" w14:textId="77777777" w:rsidR="00E04BA5" w:rsidRPr="00E91EB3" w:rsidRDefault="00E04BA5" w:rsidP="00BE2697">
      <w:pPr>
        <w:jc w:val="both"/>
        <w:rPr>
          <w:rFonts w:ascii="Arial" w:hAnsi="Arial" w:cs="Arial"/>
          <w:sz w:val="20"/>
          <w:szCs w:val="20"/>
        </w:rPr>
      </w:pPr>
      <w:r w:rsidRPr="00E91EB3">
        <w:rPr>
          <w:rStyle w:val="FootnoteReference"/>
          <w:rFonts w:ascii="Arial" w:hAnsi="Arial" w:cs="Arial"/>
          <w:sz w:val="20"/>
          <w:szCs w:val="20"/>
        </w:rPr>
        <w:footnoteRef/>
      </w:r>
      <w:r w:rsidRPr="00E91EB3">
        <w:rPr>
          <w:rFonts w:ascii="Arial" w:hAnsi="Arial" w:cs="Arial"/>
          <w:sz w:val="20"/>
          <w:szCs w:val="20"/>
        </w:rPr>
        <w:t xml:space="preserve"> </w:t>
      </w:r>
      <w:r w:rsidRPr="00E91EB3">
        <w:rPr>
          <w:rFonts w:ascii="Arial" w:hAnsi="Arial" w:cs="Arial"/>
          <w:i/>
          <w:sz w:val="20"/>
          <w:szCs w:val="20"/>
        </w:rPr>
        <w:t>Id.</w:t>
      </w:r>
      <w:r w:rsidRPr="00E91EB3">
        <w:rPr>
          <w:rFonts w:ascii="Arial" w:hAnsi="Arial" w:cs="Arial"/>
          <w:sz w:val="20"/>
          <w:szCs w:val="20"/>
        </w:rPr>
        <w:t xml:space="preserve"> at §§ 55-56. Emphasis added.</w:t>
      </w:r>
    </w:p>
  </w:footnote>
  <w:footnote w:id="56">
    <w:p w14:paraId="216355DD" w14:textId="77777777" w:rsidR="00E04BA5" w:rsidRPr="00E91EB3" w:rsidRDefault="00E04BA5" w:rsidP="00BE2697">
      <w:pPr>
        <w:jc w:val="both"/>
        <w:rPr>
          <w:rFonts w:ascii="Arial" w:hAnsi="Arial" w:cs="Arial"/>
          <w:sz w:val="20"/>
          <w:szCs w:val="20"/>
        </w:rPr>
      </w:pPr>
      <w:r w:rsidRPr="00E91EB3">
        <w:rPr>
          <w:rStyle w:val="FootnoteReference"/>
          <w:rFonts w:ascii="Arial" w:hAnsi="Arial" w:cs="Arial"/>
          <w:sz w:val="20"/>
          <w:szCs w:val="20"/>
        </w:rPr>
        <w:footnoteRef/>
      </w:r>
      <w:r w:rsidRPr="00E91EB3">
        <w:rPr>
          <w:rFonts w:ascii="Arial" w:hAnsi="Arial" w:cs="Arial"/>
          <w:sz w:val="20"/>
          <w:szCs w:val="20"/>
        </w:rPr>
        <w:t xml:space="preserve"> For example, </w:t>
      </w:r>
      <w:r w:rsidRPr="00E91EB3">
        <w:rPr>
          <w:rFonts w:ascii="Arial" w:hAnsi="Arial" w:cs="Arial"/>
          <w:i/>
          <w:sz w:val="20"/>
          <w:szCs w:val="20"/>
        </w:rPr>
        <w:t>see</w:t>
      </w:r>
      <w:r w:rsidRPr="00E91EB3">
        <w:rPr>
          <w:rFonts w:ascii="Arial" w:hAnsi="Arial" w:cs="Arial"/>
          <w:sz w:val="20"/>
          <w:szCs w:val="20"/>
        </w:rPr>
        <w:t xml:space="preserve"> </w:t>
      </w:r>
      <w:r w:rsidRPr="00E91EB3">
        <w:rPr>
          <w:rFonts w:ascii="Arial" w:hAnsi="Arial" w:cs="Arial"/>
          <w:i/>
          <w:sz w:val="20"/>
          <w:szCs w:val="20"/>
        </w:rPr>
        <w:t>Keenan v. United Kingdom</w:t>
      </w:r>
      <w:r w:rsidRPr="00E91EB3">
        <w:rPr>
          <w:rFonts w:ascii="Arial" w:hAnsi="Arial" w:cs="Arial"/>
          <w:sz w:val="20"/>
          <w:szCs w:val="20"/>
        </w:rPr>
        <w:t xml:space="preserve"> (2001) 33 E.H.R.R. 38.</w:t>
      </w:r>
    </w:p>
  </w:footnote>
  <w:footnote w:id="57">
    <w:p w14:paraId="7AE1B18F" w14:textId="77777777" w:rsidR="00E04BA5" w:rsidRPr="00E91EB3" w:rsidRDefault="00E04BA5" w:rsidP="00BE2697">
      <w:pPr>
        <w:jc w:val="both"/>
        <w:rPr>
          <w:rFonts w:ascii="Arial" w:hAnsi="Arial" w:cs="Arial"/>
          <w:sz w:val="20"/>
          <w:szCs w:val="20"/>
        </w:rPr>
      </w:pPr>
      <w:r w:rsidRPr="00E91EB3">
        <w:rPr>
          <w:rStyle w:val="FootnoteReference"/>
          <w:rFonts w:ascii="Arial" w:hAnsi="Arial" w:cs="Arial"/>
          <w:sz w:val="20"/>
          <w:szCs w:val="20"/>
        </w:rPr>
        <w:footnoteRef/>
      </w:r>
      <w:r w:rsidRPr="00E91EB3">
        <w:rPr>
          <w:rFonts w:ascii="Arial" w:hAnsi="Arial" w:cs="Arial"/>
          <w:sz w:val="20"/>
          <w:szCs w:val="20"/>
        </w:rPr>
        <w:t xml:space="preserve"> Paragraph 9(c). Assembly debate on 25</w:t>
      </w:r>
      <w:r w:rsidRPr="00E91EB3">
        <w:rPr>
          <w:rFonts w:ascii="Arial" w:hAnsi="Arial" w:cs="Arial"/>
          <w:sz w:val="20"/>
          <w:szCs w:val="20"/>
          <w:vertAlign w:val="superscript"/>
        </w:rPr>
        <w:t>th</w:t>
      </w:r>
      <w:r w:rsidRPr="00E91EB3">
        <w:rPr>
          <w:rFonts w:ascii="Arial" w:hAnsi="Arial" w:cs="Arial"/>
          <w:sz w:val="20"/>
          <w:szCs w:val="20"/>
        </w:rPr>
        <w:t xml:space="preserve"> June 1999. Text adopted by the Assembly on 25</w:t>
      </w:r>
      <w:r w:rsidRPr="00E91EB3">
        <w:rPr>
          <w:rFonts w:ascii="Arial" w:hAnsi="Arial" w:cs="Arial"/>
          <w:sz w:val="20"/>
          <w:szCs w:val="20"/>
          <w:vertAlign w:val="superscript"/>
        </w:rPr>
        <w:t>th</w:t>
      </w:r>
      <w:r w:rsidRPr="00E91EB3">
        <w:rPr>
          <w:rFonts w:ascii="Arial" w:hAnsi="Arial" w:cs="Arial"/>
          <w:sz w:val="20"/>
          <w:szCs w:val="20"/>
        </w:rPr>
        <w:t xml:space="preserve"> June 1999 (24</w:t>
      </w:r>
      <w:r w:rsidRPr="00E91EB3">
        <w:rPr>
          <w:rFonts w:ascii="Arial" w:hAnsi="Arial" w:cs="Arial"/>
          <w:sz w:val="20"/>
          <w:szCs w:val="20"/>
          <w:vertAlign w:val="superscript"/>
        </w:rPr>
        <w:t>th</w:t>
      </w:r>
      <w:r w:rsidRPr="00E91EB3">
        <w:rPr>
          <w:rFonts w:ascii="Arial" w:hAnsi="Arial" w:cs="Arial"/>
          <w:sz w:val="20"/>
          <w:szCs w:val="20"/>
        </w:rPr>
        <w:t xml:space="preserve"> Sitting). Emphasis added.</w:t>
      </w:r>
    </w:p>
  </w:footnote>
  <w:footnote w:id="58">
    <w:p w14:paraId="3F65B695" w14:textId="77777777" w:rsidR="00E04BA5" w:rsidRPr="00E91EB3" w:rsidRDefault="00E04BA5" w:rsidP="00BE2697">
      <w:pPr>
        <w:jc w:val="both"/>
        <w:rPr>
          <w:rFonts w:ascii="Arial" w:hAnsi="Arial" w:cs="Arial"/>
          <w:sz w:val="20"/>
          <w:szCs w:val="20"/>
        </w:rPr>
      </w:pPr>
      <w:r w:rsidRPr="00E91EB3">
        <w:rPr>
          <w:rStyle w:val="FootnoteReference"/>
          <w:rFonts w:ascii="Arial" w:hAnsi="Arial" w:cs="Arial"/>
          <w:sz w:val="20"/>
          <w:szCs w:val="20"/>
        </w:rPr>
        <w:footnoteRef/>
      </w:r>
      <w:r w:rsidRPr="00E91EB3">
        <w:rPr>
          <w:rFonts w:ascii="Arial" w:hAnsi="Arial" w:cs="Arial"/>
          <w:sz w:val="20"/>
          <w:szCs w:val="20"/>
        </w:rPr>
        <w:t xml:space="preserve"> Paragraph 5. Text adopted by the Assembly on 25</w:t>
      </w:r>
      <w:r w:rsidRPr="00E91EB3">
        <w:rPr>
          <w:rFonts w:ascii="Arial" w:hAnsi="Arial" w:cs="Arial"/>
          <w:sz w:val="20"/>
          <w:szCs w:val="20"/>
          <w:vertAlign w:val="superscript"/>
        </w:rPr>
        <w:t>th</w:t>
      </w:r>
      <w:r w:rsidRPr="00E91EB3">
        <w:rPr>
          <w:rFonts w:ascii="Arial" w:hAnsi="Arial" w:cs="Arial"/>
          <w:sz w:val="20"/>
          <w:szCs w:val="20"/>
        </w:rPr>
        <w:t xml:space="preserve"> January 2012 (6</w:t>
      </w:r>
      <w:r w:rsidRPr="00E91EB3">
        <w:rPr>
          <w:rFonts w:ascii="Arial" w:hAnsi="Arial" w:cs="Arial"/>
          <w:sz w:val="20"/>
          <w:szCs w:val="20"/>
          <w:vertAlign w:val="superscript"/>
        </w:rPr>
        <w:t>th</w:t>
      </w:r>
      <w:r w:rsidRPr="00E91EB3">
        <w:rPr>
          <w:rFonts w:ascii="Arial" w:hAnsi="Arial" w:cs="Arial"/>
          <w:sz w:val="20"/>
          <w:szCs w:val="20"/>
        </w:rPr>
        <w:t xml:space="preserve"> Sitting). </w:t>
      </w:r>
    </w:p>
  </w:footnote>
  <w:footnote w:id="59">
    <w:p w14:paraId="3C1A40E1"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WMA Declaration on Euthanasia, adopted by the 38</w:t>
      </w:r>
      <w:r w:rsidRPr="00117F39">
        <w:rPr>
          <w:rFonts w:ascii="Arial" w:hAnsi="Arial" w:cs="Arial"/>
          <w:vertAlign w:val="superscript"/>
        </w:rPr>
        <w:t>th</w:t>
      </w:r>
      <w:r w:rsidRPr="00E91EB3">
        <w:rPr>
          <w:rFonts w:ascii="Arial" w:hAnsi="Arial" w:cs="Arial"/>
        </w:rPr>
        <w:t xml:space="preserve"> World Medical Assembly, Madrid, Spain, October 1987 and reaffirmed by the 170th WMA Council Session, Divonne-les-Bains, France, May 2005.</w:t>
      </w:r>
    </w:p>
  </w:footnote>
  <w:footnote w:id="60">
    <w:p w14:paraId="5637CDE8"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WMA Statement on Physician-Assisted Suicide, adopted by the 44</w:t>
      </w:r>
      <w:r w:rsidRPr="00117F39">
        <w:rPr>
          <w:rFonts w:ascii="Arial" w:hAnsi="Arial" w:cs="Arial"/>
          <w:vertAlign w:val="superscript"/>
        </w:rPr>
        <w:t>th</w:t>
      </w:r>
      <w:r w:rsidRPr="00E91EB3">
        <w:rPr>
          <w:rFonts w:ascii="Arial" w:hAnsi="Arial" w:cs="Arial"/>
        </w:rPr>
        <w:t xml:space="preserve"> World Medical Assembly, Marbella, Spain, September 1992 and editorially revised by the 170</w:t>
      </w:r>
      <w:r w:rsidRPr="00117F39">
        <w:rPr>
          <w:rFonts w:ascii="Arial" w:hAnsi="Arial" w:cs="Arial"/>
          <w:vertAlign w:val="superscript"/>
        </w:rPr>
        <w:t>th</w:t>
      </w:r>
      <w:r w:rsidRPr="00E91EB3">
        <w:rPr>
          <w:rFonts w:ascii="Arial" w:hAnsi="Arial" w:cs="Arial"/>
        </w:rPr>
        <w:t xml:space="preserve"> WMA Council Session, Divonne-les-Bains, France, May 2005.</w:t>
      </w:r>
    </w:p>
  </w:footnote>
  <w:footnote w:id="61">
    <w:p w14:paraId="35E312C6"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w:t>
      </w:r>
      <w:r w:rsidRPr="00E91EB3">
        <w:rPr>
          <w:rFonts w:ascii="Arial" w:hAnsi="Arial" w:cs="Arial"/>
          <w:i/>
        </w:rPr>
        <w:t>See</w:t>
      </w:r>
      <w:r w:rsidRPr="00E91EB3">
        <w:rPr>
          <w:rFonts w:ascii="Arial" w:hAnsi="Arial" w:cs="Arial"/>
        </w:rPr>
        <w:t xml:space="preserve"> WMA Resolution on Euthanasia, available at http://www.wma.net/en/30publications/10policies/</w:t>
      </w:r>
    </w:p>
    <w:p w14:paraId="6354196F" w14:textId="77777777" w:rsidR="00E04BA5" w:rsidRPr="00E91EB3" w:rsidRDefault="00E04BA5" w:rsidP="00BE2697">
      <w:pPr>
        <w:pStyle w:val="FootnoteText"/>
        <w:jc w:val="both"/>
        <w:rPr>
          <w:rFonts w:ascii="Arial" w:hAnsi="Arial" w:cs="Arial"/>
        </w:rPr>
      </w:pPr>
      <w:r w:rsidRPr="00E91EB3">
        <w:rPr>
          <w:rFonts w:ascii="Arial" w:hAnsi="Arial" w:cs="Arial"/>
        </w:rPr>
        <w:t>e13b/.</w:t>
      </w:r>
    </w:p>
  </w:footnote>
  <w:footnote w:id="62">
    <w:p w14:paraId="2C60998F" w14:textId="77777777" w:rsidR="00E04BA5" w:rsidRPr="00E91EB3" w:rsidRDefault="00E04BA5" w:rsidP="00BE2697">
      <w:pPr>
        <w:pStyle w:val="FootnoteText"/>
        <w:jc w:val="both"/>
        <w:rPr>
          <w:rFonts w:ascii="Arial" w:hAnsi="Arial" w:cs="Arial"/>
        </w:rPr>
      </w:pPr>
      <w:r w:rsidRPr="00E91EB3">
        <w:rPr>
          <w:rStyle w:val="FootnoteReference"/>
          <w:rFonts w:ascii="Arial" w:hAnsi="Arial" w:cs="Arial"/>
        </w:rPr>
        <w:footnoteRef/>
      </w:r>
      <w:r w:rsidRPr="00E91EB3">
        <w:rPr>
          <w:rFonts w:ascii="Arial" w:hAnsi="Arial" w:cs="Arial"/>
        </w:rPr>
        <w:t xml:space="preserve"> </w:t>
      </w:r>
      <w:r w:rsidRPr="00E91EB3">
        <w:rPr>
          <w:rFonts w:ascii="Arial" w:hAnsi="Arial" w:cs="Arial"/>
          <w:i/>
        </w:rPr>
        <w:t>Pretty</w:t>
      </w:r>
      <w:r w:rsidRPr="00E91EB3">
        <w:rPr>
          <w:rFonts w:ascii="Arial" w:hAnsi="Arial" w:cs="Arial"/>
        </w:rPr>
        <w:t xml:space="preserve"> at § 39. Quoted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02FFF" w14:textId="77777777" w:rsidR="007D7754" w:rsidRDefault="007D7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18E9B" w14:textId="77777777" w:rsidR="007D7754" w:rsidRDefault="007D7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57E8D" w14:textId="77777777" w:rsidR="007D7754" w:rsidRDefault="007D77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8FA4" w14:textId="77777777" w:rsidR="00E04BA5" w:rsidRDefault="00E04BA5" w:rsidP="008D2BA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82F3" w14:textId="77777777" w:rsidR="00E04BA5" w:rsidRPr="008D2BAE" w:rsidRDefault="00E04BA5" w:rsidP="008D2BAE">
    <w:pPr>
      <w:pStyle w:val="Header"/>
      <w:ind w:left="792" w:hanging="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0BAFC36"/>
    <w:lvl w:ilvl="0">
      <w:start w:val="1"/>
      <w:numFmt w:val="decimal"/>
      <w:pStyle w:val="LawNormal"/>
      <w:isLgl/>
      <w:lvlText w:val="%1."/>
      <w:lvlJc w:val="left"/>
      <w:pPr>
        <w:tabs>
          <w:tab w:val="num" w:pos="360"/>
        </w:tabs>
        <w:ind w:left="360" w:firstLine="0"/>
      </w:pPr>
      <w:rPr>
        <w:rFonts w:hint="default"/>
        <w:position w:val="0"/>
      </w:rPr>
    </w:lvl>
    <w:lvl w:ilvl="1">
      <w:start w:val="1"/>
      <w:numFmt w:val="decimal"/>
      <w:isLgl/>
      <w:lvlText w:val="%1.%2."/>
      <w:lvlJc w:val="left"/>
      <w:pPr>
        <w:tabs>
          <w:tab w:val="num" w:pos="648"/>
        </w:tabs>
        <w:ind w:left="648" w:firstLine="360"/>
      </w:pPr>
      <w:rPr>
        <w:rFonts w:hint="default"/>
        <w:position w:val="0"/>
      </w:rPr>
    </w:lvl>
    <w:lvl w:ilvl="2">
      <w:start w:val="1"/>
      <w:numFmt w:val="decimal"/>
      <w:isLgl/>
      <w:lvlText w:val="%1.%2.%3."/>
      <w:lvlJc w:val="left"/>
      <w:pPr>
        <w:tabs>
          <w:tab w:val="num" w:pos="864"/>
        </w:tabs>
        <w:ind w:left="864" w:firstLine="720"/>
      </w:pPr>
      <w:rPr>
        <w:rFonts w:hint="default"/>
        <w:position w:val="0"/>
      </w:rPr>
    </w:lvl>
    <w:lvl w:ilvl="3">
      <w:start w:val="1"/>
      <w:numFmt w:val="decimal"/>
      <w:isLgl/>
      <w:lvlText w:val="%1.%2.%3.%4."/>
      <w:lvlJc w:val="left"/>
      <w:pPr>
        <w:tabs>
          <w:tab w:val="num" w:pos="1051"/>
        </w:tabs>
        <w:ind w:left="1051" w:firstLine="1080"/>
      </w:pPr>
      <w:rPr>
        <w:rFonts w:hint="default"/>
        <w:position w:val="0"/>
      </w:rPr>
    </w:lvl>
    <w:lvl w:ilvl="4">
      <w:start w:val="1"/>
      <w:numFmt w:val="decimal"/>
      <w:isLgl/>
      <w:lvlText w:val="%1.%2.%3.%4.%5."/>
      <w:lvlJc w:val="left"/>
      <w:pPr>
        <w:tabs>
          <w:tab w:val="num" w:pos="1253"/>
        </w:tabs>
        <w:ind w:left="1253" w:firstLine="1440"/>
      </w:pPr>
      <w:rPr>
        <w:rFonts w:hint="default"/>
        <w:position w:val="0"/>
      </w:rPr>
    </w:lvl>
    <w:lvl w:ilvl="5">
      <w:start w:val="1"/>
      <w:numFmt w:val="decimal"/>
      <w:isLgl/>
      <w:lvlText w:val="%1.%2.%3.%4.%5.%6."/>
      <w:lvlJc w:val="left"/>
      <w:pPr>
        <w:tabs>
          <w:tab w:val="num" w:pos="1440"/>
        </w:tabs>
        <w:ind w:left="1440" w:firstLine="1800"/>
      </w:pPr>
      <w:rPr>
        <w:rFonts w:hint="default"/>
        <w:position w:val="0"/>
      </w:rPr>
    </w:lvl>
    <w:lvl w:ilvl="6">
      <w:start w:val="1"/>
      <w:numFmt w:val="decimal"/>
      <w:isLgl/>
      <w:lvlText w:val="%1.%2.%3.%4.%5.%6.%7."/>
      <w:lvlJc w:val="left"/>
      <w:pPr>
        <w:tabs>
          <w:tab w:val="num" w:pos="1656"/>
        </w:tabs>
        <w:ind w:left="1656" w:firstLine="2160"/>
      </w:pPr>
      <w:rPr>
        <w:rFonts w:hint="default"/>
        <w:position w:val="0"/>
      </w:rPr>
    </w:lvl>
    <w:lvl w:ilvl="7">
      <w:start w:val="1"/>
      <w:numFmt w:val="decimal"/>
      <w:isLgl/>
      <w:lvlText w:val="%1.%2.%3.%4.%5.%6.%7.%8."/>
      <w:lvlJc w:val="left"/>
      <w:pPr>
        <w:tabs>
          <w:tab w:val="num" w:pos="1843"/>
        </w:tabs>
        <w:ind w:left="1843" w:firstLine="2520"/>
      </w:pPr>
      <w:rPr>
        <w:rFonts w:hint="default"/>
        <w:position w:val="0"/>
      </w:rPr>
    </w:lvl>
    <w:lvl w:ilvl="8">
      <w:start w:val="1"/>
      <w:numFmt w:val="decimal"/>
      <w:isLgl/>
      <w:lvlText w:val="%1.%2.%3.%4.%5.%6.%7.%8.%9."/>
      <w:lvlJc w:val="left"/>
      <w:pPr>
        <w:tabs>
          <w:tab w:val="num" w:pos="2059"/>
        </w:tabs>
        <w:ind w:left="2059" w:firstLine="2880"/>
      </w:pPr>
      <w:rPr>
        <w:rFonts w:hint="default"/>
        <w:position w:val="0"/>
      </w:rPr>
    </w:lvl>
  </w:abstractNum>
  <w:abstractNum w:abstractNumId="1" w15:restartNumberingAfterBreak="0">
    <w:nsid w:val="07E767CB"/>
    <w:multiLevelType w:val="hybridMultilevel"/>
    <w:tmpl w:val="408EF942"/>
    <w:lvl w:ilvl="0" w:tplc="9D3228C2">
      <w:start w:val="1"/>
      <w:numFmt w:val="lowerRoman"/>
      <w:lvlText w:val="%1."/>
      <w:lvlJc w:val="left"/>
      <w:pPr>
        <w:ind w:left="2160" w:hanging="720"/>
      </w:pPr>
      <w:rPr>
        <w:rFonts w:hint="default"/>
      </w:rPr>
    </w:lvl>
    <w:lvl w:ilvl="1" w:tplc="E9D8959E" w:tentative="1">
      <w:start w:val="1"/>
      <w:numFmt w:val="lowerLetter"/>
      <w:lvlText w:val="%2."/>
      <w:lvlJc w:val="left"/>
      <w:pPr>
        <w:ind w:left="2520" w:hanging="360"/>
      </w:pPr>
    </w:lvl>
    <w:lvl w:ilvl="2" w:tplc="4B546908" w:tentative="1">
      <w:start w:val="1"/>
      <w:numFmt w:val="lowerRoman"/>
      <w:lvlText w:val="%3."/>
      <w:lvlJc w:val="right"/>
      <w:pPr>
        <w:ind w:left="3240" w:hanging="180"/>
      </w:pPr>
    </w:lvl>
    <w:lvl w:ilvl="3" w:tplc="BEF09F8A" w:tentative="1">
      <w:start w:val="1"/>
      <w:numFmt w:val="decimal"/>
      <w:lvlText w:val="%4."/>
      <w:lvlJc w:val="left"/>
      <w:pPr>
        <w:ind w:left="3960" w:hanging="360"/>
      </w:pPr>
    </w:lvl>
    <w:lvl w:ilvl="4" w:tplc="F5660D30" w:tentative="1">
      <w:start w:val="1"/>
      <w:numFmt w:val="lowerLetter"/>
      <w:lvlText w:val="%5."/>
      <w:lvlJc w:val="left"/>
      <w:pPr>
        <w:ind w:left="4680" w:hanging="360"/>
      </w:pPr>
    </w:lvl>
    <w:lvl w:ilvl="5" w:tplc="3BF0BF2A" w:tentative="1">
      <w:start w:val="1"/>
      <w:numFmt w:val="lowerRoman"/>
      <w:lvlText w:val="%6."/>
      <w:lvlJc w:val="right"/>
      <w:pPr>
        <w:ind w:left="5400" w:hanging="180"/>
      </w:pPr>
    </w:lvl>
    <w:lvl w:ilvl="6" w:tplc="1EDEB37C" w:tentative="1">
      <w:start w:val="1"/>
      <w:numFmt w:val="decimal"/>
      <w:lvlText w:val="%7."/>
      <w:lvlJc w:val="left"/>
      <w:pPr>
        <w:ind w:left="6120" w:hanging="360"/>
      </w:pPr>
    </w:lvl>
    <w:lvl w:ilvl="7" w:tplc="46F6D386" w:tentative="1">
      <w:start w:val="1"/>
      <w:numFmt w:val="lowerLetter"/>
      <w:lvlText w:val="%8."/>
      <w:lvlJc w:val="left"/>
      <w:pPr>
        <w:ind w:left="6840" w:hanging="360"/>
      </w:pPr>
    </w:lvl>
    <w:lvl w:ilvl="8" w:tplc="4CB05D4E" w:tentative="1">
      <w:start w:val="1"/>
      <w:numFmt w:val="lowerRoman"/>
      <w:lvlText w:val="%9."/>
      <w:lvlJc w:val="right"/>
      <w:pPr>
        <w:ind w:left="7560" w:hanging="180"/>
      </w:pPr>
    </w:lvl>
  </w:abstractNum>
  <w:abstractNum w:abstractNumId="2" w15:restartNumberingAfterBreak="0">
    <w:nsid w:val="0E3F3CF4"/>
    <w:multiLevelType w:val="singleLevel"/>
    <w:tmpl w:val="04090015"/>
    <w:lvl w:ilvl="0">
      <w:start w:val="1"/>
      <w:numFmt w:val="upperLetter"/>
      <w:pStyle w:val="ListParagraph"/>
      <w:lvlText w:val="%1."/>
      <w:lvlJc w:val="left"/>
      <w:pPr>
        <w:ind w:left="1512" w:hanging="360"/>
      </w:pPr>
      <w:rPr>
        <w:rFonts w:hint="default"/>
        <w:sz w:val="22"/>
      </w:rPr>
    </w:lvl>
  </w:abstractNum>
  <w:abstractNum w:abstractNumId="3" w15:restartNumberingAfterBreak="0">
    <w:nsid w:val="0E5D4489"/>
    <w:multiLevelType w:val="hybridMultilevel"/>
    <w:tmpl w:val="4BD826AA"/>
    <w:lvl w:ilvl="0" w:tplc="BD74BD98">
      <w:start w:val="1"/>
      <w:numFmt w:val="upperLetter"/>
      <w:lvlText w:val="%1."/>
      <w:lvlJc w:val="left"/>
      <w:pPr>
        <w:ind w:left="720" w:hanging="360"/>
      </w:pPr>
      <w:rPr>
        <w:rFonts w:ascii="Arial" w:hAnsi="Arial" w:cs="Arial" w:hint="default"/>
        <w:b/>
      </w:rPr>
    </w:lvl>
    <w:lvl w:ilvl="1" w:tplc="6F8E23E6">
      <w:start w:val="1"/>
      <w:numFmt w:val="lowerRoman"/>
      <w:lvlText w:val="%2."/>
      <w:lvlJc w:val="right"/>
      <w:pPr>
        <w:ind w:left="1440" w:hanging="360"/>
      </w:pPr>
    </w:lvl>
    <w:lvl w:ilvl="2" w:tplc="8A125324" w:tentative="1">
      <w:start w:val="1"/>
      <w:numFmt w:val="lowerRoman"/>
      <w:lvlText w:val="%3."/>
      <w:lvlJc w:val="right"/>
      <w:pPr>
        <w:ind w:left="2160" w:hanging="180"/>
      </w:pPr>
    </w:lvl>
    <w:lvl w:ilvl="3" w:tplc="ED8A8F0E" w:tentative="1">
      <w:start w:val="1"/>
      <w:numFmt w:val="decimal"/>
      <w:lvlText w:val="%4."/>
      <w:lvlJc w:val="left"/>
      <w:pPr>
        <w:ind w:left="2880" w:hanging="360"/>
      </w:pPr>
    </w:lvl>
    <w:lvl w:ilvl="4" w:tplc="9CFAAEB2" w:tentative="1">
      <w:start w:val="1"/>
      <w:numFmt w:val="lowerLetter"/>
      <w:lvlText w:val="%5."/>
      <w:lvlJc w:val="left"/>
      <w:pPr>
        <w:ind w:left="3600" w:hanging="360"/>
      </w:pPr>
    </w:lvl>
    <w:lvl w:ilvl="5" w:tplc="96B41CE6" w:tentative="1">
      <w:start w:val="1"/>
      <w:numFmt w:val="lowerRoman"/>
      <w:lvlText w:val="%6."/>
      <w:lvlJc w:val="right"/>
      <w:pPr>
        <w:ind w:left="4320" w:hanging="180"/>
      </w:pPr>
    </w:lvl>
    <w:lvl w:ilvl="6" w:tplc="04CAF52E" w:tentative="1">
      <w:start w:val="1"/>
      <w:numFmt w:val="decimal"/>
      <w:lvlText w:val="%7."/>
      <w:lvlJc w:val="left"/>
      <w:pPr>
        <w:ind w:left="5040" w:hanging="360"/>
      </w:pPr>
    </w:lvl>
    <w:lvl w:ilvl="7" w:tplc="9000B5EE" w:tentative="1">
      <w:start w:val="1"/>
      <w:numFmt w:val="lowerLetter"/>
      <w:lvlText w:val="%8."/>
      <w:lvlJc w:val="left"/>
      <w:pPr>
        <w:ind w:left="5760" w:hanging="360"/>
      </w:pPr>
    </w:lvl>
    <w:lvl w:ilvl="8" w:tplc="1E2E286A" w:tentative="1">
      <w:start w:val="1"/>
      <w:numFmt w:val="lowerRoman"/>
      <w:lvlText w:val="%9."/>
      <w:lvlJc w:val="right"/>
      <w:pPr>
        <w:ind w:left="6480" w:hanging="180"/>
      </w:pPr>
    </w:lvl>
  </w:abstractNum>
  <w:abstractNum w:abstractNumId="4" w15:restartNumberingAfterBreak="0">
    <w:nsid w:val="26500CA7"/>
    <w:multiLevelType w:val="multilevel"/>
    <w:tmpl w:val="07F23A0A"/>
    <w:styleLink w:val="ArialADFList"/>
    <w:lvl w:ilvl="0">
      <w:start w:val="1"/>
      <w:numFmt w:val="lowerLetter"/>
      <w:lvlText w:val="(%1)"/>
      <w:lvlJc w:val="left"/>
      <w:pPr>
        <w:tabs>
          <w:tab w:val="num" w:pos="1800"/>
        </w:tabs>
        <w:ind w:left="1800" w:hanging="648"/>
      </w:pPr>
      <w:rPr>
        <w:rFonts w:ascii="Arial" w:hAnsi="Arial" w:hint="default"/>
        <w:sz w:val="22"/>
      </w:rPr>
    </w:lvl>
    <w:lvl w:ilvl="1">
      <w:start w:val="1"/>
      <w:numFmt w:val="lowerRoman"/>
      <w:lvlText w:val="(%2)"/>
      <w:lvlJc w:val="left"/>
      <w:pPr>
        <w:tabs>
          <w:tab w:val="num" w:pos="2592"/>
        </w:tabs>
        <w:ind w:left="2592" w:hanging="432"/>
      </w:pPr>
      <w:rPr>
        <w:rFonts w:ascii="Arial" w:hAnsi="Arial" w:hint="default"/>
        <w:sz w:val="22"/>
      </w:rPr>
    </w:lvl>
    <w:lvl w:ilvl="2">
      <w:start w:val="1"/>
      <w:numFmt w:val="lowerRoman"/>
      <w:lvlText w:val="%3."/>
      <w:lvlJc w:val="right"/>
      <w:pPr>
        <w:ind w:left="8856" w:hanging="180"/>
      </w:pPr>
      <w:rPr>
        <w:rFonts w:hint="default"/>
      </w:rPr>
    </w:lvl>
    <w:lvl w:ilvl="3">
      <w:start w:val="1"/>
      <w:numFmt w:val="decimal"/>
      <w:lvlText w:val="%4."/>
      <w:lvlJc w:val="left"/>
      <w:pPr>
        <w:ind w:left="9576" w:hanging="360"/>
      </w:pPr>
      <w:rPr>
        <w:rFonts w:hint="default"/>
      </w:rPr>
    </w:lvl>
    <w:lvl w:ilvl="4">
      <w:start w:val="1"/>
      <w:numFmt w:val="lowerLetter"/>
      <w:lvlText w:val="%5."/>
      <w:lvlJc w:val="left"/>
      <w:pPr>
        <w:ind w:left="10296" w:hanging="360"/>
      </w:pPr>
      <w:rPr>
        <w:rFonts w:hint="default"/>
      </w:rPr>
    </w:lvl>
    <w:lvl w:ilvl="5">
      <w:start w:val="1"/>
      <w:numFmt w:val="lowerRoman"/>
      <w:lvlText w:val="%6."/>
      <w:lvlJc w:val="right"/>
      <w:pPr>
        <w:ind w:left="11016" w:hanging="180"/>
      </w:pPr>
      <w:rPr>
        <w:rFonts w:hint="default"/>
      </w:rPr>
    </w:lvl>
    <w:lvl w:ilvl="6">
      <w:start w:val="1"/>
      <w:numFmt w:val="decimal"/>
      <w:lvlText w:val="%7."/>
      <w:lvlJc w:val="left"/>
      <w:pPr>
        <w:ind w:left="11736" w:hanging="360"/>
      </w:pPr>
      <w:rPr>
        <w:rFonts w:hint="default"/>
      </w:rPr>
    </w:lvl>
    <w:lvl w:ilvl="7">
      <w:start w:val="1"/>
      <w:numFmt w:val="lowerLetter"/>
      <w:lvlText w:val="%8."/>
      <w:lvlJc w:val="left"/>
      <w:pPr>
        <w:ind w:left="12456" w:hanging="360"/>
      </w:pPr>
      <w:rPr>
        <w:rFonts w:hint="default"/>
      </w:rPr>
    </w:lvl>
    <w:lvl w:ilvl="8">
      <w:start w:val="1"/>
      <w:numFmt w:val="lowerRoman"/>
      <w:lvlText w:val="%9."/>
      <w:lvlJc w:val="right"/>
      <w:pPr>
        <w:ind w:left="13176" w:hanging="180"/>
      </w:pPr>
      <w:rPr>
        <w:rFonts w:hint="default"/>
      </w:rPr>
    </w:lvl>
  </w:abstractNum>
  <w:abstractNum w:abstractNumId="5" w15:restartNumberingAfterBreak="0">
    <w:nsid w:val="36366CB3"/>
    <w:multiLevelType w:val="hybridMultilevel"/>
    <w:tmpl w:val="F672173C"/>
    <w:lvl w:ilvl="0" w:tplc="04090015">
      <w:start w:val="1"/>
      <w:numFmt w:val="lowerLetter"/>
      <w:pStyle w:val="Sectionheading"/>
      <w:lvlText w:val="(%1)"/>
      <w:lvlJc w:val="left"/>
      <w:pPr>
        <w:ind w:left="216" w:hanging="360"/>
      </w:pPr>
      <w:rPr>
        <w:rFonts w:ascii="Arial" w:hAnsi="Arial" w:hint="default"/>
        <w:sz w:val="22"/>
      </w:rPr>
    </w:lvl>
    <w:lvl w:ilvl="1" w:tplc="0409001B"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EA3C39"/>
    <w:multiLevelType w:val="hybridMultilevel"/>
    <w:tmpl w:val="ABB25620"/>
    <w:lvl w:ilvl="0" w:tplc="6D9A28BC">
      <w:start w:val="1"/>
      <w:numFmt w:val="lowerLetter"/>
      <w:lvlText w:val="(%1)"/>
      <w:lvlJc w:val="left"/>
      <w:pPr>
        <w:ind w:left="2232" w:hanging="360"/>
      </w:pPr>
      <w:rPr>
        <w:rFonts w:ascii="Arial" w:hAnsi="Arial" w:cs="Arial" w:hint="default"/>
        <w:sz w:val="22"/>
        <w:szCs w:val="22"/>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7" w15:restartNumberingAfterBreak="0">
    <w:nsid w:val="68C47F75"/>
    <w:multiLevelType w:val="hybridMultilevel"/>
    <w:tmpl w:val="09EC2128"/>
    <w:lvl w:ilvl="0" w:tplc="B2BC8E56">
      <w:start w:val="1"/>
      <w:numFmt w:val="upperLetter"/>
      <w:lvlText w:val="%1."/>
      <w:lvlJc w:val="left"/>
      <w:pPr>
        <w:ind w:left="720" w:hanging="360"/>
      </w:pPr>
      <w:rPr>
        <w:rFonts w:hint="default"/>
      </w:rPr>
    </w:lvl>
    <w:lvl w:ilvl="1" w:tplc="100E4A02">
      <w:start w:val="1"/>
      <w:numFmt w:val="lowerRoman"/>
      <w:lvlText w:val="%2."/>
      <w:lvlJc w:val="right"/>
      <w:pPr>
        <w:ind w:left="1440" w:hanging="360"/>
      </w:pPr>
    </w:lvl>
    <w:lvl w:ilvl="2" w:tplc="8F4A948C" w:tentative="1">
      <w:start w:val="1"/>
      <w:numFmt w:val="lowerRoman"/>
      <w:lvlText w:val="%3."/>
      <w:lvlJc w:val="right"/>
      <w:pPr>
        <w:ind w:left="2160" w:hanging="180"/>
      </w:pPr>
    </w:lvl>
    <w:lvl w:ilvl="3" w:tplc="28D26818" w:tentative="1">
      <w:start w:val="1"/>
      <w:numFmt w:val="decimal"/>
      <w:lvlText w:val="%4."/>
      <w:lvlJc w:val="left"/>
      <w:pPr>
        <w:ind w:left="2880" w:hanging="360"/>
      </w:pPr>
    </w:lvl>
    <w:lvl w:ilvl="4" w:tplc="D71610EE" w:tentative="1">
      <w:start w:val="1"/>
      <w:numFmt w:val="lowerLetter"/>
      <w:lvlText w:val="%5."/>
      <w:lvlJc w:val="left"/>
      <w:pPr>
        <w:ind w:left="3600" w:hanging="360"/>
      </w:pPr>
    </w:lvl>
    <w:lvl w:ilvl="5" w:tplc="C1682470" w:tentative="1">
      <w:start w:val="1"/>
      <w:numFmt w:val="lowerRoman"/>
      <w:lvlText w:val="%6."/>
      <w:lvlJc w:val="right"/>
      <w:pPr>
        <w:ind w:left="4320" w:hanging="180"/>
      </w:pPr>
    </w:lvl>
    <w:lvl w:ilvl="6" w:tplc="619649E0" w:tentative="1">
      <w:start w:val="1"/>
      <w:numFmt w:val="decimal"/>
      <w:lvlText w:val="%7."/>
      <w:lvlJc w:val="left"/>
      <w:pPr>
        <w:ind w:left="5040" w:hanging="360"/>
      </w:pPr>
    </w:lvl>
    <w:lvl w:ilvl="7" w:tplc="91609140" w:tentative="1">
      <w:start w:val="1"/>
      <w:numFmt w:val="lowerLetter"/>
      <w:lvlText w:val="%8."/>
      <w:lvlJc w:val="left"/>
      <w:pPr>
        <w:ind w:left="5760" w:hanging="360"/>
      </w:pPr>
    </w:lvl>
    <w:lvl w:ilvl="8" w:tplc="BCD8428C" w:tentative="1">
      <w:start w:val="1"/>
      <w:numFmt w:val="lowerRoman"/>
      <w:lvlText w:val="%9."/>
      <w:lvlJc w:val="right"/>
      <w:pPr>
        <w:ind w:left="6480" w:hanging="180"/>
      </w:pPr>
    </w:lvl>
  </w:abstractNum>
  <w:abstractNum w:abstractNumId="8" w15:restartNumberingAfterBreak="0">
    <w:nsid w:val="6D6620CF"/>
    <w:multiLevelType w:val="hybridMultilevel"/>
    <w:tmpl w:val="0FCC740C"/>
    <w:lvl w:ilvl="0" w:tplc="04090015">
      <w:start w:val="1"/>
      <w:numFmt w:val="decimal"/>
      <w:pStyle w:val="CourtNumberedpara"/>
      <w:lvlText w:val="%1."/>
      <w:lvlJc w:val="left"/>
      <w:pPr>
        <w:ind w:left="792" w:hanging="360"/>
      </w:pPr>
      <w:rPr>
        <w:rFonts w:ascii="Arial" w:hAnsi="Arial" w:cs="Arial" w:hint="default"/>
        <w:sz w:val="22"/>
        <w:szCs w:val="22"/>
      </w:rPr>
    </w:lvl>
    <w:lvl w:ilvl="1" w:tplc="0409001B">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8"/>
  </w:num>
  <w:num w:numId="3">
    <w:abstractNumId w:val="4"/>
  </w:num>
  <w:num w:numId="4">
    <w:abstractNumId w:val="5"/>
  </w:num>
  <w:num w:numId="5">
    <w:abstractNumId w:val="2"/>
  </w:num>
  <w:num w:numId="6">
    <w:abstractNumId w:val="3"/>
  </w:num>
  <w:num w:numId="7">
    <w:abstractNumId w:val="1"/>
  </w:num>
  <w:num w:numId="8">
    <w:abstractNumId w:val="7"/>
  </w:num>
  <w:num w:numId="9">
    <w:abstractNumId w:val="6"/>
  </w:num>
  <w:num w:numId="10">
    <w:abstractNumId w:val="8"/>
  </w:num>
  <w:num w:numId="11">
    <w:abstractNumId w:val="8"/>
  </w:num>
  <w:num w:numId="12">
    <w:abstractNumId w:val="8"/>
  </w:num>
  <w:num w:numId="13">
    <w:abstractNumId w:val="2"/>
  </w:num>
  <w:num w:numId="14">
    <w:abstractNumId w:val="2"/>
  </w:num>
  <w:num w:numId="15">
    <w:abstractNumId w:val="8"/>
  </w:num>
  <w:num w:numId="16">
    <w:abstractNumId w:val="8"/>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removePersonalInformation/>
  <w:removeDateAndTime/>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10"/>
    <w:rsid w:val="00000DA8"/>
    <w:rsid w:val="00002AF5"/>
    <w:rsid w:val="00004044"/>
    <w:rsid w:val="00006E2E"/>
    <w:rsid w:val="00016AF8"/>
    <w:rsid w:val="000200BC"/>
    <w:rsid w:val="00023701"/>
    <w:rsid w:val="000349C1"/>
    <w:rsid w:val="000358CB"/>
    <w:rsid w:val="000447CA"/>
    <w:rsid w:val="000447CC"/>
    <w:rsid w:val="00052B2C"/>
    <w:rsid w:val="00056A2A"/>
    <w:rsid w:val="0005719F"/>
    <w:rsid w:val="00062829"/>
    <w:rsid w:val="00065587"/>
    <w:rsid w:val="000674F9"/>
    <w:rsid w:val="00074DCA"/>
    <w:rsid w:val="00075036"/>
    <w:rsid w:val="000764C6"/>
    <w:rsid w:val="00083FA3"/>
    <w:rsid w:val="0008482A"/>
    <w:rsid w:val="000864EC"/>
    <w:rsid w:val="000A09E6"/>
    <w:rsid w:val="000A55C6"/>
    <w:rsid w:val="000B2BF5"/>
    <w:rsid w:val="000C02F5"/>
    <w:rsid w:val="000C1A85"/>
    <w:rsid w:val="000C2AD1"/>
    <w:rsid w:val="000C3091"/>
    <w:rsid w:val="000C668B"/>
    <w:rsid w:val="000D004C"/>
    <w:rsid w:val="000E18CA"/>
    <w:rsid w:val="000E2395"/>
    <w:rsid w:val="000E5023"/>
    <w:rsid w:val="000E6040"/>
    <w:rsid w:val="000E7591"/>
    <w:rsid w:val="000F1CCB"/>
    <w:rsid w:val="000F1D1C"/>
    <w:rsid w:val="000F3708"/>
    <w:rsid w:val="000F50BB"/>
    <w:rsid w:val="000F5D27"/>
    <w:rsid w:val="000F756D"/>
    <w:rsid w:val="00101A47"/>
    <w:rsid w:val="001029F9"/>
    <w:rsid w:val="00102C85"/>
    <w:rsid w:val="0010690E"/>
    <w:rsid w:val="00107570"/>
    <w:rsid w:val="0011339B"/>
    <w:rsid w:val="00117F39"/>
    <w:rsid w:val="00140E3D"/>
    <w:rsid w:val="00141399"/>
    <w:rsid w:val="001418BC"/>
    <w:rsid w:val="001446A6"/>
    <w:rsid w:val="001458E1"/>
    <w:rsid w:val="00154FF9"/>
    <w:rsid w:val="0015665D"/>
    <w:rsid w:val="00157C12"/>
    <w:rsid w:val="00157D69"/>
    <w:rsid w:val="00160600"/>
    <w:rsid w:val="001610CC"/>
    <w:rsid w:val="00175BB1"/>
    <w:rsid w:val="00183D64"/>
    <w:rsid w:val="00187518"/>
    <w:rsid w:val="00192373"/>
    <w:rsid w:val="001A2AAD"/>
    <w:rsid w:val="001A7828"/>
    <w:rsid w:val="001B00D0"/>
    <w:rsid w:val="001B6B3A"/>
    <w:rsid w:val="001C581E"/>
    <w:rsid w:val="001D781E"/>
    <w:rsid w:val="001F087E"/>
    <w:rsid w:val="001F1BAE"/>
    <w:rsid w:val="001F2F82"/>
    <w:rsid w:val="001F3788"/>
    <w:rsid w:val="00201C05"/>
    <w:rsid w:val="00205535"/>
    <w:rsid w:val="002107CB"/>
    <w:rsid w:val="002174D8"/>
    <w:rsid w:val="0022056B"/>
    <w:rsid w:val="002274F5"/>
    <w:rsid w:val="002335DA"/>
    <w:rsid w:val="00234CD9"/>
    <w:rsid w:val="00241C00"/>
    <w:rsid w:val="0024252B"/>
    <w:rsid w:val="00247A41"/>
    <w:rsid w:val="00253C19"/>
    <w:rsid w:val="00262D8A"/>
    <w:rsid w:val="00265E86"/>
    <w:rsid w:val="00265EEF"/>
    <w:rsid w:val="0027110A"/>
    <w:rsid w:val="00272017"/>
    <w:rsid w:val="002755BC"/>
    <w:rsid w:val="00276D1E"/>
    <w:rsid w:val="00292FB4"/>
    <w:rsid w:val="002A3D66"/>
    <w:rsid w:val="002B05E2"/>
    <w:rsid w:val="002B21CE"/>
    <w:rsid w:val="002C130D"/>
    <w:rsid w:val="002C2B1A"/>
    <w:rsid w:val="002C35BE"/>
    <w:rsid w:val="002C36BC"/>
    <w:rsid w:val="002C48EB"/>
    <w:rsid w:val="002C7547"/>
    <w:rsid w:val="002D0BCB"/>
    <w:rsid w:val="002D4282"/>
    <w:rsid w:val="002E501D"/>
    <w:rsid w:val="002F133A"/>
    <w:rsid w:val="002F2AF7"/>
    <w:rsid w:val="00300056"/>
    <w:rsid w:val="003015A8"/>
    <w:rsid w:val="00305466"/>
    <w:rsid w:val="00316A3E"/>
    <w:rsid w:val="00322AEC"/>
    <w:rsid w:val="00323776"/>
    <w:rsid w:val="00326818"/>
    <w:rsid w:val="00330396"/>
    <w:rsid w:val="0033601F"/>
    <w:rsid w:val="00337993"/>
    <w:rsid w:val="00356705"/>
    <w:rsid w:val="0035673F"/>
    <w:rsid w:val="00361A80"/>
    <w:rsid w:val="00363677"/>
    <w:rsid w:val="003658F6"/>
    <w:rsid w:val="00365A64"/>
    <w:rsid w:val="00365D59"/>
    <w:rsid w:val="003724EF"/>
    <w:rsid w:val="0037377E"/>
    <w:rsid w:val="00386319"/>
    <w:rsid w:val="00391819"/>
    <w:rsid w:val="00394001"/>
    <w:rsid w:val="003A4763"/>
    <w:rsid w:val="003B0B7F"/>
    <w:rsid w:val="003B2A9C"/>
    <w:rsid w:val="003B387C"/>
    <w:rsid w:val="003B5071"/>
    <w:rsid w:val="003B53C5"/>
    <w:rsid w:val="003C17BC"/>
    <w:rsid w:val="003C4693"/>
    <w:rsid w:val="003C7A1F"/>
    <w:rsid w:val="003D106B"/>
    <w:rsid w:val="003D2F90"/>
    <w:rsid w:val="003D55CA"/>
    <w:rsid w:val="003D636B"/>
    <w:rsid w:val="003D77BC"/>
    <w:rsid w:val="003F26C7"/>
    <w:rsid w:val="003F34F6"/>
    <w:rsid w:val="003F6AD0"/>
    <w:rsid w:val="00420420"/>
    <w:rsid w:val="00422B88"/>
    <w:rsid w:val="00430118"/>
    <w:rsid w:val="00433592"/>
    <w:rsid w:val="00434F2C"/>
    <w:rsid w:val="00440845"/>
    <w:rsid w:val="004414A0"/>
    <w:rsid w:val="00444B45"/>
    <w:rsid w:val="00444FE1"/>
    <w:rsid w:val="00450F7D"/>
    <w:rsid w:val="004515BD"/>
    <w:rsid w:val="00457004"/>
    <w:rsid w:val="004718E8"/>
    <w:rsid w:val="00472345"/>
    <w:rsid w:val="00472627"/>
    <w:rsid w:val="00474448"/>
    <w:rsid w:val="00487C2A"/>
    <w:rsid w:val="0049429C"/>
    <w:rsid w:val="004A4EA2"/>
    <w:rsid w:val="004A513B"/>
    <w:rsid w:val="004A68DA"/>
    <w:rsid w:val="004A7CE8"/>
    <w:rsid w:val="004B06B3"/>
    <w:rsid w:val="004B21B2"/>
    <w:rsid w:val="004B3A7C"/>
    <w:rsid w:val="004C79F9"/>
    <w:rsid w:val="004D7DCE"/>
    <w:rsid w:val="004E3293"/>
    <w:rsid w:val="004E63EC"/>
    <w:rsid w:val="004E7D36"/>
    <w:rsid w:val="004F1769"/>
    <w:rsid w:val="0050717A"/>
    <w:rsid w:val="00512EE3"/>
    <w:rsid w:val="00515827"/>
    <w:rsid w:val="005254DB"/>
    <w:rsid w:val="005277B5"/>
    <w:rsid w:val="0053250F"/>
    <w:rsid w:val="00535ECE"/>
    <w:rsid w:val="00541884"/>
    <w:rsid w:val="00546A31"/>
    <w:rsid w:val="005477EB"/>
    <w:rsid w:val="00553AC3"/>
    <w:rsid w:val="00564A5C"/>
    <w:rsid w:val="00571874"/>
    <w:rsid w:val="0057369C"/>
    <w:rsid w:val="00576119"/>
    <w:rsid w:val="00584828"/>
    <w:rsid w:val="00584891"/>
    <w:rsid w:val="00584B01"/>
    <w:rsid w:val="005862B1"/>
    <w:rsid w:val="00586EC7"/>
    <w:rsid w:val="005924C2"/>
    <w:rsid w:val="00596246"/>
    <w:rsid w:val="005A15DC"/>
    <w:rsid w:val="005B295C"/>
    <w:rsid w:val="005B41EC"/>
    <w:rsid w:val="005D02A5"/>
    <w:rsid w:val="005D30D0"/>
    <w:rsid w:val="005D3363"/>
    <w:rsid w:val="005D4CB0"/>
    <w:rsid w:val="005D7BAD"/>
    <w:rsid w:val="005E129D"/>
    <w:rsid w:val="005E5CB0"/>
    <w:rsid w:val="005E6130"/>
    <w:rsid w:val="005F1886"/>
    <w:rsid w:val="005F683F"/>
    <w:rsid w:val="00600307"/>
    <w:rsid w:val="006050B9"/>
    <w:rsid w:val="006075EE"/>
    <w:rsid w:val="00612A07"/>
    <w:rsid w:val="00617863"/>
    <w:rsid w:val="00622C12"/>
    <w:rsid w:val="00623946"/>
    <w:rsid w:val="00623B4E"/>
    <w:rsid w:val="006257DC"/>
    <w:rsid w:val="0063039F"/>
    <w:rsid w:val="00633811"/>
    <w:rsid w:val="00634892"/>
    <w:rsid w:val="00634954"/>
    <w:rsid w:val="006406AB"/>
    <w:rsid w:val="00640C7D"/>
    <w:rsid w:val="00641B10"/>
    <w:rsid w:val="0064675E"/>
    <w:rsid w:val="00647603"/>
    <w:rsid w:val="00654A21"/>
    <w:rsid w:val="00655BC6"/>
    <w:rsid w:val="00664770"/>
    <w:rsid w:val="00664935"/>
    <w:rsid w:val="00664DE0"/>
    <w:rsid w:val="0067582D"/>
    <w:rsid w:val="00681DD8"/>
    <w:rsid w:val="0068379C"/>
    <w:rsid w:val="006965A4"/>
    <w:rsid w:val="006A3930"/>
    <w:rsid w:val="006A689F"/>
    <w:rsid w:val="006A7588"/>
    <w:rsid w:val="006A7651"/>
    <w:rsid w:val="006B3649"/>
    <w:rsid w:val="006B4184"/>
    <w:rsid w:val="006B4258"/>
    <w:rsid w:val="006B562C"/>
    <w:rsid w:val="006B66EA"/>
    <w:rsid w:val="006C3484"/>
    <w:rsid w:val="006C66F6"/>
    <w:rsid w:val="006D1F8C"/>
    <w:rsid w:val="006D3495"/>
    <w:rsid w:val="006E44D2"/>
    <w:rsid w:val="006E6B83"/>
    <w:rsid w:val="006F009F"/>
    <w:rsid w:val="006F21B4"/>
    <w:rsid w:val="006F3D78"/>
    <w:rsid w:val="006F5209"/>
    <w:rsid w:val="007000B3"/>
    <w:rsid w:val="00704135"/>
    <w:rsid w:val="00705532"/>
    <w:rsid w:val="00706258"/>
    <w:rsid w:val="00707D7F"/>
    <w:rsid w:val="00714965"/>
    <w:rsid w:val="00720392"/>
    <w:rsid w:val="00720F7D"/>
    <w:rsid w:val="00722665"/>
    <w:rsid w:val="00724AAC"/>
    <w:rsid w:val="00725065"/>
    <w:rsid w:val="00731A39"/>
    <w:rsid w:val="00734297"/>
    <w:rsid w:val="007352A1"/>
    <w:rsid w:val="0073697F"/>
    <w:rsid w:val="00741217"/>
    <w:rsid w:val="007432B9"/>
    <w:rsid w:val="007630E7"/>
    <w:rsid w:val="00763614"/>
    <w:rsid w:val="00764C32"/>
    <w:rsid w:val="00765C8D"/>
    <w:rsid w:val="00767368"/>
    <w:rsid w:val="00774D4F"/>
    <w:rsid w:val="00774D74"/>
    <w:rsid w:val="00775177"/>
    <w:rsid w:val="0078043B"/>
    <w:rsid w:val="00780C7D"/>
    <w:rsid w:val="0078217C"/>
    <w:rsid w:val="007824FF"/>
    <w:rsid w:val="007873BA"/>
    <w:rsid w:val="00791D07"/>
    <w:rsid w:val="00792071"/>
    <w:rsid w:val="007A0A95"/>
    <w:rsid w:val="007A21FC"/>
    <w:rsid w:val="007B0F94"/>
    <w:rsid w:val="007B4750"/>
    <w:rsid w:val="007B6F62"/>
    <w:rsid w:val="007C1993"/>
    <w:rsid w:val="007C31DE"/>
    <w:rsid w:val="007C5010"/>
    <w:rsid w:val="007D274E"/>
    <w:rsid w:val="007D68C9"/>
    <w:rsid w:val="007D7754"/>
    <w:rsid w:val="007E22EE"/>
    <w:rsid w:val="007E4B61"/>
    <w:rsid w:val="007F2220"/>
    <w:rsid w:val="007F437D"/>
    <w:rsid w:val="007F771B"/>
    <w:rsid w:val="00811E91"/>
    <w:rsid w:val="0081517E"/>
    <w:rsid w:val="00823F89"/>
    <w:rsid w:val="008258FD"/>
    <w:rsid w:val="008330FC"/>
    <w:rsid w:val="00834295"/>
    <w:rsid w:val="00844B19"/>
    <w:rsid w:val="00851017"/>
    <w:rsid w:val="008604BC"/>
    <w:rsid w:val="008632BA"/>
    <w:rsid w:val="008635E0"/>
    <w:rsid w:val="008658EA"/>
    <w:rsid w:val="008668FD"/>
    <w:rsid w:val="00867408"/>
    <w:rsid w:val="00871BF6"/>
    <w:rsid w:val="008728B6"/>
    <w:rsid w:val="00874CD4"/>
    <w:rsid w:val="00887970"/>
    <w:rsid w:val="008955CE"/>
    <w:rsid w:val="00895ACA"/>
    <w:rsid w:val="008962F2"/>
    <w:rsid w:val="008A1DD3"/>
    <w:rsid w:val="008A3E8D"/>
    <w:rsid w:val="008A3FA9"/>
    <w:rsid w:val="008A4B54"/>
    <w:rsid w:val="008B16D3"/>
    <w:rsid w:val="008B188B"/>
    <w:rsid w:val="008C423C"/>
    <w:rsid w:val="008C66DB"/>
    <w:rsid w:val="008D2BAE"/>
    <w:rsid w:val="008D3667"/>
    <w:rsid w:val="008D7C7F"/>
    <w:rsid w:val="008E036E"/>
    <w:rsid w:val="00901260"/>
    <w:rsid w:val="00905ADC"/>
    <w:rsid w:val="00917D72"/>
    <w:rsid w:val="009230E2"/>
    <w:rsid w:val="0092418A"/>
    <w:rsid w:val="00925496"/>
    <w:rsid w:val="00926AD5"/>
    <w:rsid w:val="009368CF"/>
    <w:rsid w:val="00936EB0"/>
    <w:rsid w:val="00952F37"/>
    <w:rsid w:val="009548BE"/>
    <w:rsid w:val="00961869"/>
    <w:rsid w:val="00974827"/>
    <w:rsid w:val="00981A89"/>
    <w:rsid w:val="00985029"/>
    <w:rsid w:val="009908AF"/>
    <w:rsid w:val="00995F52"/>
    <w:rsid w:val="00997596"/>
    <w:rsid w:val="009A61FF"/>
    <w:rsid w:val="009B0BFB"/>
    <w:rsid w:val="009B3DBE"/>
    <w:rsid w:val="009C1700"/>
    <w:rsid w:val="009C6380"/>
    <w:rsid w:val="009C7C44"/>
    <w:rsid w:val="009E04AB"/>
    <w:rsid w:val="009E1577"/>
    <w:rsid w:val="009E34A0"/>
    <w:rsid w:val="00A02031"/>
    <w:rsid w:val="00A04295"/>
    <w:rsid w:val="00A070FA"/>
    <w:rsid w:val="00A1246E"/>
    <w:rsid w:val="00A15F4E"/>
    <w:rsid w:val="00A1766E"/>
    <w:rsid w:val="00A24BCD"/>
    <w:rsid w:val="00A26651"/>
    <w:rsid w:val="00A26C4B"/>
    <w:rsid w:val="00A31171"/>
    <w:rsid w:val="00A31572"/>
    <w:rsid w:val="00A32557"/>
    <w:rsid w:val="00A33215"/>
    <w:rsid w:val="00A34E61"/>
    <w:rsid w:val="00A3577C"/>
    <w:rsid w:val="00A64ADB"/>
    <w:rsid w:val="00A6527C"/>
    <w:rsid w:val="00A67CA0"/>
    <w:rsid w:val="00A74006"/>
    <w:rsid w:val="00A74F1E"/>
    <w:rsid w:val="00A80543"/>
    <w:rsid w:val="00A8716A"/>
    <w:rsid w:val="00A91AC8"/>
    <w:rsid w:val="00A92107"/>
    <w:rsid w:val="00A92238"/>
    <w:rsid w:val="00A970D0"/>
    <w:rsid w:val="00AA10F6"/>
    <w:rsid w:val="00AA15C9"/>
    <w:rsid w:val="00AA274F"/>
    <w:rsid w:val="00AA3E83"/>
    <w:rsid w:val="00AA6EDD"/>
    <w:rsid w:val="00AB3EA5"/>
    <w:rsid w:val="00AB67DE"/>
    <w:rsid w:val="00AC21A2"/>
    <w:rsid w:val="00AC41F3"/>
    <w:rsid w:val="00AC518C"/>
    <w:rsid w:val="00AD066A"/>
    <w:rsid w:val="00AD3B70"/>
    <w:rsid w:val="00AD7EB8"/>
    <w:rsid w:val="00AE17A7"/>
    <w:rsid w:val="00AE4EDF"/>
    <w:rsid w:val="00AE6967"/>
    <w:rsid w:val="00AF0DC8"/>
    <w:rsid w:val="00AF1B03"/>
    <w:rsid w:val="00AF4000"/>
    <w:rsid w:val="00AF43AF"/>
    <w:rsid w:val="00AF5C0F"/>
    <w:rsid w:val="00B02135"/>
    <w:rsid w:val="00B04866"/>
    <w:rsid w:val="00B075EF"/>
    <w:rsid w:val="00B13018"/>
    <w:rsid w:val="00B3143C"/>
    <w:rsid w:val="00B31A1C"/>
    <w:rsid w:val="00B32192"/>
    <w:rsid w:val="00B33F16"/>
    <w:rsid w:val="00B3688D"/>
    <w:rsid w:val="00B37CFE"/>
    <w:rsid w:val="00B400F5"/>
    <w:rsid w:val="00B4130C"/>
    <w:rsid w:val="00B46EF1"/>
    <w:rsid w:val="00B51F36"/>
    <w:rsid w:val="00B54420"/>
    <w:rsid w:val="00B55D99"/>
    <w:rsid w:val="00B57FB8"/>
    <w:rsid w:val="00B7248C"/>
    <w:rsid w:val="00B76804"/>
    <w:rsid w:val="00B831F9"/>
    <w:rsid w:val="00B90CB3"/>
    <w:rsid w:val="00B9677A"/>
    <w:rsid w:val="00B96FD4"/>
    <w:rsid w:val="00BA0A19"/>
    <w:rsid w:val="00BB5039"/>
    <w:rsid w:val="00BB55F5"/>
    <w:rsid w:val="00BC0CFF"/>
    <w:rsid w:val="00BC5101"/>
    <w:rsid w:val="00BC6467"/>
    <w:rsid w:val="00BD2A70"/>
    <w:rsid w:val="00BD40A4"/>
    <w:rsid w:val="00BD7896"/>
    <w:rsid w:val="00BE172E"/>
    <w:rsid w:val="00BE2697"/>
    <w:rsid w:val="00BE362C"/>
    <w:rsid w:val="00BE3F1E"/>
    <w:rsid w:val="00BE4F0D"/>
    <w:rsid w:val="00BE77CF"/>
    <w:rsid w:val="00C028E7"/>
    <w:rsid w:val="00C03549"/>
    <w:rsid w:val="00C21F37"/>
    <w:rsid w:val="00C226FB"/>
    <w:rsid w:val="00C25D9D"/>
    <w:rsid w:val="00C31976"/>
    <w:rsid w:val="00C34C5B"/>
    <w:rsid w:val="00C362BC"/>
    <w:rsid w:val="00C3752C"/>
    <w:rsid w:val="00C41112"/>
    <w:rsid w:val="00C41284"/>
    <w:rsid w:val="00C441CC"/>
    <w:rsid w:val="00C45059"/>
    <w:rsid w:val="00C45BD7"/>
    <w:rsid w:val="00C55A9A"/>
    <w:rsid w:val="00C64D4A"/>
    <w:rsid w:val="00C659B5"/>
    <w:rsid w:val="00C66AB1"/>
    <w:rsid w:val="00C738B1"/>
    <w:rsid w:val="00C755C3"/>
    <w:rsid w:val="00C760FD"/>
    <w:rsid w:val="00C774F9"/>
    <w:rsid w:val="00C81F6B"/>
    <w:rsid w:val="00C843CE"/>
    <w:rsid w:val="00C8712D"/>
    <w:rsid w:val="00C879BF"/>
    <w:rsid w:val="00C9147C"/>
    <w:rsid w:val="00C96666"/>
    <w:rsid w:val="00C976EA"/>
    <w:rsid w:val="00CA010B"/>
    <w:rsid w:val="00CB293A"/>
    <w:rsid w:val="00CB66AB"/>
    <w:rsid w:val="00CB6AB4"/>
    <w:rsid w:val="00CB6CDE"/>
    <w:rsid w:val="00CC0A0F"/>
    <w:rsid w:val="00CC2A1D"/>
    <w:rsid w:val="00CC2F61"/>
    <w:rsid w:val="00CC389E"/>
    <w:rsid w:val="00CC620E"/>
    <w:rsid w:val="00CC661A"/>
    <w:rsid w:val="00CC7BB5"/>
    <w:rsid w:val="00CD3624"/>
    <w:rsid w:val="00CD46EB"/>
    <w:rsid w:val="00CD5EC4"/>
    <w:rsid w:val="00CD6C5F"/>
    <w:rsid w:val="00CD73A4"/>
    <w:rsid w:val="00CD7E47"/>
    <w:rsid w:val="00CE06F5"/>
    <w:rsid w:val="00CE0E07"/>
    <w:rsid w:val="00CE28FF"/>
    <w:rsid w:val="00CE34AB"/>
    <w:rsid w:val="00CE3586"/>
    <w:rsid w:val="00CE3C65"/>
    <w:rsid w:val="00CF0922"/>
    <w:rsid w:val="00CF1155"/>
    <w:rsid w:val="00CF437E"/>
    <w:rsid w:val="00D04677"/>
    <w:rsid w:val="00D10121"/>
    <w:rsid w:val="00D12C05"/>
    <w:rsid w:val="00D20650"/>
    <w:rsid w:val="00D20658"/>
    <w:rsid w:val="00D24C0D"/>
    <w:rsid w:val="00D325DD"/>
    <w:rsid w:val="00D339F2"/>
    <w:rsid w:val="00D36150"/>
    <w:rsid w:val="00D40FB6"/>
    <w:rsid w:val="00D5433D"/>
    <w:rsid w:val="00D565DA"/>
    <w:rsid w:val="00D576BE"/>
    <w:rsid w:val="00D7483D"/>
    <w:rsid w:val="00D91148"/>
    <w:rsid w:val="00DA5FD3"/>
    <w:rsid w:val="00DB409F"/>
    <w:rsid w:val="00DB7082"/>
    <w:rsid w:val="00DD0B4A"/>
    <w:rsid w:val="00DD0FE5"/>
    <w:rsid w:val="00DD1CAA"/>
    <w:rsid w:val="00DD2132"/>
    <w:rsid w:val="00DD400E"/>
    <w:rsid w:val="00DD57E5"/>
    <w:rsid w:val="00DE13A9"/>
    <w:rsid w:val="00DF7511"/>
    <w:rsid w:val="00E00743"/>
    <w:rsid w:val="00E01657"/>
    <w:rsid w:val="00E04BA5"/>
    <w:rsid w:val="00E04F76"/>
    <w:rsid w:val="00E05533"/>
    <w:rsid w:val="00E059E5"/>
    <w:rsid w:val="00E1133A"/>
    <w:rsid w:val="00E11468"/>
    <w:rsid w:val="00E12C5F"/>
    <w:rsid w:val="00E177A6"/>
    <w:rsid w:val="00E2396F"/>
    <w:rsid w:val="00E339C9"/>
    <w:rsid w:val="00E5058E"/>
    <w:rsid w:val="00E50730"/>
    <w:rsid w:val="00E51546"/>
    <w:rsid w:val="00E62699"/>
    <w:rsid w:val="00E63368"/>
    <w:rsid w:val="00E64B8B"/>
    <w:rsid w:val="00E7153B"/>
    <w:rsid w:val="00E737C6"/>
    <w:rsid w:val="00E745C7"/>
    <w:rsid w:val="00E76487"/>
    <w:rsid w:val="00E83778"/>
    <w:rsid w:val="00E91EB3"/>
    <w:rsid w:val="00E91F71"/>
    <w:rsid w:val="00E92E13"/>
    <w:rsid w:val="00E9351E"/>
    <w:rsid w:val="00E95C32"/>
    <w:rsid w:val="00EA1464"/>
    <w:rsid w:val="00EB356C"/>
    <w:rsid w:val="00EB47D6"/>
    <w:rsid w:val="00EB6855"/>
    <w:rsid w:val="00EC1DEC"/>
    <w:rsid w:val="00EC3732"/>
    <w:rsid w:val="00EC436B"/>
    <w:rsid w:val="00EC67F8"/>
    <w:rsid w:val="00ED0CA1"/>
    <w:rsid w:val="00ED1D0D"/>
    <w:rsid w:val="00ED1DC2"/>
    <w:rsid w:val="00ED61F9"/>
    <w:rsid w:val="00ED6D78"/>
    <w:rsid w:val="00EE2450"/>
    <w:rsid w:val="00EF273C"/>
    <w:rsid w:val="00EF30FD"/>
    <w:rsid w:val="00EF3FFD"/>
    <w:rsid w:val="00F0159D"/>
    <w:rsid w:val="00F06295"/>
    <w:rsid w:val="00F0705E"/>
    <w:rsid w:val="00F15F23"/>
    <w:rsid w:val="00F200C6"/>
    <w:rsid w:val="00F22EF2"/>
    <w:rsid w:val="00F349AD"/>
    <w:rsid w:val="00F4068A"/>
    <w:rsid w:val="00F40AD6"/>
    <w:rsid w:val="00F440DF"/>
    <w:rsid w:val="00F44444"/>
    <w:rsid w:val="00F514A1"/>
    <w:rsid w:val="00F51B44"/>
    <w:rsid w:val="00F527F7"/>
    <w:rsid w:val="00F52E9D"/>
    <w:rsid w:val="00F53727"/>
    <w:rsid w:val="00F55FBD"/>
    <w:rsid w:val="00F75ECF"/>
    <w:rsid w:val="00F7605F"/>
    <w:rsid w:val="00F76862"/>
    <w:rsid w:val="00F81DDB"/>
    <w:rsid w:val="00F81FA6"/>
    <w:rsid w:val="00F83EEE"/>
    <w:rsid w:val="00F90158"/>
    <w:rsid w:val="00F901DE"/>
    <w:rsid w:val="00F927B2"/>
    <w:rsid w:val="00F946D7"/>
    <w:rsid w:val="00FA3490"/>
    <w:rsid w:val="00FA398F"/>
    <w:rsid w:val="00FA6505"/>
    <w:rsid w:val="00FA74F0"/>
    <w:rsid w:val="00FB70F1"/>
    <w:rsid w:val="00FB716A"/>
    <w:rsid w:val="00FD0AEB"/>
    <w:rsid w:val="00FD2890"/>
    <w:rsid w:val="00FD3481"/>
    <w:rsid w:val="00FE2AB5"/>
    <w:rsid w:val="00FE4A9C"/>
    <w:rsid w:val="00FE7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53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locked="1"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667"/>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locked/>
    <w:rsid w:val="00655B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BC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C7547"/>
    <w:rPr>
      <w:rFonts w:ascii="Tahoma" w:hAnsi="Tahoma" w:cs="Tahoma"/>
      <w:sz w:val="16"/>
      <w:szCs w:val="16"/>
    </w:rPr>
  </w:style>
  <w:style w:type="character" w:customStyle="1" w:styleId="BalloonTextChar">
    <w:name w:val="Balloon Text Char"/>
    <w:basedOn w:val="DefaultParagraphFont"/>
    <w:link w:val="BalloonText"/>
    <w:uiPriority w:val="99"/>
    <w:semiHidden/>
    <w:rsid w:val="002C7547"/>
    <w:rPr>
      <w:rFonts w:ascii="Tahoma" w:hAnsi="Tahoma" w:cs="Tahoma"/>
      <w:sz w:val="16"/>
      <w:szCs w:val="16"/>
    </w:rPr>
  </w:style>
  <w:style w:type="paragraph" w:customStyle="1" w:styleId="Extendedquoteletter">
    <w:name w:val="Extended quote (letter)"/>
    <w:basedOn w:val="Normal"/>
    <w:link w:val="ExtendedquoteletterChar"/>
    <w:qFormat/>
    <w:rsid w:val="00D10121"/>
    <w:pPr>
      <w:ind w:left="1872" w:right="1296"/>
    </w:pPr>
    <w:rPr>
      <w:sz w:val="20"/>
    </w:rPr>
  </w:style>
  <w:style w:type="character" w:customStyle="1" w:styleId="ExtendedquoteletterChar">
    <w:name w:val="Extended quote (letter) Char"/>
    <w:basedOn w:val="DefaultParagraphFont"/>
    <w:link w:val="Extendedquoteletter"/>
    <w:rsid w:val="00D10121"/>
    <w:rPr>
      <w:rFonts w:ascii="Arial" w:eastAsia="Times New Roman" w:hAnsi="Arial" w:cs="Arial"/>
      <w:sz w:val="20"/>
    </w:rPr>
  </w:style>
  <w:style w:type="paragraph" w:styleId="Header">
    <w:name w:val="header"/>
    <w:basedOn w:val="Normal"/>
    <w:link w:val="HeaderChar"/>
    <w:uiPriority w:val="99"/>
    <w:unhideWhenUsed/>
    <w:locked/>
    <w:rsid w:val="00E95C32"/>
    <w:pPr>
      <w:tabs>
        <w:tab w:val="center" w:pos="4680"/>
        <w:tab w:val="right" w:pos="9360"/>
      </w:tabs>
    </w:pPr>
  </w:style>
  <w:style w:type="character" w:customStyle="1" w:styleId="HeaderChar">
    <w:name w:val="Header Char"/>
    <w:basedOn w:val="DefaultParagraphFont"/>
    <w:link w:val="Header"/>
    <w:uiPriority w:val="99"/>
    <w:rsid w:val="00E95C32"/>
    <w:rPr>
      <w:rFonts w:ascii="Garamond" w:eastAsia="Times New Roman" w:hAnsi="Garamond" w:cs="Arial"/>
      <w:sz w:val="24"/>
      <w:szCs w:val="24"/>
    </w:rPr>
  </w:style>
  <w:style w:type="paragraph" w:styleId="ListParagraph">
    <w:name w:val="List Paragraph"/>
    <w:basedOn w:val="CourtNumberedpara"/>
    <w:link w:val="ListParagraphChar"/>
    <w:uiPriority w:val="34"/>
    <w:qFormat/>
    <w:locked/>
    <w:rsid w:val="00B55D99"/>
    <w:pPr>
      <w:numPr>
        <w:numId w:val="5"/>
      </w:numPr>
      <w:ind w:right="1152"/>
    </w:pPr>
  </w:style>
  <w:style w:type="character" w:customStyle="1" w:styleId="ListParagraphChar">
    <w:name w:val="List Paragraph Char"/>
    <w:basedOn w:val="DefaultParagraphFont"/>
    <w:link w:val="ListParagraph"/>
    <w:uiPriority w:val="34"/>
    <w:rsid w:val="00B55D99"/>
    <w:rPr>
      <w:rFonts w:ascii="Times New Roman" w:hAnsi="Times New Roman" w:cs="Times New Roman"/>
      <w:sz w:val="24"/>
    </w:rPr>
  </w:style>
  <w:style w:type="paragraph" w:customStyle="1" w:styleId="Footnotes">
    <w:name w:val="Footnotes"/>
    <w:basedOn w:val="FootnoteText"/>
    <w:rsid w:val="001418BC"/>
  </w:style>
  <w:style w:type="paragraph" w:customStyle="1" w:styleId="LawNormal">
    <w:name w:val="Law Normal"/>
    <w:basedOn w:val="Normal"/>
    <w:autoRedefine/>
    <w:locked/>
    <w:rsid w:val="00E95C32"/>
    <w:pPr>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line="360" w:lineRule="auto"/>
    </w:pPr>
    <w:rPr>
      <w:rFonts w:ascii="Times" w:eastAsia="ヒラギノ角ゴ Pro W3" w:hAnsi="Times"/>
      <w:color w:val="000000"/>
      <w:szCs w:val="20"/>
    </w:rPr>
  </w:style>
  <w:style w:type="paragraph" w:styleId="FootnoteText">
    <w:name w:val="footnote text"/>
    <w:basedOn w:val="Normal"/>
    <w:link w:val="FootnoteTextChar"/>
    <w:uiPriority w:val="99"/>
    <w:qFormat/>
    <w:rsid w:val="00AF5C0F"/>
    <w:rPr>
      <w:rFonts w:eastAsiaTheme="minorEastAsia" w:cstheme="minorBidi"/>
      <w:sz w:val="20"/>
      <w:szCs w:val="20"/>
    </w:rPr>
  </w:style>
  <w:style w:type="character" w:customStyle="1" w:styleId="FootnoteTextChar">
    <w:name w:val="Footnote Text Char"/>
    <w:basedOn w:val="DefaultParagraphFont"/>
    <w:link w:val="FootnoteText"/>
    <w:uiPriority w:val="99"/>
    <w:rsid w:val="00AF5C0F"/>
    <w:rPr>
      <w:rFonts w:ascii="Arial" w:eastAsiaTheme="minorEastAsia" w:hAnsi="Arial"/>
      <w:sz w:val="20"/>
      <w:szCs w:val="20"/>
    </w:rPr>
  </w:style>
  <w:style w:type="table" w:customStyle="1" w:styleId="LightShading-Accent11">
    <w:name w:val="Light Shading - Accent 11"/>
    <w:basedOn w:val="TableNormal"/>
    <w:uiPriority w:val="60"/>
    <w:locked/>
    <w:rsid w:val="00187518"/>
    <w:pPr>
      <w:spacing w:after="0" w:line="240" w:lineRule="auto"/>
    </w:pPr>
    <w:rPr>
      <w:rFonts w:eastAsiaTheme="minorEastAsia"/>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otnoteReference">
    <w:name w:val="footnote reference"/>
    <w:basedOn w:val="DefaultParagraphFont"/>
    <w:uiPriority w:val="99"/>
    <w:unhideWhenUsed/>
    <w:rsid w:val="00A1766E"/>
    <w:rPr>
      <w:vertAlign w:val="superscript"/>
    </w:rPr>
  </w:style>
  <w:style w:type="character" w:styleId="PlaceholderText">
    <w:name w:val="Placeholder Text"/>
    <w:basedOn w:val="DefaultParagraphFont"/>
    <w:uiPriority w:val="99"/>
    <w:semiHidden/>
    <w:rsid w:val="00546A31"/>
    <w:rPr>
      <w:color w:val="808080"/>
    </w:rPr>
  </w:style>
  <w:style w:type="paragraph" w:styleId="Footer">
    <w:name w:val="footer"/>
    <w:basedOn w:val="Normal"/>
    <w:link w:val="FooterChar"/>
    <w:uiPriority w:val="99"/>
    <w:unhideWhenUsed/>
    <w:locked/>
    <w:rsid w:val="00576119"/>
    <w:pPr>
      <w:tabs>
        <w:tab w:val="center" w:pos="4680"/>
        <w:tab w:val="right" w:pos="9360"/>
      </w:tabs>
    </w:pPr>
  </w:style>
  <w:style w:type="character" w:customStyle="1" w:styleId="FooterChar">
    <w:name w:val="Footer Char"/>
    <w:basedOn w:val="DefaultParagraphFont"/>
    <w:link w:val="Footer"/>
    <w:uiPriority w:val="99"/>
    <w:rsid w:val="00576119"/>
    <w:rPr>
      <w:rFonts w:ascii="Garamond" w:eastAsia="Times New Roman" w:hAnsi="Garamond" w:cs="Arial"/>
      <w:sz w:val="24"/>
      <w:szCs w:val="24"/>
    </w:rPr>
  </w:style>
  <w:style w:type="paragraph" w:customStyle="1" w:styleId="CourtNumberedpara">
    <w:name w:val="Court Numbered para"/>
    <w:basedOn w:val="Normal"/>
    <w:link w:val="CourtNumberedparaChar"/>
    <w:qFormat/>
    <w:rsid w:val="003F26C7"/>
    <w:pPr>
      <w:numPr>
        <w:numId w:val="2"/>
      </w:numPr>
      <w:spacing w:before="180" w:after="180"/>
    </w:pPr>
  </w:style>
  <w:style w:type="numbering" w:customStyle="1" w:styleId="ArialADFList">
    <w:name w:val="Arial ADF List"/>
    <w:uiPriority w:val="99"/>
    <w:rsid w:val="00AD066A"/>
    <w:pPr>
      <w:numPr>
        <w:numId w:val="3"/>
      </w:numPr>
    </w:pPr>
  </w:style>
  <w:style w:type="character" w:customStyle="1" w:styleId="CourtNumberedparaChar">
    <w:name w:val="Court Numbered para Char"/>
    <w:basedOn w:val="ListParagraphChar"/>
    <w:link w:val="CourtNumberedpara"/>
    <w:rsid w:val="003F26C7"/>
    <w:rPr>
      <w:rFonts w:ascii="Times New Roman" w:hAnsi="Times New Roman" w:cs="Times New Roman"/>
      <w:sz w:val="24"/>
    </w:rPr>
  </w:style>
  <w:style w:type="paragraph" w:customStyle="1" w:styleId="Sectionheading">
    <w:name w:val="Section heading"/>
    <w:basedOn w:val="CourtNumberedpara"/>
    <w:next w:val="CourtNumberedpara"/>
    <w:link w:val="SectionheadingChar"/>
    <w:qFormat/>
    <w:rsid w:val="00E51546"/>
    <w:pPr>
      <w:numPr>
        <w:numId w:val="4"/>
      </w:numPr>
      <w:spacing w:after="0"/>
    </w:pPr>
    <w:rPr>
      <w:b/>
    </w:rPr>
  </w:style>
  <w:style w:type="paragraph" w:customStyle="1" w:styleId="Subheading">
    <w:name w:val="Subheading"/>
    <w:basedOn w:val="CourtNumberedpara"/>
    <w:next w:val="CourtNumberedpara"/>
    <w:link w:val="SubheadingChar"/>
    <w:qFormat/>
    <w:rsid w:val="008D2BAE"/>
    <w:pPr>
      <w:numPr>
        <w:numId w:val="0"/>
      </w:numPr>
      <w:spacing w:after="0"/>
    </w:pPr>
    <w:rPr>
      <w:i/>
    </w:rPr>
  </w:style>
  <w:style w:type="character" w:customStyle="1" w:styleId="SectionheadingChar">
    <w:name w:val="Section heading Char"/>
    <w:basedOn w:val="CourtNumberedparaChar"/>
    <w:link w:val="Sectionheading"/>
    <w:rsid w:val="00E51546"/>
    <w:rPr>
      <w:rFonts w:ascii="Times New Roman" w:hAnsi="Times New Roman" w:cs="Times New Roman"/>
      <w:b/>
      <w:sz w:val="24"/>
    </w:rPr>
  </w:style>
  <w:style w:type="character" w:customStyle="1" w:styleId="SubheadingChar">
    <w:name w:val="Subheading Char"/>
    <w:basedOn w:val="CourtNumberedparaChar"/>
    <w:link w:val="Subheading"/>
    <w:rsid w:val="008D2BAE"/>
    <w:rPr>
      <w:rFonts w:ascii="Arial" w:eastAsia="Times New Roman" w:hAnsi="Arial" w:cs="Arial"/>
      <w:i/>
      <w:sz w:val="24"/>
      <w:szCs w:val="24"/>
    </w:rPr>
  </w:style>
  <w:style w:type="character" w:styleId="PageNumber">
    <w:name w:val="page number"/>
    <w:basedOn w:val="DefaultParagraphFont"/>
    <w:uiPriority w:val="99"/>
    <w:semiHidden/>
    <w:unhideWhenUsed/>
    <w:rsid w:val="00CC0A0F"/>
  </w:style>
  <w:style w:type="character" w:styleId="Hyperlink">
    <w:name w:val="Hyperlink"/>
    <w:basedOn w:val="DefaultParagraphFont"/>
    <w:uiPriority w:val="99"/>
    <w:unhideWhenUsed/>
    <w:rsid w:val="00CC0A0F"/>
    <w:rPr>
      <w:color w:val="0000FF" w:themeColor="hyperlink"/>
      <w:u w:val="single"/>
    </w:rPr>
  </w:style>
  <w:style w:type="paragraph" w:customStyle="1" w:styleId="Default">
    <w:name w:val="Default"/>
    <w:rsid w:val="001566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0D004C"/>
    <w:rPr>
      <w:rFonts w:cs="Minion"/>
      <w:color w:val="000000"/>
      <w:sz w:val="22"/>
      <w:szCs w:val="22"/>
    </w:rPr>
  </w:style>
  <w:style w:type="paragraph" w:customStyle="1" w:styleId="Longqoute">
    <w:name w:val="Long qoute"/>
    <w:basedOn w:val="Normal"/>
    <w:qFormat/>
    <w:rsid w:val="007E22EE"/>
    <w:pPr>
      <w:widowControl w:val="0"/>
      <w:autoSpaceDE w:val="0"/>
      <w:autoSpaceDN w:val="0"/>
      <w:adjustRightInd w:val="0"/>
      <w:ind w:left="1440" w:right="521"/>
      <w:jc w:val="both"/>
    </w:pPr>
    <w:rPr>
      <w:rFonts w:eastAsia="Times New Roman"/>
      <w:sz w:val="22"/>
      <w:szCs w:val="23"/>
    </w:rPr>
  </w:style>
  <w:style w:type="character" w:customStyle="1" w:styleId="s6b621b36">
    <w:name w:val="s6b621b36"/>
    <w:basedOn w:val="DefaultParagraphFont"/>
    <w:rsid w:val="007630E7"/>
  </w:style>
  <w:style w:type="character" w:styleId="CommentReference">
    <w:name w:val="annotation reference"/>
    <w:basedOn w:val="DefaultParagraphFont"/>
    <w:uiPriority w:val="99"/>
    <w:semiHidden/>
    <w:unhideWhenUsed/>
    <w:rsid w:val="0022056B"/>
    <w:rPr>
      <w:sz w:val="18"/>
      <w:szCs w:val="18"/>
    </w:rPr>
  </w:style>
  <w:style w:type="paragraph" w:styleId="CommentText">
    <w:name w:val="annotation text"/>
    <w:basedOn w:val="Normal"/>
    <w:link w:val="CommentTextChar"/>
    <w:uiPriority w:val="99"/>
    <w:semiHidden/>
    <w:unhideWhenUsed/>
    <w:rsid w:val="0022056B"/>
    <w:rPr>
      <w:szCs w:val="24"/>
    </w:rPr>
  </w:style>
  <w:style w:type="character" w:customStyle="1" w:styleId="CommentTextChar">
    <w:name w:val="Comment Text Char"/>
    <w:basedOn w:val="DefaultParagraphFont"/>
    <w:link w:val="CommentText"/>
    <w:uiPriority w:val="99"/>
    <w:semiHidden/>
    <w:rsid w:val="0022056B"/>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2056B"/>
    <w:rPr>
      <w:b/>
      <w:bCs/>
      <w:sz w:val="20"/>
      <w:szCs w:val="20"/>
    </w:rPr>
  </w:style>
  <w:style w:type="character" w:customStyle="1" w:styleId="CommentSubjectChar">
    <w:name w:val="Comment Subject Char"/>
    <w:basedOn w:val="CommentTextChar"/>
    <w:link w:val="CommentSubject"/>
    <w:uiPriority w:val="99"/>
    <w:semiHidden/>
    <w:rsid w:val="0022056B"/>
    <w:rPr>
      <w:rFonts w:ascii="Times New Roman" w:hAnsi="Times New Roman" w:cs="Times New Roman"/>
      <w:b/>
      <w:bCs/>
      <w:sz w:val="20"/>
      <w:szCs w:val="20"/>
    </w:rPr>
  </w:style>
  <w:style w:type="paragraph" w:styleId="Revision">
    <w:name w:val="Revision"/>
    <w:hidden/>
    <w:uiPriority w:val="99"/>
    <w:semiHidden/>
    <w:rsid w:val="00F44444"/>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8590">
      <w:bodyDiv w:val="1"/>
      <w:marLeft w:val="0"/>
      <w:marRight w:val="0"/>
      <w:marTop w:val="0"/>
      <w:marBottom w:val="0"/>
      <w:divBdr>
        <w:top w:val="none" w:sz="0" w:space="0" w:color="auto"/>
        <w:left w:val="none" w:sz="0" w:space="0" w:color="auto"/>
        <w:bottom w:val="none" w:sz="0" w:space="0" w:color="auto"/>
        <w:right w:val="none" w:sz="0" w:space="0" w:color="auto"/>
      </w:divBdr>
    </w:div>
    <w:div w:id="349912308">
      <w:bodyDiv w:val="1"/>
      <w:marLeft w:val="0"/>
      <w:marRight w:val="0"/>
      <w:marTop w:val="0"/>
      <w:marBottom w:val="0"/>
      <w:divBdr>
        <w:top w:val="none" w:sz="0" w:space="0" w:color="auto"/>
        <w:left w:val="none" w:sz="0" w:space="0" w:color="auto"/>
        <w:bottom w:val="none" w:sz="0" w:space="0" w:color="auto"/>
        <w:right w:val="none" w:sz="0" w:space="0" w:color="auto"/>
      </w:divBdr>
    </w:div>
    <w:div w:id="379282248">
      <w:bodyDiv w:val="1"/>
      <w:marLeft w:val="0"/>
      <w:marRight w:val="0"/>
      <w:marTop w:val="0"/>
      <w:marBottom w:val="0"/>
      <w:divBdr>
        <w:top w:val="none" w:sz="0" w:space="0" w:color="auto"/>
        <w:left w:val="none" w:sz="0" w:space="0" w:color="auto"/>
        <w:bottom w:val="none" w:sz="0" w:space="0" w:color="auto"/>
        <w:right w:val="none" w:sz="0" w:space="0" w:color="auto"/>
      </w:divBdr>
    </w:div>
    <w:div w:id="379597341">
      <w:bodyDiv w:val="1"/>
      <w:marLeft w:val="0"/>
      <w:marRight w:val="0"/>
      <w:marTop w:val="0"/>
      <w:marBottom w:val="0"/>
      <w:divBdr>
        <w:top w:val="none" w:sz="0" w:space="0" w:color="auto"/>
        <w:left w:val="none" w:sz="0" w:space="0" w:color="auto"/>
        <w:bottom w:val="none" w:sz="0" w:space="0" w:color="auto"/>
        <w:right w:val="none" w:sz="0" w:space="0" w:color="auto"/>
      </w:divBdr>
    </w:div>
    <w:div w:id="1117062632">
      <w:bodyDiv w:val="1"/>
      <w:marLeft w:val="0"/>
      <w:marRight w:val="0"/>
      <w:marTop w:val="0"/>
      <w:marBottom w:val="0"/>
      <w:divBdr>
        <w:top w:val="none" w:sz="0" w:space="0" w:color="auto"/>
        <w:left w:val="none" w:sz="0" w:space="0" w:color="auto"/>
        <w:bottom w:val="none" w:sz="0" w:space="0" w:color="auto"/>
        <w:right w:val="none" w:sz="0" w:space="0" w:color="auto"/>
      </w:divBdr>
    </w:div>
    <w:div w:id="1369600720">
      <w:bodyDiv w:val="1"/>
      <w:marLeft w:val="0"/>
      <w:marRight w:val="0"/>
      <w:marTop w:val="0"/>
      <w:marBottom w:val="0"/>
      <w:divBdr>
        <w:top w:val="none" w:sz="0" w:space="0" w:color="auto"/>
        <w:left w:val="none" w:sz="0" w:space="0" w:color="auto"/>
        <w:bottom w:val="none" w:sz="0" w:space="0" w:color="auto"/>
        <w:right w:val="none" w:sz="0" w:space="0" w:color="auto"/>
      </w:divBdr>
    </w:div>
    <w:div w:id="1532495756">
      <w:bodyDiv w:val="1"/>
      <w:marLeft w:val="0"/>
      <w:marRight w:val="0"/>
      <w:marTop w:val="0"/>
      <w:marBottom w:val="0"/>
      <w:divBdr>
        <w:top w:val="none" w:sz="0" w:space="0" w:color="auto"/>
        <w:left w:val="none" w:sz="0" w:space="0" w:color="auto"/>
        <w:bottom w:val="none" w:sz="0" w:space="0" w:color="auto"/>
        <w:right w:val="none" w:sz="0" w:space="0" w:color="auto"/>
      </w:divBdr>
    </w:div>
    <w:div w:id="1754626978">
      <w:bodyDiv w:val="1"/>
      <w:marLeft w:val="0"/>
      <w:marRight w:val="0"/>
      <w:marTop w:val="0"/>
      <w:marBottom w:val="0"/>
      <w:divBdr>
        <w:top w:val="none" w:sz="0" w:space="0" w:color="auto"/>
        <w:left w:val="none" w:sz="0" w:space="0" w:color="auto"/>
        <w:bottom w:val="none" w:sz="0" w:space="0" w:color="auto"/>
        <w:right w:val="none" w:sz="0" w:space="0" w:color="auto"/>
      </w:divBdr>
    </w:div>
    <w:div w:id="1857115486">
      <w:bodyDiv w:val="1"/>
      <w:marLeft w:val="0"/>
      <w:marRight w:val="0"/>
      <w:marTop w:val="0"/>
      <w:marBottom w:val="0"/>
      <w:divBdr>
        <w:top w:val="none" w:sz="0" w:space="0" w:color="auto"/>
        <w:left w:val="none" w:sz="0" w:space="0" w:color="auto"/>
        <w:bottom w:val="none" w:sz="0" w:space="0" w:color="auto"/>
        <w:right w:val="none" w:sz="0" w:space="0" w:color="auto"/>
      </w:divBdr>
    </w:div>
    <w:div w:id="1991712183">
      <w:bodyDiv w:val="1"/>
      <w:marLeft w:val="0"/>
      <w:marRight w:val="0"/>
      <w:marTop w:val="0"/>
      <w:marBottom w:val="0"/>
      <w:divBdr>
        <w:top w:val="none" w:sz="0" w:space="0" w:color="auto"/>
        <w:left w:val="none" w:sz="0" w:space="0" w:color="auto"/>
        <w:bottom w:val="none" w:sz="0" w:space="0" w:color="auto"/>
        <w:right w:val="none" w:sz="0" w:space="0" w:color="auto"/>
      </w:divBdr>
    </w:div>
    <w:div w:id="205219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6EA612-1D6F-4AE9-BA2F-04895141CE3D}">
  <ds:schemaRefs>
    <ds:schemaRef ds:uri="http://schemas.openxmlformats.org/officeDocument/2006/bibliography"/>
  </ds:schemaRefs>
</ds:datastoreItem>
</file>

<file path=customXml/itemProps2.xml><?xml version="1.0" encoding="utf-8"?>
<ds:datastoreItem xmlns:ds="http://schemas.openxmlformats.org/officeDocument/2006/customXml" ds:itemID="{F69F017F-4442-4F7A-8936-9748EC563FB1}"/>
</file>

<file path=customXml/itemProps3.xml><?xml version="1.0" encoding="utf-8"?>
<ds:datastoreItem xmlns:ds="http://schemas.openxmlformats.org/officeDocument/2006/customXml" ds:itemID="{D842B0CD-58AC-4A14-9E78-A433C338D028}"/>
</file>

<file path=customXml/itemProps4.xml><?xml version="1.0" encoding="utf-8"?>
<ds:datastoreItem xmlns:ds="http://schemas.openxmlformats.org/officeDocument/2006/customXml" ds:itemID="{59BA48B1-8BAA-44DC-9E04-A24C7CA0A5F4}"/>
</file>

<file path=docProps/app.xml><?xml version="1.0" encoding="utf-8"?>
<Properties xmlns="http://schemas.openxmlformats.org/officeDocument/2006/extended-properties" xmlns:vt="http://schemas.openxmlformats.org/officeDocument/2006/docPropsVTypes">
  <Template>Normal.dotm</Template>
  <TotalTime>0</TotalTime>
  <Pages>18</Pages>
  <Words>6954</Words>
  <Characters>39640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2017-10-06T08:17:00Z</dcterms:created>
  <dcterms:modified xsi:type="dcterms:W3CDTF">2017-10-06T08:17:00Z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