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CA0" w:rsidRPr="00CE001E" w:rsidRDefault="00E90084" w:rsidP="005C6F51">
      <w:pPr>
        <w:spacing w:line="240" w:lineRule="auto"/>
        <w:jc w:val="both"/>
        <w:rPr>
          <w:rFonts w:ascii="Times New Roman" w:hAnsi="Times New Roman" w:cs="Times New Roman"/>
          <w:sz w:val="24"/>
          <w:szCs w:val="24"/>
        </w:rPr>
      </w:pPr>
      <w:r w:rsidRPr="00CE001E">
        <w:rPr>
          <w:rFonts w:ascii="Times New Roman" w:hAnsi="Times New Roman" w:cs="Times New Roman"/>
          <w:b/>
          <w:sz w:val="24"/>
          <w:szCs w:val="24"/>
        </w:rPr>
        <w:t xml:space="preserve">Submission on the Draft UN Human Rights Committee’s </w:t>
      </w:r>
      <w:r w:rsidR="00402401" w:rsidRPr="00CE001E">
        <w:rPr>
          <w:rFonts w:ascii="Times New Roman" w:hAnsi="Times New Roman" w:cs="Times New Roman"/>
          <w:b/>
          <w:sz w:val="24"/>
          <w:szCs w:val="24"/>
        </w:rPr>
        <w:t xml:space="preserve">General Comment </w:t>
      </w:r>
      <w:r w:rsidRPr="00CE001E">
        <w:rPr>
          <w:rFonts w:ascii="Times New Roman" w:hAnsi="Times New Roman" w:cs="Times New Roman"/>
          <w:b/>
          <w:sz w:val="24"/>
          <w:szCs w:val="24"/>
        </w:rPr>
        <w:t>No. 36 on article 6 of the International Covenant on Civil and Political Rights, on the right to life.</w:t>
      </w:r>
    </w:p>
    <w:p w:rsidR="0086725C" w:rsidRPr="00CE001E" w:rsidRDefault="00E90084" w:rsidP="008D139B">
      <w:pPr>
        <w:spacing w:line="240" w:lineRule="auto"/>
        <w:jc w:val="center"/>
        <w:rPr>
          <w:rFonts w:ascii="Times New Roman" w:hAnsi="Times New Roman" w:cs="Times New Roman"/>
          <w:b/>
          <w:sz w:val="24"/>
          <w:szCs w:val="24"/>
        </w:rPr>
      </w:pPr>
      <w:bookmarkStart w:id="0" w:name="_GoBack"/>
      <w:r w:rsidRPr="00CE001E">
        <w:rPr>
          <w:rFonts w:ascii="Times New Roman" w:hAnsi="Times New Roman" w:cs="Times New Roman"/>
          <w:b/>
          <w:sz w:val="24"/>
          <w:szCs w:val="24"/>
        </w:rPr>
        <w:t xml:space="preserve">Dr. Abi Dymond </w:t>
      </w:r>
      <w:bookmarkEnd w:id="0"/>
      <w:r w:rsidR="0086725C" w:rsidRPr="00CE001E">
        <w:rPr>
          <w:rStyle w:val="EndnoteReference"/>
          <w:rFonts w:cs="Times New Roman"/>
          <w:b/>
          <w:sz w:val="24"/>
          <w:szCs w:val="24"/>
        </w:rPr>
        <w:endnoteReference w:id="1"/>
      </w:r>
      <w:r w:rsidR="0086725C" w:rsidRPr="00CE001E">
        <w:rPr>
          <w:rFonts w:ascii="Times New Roman" w:hAnsi="Times New Roman" w:cs="Times New Roman"/>
          <w:b/>
          <w:sz w:val="24"/>
          <w:szCs w:val="24"/>
        </w:rPr>
        <w:t>.</w:t>
      </w:r>
    </w:p>
    <w:p w:rsidR="001137B8" w:rsidRDefault="0086725C" w:rsidP="005C6F51">
      <w:pPr>
        <w:spacing w:line="240" w:lineRule="auto"/>
        <w:jc w:val="both"/>
        <w:rPr>
          <w:rFonts w:ascii="Times New Roman" w:hAnsi="Times New Roman" w:cs="Times New Roman"/>
          <w:sz w:val="24"/>
          <w:szCs w:val="24"/>
        </w:rPr>
      </w:pPr>
      <w:r w:rsidRPr="00CE001E">
        <w:rPr>
          <w:rFonts w:ascii="Times New Roman" w:hAnsi="Times New Roman" w:cs="Times New Roman"/>
          <w:sz w:val="24"/>
          <w:szCs w:val="24"/>
        </w:rPr>
        <w:t xml:space="preserve">Thank you for the opportunity to comment on a draft of the General Comment No. 36 on article 6 of the International Covenant on Civil and Political Rights, on the right to life.  </w:t>
      </w:r>
      <w:r>
        <w:rPr>
          <w:rFonts w:ascii="Times New Roman" w:hAnsi="Times New Roman" w:cs="Times New Roman"/>
          <w:sz w:val="24"/>
          <w:szCs w:val="24"/>
        </w:rPr>
        <w:t>T</w:t>
      </w:r>
      <w:r w:rsidRPr="00CE001E">
        <w:rPr>
          <w:rFonts w:ascii="Times New Roman" w:hAnsi="Times New Roman" w:cs="Times New Roman"/>
          <w:sz w:val="24"/>
          <w:szCs w:val="24"/>
        </w:rPr>
        <w:t xml:space="preserve">his submission is focused </w:t>
      </w:r>
      <w:r>
        <w:rPr>
          <w:rFonts w:ascii="Times New Roman" w:hAnsi="Times New Roman" w:cs="Times New Roman"/>
          <w:sz w:val="24"/>
          <w:szCs w:val="24"/>
        </w:rPr>
        <w:t xml:space="preserve">solely </w:t>
      </w:r>
      <w:r w:rsidRPr="00CE001E">
        <w:rPr>
          <w:rFonts w:ascii="Times New Roman" w:hAnsi="Times New Roman" w:cs="Times New Roman"/>
          <w:sz w:val="24"/>
          <w:szCs w:val="24"/>
        </w:rPr>
        <w:t xml:space="preserve">on aspects of the right to life pertaining </w:t>
      </w:r>
      <w:r w:rsidRPr="001137B8">
        <w:rPr>
          <w:rFonts w:ascii="Times New Roman" w:hAnsi="Times New Roman" w:cs="Times New Roman"/>
          <w:sz w:val="24"/>
          <w:szCs w:val="24"/>
        </w:rPr>
        <w:t xml:space="preserve">to the </w:t>
      </w:r>
      <w:r w:rsidR="00C41158" w:rsidRPr="001137B8">
        <w:rPr>
          <w:rFonts w:ascii="Times New Roman" w:hAnsi="Times New Roman" w:cs="Times New Roman"/>
          <w:sz w:val="24"/>
          <w:szCs w:val="24"/>
        </w:rPr>
        <w:t xml:space="preserve">use and </w:t>
      </w:r>
      <w:r w:rsidR="001137B8" w:rsidRPr="001137B8">
        <w:rPr>
          <w:rFonts w:ascii="Times New Roman" w:hAnsi="Times New Roman" w:cs="Times New Roman"/>
          <w:sz w:val="24"/>
          <w:szCs w:val="24"/>
        </w:rPr>
        <w:t xml:space="preserve">trade of less lethal weapon and </w:t>
      </w:r>
      <w:r w:rsidR="00C41158" w:rsidRPr="001137B8">
        <w:rPr>
          <w:rFonts w:ascii="Times New Roman" w:hAnsi="Times New Roman" w:cs="Times New Roman"/>
          <w:sz w:val="24"/>
          <w:szCs w:val="24"/>
        </w:rPr>
        <w:t>restraints</w:t>
      </w:r>
      <w:r w:rsidR="001137B8" w:rsidRPr="001137B8">
        <w:rPr>
          <w:rFonts w:ascii="Times New Roman" w:hAnsi="Times New Roman" w:cs="Times New Roman"/>
          <w:sz w:val="24"/>
          <w:szCs w:val="24"/>
        </w:rPr>
        <w:t xml:space="preserve">, as well as </w:t>
      </w:r>
      <w:r w:rsidR="00C41158" w:rsidRPr="001137B8">
        <w:rPr>
          <w:rFonts w:ascii="Times New Roman" w:hAnsi="Times New Roman" w:cs="Times New Roman"/>
          <w:sz w:val="24"/>
          <w:szCs w:val="24"/>
        </w:rPr>
        <w:t>goods used for capital punishment</w:t>
      </w:r>
      <w:r w:rsidR="001137B8">
        <w:rPr>
          <w:rFonts w:ascii="Times New Roman" w:hAnsi="Times New Roman" w:cs="Times New Roman"/>
          <w:sz w:val="24"/>
          <w:szCs w:val="24"/>
        </w:rPr>
        <w:t>,</w:t>
      </w:r>
      <w:r w:rsidR="00C41158" w:rsidRPr="00CE001E">
        <w:rPr>
          <w:rFonts w:ascii="Times New Roman" w:hAnsi="Times New Roman" w:cs="Times New Roman"/>
          <w:sz w:val="24"/>
          <w:szCs w:val="24"/>
        </w:rPr>
        <w:t xml:space="preserve"> </w:t>
      </w:r>
      <w:r>
        <w:rPr>
          <w:rFonts w:ascii="Times New Roman" w:hAnsi="Times New Roman" w:cs="Times New Roman"/>
          <w:sz w:val="24"/>
          <w:szCs w:val="24"/>
        </w:rPr>
        <w:t xml:space="preserve">and is structured so as to discuss particular paragraphs sequentially, and to provide suggestions for textual amendments where appropriate, with changes highlighted in bold.  </w:t>
      </w:r>
    </w:p>
    <w:p w:rsidR="0086725C" w:rsidRPr="005C1D67" w:rsidRDefault="0086725C" w:rsidP="008D139B">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Comments on Paragraph 12.</w:t>
      </w:r>
    </w:p>
    <w:p w:rsidR="0086725C" w:rsidRPr="009E0F96" w:rsidRDefault="0086725C" w:rsidP="005C6F51">
      <w:pPr>
        <w:pStyle w:val="SingleTxtG"/>
        <w:spacing w:line="240" w:lineRule="auto"/>
        <w:ind w:left="0" w:right="-46"/>
        <w:rPr>
          <w:i/>
          <w:sz w:val="24"/>
          <w:szCs w:val="24"/>
        </w:rPr>
      </w:pPr>
      <w:r w:rsidRPr="009E0F96">
        <w:rPr>
          <w:i/>
          <w:sz w:val="24"/>
          <w:szCs w:val="24"/>
        </w:rPr>
        <w:t>12.</w:t>
      </w:r>
      <w:r w:rsidRPr="009E0F96">
        <w:rPr>
          <w:i/>
          <w:sz w:val="24"/>
          <w:szCs w:val="24"/>
        </w:rPr>
        <w:tab/>
        <w:t xml:space="preserve">States parties engaged in the use of existing weapons and in the </w:t>
      </w:r>
      <w:r>
        <w:rPr>
          <w:i/>
          <w:sz w:val="24"/>
          <w:szCs w:val="24"/>
        </w:rPr>
        <w:t>study, d</w:t>
      </w:r>
      <w:r w:rsidRPr="009E0F96">
        <w:rPr>
          <w:i/>
          <w:sz w:val="24"/>
          <w:szCs w:val="24"/>
        </w:rPr>
        <w:t>evelopment, acquisition or adoption of new weapons, and means or methods of warfare must always consider their impact on the right to life. For example, the development for use in military operations of new lethal autonomous robotics lacking in human compassion and judgement, raises difficult legal and ethical questions concerning the right to life, including questions relating to legal responsibility for their use. [The Committee is therefore of the view that such weapon systems should not be [developed and] put into operation, either in times of war or in times of peace, unless and until a normative framework has been established ensuring that their use conforms with article 6 and other relevant norms of international law].</w:t>
      </w:r>
    </w:p>
    <w:p w:rsidR="0086725C" w:rsidRPr="005C1D67" w:rsidRDefault="0086725C" w:rsidP="005C6F51">
      <w:pPr>
        <w:pStyle w:val="SingleTxtG"/>
        <w:spacing w:line="240" w:lineRule="auto"/>
        <w:ind w:left="0"/>
        <w:rPr>
          <w:sz w:val="24"/>
          <w:szCs w:val="24"/>
        </w:rPr>
      </w:pPr>
      <w:r w:rsidRPr="005C1D67">
        <w:rPr>
          <w:sz w:val="24"/>
          <w:szCs w:val="24"/>
        </w:rPr>
        <w:t>Points pursuant to paragraph 12:</w:t>
      </w:r>
    </w:p>
    <w:p w:rsidR="0086725C" w:rsidRDefault="0086725C" w:rsidP="005C6F51">
      <w:pPr>
        <w:pStyle w:val="SingleTxtG"/>
        <w:numPr>
          <w:ilvl w:val="0"/>
          <w:numId w:val="1"/>
        </w:numPr>
        <w:tabs>
          <w:tab w:val="left" w:pos="9026"/>
        </w:tabs>
        <w:spacing w:line="240" w:lineRule="auto"/>
        <w:ind w:right="-46"/>
        <w:rPr>
          <w:sz w:val="24"/>
          <w:szCs w:val="24"/>
        </w:rPr>
      </w:pPr>
      <w:r w:rsidRPr="00CE001E">
        <w:rPr>
          <w:sz w:val="24"/>
          <w:szCs w:val="24"/>
        </w:rPr>
        <w:t>The</w:t>
      </w:r>
      <w:r>
        <w:rPr>
          <w:sz w:val="24"/>
          <w:szCs w:val="24"/>
        </w:rPr>
        <w:t xml:space="preserve"> emphasis on the need to consider the ‘impact on the right to life’ of new and existing weapons is an important point, and one that should be interpreted broadly, in at least two ways.  First, the need to review the impact of weapons on the right to life should not be limited solely to those weapons which constitute ‘means or methods of warfare’ (</w:t>
      </w:r>
      <w:r w:rsidRPr="00D41362">
        <w:rPr>
          <w:sz w:val="24"/>
          <w:szCs w:val="24"/>
        </w:rPr>
        <w:t>as enshrined in Article 36 of Protocol I Additional to the 1949 Geneva Conventions</w:t>
      </w:r>
      <w:r>
        <w:rPr>
          <w:sz w:val="24"/>
          <w:szCs w:val="24"/>
        </w:rPr>
        <w:t xml:space="preserve">), but should also be expanded so as to encompass weapons that may be adopted for law enforcement purposes. </w:t>
      </w:r>
      <w:r w:rsidRPr="00CE001E">
        <w:rPr>
          <w:sz w:val="24"/>
          <w:szCs w:val="24"/>
        </w:rPr>
        <w:t xml:space="preserve"> </w:t>
      </w:r>
      <w:r>
        <w:rPr>
          <w:sz w:val="24"/>
          <w:szCs w:val="24"/>
        </w:rPr>
        <w:t xml:space="preserve">Second, and relatedly, reviews should not just focus on weapons that are intended to be lethal, but should also cover </w:t>
      </w:r>
      <w:r w:rsidRPr="00CE001E">
        <w:rPr>
          <w:sz w:val="24"/>
          <w:szCs w:val="24"/>
        </w:rPr>
        <w:t>‘less lethal’ weapons</w:t>
      </w:r>
      <w:r>
        <w:rPr>
          <w:sz w:val="24"/>
          <w:szCs w:val="24"/>
        </w:rPr>
        <w:t xml:space="preserve"> and restraints</w:t>
      </w:r>
      <w:r w:rsidRPr="00CE001E">
        <w:rPr>
          <w:sz w:val="24"/>
          <w:szCs w:val="24"/>
        </w:rPr>
        <w:t xml:space="preserve">, given the potential of these weapons </w:t>
      </w:r>
      <w:r>
        <w:rPr>
          <w:sz w:val="24"/>
          <w:szCs w:val="24"/>
        </w:rPr>
        <w:t xml:space="preserve">to be associated with </w:t>
      </w:r>
      <w:r w:rsidRPr="00CE001E">
        <w:rPr>
          <w:sz w:val="24"/>
          <w:szCs w:val="24"/>
        </w:rPr>
        <w:t>lethal outcomes</w:t>
      </w:r>
      <w:r>
        <w:rPr>
          <w:sz w:val="24"/>
          <w:szCs w:val="24"/>
        </w:rPr>
        <w:t xml:space="preserve"> </w:t>
      </w:r>
      <w:r>
        <w:rPr>
          <w:rStyle w:val="EndnoteReference"/>
          <w:szCs w:val="24"/>
        </w:rPr>
        <w:endnoteReference w:id="2"/>
      </w:r>
      <w:r w:rsidRPr="00CE001E">
        <w:rPr>
          <w:sz w:val="24"/>
          <w:szCs w:val="24"/>
        </w:rPr>
        <w:t xml:space="preserve">.  </w:t>
      </w:r>
      <w:r>
        <w:rPr>
          <w:sz w:val="24"/>
          <w:szCs w:val="24"/>
        </w:rPr>
        <w:t xml:space="preserve">Indeed, the importance of conducting ‘systematic legal reviews’ of ‘less lethal weapons’ has been noted by a range of authors </w:t>
      </w:r>
      <w:r>
        <w:rPr>
          <w:rStyle w:val="EndnoteReference"/>
          <w:szCs w:val="24"/>
        </w:rPr>
        <w:endnoteReference w:id="3"/>
      </w:r>
      <w:r>
        <w:rPr>
          <w:sz w:val="24"/>
          <w:szCs w:val="24"/>
        </w:rPr>
        <w:t xml:space="preserve">, including most recently by the UN Special Rapporteur on Torture </w:t>
      </w:r>
      <w:r>
        <w:rPr>
          <w:rStyle w:val="EndnoteReference"/>
          <w:szCs w:val="24"/>
        </w:rPr>
        <w:endnoteReference w:id="4"/>
      </w:r>
      <w:r>
        <w:rPr>
          <w:sz w:val="24"/>
          <w:szCs w:val="24"/>
        </w:rPr>
        <w:t>.  Whilst appreciating the existing legal basis for the wording of this paragraph, alternative wordings may thus be worthy of consideration.</w:t>
      </w:r>
    </w:p>
    <w:p w:rsidR="0086725C" w:rsidRDefault="0086725C" w:rsidP="005C6F51">
      <w:pPr>
        <w:pStyle w:val="SingleTxtG"/>
        <w:numPr>
          <w:ilvl w:val="0"/>
          <w:numId w:val="1"/>
        </w:numPr>
        <w:tabs>
          <w:tab w:val="left" w:pos="9026"/>
        </w:tabs>
        <w:spacing w:line="240" w:lineRule="auto"/>
        <w:ind w:right="-46"/>
        <w:rPr>
          <w:sz w:val="24"/>
          <w:szCs w:val="24"/>
        </w:rPr>
      </w:pPr>
      <w:r w:rsidRPr="00FB2929">
        <w:rPr>
          <w:sz w:val="24"/>
          <w:szCs w:val="24"/>
        </w:rPr>
        <w:t>The example given is</w:t>
      </w:r>
      <w:r>
        <w:rPr>
          <w:sz w:val="24"/>
          <w:szCs w:val="24"/>
        </w:rPr>
        <w:t xml:space="preserve"> currently</w:t>
      </w:r>
      <w:r w:rsidRPr="00FB2929">
        <w:rPr>
          <w:sz w:val="24"/>
          <w:szCs w:val="24"/>
        </w:rPr>
        <w:t xml:space="preserve"> around the use of ‘new lethal autonomous robots’ in military operations.  Whilst questions around ‘human compassion and judgement’ (or the lack thereof) and legal responsibility for use are, perhaps, most pronounced for in situations where lethal weapons are deployed, the use of less lethal weapons by autonomous robotics may also raise </w:t>
      </w:r>
      <w:r>
        <w:rPr>
          <w:sz w:val="24"/>
          <w:szCs w:val="24"/>
        </w:rPr>
        <w:t xml:space="preserve">a range of </w:t>
      </w:r>
      <w:r w:rsidRPr="00FB2929">
        <w:rPr>
          <w:sz w:val="24"/>
          <w:szCs w:val="24"/>
        </w:rPr>
        <w:t xml:space="preserve">similar concerns.  </w:t>
      </w:r>
    </w:p>
    <w:p w:rsidR="0086725C" w:rsidRDefault="0086725C" w:rsidP="005C6F51">
      <w:pPr>
        <w:pStyle w:val="SingleTxtG"/>
        <w:numPr>
          <w:ilvl w:val="0"/>
          <w:numId w:val="1"/>
        </w:numPr>
        <w:tabs>
          <w:tab w:val="left" w:pos="9026"/>
        </w:tabs>
        <w:spacing w:line="240" w:lineRule="auto"/>
        <w:ind w:right="-46"/>
        <w:rPr>
          <w:sz w:val="24"/>
          <w:szCs w:val="24"/>
        </w:rPr>
      </w:pPr>
      <w:r>
        <w:rPr>
          <w:sz w:val="24"/>
          <w:szCs w:val="24"/>
        </w:rPr>
        <w:t xml:space="preserve">A further concern is that, in some circumstances, what constitutes a weapon is not always clear cut </w:t>
      </w:r>
      <w:r>
        <w:rPr>
          <w:rStyle w:val="EndnoteReference"/>
          <w:szCs w:val="24"/>
        </w:rPr>
        <w:endnoteReference w:id="5"/>
      </w:r>
      <w:r>
        <w:rPr>
          <w:sz w:val="24"/>
          <w:szCs w:val="24"/>
        </w:rPr>
        <w:t xml:space="preserve">.  Certain technologies can provide a range of benign and less benign functions with, for example, certain types of acoustic technologies providing (in the manufacturer’s words)  ‘warning tones’ </w:t>
      </w:r>
      <w:r>
        <w:rPr>
          <w:rStyle w:val="EndnoteReference"/>
          <w:szCs w:val="24"/>
        </w:rPr>
        <w:endnoteReference w:id="6"/>
      </w:r>
      <w:r>
        <w:rPr>
          <w:sz w:val="24"/>
          <w:szCs w:val="24"/>
        </w:rPr>
        <w:t xml:space="preserve"> as well as  long range communications capacity).   Similarly, certain technologies may blur the line between a weapon and restraint (for example, Electric-Shock (hand) cuffs  </w:t>
      </w:r>
      <w:r>
        <w:rPr>
          <w:rStyle w:val="EndnoteReference"/>
          <w:szCs w:val="24"/>
        </w:rPr>
        <w:endnoteReference w:id="7"/>
      </w:r>
      <w:r>
        <w:rPr>
          <w:sz w:val="24"/>
          <w:szCs w:val="24"/>
        </w:rPr>
        <w:t xml:space="preserve">).  To ensure that all relevant </w:t>
      </w:r>
      <w:r>
        <w:rPr>
          <w:sz w:val="24"/>
          <w:szCs w:val="24"/>
        </w:rPr>
        <w:lastRenderedPageBreak/>
        <w:t xml:space="preserve">technologies are included, the Committee may wish to consider providing an appropriately wide-ranging definition of the kinds of technologies covered by this paragraph.  </w:t>
      </w:r>
    </w:p>
    <w:p w:rsidR="0086725C" w:rsidRPr="005C1D67" w:rsidRDefault="0086725C" w:rsidP="005C6F51">
      <w:pPr>
        <w:pStyle w:val="SingleTxtG"/>
        <w:tabs>
          <w:tab w:val="left" w:pos="9026"/>
        </w:tabs>
        <w:spacing w:line="240" w:lineRule="auto"/>
        <w:ind w:left="0" w:right="-46"/>
        <w:rPr>
          <w:sz w:val="24"/>
          <w:szCs w:val="24"/>
          <w:u w:val="single"/>
        </w:rPr>
      </w:pPr>
      <w:r w:rsidRPr="005C1D67">
        <w:rPr>
          <w:sz w:val="24"/>
          <w:szCs w:val="24"/>
          <w:u w:val="single"/>
        </w:rPr>
        <w:t>Suggested amendment:</w:t>
      </w:r>
    </w:p>
    <w:p w:rsidR="0086725C" w:rsidRDefault="0086725C" w:rsidP="005C6F51">
      <w:pPr>
        <w:pStyle w:val="SingleTxtG"/>
        <w:spacing w:line="240" w:lineRule="auto"/>
        <w:ind w:left="0" w:right="-46"/>
        <w:rPr>
          <w:sz w:val="24"/>
          <w:szCs w:val="24"/>
          <w:u w:val="single"/>
        </w:rPr>
      </w:pPr>
      <w:r w:rsidRPr="005C1D67">
        <w:rPr>
          <w:sz w:val="24"/>
          <w:szCs w:val="24"/>
          <w:u w:val="single"/>
        </w:rPr>
        <w:t>12.</w:t>
      </w:r>
      <w:r w:rsidRPr="005C1D67">
        <w:rPr>
          <w:sz w:val="24"/>
          <w:szCs w:val="24"/>
          <w:u w:val="single"/>
        </w:rPr>
        <w:tab/>
        <w:t xml:space="preserve">States parties engaged in the use of existing </w:t>
      </w:r>
      <w:r w:rsidRPr="005C1D67">
        <w:rPr>
          <w:b/>
          <w:sz w:val="24"/>
          <w:szCs w:val="24"/>
          <w:u w:val="single"/>
        </w:rPr>
        <w:t>technologies with lethal</w:t>
      </w:r>
      <w:r>
        <w:rPr>
          <w:b/>
          <w:sz w:val="24"/>
          <w:szCs w:val="24"/>
          <w:u w:val="single"/>
        </w:rPr>
        <w:t xml:space="preserve">, </w:t>
      </w:r>
      <w:r w:rsidRPr="005C1D67">
        <w:rPr>
          <w:b/>
          <w:sz w:val="24"/>
          <w:szCs w:val="24"/>
          <w:u w:val="single"/>
        </w:rPr>
        <w:t>less lethal</w:t>
      </w:r>
      <w:r>
        <w:rPr>
          <w:b/>
          <w:sz w:val="24"/>
          <w:szCs w:val="24"/>
          <w:u w:val="single"/>
        </w:rPr>
        <w:t xml:space="preserve"> and / or restraint </w:t>
      </w:r>
      <w:r w:rsidRPr="005C1D67">
        <w:rPr>
          <w:b/>
          <w:sz w:val="24"/>
          <w:szCs w:val="24"/>
          <w:u w:val="single"/>
        </w:rPr>
        <w:t>application</w:t>
      </w:r>
      <w:r>
        <w:rPr>
          <w:b/>
          <w:sz w:val="24"/>
          <w:szCs w:val="24"/>
          <w:u w:val="single"/>
        </w:rPr>
        <w:t>s</w:t>
      </w:r>
      <w:r w:rsidRPr="005C1D67">
        <w:rPr>
          <w:b/>
          <w:sz w:val="24"/>
          <w:szCs w:val="24"/>
          <w:u w:val="single"/>
        </w:rPr>
        <w:t xml:space="preserve"> to humans, </w:t>
      </w:r>
      <w:r w:rsidRPr="005C1D67">
        <w:rPr>
          <w:sz w:val="24"/>
          <w:szCs w:val="24"/>
          <w:u w:val="single"/>
        </w:rPr>
        <w:t xml:space="preserve"> and in the study, development, acquisition or adoption of new </w:t>
      </w:r>
      <w:r w:rsidRPr="005C1D67">
        <w:rPr>
          <w:b/>
          <w:sz w:val="24"/>
          <w:szCs w:val="24"/>
          <w:u w:val="single"/>
        </w:rPr>
        <w:t>technologies of this nature</w:t>
      </w:r>
      <w:r w:rsidRPr="005C1D67">
        <w:rPr>
          <w:sz w:val="24"/>
          <w:szCs w:val="24"/>
          <w:u w:val="single"/>
        </w:rPr>
        <w:t>, and means or methods of warfare</w:t>
      </w:r>
      <w:r>
        <w:rPr>
          <w:sz w:val="24"/>
          <w:szCs w:val="24"/>
          <w:u w:val="single"/>
        </w:rPr>
        <w:t xml:space="preserve">, </w:t>
      </w:r>
      <w:r>
        <w:rPr>
          <w:b/>
          <w:sz w:val="24"/>
          <w:szCs w:val="24"/>
          <w:u w:val="single"/>
        </w:rPr>
        <w:t>law enforcement or other state sanctioned activities</w:t>
      </w:r>
      <w:r w:rsidRPr="005C1D67">
        <w:rPr>
          <w:sz w:val="24"/>
          <w:szCs w:val="24"/>
          <w:u w:val="single"/>
        </w:rPr>
        <w:t xml:space="preserve"> must always consider their impact on the right to life. </w:t>
      </w:r>
    </w:p>
    <w:p w:rsidR="0086725C" w:rsidRDefault="0086725C" w:rsidP="005C6F51">
      <w:pPr>
        <w:spacing w:line="240" w:lineRule="auto"/>
        <w:jc w:val="both"/>
        <w:rPr>
          <w:rFonts w:ascii="Times New Roman" w:hAnsi="Times New Roman" w:cs="Times New Roman"/>
          <w:sz w:val="24"/>
          <w:szCs w:val="24"/>
          <w:u w:val="single"/>
        </w:rPr>
      </w:pPr>
    </w:p>
    <w:p w:rsidR="0086725C" w:rsidRPr="005C1D67" w:rsidRDefault="0086725C" w:rsidP="008D139B">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C</w:t>
      </w:r>
      <w:r w:rsidRPr="005C1D67">
        <w:rPr>
          <w:rFonts w:ascii="Times New Roman" w:hAnsi="Times New Roman" w:cs="Times New Roman"/>
          <w:sz w:val="24"/>
          <w:szCs w:val="24"/>
          <w:u w:val="single"/>
        </w:rPr>
        <w:t>omments on Paragraph 14.</w:t>
      </w:r>
    </w:p>
    <w:p w:rsidR="0086725C" w:rsidRPr="005C1D67" w:rsidRDefault="0086725C" w:rsidP="005C6F51">
      <w:pPr>
        <w:spacing w:line="240" w:lineRule="auto"/>
        <w:jc w:val="both"/>
        <w:rPr>
          <w:rFonts w:ascii="Times New Roman" w:eastAsia="Times New Roman" w:hAnsi="Times New Roman" w:cs="Times New Roman"/>
          <w:i/>
          <w:sz w:val="24"/>
          <w:szCs w:val="24"/>
        </w:rPr>
      </w:pPr>
      <w:r w:rsidRPr="00D61CA0">
        <w:rPr>
          <w:rFonts w:ascii="Times New Roman" w:hAnsi="Times New Roman" w:cs="Times New Roman"/>
          <w:i/>
          <w:sz w:val="24"/>
          <w:szCs w:val="24"/>
        </w:rPr>
        <w:t>14.</w:t>
      </w:r>
      <w:r w:rsidRPr="00D61CA0">
        <w:rPr>
          <w:rFonts w:ascii="Times New Roman" w:hAnsi="Times New Roman" w:cs="Times New Roman"/>
          <w:i/>
          <w:sz w:val="24"/>
          <w:szCs w:val="24"/>
        </w:rPr>
        <w:tab/>
        <w:t>States parties should monitor the impact on the right to life of less-lethal weapons which are designed for use by law-enforcement agents and soldiers charged with law-enforcement missions, including electro-muscular disruption devices (Tasers), rubber-coated metal bullets, and attenuating energy projectiles. The use of such weapons must be restricted only to law-enforcement agents who have undergone appropriate training, and must be strictly regulated in accordance with international protocols for their use</w:t>
      </w:r>
      <w:r>
        <w:rPr>
          <w:rFonts w:ascii="Times New Roman" w:hAnsi="Times New Roman" w:cs="Times New Roman"/>
          <w:i/>
          <w:sz w:val="24"/>
          <w:szCs w:val="24"/>
        </w:rPr>
        <w:t>.</w:t>
      </w:r>
      <w:r w:rsidRPr="00D61CA0">
        <w:rPr>
          <w:rFonts w:ascii="Times New Roman" w:hAnsi="Times New Roman" w:cs="Times New Roman"/>
          <w:i/>
          <w:sz w:val="24"/>
          <w:szCs w:val="24"/>
        </w:rPr>
        <w:t xml:space="preserve"> Furthermore, such less-lethal weapons can only be employed, subject to requirements of necessity and proportionality, in situations of exceptional nature in which other less harmful measures have proven to be, or clearly are inad</w:t>
      </w:r>
      <w:r>
        <w:rPr>
          <w:rFonts w:ascii="Times New Roman" w:hAnsi="Times New Roman" w:cs="Times New Roman"/>
          <w:i/>
          <w:sz w:val="24"/>
          <w:szCs w:val="24"/>
        </w:rPr>
        <w:t>equate.</w:t>
      </w:r>
      <w:r w:rsidRPr="00D61CA0">
        <w:rPr>
          <w:rFonts w:ascii="Times New Roman" w:hAnsi="Times New Roman" w:cs="Times New Roman"/>
          <w:i/>
          <w:sz w:val="24"/>
          <w:szCs w:val="24"/>
        </w:rPr>
        <w:t xml:space="preserve"> For example, States parties should not resort to them in routine situations of crowd control and demonstrations. </w:t>
      </w:r>
    </w:p>
    <w:p w:rsidR="0086725C" w:rsidRPr="005C1D67" w:rsidRDefault="0086725C" w:rsidP="005C6F51">
      <w:pPr>
        <w:pStyle w:val="SingleTxtG"/>
        <w:spacing w:line="240" w:lineRule="auto"/>
        <w:ind w:left="0"/>
        <w:rPr>
          <w:sz w:val="24"/>
          <w:szCs w:val="24"/>
        </w:rPr>
      </w:pPr>
      <w:r w:rsidRPr="005C1D67">
        <w:rPr>
          <w:sz w:val="24"/>
          <w:szCs w:val="24"/>
        </w:rPr>
        <w:t>Points pursuant to paragraph 14:</w:t>
      </w:r>
    </w:p>
    <w:p w:rsidR="0086725C" w:rsidRDefault="0086725C" w:rsidP="005C6F51">
      <w:pPr>
        <w:pStyle w:val="SingleTxtG"/>
        <w:numPr>
          <w:ilvl w:val="0"/>
          <w:numId w:val="2"/>
        </w:numPr>
        <w:tabs>
          <w:tab w:val="left" w:pos="8931"/>
        </w:tabs>
        <w:spacing w:line="240" w:lineRule="auto"/>
        <w:ind w:right="-46"/>
        <w:rPr>
          <w:sz w:val="24"/>
          <w:szCs w:val="24"/>
        </w:rPr>
      </w:pPr>
      <w:r w:rsidRPr="00952DF8">
        <w:rPr>
          <w:sz w:val="24"/>
          <w:szCs w:val="24"/>
        </w:rPr>
        <w:t>The recognition that state parties should monitor the impact of less lethal weapons on the right to life (and, although outside the scope of this comment, the impact on a range of other human rights, including the prohibition from torture and ill-treatment</w:t>
      </w:r>
      <w:r w:rsidRPr="00B36E3B">
        <w:rPr>
          <w:sz w:val="24"/>
          <w:szCs w:val="24"/>
        </w:rPr>
        <w:t xml:space="preserve">) is timely and important.  </w:t>
      </w:r>
      <w:r w:rsidRPr="0086725C">
        <w:rPr>
          <w:sz w:val="24"/>
          <w:szCs w:val="24"/>
        </w:rPr>
        <w:t>The notion that such monitoring should be</w:t>
      </w:r>
      <w:r w:rsidRPr="00952DF8">
        <w:rPr>
          <w:sz w:val="24"/>
          <w:szCs w:val="24"/>
        </w:rPr>
        <w:t xml:space="preserve"> systematic, ongoing and should be capable of leading, in a timely fashion, to changes in laws, policies and practices – where these are shown by such monitoring to be necessary – is an important one and could, perhaps, be spelt out a little more explicitly.  Indeed, studies have shown that the impact associated with the introduction of a particular technology or weapon depends not just on the so-called ‘technical features’ of the weapon, but on a range of complex socio-technical interactions with, for example, the officers carrying the weapon and the people potentially subjected to it, as well as the broader regulatory regime surrounding the weapon.  As such, the impact of particular weapons—be they, for example, firearms </w:t>
      </w:r>
      <w:r>
        <w:rPr>
          <w:rStyle w:val="EndnoteReference"/>
          <w:szCs w:val="24"/>
        </w:rPr>
        <w:endnoteReference w:id="8"/>
      </w:r>
      <w:r w:rsidRPr="00952DF8">
        <w:rPr>
          <w:sz w:val="24"/>
          <w:szCs w:val="24"/>
        </w:rPr>
        <w:t xml:space="preserve">, projectile electric-shock weapons </w:t>
      </w:r>
      <w:r>
        <w:rPr>
          <w:rStyle w:val="EndnoteReference"/>
          <w:szCs w:val="24"/>
        </w:rPr>
        <w:endnoteReference w:id="9"/>
      </w:r>
      <w:r w:rsidRPr="00952DF8">
        <w:rPr>
          <w:sz w:val="24"/>
          <w:szCs w:val="24"/>
        </w:rPr>
        <w:t xml:space="preserve"> or irritant sprays </w:t>
      </w:r>
      <w:r>
        <w:rPr>
          <w:rStyle w:val="EndnoteReference"/>
          <w:szCs w:val="24"/>
        </w:rPr>
        <w:endnoteReference w:id="10"/>
      </w:r>
      <w:r w:rsidRPr="00952DF8">
        <w:rPr>
          <w:sz w:val="24"/>
          <w:szCs w:val="24"/>
        </w:rPr>
        <w:t>--on a range of human rights, including the right to life, is not something that can be anticipated in advance</w:t>
      </w:r>
      <w:r>
        <w:rPr>
          <w:sz w:val="24"/>
          <w:szCs w:val="24"/>
        </w:rPr>
        <w:t xml:space="preserve">.  It </w:t>
      </w:r>
      <w:r w:rsidRPr="00952DF8">
        <w:rPr>
          <w:sz w:val="24"/>
          <w:szCs w:val="24"/>
        </w:rPr>
        <w:t xml:space="preserve"> instead requires sustained, systematic monitoring and evaluation initiatives</w:t>
      </w:r>
      <w:r w:rsidRPr="00B36E3B">
        <w:rPr>
          <w:sz w:val="24"/>
          <w:szCs w:val="24"/>
        </w:rPr>
        <w:t>—including,</w:t>
      </w:r>
      <w:r w:rsidRPr="0086725C">
        <w:rPr>
          <w:sz w:val="24"/>
          <w:szCs w:val="24"/>
        </w:rPr>
        <w:t xml:space="preserve"> but not limited to, systematic reporting of a wide range of use of force options</w:t>
      </w:r>
      <w:r>
        <w:rPr>
          <w:sz w:val="24"/>
          <w:szCs w:val="24"/>
        </w:rPr>
        <w:t xml:space="preserve"> </w:t>
      </w:r>
      <w:r>
        <w:rPr>
          <w:rStyle w:val="EndnoteReference"/>
          <w:szCs w:val="24"/>
        </w:rPr>
        <w:endnoteReference w:id="11"/>
      </w:r>
      <w:r w:rsidRPr="00952DF8">
        <w:rPr>
          <w:sz w:val="24"/>
          <w:szCs w:val="24"/>
        </w:rPr>
        <w:t xml:space="preserve">—which </w:t>
      </w:r>
      <w:r>
        <w:rPr>
          <w:sz w:val="24"/>
          <w:szCs w:val="24"/>
        </w:rPr>
        <w:t xml:space="preserve">allow for the identification and tackling of issues </w:t>
      </w:r>
      <w:r w:rsidRPr="00952DF8">
        <w:rPr>
          <w:sz w:val="24"/>
          <w:szCs w:val="24"/>
        </w:rPr>
        <w:t xml:space="preserve">at the earliest opportunity.  </w:t>
      </w:r>
    </w:p>
    <w:p w:rsidR="0086725C" w:rsidRPr="00952DF8" w:rsidRDefault="0086725C" w:rsidP="005C6F51">
      <w:pPr>
        <w:pStyle w:val="SingleTxtG"/>
        <w:numPr>
          <w:ilvl w:val="0"/>
          <w:numId w:val="2"/>
        </w:numPr>
        <w:spacing w:line="240" w:lineRule="auto"/>
        <w:ind w:right="-46"/>
        <w:rPr>
          <w:sz w:val="24"/>
          <w:szCs w:val="24"/>
        </w:rPr>
      </w:pPr>
      <w:r w:rsidRPr="00952DF8">
        <w:rPr>
          <w:sz w:val="24"/>
          <w:szCs w:val="24"/>
        </w:rPr>
        <w:t>Given the ever-evolving range of less lethal technologies available, and others that are in the process of development, it is important that the list of weapons given here is seen as an illustrative</w:t>
      </w:r>
      <w:r w:rsidRPr="00B36E3B">
        <w:rPr>
          <w:sz w:val="24"/>
          <w:szCs w:val="24"/>
        </w:rPr>
        <w:t xml:space="preserve"> example of the kinds of technologies covered by the clause, and not as a finite, restrictive </w:t>
      </w:r>
      <w:r w:rsidRPr="0086725C">
        <w:rPr>
          <w:sz w:val="24"/>
          <w:szCs w:val="24"/>
        </w:rPr>
        <w:t>document.  Similarly, it is important that robust monitoring of the impact of less lethal weapons on the right to life occurs for all electric-shock (and other less-lethal) technologies, not just for Tasers (the brand name of products manufactured by the American company Axon, previously called Taser International).</w:t>
      </w:r>
      <w:r w:rsidRPr="00952DF8">
        <w:rPr>
          <w:sz w:val="24"/>
          <w:szCs w:val="24"/>
        </w:rPr>
        <w:t xml:space="preserve">   </w:t>
      </w:r>
    </w:p>
    <w:p w:rsidR="0086725C" w:rsidRDefault="0086725C" w:rsidP="005C6F51">
      <w:pPr>
        <w:pStyle w:val="SingleTxtG"/>
        <w:numPr>
          <w:ilvl w:val="0"/>
          <w:numId w:val="2"/>
        </w:numPr>
        <w:spacing w:line="240" w:lineRule="auto"/>
        <w:ind w:right="-46"/>
        <w:rPr>
          <w:sz w:val="24"/>
          <w:szCs w:val="24"/>
        </w:rPr>
      </w:pPr>
      <w:r>
        <w:rPr>
          <w:sz w:val="24"/>
          <w:szCs w:val="24"/>
        </w:rPr>
        <w:lastRenderedPageBreak/>
        <w:t xml:space="preserve">As evidence suggests that the use of restraint technologies can be associated with lethal outcomes </w:t>
      </w:r>
      <w:r>
        <w:rPr>
          <w:rStyle w:val="EndnoteReference"/>
          <w:szCs w:val="24"/>
        </w:rPr>
        <w:endnoteReference w:id="12"/>
      </w:r>
      <w:r>
        <w:rPr>
          <w:sz w:val="24"/>
          <w:szCs w:val="24"/>
        </w:rPr>
        <w:t xml:space="preserve">, it is also important that the impact that restraints may have on the right to life is also monitored, appropriately trained, regulated and controlled.   </w:t>
      </w:r>
    </w:p>
    <w:p w:rsidR="0086725C" w:rsidRDefault="0086725C" w:rsidP="005C6F51">
      <w:pPr>
        <w:pStyle w:val="SingleTxtG"/>
        <w:numPr>
          <w:ilvl w:val="0"/>
          <w:numId w:val="2"/>
        </w:numPr>
        <w:spacing w:line="240" w:lineRule="auto"/>
        <w:ind w:right="-46"/>
        <w:rPr>
          <w:sz w:val="24"/>
          <w:szCs w:val="24"/>
        </w:rPr>
      </w:pPr>
      <w:r>
        <w:rPr>
          <w:sz w:val="24"/>
          <w:szCs w:val="24"/>
        </w:rPr>
        <w:t xml:space="preserve">As evidence suggests that less lethal weapons, including Taser, are often used in conjunction with other use of force options </w:t>
      </w:r>
      <w:r>
        <w:rPr>
          <w:rStyle w:val="EndnoteReference"/>
          <w:szCs w:val="24"/>
        </w:rPr>
        <w:endnoteReference w:id="13"/>
      </w:r>
      <w:r>
        <w:rPr>
          <w:sz w:val="24"/>
          <w:szCs w:val="24"/>
        </w:rPr>
        <w:t xml:space="preserve"> , it is important to look at the impact that multiple use of force options, used in combination, may have on the right to life, instead of looking at particular technologies in isolation.</w:t>
      </w:r>
    </w:p>
    <w:p w:rsidR="00C41158" w:rsidRDefault="00C41158" w:rsidP="005C6F51">
      <w:pPr>
        <w:pStyle w:val="ListParagraph"/>
        <w:numPr>
          <w:ilvl w:val="0"/>
          <w:numId w:val="2"/>
        </w:numPr>
        <w:spacing w:line="240" w:lineRule="auto"/>
        <w:jc w:val="both"/>
        <w:rPr>
          <w:rFonts w:ascii="Times New Roman" w:eastAsia="Times New Roman" w:hAnsi="Times New Roman" w:cs="Times New Roman"/>
          <w:sz w:val="24"/>
          <w:szCs w:val="24"/>
        </w:rPr>
      </w:pPr>
      <w:r w:rsidRPr="00C41158">
        <w:rPr>
          <w:rFonts w:ascii="Times New Roman" w:eastAsia="Times New Roman" w:hAnsi="Times New Roman" w:cs="Times New Roman"/>
          <w:sz w:val="24"/>
          <w:szCs w:val="24"/>
        </w:rPr>
        <w:t xml:space="preserve">‘Attenuating energy projectiles’ is not a widely-used term, and can also be used to refer to a particular type of kinetic impact projectile, as opposed to weapons in this class more broadly.   A term such as ‘launched projectiles’ or ‘kinetic impact projectiles’ might avoid confusion here, and helpfully broaden out the range of technologies covered by this article. </w:t>
      </w:r>
    </w:p>
    <w:p w:rsidR="00C41158" w:rsidRDefault="00C41158" w:rsidP="005C6F51">
      <w:pPr>
        <w:pStyle w:val="ListParagraph"/>
        <w:spacing w:line="240" w:lineRule="auto"/>
        <w:jc w:val="both"/>
      </w:pPr>
    </w:p>
    <w:p w:rsidR="00C41158" w:rsidRPr="00C41158" w:rsidRDefault="00C41158" w:rsidP="005C6F51">
      <w:pPr>
        <w:pStyle w:val="ListParagraph"/>
        <w:numPr>
          <w:ilvl w:val="0"/>
          <w:numId w:val="2"/>
        </w:numPr>
        <w:spacing w:line="240" w:lineRule="auto"/>
        <w:jc w:val="both"/>
        <w:rPr>
          <w:rFonts w:ascii="Times New Roman" w:eastAsia="Times New Roman" w:hAnsi="Times New Roman" w:cs="Times New Roman"/>
          <w:sz w:val="24"/>
          <w:szCs w:val="24"/>
        </w:rPr>
      </w:pPr>
      <w:r w:rsidRPr="00C41158">
        <w:rPr>
          <w:rFonts w:ascii="Times New Roman" w:eastAsia="Times New Roman" w:hAnsi="Times New Roman" w:cs="Times New Roman"/>
          <w:sz w:val="24"/>
          <w:szCs w:val="24"/>
        </w:rPr>
        <w:t xml:space="preserve">The paragraph refers to rubber-coated metal bullets, but concerns have been expressed that these rounds impact with excessive energy and cannot be used safely </w:t>
      </w:r>
      <w:r w:rsidR="00CB7F47">
        <w:rPr>
          <w:rStyle w:val="EndnoteReference"/>
          <w:rFonts w:eastAsia="Times New Roman" w:cs="Times New Roman"/>
          <w:szCs w:val="24"/>
        </w:rPr>
        <w:endnoteReference w:id="14"/>
      </w:r>
      <w:r w:rsidR="00CB7F47">
        <w:rPr>
          <w:rFonts w:ascii="Times New Roman" w:eastAsia="Times New Roman" w:hAnsi="Times New Roman" w:cs="Times New Roman"/>
          <w:sz w:val="24"/>
          <w:szCs w:val="24"/>
        </w:rPr>
        <w:t xml:space="preserve"> </w:t>
      </w:r>
      <w:r w:rsidRPr="00C41158">
        <w:rPr>
          <w:rFonts w:ascii="Times New Roman" w:eastAsia="Times New Roman" w:hAnsi="Times New Roman" w:cs="Times New Roman"/>
          <w:sz w:val="24"/>
          <w:szCs w:val="24"/>
        </w:rPr>
        <w:t>– and are also a more injurious, and potentially more lethal alternative, than other forms of kinetic impact rounds available . As a result, there have been calls for their use to be prohibited</w:t>
      </w:r>
      <w:r w:rsidR="00CB7F47">
        <w:rPr>
          <w:rFonts w:eastAsia="Times New Roman" w:cs="Times New Roman"/>
          <w:szCs w:val="24"/>
        </w:rPr>
        <w:t xml:space="preserve"> </w:t>
      </w:r>
      <w:r w:rsidR="00CB7F47">
        <w:rPr>
          <w:rStyle w:val="EndnoteReference"/>
          <w:rFonts w:eastAsia="Times New Roman" w:cs="Times New Roman"/>
          <w:szCs w:val="24"/>
        </w:rPr>
        <w:endnoteReference w:id="15"/>
      </w:r>
      <w:r>
        <w:rPr>
          <w:rFonts w:ascii="Times New Roman" w:eastAsia="Times New Roman" w:hAnsi="Times New Roman" w:cs="Times New Roman"/>
          <w:sz w:val="24"/>
          <w:szCs w:val="24"/>
        </w:rPr>
        <w:t xml:space="preserve">.  </w:t>
      </w:r>
      <w:r w:rsidRPr="00C41158">
        <w:rPr>
          <w:rFonts w:ascii="Times New Roman" w:eastAsia="Times New Roman" w:hAnsi="Times New Roman" w:cs="Times New Roman"/>
          <w:sz w:val="24"/>
          <w:szCs w:val="24"/>
        </w:rPr>
        <w:t>The Committee may wish to consider either removing reference to these bullets from the paragraph or</w:t>
      </w:r>
      <w:r>
        <w:rPr>
          <w:rFonts w:ascii="Times New Roman" w:eastAsia="Times New Roman" w:hAnsi="Times New Roman" w:cs="Times New Roman"/>
          <w:sz w:val="24"/>
          <w:szCs w:val="24"/>
        </w:rPr>
        <w:t>,</w:t>
      </w:r>
      <w:r w:rsidRPr="00C41158">
        <w:rPr>
          <w:rFonts w:ascii="Times New Roman" w:eastAsia="Times New Roman" w:hAnsi="Times New Roman" w:cs="Times New Roman"/>
          <w:sz w:val="24"/>
          <w:szCs w:val="24"/>
        </w:rPr>
        <w:t xml:space="preserve"> more helpfully</w:t>
      </w:r>
      <w:r>
        <w:rPr>
          <w:rFonts w:ascii="Times New Roman" w:eastAsia="Times New Roman" w:hAnsi="Times New Roman" w:cs="Times New Roman"/>
          <w:sz w:val="24"/>
          <w:szCs w:val="24"/>
        </w:rPr>
        <w:t>,</w:t>
      </w:r>
      <w:r w:rsidRPr="00C41158">
        <w:rPr>
          <w:rFonts w:ascii="Times New Roman" w:eastAsia="Times New Roman" w:hAnsi="Times New Roman" w:cs="Times New Roman"/>
          <w:sz w:val="24"/>
          <w:szCs w:val="24"/>
        </w:rPr>
        <w:t xml:space="preserve"> introducing a sentence recommending their prohibition.</w:t>
      </w:r>
    </w:p>
    <w:p w:rsidR="00C41158" w:rsidRDefault="00CB7F47" w:rsidP="005C6F51">
      <w:pPr>
        <w:pStyle w:val="SingleTxtG"/>
        <w:numPr>
          <w:ilvl w:val="0"/>
          <w:numId w:val="2"/>
        </w:numPr>
        <w:spacing w:line="240" w:lineRule="auto"/>
        <w:ind w:right="-46"/>
        <w:rPr>
          <w:sz w:val="24"/>
          <w:szCs w:val="24"/>
        </w:rPr>
      </w:pPr>
      <w:r>
        <w:rPr>
          <w:sz w:val="24"/>
          <w:szCs w:val="24"/>
        </w:rPr>
        <w:t xml:space="preserve">At present, the draft wording doesn’t explicitly take into account the use of </w:t>
      </w:r>
      <w:r w:rsidRPr="00CB7F47">
        <w:rPr>
          <w:sz w:val="24"/>
          <w:szCs w:val="24"/>
        </w:rPr>
        <w:t>less lethal weapons by private individuals and entities engaged in law enforcement activities. The Guidelines for the Effective Implementation of the Code of Conduct for Law Enforcement Officials state that the “definition of law enforcement officials shall be given the widest possible interpretation”. In its explanatory paragraph on “law enforcement official”, the UNODC Resource Book sets out that “States should also ensure their laws address the use of force by private security providers, who are engaged by the authorities to carry out law enforcement functions, and hold them equally accountable.”</w:t>
      </w:r>
      <w:r>
        <w:rPr>
          <w:sz w:val="24"/>
          <w:szCs w:val="24"/>
        </w:rPr>
        <w:t xml:space="preserve">  The Committee may wish to reflect this in its formulation.</w:t>
      </w:r>
    </w:p>
    <w:p w:rsidR="0086725C" w:rsidRDefault="0086725C" w:rsidP="005C6F51">
      <w:pPr>
        <w:pStyle w:val="SingleTxtG"/>
        <w:numPr>
          <w:ilvl w:val="0"/>
          <w:numId w:val="2"/>
        </w:numPr>
        <w:spacing w:line="240" w:lineRule="auto"/>
        <w:ind w:right="-46"/>
        <w:rPr>
          <w:sz w:val="24"/>
          <w:szCs w:val="24"/>
        </w:rPr>
      </w:pPr>
      <w:r>
        <w:rPr>
          <w:sz w:val="24"/>
          <w:szCs w:val="24"/>
        </w:rPr>
        <w:t xml:space="preserve">The term ‘designed for use by law enforcement agents’ may risk excluding military technologies which are subsequently transferred to police departments.  </w:t>
      </w:r>
    </w:p>
    <w:p w:rsidR="005C6F51" w:rsidRDefault="0086725C" w:rsidP="005C6F51">
      <w:pPr>
        <w:pStyle w:val="SingleTxtG"/>
        <w:numPr>
          <w:ilvl w:val="0"/>
          <w:numId w:val="2"/>
        </w:numPr>
        <w:spacing w:line="240" w:lineRule="auto"/>
        <w:ind w:right="-46"/>
        <w:rPr>
          <w:sz w:val="24"/>
          <w:szCs w:val="24"/>
        </w:rPr>
      </w:pPr>
      <w:r w:rsidRPr="00976412">
        <w:rPr>
          <w:sz w:val="24"/>
          <w:szCs w:val="24"/>
        </w:rPr>
        <w:t>The emphasis on the need for appropriate regulation, training and on-going monitoring is welcome, and could usefully be complemented by further reference to the testing and selection process by which weapons and restraints are chosen; that is, the processes that occur prior to their (potential) introduction.  Such processes are crucial if the adoption of weapons and restraints presenting a risk of unwarranted injury (up to and including death)</w:t>
      </w:r>
      <w:r>
        <w:rPr>
          <w:sz w:val="24"/>
          <w:szCs w:val="24"/>
        </w:rPr>
        <w:t xml:space="preserve"> and / or arbitrary deprivation of life</w:t>
      </w:r>
      <w:r w:rsidRPr="00976412">
        <w:rPr>
          <w:sz w:val="24"/>
          <w:szCs w:val="24"/>
        </w:rPr>
        <w:t xml:space="preserve"> is to be prevented.  Robust testing and selection procedures can also help to ensure that the technologies adopted are capable of ‘increasingly restraining the application of means capable of causing death or injury to persons’, as set out in the  UN Basic Principles on the Use of Force and Firearms, and indeed the Basic Principles also note the importance of the careful evaluation of the ‘development and deployment’ of less-lethal weapons. </w:t>
      </w:r>
    </w:p>
    <w:p w:rsidR="0086725C" w:rsidRPr="005C6F51" w:rsidRDefault="0086725C" w:rsidP="005C6F51">
      <w:pPr>
        <w:pStyle w:val="SingleTxtG"/>
        <w:numPr>
          <w:ilvl w:val="0"/>
          <w:numId w:val="2"/>
        </w:numPr>
        <w:spacing w:line="240" w:lineRule="auto"/>
        <w:ind w:right="-46"/>
        <w:rPr>
          <w:sz w:val="24"/>
          <w:szCs w:val="24"/>
        </w:rPr>
      </w:pPr>
      <w:r w:rsidRPr="005C6F51">
        <w:rPr>
          <w:sz w:val="24"/>
          <w:szCs w:val="24"/>
        </w:rPr>
        <w:t xml:space="preserve">The Human Rights Committee may also wish to consider endorsing recent calls by the former UN Special Rapporteur on extrajudicial, summary or arbitrary executions for the formation of an ‘expert group to examine the application of the international human rights framework to less-lethal weapons’ </w:t>
      </w:r>
      <w:r w:rsidRPr="001137B8">
        <w:rPr>
          <w:sz w:val="24"/>
          <w:szCs w:val="24"/>
          <w:vertAlign w:val="superscript"/>
        </w:rPr>
        <w:endnoteReference w:id="16"/>
      </w:r>
      <w:r w:rsidRPr="005C6F51">
        <w:rPr>
          <w:sz w:val="24"/>
          <w:szCs w:val="24"/>
          <w:vertAlign w:val="superscript"/>
        </w:rPr>
        <w:t>,</w:t>
      </w:r>
      <w:r w:rsidRPr="005C6F51">
        <w:rPr>
          <w:sz w:val="24"/>
          <w:szCs w:val="24"/>
        </w:rPr>
        <w:t xml:space="preserve"> and by the UN Human Rights Council for States to pursue ‘international efforts to regulate and establish protocols </w:t>
      </w:r>
      <w:r w:rsidRPr="005C6F51">
        <w:rPr>
          <w:sz w:val="24"/>
          <w:szCs w:val="24"/>
        </w:rPr>
        <w:lastRenderedPageBreak/>
        <w:t xml:space="preserve">for the training and use of non-lethal weapons’ </w:t>
      </w:r>
      <w:r w:rsidRPr="00A90EF5">
        <w:rPr>
          <w:sz w:val="24"/>
          <w:szCs w:val="24"/>
          <w:vertAlign w:val="superscript"/>
        </w:rPr>
        <w:endnoteReference w:id="17"/>
      </w:r>
      <w:r w:rsidRPr="005C6F51">
        <w:rPr>
          <w:sz w:val="24"/>
          <w:szCs w:val="24"/>
        </w:rPr>
        <w:t xml:space="preserve">.  At present the human rights issues posed by less-lethal weapons, the need for strict regulation and training protocols remains under-recognised in some quarters whilst, at the same time, there are few common, detailed standards that could be said to apply to such weapons </w:t>
      </w:r>
      <w:r>
        <w:rPr>
          <w:rStyle w:val="EndnoteReference"/>
          <w:szCs w:val="24"/>
        </w:rPr>
        <w:endnoteReference w:id="18"/>
      </w:r>
      <w:r w:rsidRPr="005C6F51">
        <w:rPr>
          <w:sz w:val="24"/>
          <w:szCs w:val="24"/>
        </w:rPr>
        <w:t xml:space="preserve">.     </w:t>
      </w:r>
    </w:p>
    <w:p w:rsidR="0086725C" w:rsidRDefault="0086725C" w:rsidP="005C6F51">
      <w:pPr>
        <w:pStyle w:val="SingleTxtG"/>
        <w:spacing w:line="240" w:lineRule="auto"/>
        <w:ind w:left="0"/>
        <w:rPr>
          <w:sz w:val="24"/>
          <w:szCs w:val="24"/>
          <w:u w:val="single"/>
        </w:rPr>
      </w:pPr>
      <w:r w:rsidRPr="00034174">
        <w:rPr>
          <w:sz w:val="24"/>
          <w:szCs w:val="24"/>
          <w:u w:val="single"/>
        </w:rPr>
        <w:t>Suggested amendment:</w:t>
      </w:r>
    </w:p>
    <w:p w:rsidR="00FA3AA7" w:rsidRDefault="0086725C" w:rsidP="005C6F51">
      <w:pPr>
        <w:spacing w:line="240" w:lineRule="auto"/>
        <w:jc w:val="both"/>
        <w:rPr>
          <w:rFonts w:ascii="Times New Roman" w:hAnsi="Times New Roman" w:cs="Times New Roman"/>
          <w:sz w:val="24"/>
          <w:szCs w:val="24"/>
          <w:u w:val="single"/>
        </w:rPr>
      </w:pPr>
      <w:r w:rsidRPr="0086725C">
        <w:rPr>
          <w:rFonts w:ascii="Times New Roman" w:hAnsi="Times New Roman" w:cs="Times New Roman"/>
          <w:sz w:val="24"/>
          <w:szCs w:val="24"/>
          <w:u w:val="single"/>
        </w:rPr>
        <w:t>14.</w:t>
      </w:r>
      <w:r w:rsidRPr="0086725C">
        <w:rPr>
          <w:rFonts w:ascii="Times New Roman" w:hAnsi="Times New Roman" w:cs="Times New Roman"/>
          <w:sz w:val="24"/>
          <w:szCs w:val="24"/>
          <w:u w:val="single"/>
        </w:rPr>
        <w:tab/>
        <w:t xml:space="preserve">States parties should monitor, </w:t>
      </w:r>
      <w:r w:rsidRPr="0086725C">
        <w:rPr>
          <w:rFonts w:ascii="Times New Roman" w:hAnsi="Times New Roman" w:cs="Times New Roman"/>
          <w:b/>
          <w:sz w:val="24"/>
          <w:szCs w:val="24"/>
          <w:u w:val="single"/>
        </w:rPr>
        <w:t>on a systematic, ongoing basis</w:t>
      </w:r>
      <w:r w:rsidRPr="0086725C">
        <w:rPr>
          <w:rFonts w:ascii="Times New Roman" w:hAnsi="Times New Roman" w:cs="Times New Roman"/>
          <w:sz w:val="24"/>
          <w:szCs w:val="24"/>
          <w:u w:val="single"/>
        </w:rPr>
        <w:t xml:space="preserve">, the impact on the right to life of </w:t>
      </w:r>
      <w:r w:rsidRPr="0086725C">
        <w:rPr>
          <w:rFonts w:ascii="Times New Roman" w:hAnsi="Times New Roman" w:cs="Times New Roman"/>
          <w:b/>
          <w:sz w:val="24"/>
          <w:szCs w:val="24"/>
          <w:u w:val="single"/>
        </w:rPr>
        <w:t>all</w:t>
      </w:r>
      <w:r w:rsidRPr="0086725C">
        <w:rPr>
          <w:rFonts w:ascii="Times New Roman" w:hAnsi="Times New Roman" w:cs="Times New Roman"/>
          <w:sz w:val="24"/>
          <w:szCs w:val="24"/>
          <w:u w:val="single"/>
        </w:rPr>
        <w:t xml:space="preserve"> less-lethal weapons </w:t>
      </w:r>
      <w:r w:rsidRPr="0086725C">
        <w:rPr>
          <w:rFonts w:ascii="Times New Roman" w:hAnsi="Times New Roman" w:cs="Times New Roman"/>
          <w:b/>
          <w:sz w:val="24"/>
          <w:szCs w:val="24"/>
          <w:u w:val="single"/>
        </w:rPr>
        <w:t xml:space="preserve">and restraints </w:t>
      </w:r>
      <w:r w:rsidRPr="0086725C">
        <w:rPr>
          <w:rFonts w:ascii="Times New Roman" w:hAnsi="Times New Roman" w:cs="Times New Roman"/>
          <w:sz w:val="24"/>
          <w:szCs w:val="24"/>
          <w:u w:val="single"/>
        </w:rPr>
        <w:t xml:space="preserve">which are designed for use </w:t>
      </w:r>
      <w:r w:rsidRPr="0086725C">
        <w:rPr>
          <w:rFonts w:ascii="Times New Roman" w:hAnsi="Times New Roman" w:cs="Times New Roman"/>
          <w:b/>
          <w:sz w:val="24"/>
          <w:szCs w:val="24"/>
          <w:u w:val="single"/>
        </w:rPr>
        <w:t xml:space="preserve">or otherwise used </w:t>
      </w:r>
      <w:r w:rsidRPr="0086725C">
        <w:rPr>
          <w:rFonts w:ascii="Times New Roman" w:hAnsi="Times New Roman" w:cs="Times New Roman"/>
          <w:sz w:val="24"/>
          <w:szCs w:val="24"/>
          <w:u w:val="single"/>
        </w:rPr>
        <w:t xml:space="preserve"> by law-enforcement agents</w:t>
      </w:r>
      <w:r w:rsidR="00CB7F47">
        <w:rPr>
          <w:rFonts w:ascii="Times New Roman" w:hAnsi="Times New Roman" w:cs="Times New Roman"/>
          <w:sz w:val="24"/>
          <w:szCs w:val="24"/>
          <w:u w:val="single"/>
        </w:rPr>
        <w:t xml:space="preserve">, </w:t>
      </w:r>
      <w:r w:rsidRPr="0086725C">
        <w:rPr>
          <w:rFonts w:ascii="Times New Roman" w:hAnsi="Times New Roman" w:cs="Times New Roman"/>
          <w:sz w:val="24"/>
          <w:szCs w:val="24"/>
          <w:u w:val="single"/>
        </w:rPr>
        <w:t xml:space="preserve">soldiers charged with law-enforcement missions, </w:t>
      </w:r>
      <w:r w:rsidR="00CB7F47" w:rsidRPr="00840C32">
        <w:rPr>
          <w:rFonts w:ascii="Times New Roman" w:hAnsi="Times New Roman" w:cs="Times New Roman"/>
          <w:b/>
          <w:sz w:val="24"/>
          <w:szCs w:val="24"/>
          <w:u w:val="single"/>
        </w:rPr>
        <w:t>and</w:t>
      </w:r>
      <w:r w:rsidR="00840C32">
        <w:rPr>
          <w:rFonts w:ascii="Times New Roman" w:hAnsi="Times New Roman" w:cs="Times New Roman"/>
          <w:b/>
          <w:sz w:val="24"/>
          <w:szCs w:val="24"/>
          <w:u w:val="single"/>
        </w:rPr>
        <w:t xml:space="preserve"> private security providers who are engaged by the authorities to carry out law enforcement functions</w:t>
      </w:r>
      <w:r w:rsidR="00FA3AA7">
        <w:rPr>
          <w:rFonts w:ascii="Times New Roman" w:hAnsi="Times New Roman" w:cs="Times New Roman"/>
          <w:b/>
          <w:sz w:val="24"/>
          <w:szCs w:val="24"/>
          <w:u w:val="single"/>
        </w:rPr>
        <w:t xml:space="preserve">. </w:t>
      </w:r>
      <w:r w:rsidRPr="0086725C">
        <w:rPr>
          <w:rFonts w:ascii="Times New Roman" w:hAnsi="Times New Roman" w:cs="Times New Roman"/>
          <w:b/>
          <w:sz w:val="24"/>
          <w:szCs w:val="24"/>
          <w:u w:val="single"/>
        </w:rPr>
        <w:t xml:space="preserve">This includes, but is not limited to, </w:t>
      </w:r>
      <w:r w:rsidRPr="0086725C">
        <w:rPr>
          <w:rFonts w:ascii="Times New Roman" w:hAnsi="Times New Roman" w:cs="Times New Roman"/>
          <w:sz w:val="24"/>
          <w:szCs w:val="24"/>
          <w:u w:val="single"/>
        </w:rPr>
        <w:t>electro-muscular disruption devices (</w:t>
      </w:r>
      <w:r w:rsidRPr="0086725C">
        <w:rPr>
          <w:rFonts w:ascii="Times New Roman" w:hAnsi="Times New Roman" w:cs="Times New Roman"/>
          <w:b/>
          <w:sz w:val="24"/>
          <w:szCs w:val="24"/>
          <w:u w:val="single"/>
        </w:rPr>
        <w:t xml:space="preserve">including </w:t>
      </w:r>
      <w:r w:rsidRPr="0086725C">
        <w:rPr>
          <w:rFonts w:ascii="Times New Roman" w:hAnsi="Times New Roman" w:cs="Times New Roman"/>
          <w:sz w:val="24"/>
          <w:szCs w:val="24"/>
          <w:u w:val="single"/>
        </w:rPr>
        <w:t>Tasers)</w:t>
      </w:r>
      <w:r w:rsidR="00C41158">
        <w:rPr>
          <w:rFonts w:ascii="Times New Roman" w:hAnsi="Times New Roman" w:cs="Times New Roman"/>
          <w:sz w:val="24"/>
          <w:szCs w:val="24"/>
          <w:u w:val="single"/>
        </w:rPr>
        <w:t xml:space="preserve"> </w:t>
      </w:r>
      <w:r w:rsidRPr="0086725C">
        <w:rPr>
          <w:rFonts w:ascii="Times New Roman" w:hAnsi="Times New Roman" w:cs="Times New Roman"/>
          <w:sz w:val="24"/>
          <w:szCs w:val="24"/>
          <w:u w:val="single"/>
        </w:rPr>
        <w:t xml:space="preserve">and </w:t>
      </w:r>
      <w:r w:rsidR="00C41158" w:rsidRPr="00C41158">
        <w:rPr>
          <w:rFonts w:ascii="Times New Roman" w:hAnsi="Times New Roman" w:cs="Times New Roman"/>
          <w:b/>
          <w:sz w:val="24"/>
          <w:szCs w:val="24"/>
          <w:u w:val="single"/>
        </w:rPr>
        <w:t>kinetic impact projectiles</w:t>
      </w:r>
      <w:r w:rsidRPr="0086725C">
        <w:rPr>
          <w:rFonts w:ascii="Times New Roman" w:hAnsi="Times New Roman" w:cs="Times New Roman"/>
          <w:sz w:val="24"/>
          <w:szCs w:val="24"/>
          <w:u w:val="single"/>
        </w:rPr>
        <w:t>,</w:t>
      </w:r>
      <w:r w:rsidR="00976412" w:rsidRPr="0086725C">
        <w:rPr>
          <w:rFonts w:ascii="Times New Roman" w:hAnsi="Times New Roman" w:cs="Times New Roman"/>
          <w:sz w:val="24"/>
          <w:szCs w:val="24"/>
          <w:u w:val="single"/>
        </w:rPr>
        <w:t xml:space="preserve"> </w:t>
      </w:r>
      <w:r w:rsidR="00976412" w:rsidRPr="0086725C">
        <w:rPr>
          <w:rFonts w:ascii="Times New Roman" w:hAnsi="Times New Roman" w:cs="Times New Roman"/>
          <w:b/>
          <w:sz w:val="24"/>
          <w:szCs w:val="24"/>
          <w:u w:val="single"/>
        </w:rPr>
        <w:t xml:space="preserve">both when used alone, and in conjunction with other use of force options. </w:t>
      </w:r>
      <w:r w:rsidR="00BE429E" w:rsidRPr="0086725C">
        <w:rPr>
          <w:rFonts w:ascii="Times New Roman" w:hAnsi="Times New Roman" w:cs="Times New Roman"/>
          <w:sz w:val="24"/>
          <w:szCs w:val="24"/>
          <w:u w:val="single"/>
        </w:rPr>
        <w:t xml:space="preserve"> </w:t>
      </w:r>
      <w:r w:rsidR="00FA3AA7">
        <w:rPr>
          <w:rFonts w:ascii="Times New Roman" w:hAnsi="Times New Roman" w:cs="Times New Roman"/>
          <w:b/>
          <w:sz w:val="24"/>
          <w:szCs w:val="24"/>
          <w:u w:val="single"/>
        </w:rPr>
        <w:t xml:space="preserve">Such monitoring should be used to formulate and enact </w:t>
      </w:r>
      <w:r w:rsidR="00FA3AA7" w:rsidRPr="0086725C">
        <w:rPr>
          <w:rFonts w:ascii="Times New Roman" w:hAnsi="Times New Roman" w:cs="Times New Roman"/>
          <w:b/>
          <w:sz w:val="24"/>
          <w:szCs w:val="24"/>
          <w:u w:val="single"/>
        </w:rPr>
        <w:t>appropriate</w:t>
      </w:r>
      <w:r w:rsidR="00FA3AA7">
        <w:rPr>
          <w:rFonts w:ascii="Times New Roman" w:hAnsi="Times New Roman" w:cs="Times New Roman"/>
          <w:b/>
          <w:sz w:val="24"/>
          <w:szCs w:val="24"/>
          <w:u w:val="single"/>
        </w:rPr>
        <w:t xml:space="preserve"> and timely</w:t>
      </w:r>
      <w:r w:rsidR="00FA3AA7" w:rsidRPr="0086725C">
        <w:rPr>
          <w:rFonts w:ascii="Times New Roman" w:hAnsi="Times New Roman" w:cs="Times New Roman"/>
          <w:b/>
          <w:sz w:val="24"/>
          <w:szCs w:val="24"/>
          <w:u w:val="single"/>
        </w:rPr>
        <w:t xml:space="preserve"> measures, such as changes to laws, policies and practices</w:t>
      </w:r>
      <w:r w:rsidR="00FA3AA7">
        <w:rPr>
          <w:rFonts w:ascii="Times New Roman" w:hAnsi="Times New Roman" w:cs="Times New Roman"/>
          <w:b/>
          <w:sz w:val="24"/>
          <w:szCs w:val="24"/>
          <w:u w:val="single"/>
        </w:rPr>
        <w:t>, in response to issues identified</w:t>
      </w:r>
      <w:r w:rsidR="00FA3AA7" w:rsidRPr="0086725C">
        <w:rPr>
          <w:rFonts w:ascii="Times New Roman" w:hAnsi="Times New Roman" w:cs="Times New Roman"/>
          <w:b/>
          <w:sz w:val="24"/>
          <w:szCs w:val="24"/>
          <w:u w:val="single"/>
        </w:rPr>
        <w:t>.</w:t>
      </w:r>
    </w:p>
    <w:p w:rsidR="00FA3AA7" w:rsidRDefault="00BE429E" w:rsidP="005C6F51">
      <w:pPr>
        <w:spacing w:line="240" w:lineRule="auto"/>
        <w:jc w:val="both"/>
        <w:rPr>
          <w:rFonts w:ascii="Times New Roman" w:hAnsi="Times New Roman" w:cs="Times New Roman"/>
          <w:b/>
          <w:sz w:val="24"/>
          <w:szCs w:val="24"/>
          <w:u w:val="single"/>
        </w:rPr>
      </w:pPr>
      <w:r w:rsidRPr="0086725C">
        <w:rPr>
          <w:rFonts w:ascii="Times New Roman" w:hAnsi="Times New Roman" w:cs="Times New Roman"/>
          <w:b/>
          <w:sz w:val="24"/>
          <w:szCs w:val="24"/>
          <w:u w:val="single"/>
        </w:rPr>
        <w:t xml:space="preserve">Such weapons must be </w:t>
      </w:r>
      <w:r w:rsidR="00420124" w:rsidRPr="0086725C">
        <w:rPr>
          <w:rFonts w:ascii="Times New Roman" w:hAnsi="Times New Roman" w:cs="Times New Roman"/>
          <w:b/>
          <w:sz w:val="24"/>
          <w:szCs w:val="24"/>
          <w:u w:val="single"/>
        </w:rPr>
        <w:t xml:space="preserve">subject to rigorous, independent testing and selection processes so as to ensure that they are capable of increasingly restraining the application of means capable of causing death or injury to persons.  If </w:t>
      </w:r>
      <w:r w:rsidR="00FA3AA7">
        <w:rPr>
          <w:rFonts w:ascii="Times New Roman" w:hAnsi="Times New Roman" w:cs="Times New Roman"/>
          <w:b/>
          <w:sz w:val="24"/>
          <w:szCs w:val="24"/>
          <w:u w:val="single"/>
        </w:rPr>
        <w:t xml:space="preserve">subsequently </w:t>
      </w:r>
      <w:r w:rsidR="00420124" w:rsidRPr="0086725C">
        <w:rPr>
          <w:rFonts w:ascii="Times New Roman" w:hAnsi="Times New Roman" w:cs="Times New Roman"/>
          <w:b/>
          <w:sz w:val="24"/>
          <w:szCs w:val="24"/>
          <w:u w:val="single"/>
        </w:rPr>
        <w:t>authorised,</w:t>
      </w:r>
      <w:r w:rsidR="00420124" w:rsidRPr="00375E12">
        <w:rPr>
          <w:rFonts w:ascii="Times New Roman" w:hAnsi="Times New Roman" w:cs="Times New Roman"/>
          <w:sz w:val="24"/>
          <w:szCs w:val="24"/>
          <w:u w:val="single"/>
        </w:rPr>
        <w:t xml:space="preserve"> </w:t>
      </w:r>
      <w:r w:rsidR="00034174" w:rsidRPr="00375E12">
        <w:rPr>
          <w:rFonts w:ascii="Times New Roman" w:hAnsi="Times New Roman" w:cs="Times New Roman"/>
          <w:sz w:val="24"/>
          <w:szCs w:val="24"/>
          <w:u w:val="single"/>
        </w:rPr>
        <w:t>t</w:t>
      </w:r>
      <w:r w:rsidRPr="0086725C">
        <w:rPr>
          <w:rFonts w:ascii="Times New Roman" w:hAnsi="Times New Roman" w:cs="Times New Roman"/>
          <w:sz w:val="24"/>
          <w:szCs w:val="24"/>
          <w:u w:val="single"/>
        </w:rPr>
        <w:t>he use of such weapons must be restricted only to law-enforcement agents who have undergone appropriate training, and must be strictly regulated in accordance with international protocols for their use</w:t>
      </w:r>
      <w:r w:rsidR="00034174" w:rsidRPr="0086725C">
        <w:rPr>
          <w:rFonts w:ascii="Times New Roman" w:hAnsi="Times New Roman" w:cs="Times New Roman"/>
          <w:sz w:val="24"/>
          <w:szCs w:val="24"/>
          <w:u w:val="single"/>
        </w:rPr>
        <w:t>.</w:t>
      </w:r>
      <w:r w:rsidRPr="0086725C">
        <w:rPr>
          <w:rFonts w:ascii="Times New Roman" w:hAnsi="Times New Roman" w:cs="Times New Roman"/>
          <w:sz w:val="24"/>
          <w:szCs w:val="24"/>
          <w:u w:val="single"/>
        </w:rPr>
        <w:t xml:space="preserve"> </w:t>
      </w:r>
      <w:r w:rsidR="00B36E3B" w:rsidRPr="0086725C">
        <w:rPr>
          <w:rFonts w:ascii="Times New Roman" w:hAnsi="Times New Roman" w:cs="Times New Roman"/>
          <w:b/>
          <w:sz w:val="24"/>
          <w:szCs w:val="24"/>
          <w:u w:val="single"/>
        </w:rPr>
        <w:t xml:space="preserve"> </w:t>
      </w:r>
    </w:p>
    <w:p w:rsidR="00BE429E" w:rsidRPr="0086725C" w:rsidRDefault="00B36E3B" w:rsidP="005C6F51">
      <w:pPr>
        <w:spacing w:line="240" w:lineRule="auto"/>
        <w:jc w:val="both"/>
        <w:rPr>
          <w:rFonts w:ascii="Times New Roman" w:eastAsia="Times New Roman" w:hAnsi="Times New Roman" w:cs="Times New Roman"/>
          <w:b/>
          <w:sz w:val="24"/>
          <w:szCs w:val="24"/>
          <w:u w:val="single"/>
        </w:rPr>
      </w:pPr>
      <w:r w:rsidRPr="0086725C">
        <w:rPr>
          <w:rFonts w:ascii="Times New Roman" w:hAnsi="Times New Roman" w:cs="Times New Roman"/>
          <w:b/>
          <w:sz w:val="24"/>
          <w:szCs w:val="24"/>
          <w:u w:val="single"/>
        </w:rPr>
        <w:t xml:space="preserve">State parties should establish an Expert Group </w:t>
      </w:r>
      <w:r w:rsidRPr="00C41158">
        <w:rPr>
          <w:rFonts w:ascii="Times New Roman" w:hAnsi="Times New Roman" w:cs="Times New Roman"/>
          <w:b/>
          <w:sz w:val="24"/>
          <w:szCs w:val="24"/>
          <w:u w:val="single"/>
        </w:rPr>
        <w:t xml:space="preserve">to examine the application of the international human rights framework to less-lethal weapons and pursee international efforts to regulate and establish protocols for the training and use of </w:t>
      </w:r>
      <w:r w:rsidR="0086725C" w:rsidRPr="00C41158">
        <w:rPr>
          <w:rFonts w:ascii="Times New Roman" w:hAnsi="Times New Roman" w:cs="Times New Roman"/>
          <w:b/>
          <w:sz w:val="24"/>
          <w:szCs w:val="24"/>
          <w:u w:val="single"/>
        </w:rPr>
        <w:t>less</w:t>
      </w:r>
      <w:r w:rsidRPr="00C41158">
        <w:rPr>
          <w:rFonts w:ascii="Times New Roman" w:hAnsi="Times New Roman" w:cs="Times New Roman"/>
          <w:b/>
          <w:sz w:val="24"/>
          <w:szCs w:val="24"/>
          <w:u w:val="single"/>
        </w:rPr>
        <w:t>-lethal weapons.</w:t>
      </w:r>
    </w:p>
    <w:p w:rsidR="0086725C" w:rsidRDefault="0086725C" w:rsidP="005C6F51">
      <w:pPr>
        <w:pStyle w:val="SingleTxtG"/>
        <w:spacing w:line="240" w:lineRule="auto"/>
        <w:ind w:left="0"/>
        <w:rPr>
          <w:sz w:val="24"/>
          <w:szCs w:val="24"/>
          <w:u w:val="single"/>
        </w:rPr>
      </w:pPr>
    </w:p>
    <w:p w:rsidR="00BE429E" w:rsidRPr="00732BA4" w:rsidRDefault="00732BA4" w:rsidP="005C6F51">
      <w:pPr>
        <w:pStyle w:val="SingleTxtG"/>
        <w:spacing w:line="240" w:lineRule="auto"/>
        <w:ind w:left="0"/>
        <w:jc w:val="center"/>
        <w:rPr>
          <w:sz w:val="24"/>
          <w:szCs w:val="24"/>
          <w:u w:val="single"/>
        </w:rPr>
      </w:pPr>
      <w:r w:rsidRPr="00732BA4">
        <w:rPr>
          <w:sz w:val="24"/>
          <w:szCs w:val="24"/>
          <w:u w:val="single"/>
        </w:rPr>
        <w:t>Comment on Paragraph 19:</w:t>
      </w:r>
    </w:p>
    <w:p w:rsidR="00277600" w:rsidRPr="00732BA4" w:rsidRDefault="00277600" w:rsidP="005C6F51">
      <w:pPr>
        <w:spacing w:line="240" w:lineRule="auto"/>
        <w:jc w:val="both"/>
        <w:rPr>
          <w:rFonts w:ascii="Times New Roman" w:hAnsi="Times New Roman" w:cs="Times New Roman"/>
          <w:i/>
          <w:sz w:val="24"/>
          <w:szCs w:val="24"/>
        </w:rPr>
      </w:pPr>
      <w:r w:rsidRPr="00732BA4">
        <w:rPr>
          <w:rFonts w:ascii="Times New Roman" w:hAnsi="Times New Roman" w:cs="Times New Roman"/>
          <w:i/>
          <w:sz w:val="24"/>
          <w:szCs w:val="24"/>
        </w:rPr>
        <w:t>19.</w:t>
      </w:r>
      <w:r w:rsidRPr="00732BA4">
        <w:rPr>
          <w:rFonts w:ascii="Times New Roman" w:hAnsi="Times New Roman" w:cs="Times New Roman"/>
          <w:i/>
          <w:sz w:val="24"/>
          <w:szCs w:val="24"/>
        </w:rPr>
        <w:tab/>
        <w:t xml:space="preserve">States parties are expected to take all necessary measures intended to prevent arbitrary deprivations of life by their law-enforcement organs. </w:t>
      </w:r>
      <w:r w:rsidRPr="00732BA4">
        <w:rPr>
          <w:rFonts w:ascii="Times New Roman" w:hAnsi="Times New Roman" w:cs="Times New Roman"/>
          <w:i/>
          <w:sz w:val="24"/>
          <w:szCs w:val="24"/>
          <w:shd w:val="clear" w:color="auto" w:fill="FFFFFF"/>
          <w:lang w:bidi="he-IL"/>
        </w:rPr>
        <w:t xml:space="preserve">These measures include </w:t>
      </w:r>
      <w:r w:rsidRPr="00732BA4">
        <w:rPr>
          <w:rFonts w:ascii="Times New Roman" w:hAnsi="Times New Roman" w:cs="Times New Roman"/>
          <w:i/>
          <w:sz w:val="24"/>
          <w:szCs w:val="24"/>
        </w:rPr>
        <w:t xml:space="preserve">appropriate legislation controlling the use of lethal force by law enforcement officials, procedures designed to ensure that law-enforcement actions are </w:t>
      </w:r>
      <w:r w:rsidRPr="00732BA4">
        <w:rPr>
          <w:rFonts w:ascii="Times New Roman" w:hAnsi="Times New Roman" w:cs="Times New Roman"/>
          <w:i/>
          <w:sz w:val="24"/>
          <w:szCs w:val="24"/>
          <w:lang w:bidi="he-IL"/>
        </w:rPr>
        <w:t xml:space="preserve">adequately planned in a manner consistent with the need to minimize the risk they pose to human life </w:t>
      </w:r>
      <w:r w:rsidRPr="00732BA4">
        <w:rPr>
          <w:rFonts w:ascii="Times New Roman" w:hAnsi="Times New Roman" w:cs="Times New Roman"/>
          <w:i/>
          <w:sz w:val="24"/>
          <w:szCs w:val="24"/>
        </w:rPr>
        <w:t xml:space="preserve">mandatory reporting and investigation </w:t>
      </w:r>
      <w:r w:rsidR="00486ECC">
        <w:rPr>
          <w:rFonts w:ascii="Times New Roman" w:hAnsi="Times New Roman" w:cs="Times New Roman"/>
          <w:i/>
          <w:sz w:val="24"/>
          <w:szCs w:val="24"/>
        </w:rPr>
        <w:t>of lethal incidents,</w:t>
      </w:r>
      <w:r w:rsidRPr="00732BA4">
        <w:rPr>
          <w:rFonts w:ascii="Times New Roman" w:hAnsi="Times New Roman" w:cs="Times New Roman"/>
          <w:i/>
          <w:sz w:val="24"/>
          <w:szCs w:val="24"/>
        </w:rPr>
        <w:t xml:space="preserve"> and the equipping of police forces responsible for crowd control with effective non-lethal means and adequate protective gear in order to obviate their need to resort to lethal force. </w:t>
      </w:r>
    </w:p>
    <w:p w:rsidR="005C6F51" w:rsidRDefault="00732BA4" w:rsidP="005C6F51">
      <w:pPr>
        <w:pStyle w:val="SingleTxtG"/>
        <w:spacing w:line="240" w:lineRule="auto"/>
        <w:ind w:left="0"/>
        <w:rPr>
          <w:sz w:val="24"/>
          <w:szCs w:val="24"/>
        </w:rPr>
      </w:pPr>
      <w:r w:rsidRPr="005C1D67">
        <w:rPr>
          <w:sz w:val="24"/>
          <w:szCs w:val="24"/>
        </w:rPr>
        <w:t>Points pursuant to paragraph 1</w:t>
      </w:r>
      <w:r>
        <w:rPr>
          <w:sz w:val="24"/>
          <w:szCs w:val="24"/>
        </w:rPr>
        <w:t>9</w:t>
      </w:r>
      <w:r w:rsidRPr="005C1D67">
        <w:rPr>
          <w:sz w:val="24"/>
          <w:szCs w:val="24"/>
        </w:rPr>
        <w:t>:</w:t>
      </w:r>
    </w:p>
    <w:p w:rsidR="005C6F51" w:rsidRDefault="00732BA4" w:rsidP="005C6F51">
      <w:pPr>
        <w:pStyle w:val="SingleTxtG"/>
        <w:numPr>
          <w:ilvl w:val="0"/>
          <w:numId w:val="8"/>
        </w:numPr>
        <w:spacing w:line="240" w:lineRule="auto"/>
        <w:ind w:right="-46"/>
        <w:rPr>
          <w:sz w:val="24"/>
          <w:szCs w:val="24"/>
        </w:rPr>
      </w:pPr>
      <w:r>
        <w:rPr>
          <w:sz w:val="24"/>
          <w:szCs w:val="24"/>
        </w:rPr>
        <w:t xml:space="preserve">Given the points mentioned above, it is crucial that, if police forces are to be equipped with ‘non-lethal means’, they are trained appropriately in these options, including in the risk of lethality posed by such weapons.  Given this risk, the use of the term ‘non-lethal’ is not recommended. </w:t>
      </w:r>
    </w:p>
    <w:p w:rsidR="00FA3AA7" w:rsidRPr="005C6F51" w:rsidRDefault="00FA3AA7" w:rsidP="005C6F51">
      <w:pPr>
        <w:pStyle w:val="SingleTxtG"/>
        <w:numPr>
          <w:ilvl w:val="0"/>
          <w:numId w:val="8"/>
        </w:numPr>
        <w:spacing w:line="240" w:lineRule="auto"/>
        <w:ind w:right="-46"/>
        <w:rPr>
          <w:sz w:val="24"/>
          <w:szCs w:val="24"/>
        </w:rPr>
      </w:pPr>
      <w:r w:rsidRPr="005C6F51">
        <w:rPr>
          <w:sz w:val="24"/>
          <w:szCs w:val="24"/>
        </w:rPr>
        <w:t>As any use of force by law enforcement officials, whether lethal or less-lethal should be adequately planned in order to minimise the risks posed to human life, the Committee may wish to consider removing reference to ‘lethal’ force in the second sentence.</w:t>
      </w:r>
    </w:p>
    <w:p w:rsidR="005C6F51" w:rsidRDefault="005C6F51" w:rsidP="005C6F51">
      <w:pPr>
        <w:pStyle w:val="SingleTxtG"/>
        <w:spacing w:line="240" w:lineRule="auto"/>
        <w:ind w:left="0"/>
        <w:rPr>
          <w:sz w:val="24"/>
          <w:szCs w:val="24"/>
          <w:u w:val="single"/>
        </w:rPr>
      </w:pPr>
    </w:p>
    <w:p w:rsidR="00732BA4" w:rsidRPr="00FA3AA7" w:rsidRDefault="00732BA4" w:rsidP="005C6F51">
      <w:pPr>
        <w:pStyle w:val="SingleTxtG"/>
        <w:spacing w:line="240" w:lineRule="auto"/>
        <w:ind w:left="0"/>
        <w:rPr>
          <w:sz w:val="24"/>
          <w:szCs w:val="24"/>
          <w:u w:val="single"/>
        </w:rPr>
      </w:pPr>
      <w:r w:rsidRPr="00FA3AA7">
        <w:rPr>
          <w:sz w:val="24"/>
          <w:szCs w:val="24"/>
          <w:u w:val="single"/>
        </w:rPr>
        <w:lastRenderedPageBreak/>
        <w:t>Suggested amendment:</w:t>
      </w:r>
    </w:p>
    <w:p w:rsidR="00732BA4" w:rsidRPr="00732BA4" w:rsidRDefault="00732BA4" w:rsidP="005C6F51">
      <w:pPr>
        <w:spacing w:line="240" w:lineRule="auto"/>
        <w:jc w:val="both"/>
        <w:rPr>
          <w:rFonts w:ascii="Times New Roman" w:hAnsi="Times New Roman" w:cs="Times New Roman"/>
          <w:b/>
          <w:sz w:val="24"/>
          <w:szCs w:val="24"/>
          <w:u w:val="single"/>
        </w:rPr>
      </w:pPr>
      <w:r w:rsidRPr="00732BA4">
        <w:rPr>
          <w:rFonts w:ascii="Times New Roman" w:hAnsi="Times New Roman" w:cs="Times New Roman"/>
          <w:sz w:val="24"/>
          <w:szCs w:val="24"/>
          <w:u w:val="single"/>
        </w:rPr>
        <w:t>19.</w:t>
      </w:r>
      <w:r w:rsidRPr="00732BA4">
        <w:rPr>
          <w:rFonts w:ascii="Times New Roman" w:hAnsi="Times New Roman" w:cs="Times New Roman"/>
          <w:sz w:val="24"/>
          <w:szCs w:val="24"/>
          <w:u w:val="single"/>
        </w:rPr>
        <w:tab/>
        <w:t>States parties are expected to take all necessary measures intended to prevent arbitrary deprivations of life by their law-enforcement organs</w:t>
      </w:r>
      <w:r w:rsidR="00FA3AA7">
        <w:rPr>
          <w:rFonts w:ascii="Times New Roman" w:hAnsi="Times New Roman" w:cs="Times New Roman"/>
          <w:sz w:val="24"/>
          <w:szCs w:val="24"/>
          <w:u w:val="single"/>
        </w:rPr>
        <w:t xml:space="preserve">.  </w:t>
      </w:r>
      <w:r w:rsidR="00FA3AA7" w:rsidRPr="00FA3AA7">
        <w:rPr>
          <w:rFonts w:ascii="Times New Roman" w:hAnsi="Times New Roman" w:cs="Times New Roman"/>
          <w:sz w:val="24"/>
          <w:szCs w:val="24"/>
          <w:u w:val="single"/>
          <w:shd w:val="clear" w:color="auto" w:fill="FFFFFF"/>
          <w:lang w:bidi="he-IL"/>
        </w:rPr>
        <w:t xml:space="preserve">These measures include </w:t>
      </w:r>
      <w:r w:rsidR="00FA3AA7" w:rsidRPr="00FA3AA7">
        <w:rPr>
          <w:rFonts w:ascii="Times New Roman" w:hAnsi="Times New Roman" w:cs="Times New Roman"/>
          <w:sz w:val="24"/>
          <w:szCs w:val="24"/>
          <w:u w:val="single"/>
        </w:rPr>
        <w:t xml:space="preserve">appropriate legislation controlling the use of force by law enforcement officials, </w:t>
      </w:r>
      <w:r w:rsidRPr="00732BA4">
        <w:rPr>
          <w:rFonts w:ascii="Times New Roman" w:hAnsi="Times New Roman" w:cs="Times New Roman"/>
          <w:sz w:val="24"/>
          <w:szCs w:val="24"/>
          <w:u w:val="single"/>
        </w:rPr>
        <w:t xml:space="preserve">…. (including) the equipping of police forces responsible for crowd control with effective </w:t>
      </w:r>
      <w:r w:rsidRPr="00732BA4">
        <w:rPr>
          <w:rFonts w:ascii="Times New Roman" w:hAnsi="Times New Roman" w:cs="Times New Roman"/>
          <w:b/>
          <w:sz w:val="24"/>
          <w:szCs w:val="24"/>
          <w:u w:val="single"/>
        </w:rPr>
        <w:t xml:space="preserve">less lethal </w:t>
      </w:r>
      <w:r w:rsidRPr="00732BA4">
        <w:rPr>
          <w:rFonts w:ascii="Times New Roman" w:hAnsi="Times New Roman" w:cs="Times New Roman"/>
          <w:sz w:val="24"/>
          <w:szCs w:val="24"/>
          <w:u w:val="single"/>
        </w:rPr>
        <w:t>means and adequate protective gear in order to obviate their need to resort to lethal force</w:t>
      </w:r>
      <w:r w:rsidRPr="00732BA4">
        <w:rPr>
          <w:rFonts w:ascii="Times New Roman" w:hAnsi="Times New Roman" w:cs="Times New Roman"/>
          <w:b/>
          <w:sz w:val="24"/>
          <w:szCs w:val="24"/>
          <w:u w:val="single"/>
        </w:rPr>
        <w:t>, under the provisions detailed in paragraph 14.</w:t>
      </w:r>
    </w:p>
    <w:p w:rsidR="0086725C" w:rsidRDefault="0086725C" w:rsidP="005C6F51">
      <w:pPr>
        <w:spacing w:line="240" w:lineRule="auto"/>
        <w:jc w:val="both"/>
        <w:rPr>
          <w:rFonts w:ascii="Times New Roman" w:hAnsi="Times New Roman" w:cs="Times New Roman"/>
          <w:sz w:val="24"/>
          <w:szCs w:val="24"/>
          <w:u w:val="single"/>
        </w:rPr>
      </w:pPr>
    </w:p>
    <w:p w:rsidR="00732BA4" w:rsidRPr="00732BA4" w:rsidRDefault="00732BA4" w:rsidP="005C6F51">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Comment on Paragraph 20:</w:t>
      </w:r>
    </w:p>
    <w:p w:rsidR="00277600" w:rsidRDefault="00277600" w:rsidP="005C6F51">
      <w:pPr>
        <w:pStyle w:val="SingleTxtG"/>
        <w:spacing w:line="240" w:lineRule="auto"/>
        <w:ind w:left="0" w:right="-46"/>
        <w:rPr>
          <w:i/>
          <w:sz w:val="24"/>
          <w:szCs w:val="24"/>
        </w:rPr>
      </w:pPr>
      <w:r w:rsidRPr="00CE001E">
        <w:rPr>
          <w:sz w:val="24"/>
          <w:szCs w:val="24"/>
        </w:rPr>
        <w:t>20</w:t>
      </w:r>
      <w:r w:rsidR="00732BA4">
        <w:rPr>
          <w:sz w:val="24"/>
          <w:szCs w:val="24"/>
        </w:rPr>
        <w:t xml:space="preserve">…. </w:t>
      </w:r>
      <w:r w:rsidR="00732BA4" w:rsidRPr="00732BA4">
        <w:rPr>
          <w:i/>
          <w:sz w:val="24"/>
          <w:szCs w:val="24"/>
        </w:rPr>
        <w:t>P</w:t>
      </w:r>
      <w:r w:rsidRPr="00732BA4">
        <w:rPr>
          <w:i/>
          <w:sz w:val="24"/>
          <w:szCs w:val="24"/>
        </w:rPr>
        <w:t xml:space="preserve">rocedures regulating activity that may result in deprivation of life, such as conditions for use of lethal weapons by the police or protocols for new drug treatment, must be established by law, accompanied by effective institutional safeguards designed to prevent arbitrary deprivations of life, and be compatible with other provisions of the Covenant. </w:t>
      </w:r>
    </w:p>
    <w:p w:rsidR="00732BA4" w:rsidRDefault="00732BA4" w:rsidP="005C6F51">
      <w:pPr>
        <w:pStyle w:val="SingleTxtG"/>
        <w:spacing w:line="240" w:lineRule="auto"/>
        <w:ind w:left="0"/>
        <w:rPr>
          <w:sz w:val="24"/>
          <w:szCs w:val="24"/>
        </w:rPr>
      </w:pPr>
      <w:r w:rsidRPr="005C1D67">
        <w:rPr>
          <w:sz w:val="24"/>
          <w:szCs w:val="24"/>
        </w:rPr>
        <w:t xml:space="preserve">Points pursuant to paragraph </w:t>
      </w:r>
      <w:r>
        <w:rPr>
          <w:sz w:val="24"/>
          <w:szCs w:val="24"/>
        </w:rPr>
        <w:t>20</w:t>
      </w:r>
      <w:r w:rsidRPr="005C1D67">
        <w:rPr>
          <w:sz w:val="24"/>
          <w:szCs w:val="24"/>
        </w:rPr>
        <w:t>:</w:t>
      </w:r>
    </w:p>
    <w:p w:rsidR="00277600" w:rsidRDefault="00486ECC" w:rsidP="005C6F51">
      <w:pPr>
        <w:pStyle w:val="SingleTxtG"/>
        <w:numPr>
          <w:ilvl w:val="0"/>
          <w:numId w:val="3"/>
        </w:numPr>
        <w:spacing w:line="240" w:lineRule="auto"/>
        <w:ind w:right="-46"/>
        <w:rPr>
          <w:sz w:val="24"/>
          <w:szCs w:val="24"/>
        </w:rPr>
      </w:pPr>
      <w:r>
        <w:rPr>
          <w:sz w:val="24"/>
          <w:szCs w:val="24"/>
        </w:rPr>
        <w:t>Given the lethal potential of many less lethal weapons and restraints, I suggest amending the example so that it reads; ‘conditions for use of lethal weapons, less lethal weapons and restraints’.</w:t>
      </w:r>
    </w:p>
    <w:p w:rsidR="0086725C" w:rsidRDefault="0086725C" w:rsidP="005C6F51">
      <w:pPr>
        <w:pStyle w:val="SingleTxtG"/>
        <w:spacing w:line="240" w:lineRule="auto"/>
        <w:ind w:left="0"/>
        <w:rPr>
          <w:sz w:val="24"/>
          <w:szCs w:val="24"/>
        </w:rPr>
      </w:pPr>
    </w:p>
    <w:p w:rsidR="00FA3AA7" w:rsidRDefault="00FA3AA7" w:rsidP="005C6F51">
      <w:pPr>
        <w:pStyle w:val="SingleTxtG"/>
        <w:spacing w:line="240" w:lineRule="auto"/>
        <w:ind w:left="0"/>
        <w:jc w:val="center"/>
        <w:rPr>
          <w:sz w:val="24"/>
          <w:szCs w:val="24"/>
          <w:u w:val="single"/>
        </w:rPr>
      </w:pPr>
      <w:r>
        <w:rPr>
          <w:sz w:val="24"/>
          <w:szCs w:val="24"/>
          <w:u w:val="single"/>
        </w:rPr>
        <w:t>Comment on Paragraph 25:</w:t>
      </w:r>
    </w:p>
    <w:p w:rsidR="007E7104" w:rsidRDefault="00FA3AA7" w:rsidP="005C6F51">
      <w:pPr>
        <w:spacing w:line="240" w:lineRule="auto"/>
        <w:jc w:val="both"/>
      </w:pPr>
      <w:r w:rsidRPr="007E7104">
        <w:rPr>
          <w:rFonts w:ascii="Times New Roman" w:eastAsia="Times New Roman" w:hAnsi="Times New Roman" w:cs="Times New Roman"/>
          <w:i/>
          <w:sz w:val="24"/>
          <w:szCs w:val="24"/>
        </w:rPr>
        <w:t>25. “…States parties are thus under a due diligence obligation to undertake reasonable positive measures, which  do  not  impose  on  them  impossible  or  disproportionate  burdens, in  response  to foreseeable  threats  to  life  originating  from  private  persons  and  entities, whose conduct is not attributable to the State…”</w:t>
      </w:r>
      <w:r>
        <w:t xml:space="preserve"> </w:t>
      </w:r>
    </w:p>
    <w:p w:rsidR="007E7104" w:rsidRDefault="007E7104" w:rsidP="005C6F51">
      <w:pPr>
        <w:pStyle w:val="SingleTxtG"/>
        <w:spacing w:line="240" w:lineRule="auto"/>
        <w:ind w:left="0"/>
        <w:rPr>
          <w:sz w:val="24"/>
          <w:szCs w:val="24"/>
        </w:rPr>
      </w:pPr>
      <w:r w:rsidRPr="005C1D67">
        <w:rPr>
          <w:sz w:val="24"/>
          <w:szCs w:val="24"/>
        </w:rPr>
        <w:t xml:space="preserve">Points pursuant to paragraph </w:t>
      </w:r>
      <w:r>
        <w:rPr>
          <w:sz w:val="24"/>
          <w:szCs w:val="24"/>
        </w:rPr>
        <w:t>2</w:t>
      </w:r>
      <w:r w:rsidR="005C6F51">
        <w:rPr>
          <w:sz w:val="24"/>
          <w:szCs w:val="24"/>
        </w:rPr>
        <w:t>5</w:t>
      </w:r>
      <w:r w:rsidRPr="005C1D67">
        <w:rPr>
          <w:sz w:val="24"/>
          <w:szCs w:val="24"/>
        </w:rPr>
        <w:t>:</w:t>
      </w:r>
    </w:p>
    <w:p w:rsidR="007E7104" w:rsidRPr="007E7104" w:rsidRDefault="007E7104" w:rsidP="005C6F51">
      <w:pPr>
        <w:pStyle w:val="ListParagraph"/>
        <w:numPr>
          <w:ilvl w:val="0"/>
          <w:numId w:val="3"/>
        </w:numPr>
        <w:spacing w:line="240" w:lineRule="auto"/>
        <w:jc w:val="both"/>
        <w:rPr>
          <w:rFonts w:ascii="Times New Roman" w:eastAsia="Times New Roman" w:hAnsi="Times New Roman" w:cs="Times New Roman"/>
          <w:sz w:val="24"/>
          <w:szCs w:val="24"/>
        </w:rPr>
      </w:pPr>
      <w:r w:rsidRPr="007E7104">
        <w:rPr>
          <w:rFonts w:ascii="Times New Roman" w:eastAsia="Times New Roman" w:hAnsi="Times New Roman" w:cs="Times New Roman"/>
          <w:sz w:val="24"/>
          <w:szCs w:val="24"/>
        </w:rPr>
        <w:t xml:space="preserve">This paragraph could be further developed to clarify that these ‘reasonable positive measures’  should include a duty to refrain from transferring </w:t>
      </w:r>
      <w:r w:rsidR="00FA3AA7" w:rsidRPr="007E7104">
        <w:rPr>
          <w:rFonts w:ascii="Times New Roman" w:eastAsia="Times New Roman" w:hAnsi="Times New Roman" w:cs="Times New Roman"/>
          <w:sz w:val="24"/>
          <w:szCs w:val="24"/>
        </w:rPr>
        <w:t>conventional arms</w:t>
      </w:r>
      <w:r w:rsidRPr="007E7104">
        <w:rPr>
          <w:rFonts w:ascii="Times New Roman" w:eastAsia="Times New Roman" w:hAnsi="Times New Roman" w:cs="Times New Roman"/>
          <w:sz w:val="24"/>
          <w:szCs w:val="24"/>
        </w:rPr>
        <w:t xml:space="preserve">, ammunition or other </w:t>
      </w:r>
      <w:r w:rsidR="00FA3AA7" w:rsidRPr="007E7104">
        <w:rPr>
          <w:rFonts w:ascii="Times New Roman" w:eastAsia="Times New Roman" w:hAnsi="Times New Roman" w:cs="Times New Roman"/>
          <w:sz w:val="24"/>
          <w:szCs w:val="24"/>
        </w:rPr>
        <w:t xml:space="preserve"> police and security equipment if there is a</w:t>
      </w:r>
      <w:r w:rsidRPr="007E7104">
        <w:rPr>
          <w:rFonts w:ascii="Times New Roman" w:eastAsia="Times New Roman" w:hAnsi="Times New Roman" w:cs="Times New Roman"/>
          <w:sz w:val="24"/>
          <w:szCs w:val="24"/>
        </w:rPr>
        <w:t xml:space="preserve"> ‘foreseeable threat to life’, or an </w:t>
      </w:r>
      <w:r w:rsidR="00FA3AA7" w:rsidRPr="007E7104">
        <w:rPr>
          <w:rFonts w:ascii="Times New Roman" w:eastAsia="Times New Roman" w:hAnsi="Times New Roman" w:cs="Times New Roman"/>
          <w:sz w:val="24"/>
          <w:szCs w:val="24"/>
        </w:rPr>
        <w:t xml:space="preserve">overriding risk that the goods could be used to commit or facilitate a violation of the right to life. </w:t>
      </w:r>
    </w:p>
    <w:p w:rsidR="007E7104" w:rsidRDefault="007E7104" w:rsidP="005C6F51">
      <w:pPr>
        <w:pStyle w:val="ListParagraph"/>
        <w:spacing w:line="240" w:lineRule="auto"/>
        <w:jc w:val="both"/>
      </w:pPr>
    </w:p>
    <w:p w:rsidR="007E7104" w:rsidRDefault="007E7104" w:rsidP="005C6F51">
      <w:pPr>
        <w:pStyle w:val="ListParagraph"/>
        <w:numPr>
          <w:ilvl w:val="0"/>
          <w:numId w:val="3"/>
        </w:numPr>
        <w:spacing w:line="240" w:lineRule="auto"/>
        <w:jc w:val="both"/>
      </w:pPr>
      <w:r w:rsidRPr="005C6F51">
        <w:rPr>
          <w:rFonts w:ascii="Times New Roman" w:eastAsia="Times New Roman" w:hAnsi="Times New Roman" w:cs="Times New Roman"/>
          <w:sz w:val="24"/>
          <w:szCs w:val="24"/>
        </w:rPr>
        <w:t xml:space="preserve">In this context, </w:t>
      </w:r>
      <w:r w:rsidR="00E977EF" w:rsidRPr="005C6F51">
        <w:rPr>
          <w:rFonts w:ascii="Times New Roman" w:eastAsia="Times New Roman" w:hAnsi="Times New Roman" w:cs="Times New Roman"/>
          <w:sz w:val="24"/>
          <w:szCs w:val="24"/>
        </w:rPr>
        <w:t>Ar</w:t>
      </w:r>
      <w:r w:rsidRPr="005C6F51">
        <w:rPr>
          <w:rFonts w:ascii="Times New Roman" w:eastAsia="Times New Roman" w:hAnsi="Times New Roman" w:cs="Times New Roman"/>
          <w:sz w:val="24"/>
          <w:szCs w:val="24"/>
        </w:rPr>
        <w:t>ticle 7 of the Arms Trade Treaty notes that State</w:t>
      </w:r>
      <w:r w:rsidR="00E977EF" w:rsidRPr="005C6F51">
        <w:rPr>
          <w:rFonts w:ascii="Times New Roman" w:eastAsia="Times New Roman" w:hAnsi="Times New Roman" w:cs="Times New Roman"/>
          <w:sz w:val="24"/>
          <w:szCs w:val="24"/>
        </w:rPr>
        <w:t xml:space="preserve"> partie</w:t>
      </w:r>
      <w:r w:rsidRPr="005C6F51">
        <w:rPr>
          <w:rFonts w:ascii="Times New Roman" w:eastAsia="Times New Roman" w:hAnsi="Times New Roman" w:cs="Times New Roman"/>
          <w:sz w:val="24"/>
          <w:szCs w:val="24"/>
        </w:rPr>
        <w:t>s</w:t>
      </w:r>
      <w:r w:rsidR="00E977EF" w:rsidRPr="005C6F51">
        <w:rPr>
          <w:rFonts w:ascii="Times New Roman" w:eastAsia="Times New Roman" w:hAnsi="Times New Roman" w:cs="Times New Roman"/>
          <w:sz w:val="24"/>
          <w:szCs w:val="24"/>
        </w:rPr>
        <w:t xml:space="preserve"> shall </w:t>
      </w:r>
      <w:r w:rsidRPr="005C6F51">
        <w:rPr>
          <w:rFonts w:ascii="Times New Roman" w:eastAsia="Times New Roman" w:hAnsi="Times New Roman" w:cs="Times New Roman"/>
          <w:sz w:val="24"/>
          <w:szCs w:val="24"/>
        </w:rPr>
        <w:t>refrain from authorising exports where there is an ‘over-riding risk’ that the conventional arms or items could be used to ‘commit or facilitate a serious violation of international human rights law’</w:t>
      </w:r>
      <w:r>
        <w:t>.</w:t>
      </w:r>
    </w:p>
    <w:p w:rsidR="00E977EF" w:rsidRDefault="00E977EF" w:rsidP="005C6F51">
      <w:pPr>
        <w:pStyle w:val="SingleTxtG"/>
        <w:spacing w:line="240" w:lineRule="auto"/>
        <w:ind w:left="0"/>
        <w:rPr>
          <w:sz w:val="24"/>
          <w:szCs w:val="24"/>
          <w:u w:val="single"/>
        </w:rPr>
      </w:pPr>
      <w:r w:rsidRPr="00FA3AA7">
        <w:rPr>
          <w:sz w:val="24"/>
          <w:szCs w:val="24"/>
          <w:u w:val="single"/>
        </w:rPr>
        <w:t>Suggested amendment:</w:t>
      </w:r>
    </w:p>
    <w:p w:rsidR="00E977EF" w:rsidRPr="00E977EF" w:rsidRDefault="00E977EF" w:rsidP="005C6F51">
      <w:pPr>
        <w:spacing w:line="240" w:lineRule="auto"/>
        <w:jc w:val="both"/>
        <w:rPr>
          <w:b/>
          <w:u w:val="single"/>
        </w:rPr>
      </w:pPr>
      <w:r w:rsidRPr="00E977EF">
        <w:rPr>
          <w:rFonts w:ascii="Times New Roman" w:eastAsia="Times New Roman" w:hAnsi="Times New Roman" w:cs="Times New Roman"/>
          <w:sz w:val="24"/>
          <w:szCs w:val="24"/>
          <w:u w:val="single"/>
        </w:rPr>
        <w:t xml:space="preserve">25. “…States parties are thus under a due diligence obligation to undertake reasonable positive measures, which  do  not  impose  on  them  impossible  or  disproportionate  burdens, in  response  to foreseeable  threats  to  life  originating  from  private  persons  and  entities, whose conduct is not attributable to the State… </w:t>
      </w:r>
      <w:r w:rsidRPr="00E977EF">
        <w:rPr>
          <w:rFonts w:ascii="Times New Roman" w:eastAsia="Times New Roman" w:hAnsi="Times New Roman" w:cs="Times New Roman"/>
          <w:b/>
          <w:sz w:val="24"/>
          <w:szCs w:val="24"/>
          <w:u w:val="single"/>
        </w:rPr>
        <w:t>For example, States shall not authorise an export where there is an over-riding risk of the items being used to commit or facilitate a serious violation of international human rights law, including the right to life.</w:t>
      </w:r>
    </w:p>
    <w:p w:rsidR="00FA3AA7" w:rsidRDefault="00E977EF" w:rsidP="005C6F51">
      <w:pPr>
        <w:pStyle w:val="SingleTxtG"/>
        <w:spacing w:line="240" w:lineRule="auto"/>
        <w:ind w:left="0"/>
        <w:jc w:val="center"/>
        <w:rPr>
          <w:sz w:val="24"/>
          <w:szCs w:val="24"/>
          <w:u w:val="single"/>
        </w:rPr>
      </w:pPr>
      <w:r>
        <w:rPr>
          <w:sz w:val="24"/>
          <w:szCs w:val="24"/>
          <w:u w:val="single"/>
        </w:rPr>
        <w:lastRenderedPageBreak/>
        <w:t>Comment on Paragraph 38:</w:t>
      </w:r>
    </w:p>
    <w:p w:rsidR="00E977EF" w:rsidRDefault="00E977EF" w:rsidP="005C6F51">
      <w:pPr>
        <w:spacing w:line="240" w:lineRule="auto"/>
        <w:jc w:val="both"/>
        <w:rPr>
          <w:rFonts w:ascii="Times New Roman" w:eastAsia="Times New Roman" w:hAnsi="Times New Roman" w:cs="Times New Roman"/>
          <w:i/>
          <w:sz w:val="24"/>
          <w:szCs w:val="24"/>
        </w:rPr>
      </w:pPr>
      <w:r w:rsidRPr="00E977EF">
        <w:rPr>
          <w:rFonts w:ascii="Times New Roman" w:eastAsia="Times New Roman" w:hAnsi="Times New Roman" w:cs="Times New Roman"/>
          <w:i/>
          <w:sz w:val="24"/>
          <w:szCs w:val="24"/>
        </w:rPr>
        <w:t>38. “</w:t>
      </w:r>
      <w:r>
        <w:rPr>
          <w:rFonts w:ascii="Times New Roman" w:eastAsia="Times New Roman" w:hAnsi="Times New Roman" w:cs="Times New Roman"/>
          <w:i/>
          <w:sz w:val="24"/>
          <w:szCs w:val="24"/>
        </w:rPr>
        <w:t>T</w:t>
      </w:r>
      <w:r w:rsidRPr="00E977EF">
        <w:rPr>
          <w:rFonts w:ascii="Times New Roman" w:eastAsia="Times New Roman" w:hAnsi="Times New Roman" w:cs="Times New Roman"/>
          <w:i/>
          <w:sz w:val="24"/>
          <w:szCs w:val="24"/>
        </w:rPr>
        <w:t>he obligation not to reintroduce the death penalty for any specific crime requires States parties not to extradite or deport an individual to a country in which he or she is expected to stand trial for a capital offence, if the same offence does not carry the death penalty in the removing State, unless credible and effective assurances against exposing the individual to the death penalty have been obtained.”</w:t>
      </w:r>
    </w:p>
    <w:p w:rsidR="00E977EF" w:rsidRDefault="00E977EF" w:rsidP="005C6F51">
      <w:pPr>
        <w:pStyle w:val="SingleTxtG"/>
        <w:spacing w:line="240" w:lineRule="auto"/>
        <w:ind w:left="0"/>
        <w:rPr>
          <w:sz w:val="24"/>
          <w:szCs w:val="24"/>
        </w:rPr>
      </w:pPr>
      <w:r w:rsidRPr="005C1D67">
        <w:rPr>
          <w:sz w:val="24"/>
          <w:szCs w:val="24"/>
        </w:rPr>
        <w:t xml:space="preserve">Points pursuant to paragraph </w:t>
      </w:r>
      <w:r>
        <w:rPr>
          <w:sz w:val="24"/>
          <w:szCs w:val="24"/>
        </w:rPr>
        <w:t>38</w:t>
      </w:r>
      <w:r w:rsidRPr="005C1D67">
        <w:rPr>
          <w:sz w:val="24"/>
          <w:szCs w:val="24"/>
        </w:rPr>
        <w:t>:</w:t>
      </w:r>
    </w:p>
    <w:p w:rsidR="00A72B93" w:rsidRDefault="00E977EF" w:rsidP="005C6F51">
      <w:pPr>
        <w:pStyle w:val="Default"/>
        <w:numPr>
          <w:ilvl w:val="0"/>
          <w:numId w:val="7"/>
        </w:numPr>
        <w:jc w:val="both"/>
        <w:rPr>
          <w:sz w:val="23"/>
          <w:szCs w:val="23"/>
        </w:rPr>
      </w:pPr>
      <w:r w:rsidRPr="00A72B93">
        <w:rPr>
          <w:rFonts w:eastAsia="Times New Roman"/>
        </w:rPr>
        <w:t xml:space="preserve">In a similar vein, States should have a requirement to refrain from exporting dual-use goods that could be used for the death penalty in recipient States unless effective assurances have been received as to their intended purpose.  Similarly, </w:t>
      </w:r>
      <w:r w:rsidR="00A72B93" w:rsidRPr="00A72B93">
        <w:rPr>
          <w:rFonts w:eastAsia="Times New Roman"/>
        </w:rPr>
        <w:t xml:space="preserve">States should prohibit the export of goods specially designed for capital punishment.  EC Regulation </w:t>
      </w:r>
      <w:r w:rsidR="00A72B93" w:rsidRPr="00A72B93">
        <w:rPr>
          <w:sz w:val="23"/>
          <w:szCs w:val="23"/>
        </w:rPr>
        <w:t>EC Regulatio</w:t>
      </w:r>
      <w:r w:rsidR="00A72B93">
        <w:rPr>
          <w:sz w:val="23"/>
          <w:szCs w:val="23"/>
        </w:rPr>
        <w:t>n 1236/2005, and amendments, already sets out a list of such goods, and prohibits their export from EU member states.</w:t>
      </w:r>
    </w:p>
    <w:p w:rsidR="00A72B93" w:rsidRDefault="00A72B93" w:rsidP="005C6F51">
      <w:pPr>
        <w:pStyle w:val="Default"/>
        <w:jc w:val="both"/>
        <w:rPr>
          <w:sz w:val="23"/>
          <w:szCs w:val="23"/>
        </w:rPr>
      </w:pPr>
    </w:p>
    <w:p w:rsidR="00A72B93" w:rsidRDefault="00A72B93" w:rsidP="005C6F51">
      <w:pPr>
        <w:pStyle w:val="Default"/>
        <w:jc w:val="both"/>
        <w:rPr>
          <w:sz w:val="23"/>
          <w:szCs w:val="23"/>
          <w:u w:val="single"/>
        </w:rPr>
      </w:pPr>
      <w:r>
        <w:rPr>
          <w:sz w:val="23"/>
          <w:szCs w:val="23"/>
          <w:u w:val="single"/>
        </w:rPr>
        <w:t xml:space="preserve">Suggested </w:t>
      </w:r>
      <w:r w:rsidR="005C6F51">
        <w:rPr>
          <w:sz w:val="23"/>
          <w:szCs w:val="23"/>
          <w:u w:val="single"/>
        </w:rPr>
        <w:t>amendment</w:t>
      </w:r>
      <w:r>
        <w:rPr>
          <w:sz w:val="23"/>
          <w:szCs w:val="23"/>
          <w:u w:val="single"/>
        </w:rPr>
        <w:t>:</w:t>
      </w:r>
    </w:p>
    <w:p w:rsidR="005C6F51" w:rsidRPr="00A72B93" w:rsidRDefault="005C6F51" w:rsidP="005C6F51">
      <w:pPr>
        <w:pStyle w:val="Default"/>
        <w:jc w:val="both"/>
        <w:rPr>
          <w:sz w:val="23"/>
          <w:szCs w:val="23"/>
          <w:u w:val="single"/>
        </w:rPr>
      </w:pPr>
    </w:p>
    <w:p w:rsidR="00A72B93" w:rsidRPr="00A72B93" w:rsidRDefault="00A72B93" w:rsidP="005C6F51">
      <w:pPr>
        <w:spacing w:line="240" w:lineRule="auto"/>
        <w:jc w:val="both"/>
        <w:rPr>
          <w:rFonts w:ascii="Times New Roman" w:eastAsia="Times New Roman" w:hAnsi="Times New Roman" w:cs="Times New Roman"/>
          <w:b/>
          <w:sz w:val="24"/>
          <w:szCs w:val="24"/>
          <w:u w:val="single"/>
        </w:rPr>
      </w:pPr>
      <w:r w:rsidRPr="00A72B93">
        <w:rPr>
          <w:rFonts w:ascii="Times New Roman" w:eastAsia="Times New Roman" w:hAnsi="Times New Roman" w:cs="Times New Roman"/>
          <w:sz w:val="24"/>
          <w:szCs w:val="24"/>
          <w:u w:val="single"/>
        </w:rPr>
        <w:t xml:space="preserve">38. “The obligation not to reintroduce the death penalty for any specific crime requires States parties not to extradite or deport an individual to a country in which he or she is expected to stand trial for a capital offence, if the same offence does not carry the death penalty in the removing State, </w:t>
      </w:r>
      <w:r w:rsidRPr="00A72B93">
        <w:rPr>
          <w:rFonts w:ascii="Times New Roman" w:eastAsia="Times New Roman" w:hAnsi="Times New Roman" w:cs="Times New Roman"/>
          <w:b/>
          <w:sz w:val="24"/>
          <w:szCs w:val="24"/>
          <w:u w:val="single"/>
        </w:rPr>
        <w:t>nor to supply dual use goods that could be used for capital punishment</w:t>
      </w:r>
      <w:r w:rsidRPr="00A72B93">
        <w:rPr>
          <w:rFonts w:ascii="Times New Roman" w:eastAsia="Times New Roman" w:hAnsi="Times New Roman" w:cs="Times New Roman"/>
          <w:sz w:val="24"/>
          <w:szCs w:val="24"/>
          <w:u w:val="single"/>
        </w:rPr>
        <w:t xml:space="preserve"> unless credible and effective assurances against exposing the individual to, </w:t>
      </w:r>
      <w:r w:rsidRPr="00A72B93">
        <w:rPr>
          <w:rFonts w:ascii="Times New Roman" w:eastAsia="Times New Roman" w:hAnsi="Times New Roman" w:cs="Times New Roman"/>
          <w:b/>
          <w:sz w:val="24"/>
          <w:szCs w:val="24"/>
          <w:u w:val="single"/>
        </w:rPr>
        <w:t>or using these goods for</w:t>
      </w:r>
      <w:r w:rsidRPr="00A72B93">
        <w:rPr>
          <w:rFonts w:ascii="Times New Roman" w:eastAsia="Times New Roman" w:hAnsi="Times New Roman" w:cs="Times New Roman"/>
          <w:sz w:val="24"/>
          <w:szCs w:val="24"/>
          <w:u w:val="single"/>
        </w:rPr>
        <w:t xml:space="preserve"> </w:t>
      </w:r>
      <w:r w:rsidRPr="00A72B93">
        <w:rPr>
          <w:rFonts w:ascii="Times New Roman" w:eastAsia="Times New Roman" w:hAnsi="Times New Roman" w:cs="Times New Roman"/>
          <w:b/>
          <w:sz w:val="24"/>
          <w:szCs w:val="24"/>
          <w:u w:val="single"/>
        </w:rPr>
        <w:t>the</w:t>
      </w:r>
      <w:r w:rsidRPr="00A72B93">
        <w:rPr>
          <w:rFonts w:ascii="Times New Roman" w:eastAsia="Times New Roman" w:hAnsi="Times New Roman" w:cs="Times New Roman"/>
          <w:sz w:val="24"/>
          <w:szCs w:val="24"/>
          <w:u w:val="single"/>
        </w:rPr>
        <w:t xml:space="preserve"> </w:t>
      </w:r>
      <w:r w:rsidRPr="00A72B93">
        <w:rPr>
          <w:rFonts w:ascii="Times New Roman" w:eastAsia="Times New Roman" w:hAnsi="Times New Roman" w:cs="Times New Roman"/>
          <w:b/>
          <w:sz w:val="24"/>
          <w:szCs w:val="24"/>
          <w:u w:val="single"/>
        </w:rPr>
        <w:t>purposes of, the</w:t>
      </w:r>
      <w:r w:rsidRPr="00A72B93">
        <w:rPr>
          <w:rFonts w:ascii="Times New Roman" w:eastAsia="Times New Roman" w:hAnsi="Times New Roman" w:cs="Times New Roman"/>
          <w:sz w:val="24"/>
          <w:szCs w:val="24"/>
          <w:u w:val="single"/>
        </w:rPr>
        <w:t xml:space="preserve"> death penalty have been obtained.  </w:t>
      </w:r>
      <w:r w:rsidRPr="00A72B93">
        <w:rPr>
          <w:rFonts w:ascii="Times New Roman" w:eastAsia="Times New Roman" w:hAnsi="Times New Roman" w:cs="Times New Roman"/>
          <w:b/>
          <w:sz w:val="24"/>
          <w:szCs w:val="24"/>
          <w:u w:val="single"/>
        </w:rPr>
        <w:t>The export of goods specially designed for capital punishment should be prohibited.</w:t>
      </w:r>
    </w:p>
    <w:p w:rsidR="00A72B93" w:rsidRDefault="00A72B93" w:rsidP="005C6F51">
      <w:pPr>
        <w:spacing w:line="240" w:lineRule="auto"/>
        <w:jc w:val="both"/>
        <w:rPr>
          <w:sz w:val="24"/>
          <w:szCs w:val="24"/>
          <w:u w:val="single"/>
        </w:rPr>
      </w:pPr>
    </w:p>
    <w:p w:rsidR="00A72B93" w:rsidRDefault="00A72B93" w:rsidP="005C6F51">
      <w:pPr>
        <w:spacing w:line="240" w:lineRule="auto"/>
        <w:jc w:val="both"/>
        <w:rPr>
          <w:sz w:val="24"/>
          <w:szCs w:val="24"/>
          <w:u w:val="single"/>
        </w:rPr>
      </w:pPr>
    </w:p>
    <w:p w:rsidR="00A72B93" w:rsidRPr="00A72B93" w:rsidRDefault="00A72B93" w:rsidP="005C6F51">
      <w:pPr>
        <w:spacing w:line="240" w:lineRule="auto"/>
        <w:jc w:val="both"/>
        <w:rPr>
          <w:sz w:val="24"/>
          <w:szCs w:val="24"/>
          <w:u w:val="single"/>
        </w:rPr>
      </w:pPr>
    </w:p>
    <w:sectPr w:rsidR="00A72B93" w:rsidRPr="00A72B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401" w:rsidRDefault="00402401" w:rsidP="00402401">
      <w:pPr>
        <w:spacing w:after="0" w:line="240" w:lineRule="auto"/>
      </w:pPr>
      <w:r>
        <w:separator/>
      </w:r>
    </w:p>
  </w:endnote>
  <w:endnote w:type="continuationSeparator" w:id="0">
    <w:p w:rsidR="00402401" w:rsidRDefault="00402401" w:rsidP="00402401">
      <w:pPr>
        <w:spacing w:after="0" w:line="240" w:lineRule="auto"/>
      </w:pPr>
      <w:r>
        <w:continuationSeparator/>
      </w:r>
    </w:p>
  </w:endnote>
  <w:endnote w:id="1">
    <w:p w:rsidR="0086725C" w:rsidRPr="0086725C" w:rsidRDefault="0086725C" w:rsidP="00A2212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Endnotes.</w:t>
      </w:r>
    </w:p>
    <w:p w:rsidR="0086725C" w:rsidRPr="0086725C" w:rsidRDefault="0086725C" w:rsidP="0086725C">
      <w:pPr>
        <w:spacing w:line="240" w:lineRule="auto"/>
        <w:rPr>
          <w:rFonts w:ascii="Times New Roman" w:eastAsia="Times New Roman" w:hAnsi="Times New Roman" w:cs="Times New Roman"/>
          <w:sz w:val="24"/>
          <w:szCs w:val="24"/>
        </w:rPr>
      </w:pPr>
      <w:r w:rsidRPr="0086725C">
        <w:rPr>
          <w:rFonts w:ascii="Times New Roman" w:eastAsia="Times New Roman" w:hAnsi="Times New Roman" w:cs="Times New Roman"/>
          <w:sz w:val="24"/>
          <w:szCs w:val="24"/>
          <w:vertAlign w:val="superscript"/>
        </w:rPr>
        <w:endnoteRef/>
      </w:r>
      <w:r w:rsidRPr="0086725C">
        <w:rPr>
          <w:rFonts w:ascii="Times New Roman" w:eastAsia="Times New Roman" w:hAnsi="Times New Roman" w:cs="Times New Roman"/>
          <w:sz w:val="24"/>
          <w:szCs w:val="24"/>
          <w:vertAlign w:val="superscript"/>
        </w:rPr>
        <w:t xml:space="preserve"> </w:t>
      </w:r>
      <w:r w:rsidRPr="0086725C">
        <w:rPr>
          <w:rFonts w:ascii="Times New Roman" w:eastAsia="Times New Roman" w:hAnsi="Times New Roman" w:cs="Times New Roman"/>
          <w:sz w:val="24"/>
          <w:szCs w:val="24"/>
        </w:rPr>
        <w:t xml:space="preserve">Dr Abi Dymond, Criminology Lecturer </w:t>
      </w:r>
      <w:r w:rsidR="001137B8">
        <w:rPr>
          <w:rFonts w:ascii="Times New Roman" w:eastAsia="Times New Roman" w:hAnsi="Times New Roman" w:cs="Times New Roman"/>
          <w:sz w:val="24"/>
          <w:szCs w:val="24"/>
        </w:rPr>
        <w:t xml:space="preserve">and ESRC Future Research Leaders’ Scholar </w:t>
      </w:r>
      <w:r w:rsidRPr="0086725C">
        <w:rPr>
          <w:rFonts w:ascii="Times New Roman" w:eastAsia="Times New Roman" w:hAnsi="Times New Roman" w:cs="Times New Roman"/>
          <w:sz w:val="24"/>
          <w:szCs w:val="24"/>
        </w:rPr>
        <w:t xml:space="preserve">at the University of Exeter and Research Associate, Omega Research Foundation.  This work was supported by the ESRC Future Research Leaders Scheme (grant number ES/N016564/1).  Contact  </w:t>
      </w:r>
      <w:hyperlink r:id="rId1" w:history="1">
        <w:r w:rsidRPr="0086725C">
          <w:rPr>
            <w:rStyle w:val="Hyperlink"/>
            <w:rFonts w:ascii="Times New Roman" w:eastAsia="Times New Roman" w:hAnsi="Times New Roman" w:cs="Times New Roman"/>
            <w:sz w:val="24"/>
            <w:szCs w:val="24"/>
          </w:rPr>
          <w:t>A.dymond@exeter.ac.uk</w:t>
        </w:r>
      </w:hyperlink>
      <w:r w:rsidRPr="0086725C">
        <w:rPr>
          <w:rFonts w:ascii="Times New Roman" w:eastAsia="Times New Roman" w:hAnsi="Times New Roman" w:cs="Times New Roman"/>
          <w:sz w:val="24"/>
          <w:szCs w:val="24"/>
        </w:rPr>
        <w:t xml:space="preserve"> , </w:t>
      </w:r>
      <w:hyperlink r:id="rId2" w:history="1">
        <w:r w:rsidRPr="0086725C">
          <w:rPr>
            <w:rStyle w:val="Hyperlink"/>
            <w:rFonts w:ascii="Times New Roman" w:eastAsia="Times New Roman" w:hAnsi="Times New Roman" w:cs="Times New Roman"/>
            <w:sz w:val="24"/>
            <w:szCs w:val="24"/>
          </w:rPr>
          <w:t>abi@omegaresearchfoundation.org</w:t>
        </w:r>
      </w:hyperlink>
      <w:r w:rsidRPr="0086725C">
        <w:rPr>
          <w:rFonts w:ascii="Times New Roman" w:eastAsia="Times New Roman" w:hAnsi="Times New Roman" w:cs="Times New Roman"/>
          <w:sz w:val="24"/>
          <w:szCs w:val="24"/>
        </w:rPr>
        <w:t xml:space="preserve"> </w:t>
      </w:r>
    </w:p>
  </w:endnote>
  <w:endnote w:id="2">
    <w:p w:rsidR="0086725C" w:rsidRPr="0086725C" w:rsidRDefault="0086725C" w:rsidP="0086725C">
      <w:pPr>
        <w:pStyle w:val="Heading2"/>
        <w:spacing w:before="0" w:line="240" w:lineRule="auto"/>
        <w:rPr>
          <w:rFonts w:ascii="Times New Roman" w:eastAsia="Times New Roman" w:hAnsi="Times New Roman" w:cs="Times New Roman"/>
          <w:b w:val="0"/>
          <w:color w:val="auto"/>
          <w:sz w:val="24"/>
          <w:szCs w:val="24"/>
        </w:rPr>
      </w:pPr>
      <w:r w:rsidRPr="0086725C">
        <w:rPr>
          <w:rFonts w:ascii="Times New Roman" w:eastAsia="Times New Roman" w:hAnsi="Times New Roman" w:cs="Times New Roman"/>
          <w:b w:val="0"/>
          <w:bCs w:val="0"/>
          <w:color w:val="auto"/>
          <w:sz w:val="24"/>
          <w:szCs w:val="24"/>
        </w:rPr>
        <w:endnoteRef/>
      </w:r>
      <w:r w:rsidRPr="0086725C">
        <w:rPr>
          <w:rFonts w:ascii="Times New Roman" w:eastAsia="Times New Roman" w:hAnsi="Times New Roman" w:cs="Times New Roman"/>
          <w:b w:val="0"/>
          <w:bCs w:val="0"/>
          <w:color w:val="auto"/>
          <w:sz w:val="24"/>
          <w:szCs w:val="24"/>
        </w:rPr>
        <w:t xml:space="preserve"> See, for example, </w:t>
      </w:r>
      <w:hyperlink r:id="rId3" w:history="1">
        <w:r w:rsidRPr="0086725C">
          <w:rPr>
            <w:rFonts w:ascii="Times New Roman" w:eastAsia="Times New Roman" w:hAnsi="Times New Roman" w:cs="Times New Roman"/>
            <w:b w:val="0"/>
            <w:bCs w:val="0"/>
            <w:color w:val="auto"/>
            <w:sz w:val="24"/>
            <w:szCs w:val="24"/>
          </w:rPr>
          <w:t>Contargyris C </w:t>
        </w:r>
      </w:hyperlink>
      <w:r w:rsidRPr="0086725C">
        <w:rPr>
          <w:rFonts w:ascii="Times New Roman" w:eastAsia="Times New Roman" w:hAnsi="Times New Roman" w:cs="Times New Roman"/>
          <w:b w:val="0"/>
          <w:bCs w:val="0"/>
          <w:color w:val="auto"/>
          <w:sz w:val="24"/>
          <w:szCs w:val="24"/>
        </w:rPr>
        <w:t xml:space="preserve"> and </w:t>
      </w:r>
      <w:hyperlink r:id="rId4" w:history="1">
        <w:r w:rsidRPr="0086725C">
          <w:rPr>
            <w:rFonts w:ascii="Times New Roman" w:eastAsia="Times New Roman" w:hAnsi="Times New Roman" w:cs="Times New Roman"/>
            <w:b w:val="0"/>
            <w:bCs w:val="0"/>
            <w:color w:val="auto"/>
            <w:sz w:val="24"/>
            <w:szCs w:val="24"/>
          </w:rPr>
          <w:t>Peytel E </w:t>
        </w:r>
      </w:hyperlink>
      <w:r w:rsidRPr="0086725C">
        <w:rPr>
          <w:rFonts w:ascii="Times New Roman" w:eastAsia="Times New Roman" w:hAnsi="Times New Roman" w:cs="Times New Roman"/>
          <w:b w:val="0"/>
          <w:bCs w:val="0"/>
          <w:color w:val="auto"/>
          <w:sz w:val="24"/>
          <w:szCs w:val="24"/>
        </w:rPr>
        <w:t xml:space="preserve"> (2012) ‘Sudden death caused by a less lethal weapon chest-wall injury (Commotio cordis)’ </w:t>
      </w:r>
      <w:hyperlink r:id="rId5" w:history="1">
        <w:r w:rsidRPr="0086725C">
          <w:rPr>
            <w:rFonts w:ascii="Times New Roman" w:eastAsia="Times New Roman" w:hAnsi="Times New Roman" w:cs="Times New Roman"/>
            <w:b w:val="0"/>
            <w:bCs w:val="0"/>
            <w:color w:val="auto"/>
            <w:sz w:val="24"/>
            <w:szCs w:val="24"/>
          </w:rPr>
          <w:t>Annales Francaises D'anesthesie et de Reanimation</w:t>
        </w:r>
      </w:hyperlink>
      <w:r w:rsidRPr="0086725C">
        <w:rPr>
          <w:rFonts w:ascii="Times New Roman" w:eastAsia="Times New Roman" w:hAnsi="Times New Roman" w:cs="Times New Roman"/>
          <w:b w:val="0"/>
          <w:bCs w:val="0"/>
          <w:color w:val="auto"/>
          <w:sz w:val="24"/>
          <w:szCs w:val="24"/>
        </w:rPr>
        <w:t xml:space="preserve"> 31(5):469-471; Kroll, M; Adamec, J; Wetli, C and Williams, H (2016) ‘Fatal traumatic brain injury with electrical weapon falls’ </w:t>
      </w:r>
      <w:hyperlink r:id="rId6" w:tooltip="Go to Journal of Forensic and Legal Medicine on ScienceDirect" w:history="1">
        <w:r w:rsidRPr="0086725C">
          <w:rPr>
            <w:rFonts w:ascii="Times New Roman" w:eastAsia="Times New Roman" w:hAnsi="Times New Roman" w:cs="Times New Roman"/>
            <w:b w:val="0"/>
            <w:bCs w:val="0"/>
            <w:color w:val="auto"/>
            <w:sz w:val="24"/>
            <w:szCs w:val="24"/>
          </w:rPr>
          <w:t>Journal of Forensic and Legal Medicine</w:t>
        </w:r>
      </w:hyperlink>
      <w:r w:rsidRPr="0086725C">
        <w:rPr>
          <w:rFonts w:ascii="Times New Roman" w:eastAsia="Times New Roman" w:hAnsi="Times New Roman" w:cs="Times New Roman"/>
          <w:b w:val="0"/>
          <w:bCs w:val="0"/>
          <w:color w:val="auto"/>
          <w:sz w:val="24"/>
          <w:szCs w:val="24"/>
        </w:rPr>
        <w:t xml:space="preserve"> 43; 12-19; Zipes, D., (2014) ‘Can TASER Electronic Control Devices Cause Cardiac Arrest? TASER Electronic Control Devices Can Cause Cardiac Arrest in Humans’ Circulation 129 (1): 101–111.</w:t>
      </w:r>
    </w:p>
  </w:endnote>
  <w:endnote w:id="3">
    <w:p w:rsidR="0086725C" w:rsidRPr="0086725C" w:rsidRDefault="0086725C" w:rsidP="0086725C">
      <w:pPr>
        <w:pStyle w:val="EndnoteText"/>
        <w:tabs>
          <w:tab w:val="right" w:pos="0"/>
        </w:tabs>
        <w:rPr>
          <w:rFonts w:ascii="Times New Roman" w:hAnsi="Times New Roman" w:cs="Times New Roman"/>
          <w:sz w:val="24"/>
          <w:szCs w:val="24"/>
        </w:rPr>
      </w:pPr>
    </w:p>
    <w:p w:rsidR="0086725C" w:rsidRPr="0086725C" w:rsidRDefault="0086725C" w:rsidP="0086725C">
      <w:pPr>
        <w:pStyle w:val="EndnoteText"/>
        <w:tabs>
          <w:tab w:val="right" w:pos="0"/>
        </w:tabs>
        <w:rPr>
          <w:rFonts w:ascii="Times New Roman" w:hAnsi="Times New Roman" w:cs="Times New Roman"/>
          <w:sz w:val="24"/>
          <w:szCs w:val="24"/>
        </w:rPr>
      </w:pPr>
      <w:r w:rsidRPr="0086725C">
        <w:rPr>
          <w:rStyle w:val="EndnoteReference"/>
          <w:rFonts w:ascii="Times New Roman" w:hAnsi="Times New Roman" w:cs="Times New Roman"/>
          <w:sz w:val="24"/>
          <w:szCs w:val="24"/>
        </w:rPr>
        <w:endnoteRef/>
      </w:r>
      <w:r w:rsidRPr="0086725C">
        <w:rPr>
          <w:rFonts w:ascii="Times New Roman" w:hAnsi="Times New Roman" w:cs="Times New Roman"/>
          <w:sz w:val="24"/>
          <w:szCs w:val="24"/>
        </w:rPr>
        <w:t xml:space="preserve"> Casey-Maslen, S:Corney, N and Dymond-Bass,  A (2014) ‘The review of weapons under international humanitarian law and human rights law’, in Casey-Maslen (ed.), </w:t>
      </w:r>
      <w:r w:rsidRPr="0086725C">
        <w:rPr>
          <w:rFonts w:ascii="Times New Roman" w:hAnsi="Times New Roman" w:cs="Times New Roman"/>
          <w:i/>
          <w:sz w:val="24"/>
          <w:szCs w:val="24"/>
        </w:rPr>
        <w:t>Weapons Under International Human Rights Law</w:t>
      </w:r>
      <w:r w:rsidRPr="0086725C">
        <w:rPr>
          <w:rFonts w:ascii="Times New Roman" w:hAnsi="Times New Roman" w:cs="Times New Roman"/>
          <w:sz w:val="24"/>
          <w:szCs w:val="24"/>
        </w:rPr>
        <w:t>Cambridge University Press.</w:t>
      </w:r>
    </w:p>
    <w:p w:rsidR="0086725C" w:rsidRPr="0086725C" w:rsidRDefault="0086725C" w:rsidP="0086725C">
      <w:pPr>
        <w:pStyle w:val="EndnoteText"/>
        <w:rPr>
          <w:rFonts w:ascii="Times New Roman" w:hAnsi="Times New Roman" w:cs="Times New Roman"/>
          <w:sz w:val="24"/>
          <w:szCs w:val="24"/>
        </w:rPr>
      </w:pPr>
    </w:p>
  </w:endnote>
  <w:endnote w:id="4">
    <w:p w:rsidR="0086725C" w:rsidRPr="0086725C" w:rsidRDefault="0086725C" w:rsidP="0086725C">
      <w:pPr>
        <w:pStyle w:val="EndnoteText"/>
        <w:tabs>
          <w:tab w:val="right" w:pos="0"/>
        </w:tabs>
        <w:rPr>
          <w:rFonts w:ascii="Times New Roman" w:hAnsi="Times New Roman" w:cs="Times New Roman"/>
          <w:sz w:val="24"/>
          <w:szCs w:val="24"/>
        </w:rPr>
      </w:pPr>
      <w:r w:rsidRPr="0086725C">
        <w:rPr>
          <w:rFonts w:ascii="Times New Roman" w:hAnsi="Times New Roman" w:cs="Times New Roman"/>
          <w:sz w:val="24"/>
          <w:szCs w:val="24"/>
        </w:rPr>
        <w:endnoteRef/>
      </w:r>
      <w:r w:rsidRPr="0086725C">
        <w:rPr>
          <w:rFonts w:ascii="Times New Roman" w:hAnsi="Times New Roman" w:cs="Times New Roman"/>
          <w:sz w:val="24"/>
          <w:szCs w:val="24"/>
        </w:rPr>
        <w:t xml:space="preserve"> United Nations General Assembly (2017) </w:t>
      </w:r>
      <w:r w:rsidRPr="0086725C">
        <w:rPr>
          <w:rFonts w:ascii="Times New Roman" w:hAnsi="Times New Roman" w:cs="Times New Roman"/>
          <w:i/>
          <w:sz w:val="24"/>
          <w:szCs w:val="24"/>
        </w:rPr>
        <w:t>Seventy-second session Item 73 (b) of the provisional agenda Promotion and protection of human rights: human rights questions, including alternative approaches for improving the effective enjoyment of human rights and fundamental freedom.s Extra-custodial use of force and the prohibition of torture and other cruel, inhuman or degrading treatment or punishment: Report of the Special Rapporteur on torture and other cruel, inhuman or degrading treatment or punishment</w:t>
      </w:r>
      <w:r w:rsidRPr="0086725C">
        <w:rPr>
          <w:rFonts w:ascii="Times New Roman" w:hAnsi="Times New Roman" w:cs="Times New Roman"/>
          <w:sz w:val="24"/>
          <w:szCs w:val="24"/>
        </w:rPr>
        <w:t xml:space="preserve"> Para 67</w:t>
      </w:r>
    </w:p>
    <w:p w:rsidR="0086725C" w:rsidRPr="0086725C" w:rsidRDefault="0086725C" w:rsidP="0086725C">
      <w:pPr>
        <w:pStyle w:val="EndnoteText"/>
        <w:tabs>
          <w:tab w:val="right" w:pos="0"/>
        </w:tabs>
        <w:rPr>
          <w:rFonts w:ascii="Times New Roman" w:hAnsi="Times New Roman" w:cs="Times New Roman"/>
          <w:sz w:val="24"/>
          <w:szCs w:val="24"/>
        </w:rPr>
      </w:pPr>
    </w:p>
  </w:endnote>
  <w:endnote w:id="5">
    <w:p w:rsidR="0086725C" w:rsidRPr="0086725C" w:rsidRDefault="0086725C" w:rsidP="0086725C">
      <w:pPr>
        <w:shd w:val="clear" w:color="auto" w:fill="F8F8F8"/>
        <w:spacing w:after="0" w:line="240" w:lineRule="auto"/>
        <w:rPr>
          <w:rFonts w:ascii="Times New Roman" w:hAnsi="Times New Roman" w:cs="Times New Roman"/>
          <w:sz w:val="24"/>
          <w:szCs w:val="24"/>
        </w:rPr>
      </w:pPr>
      <w:r w:rsidRPr="0086725C">
        <w:rPr>
          <w:rStyle w:val="EndnoteReference"/>
          <w:rFonts w:ascii="Times New Roman" w:hAnsi="Times New Roman" w:cs="Times New Roman"/>
          <w:sz w:val="24"/>
          <w:szCs w:val="24"/>
        </w:rPr>
        <w:endnoteRef/>
      </w:r>
      <w:r w:rsidRPr="0086725C">
        <w:rPr>
          <w:rFonts w:ascii="Times New Roman" w:hAnsi="Times New Roman" w:cs="Times New Roman"/>
          <w:sz w:val="24"/>
          <w:szCs w:val="24"/>
        </w:rPr>
        <w:t xml:space="preserve"> </w:t>
      </w:r>
      <w:r w:rsidRPr="0086725C">
        <w:rPr>
          <w:rFonts w:ascii="Times New Roman" w:eastAsia="Times New Roman" w:hAnsi="Times New Roman" w:cs="Times New Roman"/>
          <w:sz w:val="24"/>
          <w:szCs w:val="24"/>
        </w:rPr>
        <w:t xml:space="preserve">See Corp of  the Canadian  Civil  Liberties Assn. v. Toronto (City) Police  Service [2010] O.J.  No. 2715 2010 ONSC  3525 Court File  No.  CV 10 – 404640; and  Hambling, D (2008) ‘Loudhailer or Weapon’ New Scientist, May 13th edition.  Available online at  </w:t>
      </w:r>
      <w:hyperlink r:id="rId7" w:history="1">
        <w:r w:rsidRPr="0086725C">
          <w:rPr>
            <w:rFonts w:ascii="Times New Roman" w:eastAsia="Times New Roman" w:hAnsi="Times New Roman" w:cs="Times New Roman"/>
            <w:sz w:val="24"/>
            <w:szCs w:val="24"/>
          </w:rPr>
          <w:t>https://www.newscientist.com/blog/technology/2008/05/loudhailer-or-weapon.html</w:t>
        </w:r>
      </w:hyperlink>
      <w:r w:rsidRPr="0086725C">
        <w:rPr>
          <w:rFonts w:ascii="Times New Roman" w:eastAsia="Times New Roman" w:hAnsi="Times New Roman" w:cs="Times New Roman"/>
          <w:sz w:val="24"/>
          <w:szCs w:val="24"/>
        </w:rPr>
        <w:t xml:space="preserve"> .</w:t>
      </w:r>
    </w:p>
  </w:endnote>
  <w:endnote w:id="6">
    <w:p w:rsidR="0086725C" w:rsidRPr="0086725C" w:rsidRDefault="0086725C" w:rsidP="0086725C">
      <w:pPr>
        <w:pStyle w:val="EndnoteText"/>
        <w:rPr>
          <w:rFonts w:ascii="Times New Roman" w:hAnsi="Times New Roman" w:cs="Times New Roman"/>
          <w:sz w:val="24"/>
          <w:szCs w:val="24"/>
        </w:rPr>
      </w:pPr>
    </w:p>
    <w:p w:rsidR="0086725C" w:rsidRPr="0086725C" w:rsidRDefault="0086725C" w:rsidP="0086725C">
      <w:pPr>
        <w:pStyle w:val="EndnoteText"/>
        <w:rPr>
          <w:rFonts w:ascii="Times New Roman" w:hAnsi="Times New Roman" w:cs="Times New Roman"/>
          <w:sz w:val="24"/>
          <w:szCs w:val="24"/>
        </w:rPr>
      </w:pPr>
      <w:r w:rsidRPr="0086725C">
        <w:rPr>
          <w:rStyle w:val="EndnoteReference"/>
          <w:rFonts w:ascii="Times New Roman" w:hAnsi="Times New Roman" w:cs="Times New Roman"/>
          <w:sz w:val="24"/>
          <w:szCs w:val="24"/>
        </w:rPr>
        <w:endnoteRef/>
      </w:r>
      <w:r w:rsidRPr="0086725C">
        <w:rPr>
          <w:rFonts w:ascii="Times New Roman" w:hAnsi="Times New Roman" w:cs="Times New Roman"/>
          <w:sz w:val="24"/>
          <w:szCs w:val="24"/>
        </w:rPr>
        <w:t xml:space="preserve"> Lrad Corporation (2017) Law Enforcement: Elevated Risk Operations </w:t>
      </w:r>
      <w:hyperlink r:id="rId8" w:history="1">
        <w:r w:rsidRPr="0086725C">
          <w:rPr>
            <w:rFonts w:ascii="Times New Roman" w:hAnsi="Times New Roman" w:cs="Times New Roman"/>
            <w:sz w:val="24"/>
            <w:szCs w:val="24"/>
          </w:rPr>
          <w:t>https://www.lradx.com/application/law-enforcement/elevated-risk-operations/</w:t>
        </w:r>
      </w:hyperlink>
      <w:r w:rsidRPr="0086725C">
        <w:rPr>
          <w:rFonts w:ascii="Times New Roman" w:hAnsi="Times New Roman" w:cs="Times New Roman"/>
          <w:sz w:val="24"/>
          <w:szCs w:val="24"/>
        </w:rPr>
        <w:t xml:space="preserve"> </w:t>
      </w:r>
    </w:p>
  </w:endnote>
  <w:endnote w:id="7">
    <w:p w:rsidR="0086725C" w:rsidRPr="0086725C" w:rsidRDefault="0086725C" w:rsidP="0086725C">
      <w:pPr>
        <w:pStyle w:val="EndnoteText"/>
        <w:rPr>
          <w:rFonts w:ascii="Times New Roman" w:hAnsi="Times New Roman" w:cs="Times New Roman"/>
          <w:sz w:val="24"/>
          <w:szCs w:val="24"/>
        </w:rPr>
      </w:pPr>
    </w:p>
    <w:p w:rsidR="0086725C" w:rsidRPr="0086725C" w:rsidRDefault="0086725C" w:rsidP="0086725C">
      <w:pPr>
        <w:pStyle w:val="EndnoteText"/>
        <w:rPr>
          <w:rFonts w:ascii="Times New Roman" w:hAnsi="Times New Roman" w:cs="Times New Roman"/>
          <w:sz w:val="24"/>
          <w:szCs w:val="24"/>
        </w:rPr>
      </w:pPr>
      <w:r w:rsidRPr="0086725C">
        <w:rPr>
          <w:rStyle w:val="EndnoteReference"/>
          <w:rFonts w:ascii="Times New Roman" w:hAnsi="Times New Roman" w:cs="Times New Roman"/>
          <w:sz w:val="24"/>
          <w:szCs w:val="24"/>
        </w:rPr>
        <w:endnoteRef/>
      </w:r>
      <w:r w:rsidRPr="0086725C">
        <w:rPr>
          <w:rFonts w:ascii="Times New Roman" w:hAnsi="Times New Roman" w:cs="Times New Roman"/>
          <w:sz w:val="24"/>
          <w:szCs w:val="24"/>
        </w:rPr>
        <w:t xml:space="preserve"> Product detailed in Omega Research Foundation archives, accessed 05/10/2017.</w:t>
      </w:r>
    </w:p>
  </w:endnote>
  <w:endnote w:id="8">
    <w:p w:rsidR="00CB7F47" w:rsidRDefault="00CB7F47" w:rsidP="0086725C">
      <w:pPr>
        <w:pStyle w:val="EndnoteText"/>
        <w:ind w:left="142"/>
        <w:rPr>
          <w:rFonts w:ascii="Times New Roman" w:hAnsi="Times New Roman" w:cs="Times New Roman"/>
          <w:sz w:val="24"/>
          <w:szCs w:val="24"/>
        </w:rPr>
      </w:pPr>
    </w:p>
    <w:p w:rsidR="0086725C" w:rsidRPr="0086725C" w:rsidRDefault="0086725C" w:rsidP="0086725C">
      <w:pPr>
        <w:pStyle w:val="EndnoteText"/>
        <w:ind w:left="142"/>
        <w:rPr>
          <w:rFonts w:ascii="Times New Roman" w:hAnsi="Times New Roman" w:cs="Times New Roman"/>
          <w:sz w:val="24"/>
          <w:szCs w:val="24"/>
        </w:rPr>
      </w:pPr>
      <w:r w:rsidRPr="0086725C">
        <w:rPr>
          <w:rStyle w:val="EndnoteReference"/>
          <w:rFonts w:ascii="Times New Roman" w:hAnsi="Times New Roman" w:cs="Times New Roman"/>
          <w:sz w:val="24"/>
          <w:szCs w:val="24"/>
        </w:rPr>
        <w:endnoteRef/>
      </w:r>
      <w:r w:rsidRPr="0086725C">
        <w:rPr>
          <w:rFonts w:ascii="Times New Roman" w:hAnsi="Times New Roman" w:cs="Times New Roman"/>
          <w:sz w:val="24"/>
          <w:szCs w:val="24"/>
        </w:rPr>
        <w:t xml:space="preserve"> Latour, B., (1994) ‘On Technical Mediation: Philosophy, Sociology, Geneology’ </w:t>
      </w:r>
      <w:r w:rsidRPr="0086725C">
        <w:rPr>
          <w:rFonts w:ascii="Times New Roman" w:hAnsi="Times New Roman" w:cs="Times New Roman"/>
          <w:i/>
          <w:iCs/>
          <w:sz w:val="24"/>
          <w:szCs w:val="24"/>
        </w:rPr>
        <w:t xml:space="preserve">Common Knowledge </w:t>
      </w:r>
      <w:r w:rsidRPr="0086725C">
        <w:rPr>
          <w:rFonts w:ascii="Times New Roman" w:hAnsi="Times New Roman" w:cs="Times New Roman"/>
          <w:sz w:val="24"/>
          <w:szCs w:val="24"/>
        </w:rPr>
        <w:t xml:space="preserve">3 (2): 29-64; Berkowitz, L., and LePage, A., (1967) ‘Weapons as Aggression-Eliciting Stimuli’ </w:t>
      </w:r>
      <w:r w:rsidRPr="0086725C">
        <w:rPr>
          <w:rFonts w:ascii="Times New Roman" w:hAnsi="Times New Roman" w:cs="Times New Roman"/>
          <w:i/>
          <w:iCs/>
          <w:sz w:val="24"/>
          <w:szCs w:val="24"/>
        </w:rPr>
        <w:t xml:space="preserve">Journal of Personality and Social Psychology </w:t>
      </w:r>
      <w:r w:rsidRPr="0086725C">
        <w:rPr>
          <w:rFonts w:ascii="Times New Roman" w:hAnsi="Times New Roman" w:cs="Times New Roman"/>
          <w:sz w:val="24"/>
          <w:szCs w:val="24"/>
        </w:rPr>
        <w:t xml:space="preserve">7 :202-07; Brennan, I. and Moore, S., (2009) Weapons and violence: A review of theory and research </w:t>
      </w:r>
      <w:r w:rsidRPr="0086725C">
        <w:rPr>
          <w:rFonts w:ascii="Times New Roman" w:hAnsi="Times New Roman" w:cs="Times New Roman"/>
          <w:i/>
          <w:iCs/>
          <w:sz w:val="24"/>
          <w:szCs w:val="24"/>
        </w:rPr>
        <w:t xml:space="preserve">Aggression and Violent Behavior </w:t>
      </w:r>
      <w:r w:rsidRPr="0086725C">
        <w:rPr>
          <w:rFonts w:ascii="Times New Roman" w:hAnsi="Times New Roman" w:cs="Times New Roman"/>
          <w:sz w:val="24"/>
          <w:szCs w:val="24"/>
        </w:rPr>
        <w:t xml:space="preserve">14: 215–225; Klinesmith, J., Kasser, T. and McAndrew, F., (2006) ‘Guns, Testosterone, and Aggression: An Experimental Test of a Mediational Hypothesis’ </w:t>
      </w:r>
      <w:r w:rsidRPr="0086725C">
        <w:rPr>
          <w:rFonts w:ascii="Times New Roman" w:hAnsi="Times New Roman" w:cs="Times New Roman"/>
          <w:i/>
          <w:iCs/>
          <w:sz w:val="24"/>
          <w:szCs w:val="24"/>
        </w:rPr>
        <w:t xml:space="preserve">Psychological Science </w:t>
      </w:r>
      <w:r w:rsidRPr="0086725C">
        <w:rPr>
          <w:rFonts w:ascii="Times New Roman" w:hAnsi="Times New Roman" w:cs="Times New Roman"/>
          <w:sz w:val="24"/>
          <w:szCs w:val="24"/>
        </w:rPr>
        <w:t xml:space="preserve">17 (7): 568–571. ; </w:t>
      </w:r>
    </w:p>
    <w:p w:rsidR="0086725C" w:rsidRPr="0086725C" w:rsidRDefault="0086725C" w:rsidP="0086725C">
      <w:pPr>
        <w:pStyle w:val="EndnoteText"/>
        <w:ind w:left="142"/>
        <w:rPr>
          <w:rFonts w:ascii="Times New Roman" w:hAnsi="Times New Roman" w:cs="Times New Roman"/>
          <w:sz w:val="24"/>
          <w:szCs w:val="24"/>
        </w:rPr>
      </w:pPr>
    </w:p>
  </w:endnote>
  <w:endnote w:id="9">
    <w:p w:rsidR="0086725C" w:rsidRPr="0086725C" w:rsidRDefault="0086725C" w:rsidP="00375E12">
      <w:pPr>
        <w:pStyle w:val="EndnoteText"/>
        <w:tabs>
          <w:tab w:val="right" w:pos="284"/>
        </w:tabs>
        <w:ind w:left="142"/>
        <w:rPr>
          <w:rFonts w:ascii="Times New Roman" w:hAnsi="Times New Roman" w:cs="Times New Roman"/>
          <w:sz w:val="24"/>
          <w:szCs w:val="24"/>
        </w:rPr>
      </w:pPr>
      <w:r w:rsidRPr="0086725C">
        <w:rPr>
          <w:rStyle w:val="EndnoteReference"/>
          <w:rFonts w:ascii="Times New Roman" w:hAnsi="Times New Roman" w:cs="Times New Roman"/>
          <w:sz w:val="24"/>
          <w:szCs w:val="24"/>
        </w:rPr>
        <w:endnoteRef/>
      </w:r>
      <w:r w:rsidRPr="0086725C">
        <w:rPr>
          <w:rFonts w:ascii="Times New Roman" w:hAnsi="Times New Roman" w:cs="Times New Roman"/>
          <w:sz w:val="24"/>
          <w:szCs w:val="24"/>
        </w:rPr>
        <w:t xml:space="preserve"> Dymond, A (2017) </w:t>
      </w:r>
      <w:r w:rsidRPr="0086725C">
        <w:rPr>
          <w:rFonts w:ascii="Times New Roman" w:hAnsi="Times New Roman" w:cs="Times New Roman"/>
          <w:i/>
          <w:sz w:val="24"/>
          <w:szCs w:val="24"/>
        </w:rPr>
        <w:t xml:space="preserve">Police use of Taser in England and Wales 2004 – 2014; </w:t>
      </w:r>
      <w:r w:rsidRPr="0086725C">
        <w:rPr>
          <w:rFonts w:ascii="Times New Roman" w:hAnsi="Times New Roman" w:cs="Times New Roman"/>
          <w:sz w:val="24"/>
          <w:szCs w:val="24"/>
        </w:rPr>
        <w:t>unpublished PhD thesis.</w:t>
      </w:r>
    </w:p>
    <w:p w:rsidR="0086725C" w:rsidRPr="0086725C" w:rsidRDefault="0086725C" w:rsidP="0086725C">
      <w:pPr>
        <w:pStyle w:val="EndnoteText"/>
        <w:rPr>
          <w:rFonts w:ascii="Times New Roman" w:hAnsi="Times New Roman" w:cs="Times New Roman"/>
          <w:sz w:val="24"/>
          <w:szCs w:val="24"/>
        </w:rPr>
      </w:pPr>
    </w:p>
  </w:endnote>
  <w:endnote w:id="10">
    <w:p w:rsidR="0086725C" w:rsidRPr="0086725C" w:rsidRDefault="0086725C" w:rsidP="0086725C">
      <w:pPr>
        <w:pStyle w:val="EndnoteText"/>
        <w:tabs>
          <w:tab w:val="right" w:pos="0"/>
        </w:tabs>
        <w:ind w:left="142" w:hanging="142"/>
        <w:rPr>
          <w:rFonts w:ascii="Times New Roman" w:hAnsi="Times New Roman" w:cs="Times New Roman"/>
          <w:sz w:val="24"/>
          <w:szCs w:val="24"/>
        </w:rPr>
      </w:pPr>
      <w:r w:rsidRPr="0086725C">
        <w:rPr>
          <w:rStyle w:val="EndnoteReference"/>
          <w:rFonts w:ascii="Times New Roman" w:hAnsi="Times New Roman" w:cs="Times New Roman"/>
          <w:sz w:val="24"/>
          <w:szCs w:val="24"/>
        </w:rPr>
        <w:endnoteRef/>
      </w:r>
      <w:r w:rsidRPr="0086725C">
        <w:rPr>
          <w:rFonts w:ascii="Times New Roman" w:hAnsi="Times New Roman" w:cs="Times New Roman"/>
          <w:sz w:val="24"/>
          <w:szCs w:val="24"/>
        </w:rPr>
        <w:t xml:space="preserve"> Rappert, B (2003) ‘Health and safety in policing:lessons from the regulation of CS sprays in the UK’ </w:t>
      </w:r>
      <w:r w:rsidRPr="0086725C">
        <w:rPr>
          <w:rFonts w:ascii="Times New Roman" w:hAnsi="Times New Roman" w:cs="Times New Roman"/>
          <w:i/>
          <w:sz w:val="24"/>
          <w:szCs w:val="24"/>
        </w:rPr>
        <w:t>Social Science &amp; Medicine</w:t>
      </w:r>
      <w:r w:rsidRPr="0086725C">
        <w:rPr>
          <w:rFonts w:ascii="Times New Roman" w:hAnsi="Times New Roman" w:cs="Times New Roman"/>
          <w:sz w:val="24"/>
          <w:szCs w:val="24"/>
        </w:rPr>
        <w:t xml:space="preserve"> 56: 1269–1278 </w:t>
      </w:r>
    </w:p>
    <w:p w:rsidR="0086725C" w:rsidRPr="0086725C" w:rsidRDefault="0086725C" w:rsidP="0086725C">
      <w:pPr>
        <w:pStyle w:val="EndnoteText"/>
        <w:tabs>
          <w:tab w:val="right" w:pos="0"/>
        </w:tabs>
        <w:ind w:left="142" w:hanging="142"/>
        <w:rPr>
          <w:rFonts w:ascii="Times New Roman" w:hAnsi="Times New Roman" w:cs="Times New Roman"/>
          <w:sz w:val="24"/>
          <w:szCs w:val="24"/>
        </w:rPr>
      </w:pPr>
    </w:p>
  </w:endnote>
  <w:endnote w:id="11">
    <w:p w:rsidR="0086725C" w:rsidRPr="0086725C" w:rsidRDefault="0086725C" w:rsidP="0086725C">
      <w:pPr>
        <w:pStyle w:val="EndnoteText"/>
        <w:tabs>
          <w:tab w:val="right" w:pos="284"/>
        </w:tabs>
        <w:ind w:left="142"/>
        <w:rPr>
          <w:rFonts w:ascii="Times New Roman" w:hAnsi="Times New Roman" w:cs="Times New Roman"/>
          <w:sz w:val="24"/>
          <w:szCs w:val="24"/>
        </w:rPr>
      </w:pPr>
      <w:r w:rsidRPr="0086725C">
        <w:rPr>
          <w:rStyle w:val="EndnoteReference"/>
          <w:rFonts w:ascii="Times New Roman" w:hAnsi="Times New Roman" w:cs="Times New Roman"/>
          <w:sz w:val="24"/>
          <w:szCs w:val="24"/>
        </w:rPr>
        <w:endnoteRef/>
      </w:r>
      <w:r w:rsidRPr="0086725C">
        <w:rPr>
          <w:rFonts w:ascii="Times New Roman" w:hAnsi="Times New Roman" w:cs="Times New Roman"/>
          <w:sz w:val="24"/>
          <w:szCs w:val="24"/>
        </w:rPr>
        <w:t xml:space="preserve"> For further details on use of force reporting systems, see Dymond, A., (2016) </w:t>
      </w:r>
      <w:r w:rsidRPr="0086725C">
        <w:rPr>
          <w:rFonts w:ascii="Times New Roman" w:hAnsi="Times New Roman" w:cs="Times New Roman"/>
          <w:i/>
          <w:iCs/>
          <w:sz w:val="24"/>
          <w:szCs w:val="24"/>
        </w:rPr>
        <w:t xml:space="preserve">Use of Force Reporting Practices: Findings from a survey of UK Police Forces </w:t>
      </w:r>
      <w:r w:rsidRPr="0086725C">
        <w:rPr>
          <w:rFonts w:ascii="Times New Roman" w:hAnsi="Times New Roman" w:cs="Times New Roman"/>
          <w:sz w:val="24"/>
          <w:szCs w:val="24"/>
        </w:rPr>
        <w:t>National Police Chief’s Council, London. Available at http://www.npcc.police.uk/documents/uniformed/2016/Use%20of%20Force%20Data%20Report%20Appendix%20A.pdf (accesed 12th August 2016).</w:t>
      </w:r>
    </w:p>
  </w:endnote>
  <w:endnote w:id="12">
    <w:p w:rsidR="0086725C" w:rsidRDefault="0086725C" w:rsidP="0086725C">
      <w:pPr>
        <w:pStyle w:val="EndnoteText"/>
        <w:tabs>
          <w:tab w:val="right" w:pos="142"/>
        </w:tabs>
        <w:ind w:left="142"/>
        <w:rPr>
          <w:rFonts w:ascii="Times New Roman" w:hAnsi="Times New Roman" w:cs="Times New Roman"/>
          <w:sz w:val="24"/>
          <w:szCs w:val="24"/>
        </w:rPr>
      </w:pPr>
    </w:p>
    <w:p w:rsidR="0086725C" w:rsidRPr="00375E12" w:rsidRDefault="0086725C" w:rsidP="0086725C">
      <w:pPr>
        <w:pStyle w:val="EndnoteText"/>
        <w:tabs>
          <w:tab w:val="right" w:pos="142"/>
        </w:tabs>
        <w:ind w:left="142"/>
        <w:rPr>
          <w:rFonts w:ascii="Times New Roman" w:hAnsi="Times New Roman" w:cs="Times New Roman"/>
          <w:sz w:val="24"/>
          <w:szCs w:val="24"/>
        </w:rPr>
      </w:pPr>
      <w:r w:rsidRPr="00375E12">
        <w:rPr>
          <w:rStyle w:val="EndnoteReference"/>
          <w:rFonts w:ascii="Times New Roman" w:hAnsi="Times New Roman" w:cs="Times New Roman"/>
          <w:sz w:val="24"/>
          <w:szCs w:val="24"/>
        </w:rPr>
        <w:endnoteRef/>
      </w:r>
      <w:r w:rsidRPr="00375E12">
        <w:rPr>
          <w:rFonts w:ascii="Times New Roman" w:hAnsi="Times New Roman" w:cs="Times New Roman"/>
          <w:sz w:val="24"/>
          <w:szCs w:val="24"/>
        </w:rPr>
        <w:t xml:space="preserve"> See, for restraint related deaths in a range of settings, Balko, D (2017) ‘Death by the Devil’s Chair’ </w:t>
      </w:r>
      <w:r w:rsidRPr="00375E12">
        <w:rPr>
          <w:rFonts w:ascii="Times New Roman" w:hAnsi="Times New Roman" w:cs="Times New Roman"/>
          <w:i/>
          <w:sz w:val="24"/>
          <w:szCs w:val="24"/>
        </w:rPr>
        <w:t xml:space="preserve">The Washington Post.  </w:t>
      </w:r>
      <w:r w:rsidRPr="00375E12">
        <w:rPr>
          <w:rFonts w:ascii="Times New Roman" w:hAnsi="Times New Roman" w:cs="Times New Roman"/>
          <w:sz w:val="24"/>
          <w:szCs w:val="24"/>
        </w:rPr>
        <w:t xml:space="preserve">Available online at; </w:t>
      </w:r>
      <w:hyperlink r:id="rId9" w:history="1">
        <w:r w:rsidRPr="00375E12">
          <w:rPr>
            <w:rStyle w:val="Hyperlink"/>
            <w:rFonts w:ascii="Times New Roman" w:hAnsi="Times New Roman" w:cs="Times New Roman"/>
            <w:sz w:val="24"/>
            <w:szCs w:val="24"/>
          </w:rPr>
          <w:t>https://www.washingtonpost.com/news/the-watch/wp/2017/08/25/death-by-the-devils-chair/?utm_term=.de012f1f7733</w:t>
        </w:r>
      </w:hyperlink>
      <w:r w:rsidRPr="00375E12">
        <w:rPr>
          <w:rFonts w:ascii="Times New Roman" w:hAnsi="Times New Roman" w:cs="Times New Roman"/>
          <w:sz w:val="24"/>
          <w:szCs w:val="24"/>
        </w:rPr>
        <w:t xml:space="preserve">; Emson, H (1994) ‘Death in a restraint jacket from mechanical asphyxia’ </w:t>
      </w:r>
      <w:r w:rsidRPr="00375E12">
        <w:rPr>
          <w:rFonts w:ascii="Times New Roman" w:hAnsi="Times New Roman" w:cs="Times New Roman"/>
          <w:i/>
          <w:sz w:val="24"/>
          <w:szCs w:val="24"/>
        </w:rPr>
        <w:t>Canadian Medical Association Journal</w:t>
      </w:r>
      <w:r w:rsidRPr="00375E12">
        <w:rPr>
          <w:rFonts w:ascii="Times New Roman" w:hAnsi="Times New Roman" w:cs="Times New Roman"/>
          <w:sz w:val="24"/>
          <w:szCs w:val="24"/>
        </w:rPr>
        <w:t xml:space="preserve"> 151 (7): 985 – 987;</w:t>
      </w:r>
    </w:p>
    <w:p w:rsidR="0086725C" w:rsidRPr="00375E12" w:rsidRDefault="0086725C" w:rsidP="0086725C">
      <w:pPr>
        <w:pStyle w:val="EndnoteText"/>
        <w:tabs>
          <w:tab w:val="right" w:pos="142"/>
        </w:tabs>
        <w:ind w:left="142"/>
        <w:rPr>
          <w:rFonts w:ascii="Times New Roman" w:hAnsi="Times New Roman" w:cs="Times New Roman"/>
          <w:sz w:val="24"/>
          <w:szCs w:val="24"/>
        </w:rPr>
      </w:pPr>
      <w:r w:rsidRPr="00375E12">
        <w:rPr>
          <w:rFonts w:ascii="Times New Roman" w:hAnsi="Times New Roman" w:cs="Times New Roman"/>
          <w:sz w:val="24"/>
          <w:szCs w:val="24"/>
        </w:rPr>
        <w:t xml:space="preserve"> Rubin, B; Dube, A Mitchell, E (1993) ‘Asphyxial Deaths due to Physical Restraint A Case Series’ </w:t>
      </w:r>
      <w:r w:rsidRPr="00375E12">
        <w:rPr>
          <w:rFonts w:ascii="Times New Roman" w:hAnsi="Times New Roman" w:cs="Times New Roman"/>
          <w:i/>
          <w:sz w:val="24"/>
          <w:szCs w:val="24"/>
        </w:rPr>
        <w:t>Arch Fam Med</w:t>
      </w:r>
      <w:r w:rsidRPr="00375E12">
        <w:rPr>
          <w:rFonts w:ascii="Times New Roman" w:hAnsi="Times New Roman" w:cs="Times New Roman"/>
          <w:sz w:val="24"/>
          <w:szCs w:val="24"/>
        </w:rPr>
        <w:t xml:space="preserve"> 2:405-408</w:t>
      </w:r>
    </w:p>
    <w:p w:rsidR="0086725C" w:rsidRPr="00375E12" w:rsidRDefault="0086725C" w:rsidP="0086725C">
      <w:pPr>
        <w:pStyle w:val="EndnoteText"/>
        <w:tabs>
          <w:tab w:val="right" w:pos="142"/>
        </w:tabs>
        <w:ind w:left="142"/>
        <w:rPr>
          <w:rFonts w:ascii="Times New Roman" w:hAnsi="Times New Roman" w:cs="Times New Roman"/>
          <w:sz w:val="24"/>
          <w:szCs w:val="24"/>
        </w:rPr>
      </w:pPr>
    </w:p>
  </w:endnote>
  <w:endnote w:id="13">
    <w:p w:rsidR="0086725C" w:rsidRDefault="0086725C" w:rsidP="00375E12">
      <w:pPr>
        <w:pStyle w:val="EndnoteText"/>
        <w:tabs>
          <w:tab w:val="right" w:pos="284"/>
        </w:tabs>
        <w:ind w:left="142"/>
        <w:rPr>
          <w:rFonts w:ascii="Times New Roman" w:hAnsi="Times New Roman" w:cs="Times New Roman"/>
          <w:sz w:val="24"/>
          <w:szCs w:val="24"/>
        </w:rPr>
      </w:pPr>
      <w:r w:rsidRPr="00375E12">
        <w:rPr>
          <w:rStyle w:val="EndnoteReference"/>
          <w:rFonts w:ascii="Times New Roman" w:hAnsi="Times New Roman" w:cs="Times New Roman"/>
          <w:sz w:val="24"/>
          <w:szCs w:val="24"/>
        </w:rPr>
        <w:endnoteRef/>
      </w:r>
      <w:r w:rsidRPr="00375E12">
        <w:rPr>
          <w:rFonts w:ascii="Times New Roman" w:hAnsi="Times New Roman" w:cs="Times New Roman"/>
          <w:sz w:val="24"/>
          <w:szCs w:val="24"/>
        </w:rPr>
        <w:t xml:space="preserve"> Dymond, A (2017) </w:t>
      </w:r>
      <w:r w:rsidRPr="00375E12">
        <w:rPr>
          <w:rFonts w:ascii="Times New Roman" w:hAnsi="Times New Roman" w:cs="Times New Roman"/>
          <w:i/>
          <w:sz w:val="24"/>
          <w:szCs w:val="24"/>
        </w:rPr>
        <w:t xml:space="preserve">Police use of Taser in England and Wales 2004 – 2014; </w:t>
      </w:r>
      <w:r w:rsidRPr="00375E12">
        <w:rPr>
          <w:rFonts w:ascii="Times New Roman" w:hAnsi="Times New Roman" w:cs="Times New Roman"/>
          <w:sz w:val="24"/>
          <w:szCs w:val="24"/>
        </w:rPr>
        <w:t>unpublished PhD thesis.</w:t>
      </w:r>
    </w:p>
    <w:p w:rsidR="00CB7F47" w:rsidRPr="00375E12" w:rsidRDefault="00CB7F47" w:rsidP="00375E12">
      <w:pPr>
        <w:pStyle w:val="EndnoteText"/>
        <w:tabs>
          <w:tab w:val="right" w:pos="284"/>
        </w:tabs>
        <w:ind w:left="142"/>
        <w:rPr>
          <w:rFonts w:ascii="Times New Roman" w:hAnsi="Times New Roman" w:cs="Times New Roman"/>
          <w:sz w:val="24"/>
          <w:szCs w:val="24"/>
        </w:rPr>
      </w:pPr>
    </w:p>
  </w:endnote>
  <w:endnote w:id="14">
    <w:p w:rsidR="00CB7F47" w:rsidRPr="00CB7F47" w:rsidRDefault="00CB7F47" w:rsidP="00CB7F47">
      <w:pPr>
        <w:pStyle w:val="EndnoteText"/>
        <w:rPr>
          <w:rFonts w:ascii="Times New Roman" w:hAnsi="Times New Roman" w:cs="Times New Roman"/>
          <w:sz w:val="24"/>
          <w:szCs w:val="24"/>
        </w:rPr>
      </w:pPr>
      <w:r w:rsidRPr="00CB7F47">
        <w:rPr>
          <w:rStyle w:val="EndnoteReference"/>
          <w:rFonts w:ascii="Times New Roman" w:hAnsi="Times New Roman" w:cs="Times New Roman"/>
          <w:sz w:val="24"/>
          <w:szCs w:val="24"/>
        </w:rPr>
        <w:endnoteRef/>
      </w:r>
      <w:r w:rsidRPr="00CB7F47">
        <w:rPr>
          <w:rFonts w:ascii="Times New Roman" w:hAnsi="Times New Roman" w:cs="Times New Roman"/>
          <w:sz w:val="24"/>
          <w:szCs w:val="24"/>
        </w:rPr>
        <w:t xml:space="preserve"> Amnesty International and the Omega Research Foundation (2015) </w:t>
      </w:r>
      <w:r w:rsidRPr="00CB7F47">
        <w:rPr>
          <w:rFonts w:ascii="Times New Roman" w:hAnsi="Times New Roman" w:cs="Times New Roman"/>
          <w:i/>
          <w:sz w:val="24"/>
          <w:szCs w:val="24"/>
        </w:rPr>
        <w:t xml:space="preserve">The human rights impact of less lethal weapons and other law enforcement equipment; </w:t>
      </w:r>
      <w:r w:rsidRPr="00CB7F47">
        <w:rPr>
          <w:rFonts w:ascii="Times New Roman" w:hAnsi="Times New Roman" w:cs="Times New Roman"/>
          <w:sz w:val="24"/>
          <w:szCs w:val="24"/>
        </w:rPr>
        <w:t>Amnesty International, London.</w:t>
      </w:r>
      <w:r w:rsidRPr="00CB7F47">
        <w:rPr>
          <w:rFonts w:ascii="Times New Roman" w:hAnsi="Times New Roman" w:cs="Times New Roman"/>
          <w:i/>
          <w:sz w:val="24"/>
          <w:szCs w:val="24"/>
        </w:rPr>
        <w:t xml:space="preserve"> </w:t>
      </w:r>
    </w:p>
  </w:endnote>
  <w:endnote w:id="15">
    <w:p w:rsidR="00CB7F47" w:rsidRPr="00CB7F47" w:rsidRDefault="00CB7F47">
      <w:pPr>
        <w:pStyle w:val="EndnoteText"/>
        <w:rPr>
          <w:rFonts w:ascii="Times New Roman" w:hAnsi="Times New Roman" w:cs="Times New Roman"/>
          <w:sz w:val="24"/>
          <w:szCs w:val="24"/>
        </w:rPr>
      </w:pPr>
      <w:r w:rsidRPr="00CB7F47">
        <w:rPr>
          <w:rStyle w:val="EndnoteReference"/>
          <w:rFonts w:ascii="Times New Roman" w:hAnsi="Times New Roman" w:cs="Times New Roman"/>
          <w:sz w:val="24"/>
          <w:szCs w:val="24"/>
        </w:rPr>
        <w:endnoteRef/>
      </w:r>
      <w:r w:rsidRPr="00CB7F47">
        <w:rPr>
          <w:rFonts w:ascii="Times New Roman" w:hAnsi="Times New Roman" w:cs="Times New Roman"/>
          <w:sz w:val="24"/>
          <w:szCs w:val="24"/>
        </w:rPr>
        <w:t xml:space="preserve"> Amnesty International and the Omega Research Foundation (2015) </w:t>
      </w:r>
      <w:r w:rsidRPr="00CB7F47">
        <w:rPr>
          <w:rFonts w:ascii="Times New Roman" w:hAnsi="Times New Roman" w:cs="Times New Roman"/>
          <w:i/>
          <w:sz w:val="24"/>
          <w:szCs w:val="24"/>
        </w:rPr>
        <w:t xml:space="preserve">The human rights impact of less lethal weapons and other law enforcement equipment; </w:t>
      </w:r>
      <w:r w:rsidRPr="00CB7F47">
        <w:rPr>
          <w:rFonts w:ascii="Times New Roman" w:hAnsi="Times New Roman" w:cs="Times New Roman"/>
          <w:sz w:val="24"/>
          <w:szCs w:val="24"/>
        </w:rPr>
        <w:t>Amnesty International, London.</w:t>
      </w:r>
      <w:r w:rsidRPr="00CB7F47">
        <w:rPr>
          <w:rFonts w:ascii="Times New Roman" w:hAnsi="Times New Roman" w:cs="Times New Roman"/>
          <w:i/>
          <w:sz w:val="24"/>
          <w:szCs w:val="24"/>
        </w:rPr>
        <w:t xml:space="preserve"> </w:t>
      </w:r>
    </w:p>
  </w:endnote>
  <w:endnote w:id="16">
    <w:p w:rsidR="00CB7F47" w:rsidRPr="00CB7F47" w:rsidRDefault="00CB7F47" w:rsidP="0086725C">
      <w:pPr>
        <w:widowControl w:val="0"/>
        <w:autoSpaceDE w:val="0"/>
        <w:autoSpaceDN w:val="0"/>
        <w:adjustRightInd w:val="0"/>
        <w:spacing w:before="100" w:after="100" w:line="240" w:lineRule="auto"/>
        <w:rPr>
          <w:rFonts w:ascii="Times New Roman" w:hAnsi="Times New Roman" w:cs="Times New Roman"/>
          <w:sz w:val="24"/>
          <w:szCs w:val="24"/>
        </w:rPr>
      </w:pPr>
    </w:p>
    <w:p w:rsidR="0086725C" w:rsidRPr="00375E12" w:rsidRDefault="0086725C" w:rsidP="0086725C">
      <w:pPr>
        <w:widowControl w:val="0"/>
        <w:autoSpaceDE w:val="0"/>
        <w:autoSpaceDN w:val="0"/>
        <w:adjustRightInd w:val="0"/>
        <w:spacing w:before="100" w:after="100" w:line="240" w:lineRule="auto"/>
        <w:rPr>
          <w:rFonts w:ascii="Times New Roman" w:hAnsi="Times New Roman" w:cs="Times New Roman"/>
          <w:sz w:val="24"/>
          <w:szCs w:val="24"/>
          <w:lang w:val="en-US"/>
        </w:rPr>
      </w:pPr>
      <w:r w:rsidRPr="00375E12">
        <w:rPr>
          <w:rStyle w:val="EndnoteReference"/>
          <w:rFonts w:ascii="Times New Roman" w:hAnsi="Times New Roman" w:cs="Times New Roman"/>
          <w:sz w:val="24"/>
          <w:szCs w:val="24"/>
        </w:rPr>
        <w:endnoteRef/>
      </w:r>
      <w:r w:rsidRPr="00375E12">
        <w:rPr>
          <w:rFonts w:ascii="Times New Roman" w:hAnsi="Times New Roman" w:cs="Times New Roman"/>
          <w:sz w:val="24"/>
          <w:szCs w:val="24"/>
        </w:rPr>
        <w:t xml:space="preserve"> Heyns, C and Kiai, M (2016) Joint Statement by</w:t>
      </w:r>
      <w:r w:rsidRPr="00375E12">
        <w:rPr>
          <w:rFonts w:ascii="MS Mincho" w:eastAsia="MS Mincho" w:hAnsi="MS Mincho" w:cs="MS Mincho"/>
          <w:sz w:val="24"/>
          <w:szCs w:val="24"/>
        </w:rPr>
        <w:t> </w:t>
      </w:r>
      <w:r w:rsidRPr="00375E12">
        <w:rPr>
          <w:rFonts w:ascii="Times New Roman" w:hAnsi="Times New Roman" w:cs="Times New Roman"/>
          <w:sz w:val="24"/>
          <w:szCs w:val="24"/>
        </w:rPr>
        <w:t>Christof Heyns, Special Rapporteur on Extrajudicial, Summary or Arbitrary Executions and Maina Kiai, Special Rapporteur on the Rights to Freedom of Peaceful Assembly and of Association.  31</w:t>
      </w:r>
      <w:r w:rsidRPr="00375E12">
        <w:rPr>
          <w:rFonts w:ascii="Times New Roman" w:hAnsi="Times New Roman" w:cs="Times New Roman"/>
          <w:sz w:val="24"/>
          <w:szCs w:val="24"/>
          <w:vertAlign w:val="superscript"/>
        </w:rPr>
        <w:t>st</w:t>
      </w:r>
      <w:r w:rsidRPr="00375E12">
        <w:rPr>
          <w:rFonts w:ascii="Times New Roman" w:hAnsi="Times New Roman" w:cs="Times New Roman"/>
          <w:sz w:val="24"/>
          <w:szCs w:val="24"/>
        </w:rPr>
        <w:t xml:space="preserve"> session of the Human Rights Council. </w:t>
      </w:r>
    </w:p>
  </w:endnote>
  <w:endnote w:id="17">
    <w:p w:rsidR="0086725C" w:rsidRPr="0086725C" w:rsidRDefault="0086725C" w:rsidP="0086725C">
      <w:pPr>
        <w:spacing w:before="100" w:after="100" w:line="240" w:lineRule="auto"/>
        <w:rPr>
          <w:rFonts w:ascii="Times New Roman" w:hAnsi="Times New Roman" w:cs="Times New Roman"/>
          <w:sz w:val="24"/>
          <w:szCs w:val="24"/>
        </w:rPr>
      </w:pPr>
    </w:p>
    <w:p w:rsidR="0086725C" w:rsidRPr="00375E12" w:rsidRDefault="0086725C" w:rsidP="0086725C">
      <w:pPr>
        <w:spacing w:before="100" w:after="100" w:line="240" w:lineRule="auto"/>
        <w:rPr>
          <w:rFonts w:ascii="Times New Roman" w:hAnsi="Times New Roman" w:cs="Times New Roman"/>
          <w:sz w:val="24"/>
          <w:szCs w:val="24"/>
        </w:rPr>
      </w:pPr>
      <w:r w:rsidRPr="00375E12">
        <w:rPr>
          <w:rStyle w:val="EndnoteReference"/>
          <w:rFonts w:ascii="Times New Roman" w:hAnsi="Times New Roman" w:cs="Times New Roman"/>
          <w:sz w:val="24"/>
          <w:szCs w:val="24"/>
        </w:rPr>
        <w:endnoteRef/>
      </w:r>
      <w:r w:rsidRPr="00375E12">
        <w:rPr>
          <w:rFonts w:ascii="Times New Roman" w:hAnsi="Times New Roman" w:cs="Times New Roman"/>
          <w:sz w:val="24"/>
          <w:szCs w:val="24"/>
        </w:rPr>
        <w:t xml:space="preserve"> UN Human Rights Council (2014) Resolution 25/38; Adopted April 2014</w:t>
      </w:r>
    </w:p>
  </w:endnote>
  <w:endnote w:id="18">
    <w:p w:rsidR="0086725C" w:rsidRDefault="0086725C" w:rsidP="0086725C">
      <w:pPr>
        <w:pStyle w:val="EndnoteText"/>
        <w:ind w:left="142" w:hanging="142"/>
        <w:rPr>
          <w:rFonts w:ascii="Times New Roman" w:hAnsi="Times New Roman" w:cs="Times New Roman"/>
          <w:sz w:val="24"/>
          <w:szCs w:val="24"/>
        </w:rPr>
      </w:pPr>
    </w:p>
    <w:p w:rsidR="0086725C" w:rsidRPr="0086725C" w:rsidRDefault="0086725C" w:rsidP="0086725C">
      <w:pPr>
        <w:pStyle w:val="EndnoteText"/>
        <w:ind w:left="142" w:hanging="142"/>
        <w:rPr>
          <w:rFonts w:ascii="Times New Roman" w:hAnsi="Times New Roman" w:cs="Times New Roman"/>
          <w:sz w:val="24"/>
          <w:szCs w:val="24"/>
        </w:rPr>
      </w:pPr>
      <w:r w:rsidRPr="0086725C">
        <w:rPr>
          <w:rStyle w:val="EndnoteReference"/>
          <w:rFonts w:ascii="Times New Roman" w:hAnsi="Times New Roman" w:cs="Times New Roman"/>
          <w:sz w:val="24"/>
          <w:szCs w:val="24"/>
        </w:rPr>
        <w:endnoteRef/>
      </w:r>
      <w:r w:rsidRPr="0086725C">
        <w:rPr>
          <w:rFonts w:ascii="Times New Roman" w:hAnsi="Times New Roman" w:cs="Times New Roman"/>
          <w:sz w:val="24"/>
          <w:szCs w:val="24"/>
        </w:rPr>
        <w:t xml:space="preserve"> United Nations Office of Drugs and Crime and United Nations Human Rights Office of the High Commissioner (2017) </w:t>
      </w:r>
      <w:r w:rsidRPr="0086725C">
        <w:rPr>
          <w:rFonts w:ascii="Times New Roman" w:hAnsi="Times New Roman" w:cs="Times New Roman"/>
          <w:i/>
          <w:sz w:val="24"/>
          <w:szCs w:val="24"/>
        </w:rPr>
        <w:t xml:space="preserve">Resource book on the Use of Force and Firearms in Law Enforcement  </w:t>
      </w:r>
      <w:r w:rsidRPr="00375E12">
        <w:rPr>
          <w:rFonts w:ascii="Times New Roman" w:hAnsi="Times New Roman" w:cs="Times New Roman"/>
          <w:sz w:val="24"/>
          <w:szCs w:val="24"/>
        </w:rPr>
        <w:t xml:space="preserve">United Nations, New York.  Available online at </w:t>
      </w:r>
      <w:hyperlink r:id="rId10" w:history="1">
        <w:r w:rsidRPr="00375E12">
          <w:rPr>
            <w:rStyle w:val="Hyperlink"/>
            <w:rFonts w:ascii="Times New Roman" w:hAnsi="Times New Roman" w:cs="Times New Roman"/>
            <w:sz w:val="24"/>
            <w:szCs w:val="24"/>
          </w:rPr>
          <w:t>http://www.ohchr.org/Documents/ProfessionalInterest/UseOfForceAndFirearms.pdf</w:t>
        </w:r>
      </w:hyperlink>
      <w:r w:rsidRPr="00375E12">
        <w:rPr>
          <w:rFonts w:ascii="Times New Roman" w:hAnsi="Times New Roman"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455150"/>
      <w:docPartObj>
        <w:docPartGallery w:val="Page Numbers (Bottom of Page)"/>
        <w:docPartUnique/>
      </w:docPartObj>
    </w:sdtPr>
    <w:sdtEndPr>
      <w:rPr>
        <w:noProof/>
      </w:rPr>
    </w:sdtEndPr>
    <w:sdtContent>
      <w:p w:rsidR="00486ECC" w:rsidRDefault="00486ECC">
        <w:pPr>
          <w:pStyle w:val="Footer"/>
          <w:jc w:val="right"/>
        </w:pPr>
        <w:r>
          <w:fldChar w:fldCharType="begin"/>
        </w:r>
        <w:r>
          <w:instrText xml:space="preserve"> PAGE   \* MERGEFORMAT </w:instrText>
        </w:r>
        <w:r>
          <w:fldChar w:fldCharType="separate"/>
        </w:r>
        <w:r w:rsidR="008F58BB">
          <w:rPr>
            <w:noProof/>
          </w:rPr>
          <w:t>1</w:t>
        </w:r>
        <w:r>
          <w:rPr>
            <w:noProof/>
          </w:rPr>
          <w:fldChar w:fldCharType="end"/>
        </w:r>
      </w:p>
    </w:sdtContent>
  </w:sdt>
  <w:p w:rsidR="00486ECC" w:rsidRDefault="00486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401" w:rsidRDefault="00402401" w:rsidP="00402401">
      <w:pPr>
        <w:spacing w:after="0" w:line="240" w:lineRule="auto"/>
      </w:pPr>
      <w:r>
        <w:separator/>
      </w:r>
    </w:p>
  </w:footnote>
  <w:footnote w:type="continuationSeparator" w:id="0">
    <w:p w:rsidR="00402401" w:rsidRDefault="00402401" w:rsidP="00402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30C"/>
    <w:multiLevelType w:val="hybridMultilevel"/>
    <w:tmpl w:val="C972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F138C"/>
    <w:multiLevelType w:val="hybridMultilevel"/>
    <w:tmpl w:val="8176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AD540D"/>
    <w:multiLevelType w:val="hybridMultilevel"/>
    <w:tmpl w:val="9912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4F5DEC"/>
    <w:multiLevelType w:val="hybridMultilevel"/>
    <w:tmpl w:val="E71E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6E35A0"/>
    <w:multiLevelType w:val="hybridMultilevel"/>
    <w:tmpl w:val="B244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670D3"/>
    <w:multiLevelType w:val="hybridMultilevel"/>
    <w:tmpl w:val="7D88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BF7910"/>
    <w:multiLevelType w:val="hybridMultilevel"/>
    <w:tmpl w:val="3690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007F6"/>
    <w:multiLevelType w:val="hybridMultilevel"/>
    <w:tmpl w:val="3F52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401"/>
    <w:rsid w:val="00034174"/>
    <w:rsid w:val="0007587A"/>
    <w:rsid w:val="000D56F4"/>
    <w:rsid w:val="001137B8"/>
    <w:rsid w:val="00171470"/>
    <w:rsid w:val="001F4F47"/>
    <w:rsid w:val="002414F8"/>
    <w:rsid w:val="00250F43"/>
    <w:rsid w:val="00277600"/>
    <w:rsid w:val="00280FDE"/>
    <w:rsid w:val="002E73A7"/>
    <w:rsid w:val="00305C43"/>
    <w:rsid w:val="0034685E"/>
    <w:rsid w:val="00375E12"/>
    <w:rsid w:val="003B0AB6"/>
    <w:rsid w:val="003C5257"/>
    <w:rsid w:val="00402401"/>
    <w:rsid w:val="00413657"/>
    <w:rsid w:val="00420124"/>
    <w:rsid w:val="0047427E"/>
    <w:rsid w:val="00486ECC"/>
    <w:rsid w:val="0050441E"/>
    <w:rsid w:val="005C1D67"/>
    <w:rsid w:val="005C6F51"/>
    <w:rsid w:val="005E7FCD"/>
    <w:rsid w:val="005F7179"/>
    <w:rsid w:val="00687CFE"/>
    <w:rsid w:val="00732BA4"/>
    <w:rsid w:val="00770559"/>
    <w:rsid w:val="007E7104"/>
    <w:rsid w:val="00840C32"/>
    <w:rsid w:val="0086725C"/>
    <w:rsid w:val="008D139B"/>
    <w:rsid w:val="008F58BB"/>
    <w:rsid w:val="00952DF8"/>
    <w:rsid w:val="0097212A"/>
    <w:rsid w:val="00976412"/>
    <w:rsid w:val="00992B52"/>
    <w:rsid w:val="009E0F96"/>
    <w:rsid w:val="00A2212F"/>
    <w:rsid w:val="00A54171"/>
    <w:rsid w:val="00A72B93"/>
    <w:rsid w:val="00A80D1E"/>
    <w:rsid w:val="00A90EF5"/>
    <w:rsid w:val="00B35814"/>
    <w:rsid w:val="00B36E3B"/>
    <w:rsid w:val="00B65981"/>
    <w:rsid w:val="00BC37BF"/>
    <w:rsid w:val="00BD0B11"/>
    <w:rsid w:val="00BE429E"/>
    <w:rsid w:val="00C0407B"/>
    <w:rsid w:val="00C41158"/>
    <w:rsid w:val="00CB3152"/>
    <w:rsid w:val="00CB7F47"/>
    <w:rsid w:val="00CE001E"/>
    <w:rsid w:val="00D35C10"/>
    <w:rsid w:val="00D41362"/>
    <w:rsid w:val="00D61CA0"/>
    <w:rsid w:val="00DC4116"/>
    <w:rsid w:val="00E33EC1"/>
    <w:rsid w:val="00E90084"/>
    <w:rsid w:val="00E977EF"/>
    <w:rsid w:val="00EB22AF"/>
    <w:rsid w:val="00EB561E"/>
    <w:rsid w:val="00FA3AA7"/>
    <w:rsid w:val="00FB2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BAF4A-CF60-4253-96E0-846B08BD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0F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80F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402401"/>
    <w:pPr>
      <w:suppressAutoHyphens/>
      <w:spacing w:after="120" w:line="240" w:lineRule="atLeast"/>
      <w:ind w:left="1134" w:right="1134"/>
      <w:jc w:val="both"/>
    </w:pPr>
    <w:rPr>
      <w:rFonts w:ascii="Times New Roman" w:eastAsia="Times New Roman" w:hAnsi="Times New Roman" w:cs="Times New Roman"/>
      <w:sz w:val="20"/>
      <w:szCs w:val="20"/>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ootnote Text Char1"/>
    <w:basedOn w:val="Normal"/>
    <w:link w:val="FootnoteTextChar"/>
    <w:uiPriority w:val="99"/>
    <w:qFormat/>
    <w:rsid w:val="00402401"/>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402401"/>
    <w:rPr>
      <w:rFonts w:ascii="Times New Roman" w:eastAsia="Times New Roman" w:hAnsi="Times New Roman" w:cs="Times New Roman"/>
      <w:sz w:val="18"/>
      <w:szCs w:val="20"/>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basedOn w:val="DefaultParagraphFont"/>
    <w:link w:val="4GZchn"/>
    <w:uiPriority w:val="99"/>
    <w:qFormat/>
    <w:rsid w:val="00402401"/>
    <w:rPr>
      <w:rFonts w:ascii="Times New Roman" w:hAnsi="Times New Roman"/>
      <w:sz w:val="18"/>
      <w:vertAlign w:val="superscript"/>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402401"/>
    <w:pPr>
      <w:spacing w:after="160" w:line="240" w:lineRule="exact"/>
    </w:pPr>
    <w:rPr>
      <w:rFonts w:ascii="Times New Roman" w:hAnsi="Times New Roman"/>
      <w:sz w:val="18"/>
      <w:vertAlign w:val="superscript"/>
    </w:rPr>
  </w:style>
  <w:style w:type="character" w:customStyle="1" w:styleId="SingleTxtGChar">
    <w:name w:val="_ Single Txt_G Char"/>
    <w:link w:val="SingleTxtG"/>
    <w:uiPriority w:val="99"/>
    <w:rsid w:val="0040240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414F8"/>
    <w:rPr>
      <w:color w:val="0000FF" w:themeColor="hyperlink"/>
      <w:u w:val="single"/>
    </w:rPr>
  </w:style>
  <w:style w:type="paragraph" w:styleId="Header">
    <w:name w:val="header"/>
    <w:basedOn w:val="Normal"/>
    <w:link w:val="HeaderChar"/>
    <w:uiPriority w:val="99"/>
    <w:unhideWhenUsed/>
    <w:rsid w:val="00486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ECC"/>
  </w:style>
  <w:style w:type="paragraph" w:styleId="Footer">
    <w:name w:val="footer"/>
    <w:basedOn w:val="Normal"/>
    <w:link w:val="FooterChar"/>
    <w:uiPriority w:val="99"/>
    <w:unhideWhenUsed/>
    <w:rsid w:val="00486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ECC"/>
  </w:style>
  <w:style w:type="character" w:customStyle="1" w:styleId="abstract--author-name">
    <w:name w:val="abstract--author-name"/>
    <w:basedOn w:val="DefaultParagraphFont"/>
    <w:rsid w:val="00280FDE"/>
  </w:style>
  <w:style w:type="paragraph" w:styleId="BalloonText">
    <w:name w:val="Balloon Text"/>
    <w:basedOn w:val="Normal"/>
    <w:link w:val="BalloonTextChar"/>
    <w:uiPriority w:val="99"/>
    <w:semiHidden/>
    <w:unhideWhenUsed/>
    <w:rsid w:val="00280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FDE"/>
    <w:rPr>
      <w:rFonts w:ascii="Tahoma" w:hAnsi="Tahoma" w:cs="Tahoma"/>
      <w:sz w:val="16"/>
      <w:szCs w:val="16"/>
    </w:rPr>
  </w:style>
  <w:style w:type="character" w:customStyle="1" w:styleId="absnonlinkmetadata">
    <w:name w:val="abs_nonlink_metadata"/>
    <w:basedOn w:val="DefaultParagraphFont"/>
    <w:rsid w:val="00280FDE"/>
  </w:style>
  <w:style w:type="character" w:customStyle="1" w:styleId="Heading1Char">
    <w:name w:val="Heading 1 Char"/>
    <w:basedOn w:val="DefaultParagraphFont"/>
    <w:link w:val="Heading1"/>
    <w:uiPriority w:val="9"/>
    <w:rsid w:val="00280FDE"/>
    <w:rPr>
      <w:rFonts w:ascii="Times New Roman" w:eastAsia="Times New Roman" w:hAnsi="Times New Roman" w:cs="Times New Roman"/>
      <w:b/>
      <w:bCs/>
      <w:kern w:val="36"/>
      <w:sz w:val="48"/>
      <w:szCs w:val="48"/>
      <w:lang w:eastAsia="en-GB"/>
    </w:rPr>
  </w:style>
  <w:style w:type="character" w:customStyle="1" w:styleId="sr-only">
    <w:name w:val="sr-only"/>
    <w:basedOn w:val="DefaultParagraphFont"/>
    <w:rsid w:val="00280FDE"/>
  </w:style>
  <w:style w:type="character" w:customStyle="1" w:styleId="text">
    <w:name w:val="text"/>
    <w:basedOn w:val="DefaultParagraphFont"/>
    <w:rsid w:val="00280FDE"/>
  </w:style>
  <w:style w:type="character" w:customStyle="1" w:styleId="author-ref">
    <w:name w:val="author-ref"/>
    <w:basedOn w:val="DefaultParagraphFont"/>
    <w:rsid w:val="00280FDE"/>
  </w:style>
  <w:style w:type="character" w:customStyle="1" w:styleId="Heading2Char">
    <w:name w:val="Heading 2 Char"/>
    <w:basedOn w:val="DefaultParagraphFont"/>
    <w:link w:val="Heading2"/>
    <w:uiPriority w:val="9"/>
    <w:rsid w:val="00280FDE"/>
    <w:rPr>
      <w:rFonts w:asciiTheme="majorHAnsi" w:eastAsiaTheme="majorEastAsia" w:hAnsiTheme="majorHAnsi" w:cstheme="majorBidi"/>
      <w:b/>
      <w:bCs/>
      <w:color w:val="4F81BD" w:themeColor="accent1"/>
      <w:sz w:val="26"/>
      <w:szCs w:val="26"/>
    </w:rPr>
  </w:style>
  <w:style w:type="character" w:customStyle="1" w:styleId="size-xl">
    <w:name w:val="size-xl"/>
    <w:basedOn w:val="DefaultParagraphFont"/>
    <w:rsid w:val="00280FDE"/>
  </w:style>
  <w:style w:type="character" w:customStyle="1" w:styleId="size-m">
    <w:name w:val="size-m"/>
    <w:basedOn w:val="DefaultParagraphFont"/>
    <w:rsid w:val="00280FDE"/>
  </w:style>
  <w:style w:type="paragraph" w:styleId="EndnoteText">
    <w:name w:val="endnote text"/>
    <w:basedOn w:val="Normal"/>
    <w:link w:val="EndnoteTextChar"/>
    <w:uiPriority w:val="99"/>
    <w:semiHidden/>
    <w:unhideWhenUsed/>
    <w:rsid w:val="008672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725C"/>
    <w:rPr>
      <w:sz w:val="20"/>
      <w:szCs w:val="20"/>
    </w:rPr>
  </w:style>
  <w:style w:type="character" w:styleId="EndnoteReference">
    <w:name w:val="endnote reference"/>
    <w:basedOn w:val="DefaultParagraphFont"/>
    <w:uiPriority w:val="99"/>
    <w:semiHidden/>
    <w:unhideWhenUsed/>
    <w:rsid w:val="0086725C"/>
    <w:rPr>
      <w:vertAlign w:val="superscript"/>
    </w:rPr>
  </w:style>
  <w:style w:type="paragraph" w:styleId="ListParagraph">
    <w:name w:val="List Paragraph"/>
    <w:basedOn w:val="Normal"/>
    <w:uiPriority w:val="34"/>
    <w:qFormat/>
    <w:rsid w:val="00C41158"/>
    <w:pPr>
      <w:spacing w:after="160" w:line="259" w:lineRule="auto"/>
      <w:ind w:left="720"/>
      <w:contextualSpacing/>
    </w:pPr>
  </w:style>
  <w:style w:type="paragraph" w:customStyle="1" w:styleId="Default">
    <w:name w:val="Default"/>
    <w:rsid w:val="00A72B9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871586">
      <w:bodyDiv w:val="1"/>
      <w:marLeft w:val="0"/>
      <w:marRight w:val="0"/>
      <w:marTop w:val="0"/>
      <w:marBottom w:val="0"/>
      <w:divBdr>
        <w:top w:val="none" w:sz="0" w:space="0" w:color="auto"/>
        <w:left w:val="none" w:sz="0" w:space="0" w:color="auto"/>
        <w:bottom w:val="none" w:sz="0" w:space="0" w:color="auto"/>
        <w:right w:val="none" w:sz="0" w:space="0" w:color="auto"/>
      </w:divBdr>
      <w:divsChild>
        <w:div w:id="78916382">
          <w:marLeft w:val="0"/>
          <w:marRight w:val="0"/>
          <w:marTop w:val="0"/>
          <w:marBottom w:val="0"/>
          <w:divBdr>
            <w:top w:val="none" w:sz="0" w:space="0" w:color="auto"/>
            <w:left w:val="none" w:sz="0" w:space="0" w:color="auto"/>
            <w:bottom w:val="none" w:sz="0" w:space="0" w:color="auto"/>
            <w:right w:val="none" w:sz="0" w:space="0" w:color="auto"/>
          </w:divBdr>
        </w:div>
        <w:div w:id="1102991366">
          <w:marLeft w:val="0"/>
          <w:marRight w:val="0"/>
          <w:marTop w:val="0"/>
          <w:marBottom w:val="0"/>
          <w:divBdr>
            <w:top w:val="none" w:sz="0" w:space="0" w:color="auto"/>
            <w:left w:val="none" w:sz="0" w:space="0" w:color="auto"/>
            <w:bottom w:val="none" w:sz="0" w:space="0" w:color="auto"/>
            <w:right w:val="none" w:sz="0" w:space="0" w:color="auto"/>
          </w:divBdr>
        </w:div>
        <w:div w:id="211816012">
          <w:marLeft w:val="0"/>
          <w:marRight w:val="0"/>
          <w:marTop w:val="0"/>
          <w:marBottom w:val="0"/>
          <w:divBdr>
            <w:top w:val="none" w:sz="0" w:space="0" w:color="auto"/>
            <w:left w:val="none" w:sz="0" w:space="0" w:color="auto"/>
            <w:bottom w:val="none" w:sz="0" w:space="0" w:color="auto"/>
            <w:right w:val="none" w:sz="0" w:space="0" w:color="auto"/>
          </w:divBdr>
        </w:div>
        <w:div w:id="266929023">
          <w:marLeft w:val="0"/>
          <w:marRight w:val="0"/>
          <w:marTop w:val="0"/>
          <w:marBottom w:val="0"/>
          <w:divBdr>
            <w:top w:val="none" w:sz="0" w:space="0" w:color="auto"/>
            <w:left w:val="none" w:sz="0" w:space="0" w:color="auto"/>
            <w:bottom w:val="none" w:sz="0" w:space="0" w:color="auto"/>
            <w:right w:val="none" w:sz="0" w:space="0" w:color="auto"/>
          </w:divBdr>
        </w:div>
        <w:div w:id="533618760">
          <w:marLeft w:val="0"/>
          <w:marRight w:val="0"/>
          <w:marTop w:val="0"/>
          <w:marBottom w:val="0"/>
          <w:divBdr>
            <w:top w:val="none" w:sz="0" w:space="0" w:color="auto"/>
            <w:left w:val="none" w:sz="0" w:space="0" w:color="auto"/>
            <w:bottom w:val="none" w:sz="0" w:space="0" w:color="auto"/>
            <w:right w:val="none" w:sz="0" w:space="0" w:color="auto"/>
          </w:divBdr>
        </w:div>
        <w:div w:id="1494292498">
          <w:marLeft w:val="0"/>
          <w:marRight w:val="0"/>
          <w:marTop w:val="0"/>
          <w:marBottom w:val="0"/>
          <w:divBdr>
            <w:top w:val="none" w:sz="0" w:space="0" w:color="auto"/>
            <w:left w:val="none" w:sz="0" w:space="0" w:color="auto"/>
            <w:bottom w:val="none" w:sz="0" w:space="0" w:color="auto"/>
            <w:right w:val="none" w:sz="0" w:space="0" w:color="auto"/>
          </w:divBdr>
        </w:div>
        <w:div w:id="1774663561">
          <w:marLeft w:val="0"/>
          <w:marRight w:val="0"/>
          <w:marTop w:val="0"/>
          <w:marBottom w:val="0"/>
          <w:divBdr>
            <w:top w:val="none" w:sz="0" w:space="0" w:color="auto"/>
            <w:left w:val="none" w:sz="0" w:space="0" w:color="auto"/>
            <w:bottom w:val="none" w:sz="0" w:space="0" w:color="auto"/>
            <w:right w:val="none" w:sz="0" w:space="0" w:color="auto"/>
          </w:divBdr>
        </w:div>
      </w:divsChild>
    </w:div>
    <w:div w:id="793256088">
      <w:bodyDiv w:val="1"/>
      <w:marLeft w:val="0"/>
      <w:marRight w:val="0"/>
      <w:marTop w:val="0"/>
      <w:marBottom w:val="0"/>
      <w:divBdr>
        <w:top w:val="none" w:sz="0" w:space="0" w:color="auto"/>
        <w:left w:val="none" w:sz="0" w:space="0" w:color="auto"/>
        <w:bottom w:val="none" w:sz="0" w:space="0" w:color="auto"/>
        <w:right w:val="none" w:sz="0" w:space="0" w:color="auto"/>
      </w:divBdr>
    </w:div>
    <w:div w:id="1169365728">
      <w:bodyDiv w:val="1"/>
      <w:marLeft w:val="0"/>
      <w:marRight w:val="0"/>
      <w:marTop w:val="0"/>
      <w:marBottom w:val="0"/>
      <w:divBdr>
        <w:top w:val="none" w:sz="0" w:space="0" w:color="auto"/>
        <w:left w:val="none" w:sz="0" w:space="0" w:color="auto"/>
        <w:bottom w:val="none" w:sz="0" w:space="0" w:color="auto"/>
        <w:right w:val="none" w:sz="0" w:space="0" w:color="auto"/>
      </w:divBdr>
    </w:div>
    <w:div w:id="1321621115">
      <w:bodyDiv w:val="1"/>
      <w:marLeft w:val="0"/>
      <w:marRight w:val="0"/>
      <w:marTop w:val="0"/>
      <w:marBottom w:val="0"/>
      <w:divBdr>
        <w:top w:val="none" w:sz="0" w:space="0" w:color="auto"/>
        <w:left w:val="none" w:sz="0" w:space="0" w:color="auto"/>
        <w:bottom w:val="none" w:sz="0" w:space="0" w:color="auto"/>
        <w:right w:val="none" w:sz="0" w:space="0" w:color="auto"/>
      </w:divBdr>
      <w:divsChild>
        <w:div w:id="695034932">
          <w:marLeft w:val="0"/>
          <w:marRight w:val="0"/>
          <w:marTop w:val="0"/>
          <w:marBottom w:val="0"/>
          <w:divBdr>
            <w:top w:val="none" w:sz="0" w:space="0" w:color="auto"/>
            <w:left w:val="none" w:sz="0" w:space="0" w:color="auto"/>
            <w:bottom w:val="none" w:sz="0" w:space="0" w:color="auto"/>
            <w:right w:val="none" w:sz="0" w:space="0" w:color="auto"/>
          </w:divBdr>
        </w:div>
        <w:div w:id="1298300318">
          <w:marLeft w:val="0"/>
          <w:marRight w:val="0"/>
          <w:marTop w:val="0"/>
          <w:marBottom w:val="120"/>
          <w:divBdr>
            <w:top w:val="none" w:sz="0" w:space="0" w:color="auto"/>
            <w:left w:val="none" w:sz="0" w:space="0" w:color="auto"/>
            <w:bottom w:val="none" w:sz="0" w:space="0" w:color="auto"/>
            <w:right w:val="none" w:sz="0" w:space="0" w:color="auto"/>
          </w:divBdr>
          <w:divsChild>
            <w:div w:id="1521698519">
              <w:marLeft w:val="0"/>
              <w:marRight w:val="0"/>
              <w:marTop w:val="0"/>
              <w:marBottom w:val="0"/>
              <w:divBdr>
                <w:top w:val="none" w:sz="0" w:space="0" w:color="auto"/>
                <w:left w:val="none" w:sz="0" w:space="0" w:color="auto"/>
                <w:bottom w:val="none" w:sz="0" w:space="0" w:color="auto"/>
                <w:right w:val="none" w:sz="0" w:space="0" w:color="auto"/>
              </w:divBdr>
              <w:divsChild>
                <w:div w:id="270087497">
                  <w:marLeft w:val="0"/>
                  <w:marRight w:val="0"/>
                  <w:marTop w:val="0"/>
                  <w:marBottom w:val="0"/>
                  <w:divBdr>
                    <w:top w:val="none" w:sz="0" w:space="0" w:color="auto"/>
                    <w:left w:val="none" w:sz="0" w:space="0" w:color="auto"/>
                    <w:bottom w:val="none" w:sz="0" w:space="0" w:color="auto"/>
                    <w:right w:val="none" w:sz="0" w:space="0" w:color="auto"/>
                  </w:divBdr>
                  <w:divsChild>
                    <w:div w:id="12048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lradx.com/application/law-enforcement/elevated-risk-operations/" TargetMode="External"/><Relationship Id="rId3" Type="http://schemas.openxmlformats.org/officeDocument/2006/relationships/hyperlink" Target="http://europepmc.org/search;jsessionid=1EE629E2D8B814630C48E5065E0A9834?query=AUTH:%22Contargyris+C%22&amp;page=1" TargetMode="External"/><Relationship Id="rId7" Type="http://schemas.openxmlformats.org/officeDocument/2006/relationships/hyperlink" Target="https://www.newscientist.com/blog/technology/2008/05/loudhailer-or-weapon.html" TargetMode="External"/><Relationship Id="rId2" Type="http://schemas.openxmlformats.org/officeDocument/2006/relationships/hyperlink" Target="mailto:abi@omegaresearchfoundation.org" TargetMode="External"/><Relationship Id="rId1" Type="http://schemas.openxmlformats.org/officeDocument/2006/relationships/hyperlink" Target="mailto:A.dymond@exeter.ac.uk" TargetMode="External"/><Relationship Id="rId6" Type="http://schemas.openxmlformats.org/officeDocument/2006/relationships/hyperlink" Target="http://www.sciencedirect.com/science/journal/1752928X" TargetMode="External"/><Relationship Id="rId5" Type="http://schemas.openxmlformats.org/officeDocument/2006/relationships/hyperlink" Target="http://europepmc.org/search;jsessionid=1EE629E2D8B814630C48E5065E0A9834?query=JOURNAL:%22Ann+Fr+Anesth+Reanim%22&amp;page=1" TargetMode="External"/><Relationship Id="rId10" Type="http://schemas.openxmlformats.org/officeDocument/2006/relationships/hyperlink" Target="https://www.ohchr.org/Documents/ProfessionalInterest/UseOfForceAndFirearms.pdf" TargetMode="External"/><Relationship Id="rId4" Type="http://schemas.openxmlformats.org/officeDocument/2006/relationships/hyperlink" Target="http://europepmc.org/search;jsessionid=1EE629E2D8B814630C48E5065E0A9834?query=AUTH:%22Peytel+E%22&amp;page=1" TargetMode="External"/><Relationship Id="rId9" Type="http://schemas.openxmlformats.org/officeDocument/2006/relationships/hyperlink" Target="https://www.washingtonpost.com/news/the-watch/wp/2017/08/25/death-by-the-devils-chair/?utm_term=.de012f1f7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EE14E0-8283-49E2-BCA0-65F31FC17603}">
  <ds:schemaRefs>
    <ds:schemaRef ds:uri="http://schemas.openxmlformats.org/officeDocument/2006/bibliography"/>
  </ds:schemaRefs>
</ds:datastoreItem>
</file>

<file path=customXml/itemProps2.xml><?xml version="1.0" encoding="utf-8"?>
<ds:datastoreItem xmlns:ds="http://schemas.openxmlformats.org/officeDocument/2006/customXml" ds:itemID="{03174AF9-E2B0-41ED-96BC-73D1EE14D415}"/>
</file>

<file path=customXml/itemProps3.xml><?xml version="1.0" encoding="utf-8"?>
<ds:datastoreItem xmlns:ds="http://schemas.openxmlformats.org/officeDocument/2006/customXml" ds:itemID="{021EF881-C4AB-4D77-87B1-F88FCDD4AC0D}"/>
</file>

<file path=customXml/itemProps4.xml><?xml version="1.0" encoding="utf-8"?>
<ds:datastoreItem xmlns:ds="http://schemas.openxmlformats.org/officeDocument/2006/customXml" ds:itemID="{D389D779-A3D7-413A-AFDE-C8F93DB4955F}"/>
</file>

<file path=docProps/app.xml><?xml version="1.0" encoding="utf-8"?>
<Properties xmlns="http://schemas.openxmlformats.org/officeDocument/2006/extended-properties" xmlns:vt="http://schemas.openxmlformats.org/officeDocument/2006/docPropsVTypes">
  <Template>Normal.dotm</Template>
  <TotalTime>1</TotalTime>
  <Pages>8</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Dymond, Abi</dc:creator>
  <cp:lastModifiedBy>Durnescu Lilian</cp:lastModifiedBy>
  <cp:revision>2</cp:revision>
  <dcterms:created xsi:type="dcterms:W3CDTF">2017-10-06T08:47:00Z</dcterms:created>
  <dcterms:modified xsi:type="dcterms:W3CDTF">2017-10-06T08:47:00Z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