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4553A" w14:textId="0BF95D25" w:rsidR="001C3CCA" w:rsidRDefault="00BA5256" w:rsidP="009479E9">
      <w:pPr>
        <w:spacing w:after="0"/>
        <w:ind w:firstLine="0"/>
      </w:pPr>
      <w:bookmarkStart w:id="0" w:name="_GoBack"/>
      <w:bookmarkEnd w:id="0"/>
      <w:r>
        <w:t xml:space="preserve">To the </w:t>
      </w:r>
      <w:r w:rsidR="00065C04">
        <w:t xml:space="preserve">distinguished members of the Human Rights Committee, </w:t>
      </w:r>
    </w:p>
    <w:p w14:paraId="4A1E6AF0" w14:textId="77777777" w:rsidR="00065C04" w:rsidRDefault="00065C04" w:rsidP="009479E9">
      <w:pPr>
        <w:spacing w:after="0"/>
        <w:ind w:firstLine="0"/>
      </w:pPr>
    </w:p>
    <w:p w14:paraId="703A3D9E" w14:textId="1166CC10" w:rsidR="00065C04" w:rsidRDefault="00065C04" w:rsidP="00065C04">
      <w:pPr>
        <w:spacing w:after="0"/>
        <w:ind w:firstLine="0"/>
      </w:pPr>
      <w:r>
        <w:t xml:space="preserve">The Committee’s Draft </w:t>
      </w:r>
      <w:r w:rsidRPr="00065C04">
        <w:t xml:space="preserve">General Comment on Article 6 of the International Covenant on Civil </w:t>
      </w:r>
      <w:r>
        <w:t>and Political Rights is, in most respects, an admirable document. However, one sentence of the Committee’s Draft raises several concerns. According to the Committee’s Draft,</w:t>
      </w:r>
    </w:p>
    <w:p w14:paraId="055AD58E" w14:textId="77777777" w:rsidR="00065C04" w:rsidRDefault="00065C04" w:rsidP="00065C04">
      <w:pPr>
        <w:spacing w:after="0"/>
        <w:ind w:firstLine="0"/>
      </w:pPr>
    </w:p>
    <w:p w14:paraId="08BF6582" w14:textId="77777777" w:rsidR="00065C04" w:rsidRDefault="00065C04" w:rsidP="00065C04">
      <w:pPr>
        <w:spacing w:after="0"/>
        <w:ind w:left="720" w:firstLine="0"/>
      </w:pPr>
      <w:r>
        <w:t>Uses of lethal force authorized and regulated by and complying with international humanitarian law are, in principle, not arbitrary. (para 67)</w:t>
      </w:r>
    </w:p>
    <w:p w14:paraId="2FAF3716" w14:textId="77777777" w:rsidR="00065C04" w:rsidRDefault="00065C04" w:rsidP="00065C04">
      <w:pPr>
        <w:spacing w:after="0"/>
        <w:ind w:firstLine="0"/>
      </w:pPr>
    </w:p>
    <w:p w14:paraId="31A5D331" w14:textId="4C0F9DB3" w:rsidR="00065C04" w:rsidRDefault="00065C04" w:rsidP="00065C04">
      <w:pPr>
        <w:spacing w:after="0"/>
        <w:ind w:firstLine="0"/>
      </w:pPr>
      <w:r>
        <w:t xml:space="preserve">I encourage the Committee to delete this sentence, for </w:t>
      </w:r>
      <w:r w:rsidR="00E60FB0">
        <w:t>two</w:t>
      </w:r>
      <w:r>
        <w:t xml:space="preserve"> reasons.</w:t>
      </w:r>
    </w:p>
    <w:p w14:paraId="41A3C3A9" w14:textId="77777777" w:rsidR="00065C04" w:rsidRDefault="00065C04" w:rsidP="00065C04">
      <w:pPr>
        <w:spacing w:after="0"/>
        <w:ind w:firstLine="0"/>
      </w:pPr>
    </w:p>
    <w:p w14:paraId="561EE65D" w14:textId="1314FBF4" w:rsidR="00E44803" w:rsidRDefault="00065C04" w:rsidP="00D73383">
      <w:pPr>
        <w:spacing w:after="0"/>
        <w:ind w:firstLine="0"/>
      </w:pPr>
      <w:r>
        <w:t xml:space="preserve">First, there is a </w:t>
      </w:r>
      <w:r w:rsidR="00E44803">
        <w:t xml:space="preserve">long-running </w:t>
      </w:r>
      <w:r>
        <w:t xml:space="preserve">debate over whether international humanitarian law </w:t>
      </w:r>
      <w:r w:rsidRPr="00065C04">
        <w:rPr>
          <w:i/>
        </w:rPr>
        <w:t>authorizes</w:t>
      </w:r>
      <w:r>
        <w:t xml:space="preserve"> uses of lethal force or merely </w:t>
      </w:r>
      <w:r w:rsidRPr="00E44803">
        <w:rPr>
          <w:i/>
        </w:rPr>
        <w:t>restrains</w:t>
      </w:r>
      <w:r>
        <w:t xml:space="preserve"> uses of lethal force. </w:t>
      </w:r>
      <w:r w:rsidR="00097265">
        <w:t xml:space="preserve">For example, </w:t>
      </w:r>
      <w:r w:rsidR="0068633F">
        <w:t xml:space="preserve">the distinguished authors of the </w:t>
      </w:r>
      <w:r w:rsidR="00097265">
        <w:t>Internati</w:t>
      </w:r>
      <w:r w:rsidR="0068633F">
        <w:t>onal Committee of the Red Cross</w:t>
      </w:r>
      <w:r w:rsidR="00D73383">
        <w:t xml:space="preserve">’ </w:t>
      </w:r>
      <w:hyperlink r:id="rId8" w:history="1">
        <w:r w:rsidR="00D73383" w:rsidRPr="00D73383">
          <w:rPr>
            <w:rStyle w:val="Hyperlink"/>
          </w:rPr>
          <w:t>Commentary</w:t>
        </w:r>
      </w:hyperlink>
      <w:r w:rsidR="00D73383">
        <w:t xml:space="preserve"> on the Additional Protocols of 8 June 1977 to the Geneva Conventions of 12 August 1949 write that</w:t>
      </w:r>
    </w:p>
    <w:p w14:paraId="7758D4B0" w14:textId="77777777" w:rsidR="00E44803" w:rsidRDefault="00E44803" w:rsidP="00065C04">
      <w:pPr>
        <w:spacing w:after="0"/>
        <w:ind w:firstLine="0"/>
      </w:pPr>
    </w:p>
    <w:p w14:paraId="63E44EA6" w14:textId="5A7FE2E0" w:rsidR="0068633F" w:rsidRDefault="0068633F" w:rsidP="00D73383">
      <w:pPr>
        <w:spacing w:after="0"/>
        <w:ind w:left="720" w:firstLine="0"/>
      </w:pPr>
      <w:r w:rsidRPr="0068633F">
        <w:t>The law relating to the conduct of hostilities is primarily a law of prohibition: it does not authorize, but prohibits certain things.</w:t>
      </w:r>
      <w:r>
        <w:t xml:space="preserve"> (para 2238)</w:t>
      </w:r>
    </w:p>
    <w:p w14:paraId="48AA22CD" w14:textId="77777777" w:rsidR="0068633F" w:rsidRDefault="0068633F" w:rsidP="00065C04">
      <w:pPr>
        <w:spacing w:after="0"/>
        <w:ind w:firstLine="0"/>
      </w:pPr>
    </w:p>
    <w:p w14:paraId="248CADB4" w14:textId="71D1A5E1" w:rsidR="00D73383" w:rsidRDefault="003C7545" w:rsidP="00065C04">
      <w:pPr>
        <w:spacing w:after="0"/>
        <w:ind w:firstLine="0"/>
      </w:pPr>
      <w:r>
        <w:t>Many l</w:t>
      </w:r>
      <w:r w:rsidR="00D73383">
        <w:t xml:space="preserve">eading </w:t>
      </w:r>
      <w:r>
        <w:t>scholars agree that international humanitarian law restrains but does not authorize uses of lethal force</w:t>
      </w:r>
      <w:r w:rsidR="00D73383">
        <w:t xml:space="preserve">, including Richard Baxter, </w:t>
      </w:r>
      <w:proofErr w:type="spellStart"/>
      <w:r w:rsidR="00D73383">
        <w:t>Hersch</w:t>
      </w:r>
      <w:proofErr w:type="spellEnd"/>
      <w:r w:rsidR="00D73383">
        <w:t xml:space="preserve"> </w:t>
      </w:r>
      <w:proofErr w:type="spellStart"/>
      <w:r w:rsidR="00D73383">
        <w:t>Lauterpacht</w:t>
      </w:r>
      <w:proofErr w:type="spellEnd"/>
      <w:r w:rsidR="00D73383">
        <w:t>, and</w:t>
      </w:r>
      <w:r>
        <w:t xml:space="preserve"> Michael Schmitt. One argument for this view, which may be of interest to the Committee, is that international law cannot simultaneously authorize and prohibit the same act. Accordingly, an act of aggression that complies with international humanitarian law cannot be simultaneously prohibited (by the </w:t>
      </w:r>
      <w:r w:rsidRPr="003C7545">
        <w:rPr>
          <w:i/>
        </w:rPr>
        <w:t>jus ad bellum</w:t>
      </w:r>
      <w:r>
        <w:t xml:space="preserve">) and authorized (by the </w:t>
      </w:r>
      <w:r w:rsidRPr="003C7545">
        <w:rPr>
          <w:i/>
        </w:rPr>
        <w:t>jus in bello</w:t>
      </w:r>
      <w:r>
        <w:t xml:space="preserve">). Instead, such an act would be prohibited by the </w:t>
      </w:r>
      <w:r w:rsidRPr="003C7545">
        <w:rPr>
          <w:i/>
        </w:rPr>
        <w:t>jus ad bellum</w:t>
      </w:r>
      <w:r>
        <w:t xml:space="preserve"> but neither prohibited nor authorized by the </w:t>
      </w:r>
      <w:r w:rsidRPr="003C7545">
        <w:rPr>
          <w:i/>
        </w:rPr>
        <w:t>jus in bello</w:t>
      </w:r>
      <w:r>
        <w:t>.</w:t>
      </w:r>
    </w:p>
    <w:p w14:paraId="25E46258" w14:textId="77777777" w:rsidR="00E44803" w:rsidRDefault="00E44803" w:rsidP="00065C04">
      <w:pPr>
        <w:spacing w:after="0"/>
        <w:ind w:firstLine="0"/>
      </w:pPr>
    </w:p>
    <w:p w14:paraId="42960176" w14:textId="07CA716D" w:rsidR="00065C04" w:rsidRDefault="00065C04" w:rsidP="00065C04">
      <w:pPr>
        <w:spacing w:after="0"/>
        <w:ind w:firstLine="0"/>
      </w:pPr>
      <w:r>
        <w:t xml:space="preserve">In my view, </w:t>
      </w:r>
      <w:r w:rsidR="00E60FB0">
        <w:t xml:space="preserve">at a minimum, </w:t>
      </w:r>
      <w:r>
        <w:t>the Committee should avoid taking sides in this debate. Otherwise, the Committee would have to explain how an act of aggression that fully complies with international humanitarian law could be simultaneously authorized (by international humanitarian law) and prohibited (by the UN Charter). The Committee would then have to explain why such acts of aggression should be considered arbitrary despite having a legal basis (in international humanitarian law) and conforming to life-protecting rules (of international humanitarian law). I suspect that the Committee has higher priorities than resolving these conundrums, and would prefer to simply delete the words “authorized and.”</w:t>
      </w:r>
    </w:p>
    <w:p w14:paraId="0FC2E842" w14:textId="77777777" w:rsidR="00065C04" w:rsidRDefault="00065C04" w:rsidP="00065C04">
      <w:pPr>
        <w:spacing w:after="0"/>
        <w:ind w:firstLine="0"/>
      </w:pPr>
    </w:p>
    <w:p w14:paraId="4354DE07" w14:textId="38300A5C" w:rsidR="00065C04" w:rsidRDefault="00065C04" w:rsidP="00065C04">
      <w:pPr>
        <w:spacing w:after="0"/>
        <w:ind w:firstLine="0"/>
      </w:pPr>
      <w:r>
        <w:t xml:space="preserve">Second, it is not clear what the phrase “in principle” could mean in this context. </w:t>
      </w:r>
      <w:r w:rsidR="009D485A">
        <w:t>According to the Committee’s Draft</w:t>
      </w:r>
      <w:r>
        <w:t>, acts of aggression regulated by and complying with international humanitarian law are nevertheless arbitrary. So “in principle” cannot mean “in general,” let alone “as a matter of principle,” since most international armed conflicts begin with one party committing an act of aggression against another.</w:t>
      </w:r>
    </w:p>
    <w:p w14:paraId="29D69945" w14:textId="77777777" w:rsidR="00065C04" w:rsidRDefault="00065C04" w:rsidP="00065C04">
      <w:pPr>
        <w:spacing w:after="0"/>
        <w:ind w:firstLine="0"/>
      </w:pPr>
    </w:p>
    <w:p w14:paraId="28C2C708" w14:textId="77777777" w:rsidR="00065C04" w:rsidRDefault="00065C04" w:rsidP="00065C04">
      <w:pPr>
        <w:spacing w:after="0"/>
        <w:ind w:firstLine="0"/>
      </w:pPr>
      <w:r>
        <w:t>One possibility is that “in principle” means “without more” or “unless such uses of lethal force violate other life-protecting laws” such as the general prohibition of interstate force. On this view, human rights law does not itself restrain the conduct of hostilities, beyond what other rules of international law provide. This reading seems hard to reconcile with an earlier passage of the Committee’s Draft, which states:</w:t>
      </w:r>
    </w:p>
    <w:p w14:paraId="535A4503" w14:textId="77777777" w:rsidR="00065C04" w:rsidRDefault="00065C04" w:rsidP="00065C04">
      <w:pPr>
        <w:spacing w:after="0"/>
        <w:ind w:firstLine="0"/>
      </w:pPr>
    </w:p>
    <w:p w14:paraId="49166C64" w14:textId="368C09FF" w:rsidR="00065C04" w:rsidRDefault="00065C04" w:rsidP="009D485A">
      <w:pPr>
        <w:spacing w:after="0"/>
        <w:ind w:left="720" w:firstLine="0"/>
      </w:pPr>
      <w:r>
        <w:t>A deprivation of life may be authorized by domestic law and still be arbitrary. The notion of “arbitrariness” is not to be equated with “against the law,” but must be interpreted more broadly to include elements of inappropriateness, injustice, lack of predictability, and due process of law as well as elements of reasonableness, necessity, and proportionality.</w:t>
      </w:r>
      <w:r w:rsidR="00D5251B">
        <w:t xml:space="preserve"> (para 18)</w:t>
      </w:r>
    </w:p>
    <w:p w14:paraId="31520429" w14:textId="77777777" w:rsidR="003C7545" w:rsidRDefault="003C7545" w:rsidP="009D485A">
      <w:pPr>
        <w:spacing w:after="0"/>
        <w:ind w:left="720" w:firstLine="0"/>
      </w:pPr>
    </w:p>
    <w:p w14:paraId="7C490C2B" w14:textId="7EB7D180" w:rsidR="00065C04" w:rsidRDefault="00065C04" w:rsidP="00065C04">
      <w:pPr>
        <w:spacing w:after="0"/>
        <w:ind w:firstLine="0"/>
      </w:pPr>
      <w:r>
        <w:t xml:space="preserve">Similarly, in my view, “arbitrariness” in armed conflict should not be equated with “against other rules of international law.” For example, international humanitarian law does not prohibit killing combatants who could be safely captured (for a contrary view see here). Nevertheless, such unnecessary killing might be considered arbitrary under human rights law. As the African Commission on Human and Peoples’ Rights </w:t>
      </w:r>
      <w:hyperlink r:id="rId9" w:anchor="page=16" w:history="1">
        <w:r w:rsidRPr="007B43FB">
          <w:rPr>
            <w:rStyle w:val="Hyperlink"/>
          </w:rPr>
          <w:t>observes</w:t>
        </w:r>
      </w:hyperlink>
      <w:r>
        <w:t>,</w:t>
      </w:r>
    </w:p>
    <w:p w14:paraId="1964D7A4" w14:textId="77777777" w:rsidR="00065C04" w:rsidRDefault="00065C04" w:rsidP="00065C04">
      <w:pPr>
        <w:spacing w:after="0"/>
        <w:ind w:firstLine="0"/>
      </w:pPr>
    </w:p>
    <w:p w14:paraId="4CB17888" w14:textId="2E48452C" w:rsidR="00065C04" w:rsidRDefault="00065C04" w:rsidP="00097265">
      <w:pPr>
        <w:spacing w:after="0"/>
        <w:ind w:left="720" w:firstLine="0"/>
      </w:pPr>
      <w:r>
        <w:t>Where military necessity does not require parties to an armed conflict to use lethal force in achieving a legitimate military objective against otherwise lawful targets, but allows the target for example to be captured rather than killed, the respect for the right to life can be best ensured by pursuing this option.</w:t>
      </w:r>
      <w:r w:rsidR="00D5251B">
        <w:t xml:space="preserve"> (</w:t>
      </w:r>
      <w:r w:rsidR="007B43FB">
        <w:t>para 34</w:t>
      </w:r>
      <w:r w:rsidR="00D5251B">
        <w:t>)</w:t>
      </w:r>
    </w:p>
    <w:p w14:paraId="5AC9FDEE" w14:textId="77777777" w:rsidR="00097265" w:rsidRDefault="00097265" w:rsidP="00065C04">
      <w:pPr>
        <w:spacing w:after="0"/>
        <w:ind w:firstLine="0"/>
      </w:pPr>
    </w:p>
    <w:p w14:paraId="427A7B3A" w14:textId="4F69DDF6" w:rsidR="00065C04" w:rsidRDefault="00065C04" w:rsidP="00065C04">
      <w:pPr>
        <w:spacing w:after="0"/>
        <w:ind w:firstLine="0"/>
      </w:pPr>
      <w:r>
        <w:t>In my view, the Committee should not foreclose the possibility that human rights law imposes its own restraints on the conduct of hostilities, prohibiting arbitrary deprivations of life not prohibited by other rules of international law. Instead, the Committee should simply delete this sentence, which seems to raise more questions than it resolves.</w:t>
      </w:r>
    </w:p>
    <w:p w14:paraId="0D743B3B" w14:textId="77777777" w:rsidR="00BA5256" w:rsidRDefault="00BA5256" w:rsidP="009479E9">
      <w:pPr>
        <w:spacing w:after="0"/>
        <w:ind w:firstLine="0"/>
      </w:pPr>
    </w:p>
    <w:p w14:paraId="32766E8A" w14:textId="19A1C736" w:rsidR="003C7545" w:rsidRDefault="003C7545" w:rsidP="009479E9">
      <w:pPr>
        <w:spacing w:after="0"/>
        <w:ind w:firstLine="0"/>
      </w:pPr>
      <w:r>
        <w:t>I thank the Committee for inviting comments, and for considering my submission.</w:t>
      </w:r>
    </w:p>
    <w:p w14:paraId="3F110EBD" w14:textId="77777777" w:rsidR="00BA5256" w:rsidRDefault="00BA5256" w:rsidP="009479E9">
      <w:pPr>
        <w:spacing w:after="0"/>
        <w:ind w:firstLine="0"/>
      </w:pPr>
    </w:p>
    <w:p w14:paraId="2DB6BB30" w14:textId="24F7C76C" w:rsidR="001C3CCA" w:rsidRDefault="00BA5256" w:rsidP="009479E9">
      <w:pPr>
        <w:spacing w:after="0"/>
        <w:ind w:firstLine="0"/>
      </w:pPr>
      <w:r>
        <w:t>Sincerely</w:t>
      </w:r>
      <w:r w:rsidR="001C3CCA">
        <w:t xml:space="preserve">, </w:t>
      </w:r>
    </w:p>
    <w:p w14:paraId="5637EFC9" w14:textId="77777777" w:rsidR="001C3CCA" w:rsidRDefault="001C3CCA" w:rsidP="009479E9">
      <w:pPr>
        <w:spacing w:after="0"/>
        <w:ind w:firstLine="0"/>
      </w:pPr>
    </w:p>
    <w:p w14:paraId="7E246C00" w14:textId="22A78E29" w:rsidR="001C3CCA" w:rsidRDefault="001C3CCA" w:rsidP="009479E9">
      <w:pPr>
        <w:spacing w:after="0"/>
        <w:ind w:firstLine="0"/>
      </w:pPr>
      <w:r w:rsidRPr="00252DDD">
        <w:rPr>
          <w:noProof/>
          <w:lang w:val="en-GB" w:eastAsia="en-GB"/>
        </w:rPr>
        <w:drawing>
          <wp:inline distT="0" distB="0" distL="0" distR="0" wp14:anchorId="11058141" wp14:editId="1B3C6399">
            <wp:extent cx="1417320" cy="38404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17320" cy="384048"/>
                    </a:xfrm>
                    <a:prstGeom prst="rect">
                      <a:avLst/>
                    </a:prstGeom>
                  </pic:spPr>
                </pic:pic>
              </a:graphicData>
            </a:graphic>
          </wp:inline>
        </w:drawing>
      </w:r>
    </w:p>
    <w:p w14:paraId="565035D5" w14:textId="77777777" w:rsidR="001C3CCA" w:rsidRDefault="001C3CCA" w:rsidP="009479E9">
      <w:pPr>
        <w:spacing w:after="0"/>
        <w:ind w:firstLine="0"/>
      </w:pPr>
    </w:p>
    <w:p w14:paraId="2B0590EE" w14:textId="7242F314" w:rsidR="001C3CCA" w:rsidRDefault="001C3CCA" w:rsidP="009479E9">
      <w:pPr>
        <w:spacing w:after="0"/>
        <w:ind w:firstLine="0"/>
      </w:pPr>
    </w:p>
    <w:sectPr w:rsidR="001C3CCA" w:rsidSect="00A75BE5">
      <w:headerReference w:type="default" r:id="rId11"/>
      <w:footerReference w:type="default" r:id="rId12"/>
      <w:headerReference w:type="first" r:id="rId13"/>
      <w:pgSz w:w="12240" w:h="15840" w:code="1"/>
      <w:pgMar w:top="1080" w:right="1440" w:bottom="1080" w:left="1440" w:header="274"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5249E" w14:textId="77777777" w:rsidR="00E60FB0" w:rsidRDefault="00E60FB0" w:rsidP="00C209B8">
      <w:r>
        <w:separator/>
      </w:r>
    </w:p>
  </w:endnote>
  <w:endnote w:type="continuationSeparator" w:id="0">
    <w:p w14:paraId="0EF80494" w14:textId="77777777" w:rsidR="00E60FB0" w:rsidRDefault="00E60FB0" w:rsidP="00C2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w:charset w:val="00"/>
    <w:family w:val="auto"/>
    <w:pitch w:val="variable"/>
    <w:sig w:usb0="A00002FF" w:usb1="7800205A" w:usb2="14600000" w:usb3="00000000" w:csb0="00000193"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1114B" w14:textId="77777777" w:rsidR="00E60FB0" w:rsidRDefault="00E60FB0" w:rsidP="00B56DF0">
    <w:pPr>
      <w:pStyle w:val="Footer"/>
      <w:jc w:val="center"/>
    </w:pPr>
  </w:p>
  <w:p w14:paraId="7AA15BD6" w14:textId="77777777" w:rsidR="00E60FB0" w:rsidRDefault="00E60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CFB9A" w14:textId="77777777" w:rsidR="00E60FB0" w:rsidRDefault="00E60FB0" w:rsidP="00DE0A4F">
      <w:pPr>
        <w:spacing w:after="120"/>
        <w:ind w:firstLine="0"/>
      </w:pPr>
      <w:r>
        <w:separator/>
      </w:r>
    </w:p>
  </w:footnote>
  <w:footnote w:type="continuationSeparator" w:id="0">
    <w:p w14:paraId="3A24A251" w14:textId="77777777" w:rsidR="00E60FB0" w:rsidRDefault="00E60FB0" w:rsidP="00C20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997B2" w14:textId="77777777" w:rsidR="00E60FB0" w:rsidRDefault="00E60FB0" w:rsidP="00A318F0">
    <w:pPr>
      <w:pStyle w:val="Header"/>
      <w:tabs>
        <w:tab w:val="clear" w:pos="4680"/>
      </w:tabs>
    </w:pPr>
    <w:r>
      <w:tab/>
    </w:r>
  </w:p>
  <w:p w14:paraId="0B8D815A" w14:textId="77777777" w:rsidR="00E60FB0" w:rsidRPr="00D71F7E" w:rsidRDefault="00E60FB0" w:rsidP="00A318F0">
    <w:pPr>
      <w:pStyle w:val="Header"/>
      <w:tabs>
        <w:tab w:val="clear" w:pos="4680"/>
      </w:tabs>
      <w:rPr>
        <w:rFonts w:ascii="Times New Roman" w:hAnsi="Times New Roman"/>
        <w:sz w:val="20"/>
        <w:szCs w:val="20"/>
      </w:rPr>
    </w:pPr>
    <w:r>
      <w:tab/>
    </w:r>
    <w:r>
      <w:rPr>
        <w:rFonts w:ascii="Times New Roman" w:hAnsi="Times New Roman"/>
        <w:noProof/>
        <w:sz w:val="20"/>
        <w:szCs w:val="20"/>
      </w:rPr>
      <w:tab/>
    </w:r>
    <w:r>
      <w:rPr>
        <w:rFonts w:ascii="Times New Roman" w:hAnsi="Times New Roman"/>
        <w:noProof/>
        <w:sz w:val="20"/>
        <w:szCs w:val="20"/>
      </w:rPr>
      <w:tab/>
    </w:r>
    <w:r w:rsidRPr="00D71F7E">
      <w:rPr>
        <w:rFonts w:ascii="Times New Roman" w:hAnsi="Times New Roman"/>
        <w:sz w:val="20"/>
        <w:szCs w:val="20"/>
      </w:rPr>
      <w:tab/>
    </w:r>
    <w:r w:rsidRPr="00D71F7E">
      <w:rPr>
        <w:rFonts w:ascii="Times New Roman" w:hAnsi="Times New Roman"/>
        <w:sz w:val="20"/>
        <w:szCs w:val="20"/>
      </w:rPr>
      <w:tab/>
    </w:r>
  </w:p>
  <w:p w14:paraId="4EA80C92" w14:textId="77777777" w:rsidR="00E60FB0" w:rsidRDefault="00E60FB0">
    <w:pPr>
      <w:pStyle w:val="Header"/>
    </w:pPr>
    <w:r>
      <w:tab/>
    </w:r>
    <w:r>
      <w:tab/>
    </w:r>
    <w:r w:rsidRPr="00B56DF0">
      <w:rPr>
        <w:rStyle w:val="Strong"/>
        <w:rFonts w:ascii="Times New Roman" w:hAnsi="Times New Roman"/>
        <w:b w:val="0"/>
        <w:color w:val="000000"/>
        <w:sz w:val="20"/>
        <w:szCs w:val="20"/>
      </w:rPr>
      <w:tab/>
    </w:r>
    <w:r w:rsidRPr="00B56DF0">
      <w:rPr>
        <w:rStyle w:val="Strong"/>
        <w:rFonts w:ascii="Times New Roman" w:hAnsi="Times New Roman"/>
        <w:b w:val="0"/>
        <w:color w:val="000000"/>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5F8F" w14:textId="77777777" w:rsidR="00E60FB0" w:rsidRPr="00A25F98" w:rsidRDefault="00E60FB0" w:rsidP="00F503B3">
    <w:pPr>
      <w:pStyle w:val="Header"/>
      <w:ind w:firstLine="1080"/>
      <w:rPr>
        <w:rFonts w:ascii="Palatino" w:hAnsi="Palatino"/>
      </w:rPr>
    </w:pPr>
  </w:p>
  <w:tbl>
    <w:tblPr>
      <w:tblW w:w="11834" w:type="dxa"/>
      <w:tblInd w:w="-1440" w:type="dxa"/>
      <w:tblCellMar>
        <w:left w:w="0" w:type="dxa"/>
        <w:right w:w="0" w:type="dxa"/>
      </w:tblCellMar>
      <w:tblLook w:val="04A0" w:firstRow="1" w:lastRow="0" w:firstColumn="1" w:lastColumn="0" w:noHBand="0" w:noVBand="1"/>
    </w:tblPr>
    <w:tblGrid>
      <w:gridCol w:w="4708"/>
      <w:gridCol w:w="3518"/>
      <w:gridCol w:w="3608"/>
    </w:tblGrid>
    <w:tr w:rsidR="00E60FB0" w:rsidRPr="00A25F98" w14:paraId="0A494DE1" w14:textId="77777777" w:rsidTr="00D329DF">
      <w:trPr>
        <w:trHeight w:val="80"/>
      </w:trPr>
      <w:tc>
        <w:tcPr>
          <w:tcW w:w="4698" w:type="dxa"/>
          <w:tcMar>
            <w:top w:w="0" w:type="dxa"/>
            <w:left w:w="108" w:type="dxa"/>
            <w:bottom w:w="0" w:type="dxa"/>
            <w:right w:w="108" w:type="dxa"/>
          </w:tcMar>
          <w:hideMark/>
        </w:tcPr>
        <w:p w14:paraId="7428F02D" w14:textId="77777777" w:rsidR="00E60FB0" w:rsidRPr="00A25F98" w:rsidRDefault="00E60FB0" w:rsidP="00F503B3">
          <w:pPr>
            <w:ind w:left="810" w:firstLine="0"/>
            <w:rPr>
              <w:rFonts w:ascii="Palatino" w:hAnsi="Palatino" w:cs="Courier New"/>
            </w:rPr>
          </w:pPr>
          <w:r w:rsidRPr="00A25F98">
            <w:rPr>
              <w:rFonts w:ascii="Palatino" w:hAnsi="Palatino" w:cs="Courier New"/>
              <w:noProof/>
              <w:lang w:val="en-GB" w:eastAsia="en-GB"/>
            </w:rPr>
            <w:drawing>
              <wp:inline distT="0" distB="0" distL="0" distR="0" wp14:anchorId="6F2BF66D" wp14:editId="0499A066">
                <wp:extent cx="2157984" cy="5852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 School shield 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7984" cy="585216"/>
                        </a:xfrm>
                        <a:prstGeom prst="rect">
                          <a:avLst/>
                        </a:prstGeom>
                      </pic:spPr>
                    </pic:pic>
                  </a:graphicData>
                </a:graphic>
              </wp:inline>
            </w:drawing>
          </w:r>
        </w:p>
        <w:p w14:paraId="6192D8AB" w14:textId="77777777" w:rsidR="00E60FB0" w:rsidRPr="00A25F98" w:rsidRDefault="00E60FB0" w:rsidP="00A92CC8">
          <w:pPr>
            <w:tabs>
              <w:tab w:val="left" w:pos="1650"/>
            </w:tabs>
            <w:rPr>
              <w:rFonts w:ascii="Palatino" w:hAnsi="Palatino" w:cs="Courier New"/>
            </w:rPr>
          </w:pPr>
          <w:r w:rsidRPr="00A25F98">
            <w:rPr>
              <w:rFonts w:ascii="Palatino" w:hAnsi="Palatino" w:cs="Courier New"/>
            </w:rPr>
            <w:tab/>
          </w:r>
        </w:p>
      </w:tc>
      <w:tc>
        <w:tcPr>
          <w:tcW w:w="3510" w:type="dxa"/>
          <w:tcMar>
            <w:top w:w="0" w:type="dxa"/>
            <w:left w:w="108" w:type="dxa"/>
            <w:bottom w:w="0" w:type="dxa"/>
            <w:right w:w="108" w:type="dxa"/>
          </w:tcMar>
        </w:tcPr>
        <w:p w14:paraId="598F0EBB" w14:textId="77777777" w:rsidR="00E60FB0" w:rsidRPr="00A25F98" w:rsidRDefault="00E60FB0" w:rsidP="00742493">
          <w:pPr>
            <w:pStyle w:val="AddressBlockArial"/>
            <w:spacing w:line="240" w:lineRule="auto"/>
            <w:ind w:left="10" w:hanging="10"/>
            <w:rPr>
              <w:rFonts w:ascii="Palatino" w:hAnsi="Palatino"/>
              <w:color w:val="808080" w:themeColor="background1" w:themeShade="80"/>
              <w:sz w:val="16"/>
              <w:szCs w:val="16"/>
            </w:rPr>
          </w:pPr>
        </w:p>
        <w:p w14:paraId="60350A60" w14:textId="4F3784CE" w:rsidR="00E60FB0" w:rsidRPr="00A25F98" w:rsidRDefault="00E60FB0" w:rsidP="00742493">
          <w:pPr>
            <w:pStyle w:val="AddressBlockArial"/>
            <w:spacing w:line="240" w:lineRule="auto"/>
            <w:ind w:left="10" w:hanging="10"/>
            <w:rPr>
              <w:rFonts w:ascii="Palatino" w:hAnsi="Palatino"/>
              <w:color w:val="808080" w:themeColor="background1" w:themeShade="80"/>
              <w:sz w:val="16"/>
              <w:szCs w:val="16"/>
            </w:rPr>
          </w:pPr>
          <w:r w:rsidRPr="00A25F98">
            <w:rPr>
              <w:rFonts w:ascii="Palatino" w:hAnsi="Palatino"/>
              <w:color w:val="808080" w:themeColor="background1" w:themeShade="80"/>
              <w:sz w:val="16"/>
              <w:szCs w:val="16"/>
            </w:rPr>
            <w:t xml:space="preserve">Rutgers University </w:t>
          </w:r>
        </w:p>
        <w:p w14:paraId="6DDBFB09" w14:textId="502CC13C" w:rsidR="00E60FB0" w:rsidRPr="00A25F98" w:rsidRDefault="00E60FB0" w:rsidP="00742493">
          <w:pPr>
            <w:pStyle w:val="AddressBlockArial"/>
            <w:spacing w:line="240" w:lineRule="auto"/>
            <w:ind w:left="10" w:hanging="10"/>
            <w:rPr>
              <w:rFonts w:ascii="Palatino" w:hAnsi="Palatino"/>
              <w:color w:val="808080" w:themeColor="background1" w:themeShade="80"/>
              <w:sz w:val="16"/>
              <w:szCs w:val="16"/>
            </w:rPr>
          </w:pPr>
          <w:r w:rsidRPr="00A25F98">
            <w:rPr>
              <w:rFonts w:ascii="Palatino" w:hAnsi="Palatino"/>
              <w:color w:val="808080" w:themeColor="background1" w:themeShade="80"/>
              <w:sz w:val="16"/>
              <w:szCs w:val="16"/>
            </w:rPr>
            <w:t xml:space="preserve">Newhouse Center for Law and Justice </w:t>
          </w:r>
        </w:p>
        <w:p w14:paraId="2B3A7345" w14:textId="77777777" w:rsidR="00E60FB0" w:rsidRPr="00A25F98" w:rsidRDefault="00E60FB0" w:rsidP="00742493">
          <w:pPr>
            <w:pStyle w:val="AddressBlockArial"/>
            <w:spacing w:line="240" w:lineRule="auto"/>
            <w:ind w:left="10" w:hanging="10"/>
            <w:rPr>
              <w:rFonts w:ascii="Palatino" w:hAnsi="Palatino"/>
              <w:color w:val="808080" w:themeColor="background1" w:themeShade="80"/>
              <w:sz w:val="16"/>
              <w:szCs w:val="16"/>
            </w:rPr>
          </w:pPr>
          <w:r w:rsidRPr="00A25F98">
            <w:rPr>
              <w:rFonts w:ascii="Palatino" w:hAnsi="Palatino"/>
              <w:color w:val="808080" w:themeColor="background1" w:themeShade="80"/>
              <w:sz w:val="16"/>
              <w:szCs w:val="16"/>
            </w:rPr>
            <w:t xml:space="preserve">123 Washington Street   </w:t>
          </w:r>
        </w:p>
        <w:p w14:paraId="7C64E03A" w14:textId="316430EE" w:rsidR="00E60FB0" w:rsidRPr="00A25F98" w:rsidRDefault="00E60FB0" w:rsidP="00742493">
          <w:pPr>
            <w:pStyle w:val="AddressBlockArial"/>
            <w:spacing w:line="240" w:lineRule="auto"/>
            <w:ind w:left="10" w:hanging="10"/>
            <w:rPr>
              <w:rFonts w:ascii="Palatino" w:hAnsi="Palatino"/>
              <w:color w:val="808080" w:themeColor="background1" w:themeShade="80"/>
              <w:sz w:val="16"/>
              <w:szCs w:val="16"/>
            </w:rPr>
          </w:pPr>
          <w:r w:rsidRPr="00A25F98">
            <w:rPr>
              <w:rFonts w:ascii="Palatino" w:hAnsi="Palatino"/>
              <w:color w:val="808080" w:themeColor="background1" w:themeShade="80"/>
              <w:sz w:val="16"/>
              <w:szCs w:val="16"/>
            </w:rPr>
            <w:t>Newark, New Jersey 07102-3026</w:t>
          </w:r>
        </w:p>
        <w:p w14:paraId="44FAF9D2" w14:textId="77777777" w:rsidR="00E60FB0" w:rsidRPr="00A25F98" w:rsidRDefault="00E60FB0" w:rsidP="00742493">
          <w:pPr>
            <w:pStyle w:val="AddressBlockArial"/>
            <w:ind w:left="10" w:hanging="10"/>
            <w:rPr>
              <w:rFonts w:ascii="Palatino" w:hAnsi="Palatino"/>
              <w:color w:val="808080" w:themeColor="background1" w:themeShade="80"/>
              <w:sz w:val="16"/>
              <w:szCs w:val="16"/>
            </w:rPr>
          </w:pPr>
        </w:p>
        <w:p w14:paraId="6B4EC4BA" w14:textId="77777777" w:rsidR="00E60FB0" w:rsidRPr="00A25F98" w:rsidRDefault="00E60FB0" w:rsidP="00E5337C">
          <w:pPr>
            <w:pStyle w:val="AddressBlockArial"/>
            <w:spacing w:line="240" w:lineRule="auto"/>
            <w:ind w:left="10" w:hanging="10"/>
            <w:rPr>
              <w:rFonts w:ascii="Palatino" w:hAnsi="Palatino"/>
              <w:color w:val="808080" w:themeColor="background1" w:themeShade="80"/>
              <w:sz w:val="16"/>
              <w:szCs w:val="16"/>
            </w:rPr>
          </w:pPr>
        </w:p>
      </w:tc>
      <w:tc>
        <w:tcPr>
          <w:tcW w:w="3600" w:type="dxa"/>
          <w:tcMar>
            <w:top w:w="0" w:type="dxa"/>
            <w:left w:w="108" w:type="dxa"/>
            <w:bottom w:w="0" w:type="dxa"/>
            <w:right w:w="108" w:type="dxa"/>
          </w:tcMar>
        </w:tcPr>
        <w:p w14:paraId="47DE12CC" w14:textId="77777777" w:rsidR="00E60FB0" w:rsidRPr="00A25F98" w:rsidRDefault="00E60FB0" w:rsidP="000E0CF4">
          <w:pPr>
            <w:pStyle w:val="AddressBlockArial"/>
            <w:spacing w:line="240" w:lineRule="auto"/>
            <w:ind w:left="10" w:hanging="10"/>
            <w:rPr>
              <w:rFonts w:ascii="Palatino" w:hAnsi="Palatino"/>
              <w:color w:val="808080" w:themeColor="background1" w:themeShade="80"/>
              <w:sz w:val="16"/>
              <w:szCs w:val="16"/>
            </w:rPr>
          </w:pPr>
          <w:r w:rsidRPr="00A25F98">
            <w:rPr>
              <w:rFonts w:ascii="Palatino" w:hAnsi="Palatino"/>
              <w:color w:val="808080" w:themeColor="background1" w:themeShade="80"/>
              <w:sz w:val="16"/>
              <w:szCs w:val="16"/>
            </w:rPr>
            <w:t xml:space="preserve">          </w:t>
          </w:r>
        </w:p>
        <w:p w14:paraId="2D84066F" w14:textId="77777777" w:rsidR="00E60FB0" w:rsidRPr="00A25F98" w:rsidRDefault="00E60FB0" w:rsidP="00930B27">
          <w:pPr>
            <w:pStyle w:val="AddressBlockArial"/>
            <w:spacing w:line="240" w:lineRule="auto"/>
            <w:ind w:left="10" w:hanging="10"/>
            <w:rPr>
              <w:rFonts w:ascii="Palatino" w:hAnsi="Palatino"/>
              <w:color w:val="808080" w:themeColor="background1" w:themeShade="80"/>
              <w:sz w:val="16"/>
              <w:szCs w:val="16"/>
            </w:rPr>
          </w:pPr>
          <w:r w:rsidRPr="00A25F98">
            <w:rPr>
              <w:rFonts w:ascii="Palatino" w:hAnsi="Palatino"/>
              <w:color w:val="808080" w:themeColor="background1" w:themeShade="80"/>
              <w:sz w:val="16"/>
              <w:szCs w:val="16"/>
            </w:rPr>
            <w:t>Adil Ahmad Haque</w:t>
          </w:r>
        </w:p>
        <w:p w14:paraId="3CF7A07F" w14:textId="77777777" w:rsidR="00E60FB0" w:rsidRPr="00A25F98" w:rsidRDefault="00E60FB0" w:rsidP="00930B27">
          <w:pPr>
            <w:pStyle w:val="AddressBlockArial"/>
            <w:spacing w:line="240" w:lineRule="auto"/>
            <w:ind w:left="10" w:hanging="10"/>
            <w:rPr>
              <w:rFonts w:ascii="Palatino" w:hAnsi="Palatino"/>
              <w:color w:val="808080" w:themeColor="background1" w:themeShade="80"/>
              <w:sz w:val="16"/>
              <w:szCs w:val="16"/>
            </w:rPr>
          </w:pPr>
          <w:r w:rsidRPr="00A25F98">
            <w:rPr>
              <w:rFonts w:ascii="Palatino" w:hAnsi="Palatino"/>
              <w:color w:val="808080" w:themeColor="background1" w:themeShade="80"/>
              <w:sz w:val="16"/>
              <w:szCs w:val="16"/>
            </w:rPr>
            <w:t>Professor of Law</w:t>
          </w:r>
        </w:p>
        <w:p w14:paraId="02D50F9E" w14:textId="77777777" w:rsidR="00E60FB0" w:rsidRPr="00A25F98" w:rsidRDefault="00E60FB0" w:rsidP="00930B27">
          <w:pPr>
            <w:pStyle w:val="AddressBlockArial"/>
            <w:spacing w:line="240" w:lineRule="auto"/>
            <w:ind w:left="10" w:hanging="10"/>
            <w:rPr>
              <w:rFonts w:ascii="Palatino" w:hAnsi="Palatino"/>
              <w:color w:val="808080" w:themeColor="background1" w:themeShade="80"/>
              <w:sz w:val="16"/>
              <w:szCs w:val="16"/>
            </w:rPr>
          </w:pPr>
          <w:r w:rsidRPr="00A25F98">
            <w:rPr>
              <w:rFonts w:ascii="Palatino" w:hAnsi="Palatino"/>
              <w:color w:val="808080" w:themeColor="background1" w:themeShade="80"/>
              <w:sz w:val="16"/>
              <w:szCs w:val="16"/>
            </w:rPr>
            <w:t>Judge Jon O. Newman Scholar</w:t>
          </w:r>
        </w:p>
        <w:p w14:paraId="42C4CDF4" w14:textId="3A341024" w:rsidR="00E60FB0" w:rsidRPr="00A25F98" w:rsidRDefault="00E60FB0" w:rsidP="000E0CF4">
          <w:pPr>
            <w:pStyle w:val="AddressBlockArial"/>
            <w:spacing w:line="240" w:lineRule="auto"/>
            <w:ind w:left="10" w:hanging="10"/>
            <w:rPr>
              <w:rFonts w:ascii="Palatino" w:hAnsi="Palatino"/>
              <w:color w:val="808080" w:themeColor="background1" w:themeShade="80"/>
              <w:sz w:val="16"/>
              <w:szCs w:val="16"/>
            </w:rPr>
          </w:pPr>
          <w:r w:rsidRPr="00A25F98">
            <w:rPr>
              <w:rFonts w:ascii="Palatino" w:hAnsi="Palatino"/>
              <w:color w:val="808080" w:themeColor="background1" w:themeShade="80"/>
              <w:sz w:val="16"/>
              <w:szCs w:val="16"/>
            </w:rPr>
            <w:t>(973) 353-3264</w:t>
          </w:r>
        </w:p>
        <w:p w14:paraId="131DF445" w14:textId="77777777" w:rsidR="00E60FB0" w:rsidRPr="00A25F98" w:rsidRDefault="00E60FB0" w:rsidP="000E0CF4">
          <w:pPr>
            <w:pStyle w:val="AddressBlockArial"/>
            <w:spacing w:line="240" w:lineRule="auto"/>
            <w:ind w:left="10" w:hanging="10"/>
            <w:rPr>
              <w:rFonts w:ascii="Palatino" w:hAnsi="Palatino"/>
              <w:sz w:val="16"/>
              <w:szCs w:val="16"/>
            </w:rPr>
          </w:pPr>
          <w:r w:rsidRPr="00A25F98">
            <w:rPr>
              <w:rFonts w:ascii="Palatino" w:hAnsi="Palatino"/>
              <w:color w:val="808080" w:themeColor="background1" w:themeShade="80"/>
              <w:sz w:val="16"/>
              <w:szCs w:val="16"/>
            </w:rPr>
            <w:t>adil.haque@rutgers.edu</w:t>
          </w:r>
        </w:p>
        <w:p w14:paraId="7F30B163" w14:textId="77777777" w:rsidR="00E60FB0" w:rsidRPr="00A25F98" w:rsidRDefault="00E60FB0" w:rsidP="00E5337C">
          <w:pPr>
            <w:pStyle w:val="AddressBlockArial"/>
            <w:spacing w:line="240" w:lineRule="auto"/>
            <w:ind w:left="10" w:hanging="10"/>
            <w:rPr>
              <w:rFonts w:ascii="Palatino" w:hAnsi="Palatino"/>
              <w:color w:val="808080" w:themeColor="background1" w:themeShade="80"/>
              <w:sz w:val="16"/>
              <w:szCs w:val="16"/>
            </w:rPr>
          </w:pPr>
          <w:r w:rsidRPr="00A25F98">
            <w:rPr>
              <w:rFonts w:ascii="Palatino" w:hAnsi="Palatino"/>
              <w:color w:val="808080" w:themeColor="background1" w:themeShade="80"/>
              <w:sz w:val="16"/>
              <w:szCs w:val="16"/>
            </w:rPr>
            <w:t xml:space="preserve">       </w:t>
          </w:r>
        </w:p>
        <w:p w14:paraId="0A121742" w14:textId="77777777" w:rsidR="00E60FB0" w:rsidRPr="00A25F98" w:rsidRDefault="00E60FB0" w:rsidP="00E5337C">
          <w:pPr>
            <w:pStyle w:val="AddressBlockArial"/>
            <w:spacing w:line="240" w:lineRule="auto"/>
            <w:ind w:left="10" w:hanging="10"/>
            <w:rPr>
              <w:rFonts w:ascii="Palatino" w:hAnsi="Palatino"/>
              <w:color w:val="808080" w:themeColor="background1" w:themeShade="80"/>
              <w:sz w:val="16"/>
              <w:szCs w:val="16"/>
            </w:rPr>
          </w:pPr>
        </w:p>
        <w:p w14:paraId="7312EEDA" w14:textId="77777777" w:rsidR="00E60FB0" w:rsidRPr="00A25F98" w:rsidRDefault="00E60FB0" w:rsidP="008D2137">
          <w:pPr>
            <w:autoSpaceDE/>
            <w:adjustRightInd/>
            <w:spacing w:after="0"/>
            <w:ind w:left="143" w:right="274" w:hanging="130"/>
            <w:jc w:val="left"/>
            <w:rPr>
              <w:rFonts w:ascii="Palatino" w:hAnsi="Palatino" w:cs="Arial"/>
              <w:color w:val="808080" w:themeColor="background1" w:themeShade="80"/>
              <w:sz w:val="16"/>
              <w:szCs w:val="16"/>
            </w:rPr>
          </w:pPr>
        </w:p>
        <w:p w14:paraId="38622405" w14:textId="77777777" w:rsidR="00E60FB0" w:rsidRPr="00A25F98" w:rsidRDefault="00E60FB0" w:rsidP="008D2137">
          <w:pPr>
            <w:autoSpaceDE/>
            <w:adjustRightInd/>
            <w:spacing w:after="0"/>
            <w:ind w:left="143" w:right="274" w:hanging="130"/>
            <w:jc w:val="left"/>
            <w:rPr>
              <w:rFonts w:ascii="Palatino" w:hAnsi="Palatino" w:cs="Arial"/>
              <w:color w:val="808080" w:themeColor="background1" w:themeShade="80"/>
              <w:sz w:val="16"/>
              <w:szCs w:val="16"/>
            </w:rPr>
          </w:pPr>
        </w:p>
        <w:p w14:paraId="280CB35A" w14:textId="77777777" w:rsidR="00E60FB0" w:rsidRPr="00A25F98" w:rsidRDefault="00E60FB0" w:rsidP="000E0CF4">
          <w:pPr>
            <w:autoSpaceDE/>
            <w:adjustRightInd/>
            <w:spacing w:after="0"/>
            <w:ind w:left="143" w:right="274" w:hanging="130"/>
            <w:jc w:val="left"/>
            <w:rPr>
              <w:rFonts w:ascii="Palatino" w:hAnsi="Palatino" w:cs="Courier New"/>
              <w:color w:val="808080" w:themeColor="background1" w:themeShade="80"/>
              <w:sz w:val="16"/>
              <w:szCs w:val="16"/>
            </w:rPr>
          </w:pPr>
          <w:r w:rsidRPr="00A25F98">
            <w:rPr>
              <w:rFonts w:ascii="Palatino" w:hAnsi="Palatino" w:cs="Arial"/>
              <w:color w:val="808080" w:themeColor="background1" w:themeShade="80"/>
              <w:sz w:val="16"/>
              <w:szCs w:val="16"/>
            </w:rPr>
            <w:t xml:space="preserve">           </w:t>
          </w:r>
        </w:p>
      </w:tc>
    </w:tr>
  </w:tbl>
  <w:p w14:paraId="393D5D79" w14:textId="77777777" w:rsidR="00E60FB0" w:rsidRPr="00A25F98" w:rsidRDefault="00E60FB0" w:rsidP="0080674D">
    <w:pPr>
      <w:pStyle w:val="Header"/>
      <w:tabs>
        <w:tab w:val="clear" w:pos="4680"/>
        <w:tab w:val="clear" w:pos="9360"/>
        <w:tab w:val="left" w:pos="3440"/>
      </w:tabs>
      <w:ind w:firstLine="0"/>
      <w:rPr>
        <w:rFonts w:ascii="Palatino" w:hAnsi="Palatino"/>
      </w:rPr>
    </w:pPr>
  </w:p>
  <w:p w14:paraId="6EF3753A" w14:textId="77777777" w:rsidR="00E60FB0" w:rsidRPr="00A25F98" w:rsidRDefault="00E60FB0">
    <w:pPr>
      <w:rPr>
        <w:rFonts w:ascii="Palatino" w:hAnsi="Palatin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7204"/>
    <w:multiLevelType w:val="hybridMultilevel"/>
    <w:tmpl w:val="5B789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86F00"/>
    <w:multiLevelType w:val="hybridMultilevel"/>
    <w:tmpl w:val="1742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207F2"/>
    <w:multiLevelType w:val="multilevel"/>
    <w:tmpl w:val="FD0075F6"/>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4D992E71"/>
    <w:multiLevelType w:val="hybridMultilevel"/>
    <w:tmpl w:val="326E2E88"/>
    <w:lvl w:ilvl="0" w:tplc="834C5A9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query w:val="SELECT * FROM `' Report$'` "/>
    <w:activeRecord w:val="8"/>
  </w:mailMerg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B8"/>
    <w:rsid w:val="0001141F"/>
    <w:rsid w:val="00025159"/>
    <w:rsid w:val="00025759"/>
    <w:rsid w:val="00026E94"/>
    <w:rsid w:val="00030CF8"/>
    <w:rsid w:val="00065C04"/>
    <w:rsid w:val="0007377D"/>
    <w:rsid w:val="00097265"/>
    <w:rsid w:val="000A62BA"/>
    <w:rsid w:val="000B19DC"/>
    <w:rsid w:val="000D0300"/>
    <w:rsid w:val="000E0CF4"/>
    <w:rsid w:val="000F4E96"/>
    <w:rsid w:val="00117EE3"/>
    <w:rsid w:val="0012252A"/>
    <w:rsid w:val="0015337A"/>
    <w:rsid w:val="00164813"/>
    <w:rsid w:val="00164D29"/>
    <w:rsid w:val="001770D7"/>
    <w:rsid w:val="001B368B"/>
    <w:rsid w:val="001C05A1"/>
    <w:rsid w:val="001C3CCA"/>
    <w:rsid w:val="001C6DFE"/>
    <w:rsid w:val="001D1CD6"/>
    <w:rsid w:val="001D39A3"/>
    <w:rsid w:val="001D4724"/>
    <w:rsid w:val="0020726D"/>
    <w:rsid w:val="002174F6"/>
    <w:rsid w:val="00221A05"/>
    <w:rsid w:val="00221A85"/>
    <w:rsid w:val="00223D81"/>
    <w:rsid w:val="002326AF"/>
    <w:rsid w:val="00234D80"/>
    <w:rsid w:val="002561DB"/>
    <w:rsid w:val="0025701D"/>
    <w:rsid w:val="00260C45"/>
    <w:rsid w:val="00261ECC"/>
    <w:rsid w:val="00292868"/>
    <w:rsid w:val="002E0B93"/>
    <w:rsid w:val="002F306C"/>
    <w:rsid w:val="002F45B4"/>
    <w:rsid w:val="002F5BA6"/>
    <w:rsid w:val="00313FEB"/>
    <w:rsid w:val="00314534"/>
    <w:rsid w:val="00325345"/>
    <w:rsid w:val="0032556F"/>
    <w:rsid w:val="00335F20"/>
    <w:rsid w:val="00336A3D"/>
    <w:rsid w:val="003401AA"/>
    <w:rsid w:val="0034355D"/>
    <w:rsid w:val="003452E1"/>
    <w:rsid w:val="00345E7E"/>
    <w:rsid w:val="00352F40"/>
    <w:rsid w:val="00376431"/>
    <w:rsid w:val="003847FF"/>
    <w:rsid w:val="00391CC7"/>
    <w:rsid w:val="003A0654"/>
    <w:rsid w:val="003C3DE6"/>
    <w:rsid w:val="003C556C"/>
    <w:rsid w:val="003C7545"/>
    <w:rsid w:val="003C7BB3"/>
    <w:rsid w:val="003D1E5C"/>
    <w:rsid w:val="003F221D"/>
    <w:rsid w:val="003F534E"/>
    <w:rsid w:val="00413229"/>
    <w:rsid w:val="0042132B"/>
    <w:rsid w:val="004340DB"/>
    <w:rsid w:val="00456C81"/>
    <w:rsid w:val="004678B2"/>
    <w:rsid w:val="00482EA3"/>
    <w:rsid w:val="00497B46"/>
    <w:rsid w:val="004A0EFA"/>
    <w:rsid w:val="004B0128"/>
    <w:rsid w:val="004B3D93"/>
    <w:rsid w:val="004B41DB"/>
    <w:rsid w:val="004B502A"/>
    <w:rsid w:val="004C4A76"/>
    <w:rsid w:val="004D1CAE"/>
    <w:rsid w:val="004D5999"/>
    <w:rsid w:val="004D7248"/>
    <w:rsid w:val="004E4D10"/>
    <w:rsid w:val="004F1CD0"/>
    <w:rsid w:val="00510FD4"/>
    <w:rsid w:val="005164BF"/>
    <w:rsid w:val="005205FF"/>
    <w:rsid w:val="00521493"/>
    <w:rsid w:val="005223CA"/>
    <w:rsid w:val="00562660"/>
    <w:rsid w:val="00573872"/>
    <w:rsid w:val="00575D15"/>
    <w:rsid w:val="00581E81"/>
    <w:rsid w:val="00583A2F"/>
    <w:rsid w:val="00587BBA"/>
    <w:rsid w:val="00590769"/>
    <w:rsid w:val="005B0064"/>
    <w:rsid w:val="005B3236"/>
    <w:rsid w:val="005C0829"/>
    <w:rsid w:val="005D0436"/>
    <w:rsid w:val="005D365E"/>
    <w:rsid w:val="005E4D69"/>
    <w:rsid w:val="005F5FC3"/>
    <w:rsid w:val="00616343"/>
    <w:rsid w:val="00617072"/>
    <w:rsid w:val="00620243"/>
    <w:rsid w:val="00644DDD"/>
    <w:rsid w:val="006777B9"/>
    <w:rsid w:val="0068633F"/>
    <w:rsid w:val="00691C27"/>
    <w:rsid w:val="00696FF2"/>
    <w:rsid w:val="006A4060"/>
    <w:rsid w:val="006B456A"/>
    <w:rsid w:val="006C2DD0"/>
    <w:rsid w:val="006C419F"/>
    <w:rsid w:val="006D2631"/>
    <w:rsid w:val="006E05EA"/>
    <w:rsid w:val="006E2FEA"/>
    <w:rsid w:val="006E79E6"/>
    <w:rsid w:val="007004EF"/>
    <w:rsid w:val="00723097"/>
    <w:rsid w:val="00724117"/>
    <w:rsid w:val="007303F4"/>
    <w:rsid w:val="00734197"/>
    <w:rsid w:val="00740CFB"/>
    <w:rsid w:val="00741AA4"/>
    <w:rsid w:val="00742493"/>
    <w:rsid w:val="007524DC"/>
    <w:rsid w:val="007801C4"/>
    <w:rsid w:val="00785810"/>
    <w:rsid w:val="00791415"/>
    <w:rsid w:val="00791A99"/>
    <w:rsid w:val="00791F7C"/>
    <w:rsid w:val="007940EF"/>
    <w:rsid w:val="007A6E15"/>
    <w:rsid w:val="007B091F"/>
    <w:rsid w:val="007B43FB"/>
    <w:rsid w:val="007C6C90"/>
    <w:rsid w:val="007D1B14"/>
    <w:rsid w:val="007F479C"/>
    <w:rsid w:val="008053C0"/>
    <w:rsid w:val="0080616E"/>
    <w:rsid w:val="0080674D"/>
    <w:rsid w:val="008172DA"/>
    <w:rsid w:val="0082300A"/>
    <w:rsid w:val="008350FB"/>
    <w:rsid w:val="0084118F"/>
    <w:rsid w:val="008465D6"/>
    <w:rsid w:val="008573F8"/>
    <w:rsid w:val="00862F28"/>
    <w:rsid w:val="00864618"/>
    <w:rsid w:val="0088726F"/>
    <w:rsid w:val="00893AFF"/>
    <w:rsid w:val="008B1DED"/>
    <w:rsid w:val="008B5976"/>
    <w:rsid w:val="008C0A99"/>
    <w:rsid w:val="008C63C0"/>
    <w:rsid w:val="008D2137"/>
    <w:rsid w:val="008E06D6"/>
    <w:rsid w:val="008F01FE"/>
    <w:rsid w:val="008F0A2A"/>
    <w:rsid w:val="008F1514"/>
    <w:rsid w:val="00917EE0"/>
    <w:rsid w:val="00930B27"/>
    <w:rsid w:val="00931326"/>
    <w:rsid w:val="00942167"/>
    <w:rsid w:val="009479E9"/>
    <w:rsid w:val="00957B2D"/>
    <w:rsid w:val="00965380"/>
    <w:rsid w:val="00971157"/>
    <w:rsid w:val="00974C37"/>
    <w:rsid w:val="009C1F9E"/>
    <w:rsid w:val="009D485A"/>
    <w:rsid w:val="009E3E28"/>
    <w:rsid w:val="009E6810"/>
    <w:rsid w:val="009F3CBC"/>
    <w:rsid w:val="00A001F6"/>
    <w:rsid w:val="00A01406"/>
    <w:rsid w:val="00A059C6"/>
    <w:rsid w:val="00A05BDC"/>
    <w:rsid w:val="00A10254"/>
    <w:rsid w:val="00A116A1"/>
    <w:rsid w:val="00A25F98"/>
    <w:rsid w:val="00A26D19"/>
    <w:rsid w:val="00A318F0"/>
    <w:rsid w:val="00A402D4"/>
    <w:rsid w:val="00A40AD1"/>
    <w:rsid w:val="00A42286"/>
    <w:rsid w:val="00A46D15"/>
    <w:rsid w:val="00A507B5"/>
    <w:rsid w:val="00A5266A"/>
    <w:rsid w:val="00A60217"/>
    <w:rsid w:val="00A61485"/>
    <w:rsid w:val="00A75BE5"/>
    <w:rsid w:val="00A929EC"/>
    <w:rsid w:val="00A92CC8"/>
    <w:rsid w:val="00A94F81"/>
    <w:rsid w:val="00AB049E"/>
    <w:rsid w:val="00AC280D"/>
    <w:rsid w:val="00AC6817"/>
    <w:rsid w:val="00AF2E5B"/>
    <w:rsid w:val="00B113F7"/>
    <w:rsid w:val="00B20B5F"/>
    <w:rsid w:val="00B2174E"/>
    <w:rsid w:val="00B2613C"/>
    <w:rsid w:val="00B302B9"/>
    <w:rsid w:val="00B43429"/>
    <w:rsid w:val="00B56DF0"/>
    <w:rsid w:val="00B676E2"/>
    <w:rsid w:val="00B73709"/>
    <w:rsid w:val="00B75065"/>
    <w:rsid w:val="00B76E39"/>
    <w:rsid w:val="00B94590"/>
    <w:rsid w:val="00B94E7E"/>
    <w:rsid w:val="00B96EA7"/>
    <w:rsid w:val="00BA5256"/>
    <w:rsid w:val="00BA6825"/>
    <w:rsid w:val="00BB184C"/>
    <w:rsid w:val="00BB23E2"/>
    <w:rsid w:val="00BC6ADB"/>
    <w:rsid w:val="00BE0685"/>
    <w:rsid w:val="00BE4983"/>
    <w:rsid w:val="00BE7201"/>
    <w:rsid w:val="00C209B8"/>
    <w:rsid w:val="00C2474E"/>
    <w:rsid w:val="00C31A48"/>
    <w:rsid w:val="00C35467"/>
    <w:rsid w:val="00C477BC"/>
    <w:rsid w:val="00C512D7"/>
    <w:rsid w:val="00C52DF5"/>
    <w:rsid w:val="00C62B7C"/>
    <w:rsid w:val="00C63010"/>
    <w:rsid w:val="00CA18FD"/>
    <w:rsid w:val="00CC17BF"/>
    <w:rsid w:val="00CC6760"/>
    <w:rsid w:val="00CD75CE"/>
    <w:rsid w:val="00CE5189"/>
    <w:rsid w:val="00CE53CD"/>
    <w:rsid w:val="00CF34F2"/>
    <w:rsid w:val="00CF6421"/>
    <w:rsid w:val="00D04CF2"/>
    <w:rsid w:val="00D235AD"/>
    <w:rsid w:val="00D329DF"/>
    <w:rsid w:val="00D337B8"/>
    <w:rsid w:val="00D37AF8"/>
    <w:rsid w:val="00D45B4B"/>
    <w:rsid w:val="00D5251B"/>
    <w:rsid w:val="00D52711"/>
    <w:rsid w:val="00D67C44"/>
    <w:rsid w:val="00D71F7E"/>
    <w:rsid w:val="00D72EA0"/>
    <w:rsid w:val="00D73383"/>
    <w:rsid w:val="00D818E9"/>
    <w:rsid w:val="00D905E4"/>
    <w:rsid w:val="00DA22BD"/>
    <w:rsid w:val="00DA7071"/>
    <w:rsid w:val="00DB54AF"/>
    <w:rsid w:val="00DC1D74"/>
    <w:rsid w:val="00DE0A4F"/>
    <w:rsid w:val="00DF5A34"/>
    <w:rsid w:val="00DF5C0B"/>
    <w:rsid w:val="00E2685F"/>
    <w:rsid w:val="00E27066"/>
    <w:rsid w:val="00E44803"/>
    <w:rsid w:val="00E474AB"/>
    <w:rsid w:val="00E5337C"/>
    <w:rsid w:val="00E57176"/>
    <w:rsid w:val="00E60FB0"/>
    <w:rsid w:val="00E6279C"/>
    <w:rsid w:val="00E86BAA"/>
    <w:rsid w:val="00EB1058"/>
    <w:rsid w:val="00EB210F"/>
    <w:rsid w:val="00EB34F8"/>
    <w:rsid w:val="00EB6633"/>
    <w:rsid w:val="00EC02B5"/>
    <w:rsid w:val="00EC117E"/>
    <w:rsid w:val="00EC1C18"/>
    <w:rsid w:val="00EC2652"/>
    <w:rsid w:val="00ED4D38"/>
    <w:rsid w:val="00EE23D7"/>
    <w:rsid w:val="00EE36FE"/>
    <w:rsid w:val="00EF0483"/>
    <w:rsid w:val="00F15D57"/>
    <w:rsid w:val="00F16F11"/>
    <w:rsid w:val="00F27803"/>
    <w:rsid w:val="00F32BB5"/>
    <w:rsid w:val="00F3317F"/>
    <w:rsid w:val="00F341B2"/>
    <w:rsid w:val="00F503B3"/>
    <w:rsid w:val="00F61912"/>
    <w:rsid w:val="00FA079A"/>
    <w:rsid w:val="00FA58E3"/>
    <w:rsid w:val="00FB3E39"/>
    <w:rsid w:val="00FD0C9B"/>
    <w:rsid w:val="00FE3E11"/>
    <w:rsid w:val="00FE725E"/>
    <w:rsid w:val="00FF0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F6F0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20"/>
        <w:ind w:left="36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A48"/>
    <w:pPr>
      <w:autoSpaceDE w:val="0"/>
      <w:autoSpaceDN w:val="0"/>
      <w:adjustRightInd w:val="0"/>
      <w:spacing w:after="240"/>
      <w:ind w:left="0" w:firstLine="720"/>
    </w:pPr>
    <w:rPr>
      <w:rFonts w:ascii="Times New Roman" w:eastAsiaTheme="minorHAnsi" w:hAnsi="Times New Roman" w:cs="Times New Roman"/>
      <w:sz w:val="24"/>
      <w:szCs w:val="24"/>
    </w:rPr>
  </w:style>
  <w:style w:type="paragraph" w:styleId="Heading1">
    <w:name w:val="heading 1"/>
    <w:basedOn w:val="Heading2"/>
    <w:next w:val="Normal"/>
    <w:link w:val="Heading1Char"/>
    <w:qFormat/>
    <w:rsid w:val="00DE0A4F"/>
    <w:pPr>
      <w:spacing w:before="120" w:after="240" w:line="240" w:lineRule="auto"/>
      <w:outlineLvl w:val="0"/>
    </w:pPr>
    <w:rPr>
      <w:rFonts w:ascii="Times New Roman" w:hAnsi="Times New Roman" w:cs="Times New Roman"/>
      <w:color w:val="auto"/>
      <w:sz w:val="24"/>
      <w:szCs w:val="24"/>
    </w:rPr>
  </w:style>
  <w:style w:type="paragraph" w:styleId="Heading2">
    <w:name w:val="heading 2"/>
    <w:basedOn w:val="Normal"/>
    <w:next w:val="Normal"/>
    <w:link w:val="Heading2Char"/>
    <w:uiPriority w:val="9"/>
    <w:unhideWhenUsed/>
    <w:qFormat/>
    <w:rsid w:val="00C31A48"/>
    <w:pPr>
      <w:keepNext/>
      <w:keepLines/>
      <w:numPr>
        <w:ilvl w:val="1"/>
        <w:numId w:val="3"/>
      </w:numPr>
      <w:autoSpaceDE/>
      <w:autoSpaceDN/>
      <w:adjustRightInd/>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1A48"/>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1A48"/>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1A48"/>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1A4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1A4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1A4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31A4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209B8"/>
  </w:style>
  <w:style w:type="paragraph" w:styleId="Header">
    <w:name w:val="header"/>
    <w:basedOn w:val="Normal"/>
    <w:link w:val="HeaderChar"/>
    <w:uiPriority w:val="99"/>
    <w:unhideWhenUsed/>
    <w:rsid w:val="00C209B8"/>
    <w:pPr>
      <w:tabs>
        <w:tab w:val="center" w:pos="4680"/>
        <w:tab w:val="right" w:pos="9360"/>
      </w:tabs>
      <w:autoSpaceDE/>
      <w:autoSpaceDN/>
      <w:adjustRightInd/>
      <w:spacing w:after="0"/>
    </w:pPr>
    <w:rPr>
      <w:rFonts w:ascii="Courier New" w:eastAsia="Calibri" w:hAnsi="Courier New"/>
      <w:szCs w:val="22"/>
    </w:rPr>
  </w:style>
  <w:style w:type="character" w:customStyle="1" w:styleId="HeaderChar">
    <w:name w:val="Header Char"/>
    <w:basedOn w:val="DefaultParagraphFont"/>
    <w:link w:val="Header"/>
    <w:uiPriority w:val="99"/>
    <w:rsid w:val="00C209B8"/>
    <w:rPr>
      <w:rFonts w:ascii="Courier New" w:hAnsi="Courier New" w:cs="Times New Roman"/>
      <w:sz w:val="24"/>
    </w:rPr>
  </w:style>
  <w:style w:type="paragraph" w:styleId="Footer">
    <w:name w:val="footer"/>
    <w:basedOn w:val="Normal"/>
    <w:link w:val="FooterChar"/>
    <w:uiPriority w:val="99"/>
    <w:unhideWhenUsed/>
    <w:rsid w:val="00C209B8"/>
    <w:pPr>
      <w:tabs>
        <w:tab w:val="center" w:pos="4680"/>
        <w:tab w:val="right" w:pos="9360"/>
      </w:tabs>
      <w:autoSpaceDE/>
      <w:autoSpaceDN/>
      <w:adjustRightInd/>
      <w:spacing w:after="0"/>
    </w:pPr>
    <w:rPr>
      <w:rFonts w:ascii="Courier New" w:eastAsia="Calibri" w:hAnsi="Courier New"/>
      <w:szCs w:val="22"/>
    </w:rPr>
  </w:style>
  <w:style w:type="character" w:customStyle="1" w:styleId="FooterChar">
    <w:name w:val="Footer Char"/>
    <w:basedOn w:val="DefaultParagraphFont"/>
    <w:link w:val="Footer"/>
    <w:uiPriority w:val="99"/>
    <w:rsid w:val="00C209B8"/>
    <w:rPr>
      <w:rFonts w:ascii="Courier New" w:hAnsi="Courier New" w:cs="Times New Roman"/>
      <w:sz w:val="24"/>
    </w:rPr>
  </w:style>
  <w:style w:type="paragraph" w:styleId="BalloonText">
    <w:name w:val="Balloon Text"/>
    <w:basedOn w:val="Normal"/>
    <w:link w:val="BalloonTextChar"/>
    <w:uiPriority w:val="99"/>
    <w:semiHidden/>
    <w:unhideWhenUsed/>
    <w:rsid w:val="00C209B8"/>
    <w:pPr>
      <w:autoSpaceDE/>
      <w:autoSpaceDN/>
      <w:adjustRightInd/>
      <w:spacing w:after="200"/>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9B8"/>
    <w:rPr>
      <w:rFonts w:ascii="Tahoma" w:hAnsi="Tahoma" w:cs="Tahoma"/>
      <w:sz w:val="16"/>
      <w:szCs w:val="16"/>
    </w:rPr>
  </w:style>
  <w:style w:type="character" w:styleId="Hyperlink">
    <w:name w:val="Hyperlink"/>
    <w:basedOn w:val="DefaultParagraphFont"/>
    <w:unhideWhenUsed/>
    <w:rsid w:val="00C209B8"/>
    <w:rPr>
      <w:color w:val="0000FF"/>
      <w:u w:val="single"/>
    </w:rPr>
  </w:style>
  <w:style w:type="paragraph" w:customStyle="1" w:styleId="AddressBlockArial">
    <w:name w:val="Address Block (Arial)"/>
    <w:basedOn w:val="Normal"/>
    <w:uiPriority w:val="99"/>
    <w:rsid w:val="00C209B8"/>
    <w:pPr>
      <w:autoSpaceDE/>
      <w:autoSpaceDN/>
      <w:adjustRightInd/>
      <w:spacing w:after="0" w:line="220" w:lineRule="exact"/>
      <w:ind w:left="130" w:hanging="130"/>
      <w:jc w:val="left"/>
    </w:pPr>
    <w:rPr>
      <w:rFonts w:ascii="Arial" w:hAnsi="Arial" w:cs="Arial"/>
      <w:sz w:val="15"/>
      <w:szCs w:val="15"/>
    </w:rPr>
  </w:style>
  <w:style w:type="table" w:styleId="TableGrid">
    <w:name w:val="Table Grid"/>
    <w:basedOn w:val="TableNormal"/>
    <w:uiPriority w:val="59"/>
    <w:rsid w:val="003C55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8B2"/>
    <w:pPr>
      <w:autoSpaceDE/>
      <w:autoSpaceDN/>
      <w:adjustRightInd/>
      <w:spacing w:after="0" w:line="480" w:lineRule="auto"/>
      <w:ind w:left="720"/>
      <w:contextualSpacing/>
    </w:pPr>
    <w:rPr>
      <w:rFonts w:ascii="Courier New" w:eastAsia="Calibri" w:hAnsi="Courier New"/>
      <w:szCs w:val="22"/>
    </w:rPr>
  </w:style>
  <w:style w:type="paragraph" w:styleId="NormalWeb">
    <w:name w:val="Normal (Web)"/>
    <w:basedOn w:val="Normal"/>
    <w:uiPriority w:val="99"/>
    <w:semiHidden/>
    <w:unhideWhenUsed/>
    <w:rsid w:val="00734197"/>
    <w:pPr>
      <w:spacing w:before="100" w:beforeAutospacing="1" w:after="100" w:afterAutospacing="1"/>
    </w:pPr>
    <w:rPr>
      <w:rFonts w:eastAsia="Times New Roman"/>
    </w:rPr>
  </w:style>
  <w:style w:type="character" w:styleId="Strong">
    <w:name w:val="Strong"/>
    <w:basedOn w:val="DefaultParagraphFont"/>
    <w:qFormat/>
    <w:rsid w:val="009F3CBC"/>
    <w:rPr>
      <w:b/>
      <w:bCs/>
    </w:rPr>
  </w:style>
  <w:style w:type="character" w:customStyle="1" w:styleId="Heading1Char">
    <w:name w:val="Heading 1 Char"/>
    <w:basedOn w:val="DefaultParagraphFont"/>
    <w:link w:val="Heading1"/>
    <w:rsid w:val="00DE0A4F"/>
    <w:rPr>
      <w:rFonts w:ascii="Times New Roman" w:eastAsiaTheme="majorEastAsia" w:hAnsi="Times New Roman" w:cs="Times New Roman"/>
      <w:b/>
      <w:bCs/>
      <w:sz w:val="24"/>
      <w:szCs w:val="24"/>
    </w:rPr>
  </w:style>
  <w:style w:type="character" w:styleId="FootnoteReference">
    <w:name w:val="footnote reference"/>
    <w:uiPriority w:val="99"/>
    <w:rsid w:val="00A26D19"/>
    <w:rPr>
      <w:vertAlign w:val="superscript"/>
    </w:rPr>
  </w:style>
  <w:style w:type="paragraph" w:styleId="FootnoteText">
    <w:name w:val="footnote text"/>
    <w:basedOn w:val="Normal"/>
    <w:link w:val="FootnoteTextChar"/>
    <w:uiPriority w:val="99"/>
    <w:rsid w:val="00A26D19"/>
    <w:pPr>
      <w:suppressAutoHyphens/>
      <w:autoSpaceDE/>
      <w:autoSpaceDN/>
      <w:adjustRightInd/>
      <w:spacing w:after="0"/>
      <w:ind w:firstLine="0"/>
      <w:jc w:val="left"/>
    </w:pPr>
    <w:rPr>
      <w:rFonts w:eastAsia="Times New Roman"/>
      <w:sz w:val="20"/>
      <w:szCs w:val="20"/>
      <w:lang w:eastAsia="ar-SA"/>
    </w:rPr>
  </w:style>
  <w:style w:type="character" w:customStyle="1" w:styleId="FootnoteTextChar">
    <w:name w:val="Footnote Text Char"/>
    <w:basedOn w:val="DefaultParagraphFont"/>
    <w:link w:val="FootnoteText"/>
    <w:uiPriority w:val="99"/>
    <w:rsid w:val="00A26D19"/>
    <w:rPr>
      <w:rFonts w:ascii="Times New Roman" w:eastAsia="Times New Roman" w:hAnsi="Times New Roman" w:cs="Times New Roman"/>
      <w:sz w:val="20"/>
      <w:szCs w:val="20"/>
      <w:lang w:eastAsia="ar-SA"/>
    </w:rPr>
  </w:style>
  <w:style w:type="character" w:customStyle="1" w:styleId="st">
    <w:name w:val="st"/>
    <w:basedOn w:val="DefaultParagraphFont"/>
    <w:rsid w:val="00A26D19"/>
  </w:style>
  <w:style w:type="character" w:styleId="Emphasis">
    <w:name w:val="Emphasis"/>
    <w:basedOn w:val="DefaultParagraphFont"/>
    <w:uiPriority w:val="20"/>
    <w:qFormat/>
    <w:rsid w:val="00FD0C9B"/>
    <w:rPr>
      <w:rFonts w:ascii="Verdana" w:hAnsi="Verdana" w:hint="default"/>
      <w:i/>
      <w:iCs/>
      <w:sz w:val="20"/>
      <w:szCs w:val="20"/>
    </w:rPr>
  </w:style>
  <w:style w:type="paragraph" w:customStyle="1" w:styleId="Default">
    <w:name w:val="Default"/>
    <w:rsid w:val="00FD0C9B"/>
    <w:pPr>
      <w:autoSpaceDE w:val="0"/>
      <w:autoSpaceDN w:val="0"/>
      <w:adjustRightInd w:val="0"/>
      <w:spacing w:after="0"/>
      <w:ind w:left="0"/>
      <w:jc w:val="left"/>
    </w:pPr>
    <w:rPr>
      <w:rFonts w:ascii="Courier New" w:eastAsiaTheme="minorHAnsi" w:hAnsi="Courier New" w:cs="Courier New"/>
      <w:color w:val="000000"/>
      <w:sz w:val="24"/>
      <w:szCs w:val="24"/>
    </w:rPr>
  </w:style>
  <w:style w:type="paragraph" w:styleId="Quote">
    <w:name w:val="Quote"/>
    <w:basedOn w:val="Normal"/>
    <w:next w:val="Normal"/>
    <w:link w:val="QuoteChar"/>
    <w:uiPriority w:val="29"/>
    <w:qFormat/>
    <w:rsid w:val="00FD0C9B"/>
    <w:pPr>
      <w:autoSpaceDE/>
      <w:autoSpaceDN/>
      <w:adjustRightInd/>
      <w:ind w:left="720" w:right="864" w:firstLine="0"/>
    </w:pPr>
    <w:rPr>
      <w:iCs/>
      <w:color w:val="000000" w:themeColor="text1"/>
    </w:rPr>
  </w:style>
  <w:style w:type="character" w:customStyle="1" w:styleId="QuoteChar">
    <w:name w:val="Quote Char"/>
    <w:basedOn w:val="DefaultParagraphFont"/>
    <w:link w:val="Quote"/>
    <w:uiPriority w:val="29"/>
    <w:rsid w:val="00FD0C9B"/>
    <w:rPr>
      <w:rFonts w:ascii="Times New Roman" w:eastAsiaTheme="minorHAnsi" w:hAnsi="Times New Roman" w:cs="Times New Roman"/>
      <w:iCs/>
      <w:color w:val="000000" w:themeColor="text1"/>
      <w:sz w:val="24"/>
      <w:szCs w:val="24"/>
    </w:rPr>
  </w:style>
  <w:style w:type="character" w:customStyle="1" w:styleId="Heading2Char">
    <w:name w:val="Heading 2 Char"/>
    <w:basedOn w:val="DefaultParagraphFont"/>
    <w:link w:val="Heading2"/>
    <w:uiPriority w:val="9"/>
    <w:rsid w:val="00C31A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1A4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C31A48"/>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C31A4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C31A4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C31A4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C31A4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31A48"/>
    <w:rPr>
      <w:rFonts w:asciiTheme="majorHAnsi" w:eastAsiaTheme="majorEastAsia" w:hAnsiTheme="majorHAnsi" w:cstheme="majorBidi"/>
      <w:i/>
      <w:iCs/>
      <w:color w:val="404040" w:themeColor="text1" w:themeTint="BF"/>
      <w:sz w:val="20"/>
      <w:szCs w:val="20"/>
    </w:rPr>
  </w:style>
  <w:style w:type="character" w:customStyle="1" w:styleId="object">
    <w:name w:val="object"/>
    <w:basedOn w:val="DefaultParagraphFont"/>
    <w:rsid w:val="008B1DED"/>
  </w:style>
  <w:style w:type="character" w:styleId="CommentReference">
    <w:name w:val="annotation reference"/>
    <w:basedOn w:val="DefaultParagraphFont"/>
    <w:uiPriority w:val="99"/>
    <w:semiHidden/>
    <w:unhideWhenUsed/>
    <w:rsid w:val="00A059C6"/>
    <w:rPr>
      <w:sz w:val="16"/>
      <w:szCs w:val="16"/>
    </w:rPr>
  </w:style>
  <w:style w:type="paragraph" w:styleId="CommentText">
    <w:name w:val="annotation text"/>
    <w:basedOn w:val="Normal"/>
    <w:link w:val="CommentTextChar"/>
    <w:uiPriority w:val="99"/>
    <w:semiHidden/>
    <w:unhideWhenUsed/>
    <w:rsid w:val="00A059C6"/>
    <w:pPr>
      <w:widowControl w:val="0"/>
      <w:autoSpaceDE/>
      <w:autoSpaceDN/>
      <w:adjustRightInd/>
      <w:spacing w:after="200"/>
      <w:ind w:firstLine="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059C6"/>
    <w:rPr>
      <w:rFonts w:eastAsiaTheme="minorHAnsi"/>
      <w:sz w:val="20"/>
      <w:szCs w:val="20"/>
    </w:rPr>
  </w:style>
  <w:style w:type="paragraph" w:styleId="HTMLPreformatted">
    <w:name w:val="HTML Preformatted"/>
    <w:basedOn w:val="Normal"/>
    <w:link w:val="HTMLPreformattedChar"/>
    <w:uiPriority w:val="99"/>
    <w:unhideWhenUsed/>
    <w:rsid w:val="00E27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27066"/>
    <w:rPr>
      <w:rFonts w:ascii="Courier New" w:eastAsia="Times New Roman" w:hAnsi="Courier New" w:cs="Courier New"/>
      <w:sz w:val="20"/>
      <w:szCs w:val="20"/>
    </w:rPr>
  </w:style>
  <w:style w:type="character" w:customStyle="1" w:styleId="apple-converted-space">
    <w:name w:val="apple-converted-space"/>
    <w:basedOn w:val="DefaultParagraphFont"/>
    <w:rsid w:val="00575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5824">
      <w:bodyDiv w:val="1"/>
      <w:marLeft w:val="0"/>
      <w:marRight w:val="0"/>
      <w:marTop w:val="0"/>
      <w:marBottom w:val="0"/>
      <w:divBdr>
        <w:top w:val="none" w:sz="0" w:space="0" w:color="auto"/>
        <w:left w:val="none" w:sz="0" w:space="0" w:color="auto"/>
        <w:bottom w:val="none" w:sz="0" w:space="0" w:color="auto"/>
        <w:right w:val="none" w:sz="0" w:space="0" w:color="auto"/>
      </w:divBdr>
      <w:divsChild>
        <w:div w:id="1829980839">
          <w:marLeft w:val="0"/>
          <w:marRight w:val="0"/>
          <w:marTop w:val="0"/>
          <w:marBottom w:val="0"/>
          <w:divBdr>
            <w:top w:val="none" w:sz="0" w:space="0" w:color="auto"/>
            <w:left w:val="none" w:sz="0" w:space="0" w:color="auto"/>
            <w:bottom w:val="none" w:sz="0" w:space="0" w:color="auto"/>
            <w:right w:val="none" w:sz="0" w:space="0" w:color="auto"/>
          </w:divBdr>
          <w:divsChild>
            <w:div w:id="98530545">
              <w:marLeft w:val="0"/>
              <w:marRight w:val="0"/>
              <w:marTop w:val="0"/>
              <w:marBottom w:val="0"/>
              <w:divBdr>
                <w:top w:val="none" w:sz="0" w:space="0" w:color="auto"/>
                <w:left w:val="none" w:sz="0" w:space="0" w:color="auto"/>
                <w:bottom w:val="none" w:sz="0" w:space="0" w:color="auto"/>
                <w:right w:val="none" w:sz="0" w:space="0" w:color="auto"/>
              </w:divBdr>
              <w:divsChild>
                <w:div w:id="126359207">
                  <w:marLeft w:val="0"/>
                  <w:marRight w:val="0"/>
                  <w:marTop w:val="0"/>
                  <w:marBottom w:val="0"/>
                  <w:divBdr>
                    <w:top w:val="none" w:sz="0" w:space="0" w:color="auto"/>
                    <w:left w:val="none" w:sz="0" w:space="0" w:color="auto"/>
                    <w:bottom w:val="none" w:sz="0" w:space="0" w:color="auto"/>
                    <w:right w:val="none" w:sz="0" w:space="0" w:color="auto"/>
                  </w:divBdr>
                  <w:divsChild>
                    <w:div w:id="56175773">
                      <w:marLeft w:val="0"/>
                      <w:marRight w:val="0"/>
                      <w:marTop w:val="0"/>
                      <w:marBottom w:val="0"/>
                      <w:divBdr>
                        <w:top w:val="none" w:sz="0" w:space="0" w:color="auto"/>
                        <w:left w:val="none" w:sz="0" w:space="0" w:color="auto"/>
                        <w:bottom w:val="none" w:sz="0" w:space="0" w:color="auto"/>
                        <w:right w:val="none" w:sz="0" w:space="0" w:color="auto"/>
                      </w:divBdr>
                      <w:divsChild>
                        <w:div w:id="1097405251">
                          <w:marLeft w:val="0"/>
                          <w:marRight w:val="0"/>
                          <w:marTop w:val="0"/>
                          <w:marBottom w:val="0"/>
                          <w:divBdr>
                            <w:top w:val="none" w:sz="0" w:space="0" w:color="auto"/>
                            <w:left w:val="none" w:sz="0" w:space="0" w:color="auto"/>
                            <w:bottom w:val="none" w:sz="0" w:space="0" w:color="auto"/>
                            <w:right w:val="none" w:sz="0" w:space="0" w:color="auto"/>
                          </w:divBdr>
                          <w:divsChild>
                            <w:div w:id="1779250056">
                              <w:marLeft w:val="0"/>
                              <w:marRight w:val="0"/>
                              <w:marTop w:val="0"/>
                              <w:marBottom w:val="0"/>
                              <w:divBdr>
                                <w:top w:val="none" w:sz="0" w:space="0" w:color="auto"/>
                                <w:left w:val="none" w:sz="0" w:space="0" w:color="auto"/>
                                <w:bottom w:val="none" w:sz="0" w:space="0" w:color="auto"/>
                                <w:right w:val="none" w:sz="0" w:space="0" w:color="auto"/>
                              </w:divBdr>
                            </w:div>
                            <w:div w:id="4496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944939">
      <w:bodyDiv w:val="1"/>
      <w:marLeft w:val="0"/>
      <w:marRight w:val="0"/>
      <w:marTop w:val="0"/>
      <w:marBottom w:val="0"/>
      <w:divBdr>
        <w:top w:val="none" w:sz="0" w:space="0" w:color="auto"/>
        <w:left w:val="none" w:sz="0" w:space="0" w:color="auto"/>
        <w:bottom w:val="none" w:sz="0" w:space="0" w:color="auto"/>
        <w:right w:val="none" w:sz="0" w:space="0" w:color="auto"/>
      </w:divBdr>
    </w:div>
    <w:div w:id="576093865">
      <w:bodyDiv w:val="1"/>
      <w:marLeft w:val="0"/>
      <w:marRight w:val="0"/>
      <w:marTop w:val="0"/>
      <w:marBottom w:val="0"/>
      <w:divBdr>
        <w:top w:val="none" w:sz="0" w:space="0" w:color="auto"/>
        <w:left w:val="none" w:sz="0" w:space="0" w:color="auto"/>
        <w:bottom w:val="none" w:sz="0" w:space="0" w:color="auto"/>
        <w:right w:val="none" w:sz="0" w:space="0" w:color="auto"/>
      </w:divBdr>
      <w:divsChild>
        <w:div w:id="143160336">
          <w:marLeft w:val="0"/>
          <w:marRight w:val="0"/>
          <w:marTop w:val="0"/>
          <w:marBottom w:val="0"/>
          <w:divBdr>
            <w:top w:val="none" w:sz="0" w:space="0" w:color="auto"/>
            <w:left w:val="none" w:sz="0" w:space="0" w:color="auto"/>
            <w:bottom w:val="none" w:sz="0" w:space="0" w:color="auto"/>
            <w:right w:val="none" w:sz="0" w:space="0" w:color="auto"/>
          </w:divBdr>
          <w:divsChild>
            <w:div w:id="1997301681">
              <w:marLeft w:val="0"/>
              <w:marRight w:val="0"/>
              <w:marTop w:val="0"/>
              <w:marBottom w:val="0"/>
              <w:divBdr>
                <w:top w:val="none" w:sz="0" w:space="0" w:color="auto"/>
                <w:left w:val="none" w:sz="0" w:space="0" w:color="auto"/>
                <w:bottom w:val="none" w:sz="0" w:space="0" w:color="auto"/>
                <w:right w:val="none" w:sz="0" w:space="0" w:color="auto"/>
              </w:divBdr>
              <w:divsChild>
                <w:div w:id="957682472">
                  <w:marLeft w:val="0"/>
                  <w:marRight w:val="0"/>
                  <w:marTop w:val="0"/>
                  <w:marBottom w:val="0"/>
                  <w:divBdr>
                    <w:top w:val="none" w:sz="0" w:space="0" w:color="auto"/>
                    <w:left w:val="none" w:sz="0" w:space="0" w:color="auto"/>
                    <w:bottom w:val="none" w:sz="0" w:space="0" w:color="auto"/>
                    <w:right w:val="none" w:sz="0" w:space="0" w:color="auto"/>
                  </w:divBdr>
                  <w:divsChild>
                    <w:div w:id="62758941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35526898">
      <w:bodyDiv w:val="1"/>
      <w:marLeft w:val="0"/>
      <w:marRight w:val="0"/>
      <w:marTop w:val="0"/>
      <w:marBottom w:val="0"/>
      <w:divBdr>
        <w:top w:val="none" w:sz="0" w:space="0" w:color="auto"/>
        <w:left w:val="none" w:sz="0" w:space="0" w:color="auto"/>
        <w:bottom w:val="none" w:sz="0" w:space="0" w:color="auto"/>
        <w:right w:val="none" w:sz="0" w:space="0" w:color="auto"/>
      </w:divBdr>
    </w:div>
    <w:div w:id="1360273977">
      <w:bodyDiv w:val="1"/>
      <w:marLeft w:val="0"/>
      <w:marRight w:val="0"/>
      <w:marTop w:val="0"/>
      <w:marBottom w:val="0"/>
      <w:divBdr>
        <w:top w:val="none" w:sz="0" w:space="0" w:color="auto"/>
        <w:left w:val="none" w:sz="0" w:space="0" w:color="auto"/>
        <w:bottom w:val="none" w:sz="0" w:space="0" w:color="auto"/>
        <w:right w:val="none" w:sz="0" w:space="0" w:color="auto"/>
      </w:divBdr>
    </w:div>
    <w:div w:id="1619990176">
      <w:bodyDiv w:val="1"/>
      <w:marLeft w:val="0"/>
      <w:marRight w:val="0"/>
      <w:marTop w:val="0"/>
      <w:marBottom w:val="0"/>
      <w:divBdr>
        <w:top w:val="none" w:sz="0" w:space="0" w:color="auto"/>
        <w:left w:val="none" w:sz="0" w:space="0" w:color="auto"/>
        <w:bottom w:val="none" w:sz="0" w:space="0" w:color="auto"/>
        <w:right w:val="none" w:sz="0" w:space="0" w:color="auto"/>
      </w:divBdr>
    </w:div>
    <w:div w:id="1624768827">
      <w:bodyDiv w:val="1"/>
      <w:marLeft w:val="0"/>
      <w:marRight w:val="0"/>
      <w:marTop w:val="0"/>
      <w:marBottom w:val="0"/>
      <w:divBdr>
        <w:top w:val="none" w:sz="0" w:space="0" w:color="auto"/>
        <w:left w:val="none" w:sz="0" w:space="0" w:color="auto"/>
        <w:bottom w:val="none" w:sz="0" w:space="0" w:color="auto"/>
        <w:right w:val="none" w:sz="0" w:space="0" w:color="auto"/>
      </w:divBdr>
    </w:div>
    <w:div w:id="1688479557">
      <w:bodyDiv w:val="1"/>
      <w:marLeft w:val="0"/>
      <w:marRight w:val="0"/>
      <w:marTop w:val="0"/>
      <w:marBottom w:val="0"/>
      <w:divBdr>
        <w:top w:val="none" w:sz="0" w:space="0" w:color="auto"/>
        <w:left w:val="none" w:sz="0" w:space="0" w:color="auto"/>
        <w:bottom w:val="none" w:sz="0" w:space="0" w:color="auto"/>
        <w:right w:val="none" w:sz="0" w:space="0" w:color="auto"/>
      </w:divBdr>
      <w:divsChild>
        <w:div w:id="318072214">
          <w:marLeft w:val="0"/>
          <w:marRight w:val="0"/>
          <w:marTop w:val="0"/>
          <w:marBottom w:val="0"/>
          <w:divBdr>
            <w:top w:val="none" w:sz="0" w:space="0" w:color="auto"/>
            <w:left w:val="none" w:sz="0" w:space="0" w:color="auto"/>
            <w:bottom w:val="none" w:sz="0" w:space="0" w:color="auto"/>
            <w:right w:val="none" w:sz="0" w:space="0" w:color="auto"/>
          </w:divBdr>
          <w:divsChild>
            <w:div w:id="2046054132">
              <w:marLeft w:val="0"/>
              <w:marRight w:val="0"/>
              <w:marTop w:val="0"/>
              <w:marBottom w:val="0"/>
              <w:divBdr>
                <w:top w:val="none" w:sz="0" w:space="0" w:color="auto"/>
                <w:left w:val="none" w:sz="0" w:space="0" w:color="auto"/>
                <w:bottom w:val="none" w:sz="0" w:space="0" w:color="auto"/>
                <w:right w:val="none" w:sz="0" w:space="0" w:color="auto"/>
              </w:divBdr>
              <w:divsChild>
                <w:div w:id="13698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91426">
      <w:bodyDiv w:val="1"/>
      <w:marLeft w:val="0"/>
      <w:marRight w:val="0"/>
      <w:marTop w:val="0"/>
      <w:marBottom w:val="0"/>
      <w:divBdr>
        <w:top w:val="none" w:sz="0" w:space="0" w:color="auto"/>
        <w:left w:val="none" w:sz="0" w:space="0" w:color="auto"/>
        <w:bottom w:val="none" w:sz="0" w:space="0" w:color="auto"/>
        <w:right w:val="none" w:sz="0" w:space="0" w:color="auto"/>
      </w:divBdr>
    </w:div>
    <w:div w:id="2011565517">
      <w:bodyDiv w:val="1"/>
      <w:marLeft w:val="0"/>
      <w:marRight w:val="0"/>
      <w:marTop w:val="0"/>
      <w:marBottom w:val="0"/>
      <w:divBdr>
        <w:top w:val="none" w:sz="0" w:space="0" w:color="auto"/>
        <w:left w:val="none" w:sz="0" w:space="0" w:color="auto"/>
        <w:bottom w:val="none" w:sz="0" w:space="0" w:color="auto"/>
        <w:right w:val="none" w:sz="0" w:space="0" w:color="auto"/>
      </w:divBdr>
    </w:div>
    <w:div w:id="21236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l-databases.icrc.org/applic/ihl/ihl.nsf/Comment.xsp?action=openDocument&amp;documentId=D80D14D84BF36B92C12563CD00434FBD"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http://www.achpr.org/files/instruments/general-comments-right-to-life/general_comment_no_3_english.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40DD65-B2BE-4C05-AB68-03F6CE2879EC}">
  <ds:schemaRefs>
    <ds:schemaRef ds:uri="http://schemas.openxmlformats.org/officeDocument/2006/bibliography"/>
  </ds:schemaRefs>
</ds:datastoreItem>
</file>

<file path=customXml/itemProps2.xml><?xml version="1.0" encoding="utf-8"?>
<ds:datastoreItem xmlns:ds="http://schemas.openxmlformats.org/officeDocument/2006/customXml" ds:itemID="{7BECD2A6-8347-4EAA-8F9A-64D484D12A6E}"/>
</file>

<file path=customXml/itemProps3.xml><?xml version="1.0" encoding="utf-8"?>
<ds:datastoreItem xmlns:ds="http://schemas.openxmlformats.org/officeDocument/2006/customXml" ds:itemID="{1254EBE8-9811-405B-A7C8-C1333CCF84B5}"/>
</file>

<file path=customXml/itemProps4.xml><?xml version="1.0" encoding="utf-8"?>
<ds:datastoreItem xmlns:ds="http://schemas.openxmlformats.org/officeDocument/2006/customXml" ds:itemID="{6369E712-C574-441C-B6C6-8113E892CACA}"/>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rchen</dc:creator>
  <cp:lastModifiedBy>Durnescu Lilian</cp:lastModifiedBy>
  <cp:revision>2</cp:revision>
  <cp:lastPrinted>2015-11-03T19:31:00Z</cp:lastPrinted>
  <dcterms:created xsi:type="dcterms:W3CDTF">2017-10-06T13:38:00Z</dcterms:created>
  <dcterms:modified xsi:type="dcterms:W3CDTF">2017-10-06T13:38:00Z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