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7BD" w:rsidRDefault="003717BD" w:rsidP="003717BD">
      <w:pPr>
        <w:spacing w:after="0" w:line="276" w:lineRule="auto"/>
        <w:jc w:val="center"/>
        <w:rPr>
          <w:rFonts w:asciiTheme="minorBidi" w:eastAsia="Times New Roman" w:hAnsiTheme="minorBidi"/>
          <w:b/>
          <w:bCs/>
          <w:sz w:val="24"/>
          <w:szCs w:val="24"/>
        </w:rPr>
      </w:pPr>
      <w:r>
        <w:rPr>
          <w:noProof/>
          <w:lang w:val="en-GB" w:eastAsia="en-GB"/>
        </w:rPr>
        <w:drawing>
          <wp:inline distT="0" distB="0" distL="0" distR="0" wp14:anchorId="4F51AE08" wp14:editId="0B8E5029">
            <wp:extent cx="2858476" cy="984669"/>
            <wp:effectExtent l="0" t="0" r="0" b="6350"/>
            <wp:docPr id="12" name="Picture 1" descr="Macintosh HD:Users:redahassan:Desktop:Main Logo-EN-For 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dahassan:Desktop:Main Logo-EN-For WOR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1222" cy="1002839"/>
                    </a:xfrm>
                    <a:prstGeom prst="rect">
                      <a:avLst/>
                    </a:prstGeom>
                    <a:noFill/>
                    <a:ln>
                      <a:noFill/>
                    </a:ln>
                  </pic:spPr>
                </pic:pic>
              </a:graphicData>
            </a:graphic>
          </wp:inline>
        </w:drawing>
      </w:r>
    </w:p>
    <w:p w:rsidR="003717BD" w:rsidRDefault="003717BD" w:rsidP="003717BD">
      <w:pPr>
        <w:spacing w:after="0" w:line="276" w:lineRule="auto"/>
        <w:jc w:val="center"/>
        <w:rPr>
          <w:rFonts w:asciiTheme="minorBidi" w:eastAsia="Times New Roman" w:hAnsiTheme="minorBidi"/>
          <w:b/>
          <w:bCs/>
          <w:sz w:val="24"/>
          <w:szCs w:val="24"/>
        </w:rPr>
      </w:pPr>
    </w:p>
    <w:p w:rsidR="00F108CA" w:rsidRPr="003D46A3" w:rsidRDefault="00416083" w:rsidP="003717BD">
      <w:pPr>
        <w:spacing w:after="0" w:line="276" w:lineRule="auto"/>
        <w:jc w:val="center"/>
        <w:rPr>
          <w:rFonts w:asciiTheme="minorBidi" w:eastAsia="Times New Roman" w:hAnsiTheme="minorBidi"/>
          <w:b/>
          <w:bCs/>
          <w:sz w:val="24"/>
          <w:szCs w:val="24"/>
        </w:rPr>
      </w:pPr>
      <w:r w:rsidRPr="003D46A3">
        <w:rPr>
          <w:rFonts w:asciiTheme="minorBidi" w:eastAsia="Times New Roman" w:hAnsiTheme="minorBidi"/>
          <w:b/>
          <w:bCs/>
          <w:sz w:val="24"/>
          <w:szCs w:val="24"/>
        </w:rPr>
        <w:t xml:space="preserve">Submission by the </w:t>
      </w:r>
      <w:bookmarkStart w:id="0" w:name="_GoBack"/>
      <w:r w:rsidRPr="003D46A3">
        <w:rPr>
          <w:rFonts w:asciiTheme="minorBidi" w:eastAsia="Times New Roman" w:hAnsiTheme="minorBidi"/>
          <w:b/>
          <w:bCs/>
          <w:sz w:val="24"/>
          <w:szCs w:val="24"/>
        </w:rPr>
        <w:t>Arab NGO Network for Development</w:t>
      </w:r>
    </w:p>
    <w:bookmarkEnd w:id="0"/>
    <w:p w:rsidR="008B57D1" w:rsidRPr="003D46A3" w:rsidRDefault="00416083" w:rsidP="003717BD">
      <w:pPr>
        <w:pStyle w:val="Heading2"/>
        <w:spacing w:before="0" w:beforeAutospacing="0" w:after="0" w:afterAutospacing="0" w:line="276" w:lineRule="auto"/>
        <w:jc w:val="center"/>
        <w:rPr>
          <w:rFonts w:asciiTheme="minorBidi" w:hAnsiTheme="minorBidi" w:cstheme="minorBidi"/>
          <w:sz w:val="24"/>
          <w:szCs w:val="24"/>
        </w:rPr>
      </w:pPr>
      <w:r w:rsidRPr="003D46A3">
        <w:rPr>
          <w:rFonts w:asciiTheme="minorBidi" w:hAnsiTheme="minorBidi" w:cstheme="minorBidi"/>
          <w:sz w:val="24"/>
          <w:szCs w:val="24"/>
        </w:rPr>
        <w:t xml:space="preserve">Consultation on the Draft General Comment </w:t>
      </w:r>
    </w:p>
    <w:p w:rsidR="00F71127" w:rsidRDefault="00416083" w:rsidP="003717BD">
      <w:pPr>
        <w:pStyle w:val="Heading2"/>
        <w:spacing w:before="0" w:beforeAutospacing="0" w:after="0" w:afterAutospacing="0" w:line="276" w:lineRule="auto"/>
        <w:jc w:val="center"/>
        <w:rPr>
          <w:rFonts w:asciiTheme="minorBidi" w:hAnsiTheme="minorBidi" w:cstheme="minorBidi"/>
          <w:sz w:val="24"/>
          <w:szCs w:val="24"/>
        </w:rPr>
      </w:pPr>
      <w:proofErr w:type="gramStart"/>
      <w:r w:rsidRPr="003D46A3">
        <w:rPr>
          <w:rFonts w:asciiTheme="minorBidi" w:hAnsiTheme="minorBidi" w:cstheme="minorBidi"/>
          <w:sz w:val="24"/>
          <w:szCs w:val="24"/>
        </w:rPr>
        <w:t>on</w:t>
      </w:r>
      <w:proofErr w:type="gramEnd"/>
      <w:r w:rsidRPr="003D46A3">
        <w:rPr>
          <w:rFonts w:asciiTheme="minorBidi" w:hAnsiTheme="minorBidi" w:cstheme="minorBidi"/>
          <w:sz w:val="24"/>
          <w:szCs w:val="24"/>
        </w:rPr>
        <w:t xml:space="preserve"> Article 6 of the International Covenant on Civil and Political Rights </w:t>
      </w:r>
    </w:p>
    <w:p w:rsidR="00F71127" w:rsidRDefault="00416083" w:rsidP="003717BD">
      <w:pPr>
        <w:pStyle w:val="Heading2"/>
        <w:spacing w:before="0" w:beforeAutospacing="0" w:after="0" w:afterAutospacing="0" w:line="276" w:lineRule="auto"/>
        <w:jc w:val="center"/>
        <w:rPr>
          <w:rFonts w:asciiTheme="minorBidi" w:hAnsiTheme="minorBidi" w:cstheme="minorBidi"/>
          <w:sz w:val="24"/>
          <w:szCs w:val="24"/>
        </w:rPr>
      </w:pPr>
      <w:r w:rsidRPr="003D46A3">
        <w:rPr>
          <w:rFonts w:asciiTheme="minorBidi" w:hAnsiTheme="minorBidi" w:cstheme="minorBidi"/>
          <w:sz w:val="24"/>
          <w:szCs w:val="24"/>
        </w:rPr>
        <w:t>– Right to life</w:t>
      </w:r>
      <w:r w:rsidR="00F71127" w:rsidRPr="003D46A3">
        <w:rPr>
          <w:rFonts w:asciiTheme="minorBidi" w:hAnsiTheme="minorBidi" w:cstheme="minorBidi"/>
          <w:sz w:val="24"/>
          <w:szCs w:val="24"/>
        </w:rPr>
        <w:t>–</w:t>
      </w:r>
    </w:p>
    <w:p w:rsidR="003717BD" w:rsidRDefault="003717BD" w:rsidP="003717BD">
      <w:pPr>
        <w:pStyle w:val="Heading2"/>
        <w:spacing w:before="0" w:beforeAutospacing="0" w:after="0" w:afterAutospacing="0" w:line="276" w:lineRule="auto"/>
        <w:jc w:val="center"/>
        <w:rPr>
          <w:rFonts w:asciiTheme="minorBidi" w:hAnsiTheme="minorBidi" w:cstheme="minorBidi"/>
          <w:sz w:val="24"/>
          <w:szCs w:val="24"/>
        </w:rPr>
      </w:pPr>
    </w:p>
    <w:p w:rsidR="003717BD" w:rsidRPr="00F71127" w:rsidRDefault="003717BD" w:rsidP="003717BD">
      <w:pPr>
        <w:pStyle w:val="Heading2"/>
        <w:spacing w:before="0" w:beforeAutospacing="0" w:after="0" w:afterAutospacing="0" w:line="276" w:lineRule="auto"/>
        <w:jc w:val="center"/>
        <w:rPr>
          <w:rFonts w:asciiTheme="minorBidi" w:hAnsiTheme="minorBidi" w:cstheme="minorBidi"/>
          <w:sz w:val="24"/>
          <w:szCs w:val="24"/>
        </w:rPr>
      </w:pPr>
    </w:p>
    <w:p w:rsidR="00CE6070" w:rsidRDefault="008B57D1" w:rsidP="003717BD">
      <w:pPr>
        <w:pStyle w:val="Heading2"/>
        <w:spacing w:before="0" w:beforeAutospacing="0" w:after="0" w:afterAutospacing="0" w:line="276" w:lineRule="auto"/>
        <w:jc w:val="both"/>
        <w:rPr>
          <w:rFonts w:asciiTheme="minorBidi" w:hAnsiTheme="minorBidi" w:cstheme="minorBidi"/>
          <w:b w:val="0"/>
          <w:bCs w:val="0"/>
          <w:sz w:val="24"/>
          <w:szCs w:val="24"/>
        </w:rPr>
      </w:pPr>
      <w:r w:rsidRPr="003D46A3">
        <w:rPr>
          <w:rFonts w:asciiTheme="minorBidi" w:hAnsiTheme="minorBidi" w:cstheme="minorBidi"/>
          <w:b w:val="0"/>
          <w:bCs w:val="0"/>
          <w:sz w:val="24"/>
          <w:szCs w:val="24"/>
        </w:rPr>
        <w:t>The right to life, as stated in the Draft General Comment (DGC)  para 2, is</w:t>
      </w:r>
      <w:r w:rsidRPr="003D46A3">
        <w:rPr>
          <w:rFonts w:asciiTheme="minorBidi" w:hAnsiTheme="minorBidi" w:cstheme="minorBidi"/>
        </w:rPr>
        <w:t xml:space="preserve"> </w:t>
      </w:r>
      <w:r w:rsidRPr="003D46A3">
        <w:rPr>
          <w:rFonts w:asciiTheme="minorBidi" w:hAnsiTheme="minorBidi" w:cstheme="minorBidi"/>
          <w:b w:val="0"/>
          <w:bCs w:val="0"/>
          <w:sz w:val="24"/>
          <w:szCs w:val="24"/>
        </w:rPr>
        <w:t>“a right that inheres in every human being, but it also constitutes a fundamental right, whose effective protection is the prerequisite for the enjoyment of all other human rights and whose content can be informed and infused by other human rights”. With this only, the DGC makes a strong emphasis on the interdependence and indivisibility of all human rights</w:t>
      </w:r>
      <w:r w:rsidR="000F03EC" w:rsidRPr="003D46A3">
        <w:rPr>
          <w:rFonts w:asciiTheme="minorBidi" w:hAnsiTheme="minorBidi" w:cstheme="minorBidi"/>
          <w:b w:val="0"/>
          <w:bCs w:val="0"/>
          <w:sz w:val="24"/>
          <w:szCs w:val="24"/>
        </w:rPr>
        <w:t xml:space="preserve"> and</w:t>
      </w:r>
      <w:r w:rsidR="00045659" w:rsidRPr="003D46A3">
        <w:rPr>
          <w:rFonts w:asciiTheme="minorBidi" w:hAnsiTheme="minorBidi" w:cstheme="minorBidi"/>
          <w:b w:val="0"/>
          <w:bCs w:val="0"/>
          <w:sz w:val="24"/>
          <w:szCs w:val="24"/>
        </w:rPr>
        <w:t xml:space="preserve"> that</w:t>
      </w:r>
      <w:r w:rsidR="000F03EC" w:rsidRPr="003D46A3">
        <w:rPr>
          <w:rFonts w:asciiTheme="minorBidi" w:hAnsiTheme="minorBidi" w:cstheme="minorBidi"/>
          <w:b w:val="0"/>
          <w:bCs w:val="0"/>
          <w:sz w:val="24"/>
          <w:szCs w:val="24"/>
        </w:rPr>
        <w:t xml:space="preserve"> violation of another right </w:t>
      </w:r>
      <w:r w:rsidRPr="003D46A3">
        <w:rPr>
          <w:rFonts w:asciiTheme="minorBidi" w:hAnsiTheme="minorBidi" w:cstheme="minorBidi"/>
          <w:b w:val="0"/>
          <w:bCs w:val="0"/>
          <w:sz w:val="24"/>
          <w:szCs w:val="24"/>
        </w:rPr>
        <w:t xml:space="preserve">(i.e. the right to adequate standard of living) would invariably impede the right to life. </w:t>
      </w:r>
    </w:p>
    <w:p w:rsidR="003717BD" w:rsidRPr="003D46A3" w:rsidRDefault="003717BD" w:rsidP="003717BD">
      <w:pPr>
        <w:pStyle w:val="Heading2"/>
        <w:spacing w:before="0" w:beforeAutospacing="0" w:after="0" w:afterAutospacing="0" w:line="276" w:lineRule="auto"/>
        <w:jc w:val="both"/>
        <w:rPr>
          <w:rFonts w:asciiTheme="minorBidi" w:hAnsiTheme="minorBidi" w:cstheme="minorBidi"/>
          <w:b w:val="0"/>
          <w:bCs w:val="0"/>
          <w:sz w:val="24"/>
          <w:szCs w:val="24"/>
        </w:rPr>
      </w:pPr>
    </w:p>
    <w:p w:rsidR="008C75CF" w:rsidRDefault="000F03EC" w:rsidP="003717BD">
      <w:pPr>
        <w:pStyle w:val="Heading2"/>
        <w:spacing w:before="0" w:beforeAutospacing="0" w:after="0" w:afterAutospacing="0" w:line="276" w:lineRule="auto"/>
        <w:jc w:val="both"/>
        <w:rPr>
          <w:rFonts w:asciiTheme="minorBidi" w:hAnsiTheme="minorBidi" w:cstheme="minorBidi"/>
          <w:b w:val="0"/>
          <w:bCs w:val="0"/>
          <w:sz w:val="24"/>
          <w:szCs w:val="24"/>
        </w:rPr>
      </w:pPr>
      <w:r w:rsidRPr="003D46A3">
        <w:rPr>
          <w:rFonts w:asciiTheme="minorBidi" w:hAnsiTheme="minorBidi" w:cstheme="minorBidi"/>
          <w:b w:val="0"/>
          <w:bCs w:val="0"/>
          <w:sz w:val="24"/>
          <w:szCs w:val="24"/>
        </w:rPr>
        <w:t>Nevertheless, the DGC approach remains limited when further clarifications are provided on measures to be taken</w:t>
      </w:r>
      <w:r w:rsidR="00045659" w:rsidRPr="003D46A3">
        <w:rPr>
          <w:rFonts w:asciiTheme="minorBidi" w:hAnsiTheme="minorBidi" w:cstheme="minorBidi"/>
          <w:b w:val="0"/>
          <w:bCs w:val="0"/>
          <w:sz w:val="24"/>
          <w:szCs w:val="24"/>
        </w:rPr>
        <w:t xml:space="preserve"> to protect life</w:t>
      </w:r>
      <w:r w:rsidRPr="003D46A3">
        <w:rPr>
          <w:rFonts w:asciiTheme="minorBidi" w:hAnsiTheme="minorBidi" w:cstheme="minorBidi"/>
          <w:b w:val="0"/>
          <w:bCs w:val="0"/>
          <w:sz w:val="24"/>
          <w:szCs w:val="24"/>
        </w:rPr>
        <w:t xml:space="preserve">, as stated in para 30. The DGC </w:t>
      </w:r>
      <w:r w:rsidR="00045659" w:rsidRPr="003D46A3">
        <w:rPr>
          <w:rFonts w:asciiTheme="minorBidi" w:hAnsiTheme="minorBidi" w:cstheme="minorBidi"/>
          <w:b w:val="0"/>
          <w:bCs w:val="0"/>
          <w:sz w:val="24"/>
          <w:szCs w:val="24"/>
        </w:rPr>
        <w:t xml:space="preserve">shrinks its ‘human rights language’ to rather  </w:t>
      </w:r>
      <w:r w:rsidRPr="003D46A3">
        <w:rPr>
          <w:rFonts w:asciiTheme="minorBidi" w:hAnsiTheme="minorBidi" w:cstheme="minorBidi"/>
          <w:b w:val="0"/>
          <w:bCs w:val="0"/>
          <w:sz w:val="24"/>
          <w:szCs w:val="24"/>
        </w:rPr>
        <w:t xml:space="preserve"> ‘general conditions’</w:t>
      </w:r>
      <w:r w:rsidR="00045659" w:rsidRPr="003D46A3">
        <w:rPr>
          <w:rFonts w:asciiTheme="minorBidi" w:hAnsiTheme="minorBidi" w:cstheme="minorBidi"/>
          <w:b w:val="0"/>
          <w:bCs w:val="0"/>
          <w:sz w:val="24"/>
          <w:szCs w:val="24"/>
        </w:rPr>
        <w:t xml:space="preserve"> and ‘goods and services’ when focusing on key economic and social rights, including that of the right to water, food, health. DGC should continue with the same strong human rights language, referring to these rights, as fundamental rights interrelated and interdependent to the right to life. </w:t>
      </w:r>
      <w:r w:rsidR="00CE6070" w:rsidRPr="003D46A3">
        <w:rPr>
          <w:rFonts w:asciiTheme="minorBidi" w:hAnsiTheme="minorBidi" w:cstheme="minorBidi"/>
          <w:b w:val="0"/>
          <w:bCs w:val="0"/>
          <w:sz w:val="24"/>
          <w:szCs w:val="24"/>
        </w:rPr>
        <w:t xml:space="preserve">Shifting from services to ‘rights’ approach would also help enhance accountability of the </w:t>
      </w:r>
      <w:r w:rsidR="00B87A40">
        <w:rPr>
          <w:rFonts w:asciiTheme="minorBidi" w:hAnsiTheme="minorBidi" w:cstheme="minorBidi"/>
          <w:b w:val="0"/>
          <w:bCs w:val="0"/>
          <w:sz w:val="24"/>
          <w:szCs w:val="24"/>
        </w:rPr>
        <w:t>State towards their fulfillment. It would help focus on the root causes of human rights violations faced deriving from implementation of social and economic policies negatively affecting the full enjoyment of the right to life. In relation,</w:t>
      </w:r>
      <w:r w:rsidR="00CE6070" w:rsidRPr="003D46A3">
        <w:rPr>
          <w:rFonts w:asciiTheme="minorBidi" w:hAnsiTheme="minorBidi" w:cstheme="minorBidi"/>
          <w:b w:val="0"/>
          <w:bCs w:val="0"/>
          <w:sz w:val="24"/>
          <w:szCs w:val="24"/>
        </w:rPr>
        <w:t xml:space="preserve"> DGC’s propositions on developing strategies, action plans and organizing campaigns (i.e. on domestic violence) should not be as ad hoc initiatives proposed to States, on the contrary to highlight the need for comprehensive and rights-based development plans in each country  that identifies structural challenges, root causes of human rights violations and appropriate steps to tackle them, with a genuine political will reflected through allocation of resources (i.e. through budget allocatio</w:t>
      </w:r>
      <w:r w:rsidR="001575F9" w:rsidRPr="003D46A3">
        <w:rPr>
          <w:rFonts w:asciiTheme="minorBidi" w:hAnsiTheme="minorBidi" w:cstheme="minorBidi"/>
          <w:b w:val="0"/>
          <w:bCs w:val="0"/>
          <w:sz w:val="24"/>
          <w:szCs w:val="24"/>
        </w:rPr>
        <w:t xml:space="preserve">ns) to ensure their realization. </w:t>
      </w:r>
      <w:r w:rsidR="00F71127">
        <w:rPr>
          <w:rFonts w:asciiTheme="minorBidi" w:hAnsiTheme="minorBidi" w:cstheme="minorBidi"/>
          <w:b w:val="0"/>
          <w:bCs w:val="0"/>
          <w:sz w:val="24"/>
          <w:szCs w:val="24"/>
        </w:rPr>
        <w:t>These plans should be a</w:t>
      </w:r>
      <w:r w:rsidR="001575F9" w:rsidRPr="003D46A3">
        <w:rPr>
          <w:rFonts w:asciiTheme="minorBidi" w:hAnsiTheme="minorBidi" w:cstheme="minorBidi"/>
          <w:b w:val="0"/>
          <w:bCs w:val="0"/>
          <w:sz w:val="24"/>
          <w:szCs w:val="24"/>
        </w:rPr>
        <w:t xml:space="preserve">dopted following an inclusive, transparent and participatory approach, </w:t>
      </w:r>
      <w:r w:rsidR="00F71127">
        <w:rPr>
          <w:rFonts w:asciiTheme="minorBidi" w:hAnsiTheme="minorBidi" w:cstheme="minorBidi"/>
          <w:b w:val="0"/>
          <w:bCs w:val="0"/>
          <w:sz w:val="24"/>
          <w:szCs w:val="24"/>
        </w:rPr>
        <w:t xml:space="preserve">to protect, promote and ensure </w:t>
      </w:r>
      <w:r w:rsidR="001575F9" w:rsidRPr="003D46A3">
        <w:rPr>
          <w:rFonts w:asciiTheme="minorBidi" w:hAnsiTheme="minorBidi" w:cstheme="minorBidi"/>
          <w:b w:val="0"/>
          <w:bCs w:val="0"/>
          <w:sz w:val="24"/>
          <w:szCs w:val="24"/>
        </w:rPr>
        <w:t>the right to life of</w:t>
      </w:r>
      <w:r w:rsidR="00F71127">
        <w:rPr>
          <w:rFonts w:asciiTheme="minorBidi" w:hAnsiTheme="minorBidi" w:cstheme="minorBidi"/>
          <w:b w:val="0"/>
          <w:bCs w:val="0"/>
          <w:sz w:val="24"/>
          <w:szCs w:val="24"/>
        </w:rPr>
        <w:t>, all, i</w:t>
      </w:r>
      <w:r w:rsidR="001575F9" w:rsidRPr="003D46A3">
        <w:rPr>
          <w:rFonts w:asciiTheme="minorBidi" w:hAnsiTheme="minorBidi" w:cstheme="minorBidi"/>
          <w:b w:val="0"/>
          <w:bCs w:val="0"/>
          <w:sz w:val="24"/>
          <w:szCs w:val="24"/>
        </w:rPr>
        <w:t xml:space="preserve">n dignity. </w:t>
      </w:r>
    </w:p>
    <w:p w:rsidR="003717BD" w:rsidRPr="003D46A3" w:rsidRDefault="003717BD" w:rsidP="003717BD">
      <w:pPr>
        <w:pStyle w:val="Heading2"/>
        <w:spacing w:before="0" w:beforeAutospacing="0" w:after="0" w:afterAutospacing="0" w:line="276" w:lineRule="auto"/>
        <w:jc w:val="both"/>
        <w:rPr>
          <w:rFonts w:asciiTheme="minorBidi" w:hAnsiTheme="minorBidi" w:cstheme="minorBidi"/>
          <w:b w:val="0"/>
          <w:bCs w:val="0"/>
          <w:sz w:val="24"/>
          <w:szCs w:val="24"/>
        </w:rPr>
      </w:pPr>
    </w:p>
    <w:p w:rsidR="003D46A3" w:rsidRPr="003D46A3" w:rsidRDefault="00A8603B" w:rsidP="003717BD">
      <w:pPr>
        <w:pStyle w:val="Heading2"/>
        <w:spacing w:before="0" w:beforeAutospacing="0" w:after="0" w:afterAutospacing="0" w:line="276" w:lineRule="auto"/>
        <w:jc w:val="both"/>
        <w:rPr>
          <w:rFonts w:asciiTheme="minorBidi" w:hAnsiTheme="minorBidi" w:cstheme="minorBidi"/>
          <w:b w:val="0"/>
          <w:bCs w:val="0"/>
          <w:sz w:val="24"/>
          <w:szCs w:val="24"/>
        </w:rPr>
      </w:pPr>
      <w:r w:rsidRPr="003D46A3">
        <w:rPr>
          <w:rFonts w:asciiTheme="minorBidi" w:hAnsiTheme="minorBidi" w:cstheme="minorBidi"/>
          <w:b w:val="0"/>
          <w:bCs w:val="0"/>
          <w:sz w:val="24"/>
          <w:szCs w:val="24"/>
        </w:rPr>
        <w:t xml:space="preserve">The </w:t>
      </w:r>
      <w:r w:rsidR="001575F9" w:rsidRPr="003D46A3">
        <w:rPr>
          <w:rFonts w:asciiTheme="minorBidi" w:hAnsiTheme="minorBidi" w:cstheme="minorBidi"/>
          <w:b w:val="0"/>
          <w:bCs w:val="0"/>
          <w:sz w:val="24"/>
          <w:szCs w:val="24"/>
        </w:rPr>
        <w:t xml:space="preserve">DGC in para 26 makes reference to jurisdiction, including against deprivations of life by other States operating within their territory or in other areas subject to their jurisdiction. </w:t>
      </w:r>
      <w:r w:rsidR="00D92922" w:rsidRPr="00D92922">
        <w:rPr>
          <w:rFonts w:asciiTheme="minorBidi" w:hAnsiTheme="minorBidi" w:cstheme="minorBidi"/>
          <w:b w:val="0"/>
          <w:bCs w:val="0"/>
          <w:sz w:val="24"/>
          <w:szCs w:val="24"/>
        </w:rPr>
        <w:t xml:space="preserve">Furthermore in para 66, DGC notes that States parties must respect and protect the lives of individuals located in territories, which are under their effective control, such as </w:t>
      </w:r>
      <w:r w:rsidR="00D92922" w:rsidRPr="00D92922">
        <w:rPr>
          <w:rFonts w:asciiTheme="minorBidi" w:hAnsiTheme="minorBidi" w:cstheme="minorBidi"/>
          <w:b w:val="0"/>
          <w:bCs w:val="0"/>
          <w:sz w:val="24"/>
          <w:szCs w:val="24"/>
        </w:rPr>
        <w:lastRenderedPageBreak/>
        <w:t>occupied territories, and in territories over which they have assumed an international obligation to apply the Covenant</w:t>
      </w:r>
      <w:r w:rsidR="00D92922">
        <w:rPr>
          <w:rFonts w:asciiTheme="minorBidi" w:hAnsiTheme="minorBidi" w:cstheme="minorBidi"/>
          <w:b w:val="0"/>
          <w:bCs w:val="0"/>
          <w:sz w:val="24"/>
          <w:szCs w:val="24"/>
        </w:rPr>
        <w:t xml:space="preserve">. </w:t>
      </w:r>
      <w:r w:rsidR="001575F9" w:rsidRPr="003D46A3">
        <w:rPr>
          <w:rFonts w:asciiTheme="minorBidi" w:hAnsiTheme="minorBidi" w:cstheme="minorBidi"/>
          <w:b w:val="0"/>
          <w:bCs w:val="0"/>
          <w:sz w:val="24"/>
          <w:szCs w:val="24"/>
        </w:rPr>
        <w:t>The</w:t>
      </w:r>
      <w:r w:rsidR="00D92922">
        <w:rPr>
          <w:rFonts w:asciiTheme="minorBidi" w:hAnsiTheme="minorBidi" w:cstheme="minorBidi"/>
          <w:b w:val="0"/>
          <w:bCs w:val="0"/>
          <w:sz w:val="24"/>
          <w:szCs w:val="24"/>
        </w:rPr>
        <w:t>se paragraphs are</w:t>
      </w:r>
      <w:r w:rsidR="001575F9" w:rsidRPr="003D46A3">
        <w:rPr>
          <w:rFonts w:asciiTheme="minorBidi" w:hAnsiTheme="minorBidi" w:cstheme="minorBidi"/>
        </w:rPr>
        <w:t xml:space="preserve"> </w:t>
      </w:r>
      <w:r w:rsidR="001575F9" w:rsidRPr="003D46A3">
        <w:rPr>
          <w:rFonts w:asciiTheme="minorBidi" w:hAnsiTheme="minorBidi" w:cstheme="minorBidi"/>
          <w:b w:val="0"/>
          <w:bCs w:val="0"/>
          <w:sz w:val="24"/>
          <w:szCs w:val="24"/>
        </w:rPr>
        <w:t xml:space="preserve">particularly important for the Arab region, and the Palestinians living under the Israeli occupation now since 50 years. </w:t>
      </w:r>
      <w:r w:rsidR="00FF4DB0" w:rsidRPr="003D46A3">
        <w:rPr>
          <w:rFonts w:asciiTheme="minorBidi" w:hAnsiTheme="minorBidi" w:cstheme="minorBidi"/>
          <w:b w:val="0"/>
          <w:bCs w:val="0"/>
          <w:sz w:val="24"/>
          <w:szCs w:val="24"/>
        </w:rPr>
        <w:t xml:space="preserve">As </w:t>
      </w:r>
      <w:proofErr w:type="spellStart"/>
      <w:r w:rsidR="00FF4DB0" w:rsidRPr="003D46A3">
        <w:rPr>
          <w:rFonts w:asciiTheme="minorBidi" w:hAnsiTheme="minorBidi" w:cstheme="minorBidi"/>
          <w:b w:val="0"/>
          <w:bCs w:val="0"/>
          <w:sz w:val="24"/>
          <w:szCs w:val="24"/>
        </w:rPr>
        <w:t>OCHAOpt</w:t>
      </w:r>
      <w:proofErr w:type="spellEnd"/>
      <w:r w:rsidR="00B87A40">
        <w:rPr>
          <w:rStyle w:val="FootnoteReference"/>
          <w:rFonts w:cstheme="minorBidi"/>
          <w:b w:val="0"/>
          <w:bCs w:val="0"/>
          <w:szCs w:val="24"/>
        </w:rPr>
        <w:footnoteReference w:id="1"/>
      </w:r>
      <w:r w:rsidR="00FF4DB0" w:rsidRPr="003D46A3">
        <w:rPr>
          <w:rFonts w:asciiTheme="minorBidi" w:hAnsiTheme="minorBidi" w:cstheme="minorBidi"/>
          <w:b w:val="0"/>
          <w:bCs w:val="0"/>
          <w:sz w:val="24"/>
          <w:szCs w:val="24"/>
        </w:rPr>
        <w:t xml:space="preserve"> points it out, “Occupation denies Palestinians control over basic aspects of daily life. Their ability to move unimpeded within their own country, to exit and return, to develop large parts of their territory, build on their own land, access natural resources or develop their economy is largely determined by the Israeli military.</w:t>
      </w:r>
      <w:r w:rsidR="008C75CF" w:rsidRPr="003D46A3">
        <w:rPr>
          <w:rFonts w:asciiTheme="minorBidi" w:hAnsiTheme="minorBidi" w:cstheme="minorBidi"/>
          <w:b w:val="0"/>
          <w:bCs w:val="0"/>
          <w:sz w:val="24"/>
          <w:szCs w:val="24"/>
        </w:rPr>
        <w:t xml:space="preserve">” Likewise, UN reports shed lights on the obligations of Israel as the occupying power to protect notably from all acts of violence, threats and insults. It further notes the </w:t>
      </w:r>
      <w:r w:rsidRPr="003D46A3">
        <w:rPr>
          <w:rFonts w:asciiTheme="minorBidi" w:hAnsiTheme="minorBidi" w:cstheme="minorBidi"/>
          <w:b w:val="0"/>
          <w:bCs w:val="0"/>
          <w:sz w:val="24"/>
          <w:szCs w:val="24"/>
        </w:rPr>
        <w:t>settlers’</w:t>
      </w:r>
      <w:r w:rsidR="008C75CF" w:rsidRPr="003D46A3">
        <w:rPr>
          <w:rFonts w:asciiTheme="minorBidi" w:hAnsiTheme="minorBidi" w:cstheme="minorBidi"/>
          <w:b w:val="0"/>
          <w:bCs w:val="0"/>
          <w:sz w:val="24"/>
          <w:szCs w:val="24"/>
        </w:rPr>
        <w:t xml:space="preserve"> violence and harassments that impede the enjoyment of the right to life by Palestinian population</w:t>
      </w:r>
      <w:r w:rsidR="008C75CF" w:rsidRPr="003D46A3">
        <w:rPr>
          <w:rStyle w:val="FootnoteReference"/>
          <w:rFonts w:asciiTheme="minorBidi" w:hAnsiTheme="minorBidi" w:cstheme="minorBidi"/>
          <w:b w:val="0"/>
          <w:bCs w:val="0"/>
          <w:szCs w:val="24"/>
        </w:rPr>
        <w:footnoteReference w:id="2"/>
      </w:r>
      <w:r w:rsidR="008C75CF" w:rsidRPr="003D46A3">
        <w:rPr>
          <w:rFonts w:asciiTheme="minorBidi" w:hAnsiTheme="minorBidi" w:cstheme="minorBidi"/>
          <w:b w:val="0"/>
          <w:bCs w:val="0"/>
          <w:sz w:val="24"/>
          <w:szCs w:val="24"/>
        </w:rPr>
        <w:t xml:space="preserve">. </w:t>
      </w:r>
      <w:r w:rsidRPr="003D46A3">
        <w:rPr>
          <w:rFonts w:asciiTheme="minorBidi" w:hAnsiTheme="minorBidi" w:cstheme="minorBidi"/>
          <w:b w:val="0"/>
          <w:bCs w:val="0"/>
          <w:sz w:val="24"/>
          <w:szCs w:val="24"/>
        </w:rPr>
        <w:t>This being so, further stress on the right to life under occupation should be made</w:t>
      </w:r>
      <w:r w:rsidR="00D92922">
        <w:rPr>
          <w:rFonts w:asciiTheme="minorBidi" w:hAnsiTheme="minorBidi" w:cstheme="minorBidi"/>
          <w:b w:val="0"/>
          <w:bCs w:val="0"/>
          <w:sz w:val="24"/>
          <w:szCs w:val="24"/>
        </w:rPr>
        <w:t xml:space="preserve">, </w:t>
      </w:r>
      <w:r w:rsidRPr="003D46A3">
        <w:rPr>
          <w:rFonts w:asciiTheme="minorBidi" w:hAnsiTheme="minorBidi" w:cstheme="minorBidi"/>
          <w:b w:val="0"/>
          <w:bCs w:val="0"/>
          <w:sz w:val="24"/>
          <w:szCs w:val="24"/>
        </w:rPr>
        <w:t xml:space="preserve">and the accountability of the occupying power should be stressed, in light of realization of Article 6 and other relevant human rights treaties. </w:t>
      </w:r>
      <w:r w:rsidR="003D46A3">
        <w:rPr>
          <w:rFonts w:asciiTheme="minorBidi" w:hAnsiTheme="minorBidi" w:cstheme="minorBidi"/>
          <w:b w:val="0"/>
          <w:bCs w:val="0"/>
          <w:sz w:val="24"/>
          <w:szCs w:val="24"/>
        </w:rPr>
        <w:t>In addition, further stress should be put on the right to life of human rights defenders</w:t>
      </w:r>
      <w:r w:rsidR="00B87A40">
        <w:rPr>
          <w:rFonts w:asciiTheme="minorBidi" w:hAnsiTheme="minorBidi" w:cstheme="minorBidi"/>
          <w:b w:val="0"/>
          <w:bCs w:val="0"/>
          <w:sz w:val="24"/>
          <w:szCs w:val="24"/>
        </w:rPr>
        <w:t xml:space="preserve"> and activists</w:t>
      </w:r>
      <w:r w:rsidR="003D46A3">
        <w:rPr>
          <w:rFonts w:asciiTheme="minorBidi" w:hAnsiTheme="minorBidi" w:cstheme="minorBidi"/>
          <w:b w:val="0"/>
          <w:bCs w:val="0"/>
          <w:sz w:val="24"/>
          <w:szCs w:val="24"/>
        </w:rPr>
        <w:t xml:space="preserve">, given repressive Israeli policies, and the increasing </w:t>
      </w:r>
      <w:r w:rsidR="00B87A40">
        <w:rPr>
          <w:rFonts w:asciiTheme="minorBidi" w:hAnsiTheme="minorBidi" w:cstheme="minorBidi"/>
          <w:b w:val="0"/>
          <w:bCs w:val="0"/>
          <w:sz w:val="24"/>
          <w:szCs w:val="24"/>
        </w:rPr>
        <w:t>excessive use of force and Palestinian activists killed during demonstrations</w:t>
      </w:r>
      <w:r w:rsidR="00B87A40">
        <w:rPr>
          <w:rStyle w:val="FootnoteReference"/>
          <w:rFonts w:cstheme="minorBidi"/>
          <w:b w:val="0"/>
          <w:bCs w:val="0"/>
          <w:szCs w:val="24"/>
        </w:rPr>
        <w:footnoteReference w:id="3"/>
      </w:r>
      <w:r w:rsidR="00B87A40">
        <w:rPr>
          <w:rFonts w:asciiTheme="minorBidi" w:hAnsiTheme="minorBidi" w:cstheme="minorBidi"/>
          <w:b w:val="0"/>
          <w:bCs w:val="0"/>
          <w:sz w:val="24"/>
          <w:szCs w:val="24"/>
        </w:rPr>
        <w:t xml:space="preserve">. </w:t>
      </w:r>
      <w:r w:rsidR="003D46A3">
        <w:rPr>
          <w:rFonts w:asciiTheme="minorBidi" w:hAnsiTheme="minorBidi" w:cstheme="minorBidi"/>
          <w:b w:val="0"/>
          <w:bCs w:val="0"/>
          <w:sz w:val="24"/>
          <w:szCs w:val="24"/>
        </w:rPr>
        <w:t xml:space="preserve"> </w:t>
      </w:r>
    </w:p>
    <w:p w:rsidR="00F108CA" w:rsidRDefault="000A0DE2" w:rsidP="003717BD">
      <w:pPr>
        <w:pStyle w:val="Heading2"/>
        <w:spacing w:before="0" w:beforeAutospacing="0" w:after="0" w:afterAutospacing="0" w:line="276" w:lineRule="auto"/>
        <w:jc w:val="both"/>
        <w:rPr>
          <w:rFonts w:asciiTheme="minorBidi" w:hAnsiTheme="minorBidi" w:cstheme="minorBidi"/>
          <w:b w:val="0"/>
          <w:bCs w:val="0"/>
          <w:sz w:val="24"/>
          <w:szCs w:val="24"/>
        </w:rPr>
      </w:pPr>
      <w:r w:rsidRPr="003D46A3">
        <w:rPr>
          <w:rFonts w:asciiTheme="minorBidi" w:hAnsiTheme="minorBidi" w:cstheme="minorBidi"/>
          <w:b w:val="0"/>
          <w:bCs w:val="0"/>
          <w:sz w:val="24"/>
          <w:szCs w:val="24"/>
        </w:rPr>
        <w:t>Another significant issue for the</w:t>
      </w:r>
      <w:r w:rsidR="003D46A3" w:rsidRPr="003D46A3">
        <w:rPr>
          <w:rFonts w:asciiTheme="minorBidi" w:hAnsiTheme="minorBidi" w:cstheme="minorBidi"/>
          <w:b w:val="0"/>
          <w:bCs w:val="0"/>
          <w:sz w:val="24"/>
          <w:szCs w:val="24"/>
        </w:rPr>
        <w:t xml:space="preserve"> Arab</w:t>
      </w:r>
      <w:r w:rsidRPr="003D46A3">
        <w:rPr>
          <w:rFonts w:asciiTheme="minorBidi" w:hAnsiTheme="minorBidi" w:cstheme="minorBidi"/>
          <w:b w:val="0"/>
          <w:bCs w:val="0"/>
          <w:sz w:val="24"/>
          <w:szCs w:val="24"/>
        </w:rPr>
        <w:t xml:space="preserve"> region, namely the refugees and IDPs should be elaborated further in the DGC, given the figures of UNHCR that now we have an unprecedented 65.6 million people forced from home; among which nearly 22.5 million are refugees and over half of whom are under the age of 18</w:t>
      </w:r>
      <w:r w:rsidRPr="003D46A3">
        <w:rPr>
          <w:rStyle w:val="FootnoteReference"/>
          <w:rFonts w:asciiTheme="minorBidi" w:hAnsiTheme="minorBidi" w:cstheme="minorBidi"/>
          <w:b w:val="0"/>
          <w:bCs w:val="0"/>
          <w:szCs w:val="24"/>
        </w:rPr>
        <w:footnoteReference w:id="4"/>
      </w:r>
      <w:r w:rsidRPr="003D46A3">
        <w:rPr>
          <w:rFonts w:asciiTheme="minorBidi" w:hAnsiTheme="minorBidi" w:cstheme="minorBidi"/>
          <w:b w:val="0"/>
          <w:bCs w:val="0"/>
          <w:sz w:val="24"/>
          <w:szCs w:val="24"/>
        </w:rPr>
        <w:t>. Practices and policies implemented, in particular with</w:t>
      </w:r>
      <w:r w:rsidR="003D46A3">
        <w:rPr>
          <w:rFonts w:asciiTheme="minorBidi" w:hAnsiTheme="minorBidi" w:cstheme="minorBidi"/>
          <w:b w:val="0"/>
          <w:bCs w:val="0"/>
          <w:sz w:val="24"/>
          <w:szCs w:val="24"/>
        </w:rPr>
        <w:t xml:space="preserve"> a solely security approach-</w:t>
      </w:r>
      <w:r w:rsidRPr="003D46A3">
        <w:rPr>
          <w:rFonts w:asciiTheme="minorBidi" w:hAnsiTheme="minorBidi" w:cstheme="minorBidi"/>
          <w:b w:val="0"/>
          <w:bCs w:val="0"/>
          <w:sz w:val="24"/>
          <w:szCs w:val="24"/>
        </w:rPr>
        <w:t>focusing on border security</w:t>
      </w:r>
      <w:r w:rsidR="003D46A3">
        <w:rPr>
          <w:rFonts w:asciiTheme="minorBidi" w:hAnsiTheme="minorBidi" w:cstheme="minorBidi"/>
          <w:b w:val="0"/>
          <w:bCs w:val="0"/>
          <w:sz w:val="24"/>
          <w:szCs w:val="24"/>
        </w:rPr>
        <w:t>-</w:t>
      </w:r>
      <w:r w:rsidRPr="003D46A3">
        <w:rPr>
          <w:rFonts w:asciiTheme="minorBidi" w:hAnsiTheme="minorBidi" w:cstheme="minorBidi"/>
          <w:b w:val="0"/>
          <w:bCs w:val="0"/>
          <w:sz w:val="24"/>
          <w:szCs w:val="24"/>
        </w:rPr>
        <w:t>, violates the rights of refugees, including the right to life, the right</w:t>
      </w:r>
      <w:r w:rsidR="00B87A40">
        <w:rPr>
          <w:rFonts w:asciiTheme="minorBidi" w:hAnsiTheme="minorBidi" w:cstheme="minorBidi"/>
          <w:b w:val="0"/>
          <w:bCs w:val="0"/>
          <w:sz w:val="24"/>
          <w:szCs w:val="24"/>
        </w:rPr>
        <w:t xml:space="preserve"> to seek asyl</w:t>
      </w:r>
      <w:r w:rsidR="00D92922">
        <w:rPr>
          <w:rFonts w:asciiTheme="minorBidi" w:hAnsiTheme="minorBidi" w:cstheme="minorBidi"/>
          <w:b w:val="0"/>
          <w:bCs w:val="0"/>
          <w:sz w:val="24"/>
          <w:szCs w:val="24"/>
        </w:rPr>
        <w:t xml:space="preserve">um. </w:t>
      </w:r>
    </w:p>
    <w:p w:rsidR="003717BD" w:rsidRDefault="003717BD" w:rsidP="003717BD">
      <w:pPr>
        <w:pStyle w:val="Heading2"/>
        <w:spacing w:before="0" w:beforeAutospacing="0" w:after="0" w:afterAutospacing="0" w:line="276" w:lineRule="auto"/>
        <w:jc w:val="both"/>
        <w:rPr>
          <w:rFonts w:asciiTheme="minorBidi" w:hAnsiTheme="minorBidi" w:cstheme="minorBidi"/>
          <w:b w:val="0"/>
          <w:bCs w:val="0"/>
          <w:sz w:val="24"/>
          <w:szCs w:val="24"/>
        </w:rPr>
      </w:pPr>
    </w:p>
    <w:p w:rsidR="003717BD" w:rsidRDefault="003717BD" w:rsidP="003717BD">
      <w:pPr>
        <w:pStyle w:val="Heading2"/>
        <w:spacing w:before="0" w:beforeAutospacing="0" w:after="0" w:afterAutospacing="0" w:line="276" w:lineRule="auto"/>
        <w:jc w:val="both"/>
        <w:rPr>
          <w:rFonts w:asciiTheme="minorBidi" w:hAnsiTheme="minorBidi" w:cstheme="minorBidi"/>
          <w:b w:val="0"/>
          <w:bCs w:val="0"/>
          <w:sz w:val="24"/>
          <w:szCs w:val="24"/>
        </w:rPr>
      </w:pPr>
    </w:p>
    <w:p w:rsidR="003717BD" w:rsidRPr="003717BD" w:rsidRDefault="003717BD" w:rsidP="003717BD">
      <w:pPr>
        <w:pStyle w:val="Heading2"/>
        <w:spacing w:before="0" w:beforeAutospacing="0" w:after="0" w:afterAutospacing="0" w:line="276" w:lineRule="auto"/>
        <w:jc w:val="both"/>
        <w:rPr>
          <w:rFonts w:asciiTheme="minorBidi" w:hAnsiTheme="minorBidi" w:cstheme="minorBidi"/>
          <w:b w:val="0"/>
          <w:bCs w:val="0"/>
          <w:i/>
          <w:iCs/>
          <w:color w:val="A6A6A6" w:themeColor="background1" w:themeShade="A6"/>
          <w:sz w:val="24"/>
          <w:szCs w:val="24"/>
        </w:rPr>
      </w:pPr>
      <w:r w:rsidRPr="003717BD">
        <w:rPr>
          <w:rFonts w:asciiTheme="minorBidi" w:hAnsiTheme="minorBidi" w:cstheme="minorBidi"/>
          <w:b w:val="0"/>
          <w:bCs w:val="0"/>
          <w:i/>
          <w:iCs/>
          <w:color w:val="A6A6A6" w:themeColor="background1" w:themeShade="A6"/>
          <w:sz w:val="24"/>
          <w:szCs w:val="24"/>
        </w:rPr>
        <w:t>About the Arab NGO Network for Development: ANND is a regional network, working in 12 Arab countries with nine national networks (with an extended membership of 250 CSOs from different backgrounds) and 23 NGO members. ANND was established in 1997 and its headquarters is located in Beirut, Lebanon since 2000. ANND aims at strengthening the role of civil society, enhancing the values of democracy, respect of human rights and sustainable development in the region. ANND advocates for more sound and effective socio-economic reforms in the region, which integrate the concepts of sustainable development, gender justice, and the rights-based approach.</w:t>
      </w:r>
    </w:p>
    <w:p w:rsidR="003717BD" w:rsidRDefault="003717BD" w:rsidP="003717BD">
      <w:pPr>
        <w:pStyle w:val="Heading2"/>
        <w:spacing w:before="0" w:beforeAutospacing="0" w:after="0" w:afterAutospacing="0" w:line="276" w:lineRule="auto"/>
        <w:jc w:val="both"/>
        <w:rPr>
          <w:rFonts w:asciiTheme="minorBidi" w:hAnsiTheme="minorBidi" w:cstheme="minorBidi"/>
          <w:b w:val="0"/>
          <w:bCs w:val="0"/>
          <w:i/>
          <w:iCs/>
          <w:color w:val="A6A6A6" w:themeColor="background1" w:themeShade="A6"/>
          <w:sz w:val="24"/>
          <w:szCs w:val="24"/>
        </w:rPr>
      </w:pPr>
      <w:r w:rsidRPr="003717BD">
        <w:rPr>
          <w:rFonts w:asciiTheme="minorBidi" w:hAnsiTheme="minorBidi" w:cstheme="minorBidi"/>
          <w:b w:val="0"/>
          <w:bCs w:val="0"/>
          <w:i/>
          <w:iCs/>
          <w:color w:val="A6A6A6" w:themeColor="background1" w:themeShade="A6"/>
          <w:sz w:val="24"/>
          <w:szCs w:val="24"/>
        </w:rPr>
        <w:t xml:space="preserve">For more information: </w:t>
      </w:r>
      <w:hyperlink r:id="rId9" w:history="1">
        <w:r w:rsidRPr="003717BD">
          <w:rPr>
            <w:rStyle w:val="Hyperlink"/>
            <w:rFonts w:asciiTheme="minorBidi" w:hAnsiTheme="minorBidi" w:cstheme="minorBidi"/>
            <w:b w:val="0"/>
            <w:bCs w:val="0"/>
            <w:i/>
            <w:iCs/>
            <w:color w:val="A6A6A6" w:themeColor="background1" w:themeShade="A6"/>
            <w:sz w:val="24"/>
            <w:szCs w:val="24"/>
          </w:rPr>
          <w:t>www.annd.org</w:t>
        </w:r>
      </w:hyperlink>
      <w:r w:rsidRPr="003717BD">
        <w:rPr>
          <w:rFonts w:asciiTheme="minorBidi" w:hAnsiTheme="minorBidi" w:cstheme="minorBidi"/>
          <w:b w:val="0"/>
          <w:bCs w:val="0"/>
          <w:i/>
          <w:iCs/>
          <w:color w:val="A6A6A6" w:themeColor="background1" w:themeShade="A6"/>
          <w:sz w:val="24"/>
          <w:szCs w:val="24"/>
        </w:rPr>
        <w:t xml:space="preserve"> </w:t>
      </w:r>
    </w:p>
    <w:p w:rsidR="003717BD" w:rsidRPr="003717BD" w:rsidRDefault="003717BD" w:rsidP="003717BD">
      <w:pPr>
        <w:pStyle w:val="Heading2"/>
        <w:spacing w:before="0" w:beforeAutospacing="0" w:after="0" w:afterAutospacing="0" w:line="276" w:lineRule="auto"/>
        <w:jc w:val="both"/>
        <w:rPr>
          <w:rFonts w:asciiTheme="minorBidi" w:hAnsiTheme="minorBidi" w:cstheme="minorBidi"/>
          <w:b w:val="0"/>
          <w:bCs w:val="0"/>
          <w:i/>
          <w:iCs/>
          <w:color w:val="A6A6A6" w:themeColor="background1" w:themeShade="A6"/>
          <w:sz w:val="24"/>
          <w:szCs w:val="24"/>
        </w:rPr>
      </w:pPr>
      <w:r>
        <w:rPr>
          <w:rFonts w:asciiTheme="minorBidi" w:hAnsiTheme="minorBidi" w:cstheme="minorBidi"/>
          <w:b w:val="0"/>
          <w:bCs w:val="0"/>
          <w:i/>
          <w:iCs/>
          <w:color w:val="A6A6A6" w:themeColor="background1" w:themeShade="A6"/>
          <w:sz w:val="24"/>
          <w:szCs w:val="24"/>
        </w:rPr>
        <w:t xml:space="preserve">Contact: </w:t>
      </w:r>
      <w:hyperlink r:id="rId10" w:history="1">
        <w:r w:rsidRPr="00B17891">
          <w:rPr>
            <w:rStyle w:val="Hyperlink"/>
            <w:rFonts w:asciiTheme="minorBidi" w:hAnsiTheme="minorBidi" w:cstheme="minorBidi"/>
            <w:b w:val="0"/>
            <w:bCs w:val="0"/>
            <w:i/>
            <w:iCs/>
            <w:sz w:val="24"/>
            <w:szCs w:val="24"/>
            <w14:textFill>
              <w14:solidFill>
                <w14:srgbClr w14:val="0000FF">
                  <w14:lumMod w14:val="65000"/>
                </w14:srgbClr>
              </w14:solidFill>
            </w14:textFill>
          </w:rPr>
          <w:t>annd@annd.org</w:t>
        </w:r>
      </w:hyperlink>
      <w:r>
        <w:rPr>
          <w:rFonts w:asciiTheme="minorBidi" w:hAnsiTheme="minorBidi" w:cstheme="minorBidi"/>
          <w:b w:val="0"/>
          <w:bCs w:val="0"/>
          <w:i/>
          <w:iCs/>
          <w:color w:val="A6A6A6" w:themeColor="background1" w:themeShade="A6"/>
          <w:sz w:val="24"/>
          <w:szCs w:val="24"/>
        </w:rPr>
        <w:t xml:space="preserve"> </w:t>
      </w:r>
    </w:p>
    <w:p w:rsidR="003717BD" w:rsidRPr="003717BD" w:rsidRDefault="003717BD" w:rsidP="003717BD">
      <w:pPr>
        <w:pStyle w:val="Heading2"/>
        <w:spacing w:before="0" w:beforeAutospacing="0" w:after="0" w:afterAutospacing="0" w:line="276" w:lineRule="auto"/>
        <w:jc w:val="both"/>
        <w:rPr>
          <w:rFonts w:asciiTheme="minorBidi" w:hAnsiTheme="minorBidi" w:cstheme="minorBidi"/>
          <w:b w:val="0"/>
          <w:bCs w:val="0"/>
          <w:i/>
          <w:iCs/>
          <w:color w:val="A6A6A6" w:themeColor="background1" w:themeShade="A6"/>
          <w:sz w:val="24"/>
          <w:szCs w:val="24"/>
        </w:rPr>
      </w:pPr>
      <w:r w:rsidRPr="003717BD">
        <w:rPr>
          <w:rFonts w:asciiTheme="minorBidi" w:hAnsiTheme="minorBidi" w:cstheme="minorBidi"/>
          <w:b w:val="0"/>
          <w:bCs w:val="0"/>
          <w:i/>
          <w:iCs/>
          <w:color w:val="A6A6A6" w:themeColor="background1" w:themeShade="A6"/>
          <w:sz w:val="24"/>
          <w:szCs w:val="24"/>
        </w:rPr>
        <w:t xml:space="preserve">Facebook: </w:t>
      </w:r>
      <w:hyperlink r:id="rId11" w:history="1">
        <w:r w:rsidRPr="003717BD">
          <w:rPr>
            <w:rStyle w:val="Hyperlink"/>
            <w:rFonts w:asciiTheme="minorBidi" w:hAnsiTheme="minorBidi" w:cstheme="minorBidi"/>
            <w:b w:val="0"/>
            <w:bCs w:val="0"/>
            <w:i/>
            <w:iCs/>
            <w:color w:val="A6A6A6" w:themeColor="background1" w:themeShade="A6"/>
            <w:sz w:val="24"/>
            <w:szCs w:val="24"/>
          </w:rPr>
          <w:t>https://www.facebook.com/www.annd.org</w:t>
        </w:r>
      </w:hyperlink>
    </w:p>
    <w:p w:rsidR="003717BD" w:rsidRPr="003717BD" w:rsidRDefault="003717BD" w:rsidP="003717BD">
      <w:pPr>
        <w:pStyle w:val="Heading2"/>
        <w:spacing w:before="0" w:beforeAutospacing="0" w:after="0" w:afterAutospacing="0" w:line="276" w:lineRule="auto"/>
        <w:jc w:val="both"/>
        <w:rPr>
          <w:rFonts w:asciiTheme="minorBidi" w:hAnsiTheme="minorBidi" w:cstheme="minorBidi"/>
          <w:b w:val="0"/>
          <w:bCs w:val="0"/>
          <w:i/>
          <w:iCs/>
          <w:color w:val="A6A6A6" w:themeColor="background1" w:themeShade="A6"/>
          <w:sz w:val="24"/>
          <w:szCs w:val="24"/>
        </w:rPr>
      </w:pPr>
      <w:r w:rsidRPr="003717BD">
        <w:rPr>
          <w:rFonts w:asciiTheme="minorBidi" w:hAnsiTheme="minorBidi" w:cstheme="minorBidi"/>
          <w:b w:val="0"/>
          <w:bCs w:val="0"/>
          <w:i/>
          <w:iCs/>
          <w:color w:val="A6A6A6" w:themeColor="background1" w:themeShade="A6"/>
          <w:sz w:val="24"/>
          <w:szCs w:val="24"/>
        </w:rPr>
        <w:t>Twitter:</w:t>
      </w:r>
      <w:r w:rsidRPr="003717BD">
        <w:rPr>
          <w:i/>
          <w:iCs/>
          <w:color w:val="A6A6A6" w:themeColor="background1" w:themeShade="A6"/>
        </w:rPr>
        <w:t xml:space="preserve"> </w:t>
      </w:r>
      <w:hyperlink r:id="rId12" w:history="1">
        <w:r w:rsidRPr="003717BD">
          <w:rPr>
            <w:rStyle w:val="Hyperlink"/>
            <w:rFonts w:asciiTheme="minorBidi" w:hAnsiTheme="minorBidi" w:cstheme="minorBidi"/>
            <w:b w:val="0"/>
            <w:bCs w:val="0"/>
            <w:i/>
            <w:iCs/>
            <w:color w:val="A6A6A6" w:themeColor="background1" w:themeShade="A6"/>
            <w:sz w:val="24"/>
            <w:szCs w:val="24"/>
          </w:rPr>
          <w:t>https://twitter.com/ArabNGONetwork</w:t>
        </w:r>
      </w:hyperlink>
      <w:r w:rsidRPr="003717BD">
        <w:rPr>
          <w:rFonts w:asciiTheme="minorBidi" w:hAnsiTheme="minorBidi" w:cstheme="minorBidi"/>
          <w:b w:val="0"/>
          <w:bCs w:val="0"/>
          <w:i/>
          <w:iCs/>
          <w:color w:val="A6A6A6" w:themeColor="background1" w:themeShade="A6"/>
          <w:sz w:val="24"/>
          <w:szCs w:val="24"/>
        </w:rPr>
        <w:t xml:space="preserve"> </w:t>
      </w:r>
    </w:p>
    <w:p w:rsidR="003717BD" w:rsidRPr="00D92922" w:rsidRDefault="003717BD" w:rsidP="003717BD">
      <w:pPr>
        <w:pStyle w:val="Heading2"/>
        <w:spacing w:before="0" w:beforeAutospacing="0" w:after="0" w:afterAutospacing="0" w:line="276" w:lineRule="auto"/>
        <w:jc w:val="both"/>
        <w:rPr>
          <w:rFonts w:asciiTheme="minorBidi" w:hAnsiTheme="minorBidi" w:cstheme="minorBidi"/>
          <w:b w:val="0"/>
          <w:bCs w:val="0"/>
          <w:sz w:val="24"/>
          <w:szCs w:val="24"/>
        </w:rPr>
      </w:pPr>
    </w:p>
    <w:sectPr w:rsidR="003717BD" w:rsidRPr="00D92922" w:rsidSect="003717BD">
      <w:pgSz w:w="12240" w:h="15840"/>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D2E" w:rsidRDefault="00AA7D2E" w:rsidP="008B57D1">
      <w:pPr>
        <w:spacing w:after="0" w:line="240" w:lineRule="auto"/>
      </w:pPr>
      <w:r>
        <w:separator/>
      </w:r>
    </w:p>
  </w:endnote>
  <w:endnote w:type="continuationSeparator" w:id="0">
    <w:p w:rsidR="00AA7D2E" w:rsidRDefault="00AA7D2E" w:rsidP="008B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D2E" w:rsidRDefault="00AA7D2E" w:rsidP="008B57D1">
      <w:pPr>
        <w:spacing w:after="0" w:line="240" w:lineRule="auto"/>
      </w:pPr>
      <w:r>
        <w:separator/>
      </w:r>
    </w:p>
  </w:footnote>
  <w:footnote w:type="continuationSeparator" w:id="0">
    <w:p w:rsidR="00AA7D2E" w:rsidRDefault="00AA7D2E" w:rsidP="008B57D1">
      <w:pPr>
        <w:spacing w:after="0" w:line="240" w:lineRule="auto"/>
      </w:pPr>
      <w:r>
        <w:continuationSeparator/>
      </w:r>
    </w:p>
  </w:footnote>
  <w:footnote w:id="1">
    <w:p w:rsidR="00B87A40" w:rsidRPr="00B87A40" w:rsidRDefault="00B87A40">
      <w:pPr>
        <w:pStyle w:val="FootnoteText"/>
        <w:rPr>
          <w:lang w:val="tr-TR"/>
        </w:rPr>
      </w:pPr>
      <w:r>
        <w:rPr>
          <w:rStyle w:val="FootnoteReference"/>
        </w:rPr>
        <w:footnoteRef/>
      </w:r>
      <w:r>
        <w:t xml:space="preserve"> </w:t>
      </w:r>
      <w:r w:rsidRPr="00B87A40">
        <w:t>https://www.ochaopt.org/50Stories/</w:t>
      </w:r>
    </w:p>
  </w:footnote>
  <w:footnote w:id="2">
    <w:p w:rsidR="008C75CF" w:rsidRPr="008C75CF" w:rsidRDefault="008C75CF" w:rsidP="00A8603B">
      <w:pPr>
        <w:pStyle w:val="FootnoteText"/>
        <w:tabs>
          <w:tab w:val="clear" w:pos="1021"/>
        </w:tabs>
        <w:ind w:left="0" w:firstLine="0"/>
        <w:jc w:val="both"/>
        <w:rPr>
          <w:lang w:val="tr-TR"/>
        </w:rPr>
      </w:pPr>
      <w:r>
        <w:rPr>
          <w:rStyle w:val="FootnoteReference"/>
        </w:rPr>
        <w:footnoteRef/>
      </w:r>
      <w:r w:rsidRPr="003717BD">
        <w:rPr>
          <w:lang w:val="tr-TR"/>
        </w:rPr>
        <w:t>https://www.google.com.tr/url?sa=t&amp;rct=j&amp;q=&amp;esrc=s&amp;source=web&amp;cd=2&amp;ved=0ahUKEwjeg7fvspXWAhUB1BoKHXNCBU0QFgguMAE&amp;url=http%3A%2F%2Fwww.ohchr.org%2FEN%2FHRBodies%2FHRC%2FRegularSessions%2FSession34%2FDocuments%2FA_HRC_34_38_AUV.docx&amp;usg=AFQjCNF7yaND2J1lAnygqdOcTWzAGMam1g</w:t>
      </w:r>
    </w:p>
  </w:footnote>
  <w:footnote w:id="3">
    <w:p w:rsidR="00B87A40" w:rsidRPr="00B87A40" w:rsidRDefault="00B87A40" w:rsidP="00B87A40">
      <w:pPr>
        <w:pStyle w:val="FootnoteText"/>
        <w:tabs>
          <w:tab w:val="clear" w:pos="1021"/>
          <w:tab w:val="right" w:pos="0"/>
        </w:tabs>
        <w:ind w:left="0" w:firstLine="0"/>
        <w:rPr>
          <w:lang w:val="tr-TR"/>
        </w:rPr>
      </w:pPr>
      <w:r>
        <w:rPr>
          <w:rStyle w:val="FootnoteReference"/>
        </w:rPr>
        <w:footnoteRef/>
      </w:r>
      <w:r w:rsidRPr="00B87A40">
        <w:rPr>
          <w:lang w:val="tr-TR"/>
        </w:rPr>
        <w:t xml:space="preserve"> http://www.alhaq.org/advocacy/topics/right-to-life-and-body-integrity</w:t>
      </w:r>
    </w:p>
  </w:footnote>
  <w:footnote w:id="4">
    <w:p w:rsidR="000A0DE2" w:rsidRPr="000A0DE2" w:rsidRDefault="000A0DE2">
      <w:pPr>
        <w:pStyle w:val="FootnoteText"/>
        <w:rPr>
          <w:lang w:val="tr-TR"/>
        </w:rPr>
      </w:pPr>
      <w:r>
        <w:rPr>
          <w:rStyle w:val="FootnoteReference"/>
        </w:rPr>
        <w:footnoteRef/>
      </w:r>
      <w:r w:rsidRPr="000A0DE2">
        <w:rPr>
          <w:lang w:val="tr-TR"/>
        </w:rPr>
        <w:t xml:space="preserve"> http://www.unhcr.org/figures-at-a-glance.html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51B0"/>
    <w:multiLevelType w:val="hybridMultilevel"/>
    <w:tmpl w:val="D0F4D3E8"/>
    <w:lvl w:ilvl="0" w:tplc="E1EEE7BA">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25E801DC"/>
    <w:multiLevelType w:val="multilevel"/>
    <w:tmpl w:val="FB602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8CA"/>
    <w:rsid w:val="00012143"/>
    <w:rsid w:val="00045659"/>
    <w:rsid w:val="000A0DE2"/>
    <w:rsid w:val="000F03EC"/>
    <w:rsid w:val="001575F9"/>
    <w:rsid w:val="00206E25"/>
    <w:rsid w:val="003717BD"/>
    <w:rsid w:val="00373A4D"/>
    <w:rsid w:val="003D46A3"/>
    <w:rsid w:val="00416083"/>
    <w:rsid w:val="00735B3C"/>
    <w:rsid w:val="008B57D1"/>
    <w:rsid w:val="008C75CF"/>
    <w:rsid w:val="00A8603B"/>
    <w:rsid w:val="00AA7D2E"/>
    <w:rsid w:val="00B87A40"/>
    <w:rsid w:val="00CE6070"/>
    <w:rsid w:val="00D35631"/>
    <w:rsid w:val="00D92922"/>
    <w:rsid w:val="00E03216"/>
    <w:rsid w:val="00F108CA"/>
    <w:rsid w:val="00F30F7E"/>
    <w:rsid w:val="00F71127"/>
    <w:rsid w:val="00FF4D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594FBE-689B-4E9E-A95E-B72F3550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160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108CA"/>
    <w:rPr>
      <w:b/>
      <w:bCs/>
    </w:rPr>
  </w:style>
  <w:style w:type="character" w:styleId="Hyperlink">
    <w:name w:val="Hyperlink"/>
    <w:basedOn w:val="DefaultParagraphFont"/>
    <w:uiPriority w:val="99"/>
    <w:unhideWhenUsed/>
    <w:rsid w:val="00F108CA"/>
    <w:rPr>
      <w:color w:val="0000FF"/>
      <w:u w:val="single"/>
    </w:rPr>
  </w:style>
  <w:style w:type="character" w:customStyle="1" w:styleId="Heading2Char">
    <w:name w:val="Heading 2 Char"/>
    <w:basedOn w:val="DefaultParagraphFont"/>
    <w:link w:val="Heading2"/>
    <w:uiPriority w:val="9"/>
    <w:rsid w:val="00416083"/>
    <w:rPr>
      <w:rFonts w:ascii="Times New Roman" w:eastAsia="Times New Roman" w:hAnsi="Times New Roman" w:cs="Times New Roman"/>
      <w:b/>
      <w:bCs/>
      <w:sz w:val="36"/>
      <w:szCs w:val="36"/>
    </w:rPr>
  </w:style>
  <w:style w:type="paragraph" w:customStyle="1" w:styleId="SingleTxtG">
    <w:name w:val="_ Single Txt_G"/>
    <w:basedOn w:val="Normal"/>
    <w:link w:val="SingleTxtGChar"/>
    <w:qFormat/>
    <w:rsid w:val="008B57D1"/>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paragraph" w:styleId="FootnoteText">
    <w:name w:val="footnote text"/>
    <w:aliases w:val="5_G,Footnote Text Char Char1,Footnote Text Char1 Char Char1,Footnote Text Char Char1 Char Char,Footnote Text Char1 Char Char1 Char Char,ft Char Char Char Char Char,Geneva 9 Char Char Char Char Char,fn,Footnote Text Char1"/>
    <w:basedOn w:val="Normal"/>
    <w:link w:val="FootnoteTextChar"/>
    <w:uiPriority w:val="99"/>
    <w:qFormat/>
    <w:rsid w:val="008B57D1"/>
    <w:pPr>
      <w:tabs>
        <w:tab w:val="right" w:pos="1021"/>
      </w:tabs>
      <w:suppressAutoHyphens/>
      <w:spacing w:after="0" w:line="220" w:lineRule="exact"/>
      <w:ind w:left="1134" w:right="1134" w:hanging="1134"/>
    </w:pPr>
    <w:rPr>
      <w:rFonts w:ascii="Times New Roman" w:eastAsia="Times New Roman" w:hAnsi="Times New Roman" w:cs="Times New Roman"/>
      <w:sz w:val="18"/>
      <w:szCs w:val="20"/>
      <w:lang w:val="en-GB"/>
    </w:rPr>
  </w:style>
  <w:style w:type="character" w:customStyle="1" w:styleId="FootnoteTextChar">
    <w:name w:val="Footnote Text Char"/>
    <w:aliases w:val="5_G Char,Footnote Text Char Char1 Char,Footnote Text Char1 Char Char1 Char,Footnote Text Char Char1 Char Char Char,Footnote Text Char1 Char Char1 Char Char Char,ft Char Char Char Char Char Char,Geneva 9 Char Char Char Char Char Char"/>
    <w:basedOn w:val="DefaultParagraphFont"/>
    <w:link w:val="FootnoteText"/>
    <w:uiPriority w:val="99"/>
    <w:rsid w:val="008B57D1"/>
    <w:rPr>
      <w:rFonts w:ascii="Times New Roman" w:eastAsia="Times New Roman" w:hAnsi="Times New Roman" w:cs="Times New Roman"/>
      <w:sz w:val="18"/>
      <w:szCs w:val="20"/>
      <w:lang w:val="en-GB"/>
    </w:rPr>
  </w:style>
  <w:style w:type="character" w:styleId="FootnoteReference">
    <w:name w:val="footnote reference"/>
    <w:aliases w:val="4_G,4_G Zchn Zchn,Footnote Zchn Zchn,callout Zchn Zchn,Footnote Refernece Zchn Zchn,Footnote Reference Number Zchn Zchn,Fußnotenzeichen_Raxen Zchn Zchn,BVI fnr Zchn Zchn,Fago Fußnotenzeichen Zchn Zchn,Footnotes refss Zchn Zchn,ftref"/>
    <w:basedOn w:val="DefaultParagraphFont"/>
    <w:link w:val="4GZchn"/>
    <w:uiPriority w:val="99"/>
    <w:qFormat/>
    <w:rsid w:val="008B57D1"/>
    <w:rPr>
      <w:rFonts w:ascii="Times New Roman" w:hAnsi="Times New Roman"/>
      <w:sz w:val="18"/>
      <w:vertAlign w:val="superscript"/>
    </w:rPr>
  </w:style>
  <w:style w:type="paragraph" w:customStyle="1" w:styleId="4GZchn">
    <w:name w:val="4_G Zchn"/>
    <w:aliases w:val="Footnote Zchn,callout Zchn,Footnote Refernece Zchn,Footnote Reference Number Zchn,Fußnotenzeichen_Raxen Zchn,BVI fnr Zchn,Fago Fußnotenzeichen Zchn,Footnotes refss Zchn,Style 10 Zchn,ftref Zchn,16 Point Zchn,Ref Zchn"/>
    <w:basedOn w:val="Normal"/>
    <w:link w:val="FootnoteReference"/>
    <w:uiPriority w:val="99"/>
    <w:rsid w:val="008B57D1"/>
    <w:pPr>
      <w:spacing w:line="240" w:lineRule="exact"/>
    </w:pPr>
    <w:rPr>
      <w:rFonts w:ascii="Times New Roman" w:hAnsi="Times New Roman"/>
      <w:sz w:val="18"/>
      <w:vertAlign w:val="superscript"/>
    </w:rPr>
  </w:style>
  <w:style w:type="character" w:customStyle="1" w:styleId="SingleTxtGChar">
    <w:name w:val="_ Single Txt_G Char"/>
    <w:link w:val="SingleTxtG"/>
    <w:rsid w:val="008B57D1"/>
    <w:rPr>
      <w:rFonts w:ascii="Times New Roman" w:eastAsia="Times New Roman" w:hAnsi="Times New Roman" w:cs="Times New Roman"/>
      <w:sz w:val="20"/>
      <w:szCs w:val="20"/>
      <w:lang w:val="en-GB"/>
    </w:rPr>
  </w:style>
  <w:style w:type="paragraph" w:styleId="NormalWeb">
    <w:name w:val="Normal (Web)"/>
    <w:basedOn w:val="Normal"/>
    <w:uiPriority w:val="99"/>
    <w:semiHidden/>
    <w:unhideWhenUsed/>
    <w:rsid w:val="008B57D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B57D1"/>
    <w:rPr>
      <w:i/>
      <w:iC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uiPriority w:val="99"/>
    <w:qFormat/>
    <w:rsid w:val="008C75CF"/>
    <w:pPr>
      <w:spacing w:line="240" w:lineRule="exact"/>
    </w:pPr>
    <w:rPr>
      <w:sz w:val="18"/>
      <w:vertAlign w:val="superscript"/>
    </w:rPr>
  </w:style>
  <w:style w:type="character" w:customStyle="1" w:styleId="highlight">
    <w:name w:val="highlight"/>
    <w:basedOn w:val="DefaultParagraphFont"/>
    <w:rsid w:val="000A0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75577">
      <w:bodyDiv w:val="1"/>
      <w:marLeft w:val="0"/>
      <w:marRight w:val="0"/>
      <w:marTop w:val="0"/>
      <w:marBottom w:val="0"/>
      <w:divBdr>
        <w:top w:val="none" w:sz="0" w:space="0" w:color="auto"/>
        <w:left w:val="none" w:sz="0" w:space="0" w:color="auto"/>
        <w:bottom w:val="none" w:sz="0" w:space="0" w:color="auto"/>
        <w:right w:val="none" w:sz="0" w:space="0" w:color="auto"/>
      </w:divBdr>
    </w:div>
    <w:div w:id="878669327">
      <w:bodyDiv w:val="1"/>
      <w:marLeft w:val="0"/>
      <w:marRight w:val="0"/>
      <w:marTop w:val="0"/>
      <w:marBottom w:val="0"/>
      <w:divBdr>
        <w:top w:val="none" w:sz="0" w:space="0" w:color="auto"/>
        <w:left w:val="none" w:sz="0" w:space="0" w:color="auto"/>
        <w:bottom w:val="none" w:sz="0" w:space="0" w:color="auto"/>
        <w:right w:val="none" w:sz="0" w:space="0" w:color="auto"/>
      </w:divBdr>
    </w:div>
    <w:div w:id="1053770458">
      <w:bodyDiv w:val="1"/>
      <w:marLeft w:val="0"/>
      <w:marRight w:val="0"/>
      <w:marTop w:val="0"/>
      <w:marBottom w:val="0"/>
      <w:divBdr>
        <w:top w:val="none" w:sz="0" w:space="0" w:color="auto"/>
        <w:left w:val="none" w:sz="0" w:space="0" w:color="auto"/>
        <w:bottom w:val="none" w:sz="0" w:space="0" w:color="auto"/>
        <w:right w:val="none" w:sz="0" w:space="0" w:color="auto"/>
      </w:divBdr>
    </w:div>
    <w:div w:id="1192457750">
      <w:bodyDiv w:val="1"/>
      <w:marLeft w:val="0"/>
      <w:marRight w:val="0"/>
      <w:marTop w:val="0"/>
      <w:marBottom w:val="0"/>
      <w:divBdr>
        <w:top w:val="none" w:sz="0" w:space="0" w:color="auto"/>
        <w:left w:val="none" w:sz="0" w:space="0" w:color="auto"/>
        <w:bottom w:val="none" w:sz="0" w:space="0" w:color="auto"/>
        <w:right w:val="none" w:sz="0" w:space="0" w:color="auto"/>
      </w:divBdr>
    </w:div>
    <w:div w:id="1321009375">
      <w:bodyDiv w:val="1"/>
      <w:marLeft w:val="0"/>
      <w:marRight w:val="0"/>
      <w:marTop w:val="0"/>
      <w:marBottom w:val="0"/>
      <w:divBdr>
        <w:top w:val="none" w:sz="0" w:space="0" w:color="auto"/>
        <w:left w:val="none" w:sz="0" w:space="0" w:color="auto"/>
        <w:bottom w:val="none" w:sz="0" w:space="0" w:color="auto"/>
        <w:right w:val="none" w:sz="0" w:space="0" w:color="auto"/>
      </w:divBdr>
    </w:div>
    <w:div w:id="1605263700">
      <w:bodyDiv w:val="1"/>
      <w:marLeft w:val="0"/>
      <w:marRight w:val="0"/>
      <w:marTop w:val="0"/>
      <w:marBottom w:val="0"/>
      <w:divBdr>
        <w:top w:val="none" w:sz="0" w:space="0" w:color="auto"/>
        <w:left w:val="none" w:sz="0" w:space="0" w:color="auto"/>
        <w:bottom w:val="none" w:sz="0" w:space="0" w:color="auto"/>
        <w:right w:val="none" w:sz="0" w:space="0" w:color="auto"/>
      </w:divBdr>
    </w:div>
    <w:div w:id="1852840039">
      <w:bodyDiv w:val="1"/>
      <w:marLeft w:val="0"/>
      <w:marRight w:val="0"/>
      <w:marTop w:val="0"/>
      <w:marBottom w:val="0"/>
      <w:divBdr>
        <w:top w:val="none" w:sz="0" w:space="0" w:color="auto"/>
        <w:left w:val="none" w:sz="0" w:space="0" w:color="auto"/>
        <w:bottom w:val="none" w:sz="0" w:space="0" w:color="auto"/>
        <w:right w:val="none" w:sz="0" w:space="0" w:color="auto"/>
      </w:divBdr>
      <w:divsChild>
        <w:div w:id="1101608892">
          <w:marLeft w:val="0"/>
          <w:marRight w:val="0"/>
          <w:marTop w:val="0"/>
          <w:marBottom w:val="0"/>
          <w:divBdr>
            <w:top w:val="none" w:sz="0" w:space="0" w:color="auto"/>
            <w:left w:val="none" w:sz="0" w:space="0" w:color="auto"/>
            <w:bottom w:val="none" w:sz="0" w:space="0" w:color="auto"/>
            <w:right w:val="none" w:sz="0" w:space="0" w:color="auto"/>
          </w:divBdr>
        </w:div>
        <w:div w:id="1271282154">
          <w:marLeft w:val="0"/>
          <w:marRight w:val="0"/>
          <w:marTop w:val="0"/>
          <w:marBottom w:val="0"/>
          <w:divBdr>
            <w:top w:val="none" w:sz="0" w:space="0" w:color="auto"/>
            <w:left w:val="none" w:sz="0" w:space="0" w:color="auto"/>
            <w:bottom w:val="none" w:sz="0" w:space="0" w:color="auto"/>
            <w:right w:val="none" w:sz="0" w:space="0" w:color="auto"/>
          </w:divBdr>
        </w:div>
        <w:div w:id="1354577623">
          <w:marLeft w:val="0"/>
          <w:marRight w:val="0"/>
          <w:marTop w:val="0"/>
          <w:marBottom w:val="0"/>
          <w:divBdr>
            <w:top w:val="none" w:sz="0" w:space="0" w:color="auto"/>
            <w:left w:val="none" w:sz="0" w:space="0" w:color="auto"/>
            <w:bottom w:val="none" w:sz="0" w:space="0" w:color="auto"/>
            <w:right w:val="none" w:sz="0" w:space="0" w:color="auto"/>
          </w:divBdr>
        </w:div>
        <w:div w:id="1979457881">
          <w:marLeft w:val="0"/>
          <w:marRight w:val="0"/>
          <w:marTop w:val="0"/>
          <w:marBottom w:val="0"/>
          <w:divBdr>
            <w:top w:val="none" w:sz="0" w:space="0" w:color="auto"/>
            <w:left w:val="none" w:sz="0" w:space="0" w:color="auto"/>
            <w:bottom w:val="none" w:sz="0" w:space="0" w:color="auto"/>
            <w:right w:val="none" w:sz="0" w:space="0" w:color="auto"/>
          </w:divBdr>
        </w:div>
        <w:div w:id="1819377545">
          <w:marLeft w:val="0"/>
          <w:marRight w:val="0"/>
          <w:marTop w:val="0"/>
          <w:marBottom w:val="0"/>
          <w:divBdr>
            <w:top w:val="none" w:sz="0" w:space="0" w:color="auto"/>
            <w:left w:val="none" w:sz="0" w:space="0" w:color="auto"/>
            <w:bottom w:val="none" w:sz="0" w:space="0" w:color="auto"/>
            <w:right w:val="none" w:sz="0" w:space="0" w:color="auto"/>
          </w:divBdr>
        </w:div>
        <w:div w:id="1234777172">
          <w:marLeft w:val="0"/>
          <w:marRight w:val="0"/>
          <w:marTop w:val="0"/>
          <w:marBottom w:val="0"/>
          <w:divBdr>
            <w:top w:val="none" w:sz="0" w:space="0" w:color="auto"/>
            <w:left w:val="none" w:sz="0" w:space="0" w:color="auto"/>
            <w:bottom w:val="none" w:sz="0" w:space="0" w:color="auto"/>
            <w:right w:val="none" w:sz="0" w:space="0" w:color="auto"/>
          </w:divBdr>
        </w:div>
        <w:div w:id="255482248">
          <w:marLeft w:val="0"/>
          <w:marRight w:val="0"/>
          <w:marTop w:val="0"/>
          <w:marBottom w:val="0"/>
          <w:divBdr>
            <w:top w:val="none" w:sz="0" w:space="0" w:color="auto"/>
            <w:left w:val="none" w:sz="0" w:space="0" w:color="auto"/>
            <w:bottom w:val="none" w:sz="0" w:space="0" w:color="auto"/>
            <w:right w:val="none" w:sz="0" w:space="0" w:color="auto"/>
          </w:divBdr>
        </w:div>
        <w:div w:id="1263681050">
          <w:marLeft w:val="0"/>
          <w:marRight w:val="0"/>
          <w:marTop w:val="0"/>
          <w:marBottom w:val="0"/>
          <w:divBdr>
            <w:top w:val="none" w:sz="0" w:space="0" w:color="auto"/>
            <w:left w:val="none" w:sz="0" w:space="0" w:color="auto"/>
            <w:bottom w:val="none" w:sz="0" w:space="0" w:color="auto"/>
            <w:right w:val="none" w:sz="0" w:space="0" w:color="auto"/>
          </w:divBdr>
        </w:div>
        <w:div w:id="9256142">
          <w:marLeft w:val="0"/>
          <w:marRight w:val="0"/>
          <w:marTop w:val="0"/>
          <w:marBottom w:val="0"/>
          <w:divBdr>
            <w:top w:val="none" w:sz="0" w:space="0" w:color="auto"/>
            <w:left w:val="none" w:sz="0" w:space="0" w:color="auto"/>
            <w:bottom w:val="none" w:sz="0" w:space="0" w:color="auto"/>
            <w:right w:val="none" w:sz="0" w:space="0" w:color="auto"/>
          </w:divBdr>
        </w:div>
        <w:div w:id="1287545515">
          <w:marLeft w:val="0"/>
          <w:marRight w:val="0"/>
          <w:marTop w:val="0"/>
          <w:marBottom w:val="0"/>
          <w:divBdr>
            <w:top w:val="none" w:sz="0" w:space="0" w:color="auto"/>
            <w:left w:val="none" w:sz="0" w:space="0" w:color="auto"/>
            <w:bottom w:val="none" w:sz="0" w:space="0" w:color="auto"/>
            <w:right w:val="none" w:sz="0" w:space="0" w:color="auto"/>
          </w:divBdr>
        </w:div>
        <w:div w:id="1837266018">
          <w:marLeft w:val="0"/>
          <w:marRight w:val="0"/>
          <w:marTop w:val="0"/>
          <w:marBottom w:val="0"/>
          <w:divBdr>
            <w:top w:val="none" w:sz="0" w:space="0" w:color="auto"/>
            <w:left w:val="none" w:sz="0" w:space="0" w:color="auto"/>
            <w:bottom w:val="none" w:sz="0" w:space="0" w:color="auto"/>
            <w:right w:val="none" w:sz="0" w:space="0" w:color="auto"/>
          </w:divBdr>
        </w:div>
        <w:div w:id="1890453268">
          <w:marLeft w:val="0"/>
          <w:marRight w:val="0"/>
          <w:marTop w:val="0"/>
          <w:marBottom w:val="0"/>
          <w:divBdr>
            <w:top w:val="none" w:sz="0" w:space="0" w:color="auto"/>
            <w:left w:val="none" w:sz="0" w:space="0" w:color="auto"/>
            <w:bottom w:val="none" w:sz="0" w:space="0" w:color="auto"/>
            <w:right w:val="none" w:sz="0" w:space="0" w:color="auto"/>
          </w:divBdr>
        </w:div>
        <w:div w:id="616529150">
          <w:marLeft w:val="0"/>
          <w:marRight w:val="0"/>
          <w:marTop w:val="0"/>
          <w:marBottom w:val="0"/>
          <w:divBdr>
            <w:top w:val="none" w:sz="0" w:space="0" w:color="auto"/>
            <w:left w:val="none" w:sz="0" w:space="0" w:color="auto"/>
            <w:bottom w:val="none" w:sz="0" w:space="0" w:color="auto"/>
            <w:right w:val="none" w:sz="0" w:space="0" w:color="auto"/>
          </w:divBdr>
        </w:div>
        <w:div w:id="1258710083">
          <w:marLeft w:val="0"/>
          <w:marRight w:val="0"/>
          <w:marTop w:val="0"/>
          <w:marBottom w:val="0"/>
          <w:divBdr>
            <w:top w:val="none" w:sz="0" w:space="0" w:color="auto"/>
            <w:left w:val="none" w:sz="0" w:space="0" w:color="auto"/>
            <w:bottom w:val="none" w:sz="0" w:space="0" w:color="auto"/>
            <w:right w:val="none" w:sz="0" w:space="0" w:color="auto"/>
          </w:divBdr>
        </w:div>
        <w:div w:id="241567496">
          <w:marLeft w:val="0"/>
          <w:marRight w:val="0"/>
          <w:marTop w:val="0"/>
          <w:marBottom w:val="0"/>
          <w:divBdr>
            <w:top w:val="none" w:sz="0" w:space="0" w:color="auto"/>
            <w:left w:val="none" w:sz="0" w:space="0" w:color="auto"/>
            <w:bottom w:val="none" w:sz="0" w:space="0" w:color="auto"/>
            <w:right w:val="none" w:sz="0" w:space="0" w:color="auto"/>
          </w:divBdr>
        </w:div>
        <w:div w:id="1172914907">
          <w:marLeft w:val="0"/>
          <w:marRight w:val="0"/>
          <w:marTop w:val="0"/>
          <w:marBottom w:val="0"/>
          <w:divBdr>
            <w:top w:val="none" w:sz="0" w:space="0" w:color="auto"/>
            <w:left w:val="none" w:sz="0" w:space="0" w:color="auto"/>
            <w:bottom w:val="none" w:sz="0" w:space="0" w:color="auto"/>
            <w:right w:val="none" w:sz="0" w:space="0" w:color="auto"/>
          </w:divBdr>
        </w:div>
      </w:divsChild>
    </w:div>
    <w:div w:id="205384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ArabNGONetwork"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www.annd.org"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annd@annd.org" TargetMode="External"/><Relationship Id="rId4" Type="http://schemas.openxmlformats.org/officeDocument/2006/relationships/settings" Target="settings.xml"/><Relationship Id="rId9" Type="http://schemas.openxmlformats.org/officeDocument/2006/relationships/hyperlink" Target="http://www.annd.org"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AA236F-28B1-49E6-B6B3-1525B3850D5D}">
  <ds:schemaRefs>
    <ds:schemaRef ds:uri="http://schemas.openxmlformats.org/officeDocument/2006/bibliography"/>
  </ds:schemaRefs>
</ds:datastoreItem>
</file>

<file path=customXml/itemProps2.xml><?xml version="1.0" encoding="utf-8"?>
<ds:datastoreItem xmlns:ds="http://schemas.openxmlformats.org/officeDocument/2006/customXml" ds:itemID="{5D6B3F5A-BFB1-44D0-AF56-90E852435598}"/>
</file>

<file path=customXml/itemProps3.xml><?xml version="1.0" encoding="utf-8"?>
<ds:datastoreItem xmlns:ds="http://schemas.openxmlformats.org/officeDocument/2006/customXml" ds:itemID="{FB867841-D187-4AEE-A3AF-A91E0E1CF19E}"/>
</file>

<file path=customXml/itemProps4.xml><?xml version="1.0" encoding="utf-8"?>
<ds:datastoreItem xmlns:ds="http://schemas.openxmlformats.org/officeDocument/2006/customXml" ds:itemID="{59D78B23-8202-400E-B31A-8A0AB752D4C1}"/>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4697</Characters>
  <Application>Microsoft Office Word</Application>
  <DocSecurity>0</DocSecurity>
  <Lines>39</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Arab NGO Network Development in English</dc:title>
  <dc:subject/>
  <dc:creator>BİHTER</dc:creator>
  <cp:keywords/>
  <dc:description/>
  <cp:lastModifiedBy>Durnescu Lilian</cp:lastModifiedBy>
  <cp:revision>2</cp:revision>
  <dcterms:created xsi:type="dcterms:W3CDTF">2017-09-18T08:20:00Z</dcterms:created>
  <dcterms:modified xsi:type="dcterms:W3CDTF">2017-09-18T08:20:00Z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