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37" w:rsidRDefault="007F35F6">
      <w:pPr>
        <w:pStyle w:val="Default"/>
        <w:spacing w:line="480" w:lineRule="atLeast"/>
        <w:jc w:val="center"/>
        <w:rPr>
          <w:rFonts w:ascii="Times New Roman" w:eastAsia="Times New Roman" w:hAnsi="Times New Roman" w:cs="Times New Roman"/>
          <w:b/>
          <w:bCs/>
          <w:sz w:val="28"/>
          <w:szCs w:val="28"/>
          <w:shd w:val="clear" w:color="auto" w:fill="FFFFFF"/>
        </w:rPr>
      </w:pPr>
      <w:bookmarkStart w:id="0" w:name="_GoBack"/>
      <w:bookmarkEnd w:id="0"/>
      <w:r>
        <w:rPr>
          <w:rFonts w:ascii="Times New Roman" w:hAnsi="Times New Roman"/>
          <w:b/>
          <w:bCs/>
          <w:sz w:val="28"/>
          <w:szCs w:val="28"/>
          <w:shd w:val="clear" w:color="auto" w:fill="FFFFFF"/>
        </w:rPr>
        <w:t xml:space="preserve">Comments on the Draft General Comment on Article 6 of the International Covenant on Civil and Political Rights </w:t>
      </w:r>
      <w:r>
        <w:rPr>
          <w:rFonts w:ascii="Times New Roman" w:hAnsi="Times New Roman"/>
          <w:b/>
          <w:bCs/>
          <w:sz w:val="28"/>
          <w:szCs w:val="28"/>
          <w:shd w:val="clear" w:color="auto" w:fill="FFFFFF"/>
        </w:rPr>
        <w:t xml:space="preserve">– </w:t>
      </w:r>
      <w:r>
        <w:rPr>
          <w:rFonts w:ascii="Times New Roman" w:hAnsi="Times New Roman"/>
          <w:b/>
          <w:bCs/>
          <w:sz w:val="28"/>
          <w:szCs w:val="28"/>
          <w:shd w:val="clear" w:color="auto" w:fill="FFFFFF"/>
        </w:rPr>
        <w:t>Right to life</w:t>
      </w:r>
    </w:p>
    <w:p w:rsidR="00373837" w:rsidRDefault="00373837">
      <w:pPr>
        <w:pStyle w:val="Body"/>
      </w:pPr>
    </w:p>
    <w:p w:rsidR="00373837" w:rsidRDefault="007F35F6">
      <w:pPr>
        <w:pStyle w:val="Body"/>
        <w:rPr>
          <w:rFonts w:ascii="Times New Roman" w:eastAsia="Times New Roman" w:hAnsi="Times New Roman" w:cs="Times New Roman"/>
          <w:sz w:val="24"/>
          <w:szCs w:val="24"/>
          <w:lang w:val="en-US"/>
        </w:rPr>
      </w:pPr>
      <w:r>
        <w:rPr>
          <w:rFonts w:ascii="Times New Roman" w:hAnsi="Times New Roman"/>
          <w:sz w:val="24"/>
          <w:szCs w:val="24"/>
          <w:lang w:val="en-US"/>
        </w:rPr>
        <w:t>I welcome the UN HRC</w:t>
      </w:r>
      <w:r>
        <w:rPr>
          <w:rFonts w:ascii="Times New Roman" w:hAnsi="Times New Roman"/>
          <w:sz w:val="24"/>
          <w:szCs w:val="24"/>
          <w:lang w:val="en-US"/>
        </w:rPr>
        <w:t>’</w:t>
      </w:r>
      <w:r>
        <w:rPr>
          <w:rFonts w:ascii="Times New Roman" w:hAnsi="Times New Roman"/>
          <w:sz w:val="24"/>
          <w:szCs w:val="24"/>
          <w:lang w:val="en-US"/>
        </w:rPr>
        <w:t xml:space="preserve">s expansive interpretation of the right to life as enshrined in Article 6 of the ICCPR. As the UN HRC has affirmed in paragraph 30 of the Draft General Comment, the right to life </w:t>
      </w:r>
      <w:proofErr w:type="gramStart"/>
      <w:r>
        <w:rPr>
          <w:rFonts w:ascii="Times New Roman" w:hAnsi="Times New Roman"/>
          <w:sz w:val="24"/>
          <w:szCs w:val="24"/>
          <w:lang w:val="en-US"/>
        </w:rPr>
        <w:t>should not be interpreted</w:t>
      </w:r>
      <w:proofErr w:type="gramEnd"/>
      <w:r>
        <w:rPr>
          <w:rFonts w:ascii="Times New Roman" w:hAnsi="Times New Roman"/>
          <w:sz w:val="24"/>
          <w:szCs w:val="24"/>
          <w:lang w:val="en-US"/>
        </w:rPr>
        <w:t xml:space="preserve"> narrowly. It </w:t>
      </w:r>
      <w:proofErr w:type="gramStart"/>
      <w:r>
        <w:rPr>
          <w:rFonts w:ascii="Times New Roman" w:hAnsi="Times New Roman"/>
          <w:sz w:val="24"/>
          <w:szCs w:val="24"/>
          <w:lang w:val="en-US"/>
        </w:rPr>
        <w:t>should be interpreted</w:t>
      </w:r>
      <w:proofErr w:type="gramEnd"/>
      <w:r>
        <w:rPr>
          <w:rFonts w:ascii="Times New Roman" w:hAnsi="Times New Roman"/>
          <w:sz w:val="24"/>
          <w:szCs w:val="24"/>
          <w:lang w:val="en-US"/>
        </w:rPr>
        <w:t xml:space="preserve"> in broad terms t</w:t>
      </w:r>
      <w:r>
        <w:rPr>
          <w:rFonts w:ascii="Times New Roman" w:hAnsi="Times New Roman"/>
          <w:sz w:val="24"/>
          <w:szCs w:val="24"/>
          <w:lang w:val="en-US"/>
        </w:rPr>
        <w:t>o encompass the right to live with dignity. This right requires the states to ensure the minimum needs for survival such as food, housing, water and medical care. The approach that the UN HRC has adopted in paragraph 30 of the Draft General Comment clearly</w:t>
      </w:r>
      <w:r>
        <w:rPr>
          <w:rFonts w:ascii="Times New Roman" w:hAnsi="Times New Roman"/>
          <w:sz w:val="24"/>
          <w:szCs w:val="24"/>
          <w:lang w:val="en-US"/>
        </w:rPr>
        <w:t xml:space="preserve"> reinforces the existential rather than the physical understanding of the right to life. </w:t>
      </w:r>
    </w:p>
    <w:p w:rsidR="00373837" w:rsidRDefault="00373837">
      <w:pPr>
        <w:pStyle w:val="Body"/>
        <w:rPr>
          <w:rFonts w:ascii="Times New Roman" w:eastAsia="Times New Roman" w:hAnsi="Times New Roman" w:cs="Times New Roman"/>
          <w:sz w:val="24"/>
          <w:szCs w:val="24"/>
          <w:lang w:val="en-US"/>
        </w:rPr>
      </w:pPr>
    </w:p>
    <w:p w:rsidR="00373837" w:rsidRDefault="007F35F6">
      <w:pPr>
        <w:pStyle w:val="Body"/>
        <w:rPr>
          <w:rFonts w:ascii="Times New Roman" w:eastAsia="Times New Roman" w:hAnsi="Times New Roman" w:cs="Times New Roman"/>
          <w:sz w:val="24"/>
          <w:szCs w:val="24"/>
          <w:lang w:val="en-US"/>
        </w:rPr>
      </w:pPr>
      <w:r>
        <w:rPr>
          <w:rFonts w:ascii="Times New Roman" w:hAnsi="Times New Roman"/>
          <w:sz w:val="24"/>
          <w:szCs w:val="24"/>
          <w:lang w:val="en-US"/>
        </w:rPr>
        <w:t>Although this is a positive development, the UN HRC has failed to provide a justification for its expansive approach to the interpretation of Article 6 of the ICCPR.</w:t>
      </w:r>
      <w:r>
        <w:rPr>
          <w:rFonts w:ascii="Times New Roman" w:hAnsi="Times New Roman"/>
          <w:sz w:val="24"/>
          <w:szCs w:val="24"/>
          <w:lang w:val="en-US"/>
        </w:rPr>
        <w:t xml:space="preserve"> I would urge the UN HRC to explicitly acknowledge in the General Comment the relevance of the principle of indivisibility of human </w:t>
      </w:r>
      <w:proofErr w:type="gramStart"/>
      <w:r>
        <w:rPr>
          <w:rFonts w:ascii="Times New Roman" w:hAnsi="Times New Roman"/>
          <w:sz w:val="24"/>
          <w:szCs w:val="24"/>
          <w:lang w:val="en-US"/>
        </w:rPr>
        <w:t>rights which</w:t>
      </w:r>
      <w:proofErr w:type="gramEnd"/>
      <w:r>
        <w:rPr>
          <w:rFonts w:ascii="Times New Roman" w:hAnsi="Times New Roman"/>
          <w:sz w:val="24"/>
          <w:szCs w:val="24"/>
          <w:lang w:val="en-US"/>
        </w:rPr>
        <w:t xml:space="preserve"> provides a justification for its expansive reading of the right to life. While in part V of the Draft General C</w:t>
      </w:r>
      <w:r>
        <w:rPr>
          <w:rFonts w:ascii="Times New Roman" w:hAnsi="Times New Roman"/>
          <w:sz w:val="24"/>
          <w:szCs w:val="24"/>
          <w:lang w:val="en-US"/>
        </w:rPr>
        <w:t xml:space="preserve">omment, the UN HRC has explicitly acknowledged the interrelatedness and interactions of the right to life with other provisions of the ICCPR, it has failed </w:t>
      </w:r>
      <w:proofErr w:type="gramStart"/>
      <w:r>
        <w:rPr>
          <w:rFonts w:ascii="Times New Roman" w:hAnsi="Times New Roman"/>
          <w:sz w:val="24"/>
          <w:szCs w:val="24"/>
          <w:lang w:val="en-US"/>
        </w:rPr>
        <w:t>to explicitly acknowledge</w:t>
      </w:r>
      <w:proofErr w:type="gramEnd"/>
      <w:r>
        <w:rPr>
          <w:rFonts w:ascii="Times New Roman" w:hAnsi="Times New Roman"/>
          <w:sz w:val="24"/>
          <w:szCs w:val="24"/>
          <w:lang w:val="en-US"/>
        </w:rPr>
        <w:t xml:space="preserve"> the interrelatedness of the right to life and socio-economic rights, and m</w:t>
      </w:r>
      <w:r>
        <w:rPr>
          <w:rFonts w:ascii="Times New Roman" w:hAnsi="Times New Roman"/>
          <w:sz w:val="24"/>
          <w:szCs w:val="24"/>
          <w:lang w:val="en-US"/>
        </w:rPr>
        <w:t xml:space="preserve">ore specifically the provisions of the ICESCR. </w:t>
      </w:r>
    </w:p>
    <w:p w:rsidR="00373837" w:rsidRDefault="00373837">
      <w:pPr>
        <w:pStyle w:val="Body"/>
        <w:rPr>
          <w:rFonts w:ascii="Times New Roman" w:eastAsia="Times New Roman" w:hAnsi="Times New Roman" w:cs="Times New Roman"/>
          <w:sz w:val="24"/>
          <w:szCs w:val="24"/>
          <w:lang w:val="en-US"/>
        </w:rPr>
      </w:pPr>
    </w:p>
    <w:p w:rsidR="00373837" w:rsidRDefault="007F35F6">
      <w:pPr>
        <w:pStyle w:val="Body"/>
        <w:rPr>
          <w:rFonts w:ascii="Times New Roman" w:eastAsia="Times New Roman" w:hAnsi="Times New Roman" w:cs="Times New Roman"/>
          <w:sz w:val="24"/>
          <w:szCs w:val="24"/>
        </w:rPr>
      </w:pPr>
      <w:r>
        <w:rPr>
          <w:rFonts w:ascii="Times New Roman" w:hAnsi="Times New Roman"/>
          <w:sz w:val="24"/>
          <w:szCs w:val="24"/>
          <w:lang w:val="en-US"/>
        </w:rPr>
        <w:t>Explicit references to the principle of indivisibility of human rights and to the interrelatedness of the right to life and the norms of the ICESCR (in particular, the right to an adequate standard of living</w:t>
      </w:r>
      <w:r>
        <w:rPr>
          <w:rFonts w:ascii="Times New Roman" w:hAnsi="Times New Roman"/>
          <w:sz w:val="24"/>
          <w:szCs w:val="24"/>
          <w:lang w:val="en-US"/>
        </w:rPr>
        <w:t xml:space="preserve"> as enshrined in Article 11 of the ICESCR) are particularly important. As the experience of the </w:t>
      </w:r>
      <w:proofErr w:type="spellStart"/>
      <w:r>
        <w:rPr>
          <w:rFonts w:ascii="Times New Roman" w:hAnsi="Times New Roman"/>
          <w:sz w:val="24"/>
          <w:szCs w:val="24"/>
          <w:lang w:val="en-US"/>
        </w:rPr>
        <w:t>ECtHR</w:t>
      </w:r>
      <w:proofErr w:type="spellEnd"/>
      <w:r>
        <w:rPr>
          <w:rFonts w:ascii="Times New Roman" w:hAnsi="Times New Roman"/>
          <w:sz w:val="24"/>
          <w:szCs w:val="24"/>
          <w:lang w:val="en-US"/>
        </w:rPr>
        <w:t xml:space="preserve"> has shown, expansive interpretations of human rights treaties are subject to criticism. </w:t>
      </w:r>
      <w:proofErr w:type="gramStart"/>
      <w:r>
        <w:rPr>
          <w:rFonts w:ascii="Times New Roman" w:hAnsi="Times New Roman"/>
          <w:sz w:val="24"/>
          <w:szCs w:val="24"/>
          <w:lang w:val="en-US"/>
        </w:rPr>
        <w:t xml:space="preserve">Lord Hoffmann, for example, argued in the past that the principle </w:t>
      </w:r>
      <w:r>
        <w:rPr>
          <w:rFonts w:ascii="Times New Roman" w:hAnsi="Times New Roman"/>
          <w:sz w:val="24"/>
          <w:szCs w:val="24"/>
          <w:lang w:val="en-US"/>
        </w:rPr>
        <w:t xml:space="preserve">of dynamic interpretation, which has enabled the </w:t>
      </w:r>
      <w:proofErr w:type="spellStart"/>
      <w:r>
        <w:rPr>
          <w:rFonts w:ascii="Times New Roman" w:hAnsi="Times New Roman"/>
          <w:sz w:val="24"/>
          <w:szCs w:val="24"/>
          <w:lang w:val="en-US"/>
        </w:rPr>
        <w:t>ECtHR</w:t>
      </w:r>
      <w:proofErr w:type="spellEnd"/>
      <w:r>
        <w:rPr>
          <w:rFonts w:ascii="Times New Roman" w:hAnsi="Times New Roman"/>
          <w:sz w:val="24"/>
          <w:szCs w:val="24"/>
          <w:lang w:val="en-US"/>
        </w:rPr>
        <w:t xml:space="preserve"> to extend the scope of the protection beyond the areas envisaged by the drafters of the ECHR, does not entitle the </w:t>
      </w:r>
      <w:proofErr w:type="spellStart"/>
      <w:r>
        <w:rPr>
          <w:rFonts w:ascii="Times New Roman" w:hAnsi="Times New Roman"/>
          <w:sz w:val="24"/>
          <w:szCs w:val="24"/>
          <w:lang w:val="en-US"/>
        </w:rPr>
        <w:t>ECtHR</w:t>
      </w:r>
      <w:proofErr w:type="spellEnd"/>
      <w:r>
        <w:rPr>
          <w:rFonts w:ascii="Times New Roman" w:hAnsi="Times New Roman"/>
          <w:sz w:val="24"/>
          <w:szCs w:val="24"/>
          <w:lang w:val="en-US"/>
        </w:rPr>
        <w:t xml:space="preserve"> to introduce new concepts, such as environmental protection, into the ECHR which</w:t>
      </w:r>
      <w:r>
        <w:rPr>
          <w:rFonts w:ascii="Times New Roman" w:hAnsi="Times New Roman"/>
          <w:sz w:val="24"/>
          <w:szCs w:val="24"/>
          <w:lang w:val="en-US"/>
        </w:rPr>
        <w:t xml:space="preserve"> makes no mention of them, simply because it would be more in accordance with the spirit of the times.</w:t>
      </w:r>
      <w:r>
        <w:rPr>
          <w:rFonts w:ascii="Times New Roman" w:eastAsia="Times New Roman" w:hAnsi="Times New Roman" w:cs="Times New Roman"/>
          <w:sz w:val="24"/>
          <w:szCs w:val="24"/>
          <w:vertAlign w:val="superscript"/>
          <w:lang w:val="nl-NL"/>
        </w:rPr>
        <w:footnoteReference w:id="2"/>
      </w:r>
      <w:proofErr w:type="gramEnd"/>
      <w:r>
        <w:rPr>
          <w:rFonts w:ascii="Times New Roman" w:hAnsi="Times New Roman"/>
          <w:sz w:val="24"/>
          <w:szCs w:val="24"/>
          <w:lang w:val="nl-NL"/>
        </w:rPr>
        <w:t xml:space="preserve"> </w:t>
      </w:r>
      <w:r>
        <w:rPr>
          <w:rFonts w:ascii="Times New Roman" w:hAnsi="Times New Roman"/>
          <w:sz w:val="24"/>
          <w:szCs w:val="24"/>
          <w:lang w:val="en-US"/>
        </w:rPr>
        <w:t xml:space="preserve">Similar views </w:t>
      </w:r>
      <w:proofErr w:type="gramStart"/>
      <w:r>
        <w:rPr>
          <w:rFonts w:ascii="Times New Roman" w:hAnsi="Times New Roman"/>
          <w:sz w:val="24"/>
          <w:szCs w:val="24"/>
          <w:lang w:val="en-US"/>
        </w:rPr>
        <w:t>can be advanced</w:t>
      </w:r>
      <w:proofErr w:type="gramEnd"/>
      <w:r>
        <w:rPr>
          <w:rFonts w:ascii="Times New Roman" w:hAnsi="Times New Roman"/>
          <w:sz w:val="24"/>
          <w:szCs w:val="24"/>
          <w:lang w:val="en-US"/>
        </w:rPr>
        <w:t xml:space="preserve"> in respect of the UN HRC and its existing approach to the right to life. The principle of the indivisibility of human righ</w:t>
      </w:r>
      <w:r>
        <w:rPr>
          <w:rFonts w:ascii="Times New Roman" w:hAnsi="Times New Roman"/>
          <w:sz w:val="24"/>
          <w:szCs w:val="24"/>
          <w:lang w:val="en-US"/>
        </w:rPr>
        <w:t xml:space="preserve">ts can lend legitimacy to, and provide the basis for expansive interpretations of human rights provisions such as the one at issue. For this reason, it </w:t>
      </w:r>
      <w:proofErr w:type="gramStart"/>
      <w:r>
        <w:rPr>
          <w:rFonts w:ascii="Times New Roman" w:hAnsi="Times New Roman"/>
          <w:sz w:val="24"/>
          <w:szCs w:val="24"/>
          <w:lang w:val="en-US"/>
        </w:rPr>
        <w:t>should be explicitly mentioned</w:t>
      </w:r>
      <w:proofErr w:type="gramEnd"/>
      <w:r>
        <w:rPr>
          <w:rFonts w:ascii="Times New Roman" w:hAnsi="Times New Roman"/>
          <w:sz w:val="24"/>
          <w:szCs w:val="24"/>
          <w:lang w:val="en-US"/>
        </w:rPr>
        <w:t xml:space="preserve"> in the General Comment. An explicit acknowledgment of the overlap of the </w:t>
      </w:r>
      <w:r>
        <w:rPr>
          <w:rFonts w:ascii="Times New Roman" w:hAnsi="Times New Roman"/>
          <w:sz w:val="24"/>
          <w:szCs w:val="24"/>
          <w:lang w:val="en-US"/>
        </w:rPr>
        <w:t>right to life with the provisions of the ICESCR in the General Comment will also contribute to affirming the states</w:t>
      </w:r>
      <w:r>
        <w:rPr>
          <w:rFonts w:ascii="Times New Roman" w:hAnsi="Times New Roman"/>
          <w:sz w:val="24"/>
          <w:szCs w:val="24"/>
          <w:lang w:val="en-US"/>
        </w:rPr>
        <w:t xml:space="preserve">’ </w:t>
      </w:r>
      <w:r>
        <w:rPr>
          <w:rFonts w:ascii="Times New Roman" w:hAnsi="Times New Roman"/>
          <w:sz w:val="24"/>
          <w:szCs w:val="24"/>
          <w:lang w:val="en-US"/>
        </w:rPr>
        <w:t>broader human rights responsibilities and obligations.</w:t>
      </w:r>
    </w:p>
    <w:p w:rsidR="00373837" w:rsidRDefault="00373837">
      <w:pPr>
        <w:pStyle w:val="Body"/>
        <w:rPr>
          <w:rFonts w:ascii="Times New Roman" w:eastAsia="Times New Roman" w:hAnsi="Times New Roman" w:cs="Times New Roman"/>
          <w:i/>
          <w:iCs/>
        </w:rPr>
      </w:pPr>
    </w:p>
    <w:p w:rsidR="00373837" w:rsidRDefault="00373837">
      <w:pPr>
        <w:pStyle w:val="Body"/>
        <w:rPr>
          <w:rFonts w:ascii="Times New Roman" w:eastAsia="Times New Roman" w:hAnsi="Times New Roman" w:cs="Times New Roman"/>
          <w:i/>
          <w:iCs/>
        </w:rPr>
      </w:pPr>
    </w:p>
    <w:p w:rsidR="00373837" w:rsidRDefault="00373837">
      <w:pPr>
        <w:pStyle w:val="Body"/>
        <w:rPr>
          <w:rFonts w:ascii="Times New Roman" w:eastAsia="Times New Roman" w:hAnsi="Times New Roman" w:cs="Times New Roman"/>
          <w:i/>
          <w:iCs/>
        </w:rPr>
      </w:pPr>
    </w:p>
    <w:p w:rsidR="00373837" w:rsidRDefault="00373837">
      <w:pPr>
        <w:pStyle w:val="Body"/>
        <w:rPr>
          <w:rFonts w:ascii="Times New Roman" w:eastAsia="Times New Roman" w:hAnsi="Times New Roman" w:cs="Times New Roman"/>
          <w:i/>
          <w:iCs/>
        </w:rPr>
      </w:pPr>
    </w:p>
    <w:p w:rsidR="00373837" w:rsidRDefault="007F35F6">
      <w:pPr>
        <w:pStyle w:val="Body"/>
        <w:rPr>
          <w:rFonts w:ascii="Times New Roman" w:eastAsia="Times New Roman" w:hAnsi="Times New Roman" w:cs="Times New Roman"/>
          <w:sz w:val="24"/>
          <w:szCs w:val="24"/>
        </w:rPr>
      </w:pPr>
      <w:proofErr w:type="spellStart"/>
      <w:r>
        <w:rPr>
          <w:rFonts w:ascii="Times New Roman" w:hAnsi="Times New Roman"/>
          <w:sz w:val="24"/>
          <w:szCs w:val="24"/>
          <w:lang w:val="en-US"/>
        </w:rPr>
        <w:t>Aristi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Volou</w:t>
      </w:r>
      <w:proofErr w:type="spellEnd"/>
    </w:p>
    <w:p w:rsidR="00373837" w:rsidRDefault="007F35F6">
      <w:pPr>
        <w:pStyle w:val="Body"/>
        <w:rPr>
          <w:rFonts w:ascii="Times New Roman" w:eastAsia="Times New Roman" w:hAnsi="Times New Roman" w:cs="Times New Roman"/>
          <w:sz w:val="24"/>
          <w:szCs w:val="24"/>
        </w:rPr>
      </w:pPr>
      <w:r>
        <w:rPr>
          <w:rFonts w:ascii="Times New Roman" w:hAnsi="Times New Roman"/>
          <w:sz w:val="24"/>
          <w:szCs w:val="24"/>
          <w:lang w:val="en-US"/>
        </w:rPr>
        <w:t>PhD Candidate in International Human Rights Law</w:t>
      </w:r>
    </w:p>
    <w:p w:rsidR="00373837" w:rsidRDefault="007F35F6">
      <w:pPr>
        <w:pStyle w:val="Body"/>
        <w:rPr>
          <w:rFonts w:ascii="Times New Roman" w:eastAsia="Times New Roman" w:hAnsi="Times New Roman" w:cs="Times New Roman"/>
          <w:sz w:val="24"/>
          <w:szCs w:val="24"/>
        </w:rPr>
      </w:pPr>
      <w:r>
        <w:rPr>
          <w:rFonts w:ascii="Times New Roman" w:hAnsi="Times New Roman"/>
          <w:sz w:val="24"/>
          <w:szCs w:val="24"/>
          <w:lang w:val="en-US"/>
        </w:rPr>
        <w:t>University of Leice</w:t>
      </w:r>
      <w:r>
        <w:rPr>
          <w:rFonts w:ascii="Times New Roman" w:hAnsi="Times New Roman"/>
          <w:sz w:val="24"/>
          <w:szCs w:val="24"/>
          <w:lang w:val="en-US"/>
        </w:rPr>
        <w:t xml:space="preserve">ster (UK) </w:t>
      </w:r>
    </w:p>
    <w:p w:rsidR="00373837" w:rsidRDefault="007F35F6">
      <w:pPr>
        <w:pStyle w:val="Body"/>
      </w:pPr>
      <w:hyperlink r:id="rId6" w:history="1">
        <w:r>
          <w:rPr>
            <w:rStyle w:val="Hyperlink0"/>
            <w:rFonts w:ascii="Times New Roman" w:hAnsi="Times New Roman"/>
            <w:lang w:val="en-US"/>
          </w:rPr>
          <w:t>av139@le.ac.uk</w:t>
        </w:r>
      </w:hyperlink>
      <w:r>
        <w:rPr>
          <w:rFonts w:ascii="Times New Roman" w:hAnsi="Times New Roman"/>
          <w:sz w:val="24"/>
          <w:szCs w:val="24"/>
          <w:lang w:val="en-US"/>
        </w:rPr>
        <w:t xml:space="preserve"> </w:t>
      </w:r>
    </w:p>
    <w:sectPr w:rsidR="00373837">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F35F6">
      <w:r>
        <w:separator/>
      </w:r>
    </w:p>
  </w:endnote>
  <w:endnote w:type="continuationSeparator" w:id="0">
    <w:p w:rsidR="00000000" w:rsidRDefault="007F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37" w:rsidRDefault="003738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837" w:rsidRDefault="007F35F6">
      <w:r>
        <w:separator/>
      </w:r>
    </w:p>
  </w:footnote>
  <w:footnote w:type="continuationSeparator" w:id="0">
    <w:p w:rsidR="00373837" w:rsidRDefault="007F35F6">
      <w:r>
        <w:continuationSeparator/>
      </w:r>
    </w:p>
  </w:footnote>
  <w:footnote w:type="continuationNotice" w:id="1">
    <w:p w:rsidR="00373837" w:rsidRDefault="00373837"/>
  </w:footnote>
  <w:footnote w:id="2">
    <w:p w:rsidR="00373837" w:rsidRDefault="007F35F6">
      <w:pPr>
        <w:pStyle w:val="Default"/>
      </w:pPr>
      <w:r>
        <w:rPr>
          <w:rFonts w:ascii="Times New Roman" w:eastAsia="Times New Roman" w:hAnsi="Times New Roman" w:cs="Times New Roman"/>
          <w:sz w:val="20"/>
          <w:szCs w:val="20"/>
          <w:u w:color="000000"/>
          <w:vertAlign w:val="superscript"/>
          <w:lang w:val="nl-NL"/>
        </w:rPr>
        <w:footnoteRef/>
      </w:r>
      <w:r>
        <w:rPr>
          <w:rFonts w:ascii="Times New Roman" w:eastAsia="Calibri" w:hAnsi="Times New Roman" w:cs="Calibri"/>
          <w:sz w:val="20"/>
          <w:szCs w:val="20"/>
          <w:u w:color="000000"/>
        </w:rPr>
        <w:t xml:space="preserve"> Lord Leonard Hoffmann, </w:t>
      </w:r>
      <w:r>
        <w:rPr>
          <w:rFonts w:ascii="Times New Roman" w:eastAsia="Calibri" w:hAnsi="Times New Roman" w:cs="Calibri"/>
          <w:sz w:val="20"/>
          <w:szCs w:val="20"/>
          <w:u w:color="000000"/>
        </w:rPr>
        <w:t>‘</w:t>
      </w:r>
      <w:r>
        <w:rPr>
          <w:rFonts w:ascii="Times New Roman" w:eastAsia="Calibri" w:hAnsi="Times New Roman" w:cs="Calibri"/>
          <w:sz w:val="20"/>
          <w:szCs w:val="20"/>
          <w:u w:color="000000"/>
        </w:rPr>
        <w:t>The Universality of Human Rights</w:t>
      </w:r>
      <w:r>
        <w:rPr>
          <w:rFonts w:ascii="Times New Roman" w:eastAsia="Calibri" w:hAnsi="Times New Roman" w:cs="Calibri"/>
          <w:sz w:val="20"/>
          <w:szCs w:val="20"/>
          <w:u w:color="000000"/>
        </w:rPr>
        <w:t xml:space="preserve">’ </w:t>
      </w:r>
      <w:r>
        <w:rPr>
          <w:rFonts w:ascii="Times New Roman" w:eastAsia="Calibri" w:hAnsi="Times New Roman" w:cs="Calibri"/>
          <w:sz w:val="20"/>
          <w:szCs w:val="20"/>
          <w:u w:color="000000"/>
        </w:rPr>
        <w:t>(2009) 125 LQR 416, 428-429.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37" w:rsidRDefault="0037383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37"/>
    <w:rsid w:val="00373837"/>
    <w:rsid w:val="007F3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7F9267-C1CD-4E0F-BFAC-08628A98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paragraph" w:customStyle="1" w:styleId="Body">
    <w:name w:val="Body"/>
    <w:rPr>
      <w:rFonts w:ascii="Helvetica Neue" w:eastAsia="Helvetica Neue" w:hAnsi="Helvetica Neue" w:cs="Helvetica Neue"/>
      <w:color w:val="000000"/>
      <w:sz w:val="22"/>
      <w:szCs w:val="22"/>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v139@le.ac.uk"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59CCB9-6EC9-440F-9C12-6B6496611E34}"/>
</file>

<file path=customXml/itemProps2.xml><?xml version="1.0" encoding="utf-8"?>
<ds:datastoreItem xmlns:ds="http://schemas.openxmlformats.org/officeDocument/2006/customXml" ds:itemID="{D837D9BD-5819-4BF5-A46A-A1FEE97025C7}"/>
</file>

<file path=customXml/itemProps3.xml><?xml version="1.0" encoding="utf-8"?>
<ds:datastoreItem xmlns:ds="http://schemas.openxmlformats.org/officeDocument/2006/customXml" ds:itemID="{50D69006-4422-4D8A-9429-74568C4A3AD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Durnescu Lilian</dc:creator>
  <cp:lastModifiedBy>Durnescu Lilian</cp:lastModifiedBy>
  <cp:revision>2</cp:revision>
  <dcterms:created xsi:type="dcterms:W3CDTF">2017-09-21T14:13:00Z</dcterms:created>
  <dcterms:modified xsi:type="dcterms:W3CDTF">2017-09-21T14:13:00Z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