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FB29C" w14:textId="77777777" w:rsidR="00AE0A24" w:rsidRDefault="00AE0A24" w:rsidP="00AE0A24">
      <w:pPr>
        <w:pStyle w:val="Normal1"/>
        <w:jc w:val="center"/>
      </w:pPr>
      <w:bookmarkStart w:id="0" w:name="_GoBack"/>
      <w:bookmarkEnd w:id="0"/>
      <w:r>
        <w:rPr>
          <w:rFonts w:ascii="Calibri" w:eastAsia="Calibri" w:hAnsi="Calibri" w:cs="Calibri"/>
          <w:b/>
          <w:highlight w:val="white"/>
        </w:rPr>
        <w:t>General Comment No. 36 - Article 6: Right to Life of the International Covenant on Civil and Political Rights (ICCPR) by the Human Rights Committee</w:t>
      </w:r>
    </w:p>
    <w:p w14:paraId="3D73B874" w14:textId="77777777" w:rsidR="00AE0A24" w:rsidRDefault="00AE0A24" w:rsidP="00AE0A24">
      <w:pPr>
        <w:pStyle w:val="Normal1"/>
      </w:pPr>
    </w:p>
    <w:p w14:paraId="1B78134F" w14:textId="560D3233" w:rsidR="00AE0A24" w:rsidRDefault="00AE0A24" w:rsidP="00AE0A24">
      <w:pPr>
        <w:pStyle w:val="Normal1"/>
        <w:jc w:val="center"/>
      </w:pPr>
      <w:r>
        <w:rPr>
          <w:rFonts w:ascii="Calibri" w:eastAsia="Calibri" w:hAnsi="Calibri" w:cs="Calibri"/>
          <w:b/>
          <w:highlight w:val="white"/>
        </w:rPr>
        <w:t>Written Submission by the Asian-Pacific Resource and Research Centre for Women (ARROW)</w:t>
      </w:r>
    </w:p>
    <w:p w14:paraId="68897704" w14:textId="77777777" w:rsidR="00AE0A24" w:rsidRDefault="00AE0A24" w:rsidP="00AE0A24">
      <w:pPr>
        <w:pStyle w:val="Normal1"/>
      </w:pPr>
    </w:p>
    <w:p w14:paraId="7CA7D2EE" w14:textId="060B9632" w:rsidR="00AE0A24" w:rsidRDefault="00AE0A24" w:rsidP="00AE0A24">
      <w:pPr>
        <w:pStyle w:val="Normal1"/>
        <w:jc w:val="center"/>
      </w:pPr>
      <w:r>
        <w:rPr>
          <w:noProof/>
          <w:lang w:val="en-GB" w:eastAsia="en-GB"/>
        </w:rPr>
        <w:drawing>
          <wp:anchor distT="0" distB="0" distL="114300" distR="114300" simplePos="0" relativeHeight="251659264" behindDoc="1" locked="0" layoutInCell="1" allowOverlap="1" wp14:anchorId="79CAB7CC" wp14:editId="70FA1135">
            <wp:simplePos x="0" y="0"/>
            <wp:positionH relativeFrom="column">
              <wp:posOffset>-57785</wp:posOffset>
            </wp:positionH>
            <wp:positionV relativeFrom="paragraph">
              <wp:posOffset>-5080</wp:posOffset>
            </wp:positionV>
            <wp:extent cx="5524500" cy="6362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Motifs.jpg"/>
                    <pic:cNvPicPr/>
                  </pic:nvPicPr>
                  <pic:blipFill>
                    <a:blip r:embed="rId8">
                      <a:extLst>
                        <a:ext uri="{28A0092B-C50C-407E-A947-70E740481C1C}">
                          <a14:useLocalDpi xmlns:a14="http://schemas.microsoft.com/office/drawing/2010/main" val="0"/>
                        </a:ext>
                      </a:extLst>
                    </a:blip>
                    <a:stretch>
                      <a:fillRect/>
                    </a:stretch>
                  </pic:blipFill>
                  <pic:spPr>
                    <a:xfrm>
                      <a:off x="0" y="0"/>
                      <a:ext cx="5524500" cy="6362700"/>
                    </a:xfrm>
                    <a:prstGeom prst="rect">
                      <a:avLst/>
                    </a:prstGeom>
                  </pic:spPr>
                </pic:pic>
              </a:graphicData>
            </a:graphic>
          </wp:anchor>
        </w:drawing>
      </w:r>
      <w:r w:rsidR="00DC4C64">
        <w:rPr>
          <w:rFonts w:ascii="Calibri" w:eastAsia="Calibri" w:hAnsi="Calibri" w:cs="Calibri"/>
          <w:b/>
          <w:highlight w:val="white"/>
        </w:rPr>
        <w:t xml:space="preserve">October </w:t>
      </w:r>
      <w:r>
        <w:rPr>
          <w:rFonts w:ascii="Calibri" w:eastAsia="Calibri" w:hAnsi="Calibri" w:cs="Calibri"/>
          <w:b/>
          <w:highlight w:val="white"/>
        </w:rPr>
        <w:t>201</w:t>
      </w:r>
      <w:r w:rsidR="00DC4C64">
        <w:rPr>
          <w:rFonts w:ascii="Calibri" w:eastAsia="Calibri" w:hAnsi="Calibri" w:cs="Calibri"/>
          <w:b/>
          <w:highlight w:val="white"/>
        </w:rPr>
        <w:t>7</w:t>
      </w:r>
    </w:p>
    <w:p w14:paraId="4D53E5AD" w14:textId="77777777" w:rsidR="00AE0A24" w:rsidRPr="00DC4C64" w:rsidRDefault="00AE0A24" w:rsidP="00AE0A24">
      <w:pPr>
        <w:pStyle w:val="Normal1"/>
        <w:rPr>
          <w:rFonts w:asciiTheme="majorHAnsi" w:hAnsiTheme="majorHAnsi"/>
          <w:sz w:val="22"/>
          <w:szCs w:val="22"/>
        </w:rPr>
      </w:pPr>
    </w:p>
    <w:p w14:paraId="2D5405E7" w14:textId="77777777" w:rsidR="00DC4C64" w:rsidRPr="00DC4C64" w:rsidRDefault="00DC4C64" w:rsidP="00DC4C64">
      <w:pPr>
        <w:jc w:val="both"/>
        <w:rPr>
          <w:rFonts w:asciiTheme="majorHAnsi" w:hAnsiTheme="majorHAnsi"/>
          <w:sz w:val="22"/>
          <w:szCs w:val="22"/>
        </w:rPr>
      </w:pPr>
      <w:r w:rsidRPr="00DC4C64">
        <w:rPr>
          <w:rFonts w:asciiTheme="majorHAnsi" w:eastAsia="Calibri" w:hAnsiTheme="majorHAnsi" w:cs="Calibri"/>
          <w:color w:val="000000"/>
          <w:sz w:val="22"/>
          <w:szCs w:val="22"/>
        </w:rPr>
        <w:t xml:space="preserve">ARROW, based in Malaysia, is an ECOSOC accredited NGO that has been working since 1993 to advance women’s health and rights, empowering women through information and knowledge by monitoring international commitments, advocacy and </w:t>
      </w:r>
      <w:proofErr w:type="spellStart"/>
      <w:r w:rsidRPr="00DC4C64">
        <w:rPr>
          <w:rFonts w:asciiTheme="majorHAnsi" w:eastAsia="Calibri" w:hAnsiTheme="majorHAnsi" w:cs="Calibri"/>
          <w:color w:val="000000"/>
          <w:sz w:val="22"/>
          <w:szCs w:val="22"/>
        </w:rPr>
        <w:t>mobilisation</w:t>
      </w:r>
      <w:proofErr w:type="spellEnd"/>
      <w:r w:rsidRPr="00DC4C64">
        <w:rPr>
          <w:rFonts w:asciiTheme="majorHAnsi" w:eastAsia="Calibri" w:hAnsiTheme="majorHAnsi" w:cs="Calibri"/>
          <w:color w:val="000000"/>
          <w:sz w:val="22"/>
          <w:szCs w:val="22"/>
        </w:rPr>
        <w:t xml:space="preserve">. We work with national partners across the Asia-Pacific region and national and regional partners from the global South. </w:t>
      </w:r>
    </w:p>
    <w:p w14:paraId="0B732E50" w14:textId="77777777" w:rsidR="00DC4C64" w:rsidRPr="00DC4C64" w:rsidRDefault="00DC4C64" w:rsidP="00DC4C64">
      <w:pPr>
        <w:jc w:val="both"/>
        <w:rPr>
          <w:rFonts w:asciiTheme="majorHAnsi" w:hAnsiTheme="majorHAnsi"/>
          <w:sz w:val="22"/>
          <w:szCs w:val="22"/>
        </w:rPr>
      </w:pPr>
    </w:p>
    <w:p w14:paraId="5CC459CD" w14:textId="77777777" w:rsidR="00DC4C64" w:rsidRPr="00DC4C64" w:rsidRDefault="00DC4C64" w:rsidP="00DC4C64">
      <w:pPr>
        <w:jc w:val="both"/>
        <w:rPr>
          <w:rFonts w:asciiTheme="majorHAnsi" w:hAnsiTheme="majorHAnsi"/>
          <w:sz w:val="22"/>
          <w:szCs w:val="22"/>
        </w:rPr>
      </w:pPr>
      <w:r w:rsidRPr="00DC4C64">
        <w:rPr>
          <w:rFonts w:asciiTheme="majorHAnsi" w:eastAsia="Calibri" w:hAnsiTheme="majorHAnsi" w:cs="Calibri"/>
          <w:b/>
          <w:color w:val="000000"/>
          <w:sz w:val="22"/>
          <w:szCs w:val="22"/>
        </w:rPr>
        <w:t>We welcome the Committee’s affirmation</w:t>
      </w:r>
      <w:r w:rsidRPr="00DC4C64">
        <w:rPr>
          <w:rFonts w:asciiTheme="majorHAnsi" w:eastAsia="Calibri" w:hAnsiTheme="majorHAnsi" w:cs="Calibri"/>
          <w:color w:val="000000"/>
          <w:sz w:val="22"/>
          <w:szCs w:val="22"/>
        </w:rPr>
        <w:t>, that “States while regulating abortion should not impose measures the result in violation of the right to life of a pregnant woman or her other rights under the Covenant, including the prohibition against cruel, inhuman and degrading treatment or punishment.”</w:t>
      </w:r>
      <w:r w:rsidRPr="00DC4C64">
        <w:rPr>
          <w:rFonts w:asciiTheme="majorHAnsi" w:hAnsiTheme="majorHAnsi"/>
          <w:color w:val="000000"/>
          <w:sz w:val="22"/>
          <w:szCs w:val="22"/>
          <w:vertAlign w:val="superscript"/>
        </w:rPr>
        <w:footnoteReference w:id="1"/>
      </w:r>
    </w:p>
    <w:p w14:paraId="73B5E3CA" w14:textId="77777777" w:rsidR="00DC4C64" w:rsidRPr="00DC4C64" w:rsidRDefault="00DC4C64" w:rsidP="00DC4C64">
      <w:pPr>
        <w:jc w:val="both"/>
        <w:rPr>
          <w:rFonts w:asciiTheme="majorHAnsi" w:hAnsiTheme="majorHAnsi"/>
          <w:sz w:val="22"/>
          <w:szCs w:val="22"/>
        </w:rPr>
      </w:pPr>
    </w:p>
    <w:p w14:paraId="23F09FD1" w14:textId="77777777" w:rsidR="00DC4C64" w:rsidRPr="00DC4C64" w:rsidRDefault="00DC4C64" w:rsidP="00DC4C64">
      <w:pPr>
        <w:jc w:val="both"/>
        <w:rPr>
          <w:rFonts w:asciiTheme="majorHAnsi" w:hAnsiTheme="majorHAnsi"/>
          <w:sz w:val="22"/>
          <w:szCs w:val="22"/>
        </w:rPr>
      </w:pPr>
      <w:r w:rsidRPr="00DC4C64">
        <w:rPr>
          <w:rFonts w:asciiTheme="majorHAnsi" w:eastAsia="Calibri" w:hAnsiTheme="majorHAnsi" w:cs="Calibri"/>
          <w:color w:val="000000"/>
          <w:sz w:val="22"/>
          <w:szCs w:val="22"/>
        </w:rPr>
        <w:t xml:space="preserve">According to the World Health Organization, an estimated 22 million abortions continue to </w:t>
      </w:r>
      <w:proofErr w:type="gramStart"/>
      <w:r w:rsidRPr="00DC4C64">
        <w:rPr>
          <w:rFonts w:asciiTheme="majorHAnsi" w:eastAsia="Calibri" w:hAnsiTheme="majorHAnsi" w:cs="Calibri"/>
          <w:color w:val="000000"/>
          <w:sz w:val="22"/>
          <w:szCs w:val="22"/>
        </w:rPr>
        <w:t>be performed</w:t>
      </w:r>
      <w:proofErr w:type="gramEnd"/>
      <w:r w:rsidRPr="00DC4C64">
        <w:rPr>
          <w:rFonts w:asciiTheme="majorHAnsi" w:eastAsia="Calibri" w:hAnsiTheme="majorHAnsi" w:cs="Calibri"/>
          <w:color w:val="000000"/>
          <w:sz w:val="22"/>
          <w:szCs w:val="22"/>
        </w:rPr>
        <w:t xml:space="preserve"> unsafely each year, resulting in the death of an estimated 47</w:t>
      </w:r>
      <w:r w:rsidRPr="00DC4C64">
        <w:rPr>
          <w:rFonts w:asciiTheme="majorHAnsi" w:hAnsiTheme="majorHAnsi"/>
          <w:sz w:val="22"/>
          <w:szCs w:val="22"/>
        </w:rPr>
        <w:t>,</w:t>
      </w:r>
      <w:r w:rsidRPr="00DC4C64">
        <w:rPr>
          <w:rFonts w:asciiTheme="majorHAnsi" w:eastAsia="Calibri" w:hAnsiTheme="majorHAnsi" w:cs="Calibri"/>
          <w:color w:val="000000"/>
          <w:sz w:val="22"/>
          <w:szCs w:val="22"/>
        </w:rPr>
        <w:t>000 women and disabilities for an additional 5 million women.</w:t>
      </w:r>
      <w:r w:rsidRPr="00DC4C64">
        <w:rPr>
          <w:rFonts w:asciiTheme="majorHAnsi" w:eastAsia="Calibri" w:hAnsiTheme="majorHAnsi" w:cs="Calibri"/>
          <w:color w:val="000000"/>
          <w:sz w:val="22"/>
          <w:szCs w:val="22"/>
          <w:vertAlign w:val="superscript"/>
        </w:rPr>
        <w:footnoteReference w:id="2"/>
      </w:r>
      <w:r w:rsidRPr="00DC4C64">
        <w:rPr>
          <w:rFonts w:asciiTheme="majorHAnsi" w:eastAsia="Calibri" w:hAnsiTheme="majorHAnsi" w:cs="Calibri"/>
          <w:color w:val="000000"/>
          <w:sz w:val="22"/>
          <w:szCs w:val="22"/>
        </w:rPr>
        <w:t xml:space="preserve"> </w:t>
      </w:r>
      <w:r w:rsidRPr="00DC4C64">
        <w:rPr>
          <w:rFonts w:asciiTheme="majorHAnsi" w:eastAsia="Cambria" w:hAnsiTheme="majorHAnsi" w:cs="Cambria"/>
          <w:color w:val="000000"/>
          <w:sz w:val="22"/>
          <w:szCs w:val="22"/>
        </w:rPr>
        <w:t xml:space="preserve"> </w:t>
      </w:r>
      <w:r w:rsidRPr="00DC4C64">
        <w:rPr>
          <w:rFonts w:asciiTheme="majorHAnsi" w:eastAsia="Calibri" w:hAnsiTheme="majorHAnsi" w:cs="Calibri"/>
          <w:color w:val="000000"/>
          <w:sz w:val="22"/>
          <w:szCs w:val="22"/>
        </w:rPr>
        <w:t xml:space="preserve">The number of unsafe abortions in </w:t>
      </w:r>
      <w:r w:rsidRPr="00DC4C64">
        <w:rPr>
          <w:rFonts w:asciiTheme="majorHAnsi" w:hAnsiTheme="majorHAnsi"/>
          <w:sz w:val="22"/>
          <w:szCs w:val="22"/>
        </w:rPr>
        <w:t>Asia seems</w:t>
      </w:r>
      <w:r w:rsidRPr="00DC4C64">
        <w:rPr>
          <w:rFonts w:asciiTheme="majorHAnsi" w:eastAsia="Calibri" w:hAnsiTheme="majorHAnsi" w:cs="Calibri"/>
          <w:color w:val="000000"/>
          <w:sz w:val="22"/>
          <w:szCs w:val="22"/>
        </w:rPr>
        <w:t xml:space="preserve"> to have gone up from 9.8 million in 2003 to 10.8 million in 2008.</w:t>
      </w:r>
      <w:r w:rsidRPr="00DC4C64">
        <w:rPr>
          <w:rFonts w:asciiTheme="majorHAnsi" w:eastAsia="Calibri" w:hAnsiTheme="majorHAnsi" w:cs="Calibri"/>
          <w:color w:val="000000"/>
          <w:sz w:val="22"/>
          <w:szCs w:val="22"/>
          <w:vertAlign w:val="superscript"/>
        </w:rPr>
        <w:footnoteReference w:id="3"/>
      </w:r>
      <w:r w:rsidRPr="00DC4C64">
        <w:rPr>
          <w:rFonts w:asciiTheme="majorHAnsi" w:eastAsia="Cambria" w:hAnsiTheme="majorHAnsi" w:cs="Cambria"/>
          <w:color w:val="000000"/>
          <w:sz w:val="22"/>
          <w:szCs w:val="22"/>
        </w:rPr>
        <w:t xml:space="preserve"> </w:t>
      </w:r>
      <w:r w:rsidRPr="00DC4C64">
        <w:rPr>
          <w:rFonts w:asciiTheme="majorHAnsi" w:eastAsia="Calibri" w:hAnsiTheme="majorHAnsi" w:cs="Calibri"/>
          <w:color w:val="000000"/>
          <w:sz w:val="22"/>
          <w:szCs w:val="22"/>
        </w:rPr>
        <w:t>Maternal mortality and morbidity continues to be one of the leading causes of death amongst women in the Asia-Pacific region. The main causes of maternal mortality include excessive hemorrhaging, hypertension, and abortion-related injuries,</w:t>
      </w:r>
      <w:r w:rsidRPr="00DC4C64">
        <w:rPr>
          <w:rFonts w:asciiTheme="majorHAnsi" w:hAnsiTheme="majorHAnsi"/>
          <w:color w:val="000000"/>
          <w:sz w:val="22"/>
          <w:szCs w:val="22"/>
          <w:vertAlign w:val="superscript"/>
        </w:rPr>
        <w:footnoteReference w:id="4"/>
      </w:r>
      <w:r w:rsidRPr="00DC4C64">
        <w:rPr>
          <w:rFonts w:asciiTheme="majorHAnsi" w:eastAsia="Calibri" w:hAnsiTheme="majorHAnsi" w:cs="Calibri"/>
          <w:color w:val="000000"/>
          <w:sz w:val="22"/>
          <w:szCs w:val="22"/>
        </w:rPr>
        <w:t xml:space="preserve"> </w:t>
      </w:r>
      <w:r w:rsidRPr="00DC4C64">
        <w:rPr>
          <w:rFonts w:asciiTheme="majorHAnsi" w:eastAsia="Calibri" w:hAnsiTheme="majorHAnsi" w:cs="Calibri"/>
          <w:color w:val="1A1A1A"/>
          <w:sz w:val="22"/>
          <w:szCs w:val="22"/>
        </w:rPr>
        <w:t xml:space="preserve">restrictive and inadequate abortion laws, unavailability of safe, legal and unconditional abortion services, inadequate and unaffordable access to healthcare, lack of access to contraceptive information and services, unavailability of skilled birth attendance, inadequate antenatal care coverage, emergency obstetric care services, </w:t>
      </w:r>
      <w:r w:rsidRPr="00DC4C64">
        <w:rPr>
          <w:rFonts w:asciiTheme="majorHAnsi" w:eastAsia="Calibri" w:hAnsiTheme="majorHAnsi" w:cs="Calibri"/>
          <w:color w:val="000000"/>
          <w:sz w:val="22"/>
          <w:szCs w:val="22"/>
        </w:rPr>
        <w:t>and violence during pregnancy</w:t>
      </w:r>
      <w:r w:rsidRPr="00DC4C64">
        <w:rPr>
          <w:rFonts w:asciiTheme="majorHAnsi" w:hAnsiTheme="majorHAnsi"/>
          <w:color w:val="000000"/>
          <w:sz w:val="22"/>
          <w:szCs w:val="22"/>
          <w:vertAlign w:val="superscript"/>
        </w:rPr>
        <w:footnoteReference w:id="5"/>
      </w:r>
      <w:r w:rsidRPr="00DC4C64">
        <w:rPr>
          <w:rFonts w:asciiTheme="majorHAnsi" w:hAnsiTheme="majorHAnsi"/>
          <w:color w:val="000000"/>
          <w:sz w:val="22"/>
          <w:szCs w:val="22"/>
          <w:vertAlign w:val="superscript"/>
        </w:rPr>
        <w:t xml:space="preserve"> </w:t>
      </w:r>
    </w:p>
    <w:p w14:paraId="612FC9E6" w14:textId="77777777" w:rsidR="00DC4C64" w:rsidRPr="00DC4C64" w:rsidRDefault="00DC4C64" w:rsidP="00DC4C64">
      <w:pPr>
        <w:jc w:val="both"/>
        <w:rPr>
          <w:rFonts w:asciiTheme="majorHAnsi" w:eastAsia="Cambria" w:hAnsiTheme="majorHAnsi" w:cs="Cambria"/>
          <w:sz w:val="22"/>
          <w:szCs w:val="22"/>
        </w:rPr>
      </w:pPr>
    </w:p>
    <w:p w14:paraId="01616682" w14:textId="77777777" w:rsidR="00DC4C64" w:rsidRPr="00DC4C64" w:rsidRDefault="00DC4C64" w:rsidP="00DC4C64">
      <w:pPr>
        <w:jc w:val="both"/>
        <w:rPr>
          <w:rFonts w:asciiTheme="majorHAnsi" w:hAnsiTheme="majorHAnsi"/>
          <w:sz w:val="22"/>
          <w:szCs w:val="22"/>
        </w:rPr>
      </w:pPr>
      <w:proofErr w:type="gramStart"/>
      <w:r w:rsidRPr="00DC4C64">
        <w:rPr>
          <w:rFonts w:asciiTheme="majorHAnsi" w:hAnsiTheme="majorHAnsi"/>
          <w:sz w:val="22"/>
          <w:szCs w:val="22"/>
        </w:rPr>
        <w:t xml:space="preserve">Further, the Special Rapporteur on extrajudicial, summary or arbitrary executions on a gender sensitive approach to arbitrary killings has highlighted  that the uncertainty surrounding the process of establishing whether a woman’s pregnancy poses a risk to her life, the medical profession’s </w:t>
      </w:r>
      <w:r w:rsidRPr="00DC4C64">
        <w:rPr>
          <w:rFonts w:asciiTheme="majorHAnsi" w:hAnsiTheme="majorHAnsi"/>
          <w:sz w:val="22"/>
          <w:szCs w:val="22"/>
          <w:highlight w:val="white"/>
        </w:rPr>
        <w:t xml:space="preserve">reticence in the absence of transparent and clearly defined procedures to determine whether the legal conditions for a therapeutic abortion are met, along with </w:t>
      </w:r>
      <w:r w:rsidRPr="00DC4C64">
        <w:rPr>
          <w:rFonts w:asciiTheme="majorHAnsi" w:hAnsiTheme="majorHAnsi"/>
          <w:sz w:val="22"/>
          <w:szCs w:val="22"/>
        </w:rPr>
        <w:t>the threat of criminal prosecution – all of these have a “significant chilling” effect both on doctors and the women concerned</w:t>
      </w:r>
      <w:r w:rsidRPr="00DC4C64">
        <w:rPr>
          <w:rFonts w:asciiTheme="majorHAnsi" w:hAnsiTheme="majorHAnsi"/>
          <w:sz w:val="22"/>
          <w:szCs w:val="22"/>
          <w:vertAlign w:val="superscript"/>
        </w:rPr>
        <w:footnoteReference w:id="6"/>
      </w:r>
      <w:r w:rsidRPr="00DC4C64">
        <w:rPr>
          <w:rFonts w:asciiTheme="majorHAnsi" w:hAnsiTheme="majorHAnsi"/>
          <w:sz w:val="22"/>
          <w:szCs w:val="22"/>
        </w:rPr>
        <w:t xml:space="preserve"> and altogether greatly increase the likelihood of women seeking unsafe abortion, and the likelihood that a substantive proportion of them will suffer lasting injuries or die.</w:t>
      </w:r>
      <w:proofErr w:type="gramEnd"/>
      <w:r w:rsidRPr="00DC4C64">
        <w:rPr>
          <w:rFonts w:asciiTheme="majorHAnsi" w:hAnsiTheme="majorHAnsi"/>
          <w:sz w:val="22"/>
          <w:szCs w:val="22"/>
        </w:rPr>
        <w:t xml:space="preserve"> Depending on the individual </w:t>
      </w:r>
      <w:r w:rsidRPr="00DC4C64">
        <w:rPr>
          <w:rFonts w:asciiTheme="majorHAnsi" w:hAnsiTheme="majorHAnsi"/>
          <w:sz w:val="22"/>
          <w:szCs w:val="22"/>
        </w:rPr>
        <w:lastRenderedPageBreak/>
        <w:t>circumstances of each case, one may be able to conclude that these deaths constitute an arbitrary deprivation of life.</w:t>
      </w:r>
      <w:r w:rsidRPr="00DC4C64">
        <w:rPr>
          <w:rFonts w:asciiTheme="majorHAnsi" w:hAnsiTheme="majorHAnsi"/>
          <w:sz w:val="22"/>
          <w:szCs w:val="22"/>
        </w:rPr>
        <w:tab/>
      </w:r>
    </w:p>
    <w:p w14:paraId="3C9E6D4C" w14:textId="77777777" w:rsidR="00DC4C64" w:rsidRPr="00DC4C64" w:rsidRDefault="00DC4C64" w:rsidP="00DC4C64">
      <w:pPr>
        <w:jc w:val="both"/>
        <w:rPr>
          <w:rFonts w:asciiTheme="majorHAnsi" w:hAnsiTheme="majorHAnsi"/>
          <w:sz w:val="22"/>
          <w:szCs w:val="22"/>
        </w:rPr>
      </w:pPr>
    </w:p>
    <w:p w14:paraId="10A63690" w14:textId="6BC5E33E" w:rsidR="00DC4C64" w:rsidRPr="00DC4C64" w:rsidRDefault="00DC4C64" w:rsidP="00DC4C64">
      <w:pPr>
        <w:jc w:val="both"/>
        <w:rPr>
          <w:rFonts w:asciiTheme="majorHAnsi" w:hAnsiTheme="majorHAnsi"/>
          <w:sz w:val="22"/>
          <w:szCs w:val="22"/>
        </w:rPr>
      </w:pPr>
      <w:proofErr w:type="gramStart"/>
      <w:r w:rsidRPr="00DC4C64">
        <w:rPr>
          <w:rFonts w:asciiTheme="majorHAnsi" w:hAnsiTheme="majorHAnsi"/>
          <w:b/>
          <w:sz w:val="22"/>
          <w:szCs w:val="22"/>
        </w:rPr>
        <w:t>We recommend</w:t>
      </w:r>
      <w:r w:rsidRPr="00DC4C64">
        <w:rPr>
          <w:rFonts w:asciiTheme="majorHAnsi" w:hAnsiTheme="majorHAnsi"/>
          <w:sz w:val="22"/>
          <w:szCs w:val="22"/>
        </w:rPr>
        <w:t xml:space="preserve"> that the Committee reinforce the duty of the States to protect women’s right to life by providing legal safe abortion services on all grounds and specifically highlight in the General Comment that States must not only remove legal and policy barriers to the access of safe abortion (including criminalizing abortion service) but also cultural and religious barriers which hamper women and girl’s enjoyment of their right to life with regards to abortion.</w:t>
      </w:r>
      <w:proofErr w:type="gramEnd"/>
      <w:r w:rsidRPr="00DC4C64">
        <w:rPr>
          <w:rFonts w:asciiTheme="majorHAnsi" w:hAnsiTheme="majorHAnsi"/>
          <w:sz w:val="22"/>
          <w:szCs w:val="22"/>
        </w:rPr>
        <w:t xml:space="preserve"> This includes addressing factors that creates and perpetuates stigma within society, including service providers.  </w:t>
      </w:r>
    </w:p>
    <w:p w14:paraId="324A366F" w14:textId="77777777" w:rsidR="00DC4C64" w:rsidRPr="00DC4C64" w:rsidRDefault="00DC4C64" w:rsidP="00DC4C64">
      <w:pPr>
        <w:jc w:val="both"/>
        <w:rPr>
          <w:rFonts w:asciiTheme="majorHAnsi" w:hAnsiTheme="majorHAnsi"/>
          <w:sz w:val="22"/>
          <w:szCs w:val="22"/>
        </w:rPr>
      </w:pPr>
    </w:p>
    <w:p w14:paraId="5387E1AB" w14:textId="77777777" w:rsidR="00DC4C64" w:rsidRDefault="00DC4C64" w:rsidP="00DC4C64">
      <w:pPr>
        <w:jc w:val="both"/>
        <w:rPr>
          <w:rFonts w:asciiTheme="majorHAnsi" w:hAnsiTheme="majorHAnsi"/>
          <w:sz w:val="22"/>
          <w:szCs w:val="22"/>
        </w:rPr>
      </w:pPr>
      <w:r w:rsidRPr="00DC4C64">
        <w:rPr>
          <w:rFonts w:asciiTheme="majorHAnsi" w:hAnsiTheme="majorHAnsi"/>
          <w:b/>
          <w:sz w:val="22"/>
          <w:szCs w:val="22"/>
        </w:rPr>
        <w:t>We also welcome the Committee’s commitment to women and young girls SRHR services</w:t>
      </w:r>
      <w:r w:rsidRPr="00DC4C64">
        <w:rPr>
          <w:rFonts w:asciiTheme="majorHAnsi" w:hAnsiTheme="majorHAnsi"/>
          <w:sz w:val="22"/>
          <w:szCs w:val="22"/>
        </w:rPr>
        <w:t>, i.e. ‘the duty to protect the lives of women against the health risks associated with unsafe abortion requires States parties to ensure access for women and men and in particular adolescents, to information and education about reproductive options and to a wide range of contraception methods.”</w:t>
      </w:r>
      <w:r w:rsidRPr="00DC4C64">
        <w:rPr>
          <w:rFonts w:asciiTheme="majorHAnsi" w:hAnsiTheme="majorHAnsi"/>
          <w:sz w:val="22"/>
          <w:szCs w:val="22"/>
          <w:vertAlign w:val="superscript"/>
        </w:rPr>
        <w:footnoteReference w:id="7"/>
      </w:r>
    </w:p>
    <w:p w14:paraId="7E9FA309" w14:textId="77777777" w:rsidR="00DC4C64" w:rsidRPr="00DC4C64" w:rsidRDefault="00DC4C64" w:rsidP="00DC4C64">
      <w:pPr>
        <w:jc w:val="both"/>
        <w:rPr>
          <w:rFonts w:asciiTheme="majorHAnsi" w:hAnsiTheme="majorHAnsi"/>
          <w:sz w:val="22"/>
          <w:szCs w:val="22"/>
        </w:rPr>
      </w:pPr>
    </w:p>
    <w:p w14:paraId="1EE93AAC" w14:textId="77777777" w:rsidR="00DC4C64" w:rsidRPr="00DC4C64" w:rsidRDefault="00DC4C64" w:rsidP="00DC4C64">
      <w:pPr>
        <w:jc w:val="both"/>
        <w:rPr>
          <w:rFonts w:asciiTheme="majorHAnsi" w:hAnsiTheme="majorHAnsi"/>
          <w:sz w:val="22"/>
          <w:szCs w:val="22"/>
        </w:rPr>
      </w:pPr>
      <w:r w:rsidRPr="00DC4C64">
        <w:rPr>
          <w:rFonts w:asciiTheme="majorHAnsi" w:hAnsiTheme="majorHAnsi"/>
          <w:sz w:val="22"/>
          <w:szCs w:val="22"/>
        </w:rPr>
        <w:t xml:space="preserve">In 2008, </w:t>
      </w:r>
      <w:r w:rsidRPr="00DC4C64">
        <w:rPr>
          <w:rFonts w:asciiTheme="majorHAnsi" w:eastAsia="Calibri" w:hAnsiTheme="majorHAnsi" w:cs="Calibri"/>
          <w:sz w:val="22"/>
          <w:szCs w:val="22"/>
        </w:rPr>
        <w:t xml:space="preserve">38% of pregnancies each year were unintended in Asia and 10.8 million abortions in 2008 </w:t>
      </w:r>
      <w:proofErr w:type="gramStart"/>
      <w:r w:rsidRPr="00DC4C64">
        <w:rPr>
          <w:rFonts w:asciiTheme="majorHAnsi" w:eastAsia="Calibri" w:hAnsiTheme="majorHAnsi" w:cs="Calibri"/>
          <w:sz w:val="22"/>
          <w:szCs w:val="22"/>
        </w:rPr>
        <w:t>were considered</w:t>
      </w:r>
      <w:proofErr w:type="gramEnd"/>
      <w:r w:rsidRPr="00DC4C64">
        <w:rPr>
          <w:rFonts w:asciiTheme="majorHAnsi" w:eastAsia="Calibri" w:hAnsiTheme="majorHAnsi" w:cs="Calibri"/>
          <w:sz w:val="22"/>
          <w:szCs w:val="22"/>
        </w:rPr>
        <w:t xml:space="preserve"> unsafe, endangering the lives of women and girls. Universal access to contraceptive services and safe abortion services </w:t>
      </w:r>
      <w:proofErr w:type="gramStart"/>
      <w:r w:rsidRPr="00DC4C64">
        <w:rPr>
          <w:rFonts w:asciiTheme="majorHAnsi" w:eastAsia="Calibri" w:hAnsiTheme="majorHAnsi" w:cs="Calibri"/>
          <w:sz w:val="22"/>
          <w:szCs w:val="22"/>
        </w:rPr>
        <w:t>must be considered</w:t>
      </w:r>
      <w:proofErr w:type="gramEnd"/>
      <w:r w:rsidRPr="00DC4C64">
        <w:rPr>
          <w:rFonts w:asciiTheme="majorHAnsi" w:eastAsia="Calibri" w:hAnsiTheme="majorHAnsi" w:cs="Calibri"/>
          <w:sz w:val="22"/>
          <w:szCs w:val="22"/>
        </w:rPr>
        <w:t xml:space="preserve"> as vital components of preserving the right to life of women and girls. Governments should provide the necessary health services to protect the right to life of women and girls. </w:t>
      </w:r>
    </w:p>
    <w:p w14:paraId="4D3E86A8" w14:textId="77777777" w:rsidR="00DC4C64" w:rsidRDefault="00DC4C64" w:rsidP="00DC4C64">
      <w:pPr>
        <w:jc w:val="both"/>
        <w:rPr>
          <w:rFonts w:asciiTheme="majorHAnsi" w:eastAsia="Calibri" w:hAnsiTheme="majorHAnsi" w:cs="Calibri"/>
          <w:sz w:val="22"/>
          <w:szCs w:val="22"/>
        </w:rPr>
      </w:pPr>
    </w:p>
    <w:p w14:paraId="747C96AC" w14:textId="77777777" w:rsidR="00DC4C64" w:rsidRPr="00DC4C64" w:rsidRDefault="00DC4C64" w:rsidP="00DC4C64">
      <w:pPr>
        <w:jc w:val="both"/>
        <w:rPr>
          <w:rFonts w:asciiTheme="majorHAnsi" w:eastAsia="Calibri" w:hAnsiTheme="majorHAnsi" w:cs="Calibri"/>
          <w:sz w:val="22"/>
          <w:szCs w:val="22"/>
        </w:rPr>
      </w:pPr>
      <w:proofErr w:type="gramStart"/>
      <w:r w:rsidRPr="00DC4C64">
        <w:rPr>
          <w:rFonts w:asciiTheme="majorHAnsi" w:eastAsia="Calibri" w:hAnsiTheme="majorHAnsi" w:cs="Calibri"/>
          <w:sz w:val="22"/>
          <w:szCs w:val="22"/>
        </w:rPr>
        <w:t xml:space="preserve">However, access to contraception </w:t>
      </w:r>
      <w:r w:rsidRPr="00DC4C64">
        <w:rPr>
          <w:rFonts w:asciiTheme="majorHAnsi" w:hAnsiTheme="majorHAnsi"/>
          <w:sz w:val="22"/>
          <w:szCs w:val="22"/>
        </w:rPr>
        <w:t>can be?</w:t>
      </w:r>
      <w:proofErr w:type="gramEnd"/>
      <w:r w:rsidRPr="00DC4C64">
        <w:rPr>
          <w:rFonts w:asciiTheme="majorHAnsi" w:eastAsia="Calibri" w:hAnsiTheme="majorHAnsi" w:cs="Calibri"/>
          <w:sz w:val="22"/>
          <w:szCs w:val="22"/>
        </w:rPr>
        <w:t xml:space="preserve"> limited on the grounds of religious </w:t>
      </w:r>
      <w:r w:rsidRPr="00DC4C64">
        <w:rPr>
          <w:rFonts w:asciiTheme="majorHAnsi" w:hAnsiTheme="majorHAnsi"/>
          <w:sz w:val="22"/>
          <w:szCs w:val="22"/>
        </w:rPr>
        <w:t xml:space="preserve">and cultural </w:t>
      </w:r>
      <w:r w:rsidRPr="00DC4C64">
        <w:rPr>
          <w:rFonts w:asciiTheme="majorHAnsi" w:eastAsia="Calibri" w:hAnsiTheme="majorHAnsi" w:cs="Calibri"/>
          <w:sz w:val="22"/>
          <w:szCs w:val="22"/>
        </w:rPr>
        <w:t xml:space="preserve">beliefs in particular cultures, where religion and upholding a certain religious interpretation are used to justify the denial of services to certain groups such as unmarried women and young people and sometimes even married women or where </w:t>
      </w:r>
      <w:r w:rsidRPr="00DC4C64">
        <w:rPr>
          <w:rFonts w:asciiTheme="majorHAnsi" w:hAnsiTheme="majorHAnsi"/>
          <w:sz w:val="22"/>
          <w:szCs w:val="22"/>
        </w:rPr>
        <w:t>provision is only available under certain conditions</w:t>
      </w:r>
      <w:r w:rsidRPr="00DC4C64">
        <w:rPr>
          <w:rFonts w:asciiTheme="majorHAnsi" w:eastAsia="Calibri" w:hAnsiTheme="majorHAnsi" w:cs="Calibri"/>
          <w:sz w:val="22"/>
          <w:szCs w:val="22"/>
        </w:rPr>
        <w:t xml:space="preserve">. These justifications use messaging and interpretations of prohibition, sexual activity being sanctioned within the institution of marriage and for purposes of </w:t>
      </w:r>
      <w:r w:rsidRPr="00DC4C64">
        <w:rPr>
          <w:rFonts w:asciiTheme="majorHAnsi" w:hAnsiTheme="majorHAnsi"/>
          <w:sz w:val="22"/>
          <w:szCs w:val="22"/>
        </w:rPr>
        <w:t>reproduction</w:t>
      </w:r>
      <w:r w:rsidRPr="00DC4C64">
        <w:rPr>
          <w:rFonts w:asciiTheme="majorHAnsi" w:eastAsia="Calibri" w:hAnsiTheme="majorHAnsi" w:cs="Calibri"/>
          <w:sz w:val="22"/>
          <w:szCs w:val="22"/>
        </w:rPr>
        <w:t>, the danger of encouraging promiscuity amongst young people, and putting decision making into the hands of those who are not cons</w:t>
      </w:r>
      <w:r w:rsidRPr="00DC4C64">
        <w:rPr>
          <w:rFonts w:asciiTheme="majorHAnsi" w:hAnsiTheme="majorHAnsi"/>
          <w:sz w:val="22"/>
          <w:szCs w:val="22"/>
        </w:rPr>
        <w:t>idered</w:t>
      </w:r>
      <w:r w:rsidRPr="00DC4C64">
        <w:rPr>
          <w:rFonts w:asciiTheme="majorHAnsi" w:eastAsia="Calibri" w:hAnsiTheme="majorHAnsi" w:cs="Calibri"/>
          <w:sz w:val="22"/>
          <w:szCs w:val="22"/>
        </w:rPr>
        <w:t xml:space="preserve"> ‘fit’ to make them. In Maldives</w:t>
      </w:r>
      <w:r w:rsidRPr="00DC4C64">
        <w:rPr>
          <w:rFonts w:asciiTheme="majorHAnsi" w:eastAsia="Calibri" w:hAnsiTheme="majorHAnsi" w:cs="Calibri"/>
          <w:sz w:val="22"/>
          <w:szCs w:val="22"/>
          <w:vertAlign w:val="superscript"/>
        </w:rPr>
        <w:footnoteReference w:id="8"/>
      </w:r>
      <w:r w:rsidRPr="00DC4C64">
        <w:rPr>
          <w:rFonts w:asciiTheme="majorHAnsi" w:eastAsia="Calibri" w:hAnsiTheme="majorHAnsi" w:cs="Calibri"/>
          <w:sz w:val="22"/>
          <w:szCs w:val="22"/>
        </w:rPr>
        <w:t>, the Philippines</w:t>
      </w:r>
      <w:r w:rsidRPr="00DC4C64">
        <w:rPr>
          <w:rFonts w:asciiTheme="majorHAnsi" w:eastAsia="Calibri" w:hAnsiTheme="majorHAnsi" w:cs="Calibri"/>
          <w:sz w:val="22"/>
          <w:szCs w:val="22"/>
          <w:vertAlign w:val="superscript"/>
        </w:rPr>
        <w:footnoteReference w:id="9"/>
      </w:r>
      <w:r w:rsidRPr="00DC4C64">
        <w:rPr>
          <w:rFonts w:asciiTheme="majorHAnsi" w:eastAsia="Calibri" w:hAnsiTheme="majorHAnsi" w:cs="Calibri"/>
          <w:sz w:val="22"/>
          <w:szCs w:val="22"/>
        </w:rPr>
        <w:t>, and Pakistan</w:t>
      </w:r>
      <w:r w:rsidRPr="00DC4C64">
        <w:rPr>
          <w:rFonts w:asciiTheme="majorHAnsi" w:eastAsia="Calibri" w:hAnsiTheme="majorHAnsi" w:cs="Calibri"/>
          <w:sz w:val="22"/>
          <w:szCs w:val="22"/>
          <w:vertAlign w:val="superscript"/>
        </w:rPr>
        <w:footnoteReference w:id="10"/>
      </w:r>
      <w:r w:rsidRPr="00DC4C64">
        <w:rPr>
          <w:rFonts w:asciiTheme="majorHAnsi" w:eastAsia="Calibri" w:hAnsiTheme="majorHAnsi" w:cs="Calibri"/>
          <w:sz w:val="22"/>
          <w:szCs w:val="22"/>
        </w:rPr>
        <w:t xml:space="preserve"> reference to contraception and family planning is within the bounds of marriage and the acceptability of sexual activity to be only within marriage. In Morocco</w:t>
      </w:r>
      <w:r w:rsidRPr="00DC4C64">
        <w:rPr>
          <w:rFonts w:asciiTheme="majorHAnsi" w:eastAsia="Calibri" w:hAnsiTheme="majorHAnsi" w:cs="Calibri"/>
          <w:sz w:val="22"/>
          <w:szCs w:val="22"/>
          <w:vertAlign w:val="superscript"/>
        </w:rPr>
        <w:footnoteReference w:id="11"/>
      </w:r>
      <w:r w:rsidRPr="00DC4C64">
        <w:rPr>
          <w:rFonts w:asciiTheme="majorHAnsi" w:eastAsia="Calibri" w:hAnsiTheme="majorHAnsi" w:cs="Calibri"/>
          <w:sz w:val="22"/>
          <w:szCs w:val="22"/>
        </w:rPr>
        <w:t xml:space="preserve">, single mothers are unable to gain access to safe abortion services, which is only available to married women under certain circumstances. All these ideals </w:t>
      </w:r>
      <w:proofErr w:type="gramStart"/>
      <w:r w:rsidRPr="00DC4C64">
        <w:rPr>
          <w:rFonts w:asciiTheme="majorHAnsi" w:eastAsia="Calibri" w:hAnsiTheme="majorHAnsi" w:cs="Calibri"/>
          <w:sz w:val="22"/>
          <w:szCs w:val="22"/>
        </w:rPr>
        <w:t>are defined</w:t>
      </w:r>
      <w:proofErr w:type="gramEnd"/>
      <w:r w:rsidRPr="00DC4C64">
        <w:rPr>
          <w:rFonts w:asciiTheme="majorHAnsi" w:eastAsia="Calibri" w:hAnsiTheme="majorHAnsi" w:cs="Calibri"/>
          <w:sz w:val="22"/>
          <w:szCs w:val="22"/>
        </w:rPr>
        <w:t xml:space="preserve"> by religious and cultural practices of acceptable </w:t>
      </w:r>
      <w:proofErr w:type="spellStart"/>
      <w:r w:rsidRPr="00DC4C64">
        <w:rPr>
          <w:rFonts w:asciiTheme="majorHAnsi" w:eastAsia="Calibri" w:hAnsiTheme="majorHAnsi" w:cs="Calibri"/>
          <w:sz w:val="22"/>
          <w:szCs w:val="22"/>
        </w:rPr>
        <w:t>behaviour</w:t>
      </w:r>
      <w:proofErr w:type="spellEnd"/>
      <w:r w:rsidRPr="00DC4C64">
        <w:rPr>
          <w:rFonts w:asciiTheme="majorHAnsi" w:eastAsia="Calibri" w:hAnsiTheme="majorHAnsi" w:cs="Calibri"/>
          <w:sz w:val="22"/>
          <w:szCs w:val="22"/>
        </w:rPr>
        <w:t xml:space="preserve"> and legitimizing reproduction while stigmatizing </w:t>
      </w:r>
      <w:proofErr w:type="spellStart"/>
      <w:r w:rsidRPr="00DC4C64">
        <w:rPr>
          <w:rFonts w:asciiTheme="majorHAnsi" w:eastAsia="Calibri" w:hAnsiTheme="majorHAnsi" w:cs="Calibri"/>
          <w:sz w:val="22"/>
          <w:szCs w:val="22"/>
        </w:rPr>
        <w:t>behaviour</w:t>
      </w:r>
      <w:proofErr w:type="spellEnd"/>
      <w:r w:rsidRPr="00DC4C64">
        <w:rPr>
          <w:rFonts w:asciiTheme="majorHAnsi" w:eastAsia="Calibri" w:hAnsiTheme="majorHAnsi" w:cs="Calibri"/>
          <w:sz w:val="22"/>
          <w:szCs w:val="22"/>
        </w:rPr>
        <w:t xml:space="preserve"> – single parenthood, sexual activity amongst </w:t>
      </w:r>
      <w:r w:rsidRPr="00DC4C64">
        <w:rPr>
          <w:rFonts w:asciiTheme="majorHAnsi" w:hAnsiTheme="majorHAnsi"/>
          <w:sz w:val="22"/>
          <w:szCs w:val="22"/>
        </w:rPr>
        <w:t xml:space="preserve">youth, sex out of marriage </w:t>
      </w:r>
      <w:r w:rsidRPr="00DC4C64">
        <w:rPr>
          <w:rFonts w:asciiTheme="majorHAnsi" w:eastAsia="Calibri" w:hAnsiTheme="majorHAnsi" w:cs="Calibri"/>
          <w:sz w:val="22"/>
          <w:szCs w:val="22"/>
        </w:rPr>
        <w:t xml:space="preserve">and sex for pleasure. </w:t>
      </w:r>
    </w:p>
    <w:p w14:paraId="22550269" w14:textId="77777777" w:rsidR="00DC4C64" w:rsidRPr="00DC4C64" w:rsidRDefault="00DC4C64" w:rsidP="00DC4C64">
      <w:pPr>
        <w:jc w:val="both"/>
        <w:rPr>
          <w:rFonts w:asciiTheme="majorHAnsi" w:hAnsiTheme="majorHAnsi"/>
          <w:sz w:val="22"/>
          <w:szCs w:val="22"/>
        </w:rPr>
      </w:pPr>
    </w:p>
    <w:p w14:paraId="6AAD3B8B" w14:textId="77777777" w:rsidR="00DC4C64" w:rsidRDefault="00DC4C64" w:rsidP="00DC4C64">
      <w:pPr>
        <w:jc w:val="both"/>
        <w:rPr>
          <w:rFonts w:asciiTheme="majorHAnsi" w:eastAsia="Calibri" w:hAnsiTheme="majorHAnsi" w:cs="Calibri"/>
          <w:sz w:val="22"/>
          <w:szCs w:val="22"/>
        </w:rPr>
      </w:pPr>
      <w:r w:rsidRPr="00DC4C64">
        <w:rPr>
          <w:rFonts w:asciiTheme="majorHAnsi" w:eastAsia="Calibri" w:hAnsiTheme="majorHAnsi" w:cs="Calibri"/>
          <w:b/>
          <w:sz w:val="22"/>
          <w:szCs w:val="22"/>
        </w:rPr>
        <w:lastRenderedPageBreak/>
        <w:t xml:space="preserve">We recommend </w:t>
      </w:r>
      <w:r w:rsidRPr="00DC4C64">
        <w:rPr>
          <w:rFonts w:asciiTheme="majorHAnsi" w:eastAsia="Calibri" w:hAnsiTheme="majorHAnsi" w:cs="Calibri"/>
          <w:sz w:val="22"/>
          <w:szCs w:val="22"/>
        </w:rPr>
        <w:t xml:space="preserve">that the General Comment should mandate States to provide universal access to context specific right-based continuum of quality care for reproductive health across the lifecycle – from preconception to pregnancy to post-partum/post-abortion to menopause including emergency contraception. </w:t>
      </w:r>
      <w:proofErr w:type="gramStart"/>
      <w:r w:rsidRPr="00DC4C64">
        <w:rPr>
          <w:rFonts w:asciiTheme="majorHAnsi" w:eastAsia="Calibri" w:hAnsiTheme="majorHAnsi" w:cs="Calibri"/>
          <w:sz w:val="22"/>
          <w:szCs w:val="22"/>
        </w:rPr>
        <w:t>And</w:t>
      </w:r>
      <w:proofErr w:type="gramEnd"/>
      <w:r w:rsidRPr="00DC4C64">
        <w:rPr>
          <w:rFonts w:asciiTheme="majorHAnsi" w:eastAsia="Calibri" w:hAnsiTheme="majorHAnsi" w:cs="Calibri"/>
          <w:sz w:val="22"/>
          <w:szCs w:val="22"/>
        </w:rPr>
        <w:t xml:space="preserve"> States should remove all barriers that hamper </w:t>
      </w:r>
      <w:r w:rsidRPr="00DC4C64">
        <w:rPr>
          <w:rFonts w:asciiTheme="majorHAnsi" w:hAnsiTheme="majorHAnsi"/>
          <w:sz w:val="22"/>
          <w:szCs w:val="22"/>
        </w:rPr>
        <w:t>women's</w:t>
      </w:r>
      <w:r w:rsidRPr="00DC4C64">
        <w:rPr>
          <w:rFonts w:asciiTheme="majorHAnsi" w:eastAsia="Calibri" w:hAnsiTheme="majorHAnsi" w:cs="Calibri"/>
          <w:sz w:val="22"/>
          <w:szCs w:val="22"/>
        </w:rPr>
        <w:t xml:space="preserve"> and girl’s access to contraception. </w:t>
      </w:r>
    </w:p>
    <w:p w14:paraId="72C0B491" w14:textId="77777777" w:rsidR="00DC4C64" w:rsidRPr="00DC4C64" w:rsidRDefault="00DC4C64" w:rsidP="00DC4C64">
      <w:pPr>
        <w:jc w:val="both"/>
        <w:rPr>
          <w:rFonts w:asciiTheme="majorHAnsi" w:hAnsiTheme="majorHAnsi"/>
          <w:sz w:val="22"/>
          <w:szCs w:val="22"/>
        </w:rPr>
      </w:pPr>
    </w:p>
    <w:p w14:paraId="12D23577" w14:textId="77777777" w:rsidR="00DC4C64" w:rsidRPr="00DC4C64" w:rsidRDefault="00DC4C64" w:rsidP="00DC4C64">
      <w:pPr>
        <w:jc w:val="both"/>
        <w:rPr>
          <w:rFonts w:asciiTheme="majorHAnsi" w:hAnsiTheme="majorHAnsi"/>
          <w:sz w:val="22"/>
          <w:szCs w:val="22"/>
        </w:rPr>
      </w:pPr>
      <w:bookmarkStart w:id="1" w:name="_gjdgxs" w:colFirst="0" w:colLast="0"/>
      <w:bookmarkEnd w:id="1"/>
      <w:r w:rsidRPr="00DC4C64">
        <w:rPr>
          <w:rFonts w:asciiTheme="majorHAnsi" w:eastAsia="Calibri" w:hAnsiTheme="majorHAnsi" w:cs="Calibri"/>
          <w:b/>
          <w:sz w:val="22"/>
          <w:szCs w:val="22"/>
        </w:rPr>
        <w:t>The Committee’s reiteration</w:t>
      </w:r>
      <w:r w:rsidRPr="00DC4C64">
        <w:rPr>
          <w:rFonts w:asciiTheme="majorHAnsi" w:eastAsia="Calibri" w:hAnsiTheme="majorHAnsi" w:cs="Calibri"/>
          <w:sz w:val="22"/>
          <w:szCs w:val="22"/>
        </w:rPr>
        <w:t xml:space="preserve"> of the duty of States to protect the right to life of all persons including but not limited to LGBTI persons</w:t>
      </w:r>
      <w:r w:rsidRPr="00DC4C64">
        <w:rPr>
          <w:rFonts w:asciiTheme="majorHAnsi" w:hAnsiTheme="majorHAnsi"/>
          <w:sz w:val="22"/>
          <w:szCs w:val="22"/>
          <w:vertAlign w:val="superscript"/>
        </w:rPr>
        <w:footnoteReference w:id="12"/>
      </w:r>
      <w:r w:rsidRPr="00DC4C64">
        <w:rPr>
          <w:rFonts w:asciiTheme="majorHAnsi" w:eastAsia="Calibri" w:hAnsiTheme="majorHAnsi" w:cs="Calibri"/>
          <w:sz w:val="22"/>
          <w:szCs w:val="22"/>
        </w:rPr>
        <w:t xml:space="preserve"> and the removal of criminal sanctions – imprisonment, death penalty for adult consensual same sex activity is extremely necessary. In this regard, it is incumbent upon States to take special measures to protect individuals under threat </w:t>
      </w:r>
      <w:proofErr w:type="gramStart"/>
      <w:r w:rsidRPr="00DC4C64">
        <w:rPr>
          <w:rFonts w:asciiTheme="majorHAnsi" w:eastAsia="Calibri" w:hAnsiTheme="majorHAnsi" w:cs="Calibri"/>
          <w:sz w:val="22"/>
          <w:szCs w:val="22"/>
        </w:rPr>
        <w:t>and also</w:t>
      </w:r>
      <w:proofErr w:type="gramEnd"/>
      <w:r w:rsidRPr="00DC4C64">
        <w:rPr>
          <w:rFonts w:asciiTheme="majorHAnsi" w:eastAsia="Calibri" w:hAnsiTheme="majorHAnsi" w:cs="Calibri"/>
          <w:sz w:val="22"/>
          <w:szCs w:val="22"/>
        </w:rPr>
        <w:t xml:space="preserve"> work towards to elimination of stigma and discrimination towards them, including legal</w:t>
      </w:r>
      <w:r w:rsidRPr="00DC4C64">
        <w:rPr>
          <w:rFonts w:asciiTheme="majorHAnsi" w:hAnsiTheme="majorHAnsi"/>
          <w:sz w:val="22"/>
          <w:szCs w:val="22"/>
        </w:rPr>
        <w:t xml:space="preserve"> and policy conditions</w:t>
      </w:r>
      <w:r w:rsidRPr="00DC4C64">
        <w:rPr>
          <w:rFonts w:asciiTheme="majorHAnsi" w:eastAsia="Calibri" w:hAnsiTheme="majorHAnsi" w:cs="Calibri"/>
          <w:sz w:val="22"/>
          <w:szCs w:val="22"/>
        </w:rPr>
        <w:t xml:space="preserve"> and within formal and informal spaces such as the family</w:t>
      </w:r>
      <w:r w:rsidRPr="00DC4C64">
        <w:rPr>
          <w:rFonts w:asciiTheme="majorHAnsi" w:hAnsiTheme="majorHAnsi"/>
          <w:sz w:val="22"/>
          <w:szCs w:val="22"/>
        </w:rPr>
        <w:t xml:space="preserve">, </w:t>
      </w:r>
      <w:r w:rsidRPr="00DC4C64">
        <w:rPr>
          <w:rFonts w:asciiTheme="majorHAnsi" w:eastAsia="Calibri" w:hAnsiTheme="majorHAnsi" w:cs="Calibri"/>
          <w:sz w:val="22"/>
          <w:szCs w:val="22"/>
        </w:rPr>
        <w:t xml:space="preserve">as a way to protect the right to life of all persons. </w:t>
      </w:r>
    </w:p>
    <w:p w14:paraId="2559D446" w14:textId="77777777" w:rsidR="00DC4C64" w:rsidRPr="00DC4C64" w:rsidRDefault="00DC4C64" w:rsidP="00DC4C64">
      <w:pPr>
        <w:jc w:val="both"/>
        <w:rPr>
          <w:rFonts w:asciiTheme="majorHAnsi" w:hAnsiTheme="majorHAnsi"/>
          <w:sz w:val="22"/>
          <w:szCs w:val="22"/>
        </w:rPr>
      </w:pPr>
    </w:p>
    <w:p w14:paraId="08E950BA" w14:textId="325A3C8D" w:rsidR="00A3701B" w:rsidRPr="00DC4C64" w:rsidRDefault="00A3701B" w:rsidP="00284DFF">
      <w:pPr>
        <w:rPr>
          <w:rFonts w:asciiTheme="majorHAnsi" w:hAnsiTheme="majorHAnsi"/>
          <w:sz w:val="22"/>
          <w:szCs w:val="22"/>
        </w:rPr>
      </w:pPr>
    </w:p>
    <w:p w14:paraId="16B5A7D3" w14:textId="77777777" w:rsidR="00DC4C64" w:rsidRPr="00DC4C64" w:rsidRDefault="00DC4C64">
      <w:pPr>
        <w:rPr>
          <w:rFonts w:asciiTheme="majorHAnsi" w:hAnsiTheme="majorHAnsi"/>
          <w:sz w:val="22"/>
          <w:szCs w:val="22"/>
        </w:rPr>
      </w:pPr>
    </w:p>
    <w:sectPr w:rsidR="00DC4C64" w:rsidRPr="00DC4C64" w:rsidSect="004848E5">
      <w:headerReference w:type="even" r:id="rId9"/>
      <w:headerReference w:type="default" r:id="rId10"/>
      <w:footerReference w:type="even" r:id="rId11"/>
      <w:footerReference w:type="default" r:id="rId12"/>
      <w:headerReference w:type="first" r:id="rId13"/>
      <w:footerReference w:type="first" r:id="rId14"/>
      <w:pgSz w:w="11900" w:h="16840" w:code="9"/>
      <w:pgMar w:top="1100" w:right="1247" w:bottom="851" w:left="1871"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64D14" w14:textId="77777777" w:rsidR="00C27854" w:rsidRDefault="00C27854">
      <w:r>
        <w:separator/>
      </w:r>
    </w:p>
  </w:endnote>
  <w:endnote w:type="continuationSeparator" w:id="0">
    <w:p w14:paraId="249DDCB6" w14:textId="77777777" w:rsidR="00C27854" w:rsidRDefault="00C27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inionPro-Regular">
    <w:altName w:val="Genev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4EE2" w14:textId="77777777" w:rsidR="00724AF8" w:rsidRDefault="00724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BB188" w14:textId="77777777" w:rsidR="00183141" w:rsidRDefault="00183141" w:rsidP="002179F9">
    <w:pPr>
      <w:pStyle w:val="Footer"/>
      <w:tabs>
        <w:tab w:val="clear" w:pos="4320"/>
        <w:tab w:val="clear" w:pos="8640"/>
      </w:tabs>
    </w:pPr>
    <w:r>
      <w:rPr>
        <w:noProof/>
        <w:lang w:val="en-GB" w:eastAsia="en-GB"/>
      </w:rPr>
      <w:drawing>
        <wp:inline distT="0" distB="0" distL="0" distR="0" wp14:anchorId="53F66A2A" wp14:editId="2F53B123">
          <wp:extent cx="5544000" cy="598448"/>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tail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44000" cy="59844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E71C0" w14:textId="77777777" w:rsidR="00724AF8" w:rsidRDefault="00724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75E77" w14:textId="77777777" w:rsidR="00C27854" w:rsidRDefault="00C27854">
      <w:r>
        <w:separator/>
      </w:r>
    </w:p>
  </w:footnote>
  <w:footnote w:type="continuationSeparator" w:id="0">
    <w:p w14:paraId="482D47CD" w14:textId="77777777" w:rsidR="00C27854" w:rsidRDefault="00C27854">
      <w:r>
        <w:continuationSeparator/>
      </w:r>
    </w:p>
  </w:footnote>
  <w:footnote w:id="1">
    <w:p w14:paraId="02314432" w14:textId="77777777" w:rsidR="00DC4C64" w:rsidRPr="00DC4C64" w:rsidRDefault="00DC4C64" w:rsidP="00DC4C64">
      <w:pPr>
        <w:tabs>
          <w:tab w:val="right" w:pos="1021"/>
        </w:tabs>
        <w:ind w:left="1134" w:right="1134" w:hanging="1134"/>
        <w:rPr>
          <w:sz w:val="16"/>
          <w:szCs w:val="16"/>
        </w:rPr>
      </w:pPr>
      <w:r w:rsidRPr="00DC4C64">
        <w:rPr>
          <w:sz w:val="16"/>
          <w:szCs w:val="16"/>
          <w:vertAlign w:val="superscript"/>
        </w:rPr>
        <w:footnoteRef/>
      </w:r>
      <w:r w:rsidRPr="00DC4C64">
        <w:rPr>
          <w:rFonts w:ascii="Calibri" w:eastAsia="Calibri" w:hAnsi="Calibri" w:cs="Calibri"/>
          <w:color w:val="000000"/>
          <w:sz w:val="16"/>
          <w:szCs w:val="16"/>
        </w:rPr>
        <w:t xml:space="preserve"> Draft General Comment No 36 on article 6 of ICCPR, </w:t>
      </w:r>
      <w:proofErr w:type="spellStart"/>
      <w:r w:rsidRPr="00DC4C64">
        <w:rPr>
          <w:rFonts w:ascii="Calibri" w:eastAsia="Calibri" w:hAnsi="Calibri" w:cs="Calibri"/>
          <w:color w:val="000000"/>
          <w:sz w:val="16"/>
          <w:szCs w:val="16"/>
        </w:rPr>
        <w:t>pg</w:t>
      </w:r>
      <w:proofErr w:type="spellEnd"/>
      <w:r w:rsidRPr="00DC4C64">
        <w:rPr>
          <w:rFonts w:ascii="Calibri" w:eastAsia="Calibri" w:hAnsi="Calibri" w:cs="Calibri"/>
          <w:color w:val="000000"/>
          <w:sz w:val="16"/>
          <w:szCs w:val="16"/>
        </w:rPr>
        <w:t xml:space="preserve"> 2, para 9</w:t>
      </w:r>
    </w:p>
  </w:footnote>
  <w:footnote w:id="2">
    <w:p w14:paraId="3711DF92" w14:textId="77777777" w:rsidR="00DC4C64" w:rsidRPr="00DC4C64" w:rsidRDefault="00DC4C64" w:rsidP="00DC4C64">
      <w:pPr>
        <w:rPr>
          <w:sz w:val="16"/>
          <w:szCs w:val="16"/>
        </w:rPr>
      </w:pPr>
      <w:r w:rsidRPr="00DC4C64">
        <w:rPr>
          <w:sz w:val="16"/>
          <w:szCs w:val="16"/>
          <w:vertAlign w:val="superscript"/>
        </w:rPr>
        <w:footnoteRef/>
      </w:r>
      <w:r w:rsidRPr="00DC4C64">
        <w:rPr>
          <w:sz w:val="16"/>
          <w:szCs w:val="16"/>
        </w:rPr>
        <w:t xml:space="preserve"> World Health </w:t>
      </w:r>
      <w:proofErr w:type="spellStart"/>
      <w:r w:rsidRPr="00DC4C64">
        <w:rPr>
          <w:sz w:val="16"/>
          <w:szCs w:val="16"/>
        </w:rPr>
        <w:t>Organisation</w:t>
      </w:r>
      <w:proofErr w:type="spellEnd"/>
      <w:r w:rsidRPr="00DC4C64">
        <w:rPr>
          <w:sz w:val="16"/>
          <w:szCs w:val="16"/>
        </w:rPr>
        <w:t xml:space="preserve"> (2012, )Safe Abortion: Technical and Policy Guidance Systems, 2nd </w:t>
      </w:r>
      <w:proofErr w:type="spellStart"/>
      <w:r w:rsidRPr="00DC4C64">
        <w:rPr>
          <w:sz w:val="16"/>
          <w:szCs w:val="16"/>
        </w:rPr>
        <w:t>edn</w:t>
      </w:r>
      <w:proofErr w:type="spellEnd"/>
      <w:r w:rsidRPr="00DC4C64">
        <w:rPr>
          <w:sz w:val="16"/>
          <w:szCs w:val="16"/>
        </w:rPr>
        <w:t>, http://apps.who.int/iris/bitstream/10665/70914/1/9789241548434_eng.pdf</w:t>
      </w:r>
    </w:p>
  </w:footnote>
  <w:footnote w:id="3">
    <w:p w14:paraId="43BAC0BA" w14:textId="77777777" w:rsidR="00DC4C64" w:rsidRPr="00DC4C64" w:rsidRDefault="00DC4C64" w:rsidP="00DC4C64">
      <w:pPr>
        <w:rPr>
          <w:sz w:val="16"/>
          <w:szCs w:val="16"/>
        </w:rPr>
      </w:pPr>
      <w:r w:rsidRPr="00DC4C64">
        <w:rPr>
          <w:sz w:val="16"/>
          <w:szCs w:val="16"/>
          <w:vertAlign w:val="superscript"/>
        </w:rPr>
        <w:footnoteRef/>
      </w:r>
      <w:r w:rsidRPr="00DC4C64">
        <w:rPr>
          <w:sz w:val="16"/>
          <w:szCs w:val="16"/>
        </w:rPr>
        <w:t xml:space="preserve"> Unsafe Abortion: Global and Regional Estimates of the Incidence of Unsafe Abortion and Associated Mortality in 2008, 6</w:t>
      </w:r>
      <w:r w:rsidRPr="00DC4C64">
        <w:rPr>
          <w:sz w:val="16"/>
          <w:szCs w:val="16"/>
          <w:vertAlign w:val="superscript"/>
        </w:rPr>
        <w:t>th</w:t>
      </w:r>
      <w:r w:rsidRPr="00DC4C64">
        <w:rPr>
          <w:sz w:val="16"/>
          <w:szCs w:val="16"/>
        </w:rPr>
        <w:t xml:space="preserve"> ed., (Geneva: WHO, 2001)</w:t>
      </w:r>
    </w:p>
  </w:footnote>
  <w:footnote w:id="4">
    <w:p w14:paraId="6E80847F" w14:textId="77777777" w:rsidR="00DC4C64" w:rsidRPr="00DC4C64" w:rsidRDefault="00DC4C64" w:rsidP="00DC4C64">
      <w:pPr>
        <w:rPr>
          <w:sz w:val="16"/>
          <w:szCs w:val="16"/>
          <w:vertAlign w:val="superscript"/>
        </w:rPr>
      </w:pPr>
      <w:r w:rsidRPr="00DC4C64">
        <w:rPr>
          <w:sz w:val="16"/>
          <w:szCs w:val="16"/>
          <w:vertAlign w:val="superscript"/>
        </w:rPr>
        <w:footnoteRef/>
      </w:r>
      <w:r w:rsidRPr="00DC4C64">
        <w:rPr>
          <w:sz w:val="16"/>
          <w:szCs w:val="16"/>
        </w:rPr>
        <w:t xml:space="preserve"> World Health Organization. (2011). Unsafe Abortion: Global and Regional Estimates of the Incidence of Unsafe Abortion and Associated Mortality in 2008, 6th ed. </w:t>
      </w:r>
      <w:hyperlink r:id="rId1">
        <w:r w:rsidRPr="00DC4C64">
          <w:rPr>
            <w:sz w:val="16"/>
            <w:szCs w:val="16"/>
          </w:rPr>
          <w:t>http://www.apps.who.int/iris/bitstream/10665/44529/1/9789241501118_eng.pdf</w:t>
        </w:r>
      </w:hyperlink>
    </w:p>
  </w:footnote>
  <w:footnote w:id="5">
    <w:p w14:paraId="5367EFAD" w14:textId="77777777" w:rsidR="00DC4C64" w:rsidRPr="00DC4C64" w:rsidRDefault="00DC4C64" w:rsidP="00DC4C64">
      <w:pPr>
        <w:rPr>
          <w:sz w:val="16"/>
          <w:szCs w:val="16"/>
        </w:rPr>
      </w:pPr>
      <w:r w:rsidRPr="00DC4C64">
        <w:rPr>
          <w:sz w:val="16"/>
          <w:szCs w:val="16"/>
          <w:vertAlign w:val="superscript"/>
        </w:rPr>
        <w:footnoteRef/>
      </w:r>
      <w:r w:rsidRPr="00DC4C64">
        <w:rPr>
          <w:sz w:val="16"/>
          <w:szCs w:val="16"/>
        </w:rPr>
        <w:t xml:space="preserve"> </w:t>
      </w:r>
      <w:proofErr w:type="spellStart"/>
      <w:r w:rsidRPr="00DC4C64">
        <w:rPr>
          <w:sz w:val="16"/>
          <w:szCs w:val="16"/>
        </w:rPr>
        <w:t>Thanenthiran</w:t>
      </w:r>
      <w:proofErr w:type="spellEnd"/>
      <w:r w:rsidRPr="00DC4C64">
        <w:rPr>
          <w:sz w:val="16"/>
          <w:szCs w:val="16"/>
        </w:rPr>
        <w:t xml:space="preserve">, S., </w:t>
      </w:r>
      <w:proofErr w:type="spellStart"/>
      <w:r w:rsidRPr="00DC4C64">
        <w:rPr>
          <w:sz w:val="16"/>
          <w:szCs w:val="16"/>
        </w:rPr>
        <w:t>Racherla</w:t>
      </w:r>
      <w:proofErr w:type="spellEnd"/>
      <w:r w:rsidRPr="00DC4C64">
        <w:rPr>
          <w:sz w:val="16"/>
          <w:szCs w:val="16"/>
        </w:rPr>
        <w:t xml:space="preserve"> S.J., &amp; </w:t>
      </w:r>
      <w:proofErr w:type="spellStart"/>
      <w:r w:rsidRPr="00DC4C64">
        <w:rPr>
          <w:sz w:val="16"/>
          <w:szCs w:val="16"/>
        </w:rPr>
        <w:t>Jahanath</w:t>
      </w:r>
      <w:proofErr w:type="spellEnd"/>
      <w:r w:rsidRPr="00DC4C64">
        <w:rPr>
          <w:sz w:val="16"/>
          <w:szCs w:val="16"/>
        </w:rPr>
        <w:t xml:space="preserve">, S. (2013). Reclaiming and Redefining Rights. ICPD+20 Status of Sexual and Reproductive Health and Rights in Asia Pacific.  Kuala Lumpur, Malaysia: ARROW. </w:t>
      </w:r>
      <w:hyperlink r:id="rId2">
        <w:r w:rsidRPr="00DC4C64">
          <w:rPr>
            <w:sz w:val="16"/>
            <w:szCs w:val="16"/>
          </w:rPr>
          <w:t>http://www.arrow.org.my/publications/ICPD+20/ICPD+20_ARROW_AP.pdf</w:t>
        </w:r>
      </w:hyperlink>
    </w:p>
  </w:footnote>
  <w:footnote w:id="6">
    <w:p w14:paraId="55629D48" w14:textId="77777777" w:rsidR="00DC4C64" w:rsidRPr="00DC4C64" w:rsidRDefault="00DC4C64" w:rsidP="00DC4C64">
      <w:pPr>
        <w:rPr>
          <w:sz w:val="16"/>
          <w:szCs w:val="16"/>
        </w:rPr>
      </w:pPr>
      <w:r w:rsidRPr="00DC4C64">
        <w:rPr>
          <w:sz w:val="16"/>
          <w:szCs w:val="16"/>
          <w:vertAlign w:val="superscript"/>
        </w:rPr>
        <w:footnoteRef/>
      </w:r>
      <w:r w:rsidRPr="00DC4C64">
        <w:rPr>
          <w:sz w:val="16"/>
          <w:szCs w:val="16"/>
        </w:rPr>
        <w:t xml:space="preserve"> Special </w:t>
      </w:r>
      <w:proofErr w:type="spellStart"/>
      <w:r w:rsidRPr="00DC4C64">
        <w:rPr>
          <w:sz w:val="16"/>
          <w:szCs w:val="16"/>
        </w:rPr>
        <w:t>Rappoeteur</w:t>
      </w:r>
      <w:proofErr w:type="spellEnd"/>
      <w:r w:rsidRPr="00DC4C64">
        <w:rPr>
          <w:sz w:val="16"/>
          <w:szCs w:val="16"/>
        </w:rPr>
        <w:t xml:space="preserve"> on extrajudicial, summary or arbitrary executions on a gender sensitive approach to arbitrary killings, 15 May 2017, A/HRC/35/23</w:t>
      </w:r>
    </w:p>
  </w:footnote>
  <w:footnote w:id="7">
    <w:p w14:paraId="4338C067" w14:textId="77777777" w:rsidR="00DC4C64" w:rsidRPr="00DC4C64" w:rsidRDefault="00DC4C64" w:rsidP="00DC4C64">
      <w:pPr>
        <w:tabs>
          <w:tab w:val="right" w:pos="1021"/>
        </w:tabs>
        <w:ind w:left="1134" w:right="1134" w:hanging="1134"/>
        <w:rPr>
          <w:sz w:val="16"/>
          <w:szCs w:val="16"/>
        </w:rPr>
      </w:pPr>
      <w:r w:rsidRPr="00DC4C64">
        <w:rPr>
          <w:sz w:val="16"/>
          <w:szCs w:val="16"/>
          <w:vertAlign w:val="superscript"/>
        </w:rPr>
        <w:footnoteRef/>
      </w:r>
      <w:r w:rsidRPr="00DC4C64">
        <w:rPr>
          <w:rFonts w:ascii="Calibri" w:eastAsia="Calibri" w:hAnsi="Calibri" w:cs="Calibri"/>
          <w:color w:val="000000"/>
          <w:sz w:val="16"/>
          <w:szCs w:val="16"/>
        </w:rPr>
        <w:t xml:space="preserve"> Draft General Comment No 36 on article 6 of ICCPR, </w:t>
      </w:r>
      <w:proofErr w:type="spellStart"/>
      <w:r w:rsidRPr="00DC4C64">
        <w:rPr>
          <w:rFonts w:ascii="Calibri" w:eastAsia="Calibri" w:hAnsi="Calibri" w:cs="Calibri"/>
          <w:color w:val="000000"/>
          <w:sz w:val="16"/>
          <w:szCs w:val="16"/>
        </w:rPr>
        <w:t>pg</w:t>
      </w:r>
      <w:proofErr w:type="spellEnd"/>
      <w:r w:rsidRPr="00DC4C64">
        <w:rPr>
          <w:rFonts w:ascii="Calibri" w:eastAsia="Calibri" w:hAnsi="Calibri" w:cs="Calibri"/>
          <w:color w:val="000000"/>
          <w:sz w:val="16"/>
          <w:szCs w:val="16"/>
        </w:rPr>
        <w:t xml:space="preserve"> 3, para 9</w:t>
      </w:r>
    </w:p>
  </w:footnote>
  <w:footnote w:id="8">
    <w:p w14:paraId="733A02CF" w14:textId="77777777" w:rsidR="00DC4C64" w:rsidRPr="00DC4C64" w:rsidRDefault="00DC4C64" w:rsidP="00DC4C64">
      <w:pPr>
        <w:rPr>
          <w:sz w:val="16"/>
          <w:szCs w:val="16"/>
        </w:rPr>
      </w:pPr>
      <w:r w:rsidRPr="00DC4C64">
        <w:rPr>
          <w:sz w:val="16"/>
          <w:szCs w:val="16"/>
          <w:vertAlign w:val="superscript"/>
        </w:rPr>
        <w:footnoteRef/>
      </w:r>
      <w:r w:rsidRPr="00DC4C64">
        <w:rPr>
          <w:sz w:val="16"/>
          <w:szCs w:val="16"/>
        </w:rPr>
        <w:t xml:space="preserve"> SHE 2016. Perceptions of Islam and Sexual and Reproductive Health and Rights in the Maldives. National Report. Society for Health Education (SHE) and Asian-Pacific Resource and Research Centre for Women (ARROW). See http://arrow.org.my/wp-content/uploads/2016/08/3.-Maldives.pdf </w:t>
      </w:r>
    </w:p>
  </w:footnote>
  <w:footnote w:id="9">
    <w:p w14:paraId="138AC5C6" w14:textId="77777777" w:rsidR="00DC4C64" w:rsidRPr="00DC4C64" w:rsidRDefault="00DC4C64" w:rsidP="00DC4C64">
      <w:pPr>
        <w:rPr>
          <w:sz w:val="16"/>
          <w:szCs w:val="16"/>
        </w:rPr>
      </w:pPr>
      <w:r w:rsidRPr="00DC4C64">
        <w:rPr>
          <w:sz w:val="16"/>
          <w:szCs w:val="16"/>
          <w:vertAlign w:val="superscript"/>
        </w:rPr>
        <w:footnoteRef/>
      </w:r>
      <w:r w:rsidRPr="00DC4C64">
        <w:rPr>
          <w:sz w:val="16"/>
          <w:szCs w:val="16"/>
        </w:rPr>
        <w:t xml:space="preserve"> </w:t>
      </w:r>
      <w:proofErr w:type="spellStart"/>
      <w:r w:rsidRPr="00DC4C64">
        <w:rPr>
          <w:sz w:val="16"/>
          <w:szCs w:val="16"/>
        </w:rPr>
        <w:t>Melgar</w:t>
      </w:r>
      <w:proofErr w:type="spellEnd"/>
      <w:r w:rsidRPr="00DC4C64">
        <w:rPr>
          <w:sz w:val="16"/>
          <w:szCs w:val="16"/>
        </w:rPr>
        <w:t xml:space="preserve">, </w:t>
      </w:r>
      <w:proofErr w:type="spellStart"/>
      <w:r w:rsidRPr="00DC4C64">
        <w:rPr>
          <w:sz w:val="16"/>
          <w:szCs w:val="16"/>
        </w:rPr>
        <w:t>Junice</w:t>
      </w:r>
      <w:proofErr w:type="spellEnd"/>
      <w:r w:rsidRPr="00DC4C64">
        <w:rPr>
          <w:sz w:val="16"/>
          <w:szCs w:val="16"/>
        </w:rPr>
        <w:t xml:space="preserve"> L.D. and Carrera-</w:t>
      </w:r>
      <w:proofErr w:type="spellStart"/>
      <w:r w:rsidRPr="00DC4C64">
        <w:rPr>
          <w:sz w:val="16"/>
          <w:szCs w:val="16"/>
        </w:rPr>
        <w:t>Pacete</w:t>
      </w:r>
      <w:proofErr w:type="spellEnd"/>
      <w:r w:rsidRPr="00DC4C64">
        <w:rPr>
          <w:sz w:val="16"/>
          <w:szCs w:val="16"/>
        </w:rPr>
        <w:t xml:space="preserve">, Jocelyn. 2016. Understanding Catholic Fundamentalism in the Philippines: How conservative religious teachings on women, family and contraception </w:t>
      </w:r>
      <w:proofErr w:type="gramStart"/>
      <w:r w:rsidRPr="00DC4C64">
        <w:rPr>
          <w:sz w:val="16"/>
          <w:szCs w:val="16"/>
        </w:rPr>
        <w:t>are wielded</w:t>
      </w:r>
      <w:proofErr w:type="gramEnd"/>
      <w:r w:rsidRPr="00DC4C64">
        <w:rPr>
          <w:sz w:val="16"/>
          <w:szCs w:val="16"/>
        </w:rPr>
        <w:t xml:space="preserve"> to impede the Reproductive Health Law and other reproductive health policies</w:t>
      </w:r>
      <w:r w:rsidRPr="00DC4C64">
        <w:rPr>
          <w:b/>
          <w:sz w:val="16"/>
          <w:szCs w:val="16"/>
        </w:rPr>
        <w:t xml:space="preserve">. </w:t>
      </w:r>
      <w:proofErr w:type="spellStart"/>
      <w:r w:rsidRPr="00DC4C64">
        <w:rPr>
          <w:sz w:val="16"/>
          <w:szCs w:val="16"/>
        </w:rPr>
        <w:t>Likhaan</w:t>
      </w:r>
      <w:proofErr w:type="spellEnd"/>
      <w:r w:rsidRPr="00DC4C64">
        <w:rPr>
          <w:sz w:val="16"/>
          <w:szCs w:val="16"/>
        </w:rPr>
        <w:t xml:space="preserve"> Center for Women’s Health and Asian-Pacific Resource and Research Centre for Women (ARROW). See http://arrow.org.my/wp-content/uploads/2017/03/7.-Philippines_with-extra-pages-added.pdf</w:t>
      </w:r>
    </w:p>
  </w:footnote>
  <w:footnote w:id="10">
    <w:p w14:paraId="4DD1F919" w14:textId="77777777" w:rsidR="00DC4C64" w:rsidRPr="00DC4C64" w:rsidRDefault="00DC4C64" w:rsidP="00DC4C64">
      <w:pPr>
        <w:rPr>
          <w:sz w:val="16"/>
          <w:szCs w:val="16"/>
        </w:rPr>
      </w:pPr>
      <w:r w:rsidRPr="00DC4C64">
        <w:rPr>
          <w:sz w:val="16"/>
          <w:szCs w:val="16"/>
          <w:vertAlign w:val="superscript"/>
        </w:rPr>
        <w:footnoteRef/>
      </w:r>
      <w:r w:rsidRPr="00DC4C64">
        <w:rPr>
          <w:sz w:val="16"/>
          <w:szCs w:val="16"/>
        </w:rPr>
        <w:t xml:space="preserve"> </w:t>
      </w:r>
      <w:proofErr w:type="spellStart"/>
      <w:r w:rsidRPr="00DC4C64">
        <w:rPr>
          <w:sz w:val="16"/>
          <w:szCs w:val="16"/>
        </w:rPr>
        <w:t>Brohi</w:t>
      </w:r>
      <w:proofErr w:type="spellEnd"/>
      <w:r w:rsidRPr="00DC4C64">
        <w:rPr>
          <w:sz w:val="16"/>
          <w:szCs w:val="16"/>
        </w:rPr>
        <w:t xml:space="preserve">, </w:t>
      </w:r>
      <w:proofErr w:type="spellStart"/>
      <w:r w:rsidRPr="00DC4C64">
        <w:rPr>
          <w:sz w:val="16"/>
          <w:szCs w:val="16"/>
        </w:rPr>
        <w:t>Nazish</w:t>
      </w:r>
      <w:proofErr w:type="spellEnd"/>
      <w:r w:rsidRPr="00DC4C64">
        <w:rPr>
          <w:sz w:val="16"/>
          <w:szCs w:val="16"/>
        </w:rPr>
        <w:t xml:space="preserve"> and Zaman, Sarah. 2016. Impact of Fundamentalist Discourses on Family Planning Practices in Pakistan. National Report. </w:t>
      </w:r>
      <w:proofErr w:type="spellStart"/>
      <w:r w:rsidRPr="00DC4C64">
        <w:rPr>
          <w:sz w:val="16"/>
          <w:szCs w:val="16"/>
        </w:rPr>
        <w:t>Shirkat</w:t>
      </w:r>
      <w:proofErr w:type="spellEnd"/>
      <w:r w:rsidRPr="00DC4C64">
        <w:rPr>
          <w:sz w:val="16"/>
          <w:szCs w:val="16"/>
        </w:rPr>
        <w:t xml:space="preserve"> </w:t>
      </w:r>
      <w:proofErr w:type="spellStart"/>
      <w:r w:rsidRPr="00DC4C64">
        <w:rPr>
          <w:sz w:val="16"/>
          <w:szCs w:val="16"/>
        </w:rPr>
        <w:t>Gah</w:t>
      </w:r>
      <w:proofErr w:type="spellEnd"/>
      <w:r w:rsidRPr="00DC4C64">
        <w:rPr>
          <w:sz w:val="16"/>
          <w:szCs w:val="16"/>
        </w:rPr>
        <w:t xml:space="preserve"> – Women’s Resource Centre, Pakistan and Asian-Pacific Resource and Research Centre for Women (ARROW). See http://arrow.org.my/wp-content/uploads/2016/08/6.-Pakistan.pdf</w:t>
      </w:r>
    </w:p>
  </w:footnote>
  <w:footnote w:id="11">
    <w:p w14:paraId="0B4E0874" w14:textId="77777777" w:rsidR="00DC4C64" w:rsidRPr="00DC4C64" w:rsidRDefault="00DC4C64" w:rsidP="00DC4C64">
      <w:pPr>
        <w:rPr>
          <w:sz w:val="16"/>
          <w:szCs w:val="16"/>
        </w:rPr>
      </w:pPr>
      <w:r w:rsidRPr="00DC4C64">
        <w:rPr>
          <w:sz w:val="16"/>
          <w:szCs w:val="16"/>
          <w:vertAlign w:val="superscript"/>
        </w:rPr>
        <w:footnoteRef/>
      </w:r>
      <w:r w:rsidRPr="00DC4C64">
        <w:rPr>
          <w:sz w:val="16"/>
          <w:szCs w:val="16"/>
        </w:rPr>
        <w:t xml:space="preserve"> </w:t>
      </w:r>
      <w:proofErr w:type="spellStart"/>
      <w:r w:rsidRPr="00DC4C64">
        <w:rPr>
          <w:sz w:val="16"/>
          <w:szCs w:val="16"/>
        </w:rPr>
        <w:t>Bakhadda</w:t>
      </w:r>
      <w:proofErr w:type="spellEnd"/>
      <w:r w:rsidRPr="00DC4C64">
        <w:rPr>
          <w:sz w:val="16"/>
          <w:szCs w:val="16"/>
        </w:rPr>
        <w:t xml:space="preserve">, </w:t>
      </w:r>
      <w:proofErr w:type="spellStart"/>
      <w:r w:rsidRPr="00DC4C64">
        <w:rPr>
          <w:sz w:val="16"/>
          <w:szCs w:val="16"/>
        </w:rPr>
        <w:t>Fadoua</w:t>
      </w:r>
      <w:proofErr w:type="spellEnd"/>
      <w:r w:rsidRPr="00DC4C64">
        <w:rPr>
          <w:sz w:val="16"/>
          <w:szCs w:val="16"/>
        </w:rPr>
        <w:t xml:space="preserve">. 2016. “Religious Fundamentalism and Access to Safe Abortion Services in Morocco”. </w:t>
      </w:r>
      <w:r w:rsidRPr="00DC4C64">
        <w:rPr>
          <w:i/>
          <w:sz w:val="16"/>
          <w:szCs w:val="16"/>
        </w:rPr>
        <w:t>National Report.</w:t>
      </w:r>
      <w:r w:rsidRPr="00DC4C64">
        <w:rPr>
          <w:sz w:val="16"/>
          <w:szCs w:val="16"/>
        </w:rPr>
        <w:t xml:space="preserve"> Moroccan Family Planning Association (MFPA) and the Asian-Pacific Resource and Research Centre for Women (ARROW). See http://arrow.org.my/wp-content/uploads/2016/08/Interlinkages-Between-Religion-and-SRHR_National-Report__Morocco.pdf</w:t>
      </w:r>
    </w:p>
  </w:footnote>
  <w:footnote w:id="12">
    <w:p w14:paraId="4BA711D9" w14:textId="77777777" w:rsidR="00DC4C64" w:rsidRPr="00DC4C64" w:rsidRDefault="00DC4C64" w:rsidP="00DC4C64">
      <w:pPr>
        <w:tabs>
          <w:tab w:val="right" w:pos="1021"/>
        </w:tabs>
        <w:ind w:left="1134" w:right="1134" w:hanging="1134"/>
        <w:rPr>
          <w:sz w:val="16"/>
          <w:szCs w:val="16"/>
        </w:rPr>
      </w:pPr>
      <w:r w:rsidRPr="00DC4C64">
        <w:rPr>
          <w:sz w:val="16"/>
          <w:szCs w:val="16"/>
          <w:vertAlign w:val="superscript"/>
        </w:rPr>
        <w:footnoteRef/>
      </w:r>
      <w:r w:rsidRPr="00DC4C64">
        <w:rPr>
          <w:rFonts w:ascii="Calibri" w:eastAsia="Calibri" w:hAnsi="Calibri" w:cs="Calibri"/>
          <w:color w:val="000000"/>
          <w:sz w:val="16"/>
          <w:szCs w:val="16"/>
        </w:rPr>
        <w:t xml:space="preserve"> Draft General Comment No 36 on article 6 of ICCPR, </w:t>
      </w:r>
      <w:proofErr w:type="spellStart"/>
      <w:r w:rsidRPr="00DC4C64">
        <w:rPr>
          <w:rFonts w:ascii="Calibri" w:eastAsia="Calibri" w:hAnsi="Calibri" w:cs="Calibri"/>
          <w:color w:val="000000"/>
          <w:sz w:val="16"/>
          <w:szCs w:val="16"/>
        </w:rPr>
        <w:t>pg</w:t>
      </w:r>
      <w:proofErr w:type="spellEnd"/>
      <w:r w:rsidRPr="00DC4C64">
        <w:rPr>
          <w:rFonts w:ascii="Calibri" w:eastAsia="Calibri" w:hAnsi="Calibri" w:cs="Calibri"/>
          <w:color w:val="000000"/>
          <w:sz w:val="16"/>
          <w:szCs w:val="16"/>
        </w:rPr>
        <w:t xml:space="preserve"> 8, para 27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0702E" w14:textId="77777777" w:rsidR="00724AF8" w:rsidRDefault="00724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76848" w14:textId="77777777" w:rsidR="00183141" w:rsidRDefault="00183141" w:rsidP="004848E5">
    <w:pPr>
      <w:pStyle w:val="Header"/>
      <w:tabs>
        <w:tab w:val="clear" w:pos="4320"/>
        <w:tab w:val="clear" w:pos="8640"/>
      </w:tabs>
      <w:ind w:left="4111" w:right="1" w:hanging="4111"/>
    </w:pPr>
    <w:r>
      <w:rPr>
        <w:noProof/>
        <w:lang w:val="en-GB" w:eastAsia="en-GB"/>
      </w:rPr>
      <w:drawing>
        <wp:inline distT="0" distB="0" distL="0" distR="0" wp14:anchorId="5DE88274" wp14:editId="3BE17947">
          <wp:extent cx="5832000" cy="891842"/>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rcularGraphic"/>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32000" cy="89184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D3AC9" w14:textId="77777777" w:rsidR="00724AF8" w:rsidRDefault="00724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7652E"/>
    <w:multiLevelType w:val="hybridMultilevel"/>
    <w:tmpl w:val="CD782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73B092F"/>
    <w:multiLevelType w:val="hybridMultilevel"/>
    <w:tmpl w:val="06123D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81"/>
  <w:drawingGridVerticalSpacing w:val="181"/>
  <w:doNotUseMarginsForDrawingGridOrigin/>
  <w:drawingGridHorizontalOrigin w:val="1418"/>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887"/>
    <w:rsid w:val="0000233C"/>
    <w:rsid w:val="0000344D"/>
    <w:rsid w:val="00003E88"/>
    <w:rsid w:val="00005A1F"/>
    <w:rsid w:val="0000660B"/>
    <w:rsid w:val="00012BB5"/>
    <w:rsid w:val="000152FB"/>
    <w:rsid w:val="000174CE"/>
    <w:rsid w:val="0002117C"/>
    <w:rsid w:val="00023DF9"/>
    <w:rsid w:val="00031FC4"/>
    <w:rsid w:val="00032CC8"/>
    <w:rsid w:val="00037498"/>
    <w:rsid w:val="0004267E"/>
    <w:rsid w:val="000435F4"/>
    <w:rsid w:val="00050AC0"/>
    <w:rsid w:val="00054F59"/>
    <w:rsid w:val="00055D98"/>
    <w:rsid w:val="000567B6"/>
    <w:rsid w:val="000610E4"/>
    <w:rsid w:val="00065F33"/>
    <w:rsid w:val="00071474"/>
    <w:rsid w:val="00071A49"/>
    <w:rsid w:val="0007230A"/>
    <w:rsid w:val="00081B80"/>
    <w:rsid w:val="0008341B"/>
    <w:rsid w:val="0008388A"/>
    <w:rsid w:val="00083DFB"/>
    <w:rsid w:val="00084D73"/>
    <w:rsid w:val="00092163"/>
    <w:rsid w:val="00092484"/>
    <w:rsid w:val="000A09D1"/>
    <w:rsid w:val="000A2AEF"/>
    <w:rsid w:val="000A39CC"/>
    <w:rsid w:val="000A469B"/>
    <w:rsid w:val="000A72DD"/>
    <w:rsid w:val="000B24B6"/>
    <w:rsid w:val="000B3004"/>
    <w:rsid w:val="000B7503"/>
    <w:rsid w:val="000B7E49"/>
    <w:rsid w:val="000C1F28"/>
    <w:rsid w:val="000C2A46"/>
    <w:rsid w:val="000C75A0"/>
    <w:rsid w:val="000D1671"/>
    <w:rsid w:val="000D2539"/>
    <w:rsid w:val="000D3BE0"/>
    <w:rsid w:val="000D466C"/>
    <w:rsid w:val="000D6B4E"/>
    <w:rsid w:val="000D6FAF"/>
    <w:rsid w:val="000D78B6"/>
    <w:rsid w:val="000E15AC"/>
    <w:rsid w:val="000E18C4"/>
    <w:rsid w:val="000E4BD0"/>
    <w:rsid w:val="000E604F"/>
    <w:rsid w:val="000F4F92"/>
    <w:rsid w:val="00100EC4"/>
    <w:rsid w:val="00101F8D"/>
    <w:rsid w:val="0010314C"/>
    <w:rsid w:val="00103DD5"/>
    <w:rsid w:val="00110BC4"/>
    <w:rsid w:val="001126BC"/>
    <w:rsid w:val="00117CAB"/>
    <w:rsid w:val="00126956"/>
    <w:rsid w:val="00130A25"/>
    <w:rsid w:val="001315C4"/>
    <w:rsid w:val="00131FB0"/>
    <w:rsid w:val="00135D74"/>
    <w:rsid w:val="00141061"/>
    <w:rsid w:val="00141344"/>
    <w:rsid w:val="00141B54"/>
    <w:rsid w:val="00142D27"/>
    <w:rsid w:val="0014329E"/>
    <w:rsid w:val="00145ED4"/>
    <w:rsid w:val="0015444A"/>
    <w:rsid w:val="00156E65"/>
    <w:rsid w:val="001626FB"/>
    <w:rsid w:val="001639FE"/>
    <w:rsid w:val="001647D8"/>
    <w:rsid w:val="00171BA8"/>
    <w:rsid w:val="00175839"/>
    <w:rsid w:val="00181B9B"/>
    <w:rsid w:val="00181E73"/>
    <w:rsid w:val="00182C35"/>
    <w:rsid w:val="00183141"/>
    <w:rsid w:val="00183E46"/>
    <w:rsid w:val="00184DDB"/>
    <w:rsid w:val="001850EF"/>
    <w:rsid w:val="00185540"/>
    <w:rsid w:val="00186BA7"/>
    <w:rsid w:val="00187C7C"/>
    <w:rsid w:val="00187E4C"/>
    <w:rsid w:val="0019030E"/>
    <w:rsid w:val="0019377A"/>
    <w:rsid w:val="00194313"/>
    <w:rsid w:val="00194E53"/>
    <w:rsid w:val="00195357"/>
    <w:rsid w:val="001A611D"/>
    <w:rsid w:val="001A6779"/>
    <w:rsid w:val="001B0F03"/>
    <w:rsid w:val="001B3F5B"/>
    <w:rsid w:val="001B44CC"/>
    <w:rsid w:val="001B6957"/>
    <w:rsid w:val="001C002C"/>
    <w:rsid w:val="001C19DD"/>
    <w:rsid w:val="001C1A4A"/>
    <w:rsid w:val="001C5964"/>
    <w:rsid w:val="001C7196"/>
    <w:rsid w:val="001D061D"/>
    <w:rsid w:val="001D1BE8"/>
    <w:rsid w:val="001D1D67"/>
    <w:rsid w:val="001D22F1"/>
    <w:rsid w:val="001D3213"/>
    <w:rsid w:val="001D3926"/>
    <w:rsid w:val="001D4561"/>
    <w:rsid w:val="001D58D6"/>
    <w:rsid w:val="001E2E87"/>
    <w:rsid w:val="001E45AB"/>
    <w:rsid w:val="001E5740"/>
    <w:rsid w:val="001F1FDD"/>
    <w:rsid w:val="001F26AA"/>
    <w:rsid w:val="001F3FA5"/>
    <w:rsid w:val="001F531A"/>
    <w:rsid w:val="001F56AC"/>
    <w:rsid w:val="001F6B66"/>
    <w:rsid w:val="001F6CC9"/>
    <w:rsid w:val="00201178"/>
    <w:rsid w:val="002014B1"/>
    <w:rsid w:val="00201DD1"/>
    <w:rsid w:val="002022FA"/>
    <w:rsid w:val="00210D2C"/>
    <w:rsid w:val="00217168"/>
    <w:rsid w:val="002179F9"/>
    <w:rsid w:val="002222C5"/>
    <w:rsid w:val="002243C8"/>
    <w:rsid w:val="0022597B"/>
    <w:rsid w:val="0022606C"/>
    <w:rsid w:val="00226ABA"/>
    <w:rsid w:val="00230A5E"/>
    <w:rsid w:val="00232359"/>
    <w:rsid w:val="00232418"/>
    <w:rsid w:val="00234390"/>
    <w:rsid w:val="0023745E"/>
    <w:rsid w:val="002377F1"/>
    <w:rsid w:val="00240336"/>
    <w:rsid w:val="0024143D"/>
    <w:rsid w:val="00241B19"/>
    <w:rsid w:val="00243D0F"/>
    <w:rsid w:val="0026292C"/>
    <w:rsid w:val="0026795E"/>
    <w:rsid w:val="00270212"/>
    <w:rsid w:val="00272BAD"/>
    <w:rsid w:val="002736A3"/>
    <w:rsid w:val="00273E1C"/>
    <w:rsid w:val="002750F7"/>
    <w:rsid w:val="002825C1"/>
    <w:rsid w:val="00284DFF"/>
    <w:rsid w:val="0028605F"/>
    <w:rsid w:val="00294D9C"/>
    <w:rsid w:val="002976A3"/>
    <w:rsid w:val="002A414F"/>
    <w:rsid w:val="002B18A9"/>
    <w:rsid w:val="002B71A2"/>
    <w:rsid w:val="002B75DC"/>
    <w:rsid w:val="002C3399"/>
    <w:rsid w:val="002C7E03"/>
    <w:rsid w:val="002D38A3"/>
    <w:rsid w:val="002D38B8"/>
    <w:rsid w:val="002D3ACD"/>
    <w:rsid w:val="002D4C5C"/>
    <w:rsid w:val="002D53E8"/>
    <w:rsid w:val="002E07AB"/>
    <w:rsid w:val="002E5DC7"/>
    <w:rsid w:val="002E6219"/>
    <w:rsid w:val="002E6D2A"/>
    <w:rsid w:val="002E7A02"/>
    <w:rsid w:val="002F276F"/>
    <w:rsid w:val="002F7443"/>
    <w:rsid w:val="003001C4"/>
    <w:rsid w:val="00303184"/>
    <w:rsid w:val="00303A5E"/>
    <w:rsid w:val="00303F78"/>
    <w:rsid w:val="0030575B"/>
    <w:rsid w:val="00307DA4"/>
    <w:rsid w:val="00316631"/>
    <w:rsid w:val="003220D0"/>
    <w:rsid w:val="00322E4C"/>
    <w:rsid w:val="00325353"/>
    <w:rsid w:val="003271BF"/>
    <w:rsid w:val="003307D0"/>
    <w:rsid w:val="00332CAD"/>
    <w:rsid w:val="003371D7"/>
    <w:rsid w:val="00340884"/>
    <w:rsid w:val="00341566"/>
    <w:rsid w:val="00342A4B"/>
    <w:rsid w:val="00345501"/>
    <w:rsid w:val="00346264"/>
    <w:rsid w:val="0034672F"/>
    <w:rsid w:val="00347DA9"/>
    <w:rsid w:val="003545AB"/>
    <w:rsid w:val="00355052"/>
    <w:rsid w:val="0035515D"/>
    <w:rsid w:val="0036397E"/>
    <w:rsid w:val="00363A18"/>
    <w:rsid w:val="003645F9"/>
    <w:rsid w:val="00365B6F"/>
    <w:rsid w:val="00366074"/>
    <w:rsid w:val="00367F91"/>
    <w:rsid w:val="00370B9D"/>
    <w:rsid w:val="00370E22"/>
    <w:rsid w:val="00371312"/>
    <w:rsid w:val="003725A9"/>
    <w:rsid w:val="00372CF8"/>
    <w:rsid w:val="00376ED0"/>
    <w:rsid w:val="0038297E"/>
    <w:rsid w:val="00383AF3"/>
    <w:rsid w:val="003855A6"/>
    <w:rsid w:val="003911E4"/>
    <w:rsid w:val="00392BBF"/>
    <w:rsid w:val="00393F7D"/>
    <w:rsid w:val="0039695D"/>
    <w:rsid w:val="003A3D02"/>
    <w:rsid w:val="003B0803"/>
    <w:rsid w:val="003B2EB9"/>
    <w:rsid w:val="003B60EF"/>
    <w:rsid w:val="003C1FF3"/>
    <w:rsid w:val="003C4660"/>
    <w:rsid w:val="003C6723"/>
    <w:rsid w:val="003C7A91"/>
    <w:rsid w:val="003D007D"/>
    <w:rsid w:val="003D17EC"/>
    <w:rsid w:val="003D235A"/>
    <w:rsid w:val="003D2B32"/>
    <w:rsid w:val="003D38A2"/>
    <w:rsid w:val="003D3EFF"/>
    <w:rsid w:val="003D6DED"/>
    <w:rsid w:val="003E0E30"/>
    <w:rsid w:val="003E41C5"/>
    <w:rsid w:val="003E5F4D"/>
    <w:rsid w:val="003E6141"/>
    <w:rsid w:val="004033F1"/>
    <w:rsid w:val="00403DF0"/>
    <w:rsid w:val="00410E05"/>
    <w:rsid w:val="0041196F"/>
    <w:rsid w:val="00415E17"/>
    <w:rsid w:val="00416D71"/>
    <w:rsid w:val="004174F0"/>
    <w:rsid w:val="00420F80"/>
    <w:rsid w:val="00421D1E"/>
    <w:rsid w:val="0042282B"/>
    <w:rsid w:val="00422D6B"/>
    <w:rsid w:val="0042409B"/>
    <w:rsid w:val="004268DF"/>
    <w:rsid w:val="00426F4F"/>
    <w:rsid w:val="00430526"/>
    <w:rsid w:val="00431278"/>
    <w:rsid w:val="004325EC"/>
    <w:rsid w:val="004335E3"/>
    <w:rsid w:val="004367EB"/>
    <w:rsid w:val="00436F3F"/>
    <w:rsid w:val="0044217A"/>
    <w:rsid w:val="0044249C"/>
    <w:rsid w:val="00442C6D"/>
    <w:rsid w:val="00447EE8"/>
    <w:rsid w:val="00457250"/>
    <w:rsid w:val="00457A8F"/>
    <w:rsid w:val="00457ED9"/>
    <w:rsid w:val="00460355"/>
    <w:rsid w:val="004635A8"/>
    <w:rsid w:val="00463D42"/>
    <w:rsid w:val="00464A61"/>
    <w:rsid w:val="00466C2B"/>
    <w:rsid w:val="004709B9"/>
    <w:rsid w:val="004709CB"/>
    <w:rsid w:val="00471354"/>
    <w:rsid w:val="00471B89"/>
    <w:rsid w:val="00471CD3"/>
    <w:rsid w:val="00471FAB"/>
    <w:rsid w:val="004774E5"/>
    <w:rsid w:val="00483958"/>
    <w:rsid w:val="004848E5"/>
    <w:rsid w:val="00484D16"/>
    <w:rsid w:val="00485FD2"/>
    <w:rsid w:val="004917CE"/>
    <w:rsid w:val="00491A1A"/>
    <w:rsid w:val="00493C0F"/>
    <w:rsid w:val="00494B82"/>
    <w:rsid w:val="004950AD"/>
    <w:rsid w:val="004962A0"/>
    <w:rsid w:val="004A1E83"/>
    <w:rsid w:val="004A3E29"/>
    <w:rsid w:val="004A41BA"/>
    <w:rsid w:val="004A554E"/>
    <w:rsid w:val="004A57E9"/>
    <w:rsid w:val="004B0776"/>
    <w:rsid w:val="004B0E5A"/>
    <w:rsid w:val="004B1A99"/>
    <w:rsid w:val="004B2408"/>
    <w:rsid w:val="004B422F"/>
    <w:rsid w:val="004B60BC"/>
    <w:rsid w:val="004B7332"/>
    <w:rsid w:val="004B75D5"/>
    <w:rsid w:val="004C025E"/>
    <w:rsid w:val="004C462A"/>
    <w:rsid w:val="004D083A"/>
    <w:rsid w:val="004D08FC"/>
    <w:rsid w:val="004D1B21"/>
    <w:rsid w:val="004D3719"/>
    <w:rsid w:val="004D3E59"/>
    <w:rsid w:val="004D4719"/>
    <w:rsid w:val="004D6C04"/>
    <w:rsid w:val="004E0013"/>
    <w:rsid w:val="004E13C5"/>
    <w:rsid w:val="004E212B"/>
    <w:rsid w:val="004E27A8"/>
    <w:rsid w:val="004E4A19"/>
    <w:rsid w:val="004E5538"/>
    <w:rsid w:val="004E5C08"/>
    <w:rsid w:val="004F391B"/>
    <w:rsid w:val="004F3F07"/>
    <w:rsid w:val="004F4A25"/>
    <w:rsid w:val="004F5178"/>
    <w:rsid w:val="004F71F8"/>
    <w:rsid w:val="004F7C09"/>
    <w:rsid w:val="005005BB"/>
    <w:rsid w:val="00503BD6"/>
    <w:rsid w:val="00505DF2"/>
    <w:rsid w:val="00510813"/>
    <w:rsid w:val="0051087E"/>
    <w:rsid w:val="005120A6"/>
    <w:rsid w:val="005125F3"/>
    <w:rsid w:val="00512960"/>
    <w:rsid w:val="00512B7A"/>
    <w:rsid w:val="00512C44"/>
    <w:rsid w:val="00515A0E"/>
    <w:rsid w:val="00524FA0"/>
    <w:rsid w:val="0052625E"/>
    <w:rsid w:val="00527398"/>
    <w:rsid w:val="005304E0"/>
    <w:rsid w:val="0053293C"/>
    <w:rsid w:val="005331D3"/>
    <w:rsid w:val="005362A6"/>
    <w:rsid w:val="005401C0"/>
    <w:rsid w:val="005407F2"/>
    <w:rsid w:val="005427F0"/>
    <w:rsid w:val="00544C4E"/>
    <w:rsid w:val="005475D4"/>
    <w:rsid w:val="00547796"/>
    <w:rsid w:val="00550294"/>
    <w:rsid w:val="0055149E"/>
    <w:rsid w:val="005517A5"/>
    <w:rsid w:val="00551D1E"/>
    <w:rsid w:val="005535F3"/>
    <w:rsid w:val="00554AA5"/>
    <w:rsid w:val="005556DE"/>
    <w:rsid w:val="00555F41"/>
    <w:rsid w:val="00557687"/>
    <w:rsid w:val="00560830"/>
    <w:rsid w:val="00561B71"/>
    <w:rsid w:val="00562586"/>
    <w:rsid w:val="00563739"/>
    <w:rsid w:val="0056614F"/>
    <w:rsid w:val="0056652E"/>
    <w:rsid w:val="0057077B"/>
    <w:rsid w:val="00573554"/>
    <w:rsid w:val="00574222"/>
    <w:rsid w:val="00576CC6"/>
    <w:rsid w:val="00580D67"/>
    <w:rsid w:val="00590AC7"/>
    <w:rsid w:val="00597EB0"/>
    <w:rsid w:val="005A038F"/>
    <w:rsid w:val="005A2260"/>
    <w:rsid w:val="005A44F6"/>
    <w:rsid w:val="005A5759"/>
    <w:rsid w:val="005A5C99"/>
    <w:rsid w:val="005A6BEF"/>
    <w:rsid w:val="005C085D"/>
    <w:rsid w:val="005C0F2B"/>
    <w:rsid w:val="005C3C33"/>
    <w:rsid w:val="005C53F4"/>
    <w:rsid w:val="005D0F3D"/>
    <w:rsid w:val="005D61ED"/>
    <w:rsid w:val="005E02A6"/>
    <w:rsid w:val="005E3B3C"/>
    <w:rsid w:val="005E4A23"/>
    <w:rsid w:val="005E6ED7"/>
    <w:rsid w:val="005E7701"/>
    <w:rsid w:val="005F00B0"/>
    <w:rsid w:val="005F04FD"/>
    <w:rsid w:val="005F5B93"/>
    <w:rsid w:val="005F75BA"/>
    <w:rsid w:val="006032E8"/>
    <w:rsid w:val="00606D33"/>
    <w:rsid w:val="0061005A"/>
    <w:rsid w:val="0061244A"/>
    <w:rsid w:val="006164CA"/>
    <w:rsid w:val="00622593"/>
    <w:rsid w:val="00622AEE"/>
    <w:rsid w:val="00624E6D"/>
    <w:rsid w:val="00626BDA"/>
    <w:rsid w:val="00630CC8"/>
    <w:rsid w:val="00631317"/>
    <w:rsid w:val="006324B5"/>
    <w:rsid w:val="0063304B"/>
    <w:rsid w:val="00635BF2"/>
    <w:rsid w:val="0063626B"/>
    <w:rsid w:val="00636C75"/>
    <w:rsid w:val="006372A9"/>
    <w:rsid w:val="00641C79"/>
    <w:rsid w:val="00647977"/>
    <w:rsid w:val="00651186"/>
    <w:rsid w:val="006537FC"/>
    <w:rsid w:val="006553AE"/>
    <w:rsid w:val="00662F98"/>
    <w:rsid w:val="00662FCA"/>
    <w:rsid w:val="006635CD"/>
    <w:rsid w:val="00664B87"/>
    <w:rsid w:val="0066598B"/>
    <w:rsid w:val="006713C4"/>
    <w:rsid w:val="00671BB2"/>
    <w:rsid w:val="0067231E"/>
    <w:rsid w:val="00672A1B"/>
    <w:rsid w:val="00672E81"/>
    <w:rsid w:val="00675019"/>
    <w:rsid w:val="00676963"/>
    <w:rsid w:val="00686B20"/>
    <w:rsid w:val="006922AA"/>
    <w:rsid w:val="006940C2"/>
    <w:rsid w:val="0069545C"/>
    <w:rsid w:val="00695D65"/>
    <w:rsid w:val="006976FE"/>
    <w:rsid w:val="006977A3"/>
    <w:rsid w:val="006A05C7"/>
    <w:rsid w:val="006A05E1"/>
    <w:rsid w:val="006A5A5B"/>
    <w:rsid w:val="006A5BAD"/>
    <w:rsid w:val="006A6353"/>
    <w:rsid w:val="006A7AC7"/>
    <w:rsid w:val="006B010E"/>
    <w:rsid w:val="006B0B71"/>
    <w:rsid w:val="006B5DC0"/>
    <w:rsid w:val="006B6721"/>
    <w:rsid w:val="006B7F1F"/>
    <w:rsid w:val="006C053A"/>
    <w:rsid w:val="006C2371"/>
    <w:rsid w:val="006C32C0"/>
    <w:rsid w:val="006C42CF"/>
    <w:rsid w:val="006C4677"/>
    <w:rsid w:val="006C4859"/>
    <w:rsid w:val="006C6351"/>
    <w:rsid w:val="006C6B76"/>
    <w:rsid w:val="006C765C"/>
    <w:rsid w:val="006D0A8B"/>
    <w:rsid w:val="006D0F76"/>
    <w:rsid w:val="006D112B"/>
    <w:rsid w:val="006D1A7C"/>
    <w:rsid w:val="006D2FA7"/>
    <w:rsid w:val="006D320E"/>
    <w:rsid w:val="006D4851"/>
    <w:rsid w:val="006D75A2"/>
    <w:rsid w:val="006E0B0E"/>
    <w:rsid w:val="006E0D1E"/>
    <w:rsid w:val="006E2006"/>
    <w:rsid w:val="006E4902"/>
    <w:rsid w:val="006E4A59"/>
    <w:rsid w:val="006E5733"/>
    <w:rsid w:val="006E65C8"/>
    <w:rsid w:val="006F19E8"/>
    <w:rsid w:val="006F1B02"/>
    <w:rsid w:val="006F34CA"/>
    <w:rsid w:val="006F501F"/>
    <w:rsid w:val="0070124B"/>
    <w:rsid w:val="007027EC"/>
    <w:rsid w:val="00705BC9"/>
    <w:rsid w:val="007068FD"/>
    <w:rsid w:val="0070720B"/>
    <w:rsid w:val="0071288C"/>
    <w:rsid w:val="00712B27"/>
    <w:rsid w:val="00714042"/>
    <w:rsid w:val="007174C8"/>
    <w:rsid w:val="007213AC"/>
    <w:rsid w:val="00724AF8"/>
    <w:rsid w:val="00727A3E"/>
    <w:rsid w:val="00732705"/>
    <w:rsid w:val="007329DB"/>
    <w:rsid w:val="00735654"/>
    <w:rsid w:val="00737D57"/>
    <w:rsid w:val="00740A67"/>
    <w:rsid w:val="007418F1"/>
    <w:rsid w:val="007448B9"/>
    <w:rsid w:val="007449F3"/>
    <w:rsid w:val="00745959"/>
    <w:rsid w:val="00746C46"/>
    <w:rsid w:val="00751C3F"/>
    <w:rsid w:val="0075242E"/>
    <w:rsid w:val="00760149"/>
    <w:rsid w:val="007705D3"/>
    <w:rsid w:val="00770F87"/>
    <w:rsid w:val="007730F2"/>
    <w:rsid w:val="007758AD"/>
    <w:rsid w:val="0077670F"/>
    <w:rsid w:val="00781159"/>
    <w:rsid w:val="00782098"/>
    <w:rsid w:val="00785496"/>
    <w:rsid w:val="0079425C"/>
    <w:rsid w:val="007A3FE2"/>
    <w:rsid w:val="007A6F0B"/>
    <w:rsid w:val="007B0EF6"/>
    <w:rsid w:val="007B1123"/>
    <w:rsid w:val="007B12CA"/>
    <w:rsid w:val="007C0F80"/>
    <w:rsid w:val="007C1242"/>
    <w:rsid w:val="007C29CD"/>
    <w:rsid w:val="007C71CE"/>
    <w:rsid w:val="007D057C"/>
    <w:rsid w:val="007D07DA"/>
    <w:rsid w:val="007D08E4"/>
    <w:rsid w:val="007D38CF"/>
    <w:rsid w:val="007D41D2"/>
    <w:rsid w:val="007D5703"/>
    <w:rsid w:val="007E2247"/>
    <w:rsid w:val="007E2D49"/>
    <w:rsid w:val="007E501D"/>
    <w:rsid w:val="007F0162"/>
    <w:rsid w:val="007F01F6"/>
    <w:rsid w:val="007F26BE"/>
    <w:rsid w:val="007F30EC"/>
    <w:rsid w:val="007F3F8F"/>
    <w:rsid w:val="007F4425"/>
    <w:rsid w:val="007F5E93"/>
    <w:rsid w:val="00800B71"/>
    <w:rsid w:val="008015C8"/>
    <w:rsid w:val="008024A5"/>
    <w:rsid w:val="008046F0"/>
    <w:rsid w:val="00805F8C"/>
    <w:rsid w:val="00811CE6"/>
    <w:rsid w:val="00811E8F"/>
    <w:rsid w:val="008165F5"/>
    <w:rsid w:val="008175C9"/>
    <w:rsid w:val="00820332"/>
    <w:rsid w:val="00823C0A"/>
    <w:rsid w:val="00823EDA"/>
    <w:rsid w:val="00825D30"/>
    <w:rsid w:val="0082757D"/>
    <w:rsid w:val="00830B84"/>
    <w:rsid w:val="00830C11"/>
    <w:rsid w:val="00833592"/>
    <w:rsid w:val="00835002"/>
    <w:rsid w:val="00845154"/>
    <w:rsid w:val="0084751E"/>
    <w:rsid w:val="00852A80"/>
    <w:rsid w:val="00854CA1"/>
    <w:rsid w:val="00855E22"/>
    <w:rsid w:val="00861891"/>
    <w:rsid w:val="00866C59"/>
    <w:rsid w:val="00866D2E"/>
    <w:rsid w:val="0087530C"/>
    <w:rsid w:val="008766E6"/>
    <w:rsid w:val="008812EF"/>
    <w:rsid w:val="008813E7"/>
    <w:rsid w:val="00883B9E"/>
    <w:rsid w:val="00886BAF"/>
    <w:rsid w:val="008870BC"/>
    <w:rsid w:val="00887148"/>
    <w:rsid w:val="00891196"/>
    <w:rsid w:val="008911A9"/>
    <w:rsid w:val="008931A2"/>
    <w:rsid w:val="00894B56"/>
    <w:rsid w:val="00896898"/>
    <w:rsid w:val="008A1DE8"/>
    <w:rsid w:val="008A4D7C"/>
    <w:rsid w:val="008B132C"/>
    <w:rsid w:val="008B3F05"/>
    <w:rsid w:val="008B4286"/>
    <w:rsid w:val="008B4460"/>
    <w:rsid w:val="008B6FB7"/>
    <w:rsid w:val="008C469A"/>
    <w:rsid w:val="008C67DA"/>
    <w:rsid w:val="008D03D6"/>
    <w:rsid w:val="008D040B"/>
    <w:rsid w:val="008D0537"/>
    <w:rsid w:val="008D0FA3"/>
    <w:rsid w:val="008D1C86"/>
    <w:rsid w:val="008D51C7"/>
    <w:rsid w:val="008D61F3"/>
    <w:rsid w:val="008D7666"/>
    <w:rsid w:val="008E3B80"/>
    <w:rsid w:val="008E5A95"/>
    <w:rsid w:val="008E5FE0"/>
    <w:rsid w:val="008E6004"/>
    <w:rsid w:val="008F150E"/>
    <w:rsid w:val="008F1B34"/>
    <w:rsid w:val="008F1EC8"/>
    <w:rsid w:val="008F584C"/>
    <w:rsid w:val="008F5904"/>
    <w:rsid w:val="009010FF"/>
    <w:rsid w:val="009032B0"/>
    <w:rsid w:val="00903309"/>
    <w:rsid w:val="00904382"/>
    <w:rsid w:val="009053C3"/>
    <w:rsid w:val="00911A54"/>
    <w:rsid w:val="00911D6E"/>
    <w:rsid w:val="00911F39"/>
    <w:rsid w:val="0091628E"/>
    <w:rsid w:val="00916CA4"/>
    <w:rsid w:val="00916DC5"/>
    <w:rsid w:val="00920D63"/>
    <w:rsid w:val="00932273"/>
    <w:rsid w:val="009333E7"/>
    <w:rsid w:val="00944D6D"/>
    <w:rsid w:val="00950B4F"/>
    <w:rsid w:val="00952B5B"/>
    <w:rsid w:val="009534A1"/>
    <w:rsid w:val="00955694"/>
    <w:rsid w:val="00955718"/>
    <w:rsid w:val="009644DE"/>
    <w:rsid w:val="00964D97"/>
    <w:rsid w:val="0096521E"/>
    <w:rsid w:val="0097102E"/>
    <w:rsid w:val="00971092"/>
    <w:rsid w:val="00971E53"/>
    <w:rsid w:val="009766E2"/>
    <w:rsid w:val="009770B8"/>
    <w:rsid w:val="009816D8"/>
    <w:rsid w:val="00982AD6"/>
    <w:rsid w:val="0098601C"/>
    <w:rsid w:val="00987D97"/>
    <w:rsid w:val="00990F73"/>
    <w:rsid w:val="00991D81"/>
    <w:rsid w:val="00993862"/>
    <w:rsid w:val="00997A49"/>
    <w:rsid w:val="009A0530"/>
    <w:rsid w:val="009A088E"/>
    <w:rsid w:val="009A23CF"/>
    <w:rsid w:val="009A4E67"/>
    <w:rsid w:val="009B0AC9"/>
    <w:rsid w:val="009B303E"/>
    <w:rsid w:val="009B62D4"/>
    <w:rsid w:val="009B66BB"/>
    <w:rsid w:val="009C4B79"/>
    <w:rsid w:val="009D044F"/>
    <w:rsid w:val="009D1A46"/>
    <w:rsid w:val="009D1AC0"/>
    <w:rsid w:val="009D1E06"/>
    <w:rsid w:val="009D5379"/>
    <w:rsid w:val="009D59DA"/>
    <w:rsid w:val="009E1010"/>
    <w:rsid w:val="009E7896"/>
    <w:rsid w:val="009F54CE"/>
    <w:rsid w:val="009F5580"/>
    <w:rsid w:val="00A025F2"/>
    <w:rsid w:val="00A03BAD"/>
    <w:rsid w:val="00A04AE3"/>
    <w:rsid w:val="00A05104"/>
    <w:rsid w:val="00A0661B"/>
    <w:rsid w:val="00A06A3C"/>
    <w:rsid w:val="00A07730"/>
    <w:rsid w:val="00A135B0"/>
    <w:rsid w:val="00A16422"/>
    <w:rsid w:val="00A2032E"/>
    <w:rsid w:val="00A20E0D"/>
    <w:rsid w:val="00A27926"/>
    <w:rsid w:val="00A318A2"/>
    <w:rsid w:val="00A32ADD"/>
    <w:rsid w:val="00A3405F"/>
    <w:rsid w:val="00A3701B"/>
    <w:rsid w:val="00A3758C"/>
    <w:rsid w:val="00A40EB1"/>
    <w:rsid w:val="00A4378F"/>
    <w:rsid w:val="00A445DD"/>
    <w:rsid w:val="00A46E87"/>
    <w:rsid w:val="00A501E0"/>
    <w:rsid w:val="00A509F5"/>
    <w:rsid w:val="00A5173A"/>
    <w:rsid w:val="00A533DE"/>
    <w:rsid w:val="00A53858"/>
    <w:rsid w:val="00A53B23"/>
    <w:rsid w:val="00A55498"/>
    <w:rsid w:val="00A56A24"/>
    <w:rsid w:val="00A60A89"/>
    <w:rsid w:val="00A611D0"/>
    <w:rsid w:val="00A61515"/>
    <w:rsid w:val="00A6162E"/>
    <w:rsid w:val="00A622C5"/>
    <w:rsid w:val="00A63CC5"/>
    <w:rsid w:val="00A66EC4"/>
    <w:rsid w:val="00A72515"/>
    <w:rsid w:val="00A74317"/>
    <w:rsid w:val="00A7666F"/>
    <w:rsid w:val="00A77012"/>
    <w:rsid w:val="00A77906"/>
    <w:rsid w:val="00A83068"/>
    <w:rsid w:val="00A832A7"/>
    <w:rsid w:val="00A83325"/>
    <w:rsid w:val="00A83F0D"/>
    <w:rsid w:val="00A8483C"/>
    <w:rsid w:val="00A8600E"/>
    <w:rsid w:val="00A879B7"/>
    <w:rsid w:val="00A925FE"/>
    <w:rsid w:val="00A92D73"/>
    <w:rsid w:val="00A94019"/>
    <w:rsid w:val="00A94F18"/>
    <w:rsid w:val="00A95B2B"/>
    <w:rsid w:val="00A975F2"/>
    <w:rsid w:val="00AA3282"/>
    <w:rsid w:val="00AA4357"/>
    <w:rsid w:val="00AA4841"/>
    <w:rsid w:val="00AB30AD"/>
    <w:rsid w:val="00AB4758"/>
    <w:rsid w:val="00AB4B1B"/>
    <w:rsid w:val="00AB7BD4"/>
    <w:rsid w:val="00AC175E"/>
    <w:rsid w:val="00AC22B6"/>
    <w:rsid w:val="00AC3A75"/>
    <w:rsid w:val="00AC3E92"/>
    <w:rsid w:val="00AC5328"/>
    <w:rsid w:val="00AC5887"/>
    <w:rsid w:val="00AD02FE"/>
    <w:rsid w:val="00AD6F37"/>
    <w:rsid w:val="00AE0767"/>
    <w:rsid w:val="00AE0A24"/>
    <w:rsid w:val="00AE2855"/>
    <w:rsid w:val="00AE6CF8"/>
    <w:rsid w:val="00AE788F"/>
    <w:rsid w:val="00AF3EB4"/>
    <w:rsid w:val="00AF6CF9"/>
    <w:rsid w:val="00B034EC"/>
    <w:rsid w:val="00B1196D"/>
    <w:rsid w:val="00B1239F"/>
    <w:rsid w:val="00B1283C"/>
    <w:rsid w:val="00B12B4A"/>
    <w:rsid w:val="00B1375C"/>
    <w:rsid w:val="00B141B4"/>
    <w:rsid w:val="00B14CCC"/>
    <w:rsid w:val="00B15218"/>
    <w:rsid w:val="00B157B5"/>
    <w:rsid w:val="00B158B5"/>
    <w:rsid w:val="00B166CC"/>
    <w:rsid w:val="00B16F9C"/>
    <w:rsid w:val="00B2030B"/>
    <w:rsid w:val="00B216FB"/>
    <w:rsid w:val="00B22666"/>
    <w:rsid w:val="00B25953"/>
    <w:rsid w:val="00B27B3E"/>
    <w:rsid w:val="00B27DA6"/>
    <w:rsid w:val="00B32DBF"/>
    <w:rsid w:val="00B35A84"/>
    <w:rsid w:val="00B37AC5"/>
    <w:rsid w:val="00B40856"/>
    <w:rsid w:val="00B40BD4"/>
    <w:rsid w:val="00B40C70"/>
    <w:rsid w:val="00B414A0"/>
    <w:rsid w:val="00B4404F"/>
    <w:rsid w:val="00B45B20"/>
    <w:rsid w:val="00B45B77"/>
    <w:rsid w:val="00B52298"/>
    <w:rsid w:val="00B5294E"/>
    <w:rsid w:val="00B52CF9"/>
    <w:rsid w:val="00B54EAB"/>
    <w:rsid w:val="00B64A6F"/>
    <w:rsid w:val="00B67EA4"/>
    <w:rsid w:val="00B71E74"/>
    <w:rsid w:val="00B73FA9"/>
    <w:rsid w:val="00B753AD"/>
    <w:rsid w:val="00B75716"/>
    <w:rsid w:val="00B77090"/>
    <w:rsid w:val="00B8139A"/>
    <w:rsid w:val="00B82BE0"/>
    <w:rsid w:val="00B82F44"/>
    <w:rsid w:val="00B8486A"/>
    <w:rsid w:val="00B85DCD"/>
    <w:rsid w:val="00B86328"/>
    <w:rsid w:val="00B926B4"/>
    <w:rsid w:val="00B97ECF"/>
    <w:rsid w:val="00BA01FC"/>
    <w:rsid w:val="00BA103D"/>
    <w:rsid w:val="00BA7075"/>
    <w:rsid w:val="00BB286C"/>
    <w:rsid w:val="00BB2EAD"/>
    <w:rsid w:val="00BB43FA"/>
    <w:rsid w:val="00BC4DD9"/>
    <w:rsid w:val="00BC7D7A"/>
    <w:rsid w:val="00BD0198"/>
    <w:rsid w:val="00BD2303"/>
    <w:rsid w:val="00BD7A37"/>
    <w:rsid w:val="00BE485C"/>
    <w:rsid w:val="00BE66F2"/>
    <w:rsid w:val="00BF0481"/>
    <w:rsid w:val="00BF0956"/>
    <w:rsid w:val="00BF1AF8"/>
    <w:rsid w:val="00BF1F37"/>
    <w:rsid w:val="00BF3613"/>
    <w:rsid w:val="00C0054F"/>
    <w:rsid w:val="00C00719"/>
    <w:rsid w:val="00C01C42"/>
    <w:rsid w:val="00C03CF6"/>
    <w:rsid w:val="00C1089D"/>
    <w:rsid w:val="00C12B69"/>
    <w:rsid w:val="00C1300B"/>
    <w:rsid w:val="00C1345D"/>
    <w:rsid w:val="00C17652"/>
    <w:rsid w:val="00C22D6F"/>
    <w:rsid w:val="00C24FAA"/>
    <w:rsid w:val="00C27854"/>
    <w:rsid w:val="00C31A70"/>
    <w:rsid w:val="00C33A94"/>
    <w:rsid w:val="00C37744"/>
    <w:rsid w:val="00C408EA"/>
    <w:rsid w:val="00C468B5"/>
    <w:rsid w:val="00C53EDF"/>
    <w:rsid w:val="00C54087"/>
    <w:rsid w:val="00C548D8"/>
    <w:rsid w:val="00C56F1E"/>
    <w:rsid w:val="00C578D5"/>
    <w:rsid w:val="00C57F28"/>
    <w:rsid w:val="00C634F4"/>
    <w:rsid w:val="00C6473F"/>
    <w:rsid w:val="00C65FAB"/>
    <w:rsid w:val="00C709C9"/>
    <w:rsid w:val="00C729C5"/>
    <w:rsid w:val="00C731C7"/>
    <w:rsid w:val="00C7348D"/>
    <w:rsid w:val="00C73508"/>
    <w:rsid w:val="00C75395"/>
    <w:rsid w:val="00C823A9"/>
    <w:rsid w:val="00C82FA3"/>
    <w:rsid w:val="00C86809"/>
    <w:rsid w:val="00C86973"/>
    <w:rsid w:val="00C9326A"/>
    <w:rsid w:val="00C9532A"/>
    <w:rsid w:val="00C95EA7"/>
    <w:rsid w:val="00C97FC3"/>
    <w:rsid w:val="00CA134D"/>
    <w:rsid w:val="00CA3068"/>
    <w:rsid w:val="00CA5988"/>
    <w:rsid w:val="00CA77F7"/>
    <w:rsid w:val="00CA7BFC"/>
    <w:rsid w:val="00CB006B"/>
    <w:rsid w:val="00CB45AC"/>
    <w:rsid w:val="00CB5E0C"/>
    <w:rsid w:val="00CB652F"/>
    <w:rsid w:val="00CB7CAF"/>
    <w:rsid w:val="00CC10F1"/>
    <w:rsid w:val="00CC5F90"/>
    <w:rsid w:val="00CC7AFC"/>
    <w:rsid w:val="00CD0CD1"/>
    <w:rsid w:val="00CD0FD5"/>
    <w:rsid w:val="00CD3C3B"/>
    <w:rsid w:val="00CD686B"/>
    <w:rsid w:val="00CD7753"/>
    <w:rsid w:val="00CE2971"/>
    <w:rsid w:val="00CE3535"/>
    <w:rsid w:val="00CE4E1D"/>
    <w:rsid w:val="00CE567E"/>
    <w:rsid w:val="00CE780D"/>
    <w:rsid w:val="00CE7D27"/>
    <w:rsid w:val="00CF2D20"/>
    <w:rsid w:val="00CF30AC"/>
    <w:rsid w:val="00CF3C67"/>
    <w:rsid w:val="00CF6B2C"/>
    <w:rsid w:val="00D00E91"/>
    <w:rsid w:val="00D01506"/>
    <w:rsid w:val="00D0425B"/>
    <w:rsid w:val="00D06F38"/>
    <w:rsid w:val="00D122E3"/>
    <w:rsid w:val="00D125DB"/>
    <w:rsid w:val="00D15D23"/>
    <w:rsid w:val="00D207D5"/>
    <w:rsid w:val="00D2158A"/>
    <w:rsid w:val="00D26973"/>
    <w:rsid w:val="00D27722"/>
    <w:rsid w:val="00D30955"/>
    <w:rsid w:val="00D32C1A"/>
    <w:rsid w:val="00D336F1"/>
    <w:rsid w:val="00D33724"/>
    <w:rsid w:val="00D36E72"/>
    <w:rsid w:val="00D37186"/>
    <w:rsid w:val="00D44550"/>
    <w:rsid w:val="00D44E17"/>
    <w:rsid w:val="00D45593"/>
    <w:rsid w:val="00D45E7C"/>
    <w:rsid w:val="00D46BE3"/>
    <w:rsid w:val="00D46DAE"/>
    <w:rsid w:val="00D47A83"/>
    <w:rsid w:val="00D514EA"/>
    <w:rsid w:val="00D54AE9"/>
    <w:rsid w:val="00D5541C"/>
    <w:rsid w:val="00D60C3A"/>
    <w:rsid w:val="00D620DC"/>
    <w:rsid w:val="00D6445C"/>
    <w:rsid w:val="00D646A2"/>
    <w:rsid w:val="00D64791"/>
    <w:rsid w:val="00D665E8"/>
    <w:rsid w:val="00D71372"/>
    <w:rsid w:val="00D73BCE"/>
    <w:rsid w:val="00D84E35"/>
    <w:rsid w:val="00D851CA"/>
    <w:rsid w:val="00D8693E"/>
    <w:rsid w:val="00D906A5"/>
    <w:rsid w:val="00D92543"/>
    <w:rsid w:val="00D9424C"/>
    <w:rsid w:val="00D9606D"/>
    <w:rsid w:val="00D979AB"/>
    <w:rsid w:val="00DA3035"/>
    <w:rsid w:val="00DA48CB"/>
    <w:rsid w:val="00DA4948"/>
    <w:rsid w:val="00DB0EED"/>
    <w:rsid w:val="00DB33F9"/>
    <w:rsid w:val="00DB3BB1"/>
    <w:rsid w:val="00DB5059"/>
    <w:rsid w:val="00DB610D"/>
    <w:rsid w:val="00DB7C8B"/>
    <w:rsid w:val="00DC1BEC"/>
    <w:rsid w:val="00DC1D2A"/>
    <w:rsid w:val="00DC29AC"/>
    <w:rsid w:val="00DC3152"/>
    <w:rsid w:val="00DC454D"/>
    <w:rsid w:val="00DC4C64"/>
    <w:rsid w:val="00DC7470"/>
    <w:rsid w:val="00DD49E7"/>
    <w:rsid w:val="00DD7DE9"/>
    <w:rsid w:val="00DE4A11"/>
    <w:rsid w:val="00DE55A1"/>
    <w:rsid w:val="00DE6126"/>
    <w:rsid w:val="00DF356C"/>
    <w:rsid w:val="00DF7036"/>
    <w:rsid w:val="00DF7283"/>
    <w:rsid w:val="00DF7FAC"/>
    <w:rsid w:val="00E02D53"/>
    <w:rsid w:val="00E0422D"/>
    <w:rsid w:val="00E05D97"/>
    <w:rsid w:val="00E062EE"/>
    <w:rsid w:val="00E07887"/>
    <w:rsid w:val="00E07DCD"/>
    <w:rsid w:val="00E12B3E"/>
    <w:rsid w:val="00E12E97"/>
    <w:rsid w:val="00E131BD"/>
    <w:rsid w:val="00E17871"/>
    <w:rsid w:val="00E17D29"/>
    <w:rsid w:val="00E20EB1"/>
    <w:rsid w:val="00E20EED"/>
    <w:rsid w:val="00E2187C"/>
    <w:rsid w:val="00E235B6"/>
    <w:rsid w:val="00E2403C"/>
    <w:rsid w:val="00E26B23"/>
    <w:rsid w:val="00E3019D"/>
    <w:rsid w:val="00E33EE5"/>
    <w:rsid w:val="00E41D1D"/>
    <w:rsid w:val="00E440D6"/>
    <w:rsid w:val="00E44C60"/>
    <w:rsid w:val="00E47A3E"/>
    <w:rsid w:val="00E51363"/>
    <w:rsid w:val="00E53621"/>
    <w:rsid w:val="00E6264F"/>
    <w:rsid w:val="00E62772"/>
    <w:rsid w:val="00E6310D"/>
    <w:rsid w:val="00E645AE"/>
    <w:rsid w:val="00E67C23"/>
    <w:rsid w:val="00E72031"/>
    <w:rsid w:val="00E7223B"/>
    <w:rsid w:val="00E7321B"/>
    <w:rsid w:val="00E74616"/>
    <w:rsid w:val="00E76DD3"/>
    <w:rsid w:val="00E80A67"/>
    <w:rsid w:val="00E83FA9"/>
    <w:rsid w:val="00E86AA0"/>
    <w:rsid w:val="00E87946"/>
    <w:rsid w:val="00E9112C"/>
    <w:rsid w:val="00E921B4"/>
    <w:rsid w:val="00E93CAA"/>
    <w:rsid w:val="00E97355"/>
    <w:rsid w:val="00E9752E"/>
    <w:rsid w:val="00EA101D"/>
    <w:rsid w:val="00EB3250"/>
    <w:rsid w:val="00EB3B38"/>
    <w:rsid w:val="00EB3F6D"/>
    <w:rsid w:val="00EB756E"/>
    <w:rsid w:val="00EC162A"/>
    <w:rsid w:val="00EC3589"/>
    <w:rsid w:val="00EC5447"/>
    <w:rsid w:val="00EC6BD9"/>
    <w:rsid w:val="00ED01D6"/>
    <w:rsid w:val="00ED119C"/>
    <w:rsid w:val="00ED3BCE"/>
    <w:rsid w:val="00ED4429"/>
    <w:rsid w:val="00ED6290"/>
    <w:rsid w:val="00EE0694"/>
    <w:rsid w:val="00EE0D4D"/>
    <w:rsid w:val="00EE2E0D"/>
    <w:rsid w:val="00EE2FBC"/>
    <w:rsid w:val="00EE7135"/>
    <w:rsid w:val="00EF04EE"/>
    <w:rsid w:val="00EF19DB"/>
    <w:rsid w:val="00EF261E"/>
    <w:rsid w:val="00EF650A"/>
    <w:rsid w:val="00F060B6"/>
    <w:rsid w:val="00F066EF"/>
    <w:rsid w:val="00F07841"/>
    <w:rsid w:val="00F10422"/>
    <w:rsid w:val="00F12B17"/>
    <w:rsid w:val="00F12D43"/>
    <w:rsid w:val="00F13126"/>
    <w:rsid w:val="00F13194"/>
    <w:rsid w:val="00F1586C"/>
    <w:rsid w:val="00F172B8"/>
    <w:rsid w:val="00F21122"/>
    <w:rsid w:val="00F22A36"/>
    <w:rsid w:val="00F2621B"/>
    <w:rsid w:val="00F30437"/>
    <w:rsid w:val="00F433DD"/>
    <w:rsid w:val="00F44297"/>
    <w:rsid w:val="00F442B1"/>
    <w:rsid w:val="00F46056"/>
    <w:rsid w:val="00F4630F"/>
    <w:rsid w:val="00F5039F"/>
    <w:rsid w:val="00F50E73"/>
    <w:rsid w:val="00F5364B"/>
    <w:rsid w:val="00F541CB"/>
    <w:rsid w:val="00F54667"/>
    <w:rsid w:val="00F60EED"/>
    <w:rsid w:val="00F6183D"/>
    <w:rsid w:val="00F62E56"/>
    <w:rsid w:val="00F66EB0"/>
    <w:rsid w:val="00F70200"/>
    <w:rsid w:val="00F73024"/>
    <w:rsid w:val="00F7336B"/>
    <w:rsid w:val="00F73624"/>
    <w:rsid w:val="00F763E8"/>
    <w:rsid w:val="00F77730"/>
    <w:rsid w:val="00F80799"/>
    <w:rsid w:val="00F813EC"/>
    <w:rsid w:val="00F822FF"/>
    <w:rsid w:val="00F92F76"/>
    <w:rsid w:val="00F93219"/>
    <w:rsid w:val="00F9374E"/>
    <w:rsid w:val="00F94148"/>
    <w:rsid w:val="00F94232"/>
    <w:rsid w:val="00F956F8"/>
    <w:rsid w:val="00F96B7D"/>
    <w:rsid w:val="00FA065B"/>
    <w:rsid w:val="00FA081F"/>
    <w:rsid w:val="00FA2142"/>
    <w:rsid w:val="00FA3428"/>
    <w:rsid w:val="00FA583C"/>
    <w:rsid w:val="00FA616F"/>
    <w:rsid w:val="00FB1868"/>
    <w:rsid w:val="00FB7820"/>
    <w:rsid w:val="00FC0D4E"/>
    <w:rsid w:val="00FC2E0B"/>
    <w:rsid w:val="00FC33D6"/>
    <w:rsid w:val="00FC3479"/>
    <w:rsid w:val="00FC4B56"/>
    <w:rsid w:val="00FC5060"/>
    <w:rsid w:val="00FC69A9"/>
    <w:rsid w:val="00FD11F8"/>
    <w:rsid w:val="00FD4A2B"/>
    <w:rsid w:val="00FD5046"/>
    <w:rsid w:val="00FD6826"/>
    <w:rsid w:val="00FD797A"/>
    <w:rsid w:val="00FE1D3D"/>
    <w:rsid w:val="00FE469D"/>
    <w:rsid w:val="00FE6BB4"/>
    <w:rsid w:val="00FE7FAD"/>
    <w:rsid w:val="00FF0674"/>
    <w:rsid w:val="00FF0B7C"/>
    <w:rsid w:val="00FF18D7"/>
    <w:rsid w:val="00FF698D"/>
    <w:rsid w:val="00FF78A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CD07D0D"/>
  <w15:docId w15:val="{9B791D9B-6DD9-41CA-9B3C-63C53CB0C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5887"/>
    <w:pPr>
      <w:tabs>
        <w:tab w:val="center" w:pos="4320"/>
        <w:tab w:val="right" w:pos="8640"/>
      </w:tabs>
    </w:pPr>
  </w:style>
  <w:style w:type="paragraph" w:styleId="Footer">
    <w:name w:val="footer"/>
    <w:basedOn w:val="Normal"/>
    <w:rsid w:val="00AC5887"/>
    <w:pPr>
      <w:tabs>
        <w:tab w:val="center" w:pos="4320"/>
        <w:tab w:val="right" w:pos="8640"/>
      </w:tabs>
    </w:pPr>
  </w:style>
  <w:style w:type="paragraph" w:styleId="BalloonText">
    <w:name w:val="Balloon Text"/>
    <w:basedOn w:val="Normal"/>
    <w:link w:val="BalloonTextChar"/>
    <w:rsid w:val="00EE0694"/>
    <w:rPr>
      <w:rFonts w:ascii="Lucida Grande" w:hAnsi="Lucida Grande" w:cs="Lucida Grande"/>
      <w:sz w:val="18"/>
      <w:szCs w:val="18"/>
    </w:rPr>
  </w:style>
  <w:style w:type="character" w:customStyle="1" w:styleId="BalloonTextChar">
    <w:name w:val="Balloon Text Char"/>
    <w:basedOn w:val="DefaultParagraphFont"/>
    <w:link w:val="BalloonText"/>
    <w:rsid w:val="00EE0694"/>
    <w:rPr>
      <w:rFonts w:ascii="Lucida Grande" w:hAnsi="Lucida Grande" w:cs="Lucida Grande"/>
      <w:sz w:val="18"/>
      <w:szCs w:val="18"/>
    </w:rPr>
  </w:style>
  <w:style w:type="paragraph" w:customStyle="1" w:styleId="BasicParagraph">
    <w:name w:val="[Basic Paragraph]"/>
    <w:basedOn w:val="Normal"/>
    <w:uiPriority w:val="99"/>
    <w:rsid w:val="00A830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Normal1">
    <w:name w:val="Normal1"/>
    <w:rsid w:val="00AE0A24"/>
    <w:rPr>
      <w:rFonts w:ascii="Cambria" w:eastAsia="Cambria" w:hAnsi="Cambria" w:cs="Cambria"/>
      <w:color w:val="000000"/>
      <w:sz w:val="24"/>
      <w:szCs w:val="24"/>
    </w:rPr>
  </w:style>
  <w:style w:type="paragraph" w:styleId="ListParagraph">
    <w:name w:val="List Paragraph"/>
    <w:basedOn w:val="Normal"/>
    <w:uiPriority w:val="34"/>
    <w:qFormat/>
    <w:rsid w:val="00AE0A24"/>
    <w:pPr>
      <w:spacing w:after="160" w:line="259" w:lineRule="auto"/>
      <w:ind w:left="720"/>
      <w:contextualSpacing/>
    </w:pPr>
    <w:rPr>
      <w:rFonts w:asciiTheme="minorHAnsi" w:eastAsiaTheme="minorHAnsi" w:hAnsiTheme="minorHAnsi" w:cstheme="minorBidi"/>
      <w:sz w:val="22"/>
      <w:szCs w:val="22"/>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www.arrow.org.my/publications/ICPD+20/ICPD+20_ARROW_AP.pdf" TargetMode="External"/><Relationship Id="rId1" Type="http://schemas.openxmlformats.org/officeDocument/2006/relationships/hyperlink" Target="http://www.apps.who.int/iris/bitstream/10665/44529/1/9789241501118_eng.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D53534-C1BC-415D-A85D-1CBBFE4D06AF}">
  <ds:schemaRefs>
    <ds:schemaRef ds:uri="http://schemas.openxmlformats.org/officeDocument/2006/bibliography"/>
  </ds:schemaRefs>
</ds:datastoreItem>
</file>

<file path=customXml/itemProps2.xml><?xml version="1.0" encoding="utf-8"?>
<ds:datastoreItem xmlns:ds="http://schemas.openxmlformats.org/officeDocument/2006/customXml" ds:itemID="{952D687A-8699-4A68-9462-1849997DD5FF}"/>
</file>

<file path=customXml/itemProps3.xml><?xml version="1.0" encoding="utf-8"?>
<ds:datastoreItem xmlns:ds="http://schemas.openxmlformats.org/officeDocument/2006/customXml" ds:itemID="{556AFFF5-BF44-4E09-8C95-736E089C9D04}"/>
</file>

<file path=customXml/itemProps4.xml><?xml version="1.0" encoding="utf-8"?>
<ds:datastoreItem xmlns:ds="http://schemas.openxmlformats.org/officeDocument/2006/customXml" ds:itemID="{3382A9BF-9D66-4A75-BA34-A3BD5199EB63}"/>
</file>

<file path=docProps/app.xml><?xml version="1.0" encoding="utf-8"?>
<Properties xmlns="http://schemas.openxmlformats.org/officeDocument/2006/extended-properties" xmlns:vt="http://schemas.openxmlformats.org/officeDocument/2006/docPropsVTypes">
  <Template>Normal.dotm</Template>
  <TotalTime>0</TotalTime>
  <Pages>3</Pages>
  <Words>963</Words>
  <Characters>5514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Chimera Sdn Bhd</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Durnescu Lilian</cp:lastModifiedBy>
  <cp:revision>2</cp:revision>
  <cp:lastPrinted>2012-10-23T08:56:00Z</cp:lastPrinted>
  <dcterms:created xsi:type="dcterms:W3CDTF">2017-10-06T08:34:00Z</dcterms:created>
  <dcterms:modified xsi:type="dcterms:W3CDTF">2017-10-06T08:34:00Z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