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7EDA" w:rsidRPr="00B57EDA" w:rsidRDefault="00B57EDA" w:rsidP="00B57EDA">
      <w:pPr>
        <w:rPr>
          <w:rFonts w:ascii="Times" w:eastAsia="Times New Roman" w:hAnsi="Times" w:cs="Times New Roman"/>
          <w:sz w:val="20"/>
          <w:szCs w:val="20"/>
          <w:lang w:val="es-ES"/>
        </w:rPr>
      </w:pPr>
      <w:bookmarkStart w:id="0" w:name="_GoBack"/>
      <w:bookmarkEnd w:id="0"/>
      <w:r>
        <w:rPr>
          <w:rFonts w:ascii="Calibri" w:eastAsia="Times New Roman" w:hAnsi="Calibri" w:cs="Times New Roman"/>
          <w:noProof/>
          <w:color w:val="000000"/>
          <w:sz w:val="22"/>
          <w:szCs w:val="22"/>
          <w:lang w:val="en-GB" w:eastAsia="en-GB"/>
        </w:rPr>
        <w:drawing>
          <wp:inline distT="0" distB="0" distL="0" distR="0">
            <wp:extent cx="1308100" cy="1625600"/>
            <wp:effectExtent l="0" t="0" r="12700" b="0"/>
            <wp:docPr id="1" name="Imagen 1" descr="ogo_hazteoi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go_hazteoir.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08100" cy="1625600"/>
                    </a:xfrm>
                    <a:prstGeom prst="rect">
                      <a:avLst/>
                    </a:prstGeom>
                    <a:noFill/>
                    <a:ln>
                      <a:noFill/>
                    </a:ln>
                  </pic:spPr>
                </pic:pic>
              </a:graphicData>
            </a:graphic>
          </wp:inline>
        </w:drawing>
      </w:r>
    </w:p>
    <w:p w:rsidR="00B57EDA" w:rsidRDefault="00B57EDA" w:rsidP="00B57EDA">
      <w:pPr>
        <w:rPr>
          <w:rFonts w:ascii="Calibri" w:hAnsi="Calibri" w:cs="Times New Roman"/>
          <w:color w:val="000000"/>
          <w:sz w:val="22"/>
          <w:szCs w:val="22"/>
          <w:lang w:val="es-ES"/>
        </w:rPr>
      </w:pPr>
    </w:p>
    <w:p w:rsidR="00B57EDA" w:rsidRDefault="00B57EDA" w:rsidP="00B57EDA">
      <w:pPr>
        <w:rPr>
          <w:rFonts w:ascii="Calibri" w:hAnsi="Calibri" w:cs="Times New Roman"/>
          <w:color w:val="000000"/>
          <w:sz w:val="22"/>
          <w:szCs w:val="22"/>
          <w:lang w:val="es-ES"/>
        </w:rPr>
      </w:pPr>
    </w:p>
    <w:p w:rsidR="00B57EDA" w:rsidRDefault="00B57EDA" w:rsidP="00B57EDA">
      <w:pPr>
        <w:rPr>
          <w:rFonts w:ascii="Calibri" w:hAnsi="Calibri" w:cs="Times New Roman"/>
          <w:color w:val="000000"/>
          <w:sz w:val="22"/>
          <w:szCs w:val="22"/>
          <w:lang w:val="es-ES"/>
        </w:rPr>
      </w:pPr>
    </w:p>
    <w:p w:rsidR="00B57EDA" w:rsidRPr="00B57EDA" w:rsidRDefault="00B57EDA" w:rsidP="00B57EDA">
      <w:pPr>
        <w:rPr>
          <w:rFonts w:ascii="Times" w:hAnsi="Times" w:cs="Times New Roman"/>
          <w:sz w:val="20"/>
          <w:szCs w:val="20"/>
          <w:lang w:val="es-ES"/>
        </w:rPr>
      </w:pPr>
      <w:r w:rsidRPr="00B57EDA">
        <w:rPr>
          <w:rFonts w:ascii="Calibri" w:hAnsi="Calibri" w:cs="Times New Roman"/>
          <w:color w:val="000000"/>
          <w:sz w:val="22"/>
          <w:szCs w:val="22"/>
          <w:lang w:val="es-ES"/>
        </w:rPr>
        <w:t xml:space="preserve">Asociación Hazte Oír </w:t>
      </w:r>
    </w:p>
    <w:p w:rsidR="00B57EDA" w:rsidRPr="00B57EDA" w:rsidRDefault="00B57EDA" w:rsidP="00B57EDA">
      <w:pPr>
        <w:rPr>
          <w:rFonts w:ascii="Times" w:hAnsi="Times" w:cs="Times New Roman"/>
          <w:sz w:val="20"/>
          <w:szCs w:val="20"/>
          <w:lang w:val="es-ES"/>
        </w:rPr>
      </w:pPr>
      <w:r w:rsidRPr="00B57EDA">
        <w:rPr>
          <w:rFonts w:ascii="Calibri" w:hAnsi="Calibri" w:cs="Times New Roman"/>
          <w:color w:val="000000"/>
          <w:sz w:val="22"/>
          <w:szCs w:val="22"/>
          <w:lang w:val="es-ES"/>
        </w:rPr>
        <w:t>Paseo de la Habana 200</w:t>
      </w:r>
    </w:p>
    <w:p w:rsidR="00B57EDA" w:rsidRPr="00B57EDA" w:rsidRDefault="00B57EDA" w:rsidP="00B57EDA">
      <w:pPr>
        <w:rPr>
          <w:rFonts w:ascii="Times" w:hAnsi="Times" w:cs="Times New Roman"/>
          <w:sz w:val="20"/>
          <w:szCs w:val="20"/>
          <w:lang w:val="es-ES"/>
        </w:rPr>
      </w:pPr>
      <w:r w:rsidRPr="00B57EDA">
        <w:rPr>
          <w:rFonts w:ascii="Calibri" w:hAnsi="Calibri" w:cs="Times New Roman"/>
          <w:color w:val="000000"/>
          <w:sz w:val="22"/>
          <w:szCs w:val="22"/>
          <w:lang w:val="es-ES"/>
        </w:rPr>
        <w:t>28016 MADRID</w:t>
      </w:r>
    </w:p>
    <w:p w:rsidR="00B57EDA" w:rsidRPr="00B57EDA" w:rsidRDefault="00B57EDA" w:rsidP="00B57EDA">
      <w:pPr>
        <w:rPr>
          <w:rFonts w:ascii="Times" w:eastAsia="Times New Roman" w:hAnsi="Times" w:cs="Times New Roman"/>
          <w:sz w:val="20"/>
          <w:szCs w:val="20"/>
          <w:lang w:val="es-ES"/>
        </w:rPr>
      </w:pPr>
    </w:p>
    <w:p w:rsidR="00B57EDA" w:rsidRPr="00B57EDA" w:rsidRDefault="00B57EDA" w:rsidP="00B57EDA">
      <w:pPr>
        <w:jc w:val="center"/>
        <w:rPr>
          <w:rFonts w:ascii="Times" w:hAnsi="Times" w:cs="Times New Roman"/>
          <w:sz w:val="20"/>
          <w:szCs w:val="20"/>
          <w:lang w:val="es-ES"/>
        </w:rPr>
      </w:pPr>
      <w:r w:rsidRPr="00B57EDA">
        <w:rPr>
          <w:rFonts w:ascii="Calibri" w:hAnsi="Calibri" w:cs="Times New Roman"/>
          <w:b/>
          <w:bCs/>
          <w:color w:val="000000"/>
          <w:sz w:val="22"/>
          <w:szCs w:val="22"/>
          <w:lang w:val="es-ES"/>
        </w:rPr>
        <w:t>            </w:t>
      </w:r>
    </w:p>
    <w:p w:rsidR="00B57EDA" w:rsidRPr="00B57EDA" w:rsidRDefault="00B57EDA" w:rsidP="00B57EDA">
      <w:pPr>
        <w:jc w:val="center"/>
        <w:rPr>
          <w:rFonts w:ascii="Times" w:hAnsi="Times" w:cs="Times New Roman"/>
          <w:sz w:val="20"/>
          <w:szCs w:val="20"/>
          <w:lang w:val="es-ES"/>
        </w:rPr>
      </w:pPr>
      <w:r w:rsidRPr="00B57EDA">
        <w:rPr>
          <w:rFonts w:ascii="Calibri" w:hAnsi="Calibri" w:cs="Times New Roman"/>
          <w:b/>
          <w:bCs/>
          <w:color w:val="000000"/>
          <w:sz w:val="22"/>
          <w:szCs w:val="22"/>
          <w:lang w:val="es-ES"/>
        </w:rPr>
        <w:t>CONSIDERACIONES AL COMENTARIO GENERAL Nº 36 SOBRE EL  </w:t>
      </w:r>
    </w:p>
    <w:p w:rsidR="00B57EDA" w:rsidRPr="00B57EDA" w:rsidRDefault="00B57EDA" w:rsidP="00B57EDA">
      <w:pPr>
        <w:jc w:val="center"/>
        <w:rPr>
          <w:rFonts w:ascii="Times" w:hAnsi="Times" w:cs="Times New Roman"/>
          <w:sz w:val="20"/>
          <w:szCs w:val="20"/>
          <w:lang w:val="es-ES"/>
        </w:rPr>
      </w:pPr>
      <w:r w:rsidRPr="00B57EDA">
        <w:rPr>
          <w:rFonts w:ascii="Calibri" w:hAnsi="Calibri" w:cs="Times New Roman"/>
          <w:b/>
          <w:bCs/>
          <w:color w:val="000000"/>
          <w:sz w:val="22"/>
          <w:szCs w:val="22"/>
          <w:lang w:val="es-ES"/>
        </w:rPr>
        <w:t>ARTÍCULO 6 DEL PACTO INTERNACIONAL POR LOS DERECHOS CIVILES Y POLÍTICOS</w:t>
      </w:r>
    </w:p>
    <w:p w:rsidR="00B57EDA" w:rsidRPr="00B57EDA" w:rsidRDefault="00B57EDA" w:rsidP="00B57EDA">
      <w:pPr>
        <w:rPr>
          <w:rFonts w:ascii="Times" w:eastAsia="Times New Roman" w:hAnsi="Times" w:cs="Times New Roman"/>
          <w:sz w:val="20"/>
          <w:szCs w:val="20"/>
          <w:lang w:val="es-ES"/>
        </w:rPr>
      </w:pPr>
    </w:p>
    <w:p w:rsidR="00B57EDA" w:rsidRPr="00B57EDA" w:rsidRDefault="00B57EDA" w:rsidP="00B57EDA">
      <w:pPr>
        <w:rPr>
          <w:rFonts w:ascii="Times" w:hAnsi="Times" w:cs="Times New Roman"/>
          <w:sz w:val="20"/>
          <w:szCs w:val="20"/>
          <w:lang w:val="es-ES"/>
        </w:rPr>
      </w:pPr>
      <w:r w:rsidRPr="00B57EDA">
        <w:rPr>
          <w:rFonts w:ascii="Calibri" w:hAnsi="Calibri" w:cs="Times New Roman"/>
          <w:color w:val="000000"/>
          <w:sz w:val="22"/>
          <w:szCs w:val="22"/>
          <w:lang w:val="es-ES"/>
        </w:rPr>
        <w:t xml:space="preserve">La Asociación Hazte Oír quiere expresar su preocupación ante las recomendaciones que figuran en el Comentario General número 36 sobre el artículo 6 del Pacto Internacional por los Derechos Civiles y Políticos. Consideramos que en la última versión del Comentario se promueven prácticas como el aborto y la eutanasia que, más que una protección del derecho a la vida suponen un claro atentado contra el mismo. </w:t>
      </w:r>
    </w:p>
    <w:p w:rsidR="00B57EDA" w:rsidRPr="00B57EDA" w:rsidRDefault="00B57EDA" w:rsidP="00B57EDA">
      <w:pPr>
        <w:rPr>
          <w:rFonts w:ascii="Times" w:eastAsia="Times New Roman" w:hAnsi="Times" w:cs="Times New Roman"/>
          <w:sz w:val="20"/>
          <w:szCs w:val="20"/>
          <w:lang w:val="es-ES"/>
        </w:rPr>
      </w:pPr>
    </w:p>
    <w:p w:rsidR="00B57EDA" w:rsidRPr="00B57EDA" w:rsidRDefault="00B57EDA" w:rsidP="00B57EDA">
      <w:pPr>
        <w:rPr>
          <w:rFonts w:ascii="Times" w:hAnsi="Times" w:cs="Times New Roman"/>
          <w:sz w:val="20"/>
          <w:szCs w:val="20"/>
          <w:lang w:val="es-ES"/>
        </w:rPr>
      </w:pPr>
      <w:r w:rsidRPr="00B57EDA">
        <w:rPr>
          <w:rFonts w:ascii="Calibri" w:hAnsi="Calibri" w:cs="Times New Roman"/>
          <w:color w:val="000000"/>
          <w:sz w:val="22"/>
          <w:szCs w:val="22"/>
          <w:lang w:val="es-ES"/>
        </w:rPr>
        <w:t xml:space="preserve">Además, asumen la existencia de un derecho al aborto y a la eutanasia que no sólo no son aceptados ni contemplados como tales en ninguna declaración internacional de derechos humanos, sino que atentan contra el primero y fundamental de todos, sin el cual ningún otro derecho tiene sentido: el derecho a la vida. </w:t>
      </w:r>
    </w:p>
    <w:p w:rsidR="00B57EDA" w:rsidRPr="00B57EDA" w:rsidRDefault="00B57EDA" w:rsidP="00B57EDA">
      <w:pPr>
        <w:rPr>
          <w:rFonts w:ascii="Times" w:eastAsia="Times New Roman" w:hAnsi="Times" w:cs="Times New Roman"/>
          <w:sz w:val="20"/>
          <w:szCs w:val="20"/>
          <w:lang w:val="es-ES"/>
        </w:rPr>
      </w:pPr>
    </w:p>
    <w:p w:rsidR="00B57EDA" w:rsidRPr="00B57EDA" w:rsidRDefault="00B57EDA" w:rsidP="00B57EDA">
      <w:pPr>
        <w:rPr>
          <w:rFonts w:ascii="Times" w:hAnsi="Times" w:cs="Times New Roman"/>
          <w:sz w:val="20"/>
          <w:szCs w:val="20"/>
          <w:lang w:val="es-ES"/>
        </w:rPr>
      </w:pPr>
      <w:r w:rsidRPr="00B57EDA">
        <w:rPr>
          <w:rFonts w:ascii="Calibri" w:hAnsi="Calibri" w:cs="Times New Roman"/>
          <w:color w:val="000000"/>
          <w:sz w:val="22"/>
          <w:szCs w:val="22"/>
          <w:lang w:val="es-ES"/>
        </w:rPr>
        <w:t xml:space="preserve">El derecho a la vida es un derecho fundamental recogido en la Declaración Universal de Los Derechos Humanos, y en la Convención Europea de Derechos Humanos, entre otros. Asimismo, el Pacto Internacional por los Derechos Civiles y Políticos recoge este derecho en su artículo 6, tal como se recoge a continuación: </w:t>
      </w:r>
    </w:p>
    <w:p w:rsidR="00B57EDA" w:rsidRPr="00B57EDA" w:rsidRDefault="00B57EDA" w:rsidP="00B57EDA">
      <w:pPr>
        <w:ind w:left="720"/>
        <w:rPr>
          <w:rFonts w:ascii="Times" w:hAnsi="Times" w:cs="Times New Roman"/>
          <w:sz w:val="20"/>
          <w:szCs w:val="20"/>
          <w:lang w:val="es-ES"/>
        </w:rPr>
      </w:pPr>
      <w:r w:rsidRPr="00B57EDA">
        <w:rPr>
          <w:rFonts w:ascii="Calibri" w:hAnsi="Calibri" w:cs="Times New Roman"/>
          <w:color w:val="000000"/>
          <w:sz w:val="22"/>
          <w:szCs w:val="22"/>
          <w:lang w:val="es-ES"/>
        </w:rPr>
        <w:br/>
      </w:r>
      <w:r w:rsidRPr="00B57EDA">
        <w:rPr>
          <w:rFonts w:ascii="Calibri" w:hAnsi="Calibri" w:cs="Times New Roman"/>
          <w:i/>
          <w:iCs/>
          <w:color w:val="000000"/>
          <w:sz w:val="22"/>
          <w:szCs w:val="22"/>
          <w:lang w:val="es-ES"/>
        </w:rPr>
        <w:t>6. 1. El derecho a la vida es inherente a la persona humana. Este derecho estará protegido por la ley. Nadie podrá ser privado de la vida arbitrariamente.</w:t>
      </w:r>
    </w:p>
    <w:p w:rsidR="00B57EDA" w:rsidRPr="00B57EDA" w:rsidRDefault="00B57EDA" w:rsidP="00B57EDA">
      <w:pPr>
        <w:rPr>
          <w:rFonts w:ascii="Times" w:eastAsia="Times New Roman" w:hAnsi="Times" w:cs="Times New Roman"/>
          <w:sz w:val="20"/>
          <w:szCs w:val="20"/>
          <w:lang w:val="es-ES"/>
        </w:rPr>
      </w:pPr>
    </w:p>
    <w:p w:rsidR="00B57EDA" w:rsidRPr="00B57EDA" w:rsidRDefault="00B57EDA" w:rsidP="00B57EDA">
      <w:pPr>
        <w:rPr>
          <w:rFonts w:ascii="Times" w:hAnsi="Times" w:cs="Times New Roman"/>
          <w:sz w:val="20"/>
          <w:szCs w:val="20"/>
          <w:lang w:val="es-ES"/>
        </w:rPr>
      </w:pPr>
      <w:r w:rsidRPr="00B57EDA">
        <w:rPr>
          <w:rFonts w:ascii="Calibri" w:hAnsi="Calibri" w:cs="Times New Roman"/>
          <w:color w:val="000000"/>
          <w:sz w:val="22"/>
          <w:szCs w:val="22"/>
          <w:lang w:val="es-ES"/>
        </w:rPr>
        <w:t>Este derecho a la vida asiste a todos los seres humanos, tanto a aquellos que se encuentran viviendo y desarrollándose dentro del seno materno, como aquellos que ya han nacido, muchos de los cuales aún siguen siendo dependientes de un tercero para poder continuar con su ciclo vital.</w:t>
      </w:r>
    </w:p>
    <w:p w:rsidR="00B57EDA" w:rsidRPr="00B57EDA" w:rsidRDefault="00B57EDA" w:rsidP="00B57EDA">
      <w:pPr>
        <w:rPr>
          <w:rFonts w:ascii="Times" w:eastAsia="Times New Roman" w:hAnsi="Times" w:cs="Times New Roman"/>
          <w:sz w:val="20"/>
          <w:szCs w:val="20"/>
          <w:lang w:val="es-ES"/>
        </w:rPr>
      </w:pPr>
    </w:p>
    <w:p w:rsidR="00B57EDA" w:rsidRPr="00B57EDA" w:rsidRDefault="00B57EDA" w:rsidP="00B57EDA">
      <w:pPr>
        <w:rPr>
          <w:rFonts w:ascii="Times" w:hAnsi="Times" w:cs="Times New Roman"/>
          <w:sz w:val="20"/>
          <w:szCs w:val="20"/>
          <w:lang w:val="es-ES"/>
        </w:rPr>
      </w:pPr>
      <w:r w:rsidRPr="00B57EDA">
        <w:rPr>
          <w:rFonts w:ascii="Calibri" w:hAnsi="Calibri" w:cs="Times New Roman"/>
          <w:color w:val="000000"/>
          <w:sz w:val="22"/>
          <w:szCs w:val="22"/>
          <w:lang w:val="es-ES"/>
        </w:rPr>
        <w:t xml:space="preserve">Además, tal y como recoge la Convención de la ONU sobre las personas con discapacidad, </w:t>
      </w:r>
      <w:r w:rsidRPr="00B57EDA">
        <w:rPr>
          <w:rFonts w:ascii="Calibri" w:hAnsi="Calibri" w:cs="Times New Roman"/>
          <w:color w:val="000000"/>
          <w:sz w:val="22"/>
          <w:szCs w:val="22"/>
          <w:u w:val="single"/>
          <w:lang w:val="es-ES"/>
        </w:rPr>
        <w:t>el derecho a la vida se refiere también a aquellos seres humanos padecen algún tipo de discapacidad</w:t>
      </w:r>
      <w:r w:rsidRPr="00B57EDA">
        <w:rPr>
          <w:rFonts w:ascii="Calibri" w:hAnsi="Calibri" w:cs="Times New Roman"/>
          <w:color w:val="000000"/>
          <w:sz w:val="22"/>
          <w:szCs w:val="22"/>
          <w:lang w:val="es-ES"/>
        </w:rPr>
        <w:t xml:space="preserve"> física o psíquica, y también a las personas que padezcan cualquier enfermedad, ya sea congénita o adquirida.</w:t>
      </w:r>
    </w:p>
    <w:p w:rsidR="00B57EDA" w:rsidRPr="00B57EDA" w:rsidRDefault="00B57EDA" w:rsidP="00B57EDA">
      <w:pPr>
        <w:rPr>
          <w:rFonts w:ascii="Times" w:eastAsia="Times New Roman" w:hAnsi="Times" w:cs="Times New Roman"/>
          <w:sz w:val="20"/>
          <w:szCs w:val="20"/>
          <w:lang w:val="es-ES"/>
        </w:rPr>
      </w:pPr>
    </w:p>
    <w:p w:rsidR="00B57EDA" w:rsidRPr="00B57EDA" w:rsidRDefault="00B57EDA" w:rsidP="00B57EDA">
      <w:pPr>
        <w:rPr>
          <w:rFonts w:ascii="Times" w:hAnsi="Times" w:cs="Times New Roman"/>
          <w:sz w:val="20"/>
          <w:szCs w:val="20"/>
          <w:lang w:val="es-ES"/>
        </w:rPr>
      </w:pPr>
      <w:r w:rsidRPr="00B57EDA">
        <w:rPr>
          <w:rFonts w:ascii="Calibri" w:hAnsi="Calibri" w:cs="Times New Roman"/>
          <w:color w:val="000000"/>
          <w:sz w:val="22"/>
          <w:szCs w:val="22"/>
          <w:lang w:val="es-ES"/>
        </w:rPr>
        <w:t xml:space="preserve">Es por tanto que en este sentido apoyamos la afirmación que se hace en el </w:t>
      </w:r>
      <w:r w:rsidRPr="00B57EDA">
        <w:rPr>
          <w:rFonts w:ascii="Calibri" w:hAnsi="Calibri" w:cs="Times New Roman"/>
          <w:b/>
          <w:bCs/>
          <w:i/>
          <w:iCs/>
          <w:color w:val="000000"/>
          <w:sz w:val="22"/>
          <w:szCs w:val="22"/>
          <w:u w:val="single"/>
          <w:lang w:val="es-ES"/>
        </w:rPr>
        <w:t xml:space="preserve">párrafo 3 </w:t>
      </w:r>
      <w:r w:rsidRPr="00B57EDA">
        <w:rPr>
          <w:rFonts w:ascii="Calibri" w:hAnsi="Calibri" w:cs="Times New Roman"/>
          <w:color w:val="000000"/>
          <w:sz w:val="22"/>
          <w:szCs w:val="22"/>
          <w:lang w:val="es-ES"/>
        </w:rPr>
        <w:t xml:space="preserve">del Comentario General de que </w:t>
      </w:r>
      <w:r w:rsidRPr="00B57EDA">
        <w:rPr>
          <w:rFonts w:ascii="Calibri" w:hAnsi="Calibri" w:cs="Times New Roman"/>
          <w:i/>
          <w:iCs/>
          <w:color w:val="000000"/>
          <w:sz w:val="22"/>
          <w:szCs w:val="22"/>
          <w:lang w:val="es-ES"/>
        </w:rPr>
        <w:t>“este derecho no debe interpretarse de forma restrictiva”</w:t>
      </w:r>
      <w:r w:rsidRPr="00B57EDA">
        <w:rPr>
          <w:rFonts w:ascii="Calibri" w:hAnsi="Calibri" w:cs="Times New Roman"/>
          <w:color w:val="000000"/>
          <w:sz w:val="22"/>
          <w:szCs w:val="22"/>
          <w:lang w:val="es-ES"/>
        </w:rPr>
        <w:t xml:space="preserve"> sino que creemos que debe ser entendido como un derecho que asiste a todos los seres humanos, </w:t>
      </w:r>
      <w:r w:rsidRPr="00B57EDA">
        <w:rPr>
          <w:rFonts w:ascii="Calibri" w:hAnsi="Calibri" w:cs="Times New Roman"/>
          <w:color w:val="000000"/>
          <w:sz w:val="22"/>
          <w:szCs w:val="22"/>
          <w:lang w:val="es-ES"/>
        </w:rPr>
        <w:lastRenderedPageBreak/>
        <w:t>independientemente de la fase del desarrollo o de las circunstancias concretas en las que dicha vida se encuentre.</w:t>
      </w:r>
    </w:p>
    <w:p w:rsidR="00B57EDA" w:rsidRPr="00B57EDA" w:rsidRDefault="00B57EDA" w:rsidP="00B57EDA">
      <w:pPr>
        <w:rPr>
          <w:rFonts w:ascii="Times" w:eastAsia="Times New Roman" w:hAnsi="Times" w:cs="Times New Roman"/>
          <w:sz w:val="20"/>
          <w:szCs w:val="20"/>
          <w:lang w:val="es-ES"/>
        </w:rPr>
      </w:pPr>
    </w:p>
    <w:p w:rsidR="00B57EDA" w:rsidRPr="00B57EDA" w:rsidRDefault="00B57EDA" w:rsidP="00B57EDA">
      <w:pPr>
        <w:rPr>
          <w:rFonts w:ascii="Times" w:hAnsi="Times" w:cs="Times New Roman"/>
          <w:sz w:val="20"/>
          <w:szCs w:val="20"/>
          <w:lang w:val="es-ES"/>
        </w:rPr>
      </w:pPr>
      <w:r w:rsidRPr="00B57EDA">
        <w:rPr>
          <w:rFonts w:ascii="Calibri" w:hAnsi="Calibri" w:cs="Times New Roman"/>
          <w:color w:val="000000"/>
          <w:sz w:val="22"/>
          <w:szCs w:val="22"/>
          <w:lang w:val="es-ES"/>
        </w:rPr>
        <w:t xml:space="preserve">Existe unanimidad científica en que </w:t>
      </w:r>
      <w:r w:rsidRPr="00B57EDA">
        <w:rPr>
          <w:rFonts w:ascii="Calibri" w:hAnsi="Calibri" w:cs="Times New Roman"/>
          <w:color w:val="000000"/>
          <w:sz w:val="22"/>
          <w:szCs w:val="22"/>
          <w:u w:val="single"/>
          <w:lang w:val="es-ES"/>
        </w:rPr>
        <w:t>desde el momento de la fecundación surge un nuevo ser vivo humano</w:t>
      </w:r>
      <w:r w:rsidRPr="00B57EDA">
        <w:rPr>
          <w:rFonts w:ascii="Calibri" w:hAnsi="Calibri" w:cs="Times New Roman"/>
          <w:color w:val="000000"/>
          <w:sz w:val="22"/>
          <w:szCs w:val="22"/>
          <w:lang w:val="es-ES"/>
        </w:rPr>
        <w:t xml:space="preserve">, con una dotación genética única, que lo convierte, por tanto, en un ser humano diferente de su padre y de su madre biológicos. De aquí se desprende que el aborto consiste en la eliminación de un ser humano que vive dentro del seno materno, y, cuya vida se acaba en el con la práctica del mismo. </w:t>
      </w:r>
      <w:r w:rsidRPr="00B57EDA">
        <w:rPr>
          <w:rFonts w:ascii="Calibri" w:hAnsi="Calibri" w:cs="Times New Roman"/>
          <w:color w:val="000000"/>
          <w:sz w:val="22"/>
          <w:szCs w:val="22"/>
          <w:u w:val="single"/>
          <w:lang w:val="es-ES"/>
        </w:rPr>
        <w:t>Por tanto no se puede promover el aborto como un derecho de la mujer, ya que esto supondría una incompatibilidad con el derecho a la vida de otro ser humano, el hijo</w:t>
      </w:r>
      <w:r w:rsidRPr="00B57EDA">
        <w:rPr>
          <w:rFonts w:ascii="Calibri" w:hAnsi="Calibri" w:cs="Times New Roman"/>
          <w:color w:val="000000"/>
          <w:sz w:val="22"/>
          <w:szCs w:val="22"/>
          <w:lang w:val="es-ES"/>
        </w:rPr>
        <w:t xml:space="preserve">, con una identidad y corporalidad distintas a las de la madre, y por tanto esta no puede disponer de él como si fuera una parte de su propio cuerpo. </w:t>
      </w:r>
    </w:p>
    <w:p w:rsidR="00B57EDA" w:rsidRPr="00B57EDA" w:rsidRDefault="00B57EDA" w:rsidP="00B57EDA">
      <w:pPr>
        <w:rPr>
          <w:rFonts w:ascii="Times" w:eastAsia="Times New Roman" w:hAnsi="Times" w:cs="Times New Roman"/>
          <w:sz w:val="20"/>
          <w:szCs w:val="20"/>
          <w:lang w:val="es-ES"/>
        </w:rPr>
      </w:pPr>
    </w:p>
    <w:p w:rsidR="00B57EDA" w:rsidRPr="00B57EDA" w:rsidRDefault="00B57EDA" w:rsidP="00B57EDA">
      <w:pPr>
        <w:rPr>
          <w:rFonts w:ascii="Times" w:hAnsi="Times" w:cs="Times New Roman"/>
          <w:sz w:val="20"/>
          <w:szCs w:val="20"/>
          <w:lang w:val="es-ES"/>
        </w:rPr>
      </w:pPr>
      <w:r w:rsidRPr="00B57EDA">
        <w:rPr>
          <w:rFonts w:ascii="Calibri" w:hAnsi="Calibri" w:cs="Times New Roman"/>
          <w:color w:val="000000"/>
          <w:sz w:val="22"/>
          <w:szCs w:val="22"/>
          <w:lang w:val="es-ES"/>
        </w:rPr>
        <w:t xml:space="preserve">No podemos en consecuencia aceptar la siguiente afirmación  el </w:t>
      </w:r>
      <w:r w:rsidRPr="00B57EDA">
        <w:rPr>
          <w:rFonts w:ascii="Calibri" w:hAnsi="Calibri" w:cs="Times New Roman"/>
          <w:b/>
          <w:bCs/>
          <w:i/>
          <w:iCs/>
          <w:color w:val="000000"/>
          <w:sz w:val="22"/>
          <w:szCs w:val="22"/>
          <w:u w:val="single"/>
          <w:lang w:val="es-ES"/>
        </w:rPr>
        <w:t>párrafo 9</w:t>
      </w:r>
      <w:r w:rsidRPr="00B57EDA">
        <w:rPr>
          <w:rFonts w:ascii="Calibri" w:hAnsi="Calibri" w:cs="Times New Roman"/>
          <w:color w:val="000000"/>
          <w:sz w:val="22"/>
          <w:szCs w:val="22"/>
          <w:lang w:val="es-ES"/>
        </w:rPr>
        <w:t xml:space="preserve">, en la que se considera un trato cruel e inhumano el hecho de que la mujer siga adelante con su embarazo, protegiendo así el derecho a la vida de su hijo. </w:t>
      </w:r>
    </w:p>
    <w:p w:rsidR="00B57EDA" w:rsidRPr="00B57EDA" w:rsidRDefault="00B57EDA" w:rsidP="00B57EDA">
      <w:pPr>
        <w:rPr>
          <w:rFonts w:ascii="Times" w:eastAsia="Times New Roman" w:hAnsi="Times" w:cs="Times New Roman"/>
          <w:sz w:val="20"/>
          <w:szCs w:val="20"/>
          <w:lang w:val="es-ES"/>
        </w:rPr>
      </w:pPr>
    </w:p>
    <w:p w:rsidR="00B57EDA" w:rsidRPr="00B57EDA" w:rsidRDefault="00B57EDA" w:rsidP="00B57EDA">
      <w:pPr>
        <w:spacing w:after="160"/>
        <w:ind w:left="708"/>
        <w:rPr>
          <w:rFonts w:ascii="Times" w:hAnsi="Times" w:cs="Times New Roman"/>
          <w:sz w:val="20"/>
          <w:szCs w:val="20"/>
          <w:lang w:val="es-ES"/>
        </w:rPr>
      </w:pPr>
      <w:r w:rsidRPr="00B57EDA">
        <w:rPr>
          <w:rFonts w:ascii="Calibri" w:hAnsi="Calibri" w:cs="Times New Roman"/>
          <w:i/>
          <w:iCs/>
          <w:color w:val="000000"/>
          <w:sz w:val="22"/>
          <w:szCs w:val="22"/>
          <w:lang w:val="es-ES"/>
        </w:rPr>
        <w:t>“Aunque los Estados Partes pueden adoptar medidas destinadas a regular las interrupciones del embarazo, tales medidas no deben resultar en violación del derecho a la vida de una mujer embarazada ni de sus otros derechos en virtud del Pacto, incluida la prohibición de penas o tratos crueles, inhumanos o degradantes. Por lo tanto, las restricciones legales a la capacidad de las mujeres para solicitar el aborto no deben, entre otras cosas, poner en peligro sus vidas o someterlas a sufrimientos físicos o mentales (…) especialmente cuando el embarazo es el resultado de la violación o el incesto o cuando el feto sufre de una discapacidad mortal"</w:t>
      </w:r>
    </w:p>
    <w:p w:rsidR="00B57EDA" w:rsidRPr="00B57EDA" w:rsidRDefault="00B57EDA" w:rsidP="00B57EDA">
      <w:pPr>
        <w:spacing w:after="240"/>
        <w:rPr>
          <w:rFonts w:ascii="Times" w:eastAsia="Times New Roman" w:hAnsi="Times" w:cs="Times New Roman"/>
          <w:sz w:val="20"/>
          <w:szCs w:val="20"/>
          <w:lang w:val="es-ES"/>
        </w:rPr>
      </w:pPr>
    </w:p>
    <w:p w:rsidR="00B57EDA" w:rsidRPr="00B57EDA" w:rsidRDefault="00B57EDA" w:rsidP="00B57EDA">
      <w:pPr>
        <w:rPr>
          <w:rFonts w:ascii="Times" w:hAnsi="Times" w:cs="Times New Roman"/>
          <w:sz w:val="20"/>
          <w:szCs w:val="20"/>
          <w:lang w:val="es-ES"/>
        </w:rPr>
      </w:pPr>
      <w:r w:rsidRPr="00B57EDA">
        <w:rPr>
          <w:rFonts w:ascii="Calibri" w:hAnsi="Calibri" w:cs="Times New Roman"/>
          <w:color w:val="000000"/>
          <w:sz w:val="22"/>
          <w:szCs w:val="22"/>
          <w:lang w:val="es-ES"/>
        </w:rPr>
        <w:t xml:space="preserve">Hoy, en pleno siglo XXI, no existe prácticamente ninguna patología materna que contraindique un embarazo y el desarrollo del mismo. Por tanto, </w:t>
      </w:r>
      <w:r w:rsidRPr="00B57EDA">
        <w:rPr>
          <w:rFonts w:ascii="Calibri" w:hAnsi="Calibri" w:cs="Times New Roman"/>
          <w:color w:val="000000"/>
          <w:sz w:val="22"/>
          <w:szCs w:val="22"/>
          <w:u w:val="single"/>
          <w:lang w:val="es-ES"/>
        </w:rPr>
        <w:t xml:space="preserve">es necesario insistir en la dotación de medios económicos y humanos a todos los países, pero sobre todo a los países pobres, para que puedan dar a las mujeres embarazadas con cualquier tipo de enfermedad la atención que en este sentido necesitan y a la que tienen  derecho, más que invertir en fondos para facilitarles el aborto. </w:t>
      </w:r>
    </w:p>
    <w:p w:rsidR="00B57EDA" w:rsidRPr="00B57EDA" w:rsidRDefault="00B57EDA" w:rsidP="00B57EDA">
      <w:pPr>
        <w:rPr>
          <w:rFonts w:ascii="Times" w:eastAsia="Times New Roman" w:hAnsi="Times" w:cs="Times New Roman"/>
          <w:sz w:val="20"/>
          <w:szCs w:val="20"/>
          <w:lang w:val="es-ES"/>
        </w:rPr>
      </w:pPr>
    </w:p>
    <w:p w:rsidR="00B57EDA" w:rsidRPr="00B57EDA" w:rsidRDefault="00B57EDA" w:rsidP="00B57EDA">
      <w:pPr>
        <w:rPr>
          <w:rFonts w:ascii="Times" w:hAnsi="Times" w:cs="Times New Roman"/>
          <w:sz w:val="20"/>
          <w:szCs w:val="20"/>
          <w:lang w:val="es-ES"/>
        </w:rPr>
      </w:pPr>
      <w:r w:rsidRPr="00B57EDA">
        <w:rPr>
          <w:rFonts w:ascii="Calibri" w:hAnsi="Calibri" w:cs="Times New Roman"/>
          <w:color w:val="000000"/>
          <w:sz w:val="22"/>
          <w:szCs w:val="22"/>
          <w:lang w:val="es-ES"/>
        </w:rPr>
        <w:t>Recordemos aquí el caso de “Beatriz”, en El Salvador, una mujer embarazada enferma de lupus, cuyo embarazo se presentó ante la opinión pública como un grave riesgo para su vida, afirmándose que se le debía permitir abortar ya que moriría si no lo hacía. El mensaje por parte de determinados colectivos era que su enfermedad era incompatible con la vida de la mujer, y que por tanto debía de permitírsele la práctica del aborto, ilegal en su país. Sin embargo la mujer siguió adelante con su embarazo, se le facilitaron los cuidados médicos necesarios, y fue posible que, naciera su hijo y que ella siguiera con vida.</w:t>
      </w:r>
    </w:p>
    <w:p w:rsidR="00B57EDA" w:rsidRPr="00B57EDA" w:rsidRDefault="00B57EDA" w:rsidP="00B57EDA">
      <w:pPr>
        <w:rPr>
          <w:rFonts w:ascii="Times" w:eastAsia="Times New Roman" w:hAnsi="Times" w:cs="Times New Roman"/>
          <w:sz w:val="20"/>
          <w:szCs w:val="20"/>
          <w:lang w:val="es-ES"/>
        </w:rPr>
      </w:pPr>
    </w:p>
    <w:p w:rsidR="00B57EDA" w:rsidRPr="00B57EDA" w:rsidRDefault="00B57EDA" w:rsidP="00B57EDA">
      <w:pPr>
        <w:rPr>
          <w:rFonts w:ascii="Times" w:hAnsi="Times" w:cs="Times New Roman"/>
          <w:sz w:val="20"/>
          <w:szCs w:val="20"/>
          <w:lang w:val="es-ES"/>
        </w:rPr>
      </w:pPr>
      <w:r w:rsidRPr="00B57EDA">
        <w:rPr>
          <w:rFonts w:ascii="Calibri" w:hAnsi="Calibri" w:cs="Times New Roman"/>
          <w:color w:val="000000"/>
          <w:sz w:val="22"/>
          <w:szCs w:val="22"/>
          <w:lang w:val="es-ES"/>
        </w:rPr>
        <w:t xml:space="preserve">El caso en el que la vida de la mujer corre un peligro inminente y real, es una urgencia médica que el profesional debe siempre resolver aplicando tomando la decisión que, sobre la base de su buen saber y ejercer la Medicina de acuerdo con la </w:t>
      </w:r>
      <w:proofErr w:type="spellStart"/>
      <w:r w:rsidRPr="00B57EDA">
        <w:rPr>
          <w:rFonts w:ascii="Calibri" w:hAnsi="Calibri" w:cs="Times New Roman"/>
          <w:color w:val="000000"/>
          <w:sz w:val="22"/>
          <w:szCs w:val="22"/>
          <w:lang w:val="es-ES"/>
        </w:rPr>
        <w:t>lex</w:t>
      </w:r>
      <w:proofErr w:type="spellEnd"/>
      <w:r w:rsidRPr="00B57EDA">
        <w:rPr>
          <w:rFonts w:ascii="Calibri" w:hAnsi="Calibri" w:cs="Times New Roman"/>
          <w:color w:val="000000"/>
          <w:sz w:val="22"/>
          <w:szCs w:val="22"/>
          <w:lang w:val="es-ES"/>
        </w:rPr>
        <w:t xml:space="preserve"> </w:t>
      </w:r>
      <w:proofErr w:type="spellStart"/>
      <w:r w:rsidRPr="00B57EDA">
        <w:rPr>
          <w:rFonts w:ascii="Calibri" w:hAnsi="Calibri" w:cs="Times New Roman"/>
          <w:color w:val="000000"/>
          <w:sz w:val="22"/>
          <w:szCs w:val="22"/>
          <w:lang w:val="es-ES"/>
        </w:rPr>
        <w:t>artis</w:t>
      </w:r>
      <w:proofErr w:type="spellEnd"/>
      <w:r w:rsidRPr="00B57EDA">
        <w:rPr>
          <w:rFonts w:ascii="Calibri" w:hAnsi="Calibri" w:cs="Times New Roman"/>
          <w:color w:val="000000"/>
          <w:sz w:val="22"/>
          <w:szCs w:val="22"/>
          <w:lang w:val="es-ES"/>
        </w:rPr>
        <w:t xml:space="preserve">, considere la más correcta. Es por tanto inadecuado e innecesario regular estos casos por la vía de la aprobación de leyes, tal y como recomienda el artículo 9,  permitan el aborto, al igual que es innecesario aprobar una ley que permita al médico practicar una </w:t>
      </w:r>
      <w:proofErr w:type="spellStart"/>
      <w:r w:rsidRPr="00B57EDA">
        <w:rPr>
          <w:rFonts w:ascii="Calibri" w:hAnsi="Calibri" w:cs="Times New Roman"/>
          <w:color w:val="000000"/>
          <w:sz w:val="22"/>
          <w:szCs w:val="22"/>
          <w:lang w:val="es-ES"/>
        </w:rPr>
        <w:t>apendicectomía</w:t>
      </w:r>
      <w:proofErr w:type="spellEnd"/>
      <w:r w:rsidRPr="00B57EDA">
        <w:rPr>
          <w:rFonts w:ascii="Calibri" w:hAnsi="Calibri" w:cs="Times New Roman"/>
          <w:color w:val="000000"/>
          <w:sz w:val="22"/>
          <w:szCs w:val="22"/>
          <w:lang w:val="es-ES"/>
        </w:rPr>
        <w:t xml:space="preserve"> en el caso en el que el paciente padezca un apendicitis. De ser así, se estaría favoreciendo el recurso rápido y en muchas ocasiones no indicado al aborto, el cual también pone en riesgo a la mujer, y además acaba con la vida de un ser humano.</w:t>
      </w:r>
    </w:p>
    <w:p w:rsidR="00B57EDA" w:rsidRPr="00B57EDA" w:rsidRDefault="00B57EDA" w:rsidP="00B57EDA">
      <w:pPr>
        <w:rPr>
          <w:rFonts w:ascii="Times" w:eastAsia="Times New Roman" w:hAnsi="Times" w:cs="Times New Roman"/>
          <w:sz w:val="20"/>
          <w:szCs w:val="20"/>
          <w:lang w:val="es-ES"/>
        </w:rPr>
      </w:pPr>
    </w:p>
    <w:p w:rsidR="00B57EDA" w:rsidRPr="00B57EDA" w:rsidRDefault="00B57EDA" w:rsidP="00B57EDA">
      <w:pPr>
        <w:rPr>
          <w:rFonts w:ascii="Times" w:hAnsi="Times" w:cs="Times New Roman"/>
          <w:sz w:val="20"/>
          <w:szCs w:val="20"/>
          <w:lang w:val="es-ES"/>
        </w:rPr>
      </w:pPr>
      <w:r w:rsidRPr="00B57EDA">
        <w:rPr>
          <w:rFonts w:ascii="Calibri" w:hAnsi="Calibri" w:cs="Times New Roman"/>
          <w:color w:val="000000"/>
          <w:sz w:val="22"/>
          <w:szCs w:val="22"/>
          <w:lang w:val="es-ES"/>
        </w:rPr>
        <w:lastRenderedPageBreak/>
        <w:t xml:space="preserve">Por tanto, </w:t>
      </w:r>
      <w:r w:rsidRPr="00B57EDA">
        <w:rPr>
          <w:rFonts w:ascii="Calibri" w:hAnsi="Calibri" w:cs="Times New Roman"/>
          <w:color w:val="000000"/>
          <w:sz w:val="22"/>
          <w:szCs w:val="22"/>
          <w:u w:val="single"/>
          <w:lang w:val="es-ES"/>
        </w:rPr>
        <w:t>no se puede considerar una violación del derecho a la vida de la mujer el hecho de que, cuando esta se encuentra ante un embarazo complicado,  se le proporcionen los recursos y cuidados necesarios para tener a su hijo en lugar de procurar un aborto.</w:t>
      </w:r>
    </w:p>
    <w:p w:rsidR="00B57EDA" w:rsidRPr="00B57EDA" w:rsidRDefault="00B57EDA" w:rsidP="00B57EDA">
      <w:pPr>
        <w:rPr>
          <w:rFonts w:ascii="Times" w:eastAsia="Times New Roman" w:hAnsi="Times" w:cs="Times New Roman"/>
          <w:sz w:val="20"/>
          <w:szCs w:val="20"/>
          <w:lang w:val="es-ES"/>
        </w:rPr>
      </w:pPr>
    </w:p>
    <w:p w:rsidR="00B57EDA" w:rsidRPr="00B57EDA" w:rsidRDefault="00B57EDA" w:rsidP="00B57EDA">
      <w:pPr>
        <w:rPr>
          <w:rFonts w:ascii="Times" w:hAnsi="Times" w:cs="Times New Roman"/>
          <w:sz w:val="20"/>
          <w:szCs w:val="20"/>
          <w:lang w:val="es-ES"/>
        </w:rPr>
      </w:pPr>
      <w:r w:rsidRPr="00B57EDA">
        <w:rPr>
          <w:rFonts w:ascii="Calibri" w:hAnsi="Calibri" w:cs="Times New Roman"/>
          <w:color w:val="000000"/>
          <w:sz w:val="22"/>
          <w:szCs w:val="22"/>
          <w:lang w:val="es-ES"/>
        </w:rPr>
        <w:t>En los casos en los que el Comentario, también en el párrafo 9, recomienda la práctica del aborto, tales como incesto,</w:t>
      </w:r>
      <w:r w:rsidRPr="00B57EDA">
        <w:rPr>
          <w:rFonts w:ascii="Calibri" w:hAnsi="Calibri" w:cs="Times New Roman"/>
          <w:b/>
          <w:bCs/>
          <w:color w:val="000000"/>
          <w:sz w:val="22"/>
          <w:szCs w:val="22"/>
          <w:lang w:val="es-ES"/>
        </w:rPr>
        <w:t xml:space="preserve"> violación</w:t>
      </w:r>
      <w:r w:rsidRPr="00B57EDA">
        <w:rPr>
          <w:rFonts w:ascii="Calibri" w:hAnsi="Calibri" w:cs="Times New Roman"/>
          <w:color w:val="000000"/>
          <w:sz w:val="22"/>
          <w:szCs w:val="22"/>
          <w:lang w:val="es-ES"/>
        </w:rPr>
        <w:t>, el Comité hace referencia al sufrimiento de la mujer, defendiendo la práctica del aborto para evitar que se incumpla con la prohibición de un trato cruel, inhumano o degradante.</w:t>
      </w:r>
    </w:p>
    <w:p w:rsidR="00B57EDA" w:rsidRPr="00B57EDA" w:rsidRDefault="00B57EDA" w:rsidP="00B57EDA">
      <w:pPr>
        <w:rPr>
          <w:rFonts w:ascii="Times" w:eastAsia="Times New Roman" w:hAnsi="Times" w:cs="Times New Roman"/>
          <w:sz w:val="20"/>
          <w:szCs w:val="20"/>
          <w:lang w:val="es-ES"/>
        </w:rPr>
      </w:pPr>
    </w:p>
    <w:p w:rsidR="00B57EDA" w:rsidRPr="00B57EDA" w:rsidRDefault="00B57EDA" w:rsidP="00B57EDA">
      <w:pPr>
        <w:rPr>
          <w:rFonts w:ascii="Times" w:hAnsi="Times" w:cs="Times New Roman"/>
          <w:sz w:val="20"/>
          <w:szCs w:val="20"/>
          <w:lang w:val="es-ES"/>
        </w:rPr>
      </w:pPr>
      <w:r w:rsidRPr="00B57EDA">
        <w:rPr>
          <w:rFonts w:ascii="Calibri" w:hAnsi="Calibri" w:cs="Times New Roman"/>
          <w:color w:val="000000"/>
          <w:sz w:val="22"/>
          <w:szCs w:val="22"/>
          <w:lang w:val="es-ES"/>
        </w:rPr>
        <w:t xml:space="preserve">No hay lugar a dudas de que la violación es un ataque inaceptable a la mujer, que atenta contra su integridad y que debe de ser perseguido y castigado. Pero este castigo debe ser infligido al único culpable que hay en estas situaciones: el violador. </w:t>
      </w:r>
      <w:r w:rsidRPr="00B57EDA">
        <w:rPr>
          <w:rFonts w:ascii="Calibri" w:hAnsi="Calibri" w:cs="Times New Roman"/>
          <w:color w:val="000000"/>
          <w:sz w:val="22"/>
          <w:szCs w:val="22"/>
          <w:u w:val="single"/>
          <w:lang w:val="es-ES"/>
        </w:rPr>
        <w:t xml:space="preserve">El aborto en casos de violación convierte en culpable al que, en todo caso sería, junto a la mujer, una víctima: el hijo concebido. </w:t>
      </w:r>
    </w:p>
    <w:p w:rsidR="00B57EDA" w:rsidRPr="00B57EDA" w:rsidRDefault="00B57EDA" w:rsidP="00B57EDA">
      <w:pPr>
        <w:rPr>
          <w:rFonts w:ascii="Times" w:eastAsia="Times New Roman" w:hAnsi="Times" w:cs="Times New Roman"/>
          <w:sz w:val="20"/>
          <w:szCs w:val="20"/>
          <w:lang w:val="es-ES"/>
        </w:rPr>
      </w:pPr>
    </w:p>
    <w:p w:rsidR="00B57EDA" w:rsidRPr="00B57EDA" w:rsidRDefault="00B57EDA" w:rsidP="00B57EDA">
      <w:pPr>
        <w:rPr>
          <w:rFonts w:ascii="Times" w:hAnsi="Times" w:cs="Times New Roman"/>
          <w:sz w:val="20"/>
          <w:szCs w:val="20"/>
          <w:lang w:val="es-ES"/>
        </w:rPr>
      </w:pPr>
      <w:r w:rsidRPr="00B57EDA">
        <w:rPr>
          <w:rFonts w:ascii="Calibri" w:hAnsi="Calibri" w:cs="Times New Roman"/>
          <w:color w:val="000000"/>
          <w:sz w:val="22"/>
          <w:szCs w:val="22"/>
          <w:lang w:val="es-ES"/>
        </w:rPr>
        <w:t>El porcentaje de casos de embarazo tras violación es muy escaso, pero no por esto deja de ser un trauma y una situación de enorme sufrimiento para la mujer. Sin embargo, intentar resolver este sufrimiento practicándole un aborto, no acabaría con el trauma psicológico de la violación, sino que añadiría otro más: el del aborto. Es conocido y publicado en la bibliografía que el aborto conlleva un trauma psicológico para la mujer, que puede aparecer incluso años después de que este se practique, por lo que una mujer que ha sido violada, podría acarrear durante toda su vida un doble trauma: el de su violación y el del aborto.</w:t>
      </w:r>
    </w:p>
    <w:p w:rsidR="00B57EDA" w:rsidRPr="00B57EDA" w:rsidRDefault="00B57EDA" w:rsidP="00B57EDA">
      <w:pPr>
        <w:rPr>
          <w:rFonts w:ascii="Times" w:eastAsia="Times New Roman" w:hAnsi="Times" w:cs="Times New Roman"/>
          <w:sz w:val="20"/>
          <w:szCs w:val="20"/>
          <w:lang w:val="es-ES"/>
        </w:rPr>
      </w:pPr>
    </w:p>
    <w:p w:rsidR="00B57EDA" w:rsidRPr="00B57EDA" w:rsidRDefault="00B57EDA" w:rsidP="00B57EDA">
      <w:pPr>
        <w:rPr>
          <w:rFonts w:ascii="Times" w:hAnsi="Times" w:cs="Times New Roman"/>
          <w:sz w:val="20"/>
          <w:szCs w:val="20"/>
          <w:lang w:val="es-ES"/>
        </w:rPr>
      </w:pPr>
      <w:r w:rsidRPr="00B57EDA">
        <w:rPr>
          <w:rFonts w:ascii="Calibri" w:hAnsi="Calibri" w:cs="Times New Roman"/>
          <w:color w:val="000000"/>
          <w:sz w:val="22"/>
          <w:szCs w:val="22"/>
          <w:lang w:val="es-ES"/>
        </w:rPr>
        <w:t xml:space="preserve">Además, el aborto en caso de violación supone convertir en culpable al hijo concebido, aplicando la pena de muerte a alguien que, en todo caso, sería una víctima. </w:t>
      </w:r>
      <w:r w:rsidRPr="00B57EDA">
        <w:rPr>
          <w:rFonts w:ascii="Calibri" w:hAnsi="Calibri" w:cs="Times New Roman"/>
          <w:color w:val="000000"/>
          <w:sz w:val="22"/>
          <w:szCs w:val="22"/>
          <w:u w:val="single"/>
          <w:lang w:val="es-ES"/>
        </w:rPr>
        <w:t xml:space="preserve">La práctica del aborto en casos de violación no hace que la mujer olvide este hecho, y además acaba con la vida de un inocente. </w:t>
      </w:r>
    </w:p>
    <w:p w:rsidR="00B57EDA" w:rsidRPr="00B57EDA" w:rsidRDefault="00B57EDA" w:rsidP="00B57EDA">
      <w:pPr>
        <w:rPr>
          <w:rFonts w:ascii="Times" w:eastAsia="Times New Roman" w:hAnsi="Times" w:cs="Times New Roman"/>
          <w:sz w:val="20"/>
          <w:szCs w:val="20"/>
          <w:lang w:val="es-ES"/>
        </w:rPr>
      </w:pPr>
    </w:p>
    <w:p w:rsidR="00B57EDA" w:rsidRPr="00B57EDA" w:rsidRDefault="00B57EDA" w:rsidP="00B57EDA">
      <w:pPr>
        <w:rPr>
          <w:rFonts w:ascii="Times" w:hAnsi="Times" w:cs="Times New Roman"/>
          <w:sz w:val="20"/>
          <w:szCs w:val="20"/>
          <w:lang w:val="es-ES"/>
        </w:rPr>
      </w:pPr>
      <w:r w:rsidRPr="00B57EDA">
        <w:rPr>
          <w:rFonts w:ascii="Calibri" w:hAnsi="Calibri" w:cs="Times New Roman"/>
          <w:color w:val="000000"/>
          <w:sz w:val="22"/>
          <w:szCs w:val="22"/>
          <w:lang w:val="es-ES"/>
        </w:rPr>
        <w:t xml:space="preserve">Es primordial promover el acompañamiento de estas mujeres durante su embarazo y facilitarle, en su caso, la entrega del hijo en adopción. Para esto es necesario que se promuevan  en todo el mundo políticas de adopción ágiles y eficaces, que permitan que se pueda respetar el derecho a la vida del hijo, y además proteger a la mujer que no quiera hacerse cargo del mismo. </w:t>
      </w:r>
    </w:p>
    <w:p w:rsidR="00B57EDA" w:rsidRPr="00B57EDA" w:rsidRDefault="00B57EDA" w:rsidP="00B57EDA">
      <w:pPr>
        <w:rPr>
          <w:rFonts w:ascii="Times" w:eastAsia="Times New Roman" w:hAnsi="Times" w:cs="Times New Roman"/>
          <w:sz w:val="20"/>
          <w:szCs w:val="20"/>
          <w:lang w:val="es-ES"/>
        </w:rPr>
      </w:pPr>
    </w:p>
    <w:p w:rsidR="00B57EDA" w:rsidRDefault="00B57EDA" w:rsidP="00B57EDA">
      <w:pPr>
        <w:rPr>
          <w:rFonts w:ascii="Calibri" w:hAnsi="Calibri" w:cs="Times New Roman"/>
          <w:color w:val="000000"/>
          <w:sz w:val="22"/>
          <w:szCs w:val="22"/>
          <w:lang w:val="es-ES"/>
        </w:rPr>
      </w:pPr>
      <w:r w:rsidRPr="00B57EDA">
        <w:rPr>
          <w:rFonts w:ascii="Calibri" w:hAnsi="Calibri" w:cs="Times New Roman"/>
          <w:color w:val="000000"/>
          <w:sz w:val="22"/>
          <w:szCs w:val="22"/>
          <w:lang w:val="es-ES"/>
        </w:rPr>
        <w:t xml:space="preserve">Los miembros del Comité llaman la atención sobre los riesgos de un </w:t>
      </w:r>
      <w:r w:rsidRPr="00B57EDA">
        <w:rPr>
          <w:rFonts w:ascii="Calibri" w:hAnsi="Calibri" w:cs="Times New Roman"/>
          <w:b/>
          <w:bCs/>
          <w:color w:val="000000"/>
          <w:sz w:val="22"/>
          <w:szCs w:val="22"/>
          <w:lang w:val="es-ES"/>
        </w:rPr>
        <w:t>aborto clandestino</w:t>
      </w:r>
      <w:r w:rsidRPr="00B57EDA">
        <w:rPr>
          <w:rFonts w:ascii="Calibri" w:hAnsi="Calibri" w:cs="Times New Roman"/>
          <w:color w:val="000000"/>
          <w:sz w:val="22"/>
          <w:szCs w:val="22"/>
          <w:lang w:val="es-ES"/>
        </w:rPr>
        <w:t xml:space="preserve">, alegando que es por tanto necesario legalizarlo en los países. Las cifras de aborto clandestino, se desconocen precisamente por esa misma clandestinidad en la que se realiza, por eso la mayoría de ellas están sobrevaloradas y no se basan en una estadística fiable y real. </w:t>
      </w:r>
    </w:p>
    <w:p w:rsidR="00B57EDA" w:rsidRDefault="00B57EDA" w:rsidP="00B57EDA">
      <w:pPr>
        <w:rPr>
          <w:rFonts w:ascii="Calibri" w:hAnsi="Calibri" w:cs="Times New Roman"/>
          <w:color w:val="000000"/>
          <w:sz w:val="22"/>
          <w:szCs w:val="22"/>
          <w:lang w:val="es-ES"/>
        </w:rPr>
      </w:pPr>
    </w:p>
    <w:p w:rsidR="00B57EDA" w:rsidRPr="00B57EDA" w:rsidRDefault="00B57EDA" w:rsidP="00B57EDA">
      <w:pPr>
        <w:rPr>
          <w:rFonts w:ascii="Times" w:hAnsi="Times" w:cs="Times New Roman"/>
          <w:sz w:val="20"/>
          <w:szCs w:val="20"/>
          <w:lang w:val="es-ES"/>
        </w:rPr>
      </w:pPr>
      <w:r w:rsidRPr="00B57EDA">
        <w:rPr>
          <w:rFonts w:ascii="Calibri" w:hAnsi="Calibri" w:cs="Times New Roman"/>
          <w:color w:val="000000"/>
          <w:sz w:val="22"/>
          <w:szCs w:val="22"/>
          <w:lang w:val="es-ES"/>
        </w:rPr>
        <w:t xml:space="preserve">Promover el aborto en los países en vías de desarrollo no es una práctica que pueda catalogarse como encaminada a la mejora de la salud maternal, ya que identificar aborto legal con aborto seguro es un error. </w:t>
      </w:r>
      <w:r w:rsidRPr="00B57EDA">
        <w:rPr>
          <w:rFonts w:ascii="Calibri" w:hAnsi="Calibri" w:cs="Times New Roman"/>
          <w:color w:val="000000"/>
          <w:sz w:val="22"/>
          <w:szCs w:val="22"/>
          <w:u w:val="single"/>
          <w:lang w:val="es-ES"/>
        </w:rPr>
        <w:t xml:space="preserve">El aborto no es saludable para la mujer. </w:t>
      </w:r>
      <w:r w:rsidRPr="00B57EDA">
        <w:rPr>
          <w:rFonts w:ascii="Calibri" w:hAnsi="Calibri" w:cs="Times New Roman"/>
          <w:color w:val="000000"/>
          <w:sz w:val="22"/>
          <w:szCs w:val="22"/>
          <w:lang w:val="es-ES"/>
        </w:rPr>
        <w:t xml:space="preserve">Evidentemente menos aún si se lleva a cabo en malas condiciones, pero </w:t>
      </w:r>
      <w:r w:rsidRPr="00B57EDA">
        <w:rPr>
          <w:rFonts w:ascii="Calibri" w:hAnsi="Calibri" w:cs="Times New Roman"/>
          <w:color w:val="000000"/>
          <w:sz w:val="22"/>
          <w:szCs w:val="22"/>
          <w:u w:val="single"/>
          <w:lang w:val="es-ES"/>
        </w:rPr>
        <w:t>aún en situaciones de legalidad el aborto es una práctica que daña a la mujer y pone en riesgo tanto su salud física como psicológica</w:t>
      </w:r>
      <w:r w:rsidRPr="00B57EDA">
        <w:rPr>
          <w:rFonts w:ascii="Calibri" w:hAnsi="Calibri" w:cs="Times New Roman"/>
          <w:color w:val="000000"/>
          <w:sz w:val="22"/>
          <w:szCs w:val="22"/>
          <w:lang w:val="es-ES"/>
        </w:rPr>
        <w:t xml:space="preserve">. </w:t>
      </w:r>
    </w:p>
    <w:p w:rsidR="00B57EDA" w:rsidRPr="00B57EDA" w:rsidRDefault="00B57EDA" w:rsidP="00B57EDA">
      <w:pPr>
        <w:rPr>
          <w:rFonts w:ascii="Times" w:eastAsia="Times New Roman" w:hAnsi="Times" w:cs="Times New Roman"/>
          <w:sz w:val="20"/>
          <w:szCs w:val="20"/>
          <w:lang w:val="es-ES"/>
        </w:rPr>
      </w:pPr>
    </w:p>
    <w:p w:rsidR="00B57EDA" w:rsidRPr="00B57EDA" w:rsidRDefault="00B57EDA" w:rsidP="00B57EDA">
      <w:pPr>
        <w:rPr>
          <w:rFonts w:ascii="Times" w:hAnsi="Times" w:cs="Times New Roman"/>
          <w:sz w:val="20"/>
          <w:szCs w:val="20"/>
          <w:lang w:val="es-ES"/>
        </w:rPr>
      </w:pPr>
      <w:r w:rsidRPr="00B57EDA">
        <w:rPr>
          <w:rFonts w:ascii="Calibri" w:hAnsi="Calibri" w:cs="Times New Roman"/>
          <w:color w:val="000000"/>
          <w:sz w:val="22"/>
          <w:szCs w:val="22"/>
          <w:lang w:val="es-ES"/>
        </w:rPr>
        <w:t xml:space="preserve">El aborto aumenta en los países en los que su práctica es legal, como se ha visto en España, y esto aumenta también el riesgo al que se expone a la mujer. Lo deseable y verdaderamente encaminado a promover la salud </w:t>
      </w:r>
      <w:proofErr w:type="spellStart"/>
      <w:r w:rsidRPr="00B57EDA">
        <w:rPr>
          <w:rFonts w:ascii="Calibri" w:hAnsi="Calibri" w:cs="Times New Roman"/>
          <w:color w:val="000000"/>
          <w:sz w:val="22"/>
          <w:szCs w:val="22"/>
          <w:lang w:val="es-ES"/>
        </w:rPr>
        <w:t>maternoinfantil</w:t>
      </w:r>
      <w:proofErr w:type="spellEnd"/>
      <w:r w:rsidRPr="00B57EDA">
        <w:rPr>
          <w:rFonts w:ascii="Calibri" w:hAnsi="Calibri" w:cs="Times New Roman"/>
          <w:color w:val="000000"/>
          <w:sz w:val="22"/>
          <w:szCs w:val="22"/>
          <w:lang w:val="es-ES"/>
        </w:rPr>
        <w:t xml:space="preserve"> en los países en vías de desarrollo consiste en la </w:t>
      </w:r>
      <w:r w:rsidRPr="00B57EDA">
        <w:rPr>
          <w:rFonts w:ascii="Calibri" w:hAnsi="Calibri" w:cs="Times New Roman"/>
          <w:color w:val="000000"/>
          <w:sz w:val="22"/>
          <w:szCs w:val="22"/>
          <w:u w:val="single"/>
          <w:lang w:val="es-ES"/>
        </w:rPr>
        <w:t xml:space="preserve">aplicación de programas que inviertan en educación para la salud dirigidos a las mujeres, y en los medios que favorezcan el seguimiento y control de los embarazos y la asistencia al parto en los centros sanitarios. </w:t>
      </w:r>
    </w:p>
    <w:p w:rsidR="00B57EDA" w:rsidRPr="00B57EDA" w:rsidRDefault="00B57EDA" w:rsidP="00B57EDA">
      <w:pPr>
        <w:rPr>
          <w:rFonts w:ascii="Times" w:eastAsia="Times New Roman" w:hAnsi="Times" w:cs="Times New Roman"/>
          <w:sz w:val="20"/>
          <w:szCs w:val="20"/>
          <w:lang w:val="es-ES"/>
        </w:rPr>
      </w:pPr>
    </w:p>
    <w:p w:rsidR="00B57EDA" w:rsidRPr="00B57EDA" w:rsidRDefault="00B57EDA" w:rsidP="00B57EDA">
      <w:pPr>
        <w:rPr>
          <w:rFonts w:ascii="Times" w:hAnsi="Times" w:cs="Times New Roman"/>
          <w:sz w:val="20"/>
          <w:szCs w:val="20"/>
          <w:lang w:val="es-ES"/>
        </w:rPr>
      </w:pPr>
      <w:r w:rsidRPr="00B57EDA">
        <w:rPr>
          <w:rFonts w:ascii="Calibri" w:hAnsi="Calibri" w:cs="Times New Roman"/>
          <w:color w:val="000000"/>
          <w:sz w:val="22"/>
          <w:szCs w:val="22"/>
          <w:lang w:val="es-ES"/>
        </w:rPr>
        <w:lastRenderedPageBreak/>
        <w:t xml:space="preserve">En otro orden de cosas, el Comentario </w:t>
      </w:r>
      <w:proofErr w:type="spellStart"/>
      <w:r w:rsidRPr="00B57EDA">
        <w:rPr>
          <w:rFonts w:ascii="Calibri" w:hAnsi="Calibri" w:cs="Times New Roman"/>
          <w:color w:val="000000"/>
          <w:sz w:val="22"/>
          <w:szCs w:val="22"/>
          <w:lang w:val="es-ES"/>
        </w:rPr>
        <w:t>Generalen</w:t>
      </w:r>
      <w:proofErr w:type="spellEnd"/>
      <w:r w:rsidRPr="00B57EDA">
        <w:rPr>
          <w:rFonts w:ascii="Calibri" w:hAnsi="Calibri" w:cs="Times New Roman"/>
          <w:color w:val="000000"/>
          <w:sz w:val="22"/>
          <w:szCs w:val="22"/>
          <w:lang w:val="es-ES"/>
        </w:rPr>
        <w:t xml:space="preserve"> su </w:t>
      </w:r>
      <w:r w:rsidRPr="00B57EDA">
        <w:rPr>
          <w:rFonts w:ascii="Calibri" w:hAnsi="Calibri" w:cs="Times New Roman"/>
          <w:b/>
          <w:bCs/>
          <w:color w:val="000000"/>
          <w:sz w:val="22"/>
          <w:szCs w:val="22"/>
          <w:lang w:val="es-ES"/>
        </w:rPr>
        <w:t xml:space="preserve">párrafo 10 </w:t>
      </w:r>
      <w:r w:rsidRPr="00B57EDA">
        <w:rPr>
          <w:rFonts w:ascii="Calibri" w:hAnsi="Calibri" w:cs="Times New Roman"/>
          <w:color w:val="000000"/>
          <w:sz w:val="22"/>
          <w:szCs w:val="22"/>
          <w:lang w:val="es-ES"/>
        </w:rPr>
        <w:t xml:space="preserve">induce a la práctica de la </w:t>
      </w:r>
      <w:r w:rsidRPr="00B57EDA">
        <w:rPr>
          <w:rFonts w:ascii="Calibri" w:hAnsi="Calibri" w:cs="Times New Roman"/>
          <w:b/>
          <w:bCs/>
          <w:color w:val="000000"/>
          <w:sz w:val="22"/>
          <w:szCs w:val="22"/>
          <w:lang w:val="es-ES"/>
        </w:rPr>
        <w:t xml:space="preserve">eutanasia, </w:t>
      </w:r>
      <w:r w:rsidRPr="00B57EDA">
        <w:rPr>
          <w:rFonts w:ascii="Calibri" w:hAnsi="Calibri" w:cs="Times New Roman"/>
          <w:color w:val="000000"/>
          <w:sz w:val="22"/>
          <w:szCs w:val="22"/>
          <w:lang w:val="es-ES"/>
        </w:rPr>
        <w:t xml:space="preserve">aceptando que sea el médico el que </w:t>
      </w:r>
      <w:proofErr w:type="spellStart"/>
      <w:r w:rsidRPr="00B57EDA">
        <w:rPr>
          <w:rFonts w:ascii="Calibri" w:hAnsi="Calibri" w:cs="Times New Roman"/>
          <w:color w:val="000000"/>
          <w:sz w:val="22"/>
          <w:szCs w:val="22"/>
          <w:lang w:val="es-ES"/>
        </w:rPr>
        <w:t>ùeda</w:t>
      </w:r>
      <w:proofErr w:type="spellEnd"/>
      <w:r w:rsidRPr="00B57EDA">
        <w:rPr>
          <w:rFonts w:ascii="Calibri" w:hAnsi="Calibri" w:cs="Times New Roman"/>
          <w:color w:val="000000"/>
          <w:sz w:val="22"/>
          <w:szCs w:val="22"/>
          <w:lang w:val="es-ES"/>
        </w:rPr>
        <w:t xml:space="preserve"> poner </w:t>
      </w:r>
      <w:proofErr w:type="spellStart"/>
      <w:r w:rsidRPr="00B57EDA">
        <w:rPr>
          <w:rFonts w:ascii="Calibri" w:hAnsi="Calibri" w:cs="Times New Roman"/>
          <w:color w:val="000000"/>
          <w:sz w:val="22"/>
          <w:szCs w:val="22"/>
          <w:lang w:val="es-ES"/>
        </w:rPr>
        <w:t>fina</w:t>
      </w:r>
      <w:proofErr w:type="spellEnd"/>
      <w:r w:rsidRPr="00B57EDA">
        <w:rPr>
          <w:rFonts w:ascii="Calibri" w:hAnsi="Calibri" w:cs="Times New Roman"/>
          <w:color w:val="000000"/>
          <w:sz w:val="22"/>
          <w:szCs w:val="22"/>
          <w:lang w:val="es-ES"/>
        </w:rPr>
        <w:t xml:space="preserve"> la vida de su propio paciente: </w:t>
      </w:r>
    </w:p>
    <w:p w:rsidR="00B57EDA" w:rsidRPr="00B57EDA" w:rsidRDefault="00B57EDA" w:rsidP="00B57EDA">
      <w:pPr>
        <w:rPr>
          <w:rFonts w:ascii="Times" w:eastAsia="Times New Roman" w:hAnsi="Times" w:cs="Times New Roman"/>
          <w:sz w:val="20"/>
          <w:szCs w:val="20"/>
          <w:lang w:val="es-ES"/>
        </w:rPr>
      </w:pPr>
    </w:p>
    <w:p w:rsidR="00B57EDA" w:rsidRPr="00B57EDA" w:rsidRDefault="00B57EDA" w:rsidP="00B57EDA">
      <w:pPr>
        <w:spacing w:after="160"/>
        <w:ind w:firstLine="720"/>
        <w:jc w:val="both"/>
        <w:rPr>
          <w:rFonts w:ascii="Times" w:hAnsi="Times" w:cs="Times New Roman"/>
          <w:sz w:val="20"/>
          <w:szCs w:val="20"/>
          <w:lang w:val="es-ES"/>
        </w:rPr>
      </w:pPr>
      <w:r w:rsidRPr="00B57EDA">
        <w:rPr>
          <w:rFonts w:ascii="Calibri" w:hAnsi="Calibri" w:cs="Times New Roman"/>
          <w:i/>
          <w:iCs/>
          <w:color w:val="000000"/>
          <w:sz w:val="22"/>
          <w:szCs w:val="22"/>
          <w:lang w:val="es-ES"/>
        </w:rPr>
        <w:t>“Los Estados Partes [pueden permitir] </w:t>
      </w:r>
      <w:r w:rsidRPr="00B57EDA">
        <w:rPr>
          <w:rFonts w:ascii="Calibri" w:hAnsi="Calibri" w:cs="Times New Roman"/>
          <w:b/>
          <w:bCs/>
          <w:color w:val="000000"/>
          <w:sz w:val="22"/>
          <w:szCs w:val="22"/>
          <w:lang w:val="es-ES"/>
        </w:rPr>
        <w:t>[no deben impedir] que los profesionales de la medicina proporcionen tratamiento médico o los medios médicos para facilitar la terminación de la vida</w:t>
      </w:r>
      <w:r w:rsidRPr="00B57EDA">
        <w:rPr>
          <w:rFonts w:ascii="Calibri" w:hAnsi="Calibri" w:cs="Times New Roman"/>
          <w:i/>
          <w:iCs/>
          <w:color w:val="000000"/>
          <w:sz w:val="22"/>
          <w:szCs w:val="22"/>
          <w:lang w:val="es-ES"/>
        </w:rPr>
        <w:t> de adultos [catastróficamente] afectados, como los mortalmente heridos o enfermos terminales”</w:t>
      </w:r>
    </w:p>
    <w:p w:rsidR="00B57EDA" w:rsidRPr="00B57EDA" w:rsidRDefault="00B57EDA" w:rsidP="00B57EDA">
      <w:pPr>
        <w:rPr>
          <w:rFonts w:ascii="Times" w:eastAsia="Times New Roman" w:hAnsi="Times" w:cs="Times New Roman"/>
          <w:sz w:val="20"/>
          <w:szCs w:val="20"/>
          <w:lang w:val="es-ES"/>
        </w:rPr>
      </w:pPr>
    </w:p>
    <w:p w:rsidR="00B57EDA" w:rsidRPr="00B57EDA" w:rsidRDefault="00B57EDA" w:rsidP="00B57EDA">
      <w:pPr>
        <w:spacing w:after="160"/>
        <w:rPr>
          <w:rFonts w:ascii="Times" w:hAnsi="Times" w:cs="Times New Roman"/>
          <w:sz w:val="20"/>
          <w:szCs w:val="20"/>
          <w:lang w:val="es-ES"/>
        </w:rPr>
      </w:pPr>
      <w:r w:rsidRPr="00B57EDA">
        <w:rPr>
          <w:rFonts w:ascii="Calibri" w:hAnsi="Calibri" w:cs="Times New Roman"/>
          <w:color w:val="000000"/>
          <w:sz w:val="22"/>
          <w:szCs w:val="22"/>
          <w:lang w:val="es-ES"/>
        </w:rPr>
        <w:t>Esta recomendación no deja de entrar en contradicción con la  previa de prevenir la práctica de suicidios. Se acepta que se intervenga para impedir la práctica de un suicido en alguien que se supone no padece una “afectación catastrófica” en su vida, incluso se acepta la intervención de las fuerzas policiales para evitarlo, pero por otro lado se recomienda que el médico colabore en la acción deliberada de provocar la muerte al paciente cuando éste lo demande.</w:t>
      </w:r>
    </w:p>
    <w:p w:rsidR="00B57EDA" w:rsidRPr="00B57EDA" w:rsidRDefault="00B57EDA" w:rsidP="00B57EDA">
      <w:pPr>
        <w:rPr>
          <w:rFonts w:ascii="Times" w:hAnsi="Times" w:cs="Times New Roman"/>
          <w:sz w:val="20"/>
          <w:szCs w:val="20"/>
          <w:lang w:val="es-ES"/>
        </w:rPr>
      </w:pPr>
      <w:r w:rsidRPr="00B57EDA">
        <w:rPr>
          <w:rFonts w:ascii="Calibri" w:hAnsi="Calibri" w:cs="Times New Roman"/>
          <w:color w:val="000000"/>
          <w:sz w:val="22"/>
          <w:szCs w:val="22"/>
          <w:lang w:val="es-ES"/>
        </w:rPr>
        <w:t xml:space="preserve">SI esta recomendación se hace en aras de preservar la autonomía personal, no se entiende cómo se pide la prevención del suicidio sólo en unos casos determinados, y cómo limita esta autonomía personal a unas determinadas personas ( catastróficamente afectadas, mortalmente heridas o enfermos terminales). </w:t>
      </w:r>
    </w:p>
    <w:p w:rsidR="00B57EDA" w:rsidRPr="00B57EDA" w:rsidRDefault="00B57EDA" w:rsidP="00B57EDA">
      <w:pPr>
        <w:rPr>
          <w:rFonts w:ascii="Times" w:eastAsia="Times New Roman" w:hAnsi="Times" w:cs="Times New Roman"/>
          <w:sz w:val="20"/>
          <w:szCs w:val="20"/>
          <w:lang w:val="es-ES"/>
        </w:rPr>
      </w:pPr>
    </w:p>
    <w:p w:rsidR="00B57EDA" w:rsidRPr="00B57EDA" w:rsidRDefault="00B57EDA" w:rsidP="00B57EDA">
      <w:pPr>
        <w:rPr>
          <w:rFonts w:ascii="Times" w:hAnsi="Times" w:cs="Times New Roman"/>
          <w:sz w:val="20"/>
          <w:szCs w:val="20"/>
          <w:lang w:val="es-ES"/>
        </w:rPr>
      </w:pPr>
      <w:r w:rsidRPr="00B57EDA">
        <w:rPr>
          <w:rFonts w:ascii="Calibri" w:hAnsi="Calibri" w:cs="Times New Roman"/>
          <w:color w:val="000000"/>
          <w:sz w:val="22"/>
          <w:szCs w:val="22"/>
          <w:lang w:val="es-ES"/>
        </w:rPr>
        <w:t xml:space="preserve">Esta contradicción hace evidente que </w:t>
      </w:r>
      <w:r w:rsidRPr="00B57EDA">
        <w:rPr>
          <w:rFonts w:ascii="Calibri" w:hAnsi="Calibri" w:cs="Times New Roman"/>
          <w:color w:val="000000"/>
          <w:sz w:val="22"/>
          <w:szCs w:val="22"/>
          <w:u w:val="single"/>
          <w:lang w:val="es-ES"/>
        </w:rPr>
        <w:t>los propios redactores del Comentario reconocen que el deseo de morir no es algo natural,</w:t>
      </w:r>
      <w:r w:rsidRPr="00B57EDA">
        <w:rPr>
          <w:rFonts w:ascii="Calibri" w:hAnsi="Calibri" w:cs="Times New Roman"/>
          <w:color w:val="000000"/>
          <w:sz w:val="22"/>
          <w:szCs w:val="22"/>
          <w:lang w:val="es-ES"/>
        </w:rPr>
        <w:t xml:space="preserve"> ya que hay personas a las que se les debe impedir suicidarse. Es prioritario reclamar una atención adecuada a estas personas en la fase final de su vida, y las recomendaciones deberían ir encaminadas a la </w:t>
      </w:r>
      <w:r w:rsidRPr="00B57EDA">
        <w:rPr>
          <w:rFonts w:ascii="Calibri" w:hAnsi="Calibri" w:cs="Times New Roman"/>
          <w:color w:val="000000"/>
          <w:sz w:val="22"/>
          <w:szCs w:val="22"/>
          <w:u w:val="single"/>
          <w:lang w:val="es-ES"/>
        </w:rPr>
        <w:t>puesta en práctica de una formación adecuada en cuidados paliativos, y reclamar a los estado miembros que inviertan en la atención a los enfermos en situación terminal</w:t>
      </w:r>
    </w:p>
    <w:p w:rsidR="00B57EDA" w:rsidRPr="00B57EDA" w:rsidRDefault="00B57EDA" w:rsidP="00B57EDA">
      <w:pPr>
        <w:rPr>
          <w:rFonts w:ascii="Times" w:eastAsia="Times New Roman" w:hAnsi="Times" w:cs="Times New Roman"/>
          <w:sz w:val="20"/>
          <w:szCs w:val="20"/>
          <w:lang w:val="es-ES"/>
        </w:rPr>
      </w:pPr>
    </w:p>
    <w:p w:rsidR="00B57EDA" w:rsidRPr="00B57EDA" w:rsidRDefault="00B57EDA" w:rsidP="00B57EDA">
      <w:pPr>
        <w:rPr>
          <w:rFonts w:ascii="Times" w:hAnsi="Times" w:cs="Times New Roman"/>
          <w:sz w:val="20"/>
          <w:szCs w:val="20"/>
          <w:lang w:val="es-ES"/>
        </w:rPr>
      </w:pPr>
      <w:r w:rsidRPr="00B57EDA">
        <w:rPr>
          <w:rFonts w:ascii="Calibri" w:hAnsi="Calibri" w:cs="Times New Roman"/>
          <w:color w:val="000000"/>
          <w:sz w:val="22"/>
          <w:szCs w:val="22"/>
          <w:u w:val="single"/>
          <w:lang w:val="es-ES"/>
        </w:rPr>
        <w:t>Un estado no puede imponer al médico una práctica que, de nuevo, al igual que en el caso del aborto, supone acabar deliberadamente con la vida de una persona</w:t>
      </w:r>
      <w:r w:rsidRPr="00B57EDA">
        <w:rPr>
          <w:rFonts w:ascii="Calibri" w:hAnsi="Calibri" w:cs="Times New Roman"/>
          <w:color w:val="000000"/>
          <w:sz w:val="22"/>
          <w:szCs w:val="22"/>
          <w:lang w:val="es-ES"/>
        </w:rPr>
        <w:t xml:space="preserve">. El deber del médico ha de ser prevenir, curar, y, cuando esto no sea posible, paliar. </w:t>
      </w:r>
      <w:r w:rsidRPr="00B57EDA">
        <w:rPr>
          <w:rFonts w:ascii="Calibri" w:hAnsi="Calibri" w:cs="Times New Roman"/>
          <w:color w:val="000000"/>
          <w:sz w:val="22"/>
          <w:szCs w:val="22"/>
          <w:u w:val="single"/>
          <w:lang w:val="es-ES"/>
        </w:rPr>
        <w:t>En ningún caso un Estado debería disponer un sistema sanitario encaminado a provocar la muerte del paciente, sino procurar una vida digna hasta su muerte de manera natural</w:t>
      </w:r>
    </w:p>
    <w:p w:rsidR="00B57EDA" w:rsidRPr="00B57EDA" w:rsidRDefault="00B57EDA" w:rsidP="00B57EDA">
      <w:pPr>
        <w:rPr>
          <w:rFonts w:ascii="Times" w:eastAsia="Times New Roman" w:hAnsi="Times" w:cs="Times New Roman"/>
          <w:sz w:val="20"/>
          <w:szCs w:val="20"/>
          <w:lang w:val="es-ES"/>
        </w:rPr>
      </w:pPr>
    </w:p>
    <w:p w:rsidR="00B57EDA" w:rsidRPr="00B57EDA" w:rsidRDefault="00B57EDA" w:rsidP="00B57EDA">
      <w:pPr>
        <w:rPr>
          <w:rFonts w:ascii="Times" w:hAnsi="Times" w:cs="Times New Roman"/>
          <w:sz w:val="20"/>
          <w:szCs w:val="20"/>
          <w:lang w:val="es-ES"/>
        </w:rPr>
      </w:pPr>
    </w:p>
    <w:p w:rsidR="00B57EDA" w:rsidRPr="00B57EDA" w:rsidRDefault="00B57EDA" w:rsidP="00B57EDA">
      <w:pPr>
        <w:rPr>
          <w:rFonts w:ascii="Times" w:eastAsia="Times New Roman" w:hAnsi="Times" w:cs="Times New Roman"/>
          <w:sz w:val="20"/>
          <w:szCs w:val="20"/>
          <w:lang w:val="es-ES"/>
        </w:rPr>
      </w:pPr>
    </w:p>
    <w:p w:rsidR="00097F21" w:rsidRDefault="00097F21"/>
    <w:sectPr w:rsidR="00097F21" w:rsidSect="00097F21">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auto"/>
    <w:pitch w:val="variable"/>
    <w:sig w:usb0="00000003" w:usb1="00000000" w:usb2="00000000" w:usb3="00000000" w:csb0="00000001" w:csb1="00000000"/>
  </w:font>
  <w:font w:name="Lucida Grande">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EDA"/>
    <w:rsid w:val="00097F21"/>
    <w:rsid w:val="00B57EDA"/>
    <w:rsid w:val="00B668C3"/>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E5123414-2634-4E2F-B9B9-195FF1261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57EDA"/>
    <w:pPr>
      <w:spacing w:before="100" w:beforeAutospacing="1" w:after="100" w:afterAutospacing="1"/>
    </w:pPr>
    <w:rPr>
      <w:rFonts w:ascii="Times" w:hAnsi="Times" w:cs="Times New Roman"/>
      <w:sz w:val="20"/>
      <w:szCs w:val="20"/>
      <w:lang w:val="es-ES"/>
    </w:rPr>
  </w:style>
  <w:style w:type="paragraph" w:styleId="BalloonText">
    <w:name w:val="Balloon Text"/>
    <w:basedOn w:val="Normal"/>
    <w:link w:val="BalloonTextChar"/>
    <w:uiPriority w:val="99"/>
    <w:semiHidden/>
    <w:unhideWhenUsed/>
    <w:rsid w:val="00B57EDA"/>
    <w:rPr>
      <w:rFonts w:ascii="Lucida Grande" w:hAnsi="Lucida Grande"/>
      <w:sz w:val="18"/>
      <w:szCs w:val="18"/>
    </w:rPr>
  </w:style>
  <w:style w:type="character" w:customStyle="1" w:styleId="BalloonTextChar">
    <w:name w:val="Balloon Text Char"/>
    <w:basedOn w:val="DefaultParagraphFont"/>
    <w:link w:val="BalloonText"/>
    <w:uiPriority w:val="99"/>
    <w:semiHidden/>
    <w:rsid w:val="00B57EDA"/>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981648">
      <w:bodyDiv w:val="1"/>
      <w:marLeft w:val="0"/>
      <w:marRight w:val="0"/>
      <w:marTop w:val="0"/>
      <w:marBottom w:val="0"/>
      <w:divBdr>
        <w:top w:val="none" w:sz="0" w:space="0" w:color="auto"/>
        <w:left w:val="none" w:sz="0" w:space="0" w:color="auto"/>
        <w:bottom w:val="none" w:sz="0" w:space="0" w:color="auto"/>
        <w:right w:val="none" w:sz="0" w:space="0" w:color="auto"/>
      </w:divBdr>
    </w:div>
    <w:div w:id="427778204">
      <w:bodyDiv w:val="1"/>
      <w:marLeft w:val="0"/>
      <w:marRight w:val="0"/>
      <w:marTop w:val="0"/>
      <w:marBottom w:val="0"/>
      <w:divBdr>
        <w:top w:val="none" w:sz="0" w:space="0" w:color="auto"/>
        <w:left w:val="none" w:sz="0" w:space="0" w:color="auto"/>
        <w:bottom w:val="none" w:sz="0" w:space="0" w:color="auto"/>
        <w:right w:val="none" w:sz="0" w:space="0" w:color="auto"/>
      </w:divBdr>
    </w:div>
    <w:div w:id="9922944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customXml" Target="../customXml/item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736BBDB-F07A-4534-BF56-74EAFBEED07E}"/>
</file>

<file path=customXml/itemProps2.xml><?xml version="1.0" encoding="utf-8"?>
<ds:datastoreItem xmlns:ds="http://schemas.openxmlformats.org/officeDocument/2006/customXml" ds:itemID="{24CD8E93-87E5-4EF5-BD4D-453956258A55}"/>
</file>

<file path=customXml/itemProps3.xml><?xml version="1.0" encoding="utf-8"?>
<ds:datastoreItem xmlns:ds="http://schemas.openxmlformats.org/officeDocument/2006/customXml" ds:itemID="{B98DC468-F2B1-4EE2-913C-E637630FFB77}"/>
</file>

<file path=docProps/app.xml><?xml version="1.0" encoding="utf-8"?>
<Properties xmlns="http://schemas.openxmlformats.org/officeDocument/2006/extended-properties" xmlns:vt="http://schemas.openxmlformats.org/officeDocument/2006/docPropsVTypes">
  <Template>Normal.dotm</Template>
  <TotalTime>0</TotalTime>
  <Pages>4</Pages>
  <Words>1724</Words>
  <Characters>9830</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Gádor Joya</dc:creator>
  <cp:keywords/>
  <dc:description/>
  <cp:lastModifiedBy>Durnescu Lilian</cp:lastModifiedBy>
  <cp:revision>2</cp:revision>
  <dcterms:created xsi:type="dcterms:W3CDTF">2017-10-05T15:41:00Z</dcterms:created>
  <dcterms:modified xsi:type="dcterms:W3CDTF">2017-10-05T15:41:00Z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