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75B4E" w14:textId="77777777" w:rsidR="008371C0" w:rsidRPr="00520F98" w:rsidRDefault="008371C0" w:rsidP="008371C0">
      <w:pPr>
        <w:widowControl w:val="0"/>
        <w:spacing w:after="0" w:line="240" w:lineRule="auto"/>
        <w:jc w:val="center"/>
        <w:rPr>
          <w:rFonts w:ascii="Times New Roman" w:hAnsi="Times New Roman" w:cs="Times New Roman"/>
          <w:b/>
          <w:sz w:val="24"/>
          <w:szCs w:val="24"/>
        </w:rPr>
      </w:pPr>
      <w:bookmarkStart w:id="0" w:name="_GoBack"/>
      <w:bookmarkEnd w:id="0"/>
      <w:r w:rsidRPr="00520F98">
        <w:rPr>
          <w:rFonts w:ascii="Times New Roman" w:hAnsi="Times New Roman" w:cs="Times New Roman"/>
          <w:b/>
          <w:sz w:val="24"/>
          <w:szCs w:val="24"/>
        </w:rPr>
        <w:t>Submission of the Australian Government</w:t>
      </w:r>
    </w:p>
    <w:p w14:paraId="20E67C41" w14:textId="77777777" w:rsidR="008371C0" w:rsidRPr="00520F98" w:rsidRDefault="008371C0" w:rsidP="008371C0">
      <w:pPr>
        <w:widowControl w:val="0"/>
        <w:spacing w:after="0" w:line="240" w:lineRule="auto"/>
        <w:jc w:val="center"/>
        <w:rPr>
          <w:rFonts w:ascii="Times New Roman" w:hAnsi="Times New Roman" w:cs="Times New Roman"/>
          <w:b/>
          <w:sz w:val="24"/>
          <w:szCs w:val="24"/>
        </w:rPr>
      </w:pPr>
      <w:r w:rsidRPr="00520F98">
        <w:rPr>
          <w:rFonts w:ascii="Times New Roman" w:hAnsi="Times New Roman" w:cs="Times New Roman"/>
          <w:b/>
          <w:sz w:val="24"/>
          <w:szCs w:val="24"/>
        </w:rPr>
        <w:t>Draft General Comment No. 36 on</w:t>
      </w:r>
    </w:p>
    <w:p w14:paraId="453996F0" w14:textId="77777777" w:rsidR="008371C0" w:rsidRPr="00520F98" w:rsidRDefault="008371C0" w:rsidP="008371C0">
      <w:pPr>
        <w:widowControl w:val="0"/>
        <w:spacing w:after="0" w:line="240" w:lineRule="auto"/>
        <w:jc w:val="center"/>
        <w:rPr>
          <w:rFonts w:ascii="Times New Roman" w:hAnsi="Times New Roman" w:cs="Times New Roman"/>
          <w:b/>
          <w:sz w:val="24"/>
          <w:szCs w:val="24"/>
        </w:rPr>
      </w:pPr>
      <w:r w:rsidRPr="00520F98">
        <w:rPr>
          <w:rFonts w:ascii="Times New Roman" w:hAnsi="Times New Roman" w:cs="Times New Roman"/>
          <w:b/>
          <w:sz w:val="24"/>
          <w:szCs w:val="24"/>
        </w:rPr>
        <w:t>Article 6 of the International Covenant on Civil and Political Rights:</w:t>
      </w:r>
    </w:p>
    <w:p w14:paraId="4D606069" w14:textId="77777777" w:rsidR="008371C0" w:rsidRPr="00520F98" w:rsidRDefault="008371C0" w:rsidP="008371C0">
      <w:pPr>
        <w:widowControl w:val="0"/>
        <w:spacing w:after="0" w:line="240" w:lineRule="auto"/>
        <w:jc w:val="center"/>
        <w:rPr>
          <w:rFonts w:ascii="Times New Roman" w:hAnsi="Times New Roman" w:cs="Times New Roman"/>
          <w:b/>
          <w:sz w:val="24"/>
          <w:szCs w:val="24"/>
        </w:rPr>
      </w:pPr>
      <w:r w:rsidRPr="00520F98">
        <w:rPr>
          <w:rFonts w:ascii="Times New Roman" w:hAnsi="Times New Roman" w:cs="Times New Roman"/>
          <w:b/>
          <w:sz w:val="24"/>
          <w:szCs w:val="24"/>
        </w:rPr>
        <w:t>Right to life</w:t>
      </w:r>
    </w:p>
    <w:p w14:paraId="055F7337" w14:textId="77777777" w:rsidR="008371C0" w:rsidRPr="00520F98" w:rsidRDefault="008371C0" w:rsidP="008371C0">
      <w:pPr>
        <w:widowControl w:val="0"/>
        <w:spacing w:before="100" w:beforeAutospacing="1" w:after="240" w:line="240" w:lineRule="auto"/>
        <w:jc w:val="both"/>
        <w:rPr>
          <w:rFonts w:ascii="Times New Roman" w:hAnsi="Times New Roman" w:cs="Times New Roman"/>
          <w:sz w:val="24"/>
          <w:szCs w:val="24"/>
        </w:rPr>
      </w:pPr>
    </w:p>
    <w:p w14:paraId="39D3BB01" w14:textId="3AA74A99" w:rsidR="008371C0" w:rsidRPr="0005663D" w:rsidRDefault="008371C0" w:rsidP="008371C0">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05663D">
        <w:rPr>
          <w:rFonts w:ascii="Times New Roman" w:hAnsi="Times New Roman" w:cs="Times New Roman"/>
          <w:sz w:val="24"/>
          <w:szCs w:val="24"/>
        </w:rPr>
        <w:t>The Australian Government (Australia) presents its compliments to the United Nations Human  Rights Committee (the Committee) and has the honour to refer to the Committee’s invitation for written submissions on draft General Comment No. 36 on Article 6 of the International Covenant on Civil and Political Rights</w:t>
      </w:r>
      <w:r w:rsidR="00D154B8">
        <w:rPr>
          <w:rFonts w:ascii="Times New Roman" w:hAnsi="Times New Roman" w:cs="Times New Roman"/>
          <w:sz w:val="24"/>
          <w:szCs w:val="24"/>
        </w:rPr>
        <w:t>,</w:t>
      </w:r>
      <w:r w:rsidRPr="0005663D">
        <w:rPr>
          <w:rFonts w:ascii="Times New Roman" w:hAnsi="Times New Roman" w:cs="Times New Roman"/>
          <w:sz w:val="24"/>
          <w:szCs w:val="24"/>
        </w:rPr>
        <w:t xml:space="preserve"> on the right to life (the draft General Comment).</w:t>
      </w:r>
      <w:r w:rsidRPr="0005663D">
        <w:rPr>
          <w:rStyle w:val="FootnoteReference"/>
          <w:rFonts w:ascii="Times New Roman" w:hAnsi="Times New Roman" w:cs="Times New Roman"/>
          <w:sz w:val="24"/>
          <w:szCs w:val="24"/>
        </w:rPr>
        <w:footnoteReference w:id="1"/>
      </w:r>
      <w:r w:rsidRPr="0005663D">
        <w:rPr>
          <w:rFonts w:ascii="Times New Roman" w:hAnsi="Times New Roman" w:cs="Times New Roman"/>
          <w:sz w:val="24"/>
          <w:szCs w:val="24"/>
        </w:rPr>
        <w:t xml:space="preserve"> Australia thanks the Committee for the opportunity to provide a written submission and looks forward to engaging further on the General Comment as the draft progresses.</w:t>
      </w:r>
    </w:p>
    <w:p w14:paraId="0AB9EDC8" w14:textId="08286A31" w:rsidR="008371C0" w:rsidRPr="0005663D" w:rsidRDefault="008371C0" w:rsidP="008371C0">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05663D">
        <w:rPr>
          <w:rFonts w:ascii="Times New Roman" w:hAnsi="Times New Roman" w:cs="Times New Roman"/>
          <w:sz w:val="24"/>
          <w:szCs w:val="24"/>
        </w:rPr>
        <w:t>Australia is a longstanding party to the International Covenant on Civil and Political Rights (the</w:t>
      </w:r>
      <w:r w:rsidR="005901AC">
        <w:rPr>
          <w:rFonts w:ascii="Times New Roman" w:hAnsi="Times New Roman" w:cs="Times New Roman"/>
          <w:sz w:val="24"/>
          <w:szCs w:val="24"/>
        </w:rPr>
        <w:t> </w:t>
      </w:r>
      <w:r w:rsidRPr="0005663D">
        <w:rPr>
          <w:rFonts w:ascii="Times New Roman" w:hAnsi="Times New Roman" w:cs="Times New Roman"/>
          <w:sz w:val="24"/>
          <w:szCs w:val="24"/>
        </w:rPr>
        <w:t>Covenant) and its two Optional Protocols. Australia is firmly committed to upholding its obligations under these instruments.</w:t>
      </w:r>
    </w:p>
    <w:p w14:paraId="53FCE4C7" w14:textId="4C070CBC" w:rsidR="008371C0" w:rsidRPr="00BE47C1" w:rsidRDefault="008371C0" w:rsidP="00BE47C1">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520F98">
        <w:rPr>
          <w:rFonts w:ascii="Times New Roman" w:hAnsi="Times New Roman" w:cs="Times New Roman"/>
          <w:sz w:val="24"/>
          <w:szCs w:val="24"/>
        </w:rPr>
        <w:t xml:space="preserve">Australia appreciates the Committee’s </w:t>
      </w:r>
      <w:r w:rsidR="00D154B8">
        <w:rPr>
          <w:rFonts w:ascii="Times New Roman" w:hAnsi="Times New Roman" w:cs="Times New Roman"/>
          <w:sz w:val="24"/>
          <w:szCs w:val="24"/>
        </w:rPr>
        <w:t xml:space="preserve">diligent </w:t>
      </w:r>
      <w:r w:rsidRPr="00520F98">
        <w:rPr>
          <w:rFonts w:ascii="Times New Roman" w:hAnsi="Times New Roman" w:cs="Times New Roman"/>
          <w:sz w:val="24"/>
          <w:szCs w:val="24"/>
        </w:rPr>
        <w:t>work in prep</w:t>
      </w:r>
      <w:r w:rsidR="00D154B8">
        <w:rPr>
          <w:rFonts w:ascii="Times New Roman" w:hAnsi="Times New Roman" w:cs="Times New Roman"/>
          <w:sz w:val="24"/>
          <w:szCs w:val="24"/>
        </w:rPr>
        <w:t>aring this comprehensive draft. In</w:t>
      </w:r>
      <w:r w:rsidR="005901AC">
        <w:rPr>
          <w:rFonts w:ascii="Times New Roman" w:hAnsi="Times New Roman" w:cs="Times New Roman"/>
          <w:sz w:val="24"/>
          <w:szCs w:val="24"/>
        </w:rPr>
        <w:t> </w:t>
      </w:r>
      <w:r w:rsidR="00D154B8" w:rsidRPr="00520F98">
        <w:rPr>
          <w:rFonts w:ascii="Times New Roman" w:hAnsi="Times New Roman" w:cs="Times New Roman"/>
          <w:sz w:val="24"/>
          <w:szCs w:val="24"/>
        </w:rPr>
        <w:t>Australia</w:t>
      </w:r>
      <w:r w:rsidR="00D154B8">
        <w:rPr>
          <w:rFonts w:ascii="Times New Roman" w:hAnsi="Times New Roman" w:cs="Times New Roman"/>
          <w:sz w:val="24"/>
          <w:szCs w:val="24"/>
        </w:rPr>
        <w:t xml:space="preserve">’s view, </w:t>
      </w:r>
      <w:r w:rsidR="00D154B8" w:rsidRPr="00520F98">
        <w:rPr>
          <w:rFonts w:ascii="Times New Roman" w:hAnsi="Times New Roman" w:cs="Times New Roman"/>
          <w:sz w:val="24"/>
          <w:szCs w:val="24"/>
        </w:rPr>
        <w:t xml:space="preserve">General Comments </w:t>
      </w:r>
      <w:r w:rsidR="00D154B8">
        <w:rPr>
          <w:rFonts w:ascii="Times New Roman" w:hAnsi="Times New Roman" w:cs="Times New Roman"/>
          <w:sz w:val="24"/>
          <w:szCs w:val="24"/>
        </w:rPr>
        <w:t>provide valuable guidance as to the provisions of the Covenant</w:t>
      </w:r>
      <w:r w:rsidR="00BE47C1">
        <w:rPr>
          <w:rFonts w:ascii="Times New Roman" w:hAnsi="Times New Roman" w:cs="Times New Roman"/>
          <w:sz w:val="24"/>
          <w:szCs w:val="24"/>
        </w:rPr>
        <w:t>,</w:t>
      </w:r>
      <w:r w:rsidR="00D154B8">
        <w:rPr>
          <w:rFonts w:ascii="Times New Roman" w:hAnsi="Times New Roman" w:cs="Times New Roman"/>
          <w:sz w:val="24"/>
          <w:szCs w:val="24"/>
        </w:rPr>
        <w:t xml:space="preserve"> </w:t>
      </w:r>
      <w:r w:rsidR="003A6835">
        <w:rPr>
          <w:rFonts w:ascii="Times New Roman" w:hAnsi="Times New Roman" w:cs="Times New Roman"/>
          <w:sz w:val="24"/>
          <w:szCs w:val="24"/>
        </w:rPr>
        <w:t xml:space="preserve">and are </w:t>
      </w:r>
      <w:r w:rsidR="00D154B8" w:rsidRPr="00520F98">
        <w:rPr>
          <w:rFonts w:ascii="Times New Roman" w:hAnsi="Times New Roman" w:cs="Times New Roman"/>
          <w:sz w:val="24"/>
          <w:szCs w:val="24"/>
        </w:rPr>
        <w:t xml:space="preserve">of </w:t>
      </w:r>
      <w:r w:rsidR="003A6835">
        <w:rPr>
          <w:rFonts w:ascii="Times New Roman" w:hAnsi="Times New Roman" w:cs="Times New Roman"/>
          <w:sz w:val="24"/>
          <w:szCs w:val="24"/>
        </w:rPr>
        <w:t xml:space="preserve">the </w:t>
      </w:r>
      <w:r w:rsidR="00D154B8" w:rsidRPr="00520F98">
        <w:rPr>
          <w:rFonts w:ascii="Times New Roman" w:hAnsi="Times New Roman" w:cs="Times New Roman"/>
          <w:sz w:val="24"/>
          <w:szCs w:val="24"/>
        </w:rPr>
        <w:t xml:space="preserve">most assistance when they </w:t>
      </w:r>
      <w:r w:rsidR="00D771D2">
        <w:rPr>
          <w:rFonts w:ascii="Times New Roman" w:hAnsi="Times New Roman" w:cs="Times New Roman"/>
          <w:sz w:val="24"/>
          <w:szCs w:val="24"/>
        </w:rPr>
        <w:t xml:space="preserve">are </w:t>
      </w:r>
      <w:r w:rsidR="00D154B8" w:rsidRPr="00520F98">
        <w:rPr>
          <w:rFonts w:ascii="Times New Roman" w:hAnsi="Times New Roman" w:cs="Times New Roman"/>
          <w:sz w:val="24"/>
          <w:szCs w:val="24"/>
        </w:rPr>
        <w:t>based on the text of those provisions</w:t>
      </w:r>
      <w:r w:rsidR="00D154B8">
        <w:rPr>
          <w:rFonts w:ascii="Times New Roman" w:hAnsi="Times New Roman" w:cs="Times New Roman"/>
          <w:sz w:val="24"/>
          <w:szCs w:val="24"/>
        </w:rPr>
        <w:t xml:space="preserve"> and the practice of States Parties to the Covenant</w:t>
      </w:r>
      <w:r w:rsidR="00D154B8" w:rsidRPr="00520F98">
        <w:rPr>
          <w:rFonts w:ascii="Times New Roman" w:hAnsi="Times New Roman" w:cs="Times New Roman"/>
          <w:sz w:val="24"/>
          <w:szCs w:val="24"/>
        </w:rPr>
        <w:t>.</w:t>
      </w:r>
      <w:r w:rsidR="003A6835">
        <w:rPr>
          <w:rFonts w:ascii="Times New Roman" w:hAnsi="Times New Roman" w:cs="Times New Roman"/>
          <w:sz w:val="24"/>
          <w:szCs w:val="24"/>
        </w:rPr>
        <w:t xml:space="preserve"> While the current draft of the General Comment provides useful guidance on the content of Article 6, it </w:t>
      </w:r>
      <w:r w:rsidRPr="00520F98">
        <w:rPr>
          <w:rFonts w:ascii="Times New Roman" w:hAnsi="Times New Roman" w:cs="Times New Roman"/>
          <w:sz w:val="24"/>
          <w:szCs w:val="24"/>
        </w:rPr>
        <w:t>is</w:t>
      </w:r>
      <w:r w:rsidR="003A6835">
        <w:rPr>
          <w:rFonts w:ascii="Times New Roman" w:hAnsi="Times New Roman" w:cs="Times New Roman"/>
          <w:sz w:val="24"/>
          <w:szCs w:val="24"/>
        </w:rPr>
        <w:t xml:space="preserve"> in </w:t>
      </w:r>
      <w:r w:rsidR="001D4164">
        <w:rPr>
          <w:rFonts w:ascii="Times New Roman" w:hAnsi="Times New Roman" w:cs="Times New Roman"/>
          <w:sz w:val="24"/>
          <w:szCs w:val="24"/>
        </w:rPr>
        <w:t xml:space="preserve">many </w:t>
      </w:r>
      <w:r w:rsidR="003A6835">
        <w:rPr>
          <w:rFonts w:ascii="Times New Roman" w:hAnsi="Times New Roman" w:cs="Times New Roman"/>
          <w:sz w:val="24"/>
          <w:szCs w:val="24"/>
        </w:rPr>
        <w:t>respects</w:t>
      </w:r>
      <w:r w:rsidRPr="00520F98">
        <w:rPr>
          <w:rFonts w:ascii="Times New Roman" w:hAnsi="Times New Roman" w:cs="Times New Roman"/>
          <w:sz w:val="24"/>
          <w:szCs w:val="24"/>
        </w:rPr>
        <w:t xml:space="preserve"> too broad</w:t>
      </w:r>
      <w:r w:rsidR="00BE47C1">
        <w:rPr>
          <w:rFonts w:ascii="Times New Roman" w:hAnsi="Times New Roman" w:cs="Times New Roman"/>
          <w:sz w:val="24"/>
          <w:szCs w:val="24"/>
        </w:rPr>
        <w:t>,</w:t>
      </w:r>
      <w:r w:rsidRPr="00520F98">
        <w:rPr>
          <w:rFonts w:ascii="Times New Roman" w:hAnsi="Times New Roman" w:cs="Times New Roman"/>
          <w:sz w:val="24"/>
          <w:szCs w:val="24"/>
        </w:rPr>
        <w:t xml:space="preserve"> and </w:t>
      </w:r>
      <w:r w:rsidR="00BE47C1">
        <w:rPr>
          <w:rFonts w:ascii="Times New Roman" w:hAnsi="Times New Roman" w:cs="Times New Roman"/>
          <w:sz w:val="24"/>
          <w:szCs w:val="24"/>
        </w:rPr>
        <w:t xml:space="preserve">could more clearly </w:t>
      </w:r>
      <w:r w:rsidRPr="00520F98">
        <w:rPr>
          <w:rFonts w:ascii="Times New Roman" w:hAnsi="Times New Roman" w:cs="Times New Roman"/>
          <w:sz w:val="24"/>
          <w:szCs w:val="24"/>
        </w:rPr>
        <w:t>reflect the scope of States Parties’ obligations u</w:t>
      </w:r>
      <w:r w:rsidR="00F242B2">
        <w:rPr>
          <w:rFonts w:ascii="Times New Roman" w:hAnsi="Times New Roman" w:cs="Times New Roman"/>
          <w:sz w:val="24"/>
          <w:szCs w:val="24"/>
        </w:rPr>
        <w:t>nder Article 6 of the Covenant.</w:t>
      </w:r>
      <w:r w:rsidR="00BE47C1">
        <w:rPr>
          <w:rFonts w:ascii="Times New Roman" w:hAnsi="Times New Roman" w:cs="Times New Roman"/>
          <w:sz w:val="24"/>
          <w:szCs w:val="24"/>
        </w:rPr>
        <w:t xml:space="preserve"> </w:t>
      </w:r>
      <w:r w:rsidR="003A6835" w:rsidRPr="00BE47C1">
        <w:rPr>
          <w:rFonts w:ascii="Times New Roman" w:hAnsi="Times New Roman" w:cs="Times New Roman"/>
          <w:sz w:val="24"/>
          <w:szCs w:val="24"/>
        </w:rPr>
        <w:t>To</w:t>
      </w:r>
      <w:r w:rsidR="005901AC">
        <w:rPr>
          <w:rFonts w:ascii="Times New Roman" w:hAnsi="Times New Roman" w:cs="Times New Roman"/>
          <w:sz w:val="24"/>
          <w:szCs w:val="24"/>
        </w:rPr>
        <w:t> </w:t>
      </w:r>
      <w:r w:rsidR="003A6835" w:rsidRPr="00BE47C1">
        <w:rPr>
          <w:rFonts w:ascii="Times New Roman" w:hAnsi="Times New Roman" w:cs="Times New Roman"/>
          <w:sz w:val="24"/>
          <w:szCs w:val="24"/>
        </w:rPr>
        <w:t>this end</w:t>
      </w:r>
      <w:r w:rsidR="00BE47C1">
        <w:rPr>
          <w:rFonts w:ascii="Times New Roman" w:hAnsi="Times New Roman" w:cs="Times New Roman"/>
          <w:sz w:val="24"/>
          <w:szCs w:val="24"/>
        </w:rPr>
        <w:t xml:space="preserve">, Australia makes the following </w:t>
      </w:r>
      <w:r w:rsidR="003A6835" w:rsidRPr="00BE47C1">
        <w:rPr>
          <w:rFonts w:ascii="Times New Roman" w:hAnsi="Times New Roman" w:cs="Times New Roman"/>
          <w:sz w:val="24"/>
          <w:szCs w:val="24"/>
        </w:rPr>
        <w:t>observations on the draft General Comment</w:t>
      </w:r>
      <w:r w:rsidR="00BE47C1">
        <w:rPr>
          <w:rFonts w:ascii="Times New Roman" w:hAnsi="Times New Roman" w:cs="Times New Roman"/>
          <w:sz w:val="24"/>
          <w:szCs w:val="24"/>
        </w:rPr>
        <w:t>:</w:t>
      </w:r>
    </w:p>
    <w:p w14:paraId="13EE8825" w14:textId="4C89C358" w:rsidR="008371C0" w:rsidRPr="003A6835" w:rsidRDefault="008371C0" w:rsidP="003A6835">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520F98">
        <w:rPr>
          <w:rFonts w:ascii="Times New Roman" w:hAnsi="Times New Roman" w:cs="Times New Roman"/>
          <w:sz w:val="24"/>
          <w:szCs w:val="24"/>
        </w:rPr>
        <w:t xml:space="preserve">As with all human rights obligations, Australia considers that the obligations contained in Article 6 must be interpreted consistently with the widely accepted principles of treaty interpretation reflected in the 1969 </w:t>
      </w:r>
      <w:r w:rsidRPr="000D0FFA">
        <w:rPr>
          <w:rFonts w:ascii="Times New Roman" w:hAnsi="Times New Roman" w:cs="Times New Roman"/>
          <w:sz w:val="24"/>
          <w:szCs w:val="24"/>
        </w:rPr>
        <w:t>Vienna Convention on the Law of Treaties</w:t>
      </w:r>
      <w:r w:rsidRPr="00520F98">
        <w:rPr>
          <w:rFonts w:ascii="Times New Roman" w:hAnsi="Times New Roman" w:cs="Times New Roman"/>
          <w:sz w:val="24"/>
          <w:szCs w:val="24"/>
        </w:rPr>
        <w:t>.</w:t>
      </w:r>
      <w:r w:rsidRPr="00520F98">
        <w:rPr>
          <w:rStyle w:val="FootnoteReference"/>
          <w:rFonts w:ascii="Times New Roman" w:hAnsi="Times New Roman" w:cs="Times New Roman"/>
          <w:sz w:val="24"/>
          <w:szCs w:val="24"/>
        </w:rPr>
        <w:footnoteReference w:id="2"/>
      </w:r>
      <w:r w:rsidR="001D4164">
        <w:rPr>
          <w:rFonts w:ascii="Times New Roman" w:hAnsi="Times New Roman" w:cs="Times New Roman"/>
          <w:sz w:val="24"/>
          <w:szCs w:val="24"/>
        </w:rPr>
        <w:t xml:space="preserve"> Australia considers that conduct or measures will only engage the right to life in Article 6 where they constitute arbitrary deprivation of life or a failure to protect the right to life by law.</w:t>
      </w:r>
      <w:r w:rsidRPr="00520F98">
        <w:rPr>
          <w:rFonts w:ascii="Times New Roman" w:hAnsi="Times New Roman" w:cs="Times New Roman"/>
          <w:sz w:val="24"/>
          <w:szCs w:val="24"/>
        </w:rPr>
        <w:t xml:space="preserve"> An overly broad interpretation of the obligations of States Parties is not supported by the text of Article 6.</w:t>
      </w:r>
    </w:p>
    <w:p w14:paraId="40E9A0EC" w14:textId="0EAC8D6D" w:rsidR="008371C0" w:rsidRPr="00520F98" w:rsidRDefault="008371C0" w:rsidP="008371C0">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520F98">
        <w:rPr>
          <w:rFonts w:ascii="Times New Roman" w:hAnsi="Times New Roman" w:cs="Times New Roman"/>
          <w:sz w:val="24"/>
          <w:szCs w:val="24"/>
        </w:rPr>
        <w:t xml:space="preserve">Australia considers that </w:t>
      </w:r>
      <w:r>
        <w:rPr>
          <w:rFonts w:ascii="Times New Roman" w:hAnsi="Times New Roman" w:cs="Times New Roman"/>
          <w:sz w:val="24"/>
          <w:szCs w:val="24"/>
        </w:rPr>
        <w:t>s</w:t>
      </w:r>
      <w:r w:rsidR="00BE47C1">
        <w:rPr>
          <w:rFonts w:ascii="Times New Roman" w:hAnsi="Times New Roman" w:cs="Times New Roman"/>
          <w:sz w:val="24"/>
          <w:szCs w:val="24"/>
        </w:rPr>
        <w:t xml:space="preserve">ome of the </w:t>
      </w:r>
      <w:r>
        <w:rPr>
          <w:rFonts w:ascii="Times New Roman" w:hAnsi="Times New Roman" w:cs="Times New Roman"/>
          <w:sz w:val="24"/>
          <w:szCs w:val="24"/>
        </w:rPr>
        <w:t>assertions</w:t>
      </w:r>
      <w:r w:rsidRPr="00520F98">
        <w:rPr>
          <w:rFonts w:ascii="Times New Roman" w:hAnsi="Times New Roman" w:cs="Times New Roman"/>
          <w:sz w:val="24"/>
          <w:szCs w:val="24"/>
        </w:rPr>
        <w:t xml:space="preserve"> in the draft General Comment </w:t>
      </w:r>
      <w:r w:rsidR="00BE47C1">
        <w:rPr>
          <w:rFonts w:ascii="Times New Roman" w:hAnsi="Times New Roman" w:cs="Times New Roman"/>
          <w:sz w:val="24"/>
          <w:szCs w:val="24"/>
        </w:rPr>
        <w:t xml:space="preserve">do not reflect </w:t>
      </w:r>
      <w:r w:rsidRPr="00520F98">
        <w:rPr>
          <w:rFonts w:ascii="Times New Roman" w:hAnsi="Times New Roman" w:cs="Times New Roman"/>
          <w:sz w:val="24"/>
          <w:szCs w:val="24"/>
        </w:rPr>
        <w:t>the legal obligations contained in the text of Article 6 of the Covenant</w:t>
      </w:r>
      <w:r w:rsidR="00D771D2">
        <w:rPr>
          <w:rFonts w:ascii="Times New Roman" w:hAnsi="Times New Roman" w:cs="Times New Roman"/>
          <w:sz w:val="24"/>
          <w:szCs w:val="24"/>
        </w:rPr>
        <w:t xml:space="preserve"> and, in some cases, extend the obligations of States Parties beyond </w:t>
      </w:r>
      <w:r w:rsidR="001D4164">
        <w:rPr>
          <w:rFonts w:ascii="Times New Roman" w:hAnsi="Times New Roman" w:cs="Times New Roman"/>
          <w:sz w:val="24"/>
          <w:szCs w:val="24"/>
        </w:rPr>
        <w:t>the law</w:t>
      </w:r>
      <w:r w:rsidR="00D771D2">
        <w:rPr>
          <w:rFonts w:ascii="Times New Roman" w:hAnsi="Times New Roman" w:cs="Times New Roman"/>
          <w:sz w:val="24"/>
          <w:szCs w:val="24"/>
        </w:rPr>
        <w:t xml:space="preserve"> of State responsibility</w:t>
      </w:r>
      <w:r w:rsidRPr="00520F98">
        <w:rPr>
          <w:rFonts w:ascii="Times New Roman" w:hAnsi="Times New Roman" w:cs="Times New Roman"/>
          <w:sz w:val="24"/>
          <w:szCs w:val="24"/>
        </w:rPr>
        <w:t>.</w:t>
      </w:r>
      <w:r>
        <w:rPr>
          <w:rFonts w:ascii="Times New Roman" w:hAnsi="Times New Roman" w:cs="Times New Roman"/>
          <w:sz w:val="24"/>
          <w:szCs w:val="24"/>
        </w:rPr>
        <w:t xml:space="preserve"> In Australia’s view, </w:t>
      </w:r>
      <w:r w:rsidR="00BE47C1">
        <w:rPr>
          <w:rFonts w:ascii="Times New Roman" w:hAnsi="Times New Roman" w:cs="Times New Roman"/>
          <w:sz w:val="24"/>
          <w:szCs w:val="24"/>
        </w:rPr>
        <w:t>such</w:t>
      </w:r>
      <w:r w:rsidRPr="00520F98">
        <w:rPr>
          <w:rFonts w:ascii="Times New Roman" w:hAnsi="Times New Roman" w:cs="Times New Roman"/>
          <w:sz w:val="24"/>
          <w:szCs w:val="24"/>
        </w:rPr>
        <w:t xml:space="preserve"> statements do not reflect the curr</w:t>
      </w:r>
      <w:r w:rsidR="00BE47C1">
        <w:rPr>
          <w:rFonts w:ascii="Times New Roman" w:hAnsi="Times New Roman" w:cs="Times New Roman"/>
          <w:sz w:val="24"/>
          <w:szCs w:val="24"/>
        </w:rPr>
        <w:t>ent state of international law</w:t>
      </w:r>
      <w:r w:rsidR="00D771D2">
        <w:rPr>
          <w:rFonts w:ascii="Times New Roman" w:hAnsi="Times New Roman" w:cs="Times New Roman"/>
          <w:sz w:val="24"/>
          <w:szCs w:val="24"/>
        </w:rPr>
        <w:t>, f</w:t>
      </w:r>
      <w:r>
        <w:rPr>
          <w:rFonts w:ascii="Times New Roman" w:hAnsi="Times New Roman" w:cs="Times New Roman"/>
          <w:sz w:val="24"/>
          <w:szCs w:val="24"/>
        </w:rPr>
        <w:t>or example:</w:t>
      </w:r>
    </w:p>
    <w:p w14:paraId="0CBA436D" w14:textId="45805C4B" w:rsidR="001D4164" w:rsidRDefault="001D4164" w:rsidP="001D4164">
      <w:pPr>
        <w:pStyle w:val="ListParagraph"/>
        <w:widowControl w:val="0"/>
        <w:numPr>
          <w:ilvl w:val="1"/>
          <w:numId w:val="1"/>
        </w:numPr>
        <w:spacing w:before="100" w:beforeAutospacing="1" w:after="240" w:line="24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w:t>
      </w:r>
      <w:r w:rsidRPr="001D4164">
        <w:rPr>
          <w:rFonts w:ascii="Times New Roman" w:hAnsi="Times New Roman" w:cs="Times New Roman"/>
          <w:sz w:val="24"/>
          <w:szCs w:val="24"/>
        </w:rPr>
        <w:t>The right to life is a right which should not be interpreted narrowly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p>
    <w:p w14:paraId="60B9623F" w14:textId="68617479" w:rsidR="001D4164" w:rsidRDefault="001D4164" w:rsidP="001D4164">
      <w:pPr>
        <w:pStyle w:val="ListParagraph"/>
        <w:widowControl w:val="0"/>
        <w:numPr>
          <w:ilvl w:val="1"/>
          <w:numId w:val="1"/>
        </w:numPr>
        <w:spacing w:before="100" w:beforeAutospacing="1" w:after="240" w:line="24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w:t>
      </w:r>
      <w:r w:rsidRPr="001D4164">
        <w:rPr>
          <w:rFonts w:ascii="Times New Roman" w:hAnsi="Times New Roman" w:cs="Times New Roman"/>
          <w:sz w:val="24"/>
          <w:szCs w:val="24"/>
        </w:rPr>
        <w:t>The obligation of States parties to respect and ensure the right to life extends to all threats that can result in loss of life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p>
    <w:p w14:paraId="45586B1B" w14:textId="03F30E79" w:rsidR="002A164E" w:rsidRDefault="002A164E" w:rsidP="002A164E">
      <w:pPr>
        <w:pStyle w:val="ListParagraph"/>
        <w:widowControl w:val="0"/>
        <w:numPr>
          <w:ilvl w:val="1"/>
          <w:numId w:val="1"/>
        </w:numPr>
        <w:spacing w:before="100" w:beforeAutospacing="1" w:after="240" w:line="240" w:lineRule="auto"/>
        <w:ind w:left="1077" w:hanging="357"/>
        <w:contextualSpacing w:val="0"/>
        <w:jc w:val="both"/>
        <w:rPr>
          <w:rFonts w:ascii="Times New Roman" w:hAnsi="Times New Roman" w:cs="Times New Roman"/>
          <w:sz w:val="24"/>
          <w:szCs w:val="24"/>
        </w:rPr>
      </w:pPr>
      <w:r w:rsidRPr="00520F98">
        <w:rPr>
          <w:rFonts w:ascii="Times New Roman" w:hAnsi="Times New Roman" w:cs="Times New Roman"/>
          <w:sz w:val="24"/>
          <w:szCs w:val="24"/>
        </w:rPr>
        <w:t>‘States should take adequate measures, without violating their other Covenant obligations, to prevent suicides, especially among individuals in part</w:t>
      </w:r>
      <w:r w:rsidR="005901AC">
        <w:rPr>
          <w:rFonts w:ascii="Times New Roman" w:hAnsi="Times New Roman" w:cs="Times New Roman"/>
          <w:sz w:val="24"/>
          <w:szCs w:val="24"/>
        </w:rPr>
        <w:t>icularly vulnerable situations’</w:t>
      </w:r>
      <w:r>
        <w:rPr>
          <w:rStyle w:val="FootnoteReference"/>
          <w:rFonts w:ascii="Times New Roman" w:hAnsi="Times New Roman" w:cs="Times New Roman"/>
          <w:sz w:val="24"/>
          <w:szCs w:val="24"/>
        </w:rPr>
        <w:footnoteReference w:id="5"/>
      </w:r>
    </w:p>
    <w:p w14:paraId="4EF6DAFF" w14:textId="24F5819E" w:rsidR="002A164E" w:rsidRDefault="005901AC" w:rsidP="002A164E">
      <w:pPr>
        <w:pStyle w:val="ListParagraph"/>
        <w:widowControl w:val="0"/>
        <w:numPr>
          <w:ilvl w:val="1"/>
          <w:numId w:val="1"/>
        </w:numPr>
        <w:spacing w:before="100" w:beforeAutospacing="1" w:after="240" w:line="24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t</w:t>
      </w:r>
      <w:r w:rsidR="002A164E">
        <w:rPr>
          <w:rFonts w:ascii="Times New Roman" w:hAnsi="Times New Roman" w:cs="Times New Roman"/>
          <w:sz w:val="24"/>
          <w:szCs w:val="24"/>
        </w:rPr>
        <w:t xml:space="preserve">he reference to ‘foreseeable threats’, and not reasonably foreseeable threats, in paragraph 22 of the </w:t>
      </w:r>
      <w:r w:rsidR="002A164E" w:rsidRPr="0005663D">
        <w:rPr>
          <w:rFonts w:ascii="Times New Roman" w:hAnsi="Times New Roman" w:cs="Times New Roman"/>
          <w:sz w:val="24"/>
          <w:szCs w:val="24"/>
        </w:rPr>
        <w:t xml:space="preserve">draft </w:t>
      </w:r>
      <w:r w:rsidR="002A164E">
        <w:rPr>
          <w:rFonts w:ascii="Times New Roman" w:hAnsi="Times New Roman" w:cs="Times New Roman"/>
          <w:sz w:val="24"/>
          <w:szCs w:val="24"/>
        </w:rPr>
        <w:t>General Comment</w:t>
      </w:r>
    </w:p>
    <w:p w14:paraId="5DCF6163" w14:textId="13988596" w:rsidR="008371C0" w:rsidRPr="00520F98" w:rsidRDefault="008371C0" w:rsidP="002A164E">
      <w:pPr>
        <w:pStyle w:val="ListParagraph"/>
        <w:widowControl w:val="0"/>
        <w:numPr>
          <w:ilvl w:val="1"/>
          <w:numId w:val="1"/>
        </w:numPr>
        <w:spacing w:before="100" w:beforeAutospacing="1" w:after="240" w:line="240" w:lineRule="auto"/>
        <w:ind w:left="1077" w:hanging="357"/>
        <w:contextualSpacing w:val="0"/>
        <w:jc w:val="both"/>
        <w:rPr>
          <w:rFonts w:ascii="Times New Roman" w:hAnsi="Times New Roman" w:cs="Times New Roman"/>
          <w:sz w:val="24"/>
          <w:szCs w:val="24"/>
        </w:rPr>
      </w:pPr>
      <w:r w:rsidRPr="00520F98">
        <w:rPr>
          <w:rFonts w:ascii="Times New Roman" w:hAnsi="Times New Roman" w:cs="Times New Roman"/>
          <w:sz w:val="24"/>
          <w:szCs w:val="24"/>
        </w:rPr>
        <w:t>‘States parties should take appropriate measures to address the general conditions in society that may eventually give rise to direct threats to life or prevent individuals from enjoying th</w:t>
      </w:r>
      <w:r w:rsidR="005901AC">
        <w:rPr>
          <w:rFonts w:ascii="Times New Roman" w:hAnsi="Times New Roman" w:cs="Times New Roman"/>
          <w:sz w:val="24"/>
          <w:szCs w:val="24"/>
        </w:rPr>
        <w:t>eir right to life with dignity’,</w:t>
      </w:r>
      <w:r>
        <w:rPr>
          <w:rStyle w:val="FootnoteReference"/>
          <w:rFonts w:ascii="Times New Roman" w:hAnsi="Times New Roman" w:cs="Times New Roman"/>
          <w:sz w:val="24"/>
          <w:szCs w:val="24"/>
        </w:rPr>
        <w:footnoteReference w:id="6"/>
      </w:r>
      <w:r w:rsidR="005901AC">
        <w:rPr>
          <w:rFonts w:ascii="Times New Roman" w:hAnsi="Times New Roman" w:cs="Times New Roman"/>
          <w:sz w:val="24"/>
          <w:szCs w:val="24"/>
        </w:rPr>
        <w:t xml:space="preserve"> and</w:t>
      </w:r>
    </w:p>
    <w:p w14:paraId="77D80321" w14:textId="69EEA6DD" w:rsidR="008371C0" w:rsidRDefault="005901AC" w:rsidP="00537152">
      <w:pPr>
        <w:pStyle w:val="ListParagraph"/>
        <w:widowControl w:val="0"/>
        <w:numPr>
          <w:ilvl w:val="1"/>
          <w:numId w:val="1"/>
        </w:numPr>
        <w:spacing w:before="100" w:beforeAutospacing="1" w:after="240" w:line="24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t</w:t>
      </w:r>
      <w:r w:rsidR="00D771D2">
        <w:rPr>
          <w:rFonts w:ascii="Times New Roman" w:hAnsi="Times New Roman" w:cs="Times New Roman"/>
          <w:sz w:val="24"/>
          <w:szCs w:val="24"/>
        </w:rPr>
        <w:t>he reference to a ‘presumption</w:t>
      </w:r>
      <w:r w:rsidR="00DC0444">
        <w:rPr>
          <w:rFonts w:ascii="Times New Roman" w:hAnsi="Times New Roman" w:cs="Times New Roman"/>
          <w:sz w:val="24"/>
          <w:szCs w:val="24"/>
        </w:rPr>
        <w:t xml:space="preserve"> of arbitrary </w:t>
      </w:r>
      <w:r w:rsidR="00DC0444" w:rsidRPr="00DC0444">
        <w:rPr>
          <w:rFonts w:ascii="Times New Roman" w:hAnsi="Times New Roman" w:cs="Times New Roman"/>
          <w:sz w:val="24"/>
          <w:szCs w:val="24"/>
        </w:rPr>
        <w:t>deprivation of life</w:t>
      </w:r>
      <w:r w:rsidR="00DC0444">
        <w:rPr>
          <w:rFonts w:ascii="Times New Roman" w:hAnsi="Times New Roman" w:cs="Times New Roman"/>
          <w:sz w:val="24"/>
          <w:szCs w:val="24"/>
        </w:rPr>
        <w:t xml:space="preserve">’ </w:t>
      </w:r>
      <w:r w:rsidR="00D771D2">
        <w:rPr>
          <w:rFonts w:ascii="Times New Roman" w:hAnsi="Times New Roman" w:cs="Times New Roman"/>
          <w:sz w:val="24"/>
          <w:szCs w:val="24"/>
        </w:rPr>
        <w:t>in paragraph 33 of the draft General Comment.</w:t>
      </w:r>
    </w:p>
    <w:p w14:paraId="34FD05F8" w14:textId="16DE0E98" w:rsidR="008371C0" w:rsidRPr="00520F98" w:rsidRDefault="008371C0" w:rsidP="00B521E5">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520F98">
        <w:rPr>
          <w:rFonts w:ascii="Times New Roman" w:hAnsi="Times New Roman" w:cs="Times New Roman"/>
          <w:sz w:val="24"/>
          <w:szCs w:val="24"/>
        </w:rPr>
        <w:t xml:space="preserve">In Australia’s view, </w:t>
      </w:r>
      <w:r>
        <w:rPr>
          <w:rFonts w:ascii="Times New Roman" w:hAnsi="Times New Roman" w:cs="Times New Roman"/>
          <w:sz w:val="24"/>
          <w:szCs w:val="24"/>
        </w:rPr>
        <w:t xml:space="preserve">the </w:t>
      </w:r>
      <w:r w:rsidRPr="0005663D">
        <w:rPr>
          <w:rFonts w:ascii="Times New Roman" w:hAnsi="Times New Roman" w:cs="Times New Roman"/>
          <w:sz w:val="24"/>
          <w:szCs w:val="24"/>
        </w:rPr>
        <w:t xml:space="preserve">draft </w:t>
      </w:r>
      <w:r>
        <w:rPr>
          <w:rFonts w:ascii="Times New Roman" w:hAnsi="Times New Roman" w:cs="Times New Roman"/>
          <w:sz w:val="24"/>
          <w:szCs w:val="24"/>
        </w:rPr>
        <w:t xml:space="preserve">General Comment draws </w:t>
      </w:r>
      <w:r w:rsidR="00644F54">
        <w:rPr>
          <w:rFonts w:ascii="Times New Roman" w:hAnsi="Times New Roman" w:cs="Times New Roman"/>
          <w:sz w:val="24"/>
          <w:szCs w:val="24"/>
        </w:rPr>
        <w:t xml:space="preserve">overly </w:t>
      </w:r>
      <w:r>
        <w:rPr>
          <w:rFonts w:ascii="Times New Roman" w:hAnsi="Times New Roman" w:cs="Times New Roman"/>
          <w:sz w:val="24"/>
          <w:szCs w:val="24"/>
        </w:rPr>
        <w:t xml:space="preserve">broad connections between compliance with </w:t>
      </w:r>
      <w:r w:rsidRPr="00520F98">
        <w:rPr>
          <w:rFonts w:ascii="Times New Roman" w:hAnsi="Times New Roman" w:cs="Times New Roman"/>
          <w:sz w:val="24"/>
          <w:szCs w:val="24"/>
        </w:rPr>
        <w:t>Article 6</w:t>
      </w:r>
      <w:r>
        <w:rPr>
          <w:rFonts w:ascii="Times New Roman" w:hAnsi="Times New Roman" w:cs="Times New Roman"/>
          <w:sz w:val="24"/>
          <w:szCs w:val="24"/>
        </w:rPr>
        <w:t xml:space="preserve"> of the Covenant and other human rights obligations</w:t>
      </w:r>
      <w:r w:rsidR="00BE47C1">
        <w:rPr>
          <w:rFonts w:ascii="Times New Roman" w:hAnsi="Times New Roman" w:cs="Times New Roman"/>
          <w:sz w:val="24"/>
          <w:szCs w:val="24"/>
        </w:rPr>
        <w:t>.</w:t>
      </w:r>
      <w:r w:rsidR="00B95EB6">
        <w:rPr>
          <w:rStyle w:val="FootnoteReference"/>
          <w:rFonts w:ascii="Times New Roman" w:hAnsi="Times New Roman" w:cs="Times New Roman"/>
          <w:sz w:val="24"/>
          <w:szCs w:val="24"/>
        </w:rPr>
        <w:footnoteReference w:id="7"/>
      </w:r>
      <w:r w:rsidR="00BE47C1">
        <w:rPr>
          <w:rFonts w:ascii="Times New Roman" w:hAnsi="Times New Roman" w:cs="Times New Roman"/>
          <w:sz w:val="24"/>
          <w:szCs w:val="24"/>
        </w:rPr>
        <w:t xml:space="preserve"> Australi</w:t>
      </w:r>
      <w:r w:rsidR="00B521E5">
        <w:rPr>
          <w:rFonts w:ascii="Times New Roman" w:hAnsi="Times New Roman" w:cs="Times New Roman"/>
          <w:sz w:val="24"/>
          <w:szCs w:val="24"/>
        </w:rPr>
        <w:t>a</w:t>
      </w:r>
      <w:r w:rsidR="005901AC">
        <w:rPr>
          <w:rFonts w:ascii="Times New Roman" w:hAnsi="Times New Roman" w:cs="Times New Roman"/>
          <w:sz w:val="24"/>
          <w:szCs w:val="24"/>
        </w:rPr>
        <w:t> </w:t>
      </w:r>
      <w:r w:rsidR="00BE47C1">
        <w:rPr>
          <w:rFonts w:ascii="Times New Roman" w:hAnsi="Times New Roman" w:cs="Times New Roman"/>
          <w:sz w:val="24"/>
          <w:szCs w:val="24"/>
        </w:rPr>
        <w:t xml:space="preserve">considers that </w:t>
      </w:r>
      <w:r w:rsidR="00B95EB6">
        <w:rPr>
          <w:rFonts w:ascii="Times New Roman" w:hAnsi="Times New Roman" w:cs="Times New Roman"/>
          <w:sz w:val="24"/>
          <w:szCs w:val="24"/>
        </w:rPr>
        <w:t xml:space="preserve">not </w:t>
      </w:r>
      <w:r w:rsidR="00B95EB6" w:rsidRPr="00B95EB6">
        <w:rPr>
          <w:rFonts w:ascii="Times New Roman" w:hAnsi="Times New Roman" w:cs="Times New Roman"/>
          <w:sz w:val="24"/>
          <w:szCs w:val="24"/>
        </w:rPr>
        <w:t xml:space="preserve">all human rights violations </w:t>
      </w:r>
      <w:r w:rsidR="002A164E">
        <w:rPr>
          <w:rFonts w:ascii="Times New Roman" w:hAnsi="Times New Roman" w:cs="Times New Roman"/>
          <w:sz w:val="24"/>
          <w:szCs w:val="24"/>
        </w:rPr>
        <w:t>are</w:t>
      </w:r>
      <w:r w:rsidR="00B95EB6">
        <w:rPr>
          <w:rFonts w:ascii="Times New Roman" w:hAnsi="Times New Roman" w:cs="Times New Roman"/>
          <w:sz w:val="24"/>
          <w:szCs w:val="24"/>
        </w:rPr>
        <w:t xml:space="preserve"> connected </w:t>
      </w:r>
      <w:r w:rsidR="00B95EB6" w:rsidRPr="00B95EB6">
        <w:rPr>
          <w:rFonts w:ascii="Times New Roman" w:hAnsi="Times New Roman" w:cs="Times New Roman"/>
          <w:sz w:val="24"/>
          <w:szCs w:val="24"/>
        </w:rPr>
        <w:t>to the right to life</w:t>
      </w:r>
      <w:r w:rsidR="00537152">
        <w:rPr>
          <w:rFonts w:ascii="Times New Roman" w:hAnsi="Times New Roman" w:cs="Times New Roman"/>
          <w:sz w:val="24"/>
          <w:szCs w:val="24"/>
        </w:rPr>
        <w:t xml:space="preserve">. </w:t>
      </w:r>
      <w:r w:rsidR="005901AC">
        <w:rPr>
          <w:rFonts w:ascii="Times New Roman" w:hAnsi="Times New Roman" w:cs="Times New Roman"/>
          <w:sz w:val="24"/>
          <w:szCs w:val="24"/>
        </w:rPr>
        <w:t>Rather, e</w:t>
      </w:r>
      <w:r w:rsidR="00537152">
        <w:rPr>
          <w:rFonts w:ascii="Times New Roman" w:hAnsi="Times New Roman" w:cs="Times New Roman"/>
          <w:sz w:val="24"/>
          <w:szCs w:val="24"/>
        </w:rPr>
        <w:t xml:space="preserve">ach provision of the Covenant </w:t>
      </w:r>
      <w:r w:rsidR="00DC0444">
        <w:rPr>
          <w:rFonts w:ascii="Times New Roman" w:hAnsi="Times New Roman" w:cs="Times New Roman"/>
          <w:sz w:val="24"/>
          <w:szCs w:val="24"/>
        </w:rPr>
        <w:t>should be interpreted and applied independently</w:t>
      </w:r>
      <w:r w:rsidR="00D771D2">
        <w:rPr>
          <w:rFonts w:ascii="Times New Roman" w:hAnsi="Times New Roman" w:cs="Times New Roman"/>
          <w:sz w:val="24"/>
          <w:szCs w:val="24"/>
        </w:rPr>
        <w:t>.</w:t>
      </w:r>
    </w:p>
    <w:p w14:paraId="5FDE38D6" w14:textId="36EA3809" w:rsidR="008371C0" w:rsidRPr="000D0FFA" w:rsidRDefault="008371C0" w:rsidP="008371C0">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520F98">
        <w:rPr>
          <w:rFonts w:ascii="Times New Roman" w:hAnsi="Times New Roman" w:cs="Times New Roman"/>
          <w:sz w:val="24"/>
          <w:szCs w:val="24"/>
        </w:rPr>
        <w:t xml:space="preserve">Many paragraphs of the draft General Comment relate to </w:t>
      </w:r>
      <w:r>
        <w:rPr>
          <w:rFonts w:ascii="Times New Roman" w:hAnsi="Times New Roman" w:cs="Times New Roman"/>
          <w:sz w:val="24"/>
          <w:szCs w:val="24"/>
        </w:rPr>
        <w:t>obligations</w:t>
      </w:r>
      <w:r w:rsidR="00D771D2">
        <w:rPr>
          <w:rFonts w:ascii="Times New Roman" w:hAnsi="Times New Roman" w:cs="Times New Roman"/>
          <w:sz w:val="24"/>
          <w:szCs w:val="24"/>
        </w:rPr>
        <w:t xml:space="preserve"> that are the subject of a separate, </w:t>
      </w:r>
      <w:r w:rsidRPr="00520F98">
        <w:rPr>
          <w:rFonts w:ascii="Times New Roman" w:hAnsi="Times New Roman" w:cs="Times New Roman"/>
          <w:sz w:val="24"/>
          <w:szCs w:val="24"/>
        </w:rPr>
        <w:t>specific treaty</w:t>
      </w:r>
      <w:r w:rsidRPr="000D0FFA">
        <w:rPr>
          <w:rFonts w:ascii="Times New Roman" w:hAnsi="Times New Roman" w:cs="Times New Roman"/>
          <w:sz w:val="24"/>
          <w:szCs w:val="24"/>
        </w:rPr>
        <w:t xml:space="preserve"> </w:t>
      </w:r>
      <w:r>
        <w:rPr>
          <w:rFonts w:ascii="Times New Roman" w:hAnsi="Times New Roman" w:cs="Times New Roman"/>
          <w:sz w:val="24"/>
          <w:szCs w:val="24"/>
        </w:rPr>
        <w:t xml:space="preserve">or </w:t>
      </w:r>
      <w:r w:rsidRPr="00520F98">
        <w:rPr>
          <w:rFonts w:ascii="Times New Roman" w:hAnsi="Times New Roman" w:cs="Times New Roman"/>
          <w:sz w:val="24"/>
          <w:szCs w:val="24"/>
        </w:rPr>
        <w:t xml:space="preserve">a specific </w:t>
      </w:r>
      <w:r w:rsidRPr="000D0FFA">
        <w:rPr>
          <w:rFonts w:ascii="Times New Roman" w:hAnsi="Times New Roman" w:cs="Times New Roman"/>
          <w:sz w:val="24"/>
          <w:szCs w:val="24"/>
        </w:rPr>
        <w:t xml:space="preserve">area of international law. Australia respectfully submits that these matters should be dealt with in the context of those treaties and </w:t>
      </w:r>
      <w:r w:rsidR="00B521E5">
        <w:rPr>
          <w:rFonts w:ascii="Times New Roman" w:hAnsi="Times New Roman" w:cs="Times New Roman"/>
          <w:sz w:val="24"/>
          <w:szCs w:val="24"/>
        </w:rPr>
        <w:t xml:space="preserve">those </w:t>
      </w:r>
      <w:r w:rsidRPr="000D0FFA">
        <w:rPr>
          <w:rFonts w:ascii="Times New Roman" w:hAnsi="Times New Roman" w:cs="Times New Roman"/>
          <w:sz w:val="24"/>
          <w:szCs w:val="24"/>
        </w:rPr>
        <w:t>areas of international law.</w:t>
      </w:r>
      <w:r>
        <w:rPr>
          <w:rFonts w:ascii="Times New Roman" w:hAnsi="Times New Roman" w:cs="Times New Roman"/>
          <w:sz w:val="24"/>
          <w:szCs w:val="24"/>
        </w:rPr>
        <w:t xml:space="preserve"> For example, rights or obligations which arise under:</w:t>
      </w:r>
    </w:p>
    <w:p w14:paraId="6B3759D5" w14:textId="77777777" w:rsidR="008371C0" w:rsidRPr="00B25151" w:rsidRDefault="008371C0" w:rsidP="008371C0">
      <w:pPr>
        <w:pStyle w:val="ListParagraph"/>
        <w:widowControl w:val="0"/>
        <w:numPr>
          <w:ilvl w:val="1"/>
          <w:numId w:val="1"/>
        </w:numPr>
        <w:spacing w:before="100" w:beforeAutospacing="1" w:after="240" w:line="24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w:t>
      </w:r>
      <w:r w:rsidRPr="00B25151">
        <w:rPr>
          <w:rFonts w:ascii="Times New Roman" w:hAnsi="Times New Roman" w:cs="Times New Roman"/>
          <w:sz w:val="24"/>
          <w:szCs w:val="24"/>
        </w:rPr>
        <w:t>International Covenant on Economic, Social and Cultural Rights</w:t>
      </w:r>
      <w:r>
        <w:rPr>
          <w:rFonts w:ascii="Times New Roman" w:hAnsi="Times New Roman" w:cs="Times New Roman"/>
          <w:sz w:val="24"/>
          <w:szCs w:val="24"/>
        </w:rPr>
        <w:t>, including</w:t>
      </w:r>
      <w:r w:rsidRPr="00B25151">
        <w:rPr>
          <w:rFonts w:ascii="Times New Roman" w:hAnsi="Times New Roman" w:cs="Times New Roman"/>
          <w:sz w:val="24"/>
          <w:szCs w:val="24"/>
        </w:rPr>
        <w:t xml:space="preserve"> issues related to ‘extreme poverty and homelessness’ and ‘health-care’, which Australia considers fall within the scope of</w:t>
      </w:r>
      <w:r>
        <w:rPr>
          <w:rFonts w:ascii="Times New Roman" w:hAnsi="Times New Roman" w:cs="Times New Roman"/>
          <w:sz w:val="24"/>
          <w:szCs w:val="24"/>
        </w:rPr>
        <w:t xml:space="preserve"> that Covenant</w:t>
      </w:r>
      <w:r>
        <w:rPr>
          <w:rStyle w:val="FootnoteReference"/>
          <w:rFonts w:ascii="Times New Roman" w:hAnsi="Times New Roman" w:cs="Times New Roman"/>
          <w:sz w:val="24"/>
          <w:szCs w:val="24"/>
        </w:rPr>
        <w:footnoteReference w:id="8"/>
      </w:r>
    </w:p>
    <w:p w14:paraId="457E3664" w14:textId="77777777" w:rsidR="008371C0" w:rsidRDefault="008371C0" w:rsidP="008371C0">
      <w:pPr>
        <w:pStyle w:val="ListParagraph"/>
        <w:widowControl w:val="0"/>
        <w:numPr>
          <w:ilvl w:val="1"/>
          <w:numId w:val="1"/>
        </w:numPr>
        <w:spacing w:before="100" w:beforeAutospacing="1" w:after="240" w:line="240" w:lineRule="auto"/>
        <w:ind w:left="1077" w:hanging="357"/>
        <w:contextualSpacing w:val="0"/>
        <w:jc w:val="both"/>
        <w:rPr>
          <w:rFonts w:ascii="Times New Roman" w:hAnsi="Times New Roman" w:cs="Times New Roman"/>
          <w:sz w:val="24"/>
          <w:szCs w:val="24"/>
        </w:rPr>
      </w:pPr>
      <w:r w:rsidRPr="00520F98">
        <w:rPr>
          <w:rFonts w:ascii="Times New Roman" w:hAnsi="Times New Roman" w:cs="Times New Roman"/>
          <w:sz w:val="24"/>
          <w:szCs w:val="24"/>
        </w:rPr>
        <w:t>international humanitarian law</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and</w:t>
      </w:r>
    </w:p>
    <w:p w14:paraId="15F97778" w14:textId="77777777" w:rsidR="008371C0" w:rsidRDefault="008371C0" w:rsidP="008371C0">
      <w:pPr>
        <w:pStyle w:val="ListParagraph"/>
        <w:widowControl w:val="0"/>
        <w:numPr>
          <w:ilvl w:val="1"/>
          <w:numId w:val="1"/>
        </w:numPr>
        <w:spacing w:before="100" w:beforeAutospacing="1" w:after="240" w:line="24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international environmental law.</w:t>
      </w:r>
      <w:r>
        <w:rPr>
          <w:rStyle w:val="FootnoteReference"/>
          <w:rFonts w:ascii="Times New Roman" w:hAnsi="Times New Roman" w:cs="Times New Roman"/>
          <w:sz w:val="24"/>
          <w:szCs w:val="24"/>
        </w:rPr>
        <w:footnoteReference w:id="10"/>
      </w:r>
    </w:p>
    <w:p w14:paraId="1E68E19B" w14:textId="640D272F" w:rsidR="008371C0" w:rsidRPr="005B0B63" w:rsidRDefault="008371C0" w:rsidP="002A164E">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520F98">
        <w:rPr>
          <w:rFonts w:ascii="Times New Roman" w:hAnsi="Times New Roman" w:cs="Times New Roman"/>
          <w:sz w:val="24"/>
          <w:szCs w:val="24"/>
        </w:rPr>
        <w:t xml:space="preserve">Even where Australia agrees with </w:t>
      </w:r>
      <w:r>
        <w:rPr>
          <w:rFonts w:ascii="Times New Roman" w:hAnsi="Times New Roman" w:cs="Times New Roman"/>
          <w:sz w:val="24"/>
          <w:szCs w:val="24"/>
        </w:rPr>
        <w:t>certain</w:t>
      </w:r>
      <w:r w:rsidRPr="00520F98">
        <w:rPr>
          <w:rFonts w:ascii="Times New Roman" w:hAnsi="Times New Roman" w:cs="Times New Roman"/>
          <w:sz w:val="24"/>
          <w:szCs w:val="24"/>
        </w:rPr>
        <w:t xml:space="preserve"> general proposition</w:t>
      </w:r>
      <w:r>
        <w:rPr>
          <w:rFonts w:ascii="Times New Roman" w:hAnsi="Times New Roman" w:cs="Times New Roman"/>
          <w:sz w:val="24"/>
          <w:szCs w:val="24"/>
        </w:rPr>
        <w:t>s</w:t>
      </w:r>
      <w:r w:rsidRPr="00520F98">
        <w:rPr>
          <w:rFonts w:ascii="Times New Roman" w:hAnsi="Times New Roman" w:cs="Times New Roman"/>
          <w:sz w:val="24"/>
          <w:szCs w:val="24"/>
        </w:rPr>
        <w:t xml:space="preserve"> </w:t>
      </w:r>
      <w:r>
        <w:rPr>
          <w:rFonts w:ascii="Times New Roman" w:hAnsi="Times New Roman" w:cs="Times New Roman"/>
          <w:sz w:val="24"/>
          <w:szCs w:val="24"/>
        </w:rPr>
        <w:t xml:space="preserve">in the </w:t>
      </w:r>
      <w:r w:rsidRPr="0005663D">
        <w:rPr>
          <w:rFonts w:ascii="Times New Roman" w:hAnsi="Times New Roman" w:cs="Times New Roman"/>
          <w:sz w:val="24"/>
          <w:szCs w:val="24"/>
        </w:rPr>
        <w:t xml:space="preserve">draft </w:t>
      </w:r>
      <w:r>
        <w:rPr>
          <w:rFonts w:ascii="Times New Roman" w:hAnsi="Times New Roman" w:cs="Times New Roman"/>
          <w:sz w:val="24"/>
          <w:szCs w:val="24"/>
        </w:rPr>
        <w:t>General Comment</w:t>
      </w:r>
      <w:r w:rsidRPr="00520F98">
        <w:rPr>
          <w:rFonts w:ascii="Times New Roman" w:hAnsi="Times New Roman" w:cs="Times New Roman"/>
          <w:sz w:val="24"/>
          <w:szCs w:val="24"/>
        </w:rPr>
        <w:t>, Australia note</w:t>
      </w:r>
      <w:r>
        <w:rPr>
          <w:rFonts w:ascii="Times New Roman" w:hAnsi="Times New Roman" w:cs="Times New Roman"/>
          <w:sz w:val="24"/>
          <w:szCs w:val="24"/>
        </w:rPr>
        <w:t>s</w:t>
      </w:r>
      <w:r w:rsidRPr="00520F98">
        <w:rPr>
          <w:rFonts w:ascii="Times New Roman" w:hAnsi="Times New Roman" w:cs="Times New Roman"/>
          <w:sz w:val="24"/>
          <w:szCs w:val="24"/>
        </w:rPr>
        <w:t xml:space="preserve"> </w:t>
      </w:r>
      <w:r w:rsidR="00F401F2">
        <w:rPr>
          <w:rFonts w:ascii="Times New Roman" w:hAnsi="Times New Roman" w:cs="Times New Roman"/>
          <w:sz w:val="24"/>
          <w:szCs w:val="24"/>
        </w:rPr>
        <w:t xml:space="preserve">that these are </w:t>
      </w:r>
      <w:r w:rsidR="00D771D2">
        <w:rPr>
          <w:rFonts w:ascii="Times New Roman" w:hAnsi="Times New Roman" w:cs="Times New Roman"/>
          <w:sz w:val="24"/>
          <w:szCs w:val="24"/>
        </w:rPr>
        <w:t>sometimes</w:t>
      </w:r>
      <w:r w:rsidR="00F401F2">
        <w:rPr>
          <w:rFonts w:ascii="Times New Roman" w:hAnsi="Times New Roman" w:cs="Times New Roman"/>
          <w:sz w:val="24"/>
          <w:szCs w:val="24"/>
        </w:rPr>
        <w:t xml:space="preserve"> </w:t>
      </w:r>
      <w:r w:rsidR="002A164E">
        <w:rPr>
          <w:rFonts w:ascii="Times New Roman" w:hAnsi="Times New Roman" w:cs="Times New Roman"/>
          <w:sz w:val="24"/>
          <w:szCs w:val="24"/>
        </w:rPr>
        <w:t>illustrated</w:t>
      </w:r>
      <w:r w:rsidR="00F401F2">
        <w:rPr>
          <w:rFonts w:ascii="Times New Roman" w:hAnsi="Times New Roman" w:cs="Times New Roman"/>
          <w:sz w:val="24"/>
          <w:szCs w:val="24"/>
        </w:rPr>
        <w:t xml:space="preserve"> by </w:t>
      </w:r>
      <w:r w:rsidRPr="00520F98">
        <w:rPr>
          <w:rFonts w:ascii="Times New Roman" w:hAnsi="Times New Roman" w:cs="Times New Roman"/>
          <w:sz w:val="24"/>
          <w:szCs w:val="24"/>
        </w:rPr>
        <w:t>examples</w:t>
      </w:r>
      <w:r>
        <w:rPr>
          <w:rFonts w:ascii="Times New Roman" w:hAnsi="Times New Roman" w:cs="Times New Roman"/>
          <w:sz w:val="24"/>
          <w:szCs w:val="24"/>
        </w:rPr>
        <w:t xml:space="preserve"> of conduct in the </w:t>
      </w:r>
      <w:r w:rsidRPr="0005663D">
        <w:rPr>
          <w:rFonts w:ascii="Times New Roman" w:hAnsi="Times New Roman" w:cs="Times New Roman"/>
          <w:sz w:val="24"/>
          <w:szCs w:val="24"/>
        </w:rPr>
        <w:t xml:space="preserve">draft </w:t>
      </w:r>
      <w:r>
        <w:rPr>
          <w:rFonts w:ascii="Times New Roman" w:hAnsi="Times New Roman" w:cs="Times New Roman"/>
          <w:sz w:val="24"/>
          <w:szCs w:val="24"/>
        </w:rPr>
        <w:t>General</w:t>
      </w:r>
      <w:r w:rsidR="005901AC">
        <w:rPr>
          <w:rFonts w:ascii="Times New Roman" w:hAnsi="Times New Roman" w:cs="Times New Roman"/>
          <w:sz w:val="24"/>
          <w:szCs w:val="24"/>
        </w:rPr>
        <w:t> </w:t>
      </w:r>
      <w:r>
        <w:rPr>
          <w:rFonts w:ascii="Times New Roman" w:hAnsi="Times New Roman" w:cs="Times New Roman"/>
          <w:sz w:val="24"/>
          <w:szCs w:val="24"/>
        </w:rPr>
        <w:t xml:space="preserve">Comment </w:t>
      </w:r>
      <w:r w:rsidR="002A164E">
        <w:rPr>
          <w:rFonts w:ascii="Times New Roman" w:hAnsi="Times New Roman" w:cs="Times New Roman"/>
          <w:sz w:val="24"/>
          <w:szCs w:val="24"/>
        </w:rPr>
        <w:t xml:space="preserve">that do not contain sufficient </w:t>
      </w:r>
      <w:r>
        <w:rPr>
          <w:rFonts w:ascii="Times New Roman" w:hAnsi="Times New Roman" w:cs="Times New Roman"/>
          <w:sz w:val="24"/>
          <w:szCs w:val="24"/>
        </w:rPr>
        <w:t xml:space="preserve">factual </w:t>
      </w:r>
      <w:r w:rsidR="005901AC">
        <w:rPr>
          <w:rFonts w:ascii="Times New Roman" w:hAnsi="Times New Roman" w:cs="Times New Roman"/>
          <w:sz w:val="24"/>
          <w:szCs w:val="24"/>
        </w:rPr>
        <w:t>context</w:t>
      </w:r>
      <w:r>
        <w:rPr>
          <w:rFonts w:ascii="Times New Roman" w:hAnsi="Times New Roman" w:cs="Times New Roman"/>
          <w:sz w:val="24"/>
          <w:szCs w:val="24"/>
        </w:rPr>
        <w:t xml:space="preserve"> </w:t>
      </w:r>
      <w:r w:rsidR="002A164E">
        <w:rPr>
          <w:rFonts w:ascii="Times New Roman" w:hAnsi="Times New Roman" w:cs="Times New Roman"/>
          <w:sz w:val="24"/>
          <w:szCs w:val="24"/>
        </w:rPr>
        <w:t>to support the general propositions</w:t>
      </w:r>
      <w:r w:rsidRPr="00520F98">
        <w:rPr>
          <w:rFonts w:ascii="Times New Roman" w:hAnsi="Times New Roman" w:cs="Times New Roman"/>
          <w:sz w:val="24"/>
          <w:szCs w:val="24"/>
        </w:rPr>
        <w:t xml:space="preserve">. </w:t>
      </w:r>
      <w:r w:rsidR="00F401F2">
        <w:rPr>
          <w:rFonts w:ascii="Times New Roman" w:hAnsi="Times New Roman" w:cs="Times New Roman"/>
          <w:sz w:val="24"/>
          <w:szCs w:val="24"/>
        </w:rPr>
        <w:t>While, f</w:t>
      </w:r>
      <w:r w:rsidRPr="00520F98">
        <w:rPr>
          <w:rFonts w:ascii="Times New Roman" w:hAnsi="Times New Roman" w:cs="Times New Roman"/>
          <w:sz w:val="24"/>
          <w:szCs w:val="24"/>
        </w:rPr>
        <w:t>rom a policy perspective</w:t>
      </w:r>
      <w:r>
        <w:rPr>
          <w:rFonts w:ascii="Times New Roman" w:hAnsi="Times New Roman" w:cs="Times New Roman"/>
          <w:sz w:val="24"/>
          <w:szCs w:val="24"/>
        </w:rPr>
        <w:t xml:space="preserve">, </w:t>
      </w:r>
      <w:r w:rsidR="00B91A4D">
        <w:rPr>
          <w:rFonts w:ascii="Times New Roman" w:hAnsi="Times New Roman" w:cs="Times New Roman"/>
          <w:sz w:val="24"/>
          <w:szCs w:val="24"/>
        </w:rPr>
        <w:t>certain</w:t>
      </w:r>
      <w:r w:rsidRPr="00520F98">
        <w:rPr>
          <w:rFonts w:ascii="Times New Roman" w:hAnsi="Times New Roman" w:cs="Times New Roman"/>
          <w:sz w:val="24"/>
          <w:szCs w:val="24"/>
        </w:rPr>
        <w:t xml:space="preserve"> examples</w:t>
      </w:r>
      <w:r w:rsidR="00F401F2">
        <w:rPr>
          <w:rFonts w:ascii="Times New Roman" w:hAnsi="Times New Roman" w:cs="Times New Roman"/>
          <w:sz w:val="24"/>
          <w:szCs w:val="24"/>
        </w:rPr>
        <w:t xml:space="preserve"> may be relevan</w:t>
      </w:r>
      <w:r w:rsidR="00B91A4D">
        <w:rPr>
          <w:rFonts w:ascii="Times New Roman" w:hAnsi="Times New Roman" w:cs="Times New Roman"/>
          <w:sz w:val="24"/>
          <w:szCs w:val="24"/>
        </w:rPr>
        <w:t>t to particular States Parties</w:t>
      </w:r>
      <w:r w:rsidRPr="00520F98">
        <w:rPr>
          <w:rFonts w:ascii="Times New Roman" w:hAnsi="Times New Roman" w:cs="Times New Roman"/>
          <w:sz w:val="24"/>
          <w:szCs w:val="24"/>
        </w:rPr>
        <w:t xml:space="preserve">, Australia is concerned </w:t>
      </w:r>
      <w:r>
        <w:rPr>
          <w:rFonts w:ascii="Times New Roman" w:hAnsi="Times New Roman" w:cs="Times New Roman"/>
          <w:sz w:val="24"/>
          <w:szCs w:val="24"/>
        </w:rPr>
        <w:t>about the</w:t>
      </w:r>
      <w:r w:rsidRPr="00520F98">
        <w:rPr>
          <w:rFonts w:ascii="Times New Roman" w:hAnsi="Times New Roman" w:cs="Times New Roman"/>
          <w:sz w:val="24"/>
          <w:szCs w:val="24"/>
        </w:rPr>
        <w:t xml:space="preserve"> framing </w:t>
      </w:r>
      <w:r>
        <w:rPr>
          <w:rFonts w:ascii="Times New Roman" w:hAnsi="Times New Roman" w:cs="Times New Roman"/>
          <w:sz w:val="24"/>
          <w:szCs w:val="24"/>
        </w:rPr>
        <w:t xml:space="preserve">of </w:t>
      </w:r>
      <w:r w:rsidR="00B91A4D">
        <w:rPr>
          <w:rFonts w:ascii="Times New Roman" w:hAnsi="Times New Roman" w:cs="Times New Roman"/>
          <w:sz w:val="24"/>
          <w:szCs w:val="24"/>
        </w:rPr>
        <w:t>some</w:t>
      </w:r>
      <w:r w:rsidR="000F7B94">
        <w:rPr>
          <w:rFonts w:ascii="Times New Roman" w:hAnsi="Times New Roman" w:cs="Times New Roman"/>
          <w:sz w:val="24"/>
          <w:szCs w:val="24"/>
        </w:rPr>
        <w:t xml:space="preserve"> examples</w:t>
      </w:r>
      <w:r w:rsidRPr="00520F98">
        <w:rPr>
          <w:rFonts w:ascii="Times New Roman" w:hAnsi="Times New Roman" w:cs="Times New Roman"/>
          <w:sz w:val="24"/>
          <w:szCs w:val="24"/>
        </w:rPr>
        <w:t xml:space="preserve"> in mandatory terms</w:t>
      </w:r>
      <w:r w:rsidR="00B91A4D">
        <w:rPr>
          <w:rFonts w:ascii="Times New Roman" w:hAnsi="Times New Roman" w:cs="Times New Roman"/>
          <w:sz w:val="24"/>
          <w:szCs w:val="24"/>
        </w:rPr>
        <w:t>. Australia notes</w:t>
      </w:r>
      <w:r w:rsidR="00F401F2">
        <w:rPr>
          <w:rFonts w:ascii="Times New Roman" w:hAnsi="Times New Roman" w:cs="Times New Roman"/>
          <w:sz w:val="24"/>
          <w:szCs w:val="24"/>
        </w:rPr>
        <w:t>, for</w:t>
      </w:r>
      <w:r>
        <w:rPr>
          <w:rFonts w:ascii="Times New Roman" w:hAnsi="Times New Roman" w:cs="Times New Roman"/>
          <w:sz w:val="24"/>
          <w:szCs w:val="24"/>
        </w:rPr>
        <w:t xml:space="preserve"> </w:t>
      </w:r>
      <w:r w:rsidR="00F401F2">
        <w:rPr>
          <w:rFonts w:ascii="Times New Roman" w:hAnsi="Times New Roman" w:cs="Times New Roman"/>
          <w:sz w:val="24"/>
          <w:szCs w:val="24"/>
        </w:rPr>
        <w:t xml:space="preserve">example, </w:t>
      </w:r>
      <w:r w:rsidR="002A164E">
        <w:rPr>
          <w:rFonts w:ascii="Times New Roman" w:hAnsi="Times New Roman" w:cs="Times New Roman"/>
          <w:sz w:val="24"/>
          <w:szCs w:val="24"/>
        </w:rPr>
        <w:t xml:space="preserve">the statement that </w:t>
      </w:r>
      <w:r w:rsidR="00537152">
        <w:rPr>
          <w:rFonts w:ascii="Times New Roman" w:hAnsi="Times New Roman" w:cs="Times New Roman"/>
          <w:sz w:val="24"/>
          <w:szCs w:val="24"/>
        </w:rPr>
        <w:t>‘</w:t>
      </w:r>
      <w:r w:rsidR="002A164E">
        <w:rPr>
          <w:rFonts w:ascii="Times New Roman" w:hAnsi="Times New Roman" w:cs="Times New Roman"/>
          <w:sz w:val="24"/>
          <w:szCs w:val="24"/>
        </w:rPr>
        <w:t>[t]</w:t>
      </w:r>
      <w:r w:rsidR="002A164E" w:rsidRPr="002A164E">
        <w:rPr>
          <w:rFonts w:ascii="Times New Roman" w:hAnsi="Times New Roman" w:cs="Times New Roman"/>
          <w:sz w:val="24"/>
          <w:szCs w:val="24"/>
        </w:rPr>
        <w:t xml:space="preserve">he duty to protect the lives of women against the health risks associated with unsafe abortions requires States parties to ensure access for women and men, and, in particular, adolescents, to </w:t>
      </w:r>
      <w:r w:rsidR="00537152" w:rsidRPr="00537152">
        <w:rPr>
          <w:rFonts w:ascii="Times New Roman" w:hAnsi="Times New Roman" w:cs="Times New Roman"/>
          <w:sz w:val="24"/>
          <w:szCs w:val="24"/>
        </w:rPr>
        <w:t>information and education about reproductive options</w:t>
      </w:r>
      <w:r w:rsidR="00537152">
        <w:rPr>
          <w:rFonts w:ascii="Times New Roman" w:hAnsi="Times New Roman" w:cs="Times New Roman"/>
          <w:sz w:val="24"/>
          <w:szCs w:val="24"/>
        </w:rPr>
        <w:t>’</w:t>
      </w:r>
      <w:r w:rsidR="000F7B94">
        <w:rPr>
          <w:rFonts w:ascii="Times New Roman" w:hAnsi="Times New Roman" w:cs="Times New Roman"/>
          <w:sz w:val="24"/>
          <w:szCs w:val="24"/>
        </w:rPr>
        <w:t>.</w:t>
      </w:r>
      <w:r w:rsidR="000F7B94">
        <w:rPr>
          <w:rStyle w:val="FootnoteReference"/>
          <w:rFonts w:ascii="Times New Roman" w:hAnsi="Times New Roman" w:cs="Times New Roman"/>
          <w:sz w:val="24"/>
          <w:szCs w:val="24"/>
        </w:rPr>
        <w:footnoteReference w:id="11"/>
      </w:r>
    </w:p>
    <w:p w14:paraId="38A3B4D3" w14:textId="38112FE5" w:rsidR="008371C0" w:rsidRPr="00520F98" w:rsidRDefault="008371C0" w:rsidP="003A6835">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520F98">
        <w:rPr>
          <w:rFonts w:ascii="Times New Roman" w:hAnsi="Times New Roman" w:cs="Times New Roman"/>
          <w:sz w:val="24"/>
          <w:szCs w:val="24"/>
        </w:rPr>
        <w:t>Australia</w:t>
      </w:r>
      <w:r>
        <w:rPr>
          <w:rFonts w:ascii="Times New Roman" w:hAnsi="Times New Roman" w:cs="Times New Roman"/>
          <w:sz w:val="24"/>
          <w:szCs w:val="24"/>
        </w:rPr>
        <w:t xml:space="preserve"> </w:t>
      </w:r>
      <w:r w:rsidR="00F401F2">
        <w:rPr>
          <w:rFonts w:ascii="Times New Roman" w:hAnsi="Times New Roman" w:cs="Times New Roman"/>
          <w:sz w:val="24"/>
          <w:szCs w:val="24"/>
        </w:rPr>
        <w:t xml:space="preserve">also </w:t>
      </w:r>
      <w:r>
        <w:rPr>
          <w:rFonts w:ascii="Times New Roman" w:hAnsi="Times New Roman" w:cs="Times New Roman"/>
          <w:sz w:val="24"/>
          <w:szCs w:val="24"/>
        </w:rPr>
        <w:t xml:space="preserve">submits that confusion </w:t>
      </w:r>
      <w:r w:rsidR="00F401F2">
        <w:rPr>
          <w:rFonts w:ascii="Times New Roman" w:hAnsi="Times New Roman" w:cs="Times New Roman"/>
          <w:sz w:val="24"/>
          <w:szCs w:val="24"/>
        </w:rPr>
        <w:t>may be</w:t>
      </w:r>
      <w:r>
        <w:rPr>
          <w:rFonts w:ascii="Times New Roman" w:hAnsi="Times New Roman" w:cs="Times New Roman"/>
          <w:sz w:val="24"/>
          <w:szCs w:val="24"/>
        </w:rPr>
        <w:t xml:space="preserve"> created by the use of</w:t>
      </w:r>
      <w:r w:rsidRPr="00520F98">
        <w:rPr>
          <w:rFonts w:ascii="Times New Roman" w:hAnsi="Times New Roman" w:cs="Times New Roman"/>
          <w:sz w:val="24"/>
          <w:szCs w:val="24"/>
        </w:rPr>
        <w:t xml:space="preserve"> vague terms</w:t>
      </w:r>
      <w:r>
        <w:rPr>
          <w:rFonts w:ascii="Times New Roman" w:hAnsi="Times New Roman" w:cs="Times New Roman"/>
          <w:sz w:val="24"/>
          <w:szCs w:val="24"/>
        </w:rPr>
        <w:t xml:space="preserve"> in the draft General Comment</w:t>
      </w:r>
      <w:r w:rsidRPr="00520F98">
        <w:rPr>
          <w:rFonts w:ascii="Times New Roman" w:hAnsi="Times New Roman" w:cs="Times New Roman"/>
          <w:sz w:val="24"/>
          <w:szCs w:val="24"/>
        </w:rPr>
        <w:t xml:space="preserve"> which are </w:t>
      </w:r>
      <w:r w:rsidR="002A164E">
        <w:rPr>
          <w:rFonts w:ascii="Times New Roman" w:hAnsi="Times New Roman" w:cs="Times New Roman"/>
          <w:sz w:val="24"/>
          <w:szCs w:val="24"/>
        </w:rPr>
        <w:t>unnecessary and do not assist in</w:t>
      </w:r>
      <w:r w:rsidR="00F401F2">
        <w:rPr>
          <w:rFonts w:ascii="Times New Roman" w:hAnsi="Times New Roman" w:cs="Times New Roman"/>
          <w:sz w:val="24"/>
          <w:szCs w:val="24"/>
        </w:rPr>
        <w:t xml:space="preserve"> the implementation of Article 6 at </w:t>
      </w:r>
      <w:r w:rsidRPr="00520F98">
        <w:rPr>
          <w:rFonts w:ascii="Times New Roman" w:hAnsi="Times New Roman" w:cs="Times New Roman"/>
          <w:sz w:val="24"/>
          <w:szCs w:val="24"/>
        </w:rPr>
        <w:t>international law</w:t>
      </w:r>
      <w:r>
        <w:rPr>
          <w:rFonts w:ascii="Times New Roman" w:hAnsi="Times New Roman" w:cs="Times New Roman"/>
          <w:sz w:val="24"/>
          <w:szCs w:val="24"/>
        </w:rPr>
        <w:t>, for example:</w:t>
      </w:r>
    </w:p>
    <w:p w14:paraId="7B5CE15C" w14:textId="5249DC68" w:rsidR="008371C0" w:rsidRPr="00520F98" w:rsidRDefault="00F401F2" w:rsidP="003A6835">
      <w:pPr>
        <w:pStyle w:val="ListParagraph"/>
        <w:widowControl w:val="0"/>
        <w:numPr>
          <w:ilvl w:val="1"/>
          <w:numId w:val="1"/>
        </w:numPr>
        <w:spacing w:before="100" w:beforeAutospacing="1" w:after="240" w:line="24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t>the use of</w:t>
      </w:r>
      <w:r w:rsidR="008371C0" w:rsidRPr="00520F98">
        <w:rPr>
          <w:rFonts w:ascii="Times New Roman" w:hAnsi="Times New Roman" w:cs="Times New Roman"/>
          <w:sz w:val="24"/>
          <w:szCs w:val="24"/>
        </w:rPr>
        <w:t xml:space="preserve"> ‘heightened’ in the draft General Comment to</w:t>
      </w:r>
      <w:r w:rsidR="008371C0">
        <w:rPr>
          <w:rFonts w:ascii="Times New Roman" w:hAnsi="Times New Roman" w:cs="Times New Roman"/>
          <w:sz w:val="24"/>
          <w:szCs w:val="24"/>
        </w:rPr>
        <w:t xml:space="preserve"> qualify </w:t>
      </w:r>
      <w:r>
        <w:rPr>
          <w:rFonts w:ascii="Times New Roman" w:hAnsi="Times New Roman" w:cs="Times New Roman"/>
          <w:sz w:val="24"/>
          <w:szCs w:val="24"/>
        </w:rPr>
        <w:t xml:space="preserve">the term </w:t>
      </w:r>
      <w:r w:rsidR="008371C0">
        <w:rPr>
          <w:rFonts w:ascii="Times New Roman" w:hAnsi="Times New Roman" w:cs="Times New Roman"/>
          <w:sz w:val="24"/>
          <w:szCs w:val="24"/>
        </w:rPr>
        <w:t>‘obligation’ or ‘duty’,</w:t>
      </w:r>
      <w:r w:rsidR="008371C0" w:rsidRPr="00520F98">
        <w:rPr>
          <w:rStyle w:val="FootnoteReference"/>
          <w:rFonts w:ascii="Times New Roman" w:hAnsi="Times New Roman" w:cs="Times New Roman"/>
          <w:sz w:val="24"/>
          <w:szCs w:val="24"/>
        </w:rPr>
        <w:footnoteReference w:id="12"/>
      </w:r>
      <w:r w:rsidR="008371C0">
        <w:rPr>
          <w:rFonts w:ascii="Times New Roman" w:hAnsi="Times New Roman" w:cs="Times New Roman"/>
          <w:sz w:val="24"/>
          <w:szCs w:val="24"/>
        </w:rPr>
        <w:t xml:space="preserve"> and</w:t>
      </w:r>
    </w:p>
    <w:p w14:paraId="353E770A" w14:textId="42B2C2D7" w:rsidR="008371C0" w:rsidRPr="00520F98" w:rsidRDefault="00F401F2" w:rsidP="00977958">
      <w:pPr>
        <w:pStyle w:val="ListParagraph"/>
        <w:keepNext/>
        <w:keepLines/>
        <w:widowControl w:val="0"/>
        <w:numPr>
          <w:ilvl w:val="1"/>
          <w:numId w:val="1"/>
        </w:numPr>
        <w:spacing w:before="100" w:beforeAutospacing="1" w:after="240" w:line="240" w:lineRule="auto"/>
        <w:ind w:left="1077" w:hanging="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using the term </w:t>
      </w:r>
      <w:r w:rsidRPr="00520F98">
        <w:rPr>
          <w:rFonts w:ascii="Times New Roman" w:hAnsi="Times New Roman" w:cs="Times New Roman"/>
          <w:sz w:val="24"/>
          <w:szCs w:val="24"/>
        </w:rPr>
        <w:t>‘full</w:t>
      </w:r>
      <w:r w:rsidR="00537152">
        <w:rPr>
          <w:rFonts w:ascii="Times New Roman" w:hAnsi="Times New Roman" w:cs="Times New Roman"/>
          <w:sz w:val="24"/>
          <w:szCs w:val="24"/>
        </w:rPr>
        <w:t xml:space="preserve"> </w:t>
      </w:r>
      <w:r w:rsidR="008371C0" w:rsidRPr="00520F98">
        <w:rPr>
          <w:rFonts w:ascii="Times New Roman" w:hAnsi="Times New Roman" w:cs="Times New Roman"/>
          <w:sz w:val="24"/>
          <w:szCs w:val="24"/>
        </w:rPr>
        <w:t>reparation’</w:t>
      </w:r>
      <w:r w:rsidR="00B91A4D">
        <w:rPr>
          <w:rFonts w:ascii="Times New Roman" w:hAnsi="Times New Roman" w:cs="Times New Roman"/>
          <w:sz w:val="24"/>
          <w:szCs w:val="24"/>
        </w:rPr>
        <w:t xml:space="preserve">, which Australia submits </w:t>
      </w:r>
      <w:r w:rsidR="002A164E">
        <w:rPr>
          <w:rFonts w:ascii="Times New Roman" w:hAnsi="Times New Roman" w:cs="Times New Roman"/>
          <w:sz w:val="24"/>
          <w:szCs w:val="24"/>
        </w:rPr>
        <w:t>may not ac</w:t>
      </w:r>
      <w:r w:rsidR="005901AC">
        <w:rPr>
          <w:rFonts w:ascii="Times New Roman" w:hAnsi="Times New Roman" w:cs="Times New Roman"/>
          <w:sz w:val="24"/>
          <w:szCs w:val="24"/>
        </w:rPr>
        <w:t>curately reflect the obligation to provide an effective ‘remedy’</w:t>
      </w:r>
      <w:r w:rsidR="002A164E">
        <w:rPr>
          <w:rFonts w:ascii="Times New Roman" w:hAnsi="Times New Roman" w:cs="Times New Roman"/>
          <w:sz w:val="24"/>
          <w:szCs w:val="24"/>
        </w:rPr>
        <w:t xml:space="preserve"> </w:t>
      </w:r>
      <w:r w:rsidR="00537152">
        <w:rPr>
          <w:rFonts w:ascii="Times New Roman" w:hAnsi="Times New Roman" w:cs="Times New Roman"/>
          <w:sz w:val="24"/>
          <w:szCs w:val="24"/>
        </w:rPr>
        <w:t>in Article 2(3) of the Covenant</w:t>
      </w:r>
      <w:r w:rsidR="008371C0" w:rsidRPr="00520F98">
        <w:rPr>
          <w:rFonts w:ascii="Times New Roman" w:hAnsi="Times New Roman" w:cs="Times New Roman"/>
          <w:sz w:val="24"/>
          <w:szCs w:val="24"/>
        </w:rPr>
        <w:t>.</w:t>
      </w:r>
      <w:r w:rsidR="008371C0">
        <w:rPr>
          <w:rStyle w:val="FootnoteReference"/>
          <w:rFonts w:ascii="Times New Roman" w:hAnsi="Times New Roman" w:cs="Times New Roman"/>
          <w:sz w:val="24"/>
          <w:szCs w:val="24"/>
        </w:rPr>
        <w:footnoteReference w:id="13"/>
      </w:r>
    </w:p>
    <w:p w14:paraId="04E14F26" w14:textId="5EE9983B" w:rsidR="00B91A4D" w:rsidRPr="005B0B63" w:rsidRDefault="00B91A4D" w:rsidP="00B91A4D">
      <w:pPr>
        <w:pStyle w:val="ListParagraph"/>
        <w:widowControl w:val="0"/>
        <w:numPr>
          <w:ilvl w:val="0"/>
          <w:numId w:val="1"/>
        </w:numPr>
        <w:spacing w:before="100" w:beforeAutospacing="1" w:after="24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Further, Australia considers that it is unhelpful to extrapolate </w:t>
      </w:r>
      <w:r w:rsidR="002A164E">
        <w:rPr>
          <w:rFonts w:ascii="Times New Roman" w:hAnsi="Times New Roman" w:cs="Times New Roman"/>
          <w:sz w:val="24"/>
          <w:szCs w:val="24"/>
        </w:rPr>
        <w:t xml:space="preserve">general statements as to the scope of States Parties’ obligations under the Covenant from </w:t>
      </w:r>
      <w:r>
        <w:rPr>
          <w:rFonts w:ascii="Times New Roman" w:hAnsi="Times New Roman" w:cs="Times New Roman"/>
          <w:sz w:val="24"/>
          <w:szCs w:val="24"/>
        </w:rPr>
        <w:t>examples of the application of Article</w:t>
      </w:r>
      <w:r w:rsidR="002A164E">
        <w:rPr>
          <w:rFonts w:ascii="Times New Roman" w:hAnsi="Times New Roman" w:cs="Times New Roman"/>
          <w:sz w:val="24"/>
          <w:szCs w:val="24"/>
        </w:rPr>
        <w:t> </w:t>
      </w:r>
      <w:r>
        <w:rPr>
          <w:rFonts w:ascii="Times New Roman" w:hAnsi="Times New Roman" w:cs="Times New Roman"/>
          <w:sz w:val="24"/>
          <w:szCs w:val="24"/>
        </w:rPr>
        <w:t>6 in individual communications</w:t>
      </w:r>
      <w:r w:rsidRPr="00520F98">
        <w:rPr>
          <w:rFonts w:ascii="Times New Roman" w:hAnsi="Times New Roman" w:cs="Times New Roman"/>
          <w:sz w:val="24"/>
          <w:szCs w:val="24"/>
        </w:rPr>
        <w:t>.</w:t>
      </w:r>
      <w:r>
        <w:rPr>
          <w:rFonts w:ascii="Times New Roman" w:hAnsi="Times New Roman" w:cs="Times New Roman"/>
          <w:sz w:val="24"/>
          <w:szCs w:val="24"/>
        </w:rPr>
        <w:t xml:space="preserve"> </w:t>
      </w:r>
      <w:r w:rsidR="00537152">
        <w:rPr>
          <w:rFonts w:ascii="Times New Roman" w:hAnsi="Times New Roman" w:cs="Times New Roman"/>
          <w:sz w:val="24"/>
          <w:szCs w:val="24"/>
        </w:rPr>
        <w:t xml:space="preserve">In Australia’s view, such an approach does not allow the particular facts and contexts of each individual communication to be taken into account. </w:t>
      </w:r>
      <w:r>
        <w:rPr>
          <w:rFonts w:ascii="Times New Roman" w:hAnsi="Times New Roman" w:cs="Times New Roman"/>
          <w:sz w:val="24"/>
          <w:szCs w:val="24"/>
        </w:rPr>
        <w:t>Australia refers, f</w:t>
      </w:r>
      <w:r w:rsidRPr="005B0B63">
        <w:rPr>
          <w:rFonts w:ascii="Times New Roman" w:hAnsi="Times New Roman" w:cs="Times New Roman"/>
          <w:sz w:val="24"/>
          <w:szCs w:val="24"/>
        </w:rPr>
        <w:t xml:space="preserve">or example, </w:t>
      </w:r>
      <w:r>
        <w:rPr>
          <w:rFonts w:ascii="Times New Roman" w:hAnsi="Times New Roman" w:cs="Times New Roman"/>
          <w:sz w:val="24"/>
          <w:szCs w:val="24"/>
        </w:rPr>
        <w:t xml:space="preserve">to </w:t>
      </w:r>
      <w:r w:rsidRPr="005B0B63">
        <w:rPr>
          <w:rFonts w:ascii="Times New Roman" w:hAnsi="Times New Roman" w:cs="Times New Roman"/>
          <w:sz w:val="24"/>
          <w:szCs w:val="24"/>
        </w:rPr>
        <w:t>the u</w:t>
      </w:r>
      <w:r>
        <w:rPr>
          <w:rFonts w:ascii="Times New Roman" w:hAnsi="Times New Roman" w:cs="Times New Roman"/>
          <w:sz w:val="24"/>
          <w:szCs w:val="24"/>
        </w:rPr>
        <w:t xml:space="preserve">se of individual communications </w:t>
      </w:r>
      <w:r w:rsidRPr="005B0B63">
        <w:rPr>
          <w:rFonts w:ascii="Times New Roman" w:hAnsi="Times New Roman" w:cs="Times New Roman"/>
          <w:sz w:val="24"/>
          <w:szCs w:val="24"/>
        </w:rPr>
        <w:t>at paragraph 60 of the draft General Comment.</w:t>
      </w:r>
    </w:p>
    <w:p w14:paraId="386994C6" w14:textId="4203F27B" w:rsidR="008371C0" w:rsidRPr="00520F98" w:rsidRDefault="00F401F2" w:rsidP="00896603">
      <w:pPr>
        <w:pStyle w:val="ListParagraph"/>
        <w:widowControl w:val="0"/>
        <w:numPr>
          <w:ilvl w:val="0"/>
          <w:numId w:val="1"/>
        </w:numPr>
        <w:spacing w:before="100" w:beforeAutospacing="1" w:after="24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F</w:t>
      </w:r>
      <w:r w:rsidR="00B91A4D">
        <w:rPr>
          <w:rFonts w:ascii="Times New Roman" w:hAnsi="Times New Roman" w:cs="Times New Roman"/>
          <w:sz w:val="24"/>
          <w:szCs w:val="24"/>
        </w:rPr>
        <w:t>inally</w:t>
      </w:r>
      <w:r>
        <w:rPr>
          <w:rFonts w:ascii="Times New Roman" w:hAnsi="Times New Roman" w:cs="Times New Roman"/>
          <w:sz w:val="24"/>
          <w:szCs w:val="24"/>
        </w:rPr>
        <w:t xml:space="preserve">, </w:t>
      </w:r>
      <w:r w:rsidR="008371C0" w:rsidRPr="00520F98">
        <w:rPr>
          <w:rFonts w:ascii="Times New Roman" w:hAnsi="Times New Roman" w:cs="Times New Roman"/>
          <w:sz w:val="24"/>
          <w:szCs w:val="24"/>
        </w:rPr>
        <w:t>Australia does not agree with the characterisation of Article 6 as ‘the supreme right’.</w:t>
      </w:r>
      <w:r w:rsidR="008371C0" w:rsidRPr="00520F98">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r w:rsidR="008371C0" w:rsidRPr="00520F98">
        <w:rPr>
          <w:rFonts w:ascii="Times New Roman" w:hAnsi="Times New Roman" w:cs="Times New Roman"/>
          <w:sz w:val="24"/>
          <w:szCs w:val="24"/>
        </w:rPr>
        <w:t>Australia</w:t>
      </w:r>
      <w:r>
        <w:rPr>
          <w:rFonts w:ascii="Times New Roman" w:hAnsi="Times New Roman" w:cs="Times New Roman"/>
          <w:sz w:val="24"/>
          <w:szCs w:val="24"/>
        </w:rPr>
        <w:t>’s position</w:t>
      </w:r>
      <w:r w:rsidR="008371C0" w:rsidRPr="00520F98">
        <w:rPr>
          <w:rFonts w:ascii="Times New Roman" w:hAnsi="Times New Roman" w:cs="Times New Roman"/>
          <w:sz w:val="24"/>
          <w:szCs w:val="24"/>
        </w:rPr>
        <w:t xml:space="preserve"> is that there is no hierarchy of rights; all human rights are universal, indivisible and interdependent</w:t>
      </w:r>
      <w:r>
        <w:rPr>
          <w:rFonts w:ascii="Times New Roman" w:hAnsi="Times New Roman" w:cs="Times New Roman"/>
          <w:sz w:val="24"/>
          <w:szCs w:val="24"/>
        </w:rPr>
        <w:t>, and must be implemented as a matter of international law</w:t>
      </w:r>
      <w:r w:rsidR="008371C0" w:rsidRPr="00520F98">
        <w:rPr>
          <w:rFonts w:ascii="Times New Roman" w:hAnsi="Times New Roman" w:cs="Times New Roman"/>
          <w:sz w:val="24"/>
          <w:szCs w:val="24"/>
        </w:rPr>
        <w:t>.</w:t>
      </w:r>
      <w:r w:rsidR="008371C0" w:rsidRPr="00520F98">
        <w:rPr>
          <w:rStyle w:val="FootnoteReference"/>
          <w:rFonts w:ascii="Times New Roman" w:hAnsi="Times New Roman" w:cs="Times New Roman"/>
          <w:sz w:val="24"/>
          <w:szCs w:val="24"/>
        </w:rPr>
        <w:footnoteReference w:id="15"/>
      </w:r>
    </w:p>
    <w:p w14:paraId="0AD1C95D" w14:textId="3A20DBCA" w:rsidR="00683A70" w:rsidRPr="008371C0" w:rsidRDefault="008371C0" w:rsidP="008371C0">
      <w:pPr>
        <w:pStyle w:val="ListParagraph"/>
        <w:widowControl w:val="0"/>
        <w:numPr>
          <w:ilvl w:val="0"/>
          <w:numId w:val="1"/>
        </w:numPr>
        <w:spacing w:before="100" w:beforeAutospacing="1" w:after="240" w:line="240" w:lineRule="auto"/>
        <w:ind w:left="357" w:hanging="357"/>
        <w:contextualSpacing w:val="0"/>
        <w:jc w:val="both"/>
        <w:rPr>
          <w:rFonts w:ascii="Times New Roman" w:eastAsia="Dotum" w:hAnsi="Times New Roman" w:cs="Times New Roman"/>
          <w:sz w:val="24"/>
          <w:szCs w:val="24"/>
        </w:rPr>
      </w:pPr>
      <w:r w:rsidRPr="00520F98">
        <w:rPr>
          <w:rFonts w:ascii="Times New Roman" w:eastAsia="Dotum" w:hAnsi="Times New Roman" w:cs="Times New Roman"/>
          <w:sz w:val="24"/>
          <w:szCs w:val="24"/>
        </w:rPr>
        <w:t>Australia reiterates its support for the work of the Committee and avails itself of this opportunity to renew to the Committee the assurances of its highest consideration.</w:t>
      </w:r>
    </w:p>
    <w:sectPr w:rsidR="00683A70" w:rsidRPr="008371C0" w:rsidSect="00264319">
      <w:footerReference w:type="default" r:id="rId8"/>
      <w:pgSz w:w="11906" w:h="16838"/>
      <w:pgMar w:top="1134" w:right="1134" w:bottom="1134" w:left="1134" w:header="851"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5D57E" w14:textId="77777777" w:rsidR="0035490D" w:rsidRDefault="0035490D" w:rsidP="003C3423">
      <w:pPr>
        <w:spacing w:after="0" w:line="240" w:lineRule="auto"/>
      </w:pPr>
      <w:r>
        <w:separator/>
      </w:r>
    </w:p>
  </w:endnote>
  <w:endnote w:type="continuationSeparator" w:id="0">
    <w:p w14:paraId="2F5B13EB" w14:textId="77777777" w:rsidR="0035490D" w:rsidRDefault="0035490D" w:rsidP="003C3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542604"/>
      <w:docPartObj>
        <w:docPartGallery w:val="Page Numbers (Bottom of Page)"/>
        <w:docPartUnique/>
      </w:docPartObj>
    </w:sdtPr>
    <w:sdtEndPr/>
    <w:sdtContent>
      <w:sdt>
        <w:sdtPr>
          <w:id w:val="860082579"/>
          <w:docPartObj>
            <w:docPartGallery w:val="Page Numbers (Top of Page)"/>
            <w:docPartUnique/>
          </w:docPartObj>
        </w:sdtPr>
        <w:sdtEndPr/>
        <w:sdtContent>
          <w:p w14:paraId="3179F78B" w14:textId="7C40E2EA" w:rsidR="00026BF0" w:rsidRDefault="00026BF0" w:rsidP="00FF0290">
            <w:pPr>
              <w:pStyle w:val="Footer"/>
              <w:jc w:val="right"/>
            </w:pPr>
            <w:r w:rsidRPr="00E1214B">
              <w:rPr>
                <w:rFonts w:ascii="Times New Roman" w:hAnsi="Times New Roman" w:cs="Times New Roman"/>
              </w:rPr>
              <w:t xml:space="preserve">Page </w:t>
            </w:r>
            <w:r w:rsidRPr="00E1214B">
              <w:rPr>
                <w:rFonts w:ascii="Times New Roman" w:hAnsi="Times New Roman" w:cs="Times New Roman"/>
                <w:b/>
                <w:bCs/>
                <w:sz w:val="24"/>
                <w:szCs w:val="24"/>
              </w:rPr>
              <w:fldChar w:fldCharType="begin"/>
            </w:r>
            <w:r w:rsidRPr="00E1214B">
              <w:rPr>
                <w:rFonts w:ascii="Times New Roman" w:hAnsi="Times New Roman" w:cs="Times New Roman"/>
                <w:b/>
                <w:bCs/>
              </w:rPr>
              <w:instrText xml:space="preserve"> PAGE </w:instrText>
            </w:r>
            <w:r w:rsidRPr="00E1214B">
              <w:rPr>
                <w:rFonts w:ascii="Times New Roman" w:hAnsi="Times New Roman" w:cs="Times New Roman"/>
                <w:b/>
                <w:bCs/>
                <w:sz w:val="24"/>
                <w:szCs w:val="24"/>
              </w:rPr>
              <w:fldChar w:fldCharType="separate"/>
            </w:r>
            <w:r w:rsidR="004B110E">
              <w:rPr>
                <w:rFonts w:ascii="Times New Roman" w:hAnsi="Times New Roman" w:cs="Times New Roman"/>
                <w:b/>
                <w:bCs/>
                <w:noProof/>
              </w:rPr>
              <w:t>1</w:t>
            </w:r>
            <w:r w:rsidRPr="00E1214B">
              <w:rPr>
                <w:rFonts w:ascii="Times New Roman" w:hAnsi="Times New Roman" w:cs="Times New Roman"/>
                <w:b/>
                <w:bCs/>
                <w:sz w:val="24"/>
                <w:szCs w:val="24"/>
              </w:rPr>
              <w:fldChar w:fldCharType="end"/>
            </w:r>
            <w:r w:rsidRPr="00E1214B">
              <w:rPr>
                <w:rFonts w:ascii="Times New Roman" w:hAnsi="Times New Roman" w:cs="Times New Roman"/>
              </w:rPr>
              <w:t xml:space="preserve"> of </w:t>
            </w:r>
            <w:r w:rsidRPr="00E1214B">
              <w:rPr>
                <w:rFonts w:ascii="Times New Roman" w:hAnsi="Times New Roman" w:cs="Times New Roman"/>
                <w:b/>
                <w:bCs/>
                <w:sz w:val="24"/>
                <w:szCs w:val="24"/>
              </w:rPr>
              <w:fldChar w:fldCharType="begin"/>
            </w:r>
            <w:r w:rsidRPr="00E1214B">
              <w:rPr>
                <w:rFonts w:ascii="Times New Roman" w:hAnsi="Times New Roman" w:cs="Times New Roman"/>
                <w:b/>
                <w:bCs/>
              </w:rPr>
              <w:instrText xml:space="preserve"> NUMPAGES  </w:instrText>
            </w:r>
            <w:r w:rsidRPr="00E1214B">
              <w:rPr>
                <w:rFonts w:ascii="Times New Roman" w:hAnsi="Times New Roman" w:cs="Times New Roman"/>
                <w:b/>
                <w:bCs/>
                <w:sz w:val="24"/>
                <w:szCs w:val="24"/>
              </w:rPr>
              <w:fldChar w:fldCharType="separate"/>
            </w:r>
            <w:r w:rsidR="004B110E">
              <w:rPr>
                <w:rFonts w:ascii="Times New Roman" w:hAnsi="Times New Roman" w:cs="Times New Roman"/>
                <w:b/>
                <w:bCs/>
                <w:noProof/>
              </w:rPr>
              <w:t>3</w:t>
            </w:r>
            <w:r w:rsidRPr="00E1214B">
              <w:rPr>
                <w:rFonts w:ascii="Times New Roman" w:hAnsi="Times New Roman" w:cs="Times New Roman"/>
                <w:b/>
                <w:bCs/>
                <w:sz w:val="24"/>
                <w:szCs w:val="24"/>
              </w:rPr>
              <w:fldChar w:fldCharType="end"/>
            </w:r>
          </w:p>
        </w:sdtContent>
      </w:sdt>
    </w:sdtContent>
  </w:sdt>
  <w:p w14:paraId="2F1A58B4" w14:textId="77777777" w:rsidR="00026BF0" w:rsidRDefault="00026BF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3F315" w14:textId="77777777" w:rsidR="0035490D" w:rsidRDefault="0035490D" w:rsidP="003C3423">
      <w:pPr>
        <w:spacing w:after="0" w:line="240" w:lineRule="auto"/>
      </w:pPr>
      <w:r>
        <w:separator/>
      </w:r>
    </w:p>
  </w:footnote>
  <w:footnote w:type="continuationSeparator" w:id="0">
    <w:p w14:paraId="70F713D6" w14:textId="77777777" w:rsidR="0035490D" w:rsidRDefault="0035490D" w:rsidP="003C3423">
      <w:pPr>
        <w:spacing w:after="0" w:line="240" w:lineRule="auto"/>
      </w:pPr>
      <w:r>
        <w:continuationSeparator/>
      </w:r>
    </w:p>
  </w:footnote>
  <w:footnote w:id="1">
    <w:p w14:paraId="676691F5" w14:textId="77777777" w:rsidR="008371C0" w:rsidRPr="008F7F2A" w:rsidRDefault="008371C0" w:rsidP="008371C0">
      <w:pPr>
        <w:pStyle w:val="FootnoteText"/>
      </w:pPr>
      <w:r w:rsidRPr="008F7F2A">
        <w:rPr>
          <w:rStyle w:val="FootnoteReference"/>
        </w:rPr>
        <w:footnoteRef/>
      </w:r>
      <w:r>
        <w:t xml:space="preserve"> Human </w:t>
      </w:r>
      <w:r w:rsidRPr="008F7F2A">
        <w:t>Rights Committee, ‘General comment No. 36 on article 6 of the International Covenant on Civil and Political Rights, on the right to life’, adopted on First Reading during the 120</w:t>
      </w:r>
      <w:r w:rsidRPr="008F7F2A">
        <w:rPr>
          <w:vertAlign w:val="superscript"/>
        </w:rPr>
        <w:t>th</w:t>
      </w:r>
      <w:r w:rsidRPr="008F7F2A">
        <w:t xml:space="preserve"> Session (draft General Comment).</w:t>
      </w:r>
    </w:p>
  </w:footnote>
  <w:footnote w:id="2">
    <w:p w14:paraId="64FA50A6" w14:textId="77777777" w:rsidR="008371C0" w:rsidRPr="008F7F2A" w:rsidRDefault="008371C0" w:rsidP="008371C0">
      <w:pPr>
        <w:pStyle w:val="FootnoteText"/>
      </w:pPr>
      <w:r w:rsidRPr="008F7F2A">
        <w:rPr>
          <w:rStyle w:val="FootnoteReference"/>
        </w:rPr>
        <w:footnoteRef/>
      </w:r>
      <w:r w:rsidRPr="008F7F2A">
        <w:t xml:space="preserve"> </w:t>
      </w:r>
      <w:r w:rsidRPr="008F7F2A">
        <w:rPr>
          <w:i/>
        </w:rPr>
        <w:t>Vienna Convention on the Law of Treaties</w:t>
      </w:r>
      <w:r w:rsidRPr="008F7F2A">
        <w:t xml:space="preserve">, opened for signature 23 May 1969, 1155 </w:t>
      </w:r>
      <w:r w:rsidRPr="008F7F2A">
        <w:rPr>
          <w:bCs/>
        </w:rPr>
        <w:t>UNTS</w:t>
      </w:r>
      <w:r w:rsidRPr="008F7F2A">
        <w:t xml:space="preserve"> 331 (entered into force 27</w:t>
      </w:r>
      <w:r>
        <w:t> </w:t>
      </w:r>
      <w:r w:rsidRPr="008F7F2A">
        <w:t>January 1980).</w:t>
      </w:r>
    </w:p>
  </w:footnote>
  <w:footnote w:id="3">
    <w:p w14:paraId="23F60EFF" w14:textId="6C837243" w:rsidR="001D4164" w:rsidRDefault="001D4164">
      <w:pPr>
        <w:pStyle w:val="FootnoteText"/>
      </w:pPr>
      <w:r>
        <w:rPr>
          <w:rStyle w:val="FootnoteReference"/>
        </w:rPr>
        <w:footnoteRef/>
      </w:r>
      <w:r>
        <w:t xml:space="preserve"> Paragraph 3 of the draft General Comment.</w:t>
      </w:r>
    </w:p>
  </w:footnote>
  <w:footnote w:id="4">
    <w:p w14:paraId="63325011" w14:textId="167BD5A8" w:rsidR="001D4164" w:rsidRDefault="001D4164">
      <w:pPr>
        <w:pStyle w:val="FootnoteText"/>
      </w:pPr>
      <w:r>
        <w:rPr>
          <w:rStyle w:val="FootnoteReference"/>
        </w:rPr>
        <w:footnoteRef/>
      </w:r>
      <w:r>
        <w:t xml:space="preserve"> Paragraph 7 of the draft General Comment.</w:t>
      </w:r>
    </w:p>
  </w:footnote>
  <w:footnote w:id="5">
    <w:p w14:paraId="6C11D607" w14:textId="77777777" w:rsidR="002A164E" w:rsidRDefault="002A164E" w:rsidP="002A164E">
      <w:pPr>
        <w:pStyle w:val="FootnoteText"/>
      </w:pPr>
      <w:r>
        <w:rPr>
          <w:rStyle w:val="FootnoteReference"/>
        </w:rPr>
        <w:footnoteRef/>
      </w:r>
      <w:r>
        <w:t xml:space="preserve"> Paragraph 10 of the draft General Comment.</w:t>
      </w:r>
    </w:p>
  </w:footnote>
  <w:footnote w:id="6">
    <w:p w14:paraId="71F4D8AD" w14:textId="18D33A80" w:rsidR="008371C0" w:rsidRDefault="008371C0" w:rsidP="001D4164">
      <w:pPr>
        <w:pStyle w:val="FootnoteText"/>
        <w:tabs>
          <w:tab w:val="left" w:pos="4155"/>
        </w:tabs>
      </w:pPr>
      <w:r>
        <w:rPr>
          <w:rStyle w:val="FootnoteReference"/>
        </w:rPr>
        <w:footnoteRef/>
      </w:r>
      <w:r>
        <w:t xml:space="preserve"> Paragraph 30 of the draft General Comment.</w:t>
      </w:r>
    </w:p>
  </w:footnote>
  <w:footnote w:id="7">
    <w:p w14:paraId="29A90B50" w14:textId="08E961D8" w:rsidR="00B95EB6" w:rsidRDefault="00B95EB6">
      <w:pPr>
        <w:pStyle w:val="FootnoteText"/>
      </w:pPr>
      <w:r>
        <w:rPr>
          <w:rStyle w:val="FootnoteReference"/>
        </w:rPr>
        <w:footnoteRef/>
      </w:r>
      <w:r>
        <w:t xml:space="preserve"> </w:t>
      </w:r>
      <w:r w:rsidRPr="008F7F2A">
        <w:t>Paragraph</w:t>
      </w:r>
      <w:r>
        <w:t>s</w:t>
      </w:r>
      <w:r w:rsidRPr="008F7F2A">
        <w:t xml:space="preserve"> </w:t>
      </w:r>
      <w:r>
        <w:t>30 and 56</w:t>
      </w:r>
      <w:r w:rsidRPr="008F7F2A">
        <w:t xml:space="preserve"> of the draft General Comment.</w:t>
      </w:r>
    </w:p>
  </w:footnote>
  <w:footnote w:id="8">
    <w:p w14:paraId="7B856F7D" w14:textId="3BBCE9A3" w:rsidR="008371C0" w:rsidRDefault="008371C0" w:rsidP="008371C0">
      <w:pPr>
        <w:pStyle w:val="FootnoteText"/>
      </w:pPr>
      <w:r>
        <w:rPr>
          <w:rStyle w:val="FootnoteReference"/>
        </w:rPr>
        <w:footnoteRef/>
      </w:r>
      <w:r>
        <w:t xml:space="preserve"> </w:t>
      </w:r>
      <w:r w:rsidRPr="008F7F2A">
        <w:rPr>
          <w:i/>
        </w:rPr>
        <w:t>International Covenant on Economic, Social and Cultural Rights</w:t>
      </w:r>
      <w:r w:rsidRPr="008F7F2A">
        <w:t>, opened for signature 16 December 1966, 993</w:t>
      </w:r>
      <w:r>
        <w:t> </w:t>
      </w:r>
      <w:r w:rsidRPr="008F7F2A">
        <w:t>UNTS</w:t>
      </w:r>
      <w:r>
        <w:t> </w:t>
      </w:r>
      <w:r w:rsidRPr="008F7F2A">
        <w:t>3 (entered into force 3 November 1976)</w:t>
      </w:r>
      <w:r w:rsidR="00B91A4D">
        <w:t>; p</w:t>
      </w:r>
      <w:r>
        <w:t>aragraph</w:t>
      </w:r>
      <w:r w:rsidR="00BE47C1">
        <w:t>s 9 and</w:t>
      </w:r>
      <w:r>
        <w:t xml:space="preserve"> 30</w:t>
      </w:r>
      <w:r w:rsidRPr="002915C3">
        <w:t xml:space="preserve"> </w:t>
      </w:r>
      <w:r>
        <w:t>of the draft General Comment</w:t>
      </w:r>
      <w:r w:rsidRPr="008F7F2A">
        <w:t>.</w:t>
      </w:r>
    </w:p>
  </w:footnote>
  <w:footnote w:id="9">
    <w:p w14:paraId="4912F91C" w14:textId="77777777" w:rsidR="008371C0" w:rsidRDefault="008371C0" w:rsidP="008371C0">
      <w:pPr>
        <w:pStyle w:val="FootnoteText"/>
        <w:tabs>
          <w:tab w:val="left" w:pos="4125"/>
        </w:tabs>
      </w:pPr>
      <w:r>
        <w:rPr>
          <w:rStyle w:val="FootnoteReference"/>
        </w:rPr>
        <w:footnoteRef/>
      </w:r>
      <w:r>
        <w:t xml:space="preserve"> Paragraph 67 of the draft General Comment.</w:t>
      </w:r>
      <w:r>
        <w:tab/>
      </w:r>
    </w:p>
  </w:footnote>
  <w:footnote w:id="10">
    <w:p w14:paraId="77EB73D2" w14:textId="77777777" w:rsidR="008371C0" w:rsidRDefault="008371C0" w:rsidP="008371C0">
      <w:pPr>
        <w:pStyle w:val="FootnoteText"/>
      </w:pPr>
      <w:r>
        <w:rPr>
          <w:rStyle w:val="FootnoteReference"/>
        </w:rPr>
        <w:footnoteRef/>
      </w:r>
      <w:r>
        <w:t xml:space="preserve"> P</w:t>
      </w:r>
      <w:r w:rsidRPr="008F7F2A">
        <w:t>aragraph 65 of the draft General Comment.</w:t>
      </w:r>
    </w:p>
  </w:footnote>
  <w:footnote w:id="11">
    <w:p w14:paraId="3E79BFCA" w14:textId="1A31F0E2" w:rsidR="000F7B94" w:rsidRDefault="000F7B94">
      <w:pPr>
        <w:pStyle w:val="FootnoteText"/>
      </w:pPr>
      <w:r>
        <w:rPr>
          <w:rStyle w:val="FootnoteReference"/>
        </w:rPr>
        <w:footnoteRef/>
      </w:r>
      <w:r>
        <w:t xml:space="preserve"> P</w:t>
      </w:r>
      <w:r w:rsidRPr="008F7F2A">
        <w:t xml:space="preserve">aragraph </w:t>
      </w:r>
      <w:r>
        <w:t>9</w:t>
      </w:r>
      <w:r w:rsidRPr="008F7F2A">
        <w:t xml:space="preserve"> of the draft General Comment.</w:t>
      </w:r>
    </w:p>
  </w:footnote>
  <w:footnote w:id="12">
    <w:p w14:paraId="1EC73886" w14:textId="77777777" w:rsidR="008371C0" w:rsidRPr="008F7F2A" w:rsidRDefault="008371C0" w:rsidP="008371C0">
      <w:pPr>
        <w:pStyle w:val="FootnoteText"/>
      </w:pPr>
      <w:r w:rsidRPr="008F7F2A">
        <w:rPr>
          <w:rStyle w:val="FootnoteReference"/>
        </w:rPr>
        <w:footnoteRef/>
      </w:r>
      <w:r w:rsidRPr="008F7F2A">
        <w:t xml:space="preserve"> Paragraphs 29 and 33 of the draft General Comment.</w:t>
      </w:r>
    </w:p>
  </w:footnote>
  <w:footnote w:id="13">
    <w:p w14:paraId="5BD04279" w14:textId="77777777" w:rsidR="008371C0" w:rsidRDefault="008371C0" w:rsidP="008371C0">
      <w:pPr>
        <w:pStyle w:val="FootnoteText"/>
      </w:pPr>
      <w:r>
        <w:rPr>
          <w:rStyle w:val="FootnoteReference"/>
        </w:rPr>
        <w:footnoteRef/>
      </w:r>
      <w:r>
        <w:t xml:space="preserve"> Paragraphs 8, 23 and 32 of the draft General Comment. </w:t>
      </w:r>
    </w:p>
  </w:footnote>
  <w:footnote w:id="14">
    <w:p w14:paraId="5F92F4F8" w14:textId="77777777" w:rsidR="008371C0" w:rsidRPr="008F7F2A" w:rsidRDefault="008371C0" w:rsidP="008371C0">
      <w:pPr>
        <w:pStyle w:val="FootnoteText"/>
      </w:pPr>
      <w:r w:rsidRPr="008F7F2A">
        <w:rPr>
          <w:rStyle w:val="FootnoteReference"/>
        </w:rPr>
        <w:footnoteRef/>
      </w:r>
      <w:r w:rsidRPr="008F7F2A">
        <w:t xml:space="preserve"> Paragraph 2 of the draft General Comment.</w:t>
      </w:r>
    </w:p>
  </w:footnote>
  <w:footnote w:id="15">
    <w:p w14:paraId="23CCC635" w14:textId="77777777" w:rsidR="008371C0" w:rsidRPr="008F7F2A" w:rsidRDefault="008371C0" w:rsidP="008371C0">
      <w:pPr>
        <w:pStyle w:val="FootnoteText"/>
      </w:pPr>
      <w:r w:rsidRPr="008F7F2A">
        <w:rPr>
          <w:rStyle w:val="FootnoteReference"/>
        </w:rPr>
        <w:footnoteRef/>
      </w:r>
      <w:r w:rsidRPr="008F7F2A">
        <w:t xml:space="preserve"> See, for example, </w:t>
      </w:r>
      <w:r w:rsidRPr="008F7F2A">
        <w:rPr>
          <w:i/>
        </w:rPr>
        <w:t>Vienna Declaration and Programme of Action</w:t>
      </w:r>
      <w:r w:rsidRPr="008F7F2A">
        <w:t>, adopted by the World Conference on Human Rights in Vienna on 25 June 1993, paragraph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823"/>
    <w:multiLevelType w:val="hybridMultilevel"/>
    <w:tmpl w:val="90F0B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366E70"/>
    <w:multiLevelType w:val="hybridMultilevel"/>
    <w:tmpl w:val="1C462A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4D0532"/>
    <w:multiLevelType w:val="hybridMultilevel"/>
    <w:tmpl w:val="091835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27FA4EF2"/>
    <w:multiLevelType w:val="hybridMultilevel"/>
    <w:tmpl w:val="9C5CE05A"/>
    <w:lvl w:ilvl="0" w:tplc="EAF68EF0">
      <w:start w:val="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9B71555"/>
    <w:multiLevelType w:val="hybridMultilevel"/>
    <w:tmpl w:val="22127324"/>
    <w:lvl w:ilvl="0" w:tplc="0C090015">
      <w:start w:val="1"/>
      <w:numFmt w:val="upp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3A50FB2"/>
    <w:multiLevelType w:val="hybridMultilevel"/>
    <w:tmpl w:val="8D3CD0E0"/>
    <w:lvl w:ilvl="0" w:tplc="0C09001B">
      <w:start w:val="1"/>
      <w:numFmt w:val="lowerRoman"/>
      <w:lvlText w:val="%1."/>
      <w:lvlJc w:val="right"/>
      <w:pPr>
        <w:ind w:left="1080" w:hanging="360"/>
      </w:pPr>
      <w:rPr>
        <w:i w:val="0"/>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3E5E4A88"/>
    <w:multiLevelType w:val="hybridMultilevel"/>
    <w:tmpl w:val="3DA4294E"/>
    <w:lvl w:ilvl="0" w:tplc="4BC05EC2">
      <w:start w:val="1"/>
      <w:numFmt w:val="decimal"/>
      <w:lvlText w:val="%1."/>
      <w:lvlJc w:val="left"/>
      <w:pPr>
        <w:ind w:left="360" w:hanging="360"/>
      </w:pPr>
      <w:rPr>
        <w:rFonts w:ascii="Times New Roman" w:hAnsi="Times New Roman" w:cs="Times New Roman" w:hint="default"/>
        <w:i w:val="0"/>
      </w:rPr>
    </w:lvl>
    <w:lvl w:ilvl="1" w:tplc="21F28816">
      <w:start w:val="1"/>
      <w:numFmt w:val="bullet"/>
      <w:lvlText w:val="-"/>
      <w:lvlJc w:val="left"/>
      <w:pPr>
        <w:ind w:left="1440" w:hanging="360"/>
      </w:pPr>
      <w:rPr>
        <w:rFonts w:ascii="Courier New" w:hAnsi="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2E0478"/>
    <w:multiLevelType w:val="singleLevel"/>
    <w:tmpl w:val="789A2178"/>
    <w:lvl w:ilvl="0">
      <w:start w:val="2"/>
      <w:numFmt w:val="decimal"/>
      <w:pStyle w:val="Paragraphnumbered"/>
      <w:lvlText w:val="%1."/>
      <w:legacy w:legacy="1" w:legacySpace="0" w:legacyIndent="567"/>
      <w:lvlJc w:val="left"/>
      <w:pPr>
        <w:ind w:left="567" w:hanging="567"/>
      </w:pPr>
    </w:lvl>
  </w:abstractNum>
  <w:abstractNum w:abstractNumId="8" w15:restartNumberingAfterBreak="0">
    <w:nsid w:val="62080C37"/>
    <w:multiLevelType w:val="hybridMultilevel"/>
    <w:tmpl w:val="A11674A0"/>
    <w:lvl w:ilvl="0" w:tplc="1C902786">
      <w:start w:val="2"/>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3BF6051"/>
    <w:multiLevelType w:val="hybridMultilevel"/>
    <w:tmpl w:val="8D08DC64"/>
    <w:lvl w:ilvl="0" w:tplc="7598D2E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56B004A"/>
    <w:multiLevelType w:val="hybridMultilevel"/>
    <w:tmpl w:val="AAF88C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699D03F1"/>
    <w:multiLevelType w:val="hybridMultilevel"/>
    <w:tmpl w:val="ABE04B24"/>
    <w:lvl w:ilvl="0" w:tplc="4BC05EC2">
      <w:start w:val="1"/>
      <w:numFmt w:val="decimal"/>
      <w:lvlText w:val="%1."/>
      <w:lvlJc w:val="left"/>
      <w:pPr>
        <w:ind w:left="360" w:hanging="360"/>
      </w:pPr>
      <w:rPr>
        <w:rFonts w:ascii="Times New Roman" w:hAnsi="Times New Roman" w:cs="Times New Roman" w:hint="default"/>
        <w:i w:val="0"/>
      </w:rPr>
    </w:lvl>
    <w:lvl w:ilvl="1" w:tplc="21F28816">
      <w:start w:val="1"/>
      <w:numFmt w:val="bullet"/>
      <w:lvlText w:val="-"/>
      <w:lvlJc w:val="left"/>
      <w:pPr>
        <w:ind w:left="1440" w:hanging="360"/>
      </w:pPr>
      <w:rPr>
        <w:rFonts w:ascii="Courier New" w:hAnsi="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5D11819"/>
    <w:multiLevelType w:val="hybridMultilevel"/>
    <w:tmpl w:val="8CB0B632"/>
    <w:lvl w:ilvl="0" w:tplc="4D10B302">
      <w:start w:val="1"/>
      <w:numFmt w:val="decimal"/>
      <w:lvlText w:val="%1."/>
      <w:lvlJc w:val="left"/>
      <w:pPr>
        <w:ind w:left="360" w:hanging="360"/>
      </w:pPr>
      <w:rPr>
        <w:rFonts w:ascii="Times New Roman" w:hAnsi="Times New Roman" w:cs="Times New Roman" w:hint="default"/>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12"/>
  </w:num>
  <w:num w:numId="5">
    <w:abstractNumId w:val="8"/>
  </w:num>
  <w:num w:numId="6">
    <w:abstractNumId w:val="7"/>
  </w:num>
  <w:num w:numId="7">
    <w:abstractNumId w:val="3"/>
  </w:num>
  <w:num w:numId="8">
    <w:abstractNumId w:val="3"/>
  </w:num>
  <w:num w:numId="9">
    <w:abstractNumId w:val="5"/>
  </w:num>
  <w:num w:numId="10">
    <w:abstractNumId w:val="7"/>
  </w:num>
  <w:num w:numId="11">
    <w:abstractNumId w:val="7"/>
  </w:num>
  <w:num w:numId="12">
    <w:abstractNumId w:val="1"/>
  </w:num>
  <w:num w:numId="13">
    <w:abstractNumId w:val="2"/>
  </w:num>
  <w:num w:numId="14">
    <w:abstractNumId w:val="4"/>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423"/>
    <w:rsid w:val="00002BFF"/>
    <w:rsid w:val="00017023"/>
    <w:rsid w:val="00021F20"/>
    <w:rsid w:val="00026BF0"/>
    <w:rsid w:val="000340D8"/>
    <w:rsid w:val="0003594C"/>
    <w:rsid w:val="000369DF"/>
    <w:rsid w:val="000421D2"/>
    <w:rsid w:val="000434CA"/>
    <w:rsid w:val="00047CB0"/>
    <w:rsid w:val="0005663D"/>
    <w:rsid w:val="00066277"/>
    <w:rsid w:val="000678ED"/>
    <w:rsid w:val="00080442"/>
    <w:rsid w:val="00082A89"/>
    <w:rsid w:val="000836A7"/>
    <w:rsid w:val="000931C9"/>
    <w:rsid w:val="000A1E97"/>
    <w:rsid w:val="000A4711"/>
    <w:rsid w:val="000A7325"/>
    <w:rsid w:val="000B1BD2"/>
    <w:rsid w:val="000D0FFA"/>
    <w:rsid w:val="000D1FCE"/>
    <w:rsid w:val="000D251D"/>
    <w:rsid w:val="000D25A7"/>
    <w:rsid w:val="000D3340"/>
    <w:rsid w:val="000D5DEE"/>
    <w:rsid w:val="000D6D92"/>
    <w:rsid w:val="000E26C7"/>
    <w:rsid w:val="000E324A"/>
    <w:rsid w:val="000F08ED"/>
    <w:rsid w:val="000F740B"/>
    <w:rsid w:val="000F7B94"/>
    <w:rsid w:val="00111BF7"/>
    <w:rsid w:val="00112A0A"/>
    <w:rsid w:val="00116EA6"/>
    <w:rsid w:val="00117A73"/>
    <w:rsid w:val="00124452"/>
    <w:rsid w:val="00130822"/>
    <w:rsid w:val="00133471"/>
    <w:rsid w:val="00137579"/>
    <w:rsid w:val="00145589"/>
    <w:rsid w:val="0014770C"/>
    <w:rsid w:val="001501DC"/>
    <w:rsid w:val="00154254"/>
    <w:rsid w:val="001549BB"/>
    <w:rsid w:val="00154DDD"/>
    <w:rsid w:val="00171A0D"/>
    <w:rsid w:val="001773DA"/>
    <w:rsid w:val="0017755A"/>
    <w:rsid w:val="00177825"/>
    <w:rsid w:val="00182E8F"/>
    <w:rsid w:val="00184595"/>
    <w:rsid w:val="00184609"/>
    <w:rsid w:val="001851DA"/>
    <w:rsid w:val="001901C2"/>
    <w:rsid w:val="001935ED"/>
    <w:rsid w:val="0019739D"/>
    <w:rsid w:val="00197AC0"/>
    <w:rsid w:val="00197CA0"/>
    <w:rsid w:val="001A2919"/>
    <w:rsid w:val="001A7A5F"/>
    <w:rsid w:val="001B0875"/>
    <w:rsid w:val="001B13BC"/>
    <w:rsid w:val="001B2868"/>
    <w:rsid w:val="001B48C3"/>
    <w:rsid w:val="001C1E50"/>
    <w:rsid w:val="001D26E9"/>
    <w:rsid w:val="001D4164"/>
    <w:rsid w:val="001D5A80"/>
    <w:rsid w:val="001D658C"/>
    <w:rsid w:val="001D6BA5"/>
    <w:rsid w:val="001E0F42"/>
    <w:rsid w:val="001F2E0E"/>
    <w:rsid w:val="0020223A"/>
    <w:rsid w:val="00205769"/>
    <w:rsid w:val="00207DFB"/>
    <w:rsid w:val="002114F2"/>
    <w:rsid w:val="00212F13"/>
    <w:rsid w:val="002154A5"/>
    <w:rsid w:val="00222583"/>
    <w:rsid w:val="00226A0E"/>
    <w:rsid w:val="00227CB0"/>
    <w:rsid w:val="00233A2A"/>
    <w:rsid w:val="00234084"/>
    <w:rsid w:val="00237555"/>
    <w:rsid w:val="00242288"/>
    <w:rsid w:val="002450EE"/>
    <w:rsid w:val="00262052"/>
    <w:rsid w:val="00263044"/>
    <w:rsid w:val="00263723"/>
    <w:rsid w:val="00264319"/>
    <w:rsid w:val="00265080"/>
    <w:rsid w:val="0026628E"/>
    <w:rsid w:val="00267E0A"/>
    <w:rsid w:val="002738CD"/>
    <w:rsid w:val="002816DF"/>
    <w:rsid w:val="00284CC5"/>
    <w:rsid w:val="00285E0F"/>
    <w:rsid w:val="002947D1"/>
    <w:rsid w:val="00296499"/>
    <w:rsid w:val="002A164E"/>
    <w:rsid w:val="002A7C14"/>
    <w:rsid w:val="002A7DF7"/>
    <w:rsid w:val="002B293D"/>
    <w:rsid w:val="002B3268"/>
    <w:rsid w:val="002B6887"/>
    <w:rsid w:val="002C0716"/>
    <w:rsid w:val="002C35B4"/>
    <w:rsid w:val="002C64AA"/>
    <w:rsid w:val="002D45FB"/>
    <w:rsid w:val="002E0DEC"/>
    <w:rsid w:val="002E1BF6"/>
    <w:rsid w:val="002E3427"/>
    <w:rsid w:val="002E3466"/>
    <w:rsid w:val="002E555B"/>
    <w:rsid w:val="002E5855"/>
    <w:rsid w:val="002F26A8"/>
    <w:rsid w:val="002F4AB6"/>
    <w:rsid w:val="00303D7D"/>
    <w:rsid w:val="00307F64"/>
    <w:rsid w:val="00310193"/>
    <w:rsid w:val="003107B6"/>
    <w:rsid w:val="003155DB"/>
    <w:rsid w:val="00316BF4"/>
    <w:rsid w:val="00316D53"/>
    <w:rsid w:val="00321EBB"/>
    <w:rsid w:val="00330CF4"/>
    <w:rsid w:val="003426D1"/>
    <w:rsid w:val="00347FD3"/>
    <w:rsid w:val="00352551"/>
    <w:rsid w:val="0035490D"/>
    <w:rsid w:val="0036328B"/>
    <w:rsid w:val="00364E87"/>
    <w:rsid w:val="00366F5B"/>
    <w:rsid w:val="0037405B"/>
    <w:rsid w:val="00381CBC"/>
    <w:rsid w:val="003830CF"/>
    <w:rsid w:val="00384650"/>
    <w:rsid w:val="00390AF1"/>
    <w:rsid w:val="0039470D"/>
    <w:rsid w:val="003977B7"/>
    <w:rsid w:val="003A4AE1"/>
    <w:rsid w:val="003A65B2"/>
    <w:rsid w:val="003A6835"/>
    <w:rsid w:val="003B1A7C"/>
    <w:rsid w:val="003C3423"/>
    <w:rsid w:val="003C61D8"/>
    <w:rsid w:val="003C6656"/>
    <w:rsid w:val="003D0A80"/>
    <w:rsid w:val="003D5579"/>
    <w:rsid w:val="003D5FD1"/>
    <w:rsid w:val="003E7985"/>
    <w:rsid w:val="003F24D1"/>
    <w:rsid w:val="003F3C16"/>
    <w:rsid w:val="003F643B"/>
    <w:rsid w:val="0041005E"/>
    <w:rsid w:val="00420E1D"/>
    <w:rsid w:val="0042477E"/>
    <w:rsid w:val="00426218"/>
    <w:rsid w:val="00427E30"/>
    <w:rsid w:val="00433DC7"/>
    <w:rsid w:val="00434440"/>
    <w:rsid w:val="00437FA7"/>
    <w:rsid w:val="004425ED"/>
    <w:rsid w:val="00445511"/>
    <w:rsid w:val="00445D24"/>
    <w:rsid w:val="00451CD8"/>
    <w:rsid w:val="00451F3D"/>
    <w:rsid w:val="004545A6"/>
    <w:rsid w:val="00462228"/>
    <w:rsid w:val="00463DA8"/>
    <w:rsid w:val="004802D1"/>
    <w:rsid w:val="00481A70"/>
    <w:rsid w:val="004837BA"/>
    <w:rsid w:val="0048404C"/>
    <w:rsid w:val="00486858"/>
    <w:rsid w:val="004912A1"/>
    <w:rsid w:val="004923AD"/>
    <w:rsid w:val="004A21E4"/>
    <w:rsid w:val="004A35F8"/>
    <w:rsid w:val="004B00DC"/>
    <w:rsid w:val="004B01C6"/>
    <w:rsid w:val="004B110E"/>
    <w:rsid w:val="004B16FA"/>
    <w:rsid w:val="004B281D"/>
    <w:rsid w:val="004B58F0"/>
    <w:rsid w:val="004B6AB4"/>
    <w:rsid w:val="004C4AD4"/>
    <w:rsid w:val="004D10A0"/>
    <w:rsid w:val="004E4388"/>
    <w:rsid w:val="004E65B8"/>
    <w:rsid w:val="004E7973"/>
    <w:rsid w:val="004F32F4"/>
    <w:rsid w:val="004F5046"/>
    <w:rsid w:val="005033C5"/>
    <w:rsid w:val="00505588"/>
    <w:rsid w:val="00506AFA"/>
    <w:rsid w:val="00512B0D"/>
    <w:rsid w:val="00513F32"/>
    <w:rsid w:val="00520F98"/>
    <w:rsid w:val="00521D68"/>
    <w:rsid w:val="005266F9"/>
    <w:rsid w:val="00537152"/>
    <w:rsid w:val="005374B0"/>
    <w:rsid w:val="005423BA"/>
    <w:rsid w:val="00544E3B"/>
    <w:rsid w:val="00546138"/>
    <w:rsid w:val="0055094B"/>
    <w:rsid w:val="005515BD"/>
    <w:rsid w:val="00557754"/>
    <w:rsid w:val="0056185E"/>
    <w:rsid w:val="005619D2"/>
    <w:rsid w:val="00570C6E"/>
    <w:rsid w:val="00573EA7"/>
    <w:rsid w:val="00576163"/>
    <w:rsid w:val="005901AC"/>
    <w:rsid w:val="00590F9E"/>
    <w:rsid w:val="005939CB"/>
    <w:rsid w:val="0059683A"/>
    <w:rsid w:val="00596BC1"/>
    <w:rsid w:val="00597244"/>
    <w:rsid w:val="005A2E05"/>
    <w:rsid w:val="005B1284"/>
    <w:rsid w:val="005B3A11"/>
    <w:rsid w:val="005C0A0B"/>
    <w:rsid w:val="005C12A1"/>
    <w:rsid w:val="005C4704"/>
    <w:rsid w:val="005C7CE1"/>
    <w:rsid w:val="005E5206"/>
    <w:rsid w:val="005E6EE6"/>
    <w:rsid w:val="005F1840"/>
    <w:rsid w:val="005F49EB"/>
    <w:rsid w:val="005F7AFC"/>
    <w:rsid w:val="00601D28"/>
    <w:rsid w:val="006052E9"/>
    <w:rsid w:val="0061360C"/>
    <w:rsid w:val="00622046"/>
    <w:rsid w:val="00626E68"/>
    <w:rsid w:val="00632D98"/>
    <w:rsid w:val="00632DAD"/>
    <w:rsid w:val="00636F64"/>
    <w:rsid w:val="00641551"/>
    <w:rsid w:val="00644F54"/>
    <w:rsid w:val="00661151"/>
    <w:rsid w:val="0066502E"/>
    <w:rsid w:val="00683245"/>
    <w:rsid w:val="00683A70"/>
    <w:rsid w:val="00687D31"/>
    <w:rsid w:val="00693485"/>
    <w:rsid w:val="00693533"/>
    <w:rsid w:val="00694F89"/>
    <w:rsid w:val="006A04E4"/>
    <w:rsid w:val="006A6717"/>
    <w:rsid w:val="006C1AE7"/>
    <w:rsid w:val="006C51CA"/>
    <w:rsid w:val="006C6AEF"/>
    <w:rsid w:val="006D63D8"/>
    <w:rsid w:val="006F2C6A"/>
    <w:rsid w:val="006F2F4A"/>
    <w:rsid w:val="006F42CA"/>
    <w:rsid w:val="007075ED"/>
    <w:rsid w:val="00716AFE"/>
    <w:rsid w:val="00716BB0"/>
    <w:rsid w:val="00722FB9"/>
    <w:rsid w:val="00730103"/>
    <w:rsid w:val="0073344B"/>
    <w:rsid w:val="007454F0"/>
    <w:rsid w:val="007568D0"/>
    <w:rsid w:val="00762A3E"/>
    <w:rsid w:val="0077461C"/>
    <w:rsid w:val="00775BD9"/>
    <w:rsid w:val="00777306"/>
    <w:rsid w:val="00791EEA"/>
    <w:rsid w:val="007948A6"/>
    <w:rsid w:val="007A413C"/>
    <w:rsid w:val="007B4DE1"/>
    <w:rsid w:val="007B5C5E"/>
    <w:rsid w:val="007C48D9"/>
    <w:rsid w:val="007C6AF2"/>
    <w:rsid w:val="007C7B44"/>
    <w:rsid w:val="007D2A70"/>
    <w:rsid w:val="007D7448"/>
    <w:rsid w:val="007E5F10"/>
    <w:rsid w:val="007F5E92"/>
    <w:rsid w:val="007F6E40"/>
    <w:rsid w:val="007F7D78"/>
    <w:rsid w:val="00802BD1"/>
    <w:rsid w:val="00804818"/>
    <w:rsid w:val="00805250"/>
    <w:rsid w:val="008065BD"/>
    <w:rsid w:val="008100B6"/>
    <w:rsid w:val="00816761"/>
    <w:rsid w:val="00817856"/>
    <w:rsid w:val="008214E4"/>
    <w:rsid w:val="00821ECE"/>
    <w:rsid w:val="0082652A"/>
    <w:rsid w:val="00833E87"/>
    <w:rsid w:val="008371C0"/>
    <w:rsid w:val="008524B6"/>
    <w:rsid w:val="00860AF7"/>
    <w:rsid w:val="00865B6E"/>
    <w:rsid w:val="00866AEB"/>
    <w:rsid w:val="00872DC9"/>
    <w:rsid w:val="00886F29"/>
    <w:rsid w:val="00893FE3"/>
    <w:rsid w:val="008944F0"/>
    <w:rsid w:val="00895DA9"/>
    <w:rsid w:val="00896603"/>
    <w:rsid w:val="008A110D"/>
    <w:rsid w:val="008A3B27"/>
    <w:rsid w:val="008B0383"/>
    <w:rsid w:val="008B411A"/>
    <w:rsid w:val="008C1B54"/>
    <w:rsid w:val="008C45FD"/>
    <w:rsid w:val="008C5691"/>
    <w:rsid w:val="008E0D06"/>
    <w:rsid w:val="008E3371"/>
    <w:rsid w:val="008F3744"/>
    <w:rsid w:val="008F477D"/>
    <w:rsid w:val="008F55E9"/>
    <w:rsid w:val="008F7F04"/>
    <w:rsid w:val="008F7F2A"/>
    <w:rsid w:val="00902FAE"/>
    <w:rsid w:val="00903343"/>
    <w:rsid w:val="0091281A"/>
    <w:rsid w:val="0091535E"/>
    <w:rsid w:val="00915BD0"/>
    <w:rsid w:val="009236B3"/>
    <w:rsid w:val="009248A5"/>
    <w:rsid w:val="00925754"/>
    <w:rsid w:val="00930883"/>
    <w:rsid w:val="0093791A"/>
    <w:rsid w:val="00940603"/>
    <w:rsid w:val="00944931"/>
    <w:rsid w:val="00945DA8"/>
    <w:rsid w:val="00950D28"/>
    <w:rsid w:val="00951529"/>
    <w:rsid w:val="009564BF"/>
    <w:rsid w:val="00971C85"/>
    <w:rsid w:val="00974F22"/>
    <w:rsid w:val="0097546A"/>
    <w:rsid w:val="00977701"/>
    <w:rsid w:val="00977958"/>
    <w:rsid w:val="00977D4C"/>
    <w:rsid w:val="00980DAB"/>
    <w:rsid w:val="00983AA7"/>
    <w:rsid w:val="0098698E"/>
    <w:rsid w:val="009A0EB5"/>
    <w:rsid w:val="009A6ED2"/>
    <w:rsid w:val="009B7575"/>
    <w:rsid w:val="009C355D"/>
    <w:rsid w:val="009C410C"/>
    <w:rsid w:val="009C4C0A"/>
    <w:rsid w:val="009C66DF"/>
    <w:rsid w:val="009D3FFE"/>
    <w:rsid w:val="009D49B1"/>
    <w:rsid w:val="009E176A"/>
    <w:rsid w:val="009F006D"/>
    <w:rsid w:val="009F090F"/>
    <w:rsid w:val="009F2890"/>
    <w:rsid w:val="009F578E"/>
    <w:rsid w:val="009F67E5"/>
    <w:rsid w:val="00A02BF6"/>
    <w:rsid w:val="00A06EBD"/>
    <w:rsid w:val="00A1355E"/>
    <w:rsid w:val="00A23EBE"/>
    <w:rsid w:val="00A26441"/>
    <w:rsid w:val="00A30037"/>
    <w:rsid w:val="00A37CCC"/>
    <w:rsid w:val="00A56048"/>
    <w:rsid w:val="00A57322"/>
    <w:rsid w:val="00A621DF"/>
    <w:rsid w:val="00A648B0"/>
    <w:rsid w:val="00A71DA9"/>
    <w:rsid w:val="00A71DCC"/>
    <w:rsid w:val="00A738F2"/>
    <w:rsid w:val="00A739F4"/>
    <w:rsid w:val="00A761A7"/>
    <w:rsid w:val="00A8148B"/>
    <w:rsid w:val="00A8623C"/>
    <w:rsid w:val="00A90227"/>
    <w:rsid w:val="00A92023"/>
    <w:rsid w:val="00A926C1"/>
    <w:rsid w:val="00A94F8D"/>
    <w:rsid w:val="00AA1395"/>
    <w:rsid w:val="00AB2D1F"/>
    <w:rsid w:val="00AB4770"/>
    <w:rsid w:val="00AC1BF7"/>
    <w:rsid w:val="00AC238A"/>
    <w:rsid w:val="00AC25FC"/>
    <w:rsid w:val="00AC4D7F"/>
    <w:rsid w:val="00AC5A4F"/>
    <w:rsid w:val="00AC635F"/>
    <w:rsid w:val="00AC6F77"/>
    <w:rsid w:val="00AD3AA1"/>
    <w:rsid w:val="00AE2283"/>
    <w:rsid w:val="00AF20EF"/>
    <w:rsid w:val="00AF4B15"/>
    <w:rsid w:val="00AF4B2C"/>
    <w:rsid w:val="00B03869"/>
    <w:rsid w:val="00B06508"/>
    <w:rsid w:val="00B105F1"/>
    <w:rsid w:val="00B13D92"/>
    <w:rsid w:val="00B16015"/>
    <w:rsid w:val="00B231D6"/>
    <w:rsid w:val="00B2767E"/>
    <w:rsid w:val="00B3313A"/>
    <w:rsid w:val="00B40F75"/>
    <w:rsid w:val="00B429C5"/>
    <w:rsid w:val="00B501D1"/>
    <w:rsid w:val="00B51409"/>
    <w:rsid w:val="00B521E5"/>
    <w:rsid w:val="00B53BF7"/>
    <w:rsid w:val="00B53CC0"/>
    <w:rsid w:val="00B53D72"/>
    <w:rsid w:val="00B56DF4"/>
    <w:rsid w:val="00B665A7"/>
    <w:rsid w:val="00B66DD4"/>
    <w:rsid w:val="00B67AD0"/>
    <w:rsid w:val="00B72D28"/>
    <w:rsid w:val="00B771F9"/>
    <w:rsid w:val="00B80551"/>
    <w:rsid w:val="00B80DFA"/>
    <w:rsid w:val="00B82DA5"/>
    <w:rsid w:val="00B836F2"/>
    <w:rsid w:val="00B91A4D"/>
    <w:rsid w:val="00B95EB6"/>
    <w:rsid w:val="00BA0F34"/>
    <w:rsid w:val="00BB3935"/>
    <w:rsid w:val="00BB4C9E"/>
    <w:rsid w:val="00BC60C8"/>
    <w:rsid w:val="00BC614C"/>
    <w:rsid w:val="00BC6ECF"/>
    <w:rsid w:val="00BD0C08"/>
    <w:rsid w:val="00BD0FA5"/>
    <w:rsid w:val="00BD1007"/>
    <w:rsid w:val="00BD2CCE"/>
    <w:rsid w:val="00BD3E1F"/>
    <w:rsid w:val="00BD417B"/>
    <w:rsid w:val="00BE47C1"/>
    <w:rsid w:val="00BF286B"/>
    <w:rsid w:val="00BF69D4"/>
    <w:rsid w:val="00C01D4D"/>
    <w:rsid w:val="00C179C1"/>
    <w:rsid w:val="00C22BDE"/>
    <w:rsid w:val="00C32F89"/>
    <w:rsid w:val="00C4112E"/>
    <w:rsid w:val="00C43F83"/>
    <w:rsid w:val="00C639F3"/>
    <w:rsid w:val="00C65FCE"/>
    <w:rsid w:val="00C66B19"/>
    <w:rsid w:val="00C66ED3"/>
    <w:rsid w:val="00C705FD"/>
    <w:rsid w:val="00C777CB"/>
    <w:rsid w:val="00C82973"/>
    <w:rsid w:val="00C83798"/>
    <w:rsid w:val="00C91B25"/>
    <w:rsid w:val="00C9313D"/>
    <w:rsid w:val="00C94C1D"/>
    <w:rsid w:val="00C96D7F"/>
    <w:rsid w:val="00CA3FF7"/>
    <w:rsid w:val="00CA5BD6"/>
    <w:rsid w:val="00CB1996"/>
    <w:rsid w:val="00CB2426"/>
    <w:rsid w:val="00CB71F9"/>
    <w:rsid w:val="00CC170F"/>
    <w:rsid w:val="00CC411E"/>
    <w:rsid w:val="00CD1826"/>
    <w:rsid w:val="00CD2C03"/>
    <w:rsid w:val="00CD48A7"/>
    <w:rsid w:val="00CE4B78"/>
    <w:rsid w:val="00CE7027"/>
    <w:rsid w:val="00CF232A"/>
    <w:rsid w:val="00CF2757"/>
    <w:rsid w:val="00D03F69"/>
    <w:rsid w:val="00D04D24"/>
    <w:rsid w:val="00D10B47"/>
    <w:rsid w:val="00D10C69"/>
    <w:rsid w:val="00D15397"/>
    <w:rsid w:val="00D154B8"/>
    <w:rsid w:val="00D157E7"/>
    <w:rsid w:val="00D2005D"/>
    <w:rsid w:val="00D2212F"/>
    <w:rsid w:val="00D2565C"/>
    <w:rsid w:val="00D267EA"/>
    <w:rsid w:val="00D3276D"/>
    <w:rsid w:val="00D3749C"/>
    <w:rsid w:val="00D405AD"/>
    <w:rsid w:val="00D4133E"/>
    <w:rsid w:val="00D43CC6"/>
    <w:rsid w:val="00D549E8"/>
    <w:rsid w:val="00D563BB"/>
    <w:rsid w:val="00D67397"/>
    <w:rsid w:val="00D70A94"/>
    <w:rsid w:val="00D71903"/>
    <w:rsid w:val="00D7351E"/>
    <w:rsid w:val="00D73D5C"/>
    <w:rsid w:val="00D771D2"/>
    <w:rsid w:val="00D82768"/>
    <w:rsid w:val="00D8441E"/>
    <w:rsid w:val="00D867BF"/>
    <w:rsid w:val="00D931B2"/>
    <w:rsid w:val="00D96626"/>
    <w:rsid w:val="00DA439F"/>
    <w:rsid w:val="00DB5853"/>
    <w:rsid w:val="00DC0444"/>
    <w:rsid w:val="00DC6025"/>
    <w:rsid w:val="00DD33BD"/>
    <w:rsid w:val="00DD5E45"/>
    <w:rsid w:val="00DF37E7"/>
    <w:rsid w:val="00E03FB2"/>
    <w:rsid w:val="00E068BF"/>
    <w:rsid w:val="00E1099C"/>
    <w:rsid w:val="00E124AF"/>
    <w:rsid w:val="00E12713"/>
    <w:rsid w:val="00E1500E"/>
    <w:rsid w:val="00E17B4D"/>
    <w:rsid w:val="00E2729F"/>
    <w:rsid w:val="00E32097"/>
    <w:rsid w:val="00E45EFA"/>
    <w:rsid w:val="00E55606"/>
    <w:rsid w:val="00E63023"/>
    <w:rsid w:val="00E72716"/>
    <w:rsid w:val="00E74554"/>
    <w:rsid w:val="00E7675C"/>
    <w:rsid w:val="00E76FF1"/>
    <w:rsid w:val="00E80C49"/>
    <w:rsid w:val="00E835D3"/>
    <w:rsid w:val="00E85535"/>
    <w:rsid w:val="00E87385"/>
    <w:rsid w:val="00E92436"/>
    <w:rsid w:val="00E97F90"/>
    <w:rsid w:val="00EA1A85"/>
    <w:rsid w:val="00EB01D8"/>
    <w:rsid w:val="00EB23FF"/>
    <w:rsid w:val="00EB3335"/>
    <w:rsid w:val="00EB407B"/>
    <w:rsid w:val="00EB6FDA"/>
    <w:rsid w:val="00EB7A35"/>
    <w:rsid w:val="00EC179B"/>
    <w:rsid w:val="00EC594C"/>
    <w:rsid w:val="00EC6906"/>
    <w:rsid w:val="00ED0EDB"/>
    <w:rsid w:val="00ED12F7"/>
    <w:rsid w:val="00ED625E"/>
    <w:rsid w:val="00EE0C12"/>
    <w:rsid w:val="00EE3080"/>
    <w:rsid w:val="00EF03F1"/>
    <w:rsid w:val="00EF6634"/>
    <w:rsid w:val="00EF73D4"/>
    <w:rsid w:val="00EF7E79"/>
    <w:rsid w:val="00F001DF"/>
    <w:rsid w:val="00F02974"/>
    <w:rsid w:val="00F120EE"/>
    <w:rsid w:val="00F22DEC"/>
    <w:rsid w:val="00F23179"/>
    <w:rsid w:val="00F242B2"/>
    <w:rsid w:val="00F25E6C"/>
    <w:rsid w:val="00F27877"/>
    <w:rsid w:val="00F27FA4"/>
    <w:rsid w:val="00F340D2"/>
    <w:rsid w:val="00F401F2"/>
    <w:rsid w:val="00F403F1"/>
    <w:rsid w:val="00F428E5"/>
    <w:rsid w:val="00F449C6"/>
    <w:rsid w:val="00F4690A"/>
    <w:rsid w:val="00F46CEC"/>
    <w:rsid w:val="00F8482B"/>
    <w:rsid w:val="00F93A50"/>
    <w:rsid w:val="00FB0CD6"/>
    <w:rsid w:val="00FB1A7B"/>
    <w:rsid w:val="00FB41FE"/>
    <w:rsid w:val="00FC2D1E"/>
    <w:rsid w:val="00FC332A"/>
    <w:rsid w:val="00FC38F0"/>
    <w:rsid w:val="00FC3FC2"/>
    <w:rsid w:val="00FC57B3"/>
    <w:rsid w:val="00FD155A"/>
    <w:rsid w:val="00FD190A"/>
    <w:rsid w:val="00FE12B0"/>
    <w:rsid w:val="00FF0290"/>
    <w:rsid w:val="00FF1FBB"/>
    <w:rsid w:val="00FF71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99A040"/>
  <w15:docId w15:val="{2642708B-8225-4321-B421-E5D84831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1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423"/>
    <w:pPr>
      <w:ind w:left="720"/>
      <w:contextualSpacing/>
    </w:pPr>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 Char Char1"/>
    <w:basedOn w:val="DefaultParagraphFont"/>
    <w:link w:val="FootnoteText"/>
    <w:locked/>
    <w:rsid w:val="00364E87"/>
    <w:rPr>
      <w:rFonts w:ascii="Times New Roman" w:eastAsia="Calibri" w:hAnsi="Times New Roman" w:cs="Times New Roman"/>
      <w:sz w:val="20"/>
      <w:szCs w:val="20"/>
    </w:rPr>
  </w:style>
  <w:style w:type="paragraph" w:styleId="FootnoteText">
    <w:name w:val="footnote text"/>
    <w:aliases w:val="Footnote Text Char1 Char,Footnote Text Char Char Char,Footnote Text Char1 Char Char Char,Footnote Text Char Char Char Char Char,Footnote Text Char2 Char Char Char Char Char,Footnote Text Char Char,fn,5_G,Char,FA Fu,Char Char"/>
    <w:basedOn w:val="Normal"/>
    <w:link w:val="FootnoteTextChar"/>
    <w:autoRedefine/>
    <w:unhideWhenUsed/>
    <w:qFormat/>
    <w:rsid w:val="00364E87"/>
    <w:pPr>
      <w:spacing w:after="0" w:line="240" w:lineRule="auto"/>
    </w:pPr>
    <w:rPr>
      <w:rFonts w:ascii="Times New Roman" w:eastAsia="Calibri" w:hAnsi="Times New Roman" w:cs="Times New Roman"/>
      <w:sz w:val="20"/>
      <w:szCs w:val="20"/>
    </w:rPr>
  </w:style>
  <w:style w:type="character" w:customStyle="1" w:styleId="FootnoteTextChar1">
    <w:name w:val="Footnote Text Char1"/>
    <w:basedOn w:val="DefaultParagraphFont"/>
    <w:uiPriority w:val="99"/>
    <w:semiHidden/>
    <w:rsid w:val="003C3423"/>
    <w:rPr>
      <w:sz w:val="20"/>
      <w:szCs w:val="20"/>
    </w:rPr>
  </w:style>
  <w:style w:type="character" w:styleId="FootnoteReference">
    <w:name w:val="footnote reference"/>
    <w:aliases w:val="Footnotes refss,ftref,4_G,(NECG) Footnote Reference"/>
    <w:basedOn w:val="DefaultParagraphFont"/>
    <w:unhideWhenUsed/>
    <w:qFormat/>
    <w:rsid w:val="003C3423"/>
    <w:rPr>
      <w:vertAlign w:val="superscript"/>
    </w:rPr>
  </w:style>
  <w:style w:type="paragraph" w:styleId="Footer">
    <w:name w:val="footer"/>
    <w:basedOn w:val="Normal"/>
    <w:link w:val="FooterChar"/>
    <w:uiPriority w:val="99"/>
    <w:unhideWhenUsed/>
    <w:rsid w:val="003C3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423"/>
  </w:style>
  <w:style w:type="paragraph" w:styleId="BalloonText">
    <w:name w:val="Balloon Text"/>
    <w:basedOn w:val="Normal"/>
    <w:link w:val="BalloonTextChar"/>
    <w:uiPriority w:val="99"/>
    <w:semiHidden/>
    <w:unhideWhenUsed/>
    <w:rsid w:val="00CF2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757"/>
    <w:rPr>
      <w:rFonts w:ascii="Tahoma" w:hAnsi="Tahoma" w:cs="Tahoma"/>
      <w:sz w:val="16"/>
      <w:szCs w:val="16"/>
    </w:rPr>
  </w:style>
  <w:style w:type="character" w:styleId="Hyperlink">
    <w:name w:val="Hyperlink"/>
    <w:basedOn w:val="DefaultParagraphFont"/>
    <w:uiPriority w:val="99"/>
    <w:unhideWhenUsed/>
    <w:rsid w:val="00C96D7F"/>
    <w:rPr>
      <w:color w:val="0000FF" w:themeColor="hyperlink"/>
      <w:u w:val="single"/>
    </w:rPr>
  </w:style>
  <w:style w:type="character" w:styleId="CommentReference">
    <w:name w:val="annotation reference"/>
    <w:basedOn w:val="DefaultParagraphFont"/>
    <w:uiPriority w:val="99"/>
    <w:semiHidden/>
    <w:unhideWhenUsed/>
    <w:rsid w:val="00940603"/>
    <w:rPr>
      <w:sz w:val="16"/>
      <w:szCs w:val="16"/>
    </w:rPr>
  </w:style>
  <w:style w:type="paragraph" w:styleId="CommentText">
    <w:name w:val="annotation text"/>
    <w:basedOn w:val="Normal"/>
    <w:link w:val="CommentTextChar"/>
    <w:uiPriority w:val="99"/>
    <w:unhideWhenUsed/>
    <w:rsid w:val="00940603"/>
    <w:pPr>
      <w:spacing w:line="240" w:lineRule="auto"/>
    </w:pPr>
    <w:rPr>
      <w:sz w:val="20"/>
      <w:szCs w:val="20"/>
    </w:rPr>
  </w:style>
  <w:style w:type="character" w:customStyle="1" w:styleId="CommentTextChar">
    <w:name w:val="Comment Text Char"/>
    <w:basedOn w:val="DefaultParagraphFont"/>
    <w:link w:val="CommentText"/>
    <w:uiPriority w:val="99"/>
    <w:rsid w:val="00940603"/>
    <w:rPr>
      <w:sz w:val="20"/>
      <w:szCs w:val="20"/>
    </w:rPr>
  </w:style>
  <w:style w:type="paragraph" w:styleId="CommentSubject">
    <w:name w:val="annotation subject"/>
    <w:basedOn w:val="CommentText"/>
    <w:next w:val="CommentText"/>
    <w:link w:val="CommentSubjectChar"/>
    <w:uiPriority w:val="99"/>
    <w:semiHidden/>
    <w:unhideWhenUsed/>
    <w:rsid w:val="00940603"/>
    <w:rPr>
      <w:b/>
      <w:bCs/>
    </w:rPr>
  </w:style>
  <w:style w:type="character" w:customStyle="1" w:styleId="CommentSubjectChar">
    <w:name w:val="Comment Subject Char"/>
    <w:basedOn w:val="CommentTextChar"/>
    <w:link w:val="CommentSubject"/>
    <w:uiPriority w:val="99"/>
    <w:semiHidden/>
    <w:rsid w:val="00940603"/>
    <w:rPr>
      <w:b/>
      <w:bCs/>
      <w:sz w:val="20"/>
      <w:szCs w:val="20"/>
    </w:rPr>
  </w:style>
  <w:style w:type="paragraph" w:customStyle="1" w:styleId="Paragraphnumbered">
    <w:name w:val="Paragraph (numbered)"/>
    <w:basedOn w:val="Normal"/>
    <w:rsid w:val="00816761"/>
    <w:pPr>
      <w:numPr>
        <w:numId w:val="6"/>
      </w:numPr>
      <w:spacing w:before="240" w:after="0" w:line="240" w:lineRule="auto"/>
    </w:pPr>
    <w:rPr>
      <w:rFonts w:ascii="Times New Roman" w:eastAsia="Times New Roman" w:hAnsi="Times New Roman" w:cs="Times New Roman"/>
      <w:sz w:val="24"/>
      <w:szCs w:val="20"/>
      <w:lang w:eastAsia="en-AU"/>
    </w:rPr>
  </w:style>
  <w:style w:type="paragraph" w:styleId="NormalWeb">
    <w:name w:val="Normal (Web)"/>
    <w:basedOn w:val="Normal"/>
    <w:uiPriority w:val="99"/>
    <w:semiHidden/>
    <w:unhideWhenUsed/>
    <w:rsid w:val="000F08E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B80551"/>
    <w:pPr>
      <w:spacing w:after="0" w:line="240" w:lineRule="auto"/>
    </w:pPr>
  </w:style>
  <w:style w:type="paragraph" w:styleId="Header">
    <w:name w:val="header"/>
    <w:basedOn w:val="Normal"/>
    <w:link w:val="HeaderChar"/>
    <w:uiPriority w:val="99"/>
    <w:unhideWhenUsed/>
    <w:rsid w:val="00D56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07257">
      <w:bodyDiv w:val="1"/>
      <w:marLeft w:val="0"/>
      <w:marRight w:val="0"/>
      <w:marTop w:val="0"/>
      <w:marBottom w:val="0"/>
      <w:divBdr>
        <w:top w:val="none" w:sz="0" w:space="0" w:color="auto"/>
        <w:left w:val="none" w:sz="0" w:space="0" w:color="auto"/>
        <w:bottom w:val="none" w:sz="0" w:space="0" w:color="auto"/>
        <w:right w:val="none" w:sz="0" w:space="0" w:color="auto"/>
      </w:divBdr>
    </w:div>
    <w:div w:id="526218579">
      <w:bodyDiv w:val="1"/>
      <w:marLeft w:val="0"/>
      <w:marRight w:val="0"/>
      <w:marTop w:val="0"/>
      <w:marBottom w:val="0"/>
      <w:divBdr>
        <w:top w:val="none" w:sz="0" w:space="0" w:color="auto"/>
        <w:left w:val="none" w:sz="0" w:space="0" w:color="auto"/>
        <w:bottom w:val="none" w:sz="0" w:space="0" w:color="auto"/>
        <w:right w:val="none" w:sz="0" w:space="0" w:color="auto"/>
      </w:divBdr>
    </w:div>
    <w:div w:id="1120799024">
      <w:bodyDiv w:val="1"/>
      <w:marLeft w:val="0"/>
      <w:marRight w:val="0"/>
      <w:marTop w:val="0"/>
      <w:marBottom w:val="0"/>
      <w:divBdr>
        <w:top w:val="none" w:sz="0" w:space="0" w:color="auto"/>
        <w:left w:val="none" w:sz="0" w:space="0" w:color="auto"/>
        <w:bottom w:val="none" w:sz="0" w:space="0" w:color="auto"/>
        <w:right w:val="none" w:sz="0" w:space="0" w:color="auto"/>
      </w:divBdr>
    </w:div>
    <w:div w:id="1142622292">
      <w:bodyDiv w:val="1"/>
      <w:marLeft w:val="0"/>
      <w:marRight w:val="0"/>
      <w:marTop w:val="0"/>
      <w:marBottom w:val="0"/>
      <w:divBdr>
        <w:top w:val="none" w:sz="0" w:space="0" w:color="auto"/>
        <w:left w:val="none" w:sz="0" w:space="0" w:color="auto"/>
        <w:bottom w:val="none" w:sz="0" w:space="0" w:color="auto"/>
        <w:right w:val="none" w:sz="0" w:space="0" w:color="auto"/>
      </w:divBdr>
    </w:div>
    <w:div w:id="1251546496">
      <w:bodyDiv w:val="1"/>
      <w:marLeft w:val="0"/>
      <w:marRight w:val="0"/>
      <w:marTop w:val="0"/>
      <w:marBottom w:val="0"/>
      <w:divBdr>
        <w:top w:val="none" w:sz="0" w:space="0" w:color="auto"/>
        <w:left w:val="none" w:sz="0" w:space="0" w:color="auto"/>
        <w:bottom w:val="none" w:sz="0" w:space="0" w:color="auto"/>
        <w:right w:val="none" w:sz="0" w:space="0" w:color="auto"/>
      </w:divBdr>
      <w:divsChild>
        <w:div w:id="391466004">
          <w:marLeft w:val="0"/>
          <w:marRight w:val="0"/>
          <w:marTop w:val="0"/>
          <w:marBottom w:val="0"/>
          <w:divBdr>
            <w:top w:val="none" w:sz="0" w:space="0" w:color="auto"/>
            <w:left w:val="none" w:sz="0" w:space="0" w:color="auto"/>
            <w:bottom w:val="none" w:sz="0" w:space="0" w:color="auto"/>
            <w:right w:val="none" w:sz="0" w:space="0" w:color="auto"/>
          </w:divBdr>
          <w:divsChild>
            <w:div w:id="1597054011">
              <w:marLeft w:val="0"/>
              <w:marRight w:val="0"/>
              <w:marTop w:val="0"/>
              <w:marBottom w:val="0"/>
              <w:divBdr>
                <w:top w:val="none" w:sz="0" w:space="0" w:color="auto"/>
                <w:left w:val="none" w:sz="0" w:space="0" w:color="auto"/>
                <w:bottom w:val="none" w:sz="0" w:space="0" w:color="auto"/>
                <w:right w:val="none" w:sz="0" w:space="0" w:color="auto"/>
              </w:divBdr>
              <w:divsChild>
                <w:div w:id="41099065">
                  <w:marLeft w:val="0"/>
                  <w:marRight w:val="0"/>
                  <w:marTop w:val="0"/>
                  <w:marBottom w:val="0"/>
                  <w:divBdr>
                    <w:top w:val="none" w:sz="0" w:space="0" w:color="auto"/>
                    <w:left w:val="none" w:sz="0" w:space="0" w:color="auto"/>
                    <w:bottom w:val="none" w:sz="0" w:space="0" w:color="auto"/>
                    <w:right w:val="none" w:sz="0" w:space="0" w:color="auto"/>
                  </w:divBdr>
                  <w:divsChild>
                    <w:div w:id="695886905">
                      <w:marLeft w:val="0"/>
                      <w:marRight w:val="0"/>
                      <w:marTop w:val="0"/>
                      <w:marBottom w:val="0"/>
                      <w:divBdr>
                        <w:top w:val="none" w:sz="0" w:space="0" w:color="auto"/>
                        <w:left w:val="none" w:sz="0" w:space="0" w:color="auto"/>
                        <w:bottom w:val="none" w:sz="0" w:space="0" w:color="auto"/>
                        <w:right w:val="none" w:sz="0" w:space="0" w:color="auto"/>
                      </w:divBdr>
                      <w:divsChild>
                        <w:div w:id="1134173920">
                          <w:marLeft w:val="0"/>
                          <w:marRight w:val="0"/>
                          <w:marTop w:val="0"/>
                          <w:marBottom w:val="0"/>
                          <w:divBdr>
                            <w:top w:val="none" w:sz="0" w:space="0" w:color="auto"/>
                            <w:left w:val="none" w:sz="0" w:space="0" w:color="auto"/>
                            <w:bottom w:val="none" w:sz="0" w:space="0" w:color="auto"/>
                            <w:right w:val="none" w:sz="0" w:space="0" w:color="auto"/>
                          </w:divBdr>
                          <w:divsChild>
                            <w:div w:id="5144665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8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29B9E0-4163-40E1-9FDA-1EBFA0FBA116}">
  <ds:schemaRefs>
    <ds:schemaRef ds:uri="http://schemas.openxmlformats.org/officeDocument/2006/bibliography"/>
  </ds:schemaRefs>
</ds:datastoreItem>
</file>

<file path=customXml/itemProps2.xml><?xml version="1.0" encoding="utf-8"?>
<ds:datastoreItem xmlns:ds="http://schemas.openxmlformats.org/officeDocument/2006/customXml" ds:itemID="{29147337-44E8-4291-9790-B20FC9576547}"/>
</file>

<file path=customXml/itemProps3.xml><?xml version="1.0" encoding="utf-8"?>
<ds:datastoreItem xmlns:ds="http://schemas.openxmlformats.org/officeDocument/2006/customXml" ds:itemID="{6CB51D25-47A8-46F2-B0C1-6BDE30783038}"/>
</file>

<file path=customXml/itemProps4.xml><?xml version="1.0" encoding="utf-8"?>
<ds:datastoreItem xmlns:ds="http://schemas.openxmlformats.org/officeDocument/2006/customXml" ds:itemID="{D8128DE9-C294-4418-A0C1-E23EA112FF59}"/>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sultas</dc:creator>
  <cp:lastModifiedBy>Durnescu Lilian</cp:lastModifiedBy>
  <cp:revision>2</cp:revision>
  <cp:lastPrinted>2017-10-06T05:02:00Z</cp:lastPrinted>
  <dcterms:created xsi:type="dcterms:W3CDTF">2017-10-06T09:55:00Z</dcterms:created>
  <dcterms:modified xsi:type="dcterms:W3CDTF">2017-10-06T09:55:00Z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a56e21e9-dbb5-48ed-9c26-1ff02a515208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0x0101008822B9E06671B54FA89F14538B9B0FEA</vt:lpwstr>
  </property>
</Properties>
</file>