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F3" w:rsidRDefault="004D05F3" w:rsidP="001D5D37">
      <w:pPr>
        <w:spacing w:before="240"/>
        <w:jc w:val="center"/>
        <w:rPr>
          <w:rFonts w:ascii="Times New Roman" w:hAnsi="Times New Roman" w:cs="Times New Roman"/>
          <w:b/>
          <w:sz w:val="27"/>
          <w:szCs w:val="27"/>
        </w:rPr>
      </w:pPr>
      <w:bookmarkStart w:id="0" w:name="_GoBack"/>
      <w:bookmarkEnd w:id="0"/>
    </w:p>
    <w:p w:rsidR="00EA5036" w:rsidRPr="00013078" w:rsidRDefault="00EA5036" w:rsidP="001D5D37">
      <w:pPr>
        <w:spacing w:before="240"/>
        <w:jc w:val="center"/>
        <w:rPr>
          <w:rFonts w:ascii="Times New Roman" w:hAnsi="Times New Roman" w:cs="Times New Roman"/>
          <w:b/>
          <w:sz w:val="27"/>
          <w:szCs w:val="27"/>
        </w:rPr>
      </w:pPr>
      <w:r w:rsidRPr="00013078">
        <w:rPr>
          <w:rFonts w:ascii="Times New Roman" w:hAnsi="Times New Roman" w:cs="Times New Roman"/>
          <w:b/>
          <w:sz w:val="27"/>
          <w:szCs w:val="27"/>
        </w:rPr>
        <w:t>Contribution sur l</w:t>
      </w:r>
      <w:r w:rsidR="00F0206D" w:rsidRPr="00013078">
        <w:rPr>
          <w:rFonts w:ascii="Times New Roman" w:hAnsi="Times New Roman" w:cs="Times New Roman"/>
          <w:b/>
          <w:sz w:val="27"/>
          <w:szCs w:val="27"/>
        </w:rPr>
        <w:t>e projet d</w:t>
      </w:r>
      <w:r w:rsidRPr="00013078">
        <w:rPr>
          <w:rFonts w:ascii="Times New Roman" w:hAnsi="Times New Roman" w:cs="Times New Roman"/>
          <w:b/>
          <w:sz w:val="27"/>
          <w:szCs w:val="27"/>
        </w:rPr>
        <w:t>’observation générale n°36 du Comité des droits de l’Homme relative au droit à la vie (art. 6 PIDCP)</w:t>
      </w:r>
    </w:p>
    <w:p w:rsidR="004D05F3" w:rsidRDefault="004D05F3" w:rsidP="00EA5036">
      <w:pPr>
        <w:jc w:val="both"/>
        <w:rPr>
          <w:rFonts w:ascii="Times New Roman" w:hAnsi="Times New Roman" w:cs="Times New Roman"/>
        </w:rPr>
      </w:pPr>
    </w:p>
    <w:p w:rsidR="00EA5036" w:rsidRPr="00315AAA" w:rsidRDefault="00EA5036" w:rsidP="00EA5036">
      <w:pPr>
        <w:jc w:val="both"/>
        <w:rPr>
          <w:rFonts w:ascii="Times New Roman" w:hAnsi="Times New Roman" w:cs="Times New Roman"/>
        </w:rPr>
      </w:pPr>
      <w:r w:rsidRPr="00315AAA">
        <w:rPr>
          <w:rFonts w:ascii="Times New Roman" w:hAnsi="Times New Roman" w:cs="Times New Roman"/>
        </w:rPr>
        <w:t>Crée en 1947 sous l’impulsion de René Cassin, la Commission nationale consultative des droits de l’homme (</w:t>
      </w:r>
      <w:r w:rsidR="0058243C">
        <w:rPr>
          <w:rFonts w:ascii="Times New Roman" w:hAnsi="Times New Roman" w:cs="Times New Roman"/>
        </w:rPr>
        <w:t xml:space="preserve">ci-après </w:t>
      </w:r>
      <w:r w:rsidRPr="00315AAA">
        <w:rPr>
          <w:rFonts w:ascii="Times New Roman" w:hAnsi="Times New Roman" w:cs="Times New Roman"/>
        </w:rPr>
        <w:t xml:space="preserve">CNCDH) est l’institution nationale de promotion et de protection des droits de l’homme française, accréditée de statut A </w:t>
      </w:r>
      <w:r w:rsidR="00104346">
        <w:rPr>
          <w:rFonts w:ascii="Times New Roman" w:hAnsi="Times New Roman" w:cs="Times New Roman"/>
        </w:rPr>
        <w:t>auprès d</w:t>
      </w:r>
      <w:r w:rsidRPr="00315AAA">
        <w:rPr>
          <w:rFonts w:ascii="Times New Roman" w:hAnsi="Times New Roman" w:cs="Times New Roman"/>
        </w:rPr>
        <w:t>es Nations-Unies.</w:t>
      </w:r>
    </w:p>
    <w:p w:rsidR="00EA5036" w:rsidRPr="00315AAA" w:rsidRDefault="00EA5036" w:rsidP="00EA5036">
      <w:pPr>
        <w:jc w:val="both"/>
        <w:rPr>
          <w:rFonts w:ascii="Times New Roman" w:hAnsi="Times New Roman" w:cs="Times New Roman"/>
        </w:rPr>
      </w:pPr>
      <w:r w:rsidRPr="00315AAA">
        <w:rPr>
          <w:rFonts w:ascii="Times New Roman" w:hAnsi="Times New Roman" w:cs="Times New Roman"/>
        </w:rPr>
        <w:t xml:space="preserve">Suivant l’invitation du Comité des droits de l’homme (ci-après le Comité) à soumettre ses commentaires sur le projet d’observation générale, la CNCDH répond à cette proposition par la présente contribution. </w:t>
      </w:r>
    </w:p>
    <w:p w:rsidR="00EA5036" w:rsidRPr="00315AAA" w:rsidRDefault="00EA5036" w:rsidP="00EA5036">
      <w:pPr>
        <w:jc w:val="both"/>
        <w:rPr>
          <w:rFonts w:ascii="Times New Roman" w:hAnsi="Times New Roman" w:cs="Times New Roman"/>
        </w:rPr>
      </w:pPr>
      <w:r w:rsidRPr="00315AAA">
        <w:rPr>
          <w:rFonts w:ascii="Times New Roman" w:hAnsi="Times New Roman" w:cs="Times New Roman"/>
        </w:rPr>
        <w:t xml:space="preserve">On ne saurait rappeler l’importance des observations générales produites par le Comité à l’égard du Pacte international sur les droits civils et politiques (PIDCP), instrument intangible </w:t>
      </w:r>
      <w:r w:rsidR="00104346">
        <w:rPr>
          <w:rFonts w:ascii="Times New Roman" w:hAnsi="Times New Roman" w:cs="Times New Roman"/>
        </w:rPr>
        <w:t>que</w:t>
      </w:r>
      <w:r w:rsidR="00104346" w:rsidRPr="00315AAA">
        <w:rPr>
          <w:rFonts w:ascii="Times New Roman" w:hAnsi="Times New Roman" w:cs="Times New Roman"/>
        </w:rPr>
        <w:t xml:space="preserve"> </w:t>
      </w:r>
      <w:r w:rsidRPr="00315AAA">
        <w:rPr>
          <w:rFonts w:ascii="Times New Roman" w:hAnsi="Times New Roman" w:cs="Times New Roman"/>
        </w:rPr>
        <w:t>la CNCDH s’efforce de promouvoir</w:t>
      </w:r>
      <w:r w:rsidR="00104346">
        <w:rPr>
          <w:rFonts w:ascii="Times New Roman" w:hAnsi="Times New Roman" w:cs="Times New Roman"/>
        </w:rPr>
        <w:t xml:space="preserve"> et de protéger au travers de ses missions de conseils aux pouvoirs publics et de ses missions d’évaluation, de contrôle et de monitoring de l’effectivité des garanties qui y sont inscrites.</w:t>
      </w:r>
      <w:r w:rsidRPr="00315AAA">
        <w:rPr>
          <w:rFonts w:ascii="Times New Roman" w:hAnsi="Times New Roman" w:cs="Times New Roman"/>
        </w:rPr>
        <w:t xml:space="preserve"> La CNCDH salue l’initiative d’une nouvelle observation générale relative au droit à la vie en vue d’actualiser la précédente remontant à 1984. Le droit à la vie irrigue un ensemble de droits et de principes </w:t>
      </w:r>
      <w:r w:rsidR="00104346">
        <w:rPr>
          <w:rFonts w:ascii="Times New Roman" w:hAnsi="Times New Roman" w:cs="Times New Roman"/>
        </w:rPr>
        <w:t xml:space="preserve">pour lesquels </w:t>
      </w:r>
      <w:r w:rsidRPr="00315AAA">
        <w:rPr>
          <w:rFonts w:ascii="Times New Roman" w:hAnsi="Times New Roman" w:cs="Times New Roman"/>
        </w:rPr>
        <w:t xml:space="preserve">une interprétation claire est indispensable. La CNCDH appuie la palette de droits abordés ainsi que l’approche progressiste </w:t>
      </w:r>
      <w:r w:rsidR="00E85F44">
        <w:rPr>
          <w:rFonts w:ascii="Times New Roman" w:hAnsi="Times New Roman" w:cs="Times New Roman"/>
        </w:rPr>
        <w:t>dont témoigne indéniablement</w:t>
      </w:r>
      <w:r w:rsidRPr="00315AAA">
        <w:rPr>
          <w:rFonts w:ascii="Times New Roman" w:hAnsi="Times New Roman" w:cs="Times New Roman"/>
        </w:rPr>
        <w:t xml:space="preserve"> le projet d’observation générale. La CNCDH se félicite de la décision d’associer les </w:t>
      </w:r>
      <w:r w:rsidR="00E85F44">
        <w:rPr>
          <w:rFonts w:ascii="Times New Roman" w:hAnsi="Times New Roman" w:cs="Times New Roman"/>
        </w:rPr>
        <w:t>I</w:t>
      </w:r>
      <w:r w:rsidRPr="00315AAA">
        <w:rPr>
          <w:rFonts w:ascii="Times New Roman" w:hAnsi="Times New Roman" w:cs="Times New Roman"/>
        </w:rPr>
        <w:t>nstitutions nationales des droits de l’homme à ce processus de réflexion. </w:t>
      </w:r>
    </w:p>
    <w:p w:rsidR="00EA5036" w:rsidRPr="00315AAA" w:rsidRDefault="00EA5036" w:rsidP="00EA5036">
      <w:pPr>
        <w:jc w:val="both"/>
        <w:rPr>
          <w:rFonts w:ascii="Times New Roman" w:hAnsi="Times New Roman" w:cs="Times New Roman"/>
        </w:rPr>
      </w:pPr>
      <w:r w:rsidRPr="00315AAA">
        <w:rPr>
          <w:rFonts w:ascii="Times New Roman" w:hAnsi="Times New Roman" w:cs="Times New Roman"/>
        </w:rPr>
        <w:t xml:space="preserve">Tout en exprimant son soutien à de nombreuses interprétations du droit à la vie </w:t>
      </w:r>
      <w:r w:rsidR="00E85F44">
        <w:rPr>
          <w:rFonts w:ascii="Times New Roman" w:hAnsi="Times New Roman" w:cs="Times New Roman"/>
        </w:rPr>
        <w:t>formulées</w:t>
      </w:r>
      <w:r w:rsidR="00E85F44" w:rsidRPr="00315AAA">
        <w:rPr>
          <w:rFonts w:ascii="Times New Roman" w:hAnsi="Times New Roman" w:cs="Times New Roman"/>
        </w:rPr>
        <w:t xml:space="preserve"> </w:t>
      </w:r>
      <w:r w:rsidRPr="00315AAA">
        <w:rPr>
          <w:rFonts w:ascii="Times New Roman" w:hAnsi="Times New Roman" w:cs="Times New Roman"/>
        </w:rPr>
        <w:t>dans ce</w:t>
      </w:r>
      <w:r w:rsidR="00F0206D">
        <w:rPr>
          <w:rFonts w:ascii="Times New Roman" w:hAnsi="Times New Roman" w:cs="Times New Roman"/>
        </w:rPr>
        <w:t xml:space="preserve"> projet d</w:t>
      </w:r>
      <w:r w:rsidR="0058243C">
        <w:rPr>
          <w:rFonts w:ascii="Times New Roman" w:hAnsi="Times New Roman" w:cs="Times New Roman"/>
        </w:rPr>
        <w:t>’</w:t>
      </w:r>
      <w:r w:rsidRPr="00315AAA">
        <w:rPr>
          <w:rFonts w:ascii="Times New Roman" w:hAnsi="Times New Roman" w:cs="Times New Roman"/>
        </w:rPr>
        <w:t xml:space="preserve">observation générale, la CNCDH s’attardera sur quelques aspects qui mériteraient, selon elle, une approche plus </w:t>
      </w:r>
      <w:r w:rsidR="00E85F44">
        <w:rPr>
          <w:rFonts w:ascii="Times New Roman" w:hAnsi="Times New Roman" w:cs="Times New Roman"/>
        </w:rPr>
        <w:t>aboutie</w:t>
      </w:r>
      <w:r w:rsidRPr="00315AAA">
        <w:rPr>
          <w:rFonts w:ascii="Times New Roman" w:hAnsi="Times New Roman" w:cs="Times New Roman"/>
        </w:rPr>
        <w:t xml:space="preserve">. </w:t>
      </w:r>
    </w:p>
    <w:p w:rsidR="00EA5036" w:rsidRPr="003B0A35" w:rsidRDefault="00EA5036" w:rsidP="00EA5036">
      <w:pPr>
        <w:pStyle w:val="ListParagraph"/>
        <w:numPr>
          <w:ilvl w:val="0"/>
          <w:numId w:val="2"/>
        </w:numPr>
        <w:rPr>
          <w:rFonts w:ascii="Times New Roman" w:eastAsiaTheme="majorEastAsia" w:hAnsi="Times New Roman" w:cs="Times New Roman"/>
          <w:b/>
          <w:bCs/>
        </w:rPr>
      </w:pPr>
      <w:r w:rsidRPr="003B0A35">
        <w:rPr>
          <w:rFonts w:ascii="Times New Roman" w:eastAsiaTheme="majorEastAsia" w:hAnsi="Times New Roman" w:cs="Times New Roman"/>
          <w:b/>
          <w:bCs/>
        </w:rPr>
        <w:t>Santé et pauvreté :</w:t>
      </w:r>
      <w:r w:rsidRPr="003B0A35">
        <w:rPr>
          <w:rFonts w:ascii="Times New Roman" w:hAnsi="Times New Roman" w:cs="Times New Roman"/>
        </w:rPr>
        <w:tab/>
      </w:r>
    </w:p>
    <w:p w:rsidR="00EA5036" w:rsidRPr="00722B09" w:rsidRDefault="00EA5036" w:rsidP="00EA5036">
      <w:pPr>
        <w:spacing w:after="0"/>
        <w:jc w:val="both"/>
        <w:rPr>
          <w:rFonts w:ascii="Times New Roman" w:hAnsi="Times New Roman" w:cs="Times New Roman"/>
          <w:i/>
        </w:rPr>
      </w:pPr>
      <w:r w:rsidRPr="00722B09">
        <w:rPr>
          <w:rFonts w:ascii="Times New Roman" w:hAnsi="Times New Roman" w:cs="Times New Roman"/>
          <w:i/>
        </w:rPr>
        <w:t>Sur l’interruption volontaire de grossesse (§9)</w:t>
      </w:r>
    </w:p>
    <w:p w:rsidR="00EA5036" w:rsidRPr="00315AAA" w:rsidRDefault="00EA5036" w:rsidP="00EA5036">
      <w:pPr>
        <w:spacing w:after="0"/>
        <w:jc w:val="both"/>
        <w:rPr>
          <w:rFonts w:ascii="Times New Roman" w:hAnsi="Times New Roman" w:cs="Times New Roman"/>
        </w:rPr>
      </w:pPr>
      <w:r w:rsidRPr="00315AAA">
        <w:rPr>
          <w:rFonts w:ascii="Times New Roman" w:hAnsi="Times New Roman" w:cs="Times New Roman"/>
        </w:rPr>
        <w:t xml:space="preserve">La CNCDH </w:t>
      </w:r>
      <w:r w:rsidR="00E126D9">
        <w:rPr>
          <w:rFonts w:ascii="Times New Roman" w:hAnsi="Times New Roman" w:cs="Times New Roman"/>
        </w:rPr>
        <w:t>salue les développements très importants consacrés à l’interruption de grossesse, mais recommande de souligner</w:t>
      </w:r>
      <w:r w:rsidR="0058243C">
        <w:rPr>
          <w:rFonts w:ascii="Times New Roman" w:hAnsi="Times New Roman" w:cs="Times New Roman"/>
        </w:rPr>
        <w:t>,</w:t>
      </w:r>
      <w:r w:rsidR="00E126D9">
        <w:rPr>
          <w:rFonts w:ascii="Times New Roman" w:hAnsi="Times New Roman" w:cs="Times New Roman"/>
        </w:rPr>
        <w:t xml:space="preserve"> </w:t>
      </w:r>
      <w:r w:rsidR="00810A52">
        <w:rPr>
          <w:rFonts w:ascii="Times New Roman" w:hAnsi="Times New Roman" w:cs="Times New Roman"/>
        </w:rPr>
        <w:t>en plus</w:t>
      </w:r>
      <w:r w:rsidR="00E126D9">
        <w:rPr>
          <w:rFonts w:ascii="Times New Roman" w:hAnsi="Times New Roman" w:cs="Times New Roman"/>
        </w:rPr>
        <w:t xml:space="preserve"> </w:t>
      </w:r>
      <w:r w:rsidR="00A069B8">
        <w:rPr>
          <w:rFonts w:ascii="Times New Roman" w:hAnsi="Times New Roman" w:cs="Times New Roman"/>
        </w:rPr>
        <w:t xml:space="preserve">du </w:t>
      </w:r>
      <w:r w:rsidRPr="00315AAA">
        <w:rPr>
          <w:rFonts w:ascii="Times New Roman" w:hAnsi="Times New Roman" w:cs="Times New Roman"/>
        </w:rPr>
        <w:t>droit à la vie de la femme enceinte</w:t>
      </w:r>
      <w:r w:rsidR="00E126D9">
        <w:rPr>
          <w:rFonts w:ascii="Times New Roman" w:hAnsi="Times New Roman" w:cs="Times New Roman"/>
        </w:rPr>
        <w:t xml:space="preserve">, une </w:t>
      </w:r>
      <w:r w:rsidRPr="00315AAA">
        <w:rPr>
          <w:rFonts w:ascii="Times New Roman" w:hAnsi="Times New Roman" w:cs="Times New Roman"/>
        </w:rPr>
        <w:t xml:space="preserve">lecture combinée d’autres droits, comme le droit à la vie privée (article 17 du PIDCP) ou la </w:t>
      </w:r>
      <w:r w:rsidR="00072C11">
        <w:rPr>
          <w:rFonts w:ascii="Times New Roman" w:hAnsi="Times New Roman" w:cs="Times New Roman"/>
        </w:rPr>
        <w:t xml:space="preserve">libre disposition de son corps, </w:t>
      </w:r>
      <w:r w:rsidR="00E126D9">
        <w:rPr>
          <w:rFonts w:ascii="Times New Roman" w:hAnsi="Times New Roman" w:cs="Times New Roman"/>
        </w:rPr>
        <w:t>montrant l’ancrage fondamental du droit à l’avortement</w:t>
      </w:r>
      <w:r w:rsidRPr="00315AAA">
        <w:rPr>
          <w:rFonts w:ascii="Times New Roman" w:hAnsi="Times New Roman" w:cs="Times New Roman"/>
        </w:rPr>
        <w:t xml:space="preserve">. </w:t>
      </w:r>
    </w:p>
    <w:p w:rsidR="005C7A69" w:rsidRDefault="00EA5036" w:rsidP="00EA5036">
      <w:pPr>
        <w:spacing w:after="0"/>
        <w:jc w:val="both"/>
        <w:rPr>
          <w:rFonts w:ascii="Times New Roman" w:hAnsi="Times New Roman" w:cs="Times New Roman"/>
        </w:rPr>
      </w:pPr>
      <w:r w:rsidRPr="00315AAA">
        <w:rPr>
          <w:rFonts w:ascii="Times New Roman" w:hAnsi="Times New Roman" w:cs="Times New Roman"/>
        </w:rPr>
        <w:t>La CNCDH soutient le rappel</w:t>
      </w:r>
      <w:r>
        <w:rPr>
          <w:rFonts w:ascii="Times New Roman" w:hAnsi="Times New Roman" w:cs="Times New Roman"/>
        </w:rPr>
        <w:t xml:space="preserve"> qui est</w:t>
      </w:r>
      <w:r w:rsidRPr="00315AAA">
        <w:rPr>
          <w:rFonts w:ascii="Times New Roman" w:hAnsi="Times New Roman" w:cs="Times New Roman"/>
        </w:rPr>
        <w:t xml:space="preserve"> fait de l’obligation des Etats de permettre l’accès à l’avortement lorsque la grossesse causerait une douleur ou une souffrance considérable (viol, inceste, malformations mortelles)</w:t>
      </w:r>
      <w:r w:rsidR="005C7A69">
        <w:rPr>
          <w:rFonts w:ascii="Times New Roman" w:hAnsi="Times New Roman" w:cs="Times New Roman"/>
        </w:rPr>
        <w:t>. S’appuyant sur la pratique de nombreux Etats, il serait opportun de mentionner la légitimité d’autres situations susceptibles de fonder l’accès légal de la femme à l’avortement.</w:t>
      </w:r>
    </w:p>
    <w:p w:rsidR="00E126D9" w:rsidRDefault="00E126D9" w:rsidP="00EA5036">
      <w:pPr>
        <w:spacing w:after="0"/>
        <w:jc w:val="both"/>
        <w:rPr>
          <w:rFonts w:ascii="Times New Roman" w:hAnsi="Times New Roman" w:cs="Times New Roman"/>
        </w:rPr>
      </w:pPr>
      <w:r>
        <w:rPr>
          <w:rFonts w:ascii="Times New Roman" w:hAnsi="Times New Roman" w:cs="Times New Roman"/>
        </w:rPr>
        <w:t xml:space="preserve">La CNCDH salue le fait que </w:t>
      </w:r>
      <w:r w:rsidR="00EA5036" w:rsidRPr="00315AAA">
        <w:rPr>
          <w:rFonts w:ascii="Times New Roman" w:hAnsi="Times New Roman" w:cs="Times New Roman"/>
        </w:rPr>
        <w:t xml:space="preserve"> l</w:t>
      </w:r>
      <w:r w:rsidR="00F0206D">
        <w:rPr>
          <w:rFonts w:ascii="Times New Roman" w:hAnsi="Times New Roman" w:cs="Times New Roman"/>
        </w:rPr>
        <w:t>e projet d</w:t>
      </w:r>
      <w:r w:rsidR="00EA5036" w:rsidRPr="00315AAA">
        <w:rPr>
          <w:rFonts w:ascii="Times New Roman" w:hAnsi="Times New Roman" w:cs="Times New Roman"/>
        </w:rPr>
        <w:t xml:space="preserve">’observation générale impose aux Etats que les femmes n’aient pas </w:t>
      </w:r>
      <w:r w:rsidR="00EA1687">
        <w:rPr>
          <w:rFonts w:ascii="Times New Roman" w:hAnsi="Times New Roman" w:cs="Times New Roman"/>
        </w:rPr>
        <w:t>recours à un avortement risqué</w:t>
      </w:r>
      <w:r>
        <w:rPr>
          <w:rFonts w:ascii="Times New Roman" w:hAnsi="Times New Roman" w:cs="Times New Roman"/>
        </w:rPr>
        <w:t xml:space="preserve">. </w:t>
      </w:r>
    </w:p>
    <w:p w:rsidR="00EA5036" w:rsidRDefault="00837108" w:rsidP="00EA5036">
      <w:pPr>
        <w:spacing w:after="0"/>
        <w:jc w:val="both"/>
        <w:rPr>
          <w:rFonts w:ascii="Times New Roman" w:hAnsi="Times New Roman" w:cs="Times New Roman"/>
        </w:rPr>
      </w:pPr>
      <w:r>
        <w:rPr>
          <w:rFonts w:ascii="Times New Roman" w:hAnsi="Times New Roman" w:cs="Times New Roman"/>
        </w:rPr>
        <w:t>L</w:t>
      </w:r>
      <w:r w:rsidR="00EA5036" w:rsidRPr="00315AAA">
        <w:rPr>
          <w:rFonts w:ascii="Times New Roman" w:hAnsi="Times New Roman" w:cs="Times New Roman"/>
        </w:rPr>
        <w:t xml:space="preserve">a CNCDH </w:t>
      </w:r>
      <w:r w:rsidR="00E6753E">
        <w:rPr>
          <w:rFonts w:ascii="Times New Roman" w:hAnsi="Times New Roman" w:cs="Times New Roman"/>
        </w:rPr>
        <w:t>est très favorable au fait de</w:t>
      </w:r>
      <w:r w:rsidR="00EA5036" w:rsidRPr="00315AAA">
        <w:rPr>
          <w:rFonts w:ascii="Times New Roman" w:hAnsi="Times New Roman" w:cs="Times New Roman"/>
        </w:rPr>
        <w:t xml:space="preserve"> retenir le passage entre parenthèses visant la suggestion de ne pas criminaliser les grossesses hors mariage ou plus largement l’avortement.</w:t>
      </w:r>
    </w:p>
    <w:p w:rsidR="00952E8E" w:rsidRPr="00315AAA" w:rsidRDefault="00952E8E" w:rsidP="00EA5036">
      <w:pPr>
        <w:spacing w:after="0"/>
        <w:jc w:val="both"/>
        <w:rPr>
          <w:rFonts w:ascii="Times New Roman" w:hAnsi="Times New Roman" w:cs="Times New Roman"/>
        </w:rPr>
      </w:pPr>
      <w:r>
        <w:rPr>
          <w:rFonts w:ascii="Times New Roman" w:hAnsi="Times New Roman" w:cs="Times New Roman"/>
        </w:rPr>
        <w:t xml:space="preserve">La CNCDH tient à souligner l’importance de la phrase </w:t>
      </w:r>
      <w:r w:rsidR="00837108">
        <w:rPr>
          <w:rFonts w:ascii="Times New Roman" w:hAnsi="Times New Roman" w:cs="Times New Roman"/>
        </w:rPr>
        <w:t>mettant à la charge des</w:t>
      </w:r>
      <w:r>
        <w:rPr>
          <w:rFonts w:ascii="Times New Roman" w:hAnsi="Times New Roman" w:cs="Times New Roman"/>
        </w:rPr>
        <w:t xml:space="preserve"> Etats </w:t>
      </w:r>
      <w:r w:rsidR="00837108">
        <w:rPr>
          <w:rFonts w:ascii="Times New Roman" w:hAnsi="Times New Roman" w:cs="Times New Roman"/>
        </w:rPr>
        <w:t xml:space="preserve">l’obligation </w:t>
      </w:r>
      <w:r>
        <w:rPr>
          <w:rFonts w:ascii="Times New Roman" w:hAnsi="Times New Roman" w:cs="Times New Roman"/>
        </w:rPr>
        <w:t>de ne pas imposer de « </w:t>
      </w:r>
      <w:r w:rsidRPr="0058243C">
        <w:rPr>
          <w:rFonts w:ascii="Times New Roman" w:hAnsi="Times New Roman" w:cs="Times New Roman"/>
          <w:i/>
        </w:rPr>
        <w:t xml:space="preserve">critères humiliants ou déraisonnablement contraignants aux femmes qui cherchent à </w:t>
      </w:r>
      <w:r w:rsidRPr="0058243C">
        <w:rPr>
          <w:rFonts w:ascii="Times New Roman" w:hAnsi="Times New Roman" w:cs="Times New Roman"/>
          <w:i/>
        </w:rPr>
        <w:lastRenderedPageBreak/>
        <w:t>avorter</w:t>
      </w:r>
      <w:r>
        <w:rPr>
          <w:rFonts w:ascii="Times New Roman" w:hAnsi="Times New Roman" w:cs="Times New Roman"/>
        </w:rPr>
        <w:t xml:space="preserve"> ». Cette approche est d’autant plus importante que, même dans certains Etats </w:t>
      </w:r>
      <w:r w:rsidR="00837108">
        <w:rPr>
          <w:rFonts w:ascii="Times New Roman" w:hAnsi="Times New Roman" w:cs="Times New Roman"/>
        </w:rPr>
        <w:t>garantissant l’accès légal à l’avortement</w:t>
      </w:r>
      <w:r>
        <w:rPr>
          <w:rFonts w:ascii="Times New Roman" w:hAnsi="Times New Roman" w:cs="Times New Roman"/>
        </w:rPr>
        <w:t>, il n’est pas rare de constater un recul dans les conditions matérielles d’accès</w:t>
      </w:r>
      <w:r w:rsidR="00837108">
        <w:rPr>
          <w:rFonts w:ascii="Times New Roman" w:hAnsi="Times New Roman" w:cs="Times New Roman"/>
        </w:rPr>
        <w:t xml:space="preserve"> effectif</w:t>
      </w:r>
      <w:r>
        <w:rPr>
          <w:rFonts w:ascii="Times New Roman" w:hAnsi="Times New Roman" w:cs="Times New Roman"/>
        </w:rPr>
        <w:t xml:space="preserve"> à l’avortement compte tenu des divers obstacles auxquelles les femmes concernées font face.</w:t>
      </w:r>
    </w:p>
    <w:p w:rsidR="00EA5036" w:rsidRPr="00315AAA" w:rsidRDefault="00EA5036" w:rsidP="00EA5036">
      <w:pPr>
        <w:spacing w:after="0"/>
        <w:jc w:val="both"/>
        <w:rPr>
          <w:rFonts w:ascii="Times New Roman" w:hAnsi="Times New Roman" w:cs="Times New Roman"/>
        </w:rPr>
      </w:pPr>
      <w:r w:rsidRPr="00315AAA">
        <w:rPr>
          <w:rFonts w:ascii="Times New Roman" w:hAnsi="Times New Roman" w:cs="Times New Roman"/>
        </w:rPr>
        <w:t>Enfin, la CNCDH soutient vivement l’accès à l’information et à la contraception que promeut l</w:t>
      </w:r>
      <w:r w:rsidR="00C06CD7">
        <w:rPr>
          <w:rFonts w:ascii="Times New Roman" w:hAnsi="Times New Roman" w:cs="Times New Roman"/>
        </w:rPr>
        <w:t>e projet d</w:t>
      </w:r>
      <w:r w:rsidRPr="00315AAA">
        <w:rPr>
          <w:rFonts w:ascii="Times New Roman" w:hAnsi="Times New Roman" w:cs="Times New Roman"/>
        </w:rPr>
        <w:t xml:space="preserve">’observation générale. </w:t>
      </w:r>
    </w:p>
    <w:p w:rsidR="00EA5036" w:rsidRDefault="00EA5036" w:rsidP="00EA5036">
      <w:pPr>
        <w:jc w:val="both"/>
        <w:rPr>
          <w:rFonts w:ascii="Times New Roman" w:hAnsi="Times New Roman" w:cs="Times New Roman"/>
        </w:rPr>
      </w:pPr>
    </w:p>
    <w:p w:rsidR="00EA5036" w:rsidRPr="00722B09" w:rsidRDefault="00EA5036" w:rsidP="00EA5036">
      <w:pPr>
        <w:spacing w:after="0"/>
        <w:jc w:val="both"/>
        <w:rPr>
          <w:rFonts w:ascii="Times New Roman" w:hAnsi="Times New Roman" w:cs="Times New Roman"/>
          <w:i/>
        </w:rPr>
      </w:pPr>
      <w:r w:rsidRPr="00722B09">
        <w:rPr>
          <w:rFonts w:ascii="Times New Roman" w:hAnsi="Times New Roman" w:cs="Times New Roman"/>
          <w:i/>
        </w:rPr>
        <w:t>Sur la fin de vie (§10)</w:t>
      </w:r>
    </w:p>
    <w:p w:rsidR="00826226" w:rsidRPr="00826226" w:rsidRDefault="00EA5036" w:rsidP="00826226">
      <w:pPr>
        <w:spacing w:after="0"/>
        <w:jc w:val="both"/>
        <w:rPr>
          <w:rFonts w:ascii="Times New Roman" w:hAnsi="Times New Roman" w:cs="Times New Roman"/>
        </w:rPr>
      </w:pPr>
      <w:r w:rsidRPr="00315AAA">
        <w:rPr>
          <w:rFonts w:ascii="Times New Roman" w:hAnsi="Times New Roman" w:cs="Times New Roman"/>
        </w:rPr>
        <w:t xml:space="preserve">La CNCDH </w:t>
      </w:r>
      <w:r w:rsidR="00837108">
        <w:rPr>
          <w:rFonts w:ascii="Times New Roman" w:hAnsi="Times New Roman" w:cs="Times New Roman"/>
        </w:rPr>
        <w:t>considère qu’il est opportun de viser comme le fait le projet d’</w:t>
      </w:r>
      <w:r w:rsidR="00574F10">
        <w:rPr>
          <w:rFonts w:ascii="Times New Roman" w:hAnsi="Times New Roman" w:cs="Times New Roman"/>
        </w:rPr>
        <w:t>observation</w:t>
      </w:r>
      <w:r w:rsidR="00837108">
        <w:rPr>
          <w:rFonts w:ascii="Times New Roman" w:hAnsi="Times New Roman" w:cs="Times New Roman"/>
        </w:rPr>
        <w:t xml:space="preserve"> générale </w:t>
      </w:r>
      <w:r w:rsidRPr="00315AAA">
        <w:rPr>
          <w:rFonts w:ascii="Times New Roman" w:hAnsi="Times New Roman" w:cs="Times New Roman"/>
        </w:rPr>
        <w:t xml:space="preserve">les situations de fin de vie </w:t>
      </w:r>
      <w:r w:rsidR="00837108">
        <w:rPr>
          <w:rFonts w:ascii="Times New Roman" w:hAnsi="Times New Roman" w:cs="Times New Roman"/>
        </w:rPr>
        <w:t>qu’il évoque</w:t>
      </w:r>
      <w:r w:rsidRPr="00315AAA">
        <w:rPr>
          <w:rFonts w:ascii="Times New Roman" w:hAnsi="Times New Roman" w:cs="Times New Roman"/>
        </w:rPr>
        <w:t xml:space="preserve"> (soit « </w:t>
      </w:r>
      <w:r w:rsidRPr="00315AAA">
        <w:rPr>
          <w:rFonts w:ascii="Times New Roman" w:hAnsi="Times New Roman" w:cs="Times New Roman"/>
          <w:i/>
        </w:rPr>
        <w:t>les personnes mortellement blessées ou atteintes d’une maladie en phase terminale, qui éprouvent une douleur ou une souffrance physique ou psychologique aiguë et qui veulent mourir dans la dignité</w:t>
      </w:r>
      <w:r w:rsidRPr="00315AAA">
        <w:rPr>
          <w:rFonts w:ascii="Times New Roman" w:hAnsi="Times New Roman" w:cs="Times New Roman"/>
        </w:rPr>
        <w:t> »). Toutefois, l</w:t>
      </w:r>
      <w:r w:rsidR="00C06CD7">
        <w:rPr>
          <w:rFonts w:ascii="Times New Roman" w:hAnsi="Times New Roman" w:cs="Times New Roman"/>
        </w:rPr>
        <w:t>e projet d</w:t>
      </w:r>
      <w:r w:rsidRPr="00315AAA">
        <w:rPr>
          <w:rFonts w:ascii="Times New Roman" w:hAnsi="Times New Roman" w:cs="Times New Roman"/>
        </w:rPr>
        <w:t xml:space="preserve">’observation ne mentionne pas le cas des patients qui ne peuvent pas donner une décision explicite. </w:t>
      </w:r>
      <w:r w:rsidR="00826226" w:rsidRPr="00826226">
        <w:rPr>
          <w:rFonts w:ascii="Times New Roman" w:hAnsi="Times New Roman" w:cs="Times New Roman"/>
        </w:rPr>
        <w:t>Une proposition de loi française sur laquelle la CNCDH avait émis un avis visait ce type de situation</w:t>
      </w:r>
      <w:r w:rsidR="00826226" w:rsidRPr="00826226">
        <w:rPr>
          <w:rFonts w:ascii="Times New Roman" w:hAnsi="Times New Roman" w:cs="Times New Roman"/>
          <w:vertAlign w:val="superscript"/>
        </w:rPr>
        <w:footnoteReference w:id="1"/>
      </w:r>
      <w:r w:rsidR="00826226" w:rsidRPr="00826226">
        <w:rPr>
          <w:rFonts w:ascii="Times New Roman" w:hAnsi="Times New Roman" w:cs="Times New Roman"/>
        </w:rPr>
        <w:t>. Elle convenait que le médecin peut décider de limiter ou d’arrêter un traitement inutile disproportionné ou n’ayant d’autre objet que la seule prolongation artificielle de la vie, après avoir respecté la procédure collégiale définie par le code de déontologie médicale et consulté la personne de confiance, la famille ou à défaut un de ses proches et le cas échéant les directives anticipées de la personne. Par la suite, la CNCDH a fortement recommandé la promotion de ces directives anticipées auprès des personnes vieillissante</w:t>
      </w:r>
      <w:r w:rsidR="00361BEC">
        <w:rPr>
          <w:rFonts w:ascii="Times New Roman" w:hAnsi="Times New Roman" w:cs="Times New Roman"/>
        </w:rPr>
        <w:t>s</w:t>
      </w:r>
      <w:r w:rsidR="00826226" w:rsidRPr="00826226">
        <w:rPr>
          <w:rFonts w:ascii="Times New Roman" w:hAnsi="Times New Roman" w:cs="Times New Roman"/>
        </w:rPr>
        <w:t xml:space="preserve"> et malade</w:t>
      </w:r>
      <w:r w:rsidR="00361BEC">
        <w:rPr>
          <w:rFonts w:ascii="Times New Roman" w:hAnsi="Times New Roman" w:cs="Times New Roman"/>
        </w:rPr>
        <w:t>s</w:t>
      </w:r>
      <w:r w:rsidR="00826226" w:rsidRPr="00826226">
        <w:rPr>
          <w:rFonts w:ascii="Times New Roman" w:hAnsi="Times New Roman" w:cs="Times New Roman"/>
        </w:rPr>
        <w:t>, qui apparaissent comme une nécessité sanitaire importante, compte tenu du constat très largement partagé des mauvaises conditions, notamment relationnelles, dans lesquelles se, déroulent les derniers instants de la vie</w:t>
      </w:r>
      <w:r w:rsidR="00826226" w:rsidRPr="00826226">
        <w:rPr>
          <w:rFonts w:ascii="Times New Roman" w:hAnsi="Times New Roman" w:cs="Times New Roman"/>
          <w:vertAlign w:val="superscript"/>
        </w:rPr>
        <w:footnoteReference w:id="2"/>
      </w:r>
      <w:r w:rsidR="00826226" w:rsidRPr="00826226">
        <w:rPr>
          <w:rFonts w:ascii="Times New Roman" w:hAnsi="Times New Roman" w:cs="Times New Roman"/>
        </w:rPr>
        <w:t>.</w:t>
      </w:r>
    </w:p>
    <w:p w:rsidR="00EA5036" w:rsidRPr="00315AAA" w:rsidRDefault="00EA5036" w:rsidP="00EA5036">
      <w:pPr>
        <w:spacing w:after="0"/>
        <w:jc w:val="both"/>
        <w:rPr>
          <w:rFonts w:ascii="Times New Roman" w:hAnsi="Times New Roman" w:cs="Times New Roman"/>
        </w:rPr>
      </w:pPr>
      <w:r w:rsidRPr="00315AAA">
        <w:rPr>
          <w:rFonts w:ascii="Times New Roman" w:hAnsi="Times New Roman" w:cs="Times New Roman"/>
        </w:rPr>
        <w:t xml:space="preserve">Le Comité devrait se prononcer sur cette question qui semble cruciale dans le contexte de la fin de vie.  </w:t>
      </w:r>
    </w:p>
    <w:p w:rsidR="00EA5036" w:rsidRPr="00315AAA" w:rsidRDefault="00EA5036" w:rsidP="00EA5036">
      <w:pPr>
        <w:spacing w:after="0"/>
        <w:jc w:val="both"/>
        <w:rPr>
          <w:rFonts w:ascii="Times New Roman" w:hAnsi="Times New Roman" w:cs="Times New Roman"/>
        </w:rPr>
      </w:pPr>
      <w:r w:rsidRPr="00315AAA">
        <w:rPr>
          <w:rFonts w:ascii="Times New Roman" w:hAnsi="Times New Roman" w:cs="Times New Roman"/>
        </w:rPr>
        <w:t>Aussi, la CNCDH pense que concernant la capacité des professionnels de la médecine à administrer un traitement médi</w:t>
      </w:r>
      <w:r w:rsidR="004D05F3">
        <w:rPr>
          <w:rFonts w:ascii="Times New Roman" w:hAnsi="Times New Roman" w:cs="Times New Roman"/>
        </w:rPr>
        <w:t>c</w:t>
      </w:r>
      <w:r w:rsidRPr="00315AAA">
        <w:rPr>
          <w:rFonts w:ascii="Times New Roman" w:hAnsi="Times New Roman" w:cs="Times New Roman"/>
        </w:rPr>
        <w:t>al ou à donner d’autres moyens médicaux permettant d’accélérer la fin de vie, la formulation « </w:t>
      </w:r>
      <w:r w:rsidRPr="00315AAA">
        <w:rPr>
          <w:rFonts w:ascii="Times New Roman" w:hAnsi="Times New Roman" w:cs="Times New Roman"/>
          <w:i/>
        </w:rPr>
        <w:t>les Etats parties</w:t>
      </w:r>
      <w:r w:rsidRPr="00315AAA">
        <w:rPr>
          <w:rFonts w:ascii="Times New Roman" w:hAnsi="Times New Roman" w:cs="Times New Roman"/>
        </w:rPr>
        <w:t xml:space="preserve"> </w:t>
      </w:r>
      <w:r w:rsidRPr="00315AAA">
        <w:rPr>
          <w:rFonts w:ascii="Times New Roman" w:hAnsi="Times New Roman" w:cs="Times New Roman"/>
          <w:i/>
        </w:rPr>
        <w:t>ne devraient pas empêcher</w:t>
      </w:r>
      <w:r w:rsidRPr="00315AAA">
        <w:rPr>
          <w:rFonts w:ascii="Times New Roman" w:hAnsi="Times New Roman" w:cs="Times New Roman"/>
        </w:rPr>
        <w:t> » est préférable à « </w:t>
      </w:r>
      <w:r w:rsidRPr="00315AAA">
        <w:rPr>
          <w:rFonts w:ascii="Times New Roman" w:hAnsi="Times New Roman" w:cs="Times New Roman"/>
          <w:i/>
        </w:rPr>
        <w:t>les Etats parties peuvent autoriser</w:t>
      </w:r>
      <w:r w:rsidRPr="00315AAA">
        <w:rPr>
          <w:rFonts w:ascii="Times New Roman" w:hAnsi="Times New Roman" w:cs="Times New Roman"/>
        </w:rPr>
        <w:t> ».</w:t>
      </w:r>
    </w:p>
    <w:p w:rsidR="00EA1687" w:rsidRDefault="00EA1687" w:rsidP="00EA5036">
      <w:pPr>
        <w:spacing w:after="0"/>
        <w:jc w:val="both"/>
        <w:rPr>
          <w:rFonts w:ascii="Times New Roman" w:hAnsi="Times New Roman" w:cs="Times New Roman"/>
        </w:rPr>
      </w:pPr>
    </w:p>
    <w:p w:rsidR="00EA5036" w:rsidRPr="00722B09" w:rsidRDefault="00EA5036" w:rsidP="00EA5036">
      <w:pPr>
        <w:spacing w:after="0"/>
        <w:jc w:val="both"/>
        <w:rPr>
          <w:rFonts w:ascii="Times New Roman" w:hAnsi="Times New Roman" w:cs="Times New Roman"/>
          <w:i/>
        </w:rPr>
      </w:pPr>
      <w:r>
        <w:rPr>
          <w:rFonts w:ascii="Times New Roman" w:hAnsi="Times New Roman" w:cs="Times New Roman"/>
          <w:i/>
        </w:rPr>
        <w:t>Sur le droit à la vie digne et l’extrême pauvreté (§30)</w:t>
      </w:r>
    </w:p>
    <w:p w:rsidR="005D77C2" w:rsidRDefault="005D77C2" w:rsidP="005D77C2">
      <w:pPr>
        <w:spacing w:after="0"/>
        <w:jc w:val="both"/>
        <w:rPr>
          <w:rFonts w:ascii="Times New Roman" w:hAnsi="Times New Roman" w:cs="Times New Roman"/>
        </w:rPr>
      </w:pPr>
      <w:r>
        <w:rPr>
          <w:rFonts w:ascii="Times New Roman" w:hAnsi="Times New Roman" w:cs="Times New Roman"/>
        </w:rPr>
        <w:t>Sur la question du droit à la vie digne sur laquelle la CNCDH a rendu un avis</w:t>
      </w:r>
      <w:r w:rsidRPr="00315AAA">
        <w:rPr>
          <w:rStyle w:val="FootnoteReference"/>
          <w:rFonts w:ascii="Times New Roman" w:hAnsi="Times New Roman" w:cs="Times New Roman"/>
        </w:rPr>
        <w:footnoteReference w:id="3"/>
      </w:r>
      <w:r>
        <w:rPr>
          <w:rFonts w:ascii="Times New Roman" w:hAnsi="Times New Roman" w:cs="Times New Roman"/>
        </w:rPr>
        <w:t>, l</w:t>
      </w:r>
      <w:r w:rsidRPr="00315AAA">
        <w:rPr>
          <w:rFonts w:ascii="Times New Roman" w:hAnsi="Times New Roman" w:cs="Times New Roman"/>
        </w:rPr>
        <w:t xml:space="preserve">a CNCDH considère que </w:t>
      </w:r>
      <w:r>
        <w:rPr>
          <w:rFonts w:ascii="Times New Roman" w:hAnsi="Times New Roman" w:cs="Times New Roman"/>
        </w:rPr>
        <w:t>des développements devraient être consacrés de façon plus spécifique au</w:t>
      </w:r>
      <w:r w:rsidRPr="00315AAA">
        <w:rPr>
          <w:rFonts w:ascii="Times New Roman" w:hAnsi="Times New Roman" w:cs="Times New Roman"/>
        </w:rPr>
        <w:t xml:space="preserve"> droit à l</w:t>
      </w:r>
      <w:r>
        <w:rPr>
          <w:rFonts w:ascii="Times New Roman" w:hAnsi="Times New Roman" w:cs="Times New Roman"/>
        </w:rPr>
        <w:t>a vie digne et à la question de l’</w:t>
      </w:r>
      <w:r w:rsidRPr="00315AAA">
        <w:rPr>
          <w:rFonts w:ascii="Times New Roman" w:hAnsi="Times New Roman" w:cs="Times New Roman"/>
        </w:rPr>
        <w:t xml:space="preserve">extrême pauvreté </w:t>
      </w:r>
      <w:r>
        <w:rPr>
          <w:rFonts w:ascii="Times New Roman" w:hAnsi="Times New Roman" w:cs="Times New Roman"/>
        </w:rPr>
        <w:t xml:space="preserve">dans </w:t>
      </w:r>
      <w:r w:rsidRPr="00315AAA">
        <w:rPr>
          <w:rFonts w:ascii="Times New Roman" w:hAnsi="Times New Roman" w:cs="Times New Roman"/>
        </w:rPr>
        <w:t>l</w:t>
      </w:r>
      <w:r>
        <w:rPr>
          <w:rFonts w:ascii="Times New Roman" w:hAnsi="Times New Roman" w:cs="Times New Roman"/>
        </w:rPr>
        <w:t>e projet d</w:t>
      </w:r>
      <w:r w:rsidRPr="00315AAA">
        <w:rPr>
          <w:rFonts w:ascii="Times New Roman" w:hAnsi="Times New Roman" w:cs="Times New Roman"/>
        </w:rPr>
        <w:t>’observation générale, ces derniers étant des préalables à l’accès</w:t>
      </w:r>
      <w:r>
        <w:rPr>
          <w:rFonts w:ascii="Times New Roman" w:hAnsi="Times New Roman" w:cs="Times New Roman"/>
        </w:rPr>
        <w:t xml:space="preserve"> </w:t>
      </w:r>
      <w:r w:rsidRPr="00315AAA">
        <w:rPr>
          <w:rFonts w:ascii="Times New Roman" w:hAnsi="Times New Roman" w:cs="Times New Roman"/>
        </w:rPr>
        <w:t xml:space="preserve">aux droits </w:t>
      </w:r>
      <w:r>
        <w:rPr>
          <w:rFonts w:ascii="Times New Roman" w:hAnsi="Times New Roman" w:cs="Times New Roman"/>
        </w:rPr>
        <w:t>fondamentaux</w:t>
      </w:r>
      <w:r w:rsidRPr="00315AAA">
        <w:rPr>
          <w:rFonts w:ascii="Times New Roman" w:hAnsi="Times New Roman" w:cs="Times New Roman"/>
        </w:rPr>
        <w:t xml:space="preserve">. </w:t>
      </w:r>
    </w:p>
    <w:p w:rsidR="005742B9" w:rsidRDefault="00EA5036" w:rsidP="005742B9">
      <w:pPr>
        <w:spacing w:after="0"/>
        <w:jc w:val="both"/>
        <w:rPr>
          <w:rFonts w:ascii="Times New Roman" w:hAnsi="Times New Roman" w:cs="Times New Roman"/>
        </w:rPr>
      </w:pPr>
      <w:r w:rsidRPr="00315AAA">
        <w:rPr>
          <w:rFonts w:ascii="Times New Roman" w:hAnsi="Times New Roman" w:cs="Times New Roman"/>
        </w:rPr>
        <w:t>La CNCDH estime que la question de l’extrême pauvreté est insuffisamment traitée par l</w:t>
      </w:r>
      <w:r w:rsidR="00C06CD7">
        <w:rPr>
          <w:rFonts w:ascii="Times New Roman" w:hAnsi="Times New Roman" w:cs="Times New Roman"/>
        </w:rPr>
        <w:t>e projet d</w:t>
      </w:r>
      <w:r w:rsidRPr="00315AAA">
        <w:rPr>
          <w:rFonts w:ascii="Times New Roman" w:hAnsi="Times New Roman" w:cs="Times New Roman"/>
        </w:rPr>
        <w:t xml:space="preserve">’observation générale. </w:t>
      </w:r>
      <w:r w:rsidR="0060013A">
        <w:rPr>
          <w:rFonts w:ascii="Times New Roman" w:hAnsi="Times New Roman" w:cs="Times New Roman"/>
        </w:rPr>
        <w:t xml:space="preserve">Tout en ayant bien à l’esprit le contexte historique qui a présidé à la signature de deux pactes </w:t>
      </w:r>
      <w:r w:rsidR="00574F10">
        <w:rPr>
          <w:rFonts w:ascii="Times New Roman" w:hAnsi="Times New Roman" w:cs="Times New Roman"/>
        </w:rPr>
        <w:t>distincts</w:t>
      </w:r>
      <w:r w:rsidR="0060013A">
        <w:rPr>
          <w:rFonts w:ascii="Times New Roman" w:hAnsi="Times New Roman" w:cs="Times New Roman"/>
        </w:rPr>
        <w:t xml:space="preserve"> en 1966, compte tenu de l’évolution de la doctrine et des travaux issus des conférences mondiales, la CNCDH</w:t>
      </w:r>
      <w:r w:rsidR="00E6753E">
        <w:rPr>
          <w:rFonts w:ascii="Times New Roman" w:hAnsi="Times New Roman" w:cs="Times New Roman"/>
        </w:rPr>
        <w:t xml:space="preserve"> soutient que les droits étant indivisibles et intangibles, il serait artificiel et préjudiciable d’analyser les droits civils et politiques en approchant de façon elliptique les droits économiques et sociaux, </w:t>
      </w:r>
      <w:r w:rsidR="00DA61E6">
        <w:rPr>
          <w:rFonts w:ascii="Times New Roman" w:hAnsi="Times New Roman" w:cs="Times New Roman"/>
        </w:rPr>
        <w:t>au motif que ceux-ci</w:t>
      </w:r>
      <w:r w:rsidR="00E6753E">
        <w:rPr>
          <w:rFonts w:ascii="Times New Roman" w:hAnsi="Times New Roman" w:cs="Times New Roman"/>
        </w:rPr>
        <w:t xml:space="preserve"> sont garantis par un autre Pacte. Les travaux de la CNCDH témoigne</w:t>
      </w:r>
      <w:r w:rsidR="00895A06">
        <w:rPr>
          <w:rFonts w:ascii="Times New Roman" w:hAnsi="Times New Roman" w:cs="Times New Roman"/>
        </w:rPr>
        <w:t>nt</w:t>
      </w:r>
      <w:r w:rsidR="00E6753E">
        <w:rPr>
          <w:rFonts w:ascii="Times New Roman" w:hAnsi="Times New Roman" w:cs="Times New Roman"/>
        </w:rPr>
        <w:t xml:space="preserve"> du fait que l’extrême pauvreté prive trop souvent</w:t>
      </w:r>
      <w:r w:rsidR="00DA61E6">
        <w:rPr>
          <w:rFonts w:ascii="Times New Roman" w:hAnsi="Times New Roman" w:cs="Times New Roman"/>
        </w:rPr>
        <w:t>,</w:t>
      </w:r>
      <w:r w:rsidR="00E6753E">
        <w:rPr>
          <w:rFonts w:ascii="Times New Roman" w:hAnsi="Times New Roman" w:cs="Times New Roman"/>
        </w:rPr>
        <w:t xml:space="preserve"> </w:t>
      </w:r>
      <w:r w:rsidR="003F6713">
        <w:rPr>
          <w:rFonts w:ascii="Times New Roman" w:hAnsi="Times New Roman" w:cs="Times New Roman"/>
        </w:rPr>
        <w:t>dans les faits</w:t>
      </w:r>
      <w:r w:rsidR="00DA61E6">
        <w:rPr>
          <w:rFonts w:ascii="Times New Roman" w:hAnsi="Times New Roman" w:cs="Times New Roman"/>
        </w:rPr>
        <w:t>,</w:t>
      </w:r>
      <w:r w:rsidR="003F6713">
        <w:rPr>
          <w:rFonts w:ascii="Times New Roman" w:hAnsi="Times New Roman" w:cs="Times New Roman"/>
        </w:rPr>
        <w:t xml:space="preserve"> </w:t>
      </w:r>
      <w:r w:rsidR="00E6753E">
        <w:rPr>
          <w:rFonts w:ascii="Times New Roman" w:hAnsi="Times New Roman" w:cs="Times New Roman"/>
        </w:rPr>
        <w:t xml:space="preserve">les personnes de </w:t>
      </w:r>
      <w:r w:rsidR="00E6753E">
        <w:rPr>
          <w:rFonts w:ascii="Times New Roman" w:hAnsi="Times New Roman" w:cs="Times New Roman"/>
        </w:rPr>
        <w:lastRenderedPageBreak/>
        <w:t>l</w:t>
      </w:r>
      <w:r w:rsidR="00895A06">
        <w:rPr>
          <w:rFonts w:ascii="Times New Roman" w:hAnsi="Times New Roman" w:cs="Times New Roman"/>
        </w:rPr>
        <w:t xml:space="preserve">’accès à l’ensemble des droits </w:t>
      </w:r>
      <w:r w:rsidR="00E6753E">
        <w:rPr>
          <w:rFonts w:ascii="Times New Roman" w:hAnsi="Times New Roman" w:cs="Times New Roman"/>
        </w:rPr>
        <w:t>c</w:t>
      </w:r>
      <w:r w:rsidR="00895A06">
        <w:rPr>
          <w:rFonts w:ascii="Times New Roman" w:hAnsi="Times New Roman" w:cs="Times New Roman"/>
        </w:rPr>
        <w:t>i</w:t>
      </w:r>
      <w:r w:rsidR="00E6753E">
        <w:rPr>
          <w:rFonts w:ascii="Times New Roman" w:hAnsi="Times New Roman" w:cs="Times New Roman"/>
        </w:rPr>
        <w:t>vils et politiques.</w:t>
      </w:r>
      <w:r w:rsidR="003F6713">
        <w:rPr>
          <w:rFonts w:ascii="Times New Roman" w:hAnsi="Times New Roman" w:cs="Times New Roman"/>
        </w:rPr>
        <w:t xml:space="preserve"> Ainsi, la CNCDH invite le </w:t>
      </w:r>
      <w:r w:rsidRPr="00315AAA">
        <w:rPr>
          <w:rFonts w:ascii="Times New Roman" w:hAnsi="Times New Roman" w:cs="Times New Roman"/>
        </w:rPr>
        <w:t xml:space="preserve">Comité </w:t>
      </w:r>
      <w:r w:rsidR="003F6713">
        <w:rPr>
          <w:rFonts w:ascii="Times New Roman" w:hAnsi="Times New Roman" w:cs="Times New Roman"/>
        </w:rPr>
        <w:t>à s’appro</w:t>
      </w:r>
      <w:r w:rsidR="00DF0453">
        <w:rPr>
          <w:rFonts w:ascii="Times New Roman" w:hAnsi="Times New Roman" w:cs="Times New Roman"/>
        </w:rPr>
        <w:t xml:space="preserve">prier les réflexions issues </w:t>
      </w:r>
      <w:r w:rsidRPr="00315AAA">
        <w:rPr>
          <w:rFonts w:ascii="Times New Roman" w:hAnsi="Times New Roman" w:cs="Times New Roman"/>
        </w:rPr>
        <w:t>des principes directeurs sur l’extrême pauvreté et les droits de l’homme</w:t>
      </w:r>
      <w:r w:rsidR="003F6713">
        <w:rPr>
          <w:rFonts w:ascii="Times New Roman" w:hAnsi="Times New Roman" w:cs="Times New Roman"/>
        </w:rPr>
        <w:t>,</w:t>
      </w:r>
      <w:r w:rsidRPr="00315AAA">
        <w:rPr>
          <w:rFonts w:ascii="Times New Roman" w:hAnsi="Times New Roman" w:cs="Times New Roman"/>
        </w:rPr>
        <w:t xml:space="preserve"> adoptés en 2012</w:t>
      </w:r>
      <w:r w:rsidRPr="00315AAA">
        <w:rPr>
          <w:rStyle w:val="FootnoteReference"/>
          <w:rFonts w:ascii="Times New Roman" w:hAnsi="Times New Roman" w:cs="Times New Roman"/>
        </w:rPr>
        <w:footnoteReference w:id="4"/>
      </w:r>
      <w:r w:rsidR="00DA61E6">
        <w:rPr>
          <w:rFonts w:ascii="Times New Roman" w:hAnsi="Times New Roman" w:cs="Times New Roman"/>
        </w:rPr>
        <w:t>, ainsi que l</w:t>
      </w:r>
      <w:r w:rsidR="003F6713">
        <w:rPr>
          <w:rFonts w:ascii="Times New Roman" w:hAnsi="Times New Roman" w:cs="Times New Roman"/>
        </w:rPr>
        <w:t>es travaux du R</w:t>
      </w:r>
      <w:r w:rsidRPr="00315AAA">
        <w:rPr>
          <w:rFonts w:ascii="Times New Roman" w:hAnsi="Times New Roman" w:cs="Times New Roman"/>
        </w:rPr>
        <w:t xml:space="preserve">apporteur spécial </w:t>
      </w:r>
      <w:r w:rsidR="003F6713">
        <w:rPr>
          <w:rFonts w:ascii="Times New Roman" w:hAnsi="Times New Roman" w:cs="Times New Roman"/>
        </w:rPr>
        <w:t xml:space="preserve">sur l’extrême pauvreté dont le mandat </w:t>
      </w:r>
      <w:r w:rsidRPr="00315AAA">
        <w:rPr>
          <w:rFonts w:ascii="Times New Roman" w:hAnsi="Times New Roman" w:cs="Times New Roman"/>
        </w:rPr>
        <w:t xml:space="preserve">a été institué </w:t>
      </w:r>
      <w:r w:rsidR="003F6713">
        <w:rPr>
          <w:rFonts w:ascii="Times New Roman" w:hAnsi="Times New Roman" w:cs="Times New Roman"/>
        </w:rPr>
        <w:t>en</w:t>
      </w:r>
      <w:r w:rsidRPr="00315AAA">
        <w:rPr>
          <w:rFonts w:ascii="Times New Roman" w:hAnsi="Times New Roman" w:cs="Times New Roman"/>
        </w:rPr>
        <w:t xml:space="preserve"> 2010.</w:t>
      </w:r>
      <w:r w:rsidR="005742B9" w:rsidRPr="005742B9">
        <w:rPr>
          <w:rFonts w:ascii="Times New Roman" w:hAnsi="Times New Roman" w:cs="Times New Roman"/>
        </w:rPr>
        <w:t xml:space="preserve"> </w:t>
      </w:r>
    </w:p>
    <w:p w:rsidR="00EA5036" w:rsidRDefault="005742B9" w:rsidP="00EA5036">
      <w:pPr>
        <w:spacing w:after="0"/>
        <w:jc w:val="both"/>
        <w:rPr>
          <w:rFonts w:ascii="Times New Roman" w:hAnsi="Times New Roman" w:cs="Times New Roman"/>
        </w:rPr>
      </w:pPr>
      <w:r>
        <w:rPr>
          <w:rFonts w:ascii="Times New Roman" w:hAnsi="Times New Roman" w:cs="Times New Roman"/>
        </w:rPr>
        <w:t>Il serait opportun de souligner l’importance du cadre conceptuel de l’approche fondée sur les droits de l’homme. Cette approche permet de rechercher de façon systématique l’effectivité réel</w:t>
      </w:r>
      <w:r w:rsidR="0060013A">
        <w:rPr>
          <w:rFonts w:ascii="Times New Roman" w:hAnsi="Times New Roman" w:cs="Times New Roman"/>
        </w:rPr>
        <w:t>le</w:t>
      </w:r>
      <w:r>
        <w:rPr>
          <w:rFonts w:ascii="Times New Roman" w:hAnsi="Times New Roman" w:cs="Times New Roman"/>
        </w:rPr>
        <w:t xml:space="preserve"> de l’accès à ces droits. L’approche fondée sur les droits de l’homme </w:t>
      </w:r>
      <w:r w:rsidR="0060013A">
        <w:rPr>
          <w:rFonts w:ascii="Times New Roman" w:hAnsi="Times New Roman" w:cs="Times New Roman"/>
        </w:rPr>
        <w:t xml:space="preserve">emporte </w:t>
      </w:r>
      <w:r>
        <w:rPr>
          <w:rFonts w:ascii="Times New Roman" w:hAnsi="Times New Roman" w:cs="Times New Roman"/>
        </w:rPr>
        <w:t xml:space="preserve">également une méthode, celle visant à associer les </w:t>
      </w:r>
      <w:r w:rsidR="0060013A">
        <w:rPr>
          <w:rFonts w:ascii="Times New Roman" w:hAnsi="Times New Roman" w:cs="Times New Roman"/>
        </w:rPr>
        <w:t xml:space="preserve">bénéficiaires des droits </w:t>
      </w:r>
      <w:r>
        <w:rPr>
          <w:rFonts w:ascii="Times New Roman" w:hAnsi="Times New Roman" w:cs="Times New Roman"/>
        </w:rPr>
        <w:t xml:space="preserve">aux décisions qui les concernent. </w:t>
      </w:r>
    </w:p>
    <w:p w:rsidR="00EA1687" w:rsidRDefault="00EA1687" w:rsidP="00EA5036">
      <w:pPr>
        <w:spacing w:after="0"/>
        <w:jc w:val="both"/>
        <w:rPr>
          <w:rFonts w:ascii="Times New Roman" w:hAnsi="Times New Roman" w:cs="Times New Roman"/>
        </w:rPr>
      </w:pPr>
      <w:r>
        <w:rPr>
          <w:rFonts w:ascii="Times New Roman" w:hAnsi="Times New Roman" w:cs="Times New Roman"/>
        </w:rPr>
        <w:t>Par ailleurs, la CNCDH regrette que l’accès aux soins ne soit que brièvement évoqué par l</w:t>
      </w:r>
      <w:r w:rsidR="00C06CD7">
        <w:rPr>
          <w:rFonts w:ascii="Times New Roman" w:hAnsi="Times New Roman" w:cs="Times New Roman"/>
        </w:rPr>
        <w:t>e projet d</w:t>
      </w:r>
      <w:r>
        <w:rPr>
          <w:rFonts w:ascii="Times New Roman" w:hAnsi="Times New Roman" w:cs="Times New Roman"/>
        </w:rPr>
        <w:t>’observation générale alors qu</w:t>
      </w:r>
      <w:r w:rsidR="003F6713">
        <w:rPr>
          <w:rFonts w:ascii="Times New Roman" w:hAnsi="Times New Roman" w:cs="Times New Roman"/>
        </w:rPr>
        <w:t>e les difficultés d</w:t>
      </w:r>
      <w:r w:rsidR="005D77C2">
        <w:rPr>
          <w:rFonts w:ascii="Times New Roman" w:hAnsi="Times New Roman" w:cs="Times New Roman"/>
        </w:rPr>
        <w:t>’accès au droit à la protection de la santé</w:t>
      </w:r>
      <w:r w:rsidR="00574F10">
        <w:rPr>
          <w:rFonts w:ascii="Times New Roman" w:hAnsi="Times New Roman" w:cs="Times New Roman"/>
        </w:rPr>
        <w:t xml:space="preserve"> </w:t>
      </w:r>
      <w:r w:rsidR="003F6713">
        <w:rPr>
          <w:rFonts w:ascii="Times New Roman" w:hAnsi="Times New Roman" w:cs="Times New Roman"/>
        </w:rPr>
        <w:t xml:space="preserve">sont </w:t>
      </w:r>
      <w:r w:rsidR="00661A06">
        <w:rPr>
          <w:rFonts w:ascii="Times New Roman" w:hAnsi="Times New Roman" w:cs="Times New Roman"/>
        </w:rPr>
        <w:t>susceptibles</w:t>
      </w:r>
      <w:r w:rsidR="003F6713">
        <w:rPr>
          <w:rFonts w:ascii="Times New Roman" w:hAnsi="Times New Roman" w:cs="Times New Roman"/>
        </w:rPr>
        <w:t xml:space="preserve"> de porter </w:t>
      </w:r>
      <w:r>
        <w:rPr>
          <w:rFonts w:ascii="Times New Roman" w:hAnsi="Times New Roman" w:cs="Times New Roman"/>
        </w:rPr>
        <w:t>une atteinte au droit à la vie.</w:t>
      </w:r>
    </w:p>
    <w:p w:rsidR="00EA1687" w:rsidRDefault="00EA1687" w:rsidP="00EA1687">
      <w:pPr>
        <w:spacing w:after="0"/>
        <w:jc w:val="both"/>
        <w:rPr>
          <w:rFonts w:ascii="Times New Roman" w:hAnsi="Times New Roman" w:cs="Times New Roman"/>
        </w:rPr>
      </w:pPr>
    </w:p>
    <w:p w:rsidR="00EA5036" w:rsidRPr="002449DB" w:rsidRDefault="00EA5036" w:rsidP="00EA5036">
      <w:pPr>
        <w:pStyle w:val="ListParagraph"/>
        <w:numPr>
          <w:ilvl w:val="0"/>
          <w:numId w:val="2"/>
        </w:numPr>
        <w:jc w:val="both"/>
        <w:rPr>
          <w:rFonts w:ascii="Times New Roman" w:hAnsi="Times New Roman" w:cs="Times New Roman"/>
          <w:b/>
        </w:rPr>
      </w:pPr>
      <w:r w:rsidRPr="002449DB">
        <w:rPr>
          <w:rFonts w:ascii="Times New Roman" w:hAnsi="Times New Roman" w:cs="Times New Roman"/>
          <w:b/>
        </w:rPr>
        <w:t>Armes et conflits</w:t>
      </w:r>
    </w:p>
    <w:p w:rsidR="00EA5036" w:rsidRPr="00722B09" w:rsidRDefault="00EA5036" w:rsidP="00EA5036">
      <w:pPr>
        <w:spacing w:after="0"/>
        <w:jc w:val="both"/>
        <w:rPr>
          <w:rFonts w:ascii="Times New Roman" w:hAnsi="Times New Roman" w:cs="Times New Roman"/>
          <w:i/>
        </w:rPr>
      </w:pPr>
      <w:r>
        <w:rPr>
          <w:rFonts w:ascii="Times New Roman" w:hAnsi="Times New Roman" w:cs="Times New Roman"/>
          <w:i/>
        </w:rPr>
        <w:t>Sur le nucléaire (§13)</w:t>
      </w:r>
    </w:p>
    <w:p w:rsidR="00EA5036" w:rsidRPr="00315AAA" w:rsidRDefault="00EA5036" w:rsidP="00EA5036">
      <w:pPr>
        <w:spacing w:after="0"/>
        <w:jc w:val="both"/>
        <w:rPr>
          <w:rFonts w:ascii="Times New Roman" w:hAnsi="Times New Roman" w:cs="Times New Roman"/>
        </w:rPr>
      </w:pPr>
      <w:r w:rsidRPr="00315AAA">
        <w:rPr>
          <w:rFonts w:ascii="Times New Roman" w:hAnsi="Times New Roman" w:cs="Times New Roman"/>
        </w:rPr>
        <w:t>Face au contexte géopolitique actuel d’une recrudescence de la menace nucléaire</w:t>
      </w:r>
      <w:r w:rsidR="003F6713">
        <w:rPr>
          <w:rFonts w:ascii="Times New Roman" w:hAnsi="Times New Roman" w:cs="Times New Roman"/>
        </w:rPr>
        <w:t xml:space="preserve"> à rebours des efforts de non-prolifération nucléaire</w:t>
      </w:r>
      <w:r w:rsidRPr="00315AAA">
        <w:rPr>
          <w:rFonts w:ascii="Times New Roman" w:hAnsi="Times New Roman" w:cs="Times New Roman"/>
        </w:rPr>
        <w:t xml:space="preserve">, le recours à l’arme nucléaire ou sa menace implique que le sujet soit constamment abordé lorsqu’il est question du droit à la vie. La CNCDH </w:t>
      </w:r>
      <w:r w:rsidR="003F6713">
        <w:rPr>
          <w:rFonts w:ascii="Times New Roman" w:hAnsi="Times New Roman" w:cs="Times New Roman"/>
        </w:rPr>
        <w:t xml:space="preserve">se </w:t>
      </w:r>
      <w:r w:rsidRPr="00315AAA">
        <w:rPr>
          <w:rFonts w:ascii="Times New Roman" w:hAnsi="Times New Roman" w:cs="Times New Roman"/>
        </w:rPr>
        <w:t>félicite</w:t>
      </w:r>
      <w:r w:rsidR="003F6713">
        <w:rPr>
          <w:rFonts w:ascii="Times New Roman" w:hAnsi="Times New Roman" w:cs="Times New Roman"/>
        </w:rPr>
        <w:t xml:space="preserve"> de</w:t>
      </w:r>
      <w:r w:rsidRPr="00315AAA">
        <w:rPr>
          <w:rFonts w:ascii="Times New Roman" w:hAnsi="Times New Roman" w:cs="Times New Roman"/>
        </w:rPr>
        <w:t xml:space="preserve"> la position du Comité sur la question de l’incompatibilité du nucléaire </w:t>
      </w:r>
      <w:r w:rsidR="0071173F">
        <w:rPr>
          <w:rFonts w:ascii="Times New Roman" w:hAnsi="Times New Roman" w:cs="Times New Roman"/>
        </w:rPr>
        <w:t xml:space="preserve">militaire </w:t>
      </w:r>
      <w:r w:rsidRPr="00315AAA">
        <w:rPr>
          <w:rFonts w:ascii="Times New Roman" w:hAnsi="Times New Roman" w:cs="Times New Roman"/>
        </w:rPr>
        <w:t>avec le droit à la vie et encourage à ce que tant le recours que la menace du recours soient visés par l</w:t>
      </w:r>
      <w:r w:rsidR="00C06CD7">
        <w:rPr>
          <w:rFonts w:ascii="Times New Roman" w:hAnsi="Times New Roman" w:cs="Times New Roman"/>
        </w:rPr>
        <w:t>e projet d</w:t>
      </w:r>
      <w:r w:rsidRPr="00315AAA">
        <w:rPr>
          <w:rFonts w:ascii="Times New Roman" w:hAnsi="Times New Roman" w:cs="Times New Roman"/>
        </w:rPr>
        <w:t>’observation.</w:t>
      </w:r>
    </w:p>
    <w:p w:rsidR="00EA5036" w:rsidRPr="00315AAA" w:rsidRDefault="00EA5036" w:rsidP="00EA5036">
      <w:pPr>
        <w:spacing w:after="0"/>
        <w:jc w:val="both"/>
        <w:rPr>
          <w:rFonts w:ascii="Times New Roman" w:hAnsi="Times New Roman" w:cs="Times New Roman"/>
        </w:rPr>
      </w:pPr>
      <w:r w:rsidRPr="00315AAA">
        <w:rPr>
          <w:rFonts w:ascii="Times New Roman" w:hAnsi="Times New Roman" w:cs="Times New Roman"/>
        </w:rPr>
        <w:t xml:space="preserve">La CNCDH </w:t>
      </w:r>
      <w:r w:rsidR="009A0634">
        <w:rPr>
          <w:rFonts w:ascii="Times New Roman" w:hAnsi="Times New Roman" w:cs="Times New Roman"/>
        </w:rPr>
        <w:t>soutient</w:t>
      </w:r>
      <w:r w:rsidR="009A0634" w:rsidRPr="00315AAA">
        <w:rPr>
          <w:rFonts w:ascii="Times New Roman" w:hAnsi="Times New Roman" w:cs="Times New Roman"/>
        </w:rPr>
        <w:t xml:space="preserve"> </w:t>
      </w:r>
      <w:r w:rsidRPr="00315AAA">
        <w:rPr>
          <w:rFonts w:ascii="Times New Roman" w:hAnsi="Times New Roman" w:cs="Times New Roman"/>
        </w:rPr>
        <w:t xml:space="preserve">l’idée </w:t>
      </w:r>
      <w:r w:rsidR="009A0634">
        <w:rPr>
          <w:rFonts w:ascii="Times New Roman" w:hAnsi="Times New Roman" w:cs="Times New Roman"/>
        </w:rPr>
        <w:t>suivant laquelle</w:t>
      </w:r>
      <w:r w:rsidRPr="00315AAA">
        <w:rPr>
          <w:rFonts w:ascii="Times New Roman" w:hAnsi="Times New Roman" w:cs="Times New Roman"/>
        </w:rPr>
        <w:t xml:space="preserve"> le recours à l’arme nucléaire </w:t>
      </w:r>
      <w:r w:rsidR="0071173F">
        <w:rPr>
          <w:rFonts w:ascii="Times New Roman" w:hAnsi="Times New Roman" w:cs="Times New Roman"/>
        </w:rPr>
        <w:t xml:space="preserve">peut </w:t>
      </w:r>
      <w:r w:rsidRPr="00315AAA">
        <w:rPr>
          <w:rFonts w:ascii="Times New Roman" w:hAnsi="Times New Roman" w:cs="Times New Roman"/>
        </w:rPr>
        <w:t>constitue</w:t>
      </w:r>
      <w:r w:rsidR="0071173F">
        <w:rPr>
          <w:rFonts w:ascii="Times New Roman" w:hAnsi="Times New Roman" w:cs="Times New Roman"/>
        </w:rPr>
        <w:t>r</w:t>
      </w:r>
      <w:r w:rsidRPr="00315AAA">
        <w:rPr>
          <w:rFonts w:ascii="Times New Roman" w:hAnsi="Times New Roman" w:cs="Times New Roman"/>
        </w:rPr>
        <w:t xml:space="preserve"> un crime du droit international.</w:t>
      </w:r>
      <w:r w:rsidR="00EA1687">
        <w:rPr>
          <w:rFonts w:ascii="Times New Roman" w:hAnsi="Times New Roman" w:cs="Times New Roman"/>
        </w:rPr>
        <w:t xml:space="preserve"> </w:t>
      </w:r>
    </w:p>
    <w:p w:rsidR="00EA5036" w:rsidRDefault="00EA5036" w:rsidP="00EA5036">
      <w:pPr>
        <w:spacing w:after="0"/>
        <w:jc w:val="both"/>
        <w:rPr>
          <w:rFonts w:ascii="Times New Roman" w:hAnsi="Times New Roman" w:cs="Times New Roman"/>
        </w:rPr>
      </w:pPr>
      <w:r w:rsidRPr="00315AAA">
        <w:rPr>
          <w:rFonts w:ascii="Times New Roman" w:hAnsi="Times New Roman" w:cs="Times New Roman"/>
        </w:rPr>
        <w:t xml:space="preserve">Enfin, la CNCDH soutient l’idée d’une réparation pour les victimes d’incidences négatives liées à des essais nucléaires, trop souvent négligée lorsqu’il est question du nucléaire. </w:t>
      </w:r>
    </w:p>
    <w:p w:rsidR="00EA5036" w:rsidRDefault="00EA5036" w:rsidP="00EA5036">
      <w:pPr>
        <w:spacing w:after="0"/>
        <w:jc w:val="both"/>
        <w:rPr>
          <w:rFonts w:ascii="Times New Roman" w:hAnsi="Times New Roman" w:cs="Times New Roman"/>
        </w:rPr>
      </w:pPr>
    </w:p>
    <w:p w:rsidR="00EA5036" w:rsidRPr="00722B09" w:rsidRDefault="00EA5036" w:rsidP="00EA5036">
      <w:pPr>
        <w:spacing w:after="0"/>
        <w:jc w:val="both"/>
        <w:rPr>
          <w:rFonts w:ascii="Times New Roman" w:hAnsi="Times New Roman" w:cs="Times New Roman"/>
          <w:i/>
        </w:rPr>
      </w:pPr>
      <w:r w:rsidRPr="00722B09">
        <w:rPr>
          <w:rFonts w:ascii="Times New Roman" w:hAnsi="Times New Roman" w:cs="Times New Roman"/>
          <w:i/>
        </w:rPr>
        <w:t>Sur les armes moins meurtrières (§14</w:t>
      </w:r>
      <w:r w:rsidR="002C3430">
        <w:rPr>
          <w:rFonts w:ascii="Times New Roman" w:hAnsi="Times New Roman" w:cs="Times New Roman"/>
          <w:i/>
        </w:rPr>
        <w:t>, §19et §</w:t>
      </w:r>
      <w:r w:rsidR="00061A84">
        <w:rPr>
          <w:rFonts w:ascii="Times New Roman" w:hAnsi="Times New Roman" w:cs="Times New Roman"/>
          <w:i/>
        </w:rPr>
        <w:t>20</w:t>
      </w:r>
      <w:r w:rsidRPr="00722B09">
        <w:rPr>
          <w:rFonts w:ascii="Times New Roman" w:hAnsi="Times New Roman" w:cs="Times New Roman"/>
          <w:i/>
        </w:rPr>
        <w:t>)</w:t>
      </w:r>
    </w:p>
    <w:p w:rsidR="00AC074B" w:rsidRDefault="00EA5036" w:rsidP="00EA5036">
      <w:pPr>
        <w:spacing w:after="0"/>
        <w:jc w:val="both"/>
        <w:rPr>
          <w:rFonts w:ascii="Times New Roman" w:hAnsi="Times New Roman" w:cs="Times New Roman"/>
        </w:rPr>
      </w:pPr>
      <w:r w:rsidRPr="00315AAA">
        <w:rPr>
          <w:rFonts w:ascii="Times New Roman" w:hAnsi="Times New Roman" w:cs="Times New Roman"/>
        </w:rPr>
        <w:t>La CNCDH</w:t>
      </w:r>
      <w:r w:rsidR="00CE4E9B">
        <w:rPr>
          <w:rFonts w:ascii="Times New Roman" w:hAnsi="Times New Roman" w:cs="Times New Roman"/>
        </w:rPr>
        <w:t xml:space="preserve">, qui a encore récemment </w:t>
      </w:r>
      <w:r w:rsidR="00CE4E9B" w:rsidRPr="00CE4E9B">
        <w:rPr>
          <w:rFonts w:ascii="Times New Roman" w:hAnsi="Times New Roman" w:cs="Times New Roman"/>
        </w:rPr>
        <w:t>travaillé sur ces questions</w:t>
      </w:r>
      <w:r w:rsidR="00D50D33" w:rsidRPr="00CE4E9B">
        <w:rPr>
          <w:rStyle w:val="FootnoteReference"/>
          <w:rFonts w:ascii="Times New Roman" w:hAnsi="Times New Roman" w:cs="Times New Roman"/>
        </w:rPr>
        <w:footnoteReference w:id="5"/>
      </w:r>
      <w:r w:rsidR="00CE4E9B" w:rsidRPr="00CE4E9B">
        <w:rPr>
          <w:rFonts w:ascii="Times New Roman" w:hAnsi="Times New Roman" w:cs="Times New Roman"/>
        </w:rPr>
        <w:t>, salue sans réserve le texte du paragraphe 14 du projet d’observation générale et se félicite des restrictions apportées à l’usage de ces armes et du rappel des principes de nécessité et de proportionnalité. L’illustration retenue en fin de paragraphe sur les situations ordinaires de manifestation est particulièrement pertinente. De surcroît, la CNCDH salue la nécessité de donner aux forces de l’ordre une formation adaptée au maniement de ces armes comme au cadre juridique encadrant leur usage.</w:t>
      </w:r>
    </w:p>
    <w:p w:rsidR="00061A84" w:rsidRDefault="00D50D33" w:rsidP="00D50D33">
      <w:pPr>
        <w:tabs>
          <w:tab w:val="left" w:pos="3960"/>
        </w:tabs>
        <w:spacing w:after="0"/>
        <w:jc w:val="both"/>
        <w:rPr>
          <w:rFonts w:ascii="Times New Roman" w:hAnsi="Times New Roman" w:cs="Times New Roman"/>
        </w:rPr>
      </w:pPr>
      <w:r>
        <w:rPr>
          <w:rFonts w:ascii="Times New Roman" w:hAnsi="Times New Roman" w:cs="Times New Roman"/>
        </w:rPr>
        <w:tab/>
      </w:r>
    </w:p>
    <w:p w:rsidR="00061A84" w:rsidRPr="002C3430" w:rsidRDefault="00061A84" w:rsidP="00EA5036">
      <w:pPr>
        <w:spacing w:after="0"/>
        <w:jc w:val="both"/>
        <w:rPr>
          <w:rFonts w:ascii="Times New Roman" w:hAnsi="Times New Roman" w:cs="Times New Roman"/>
          <w:i/>
        </w:rPr>
      </w:pPr>
      <w:r w:rsidRPr="002C3430">
        <w:rPr>
          <w:rFonts w:ascii="Times New Roman" w:hAnsi="Times New Roman" w:cs="Times New Roman"/>
          <w:i/>
        </w:rPr>
        <w:t>La responsabilité de l’Et</w:t>
      </w:r>
      <w:r w:rsidR="002C3430" w:rsidRPr="002C3430">
        <w:rPr>
          <w:rFonts w:ascii="Times New Roman" w:hAnsi="Times New Roman" w:cs="Times New Roman"/>
          <w:i/>
        </w:rPr>
        <w:t>at face au trafic d’armes (§25)</w:t>
      </w:r>
    </w:p>
    <w:p w:rsidR="00EA5036" w:rsidRPr="00315AAA" w:rsidRDefault="00061A84" w:rsidP="00EA5036">
      <w:pPr>
        <w:spacing w:after="0"/>
        <w:jc w:val="both"/>
        <w:rPr>
          <w:rFonts w:ascii="Times New Roman" w:hAnsi="Times New Roman" w:cs="Times New Roman"/>
        </w:rPr>
      </w:pPr>
      <w:r>
        <w:rPr>
          <w:rFonts w:ascii="Times New Roman" w:hAnsi="Times New Roman" w:cs="Times New Roman"/>
        </w:rPr>
        <w:t>La CNCDH souhaiterait que</w:t>
      </w:r>
      <w:r w:rsidR="00EA5036" w:rsidRPr="00315AAA">
        <w:rPr>
          <w:rFonts w:ascii="Times New Roman" w:hAnsi="Times New Roman" w:cs="Times New Roman"/>
        </w:rPr>
        <w:t xml:space="preserve"> la question de la prolifération des armes classiques et de leur détention par des organisations non-étatiques </w:t>
      </w:r>
      <w:r>
        <w:rPr>
          <w:rFonts w:ascii="Times New Roman" w:hAnsi="Times New Roman" w:cs="Times New Roman"/>
        </w:rPr>
        <w:t>soit davantage traitée</w:t>
      </w:r>
      <w:r w:rsidR="00EA5036" w:rsidRPr="00315AAA">
        <w:rPr>
          <w:rFonts w:ascii="Times New Roman" w:hAnsi="Times New Roman" w:cs="Times New Roman"/>
        </w:rPr>
        <w:t xml:space="preserve"> au regard du droit à la vie. La CNCDH, qui s’est exprimée au sujet du Traité sur le commerce des armes classiques</w:t>
      </w:r>
      <w:r w:rsidR="00EA5036" w:rsidRPr="00315AAA">
        <w:rPr>
          <w:rStyle w:val="FootnoteReference"/>
          <w:rFonts w:ascii="Times New Roman" w:hAnsi="Times New Roman" w:cs="Times New Roman"/>
        </w:rPr>
        <w:footnoteReference w:id="6"/>
      </w:r>
      <w:r w:rsidR="00EA5036" w:rsidRPr="00315AAA">
        <w:rPr>
          <w:rFonts w:ascii="Times New Roman" w:hAnsi="Times New Roman" w:cs="Times New Roman"/>
        </w:rPr>
        <w:t xml:space="preserve">, est fortement préoccupée par </w:t>
      </w:r>
      <w:r w:rsidR="009A0634">
        <w:rPr>
          <w:rFonts w:ascii="Times New Roman" w:hAnsi="Times New Roman" w:cs="Times New Roman"/>
        </w:rPr>
        <w:t>cette</w:t>
      </w:r>
      <w:r w:rsidR="00EA5036" w:rsidRPr="00315AAA">
        <w:rPr>
          <w:rFonts w:ascii="Times New Roman" w:hAnsi="Times New Roman" w:cs="Times New Roman"/>
        </w:rPr>
        <w:t xml:space="preserve"> question.</w:t>
      </w:r>
    </w:p>
    <w:p w:rsidR="00EA5036" w:rsidRDefault="00EA5036" w:rsidP="00EA5036">
      <w:pPr>
        <w:spacing w:after="0"/>
        <w:jc w:val="both"/>
        <w:rPr>
          <w:rFonts w:ascii="Times New Roman" w:hAnsi="Times New Roman" w:cs="Times New Roman"/>
        </w:rPr>
      </w:pPr>
      <w:r w:rsidRPr="00315AAA">
        <w:rPr>
          <w:rFonts w:ascii="Times New Roman" w:hAnsi="Times New Roman" w:cs="Times New Roman"/>
        </w:rPr>
        <w:t>Ainsi, l</w:t>
      </w:r>
      <w:r w:rsidR="00C06CD7">
        <w:rPr>
          <w:rFonts w:ascii="Times New Roman" w:hAnsi="Times New Roman" w:cs="Times New Roman"/>
        </w:rPr>
        <w:t>e projet d</w:t>
      </w:r>
      <w:r w:rsidRPr="00315AAA">
        <w:rPr>
          <w:rFonts w:ascii="Times New Roman" w:hAnsi="Times New Roman" w:cs="Times New Roman"/>
        </w:rPr>
        <w:t xml:space="preserve">’observation générale pourrait approfondir sa position sur le commerce des armes classiques qui contribue, indirectement, à la prolifération et à la détention de ces armes par des personnes non autorisées. Des questions,  comme celles des munitions ou des opérations de transfert non-lucratives, qui ne sont pas visées par le Traité, pourraient être examinées par le Comité. De même, </w:t>
      </w:r>
      <w:r w:rsidRPr="00315AAA">
        <w:rPr>
          <w:rFonts w:ascii="Times New Roman" w:hAnsi="Times New Roman" w:cs="Times New Roman"/>
        </w:rPr>
        <w:lastRenderedPageBreak/>
        <w:t>la suggestion de la CNCDH relative à une obligation pour tout Etat exportateur de refuser l’exportation dès lors que celle-ci pourrait porter gravement atteinte à la paix et à la sécurité, semble particulièrement pertinente au regard du droit à la vie.</w:t>
      </w:r>
    </w:p>
    <w:p w:rsidR="00EA5036" w:rsidRDefault="00EA5036" w:rsidP="00EA5036">
      <w:pPr>
        <w:spacing w:after="0"/>
        <w:jc w:val="both"/>
        <w:rPr>
          <w:rFonts w:ascii="Times New Roman" w:hAnsi="Times New Roman" w:cs="Times New Roman"/>
        </w:rPr>
      </w:pPr>
    </w:p>
    <w:p w:rsidR="00C54714" w:rsidRPr="00722B09" w:rsidRDefault="00C54714" w:rsidP="00C54714">
      <w:pPr>
        <w:tabs>
          <w:tab w:val="left" w:pos="7575"/>
        </w:tabs>
        <w:spacing w:after="0"/>
        <w:jc w:val="both"/>
        <w:rPr>
          <w:rFonts w:ascii="Times New Roman" w:hAnsi="Times New Roman" w:cs="Times New Roman"/>
          <w:i/>
        </w:rPr>
      </w:pPr>
      <w:r w:rsidRPr="00722B09">
        <w:rPr>
          <w:rFonts w:ascii="Times New Roman" w:hAnsi="Times New Roman" w:cs="Times New Roman"/>
          <w:i/>
        </w:rPr>
        <w:t>Sur le droit international humanitaire (§ 67)</w:t>
      </w:r>
      <w:r>
        <w:rPr>
          <w:rFonts w:ascii="Times New Roman" w:hAnsi="Times New Roman" w:cs="Times New Roman"/>
          <w:i/>
        </w:rPr>
        <w:tab/>
      </w:r>
    </w:p>
    <w:p w:rsidR="004B5B68" w:rsidRDefault="00C54714" w:rsidP="00C54714">
      <w:pPr>
        <w:spacing w:after="0"/>
        <w:jc w:val="both"/>
        <w:rPr>
          <w:rFonts w:ascii="Times New Roman" w:hAnsi="Times New Roman" w:cs="Times New Roman"/>
        </w:rPr>
      </w:pPr>
      <w:r w:rsidRPr="00775457">
        <w:rPr>
          <w:rFonts w:ascii="Times New Roman" w:hAnsi="Times New Roman" w:cs="Times New Roman"/>
        </w:rPr>
        <w:t>La CNCDH salue la référence fait</w:t>
      </w:r>
      <w:r>
        <w:rPr>
          <w:rFonts w:ascii="Times New Roman" w:hAnsi="Times New Roman" w:cs="Times New Roman"/>
        </w:rPr>
        <w:t>e</w:t>
      </w:r>
      <w:r w:rsidRPr="00775457">
        <w:rPr>
          <w:rFonts w:ascii="Times New Roman" w:hAnsi="Times New Roman" w:cs="Times New Roman"/>
        </w:rPr>
        <w:t xml:space="preserve"> par le projet d’observation générale </w:t>
      </w:r>
      <w:r>
        <w:rPr>
          <w:rFonts w:ascii="Times New Roman" w:hAnsi="Times New Roman" w:cs="Times New Roman"/>
        </w:rPr>
        <w:t xml:space="preserve">à l’application de </w:t>
      </w:r>
      <w:r w:rsidRPr="00775457">
        <w:rPr>
          <w:rFonts w:ascii="Times New Roman" w:hAnsi="Times New Roman" w:cs="Times New Roman"/>
        </w:rPr>
        <w:t>l’article 6</w:t>
      </w:r>
      <w:r>
        <w:rPr>
          <w:rFonts w:ascii="Times New Roman" w:hAnsi="Times New Roman" w:cs="Times New Roman"/>
        </w:rPr>
        <w:t xml:space="preserve"> du PIDCP</w:t>
      </w:r>
      <w:r w:rsidRPr="00775457">
        <w:rPr>
          <w:rFonts w:ascii="Times New Roman" w:hAnsi="Times New Roman" w:cs="Times New Roman"/>
        </w:rPr>
        <w:t xml:space="preserve"> </w:t>
      </w:r>
      <w:r>
        <w:rPr>
          <w:rFonts w:ascii="Times New Roman" w:hAnsi="Times New Roman" w:cs="Times New Roman"/>
        </w:rPr>
        <w:t>en temps de conflit</w:t>
      </w:r>
      <w:r w:rsidRPr="00775457">
        <w:rPr>
          <w:rFonts w:ascii="Times New Roman" w:hAnsi="Times New Roman" w:cs="Times New Roman"/>
        </w:rPr>
        <w:t xml:space="preserve"> et</w:t>
      </w:r>
      <w:r w:rsidRPr="00775457">
        <w:rPr>
          <w:rFonts w:ascii="Times New Roman" w:hAnsi="Times New Roman" w:cs="Times New Roman"/>
          <w:color w:val="FF0000"/>
        </w:rPr>
        <w:t xml:space="preserve"> </w:t>
      </w:r>
      <w:r w:rsidRPr="00C82519">
        <w:rPr>
          <w:rFonts w:ascii="Times New Roman" w:hAnsi="Times New Roman" w:cs="Times New Roman"/>
        </w:rPr>
        <w:t>durant les conduites d’hostilités</w:t>
      </w:r>
      <w:r w:rsidRPr="00775457">
        <w:rPr>
          <w:rFonts w:ascii="Times New Roman" w:hAnsi="Times New Roman" w:cs="Times New Roman"/>
        </w:rPr>
        <w:t xml:space="preserve">. Même si le DIH </w:t>
      </w:r>
      <w:r w:rsidR="00777947">
        <w:rPr>
          <w:rFonts w:ascii="Times New Roman" w:hAnsi="Times New Roman" w:cs="Times New Roman"/>
        </w:rPr>
        <w:t xml:space="preserve">constitue une branche du droit, </w:t>
      </w:r>
      <w:r w:rsidRPr="00775457">
        <w:rPr>
          <w:rFonts w:ascii="Times New Roman" w:hAnsi="Times New Roman" w:cs="Times New Roman"/>
        </w:rPr>
        <w:t xml:space="preserve">distincte du droit international des droits de l’homme, </w:t>
      </w:r>
      <w:r w:rsidR="00A33A37">
        <w:rPr>
          <w:rFonts w:ascii="Times New Roman" w:hAnsi="Times New Roman" w:cs="Times New Roman"/>
        </w:rPr>
        <w:t>la fertilisation</w:t>
      </w:r>
      <w:r w:rsidRPr="00C82519">
        <w:rPr>
          <w:rFonts w:ascii="Times New Roman" w:hAnsi="Times New Roman" w:cs="Times New Roman"/>
        </w:rPr>
        <w:t xml:space="preserve"> </w:t>
      </w:r>
      <w:r w:rsidRPr="00775457">
        <w:rPr>
          <w:rFonts w:ascii="Times New Roman" w:hAnsi="Times New Roman" w:cs="Times New Roman"/>
        </w:rPr>
        <w:t xml:space="preserve">mutuelle de ces deux droits </w:t>
      </w:r>
      <w:r w:rsidRPr="00C82519">
        <w:rPr>
          <w:rFonts w:ascii="Times New Roman" w:hAnsi="Times New Roman" w:cs="Times New Roman"/>
        </w:rPr>
        <w:t xml:space="preserve">constitue une opportunité </w:t>
      </w:r>
      <w:r>
        <w:rPr>
          <w:rFonts w:ascii="Times New Roman" w:hAnsi="Times New Roman" w:cs="Times New Roman"/>
        </w:rPr>
        <w:t>pour renforcer la protection du droit à la vie</w:t>
      </w:r>
      <w:r w:rsidRPr="00775457">
        <w:rPr>
          <w:rFonts w:ascii="Times New Roman" w:hAnsi="Times New Roman" w:cs="Times New Roman"/>
        </w:rPr>
        <w:t xml:space="preserve">. </w:t>
      </w:r>
    </w:p>
    <w:p w:rsidR="00C54714" w:rsidRPr="00775457" w:rsidRDefault="00C54714" w:rsidP="00C54714">
      <w:pPr>
        <w:spacing w:after="0"/>
        <w:jc w:val="both"/>
        <w:rPr>
          <w:rFonts w:ascii="Times New Roman" w:hAnsi="Times New Roman" w:cs="Times New Roman"/>
        </w:rPr>
      </w:pPr>
      <w:r w:rsidRPr="00775457">
        <w:rPr>
          <w:rFonts w:ascii="Times New Roman" w:hAnsi="Times New Roman" w:cs="Times New Roman"/>
        </w:rPr>
        <w:t xml:space="preserve">Dans ce contexte, la CNCDH recommande au Comité de se prononcer plus précisément sur la question des assassinats ciblés, notamment par l’usage des drones, qui </w:t>
      </w:r>
      <w:r>
        <w:rPr>
          <w:rFonts w:ascii="Times New Roman" w:hAnsi="Times New Roman" w:cs="Times New Roman"/>
        </w:rPr>
        <w:t>porte atteinte au</w:t>
      </w:r>
      <w:r w:rsidRPr="00775457">
        <w:rPr>
          <w:rFonts w:ascii="Times New Roman" w:hAnsi="Times New Roman" w:cs="Times New Roman"/>
        </w:rPr>
        <w:t xml:space="preserve"> droit à la vie. </w:t>
      </w:r>
    </w:p>
    <w:p w:rsidR="00C54714" w:rsidRDefault="00C54714" w:rsidP="00C54714">
      <w:pPr>
        <w:spacing w:after="0"/>
        <w:jc w:val="both"/>
        <w:rPr>
          <w:rFonts w:ascii="Times New Roman" w:hAnsi="Times New Roman" w:cs="Times New Roman"/>
        </w:rPr>
      </w:pPr>
      <w:r w:rsidRPr="00775457">
        <w:rPr>
          <w:rFonts w:ascii="Times New Roman" w:hAnsi="Times New Roman" w:cs="Times New Roman"/>
        </w:rPr>
        <w:t xml:space="preserve">Si, généralement, en temps de conflit armé le DIH s’applique comme </w:t>
      </w:r>
      <w:r w:rsidRPr="00775457">
        <w:rPr>
          <w:rFonts w:ascii="Times New Roman" w:hAnsi="Times New Roman" w:cs="Times New Roman"/>
          <w:i/>
        </w:rPr>
        <w:t>lex specialis</w:t>
      </w:r>
      <w:r w:rsidRPr="00775457">
        <w:rPr>
          <w:rFonts w:ascii="Times New Roman" w:hAnsi="Times New Roman" w:cs="Times New Roman"/>
        </w:rPr>
        <w:t xml:space="preserve">, il subsiste certaines zones </w:t>
      </w:r>
      <w:r w:rsidRPr="00F47856">
        <w:rPr>
          <w:rFonts w:ascii="Times New Roman" w:hAnsi="Times New Roman" w:cs="Times New Roman"/>
        </w:rPr>
        <w:t xml:space="preserve">grises, </w:t>
      </w:r>
      <w:r w:rsidR="004B5B68">
        <w:rPr>
          <w:rFonts w:ascii="Times New Roman" w:hAnsi="Times New Roman" w:cs="Times New Roman"/>
        </w:rPr>
        <w:t>particulièrement</w:t>
      </w:r>
      <w:r w:rsidRPr="00F47856">
        <w:rPr>
          <w:rFonts w:ascii="Times New Roman" w:hAnsi="Times New Roman" w:cs="Times New Roman"/>
        </w:rPr>
        <w:t xml:space="preserve"> dans les conflits armés non</w:t>
      </w:r>
      <w:r w:rsidR="004B5B68">
        <w:rPr>
          <w:rFonts w:ascii="Times New Roman" w:hAnsi="Times New Roman" w:cs="Times New Roman"/>
        </w:rPr>
        <w:t xml:space="preserve"> internationaux où</w:t>
      </w:r>
      <w:r w:rsidRPr="00F47856">
        <w:rPr>
          <w:rFonts w:ascii="Times New Roman" w:hAnsi="Times New Roman" w:cs="Times New Roman"/>
        </w:rPr>
        <w:t xml:space="preserve"> les règles du DIH sont indéterminées, voire</w:t>
      </w:r>
      <w:r w:rsidR="004B5B68">
        <w:rPr>
          <w:rFonts w:ascii="Times New Roman" w:hAnsi="Times New Roman" w:cs="Times New Roman"/>
        </w:rPr>
        <w:t xml:space="preserve">, insuffisantes. Par exemple, </w:t>
      </w:r>
      <w:r w:rsidRPr="00775457">
        <w:rPr>
          <w:rFonts w:ascii="Times New Roman" w:hAnsi="Times New Roman" w:cs="Times New Roman"/>
        </w:rPr>
        <w:t>la possibilité de ci</w:t>
      </w:r>
      <w:r w:rsidR="00490461">
        <w:rPr>
          <w:rFonts w:ascii="Times New Roman" w:hAnsi="Times New Roman" w:cs="Times New Roman"/>
        </w:rPr>
        <w:t xml:space="preserve">bler des acteurs non étatiques </w:t>
      </w:r>
      <w:r>
        <w:rPr>
          <w:rFonts w:ascii="Times New Roman" w:hAnsi="Times New Roman" w:cs="Times New Roman"/>
        </w:rPr>
        <w:t xml:space="preserve">mériterait </w:t>
      </w:r>
      <w:r w:rsidRPr="003378BB">
        <w:rPr>
          <w:rFonts w:ascii="Times New Roman" w:hAnsi="Times New Roman" w:cs="Times New Roman"/>
        </w:rPr>
        <w:t xml:space="preserve">alors </w:t>
      </w:r>
      <w:r w:rsidRPr="00775457">
        <w:rPr>
          <w:rFonts w:ascii="Times New Roman" w:hAnsi="Times New Roman" w:cs="Times New Roman"/>
        </w:rPr>
        <w:t>une définition</w:t>
      </w:r>
      <w:r w:rsidR="004B5B68">
        <w:rPr>
          <w:rFonts w:ascii="Times New Roman" w:hAnsi="Times New Roman" w:cs="Times New Roman"/>
        </w:rPr>
        <w:t xml:space="preserve"> bien</w:t>
      </w:r>
      <w:r w:rsidRPr="00775457">
        <w:rPr>
          <w:rFonts w:ascii="Times New Roman" w:hAnsi="Times New Roman" w:cs="Times New Roman"/>
        </w:rPr>
        <w:t xml:space="preserve"> </w:t>
      </w:r>
      <w:r>
        <w:rPr>
          <w:rFonts w:ascii="Times New Roman" w:hAnsi="Times New Roman" w:cs="Times New Roman"/>
        </w:rPr>
        <w:t xml:space="preserve">plus </w:t>
      </w:r>
      <w:r w:rsidRPr="00775457">
        <w:rPr>
          <w:rFonts w:ascii="Times New Roman" w:hAnsi="Times New Roman" w:cs="Times New Roman"/>
        </w:rPr>
        <w:t>précise de la notion de civils participant directement aux hostilités. Dans ces situations, la CNCDH soutient l’application du régime des droits de l’homme</w:t>
      </w:r>
      <w:r w:rsidR="00490461">
        <w:rPr>
          <w:rFonts w:ascii="Times New Roman" w:hAnsi="Times New Roman" w:cs="Times New Roman"/>
        </w:rPr>
        <w:t xml:space="preserve"> </w:t>
      </w:r>
      <w:r w:rsidR="00490461" w:rsidRPr="00490461">
        <w:rPr>
          <w:rFonts w:ascii="Times New Roman" w:hAnsi="Times New Roman" w:cs="Times New Roman"/>
        </w:rPr>
        <w:t xml:space="preserve">comme </w:t>
      </w:r>
      <w:r w:rsidR="00490461" w:rsidRPr="00490461">
        <w:rPr>
          <w:rFonts w:ascii="Times New Roman" w:hAnsi="Times New Roman" w:cs="Times New Roman"/>
          <w:i/>
        </w:rPr>
        <w:t>lex specialis</w:t>
      </w:r>
      <w:r w:rsidRPr="00775457">
        <w:rPr>
          <w:rFonts w:ascii="Times New Roman" w:hAnsi="Times New Roman" w:cs="Times New Roman"/>
        </w:rPr>
        <w:t>, plus protecteur du droit à la vie</w:t>
      </w:r>
      <w:r w:rsidRPr="00775457">
        <w:rPr>
          <w:rFonts w:ascii="Times New Roman" w:hAnsi="Times New Roman" w:cs="Times New Roman"/>
          <w:i/>
        </w:rPr>
        <w:t xml:space="preserve">. </w:t>
      </w:r>
      <w:r>
        <w:rPr>
          <w:rFonts w:ascii="Times New Roman" w:hAnsi="Times New Roman" w:cs="Times New Roman"/>
        </w:rPr>
        <w:t>A cet égard l</w:t>
      </w:r>
      <w:r w:rsidRPr="00775457">
        <w:rPr>
          <w:rFonts w:ascii="Times New Roman" w:hAnsi="Times New Roman" w:cs="Times New Roman"/>
        </w:rPr>
        <w:t xml:space="preserve">a CNCDH prend acte de la position </w:t>
      </w:r>
      <w:r w:rsidR="00490461">
        <w:rPr>
          <w:rFonts w:ascii="Times New Roman" w:hAnsi="Times New Roman" w:cs="Times New Roman"/>
        </w:rPr>
        <w:t xml:space="preserve">du </w:t>
      </w:r>
      <w:r w:rsidRPr="00775457">
        <w:rPr>
          <w:rFonts w:ascii="Times New Roman" w:hAnsi="Times New Roman" w:cs="Times New Roman"/>
        </w:rPr>
        <w:t>Rapporteur spécial sur les exécutions extrajudiciaires, sommaires ou arbitraires</w:t>
      </w:r>
      <w:r w:rsidRPr="00775457">
        <w:rPr>
          <w:rFonts w:ascii="Times New Roman" w:hAnsi="Times New Roman" w:cs="Times New Roman"/>
          <w:vertAlign w:val="superscript"/>
        </w:rPr>
        <w:footnoteReference w:id="7"/>
      </w:r>
      <w:r>
        <w:rPr>
          <w:rFonts w:ascii="Times New Roman" w:hAnsi="Times New Roman" w:cs="Times New Roman"/>
        </w:rPr>
        <w:t xml:space="preserve">, qui rappelle </w:t>
      </w:r>
      <w:r w:rsidRPr="00775457">
        <w:rPr>
          <w:rFonts w:ascii="Times New Roman" w:hAnsi="Times New Roman" w:cs="Times New Roman"/>
        </w:rPr>
        <w:t>qu’il est toujours préférable d’arrêter un individu</w:t>
      </w:r>
      <w:r>
        <w:rPr>
          <w:rFonts w:ascii="Times New Roman" w:hAnsi="Times New Roman" w:cs="Times New Roman"/>
        </w:rPr>
        <w:t xml:space="preserve"> quand cela est possible</w:t>
      </w:r>
      <w:r w:rsidRPr="00775457">
        <w:rPr>
          <w:rFonts w:ascii="Times New Roman" w:hAnsi="Times New Roman" w:cs="Times New Roman"/>
        </w:rPr>
        <w:t>. La CNCDH invite le Comité à prendre</w:t>
      </w:r>
      <w:r w:rsidR="00490461">
        <w:rPr>
          <w:rFonts w:ascii="Times New Roman" w:hAnsi="Times New Roman" w:cs="Times New Roman"/>
        </w:rPr>
        <w:t xml:space="preserve"> une</w:t>
      </w:r>
      <w:r w:rsidRPr="00775457">
        <w:rPr>
          <w:rFonts w:ascii="Times New Roman" w:hAnsi="Times New Roman" w:cs="Times New Roman"/>
        </w:rPr>
        <w:t xml:space="preserve"> position claire sur la légalité de telles actions ainsi que sur le droit applicable dans ce contexte (tant dans le cadre d’un conflit armé qu’en temps de paix).</w:t>
      </w:r>
    </w:p>
    <w:p w:rsidR="00C54714" w:rsidRPr="00C32A29" w:rsidRDefault="00490461" w:rsidP="00C54714">
      <w:pPr>
        <w:spacing w:after="0"/>
        <w:jc w:val="both"/>
        <w:rPr>
          <w:rFonts w:ascii="Times New Roman" w:hAnsi="Times New Roman" w:cs="Times New Roman"/>
        </w:rPr>
      </w:pPr>
      <w:r>
        <w:rPr>
          <w:rFonts w:ascii="Times New Roman" w:hAnsi="Times New Roman" w:cs="Times New Roman"/>
        </w:rPr>
        <w:t>Par ailleurs, la</w:t>
      </w:r>
      <w:r w:rsidR="00C54714" w:rsidRPr="00775457">
        <w:rPr>
          <w:rFonts w:ascii="Times New Roman" w:hAnsi="Times New Roman" w:cs="Times New Roman"/>
        </w:rPr>
        <w:t xml:space="preserve"> CNCDH soutient la position du Comité d’encourager les Etats à exercer une transparence quant aux critères retenus pour l’utilisation de la force létale, le fondement juridique de certaines</w:t>
      </w:r>
      <w:r w:rsidR="00C54714" w:rsidRPr="00315AAA">
        <w:rPr>
          <w:rFonts w:ascii="Times New Roman" w:hAnsi="Times New Roman" w:cs="Times New Roman"/>
        </w:rPr>
        <w:t xml:space="preserve"> attaques, la procédure d’identification d’objectifs</w:t>
      </w:r>
      <w:r w:rsidR="00C54714">
        <w:rPr>
          <w:rFonts w:ascii="Times New Roman" w:hAnsi="Times New Roman" w:cs="Times New Roman"/>
        </w:rPr>
        <w:t xml:space="preserve"> et de cibles</w:t>
      </w:r>
      <w:r w:rsidR="00C54714" w:rsidRPr="00315AAA">
        <w:rPr>
          <w:rFonts w:ascii="Times New Roman" w:hAnsi="Times New Roman" w:cs="Times New Roman"/>
        </w:rPr>
        <w:t xml:space="preserve"> militaires ainsi que les moyens et méthodes de guerre employés. </w:t>
      </w:r>
    </w:p>
    <w:p w:rsidR="00C54714" w:rsidRPr="00315AAA" w:rsidRDefault="00C54714" w:rsidP="00C54714">
      <w:pPr>
        <w:spacing w:after="0"/>
        <w:jc w:val="both"/>
        <w:rPr>
          <w:rFonts w:ascii="Times New Roman" w:hAnsi="Times New Roman" w:cs="Times New Roman"/>
        </w:rPr>
      </w:pPr>
      <w:r w:rsidRPr="00315AAA">
        <w:rPr>
          <w:rFonts w:ascii="Times New Roman" w:hAnsi="Times New Roman" w:cs="Times New Roman"/>
        </w:rPr>
        <w:t>Enfin, si la CNCDH salue l’intérêt que porte l</w:t>
      </w:r>
      <w:r>
        <w:rPr>
          <w:rFonts w:ascii="Times New Roman" w:hAnsi="Times New Roman" w:cs="Times New Roman"/>
        </w:rPr>
        <w:t>e projet d</w:t>
      </w:r>
      <w:r w:rsidRPr="00315AAA">
        <w:rPr>
          <w:rFonts w:ascii="Times New Roman" w:hAnsi="Times New Roman" w:cs="Times New Roman"/>
        </w:rPr>
        <w:t xml:space="preserve">’observation sur la question des défenseurs des droits de l’homme (§ 27 ; § 57), elle regrette que le sort des travailleurs humanitaires ne soient pas </w:t>
      </w:r>
      <w:r>
        <w:rPr>
          <w:rFonts w:ascii="Times New Roman" w:hAnsi="Times New Roman" w:cs="Times New Roman"/>
        </w:rPr>
        <w:t>davantage</w:t>
      </w:r>
      <w:r w:rsidRPr="00315AAA">
        <w:rPr>
          <w:rFonts w:ascii="Times New Roman" w:hAnsi="Times New Roman" w:cs="Times New Roman"/>
        </w:rPr>
        <w:t xml:space="preserve"> étudié dans la partie relative au DIH. </w:t>
      </w:r>
      <w:r w:rsidR="00A33A37">
        <w:rPr>
          <w:rFonts w:ascii="Times New Roman" w:hAnsi="Times New Roman" w:cs="Times New Roman"/>
        </w:rPr>
        <w:t>La</w:t>
      </w:r>
      <w:r w:rsidRPr="00315AAA">
        <w:rPr>
          <w:rFonts w:ascii="Times New Roman" w:hAnsi="Times New Roman" w:cs="Times New Roman"/>
        </w:rPr>
        <w:t xml:space="preserve"> CNCDH estime que la question de l’entrave à l’accès humanitaire est primordiale</w:t>
      </w:r>
      <w:r w:rsidRPr="00315AAA">
        <w:rPr>
          <w:rStyle w:val="FootnoteReference"/>
          <w:rFonts w:ascii="Times New Roman" w:hAnsi="Times New Roman" w:cs="Times New Roman"/>
        </w:rPr>
        <w:footnoteReference w:id="8"/>
      </w:r>
      <w:r w:rsidRPr="00315AAA">
        <w:rPr>
          <w:rFonts w:ascii="Times New Roman" w:hAnsi="Times New Roman" w:cs="Times New Roman"/>
        </w:rPr>
        <w:t xml:space="preserve"> </w:t>
      </w:r>
      <w:r>
        <w:rPr>
          <w:rFonts w:ascii="Times New Roman" w:hAnsi="Times New Roman" w:cs="Times New Roman"/>
        </w:rPr>
        <w:t xml:space="preserve">et devrait </w:t>
      </w:r>
      <w:r w:rsidRPr="00315AAA">
        <w:rPr>
          <w:rFonts w:ascii="Times New Roman" w:hAnsi="Times New Roman" w:cs="Times New Roman"/>
        </w:rPr>
        <w:t>être approfondie tant ses conséquences sur le droit à la vie sont flagrantes.</w:t>
      </w:r>
    </w:p>
    <w:p w:rsidR="00EA5036" w:rsidRPr="00315AAA" w:rsidRDefault="00EA5036" w:rsidP="00EA5036">
      <w:pPr>
        <w:spacing w:after="0"/>
        <w:jc w:val="both"/>
        <w:rPr>
          <w:rFonts w:ascii="Times New Roman" w:hAnsi="Times New Roman" w:cs="Times New Roman"/>
        </w:rPr>
      </w:pPr>
    </w:p>
    <w:p w:rsidR="00EA5036" w:rsidRDefault="00EA5036" w:rsidP="00EA5036">
      <w:pPr>
        <w:pStyle w:val="ListParagraph"/>
        <w:numPr>
          <w:ilvl w:val="0"/>
          <w:numId w:val="2"/>
        </w:numPr>
        <w:spacing w:after="0"/>
        <w:jc w:val="both"/>
        <w:rPr>
          <w:rFonts w:ascii="Times New Roman" w:eastAsiaTheme="majorEastAsia" w:hAnsi="Times New Roman" w:cs="Times New Roman"/>
          <w:b/>
          <w:bCs/>
        </w:rPr>
      </w:pPr>
      <w:r>
        <w:rPr>
          <w:rFonts w:ascii="Times New Roman" w:eastAsiaTheme="majorEastAsia" w:hAnsi="Times New Roman" w:cs="Times New Roman"/>
          <w:b/>
          <w:bCs/>
        </w:rPr>
        <w:t>Matière pénale</w:t>
      </w:r>
      <w:r w:rsidR="009F3E5D">
        <w:rPr>
          <w:rFonts w:ascii="Times New Roman" w:eastAsiaTheme="majorEastAsia" w:hAnsi="Times New Roman" w:cs="Times New Roman"/>
          <w:b/>
          <w:bCs/>
        </w:rPr>
        <w:t xml:space="preserve"> </w:t>
      </w:r>
    </w:p>
    <w:p w:rsidR="00EA5036" w:rsidRDefault="00EA5036" w:rsidP="00EA5036">
      <w:pPr>
        <w:spacing w:after="0"/>
        <w:jc w:val="both"/>
        <w:rPr>
          <w:rFonts w:ascii="Times New Roman" w:hAnsi="Times New Roman" w:cs="Times New Roman"/>
        </w:rPr>
      </w:pPr>
    </w:p>
    <w:p w:rsidR="00EA5036" w:rsidRPr="001A1866" w:rsidRDefault="00EA5036" w:rsidP="00EA5036">
      <w:pPr>
        <w:spacing w:after="0"/>
        <w:jc w:val="both"/>
        <w:rPr>
          <w:rFonts w:ascii="Times New Roman" w:hAnsi="Times New Roman" w:cs="Times New Roman"/>
          <w:i/>
        </w:rPr>
      </w:pPr>
      <w:r>
        <w:rPr>
          <w:rFonts w:ascii="Times New Roman" w:hAnsi="Times New Roman" w:cs="Times New Roman"/>
          <w:i/>
        </w:rPr>
        <w:t>Sur le feminicide (§64)</w:t>
      </w:r>
    </w:p>
    <w:p w:rsidR="00EA5036" w:rsidRPr="00315AAA" w:rsidRDefault="00EA5036" w:rsidP="00EA5036">
      <w:pPr>
        <w:spacing w:after="0"/>
        <w:jc w:val="both"/>
        <w:rPr>
          <w:rFonts w:ascii="Times New Roman" w:hAnsi="Times New Roman" w:cs="Times New Roman"/>
        </w:rPr>
      </w:pPr>
      <w:r w:rsidRPr="00315AAA">
        <w:rPr>
          <w:rFonts w:ascii="Times New Roman" w:hAnsi="Times New Roman" w:cs="Times New Roman"/>
        </w:rPr>
        <w:t xml:space="preserve">La CNCDH </w:t>
      </w:r>
      <w:r w:rsidR="00C06CD7">
        <w:rPr>
          <w:rFonts w:ascii="Times New Roman" w:hAnsi="Times New Roman" w:cs="Times New Roman"/>
        </w:rPr>
        <w:t xml:space="preserve">se </w:t>
      </w:r>
      <w:r w:rsidRPr="00315AAA">
        <w:rPr>
          <w:rFonts w:ascii="Times New Roman" w:hAnsi="Times New Roman" w:cs="Times New Roman"/>
        </w:rPr>
        <w:t xml:space="preserve">félicite </w:t>
      </w:r>
      <w:r w:rsidR="00C06CD7">
        <w:rPr>
          <w:rFonts w:ascii="Times New Roman" w:hAnsi="Times New Roman" w:cs="Times New Roman"/>
        </w:rPr>
        <w:t xml:space="preserve">que </w:t>
      </w:r>
      <w:r w:rsidRPr="00315AAA">
        <w:rPr>
          <w:rFonts w:ascii="Times New Roman" w:hAnsi="Times New Roman" w:cs="Times New Roman"/>
        </w:rPr>
        <w:t xml:space="preserve">le Comité </w:t>
      </w:r>
      <w:r w:rsidR="00C06CD7">
        <w:rPr>
          <w:rFonts w:ascii="Times New Roman" w:hAnsi="Times New Roman" w:cs="Times New Roman"/>
        </w:rPr>
        <w:t>ait choisit d’employer  le</w:t>
      </w:r>
      <w:r w:rsidRPr="00315AAA">
        <w:rPr>
          <w:rFonts w:ascii="Times New Roman" w:hAnsi="Times New Roman" w:cs="Times New Roman"/>
        </w:rPr>
        <w:t xml:space="preserve"> terme « féminicide ». La CNCDH, qui a </w:t>
      </w:r>
      <w:r w:rsidR="00C06CD7">
        <w:rPr>
          <w:rFonts w:ascii="Times New Roman" w:hAnsi="Times New Roman" w:cs="Times New Roman"/>
        </w:rPr>
        <w:t>encore récemment insisté sur l’usage de</w:t>
      </w:r>
      <w:r w:rsidRPr="00315AAA">
        <w:rPr>
          <w:rFonts w:ascii="Times New Roman" w:hAnsi="Times New Roman" w:cs="Times New Roman"/>
        </w:rPr>
        <w:t xml:space="preserve"> cette terminologie</w:t>
      </w:r>
      <w:r w:rsidRPr="00315AAA">
        <w:rPr>
          <w:rStyle w:val="FootnoteReference"/>
          <w:rFonts w:ascii="Times New Roman" w:hAnsi="Times New Roman" w:cs="Times New Roman"/>
        </w:rPr>
        <w:footnoteReference w:id="9"/>
      </w:r>
      <w:r w:rsidRPr="00315AAA">
        <w:rPr>
          <w:rFonts w:ascii="Times New Roman" w:hAnsi="Times New Roman" w:cs="Times New Roman"/>
        </w:rPr>
        <w:t xml:space="preserve">, </w:t>
      </w:r>
      <w:r w:rsidR="00C06CD7">
        <w:rPr>
          <w:rFonts w:ascii="Times New Roman" w:hAnsi="Times New Roman" w:cs="Times New Roman"/>
        </w:rPr>
        <w:t>souhaite apporter son soutien à cette démarche essentielle</w:t>
      </w:r>
      <w:r w:rsidR="00C06CD7" w:rsidRPr="00315AAA">
        <w:rPr>
          <w:rFonts w:ascii="Times New Roman" w:hAnsi="Times New Roman" w:cs="Times New Roman"/>
        </w:rPr>
        <w:t xml:space="preserve"> </w:t>
      </w:r>
      <w:r w:rsidRPr="00315AAA">
        <w:rPr>
          <w:rFonts w:ascii="Times New Roman" w:hAnsi="Times New Roman" w:cs="Times New Roman"/>
        </w:rPr>
        <w:t>dans un cadre international</w:t>
      </w:r>
      <w:r w:rsidR="00C06CD7">
        <w:rPr>
          <w:rFonts w:ascii="Times New Roman" w:hAnsi="Times New Roman" w:cs="Times New Roman"/>
        </w:rPr>
        <w:t xml:space="preserve">, pour impulser la définition de circonstance aggravante </w:t>
      </w:r>
      <w:r w:rsidR="0054678C">
        <w:rPr>
          <w:rFonts w:ascii="Times New Roman" w:hAnsi="Times New Roman" w:cs="Times New Roman"/>
        </w:rPr>
        <w:t>pour les infractions commises à raison du gen</w:t>
      </w:r>
      <w:r w:rsidR="00E61229">
        <w:rPr>
          <w:rFonts w:ascii="Times New Roman" w:hAnsi="Times New Roman" w:cs="Times New Roman"/>
        </w:rPr>
        <w:t>re de la victime et susciter un</w:t>
      </w:r>
      <w:r w:rsidRPr="00315AAA">
        <w:rPr>
          <w:rFonts w:ascii="Times New Roman" w:hAnsi="Times New Roman" w:cs="Times New Roman"/>
        </w:rPr>
        <w:t xml:space="preserve"> emploi généralisé de ce terme </w:t>
      </w:r>
      <w:r w:rsidR="0054678C">
        <w:rPr>
          <w:rFonts w:ascii="Times New Roman" w:hAnsi="Times New Roman" w:cs="Times New Roman"/>
        </w:rPr>
        <w:t>par</w:t>
      </w:r>
      <w:r w:rsidR="0054678C" w:rsidRPr="00315AAA">
        <w:rPr>
          <w:rFonts w:ascii="Times New Roman" w:hAnsi="Times New Roman" w:cs="Times New Roman"/>
        </w:rPr>
        <w:t xml:space="preserve"> </w:t>
      </w:r>
      <w:r w:rsidRPr="00315AAA">
        <w:rPr>
          <w:rFonts w:ascii="Times New Roman" w:hAnsi="Times New Roman" w:cs="Times New Roman"/>
        </w:rPr>
        <w:t xml:space="preserve">toutes les institutions et législations </w:t>
      </w:r>
      <w:r w:rsidR="0054678C">
        <w:rPr>
          <w:rFonts w:ascii="Times New Roman" w:hAnsi="Times New Roman" w:cs="Times New Roman"/>
        </w:rPr>
        <w:t>de nature à œuvrer sur la réalité concrète et prégnante à laquelle ce terme renvoie</w:t>
      </w:r>
      <w:r w:rsidRPr="00315AAA">
        <w:rPr>
          <w:rFonts w:ascii="Times New Roman" w:hAnsi="Times New Roman" w:cs="Times New Roman"/>
        </w:rPr>
        <w:t xml:space="preserve">. </w:t>
      </w:r>
    </w:p>
    <w:p w:rsidR="00EA5036" w:rsidRDefault="0054678C" w:rsidP="00EA5036">
      <w:pPr>
        <w:spacing w:after="0"/>
        <w:jc w:val="both"/>
        <w:rPr>
          <w:rFonts w:ascii="Times New Roman" w:hAnsi="Times New Roman" w:cs="Times New Roman"/>
        </w:rPr>
      </w:pPr>
      <w:r>
        <w:rPr>
          <w:rFonts w:ascii="Times New Roman" w:hAnsi="Times New Roman" w:cs="Times New Roman"/>
        </w:rPr>
        <w:t xml:space="preserve">La CNCDH se </w:t>
      </w:r>
      <w:r w:rsidR="00EA5036" w:rsidRPr="00315AAA">
        <w:rPr>
          <w:rFonts w:ascii="Times New Roman" w:hAnsi="Times New Roman" w:cs="Times New Roman"/>
        </w:rPr>
        <w:t>satisfait de l’attention toute particulière accordée à cette forme extrême de violence par l</w:t>
      </w:r>
      <w:r w:rsidR="00C06CD7">
        <w:rPr>
          <w:rFonts w:ascii="Times New Roman" w:hAnsi="Times New Roman" w:cs="Times New Roman"/>
        </w:rPr>
        <w:t>e projet d</w:t>
      </w:r>
      <w:r w:rsidR="00EA5036" w:rsidRPr="00315AAA">
        <w:rPr>
          <w:rFonts w:ascii="Times New Roman" w:hAnsi="Times New Roman" w:cs="Times New Roman"/>
        </w:rPr>
        <w:t xml:space="preserve">’observation générale, qui la qualifie </w:t>
      </w:r>
      <w:r>
        <w:rPr>
          <w:rFonts w:ascii="Times New Roman" w:hAnsi="Times New Roman" w:cs="Times New Roman"/>
        </w:rPr>
        <w:t xml:space="preserve">à juste titre </w:t>
      </w:r>
      <w:r w:rsidR="00EA5036" w:rsidRPr="00315AAA">
        <w:rPr>
          <w:rFonts w:ascii="Times New Roman" w:hAnsi="Times New Roman" w:cs="Times New Roman"/>
        </w:rPr>
        <w:t>de « </w:t>
      </w:r>
      <w:r w:rsidR="00EA5036" w:rsidRPr="00315AAA">
        <w:rPr>
          <w:rFonts w:ascii="Times New Roman" w:hAnsi="Times New Roman" w:cs="Times New Roman"/>
          <w:i/>
        </w:rPr>
        <w:t xml:space="preserve">forme particulièrement grave </w:t>
      </w:r>
      <w:r w:rsidR="00EA5036" w:rsidRPr="00315AAA">
        <w:rPr>
          <w:rFonts w:ascii="Times New Roman" w:hAnsi="Times New Roman" w:cs="Times New Roman"/>
          <w:i/>
        </w:rPr>
        <w:lastRenderedPageBreak/>
        <w:t>d’atteinte au droit à la vie</w:t>
      </w:r>
      <w:r w:rsidR="00EA5036" w:rsidRPr="00315AAA">
        <w:rPr>
          <w:rFonts w:ascii="Times New Roman" w:hAnsi="Times New Roman" w:cs="Times New Roman"/>
        </w:rPr>
        <w:t> »</w:t>
      </w:r>
      <w:r>
        <w:rPr>
          <w:rFonts w:ascii="Times New Roman" w:hAnsi="Times New Roman" w:cs="Times New Roman"/>
        </w:rPr>
        <w:t>. La</w:t>
      </w:r>
      <w:r w:rsidR="00EA5036" w:rsidRPr="00315AAA">
        <w:rPr>
          <w:rFonts w:ascii="Times New Roman" w:hAnsi="Times New Roman" w:cs="Times New Roman"/>
        </w:rPr>
        <w:t xml:space="preserve"> CNCDH</w:t>
      </w:r>
      <w:r>
        <w:rPr>
          <w:rFonts w:ascii="Times New Roman" w:hAnsi="Times New Roman" w:cs="Times New Roman"/>
        </w:rPr>
        <w:t xml:space="preserve"> a pris position dans le contexte français pour l’</w:t>
      </w:r>
      <w:r w:rsidR="00EA5036" w:rsidRPr="00315AAA">
        <w:rPr>
          <w:rFonts w:ascii="Times New Roman" w:hAnsi="Times New Roman" w:cs="Times New Roman"/>
        </w:rPr>
        <w:t xml:space="preserve">introduction d’une circonstance aggravante pour sanctionner les crimes sexistes, </w:t>
      </w:r>
      <w:r>
        <w:rPr>
          <w:rFonts w:ascii="Times New Roman" w:hAnsi="Times New Roman" w:cs="Times New Roman"/>
        </w:rPr>
        <w:t xml:space="preserve">estimant que le cadre juridique actuel qui ne prévoit la circonstance aggravante que sous l’angle de la vulnérabilité lié à un état de grossesse apparent ou connu de l’auteur, ou </w:t>
      </w:r>
      <w:r w:rsidR="008253F6">
        <w:rPr>
          <w:rFonts w:ascii="Times New Roman" w:hAnsi="Times New Roman" w:cs="Times New Roman"/>
        </w:rPr>
        <w:t>la</w:t>
      </w:r>
      <w:r>
        <w:rPr>
          <w:rFonts w:ascii="Times New Roman" w:hAnsi="Times New Roman" w:cs="Times New Roman"/>
        </w:rPr>
        <w:t xml:space="preserve"> relation de couples qui unit ou a uni l’auteur à la victime ne saurait suffire à répondre à la nécessité de protéger </w:t>
      </w:r>
      <w:r w:rsidR="009831AC">
        <w:rPr>
          <w:rFonts w:ascii="Times New Roman" w:hAnsi="Times New Roman" w:cs="Times New Roman"/>
        </w:rPr>
        <w:t xml:space="preserve">les femmes des crimes sexistes. La CNCDH estime qu’il serait très souhaitable </w:t>
      </w:r>
      <w:r w:rsidR="000A6A9D">
        <w:rPr>
          <w:rFonts w:ascii="Times New Roman" w:hAnsi="Times New Roman" w:cs="Times New Roman"/>
        </w:rPr>
        <w:t>que cette recommandation soit incluse dans le cadre du projet d’observation générale.</w:t>
      </w:r>
    </w:p>
    <w:p w:rsidR="00EA5036" w:rsidRDefault="00EA5036" w:rsidP="00EA5036">
      <w:pPr>
        <w:spacing w:after="0"/>
        <w:jc w:val="both"/>
        <w:rPr>
          <w:rFonts w:ascii="Times New Roman" w:hAnsi="Times New Roman" w:cs="Times New Roman"/>
        </w:rPr>
      </w:pPr>
      <w:r>
        <w:rPr>
          <w:rFonts w:ascii="Times New Roman" w:hAnsi="Times New Roman" w:cs="Times New Roman"/>
        </w:rPr>
        <w:t>Par ailleurs, le Comité pourrait intégr</w:t>
      </w:r>
      <w:r w:rsidR="000A6A9D">
        <w:rPr>
          <w:rFonts w:ascii="Times New Roman" w:hAnsi="Times New Roman" w:cs="Times New Roman"/>
        </w:rPr>
        <w:t>er</w:t>
      </w:r>
      <w:r>
        <w:rPr>
          <w:rFonts w:ascii="Times New Roman" w:hAnsi="Times New Roman" w:cs="Times New Roman"/>
        </w:rPr>
        <w:t xml:space="preserve"> explicitement le féminicide au sein du paragraphe relatif aux</w:t>
      </w:r>
      <w:r w:rsidRPr="00EA5036">
        <w:rPr>
          <w:rFonts w:ascii="Times New Roman" w:hAnsi="Times New Roman" w:cs="Times New Roman"/>
        </w:rPr>
        <w:t xml:space="preserve"> formes de privation arbitraire de la vie par des particuliers</w:t>
      </w:r>
      <w:r>
        <w:rPr>
          <w:rFonts w:ascii="Times New Roman" w:hAnsi="Times New Roman" w:cs="Times New Roman"/>
        </w:rPr>
        <w:t xml:space="preserve"> (§24).</w:t>
      </w:r>
    </w:p>
    <w:p w:rsidR="00EA5036" w:rsidRPr="00EA5036" w:rsidRDefault="00EA5036" w:rsidP="00EA5036">
      <w:pPr>
        <w:spacing w:after="0"/>
        <w:jc w:val="both"/>
        <w:rPr>
          <w:rFonts w:ascii="Times New Roman" w:hAnsi="Times New Roman" w:cs="Times New Roman"/>
        </w:rPr>
      </w:pPr>
    </w:p>
    <w:p w:rsidR="00EA5036" w:rsidRPr="001A1866" w:rsidRDefault="00EA5036" w:rsidP="00EA5036">
      <w:pPr>
        <w:spacing w:after="0"/>
        <w:jc w:val="both"/>
        <w:rPr>
          <w:rFonts w:ascii="Times New Roman" w:hAnsi="Times New Roman" w:cs="Times New Roman"/>
          <w:i/>
        </w:rPr>
      </w:pPr>
      <w:r w:rsidRPr="001A1866">
        <w:rPr>
          <w:rFonts w:ascii="Times New Roman" w:hAnsi="Times New Roman" w:cs="Times New Roman"/>
          <w:i/>
        </w:rPr>
        <w:t>Sur la peine de mort (§36 à 55)</w:t>
      </w:r>
    </w:p>
    <w:p w:rsidR="00EA5036" w:rsidRPr="00315AAA" w:rsidRDefault="00EA5036" w:rsidP="00EA5036">
      <w:pPr>
        <w:spacing w:after="0"/>
        <w:jc w:val="both"/>
        <w:rPr>
          <w:rFonts w:ascii="Times New Roman" w:hAnsi="Times New Roman" w:cs="Times New Roman"/>
        </w:rPr>
      </w:pPr>
      <w:r w:rsidRPr="00315AAA">
        <w:rPr>
          <w:rFonts w:ascii="Times New Roman" w:hAnsi="Times New Roman" w:cs="Times New Roman"/>
        </w:rPr>
        <w:t xml:space="preserve">La CNCDH tient à </w:t>
      </w:r>
      <w:r w:rsidR="000A6A9D">
        <w:rPr>
          <w:rFonts w:ascii="Times New Roman" w:hAnsi="Times New Roman" w:cs="Times New Roman"/>
        </w:rPr>
        <w:t xml:space="preserve">saluer l’importance des développements que le </w:t>
      </w:r>
      <w:r w:rsidRPr="00315AAA">
        <w:rPr>
          <w:rFonts w:ascii="Times New Roman" w:hAnsi="Times New Roman" w:cs="Times New Roman"/>
        </w:rPr>
        <w:t xml:space="preserve">Comité </w:t>
      </w:r>
      <w:r w:rsidR="000A6A9D">
        <w:rPr>
          <w:rFonts w:ascii="Times New Roman" w:hAnsi="Times New Roman" w:cs="Times New Roman"/>
        </w:rPr>
        <w:t>consacre à</w:t>
      </w:r>
      <w:r w:rsidR="00CD2D03">
        <w:rPr>
          <w:rFonts w:ascii="Times New Roman" w:hAnsi="Times New Roman" w:cs="Times New Roman"/>
        </w:rPr>
        <w:t xml:space="preserve"> la peine de mort.</w:t>
      </w:r>
    </w:p>
    <w:p w:rsidR="00EA5036" w:rsidRDefault="008253F6" w:rsidP="00F142B3">
      <w:pPr>
        <w:spacing w:after="0"/>
        <w:jc w:val="both"/>
        <w:rPr>
          <w:rFonts w:ascii="Times New Roman" w:hAnsi="Times New Roman" w:cs="Times New Roman"/>
        </w:rPr>
      </w:pPr>
      <w:r>
        <w:rPr>
          <w:rFonts w:ascii="Times New Roman" w:hAnsi="Times New Roman" w:cs="Times New Roman"/>
        </w:rPr>
        <w:t>Elle</w:t>
      </w:r>
      <w:r w:rsidR="00EA5036" w:rsidRPr="00315AAA">
        <w:rPr>
          <w:rFonts w:ascii="Times New Roman" w:hAnsi="Times New Roman" w:cs="Times New Roman"/>
        </w:rPr>
        <w:t xml:space="preserve"> </w:t>
      </w:r>
      <w:r w:rsidR="0061377C">
        <w:rPr>
          <w:rFonts w:ascii="Times New Roman" w:hAnsi="Times New Roman" w:cs="Times New Roman"/>
        </w:rPr>
        <w:t>invite le</w:t>
      </w:r>
      <w:r w:rsidR="00EA5036" w:rsidRPr="00315AAA">
        <w:rPr>
          <w:rFonts w:ascii="Times New Roman" w:hAnsi="Times New Roman" w:cs="Times New Roman"/>
        </w:rPr>
        <w:t xml:space="preserve"> Comité </w:t>
      </w:r>
      <w:r w:rsidR="0061377C">
        <w:rPr>
          <w:rFonts w:ascii="Times New Roman" w:hAnsi="Times New Roman" w:cs="Times New Roman"/>
        </w:rPr>
        <w:t>à se positionner plus avant sur cette question fondamentale</w:t>
      </w:r>
      <w:r w:rsidR="00EA5036" w:rsidRPr="00315AAA">
        <w:rPr>
          <w:rFonts w:ascii="Times New Roman" w:hAnsi="Times New Roman" w:cs="Times New Roman"/>
        </w:rPr>
        <w:t xml:space="preserve">. </w:t>
      </w:r>
      <w:r w:rsidR="0061377C">
        <w:rPr>
          <w:rFonts w:ascii="Times New Roman" w:hAnsi="Times New Roman" w:cs="Times New Roman"/>
        </w:rPr>
        <w:t xml:space="preserve">La CNCDH rejoint le </w:t>
      </w:r>
      <w:r w:rsidR="00EA5036" w:rsidRPr="00315AAA">
        <w:rPr>
          <w:rFonts w:ascii="Times New Roman" w:hAnsi="Times New Roman" w:cs="Times New Roman"/>
        </w:rPr>
        <w:t xml:space="preserve">Comité </w:t>
      </w:r>
      <w:r w:rsidR="0061377C">
        <w:rPr>
          <w:rFonts w:ascii="Times New Roman" w:hAnsi="Times New Roman" w:cs="Times New Roman"/>
        </w:rPr>
        <w:t xml:space="preserve">sur le fait </w:t>
      </w:r>
      <w:r w:rsidR="00EA5036" w:rsidRPr="00315AAA">
        <w:rPr>
          <w:rFonts w:ascii="Times New Roman" w:hAnsi="Times New Roman" w:cs="Times New Roman"/>
        </w:rPr>
        <w:t xml:space="preserve"> « </w:t>
      </w:r>
      <w:r w:rsidR="00EA5036" w:rsidRPr="00315AAA">
        <w:rPr>
          <w:rFonts w:ascii="Times New Roman" w:hAnsi="Times New Roman" w:cs="Times New Roman"/>
          <w:i/>
        </w:rPr>
        <w:t>qu’il serait incongru de réglementer l’application de la peine de mort dans un instrument qui consacre le droit à la vie</w:t>
      </w:r>
      <w:r w:rsidR="00EA5036">
        <w:rPr>
          <w:rFonts w:ascii="Times New Roman" w:hAnsi="Times New Roman" w:cs="Times New Roman"/>
        </w:rPr>
        <w:t> »</w:t>
      </w:r>
      <w:r w:rsidR="0061377C">
        <w:rPr>
          <w:rFonts w:ascii="Times New Roman" w:hAnsi="Times New Roman" w:cs="Times New Roman"/>
        </w:rPr>
        <w:t xml:space="preserve">. </w:t>
      </w:r>
      <w:r>
        <w:rPr>
          <w:rFonts w:ascii="Times New Roman" w:hAnsi="Times New Roman" w:cs="Times New Roman"/>
        </w:rPr>
        <w:t xml:space="preserve">La CNCDH estime que les pratiques </w:t>
      </w:r>
      <w:r w:rsidR="00AA4589">
        <w:rPr>
          <w:rFonts w:ascii="Times New Roman" w:hAnsi="Times New Roman" w:cs="Times New Roman"/>
        </w:rPr>
        <w:t xml:space="preserve">de nombreux Etats </w:t>
      </w:r>
      <w:r>
        <w:rPr>
          <w:rFonts w:ascii="Times New Roman" w:hAnsi="Times New Roman" w:cs="Times New Roman"/>
        </w:rPr>
        <w:t>et le débats sur l’</w:t>
      </w:r>
      <w:r w:rsidR="0061377C">
        <w:rPr>
          <w:rFonts w:ascii="Times New Roman" w:hAnsi="Times New Roman" w:cs="Times New Roman"/>
        </w:rPr>
        <w:t>interprétation extensive</w:t>
      </w:r>
      <w:r>
        <w:rPr>
          <w:rFonts w:ascii="Times New Roman" w:hAnsi="Times New Roman" w:cs="Times New Roman"/>
        </w:rPr>
        <w:t xml:space="preserve"> </w:t>
      </w:r>
      <w:r w:rsidR="0061377C">
        <w:rPr>
          <w:rFonts w:ascii="Times New Roman" w:hAnsi="Times New Roman" w:cs="Times New Roman"/>
        </w:rPr>
        <w:t xml:space="preserve"> </w:t>
      </w:r>
      <w:r>
        <w:rPr>
          <w:rFonts w:ascii="Times New Roman" w:hAnsi="Times New Roman" w:cs="Times New Roman"/>
        </w:rPr>
        <w:t>du</w:t>
      </w:r>
      <w:r w:rsidR="0061377C">
        <w:rPr>
          <w:rFonts w:ascii="Times New Roman" w:hAnsi="Times New Roman" w:cs="Times New Roman"/>
        </w:rPr>
        <w:t xml:space="preserve"> droit à la vie </w:t>
      </w:r>
      <w:r>
        <w:rPr>
          <w:rFonts w:ascii="Times New Roman" w:hAnsi="Times New Roman" w:cs="Times New Roman"/>
        </w:rPr>
        <w:t xml:space="preserve">présente un intérêt au regard de la question sensible </w:t>
      </w:r>
      <w:r w:rsidR="0061377C">
        <w:rPr>
          <w:rFonts w:ascii="Times New Roman" w:hAnsi="Times New Roman" w:cs="Times New Roman"/>
        </w:rPr>
        <w:t xml:space="preserve">de la peine de mort. </w:t>
      </w:r>
    </w:p>
    <w:p w:rsidR="00F142B3" w:rsidRPr="002449DB" w:rsidRDefault="00F142B3" w:rsidP="00F142B3">
      <w:pPr>
        <w:spacing w:after="0"/>
        <w:jc w:val="both"/>
        <w:rPr>
          <w:rFonts w:ascii="Times New Roman" w:hAnsi="Times New Roman" w:cs="Times New Roman"/>
        </w:rPr>
      </w:pPr>
    </w:p>
    <w:p w:rsidR="00EA5036" w:rsidRPr="00722B09" w:rsidRDefault="00EA5036" w:rsidP="00EA5036">
      <w:pPr>
        <w:pStyle w:val="ListParagraph"/>
        <w:numPr>
          <w:ilvl w:val="0"/>
          <w:numId w:val="2"/>
        </w:numPr>
        <w:spacing w:after="0"/>
        <w:jc w:val="both"/>
        <w:rPr>
          <w:rFonts w:ascii="Times New Roman" w:hAnsi="Times New Roman" w:cs="Times New Roman"/>
          <w:b/>
        </w:rPr>
      </w:pPr>
      <w:r w:rsidRPr="00722B09">
        <w:rPr>
          <w:rFonts w:ascii="Times New Roman" w:hAnsi="Times New Roman" w:cs="Times New Roman"/>
          <w:b/>
        </w:rPr>
        <w:t>Environnement</w:t>
      </w:r>
      <w:r w:rsidR="004D05F3">
        <w:rPr>
          <w:rFonts w:ascii="Times New Roman" w:hAnsi="Times New Roman" w:cs="Times New Roman"/>
          <w:b/>
        </w:rPr>
        <w:t xml:space="preserve"> et responsabilité sociale des entreprises</w:t>
      </w:r>
    </w:p>
    <w:p w:rsidR="00EA5036" w:rsidRPr="00722B09" w:rsidRDefault="00EA5036" w:rsidP="00EA5036">
      <w:pPr>
        <w:spacing w:after="0"/>
        <w:jc w:val="both"/>
        <w:rPr>
          <w:rFonts w:ascii="Times New Roman" w:hAnsi="Times New Roman" w:cs="Times New Roman"/>
        </w:rPr>
      </w:pPr>
    </w:p>
    <w:p w:rsidR="00EA5036" w:rsidRPr="001A1866" w:rsidRDefault="00EA5036" w:rsidP="00EA5036">
      <w:pPr>
        <w:spacing w:after="0"/>
        <w:jc w:val="both"/>
        <w:rPr>
          <w:rFonts w:ascii="Times New Roman" w:hAnsi="Times New Roman" w:cs="Times New Roman"/>
          <w:i/>
        </w:rPr>
      </w:pPr>
      <w:r>
        <w:rPr>
          <w:rFonts w:ascii="Times New Roman" w:hAnsi="Times New Roman" w:cs="Times New Roman"/>
          <w:i/>
        </w:rPr>
        <w:t>Sur l’environnement (§65)</w:t>
      </w:r>
    </w:p>
    <w:p w:rsidR="00EA5036" w:rsidRPr="00315AAA" w:rsidRDefault="00EA5036" w:rsidP="00EA5036">
      <w:pPr>
        <w:spacing w:after="0"/>
        <w:jc w:val="both"/>
        <w:rPr>
          <w:rFonts w:ascii="Times New Roman" w:hAnsi="Times New Roman" w:cs="Times New Roman"/>
        </w:rPr>
      </w:pPr>
      <w:r w:rsidRPr="00315AAA">
        <w:rPr>
          <w:rFonts w:ascii="Times New Roman" w:hAnsi="Times New Roman" w:cs="Times New Roman"/>
        </w:rPr>
        <w:t xml:space="preserve">La CNCDH apporte </w:t>
      </w:r>
      <w:r w:rsidR="00DC7D29">
        <w:rPr>
          <w:rFonts w:ascii="Times New Roman" w:hAnsi="Times New Roman" w:cs="Times New Roman"/>
        </w:rPr>
        <w:t>son</w:t>
      </w:r>
      <w:r w:rsidRPr="00315AAA">
        <w:rPr>
          <w:rFonts w:ascii="Times New Roman" w:hAnsi="Times New Roman" w:cs="Times New Roman"/>
        </w:rPr>
        <w:t xml:space="preserve"> soutien à l’importance accordée par l</w:t>
      </w:r>
      <w:r w:rsidR="00C06CD7">
        <w:rPr>
          <w:rFonts w:ascii="Times New Roman" w:hAnsi="Times New Roman" w:cs="Times New Roman"/>
        </w:rPr>
        <w:t>e projet d</w:t>
      </w:r>
      <w:r w:rsidRPr="00315AAA">
        <w:rPr>
          <w:rFonts w:ascii="Times New Roman" w:hAnsi="Times New Roman" w:cs="Times New Roman"/>
        </w:rPr>
        <w:t xml:space="preserve">’observation générale aux relations entre environnement et droit à la vie. La CNCDH </w:t>
      </w:r>
      <w:r w:rsidR="0061377C">
        <w:rPr>
          <w:rFonts w:ascii="Times New Roman" w:hAnsi="Times New Roman" w:cs="Times New Roman"/>
        </w:rPr>
        <w:t>estime que</w:t>
      </w:r>
      <w:r w:rsidRPr="00315AAA">
        <w:rPr>
          <w:rFonts w:ascii="Times New Roman" w:hAnsi="Times New Roman" w:cs="Times New Roman"/>
        </w:rPr>
        <w:t xml:space="preserve"> le droit à la vie doit apparaitre comme un </w:t>
      </w:r>
      <w:r w:rsidR="00E61229">
        <w:rPr>
          <w:rFonts w:ascii="Times New Roman" w:hAnsi="Times New Roman" w:cs="Times New Roman"/>
        </w:rPr>
        <w:t>corollaire</w:t>
      </w:r>
      <w:r w:rsidR="0061377C" w:rsidRPr="00315AAA">
        <w:rPr>
          <w:rFonts w:ascii="Times New Roman" w:hAnsi="Times New Roman" w:cs="Times New Roman"/>
        </w:rPr>
        <w:t xml:space="preserve"> </w:t>
      </w:r>
      <w:r w:rsidRPr="00315AAA">
        <w:rPr>
          <w:rFonts w:ascii="Times New Roman" w:hAnsi="Times New Roman" w:cs="Times New Roman"/>
        </w:rPr>
        <w:t xml:space="preserve">du respect des obligations internationales des Etats quant </w:t>
      </w:r>
      <w:r w:rsidR="0061377C">
        <w:rPr>
          <w:rFonts w:ascii="Times New Roman" w:hAnsi="Times New Roman" w:cs="Times New Roman"/>
        </w:rPr>
        <w:t>au droit à un environnement sain</w:t>
      </w:r>
      <w:r w:rsidRPr="00315AAA">
        <w:rPr>
          <w:rFonts w:ascii="Times New Roman" w:hAnsi="Times New Roman" w:cs="Times New Roman"/>
        </w:rPr>
        <w:t xml:space="preserve">. </w:t>
      </w:r>
    </w:p>
    <w:p w:rsidR="00EA5036" w:rsidRPr="00315AAA" w:rsidRDefault="0061377C" w:rsidP="00EA5036">
      <w:pPr>
        <w:spacing w:after="0"/>
        <w:jc w:val="both"/>
        <w:rPr>
          <w:rFonts w:ascii="Times New Roman" w:hAnsi="Times New Roman" w:cs="Times New Roman"/>
        </w:rPr>
      </w:pPr>
      <w:r>
        <w:rPr>
          <w:rFonts w:ascii="Times New Roman" w:hAnsi="Times New Roman" w:cs="Times New Roman"/>
        </w:rPr>
        <w:t>A cet égard, l</w:t>
      </w:r>
      <w:r w:rsidR="00EA5036" w:rsidRPr="00315AAA">
        <w:rPr>
          <w:rFonts w:ascii="Times New Roman" w:hAnsi="Times New Roman" w:cs="Times New Roman"/>
        </w:rPr>
        <w:t xml:space="preserve">a CNCDH </w:t>
      </w:r>
      <w:r>
        <w:rPr>
          <w:rFonts w:ascii="Times New Roman" w:hAnsi="Times New Roman" w:cs="Times New Roman"/>
        </w:rPr>
        <w:t>salue</w:t>
      </w:r>
      <w:r w:rsidRPr="00315AAA">
        <w:rPr>
          <w:rFonts w:ascii="Times New Roman" w:hAnsi="Times New Roman" w:cs="Times New Roman"/>
        </w:rPr>
        <w:t xml:space="preserve"> </w:t>
      </w:r>
      <w:r w:rsidR="00EA5036" w:rsidRPr="00315AAA">
        <w:rPr>
          <w:rFonts w:ascii="Times New Roman" w:hAnsi="Times New Roman" w:cs="Times New Roman"/>
        </w:rPr>
        <w:t>la vision transversale du Comité permettant de traiter la diversité des composantes de la question environnementale (aspects climatiques, droit des générations futures, pollution, développement durable, principe de précaution, études d’impact)</w:t>
      </w:r>
      <w:r>
        <w:rPr>
          <w:rFonts w:ascii="Times New Roman" w:hAnsi="Times New Roman" w:cs="Times New Roman"/>
        </w:rPr>
        <w:t>.</w:t>
      </w:r>
      <w:r w:rsidR="001D5D37">
        <w:rPr>
          <w:rFonts w:ascii="Times New Roman" w:hAnsi="Times New Roman" w:cs="Times New Roman"/>
        </w:rPr>
        <w:t xml:space="preserve"> Il serait à cet égard souhaitable que soit également mentionné le rôle des acteurs économiques privés afin que ces derniers agissent avec diligence et assument </w:t>
      </w:r>
      <w:r w:rsidR="008A3E2B">
        <w:rPr>
          <w:rFonts w:ascii="Times New Roman" w:hAnsi="Times New Roman" w:cs="Times New Roman"/>
        </w:rPr>
        <w:t>leurs</w:t>
      </w:r>
      <w:r w:rsidR="001D5D37">
        <w:rPr>
          <w:rFonts w:ascii="Times New Roman" w:hAnsi="Times New Roman" w:cs="Times New Roman"/>
        </w:rPr>
        <w:t xml:space="preserve"> responsabilités en matière de prévention des risques. </w:t>
      </w:r>
    </w:p>
    <w:p w:rsidR="00EA5036" w:rsidRDefault="003413E1" w:rsidP="00EA5036">
      <w:pPr>
        <w:spacing w:after="0"/>
        <w:jc w:val="both"/>
        <w:rPr>
          <w:rFonts w:ascii="Times New Roman" w:hAnsi="Times New Roman" w:cs="Times New Roman"/>
        </w:rPr>
      </w:pPr>
      <w:r>
        <w:rPr>
          <w:rFonts w:ascii="Times New Roman" w:hAnsi="Times New Roman" w:cs="Times New Roman"/>
        </w:rPr>
        <w:t>Elle encourage</w:t>
      </w:r>
      <w:r w:rsidR="00CD2D03">
        <w:rPr>
          <w:rFonts w:ascii="Times New Roman" w:hAnsi="Times New Roman" w:cs="Times New Roman"/>
        </w:rPr>
        <w:t xml:space="preserve"> également</w:t>
      </w:r>
      <w:r>
        <w:rPr>
          <w:rFonts w:ascii="Times New Roman" w:hAnsi="Times New Roman" w:cs="Times New Roman"/>
        </w:rPr>
        <w:t xml:space="preserve"> le </w:t>
      </w:r>
      <w:r w:rsidR="00EA5036" w:rsidRPr="00315AAA">
        <w:rPr>
          <w:rFonts w:ascii="Times New Roman" w:hAnsi="Times New Roman" w:cs="Times New Roman"/>
        </w:rPr>
        <w:t xml:space="preserve"> Comité </w:t>
      </w:r>
      <w:r>
        <w:rPr>
          <w:rFonts w:ascii="Times New Roman" w:hAnsi="Times New Roman" w:cs="Times New Roman"/>
        </w:rPr>
        <w:t>à s’attacher davantage au trai</w:t>
      </w:r>
      <w:r w:rsidR="00E24F4C">
        <w:rPr>
          <w:rFonts w:ascii="Times New Roman" w:hAnsi="Times New Roman" w:cs="Times New Roman"/>
        </w:rPr>
        <w:t>t</w:t>
      </w:r>
      <w:r>
        <w:rPr>
          <w:rFonts w:ascii="Times New Roman" w:hAnsi="Times New Roman" w:cs="Times New Roman"/>
        </w:rPr>
        <w:t xml:space="preserve">ement de la </w:t>
      </w:r>
      <w:r w:rsidR="00EA5036" w:rsidRPr="00315AAA">
        <w:rPr>
          <w:rFonts w:ascii="Times New Roman" w:hAnsi="Times New Roman" w:cs="Times New Roman"/>
        </w:rPr>
        <w:t xml:space="preserve">question </w:t>
      </w:r>
      <w:r>
        <w:rPr>
          <w:rFonts w:ascii="Times New Roman" w:hAnsi="Times New Roman" w:cs="Times New Roman"/>
        </w:rPr>
        <w:t xml:space="preserve">prégnante </w:t>
      </w:r>
      <w:r w:rsidR="00EA5036" w:rsidRPr="00315AAA">
        <w:rPr>
          <w:rFonts w:ascii="Times New Roman" w:hAnsi="Times New Roman" w:cs="Times New Roman"/>
        </w:rPr>
        <w:t xml:space="preserve">du droit à la vie des </w:t>
      </w:r>
      <w:r w:rsidR="00DC7D29">
        <w:rPr>
          <w:rFonts w:ascii="Times New Roman" w:hAnsi="Times New Roman" w:cs="Times New Roman"/>
        </w:rPr>
        <w:t>personnes déplacées à l’intérieur ou au-delà des frontières en raison d’une force majeure due aux al</w:t>
      </w:r>
      <w:r w:rsidR="002C3430">
        <w:rPr>
          <w:rFonts w:ascii="Times New Roman" w:hAnsi="Times New Roman" w:cs="Times New Roman"/>
        </w:rPr>
        <w:t>é</w:t>
      </w:r>
      <w:r w:rsidR="00DC7D29">
        <w:rPr>
          <w:rFonts w:ascii="Times New Roman" w:hAnsi="Times New Roman" w:cs="Times New Roman"/>
        </w:rPr>
        <w:t>a</w:t>
      </w:r>
      <w:r w:rsidR="002C3430">
        <w:rPr>
          <w:rFonts w:ascii="Times New Roman" w:hAnsi="Times New Roman" w:cs="Times New Roman"/>
        </w:rPr>
        <w:t>s</w:t>
      </w:r>
      <w:r w:rsidR="00DC7D29" w:rsidRPr="00315AAA">
        <w:rPr>
          <w:rFonts w:ascii="Times New Roman" w:hAnsi="Times New Roman" w:cs="Times New Roman"/>
        </w:rPr>
        <w:t xml:space="preserve"> </w:t>
      </w:r>
      <w:r w:rsidR="00EA5036" w:rsidRPr="00315AAA">
        <w:rPr>
          <w:rFonts w:ascii="Times New Roman" w:hAnsi="Times New Roman" w:cs="Times New Roman"/>
        </w:rPr>
        <w:t xml:space="preserve">climatiques. </w:t>
      </w:r>
    </w:p>
    <w:p w:rsidR="00EA5036" w:rsidRDefault="00EA5036" w:rsidP="00EA5036">
      <w:pPr>
        <w:spacing w:after="0"/>
        <w:jc w:val="both"/>
        <w:rPr>
          <w:rFonts w:ascii="Times New Roman" w:hAnsi="Times New Roman" w:cs="Times New Roman"/>
        </w:rPr>
      </w:pPr>
    </w:p>
    <w:p w:rsidR="00EA5036" w:rsidRPr="00644F3D" w:rsidRDefault="00EA5036" w:rsidP="00EA5036">
      <w:pPr>
        <w:spacing w:after="0"/>
        <w:jc w:val="both"/>
        <w:rPr>
          <w:rFonts w:ascii="Times New Roman" w:hAnsi="Times New Roman" w:cs="Times New Roman"/>
          <w:i/>
        </w:rPr>
      </w:pPr>
      <w:r>
        <w:rPr>
          <w:rFonts w:ascii="Times New Roman" w:hAnsi="Times New Roman" w:cs="Times New Roman"/>
          <w:i/>
        </w:rPr>
        <w:t>Sur la responsabilité sociale des entreprises (§26)</w:t>
      </w:r>
    </w:p>
    <w:p w:rsidR="003413E1" w:rsidRDefault="00EA5036" w:rsidP="003413E1">
      <w:pPr>
        <w:spacing w:after="0"/>
        <w:jc w:val="both"/>
        <w:rPr>
          <w:rFonts w:ascii="Times New Roman" w:hAnsi="Times New Roman" w:cs="Times New Roman"/>
        </w:rPr>
      </w:pPr>
      <w:r w:rsidRPr="00315AAA">
        <w:rPr>
          <w:rFonts w:ascii="Times New Roman" w:hAnsi="Times New Roman" w:cs="Times New Roman"/>
        </w:rPr>
        <w:t xml:space="preserve">La CNCDH salue la référence faite aux entreprises et à leur responsabilité sociale. </w:t>
      </w:r>
      <w:r w:rsidR="003413E1" w:rsidRPr="00315AAA">
        <w:rPr>
          <w:rFonts w:ascii="Times New Roman" w:hAnsi="Times New Roman" w:cs="Times New Roman"/>
        </w:rPr>
        <w:t>La CNCDH</w:t>
      </w:r>
      <w:r w:rsidR="001C2DD3" w:rsidRPr="00315AAA">
        <w:rPr>
          <w:rStyle w:val="FootnoteReference"/>
          <w:rFonts w:ascii="Times New Roman" w:hAnsi="Times New Roman" w:cs="Times New Roman"/>
        </w:rPr>
        <w:footnoteReference w:id="10"/>
      </w:r>
      <w:r w:rsidR="003413E1" w:rsidRPr="00315AAA">
        <w:rPr>
          <w:rFonts w:ascii="Times New Roman" w:hAnsi="Times New Roman" w:cs="Times New Roman"/>
        </w:rPr>
        <w:t xml:space="preserve">, </w:t>
      </w:r>
      <w:r w:rsidR="003413E1">
        <w:rPr>
          <w:rFonts w:ascii="Times New Roman" w:hAnsi="Times New Roman" w:cs="Times New Roman"/>
        </w:rPr>
        <w:t xml:space="preserve">qui s’est vue récemment confier le mandat de </w:t>
      </w:r>
      <w:r w:rsidR="003413E1" w:rsidRPr="00315AAA">
        <w:rPr>
          <w:rFonts w:ascii="Times New Roman" w:hAnsi="Times New Roman" w:cs="Times New Roman"/>
        </w:rPr>
        <w:t xml:space="preserve">rapporteur national </w:t>
      </w:r>
      <w:r w:rsidR="003413E1">
        <w:rPr>
          <w:rFonts w:ascii="Times New Roman" w:hAnsi="Times New Roman" w:cs="Times New Roman"/>
        </w:rPr>
        <w:t xml:space="preserve">indépendant </w:t>
      </w:r>
      <w:r w:rsidR="001C2DD3">
        <w:rPr>
          <w:rFonts w:ascii="Times New Roman" w:hAnsi="Times New Roman" w:cs="Times New Roman"/>
        </w:rPr>
        <w:t>par</w:t>
      </w:r>
      <w:r w:rsidR="003413E1">
        <w:rPr>
          <w:rFonts w:ascii="Times New Roman" w:hAnsi="Times New Roman" w:cs="Times New Roman"/>
        </w:rPr>
        <w:t xml:space="preserve"> le Plan national d’action </w:t>
      </w:r>
      <w:r w:rsidR="001C2DD3">
        <w:rPr>
          <w:rFonts w:ascii="Times New Roman" w:hAnsi="Times New Roman" w:cs="Times New Roman"/>
        </w:rPr>
        <w:t xml:space="preserve">adopté par la France </w:t>
      </w:r>
      <w:r w:rsidR="003413E1">
        <w:rPr>
          <w:rFonts w:ascii="Times New Roman" w:hAnsi="Times New Roman" w:cs="Times New Roman"/>
        </w:rPr>
        <w:t>sur la mise en œuvre des Principes directeurs des Nations unies sur les entreprises et les droits de l’homme, considère que ce sujet est fondamental compte tenu de l</w:t>
      </w:r>
      <w:r w:rsidR="001C2DD3">
        <w:rPr>
          <w:rFonts w:ascii="Times New Roman" w:hAnsi="Times New Roman" w:cs="Times New Roman"/>
        </w:rPr>
        <w:t>’importance prise par les entreprises au regard de l’effectivité des droits humains et des obligations pesant sur les Etats et les entreprises.</w:t>
      </w:r>
    </w:p>
    <w:p w:rsidR="001C2DD3" w:rsidRDefault="003413E1" w:rsidP="00EA5036">
      <w:pPr>
        <w:spacing w:after="0"/>
        <w:jc w:val="both"/>
        <w:rPr>
          <w:rFonts w:ascii="Times New Roman" w:hAnsi="Times New Roman" w:cs="Times New Roman"/>
        </w:rPr>
      </w:pPr>
      <w:r>
        <w:rPr>
          <w:rFonts w:ascii="Times New Roman" w:hAnsi="Times New Roman" w:cs="Times New Roman"/>
        </w:rPr>
        <w:t xml:space="preserve">Elle invite </w:t>
      </w:r>
      <w:r w:rsidR="001C2DD3">
        <w:rPr>
          <w:rFonts w:ascii="Times New Roman" w:hAnsi="Times New Roman" w:cs="Times New Roman"/>
        </w:rPr>
        <w:t xml:space="preserve">ainsi </w:t>
      </w:r>
      <w:r>
        <w:rPr>
          <w:rFonts w:ascii="Times New Roman" w:hAnsi="Times New Roman" w:cs="Times New Roman"/>
        </w:rPr>
        <w:t xml:space="preserve">le Comité </w:t>
      </w:r>
      <w:r w:rsidR="004D05F3">
        <w:rPr>
          <w:rFonts w:ascii="Times New Roman" w:hAnsi="Times New Roman" w:cs="Times New Roman"/>
        </w:rPr>
        <w:t>à</w:t>
      </w:r>
      <w:r w:rsidR="00E831CF">
        <w:rPr>
          <w:rFonts w:ascii="Times New Roman" w:hAnsi="Times New Roman" w:cs="Times New Roman"/>
        </w:rPr>
        <w:t xml:space="preserve"> davantage développer</w:t>
      </w:r>
      <w:r>
        <w:rPr>
          <w:rFonts w:ascii="Times New Roman" w:hAnsi="Times New Roman" w:cs="Times New Roman"/>
        </w:rPr>
        <w:t xml:space="preserve"> ce paragraphe</w:t>
      </w:r>
      <w:r w:rsidR="001C2DD3">
        <w:rPr>
          <w:rFonts w:ascii="Times New Roman" w:hAnsi="Times New Roman" w:cs="Times New Roman"/>
        </w:rPr>
        <w:t xml:space="preserve"> en lien avec les principes de Ruggie</w:t>
      </w:r>
      <w:r>
        <w:rPr>
          <w:rFonts w:ascii="Times New Roman" w:hAnsi="Times New Roman" w:cs="Times New Roman"/>
        </w:rPr>
        <w:t>.</w:t>
      </w:r>
      <w:r w:rsidR="00EA5036" w:rsidRPr="00315AAA">
        <w:rPr>
          <w:rFonts w:ascii="Times New Roman" w:hAnsi="Times New Roman" w:cs="Times New Roman"/>
        </w:rPr>
        <w:t xml:space="preserve"> </w:t>
      </w:r>
      <w:r w:rsidR="00C01439">
        <w:rPr>
          <w:rFonts w:ascii="Times New Roman" w:hAnsi="Times New Roman" w:cs="Times New Roman"/>
        </w:rPr>
        <w:t>Ces principes soulignent la nécessité de collaboration et de coordination</w:t>
      </w:r>
      <w:r w:rsidR="00AB11F8">
        <w:rPr>
          <w:rFonts w:ascii="Times New Roman" w:hAnsi="Times New Roman" w:cs="Times New Roman"/>
        </w:rPr>
        <w:t xml:space="preserve"> entre les différents organes internationaux de contrôle dont le Comité fait partie. Ainsi, cette observation générale est une opportunité pour le Comité de se prononcer </w:t>
      </w:r>
      <w:r w:rsidR="00CD2D03">
        <w:rPr>
          <w:rFonts w:ascii="Times New Roman" w:hAnsi="Times New Roman" w:cs="Times New Roman"/>
        </w:rPr>
        <w:t xml:space="preserve">davantage </w:t>
      </w:r>
      <w:r w:rsidR="00AB11F8">
        <w:rPr>
          <w:rFonts w:ascii="Times New Roman" w:hAnsi="Times New Roman" w:cs="Times New Roman"/>
        </w:rPr>
        <w:t xml:space="preserve">sur </w:t>
      </w:r>
      <w:r w:rsidR="00AB11F8" w:rsidRPr="00AB11F8">
        <w:rPr>
          <w:rFonts w:ascii="Times New Roman" w:hAnsi="Times New Roman" w:cs="Times New Roman"/>
        </w:rPr>
        <w:t xml:space="preserve">l’impact </w:t>
      </w:r>
      <w:r w:rsidR="00AB11F8">
        <w:rPr>
          <w:rFonts w:ascii="Times New Roman" w:hAnsi="Times New Roman" w:cs="Times New Roman"/>
        </w:rPr>
        <w:t>des entreprises</w:t>
      </w:r>
      <w:r w:rsidR="00AB11F8" w:rsidRPr="00AB11F8">
        <w:rPr>
          <w:rFonts w:ascii="Times New Roman" w:hAnsi="Times New Roman" w:cs="Times New Roman"/>
        </w:rPr>
        <w:t xml:space="preserve"> sur le droit à l</w:t>
      </w:r>
      <w:r w:rsidR="00AB11F8">
        <w:rPr>
          <w:rFonts w:ascii="Times New Roman" w:hAnsi="Times New Roman" w:cs="Times New Roman"/>
        </w:rPr>
        <w:t xml:space="preserve">a vie. </w:t>
      </w:r>
      <w:r w:rsidR="002C3430">
        <w:rPr>
          <w:rFonts w:ascii="Times New Roman" w:hAnsi="Times New Roman" w:cs="Times New Roman"/>
        </w:rPr>
        <w:lastRenderedPageBreak/>
        <w:t>D’une façon générale, la notion de diligence raisonnable pourrait être intégrée dans ces développements.</w:t>
      </w:r>
    </w:p>
    <w:p w:rsidR="00EA5036" w:rsidRPr="00315AAA" w:rsidRDefault="00AB11F8" w:rsidP="00EA5036">
      <w:pPr>
        <w:spacing w:after="0"/>
        <w:jc w:val="both"/>
        <w:rPr>
          <w:rFonts w:ascii="Times New Roman" w:hAnsi="Times New Roman" w:cs="Times New Roman"/>
        </w:rPr>
      </w:pPr>
      <w:r>
        <w:rPr>
          <w:rFonts w:ascii="Times New Roman" w:hAnsi="Times New Roman" w:cs="Times New Roman"/>
        </w:rPr>
        <w:t>La CNCDH</w:t>
      </w:r>
      <w:r w:rsidR="003413E1">
        <w:rPr>
          <w:rFonts w:ascii="Times New Roman" w:hAnsi="Times New Roman" w:cs="Times New Roman"/>
        </w:rPr>
        <w:t xml:space="preserve"> estime en outre qu’il serait </w:t>
      </w:r>
      <w:r w:rsidR="00EA5036" w:rsidRPr="00315AAA">
        <w:rPr>
          <w:rFonts w:ascii="Times New Roman" w:hAnsi="Times New Roman" w:cs="Times New Roman"/>
        </w:rPr>
        <w:t xml:space="preserve"> préférable de </w:t>
      </w:r>
      <w:r w:rsidR="003413E1">
        <w:rPr>
          <w:rFonts w:ascii="Times New Roman" w:hAnsi="Times New Roman" w:cs="Times New Roman"/>
        </w:rPr>
        <w:t>traiter</w:t>
      </w:r>
      <w:r w:rsidR="00EA5036" w:rsidRPr="00315AAA">
        <w:rPr>
          <w:rFonts w:ascii="Times New Roman" w:hAnsi="Times New Roman" w:cs="Times New Roman"/>
        </w:rPr>
        <w:t xml:space="preserve"> dans deux paragraphes distincts, les considérations associées à l’extraterritorialité </w:t>
      </w:r>
      <w:r w:rsidR="001C2DD3">
        <w:rPr>
          <w:rFonts w:ascii="Times New Roman" w:hAnsi="Times New Roman" w:cs="Times New Roman"/>
        </w:rPr>
        <w:t>et</w:t>
      </w:r>
      <w:r w:rsidR="001C2DD3" w:rsidRPr="00315AAA">
        <w:rPr>
          <w:rFonts w:ascii="Times New Roman" w:hAnsi="Times New Roman" w:cs="Times New Roman"/>
        </w:rPr>
        <w:t xml:space="preserve"> </w:t>
      </w:r>
      <w:r w:rsidR="00EA5036" w:rsidRPr="00315AAA">
        <w:rPr>
          <w:rFonts w:ascii="Times New Roman" w:hAnsi="Times New Roman" w:cs="Times New Roman"/>
        </w:rPr>
        <w:t>celles découlant de la responsabilité sociale des entreprises</w:t>
      </w:r>
      <w:r w:rsidR="003413E1">
        <w:rPr>
          <w:rFonts w:ascii="Times New Roman" w:hAnsi="Times New Roman" w:cs="Times New Roman"/>
        </w:rPr>
        <w:t xml:space="preserve">, et d’expliciter davantage le lien avec le droit </w:t>
      </w:r>
      <w:r w:rsidR="00EA5036" w:rsidRPr="00315AAA">
        <w:rPr>
          <w:rFonts w:ascii="Times New Roman" w:hAnsi="Times New Roman" w:cs="Times New Roman"/>
        </w:rPr>
        <w:t>à la vie.</w:t>
      </w:r>
      <w:r w:rsidR="008A3E2B">
        <w:rPr>
          <w:rFonts w:ascii="Times New Roman" w:hAnsi="Times New Roman" w:cs="Times New Roman"/>
        </w:rPr>
        <w:t xml:space="preserve"> </w:t>
      </w:r>
    </w:p>
    <w:p w:rsidR="00EA5036" w:rsidRPr="00722B09" w:rsidRDefault="00EA5036" w:rsidP="00EA5036">
      <w:pPr>
        <w:spacing w:line="240" w:lineRule="auto"/>
        <w:rPr>
          <w:sz w:val="24"/>
          <w:szCs w:val="24"/>
        </w:rPr>
      </w:pPr>
    </w:p>
    <w:p w:rsidR="00BC5E82" w:rsidRDefault="00BC5E82"/>
    <w:sectPr w:rsidR="00BC5E82" w:rsidSect="000F2B6A">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8F8" w:rsidRDefault="005B38F8" w:rsidP="00EA5036">
      <w:pPr>
        <w:spacing w:after="0" w:line="240" w:lineRule="auto"/>
      </w:pPr>
      <w:r>
        <w:separator/>
      </w:r>
    </w:p>
  </w:endnote>
  <w:endnote w:type="continuationSeparator" w:id="0">
    <w:p w:rsidR="005B38F8" w:rsidRDefault="005B38F8" w:rsidP="00EA5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348038"/>
      <w:docPartObj>
        <w:docPartGallery w:val="Page Numbers (Bottom of Page)"/>
        <w:docPartUnique/>
      </w:docPartObj>
    </w:sdtPr>
    <w:sdtEndPr/>
    <w:sdtContent>
      <w:p w:rsidR="00386D6C" w:rsidRDefault="00386D6C">
        <w:pPr>
          <w:pStyle w:val="Footer"/>
          <w:jc w:val="center"/>
        </w:pPr>
        <w:r w:rsidRPr="00386D6C">
          <w:rPr>
            <w:rFonts w:ascii="Times New Roman" w:hAnsi="Times New Roman" w:cs="Times New Roman"/>
          </w:rPr>
          <w:fldChar w:fldCharType="begin"/>
        </w:r>
        <w:r w:rsidRPr="00386D6C">
          <w:rPr>
            <w:rFonts w:ascii="Times New Roman" w:hAnsi="Times New Roman" w:cs="Times New Roman"/>
          </w:rPr>
          <w:instrText>PAGE   \* MERGEFORMAT</w:instrText>
        </w:r>
        <w:r w:rsidRPr="00386D6C">
          <w:rPr>
            <w:rFonts w:ascii="Times New Roman" w:hAnsi="Times New Roman" w:cs="Times New Roman"/>
          </w:rPr>
          <w:fldChar w:fldCharType="separate"/>
        </w:r>
        <w:r w:rsidR="00E13559">
          <w:rPr>
            <w:rFonts w:ascii="Times New Roman" w:hAnsi="Times New Roman" w:cs="Times New Roman"/>
            <w:noProof/>
          </w:rPr>
          <w:t>6</w:t>
        </w:r>
        <w:r w:rsidRPr="00386D6C">
          <w:rPr>
            <w:rFonts w:ascii="Times New Roman" w:hAnsi="Times New Roman" w:cs="Times New Roman"/>
          </w:rPr>
          <w:fldChar w:fldCharType="end"/>
        </w:r>
      </w:p>
    </w:sdtContent>
  </w:sdt>
  <w:p w:rsidR="00386D6C" w:rsidRDefault="00386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78" w:rsidRDefault="00013078" w:rsidP="00013078">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8F8" w:rsidRDefault="005B38F8" w:rsidP="00EA5036">
      <w:pPr>
        <w:spacing w:after="0" w:line="240" w:lineRule="auto"/>
      </w:pPr>
      <w:r>
        <w:separator/>
      </w:r>
    </w:p>
  </w:footnote>
  <w:footnote w:type="continuationSeparator" w:id="0">
    <w:p w:rsidR="005B38F8" w:rsidRDefault="005B38F8" w:rsidP="00EA5036">
      <w:pPr>
        <w:spacing w:after="0" w:line="240" w:lineRule="auto"/>
      </w:pPr>
      <w:r>
        <w:continuationSeparator/>
      </w:r>
    </w:p>
  </w:footnote>
  <w:footnote w:id="1">
    <w:p w:rsidR="00826226" w:rsidRDefault="00826226" w:rsidP="004D05F3">
      <w:pPr>
        <w:pStyle w:val="FootnoteText"/>
        <w:jc w:val="both"/>
      </w:pPr>
      <w:r>
        <w:rPr>
          <w:rStyle w:val="FootnoteReference"/>
        </w:rPr>
        <w:footnoteRef/>
      </w:r>
      <w:r>
        <w:t xml:space="preserve"> CNCDH, Avis portant sur la proposition de la loi relative aux droits des malades et à la fin de vie,  16 décembre 2004 (</w:t>
      </w:r>
      <w:hyperlink r:id="rId1" w:history="1">
        <w:r w:rsidRPr="00C8051A">
          <w:rPr>
            <w:rStyle w:val="Hyperlink"/>
          </w:rPr>
          <w:t>http://www.cncdh.fr/sites/default/files/04.12.16_avis_portant_sur_la_proposition_de_loi_relative_aux_droits_des_malades_et_a_la_fin_de_vie.pdf</w:t>
        </w:r>
      </w:hyperlink>
      <w:r>
        <w:rPr>
          <w:rStyle w:val="Hyperlink"/>
        </w:rPr>
        <w:t>)</w:t>
      </w:r>
      <w:r>
        <w:t xml:space="preserve"> </w:t>
      </w:r>
    </w:p>
  </w:footnote>
  <w:footnote w:id="2">
    <w:p w:rsidR="00826226" w:rsidRDefault="00826226" w:rsidP="004D05F3">
      <w:pPr>
        <w:pStyle w:val="FootnoteText"/>
        <w:jc w:val="both"/>
      </w:pPr>
      <w:r>
        <w:rPr>
          <w:rStyle w:val="FootnoteReference"/>
        </w:rPr>
        <w:footnoteRef/>
      </w:r>
      <w:r>
        <w:t xml:space="preserve">  CNCDH, Avis sur le consentement des personnes vulnérables, Recommandation n°14, 16 avril 2015</w:t>
      </w:r>
    </w:p>
  </w:footnote>
  <w:footnote w:id="3">
    <w:p w:rsidR="005D77C2" w:rsidRDefault="005D77C2" w:rsidP="004D05F3">
      <w:pPr>
        <w:pStyle w:val="FootnoteText"/>
        <w:jc w:val="both"/>
      </w:pPr>
      <w:r>
        <w:rPr>
          <w:rStyle w:val="FootnoteReference"/>
        </w:rPr>
        <w:footnoteRef/>
      </w:r>
      <w:r>
        <w:t xml:space="preserve"> CNCDH, Avis Droits de l’homme et extrême pauvreté, 14 juin 2007 (</w:t>
      </w:r>
      <w:hyperlink r:id="rId2" w:history="1">
        <w:r w:rsidRPr="00FD3615">
          <w:rPr>
            <w:rStyle w:val="Hyperlink"/>
          </w:rPr>
          <w:t>http://www.cncdh.fr/fr/publications/avis-droits-de-lhomme-et-extreme-pauvrete</w:t>
        </w:r>
      </w:hyperlink>
      <w:r>
        <w:rPr>
          <w:rStyle w:val="Hyperlink"/>
        </w:rPr>
        <w:t>)</w:t>
      </w:r>
      <w:r>
        <w:t xml:space="preserve"> </w:t>
      </w:r>
    </w:p>
  </w:footnote>
  <w:footnote w:id="4">
    <w:p w:rsidR="00EA5036" w:rsidRDefault="00EA5036" w:rsidP="004D05F3">
      <w:pPr>
        <w:pStyle w:val="FootnoteText"/>
        <w:jc w:val="both"/>
      </w:pPr>
      <w:r>
        <w:rPr>
          <w:rStyle w:val="FootnoteReference"/>
        </w:rPr>
        <w:footnoteRef/>
      </w:r>
      <w:r>
        <w:t xml:space="preserve"> </w:t>
      </w:r>
      <w:r w:rsidRPr="00157F50">
        <w:t>Les Principes directeurs sur l’extrême pauvreté et les droits de l’homme</w:t>
      </w:r>
      <w:r>
        <w:t>, 18 juillet 2012,</w:t>
      </w:r>
      <w:r w:rsidRPr="00157F50">
        <w:t xml:space="preserve"> </w:t>
      </w:r>
      <w:r>
        <w:t xml:space="preserve">Conseil des droits de l’homme, Assemblée générale des Nations-Unies, </w:t>
      </w:r>
      <w:r w:rsidRPr="00157F50">
        <w:t>A/HRC/21/39</w:t>
      </w:r>
      <w:r>
        <w:t xml:space="preserve"> (</w:t>
      </w:r>
      <w:hyperlink r:id="rId3" w:history="1">
        <w:r w:rsidRPr="00F07089">
          <w:rPr>
            <w:rStyle w:val="Hyperlink"/>
          </w:rPr>
          <w:t>https://documents-dds-ny.un.org/doc/UNDOC/GEN/G12/154/61/PDF/G1215461.pdf?OpenElement</w:t>
        </w:r>
      </w:hyperlink>
      <w:r>
        <w:t xml:space="preserve">) </w:t>
      </w:r>
    </w:p>
  </w:footnote>
  <w:footnote w:id="5">
    <w:p w:rsidR="00D50D33" w:rsidRDefault="00D50D33" w:rsidP="004D05F3">
      <w:pPr>
        <w:pStyle w:val="FootnoteText"/>
        <w:jc w:val="both"/>
      </w:pPr>
      <w:r>
        <w:rPr>
          <w:rStyle w:val="FootnoteReference"/>
        </w:rPr>
        <w:footnoteRef/>
      </w:r>
      <w:r>
        <w:t xml:space="preserve"> CNCDH, Avis sur la loi relative à la sécurité publique, 23 février 2017</w:t>
      </w:r>
    </w:p>
  </w:footnote>
  <w:footnote w:id="6">
    <w:p w:rsidR="00EA5036" w:rsidRDefault="00EA5036" w:rsidP="004D05F3">
      <w:pPr>
        <w:pStyle w:val="FootnoteText"/>
        <w:jc w:val="both"/>
      </w:pPr>
      <w:r>
        <w:rPr>
          <w:rStyle w:val="FootnoteReference"/>
        </w:rPr>
        <w:footnoteRef/>
      </w:r>
      <w:r>
        <w:t xml:space="preserve"> CNCDH, Avis sur le projet de Traité sur le commerce des armes, 21 février 2013, </w:t>
      </w:r>
      <w:hyperlink r:id="rId4" w:history="1">
        <w:r w:rsidRPr="00F07089">
          <w:rPr>
            <w:rStyle w:val="Hyperlink"/>
          </w:rPr>
          <w:t>http://www.cncdh.fr/sites/default/files/13.02.21_avis_projet_traite_commerce_des_armes.pdf</w:t>
        </w:r>
      </w:hyperlink>
    </w:p>
  </w:footnote>
  <w:footnote w:id="7">
    <w:p w:rsidR="00C54714" w:rsidRPr="006B362A" w:rsidRDefault="00C54714" w:rsidP="004D05F3">
      <w:pPr>
        <w:pStyle w:val="FootnoteText"/>
        <w:jc w:val="both"/>
        <w:rPr>
          <w:bCs/>
          <w:lang w:val="en-US"/>
        </w:rPr>
      </w:pPr>
      <w:r w:rsidRPr="006B362A">
        <w:rPr>
          <w:rStyle w:val="FootnoteReference"/>
        </w:rPr>
        <w:footnoteRef/>
      </w:r>
      <w:r w:rsidRPr="006B362A">
        <w:rPr>
          <w:lang w:val="en-US"/>
        </w:rPr>
        <w:t xml:space="preserve"> </w:t>
      </w:r>
      <w:r w:rsidRPr="006B362A">
        <w:rPr>
          <w:bCs/>
          <w:lang w:val="en-US"/>
        </w:rPr>
        <w:t xml:space="preserve">Report of the Special Rapporteur on extrajudicial, summary or arbitrary executions, </w:t>
      </w:r>
      <w:r>
        <w:rPr>
          <w:bCs/>
          <w:lang w:val="en-US"/>
        </w:rPr>
        <w:t xml:space="preserve">Study on targeted killings, </w:t>
      </w:r>
      <w:r w:rsidRPr="006B362A">
        <w:rPr>
          <w:bCs/>
          <w:lang w:val="en-US"/>
        </w:rPr>
        <w:t>Philip Alston</w:t>
      </w:r>
      <w:r>
        <w:rPr>
          <w:lang w:val="en-US"/>
        </w:rPr>
        <w:t xml:space="preserve">, </w:t>
      </w:r>
      <w:r w:rsidRPr="00206A9D">
        <w:rPr>
          <w:lang w:val="en-US"/>
        </w:rPr>
        <w:t>A/HRC/14/24/Add.6</w:t>
      </w:r>
      <w:r>
        <w:rPr>
          <w:lang w:val="en-US"/>
        </w:rPr>
        <w:t xml:space="preserve">, 28 mai </w:t>
      </w:r>
      <w:r w:rsidRPr="00F47856">
        <w:rPr>
          <w:lang w:val="en-US"/>
        </w:rPr>
        <w:t>2010</w:t>
      </w:r>
    </w:p>
  </w:footnote>
  <w:footnote w:id="8">
    <w:p w:rsidR="00C54714" w:rsidRDefault="00C54714" w:rsidP="004D05F3">
      <w:pPr>
        <w:pStyle w:val="FootnoteText"/>
        <w:jc w:val="both"/>
      </w:pPr>
      <w:r>
        <w:rPr>
          <w:rStyle w:val="FootnoteReference"/>
        </w:rPr>
        <w:footnoteRef/>
      </w:r>
      <w:r>
        <w:t xml:space="preserve"> CNCDH, Avis sur les travailleurs humanitaires, 22 mai 2014 </w:t>
      </w:r>
      <w:hyperlink r:id="rId5" w:history="1">
        <w:r w:rsidRPr="00E53474">
          <w:rPr>
            <w:rStyle w:val="Hyperlink"/>
          </w:rPr>
          <w:t>http://www.cncdh.fr/sites/default/files/14.05.22_avis_travailleurs_humanitaires_0.pdf</w:t>
        </w:r>
      </w:hyperlink>
      <w:r>
        <w:t xml:space="preserve"> </w:t>
      </w:r>
    </w:p>
  </w:footnote>
  <w:footnote w:id="9">
    <w:p w:rsidR="00EA5036" w:rsidRDefault="00EA5036" w:rsidP="004D05F3">
      <w:pPr>
        <w:pStyle w:val="FootnoteText"/>
        <w:jc w:val="both"/>
      </w:pPr>
      <w:r>
        <w:rPr>
          <w:rStyle w:val="FootnoteReference"/>
        </w:rPr>
        <w:footnoteRef/>
      </w:r>
      <w:r>
        <w:t xml:space="preserve"> CNCDH, Avis sur les violences contre les femmes et les féminicides </w:t>
      </w:r>
      <w:hyperlink r:id="rId6" w:history="1">
        <w:r w:rsidRPr="00FD3615">
          <w:rPr>
            <w:rStyle w:val="Hyperlink"/>
          </w:rPr>
          <w:t>http://www.cncdh.fr/sites/default/files/160526_avis_sur_les_violences_aux_femmes_et_feminicide.pdf</w:t>
        </w:r>
      </w:hyperlink>
      <w:r>
        <w:t xml:space="preserve"> </w:t>
      </w:r>
    </w:p>
  </w:footnote>
  <w:footnote w:id="10">
    <w:p w:rsidR="001C2DD3" w:rsidRDefault="001C2DD3" w:rsidP="004D05F3">
      <w:pPr>
        <w:pStyle w:val="FootnoteText"/>
        <w:jc w:val="both"/>
      </w:pPr>
      <w:r>
        <w:rPr>
          <w:rStyle w:val="FootnoteReference"/>
        </w:rPr>
        <w:footnoteRef/>
      </w:r>
      <w:r>
        <w:t xml:space="preserve"> </w:t>
      </w:r>
      <w:r w:rsidRPr="00CE1EB8">
        <w:t>CNCDH, A</w:t>
      </w:r>
      <w:r w:rsidRPr="00CE1EB8">
        <w:rPr>
          <w:iCs/>
        </w:rPr>
        <w:t>vis sur la responsabilité des entreprises en matière de droits de l’homme</w:t>
      </w:r>
      <w:r>
        <w:rPr>
          <w:iCs/>
        </w:rPr>
        <w:t>, 24 avril 2008 ; CNCDH, Avis sur les enjeux de l’application par la France des Principes directeurs des Nations-Unies, 16 novembre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D37" w:rsidRDefault="001D5D37" w:rsidP="001D5D37">
    <w:pPr>
      <w:pStyle w:val="Header"/>
      <w:jc w:val="center"/>
    </w:pPr>
    <w:r w:rsidRPr="006E1F50">
      <w:rPr>
        <w:rFonts w:ascii="Trebuchet MS" w:hAnsi="Trebuchet MS"/>
        <w:b/>
        <w:noProof/>
        <w:u w:val="single"/>
        <w:lang w:val="en-GB" w:eastAsia="en-GB"/>
      </w:rPr>
      <w:drawing>
        <wp:inline distT="0" distB="0" distL="0" distR="0" wp14:anchorId="190CD832" wp14:editId="1CCEA9CB">
          <wp:extent cx="1333500" cy="752475"/>
          <wp:effectExtent l="19050" t="0" r="0" b="0"/>
          <wp:docPr id="1" name="Image 1" descr="T:\Communication\Identité  visuelle\LOGO\Def\LogoDef_CNCD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Communication\Identité  visuelle\LOGO\Def\LogoDef_CNCDH-3.jpg"/>
                  <pic:cNvPicPr>
                    <a:picLocks noChangeAspect="1" noChangeArrowheads="1"/>
                  </pic:cNvPicPr>
                </pic:nvPicPr>
                <pic:blipFill>
                  <a:blip r:embed="rId1"/>
                  <a:srcRect/>
                  <a:stretch>
                    <a:fillRect/>
                  </a:stretch>
                </pic:blipFill>
                <pic:spPr bwMode="auto">
                  <a:xfrm>
                    <a:off x="0" y="0"/>
                    <a:ext cx="1333500"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72883"/>
    <w:multiLevelType w:val="hybridMultilevel"/>
    <w:tmpl w:val="0D3863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4621A88"/>
    <w:multiLevelType w:val="hybridMultilevel"/>
    <w:tmpl w:val="28E67EDC"/>
    <w:lvl w:ilvl="0" w:tplc="C50E4ED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036"/>
    <w:rsid w:val="00013078"/>
    <w:rsid w:val="00047801"/>
    <w:rsid w:val="00061A84"/>
    <w:rsid w:val="00072C11"/>
    <w:rsid w:val="000A6A9D"/>
    <w:rsid w:val="000C01E4"/>
    <w:rsid w:val="000F2B6A"/>
    <w:rsid w:val="000F3C38"/>
    <w:rsid w:val="00104346"/>
    <w:rsid w:val="001C2DD3"/>
    <w:rsid w:val="001D5D37"/>
    <w:rsid w:val="00230E14"/>
    <w:rsid w:val="002C3430"/>
    <w:rsid w:val="003413E1"/>
    <w:rsid w:val="00361BEC"/>
    <w:rsid w:val="00386D6C"/>
    <w:rsid w:val="003A4E34"/>
    <w:rsid w:val="003B49D0"/>
    <w:rsid w:val="003F6713"/>
    <w:rsid w:val="004104A7"/>
    <w:rsid w:val="00481A2D"/>
    <w:rsid w:val="00490461"/>
    <w:rsid w:val="00492F42"/>
    <w:rsid w:val="004B5B68"/>
    <w:rsid w:val="004D05F3"/>
    <w:rsid w:val="0054678C"/>
    <w:rsid w:val="005742B9"/>
    <w:rsid w:val="00574F10"/>
    <w:rsid w:val="0058243C"/>
    <w:rsid w:val="005A0D8A"/>
    <w:rsid w:val="005B38F8"/>
    <w:rsid w:val="005C7A69"/>
    <w:rsid w:val="005D77C2"/>
    <w:rsid w:val="0060013A"/>
    <w:rsid w:val="0061377C"/>
    <w:rsid w:val="00616CFD"/>
    <w:rsid w:val="00661A06"/>
    <w:rsid w:val="00672B15"/>
    <w:rsid w:val="0071173F"/>
    <w:rsid w:val="00753929"/>
    <w:rsid w:val="00770FF7"/>
    <w:rsid w:val="00777947"/>
    <w:rsid w:val="00810A52"/>
    <w:rsid w:val="0081723A"/>
    <w:rsid w:val="008253F6"/>
    <w:rsid w:val="00826226"/>
    <w:rsid w:val="00837108"/>
    <w:rsid w:val="00895A06"/>
    <w:rsid w:val="008A3E2B"/>
    <w:rsid w:val="00915371"/>
    <w:rsid w:val="00936DBF"/>
    <w:rsid w:val="00952E8E"/>
    <w:rsid w:val="009625DF"/>
    <w:rsid w:val="009831AC"/>
    <w:rsid w:val="00985818"/>
    <w:rsid w:val="009A0634"/>
    <w:rsid w:val="009F3E5D"/>
    <w:rsid w:val="00A069B8"/>
    <w:rsid w:val="00A33A37"/>
    <w:rsid w:val="00AA4589"/>
    <w:rsid w:val="00AB11F8"/>
    <w:rsid w:val="00AC074B"/>
    <w:rsid w:val="00AE23C5"/>
    <w:rsid w:val="00BC5E82"/>
    <w:rsid w:val="00C01439"/>
    <w:rsid w:val="00C06CD7"/>
    <w:rsid w:val="00C32A29"/>
    <w:rsid w:val="00C54714"/>
    <w:rsid w:val="00C56A21"/>
    <w:rsid w:val="00CD2D03"/>
    <w:rsid w:val="00CE4E9B"/>
    <w:rsid w:val="00D50D33"/>
    <w:rsid w:val="00DA61E6"/>
    <w:rsid w:val="00DC7D29"/>
    <w:rsid w:val="00DF0453"/>
    <w:rsid w:val="00E126D9"/>
    <w:rsid w:val="00E13559"/>
    <w:rsid w:val="00E24F4C"/>
    <w:rsid w:val="00E61229"/>
    <w:rsid w:val="00E6753E"/>
    <w:rsid w:val="00E831CF"/>
    <w:rsid w:val="00E85F44"/>
    <w:rsid w:val="00EA1687"/>
    <w:rsid w:val="00EA5036"/>
    <w:rsid w:val="00EF2B1A"/>
    <w:rsid w:val="00F0206D"/>
    <w:rsid w:val="00F0393E"/>
    <w:rsid w:val="00F142B3"/>
    <w:rsid w:val="00F870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1F954DF-761A-44A4-A78C-6D6CE87D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036"/>
  </w:style>
  <w:style w:type="paragraph" w:styleId="Heading1">
    <w:name w:val="heading 1"/>
    <w:basedOn w:val="Normal"/>
    <w:next w:val="Normal"/>
    <w:link w:val="Heading1Char"/>
    <w:uiPriority w:val="9"/>
    <w:qFormat/>
    <w:rsid w:val="00EA5036"/>
    <w:pPr>
      <w:keepNext/>
      <w:keepLines/>
      <w:spacing w:before="480" w:after="0"/>
      <w:outlineLvl w:val="0"/>
    </w:pPr>
    <w:rPr>
      <w:rFonts w:asciiTheme="majorHAnsi" w:eastAsiaTheme="majorEastAsia" w:hAnsiTheme="majorHAnsi" w:cstheme="majorBidi"/>
      <w:b/>
      <w:bCs/>
      <w:color w:val="365F91"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036"/>
    <w:rPr>
      <w:rFonts w:asciiTheme="majorHAnsi" w:eastAsiaTheme="majorEastAsia" w:hAnsiTheme="majorHAnsi" w:cstheme="majorBidi"/>
      <w:b/>
      <w:bCs/>
      <w:color w:val="365F91" w:themeColor="accent1" w:themeShade="BF"/>
      <w:sz w:val="24"/>
      <w:szCs w:val="28"/>
    </w:rPr>
  </w:style>
  <w:style w:type="paragraph" w:styleId="ListParagraph">
    <w:name w:val="List Paragraph"/>
    <w:basedOn w:val="Normal"/>
    <w:uiPriority w:val="34"/>
    <w:qFormat/>
    <w:rsid w:val="00EA5036"/>
    <w:pPr>
      <w:ind w:left="720"/>
      <w:contextualSpacing/>
    </w:pPr>
  </w:style>
  <w:style w:type="paragraph" w:styleId="FootnoteText">
    <w:name w:val="footnote text"/>
    <w:basedOn w:val="Normal"/>
    <w:link w:val="FootnoteTextChar"/>
    <w:uiPriority w:val="99"/>
    <w:semiHidden/>
    <w:unhideWhenUsed/>
    <w:rsid w:val="00EA50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036"/>
    <w:rPr>
      <w:sz w:val="20"/>
      <w:szCs w:val="20"/>
    </w:rPr>
  </w:style>
  <w:style w:type="character" w:styleId="FootnoteReference">
    <w:name w:val="footnote reference"/>
    <w:basedOn w:val="DefaultParagraphFont"/>
    <w:uiPriority w:val="99"/>
    <w:semiHidden/>
    <w:unhideWhenUsed/>
    <w:rsid w:val="00EA5036"/>
    <w:rPr>
      <w:vertAlign w:val="superscript"/>
    </w:rPr>
  </w:style>
  <w:style w:type="character" w:styleId="Hyperlink">
    <w:name w:val="Hyperlink"/>
    <w:basedOn w:val="DefaultParagraphFont"/>
    <w:uiPriority w:val="99"/>
    <w:unhideWhenUsed/>
    <w:rsid w:val="00EA5036"/>
    <w:rPr>
      <w:color w:val="0000FF" w:themeColor="hyperlink"/>
      <w:u w:val="single"/>
    </w:rPr>
  </w:style>
  <w:style w:type="character" w:styleId="CommentReference">
    <w:name w:val="annotation reference"/>
    <w:basedOn w:val="DefaultParagraphFont"/>
    <w:uiPriority w:val="99"/>
    <w:semiHidden/>
    <w:unhideWhenUsed/>
    <w:rsid w:val="00E6753E"/>
    <w:rPr>
      <w:sz w:val="16"/>
      <w:szCs w:val="16"/>
    </w:rPr>
  </w:style>
  <w:style w:type="paragraph" w:styleId="CommentText">
    <w:name w:val="annotation text"/>
    <w:basedOn w:val="Normal"/>
    <w:link w:val="CommentTextChar"/>
    <w:uiPriority w:val="99"/>
    <w:semiHidden/>
    <w:unhideWhenUsed/>
    <w:rsid w:val="00E6753E"/>
    <w:pPr>
      <w:spacing w:line="240" w:lineRule="auto"/>
    </w:pPr>
    <w:rPr>
      <w:sz w:val="20"/>
      <w:szCs w:val="20"/>
    </w:rPr>
  </w:style>
  <w:style w:type="character" w:customStyle="1" w:styleId="CommentTextChar">
    <w:name w:val="Comment Text Char"/>
    <w:basedOn w:val="DefaultParagraphFont"/>
    <w:link w:val="CommentText"/>
    <w:uiPriority w:val="99"/>
    <w:semiHidden/>
    <w:rsid w:val="00E6753E"/>
    <w:rPr>
      <w:sz w:val="20"/>
      <w:szCs w:val="20"/>
    </w:rPr>
  </w:style>
  <w:style w:type="paragraph" w:styleId="CommentSubject">
    <w:name w:val="annotation subject"/>
    <w:basedOn w:val="CommentText"/>
    <w:next w:val="CommentText"/>
    <w:link w:val="CommentSubjectChar"/>
    <w:uiPriority w:val="99"/>
    <w:semiHidden/>
    <w:unhideWhenUsed/>
    <w:rsid w:val="00E6753E"/>
    <w:rPr>
      <w:b/>
      <w:bCs/>
    </w:rPr>
  </w:style>
  <w:style w:type="character" w:customStyle="1" w:styleId="CommentSubjectChar">
    <w:name w:val="Comment Subject Char"/>
    <w:basedOn w:val="CommentTextChar"/>
    <w:link w:val="CommentSubject"/>
    <w:uiPriority w:val="99"/>
    <w:semiHidden/>
    <w:rsid w:val="00E6753E"/>
    <w:rPr>
      <w:b/>
      <w:bCs/>
      <w:sz w:val="20"/>
      <w:szCs w:val="20"/>
    </w:rPr>
  </w:style>
  <w:style w:type="paragraph" w:styleId="BalloonText">
    <w:name w:val="Balloon Text"/>
    <w:basedOn w:val="Normal"/>
    <w:link w:val="BalloonTextChar"/>
    <w:uiPriority w:val="99"/>
    <w:semiHidden/>
    <w:unhideWhenUsed/>
    <w:rsid w:val="00E67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53E"/>
    <w:rPr>
      <w:rFonts w:ascii="Tahoma" w:hAnsi="Tahoma" w:cs="Tahoma"/>
      <w:sz w:val="16"/>
      <w:szCs w:val="16"/>
    </w:rPr>
  </w:style>
  <w:style w:type="paragraph" w:styleId="Header">
    <w:name w:val="header"/>
    <w:basedOn w:val="Normal"/>
    <w:link w:val="HeaderChar"/>
    <w:uiPriority w:val="99"/>
    <w:unhideWhenUsed/>
    <w:rsid w:val="00386D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6D6C"/>
  </w:style>
  <w:style w:type="paragraph" w:styleId="Footer">
    <w:name w:val="footer"/>
    <w:basedOn w:val="Normal"/>
    <w:link w:val="FooterChar"/>
    <w:uiPriority w:val="99"/>
    <w:unhideWhenUsed/>
    <w:rsid w:val="00386D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6D6C"/>
  </w:style>
  <w:style w:type="character" w:styleId="LineNumber">
    <w:name w:val="line number"/>
    <w:basedOn w:val="DefaultParagraphFont"/>
    <w:uiPriority w:val="99"/>
    <w:semiHidden/>
    <w:unhideWhenUsed/>
    <w:rsid w:val="000F2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s-dds-ny.un.org/doc/UNDOC/GEN/G12/154/61/PDF/G1215461.pdf?OpenElement" TargetMode="External"/><Relationship Id="rId2" Type="http://schemas.openxmlformats.org/officeDocument/2006/relationships/hyperlink" Target="http://www.cncdh.fr/fr/publications/avis-droits-de-lhomme-et-extreme-pauvrete" TargetMode="External"/><Relationship Id="rId1" Type="http://schemas.openxmlformats.org/officeDocument/2006/relationships/hyperlink" Target="http://www.cncdh.fr/sites/default/files/04.12.16_avis_portant_sur_la_proposition_de_loi_relative_aux_droits_des_malades_et_a_la_fin_de_vie.pdf" TargetMode="External"/><Relationship Id="rId6" Type="http://schemas.openxmlformats.org/officeDocument/2006/relationships/hyperlink" Target="http://www.cncdh.fr/sites/default/files/160526_avis_sur_les_violences_aux_femmes_et_feminicide.pdf" TargetMode="External"/><Relationship Id="rId5" Type="http://schemas.openxmlformats.org/officeDocument/2006/relationships/hyperlink" Target="http://www.cncdh.fr/sites/default/files/14.05.22_avis_travailleurs_humanitaires_0.pdf" TargetMode="External"/><Relationship Id="rId4" Type="http://schemas.openxmlformats.org/officeDocument/2006/relationships/hyperlink" Target="http://www.cncdh.fr/sites/default/files/13.02.21_avis_projet_traite_commerce_des_arm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ADC312-D320-42FA-AC6A-0D00D35C5942}">
  <ds:schemaRefs>
    <ds:schemaRef ds:uri="http://schemas.openxmlformats.org/officeDocument/2006/bibliography"/>
  </ds:schemaRefs>
</ds:datastoreItem>
</file>

<file path=customXml/itemProps2.xml><?xml version="1.0" encoding="utf-8"?>
<ds:datastoreItem xmlns:ds="http://schemas.openxmlformats.org/officeDocument/2006/customXml" ds:itemID="{4FC7E786-D47F-4DFE-AB60-7E261434F7DF}"/>
</file>

<file path=customXml/itemProps3.xml><?xml version="1.0" encoding="utf-8"?>
<ds:datastoreItem xmlns:ds="http://schemas.openxmlformats.org/officeDocument/2006/customXml" ds:itemID="{EEE87A2D-B164-4DC3-AD49-2DB787DAF8B4}"/>
</file>

<file path=customXml/itemProps4.xml><?xml version="1.0" encoding="utf-8"?>
<ds:datastoreItem xmlns:ds="http://schemas.openxmlformats.org/officeDocument/2006/customXml" ds:itemID="{B8AEFE08-EF0F-4B1D-B578-F2228C416856}"/>
</file>

<file path=docProps/app.xml><?xml version="1.0" encoding="utf-8"?>
<Properties xmlns="http://schemas.openxmlformats.org/officeDocument/2006/extended-properties" xmlns:vt="http://schemas.openxmlformats.org/officeDocument/2006/docPropsVTypes">
  <Template>Normal.dotm</Template>
  <TotalTime>1</TotalTime>
  <Pages>6</Pages>
  <Words>2529</Words>
  <Characters>14416</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SPM</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SPM</dc:creator>
  <cp:lastModifiedBy>Durnescu Lilian</cp:lastModifiedBy>
  <cp:revision>2</cp:revision>
  <dcterms:created xsi:type="dcterms:W3CDTF">2017-10-06T08:41:00Z</dcterms:created>
  <dcterms:modified xsi:type="dcterms:W3CDTF">2017-10-06T08:41:00Z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