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88C21" w14:textId="4BDCA5F9" w:rsidR="00EC340E" w:rsidRDefault="0095291D" w:rsidP="00B94405">
      <w:pPr>
        <w:spacing w:after="0" w:line="240" w:lineRule="auto"/>
        <w:rPr>
          <w:rFonts w:ascii="Times New Roman" w:hAnsi="Times New Roman" w:cs="Times New Roman"/>
          <w:b/>
        </w:rPr>
      </w:pPr>
      <w:bookmarkStart w:id="0" w:name="_GoBack"/>
      <w:bookmarkEnd w:id="0"/>
      <w:r>
        <w:rPr>
          <w:rFonts w:eastAsia="Times New Roman"/>
          <w:noProof/>
          <w:lang w:val="en-GB" w:eastAsia="en-GB"/>
        </w:rPr>
        <w:drawing>
          <wp:anchor distT="0" distB="0" distL="114300" distR="114300" simplePos="0" relativeHeight="251662336" behindDoc="0" locked="0" layoutInCell="1" allowOverlap="1" wp14:anchorId="6DEDA631" wp14:editId="24C0CE5C">
            <wp:simplePos x="0" y="0"/>
            <wp:positionH relativeFrom="margin">
              <wp:posOffset>3367405</wp:posOffset>
            </wp:positionH>
            <wp:positionV relativeFrom="paragraph">
              <wp:posOffset>160655</wp:posOffset>
            </wp:positionV>
            <wp:extent cx="1344295" cy="520065"/>
            <wp:effectExtent l="0" t="0" r="8255" b="0"/>
            <wp:wrapNone/>
            <wp:docPr id="14" name="Picture 14" descr="Macintosh HD:Users:isavankrimpen:Desktop:Screen Shot 2015-09-24 at 11.1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isavankrimpen:Desktop:Screen Shot 2015-09-24 at 11.10.4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429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lang w:val="en-GB" w:eastAsia="en-GB"/>
        </w:rPr>
        <w:drawing>
          <wp:anchor distT="0" distB="0" distL="114300" distR="114300" simplePos="0" relativeHeight="251664384" behindDoc="0" locked="0" layoutInCell="1" allowOverlap="1" wp14:anchorId="2378BAE1" wp14:editId="07106BAA">
            <wp:simplePos x="0" y="0"/>
            <wp:positionH relativeFrom="margin">
              <wp:align>right</wp:align>
            </wp:positionH>
            <wp:positionV relativeFrom="paragraph">
              <wp:posOffset>150953</wp:posOffset>
            </wp:positionV>
            <wp:extent cx="1209554" cy="6125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554" cy="612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661F">
        <w:rPr>
          <w:noProof/>
          <w:lang w:val="en-GB" w:eastAsia="en-GB"/>
        </w:rPr>
        <w:drawing>
          <wp:anchor distT="0" distB="0" distL="114300" distR="114300" simplePos="0" relativeHeight="251666432" behindDoc="0" locked="0" layoutInCell="1" allowOverlap="1" wp14:anchorId="499BC922" wp14:editId="09940AF7">
            <wp:simplePos x="0" y="0"/>
            <wp:positionH relativeFrom="margin">
              <wp:posOffset>1096645</wp:posOffset>
            </wp:positionH>
            <wp:positionV relativeFrom="page">
              <wp:posOffset>1068558</wp:posOffset>
            </wp:positionV>
            <wp:extent cx="1340485" cy="548640"/>
            <wp:effectExtent l="0" t="0" r="0" b="3810"/>
            <wp:wrapNone/>
            <wp:docPr id="4" name="Picture 4" descr="AMN_ENG_61x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N_ENG_61x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0485" cy="548640"/>
                    </a:xfrm>
                    <a:prstGeom prst="rect">
                      <a:avLst/>
                    </a:prstGeom>
                    <a:noFill/>
                  </pic:spPr>
                </pic:pic>
              </a:graphicData>
            </a:graphic>
            <wp14:sizeRelH relativeFrom="page">
              <wp14:pctWidth>0</wp14:pctWidth>
            </wp14:sizeRelH>
            <wp14:sizeRelV relativeFrom="page">
              <wp14:pctHeight>0</wp14:pctHeight>
            </wp14:sizeRelV>
          </wp:anchor>
        </w:drawing>
      </w:r>
      <w:r w:rsidR="001C661F">
        <w:rPr>
          <w:noProof/>
          <w:lang w:val="en-GB" w:eastAsia="en-GB"/>
        </w:rPr>
        <w:drawing>
          <wp:anchor distT="0" distB="0" distL="114300" distR="114300" simplePos="0" relativeHeight="251658240" behindDoc="0" locked="0" layoutInCell="1" allowOverlap="1" wp14:anchorId="2AFCC6F7" wp14:editId="35FB2725">
            <wp:simplePos x="0" y="0"/>
            <wp:positionH relativeFrom="margin">
              <wp:posOffset>2508445</wp:posOffset>
            </wp:positionH>
            <wp:positionV relativeFrom="paragraph">
              <wp:posOffset>5715</wp:posOffset>
            </wp:positionV>
            <wp:extent cx="792866" cy="792866"/>
            <wp:effectExtent l="0" t="0" r="7620" b="7620"/>
            <wp:wrapNone/>
            <wp:docPr id="1" name="Picture 1" descr="C:\Users\nsun\AppData\Local\Microsoft\Windows\INetCache\Content.Word\hrw_logo_blu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un\AppData\Local\Microsoft\Windows\INetCache\Content.Word\hrw_logo_blue (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866" cy="792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661F" w:rsidRPr="0056077A">
        <w:rPr>
          <w:rFonts w:ascii="Times New Roman" w:hAnsi="Times New Roman" w:cs="Times New Roman"/>
          <w:b/>
          <w:noProof/>
          <w:sz w:val="24"/>
          <w:szCs w:val="24"/>
          <w:lang w:val="en-GB" w:eastAsia="en-GB"/>
        </w:rPr>
        <w:drawing>
          <wp:anchor distT="0" distB="0" distL="114300" distR="114300" simplePos="0" relativeHeight="251660288" behindDoc="0" locked="0" layoutInCell="1" allowOverlap="1" wp14:anchorId="41E83447" wp14:editId="0B073521">
            <wp:simplePos x="0" y="0"/>
            <wp:positionH relativeFrom="margin">
              <wp:align>left</wp:align>
            </wp:positionH>
            <wp:positionV relativeFrom="paragraph">
              <wp:posOffset>80645</wp:posOffset>
            </wp:positionV>
            <wp:extent cx="1181100" cy="861695"/>
            <wp:effectExtent l="0" t="0" r="0" b="0"/>
            <wp:wrapNone/>
            <wp:docPr id="2" name="Picture 2" descr="\\reprorights.org\Redirects\Kenya\bodallo\Desktop\CRR_logo.rule_2727_shor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rorights.org\Redirects\Kenya\bodallo\Desktop\CRR_logo.rule_2727_short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829" cy="8618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4405">
        <w:rPr>
          <w:rFonts w:ascii="Times New Roman" w:hAnsi="Times New Roman" w:cs="Times New Roman"/>
          <w:b/>
        </w:rPr>
        <w:br w:type="textWrapping" w:clear="all"/>
      </w:r>
    </w:p>
    <w:p w14:paraId="68EDBD6B" w14:textId="73949DEE" w:rsidR="00EC340E" w:rsidRDefault="00EC340E" w:rsidP="001E060F">
      <w:pPr>
        <w:spacing w:after="0" w:line="240" w:lineRule="auto"/>
        <w:jc w:val="center"/>
        <w:rPr>
          <w:rFonts w:ascii="Times New Roman" w:hAnsi="Times New Roman" w:cs="Times New Roman"/>
          <w:b/>
        </w:rPr>
      </w:pPr>
    </w:p>
    <w:p w14:paraId="7255E0EE" w14:textId="782531FE" w:rsidR="00EC340E" w:rsidRDefault="00EC340E" w:rsidP="00B94405">
      <w:pPr>
        <w:spacing w:after="0" w:line="240" w:lineRule="auto"/>
        <w:rPr>
          <w:rFonts w:ascii="Times New Roman" w:hAnsi="Times New Roman" w:cs="Times New Roman"/>
          <w:b/>
        </w:rPr>
      </w:pPr>
    </w:p>
    <w:p w14:paraId="12C7EFE2" w14:textId="06BF86F2" w:rsidR="00B94405" w:rsidRDefault="00B94405" w:rsidP="001E060F">
      <w:pPr>
        <w:spacing w:after="0" w:line="240" w:lineRule="auto"/>
        <w:jc w:val="center"/>
        <w:rPr>
          <w:rFonts w:ascii="Times New Roman" w:hAnsi="Times New Roman" w:cs="Times New Roman"/>
          <w:b/>
        </w:rPr>
      </w:pPr>
    </w:p>
    <w:p w14:paraId="49494212" w14:textId="77777777" w:rsidR="00B94405" w:rsidRDefault="00B94405" w:rsidP="001E060F">
      <w:pPr>
        <w:spacing w:after="0" w:line="240" w:lineRule="auto"/>
        <w:jc w:val="center"/>
        <w:rPr>
          <w:rFonts w:ascii="Times New Roman" w:hAnsi="Times New Roman" w:cs="Times New Roman"/>
          <w:b/>
        </w:rPr>
      </w:pPr>
    </w:p>
    <w:p w14:paraId="25FE2E10" w14:textId="339C4AFF" w:rsidR="00FA4756" w:rsidRDefault="00FA4756" w:rsidP="001E060F">
      <w:pPr>
        <w:spacing w:after="0" w:line="240" w:lineRule="auto"/>
        <w:jc w:val="center"/>
        <w:rPr>
          <w:rFonts w:ascii="Times New Roman" w:hAnsi="Times New Roman" w:cs="Times New Roman"/>
          <w:b/>
        </w:rPr>
      </w:pPr>
    </w:p>
    <w:p w14:paraId="54DCFA0C" w14:textId="64AB8643" w:rsidR="001E060F" w:rsidRPr="001E060F" w:rsidRDefault="001E060F" w:rsidP="00D64186">
      <w:pPr>
        <w:spacing w:after="0" w:line="240" w:lineRule="auto"/>
        <w:jc w:val="center"/>
        <w:rPr>
          <w:rFonts w:ascii="Times New Roman" w:hAnsi="Times New Roman" w:cs="Times New Roman"/>
          <w:b/>
        </w:rPr>
      </w:pPr>
      <w:r w:rsidRPr="001E060F">
        <w:rPr>
          <w:rFonts w:ascii="Times New Roman" w:hAnsi="Times New Roman" w:cs="Times New Roman"/>
          <w:b/>
        </w:rPr>
        <w:t>Written Contribution to the Human Rights Committee</w:t>
      </w:r>
    </w:p>
    <w:p w14:paraId="3C717D72" w14:textId="386A5DFB" w:rsidR="001E060F" w:rsidRPr="001E060F" w:rsidRDefault="00225458" w:rsidP="00D64186">
      <w:pPr>
        <w:spacing w:after="0" w:line="240" w:lineRule="auto"/>
        <w:jc w:val="center"/>
        <w:rPr>
          <w:rFonts w:ascii="Times New Roman" w:hAnsi="Times New Roman" w:cs="Times New Roman"/>
          <w:b/>
        </w:rPr>
      </w:pPr>
      <w:r>
        <w:rPr>
          <w:rFonts w:ascii="Times New Roman" w:hAnsi="Times New Roman" w:cs="Times New Roman"/>
          <w:b/>
        </w:rPr>
        <w:t xml:space="preserve">Draft </w:t>
      </w:r>
      <w:r w:rsidR="001E060F" w:rsidRPr="001E060F">
        <w:rPr>
          <w:rFonts w:ascii="Times New Roman" w:hAnsi="Times New Roman" w:cs="Times New Roman"/>
          <w:b/>
        </w:rPr>
        <w:t>General Comment 36 on Article 6 (Right to Life)</w:t>
      </w:r>
      <w:r w:rsidR="00E7182C">
        <w:rPr>
          <w:rFonts w:ascii="Times New Roman" w:hAnsi="Times New Roman" w:cs="Times New Roman"/>
          <w:b/>
        </w:rPr>
        <w:t xml:space="preserve"> – Call for Comments</w:t>
      </w:r>
    </w:p>
    <w:p w14:paraId="68E64525" w14:textId="77777777" w:rsidR="001E060F" w:rsidRDefault="001E060F" w:rsidP="00D64186">
      <w:pPr>
        <w:spacing w:after="0" w:line="240" w:lineRule="auto"/>
        <w:rPr>
          <w:rFonts w:ascii="Times New Roman" w:hAnsi="Times New Roman" w:cs="Times New Roman"/>
        </w:rPr>
      </w:pPr>
    </w:p>
    <w:p w14:paraId="562BC467" w14:textId="528845FA" w:rsidR="00943F2C" w:rsidRDefault="00755784" w:rsidP="00D64186">
      <w:pPr>
        <w:spacing w:after="0" w:line="240" w:lineRule="auto"/>
        <w:jc w:val="both"/>
        <w:rPr>
          <w:rFonts w:ascii="Times New Roman" w:hAnsi="Times New Roman" w:cs="Times New Roman"/>
        </w:rPr>
      </w:pPr>
      <w:r>
        <w:rPr>
          <w:rFonts w:ascii="Times New Roman" w:hAnsi="Times New Roman" w:cs="Times New Roman"/>
        </w:rPr>
        <w:t>T</w:t>
      </w:r>
      <w:r w:rsidR="001E060F" w:rsidRPr="001E060F">
        <w:rPr>
          <w:rFonts w:ascii="Times New Roman" w:hAnsi="Times New Roman" w:cs="Times New Roman"/>
        </w:rPr>
        <w:t>he Center for Re</w:t>
      </w:r>
      <w:r w:rsidR="00436046">
        <w:rPr>
          <w:rFonts w:ascii="Times New Roman" w:hAnsi="Times New Roman" w:cs="Times New Roman"/>
        </w:rPr>
        <w:t>productive Rights</w:t>
      </w:r>
      <w:r w:rsidR="00A81FD7">
        <w:rPr>
          <w:rFonts w:ascii="Times New Roman" w:hAnsi="Times New Roman" w:cs="Times New Roman"/>
        </w:rPr>
        <w:t>,</w:t>
      </w:r>
      <w:r w:rsidR="00727F7C">
        <w:rPr>
          <w:rFonts w:ascii="Times New Roman" w:hAnsi="Times New Roman" w:cs="Times New Roman"/>
        </w:rPr>
        <w:t xml:space="preserve"> </w:t>
      </w:r>
      <w:r w:rsidR="0069621A">
        <w:rPr>
          <w:rFonts w:ascii="Times New Roman" w:hAnsi="Times New Roman" w:cs="Times New Roman"/>
        </w:rPr>
        <w:t xml:space="preserve">Amnesty International, </w:t>
      </w:r>
      <w:r w:rsidR="00727F7C">
        <w:rPr>
          <w:rFonts w:ascii="Times New Roman" w:hAnsi="Times New Roman" w:cs="Times New Roman"/>
        </w:rPr>
        <w:t>Human Rights Watch,</w:t>
      </w:r>
      <w:r>
        <w:rPr>
          <w:rFonts w:ascii="Times New Roman" w:hAnsi="Times New Roman" w:cs="Times New Roman"/>
        </w:rPr>
        <w:t xml:space="preserve"> </w:t>
      </w:r>
      <w:r w:rsidR="00EF344C">
        <w:rPr>
          <w:rFonts w:ascii="Times New Roman" w:hAnsi="Times New Roman" w:cs="Times New Roman"/>
        </w:rPr>
        <w:t xml:space="preserve">the </w:t>
      </w:r>
      <w:r w:rsidR="00F955EC">
        <w:rPr>
          <w:rFonts w:ascii="Times New Roman" w:hAnsi="Times New Roman" w:cs="Times New Roman"/>
        </w:rPr>
        <w:t>Inter</w:t>
      </w:r>
      <w:r w:rsidR="00727F7C">
        <w:rPr>
          <w:rFonts w:ascii="Times New Roman" w:hAnsi="Times New Roman" w:cs="Times New Roman"/>
        </w:rPr>
        <w:t xml:space="preserve">national Commission of Jurists and </w:t>
      </w:r>
      <w:r w:rsidR="00F955EC">
        <w:rPr>
          <w:rFonts w:ascii="Times New Roman" w:hAnsi="Times New Roman" w:cs="Times New Roman"/>
        </w:rPr>
        <w:t>Ipas</w:t>
      </w:r>
      <w:r w:rsidR="005303E6">
        <w:rPr>
          <w:rFonts w:ascii="Times New Roman" w:hAnsi="Times New Roman" w:cs="Times New Roman"/>
        </w:rPr>
        <w:t xml:space="preserve"> </w:t>
      </w:r>
      <w:r w:rsidR="00436046">
        <w:rPr>
          <w:rFonts w:ascii="Times New Roman" w:hAnsi="Times New Roman" w:cs="Times New Roman"/>
        </w:rPr>
        <w:t>are</w:t>
      </w:r>
      <w:r w:rsidR="001E060F" w:rsidRPr="001E060F">
        <w:rPr>
          <w:rFonts w:ascii="Times New Roman" w:hAnsi="Times New Roman" w:cs="Times New Roman"/>
        </w:rPr>
        <w:t xml:space="preserve"> grateful for the opportunity to make a written contribution to the Human Rights Committee </w:t>
      </w:r>
      <w:r w:rsidR="0060793E">
        <w:rPr>
          <w:rFonts w:ascii="Times New Roman" w:hAnsi="Times New Roman" w:cs="Times New Roman"/>
        </w:rPr>
        <w:t xml:space="preserve">(the Committee) </w:t>
      </w:r>
      <w:r w:rsidR="001E060F" w:rsidRPr="001E060F">
        <w:rPr>
          <w:rFonts w:ascii="Times New Roman" w:hAnsi="Times New Roman" w:cs="Times New Roman"/>
        </w:rPr>
        <w:t xml:space="preserve">ahead of its </w:t>
      </w:r>
      <w:r w:rsidR="008E7EC2">
        <w:rPr>
          <w:rFonts w:ascii="Times New Roman" w:hAnsi="Times New Roman" w:cs="Times New Roman"/>
        </w:rPr>
        <w:t>second reading of the</w:t>
      </w:r>
      <w:r w:rsidR="00225458">
        <w:rPr>
          <w:rFonts w:ascii="Times New Roman" w:hAnsi="Times New Roman" w:cs="Times New Roman"/>
        </w:rPr>
        <w:t xml:space="preserve"> draft</w:t>
      </w:r>
      <w:r w:rsidR="005E417C">
        <w:rPr>
          <w:rFonts w:ascii="Times New Roman" w:hAnsi="Times New Roman" w:cs="Times New Roman"/>
        </w:rPr>
        <w:t xml:space="preserve"> general c</w:t>
      </w:r>
      <w:r w:rsidR="00610E8E">
        <w:rPr>
          <w:rFonts w:ascii="Times New Roman" w:hAnsi="Times New Roman" w:cs="Times New Roman"/>
        </w:rPr>
        <w:t>omment on a</w:t>
      </w:r>
      <w:r w:rsidR="001E060F" w:rsidRPr="001E060F">
        <w:rPr>
          <w:rFonts w:ascii="Times New Roman" w:hAnsi="Times New Roman" w:cs="Times New Roman"/>
        </w:rPr>
        <w:t>rticle 6 of the International Covenant on Civil and Politica</w:t>
      </w:r>
      <w:r w:rsidR="005303E6">
        <w:rPr>
          <w:rFonts w:ascii="Times New Roman" w:hAnsi="Times New Roman" w:cs="Times New Roman"/>
        </w:rPr>
        <w:t>l Rights (the Covenant)</w:t>
      </w:r>
      <w:r w:rsidR="00505D43">
        <w:rPr>
          <w:rFonts w:ascii="Times New Roman" w:hAnsi="Times New Roman" w:cs="Times New Roman"/>
        </w:rPr>
        <w:t xml:space="preserve"> on the right to life</w:t>
      </w:r>
      <w:r w:rsidR="005303E6">
        <w:rPr>
          <w:rFonts w:ascii="Times New Roman" w:hAnsi="Times New Roman" w:cs="Times New Roman"/>
        </w:rPr>
        <w:t xml:space="preserve">. </w:t>
      </w:r>
    </w:p>
    <w:p w14:paraId="4FC5BB1D" w14:textId="77777777" w:rsidR="00943F2C" w:rsidRDefault="00943F2C" w:rsidP="00D64186">
      <w:pPr>
        <w:spacing w:after="0" w:line="240" w:lineRule="auto"/>
        <w:jc w:val="both"/>
        <w:rPr>
          <w:rFonts w:ascii="Times New Roman" w:hAnsi="Times New Roman" w:cs="Times New Roman"/>
        </w:rPr>
      </w:pPr>
    </w:p>
    <w:p w14:paraId="109A1581" w14:textId="77777777" w:rsidR="002C3104" w:rsidRDefault="00577E76" w:rsidP="00D64186">
      <w:pPr>
        <w:spacing w:after="0" w:line="240" w:lineRule="auto"/>
        <w:jc w:val="both"/>
        <w:rPr>
          <w:rFonts w:ascii="Times New Roman" w:hAnsi="Times New Roman" w:cs="Times New Roman"/>
        </w:rPr>
      </w:pPr>
      <w:r>
        <w:rPr>
          <w:rFonts w:ascii="Times New Roman" w:hAnsi="Times New Roman" w:cs="Times New Roman"/>
        </w:rPr>
        <w:t xml:space="preserve">The current draft </w:t>
      </w:r>
      <w:r w:rsidR="00CA78AA">
        <w:rPr>
          <w:rFonts w:ascii="Times New Roman" w:hAnsi="Times New Roman" w:cs="Times New Roman"/>
        </w:rPr>
        <w:t xml:space="preserve">enables </w:t>
      </w:r>
      <w:r>
        <w:rPr>
          <w:rFonts w:ascii="Times New Roman" w:hAnsi="Times New Roman" w:cs="Times New Roman"/>
        </w:rPr>
        <w:t>a more comprehensive examination of</w:t>
      </w:r>
      <w:r w:rsidR="001E060F" w:rsidRPr="001E060F">
        <w:rPr>
          <w:rFonts w:ascii="Times New Roman" w:hAnsi="Times New Roman" w:cs="Times New Roman"/>
        </w:rPr>
        <w:t xml:space="preserve"> the rig</w:t>
      </w:r>
      <w:r w:rsidR="00A43E78">
        <w:rPr>
          <w:rFonts w:ascii="Times New Roman" w:hAnsi="Times New Roman" w:cs="Times New Roman"/>
        </w:rPr>
        <w:t>ht to life.</w:t>
      </w:r>
      <w:r w:rsidR="00A02F5C">
        <w:rPr>
          <w:rFonts w:ascii="Times New Roman" w:hAnsi="Times New Roman" w:cs="Times New Roman"/>
        </w:rPr>
        <w:t xml:space="preserve"> </w:t>
      </w:r>
      <w:r w:rsidR="00943F2C">
        <w:rPr>
          <w:rFonts w:ascii="Times New Roman" w:hAnsi="Times New Roman" w:cs="Times New Roman"/>
        </w:rPr>
        <w:t>W</w:t>
      </w:r>
      <w:r w:rsidR="0076347B">
        <w:rPr>
          <w:rFonts w:ascii="Times New Roman" w:hAnsi="Times New Roman" w:cs="Times New Roman"/>
        </w:rPr>
        <w:t>e commend</w:t>
      </w:r>
      <w:r w:rsidR="004959C0">
        <w:rPr>
          <w:rFonts w:ascii="Times New Roman" w:hAnsi="Times New Roman" w:cs="Times New Roman"/>
        </w:rPr>
        <w:t xml:space="preserve"> the Committee for the </w:t>
      </w:r>
      <w:r w:rsidR="00467018">
        <w:rPr>
          <w:rFonts w:ascii="Times New Roman" w:hAnsi="Times New Roman" w:cs="Times New Roman"/>
        </w:rPr>
        <w:t>enhanced cl</w:t>
      </w:r>
      <w:r w:rsidR="0076347B">
        <w:rPr>
          <w:rFonts w:ascii="Times New Roman" w:hAnsi="Times New Roman" w:cs="Times New Roman"/>
        </w:rPr>
        <w:t>a</w:t>
      </w:r>
      <w:r w:rsidR="00467018">
        <w:rPr>
          <w:rFonts w:ascii="Times New Roman" w:hAnsi="Times New Roman" w:cs="Times New Roman"/>
        </w:rPr>
        <w:t>r</w:t>
      </w:r>
      <w:r w:rsidR="0076347B">
        <w:rPr>
          <w:rFonts w:ascii="Times New Roman" w:hAnsi="Times New Roman" w:cs="Times New Roman"/>
        </w:rPr>
        <w:t>ity</w:t>
      </w:r>
      <w:r w:rsidR="004959C0">
        <w:rPr>
          <w:rFonts w:ascii="Times New Roman" w:hAnsi="Times New Roman" w:cs="Times New Roman"/>
        </w:rPr>
        <w:t xml:space="preserve"> </w:t>
      </w:r>
      <w:r w:rsidR="0076347B">
        <w:rPr>
          <w:rFonts w:ascii="Times New Roman" w:hAnsi="Times New Roman" w:cs="Times New Roman"/>
        </w:rPr>
        <w:t xml:space="preserve">on the measures </w:t>
      </w:r>
      <w:r w:rsidR="002C3104">
        <w:rPr>
          <w:rFonts w:ascii="Times New Roman" w:hAnsi="Times New Roman" w:cs="Times New Roman"/>
        </w:rPr>
        <w:t>S</w:t>
      </w:r>
      <w:r w:rsidR="0076347B">
        <w:rPr>
          <w:rFonts w:ascii="Times New Roman" w:hAnsi="Times New Roman" w:cs="Times New Roman"/>
        </w:rPr>
        <w:t>tates</w:t>
      </w:r>
      <w:r w:rsidR="002C3104">
        <w:rPr>
          <w:rFonts w:ascii="Times New Roman" w:hAnsi="Times New Roman" w:cs="Times New Roman"/>
        </w:rPr>
        <w:t xml:space="preserve"> parties</w:t>
      </w:r>
      <w:r w:rsidR="0076347B">
        <w:rPr>
          <w:rFonts w:ascii="Times New Roman" w:hAnsi="Times New Roman" w:cs="Times New Roman"/>
        </w:rPr>
        <w:t xml:space="preserve"> must take to respect, protect and fulfill </w:t>
      </w:r>
      <w:r w:rsidR="0009234D">
        <w:rPr>
          <w:rFonts w:ascii="Times New Roman" w:hAnsi="Times New Roman" w:cs="Times New Roman"/>
        </w:rPr>
        <w:t>women’</w:t>
      </w:r>
      <w:r w:rsidR="006A4CC6">
        <w:rPr>
          <w:rFonts w:ascii="Times New Roman" w:hAnsi="Times New Roman" w:cs="Times New Roman"/>
        </w:rPr>
        <w:t xml:space="preserve">s </w:t>
      </w:r>
      <w:r w:rsidR="00B474DD" w:rsidRPr="0076347B">
        <w:rPr>
          <w:rFonts w:ascii="Times New Roman" w:hAnsi="Times New Roman" w:cs="Times New Roman"/>
        </w:rPr>
        <w:t>and girls’</w:t>
      </w:r>
      <w:r w:rsidR="00B474DD">
        <w:rPr>
          <w:rFonts w:ascii="Times New Roman" w:hAnsi="Times New Roman" w:cs="Times New Roman"/>
        </w:rPr>
        <w:t xml:space="preserve"> </w:t>
      </w:r>
      <w:r w:rsidR="006A4CC6">
        <w:rPr>
          <w:rFonts w:ascii="Times New Roman" w:hAnsi="Times New Roman" w:cs="Times New Roman"/>
        </w:rPr>
        <w:t>right</w:t>
      </w:r>
      <w:r w:rsidR="0076347B">
        <w:rPr>
          <w:rFonts w:ascii="Times New Roman" w:hAnsi="Times New Roman" w:cs="Times New Roman"/>
        </w:rPr>
        <w:t xml:space="preserve"> to life</w:t>
      </w:r>
      <w:r w:rsidR="006A4CC6">
        <w:rPr>
          <w:rFonts w:ascii="Times New Roman" w:hAnsi="Times New Roman" w:cs="Times New Roman"/>
        </w:rPr>
        <w:t xml:space="preserve">. </w:t>
      </w:r>
      <w:r w:rsidR="001D01B6">
        <w:rPr>
          <w:rFonts w:ascii="Times New Roman" w:hAnsi="Times New Roman" w:cs="Times New Roman"/>
        </w:rPr>
        <w:t xml:space="preserve">The current version of the general comment </w:t>
      </w:r>
      <w:r w:rsidR="00BC2013">
        <w:rPr>
          <w:rFonts w:ascii="Times New Roman" w:hAnsi="Times New Roman" w:cs="Times New Roman"/>
        </w:rPr>
        <w:t xml:space="preserve">reflects the Committee’s recognition of the </w:t>
      </w:r>
      <w:r w:rsidR="00317192">
        <w:rPr>
          <w:rFonts w:ascii="Times New Roman" w:hAnsi="Times New Roman" w:cs="Times New Roman"/>
        </w:rPr>
        <w:t>specific</w:t>
      </w:r>
      <w:r w:rsidR="005A01E4">
        <w:rPr>
          <w:rFonts w:ascii="Times New Roman" w:hAnsi="Times New Roman" w:cs="Times New Roman"/>
        </w:rPr>
        <w:t xml:space="preserve"> </w:t>
      </w:r>
      <w:r w:rsidR="00A02F5C">
        <w:rPr>
          <w:rFonts w:ascii="Times New Roman" w:hAnsi="Times New Roman" w:cs="Times New Roman"/>
        </w:rPr>
        <w:t xml:space="preserve">right to life </w:t>
      </w:r>
      <w:r w:rsidR="005A01E4">
        <w:rPr>
          <w:rFonts w:ascii="Times New Roman" w:hAnsi="Times New Roman" w:cs="Times New Roman"/>
        </w:rPr>
        <w:t xml:space="preserve">violations that </w:t>
      </w:r>
      <w:r w:rsidR="00BC2013">
        <w:rPr>
          <w:rFonts w:ascii="Times New Roman" w:hAnsi="Times New Roman" w:cs="Times New Roman"/>
        </w:rPr>
        <w:t>women</w:t>
      </w:r>
      <w:r w:rsidR="001D01B6">
        <w:rPr>
          <w:rFonts w:ascii="Times New Roman" w:hAnsi="Times New Roman" w:cs="Times New Roman"/>
        </w:rPr>
        <w:t xml:space="preserve"> and girls</w:t>
      </w:r>
      <w:r w:rsidR="00BC2013">
        <w:rPr>
          <w:rFonts w:ascii="Times New Roman" w:hAnsi="Times New Roman" w:cs="Times New Roman"/>
        </w:rPr>
        <w:t xml:space="preserve"> face</w:t>
      </w:r>
      <w:r w:rsidR="004556E5">
        <w:rPr>
          <w:rFonts w:ascii="Times New Roman" w:hAnsi="Times New Roman" w:cs="Times New Roman"/>
        </w:rPr>
        <w:t>,</w:t>
      </w:r>
      <w:r w:rsidR="00A02F5C">
        <w:rPr>
          <w:rFonts w:ascii="Times New Roman" w:hAnsi="Times New Roman" w:cs="Times New Roman"/>
        </w:rPr>
        <w:t xml:space="preserve"> which are</w:t>
      </w:r>
      <w:r w:rsidR="004556E5">
        <w:rPr>
          <w:rFonts w:ascii="Times New Roman" w:hAnsi="Times New Roman" w:cs="Times New Roman"/>
        </w:rPr>
        <w:t xml:space="preserve"> </w:t>
      </w:r>
      <w:r w:rsidR="00317192">
        <w:rPr>
          <w:rFonts w:ascii="Times New Roman" w:hAnsi="Times New Roman" w:cs="Times New Roman"/>
        </w:rPr>
        <w:t xml:space="preserve">often </w:t>
      </w:r>
      <w:r w:rsidR="004556E5">
        <w:rPr>
          <w:rFonts w:ascii="Times New Roman" w:hAnsi="Times New Roman" w:cs="Times New Roman"/>
        </w:rPr>
        <w:t>related to their childbearing capacities</w:t>
      </w:r>
      <w:r w:rsidR="00A02F5C">
        <w:rPr>
          <w:rFonts w:ascii="Times New Roman" w:hAnsi="Times New Roman" w:cs="Times New Roman"/>
        </w:rPr>
        <w:t xml:space="preserve"> and gender </w:t>
      </w:r>
      <w:r w:rsidR="00317192">
        <w:rPr>
          <w:rFonts w:ascii="Times New Roman" w:hAnsi="Times New Roman" w:cs="Times New Roman"/>
        </w:rPr>
        <w:t xml:space="preserve">stereotypes. </w:t>
      </w:r>
    </w:p>
    <w:p w14:paraId="17514ED5" w14:textId="77777777" w:rsidR="002C3104" w:rsidRDefault="002C3104" w:rsidP="00D64186">
      <w:pPr>
        <w:spacing w:after="0" w:line="240" w:lineRule="auto"/>
        <w:jc w:val="both"/>
        <w:rPr>
          <w:rFonts w:ascii="Times New Roman" w:hAnsi="Times New Roman" w:cs="Times New Roman"/>
        </w:rPr>
      </w:pPr>
    </w:p>
    <w:p w14:paraId="582ED92A" w14:textId="2E512C71" w:rsidR="00E242DE" w:rsidRDefault="001D01B6" w:rsidP="00D64186">
      <w:pPr>
        <w:spacing w:after="0" w:line="240" w:lineRule="auto"/>
        <w:jc w:val="both"/>
        <w:rPr>
          <w:rFonts w:ascii="Times New Roman" w:hAnsi="Times New Roman" w:cs="Times New Roman"/>
        </w:rPr>
      </w:pPr>
      <w:r>
        <w:rPr>
          <w:rFonts w:ascii="Times New Roman" w:hAnsi="Times New Roman" w:cs="Times New Roman"/>
        </w:rPr>
        <w:t xml:space="preserve">Critically, </w:t>
      </w:r>
      <w:r w:rsidR="002C3104">
        <w:rPr>
          <w:rFonts w:ascii="Times New Roman" w:hAnsi="Times New Roman" w:cs="Times New Roman"/>
        </w:rPr>
        <w:t>the draft as currently formulated also rightly</w:t>
      </w:r>
      <w:r>
        <w:rPr>
          <w:rFonts w:ascii="Times New Roman" w:hAnsi="Times New Roman" w:cs="Times New Roman"/>
        </w:rPr>
        <w:t xml:space="preserve"> acknowledges that the right to life </w:t>
      </w:r>
      <w:r w:rsidR="002C3104">
        <w:rPr>
          <w:rFonts w:ascii="Times New Roman" w:hAnsi="Times New Roman" w:cs="Times New Roman"/>
        </w:rPr>
        <w:t xml:space="preserve">concerns the </w:t>
      </w:r>
      <w:r w:rsidR="002C3104" w:rsidRPr="00AF7055">
        <w:rPr>
          <w:rFonts w:ascii="Times New Roman" w:hAnsi="Times New Roman" w:cs="Times New Roman"/>
        </w:rPr>
        <w:t xml:space="preserve">entitlement of individuals </w:t>
      </w:r>
      <w:r w:rsidR="002C3104">
        <w:rPr>
          <w:rFonts w:ascii="Times New Roman" w:hAnsi="Times New Roman" w:cs="Times New Roman"/>
        </w:rPr>
        <w:t>t</w:t>
      </w:r>
      <w:r w:rsidR="002C3104" w:rsidRPr="00AF7055">
        <w:rPr>
          <w:rFonts w:ascii="Times New Roman" w:hAnsi="Times New Roman" w:cs="Times New Roman"/>
        </w:rPr>
        <w:t>o enjoy a life with dignity</w:t>
      </w:r>
      <w:r w:rsidR="003570E7">
        <w:rPr>
          <w:rFonts w:ascii="Times New Roman" w:hAnsi="Times New Roman" w:cs="Times New Roman"/>
        </w:rPr>
        <w:t>.</w:t>
      </w:r>
      <w:r w:rsidR="002C3104">
        <w:rPr>
          <w:rStyle w:val="EndnoteReference"/>
          <w:rFonts w:ascii="Times New Roman" w:hAnsi="Times New Roman" w:cs="Times New Roman"/>
        </w:rPr>
        <w:endnoteReference w:id="1"/>
      </w:r>
      <w:r w:rsidR="002C3104">
        <w:rPr>
          <w:rFonts w:ascii="Times New Roman" w:hAnsi="Times New Roman" w:cs="Times New Roman"/>
        </w:rPr>
        <w:t xml:space="preserve"> In addition, the current draft accurately affirms that the right to life, in turn, encompasses the exercise of other rights that affect an individual’s ability to enjoy one’s right to life with dignity,</w:t>
      </w:r>
      <w:r w:rsidR="002C3104" w:rsidRPr="00591E84">
        <w:rPr>
          <w:rFonts w:ascii="Times New Roman" w:hAnsi="Times New Roman" w:cs="Times New Roman"/>
          <w:vertAlign w:val="superscript"/>
        </w:rPr>
        <w:endnoteReference w:id="2"/>
      </w:r>
      <w:r w:rsidR="002C3104" w:rsidRPr="00591E84">
        <w:rPr>
          <w:rFonts w:ascii="Times New Roman" w:hAnsi="Times New Roman" w:cs="Times New Roman"/>
        </w:rPr>
        <w:t xml:space="preserve"> </w:t>
      </w:r>
      <w:r w:rsidR="002C3104">
        <w:rPr>
          <w:rFonts w:ascii="Times New Roman" w:hAnsi="Times New Roman" w:cs="Times New Roman"/>
        </w:rPr>
        <w:t xml:space="preserve">such as the right to the highest attainable standard of health. </w:t>
      </w:r>
      <w:r w:rsidR="004D51B7">
        <w:rPr>
          <w:rFonts w:ascii="Times New Roman" w:hAnsi="Times New Roman" w:cs="Times New Roman"/>
        </w:rPr>
        <w:t>Moreover, we</w:t>
      </w:r>
      <w:r w:rsidR="00467018">
        <w:rPr>
          <w:rFonts w:ascii="Times New Roman" w:hAnsi="Times New Roman" w:cs="Times New Roman"/>
        </w:rPr>
        <w:t xml:space="preserve"> welcome the removal of references to the application of</w:t>
      </w:r>
      <w:r w:rsidR="002C3104">
        <w:rPr>
          <w:rFonts w:ascii="Times New Roman" w:hAnsi="Times New Roman" w:cs="Times New Roman"/>
        </w:rPr>
        <w:t xml:space="preserve"> Covenant</w:t>
      </w:r>
      <w:r w:rsidR="00467018">
        <w:rPr>
          <w:rFonts w:ascii="Times New Roman" w:hAnsi="Times New Roman" w:cs="Times New Roman"/>
        </w:rPr>
        <w:t xml:space="preserve"> rights before birth, consistent with the Committee’s own jurisprudence, the Covenant’s own </w:t>
      </w:r>
      <w:r w:rsidR="00E242DE" w:rsidRPr="00501A94">
        <w:rPr>
          <w:rFonts w:ascii="Times New Roman" w:hAnsi="Times New Roman" w:cs="Times New Roman"/>
          <w:i/>
        </w:rPr>
        <w:t>travaux preparatoires</w:t>
      </w:r>
      <w:r w:rsidR="00467018" w:rsidRPr="00505D43">
        <w:rPr>
          <w:rStyle w:val="EndnoteReference"/>
          <w:rFonts w:ascii="Times New Roman" w:hAnsi="Times New Roman" w:cs="Times New Roman"/>
        </w:rPr>
        <w:endnoteReference w:id="3"/>
      </w:r>
      <w:r w:rsidR="00467018" w:rsidRPr="00505D43">
        <w:rPr>
          <w:rFonts w:ascii="Times New Roman" w:hAnsi="Times New Roman" w:cs="Times New Roman"/>
        </w:rPr>
        <w:t xml:space="preserve"> </w:t>
      </w:r>
      <w:r w:rsidR="00467018">
        <w:rPr>
          <w:rFonts w:ascii="Times New Roman" w:hAnsi="Times New Roman" w:cs="Times New Roman"/>
        </w:rPr>
        <w:t>and in alignment with relevant international, regional and national practice</w:t>
      </w:r>
      <w:r w:rsidR="00680963">
        <w:rPr>
          <w:rFonts w:ascii="Times New Roman" w:hAnsi="Times New Roman" w:cs="Times New Roman"/>
        </w:rPr>
        <w:t>.</w:t>
      </w:r>
      <w:r w:rsidR="00C82F45">
        <w:rPr>
          <w:rStyle w:val="EndnoteReference"/>
          <w:rFonts w:ascii="Times New Roman" w:hAnsi="Times New Roman" w:cs="Times New Roman"/>
        </w:rPr>
        <w:endnoteReference w:id="4"/>
      </w:r>
    </w:p>
    <w:p w14:paraId="184DFBAC" w14:textId="77777777" w:rsidR="00BF2657" w:rsidRDefault="00BF2657" w:rsidP="00D64186">
      <w:pPr>
        <w:spacing w:after="0" w:line="240" w:lineRule="auto"/>
        <w:jc w:val="both"/>
        <w:rPr>
          <w:rFonts w:ascii="Times New Roman" w:hAnsi="Times New Roman" w:cs="Times New Roman"/>
        </w:rPr>
      </w:pPr>
    </w:p>
    <w:p w14:paraId="02BCC00B" w14:textId="2A1DDC55" w:rsidR="004959C0" w:rsidRPr="00317192" w:rsidRDefault="0049419C" w:rsidP="00D64186">
      <w:pPr>
        <w:spacing w:after="0" w:line="240" w:lineRule="auto"/>
        <w:jc w:val="both"/>
        <w:rPr>
          <w:rFonts w:ascii="Times New Roman" w:hAnsi="Times New Roman" w:cs="Times New Roman"/>
          <w:b/>
        </w:rPr>
      </w:pPr>
      <w:r>
        <w:rPr>
          <w:rFonts w:ascii="Times New Roman" w:hAnsi="Times New Roman" w:cs="Times New Roman"/>
        </w:rPr>
        <w:t>In</w:t>
      </w:r>
      <w:r w:rsidR="00383F8C">
        <w:rPr>
          <w:rFonts w:ascii="Times New Roman" w:hAnsi="Times New Roman" w:cs="Times New Roman"/>
        </w:rPr>
        <w:t xml:space="preserve"> the present document, we </w:t>
      </w:r>
      <w:r w:rsidR="00C73079">
        <w:rPr>
          <w:rFonts w:ascii="Times New Roman" w:hAnsi="Times New Roman" w:cs="Times New Roman"/>
        </w:rPr>
        <w:t>highlight</w:t>
      </w:r>
      <w:r w:rsidR="00383F8C">
        <w:rPr>
          <w:rFonts w:ascii="Times New Roman" w:hAnsi="Times New Roman" w:cs="Times New Roman"/>
        </w:rPr>
        <w:t xml:space="preserve"> </w:t>
      </w:r>
      <w:r w:rsidR="00E709C0">
        <w:rPr>
          <w:rFonts w:ascii="Times New Roman" w:hAnsi="Times New Roman" w:cs="Times New Roman"/>
        </w:rPr>
        <w:t>key</w:t>
      </w:r>
      <w:r w:rsidR="00317192">
        <w:rPr>
          <w:rFonts w:ascii="Times New Roman" w:hAnsi="Times New Roman" w:cs="Times New Roman"/>
        </w:rPr>
        <w:t xml:space="preserve"> areas </w:t>
      </w:r>
      <w:r w:rsidR="00E709C0">
        <w:rPr>
          <w:rFonts w:ascii="Times New Roman" w:hAnsi="Times New Roman" w:cs="Times New Roman"/>
        </w:rPr>
        <w:t>in which</w:t>
      </w:r>
      <w:r w:rsidR="00317192">
        <w:rPr>
          <w:rFonts w:ascii="Times New Roman" w:hAnsi="Times New Roman" w:cs="Times New Roman"/>
        </w:rPr>
        <w:t xml:space="preserve"> this C</w:t>
      </w:r>
      <w:r w:rsidR="002C3104">
        <w:rPr>
          <w:rFonts w:ascii="Times New Roman" w:hAnsi="Times New Roman" w:cs="Times New Roman"/>
        </w:rPr>
        <w:t>ommittee could further support S</w:t>
      </w:r>
      <w:r w:rsidR="00317192">
        <w:rPr>
          <w:rFonts w:ascii="Times New Roman" w:hAnsi="Times New Roman" w:cs="Times New Roman"/>
        </w:rPr>
        <w:t>tates</w:t>
      </w:r>
      <w:r w:rsidR="002C3104">
        <w:rPr>
          <w:rFonts w:ascii="Times New Roman" w:hAnsi="Times New Roman" w:cs="Times New Roman"/>
        </w:rPr>
        <w:t xml:space="preserve"> parties</w:t>
      </w:r>
      <w:r w:rsidR="00317192">
        <w:rPr>
          <w:rFonts w:ascii="Times New Roman" w:hAnsi="Times New Roman" w:cs="Times New Roman"/>
        </w:rPr>
        <w:t xml:space="preserve"> to respect, protect and fulfill women’s </w:t>
      </w:r>
      <w:r w:rsidR="00FF5086">
        <w:rPr>
          <w:rFonts w:ascii="Times New Roman" w:hAnsi="Times New Roman" w:cs="Times New Roman"/>
        </w:rPr>
        <w:t xml:space="preserve">and girls’ </w:t>
      </w:r>
      <w:r w:rsidR="00317192">
        <w:rPr>
          <w:rFonts w:ascii="Times New Roman" w:hAnsi="Times New Roman" w:cs="Times New Roman"/>
        </w:rPr>
        <w:t>right to life. G</w:t>
      </w:r>
      <w:r w:rsidR="0033121F">
        <w:rPr>
          <w:rFonts w:ascii="Times New Roman" w:hAnsi="Times New Roman" w:cs="Times New Roman"/>
        </w:rPr>
        <w:t>endered threats to this right</w:t>
      </w:r>
      <w:r w:rsidR="00317192">
        <w:rPr>
          <w:rFonts w:ascii="Times New Roman" w:hAnsi="Times New Roman" w:cs="Times New Roman"/>
        </w:rPr>
        <w:t xml:space="preserve"> are inextricably intertwined with women’s</w:t>
      </w:r>
      <w:r w:rsidR="00FF5086">
        <w:rPr>
          <w:rFonts w:ascii="Times New Roman" w:hAnsi="Times New Roman" w:cs="Times New Roman"/>
        </w:rPr>
        <w:t xml:space="preserve"> and girls’</w:t>
      </w:r>
      <w:r w:rsidR="00317192">
        <w:rPr>
          <w:rFonts w:ascii="Times New Roman" w:hAnsi="Times New Roman" w:cs="Times New Roman"/>
        </w:rPr>
        <w:t xml:space="preserve"> lower socioeconomic status globally</w:t>
      </w:r>
      <w:r w:rsidR="00CA208E">
        <w:rPr>
          <w:rFonts w:ascii="Times New Roman" w:hAnsi="Times New Roman" w:cs="Times New Roman"/>
        </w:rPr>
        <w:t>,</w:t>
      </w:r>
      <w:r w:rsidR="000F35DA">
        <w:rPr>
          <w:rFonts w:ascii="Times New Roman" w:hAnsi="Times New Roman" w:cs="Times New Roman"/>
        </w:rPr>
        <w:t xml:space="preserve"> as well as</w:t>
      </w:r>
      <w:r w:rsidR="00317192">
        <w:rPr>
          <w:rFonts w:ascii="Times New Roman" w:hAnsi="Times New Roman" w:cs="Times New Roman"/>
        </w:rPr>
        <w:t xml:space="preserve"> </w:t>
      </w:r>
      <w:r w:rsidR="00FF5086">
        <w:rPr>
          <w:rFonts w:ascii="Times New Roman" w:hAnsi="Times New Roman" w:cs="Times New Roman"/>
        </w:rPr>
        <w:t xml:space="preserve">their </w:t>
      </w:r>
      <w:r w:rsidR="00317192">
        <w:rPr>
          <w:rFonts w:ascii="Times New Roman" w:hAnsi="Times New Roman" w:cs="Times New Roman"/>
        </w:rPr>
        <w:t>unique health risks</w:t>
      </w:r>
      <w:r w:rsidR="00FF5086">
        <w:rPr>
          <w:rFonts w:ascii="Times New Roman" w:hAnsi="Times New Roman" w:cs="Times New Roman"/>
        </w:rPr>
        <w:t xml:space="preserve">, </w:t>
      </w:r>
      <w:r w:rsidR="000F35DA">
        <w:rPr>
          <w:rFonts w:ascii="Times New Roman" w:hAnsi="Times New Roman" w:cs="Times New Roman"/>
        </w:rPr>
        <w:t>which may be compounded by</w:t>
      </w:r>
      <w:r w:rsidR="00CA208E">
        <w:rPr>
          <w:rFonts w:ascii="Times New Roman" w:hAnsi="Times New Roman" w:cs="Times New Roman"/>
        </w:rPr>
        <w:t xml:space="preserve"> </w:t>
      </w:r>
      <w:r w:rsidR="002C3104">
        <w:rPr>
          <w:rFonts w:ascii="Times New Roman" w:hAnsi="Times New Roman" w:cs="Times New Roman"/>
        </w:rPr>
        <w:t>marginalization on other grounds</w:t>
      </w:r>
      <w:r w:rsidR="00317192">
        <w:rPr>
          <w:rFonts w:ascii="Times New Roman" w:hAnsi="Times New Roman" w:cs="Times New Roman"/>
        </w:rPr>
        <w:t>. In light of these considerations,</w:t>
      </w:r>
      <w:r w:rsidR="0009234D">
        <w:rPr>
          <w:rFonts w:ascii="Times New Roman" w:hAnsi="Times New Roman" w:cs="Times New Roman"/>
        </w:rPr>
        <w:t xml:space="preserve"> this submission focuses on three specific </w:t>
      </w:r>
      <w:r w:rsidR="00553DF6">
        <w:rPr>
          <w:rFonts w:ascii="Times New Roman" w:hAnsi="Times New Roman" w:cs="Times New Roman"/>
        </w:rPr>
        <w:t>areas that merit further attention</w:t>
      </w:r>
      <w:r w:rsidR="0009234D">
        <w:rPr>
          <w:rFonts w:ascii="Times New Roman" w:hAnsi="Times New Roman" w:cs="Times New Roman"/>
        </w:rPr>
        <w:t>:</w:t>
      </w:r>
    </w:p>
    <w:p w14:paraId="1E200F36" w14:textId="4A9B8B49" w:rsidR="0009234D" w:rsidRDefault="005B22D3" w:rsidP="00D64186">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rPr>
        <w:t>Recognition of the rights to</w:t>
      </w:r>
      <w:r w:rsidR="0009234D">
        <w:rPr>
          <w:rFonts w:ascii="Times New Roman" w:hAnsi="Times New Roman" w:cs="Times New Roman"/>
        </w:rPr>
        <w:t xml:space="preserve"> non-discrimination</w:t>
      </w:r>
      <w:r w:rsidR="0069380A">
        <w:rPr>
          <w:rFonts w:ascii="Times New Roman" w:hAnsi="Times New Roman" w:cs="Times New Roman"/>
        </w:rPr>
        <w:t>,</w:t>
      </w:r>
      <w:r w:rsidR="006344AC">
        <w:rPr>
          <w:rFonts w:ascii="Times New Roman" w:hAnsi="Times New Roman" w:cs="Times New Roman"/>
        </w:rPr>
        <w:t xml:space="preserve"> </w:t>
      </w:r>
      <w:r w:rsidR="005413FE">
        <w:rPr>
          <w:rFonts w:ascii="Times New Roman" w:hAnsi="Times New Roman" w:cs="Times New Roman"/>
        </w:rPr>
        <w:t>equality before the law</w:t>
      </w:r>
      <w:r w:rsidR="0069380A">
        <w:rPr>
          <w:rFonts w:ascii="Times New Roman" w:hAnsi="Times New Roman" w:cs="Times New Roman"/>
        </w:rPr>
        <w:t xml:space="preserve"> and equal protection of the law</w:t>
      </w:r>
      <w:r w:rsidR="005413FE">
        <w:rPr>
          <w:rFonts w:ascii="Times New Roman" w:hAnsi="Times New Roman" w:cs="Times New Roman"/>
        </w:rPr>
        <w:t>,</w:t>
      </w:r>
      <w:r w:rsidR="00B76218">
        <w:rPr>
          <w:rFonts w:ascii="Times New Roman" w:hAnsi="Times New Roman" w:cs="Times New Roman"/>
        </w:rPr>
        <w:t xml:space="preserve"> specifically in relation to gender</w:t>
      </w:r>
      <w:r w:rsidR="00020C3D">
        <w:rPr>
          <w:rFonts w:ascii="Times New Roman" w:hAnsi="Times New Roman" w:cs="Times New Roman"/>
        </w:rPr>
        <w:t xml:space="preserve"> and sex</w:t>
      </w:r>
      <w:r w:rsidR="00B76218">
        <w:rPr>
          <w:rFonts w:ascii="Times New Roman" w:hAnsi="Times New Roman" w:cs="Times New Roman"/>
        </w:rPr>
        <w:t>,</w:t>
      </w:r>
      <w:r w:rsidR="005413FE">
        <w:rPr>
          <w:rFonts w:ascii="Times New Roman" w:hAnsi="Times New Roman" w:cs="Times New Roman"/>
        </w:rPr>
        <w:t xml:space="preserve"> as </w:t>
      </w:r>
      <w:r w:rsidR="0009234D">
        <w:rPr>
          <w:rFonts w:ascii="Times New Roman" w:hAnsi="Times New Roman" w:cs="Times New Roman"/>
        </w:rPr>
        <w:t>fundamental component</w:t>
      </w:r>
      <w:r w:rsidR="005413FE">
        <w:rPr>
          <w:rFonts w:ascii="Times New Roman" w:hAnsi="Times New Roman" w:cs="Times New Roman"/>
        </w:rPr>
        <w:t>s</w:t>
      </w:r>
      <w:r w:rsidR="0009234D">
        <w:rPr>
          <w:rFonts w:ascii="Times New Roman" w:hAnsi="Times New Roman" w:cs="Times New Roman"/>
        </w:rPr>
        <w:t xml:space="preserve"> of the right to life</w:t>
      </w:r>
      <w:r w:rsidR="008C2008">
        <w:rPr>
          <w:rFonts w:ascii="Times New Roman" w:hAnsi="Times New Roman" w:cs="Times New Roman"/>
        </w:rPr>
        <w:t xml:space="preserve"> (paragraph 9)</w:t>
      </w:r>
      <w:r w:rsidR="0009234D">
        <w:rPr>
          <w:rFonts w:ascii="Times New Roman" w:hAnsi="Times New Roman" w:cs="Times New Roman"/>
        </w:rPr>
        <w:t>;</w:t>
      </w:r>
    </w:p>
    <w:p w14:paraId="4EF43A59" w14:textId="7EA4F360" w:rsidR="0009234D" w:rsidRDefault="0009234D" w:rsidP="00D64186">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rPr>
        <w:t>L</w:t>
      </w:r>
      <w:r w:rsidR="005B22D3">
        <w:rPr>
          <w:rFonts w:ascii="Times New Roman" w:hAnsi="Times New Roman" w:cs="Times New Roman"/>
        </w:rPr>
        <w:t>iberalization of</w:t>
      </w:r>
      <w:r>
        <w:rPr>
          <w:rFonts w:ascii="Times New Roman" w:hAnsi="Times New Roman" w:cs="Times New Roman"/>
        </w:rPr>
        <w:t xml:space="preserve"> abortion laws to ensure</w:t>
      </w:r>
      <w:r w:rsidR="002E6D14">
        <w:rPr>
          <w:rFonts w:ascii="Times New Roman" w:hAnsi="Times New Roman" w:cs="Times New Roman"/>
        </w:rPr>
        <w:t xml:space="preserve"> women’s</w:t>
      </w:r>
      <w:r w:rsidR="005413FE">
        <w:rPr>
          <w:rFonts w:ascii="Times New Roman" w:hAnsi="Times New Roman" w:cs="Times New Roman"/>
        </w:rPr>
        <w:t xml:space="preserve"> and girls’</w:t>
      </w:r>
      <w:r w:rsidR="002E6D14">
        <w:rPr>
          <w:rFonts w:ascii="Times New Roman" w:hAnsi="Times New Roman" w:cs="Times New Roman"/>
        </w:rPr>
        <w:t xml:space="preserve"> right to life by eliminating preventable maternal mortality</w:t>
      </w:r>
      <w:r w:rsidR="005413FE">
        <w:rPr>
          <w:rFonts w:ascii="Times New Roman" w:hAnsi="Times New Roman" w:cs="Times New Roman"/>
        </w:rPr>
        <w:t xml:space="preserve"> and morbidity</w:t>
      </w:r>
      <w:r w:rsidR="008C2008">
        <w:rPr>
          <w:rFonts w:ascii="Times New Roman" w:hAnsi="Times New Roman" w:cs="Times New Roman"/>
        </w:rPr>
        <w:t xml:space="preserve"> (paragraph 9)</w:t>
      </w:r>
      <w:r w:rsidR="002E6D14">
        <w:rPr>
          <w:rFonts w:ascii="Times New Roman" w:hAnsi="Times New Roman" w:cs="Times New Roman"/>
        </w:rPr>
        <w:t>; and</w:t>
      </w:r>
    </w:p>
    <w:p w14:paraId="0A6F4DDD" w14:textId="25B0A2B0" w:rsidR="0009234D" w:rsidRPr="0009234D" w:rsidRDefault="00986C14" w:rsidP="00D64186">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rPr>
        <w:t xml:space="preserve">Ensuring access </w:t>
      </w:r>
      <w:r w:rsidR="000C43F2">
        <w:rPr>
          <w:rFonts w:ascii="Times New Roman" w:hAnsi="Times New Roman" w:cs="Times New Roman"/>
        </w:rPr>
        <w:t xml:space="preserve">to </w:t>
      </w:r>
      <w:r>
        <w:rPr>
          <w:rFonts w:ascii="Times New Roman" w:hAnsi="Times New Roman" w:cs="Times New Roman"/>
        </w:rPr>
        <w:t xml:space="preserve">a </w:t>
      </w:r>
      <w:r w:rsidR="0009234D">
        <w:rPr>
          <w:rFonts w:ascii="Times New Roman" w:hAnsi="Times New Roman" w:cs="Times New Roman"/>
        </w:rPr>
        <w:t>comprehensive</w:t>
      </w:r>
      <w:r>
        <w:rPr>
          <w:rFonts w:ascii="Times New Roman" w:hAnsi="Times New Roman" w:cs="Times New Roman"/>
        </w:rPr>
        <w:t xml:space="preserve"> range of quality</w:t>
      </w:r>
      <w:r w:rsidR="0009234D">
        <w:rPr>
          <w:rFonts w:ascii="Times New Roman" w:hAnsi="Times New Roman" w:cs="Times New Roman"/>
        </w:rPr>
        <w:t xml:space="preserve"> sexual and reproductive health services in order to</w:t>
      </w:r>
      <w:r w:rsidR="002759B0">
        <w:rPr>
          <w:rFonts w:ascii="Times New Roman" w:hAnsi="Times New Roman" w:cs="Times New Roman"/>
        </w:rPr>
        <w:t xml:space="preserve"> prevent maternal mortality and morbidity and</w:t>
      </w:r>
      <w:r w:rsidR="0009234D">
        <w:rPr>
          <w:rFonts w:ascii="Times New Roman" w:hAnsi="Times New Roman" w:cs="Times New Roman"/>
        </w:rPr>
        <w:t xml:space="preserve"> enable women</w:t>
      </w:r>
      <w:r w:rsidR="005413FE">
        <w:rPr>
          <w:rFonts w:ascii="Times New Roman" w:hAnsi="Times New Roman" w:cs="Times New Roman"/>
        </w:rPr>
        <w:t xml:space="preserve"> and girls</w:t>
      </w:r>
      <w:r w:rsidR="0009234D">
        <w:rPr>
          <w:rFonts w:ascii="Times New Roman" w:hAnsi="Times New Roman" w:cs="Times New Roman"/>
        </w:rPr>
        <w:t xml:space="preserve"> to enjoy the right to life</w:t>
      </w:r>
      <w:r w:rsidR="008C2008">
        <w:rPr>
          <w:rFonts w:ascii="Times New Roman" w:hAnsi="Times New Roman" w:cs="Times New Roman"/>
        </w:rPr>
        <w:t xml:space="preserve"> (paragraph 30)</w:t>
      </w:r>
      <w:r w:rsidR="0009234D">
        <w:rPr>
          <w:rFonts w:ascii="Times New Roman" w:hAnsi="Times New Roman" w:cs="Times New Roman"/>
        </w:rPr>
        <w:t>.</w:t>
      </w:r>
    </w:p>
    <w:p w14:paraId="6B0ACF7B" w14:textId="43314C21" w:rsidR="001C23A3" w:rsidRDefault="001C23A3" w:rsidP="00D64186">
      <w:pPr>
        <w:spacing w:after="0" w:line="240" w:lineRule="auto"/>
        <w:jc w:val="both"/>
        <w:rPr>
          <w:rFonts w:ascii="Times New Roman" w:hAnsi="Times New Roman" w:cs="Times New Roman"/>
        </w:rPr>
      </w:pPr>
    </w:p>
    <w:p w14:paraId="55426FEB" w14:textId="5350BEF4" w:rsidR="00FA4756" w:rsidRDefault="00FA4756" w:rsidP="00D64186">
      <w:pPr>
        <w:spacing w:after="0" w:line="240" w:lineRule="auto"/>
        <w:jc w:val="both"/>
        <w:rPr>
          <w:rFonts w:ascii="Times New Roman" w:hAnsi="Times New Roman" w:cs="Times New Roman"/>
        </w:rPr>
      </w:pPr>
    </w:p>
    <w:p w14:paraId="5BBA7B7E" w14:textId="1C9753EB" w:rsidR="000D4FFD" w:rsidRDefault="000D4FFD" w:rsidP="00D64186">
      <w:pPr>
        <w:spacing w:after="0" w:line="240" w:lineRule="auto"/>
        <w:jc w:val="both"/>
        <w:rPr>
          <w:rFonts w:ascii="Times New Roman" w:hAnsi="Times New Roman" w:cs="Times New Roman"/>
        </w:rPr>
      </w:pPr>
    </w:p>
    <w:p w14:paraId="747B2207" w14:textId="77777777" w:rsidR="00456F96" w:rsidRDefault="00456F96" w:rsidP="00D64186">
      <w:pPr>
        <w:spacing w:after="0" w:line="240" w:lineRule="auto"/>
        <w:jc w:val="both"/>
        <w:rPr>
          <w:rFonts w:ascii="Times New Roman" w:hAnsi="Times New Roman" w:cs="Times New Roman"/>
        </w:rPr>
      </w:pPr>
    </w:p>
    <w:p w14:paraId="3A4EB793" w14:textId="77777777" w:rsidR="000D4FFD" w:rsidRDefault="000D4FFD" w:rsidP="00D64186">
      <w:pPr>
        <w:spacing w:after="0" w:line="240" w:lineRule="auto"/>
        <w:jc w:val="both"/>
        <w:rPr>
          <w:rFonts w:ascii="Times New Roman" w:hAnsi="Times New Roman" w:cs="Times New Roman"/>
        </w:rPr>
      </w:pPr>
    </w:p>
    <w:p w14:paraId="750C1F79" w14:textId="2E0AA220" w:rsidR="00FA4756" w:rsidRDefault="00FA4756" w:rsidP="00D64186">
      <w:pPr>
        <w:spacing w:after="0" w:line="240" w:lineRule="auto"/>
        <w:jc w:val="both"/>
        <w:rPr>
          <w:rFonts w:ascii="Times New Roman" w:hAnsi="Times New Roman" w:cs="Times New Roman"/>
        </w:rPr>
      </w:pPr>
    </w:p>
    <w:p w14:paraId="68FA82FC" w14:textId="77777777" w:rsidR="00FA4756" w:rsidRDefault="00FA4756" w:rsidP="00D64186">
      <w:pPr>
        <w:spacing w:after="0" w:line="240" w:lineRule="auto"/>
        <w:jc w:val="both"/>
        <w:rPr>
          <w:rFonts w:ascii="Times New Roman" w:hAnsi="Times New Roman" w:cs="Times New Roman"/>
        </w:rPr>
      </w:pPr>
    </w:p>
    <w:p w14:paraId="18C6845E" w14:textId="5E758BA6" w:rsidR="00074C72" w:rsidRPr="003F7FC2" w:rsidRDefault="00074C72" w:rsidP="00D64186">
      <w:pPr>
        <w:pStyle w:val="ListParagraph"/>
        <w:numPr>
          <w:ilvl w:val="0"/>
          <w:numId w:val="1"/>
        </w:numPr>
        <w:spacing w:after="0" w:line="240" w:lineRule="auto"/>
        <w:jc w:val="both"/>
        <w:rPr>
          <w:rFonts w:ascii="Times New Roman" w:hAnsi="Times New Roman" w:cs="Times New Roman"/>
          <w:b/>
        </w:rPr>
      </w:pPr>
      <w:r w:rsidRPr="00E63D45">
        <w:rPr>
          <w:rFonts w:ascii="Times New Roman" w:hAnsi="Times New Roman" w:cs="Times New Roman"/>
          <w:b/>
        </w:rPr>
        <w:lastRenderedPageBreak/>
        <w:t>The</w:t>
      </w:r>
      <w:r w:rsidR="0079148A" w:rsidRPr="00E63D45">
        <w:rPr>
          <w:rFonts w:ascii="Times New Roman" w:hAnsi="Times New Roman" w:cs="Times New Roman"/>
          <w:b/>
        </w:rPr>
        <w:t xml:space="preserve"> right to life </w:t>
      </w:r>
      <w:r w:rsidRPr="00E63D45">
        <w:rPr>
          <w:rFonts w:ascii="Times New Roman" w:hAnsi="Times New Roman" w:cs="Times New Roman"/>
          <w:b/>
        </w:rPr>
        <w:t xml:space="preserve">is </w:t>
      </w:r>
      <w:r w:rsidR="00882268">
        <w:rPr>
          <w:rFonts w:ascii="Times New Roman" w:hAnsi="Times New Roman" w:cs="Times New Roman"/>
          <w:b/>
        </w:rPr>
        <w:t>interdependent</w:t>
      </w:r>
      <w:r w:rsidR="002F6BE1">
        <w:rPr>
          <w:rFonts w:ascii="Times New Roman" w:hAnsi="Times New Roman" w:cs="Times New Roman"/>
          <w:b/>
        </w:rPr>
        <w:t xml:space="preserve"> on,</w:t>
      </w:r>
      <w:r w:rsidR="00882268">
        <w:rPr>
          <w:rFonts w:ascii="Times New Roman" w:hAnsi="Times New Roman" w:cs="Times New Roman"/>
          <w:b/>
        </w:rPr>
        <w:t xml:space="preserve"> and indivisible from</w:t>
      </w:r>
      <w:r w:rsidR="002F6BE1">
        <w:rPr>
          <w:rFonts w:ascii="Times New Roman" w:hAnsi="Times New Roman" w:cs="Times New Roman"/>
          <w:b/>
        </w:rPr>
        <w:t>,</w:t>
      </w:r>
      <w:r w:rsidRPr="00E63D45">
        <w:rPr>
          <w:rFonts w:ascii="Times New Roman" w:hAnsi="Times New Roman" w:cs="Times New Roman"/>
          <w:b/>
        </w:rPr>
        <w:t xml:space="preserve"> </w:t>
      </w:r>
      <w:r w:rsidR="00C87699">
        <w:rPr>
          <w:rFonts w:ascii="Times New Roman" w:hAnsi="Times New Roman" w:cs="Times New Roman"/>
          <w:b/>
        </w:rPr>
        <w:t xml:space="preserve">the </w:t>
      </w:r>
      <w:r w:rsidR="00882268">
        <w:rPr>
          <w:rFonts w:ascii="Times New Roman" w:hAnsi="Times New Roman" w:cs="Times New Roman"/>
          <w:b/>
        </w:rPr>
        <w:t xml:space="preserve">right </w:t>
      </w:r>
      <w:r w:rsidR="00C87699">
        <w:rPr>
          <w:rFonts w:ascii="Times New Roman" w:hAnsi="Times New Roman" w:cs="Times New Roman"/>
          <w:b/>
        </w:rPr>
        <w:t>to non-discrimination</w:t>
      </w:r>
      <w:r w:rsidR="00882268">
        <w:rPr>
          <w:rFonts w:ascii="Times New Roman" w:hAnsi="Times New Roman" w:cs="Times New Roman"/>
          <w:b/>
        </w:rPr>
        <w:t xml:space="preserve">, as well as the right to equality before the law and equal protection of the law, </w:t>
      </w:r>
      <w:r w:rsidR="00541B99">
        <w:rPr>
          <w:rFonts w:ascii="Times New Roman" w:hAnsi="Times New Roman" w:cs="Times New Roman"/>
          <w:b/>
        </w:rPr>
        <w:t>as</w:t>
      </w:r>
      <w:r w:rsidR="001805CD">
        <w:rPr>
          <w:rFonts w:ascii="Times New Roman" w:hAnsi="Times New Roman" w:cs="Times New Roman"/>
          <w:b/>
        </w:rPr>
        <w:t xml:space="preserve"> </w:t>
      </w:r>
      <w:r w:rsidR="003F7FC2" w:rsidRPr="003F7FC2">
        <w:rPr>
          <w:rFonts w:ascii="Times New Roman" w:hAnsi="Times New Roman" w:cs="Times New Roman"/>
          <w:b/>
        </w:rPr>
        <w:t>g</w:t>
      </w:r>
      <w:r w:rsidR="003F7FC2" w:rsidRPr="003F7FC2">
        <w:rPr>
          <w:rFonts w:ascii="Times New Roman" w:hAnsi="Times New Roman" w:cs="Times New Roman"/>
          <w:b/>
          <w:lang w:val="en-GB"/>
        </w:rPr>
        <w:t>ender-bas</w:t>
      </w:r>
      <w:r w:rsidR="00B05813">
        <w:rPr>
          <w:rFonts w:ascii="Times New Roman" w:hAnsi="Times New Roman" w:cs="Times New Roman"/>
          <w:b/>
          <w:lang w:val="en-GB"/>
        </w:rPr>
        <w:t xml:space="preserve">ed discrimination detrimentally affects </w:t>
      </w:r>
      <w:r w:rsidR="003F7FC2" w:rsidRPr="003F7FC2">
        <w:rPr>
          <w:rFonts w:ascii="Times New Roman" w:hAnsi="Times New Roman" w:cs="Times New Roman"/>
          <w:b/>
          <w:lang w:val="en-GB"/>
        </w:rPr>
        <w:t>women’s</w:t>
      </w:r>
      <w:r w:rsidR="00B05813">
        <w:rPr>
          <w:rFonts w:ascii="Times New Roman" w:hAnsi="Times New Roman" w:cs="Times New Roman"/>
          <w:b/>
          <w:lang w:val="en-GB"/>
        </w:rPr>
        <w:t xml:space="preserve"> and girls’</w:t>
      </w:r>
      <w:r w:rsidR="003F7FC2" w:rsidRPr="003F7FC2">
        <w:rPr>
          <w:rFonts w:ascii="Times New Roman" w:hAnsi="Times New Roman" w:cs="Times New Roman"/>
          <w:b/>
          <w:lang w:val="en-GB"/>
        </w:rPr>
        <w:t xml:space="preserve"> right to life.</w:t>
      </w:r>
    </w:p>
    <w:p w14:paraId="12D0C62B" w14:textId="77777777" w:rsidR="00074C72" w:rsidRPr="003F7FC2" w:rsidRDefault="00074C72" w:rsidP="00D64186">
      <w:pPr>
        <w:spacing w:after="0" w:line="240" w:lineRule="auto"/>
        <w:jc w:val="both"/>
        <w:rPr>
          <w:rFonts w:ascii="Times New Roman" w:hAnsi="Times New Roman" w:cs="Times New Roman"/>
        </w:rPr>
      </w:pPr>
    </w:p>
    <w:p w14:paraId="6E4F260D" w14:textId="72A0FC39" w:rsidR="00470DD9" w:rsidRPr="00420C51" w:rsidRDefault="00074C72" w:rsidP="00D64186">
      <w:pPr>
        <w:spacing w:after="0" w:line="240" w:lineRule="auto"/>
        <w:jc w:val="both"/>
        <w:rPr>
          <w:rFonts w:ascii="Times New Roman" w:hAnsi="Times New Roman" w:cs="Times New Roman"/>
        </w:rPr>
      </w:pPr>
      <w:r>
        <w:rPr>
          <w:rFonts w:ascii="Times New Roman" w:hAnsi="Times New Roman" w:cs="Times New Roman"/>
        </w:rPr>
        <w:t>As the Committee has</w:t>
      </w:r>
      <w:r w:rsidR="009C153B">
        <w:rPr>
          <w:rFonts w:ascii="Times New Roman" w:hAnsi="Times New Roman" w:cs="Times New Roman"/>
        </w:rPr>
        <w:t xml:space="preserve"> aptly </w:t>
      </w:r>
      <w:r w:rsidR="009608EA">
        <w:rPr>
          <w:rFonts w:ascii="Times New Roman" w:hAnsi="Times New Roman" w:cs="Times New Roman"/>
        </w:rPr>
        <w:t>acknowledge</w:t>
      </w:r>
      <w:r w:rsidR="009C153B">
        <w:rPr>
          <w:rFonts w:ascii="Times New Roman" w:hAnsi="Times New Roman" w:cs="Times New Roman"/>
        </w:rPr>
        <w:t>d</w:t>
      </w:r>
      <w:r w:rsidR="00420C51">
        <w:rPr>
          <w:rFonts w:ascii="Times New Roman" w:hAnsi="Times New Roman" w:cs="Times New Roman"/>
        </w:rPr>
        <w:t xml:space="preserve"> in this draft general comment</w:t>
      </w:r>
      <w:r>
        <w:rPr>
          <w:rFonts w:ascii="Times New Roman" w:hAnsi="Times New Roman" w:cs="Times New Roman"/>
        </w:rPr>
        <w:t xml:space="preserve">, the right to life, as well as its </w:t>
      </w:r>
      <w:r w:rsidR="009C153B">
        <w:rPr>
          <w:rFonts w:ascii="Times New Roman" w:hAnsi="Times New Roman" w:cs="Times New Roman"/>
        </w:rPr>
        <w:t>enjoyment with dignity, is</w:t>
      </w:r>
      <w:r>
        <w:rPr>
          <w:rFonts w:ascii="Times New Roman" w:hAnsi="Times New Roman" w:cs="Times New Roman"/>
        </w:rPr>
        <w:t xml:space="preserve"> inherently connected to</w:t>
      </w:r>
      <w:r w:rsidR="009C153B">
        <w:rPr>
          <w:rFonts w:ascii="Times New Roman" w:hAnsi="Times New Roman" w:cs="Times New Roman"/>
        </w:rPr>
        <w:t xml:space="preserve"> the exercise of</w:t>
      </w:r>
      <w:r w:rsidR="009608EA">
        <w:rPr>
          <w:rFonts w:ascii="Times New Roman" w:hAnsi="Times New Roman" w:cs="Times New Roman"/>
        </w:rPr>
        <w:t xml:space="preserve"> </w:t>
      </w:r>
      <w:r>
        <w:rPr>
          <w:rFonts w:ascii="Times New Roman" w:hAnsi="Times New Roman" w:cs="Times New Roman"/>
        </w:rPr>
        <w:t xml:space="preserve">other </w:t>
      </w:r>
      <w:r w:rsidR="009C153B">
        <w:rPr>
          <w:rFonts w:ascii="Times New Roman" w:hAnsi="Times New Roman" w:cs="Times New Roman"/>
        </w:rPr>
        <w:t xml:space="preserve">Covenant </w:t>
      </w:r>
      <w:r>
        <w:rPr>
          <w:rFonts w:ascii="Times New Roman" w:hAnsi="Times New Roman" w:cs="Times New Roman"/>
        </w:rPr>
        <w:t>rights.</w:t>
      </w:r>
      <w:r w:rsidR="00420C51">
        <w:rPr>
          <w:rFonts w:ascii="Times New Roman" w:hAnsi="Times New Roman" w:cs="Times New Roman"/>
        </w:rPr>
        <w:t xml:space="preserve"> Restrictions on women’s </w:t>
      </w:r>
      <w:r w:rsidR="008D6356">
        <w:rPr>
          <w:rFonts w:ascii="Times New Roman" w:hAnsi="Times New Roman" w:cs="Times New Roman"/>
        </w:rPr>
        <w:t xml:space="preserve">and girls’ </w:t>
      </w:r>
      <w:r w:rsidR="00420C51">
        <w:rPr>
          <w:rFonts w:ascii="Times New Roman" w:hAnsi="Times New Roman" w:cs="Times New Roman"/>
        </w:rPr>
        <w:t xml:space="preserve">access to sexual and reproductive health services, including </w:t>
      </w:r>
      <w:r w:rsidR="005A01E4">
        <w:rPr>
          <w:rFonts w:ascii="Times New Roman" w:hAnsi="Times New Roman" w:cs="Times New Roman"/>
        </w:rPr>
        <w:t xml:space="preserve">safe </w:t>
      </w:r>
      <w:r w:rsidR="00420C51">
        <w:rPr>
          <w:rFonts w:ascii="Times New Roman" w:hAnsi="Times New Roman" w:cs="Times New Roman"/>
        </w:rPr>
        <w:t xml:space="preserve">abortion, not only implicate the right to life, but also </w:t>
      </w:r>
      <w:r w:rsidR="0018294B">
        <w:rPr>
          <w:rFonts w:ascii="Times New Roman" w:hAnsi="Times New Roman" w:cs="Times New Roman"/>
        </w:rPr>
        <w:t xml:space="preserve">the </w:t>
      </w:r>
      <w:r w:rsidR="00420C51">
        <w:rPr>
          <w:rFonts w:ascii="Times New Roman" w:hAnsi="Times New Roman" w:cs="Times New Roman"/>
        </w:rPr>
        <w:t>rights to non-discrimination (articles</w:t>
      </w:r>
      <w:r w:rsidR="0018294B">
        <w:rPr>
          <w:rFonts w:ascii="Times New Roman" w:hAnsi="Times New Roman" w:cs="Times New Roman"/>
        </w:rPr>
        <w:t xml:space="preserve"> 2 and 3), privacy (article 17),</w:t>
      </w:r>
      <w:r w:rsidR="00420C51">
        <w:rPr>
          <w:rFonts w:ascii="Times New Roman" w:hAnsi="Times New Roman" w:cs="Times New Roman"/>
        </w:rPr>
        <w:t xml:space="preserve"> freedom from torture, cruel inhumane and degrading treatment (article 7)</w:t>
      </w:r>
      <w:r w:rsidR="0018294B">
        <w:rPr>
          <w:rFonts w:ascii="Times New Roman" w:hAnsi="Times New Roman" w:cs="Times New Roman"/>
        </w:rPr>
        <w:t>, and the right to equality before the law and equal protection of the law without discrimination (article 26).</w:t>
      </w:r>
      <w:r w:rsidR="009608EA">
        <w:rPr>
          <w:rStyle w:val="EndnoteReference"/>
          <w:rFonts w:ascii="Times New Roman" w:hAnsi="Times New Roman" w:cs="Times New Roman"/>
        </w:rPr>
        <w:endnoteReference w:id="5"/>
      </w:r>
      <w:r w:rsidR="00420C51">
        <w:rPr>
          <w:rFonts w:ascii="Times New Roman" w:hAnsi="Times New Roman" w:cs="Times New Roman"/>
        </w:rPr>
        <w:t xml:space="preserve"> </w:t>
      </w:r>
      <w:r w:rsidR="00432DAB">
        <w:rPr>
          <w:rFonts w:ascii="Times New Roman" w:hAnsi="Times New Roman" w:cs="Times New Roman"/>
          <w:lang w:val="en-GB"/>
        </w:rPr>
        <w:t>Noting the interdependence of these rights is critical to ensuring women’s</w:t>
      </w:r>
      <w:r w:rsidR="0018294B">
        <w:rPr>
          <w:rFonts w:ascii="Times New Roman" w:hAnsi="Times New Roman" w:cs="Times New Roman"/>
          <w:lang w:val="en-GB"/>
        </w:rPr>
        <w:t xml:space="preserve"> and girls’</w:t>
      </w:r>
      <w:r w:rsidR="00432DAB">
        <w:rPr>
          <w:rFonts w:ascii="Times New Roman" w:hAnsi="Times New Roman" w:cs="Times New Roman"/>
          <w:lang w:val="en-GB"/>
        </w:rPr>
        <w:t xml:space="preserve"> right to life, especially with regard to their access to sexual and reproductive health services. </w:t>
      </w:r>
    </w:p>
    <w:p w14:paraId="70AD4655" w14:textId="77777777" w:rsidR="00432DAB" w:rsidRDefault="00432DAB" w:rsidP="00D64186">
      <w:pPr>
        <w:spacing w:after="0" w:line="240" w:lineRule="auto"/>
        <w:jc w:val="both"/>
        <w:rPr>
          <w:rFonts w:ascii="Times New Roman" w:hAnsi="Times New Roman" w:cs="Times New Roman"/>
        </w:rPr>
      </w:pPr>
    </w:p>
    <w:p w14:paraId="303C03AC" w14:textId="311F0420" w:rsidR="002E7D4A" w:rsidRPr="002E7D4A" w:rsidRDefault="007D3917" w:rsidP="00D64186">
      <w:pPr>
        <w:spacing w:after="0" w:line="240" w:lineRule="auto"/>
        <w:jc w:val="both"/>
        <w:rPr>
          <w:rFonts w:ascii="Times New Roman" w:hAnsi="Times New Roman" w:cs="Times New Roman"/>
          <w:lang w:val="en-GB"/>
        </w:rPr>
      </w:pPr>
      <w:r>
        <w:rPr>
          <w:rFonts w:ascii="Times New Roman" w:hAnsi="Times New Roman" w:cs="Times New Roman"/>
        </w:rPr>
        <w:t xml:space="preserve">In </w:t>
      </w:r>
      <w:r w:rsidR="00402401">
        <w:rPr>
          <w:rFonts w:ascii="Times New Roman" w:hAnsi="Times New Roman" w:cs="Times New Roman"/>
        </w:rPr>
        <w:t>this context</w:t>
      </w:r>
      <w:r>
        <w:rPr>
          <w:rFonts w:ascii="Times New Roman" w:hAnsi="Times New Roman" w:cs="Times New Roman"/>
        </w:rPr>
        <w:t xml:space="preserve">, </w:t>
      </w:r>
      <w:r w:rsidR="00F7729F">
        <w:rPr>
          <w:rFonts w:ascii="Times New Roman" w:hAnsi="Times New Roman" w:cs="Times New Roman"/>
        </w:rPr>
        <w:t>S</w:t>
      </w:r>
      <w:r>
        <w:rPr>
          <w:rFonts w:ascii="Times New Roman" w:hAnsi="Times New Roman" w:cs="Times New Roman"/>
        </w:rPr>
        <w:t>tates</w:t>
      </w:r>
      <w:r w:rsidR="00F7729F">
        <w:rPr>
          <w:rFonts w:ascii="Times New Roman" w:hAnsi="Times New Roman" w:cs="Times New Roman"/>
        </w:rPr>
        <w:t xml:space="preserve"> parties</w:t>
      </w:r>
      <w:r>
        <w:rPr>
          <w:rFonts w:ascii="Times New Roman" w:hAnsi="Times New Roman" w:cs="Times New Roman"/>
        </w:rPr>
        <w:t xml:space="preserve"> must </w:t>
      </w:r>
      <w:r w:rsidR="001A346B">
        <w:rPr>
          <w:rFonts w:ascii="Times New Roman" w:hAnsi="Times New Roman" w:cs="Times New Roman"/>
        </w:rPr>
        <w:t>ensure the right to non-discrimination as a fundamental part of realizing the</w:t>
      </w:r>
      <w:r>
        <w:rPr>
          <w:rFonts w:ascii="Times New Roman" w:hAnsi="Times New Roman" w:cs="Times New Roman"/>
        </w:rPr>
        <w:t xml:space="preserve"> right to life</w:t>
      </w:r>
      <w:r w:rsidR="00BB1E89">
        <w:rPr>
          <w:rFonts w:ascii="Times New Roman" w:hAnsi="Times New Roman" w:cs="Times New Roman"/>
        </w:rPr>
        <w:t>, particularly for women</w:t>
      </w:r>
      <w:r w:rsidR="00516575">
        <w:rPr>
          <w:rFonts w:ascii="Times New Roman" w:hAnsi="Times New Roman" w:cs="Times New Roman"/>
        </w:rPr>
        <w:t xml:space="preserve"> and girls, as well as </w:t>
      </w:r>
      <w:r w:rsidR="00BB1E89">
        <w:rPr>
          <w:rFonts w:ascii="Times New Roman" w:hAnsi="Times New Roman" w:cs="Times New Roman"/>
        </w:rPr>
        <w:t>other marginalized groups</w:t>
      </w:r>
      <w:r>
        <w:rPr>
          <w:rFonts w:ascii="Times New Roman" w:hAnsi="Times New Roman" w:cs="Times New Roman"/>
        </w:rPr>
        <w:t xml:space="preserve">. </w:t>
      </w:r>
      <w:r w:rsidR="00402401">
        <w:rPr>
          <w:rFonts w:ascii="Times New Roman" w:hAnsi="Times New Roman" w:cs="Times New Roman"/>
        </w:rPr>
        <w:t xml:space="preserve">Non-discrimination </w:t>
      </w:r>
      <w:r w:rsidR="005261D6">
        <w:rPr>
          <w:rFonts w:ascii="Times New Roman" w:hAnsi="Times New Roman" w:cs="Times New Roman"/>
        </w:rPr>
        <w:t>and equality are</w:t>
      </w:r>
      <w:r w:rsidR="006D7988">
        <w:rPr>
          <w:rFonts w:ascii="Times New Roman" w:hAnsi="Times New Roman" w:cs="Times New Roman"/>
        </w:rPr>
        <w:t xml:space="preserve"> </w:t>
      </w:r>
      <w:r w:rsidR="00CA2A84">
        <w:rPr>
          <w:rFonts w:ascii="Times New Roman" w:hAnsi="Times New Roman" w:cs="Times New Roman"/>
        </w:rPr>
        <w:t>core</w:t>
      </w:r>
      <w:r w:rsidR="006D7988">
        <w:rPr>
          <w:rFonts w:ascii="Times New Roman" w:hAnsi="Times New Roman" w:cs="Times New Roman"/>
        </w:rPr>
        <w:t xml:space="preserve"> principle</w:t>
      </w:r>
      <w:r w:rsidR="00AE0A33">
        <w:rPr>
          <w:rFonts w:ascii="Times New Roman" w:hAnsi="Times New Roman" w:cs="Times New Roman"/>
        </w:rPr>
        <w:t>s</w:t>
      </w:r>
      <w:r w:rsidR="006D7988">
        <w:rPr>
          <w:rFonts w:ascii="Times New Roman" w:hAnsi="Times New Roman" w:cs="Times New Roman"/>
        </w:rPr>
        <w:t xml:space="preserve"> of human rights law. </w:t>
      </w:r>
      <w:r w:rsidR="00364087">
        <w:rPr>
          <w:rFonts w:ascii="Times New Roman" w:hAnsi="Times New Roman" w:cs="Times New Roman"/>
        </w:rPr>
        <w:t>In discussing equality between women and men, t</w:t>
      </w:r>
      <w:r w:rsidR="000C4C82">
        <w:rPr>
          <w:rFonts w:ascii="Times New Roman" w:hAnsi="Times New Roman" w:cs="Times New Roman"/>
        </w:rPr>
        <w:t>his</w:t>
      </w:r>
      <w:r w:rsidR="00D1549F" w:rsidRPr="00432DAB">
        <w:rPr>
          <w:rFonts w:ascii="Times New Roman" w:hAnsi="Times New Roman" w:cs="Times New Roman"/>
        </w:rPr>
        <w:t xml:space="preserve"> Committee</w:t>
      </w:r>
      <w:r w:rsidR="000C4C82">
        <w:rPr>
          <w:rFonts w:ascii="Times New Roman" w:hAnsi="Times New Roman" w:cs="Times New Roman"/>
        </w:rPr>
        <w:t xml:space="preserve"> has</w:t>
      </w:r>
      <w:r w:rsidR="00D1549F" w:rsidRPr="00432DAB">
        <w:rPr>
          <w:rFonts w:ascii="Times New Roman" w:hAnsi="Times New Roman" w:cs="Times New Roman"/>
        </w:rPr>
        <w:t xml:space="preserve"> note</w:t>
      </w:r>
      <w:r w:rsidR="006D7988">
        <w:rPr>
          <w:rFonts w:ascii="Times New Roman" w:hAnsi="Times New Roman" w:cs="Times New Roman"/>
        </w:rPr>
        <w:t>d</w:t>
      </w:r>
      <w:r w:rsidR="006861D5" w:rsidRPr="00432DAB">
        <w:rPr>
          <w:rFonts w:ascii="Times New Roman" w:hAnsi="Times New Roman" w:cs="Times New Roman"/>
        </w:rPr>
        <w:t xml:space="preserve"> that </w:t>
      </w:r>
      <w:r w:rsidR="006365C6">
        <w:rPr>
          <w:rFonts w:ascii="Times New Roman" w:hAnsi="Times New Roman" w:cs="Times New Roman"/>
        </w:rPr>
        <w:t>S</w:t>
      </w:r>
      <w:r w:rsidR="006861D5" w:rsidRPr="00432DAB">
        <w:rPr>
          <w:rFonts w:ascii="Times New Roman" w:hAnsi="Times New Roman" w:cs="Times New Roman"/>
        </w:rPr>
        <w:t>tates</w:t>
      </w:r>
      <w:r w:rsidR="006365C6">
        <w:rPr>
          <w:rFonts w:ascii="Times New Roman" w:hAnsi="Times New Roman" w:cs="Times New Roman"/>
        </w:rPr>
        <w:t xml:space="preserve"> parties</w:t>
      </w:r>
      <w:r w:rsidR="006861D5" w:rsidRPr="00432DAB">
        <w:rPr>
          <w:rFonts w:ascii="Times New Roman" w:hAnsi="Times New Roman" w:cs="Times New Roman"/>
        </w:rPr>
        <w:t xml:space="preserve"> must take “all necessary steps</w:t>
      </w:r>
      <w:r w:rsidR="005F6B14" w:rsidRPr="00432DAB">
        <w:rPr>
          <w:rFonts w:ascii="Times New Roman" w:hAnsi="Times New Roman" w:cs="Times New Roman"/>
        </w:rPr>
        <w:t>”</w:t>
      </w:r>
      <w:r w:rsidR="006861D5" w:rsidRPr="00432DAB">
        <w:rPr>
          <w:rFonts w:ascii="Times New Roman" w:hAnsi="Times New Roman" w:cs="Times New Roman"/>
        </w:rPr>
        <w:t xml:space="preserve"> to enable every person to enjoy the Covenant’s rights, asserting that a country must not only adopt measures of protection, but must also take “positive measures in all areas so as to achieve the effective and equal empowerment of women.”</w:t>
      </w:r>
      <w:r w:rsidR="006861D5">
        <w:rPr>
          <w:rStyle w:val="EndnoteReference"/>
          <w:rFonts w:ascii="Times New Roman" w:hAnsi="Times New Roman" w:cs="Times New Roman"/>
        </w:rPr>
        <w:endnoteReference w:id="6"/>
      </w:r>
      <w:r w:rsidR="006D7988">
        <w:rPr>
          <w:rFonts w:ascii="Times New Roman" w:hAnsi="Times New Roman" w:cs="Times New Roman"/>
        </w:rPr>
        <w:t xml:space="preserve"> </w:t>
      </w:r>
      <w:r w:rsidR="000C4C82">
        <w:rPr>
          <w:rFonts w:ascii="Times New Roman" w:hAnsi="Times New Roman" w:cs="Times New Roman"/>
        </w:rPr>
        <w:t>It has</w:t>
      </w:r>
      <w:r w:rsidR="006D7988">
        <w:rPr>
          <w:rFonts w:ascii="Times New Roman" w:hAnsi="Times New Roman" w:cs="Times New Roman"/>
        </w:rPr>
        <w:t xml:space="preserve"> also </w:t>
      </w:r>
      <w:r w:rsidR="00BB1E89">
        <w:rPr>
          <w:rFonts w:ascii="Times New Roman" w:hAnsi="Times New Roman" w:cs="Times New Roman"/>
        </w:rPr>
        <w:t>stated</w:t>
      </w:r>
      <w:r w:rsidR="00BB1E89" w:rsidRPr="00432DAB">
        <w:rPr>
          <w:rFonts w:ascii="Times New Roman" w:hAnsi="Times New Roman" w:cs="Times New Roman"/>
        </w:rPr>
        <w:t xml:space="preserve"> </w:t>
      </w:r>
      <w:r w:rsidR="00D1549F" w:rsidRPr="00432DAB">
        <w:rPr>
          <w:rFonts w:ascii="Times New Roman" w:hAnsi="Times New Roman" w:cs="Times New Roman"/>
        </w:rPr>
        <w:t>that interference with women’s access to reproductive health care</w:t>
      </w:r>
      <w:r w:rsidR="005F6B14" w:rsidRPr="00432DAB">
        <w:rPr>
          <w:rFonts w:ascii="Times New Roman" w:hAnsi="Times New Roman" w:cs="Times New Roman"/>
        </w:rPr>
        <w:t>, including failure to ensure that women do not have “to undergo life-threatening clandestine abortions,”</w:t>
      </w:r>
      <w:r w:rsidR="00D1549F" w:rsidRPr="00432DAB">
        <w:rPr>
          <w:rFonts w:ascii="Times New Roman" w:hAnsi="Times New Roman" w:cs="Times New Roman"/>
        </w:rPr>
        <w:t xml:space="preserve"> violates their right to non-discrimination</w:t>
      </w:r>
      <w:r w:rsidR="003B3080">
        <w:rPr>
          <w:rFonts w:ascii="Times New Roman" w:hAnsi="Times New Roman" w:cs="Times New Roman"/>
        </w:rPr>
        <w:t>, as well as their right to life</w:t>
      </w:r>
      <w:r w:rsidR="00D1549F" w:rsidRPr="00432DAB">
        <w:rPr>
          <w:rFonts w:ascii="Times New Roman" w:hAnsi="Times New Roman" w:cs="Times New Roman"/>
        </w:rPr>
        <w:t>.</w:t>
      </w:r>
      <w:r w:rsidR="00D1549F">
        <w:rPr>
          <w:rStyle w:val="EndnoteReference"/>
          <w:rFonts w:ascii="Times New Roman" w:hAnsi="Times New Roman" w:cs="Times New Roman"/>
        </w:rPr>
        <w:endnoteReference w:id="7"/>
      </w:r>
      <w:r w:rsidR="00E86F58">
        <w:rPr>
          <w:rFonts w:ascii="Times New Roman" w:hAnsi="Times New Roman" w:cs="Times New Roman"/>
        </w:rPr>
        <w:t xml:space="preserve"> </w:t>
      </w:r>
      <w:r w:rsidR="002E7D4A">
        <w:rPr>
          <w:rFonts w:ascii="Times New Roman" w:hAnsi="Times New Roman" w:cs="Times New Roman"/>
          <w:lang w:val="en-GB"/>
        </w:rPr>
        <w:t xml:space="preserve">Concurrences in the cases of </w:t>
      </w:r>
      <w:r w:rsidR="002E7D4A" w:rsidRPr="00227F8F">
        <w:rPr>
          <w:rFonts w:ascii="Times New Roman" w:hAnsi="Times New Roman" w:cs="Times New Roman"/>
          <w:i/>
          <w:lang w:val="en-GB"/>
        </w:rPr>
        <w:t>Mellet v. Ireland</w:t>
      </w:r>
      <w:r w:rsidR="002E7D4A" w:rsidRPr="00906EE7">
        <w:rPr>
          <w:rFonts w:ascii="Times New Roman" w:hAnsi="Times New Roman" w:cs="Times New Roman"/>
          <w:lang w:val="en-GB"/>
        </w:rPr>
        <w:t xml:space="preserve"> and </w:t>
      </w:r>
      <w:r w:rsidR="002E7D4A" w:rsidRPr="00227F8F">
        <w:rPr>
          <w:rFonts w:ascii="Times New Roman" w:hAnsi="Times New Roman" w:cs="Times New Roman"/>
          <w:i/>
          <w:lang w:val="en-GB"/>
        </w:rPr>
        <w:t>Whelan v. Ireland</w:t>
      </w:r>
      <w:r w:rsidR="002E7D4A">
        <w:rPr>
          <w:rFonts w:ascii="Times New Roman" w:hAnsi="Times New Roman" w:cs="Times New Roman"/>
          <w:lang w:val="en-GB"/>
        </w:rPr>
        <w:t xml:space="preserve"> have </w:t>
      </w:r>
      <w:r w:rsidR="00453731">
        <w:rPr>
          <w:rFonts w:ascii="Times New Roman" w:hAnsi="Times New Roman" w:cs="Times New Roman"/>
          <w:lang w:val="en-GB"/>
        </w:rPr>
        <w:t xml:space="preserve">also </w:t>
      </w:r>
      <w:r w:rsidR="00A14305">
        <w:rPr>
          <w:rFonts w:ascii="Times New Roman" w:hAnsi="Times New Roman" w:cs="Times New Roman"/>
          <w:lang w:val="en-GB"/>
        </w:rPr>
        <w:t>underscored</w:t>
      </w:r>
      <w:r w:rsidR="002E7D4A" w:rsidRPr="00906EE7">
        <w:rPr>
          <w:rFonts w:ascii="Times New Roman" w:hAnsi="Times New Roman" w:cs="Times New Roman"/>
          <w:lang w:val="en-GB"/>
        </w:rPr>
        <w:t xml:space="preserve"> </w:t>
      </w:r>
      <w:r w:rsidR="002E7D4A">
        <w:rPr>
          <w:rFonts w:ascii="Times New Roman" w:hAnsi="Times New Roman" w:cs="Times New Roman"/>
          <w:lang w:val="en-GB"/>
        </w:rPr>
        <w:t>the need to address</w:t>
      </w:r>
      <w:r w:rsidR="002E7D4A" w:rsidRPr="00906EE7">
        <w:rPr>
          <w:rFonts w:ascii="Times New Roman" w:hAnsi="Times New Roman" w:cs="Times New Roman"/>
          <w:lang w:val="en-GB"/>
        </w:rPr>
        <w:t xml:space="preserve"> </w:t>
      </w:r>
      <w:r w:rsidR="002E7D4A">
        <w:rPr>
          <w:rFonts w:ascii="Times New Roman" w:hAnsi="Times New Roman" w:cs="Times New Roman"/>
          <w:lang w:val="en-GB"/>
        </w:rPr>
        <w:t>gender-based discrimination</w:t>
      </w:r>
      <w:r w:rsidR="00512C41">
        <w:rPr>
          <w:rFonts w:ascii="Times New Roman" w:hAnsi="Times New Roman" w:cs="Times New Roman"/>
          <w:lang w:val="en-GB"/>
        </w:rPr>
        <w:t xml:space="preserve"> </w:t>
      </w:r>
      <w:r w:rsidR="00A14305">
        <w:rPr>
          <w:rFonts w:ascii="Times New Roman" w:hAnsi="Times New Roman" w:cs="Times New Roman"/>
          <w:lang w:val="en-GB"/>
        </w:rPr>
        <w:t>intrinsic</w:t>
      </w:r>
      <w:r w:rsidR="00F71C9D">
        <w:rPr>
          <w:rFonts w:ascii="Times New Roman" w:hAnsi="Times New Roman" w:cs="Times New Roman"/>
          <w:lang w:val="en-GB"/>
        </w:rPr>
        <w:t xml:space="preserve"> to</w:t>
      </w:r>
      <w:r w:rsidR="00512C41">
        <w:rPr>
          <w:rFonts w:ascii="Times New Roman" w:hAnsi="Times New Roman" w:cs="Times New Roman"/>
          <w:lang w:val="en-GB"/>
        </w:rPr>
        <w:t xml:space="preserve"> abortion restrictions</w:t>
      </w:r>
      <w:r w:rsidR="002E7D4A" w:rsidRPr="00906EE7">
        <w:rPr>
          <w:rFonts w:ascii="Times New Roman" w:hAnsi="Times New Roman" w:cs="Times New Roman"/>
          <w:lang w:val="en-GB"/>
        </w:rPr>
        <w:t>.</w:t>
      </w:r>
      <w:r w:rsidR="00A14305">
        <w:rPr>
          <w:rStyle w:val="EndnoteReference"/>
          <w:rFonts w:ascii="Times New Roman" w:hAnsi="Times New Roman" w:cs="Times New Roman"/>
          <w:lang w:val="en-GB"/>
        </w:rPr>
        <w:endnoteReference w:id="8"/>
      </w:r>
      <w:r w:rsidR="002E7D4A" w:rsidRPr="00906EE7">
        <w:rPr>
          <w:rFonts w:ascii="Times New Roman" w:hAnsi="Times New Roman" w:cs="Times New Roman"/>
          <w:lang w:val="en-GB"/>
        </w:rPr>
        <w:t xml:space="preserve"> </w:t>
      </w:r>
      <w:r w:rsidR="00C5633B">
        <w:rPr>
          <w:rFonts w:ascii="Times New Roman" w:hAnsi="Times New Roman" w:cs="Times New Roman"/>
          <w:lang w:val="en-GB"/>
        </w:rPr>
        <w:t xml:space="preserve">For example, in </w:t>
      </w:r>
      <w:r w:rsidR="00C5633B" w:rsidRPr="00C5633B">
        <w:rPr>
          <w:rFonts w:ascii="Times New Roman" w:hAnsi="Times New Roman" w:cs="Times New Roman"/>
          <w:i/>
          <w:lang w:val="en-GB"/>
        </w:rPr>
        <w:t>Mellet</w:t>
      </w:r>
      <w:r w:rsidR="00C5633B">
        <w:rPr>
          <w:rFonts w:ascii="Times New Roman" w:hAnsi="Times New Roman" w:cs="Times New Roman"/>
          <w:lang w:val="en-GB"/>
        </w:rPr>
        <w:t>, one of the concurrences found</w:t>
      </w:r>
      <w:r w:rsidR="002E7D4A" w:rsidRPr="00906EE7">
        <w:rPr>
          <w:rFonts w:ascii="Times New Roman" w:hAnsi="Times New Roman" w:cs="Times New Roman"/>
          <w:lang w:val="en-GB"/>
        </w:rPr>
        <w:t xml:space="preserve"> that “[t]he right to sex and gender equality and non-discrimination obligates States to ensure that State regulations, including with respect to access to health services, accommodate the fundamental biological differences between men and women in reproduction and do not directly or indirectly discriminate on the basis of sex.”</w:t>
      </w:r>
      <w:r w:rsidR="002E7D4A">
        <w:rPr>
          <w:rStyle w:val="EndnoteReference"/>
          <w:rFonts w:ascii="Times New Roman" w:hAnsi="Times New Roman" w:cs="Times New Roman"/>
          <w:lang w:val="en-GB"/>
        </w:rPr>
        <w:endnoteReference w:id="9"/>
      </w:r>
    </w:p>
    <w:p w14:paraId="1E4DBBCB" w14:textId="77777777" w:rsidR="002E7D4A" w:rsidRDefault="002E7D4A" w:rsidP="00D64186">
      <w:pPr>
        <w:spacing w:after="0" w:line="240" w:lineRule="auto"/>
        <w:jc w:val="both"/>
        <w:rPr>
          <w:rFonts w:ascii="Times New Roman" w:hAnsi="Times New Roman" w:cs="Times New Roman"/>
        </w:rPr>
      </w:pPr>
    </w:p>
    <w:p w14:paraId="0E769D78" w14:textId="4E0F7E7F" w:rsidR="002E3B27" w:rsidRDefault="002E3B27" w:rsidP="00D64186">
      <w:pPr>
        <w:spacing w:after="0" w:line="240" w:lineRule="auto"/>
        <w:jc w:val="both"/>
        <w:rPr>
          <w:rFonts w:ascii="Times New Roman" w:hAnsi="Times New Roman" w:cs="Times New Roman"/>
        </w:rPr>
      </w:pPr>
      <w:r w:rsidRPr="00906EE7">
        <w:rPr>
          <w:rFonts w:ascii="Times New Roman" w:hAnsi="Times New Roman" w:cs="Times New Roman"/>
        </w:rPr>
        <w:t xml:space="preserve">This stance and reasoning is also supported by the </w:t>
      </w:r>
      <w:r w:rsidR="00F2058E">
        <w:rPr>
          <w:rFonts w:ascii="Times New Roman" w:hAnsi="Times New Roman" w:cs="Times New Roman"/>
        </w:rPr>
        <w:t>Committee on the Elimination of Discrimination against Women (CEDAW)</w:t>
      </w:r>
      <w:r w:rsidR="002E0BE5">
        <w:rPr>
          <w:rFonts w:ascii="Times New Roman" w:hAnsi="Times New Roman" w:cs="Times New Roman"/>
        </w:rPr>
        <w:t>, which has explicitly recognized</w:t>
      </w:r>
      <w:r w:rsidRPr="00906EE7">
        <w:rPr>
          <w:rFonts w:ascii="Times New Roman" w:hAnsi="Times New Roman" w:cs="Times New Roman"/>
        </w:rPr>
        <w:t xml:space="preserve"> that</w:t>
      </w:r>
      <w:r w:rsidR="00661FD9">
        <w:rPr>
          <w:rFonts w:ascii="Times New Roman" w:hAnsi="Times New Roman" w:cs="Times New Roman"/>
        </w:rPr>
        <w:t>,</w:t>
      </w:r>
      <w:r w:rsidRPr="00906EE7">
        <w:rPr>
          <w:rFonts w:ascii="Times New Roman" w:hAnsi="Times New Roman" w:cs="Times New Roman"/>
        </w:rPr>
        <w:t xml:space="preserve"> “[m]easures to eliminate discrimination against women are considered to be inappropriate if a health-care system lack</w:t>
      </w:r>
      <w:r w:rsidR="008E7658">
        <w:rPr>
          <w:rFonts w:ascii="Times New Roman" w:hAnsi="Times New Roman" w:cs="Times New Roman"/>
        </w:rPr>
        <w:t>s</w:t>
      </w:r>
      <w:r w:rsidRPr="00906EE7">
        <w:rPr>
          <w:rFonts w:ascii="Times New Roman" w:hAnsi="Times New Roman" w:cs="Times New Roman"/>
        </w:rPr>
        <w:t xml:space="preserve"> services to prevent, detect and treat illnesses specific to women. It is discriminatory for a State party to refuse to provide legally for the performance of certain reproductive health </w:t>
      </w:r>
      <w:r w:rsidR="00DE008C" w:rsidRPr="00906EE7">
        <w:rPr>
          <w:rFonts w:ascii="Times New Roman" w:hAnsi="Times New Roman" w:cs="Times New Roman"/>
        </w:rPr>
        <w:t>services for women.”</w:t>
      </w:r>
      <w:r w:rsidR="00DE008C">
        <w:rPr>
          <w:rStyle w:val="EndnoteReference"/>
          <w:rFonts w:ascii="Times New Roman" w:hAnsi="Times New Roman" w:cs="Times New Roman"/>
        </w:rPr>
        <w:endnoteReference w:id="10"/>
      </w:r>
      <w:r w:rsidR="007D5EAE" w:rsidRPr="00906EE7">
        <w:rPr>
          <w:rFonts w:ascii="Times New Roman" w:hAnsi="Times New Roman" w:cs="Times New Roman"/>
        </w:rPr>
        <w:t xml:space="preserve"> </w:t>
      </w:r>
    </w:p>
    <w:p w14:paraId="49A73DA4" w14:textId="77777777" w:rsidR="00DC1BEA" w:rsidRDefault="00DC1BEA" w:rsidP="00D64186">
      <w:pPr>
        <w:spacing w:after="0" w:line="240" w:lineRule="auto"/>
        <w:jc w:val="both"/>
        <w:rPr>
          <w:rFonts w:ascii="Times New Roman" w:hAnsi="Times New Roman" w:cs="Times New Roman"/>
        </w:rPr>
      </w:pPr>
    </w:p>
    <w:p w14:paraId="2FF4A0E9" w14:textId="2276C326" w:rsidR="00DC1BEA" w:rsidRPr="00906EE7" w:rsidRDefault="00E86F58" w:rsidP="00D64186">
      <w:pPr>
        <w:spacing w:after="0" w:line="240" w:lineRule="auto"/>
        <w:jc w:val="both"/>
        <w:rPr>
          <w:rFonts w:ascii="Times New Roman" w:hAnsi="Times New Roman" w:cs="Times New Roman"/>
        </w:rPr>
      </w:pPr>
      <w:r>
        <w:rPr>
          <w:rFonts w:ascii="Times New Roman" w:hAnsi="Times New Roman" w:cs="Times New Roman"/>
        </w:rPr>
        <w:t>I</w:t>
      </w:r>
      <w:r w:rsidR="00DC1BEA">
        <w:rPr>
          <w:rFonts w:ascii="Times New Roman" w:hAnsi="Times New Roman" w:cs="Times New Roman"/>
        </w:rPr>
        <w:t>ntersectional discrimination</w:t>
      </w:r>
      <w:r w:rsidR="000D67CB">
        <w:rPr>
          <w:rFonts w:ascii="Times New Roman" w:hAnsi="Times New Roman" w:cs="Times New Roman"/>
        </w:rPr>
        <w:t>,</w:t>
      </w:r>
      <w:r w:rsidR="005A3090">
        <w:rPr>
          <w:rFonts w:ascii="Times New Roman" w:hAnsi="Times New Roman" w:cs="Times New Roman"/>
        </w:rPr>
        <w:t xml:space="preserve"> meaning that individuals</w:t>
      </w:r>
      <w:r w:rsidR="006403DB">
        <w:rPr>
          <w:rFonts w:ascii="Times New Roman" w:hAnsi="Times New Roman" w:cs="Times New Roman"/>
        </w:rPr>
        <w:t xml:space="preserve"> experience multiple, simultaneous and compounding </w:t>
      </w:r>
      <w:r>
        <w:rPr>
          <w:rFonts w:ascii="Times New Roman" w:hAnsi="Times New Roman" w:cs="Times New Roman"/>
        </w:rPr>
        <w:t>forms of discrimination</w:t>
      </w:r>
      <w:r w:rsidR="000D67CB">
        <w:rPr>
          <w:rFonts w:ascii="Times New Roman" w:hAnsi="Times New Roman" w:cs="Times New Roman"/>
        </w:rPr>
        <w:t>,</w:t>
      </w:r>
      <w:r>
        <w:rPr>
          <w:rFonts w:ascii="Times New Roman" w:hAnsi="Times New Roman" w:cs="Times New Roman"/>
        </w:rPr>
        <w:t xml:space="preserve"> </w:t>
      </w:r>
      <w:r w:rsidR="00B27948">
        <w:rPr>
          <w:rFonts w:ascii="Times New Roman" w:hAnsi="Times New Roman" w:cs="Times New Roman"/>
        </w:rPr>
        <w:t>can impede women’s</w:t>
      </w:r>
      <w:r w:rsidR="00DC1BEA">
        <w:rPr>
          <w:rFonts w:ascii="Times New Roman" w:hAnsi="Times New Roman" w:cs="Times New Roman"/>
        </w:rPr>
        <w:t xml:space="preserve"> </w:t>
      </w:r>
      <w:r w:rsidR="004A028F">
        <w:rPr>
          <w:rFonts w:ascii="Times New Roman" w:hAnsi="Times New Roman" w:cs="Times New Roman"/>
        </w:rPr>
        <w:t xml:space="preserve">and girls’ </w:t>
      </w:r>
      <w:r w:rsidR="00DC1BEA">
        <w:rPr>
          <w:rFonts w:ascii="Times New Roman" w:hAnsi="Times New Roman" w:cs="Times New Roman"/>
        </w:rPr>
        <w:t>access to health care and their right to life. For example, i</w:t>
      </w:r>
      <w:r w:rsidR="00DC1BEA" w:rsidRPr="005B553D">
        <w:rPr>
          <w:rFonts w:ascii="Times New Roman" w:hAnsi="Times New Roman" w:cs="Times New Roman"/>
        </w:rPr>
        <w:t xml:space="preserve">n the case of </w:t>
      </w:r>
      <w:r w:rsidR="00DC1BEA" w:rsidRPr="00571719">
        <w:rPr>
          <w:rFonts w:ascii="Times New Roman" w:hAnsi="Times New Roman" w:cs="Times New Roman"/>
          <w:i/>
        </w:rPr>
        <w:t>Alyne da Silva Piment</w:t>
      </w:r>
      <w:r w:rsidR="00471264">
        <w:rPr>
          <w:rFonts w:ascii="Times New Roman" w:hAnsi="Times New Roman" w:cs="Times New Roman"/>
          <w:i/>
        </w:rPr>
        <w:t>e</w:t>
      </w:r>
      <w:r w:rsidR="00DC1BEA" w:rsidRPr="00571719">
        <w:rPr>
          <w:rFonts w:ascii="Times New Roman" w:hAnsi="Times New Roman" w:cs="Times New Roman"/>
          <w:i/>
        </w:rPr>
        <w:t>l v. Brazil</w:t>
      </w:r>
      <w:r w:rsidR="00EB6315">
        <w:rPr>
          <w:rFonts w:ascii="Times New Roman" w:hAnsi="Times New Roman" w:cs="Times New Roman"/>
        </w:rPr>
        <w:t>, the CEDAW addressed the relationship</w:t>
      </w:r>
      <w:r w:rsidR="00DC1BEA" w:rsidRPr="005B553D">
        <w:rPr>
          <w:rFonts w:ascii="Times New Roman" w:hAnsi="Times New Roman" w:cs="Times New Roman"/>
        </w:rPr>
        <w:t xml:space="preserve"> between women’s rights to life, health and non</w:t>
      </w:r>
      <w:r w:rsidR="00DC1BEA">
        <w:rPr>
          <w:rFonts w:ascii="Times New Roman" w:hAnsi="Times New Roman" w:cs="Times New Roman"/>
        </w:rPr>
        <w:t>-</w:t>
      </w:r>
      <w:r w:rsidR="00DC1BEA" w:rsidRPr="005B553D">
        <w:rPr>
          <w:rFonts w:ascii="Times New Roman" w:hAnsi="Times New Roman" w:cs="Times New Roman"/>
        </w:rPr>
        <w:t xml:space="preserve">discrimination </w:t>
      </w:r>
      <w:r w:rsidR="007438DA">
        <w:rPr>
          <w:rFonts w:ascii="Times New Roman" w:hAnsi="Times New Roman" w:cs="Times New Roman"/>
        </w:rPr>
        <w:t>regarding</w:t>
      </w:r>
      <w:r w:rsidR="00DC1BEA" w:rsidRPr="005B553D">
        <w:rPr>
          <w:rFonts w:ascii="Times New Roman" w:hAnsi="Times New Roman" w:cs="Times New Roman"/>
        </w:rPr>
        <w:t xml:space="preserve"> the preventable maternal death of a poor, Afro-Brazilian woman due to the denial of adequate maternal health care. The CEDAW determined that “the lack of appropriate maternal health services in the state party that clearly fails to meet the specific, distinctive health needs and interests of women” violates the right to health and non</w:t>
      </w:r>
      <w:r w:rsidR="00DC1BEA">
        <w:rPr>
          <w:rFonts w:ascii="Times New Roman" w:hAnsi="Times New Roman" w:cs="Times New Roman"/>
        </w:rPr>
        <w:t>-</w:t>
      </w:r>
      <w:r w:rsidR="00DC1BEA" w:rsidRPr="005B553D">
        <w:rPr>
          <w:rFonts w:ascii="Times New Roman" w:hAnsi="Times New Roman" w:cs="Times New Roman"/>
        </w:rPr>
        <w:t>discrimination, as protect</w:t>
      </w:r>
      <w:r w:rsidR="00DC1BEA">
        <w:rPr>
          <w:rFonts w:ascii="Times New Roman" w:hAnsi="Times New Roman" w:cs="Times New Roman"/>
        </w:rPr>
        <w:t>ed under the CEDAW Convention.</w:t>
      </w:r>
      <w:r w:rsidR="00DC1BEA">
        <w:rPr>
          <w:rStyle w:val="EndnoteReference"/>
          <w:rFonts w:ascii="Times New Roman" w:hAnsi="Times New Roman" w:cs="Times New Roman"/>
        </w:rPr>
        <w:endnoteReference w:id="11"/>
      </w:r>
      <w:r w:rsidR="00DC1BEA">
        <w:rPr>
          <w:rFonts w:ascii="Times New Roman" w:hAnsi="Times New Roman" w:cs="Times New Roman"/>
        </w:rPr>
        <w:t xml:space="preserve"> It also noted that </w:t>
      </w:r>
      <w:r w:rsidR="006566A8">
        <w:rPr>
          <w:rFonts w:ascii="Times New Roman" w:hAnsi="Times New Roman" w:cs="Times New Roman"/>
        </w:rPr>
        <w:t xml:space="preserve">the </w:t>
      </w:r>
      <w:r w:rsidR="00DC1BEA">
        <w:rPr>
          <w:rFonts w:ascii="Times New Roman" w:hAnsi="Times New Roman" w:cs="Times New Roman"/>
        </w:rPr>
        <w:t xml:space="preserve">plaintiff “suffered from multiple discrimination” and </w:t>
      </w:r>
      <w:r w:rsidR="006566A8">
        <w:rPr>
          <w:rFonts w:ascii="Times New Roman" w:hAnsi="Times New Roman" w:cs="Times New Roman"/>
        </w:rPr>
        <w:t xml:space="preserve">that </w:t>
      </w:r>
      <w:r w:rsidR="00DC1BEA">
        <w:rPr>
          <w:rFonts w:ascii="Times New Roman" w:hAnsi="Times New Roman" w:cs="Times New Roman"/>
        </w:rPr>
        <w:t>“discrimination against women based on sex and gender is inextricably linked to other factors that affect women, such as race, ethnicity, religion or belief, health, status, age, class, cast and sexual orientation and gender identity.”</w:t>
      </w:r>
      <w:r w:rsidR="00DC1BEA">
        <w:rPr>
          <w:rStyle w:val="EndnoteReference"/>
          <w:rFonts w:ascii="Times New Roman" w:hAnsi="Times New Roman" w:cs="Times New Roman"/>
        </w:rPr>
        <w:endnoteReference w:id="12"/>
      </w:r>
      <w:r w:rsidR="003C0D3D">
        <w:rPr>
          <w:rFonts w:ascii="Times New Roman" w:hAnsi="Times New Roman" w:cs="Times New Roman"/>
        </w:rPr>
        <w:t xml:space="preserve"> The CEDAW found</w:t>
      </w:r>
      <w:r w:rsidR="00DC1BEA">
        <w:rPr>
          <w:rFonts w:ascii="Times New Roman" w:hAnsi="Times New Roman" w:cs="Times New Roman"/>
        </w:rPr>
        <w:t xml:space="preserve"> that such discrimination contributed to her death.</w:t>
      </w:r>
      <w:r w:rsidR="00DC1BEA">
        <w:rPr>
          <w:rStyle w:val="EndnoteReference"/>
          <w:rFonts w:ascii="Times New Roman" w:hAnsi="Times New Roman" w:cs="Times New Roman"/>
        </w:rPr>
        <w:endnoteReference w:id="13"/>
      </w:r>
      <w:r w:rsidR="00487C6C">
        <w:rPr>
          <w:rFonts w:ascii="Times New Roman" w:hAnsi="Times New Roman" w:cs="Times New Roman"/>
        </w:rPr>
        <w:t xml:space="preserve"> Moreover, the Committee on Economic, Soc</w:t>
      </w:r>
      <w:r w:rsidR="003D2FE8">
        <w:rPr>
          <w:rFonts w:ascii="Times New Roman" w:hAnsi="Times New Roman" w:cs="Times New Roman"/>
        </w:rPr>
        <w:t>ial and Cultural Rights (CESCR), in its general comment on the right to sexual and reproductive health, has acknowledged the pernicious nature of intersectional discrimination</w:t>
      </w:r>
      <w:r w:rsidR="00F40CB3">
        <w:rPr>
          <w:rFonts w:ascii="Times New Roman" w:hAnsi="Times New Roman" w:cs="Times New Roman"/>
        </w:rPr>
        <w:t xml:space="preserve">, </w:t>
      </w:r>
      <w:r w:rsidR="006566A8">
        <w:rPr>
          <w:rFonts w:ascii="Times New Roman" w:hAnsi="Times New Roman" w:cs="Times New Roman"/>
        </w:rPr>
        <w:t xml:space="preserve">identifying </w:t>
      </w:r>
      <w:r w:rsidR="00F40CB3">
        <w:rPr>
          <w:rFonts w:ascii="Times New Roman" w:hAnsi="Times New Roman" w:cs="Times New Roman"/>
        </w:rPr>
        <w:t>groups such as poor women, persons with disabilities, migrants, adolescents and people living with HIV and AIDS as more likely to experience multiple discrimination.</w:t>
      </w:r>
      <w:r w:rsidR="00F40CB3">
        <w:rPr>
          <w:rStyle w:val="EndnoteReference"/>
          <w:rFonts w:ascii="Times New Roman" w:hAnsi="Times New Roman" w:cs="Times New Roman"/>
        </w:rPr>
        <w:endnoteReference w:id="14"/>
      </w:r>
      <w:r w:rsidR="00F40CB3">
        <w:rPr>
          <w:rFonts w:ascii="Times New Roman" w:hAnsi="Times New Roman" w:cs="Times New Roman"/>
        </w:rPr>
        <w:t xml:space="preserve"> It</w:t>
      </w:r>
      <w:r w:rsidR="00785C72">
        <w:rPr>
          <w:rFonts w:ascii="Times New Roman" w:hAnsi="Times New Roman" w:cs="Times New Roman"/>
        </w:rPr>
        <w:t xml:space="preserve"> has called on S</w:t>
      </w:r>
      <w:r w:rsidR="003D2FE8">
        <w:rPr>
          <w:rFonts w:ascii="Times New Roman" w:hAnsi="Times New Roman" w:cs="Times New Roman"/>
        </w:rPr>
        <w:t>tates</w:t>
      </w:r>
      <w:r w:rsidR="00785C72">
        <w:rPr>
          <w:rFonts w:ascii="Times New Roman" w:hAnsi="Times New Roman" w:cs="Times New Roman"/>
        </w:rPr>
        <w:t xml:space="preserve"> parties</w:t>
      </w:r>
      <w:r w:rsidR="003D2FE8">
        <w:rPr>
          <w:rFonts w:ascii="Times New Roman" w:hAnsi="Times New Roman" w:cs="Times New Roman"/>
        </w:rPr>
        <w:t xml:space="preserve"> to take measures to specifically address the “exacerbated impact” of such discrimination.</w:t>
      </w:r>
      <w:r w:rsidR="003D2FE8">
        <w:rPr>
          <w:rStyle w:val="EndnoteReference"/>
          <w:rFonts w:ascii="Times New Roman" w:hAnsi="Times New Roman" w:cs="Times New Roman"/>
        </w:rPr>
        <w:endnoteReference w:id="15"/>
      </w:r>
    </w:p>
    <w:p w14:paraId="14DEB0F8" w14:textId="77777777" w:rsidR="00B84974" w:rsidRPr="0023585A" w:rsidRDefault="00B84974" w:rsidP="00D64186">
      <w:pPr>
        <w:spacing w:after="0" w:line="240" w:lineRule="auto"/>
        <w:jc w:val="both"/>
        <w:rPr>
          <w:rFonts w:ascii="Times New Roman" w:hAnsi="Times New Roman" w:cs="Times New Roman"/>
          <w:lang w:val="en-GB"/>
        </w:rPr>
      </w:pPr>
    </w:p>
    <w:p w14:paraId="7DDECB52" w14:textId="2276F816" w:rsidR="001920BE" w:rsidRDefault="008E7658" w:rsidP="00D64186">
      <w:pPr>
        <w:spacing w:after="0" w:line="240" w:lineRule="auto"/>
        <w:jc w:val="both"/>
        <w:rPr>
          <w:rFonts w:ascii="Times New Roman" w:hAnsi="Times New Roman" w:cs="Times New Roman"/>
        </w:rPr>
      </w:pPr>
      <w:r>
        <w:rPr>
          <w:rFonts w:ascii="Times New Roman" w:hAnsi="Times New Roman" w:cs="Times New Roman"/>
        </w:rPr>
        <w:t>Moreover, t</w:t>
      </w:r>
      <w:r w:rsidR="00C93203">
        <w:rPr>
          <w:rFonts w:ascii="Times New Roman" w:hAnsi="Times New Roman" w:cs="Times New Roman"/>
        </w:rPr>
        <w:t xml:space="preserve">he </w:t>
      </w:r>
      <w:r w:rsidR="00E42B16">
        <w:rPr>
          <w:rFonts w:ascii="Times New Roman" w:hAnsi="Times New Roman" w:cs="Times New Roman"/>
          <w:lang w:val="en-GB"/>
        </w:rPr>
        <w:t>Working Group on Discrimination against Women</w:t>
      </w:r>
      <w:r w:rsidR="007701EA">
        <w:rPr>
          <w:rFonts w:ascii="Times New Roman" w:hAnsi="Times New Roman" w:cs="Times New Roman"/>
          <w:lang w:val="en-GB"/>
        </w:rPr>
        <w:t xml:space="preserve"> in Law and </w:t>
      </w:r>
      <w:r w:rsidR="00C26632">
        <w:rPr>
          <w:rFonts w:ascii="Times New Roman" w:hAnsi="Times New Roman" w:cs="Times New Roman"/>
          <w:lang w:val="en-GB"/>
        </w:rPr>
        <w:t xml:space="preserve">Practice </w:t>
      </w:r>
      <w:r w:rsidR="00E42B16">
        <w:rPr>
          <w:rFonts w:ascii="Times New Roman" w:hAnsi="Times New Roman" w:cs="Times New Roman"/>
          <w:lang w:val="en-GB"/>
        </w:rPr>
        <w:t xml:space="preserve">noted that </w:t>
      </w:r>
      <w:r w:rsidR="00B30C42">
        <w:rPr>
          <w:rFonts w:ascii="Times New Roman" w:hAnsi="Times New Roman" w:cs="Times New Roman"/>
          <w:lang w:val="en-GB"/>
        </w:rPr>
        <w:t>countrie</w:t>
      </w:r>
      <w:r w:rsidR="00E42B16">
        <w:rPr>
          <w:rFonts w:ascii="Times New Roman" w:hAnsi="Times New Roman" w:cs="Times New Roman"/>
          <w:lang w:val="en-GB"/>
        </w:rPr>
        <w:t>s violate women’s rights when they “</w:t>
      </w:r>
      <w:r w:rsidR="00E42B16">
        <w:rPr>
          <w:rFonts w:ascii="Times New Roman" w:hAnsi="Times New Roman" w:cs="Times New Roman"/>
        </w:rPr>
        <w:t>neglect women’s health needs, fail</w:t>
      </w:r>
      <w:r w:rsidR="00E42B16" w:rsidRPr="00E42B16">
        <w:rPr>
          <w:rFonts w:ascii="Times New Roman" w:hAnsi="Times New Roman" w:cs="Times New Roman"/>
        </w:rPr>
        <w:t xml:space="preserve"> to make gender-sensitiv</w:t>
      </w:r>
      <w:r w:rsidR="00E42B16">
        <w:rPr>
          <w:rFonts w:ascii="Times New Roman" w:hAnsi="Times New Roman" w:cs="Times New Roman"/>
        </w:rPr>
        <w:t>e health interventions, deprive</w:t>
      </w:r>
      <w:r w:rsidR="00E42B16" w:rsidRPr="00E42B16">
        <w:rPr>
          <w:rFonts w:ascii="Times New Roman" w:hAnsi="Times New Roman" w:cs="Times New Roman"/>
        </w:rPr>
        <w:t xml:space="preserve"> women of autonomous decision-</w:t>
      </w:r>
      <w:r w:rsidR="00E42B16">
        <w:rPr>
          <w:rFonts w:ascii="Times New Roman" w:hAnsi="Times New Roman" w:cs="Times New Roman"/>
        </w:rPr>
        <w:t>making capacity and criminalize or deny</w:t>
      </w:r>
      <w:r w:rsidR="00E42B16" w:rsidRPr="00E42B16">
        <w:rPr>
          <w:rFonts w:ascii="Times New Roman" w:hAnsi="Times New Roman" w:cs="Times New Roman"/>
        </w:rPr>
        <w:t xml:space="preserve"> them access to health services that only women require</w:t>
      </w:r>
      <w:r w:rsidR="00E42B16">
        <w:rPr>
          <w:rFonts w:ascii="Times New Roman" w:hAnsi="Times New Roman" w:cs="Times New Roman"/>
        </w:rPr>
        <w:t>,” remarking that these situations can result not only in cruel, inhuman or degrading treatment, but also violations of the right to life.</w:t>
      </w:r>
      <w:r w:rsidR="00E42B16">
        <w:rPr>
          <w:rStyle w:val="EndnoteReference"/>
          <w:rFonts w:ascii="Times New Roman" w:hAnsi="Times New Roman" w:cs="Times New Roman"/>
        </w:rPr>
        <w:endnoteReference w:id="16"/>
      </w:r>
    </w:p>
    <w:p w14:paraId="12A8C53E" w14:textId="77777777" w:rsidR="00E42B16" w:rsidRDefault="00E42B16" w:rsidP="00D64186">
      <w:pPr>
        <w:spacing w:after="0" w:line="240" w:lineRule="auto"/>
        <w:jc w:val="both"/>
        <w:rPr>
          <w:rFonts w:ascii="Times New Roman" w:hAnsi="Times New Roman" w:cs="Times New Roman"/>
          <w:lang w:val="en-GB"/>
        </w:rPr>
      </w:pPr>
    </w:p>
    <w:p w14:paraId="672AFC2D" w14:textId="35E74C38" w:rsidR="001920BE" w:rsidRPr="00C42C38" w:rsidRDefault="002F15C6" w:rsidP="00D64186">
      <w:pPr>
        <w:spacing w:after="0" w:line="240" w:lineRule="auto"/>
        <w:jc w:val="both"/>
        <w:rPr>
          <w:rFonts w:ascii="Times New Roman" w:hAnsi="Times New Roman" w:cs="Times New Roman"/>
          <w:lang w:val="en-GB"/>
        </w:rPr>
      </w:pPr>
      <w:r>
        <w:rPr>
          <w:rFonts w:ascii="Times New Roman" w:hAnsi="Times New Roman" w:cs="Times New Roman"/>
          <w:lang w:val="en-GB"/>
        </w:rPr>
        <w:t>In</w:t>
      </w:r>
      <w:r w:rsidR="00C42C38" w:rsidRPr="004E1284">
        <w:rPr>
          <w:rFonts w:ascii="Times New Roman" w:hAnsi="Times New Roman" w:cs="Times New Roman"/>
          <w:lang w:val="en-GB"/>
        </w:rPr>
        <w:t xml:space="preserve"> the context of its second reading of </w:t>
      </w:r>
      <w:r w:rsidR="00081769">
        <w:rPr>
          <w:rFonts w:ascii="Times New Roman" w:hAnsi="Times New Roman" w:cs="Times New Roman"/>
          <w:lang w:val="en-GB"/>
        </w:rPr>
        <w:t xml:space="preserve">paragraph 9 of </w:t>
      </w:r>
      <w:r w:rsidR="00C42C38" w:rsidRPr="004E1284">
        <w:rPr>
          <w:rFonts w:ascii="Times New Roman" w:hAnsi="Times New Roman" w:cs="Times New Roman"/>
          <w:lang w:val="en-GB"/>
        </w:rPr>
        <w:t>the draft general comment,</w:t>
      </w:r>
      <w:r w:rsidR="00081769">
        <w:rPr>
          <w:rFonts w:ascii="Times New Roman" w:hAnsi="Times New Roman" w:cs="Times New Roman"/>
          <w:lang w:val="en-GB"/>
        </w:rPr>
        <w:t xml:space="preserve"> </w:t>
      </w:r>
      <w:r w:rsidR="00B6358A">
        <w:rPr>
          <w:rFonts w:ascii="Times New Roman" w:hAnsi="Times New Roman" w:cs="Times New Roman"/>
          <w:lang w:val="en-GB"/>
        </w:rPr>
        <w:t xml:space="preserve">as currently formulated, </w:t>
      </w:r>
      <w:r w:rsidR="00C42C38" w:rsidRPr="004E1284">
        <w:rPr>
          <w:rFonts w:ascii="Times New Roman" w:hAnsi="Times New Roman" w:cs="Times New Roman"/>
          <w:lang w:val="en-GB"/>
        </w:rPr>
        <w:t>the Committee</w:t>
      </w:r>
      <w:r w:rsidR="00514B2B">
        <w:rPr>
          <w:rFonts w:ascii="Times New Roman" w:hAnsi="Times New Roman" w:cs="Times New Roman"/>
          <w:lang w:val="en-GB"/>
        </w:rPr>
        <w:t xml:space="preserve"> has the opportunity to</w:t>
      </w:r>
      <w:r w:rsidR="00C42C38" w:rsidRPr="004E1284">
        <w:rPr>
          <w:rFonts w:ascii="Times New Roman" w:hAnsi="Times New Roman" w:cs="Times New Roman"/>
          <w:lang w:val="en-GB"/>
        </w:rPr>
        <w:t xml:space="preserve"> </w:t>
      </w:r>
      <w:r w:rsidR="00030B2B">
        <w:rPr>
          <w:rFonts w:ascii="Times New Roman" w:hAnsi="Times New Roman" w:cs="Times New Roman"/>
          <w:lang w:val="en-GB"/>
        </w:rPr>
        <w:t>clarify that</w:t>
      </w:r>
      <w:r w:rsidR="00C42C38" w:rsidRPr="004E1284">
        <w:rPr>
          <w:rFonts w:ascii="Times New Roman" w:hAnsi="Times New Roman" w:cs="Times New Roman"/>
          <w:lang w:val="en-GB"/>
        </w:rPr>
        <w:t xml:space="preserve"> </w:t>
      </w:r>
      <w:r w:rsidR="00081769">
        <w:rPr>
          <w:rFonts w:ascii="Times New Roman" w:hAnsi="Times New Roman" w:cs="Times New Roman"/>
          <w:lang w:val="en-GB"/>
        </w:rPr>
        <w:t>S</w:t>
      </w:r>
      <w:r w:rsidR="00C42C38" w:rsidRPr="004E1284">
        <w:rPr>
          <w:rFonts w:ascii="Times New Roman" w:hAnsi="Times New Roman" w:cs="Times New Roman"/>
          <w:lang w:val="en-GB"/>
        </w:rPr>
        <w:t>tates</w:t>
      </w:r>
      <w:r w:rsidR="00081769">
        <w:rPr>
          <w:rFonts w:ascii="Times New Roman" w:hAnsi="Times New Roman" w:cs="Times New Roman"/>
          <w:lang w:val="en-GB"/>
        </w:rPr>
        <w:t xml:space="preserve"> parties’</w:t>
      </w:r>
      <w:r w:rsidR="00C42C38" w:rsidRPr="004E1284">
        <w:rPr>
          <w:rFonts w:ascii="Times New Roman" w:hAnsi="Times New Roman" w:cs="Times New Roman"/>
          <w:lang w:val="en-GB"/>
        </w:rPr>
        <w:t xml:space="preserve"> obligations to </w:t>
      </w:r>
      <w:r w:rsidR="00030B2B">
        <w:rPr>
          <w:rFonts w:ascii="Times New Roman" w:hAnsi="Times New Roman" w:cs="Times New Roman"/>
          <w:lang w:val="en-GB"/>
        </w:rPr>
        <w:t>realize</w:t>
      </w:r>
      <w:r w:rsidR="00C42C38" w:rsidRPr="004E1284">
        <w:rPr>
          <w:rFonts w:ascii="Times New Roman" w:hAnsi="Times New Roman" w:cs="Times New Roman"/>
          <w:lang w:val="en-GB"/>
        </w:rPr>
        <w:t xml:space="preserve"> women’s and girls’ right to life a</w:t>
      </w:r>
      <w:r w:rsidR="00030B2B">
        <w:rPr>
          <w:rFonts w:ascii="Times New Roman" w:hAnsi="Times New Roman" w:cs="Times New Roman"/>
          <w:lang w:val="en-GB"/>
        </w:rPr>
        <w:t>re</w:t>
      </w:r>
      <w:r w:rsidR="00C42C38" w:rsidRPr="004E1284">
        <w:rPr>
          <w:rFonts w:ascii="Times New Roman" w:hAnsi="Times New Roman" w:cs="Times New Roman"/>
          <w:lang w:val="en-GB"/>
        </w:rPr>
        <w:t xml:space="preserve"> </w:t>
      </w:r>
      <w:r w:rsidR="00C42C38">
        <w:rPr>
          <w:rFonts w:ascii="Times New Roman" w:hAnsi="Times New Roman" w:cs="Times New Roman"/>
          <w:lang w:val="en-GB"/>
        </w:rPr>
        <w:t xml:space="preserve">contingent upon </w:t>
      </w:r>
      <w:r w:rsidR="00B6358A">
        <w:rPr>
          <w:rFonts w:ascii="Times New Roman" w:hAnsi="Times New Roman" w:cs="Times New Roman"/>
          <w:lang w:val="en-GB"/>
        </w:rPr>
        <w:t xml:space="preserve">the </w:t>
      </w:r>
      <w:r w:rsidR="00C42C38" w:rsidRPr="004E1284">
        <w:rPr>
          <w:rFonts w:ascii="Times New Roman" w:hAnsi="Times New Roman" w:cs="Times New Roman"/>
          <w:lang w:val="en-GB"/>
        </w:rPr>
        <w:t>right</w:t>
      </w:r>
      <w:r w:rsidR="00C42C38">
        <w:rPr>
          <w:rFonts w:ascii="Times New Roman" w:hAnsi="Times New Roman" w:cs="Times New Roman"/>
          <w:lang w:val="en-GB"/>
        </w:rPr>
        <w:t>s</w:t>
      </w:r>
      <w:r w:rsidR="00C42C38" w:rsidRPr="004E1284">
        <w:rPr>
          <w:rFonts w:ascii="Times New Roman" w:hAnsi="Times New Roman" w:cs="Times New Roman"/>
          <w:lang w:val="en-GB"/>
        </w:rPr>
        <w:t xml:space="preserve"> to </w:t>
      </w:r>
      <w:r w:rsidR="00C42C38">
        <w:rPr>
          <w:rFonts w:ascii="Times New Roman" w:hAnsi="Times New Roman" w:cs="Times New Roman"/>
          <w:lang w:val="en-GB"/>
        </w:rPr>
        <w:t>non-</w:t>
      </w:r>
      <w:r w:rsidR="00B130FA">
        <w:rPr>
          <w:rFonts w:ascii="Times New Roman" w:hAnsi="Times New Roman" w:cs="Times New Roman"/>
          <w:lang w:val="en-GB"/>
        </w:rPr>
        <w:t>discrimination</w:t>
      </w:r>
      <w:r w:rsidR="00081769">
        <w:rPr>
          <w:rFonts w:ascii="Times New Roman" w:hAnsi="Times New Roman" w:cs="Times New Roman"/>
          <w:lang w:val="en-GB"/>
        </w:rPr>
        <w:t>, as well as</w:t>
      </w:r>
      <w:r w:rsidR="00B130FA">
        <w:rPr>
          <w:rFonts w:ascii="Times New Roman" w:hAnsi="Times New Roman" w:cs="Times New Roman"/>
          <w:lang w:val="en-GB"/>
        </w:rPr>
        <w:t xml:space="preserve"> </w:t>
      </w:r>
      <w:r w:rsidR="004E62E3">
        <w:rPr>
          <w:rFonts w:ascii="Times New Roman" w:hAnsi="Times New Roman" w:cs="Times New Roman"/>
          <w:lang w:val="en-GB"/>
        </w:rPr>
        <w:t>equality before</w:t>
      </w:r>
      <w:r w:rsidR="00C42C38" w:rsidRPr="004E1284">
        <w:rPr>
          <w:rFonts w:ascii="Times New Roman" w:hAnsi="Times New Roman" w:cs="Times New Roman"/>
          <w:lang w:val="en-GB"/>
        </w:rPr>
        <w:t xml:space="preserve"> the law</w:t>
      </w:r>
      <w:r w:rsidR="00081769">
        <w:rPr>
          <w:rFonts w:ascii="Times New Roman" w:hAnsi="Times New Roman" w:cs="Times New Roman"/>
          <w:lang w:val="en-GB"/>
        </w:rPr>
        <w:t xml:space="preserve"> and equal protection of the law</w:t>
      </w:r>
      <w:r w:rsidR="00BB255A">
        <w:rPr>
          <w:rFonts w:ascii="Times New Roman" w:hAnsi="Times New Roman" w:cs="Times New Roman"/>
          <w:lang w:val="en-GB"/>
        </w:rPr>
        <w:t xml:space="preserve">. This includes </w:t>
      </w:r>
      <w:r w:rsidR="000C4C82">
        <w:rPr>
          <w:rFonts w:ascii="Times New Roman" w:hAnsi="Times New Roman" w:cs="Times New Roman"/>
          <w:lang w:val="en-GB"/>
        </w:rPr>
        <w:t>addressing gender-based discrimination</w:t>
      </w:r>
      <w:r w:rsidR="008C010E">
        <w:rPr>
          <w:rFonts w:ascii="Times New Roman" w:hAnsi="Times New Roman" w:cs="Times New Roman"/>
          <w:lang w:val="en-GB"/>
        </w:rPr>
        <w:t xml:space="preserve"> and intersectional discrimination</w:t>
      </w:r>
      <w:r w:rsidR="00BF589E">
        <w:rPr>
          <w:rFonts w:ascii="Times New Roman" w:hAnsi="Times New Roman" w:cs="Times New Roman"/>
          <w:lang w:val="en-GB"/>
        </w:rPr>
        <w:t>,</w:t>
      </w:r>
      <w:r w:rsidR="0070218D">
        <w:rPr>
          <w:rFonts w:ascii="Times New Roman" w:hAnsi="Times New Roman" w:cs="Times New Roman"/>
          <w:lang w:val="en-GB"/>
        </w:rPr>
        <w:t xml:space="preserve"> </w:t>
      </w:r>
      <w:r w:rsidR="00BF589E">
        <w:rPr>
          <w:rFonts w:ascii="Times New Roman" w:hAnsi="Times New Roman" w:cs="Times New Roman"/>
          <w:lang w:val="en-GB"/>
        </w:rPr>
        <w:t>compounded by</w:t>
      </w:r>
      <w:r w:rsidR="00B6358A">
        <w:rPr>
          <w:rFonts w:ascii="Times New Roman" w:hAnsi="Times New Roman" w:cs="Times New Roman"/>
          <w:lang w:val="en-GB"/>
        </w:rPr>
        <w:t xml:space="preserve"> marginalization on other grounds</w:t>
      </w:r>
      <w:r w:rsidR="00BF589E">
        <w:rPr>
          <w:rFonts w:ascii="Times New Roman" w:hAnsi="Times New Roman" w:cs="Times New Roman"/>
          <w:lang w:val="en-GB"/>
        </w:rPr>
        <w:t>,</w:t>
      </w:r>
      <w:r w:rsidR="00030B2B">
        <w:rPr>
          <w:rFonts w:ascii="Times New Roman" w:hAnsi="Times New Roman" w:cs="Times New Roman"/>
          <w:lang w:val="en-GB"/>
        </w:rPr>
        <w:t xml:space="preserve"> that manifest themselves</w:t>
      </w:r>
      <w:r w:rsidR="00B15DDF">
        <w:rPr>
          <w:rFonts w:ascii="Times New Roman" w:hAnsi="Times New Roman" w:cs="Times New Roman"/>
          <w:lang w:val="en-GB"/>
        </w:rPr>
        <w:t xml:space="preserve"> as restrictions </w:t>
      </w:r>
      <w:r w:rsidR="000C4C82">
        <w:rPr>
          <w:rFonts w:ascii="Times New Roman" w:hAnsi="Times New Roman" w:cs="Times New Roman"/>
          <w:lang w:val="en-GB"/>
        </w:rPr>
        <w:t>o</w:t>
      </w:r>
      <w:r w:rsidR="00B15DDF">
        <w:rPr>
          <w:rFonts w:ascii="Times New Roman" w:hAnsi="Times New Roman" w:cs="Times New Roman"/>
          <w:lang w:val="en-GB"/>
        </w:rPr>
        <w:t>n</w:t>
      </w:r>
      <w:r w:rsidR="000C4C82">
        <w:rPr>
          <w:rFonts w:ascii="Times New Roman" w:hAnsi="Times New Roman" w:cs="Times New Roman"/>
          <w:lang w:val="en-GB"/>
        </w:rPr>
        <w:t xml:space="preserve"> essential health services that only women need.</w:t>
      </w:r>
      <w:r w:rsidR="001920BE">
        <w:rPr>
          <w:rFonts w:ascii="Times New Roman" w:hAnsi="Times New Roman" w:cs="Times New Roman"/>
          <w:lang w:val="en-GB"/>
        </w:rPr>
        <w:t xml:space="preserve"> </w:t>
      </w:r>
    </w:p>
    <w:p w14:paraId="7719400F" w14:textId="77777777" w:rsidR="00906EE7" w:rsidRPr="00906EE7" w:rsidRDefault="00906EE7" w:rsidP="00D64186">
      <w:pPr>
        <w:spacing w:after="0" w:line="240" w:lineRule="auto"/>
        <w:jc w:val="both"/>
        <w:rPr>
          <w:rFonts w:ascii="Times New Roman" w:hAnsi="Times New Roman" w:cs="Times New Roman"/>
        </w:rPr>
      </w:pPr>
    </w:p>
    <w:p w14:paraId="166B460A" w14:textId="53700899" w:rsidR="00FA58F0" w:rsidRPr="00E63D45" w:rsidRDefault="00FA58F0" w:rsidP="00D64186">
      <w:pPr>
        <w:pStyle w:val="ListParagraph"/>
        <w:numPr>
          <w:ilvl w:val="0"/>
          <w:numId w:val="1"/>
        </w:numPr>
        <w:spacing w:after="0" w:line="240" w:lineRule="auto"/>
        <w:jc w:val="both"/>
        <w:rPr>
          <w:rFonts w:ascii="Times New Roman" w:hAnsi="Times New Roman" w:cs="Times New Roman"/>
          <w:b/>
        </w:rPr>
      </w:pPr>
      <w:r w:rsidRPr="00E63D45">
        <w:rPr>
          <w:rFonts w:ascii="Times New Roman" w:hAnsi="Times New Roman" w:cs="Times New Roman"/>
          <w:b/>
        </w:rPr>
        <w:t xml:space="preserve">States </w:t>
      </w:r>
      <w:r w:rsidR="00AD2C8E">
        <w:rPr>
          <w:rFonts w:ascii="Times New Roman" w:hAnsi="Times New Roman" w:cs="Times New Roman"/>
          <w:b/>
        </w:rPr>
        <w:t xml:space="preserve">parties </w:t>
      </w:r>
      <w:r w:rsidRPr="00E63D45">
        <w:rPr>
          <w:rFonts w:ascii="Times New Roman" w:hAnsi="Times New Roman" w:cs="Times New Roman"/>
          <w:b/>
        </w:rPr>
        <w:t xml:space="preserve">must liberalize restrictive abortion legislation </w:t>
      </w:r>
      <w:r w:rsidR="009E4990" w:rsidRPr="00E63D45">
        <w:rPr>
          <w:rFonts w:ascii="Times New Roman" w:hAnsi="Times New Roman" w:cs="Times New Roman"/>
          <w:b/>
        </w:rPr>
        <w:t>to</w:t>
      </w:r>
      <w:r w:rsidRPr="00E63D45">
        <w:rPr>
          <w:rFonts w:ascii="Times New Roman" w:hAnsi="Times New Roman" w:cs="Times New Roman"/>
          <w:b/>
        </w:rPr>
        <w:t xml:space="preserve"> realize women’s right to life</w:t>
      </w:r>
      <w:r w:rsidR="00C8367E">
        <w:rPr>
          <w:rFonts w:ascii="Times New Roman" w:hAnsi="Times New Roman" w:cs="Times New Roman"/>
          <w:b/>
        </w:rPr>
        <w:t>.</w:t>
      </w:r>
    </w:p>
    <w:p w14:paraId="2C6ABBB6" w14:textId="77777777" w:rsidR="009F54D4" w:rsidRDefault="009F54D4" w:rsidP="00D64186">
      <w:pPr>
        <w:pStyle w:val="ListParagraph"/>
        <w:spacing w:after="0" w:line="240" w:lineRule="auto"/>
        <w:ind w:left="1080"/>
        <w:jc w:val="both"/>
        <w:rPr>
          <w:rFonts w:ascii="Times New Roman" w:hAnsi="Times New Roman" w:cs="Times New Roman"/>
        </w:rPr>
      </w:pPr>
    </w:p>
    <w:p w14:paraId="44D52C61" w14:textId="6C7F641A" w:rsidR="00102554" w:rsidRDefault="0023047D" w:rsidP="00D64186">
      <w:pPr>
        <w:spacing w:after="0" w:line="240" w:lineRule="auto"/>
        <w:jc w:val="both"/>
        <w:rPr>
          <w:rFonts w:ascii="Times New Roman" w:hAnsi="Times New Roman" w:cs="Times New Roman"/>
        </w:rPr>
      </w:pPr>
      <w:r>
        <w:rPr>
          <w:rFonts w:ascii="Times New Roman" w:hAnsi="Times New Roman" w:cs="Times New Roman"/>
        </w:rPr>
        <w:t xml:space="preserve">According to the </w:t>
      </w:r>
      <w:r w:rsidR="00DF7710">
        <w:rPr>
          <w:rFonts w:ascii="Times New Roman" w:hAnsi="Times New Roman" w:cs="Times New Roman"/>
        </w:rPr>
        <w:t>World Health Organization</w:t>
      </w:r>
      <w:r w:rsidR="00CA6294">
        <w:rPr>
          <w:rFonts w:ascii="Times New Roman" w:hAnsi="Times New Roman" w:cs="Times New Roman"/>
        </w:rPr>
        <w:t xml:space="preserve"> (WHO)</w:t>
      </w:r>
      <w:r>
        <w:rPr>
          <w:rFonts w:ascii="Times New Roman" w:hAnsi="Times New Roman" w:cs="Times New Roman"/>
        </w:rPr>
        <w:t>,</w:t>
      </w:r>
      <w:r w:rsidR="004661A7">
        <w:rPr>
          <w:rFonts w:ascii="Times New Roman" w:hAnsi="Times New Roman" w:cs="Times New Roman"/>
        </w:rPr>
        <w:t xml:space="preserve"> there are </w:t>
      </w:r>
      <w:r w:rsidR="007D5567">
        <w:rPr>
          <w:rFonts w:ascii="Times New Roman" w:hAnsi="Times New Roman" w:cs="Times New Roman"/>
        </w:rPr>
        <w:t>over</w:t>
      </w:r>
      <w:r w:rsidR="004661A7">
        <w:rPr>
          <w:rFonts w:ascii="Times New Roman" w:hAnsi="Times New Roman" w:cs="Times New Roman"/>
        </w:rPr>
        <w:t xml:space="preserve"> 25</w:t>
      </w:r>
      <w:r w:rsidR="00DF7710">
        <w:rPr>
          <w:rFonts w:ascii="Times New Roman" w:hAnsi="Times New Roman" w:cs="Times New Roman"/>
        </w:rPr>
        <w:t xml:space="preserve"> million unsaf</w:t>
      </w:r>
      <w:r w:rsidR="00932FFC">
        <w:rPr>
          <w:rFonts w:ascii="Times New Roman" w:hAnsi="Times New Roman" w:cs="Times New Roman"/>
        </w:rPr>
        <w:t>e abortions performed each year</w:t>
      </w:r>
      <w:r w:rsidR="00AA4E01">
        <w:rPr>
          <w:rFonts w:ascii="Times New Roman" w:hAnsi="Times New Roman" w:cs="Times New Roman"/>
        </w:rPr>
        <w:t>,</w:t>
      </w:r>
      <w:r w:rsidR="00932FFC">
        <w:rPr>
          <w:rStyle w:val="EndnoteReference"/>
          <w:rFonts w:ascii="Times New Roman" w:hAnsi="Times New Roman" w:cs="Times New Roman"/>
        </w:rPr>
        <w:endnoteReference w:id="17"/>
      </w:r>
      <w:r w:rsidR="00DF7710">
        <w:rPr>
          <w:rFonts w:ascii="Times New Roman" w:hAnsi="Times New Roman" w:cs="Times New Roman"/>
        </w:rPr>
        <w:t xml:space="preserve"> </w:t>
      </w:r>
      <w:r w:rsidR="00AA4E01">
        <w:rPr>
          <w:rFonts w:ascii="Times New Roman" w:hAnsi="Times New Roman" w:cs="Times New Roman"/>
        </w:rPr>
        <w:t xml:space="preserve">which not only results in </w:t>
      </w:r>
      <w:r w:rsidR="00DF7710">
        <w:rPr>
          <w:rFonts w:ascii="Times New Roman" w:hAnsi="Times New Roman" w:cs="Times New Roman"/>
        </w:rPr>
        <w:t xml:space="preserve">deaths </w:t>
      </w:r>
      <w:r w:rsidR="00AA4E01">
        <w:rPr>
          <w:rFonts w:ascii="Times New Roman" w:hAnsi="Times New Roman" w:cs="Times New Roman"/>
        </w:rPr>
        <w:t>but also life-altering</w:t>
      </w:r>
      <w:r w:rsidR="00DF7710">
        <w:rPr>
          <w:rFonts w:ascii="Times New Roman" w:hAnsi="Times New Roman" w:cs="Times New Roman"/>
        </w:rPr>
        <w:t xml:space="preserve"> disabilities.</w:t>
      </w:r>
      <w:r w:rsidR="00DF7710">
        <w:rPr>
          <w:rStyle w:val="EndnoteReference"/>
          <w:rFonts w:ascii="Times New Roman" w:hAnsi="Times New Roman" w:cs="Times New Roman"/>
        </w:rPr>
        <w:endnoteReference w:id="18"/>
      </w:r>
      <w:r w:rsidR="00DF7710">
        <w:rPr>
          <w:rFonts w:ascii="Times New Roman" w:hAnsi="Times New Roman" w:cs="Times New Roman"/>
        </w:rPr>
        <w:t xml:space="preserve"> Almost all of the deaths </w:t>
      </w:r>
      <w:r w:rsidR="00493AC3">
        <w:rPr>
          <w:rFonts w:ascii="Times New Roman" w:hAnsi="Times New Roman" w:cs="Times New Roman"/>
        </w:rPr>
        <w:t xml:space="preserve">and </w:t>
      </w:r>
      <w:r w:rsidR="00BC454A">
        <w:rPr>
          <w:rFonts w:ascii="Times New Roman" w:hAnsi="Times New Roman" w:cs="Times New Roman"/>
        </w:rPr>
        <w:t xml:space="preserve">instances of </w:t>
      </w:r>
      <w:r w:rsidR="00493AC3">
        <w:rPr>
          <w:rFonts w:ascii="Times New Roman" w:hAnsi="Times New Roman" w:cs="Times New Roman"/>
        </w:rPr>
        <w:t xml:space="preserve">morbidity </w:t>
      </w:r>
      <w:r w:rsidR="00DF7710">
        <w:rPr>
          <w:rFonts w:ascii="Times New Roman" w:hAnsi="Times New Roman" w:cs="Times New Roman"/>
        </w:rPr>
        <w:t>occur in countries with restrictive laws on abortion.</w:t>
      </w:r>
      <w:r w:rsidR="00DF7710">
        <w:rPr>
          <w:rStyle w:val="EndnoteReference"/>
          <w:rFonts w:ascii="Times New Roman" w:hAnsi="Times New Roman" w:cs="Times New Roman"/>
        </w:rPr>
        <w:endnoteReference w:id="19"/>
      </w:r>
      <w:r w:rsidR="00DF7710">
        <w:rPr>
          <w:rFonts w:ascii="Times New Roman" w:hAnsi="Times New Roman" w:cs="Times New Roman"/>
        </w:rPr>
        <w:t xml:space="preserve"> </w:t>
      </w:r>
      <w:r w:rsidR="000C39DC" w:rsidRPr="002F77A2">
        <w:rPr>
          <w:rFonts w:ascii="Times New Roman" w:hAnsi="Times New Roman" w:cs="Times New Roman"/>
        </w:rPr>
        <w:t>Access to safe abortion</w:t>
      </w:r>
      <w:r w:rsidR="00BC454A">
        <w:rPr>
          <w:rFonts w:ascii="Times New Roman" w:hAnsi="Times New Roman" w:cs="Times New Roman"/>
        </w:rPr>
        <w:t xml:space="preserve"> needs to be guaranteed by all S</w:t>
      </w:r>
      <w:r w:rsidR="000C39DC" w:rsidRPr="002F77A2">
        <w:rPr>
          <w:rFonts w:ascii="Times New Roman" w:hAnsi="Times New Roman" w:cs="Times New Roman"/>
        </w:rPr>
        <w:t>tates</w:t>
      </w:r>
      <w:r w:rsidR="00BC454A">
        <w:rPr>
          <w:rFonts w:ascii="Times New Roman" w:hAnsi="Times New Roman" w:cs="Times New Roman"/>
        </w:rPr>
        <w:t xml:space="preserve"> parties</w:t>
      </w:r>
      <w:r w:rsidR="000C39DC" w:rsidRPr="002F77A2">
        <w:rPr>
          <w:rFonts w:ascii="Times New Roman" w:hAnsi="Times New Roman" w:cs="Times New Roman"/>
        </w:rPr>
        <w:t xml:space="preserve"> in order to</w:t>
      </w:r>
      <w:r w:rsidR="002F77A2">
        <w:rPr>
          <w:rFonts w:ascii="Times New Roman" w:hAnsi="Times New Roman" w:cs="Times New Roman"/>
        </w:rPr>
        <w:t xml:space="preserve"> </w:t>
      </w:r>
      <w:r w:rsidR="004642DD">
        <w:rPr>
          <w:rFonts w:ascii="Times New Roman" w:hAnsi="Times New Roman" w:cs="Times New Roman"/>
        </w:rPr>
        <w:t>protect women’s</w:t>
      </w:r>
      <w:r w:rsidR="00EE65B6">
        <w:rPr>
          <w:rFonts w:ascii="Times New Roman" w:hAnsi="Times New Roman" w:cs="Times New Roman"/>
        </w:rPr>
        <w:t xml:space="preserve"> and girls’</w:t>
      </w:r>
      <w:r w:rsidR="004642DD">
        <w:rPr>
          <w:rFonts w:ascii="Times New Roman" w:hAnsi="Times New Roman" w:cs="Times New Roman"/>
        </w:rPr>
        <w:t xml:space="preserve"> right to life. </w:t>
      </w:r>
      <w:r w:rsidR="00EE36EC">
        <w:rPr>
          <w:rFonts w:ascii="Times New Roman" w:hAnsi="Times New Roman" w:cs="Times New Roman"/>
        </w:rPr>
        <w:t xml:space="preserve">This Committee has recognized that unsafe abortion undermines women’s right to life and has urged </w:t>
      </w:r>
      <w:r w:rsidR="00BC454A">
        <w:rPr>
          <w:rFonts w:ascii="Times New Roman" w:hAnsi="Times New Roman" w:cs="Times New Roman"/>
        </w:rPr>
        <w:t>S</w:t>
      </w:r>
      <w:r w:rsidR="00EE36EC">
        <w:rPr>
          <w:rFonts w:ascii="Times New Roman" w:hAnsi="Times New Roman" w:cs="Times New Roman"/>
        </w:rPr>
        <w:t>tates</w:t>
      </w:r>
      <w:r w:rsidR="00BC454A">
        <w:rPr>
          <w:rFonts w:ascii="Times New Roman" w:hAnsi="Times New Roman" w:cs="Times New Roman"/>
        </w:rPr>
        <w:t xml:space="preserve"> parties</w:t>
      </w:r>
      <w:r w:rsidR="00EE36EC">
        <w:rPr>
          <w:rFonts w:ascii="Times New Roman" w:hAnsi="Times New Roman" w:cs="Times New Roman"/>
        </w:rPr>
        <w:t xml:space="preserve"> to amend their abortion laws to ensure that women do not have to resort to illegal and unsafe abortions.</w:t>
      </w:r>
      <w:r w:rsidR="00EE36EC">
        <w:rPr>
          <w:rStyle w:val="EndnoteReference"/>
          <w:rFonts w:ascii="Times New Roman" w:hAnsi="Times New Roman" w:cs="Times New Roman"/>
        </w:rPr>
        <w:endnoteReference w:id="20"/>
      </w:r>
      <w:r w:rsidR="00EE36EC">
        <w:rPr>
          <w:rFonts w:ascii="Times New Roman" w:hAnsi="Times New Roman" w:cs="Times New Roman"/>
        </w:rPr>
        <w:t xml:space="preserve"> </w:t>
      </w:r>
    </w:p>
    <w:p w14:paraId="1A078F0C" w14:textId="77777777" w:rsidR="00EE36EC" w:rsidRPr="000C39DC" w:rsidRDefault="00EE36EC" w:rsidP="00D64186">
      <w:pPr>
        <w:spacing w:after="0" w:line="240" w:lineRule="auto"/>
        <w:jc w:val="both"/>
        <w:rPr>
          <w:rFonts w:ascii="Times New Roman" w:hAnsi="Times New Roman" w:cs="Times New Roman"/>
        </w:rPr>
      </w:pPr>
    </w:p>
    <w:p w14:paraId="2F077921" w14:textId="3F9FB5C2" w:rsidR="00FA58F0" w:rsidRDefault="00FA58F0" w:rsidP="00D64186">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International law </w:t>
      </w:r>
      <w:r w:rsidR="003E4424">
        <w:rPr>
          <w:rFonts w:ascii="Times New Roman" w:hAnsi="Times New Roman" w:cs="Times New Roman"/>
        </w:rPr>
        <w:t>recognizes</w:t>
      </w:r>
      <w:r>
        <w:rPr>
          <w:rFonts w:ascii="Times New Roman" w:hAnsi="Times New Roman" w:cs="Times New Roman"/>
        </w:rPr>
        <w:t xml:space="preserve"> broader </w:t>
      </w:r>
      <w:r w:rsidR="00D768E0">
        <w:rPr>
          <w:rFonts w:ascii="Times New Roman" w:hAnsi="Times New Roman" w:cs="Times New Roman"/>
        </w:rPr>
        <w:t xml:space="preserve">abortion-related </w:t>
      </w:r>
      <w:r w:rsidR="008A083A">
        <w:rPr>
          <w:rFonts w:ascii="Times New Roman" w:hAnsi="Times New Roman" w:cs="Times New Roman"/>
        </w:rPr>
        <w:t>human rights standards</w:t>
      </w:r>
      <w:r w:rsidR="0023030D">
        <w:rPr>
          <w:rFonts w:ascii="Times New Roman" w:hAnsi="Times New Roman" w:cs="Times New Roman"/>
        </w:rPr>
        <w:t>,</w:t>
      </w:r>
      <w:r>
        <w:rPr>
          <w:rFonts w:ascii="Times New Roman" w:hAnsi="Times New Roman" w:cs="Times New Roman"/>
        </w:rPr>
        <w:t xml:space="preserve"> </w:t>
      </w:r>
      <w:r w:rsidR="0023030D">
        <w:rPr>
          <w:rFonts w:ascii="Times New Roman" w:hAnsi="Times New Roman" w:cs="Times New Roman"/>
        </w:rPr>
        <w:t>not only to advance</w:t>
      </w:r>
      <w:r w:rsidR="008A083A">
        <w:rPr>
          <w:rFonts w:ascii="Times New Roman" w:hAnsi="Times New Roman" w:cs="Times New Roman"/>
        </w:rPr>
        <w:t xml:space="preserve"> gender equality and wo</w:t>
      </w:r>
      <w:r w:rsidR="00195FCA">
        <w:rPr>
          <w:rFonts w:ascii="Times New Roman" w:hAnsi="Times New Roman" w:cs="Times New Roman"/>
        </w:rPr>
        <w:t>men’s autonomy, but also to</w:t>
      </w:r>
      <w:r w:rsidR="008D4AB3">
        <w:rPr>
          <w:rFonts w:ascii="Times New Roman" w:hAnsi="Times New Roman" w:cs="Times New Roman"/>
        </w:rPr>
        <w:t xml:space="preserve"> </w:t>
      </w:r>
      <w:r w:rsidR="004250D2">
        <w:rPr>
          <w:rFonts w:ascii="Times New Roman" w:hAnsi="Times New Roman" w:cs="Times New Roman"/>
        </w:rPr>
        <w:t>eliminat</w:t>
      </w:r>
      <w:r w:rsidR="00195FCA">
        <w:rPr>
          <w:rFonts w:ascii="Times New Roman" w:hAnsi="Times New Roman" w:cs="Times New Roman"/>
        </w:rPr>
        <w:t>e</w:t>
      </w:r>
      <w:r w:rsidR="004250D2">
        <w:rPr>
          <w:rFonts w:ascii="Times New Roman" w:hAnsi="Times New Roman" w:cs="Times New Roman"/>
        </w:rPr>
        <w:t xml:space="preserve"> preventable</w:t>
      </w:r>
      <w:r>
        <w:rPr>
          <w:rFonts w:ascii="Times New Roman" w:hAnsi="Times New Roman" w:cs="Times New Roman"/>
        </w:rPr>
        <w:t xml:space="preserve"> maternal mortality</w:t>
      </w:r>
      <w:r w:rsidR="00EE65B6">
        <w:rPr>
          <w:rFonts w:ascii="Times New Roman" w:hAnsi="Times New Roman" w:cs="Times New Roman"/>
        </w:rPr>
        <w:t xml:space="preserve"> and morbidity</w:t>
      </w:r>
      <w:r>
        <w:rPr>
          <w:rFonts w:ascii="Times New Roman" w:hAnsi="Times New Roman" w:cs="Times New Roman"/>
        </w:rPr>
        <w:t>.</w:t>
      </w:r>
    </w:p>
    <w:p w14:paraId="4CBEC28D" w14:textId="77777777" w:rsidR="00312010" w:rsidRDefault="00312010" w:rsidP="00D64186">
      <w:pPr>
        <w:spacing w:after="0" w:line="240" w:lineRule="auto"/>
        <w:jc w:val="both"/>
        <w:rPr>
          <w:rFonts w:ascii="Times New Roman" w:hAnsi="Times New Roman" w:cs="Times New Roman"/>
        </w:rPr>
      </w:pPr>
    </w:p>
    <w:p w14:paraId="4D3A73B6" w14:textId="1294A481" w:rsidR="00683FF6" w:rsidRDefault="00683FF6" w:rsidP="00D64186">
      <w:pPr>
        <w:spacing w:after="0" w:line="240" w:lineRule="auto"/>
        <w:jc w:val="both"/>
        <w:rPr>
          <w:rFonts w:ascii="Times New Roman" w:hAnsi="Times New Roman" w:cs="Times New Roman"/>
        </w:rPr>
      </w:pPr>
      <w:r>
        <w:rPr>
          <w:rFonts w:ascii="Times New Roman" w:hAnsi="Times New Roman" w:cs="Times New Roman"/>
        </w:rPr>
        <w:t>Incre</w:t>
      </w:r>
      <w:r w:rsidR="00707A3A">
        <w:rPr>
          <w:rFonts w:ascii="Times New Roman" w:hAnsi="Times New Roman" w:cs="Times New Roman"/>
        </w:rPr>
        <w:t>asing legal access to abortion</w:t>
      </w:r>
      <w:r>
        <w:rPr>
          <w:rFonts w:ascii="Times New Roman" w:hAnsi="Times New Roman" w:cs="Times New Roman"/>
        </w:rPr>
        <w:t xml:space="preserve"> not only </w:t>
      </w:r>
      <w:r w:rsidR="00493A51">
        <w:rPr>
          <w:rFonts w:ascii="Times New Roman" w:hAnsi="Times New Roman" w:cs="Times New Roman"/>
        </w:rPr>
        <w:t>en</w:t>
      </w:r>
      <w:r w:rsidR="00707A3A">
        <w:rPr>
          <w:rFonts w:ascii="Times New Roman" w:hAnsi="Times New Roman" w:cs="Times New Roman"/>
        </w:rPr>
        <w:t>hances</w:t>
      </w:r>
      <w:r>
        <w:rPr>
          <w:rFonts w:ascii="Times New Roman" w:hAnsi="Times New Roman" w:cs="Times New Roman"/>
        </w:rPr>
        <w:t xml:space="preserve"> women’s</w:t>
      </w:r>
      <w:r w:rsidR="008436CB">
        <w:rPr>
          <w:rFonts w:ascii="Times New Roman" w:hAnsi="Times New Roman" w:cs="Times New Roman"/>
        </w:rPr>
        <w:t xml:space="preserve"> and girls’</w:t>
      </w:r>
      <w:r>
        <w:rPr>
          <w:rFonts w:ascii="Times New Roman" w:hAnsi="Times New Roman" w:cs="Times New Roman"/>
        </w:rPr>
        <w:t xml:space="preserve"> sexual and reproductive health, but</w:t>
      </w:r>
      <w:r w:rsidR="00F04999">
        <w:rPr>
          <w:rFonts w:ascii="Times New Roman" w:hAnsi="Times New Roman" w:cs="Times New Roman"/>
        </w:rPr>
        <w:t xml:space="preserve"> also</w:t>
      </w:r>
      <w:r>
        <w:rPr>
          <w:rFonts w:ascii="Times New Roman" w:hAnsi="Times New Roman" w:cs="Times New Roman"/>
        </w:rPr>
        <w:t xml:space="preserve"> </w:t>
      </w:r>
      <w:r w:rsidR="00707A3A">
        <w:rPr>
          <w:rFonts w:ascii="Times New Roman" w:hAnsi="Times New Roman" w:cs="Times New Roman"/>
        </w:rPr>
        <w:t>reduces</w:t>
      </w:r>
      <w:r>
        <w:rPr>
          <w:rFonts w:ascii="Times New Roman" w:hAnsi="Times New Roman" w:cs="Times New Roman"/>
        </w:rPr>
        <w:t xml:space="preserve"> maternal mortality</w:t>
      </w:r>
      <w:r w:rsidR="008F2B69">
        <w:rPr>
          <w:rFonts w:ascii="Times New Roman" w:hAnsi="Times New Roman" w:cs="Times New Roman"/>
        </w:rPr>
        <w:t xml:space="preserve"> and morbidity</w:t>
      </w:r>
      <w:r>
        <w:rPr>
          <w:rFonts w:ascii="Times New Roman" w:hAnsi="Times New Roman" w:cs="Times New Roman"/>
        </w:rPr>
        <w:t xml:space="preserve">. Evidence demonstrates that where abortion is legal on broad grounds, there is </w:t>
      </w:r>
      <w:r w:rsidR="008B044C">
        <w:rPr>
          <w:rFonts w:ascii="Times New Roman" w:hAnsi="Times New Roman" w:cs="Times New Roman"/>
        </w:rPr>
        <w:t xml:space="preserve">a </w:t>
      </w:r>
      <w:r>
        <w:rPr>
          <w:rFonts w:ascii="Times New Roman" w:hAnsi="Times New Roman" w:cs="Times New Roman"/>
        </w:rPr>
        <w:t>lower rate of unsafe abortions as well as a lower maternal mortality rate.</w:t>
      </w:r>
      <w:r>
        <w:rPr>
          <w:rStyle w:val="EndnoteReference"/>
          <w:rFonts w:ascii="Times New Roman" w:hAnsi="Times New Roman" w:cs="Times New Roman"/>
        </w:rPr>
        <w:endnoteReference w:id="21"/>
      </w:r>
      <w:r>
        <w:rPr>
          <w:rFonts w:ascii="Times New Roman" w:hAnsi="Times New Roman" w:cs="Times New Roman"/>
        </w:rPr>
        <w:t xml:space="preserve"> </w:t>
      </w:r>
      <w:r w:rsidR="002B3DFE">
        <w:rPr>
          <w:rFonts w:ascii="Times New Roman" w:hAnsi="Times New Roman" w:cs="Times New Roman"/>
        </w:rPr>
        <w:t>Creating enabling environments around abortion access can also reduce maternal morbidity.</w:t>
      </w:r>
      <w:r w:rsidR="002B3DFE">
        <w:rPr>
          <w:rStyle w:val="EndnoteReference"/>
          <w:rFonts w:ascii="Times New Roman" w:hAnsi="Times New Roman" w:cs="Times New Roman"/>
        </w:rPr>
        <w:endnoteReference w:id="22"/>
      </w:r>
      <w:r w:rsidR="002B3DFE">
        <w:rPr>
          <w:rFonts w:ascii="Times New Roman" w:hAnsi="Times New Roman" w:cs="Times New Roman"/>
        </w:rPr>
        <w:t xml:space="preserve"> </w:t>
      </w:r>
      <w:r w:rsidR="00580944">
        <w:rPr>
          <w:rFonts w:ascii="Times New Roman" w:hAnsi="Times New Roman" w:cs="Times New Roman"/>
        </w:rPr>
        <w:t>Moreover,</w:t>
      </w:r>
      <w:r w:rsidR="009C6335">
        <w:rPr>
          <w:rFonts w:ascii="Times New Roman" w:hAnsi="Times New Roman" w:cs="Times New Roman"/>
        </w:rPr>
        <w:t xml:space="preserve"> women seek abortions for various reasons, many of which do not fall into the</w:t>
      </w:r>
      <w:r w:rsidR="0085185A">
        <w:rPr>
          <w:rFonts w:ascii="Times New Roman" w:hAnsi="Times New Roman" w:cs="Times New Roman"/>
        </w:rPr>
        <w:t xml:space="preserve"> current human rights standard on abortion access,</w:t>
      </w:r>
      <w:r w:rsidR="0010249C" w:rsidRPr="0010249C">
        <w:rPr>
          <w:rStyle w:val="EndnoteReference"/>
          <w:rFonts w:ascii="Times New Roman" w:hAnsi="Times New Roman" w:cs="Times New Roman"/>
        </w:rPr>
        <w:t xml:space="preserve"> </w:t>
      </w:r>
      <w:r w:rsidR="0010249C">
        <w:rPr>
          <w:rStyle w:val="EndnoteReference"/>
          <w:rFonts w:ascii="Times New Roman" w:hAnsi="Times New Roman" w:cs="Times New Roman"/>
        </w:rPr>
        <w:endnoteReference w:id="23"/>
      </w:r>
      <w:r w:rsidR="0085185A">
        <w:rPr>
          <w:rFonts w:ascii="Times New Roman" w:hAnsi="Times New Roman" w:cs="Times New Roman"/>
        </w:rPr>
        <w:t xml:space="preserve"> which requires legalization </w:t>
      </w:r>
      <w:r w:rsidR="009C6335">
        <w:rPr>
          <w:rFonts w:ascii="Times New Roman" w:hAnsi="Times New Roman" w:cs="Times New Roman"/>
        </w:rPr>
        <w:t>in cases of threat to the woman’s life or health, in cases of rape or incest and in cases of fatal fetal impairment.</w:t>
      </w:r>
      <w:r w:rsidR="00942C1B">
        <w:rPr>
          <w:rStyle w:val="EndnoteReference"/>
          <w:rFonts w:ascii="Times New Roman" w:hAnsi="Times New Roman" w:cs="Times New Roman"/>
        </w:rPr>
        <w:endnoteReference w:id="24"/>
      </w:r>
      <w:r w:rsidR="009C6335">
        <w:rPr>
          <w:rFonts w:ascii="Times New Roman" w:hAnsi="Times New Roman" w:cs="Times New Roman"/>
        </w:rPr>
        <w:t xml:space="preserve"> </w:t>
      </w:r>
    </w:p>
    <w:p w14:paraId="5675FAD0" w14:textId="77777777" w:rsidR="00C452B3" w:rsidRDefault="00C452B3" w:rsidP="00D64186">
      <w:pPr>
        <w:spacing w:after="0" w:line="240" w:lineRule="auto"/>
        <w:jc w:val="both"/>
        <w:rPr>
          <w:rFonts w:ascii="Times New Roman" w:hAnsi="Times New Roman" w:cs="Times New Roman"/>
        </w:rPr>
      </w:pPr>
    </w:p>
    <w:p w14:paraId="0723D468" w14:textId="201521E8" w:rsidR="00C452B3" w:rsidRDefault="0053498B" w:rsidP="00D64186">
      <w:pPr>
        <w:spacing w:after="0" w:line="240" w:lineRule="auto"/>
        <w:jc w:val="both"/>
        <w:rPr>
          <w:rFonts w:ascii="Times New Roman" w:hAnsi="Times New Roman" w:cs="Times New Roman"/>
        </w:rPr>
      </w:pPr>
      <w:r>
        <w:rPr>
          <w:rFonts w:ascii="Times New Roman" w:hAnsi="Times New Roman" w:cs="Times New Roman"/>
        </w:rPr>
        <w:t>Regarding</w:t>
      </w:r>
      <w:r w:rsidR="009D40E1">
        <w:rPr>
          <w:rFonts w:ascii="Times New Roman" w:hAnsi="Times New Roman" w:cs="Times New Roman"/>
        </w:rPr>
        <w:t xml:space="preserve"> state practice, </w:t>
      </w:r>
      <w:r w:rsidR="00C452B3">
        <w:rPr>
          <w:rFonts w:ascii="Times New Roman" w:hAnsi="Times New Roman" w:cs="Times New Roman"/>
        </w:rPr>
        <w:t>more than 30 countries in the last 20 years have liberalized their abortions laws, allowing for expanded access to legal abortion.</w:t>
      </w:r>
      <w:r w:rsidR="00C452B3">
        <w:rPr>
          <w:rStyle w:val="EndnoteReference"/>
          <w:rFonts w:ascii="Times New Roman" w:hAnsi="Times New Roman" w:cs="Times New Roman"/>
        </w:rPr>
        <w:endnoteReference w:id="25"/>
      </w:r>
      <w:r w:rsidR="00C452B3">
        <w:rPr>
          <w:rFonts w:ascii="Times New Roman" w:hAnsi="Times New Roman" w:cs="Times New Roman"/>
        </w:rPr>
        <w:t xml:space="preserve"> This includes over a dozen countries in Africa, seven in Asia and six in Latin America and the Caribbean. Several of these countries adopted permissive laws that </w:t>
      </w:r>
      <w:r w:rsidR="008605DA">
        <w:rPr>
          <w:rFonts w:ascii="Times New Roman" w:hAnsi="Times New Roman" w:cs="Times New Roman"/>
        </w:rPr>
        <w:t xml:space="preserve">allow abortion </w:t>
      </w:r>
      <w:r w:rsidR="00B656FB">
        <w:rPr>
          <w:rFonts w:ascii="Times New Roman" w:hAnsi="Times New Roman" w:cs="Times New Roman"/>
        </w:rPr>
        <w:t>on request</w:t>
      </w:r>
      <w:r w:rsidR="008605DA">
        <w:rPr>
          <w:rFonts w:ascii="Times New Roman" w:hAnsi="Times New Roman" w:cs="Times New Roman"/>
        </w:rPr>
        <w:t xml:space="preserve"> or on broad socioeconomic grounds</w:t>
      </w:r>
      <w:r w:rsidR="00C452B3" w:rsidRPr="001C6B5C">
        <w:rPr>
          <w:rFonts w:ascii="Times New Roman" w:hAnsi="Times New Roman" w:cs="Times New Roman"/>
        </w:rPr>
        <w:t>.</w:t>
      </w:r>
      <w:r w:rsidR="00C452B3" w:rsidRPr="001C6B5C">
        <w:rPr>
          <w:rStyle w:val="EndnoteReference"/>
          <w:rFonts w:ascii="Times New Roman" w:hAnsi="Times New Roman" w:cs="Times New Roman"/>
        </w:rPr>
        <w:endnoteReference w:id="26"/>
      </w:r>
    </w:p>
    <w:p w14:paraId="04986144" w14:textId="77777777" w:rsidR="00683FF6" w:rsidRDefault="00683FF6" w:rsidP="00D64186">
      <w:pPr>
        <w:spacing w:after="0" w:line="240" w:lineRule="auto"/>
        <w:jc w:val="both"/>
        <w:rPr>
          <w:rFonts w:ascii="Times New Roman" w:hAnsi="Times New Roman" w:cs="Times New Roman"/>
        </w:rPr>
      </w:pPr>
    </w:p>
    <w:p w14:paraId="64D82C1E" w14:textId="10BD6129" w:rsidR="004C4C1D" w:rsidRDefault="00B14CA9" w:rsidP="00D64186">
      <w:pPr>
        <w:spacing w:after="0" w:line="240" w:lineRule="auto"/>
        <w:jc w:val="both"/>
        <w:rPr>
          <w:rFonts w:ascii="Times New Roman" w:hAnsi="Times New Roman" w:cs="Times New Roman"/>
        </w:rPr>
      </w:pPr>
      <w:r>
        <w:rPr>
          <w:rFonts w:ascii="Times New Roman" w:hAnsi="Times New Roman" w:cs="Times New Roman"/>
        </w:rPr>
        <w:t>Evidence-based and gender-</w:t>
      </w:r>
      <w:r w:rsidR="00E87F4F">
        <w:rPr>
          <w:rFonts w:ascii="Times New Roman" w:hAnsi="Times New Roman" w:cs="Times New Roman"/>
        </w:rPr>
        <w:t>sensitive interpretations of</w:t>
      </w:r>
      <w:r w:rsidR="00C87F1E">
        <w:rPr>
          <w:rFonts w:ascii="Times New Roman" w:hAnsi="Times New Roman" w:cs="Times New Roman"/>
        </w:rPr>
        <w:t xml:space="preserve"> international human rights law and standards have enabled </w:t>
      </w:r>
      <w:r w:rsidR="00E64592">
        <w:rPr>
          <w:rFonts w:ascii="Times New Roman" w:hAnsi="Times New Roman" w:cs="Times New Roman"/>
        </w:rPr>
        <w:t>human rights mechanisms</w:t>
      </w:r>
      <w:r w:rsidR="00EA634E">
        <w:rPr>
          <w:rFonts w:ascii="Times New Roman" w:hAnsi="Times New Roman" w:cs="Times New Roman"/>
        </w:rPr>
        <w:t xml:space="preserve"> </w:t>
      </w:r>
      <w:r w:rsidR="00C87F1E">
        <w:rPr>
          <w:rFonts w:ascii="Times New Roman" w:hAnsi="Times New Roman" w:cs="Times New Roman"/>
        </w:rPr>
        <w:t>to take into account the abovementioned considerations and to urge</w:t>
      </w:r>
      <w:r w:rsidR="00364C9C">
        <w:rPr>
          <w:rFonts w:ascii="Times New Roman" w:hAnsi="Times New Roman" w:cs="Times New Roman"/>
        </w:rPr>
        <w:t xml:space="preserve"> states to take action on</w:t>
      </w:r>
      <w:r w:rsidR="00E64592">
        <w:rPr>
          <w:rFonts w:ascii="Times New Roman" w:hAnsi="Times New Roman" w:cs="Times New Roman"/>
        </w:rPr>
        <w:t xml:space="preserve"> </w:t>
      </w:r>
      <w:r w:rsidR="00364C9C">
        <w:rPr>
          <w:rFonts w:ascii="Times New Roman" w:hAnsi="Times New Roman" w:cs="Times New Roman"/>
        </w:rPr>
        <w:t xml:space="preserve">abortion </w:t>
      </w:r>
      <w:r w:rsidR="00535461">
        <w:rPr>
          <w:rFonts w:ascii="Times New Roman" w:hAnsi="Times New Roman" w:cs="Times New Roman"/>
        </w:rPr>
        <w:t xml:space="preserve">in a more </w:t>
      </w:r>
      <w:r w:rsidR="00C87F1E">
        <w:rPr>
          <w:rFonts w:ascii="Times New Roman" w:hAnsi="Times New Roman" w:cs="Times New Roman"/>
        </w:rPr>
        <w:t xml:space="preserve">comprehensive </w:t>
      </w:r>
      <w:r w:rsidR="00535461">
        <w:rPr>
          <w:rFonts w:ascii="Times New Roman" w:hAnsi="Times New Roman" w:cs="Times New Roman"/>
        </w:rPr>
        <w:t>manner</w:t>
      </w:r>
      <w:r w:rsidR="000C619A">
        <w:rPr>
          <w:rFonts w:ascii="Times New Roman" w:hAnsi="Times New Roman" w:cs="Times New Roman"/>
        </w:rPr>
        <w:t>.</w:t>
      </w:r>
      <w:r w:rsidR="00610D05">
        <w:rPr>
          <w:rFonts w:ascii="Times New Roman" w:hAnsi="Times New Roman" w:cs="Times New Roman"/>
        </w:rPr>
        <w:t xml:space="preserve"> </w:t>
      </w:r>
      <w:r w:rsidR="00E87F4F">
        <w:rPr>
          <w:rFonts w:ascii="Times New Roman" w:hAnsi="Times New Roman" w:cs="Times New Roman"/>
        </w:rPr>
        <w:t>O</w:t>
      </w:r>
      <w:r w:rsidR="00C87F1E">
        <w:rPr>
          <w:rFonts w:ascii="Times New Roman" w:hAnsi="Times New Roman" w:cs="Times New Roman"/>
        </w:rPr>
        <w:t>ther</w:t>
      </w:r>
      <w:r w:rsidR="00EB7E69">
        <w:rPr>
          <w:rFonts w:ascii="Times New Roman" w:hAnsi="Times New Roman" w:cs="Times New Roman"/>
        </w:rPr>
        <w:t xml:space="preserve"> treaty bodies</w:t>
      </w:r>
      <w:r w:rsidR="00C87F1E">
        <w:rPr>
          <w:rFonts w:ascii="Times New Roman" w:hAnsi="Times New Roman" w:cs="Times New Roman"/>
        </w:rPr>
        <w:t xml:space="preserve"> g</w:t>
      </w:r>
      <w:r w:rsidR="00610D05">
        <w:rPr>
          <w:rFonts w:ascii="Times New Roman" w:hAnsi="Times New Roman" w:cs="Times New Roman"/>
        </w:rPr>
        <w:t>eneral comments</w:t>
      </w:r>
      <w:r w:rsidR="00E04A50">
        <w:rPr>
          <w:rFonts w:ascii="Times New Roman" w:hAnsi="Times New Roman" w:cs="Times New Roman"/>
        </w:rPr>
        <w:t>/recommendations</w:t>
      </w:r>
      <w:r w:rsidR="00610D05">
        <w:rPr>
          <w:rFonts w:ascii="Times New Roman" w:hAnsi="Times New Roman" w:cs="Times New Roman"/>
        </w:rPr>
        <w:t xml:space="preserve"> have not listed the grounds for abortion, </w:t>
      </w:r>
      <w:r w:rsidR="00C87F1E">
        <w:rPr>
          <w:rFonts w:ascii="Times New Roman" w:hAnsi="Times New Roman" w:cs="Times New Roman"/>
        </w:rPr>
        <w:t xml:space="preserve">with the most recent </w:t>
      </w:r>
      <w:r w:rsidR="001F58D2">
        <w:rPr>
          <w:rFonts w:ascii="Times New Roman" w:hAnsi="Times New Roman" w:cs="Times New Roman"/>
        </w:rPr>
        <w:t xml:space="preserve">relevant </w:t>
      </w:r>
      <w:r w:rsidR="00E87F4F">
        <w:rPr>
          <w:rFonts w:ascii="Times New Roman" w:hAnsi="Times New Roman" w:cs="Times New Roman"/>
        </w:rPr>
        <w:t xml:space="preserve">general </w:t>
      </w:r>
      <w:r w:rsidR="00C87F1E">
        <w:rPr>
          <w:rFonts w:ascii="Times New Roman" w:hAnsi="Times New Roman" w:cs="Times New Roman"/>
        </w:rPr>
        <w:t xml:space="preserve">comments/recommendations </w:t>
      </w:r>
      <w:r w:rsidR="00610D05">
        <w:rPr>
          <w:rFonts w:ascii="Times New Roman" w:hAnsi="Times New Roman" w:cs="Times New Roman"/>
        </w:rPr>
        <w:t xml:space="preserve">choosing to elaborate a broad formulation </w:t>
      </w:r>
      <w:r w:rsidR="00C87F1E">
        <w:rPr>
          <w:rFonts w:ascii="Times New Roman" w:hAnsi="Times New Roman" w:cs="Times New Roman"/>
        </w:rPr>
        <w:t xml:space="preserve">consistent with the rights of women </w:t>
      </w:r>
      <w:r w:rsidR="008E5F83">
        <w:rPr>
          <w:rFonts w:ascii="Times New Roman" w:hAnsi="Times New Roman" w:cs="Times New Roman"/>
        </w:rPr>
        <w:t>and girls to non-discrimination</w:t>
      </w:r>
      <w:r w:rsidR="00C87F1E">
        <w:rPr>
          <w:rFonts w:ascii="Times New Roman" w:hAnsi="Times New Roman" w:cs="Times New Roman"/>
        </w:rPr>
        <w:t xml:space="preserve"> and individual autonomy</w:t>
      </w:r>
      <w:r w:rsidR="00610D05">
        <w:rPr>
          <w:rFonts w:ascii="Times New Roman" w:hAnsi="Times New Roman" w:cs="Times New Roman"/>
        </w:rPr>
        <w:t>.</w:t>
      </w:r>
      <w:r w:rsidR="000C619A">
        <w:rPr>
          <w:rFonts w:ascii="Times New Roman" w:hAnsi="Times New Roman" w:cs="Times New Roman"/>
        </w:rPr>
        <w:t xml:space="preserve"> </w:t>
      </w:r>
      <w:r w:rsidR="004C4D88">
        <w:rPr>
          <w:rFonts w:ascii="Times New Roman" w:hAnsi="Times New Roman" w:cs="Times New Roman"/>
        </w:rPr>
        <w:t xml:space="preserve">In 2016, the </w:t>
      </w:r>
      <w:r w:rsidR="00B21155">
        <w:rPr>
          <w:rFonts w:ascii="Times New Roman" w:hAnsi="Times New Roman" w:cs="Times New Roman"/>
        </w:rPr>
        <w:t>CESCR,</w:t>
      </w:r>
      <w:r w:rsidR="004C4D88">
        <w:rPr>
          <w:rFonts w:ascii="Times New Roman" w:hAnsi="Times New Roman" w:cs="Times New Roman"/>
        </w:rPr>
        <w:t xml:space="preserve"> in</w:t>
      </w:r>
      <w:r w:rsidR="00B21155">
        <w:rPr>
          <w:rFonts w:ascii="Times New Roman" w:hAnsi="Times New Roman" w:cs="Times New Roman"/>
        </w:rPr>
        <w:t xml:space="preserve"> its general comment 22 on the right to s</w:t>
      </w:r>
      <w:r w:rsidR="004C4D88">
        <w:rPr>
          <w:rFonts w:ascii="Times New Roman" w:hAnsi="Times New Roman" w:cs="Times New Roman"/>
        </w:rPr>
        <w:t>exual</w:t>
      </w:r>
      <w:r w:rsidR="00B21155">
        <w:rPr>
          <w:rFonts w:ascii="Times New Roman" w:hAnsi="Times New Roman" w:cs="Times New Roman"/>
        </w:rPr>
        <w:t xml:space="preserve"> and reproductive h</w:t>
      </w:r>
      <w:r w:rsidR="004C4D88">
        <w:rPr>
          <w:rFonts w:ascii="Times New Roman" w:hAnsi="Times New Roman" w:cs="Times New Roman"/>
        </w:rPr>
        <w:t xml:space="preserve">ealth </w:t>
      </w:r>
      <w:r w:rsidR="00065B98">
        <w:rPr>
          <w:rFonts w:ascii="Times New Roman" w:hAnsi="Times New Roman" w:cs="Times New Roman"/>
        </w:rPr>
        <w:t xml:space="preserve">called for </w:t>
      </w:r>
      <w:r w:rsidR="00EB7E69">
        <w:rPr>
          <w:rFonts w:ascii="Times New Roman" w:hAnsi="Times New Roman" w:cs="Times New Roman"/>
        </w:rPr>
        <w:t>S</w:t>
      </w:r>
      <w:r w:rsidR="00065B98">
        <w:rPr>
          <w:rFonts w:ascii="Times New Roman" w:hAnsi="Times New Roman" w:cs="Times New Roman"/>
        </w:rPr>
        <w:t>tates</w:t>
      </w:r>
      <w:r w:rsidR="00EB7E69">
        <w:rPr>
          <w:rFonts w:ascii="Times New Roman" w:hAnsi="Times New Roman" w:cs="Times New Roman"/>
        </w:rPr>
        <w:t xml:space="preserve"> parties</w:t>
      </w:r>
      <w:r w:rsidR="00065B98">
        <w:rPr>
          <w:rFonts w:ascii="Times New Roman" w:hAnsi="Times New Roman" w:cs="Times New Roman"/>
        </w:rPr>
        <w:t xml:space="preserve"> to “liberalize restrictive abortion laws” and “guarantee access to safe abortion services and quality post-abortion care.</w:t>
      </w:r>
      <w:r w:rsidR="004C4D88">
        <w:rPr>
          <w:rFonts w:ascii="Times New Roman" w:hAnsi="Times New Roman" w:cs="Times New Roman"/>
        </w:rPr>
        <w:t>”</w:t>
      </w:r>
      <w:r w:rsidR="00583DCE">
        <w:rPr>
          <w:rStyle w:val="EndnoteReference"/>
          <w:rFonts w:ascii="Times New Roman" w:hAnsi="Times New Roman" w:cs="Times New Roman"/>
        </w:rPr>
        <w:endnoteReference w:id="27"/>
      </w:r>
      <w:r w:rsidR="00065B98">
        <w:rPr>
          <w:rFonts w:ascii="Times New Roman" w:hAnsi="Times New Roman" w:cs="Times New Roman"/>
        </w:rPr>
        <w:t xml:space="preserve"> The </w:t>
      </w:r>
      <w:r w:rsidR="00CC7F9E" w:rsidRPr="00CC7F9E">
        <w:rPr>
          <w:rFonts w:ascii="Times New Roman" w:hAnsi="Times New Roman" w:cs="Times New Roman"/>
        </w:rPr>
        <w:t>Committee on the Rights of the Child</w:t>
      </w:r>
      <w:r w:rsidR="003227EC">
        <w:rPr>
          <w:rFonts w:ascii="Times New Roman" w:hAnsi="Times New Roman" w:cs="Times New Roman"/>
        </w:rPr>
        <w:t xml:space="preserve"> (CRC)</w:t>
      </w:r>
      <w:r w:rsidR="00065B98">
        <w:rPr>
          <w:rFonts w:ascii="Times New Roman" w:hAnsi="Times New Roman" w:cs="Times New Roman"/>
        </w:rPr>
        <w:t>, in its general comment on the right to health,</w:t>
      </w:r>
      <w:r w:rsidR="00A66E0E">
        <w:rPr>
          <w:rFonts w:ascii="Times New Roman" w:hAnsi="Times New Roman" w:cs="Times New Roman"/>
        </w:rPr>
        <w:t xml:space="preserve"> recognized</w:t>
      </w:r>
      <w:r w:rsidR="00CC7F9E" w:rsidRPr="00CC7F9E">
        <w:rPr>
          <w:rFonts w:ascii="Times New Roman" w:hAnsi="Times New Roman" w:cs="Times New Roman"/>
        </w:rPr>
        <w:t xml:space="preserve"> that a continuum of care is essential during pregnancy, including “safe abortion services and post-abortion care”</w:t>
      </w:r>
      <w:r w:rsidR="00D314D1">
        <w:rPr>
          <w:rFonts w:ascii="Times New Roman" w:hAnsi="Times New Roman" w:cs="Times New Roman"/>
        </w:rPr>
        <w:t>,</w:t>
      </w:r>
      <w:r w:rsidR="00CC7F9E" w:rsidRPr="00CC7F9E">
        <w:rPr>
          <w:rFonts w:ascii="Times New Roman" w:hAnsi="Times New Roman" w:cs="Times New Roman"/>
        </w:rPr>
        <w:t xml:space="preserve"> and </w:t>
      </w:r>
      <w:r w:rsidR="00CC7F9E" w:rsidRPr="00CC7F9E">
        <w:rPr>
          <w:rFonts w:ascii="Times New Roman" w:hAnsi="Times New Roman" w:cs="Times New Roman"/>
        </w:rPr>
        <w:lastRenderedPageBreak/>
        <w:t>recommend</w:t>
      </w:r>
      <w:r w:rsidR="00A66E0E">
        <w:rPr>
          <w:rFonts w:ascii="Times New Roman" w:hAnsi="Times New Roman" w:cs="Times New Roman"/>
        </w:rPr>
        <w:t>ed</w:t>
      </w:r>
      <w:r w:rsidR="00CC7F9E" w:rsidRPr="00CC7F9E">
        <w:rPr>
          <w:rFonts w:ascii="Times New Roman" w:hAnsi="Times New Roman" w:cs="Times New Roman"/>
        </w:rPr>
        <w:t xml:space="preserve"> that </w:t>
      </w:r>
      <w:r w:rsidR="00D314D1">
        <w:rPr>
          <w:rFonts w:ascii="Times New Roman" w:hAnsi="Times New Roman" w:cs="Times New Roman"/>
        </w:rPr>
        <w:t>S</w:t>
      </w:r>
      <w:r w:rsidR="00CC7F9E" w:rsidRPr="00CC7F9E">
        <w:rPr>
          <w:rFonts w:ascii="Times New Roman" w:hAnsi="Times New Roman" w:cs="Times New Roman"/>
        </w:rPr>
        <w:t>tates</w:t>
      </w:r>
      <w:r w:rsidR="00D314D1">
        <w:rPr>
          <w:rFonts w:ascii="Times New Roman" w:hAnsi="Times New Roman" w:cs="Times New Roman"/>
        </w:rPr>
        <w:t xml:space="preserve"> parties</w:t>
      </w:r>
      <w:r w:rsidR="00CC7F9E" w:rsidRPr="00CC7F9E">
        <w:rPr>
          <w:rFonts w:ascii="Times New Roman" w:hAnsi="Times New Roman" w:cs="Times New Roman"/>
        </w:rPr>
        <w:t xml:space="preserve"> ensure access to </w:t>
      </w:r>
      <w:r w:rsidR="002D7384">
        <w:rPr>
          <w:rFonts w:ascii="Times New Roman" w:hAnsi="Times New Roman" w:cs="Times New Roman"/>
        </w:rPr>
        <w:t>such</w:t>
      </w:r>
      <w:r w:rsidR="00065B98">
        <w:rPr>
          <w:rFonts w:ascii="Times New Roman" w:hAnsi="Times New Roman" w:cs="Times New Roman"/>
        </w:rPr>
        <w:t xml:space="preserve"> services.</w:t>
      </w:r>
      <w:r w:rsidR="002B6DDD">
        <w:rPr>
          <w:rStyle w:val="EndnoteReference"/>
          <w:rFonts w:ascii="Times New Roman" w:hAnsi="Times New Roman" w:cs="Times New Roman"/>
        </w:rPr>
        <w:endnoteReference w:id="28"/>
      </w:r>
      <w:r w:rsidR="00065B98">
        <w:rPr>
          <w:rFonts w:ascii="Times New Roman" w:hAnsi="Times New Roman" w:cs="Times New Roman"/>
        </w:rPr>
        <w:t xml:space="preserve"> Furthermore, in its general r</w:t>
      </w:r>
      <w:r w:rsidR="00CC7F9E" w:rsidRPr="00CC7F9E">
        <w:rPr>
          <w:rFonts w:ascii="Times New Roman" w:hAnsi="Times New Roman" w:cs="Times New Roman"/>
        </w:rPr>
        <w:t>ecommendation on women in conf</w:t>
      </w:r>
      <w:r w:rsidR="00A66E0E">
        <w:rPr>
          <w:rFonts w:ascii="Times New Roman" w:hAnsi="Times New Roman" w:cs="Times New Roman"/>
        </w:rPr>
        <w:t xml:space="preserve">lict, the CEDAW </w:t>
      </w:r>
      <w:r w:rsidR="00D314D1">
        <w:rPr>
          <w:rFonts w:ascii="Times New Roman" w:hAnsi="Times New Roman" w:cs="Times New Roman"/>
        </w:rPr>
        <w:t>called on</w:t>
      </w:r>
      <w:r w:rsidR="00A66E0E">
        <w:rPr>
          <w:rFonts w:ascii="Times New Roman" w:hAnsi="Times New Roman" w:cs="Times New Roman"/>
        </w:rPr>
        <w:t xml:space="preserve"> </w:t>
      </w:r>
      <w:r w:rsidR="00D314D1">
        <w:rPr>
          <w:rFonts w:ascii="Times New Roman" w:hAnsi="Times New Roman" w:cs="Times New Roman"/>
        </w:rPr>
        <w:t>S</w:t>
      </w:r>
      <w:r w:rsidR="00CC7F9E" w:rsidRPr="00CC7F9E">
        <w:rPr>
          <w:rFonts w:ascii="Times New Roman" w:hAnsi="Times New Roman" w:cs="Times New Roman"/>
        </w:rPr>
        <w:t>tates</w:t>
      </w:r>
      <w:r w:rsidR="00D314D1">
        <w:rPr>
          <w:rFonts w:ascii="Times New Roman" w:hAnsi="Times New Roman" w:cs="Times New Roman"/>
        </w:rPr>
        <w:t xml:space="preserve"> parties</w:t>
      </w:r>
      <w:r w:rsidR="00CC7F9E" w:rsidRPr="00CC7F9E">
        <w:rPr>
          <w:rFonts w:ascii="Times New Roman" w:hAnsi="Times New Roman" w:cs="Times New Roman"/>
        </w:rPr>
        <w:t xml:space="preserve"> to “ensure that sexual and reproductive health care includes access to… safe abortion services.</w:t>
      </w:r>
      <w:r w:rsidR="00C95E76">
        <w:rPr>
          <w:rFonts w:ascii="Times New Roman" w:hAnsi="Times New Roman" w:cs="Times New Roman"/>
        </w:rPr>
        <w:t>”</w:t>
      </w:r>
      <w:r w:rsidR="005F7674">
        <w:rPr>
          <w:rStyle w:val="EndnoteReference"/>
          <w:rFonts w:ascii="Times New Roman" w:hAnsi="Times New Roman" w:cs="Times New Roman"/>
        </w:rPr>
        <w:endnoteReference w:id="29"/>
      </w:r>
      <w:r w:rsidR="007F018B">
        <w:rPr>
          <w:rFonts w:ascii="Times New Roman" w:hAnsi="Times New Roman" w:cs="Times New Roman"/>
        </w:rPr>
        <w:t xml:space="preserve"> Notably, the CESCR contextualized increased access to abortion, as well as other sexual and reproductive health services, within </w:t>
      </w:r>
      <w:r w:rsidR="00D314D1">
        <w:rPr>
          <w:rFonts w:ascii="Times New Roman" w:hAnsi="Times New Roman" w:cs="Times New Roman"/>
        </w:rPr>
        <w:t>S</w:t>
      </w:r>
      <w:r w:rsidR="007F018B">
        <w:rPr>
          <w:rFonts w:ascii="Times New Roman" w:hAnsi="Times New Roman" w:cs="Times New Roman"/>
        </w:rPr>
        <w:t>tates</w:t>
      </w:r>
      <w:r w:rsidR="00D314D1">
        <w:rPr>
          <w:rFonts w:ascii="Times New Roman" w:hAnsi="Times New Roman" w:cs="Times New Roman"/>
        </w:rPr>
        <w:t xml:space="preserve"> parties’</w:t>
      </w:r>
      <w:r w:rsidR="007F018B">
        <w:rPr>
          <w:rFonts w:ascii="Times New Roman" w:hAnsi="Times New Roman" w:cs="Times New Roman"/>
        </w:rPr>
        <w:t xml:space="preserve"> obligation to “respect the right of women to make autonomous decisions” about their health.</w:t>
      </w:r>
      <w:r w:rsidR="007F018B">
        <w:rPr>
          <w:rStyle w:val="EndnoteReference"/>
          <w:rFonts w:ascii="Times New Roman" w:hAnsi="Times New Roman" w:cs="Times New Roman"/>
        </w:rPr>
        <w:endnoteReference w:id="30"/>
      </w:r>
    </w:p>
    <w:p w14:paraId="54216080" w14:textId="77777777" w:rsidR="004C4D88" w:rsidRDefault="004C4D88" w:rsidP="00D64186">
      <w:pPr>
        <w:spacing w:after="0" w:line="240" w:lineRule="auto"/>
        <w:jc w:val="both"/>
        <w:rPr>
          <w:rFonts w:ascii="Times New Roman" w:hAnsi="Times New Roman" w:cs="Times New Roman"/>
        </w:rPr>
      </w:pPr>
    </w:p>
    <w:p w14:paraId="17F83C50" w14:textId="51E5C85A" w:rsidR="005A0B71" w:rsidRDefault="0014604E" w:rsidP="00D64186">
      <w:pPr>
        <w:spacing w:after="0" w:line="240" w:lineRule="auto"/>
        <w:jc w:val="both"/>
        <w:rPr>
          <w:rFonts w:ascii="Times New Roman" w:hAnsi="Times New Roman" w:cs="Times New Roman"/>
        </w:rPr>
      </w:pPr>
      <w:r>
        <w:rPr>
          <w:rFonts w:ascii="Times New Roman" w:hAnsi="Times New Roman" w:cs="Times New Roman"/>
        </w:rPr>
        <w:t xml:space="preserve">The </w:t>
      </w:r>
      <w:r w:rsidR="004C4D88">
        <w:rPr>
          <w:rFonts w:ascii="Times New Roman" w:hAnsi="Times New Roman" w:cs="Times New Roman"/>
        </w:rPr>
        <w:t>Special Procedures</w:t>
      </w:r>
      <w:r>
        <w:rPr>
          <w:rFonts w:ascii="Times New Roman" w:hAnsi="Times New Roman" w:cs="Times New Roman"/>
        </w:rPr>
        <w:t xml:space="preserve"> of the UN Human Rights Council</w:t>
      </w:r>
      <w:r w:rsidR="004C4D88">
        <w:rPr>
          <w:rFonts w:ascii="Times New Roman" w:hAnsi="Times New Roman" w:cs="Times New Roman"/>
        </w:rPr>
        <w:t xml:space="preserve"> have also </w:t>
      </w:r>
      <w:r>
        <w:rPr>
          <w:rFonts w:ascii="Times New Roman" w:hAnsi="Times New Roman" w:cs="Times New Roman"/>
        </w:rPr>
        <w:t>advocated for a more comprehensive</w:t>
      </w:r>
      <w:r w:rsidR="004C4D88">
        <w:rPr>
          <w:rFonts w:ascii="Times New Roman" w:hAnsi="Times New Roman" w:cs="Times New Roman"/>
        </w:rPr>
        <w:t xml:space="preserve"> human rights </w:t>
      </w:r>
      <w:r>
        <w:rPr>
          <w:rFonts w:ascii="Times New Roman" w:hAnsi="Times New Roman" w:cs="Times New Roman"/>
        </w:rPr>
        <w:t>standard</w:t>
      </w:r>
      <w:r w:rsidR="00A67474">
        <w:rPr>
          <w:rFonts w:ascii="Times New Roman" w:hAnsi="Times New Roman" w:cs="Times New Roman"/>
        </w:rPr>
        <w:t xml:space="preserve"> for</w:t>
      </w:r>
      <w:r w:rsidR="004C4D88">
        <w:rPr>
          <w:rFonts w:ascii="Times New Roman" w:hAnsi="Times New Roman" w:cs="Times New Roman"/>
        </w:rPr>
        <w:t xml:space="preserve"> abortion. The UN Working Group on Discrimination </w:t>
      </w:r>
      <w:r w:rsidR="00140984">
        <w:rPr>
          <w:rFonts w:ascii="Times New Roman" w:hAnsi="Times New Roman" w:cs="Times New Roman"/>
        </w:rPr>
        <w:t>against Women recommended that s</w:t>
      </w:r>
      <w:r w:rsidR="004C4D88">
        <w:rPr>
          <w:rFonts w:ascii="Times New Roman" w:hAnsi="Times New Roman" w:cs="Times New Roman"/>
        </w:rPr>
        <w:t>tates should “recognize women’s right to be free from unwanted pregnancies”</w:t>
      </w:r>
      <w:r w:rsidR="000C27FD">
        <w:rPr>
          <w:rFonts w:ascii="Times New Roman" w:hAnsi="Times New Roman" w:cs="Times New Roman"/>
        </w:rPr>
        <w:t>,</w:t>
      </w:r>
      <w:r w:rsidR="004C4D88">
        <w:rPr>
          <w:rFonts w:ascii="Times New Roman" w:hAnsi="Times New Roman" w:cs="Times New Roman"/>
        </w:rPr>
        <w:t xml:space="preserve"> and “allow women to terminate a pregnancy on reques</w:t>
      </w:r>
      <w:r w:rsidR="009F672A">
        <w:rPr>
          <w:rFonts w:ascii="Times New Roman" w:hAnsi="Times New Roman" w:cs="Times New Roman"/>
        </w:rPr>
        <w:t>t during the first trimester” or</w:t>
      </w:r>
      <w:r w:rsidR="004C4D88">
        <w:rPr>
          <w:rFonts w:ascii="Times New Roman" w:hAnsi="Times New Roman" w:cs="Times New Roman"/>
        </w:rPr>
        <w:t xml:space="preserve"> later </w:t>
      </w:r>
      <w:r w:rsidR="00BD4178">
        <w:rPr>
          <w:rFonts w:ascii="Times New Roman" w:hAnsi="Times New Roman" w:cs="Times New Roman"/>
        </w:rPr>
        <w:t>“in cases of risk to the life or health of the woman, rape, incest and fatal impairment of the fetus</w:t>
      </w:r>
      <w:r w:rsidR="00C045CE">
        <w:rPr>
          <w:rFonts w:ascii="Times New Roman" w:hAnsi="Times New Roman" w:cs="Times New Roman"/>
        </w:rPr>
        <w:t>.</w:t>
      </w:r>
      <w:r w:rsidR="00BD4178">
        <w:rPr>
          <w:rFonts w:ascii="Times New Roman" w:hAnsi="Times New Roman" w:cs="Times New Roman"/>
        </w:rPr>
        <w:t>”</w:t>
      </w:r>
      <w:r w:rsidR="00583DCE">
        <w:rPr>
          <w:rStyle w:val="EndnoteReference"/>
          <w:rFonts w:ascii="Times New Roman" w:hAnsi="Times New Roman" w:cs="Times New Roman"/>
        </w:rPr>
        <w:endnoteReference w:id="31"/>
      </w:r>
      <w:r w:rsidR="004C4D88">
        <w:rPr>
          <w:rFonts w:ascii="Times New Roman" w:hAnsi="Times New Roman" w:cs="Times New Roman"/>
        </w:rPr>
        <w:t xml:space="preserve"> Moreover, the Special Rapporteurs on Health, Torture and Violence against Women, as well as the Chair-Rapporteur of the Working Group on Discrimination against Women, issued</w:t>
      </w:r>
      <w:r w:rsidR="00A91027">
        <w:rPr>
          <w:rFonts w:ascii="Times New Roman" w:hAnsi="Times New Roman" w:cs="Times New Roman"/>
        </w:rPr>
        <w:t xml:space="preserve"> a joint statement calling on</w:t>
      </w:r>
      <w:r w:rsidR="004C4D88">
        <w:rPr>
          <w:rFonts w:ascii="Times New Roman" w:hAnsi="Times New Roman" w:cs="Times New Roman"/>
        </w:rPr>
        <w:t xml:space="preserve"> states to </w:t>
      </w:r>
      <w:r w:rsidR="00614970">
        <w:rPr>
          <w:rFonts w:ascii="Times New Roman" w:hAnsi="Times New Roman" w:cs="Times New Roman"/>
        </w:rPr>
        <w:t>provide</w:t>
      </w:r>
      <w:r w:rsidR="004C4D88">
        <w:rPr>
          <w:rFonts w:ascii="Times New Roman" w:hAnsi="Times New Roman" w:cs="Times New Roman"/>
        </w:rPr>
        <w:t xml:space="preserve"> abortion services on request during the first trimester, </w:t>
      </w:r>
      <w:r w:rsidR="005D1DAF">
        <w:rPr>
          <w:rFonts w:ascii="Times New Roman" w:hAnsi="Times New Roman" w:cs="Times New Roman"/>
        </w:rPr>
        <w:t xml:space="preserve">with later terminations permissible </w:t>
      </w:r>
      <w:r w:rsidR="00C045CE">
        <w:rPr>
          <w:rFonts w:ascii="Times New Roman" w:hAnsi="Times New Roman" w:cs="Times New Roman"/>
        </w:rPr>
        <w:t>“</w:t>
      </w:r>
      <w:r w:rsidR="008E60AD">
        <w:rPr>
          <w:rFonts w:ascii="Times New Roman" w:hAnsi="Times New Roman" w:cs="Times New Roman"/>
        </w:rPr>
        <w:t>in cases of risk to [women’s]</w:t>
      </w:r>
      <w:r w:rsidR="005D1DAF" w:rsidRPr="005D1DAF">
        <w:rPr>
          <w:rFonts w:ascii="Times New Roman" w:hAnsi="Times New Roman" w:cs="Times New Roman"/>
        </w:rPr>
        <w:t xml:space="preserve"> life or health, including mental health, rape, inces</w:t>
      </w:r>
      <w:r w:rsidR="005D1DAF">
        <w:rPr>
          <w:rFonts w:ascii="Times New Roman" w:hAnsi="Times New Roman" w:cs="Times New Roman"/>
        </w:rPr>
        <w:t>t and fatal impairment of the f</w:t>
      </w:r>
      <w:r w:rsidR="005D1DAF" w:rsidRPr="005D1DAF">
        <w:rPr>
          <w:rFonts w:ascii="Times New Roman" w:hAnsi="Times New Roman" w:cs="Times New Roman"/>
        </w:rPr>
        <w:t>etus</w:t>
      </w:r>
      <w:r w:rsidR="00C045CE">
        <w:rPr>
          <w:rFonts w:ascii="Times New Roman" w:hAnsi="Times New Roman" w:cs="Times New Roman"/>
        </w:rPr>
        <w:t>.”</w:t>
      </w:r>
      <w:r w:rsidR="00583DCE">
        <w:rPr>
          <w:rStyle w:val="EndnoteReference"/>
          <w:rFonts w:ascii="Times New Roman" w:hAnsi="Times New Roman" w:cs="Times New Roman"/>
        </w:rPr>
        <w:endnoteReference w:id="32"/>
      </w:r>
      <w:r w:rsidR="0041260B">
        <w:rPr>
          <w:rFonts w:ascii="Times New Roman" w:hAnsi="Times New Roman" w:cs="Times New Roman"/>
        </w:rPr>
        <w:t xml:space="preserve"> They noted that restrictive laws and policies on abortion not only contravene human rights law, but also “</w:t>
      </w:r>
      <w:r w:rsidR="00AA7568">
        <w:rPr>
          <w:rFonts w:ascii="Times New Roman" w:hAnsi="Times New Roman" w:cs="Times New Roman"/>
        </w:rPr>
        <w:t>negate [women’s]</w:t>
      </w:r>
      <w:r w:rsidR="0041260B">
        <w:rPr>
          <w:rFonts w:ascii="Times New Roman" w:hAnsi="Times New Roman" w:cs="Times New Roman"/>
        </w:rPr>
        <w:t xml:space="preserve"> autonomy in decision-making about their own bodies.”</w:t>
      </w:r>
      <w:r w:rsidR="0041260B">
        <w:rPr>
          <w:rStyle w:val="EndnoteReference"/>
          <w:rFonts w:ascii="Times New Roman" w:hAnsi="Times New Roman" w:cs="Times New Roman"/>
        </w:rPr>
        <w:endnoteReference w:id="33"/>
      </w:r>
      <w:r w:rsidR="005A0B71">
        <w:rPr>
          <w:rFonts w:ascii="Times New Roman" w:hAnsi="Times New Roman" w:cs="Times New Roman"/>
        </w:rPr>
        <w:t xml:space="preserve"> </w:t>
      </w:r>
    </w:p>
    <w:p w14:paraId="72D1778D" w14:textId="77777777" w:rsidR="005A0B71" w:rsidRDefault="005A0B71" w:rsidP="00D64186">
      <w:pPr>
        <w:spacing w:after="0" w:line="240" w:lineRule="auto"/>
        <w:jc w:val="both"/>
        <w:rPr>
          <w:rFonts w:ascii="Times New Roman" w:hAnsi="Times New Roman" w:cs="Times New Roman"/>
        </w:rPr>
      </w:pPr>
    </w:p>
    <w:p w14:paraId="369F3C4A" w14:textId="01A29ABA" w:rsidR="00DE7361" w:rsidRDefault="00D03554" w:rsidP="00D64186">
      <w:pPr>
        <w:spacing w:after="0" w:line="240" w:lineRule="auto"/>
        <w:jc w:val="both"/>
        <w:rPr>
          <w:rFonts w:ascii="Times New Roman" w:hAnsi="Times New Roman" w:cs="Times New Roman"/>
        </w:rPr>
      </w:pPr>
      <w:r w:rsidRPr="0002342D">
        <w:rPr>
          <w:rFonts w:ascii="Times New Roman" w:hAnsi="Times New Roman" w:cs="Times New Roman"/>
        </w:rPr>
        <w:t>This evidence attests to the fact</w:t>
      </w:r>
      <w:r w:rsidR="003C11E0" w:rsidRPr="0002342D">
        <w:rPr>
          <w:rFonts w:ascii="Times New Roman" w:hAnsi="Times New Roman" w:cs="Times New Roman"/>
        </w:rPr>
        <w:t xml:space="preserve"> that narrow exceptions to</w:t>
      </w:r>
      <w:r w:rsidR="009D34A0" w:rsidRPr="0002342D">
        <w:rPr>
          <w:rFonts w:ascii="Times New Roman" w:hAnsi="Times New Roman" w:cs="Times New Roman"/>
        </w:rPr>
        <w:t xml:space="preserve"> abortion bans are inadequate in</w:t>
      </w:r>
      <w:r w:rsidR="003C11E0" w:rsidRPr="0002342D">
        <w:rPr>
          <w:rFonts w:ascii="Times New Roman" w:hAnsi="Times New Roman" w:cs="Times New Roman"/>
        </w:rPr>
        <w:t xml:space="preserve"> </w:t>
      </w:r>
      <w:r w:rsidR="009D34A0" w:rsidRPr="0002342D">
        <w:rPr>
          <w:rFonts w:ascii="Times New Roman" w:hAnsi="Times New Roman" w:cs="Times New Roman"/>
        </w:rPr>
        <w:t>eliminating</w:t>
      </w:r>
      <w:r w:rsidR="005A0B71" w:rsidRPr="0002342D">
        <w:rPr>
          <w:rFonts w:ascii="Times New Roman" w:hAnsi="Times New Roman" w:cs="Times New Roman"/>
        </w:rPr>
        <w:t xml:space="preserve"> preventable</w:t>
      </w:r>
      <w:r w:rsidR="003C11E0" w:rsidRPr="0002342D">
        <w:rPr>
          <w:rFonts w:ascii="Times New Roman" w:hAnsi="Times New Roman" w:cs="Times New Roman"/>
        </w:rPr>
        <w:t xml:space="preserve"> maternal mort</w:t>
      </w:r>
      <w:r w:rsidR="006951DF" w:rsidRPr="0002342D">
        <w:rPr>
          <w:rFonts w:ascii="Times New Roman" w:hAnsi="Times New Roman" w:cs="Times New Roman"/>
        </w:rPr>
        <w:t>ality</w:t>
      </w:r>
      <w:r w:rsidR="003C11E0" w:rsidRPr="0002342D">
        <w:rPr>
          <w:rFonts w:ascii="Times New Roman" w:hAnsi="Times New Roman" w:cs="Times New Roman"/>
        </w:rPr>
        <w:t xml:space="preserve"> </w:t>
      </w:r>
      <w:r w:rsidRPr="0002342D">
        <w:rPr>
          <w:rFonts w:ascii="Times New Roman" w:hAnsi="Times New Roman" w:cs="Times New Roman"/>
        </w:rPr>
        <w:t xml:space="preserve">and morbidity </w:t>
      </w:r>
      <w:r w:rsidR="00C60C01" w:rsidRPr="0002342D">
        <w:rPr>
          <w:rFonts w:ascii="Times New Roman" w:hAnsi="Times New Roman" w:cs="Times New Roman"/>
        </w:rPr>
        <w:t>due to</w:t>
      </w:r>
      <w:r w:rsidR="003C11E0" w:rsidRPr="0002342D">
        <w:rPr>
          <w:rFonts w:ascii="Times New Roman" w:hAnsi="Times New Roman" w:cs="Times New Roman"/>
        </w:rPr>
        <w:t xml:space="preserve"> unsafe abortions</w:t>
      </w:r>
      <w:r w:rsidR="00C60C01" w:rsidRPr="0002342D">
        <w:rPr>
          <w:rFonts w:ascii="Times New Roman" w:hAnsi="Times New Roman" w:cs="Times New Roman"/>
        </w:rPr>
        <w:t>. T</w:t>
      </w:r>
      <w:r w:rsidRPr="0002342D">
        <w:rPr>
          <w:rFonts w:ascii="Times New Roman" w:hAnsi="Times New Roman" w:cs="Times New Roman"/>
        </w:rPr>
        <w:t>hus</w:t>
      </w:r>
      <w:r w:rsidR="00C60C01" w:rsidRPr="0002342D">
        <w:rPr>
          <w:rFonts w:ascii="Times New Roman" w:hAnsi="Times New Roman" w:cs="Times New Roman"/>
        </w:rPr>
        <w:t>, they</w:t>
      </w:r>
      <w:r w:rsidRPr="0002342D">
        <w:rPr>
          <w:rFonts w:ascii="Times New Roman" w:hAnsi="Times New Roman" w:cs="Times New Roman"/>
        </w:rPr>
        <w:t xml:space="preserve"> fail to protect women’s and girls’</w:t>
      </w:r>
      <w:r w:rsidR="00D108F7" w:rsidRPr="0002342D">
        <w:rPr>
          <w:rFonts w:ascii="Times New Roman" w:hAnsi="Times New Roman" w:cs="Times New Roman"/>
        </w:rPr>
        <w:t xml:space="preserve"> right to life</w:t>
      </w:r>
      <w:r w:rsidR="003C11E0" w:rsidRPr="0002342D">
        <w:rPr>
          <w:rFonts w:ascii="Times New Roman" w:hAnsi="Times New Roman" w:cs="Times New Roman"/>
        </w:rPr>
        <w:t xml:space="preserve">. </w:t>
      </w:r>
      <w:r w:rsidR="0080751D">
        <w:rPr>
          <w:rFonts w:ascii="Times New Roman" w:hAnsi="Times New Roman" w:cs="Times New Roman"/>
        </w:rPr>
        <w:t>In the context of its second reading of the draft general comment, by further elaborating the content of paragraph 9 to</w:t>
      </w:r>
      <w:r w:rsidR="00DE7361" w:rsidRPr="0002342D">
        <w:rPr>
          <w:rFonts w:ascii="Times New Roman" w:hAnsi="Times New Roman" w:cs="Times New Roman"/>
        </w:rPr>
        <w:t xml:space="preserve"> </w:t>
      </w:r>
      <w:r w:rsidR="0080751D">
        <w:rPr>
          <w:rFonts w:ascii="Times New Roman" w:hAnsi="Times New Roman" w:cs="Times New Roman"/>
        </w:rPr>
        <w:t>align it</w:t>
      </w:r>
      <w:r w:rsidR="00730635" w:rsidRPr="0002342D">
        <w:rPr>
          <w:rFonts w:ascii="Times New Roman" w:hAnsi="Times New Roman" w:cs="Times New Roman"/>
        </w:rPr>
        <w:t xml:space="preserve"> with the abovementioned</w:t>
      </w:r>
      <w:r w:rsidR="00DE7361" w:rsidRPr="0002342D">
        <w:rPr>
          <w:rFonts w:ascii="Times New Roman" w:hAnsi="Times New Roman" w:cs="Times New Roman"/>
        </w:rPr>
        <w:t xml:space="preserve"> standard</w:t>
      </w:r>
      <w:r w:rsidR="00D108F7" w:rsidRPr="0002342D">
        <w:rPr>
          <w:rFonts w:ascii="Times New Roman" w:hAnsi="Times New Roman" w:cs="Times New Roman"/>
        </w:rPr>
        <w:t>s</w:t>
      </w:r>
      <w:r w:rsidR="00DE7361" w:rsidRPr="0002342D">
        <w:rPr>
          <w:rFonts w:ascii="Times New Roman" w:hAnsi="Times New Roman" w:cs="Times New Roman"/>
        </w:rPr>
        <w:t xml:space="preserve"> for abortion</w:t>
      </w:r>
      <w:r w:rsidR="00D108F7" w:rsidRPr="0002342D">
        <w:rPr>
          <w:rFonts w:ascii="Times New Roman" w:hAnsi="Times New Roman" w:cs="Times New Roman"/>
        </w:rPr>
        <w:t xml:space="preserve"> access</w:t>
      </w:r>
      <w:r w:rsidR="00DE7361" w:rsidRPr="0002342D">
        <w:rPr>
          <w:rFonts w:ascii="Times New Roman" w:hAnsi="Times New Roman" w:cs="Times New Roman"/>
        </w:rPr>
        <w:t xml:space="preserve">, </w:t>
      </w:r>
      <w:r w:rsidR="00730635" w:rsidRPr="0002342D">
        <w:rPr>
          <w:rFonts w:ascii="Times New Roman" w:hAnsi="Times New Roman" w:cs="Times New Roman"/>
        </w:rPr>
        <w:t xml:space="preserve">this Committee </w:t>
      </w:r>
      <w:r w:rsidR="00DE7361" w:rsidRPr="0002342D">
        <w:rPr>
          <w:rFonts w:ascii="Times New Roman" w:hAnsi="Times New Roman" w:cs="Times New Roman"/>
        </w:rPr>
        <w:t xml:space="preserve">would </w:t>
      </w:r>
      <w:r w:rsidR="005A0B71" w:rsidRPr="0002342D">
        <w:rPr>
          <w:rFonts w:ascii="Times New Roman" w:hAnsi="Times New Roman" w:cs="Times New Roman"/>
        </w:rPr>
        <w:t xml:space="preserve">build on its own and other treaty body jurisprudence, provide the appropriate </w:t>
      </w:r>
      <w:r w:rsidR="00DE7361" w:rsidRPr="0002342D">
        <w:rPr>
          <w:rFonts w:ascii="Times New Roman" w:hAnsi="Times New Roman" w:cs="Times New Roman"/>
        </w:rPr>
        <w:t xml:space="preserve">latitude for </w:t>
      </w:r>
      <w:r w:rsidR="0080751D">
        <w:rPr>
          <w:rFonts w:ascii="Times New Roman" w:hAnsi="Times New Roman" w:cs="Times New Roman"/>
        </w:rPr>
        <w:t>S</w:t>
      </w:r>
      <w:r w:rsidR="00DE7361" w:rsidRPr="0002342D">
        <w:rPr>
          <w:rFonts w:ascii="Times New Roman" w:hAnsi="Times New Roman" w:cs="Times New Roman"/>
        </w:rPr>
        <w:t>tates</w:t>
      </w:r>
      <w:r w:rsidR="0080751D">
        <w:rPr>
          <w:rFonts w:ascii="Times New Roman" w:hAnsi="Times New Roman" w:cs="Times New Roman"/>
        </w:rPr>
        <w:t xml:space="preserve"> parties</w:t>
      </w:r>
      <w:r w:rsidR="00DE7361" w:rsidRPr="0002342D">
        <w:rPr>
          <w:rFonts w:ascii="Times New Roman" w:hAnsi="Times New Roman" w:cs="Times New Roman"/>
        </w:rPr>
        <w:t xml:space="preserve"> to </w:t>
      </w:r>
      <w:r w:rsidR="005A0B71" w:rsidRPr="0002342D">
        <w:rPr>
          <w:rFonts w:ascii="Times New Roman" w:hAnsi="Times New Roman" w:cs="Times New Roman"/>
        </w:rPr>
        <w:t xml:space="preserve">take affirmative steps to </w:t>
      </w:r>
      <w:r w:rsidR="00DE7361" w:rsidRPr="0002342D">
        <w:rPr>
          <w:rFonts w:ascii="Times New Roman" w:hAnsi="Times New Roman" w:cs="Times New Roman"/>
        </w:rPr>
        <w:t xml:space="preserve">strengthen </w:t>
      </w:r>
      <w:r w:rsidR="008C7CDB" w:rsidRPr="0002342D">
        <w:rPr>
          <w:rFonts w:ascii="Times New Roman" w:hAnsi="Times New Roman" w:cs="Times New Roman"/>
        </w:rPr>
        <w:t xml:space="preserve">protections on </w:t>
      </w:r>
      <w:r w:rsidR="00DE7361" w:rsidRPr="0002342D">
        <w:rPr>
          <w:rFonts w:ascii="Times New Roman" w:hAnsi="Times New Roman" w:cs="Times New Roman"/>
        </w:rPr>
        <w:t xml:space="preserve">women’s </w:t>
      </w:r>
      <w:r w:rsidR="008406B2" w:rsidRPr="0002342D">
        <w:rPr>
          <w:rFonts w:ascii="Times New Roman" w:hAnsi="Times New Roman" w:cs="Times New Roman"/>
        </w:rPr>
        <w:t xml:space="preserve">and girls’ </w:t>
      </w:r>
      <w:r w:rsidR="00DE7361" w:rsidRPr="0002342D">
        <w:rPr>
          <w:rFonts w:ascii="Times New Roman" w:hAnsi="Times New Roman" w:cs="Times New Roman"/>
        </w:rPr>
        <w:t>right to life</w:t>
      </w:r>
      <w:r w:rsidR="008406B2" w:rsidRPr="0002342D">
        <w:rPr>
          <w:rFonts w:ascii="Times New Roman" w:hAnsi="Times New Roman" w:cs="Times New Roman"/>
        </w:rPr>
        <w:t>, as w</w:t>
      </w:r>
      <w:r w:rsidR="0080751D">
        <w:rPr>
          <w:rFonts w:ascii="Times New Roman" w:hAnsi="Times New Roman" w:cs="Times New Roman"/>
        </w:rPr>
        <w:t>ell as allow for the continued affirmation</w:t>
      </w:r>
      <w:r w:rsidR="008406B2" w:rsidRPr="0002342D">
        <w:rPr>
          <w:rFonts w:ascii="Times New Roman" w:hAnsi="Times New Roman" w:cs="Times New Roman"/>
        </w:rPr>
        <w:t xml:space="preserve"> of reproductive rights under international human</w:t>
      </w:r>
      <w:r w:rsidR="00CD4CB7" w:rsidRPr="0002342D">
        <w:rPr>
          <w:rFonts w:ascii="Times New Roman" w:hAnsi="Times New Roman" w:cs="Times New Roman"/>
        </w:rPr>
        <w:t xml:space="preserve"> rights law in a manner</w:t>
      </w:r>
      <w:r w:rsidR="008406B2" w:rsidRPr="0002342D">
        <w:rPr>
          <w:rFonts w:ascii="Times New Roman" w:hAnsi="Times New Roman" w:cs="Times New Roman"/>
        </w:rPr>
        <w:t xml:space="preserve"> consistent with the Covenant.</w:t>
      </w:r>
    </w:p>
    <w:p w14:paraId="15D8B708" w14:textId="77777777" w:rsidR="009F54D4" w:rsidRDefault="009F54D4" w:rsidP="00D64186">
      <w:pPr>
        <w:spacing w:after="0" w:line="240" w:lineRule="auto"/>
        <w:jc w:val="both"/>
        <w:rPr>
          <w:rFonts w:ascii="Times New Roman" w:hAnsi="Times New Roman" w:cs="Times New Roman"/>
        </w:rPr>
      </w:pPr>
    </w:p>
    <w:p w14:paraId="35F260B5" w14:textId="0035C0BE" w:rsidR="003A0846" w:rsidRDefault="00FA58F0" w:rsidP="00D64186">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States </w:t>
      </w:r>
      <w:r w:rsidR="00B61642">
        <w:rPr>
          <w:rFonts w:ascii="Times New Roman" w:hAnsi="Times New Roman" w:cs="Times New Roman"/>
        </w:rPr>
        <w:t xml:space="preserve">parties </w:t>
      </w:r>
      <w:r>
        <w:rPr>
          <w:rFonts w:ascii="Times New Roman" w:hAnsi="Times New Roman" w:cs="Times New Roman"/>
        </w:rPr>
        <w:t xml:space="preserve">must decriminalize abortion to ensure that </w:t>
      </w:r>
      <w:r w:rsidR="00F17282">
        <w:rPr>
          <w:rFonts w:ascii="Times New Roman" w:hAnsi="Times New Roman" w:cs="Times New Roman"/>
        </w:rPr>
        <w:t xml:space="preserve">women </w:t>
      </w:r>
      <w:r w:rsidR="000D6B37">
        <w:rPr>
          <w:rFonts w:ascii="Times New Roman" w:hAnsi="Times New Roman" w:cs="Times New Roman"/>
        </w:rPr>
        <w:t xml:space="preserve">and girls </w:t>
      </w:r>
      <w:r w:rsidR="00F17282">
        <w:rPr>
          <w:rFonts w:ascii="Times New Roman" w:hAnsi="Times New Roman" w:cs="Times New Roman"/>
        </w:rPr>
        <w:t>can realize their right to life.</w:t>
      </w:r>
    </w:p>
    <w:p w14:paraId="2E74DF70" w14:textId="77777777" w:rsidR="00CB58B1" w:rsidRDefault="00CB58B1" w:rsidP="00D64186">
      <w:pPr>
        <w:spacing w:after="0" w:line="240" w:lineRule="auto"/>
        <w:jc w:val="both"/>
        <w:rPr>
          <w:rFonts w:ascii="Times New Roman" w:hAnsi="Times New Roman" w:cs="Times New Roman"/>
        </w:rPr>
      </w:pPr>
    </w:p>
    <w:p w14:paraId="38E548C7" w14:textId="243CA098" w:rsidR="00C70FB4" w:rsidRDefault="002F784F" w:rsidP="00D64186">
      <w:pPr>
        <w:spacing w:after="0" w:line="240" w:lineRule="auto"/>
        <w:jc w:val="both"/>
        <w:rPr>
          <w:rFonts w:ascii="Times New Roman" w:hAnsi="Times New Roman" w:cs="Times New Roman"/>
        </w:rPr>
      </w:pPr>
      <w:r>
        <w:rPr>
          <w:rFonts w:ascii="Times New Roman" w:hAnsi="Times New Roman" w:cs="Times New Roman"/>
        </w:rPr>
        <w:t>International law has</w:t>
      </w:r>
      <w:r w:rsidR="00C206E8">
        <w:rPr>
          <w:rFonts w:ascii="Times New Roman" w:hAnsi="Times New Roman" w:cs="Times New Roman"/>
        </w:rPr>
        <w:t xml:space="preserve"> recognized that criminalization of abortion leads to high rates of clandestine a</w:t>
      </w:r>
      <w:r w:rsidR="00EF2F4A">
        <w:rPr>
          <w:rFonts w:ascii="Times New Roman" w:hAnsi="Times New Roman" w:cs="Times New Roman"/>
        </w:rPr>
        <w:t>bortions, which, in turn, increase</w:t>
      </w:r>
      <w:r w:rsidR="0002342D">
        <w:rPr>
          <w:rFonts w:ascii="Times New Roman" w:hAnsi="Times New Roman" w:cs="Times New Roman"/>
        </w:rPr>
        <w:t>s</w:t>
      </w:r>
      <w:r w:rsidR="00C206E8">
        <w:rPr>
          <w:rFonts w:ascii="Times New Roman" w:hAnsi="Times New Roman" w:cs="Times New Roman"/>
        </w:rPr>
        <w:t xml:space="preserve"> maternal mortality</w:t>
      </w:r>
      <w:r w:rsidR="000D6B37">
        <w:rPr>
          <w:rFonts w:ascii="Times New Roman" w:hAnsi="Times New Roman" w:cs="Times New Roman"/>
        </w:rPr>
        <w:t xml:space="preserve"> and morbidity</w:t>
      </w:r>
      <w:r w:rsidR="00C206E8">
        <w:rPr>
          <w:rFonts w:ascii="Times New Roman" w:hAnsi="Times New Roman" w:cs="Times New Roman"/>
        </w:rPr>
        <w:t>.</w:t>
      </w:r>
      <w:r w:rsidR="00FC40E8">
        <w:rPr>
          <w:rFonts w:ascii="Times New Roman" w:hAnsi="Times New Roman" w:cs="Times New Roman"/>
        </w:rPr>
        <w:t xml:space="preserve"> This Committee has repeatedly </w:t>
      </w:r>
      <w:r w:rsidR="00385C19">
        <w:rPr>
          <w:rFonts w:ascii="Times New Roman" w:hAnsi="Times New Roman" w:cs="Times New Roman"/>
        </w:rPr>
        <w:t>expressed concern</w:t>
      </w:r>
      <w:r w:rsidR="00FC40E8">
        <w:rPr>
          <w:rFonts w:ascii="Times New Roman" w:hAnsi="Times New Roman" w:cs="Times New Roman"/>
        </w:rPr>
        <w:t xml:space="preserve"> </w:t>
      </w:r>
      <w:r w:rsidR="00AA11A3">
        <w:rPr>
          <w:rFonts w:ascii="Times New Roman" w:hAnsi="Times New Roman" w:cs="Times New Roman"/>
        </w:rPr>
        <w:t xml:space="preserve">about </w:t>
      </w:r>
      <w:r w:rsidR="00FC40E8">
        <w:rPr>
          <w:rFonts w:ascii="Times New Roman" w:hAnsi="Times New Roman" w:cs="Times New Roman"/>
        </w:rPr>
        <w:t>the relationship between</w:t>
      </w:r>
      <w:r w:rsidR="00385C19">
        <w:rPr>
          <w:rFonts w:ascii="Times New Roman" w:hAnsi="Times New Roman" w:cs="Times New Roman"/>
        </w:rPr>
        <w:t xml:space="preserve"> restrictive abortion laws, unsafe abortions and maternal mortality.</w:t>
      </w:r>
      <w:r w:rsidR="00385C19">
        <w:rPr>
          <w:rStyle w:val="EndnoteReference"/>
          <w:rFonts w:ascii="Times New Roman" w:hAnsi="Times New Roman" w:cs="Times New Roman"/>
        </w:rPr>
        <w:endnoteReference w:id="34"/>
      </w:r>
      <w:r w:rsidR="00C206E8">
        <w:rPr>
          <w:rFonts w:ascii="Times New Roman" w:hAnsi="Times New Roman" w:cs="Times New Roman"/>
        </w:rPr>
        <w:t xml:space="preserve"> </w:t>
      </w:r>
      <w:r w:rsidR="008F0ED0">
        <w:rPr>
          <w:rFonts w:ascii="Times New Roman" w:hAnsi="Times New Roman" w:cs="Times New Roman"/>
        </w:rPr>
        <w:t>For example</w:t>
      </w:r>
      <w:r w:rsidR="00AA11A3">
        <w:rPr>
          <w:rFonts w:ascii="Times New Roman" w:hAnsi="Times New Roman" w:cs="Times New Roman"/>
        </w:rPr>
        <w:t>, in it</w:t>
      </w:r>
      <w:r w:rsidR="00CB58B1">
        <w:rPr>
          <w:rFonts w:ascii="Times New Roman" w:hAnsi="Times New Roman" w:cs="Times New Roman"/>
        </w:rPr>
        <w:t>s revi</w:t>
      </w:r>
      <w:r w:rsidR="00AA11A3">
        <w:rPr>
          <w:rFonts w:ascii="Times New Roman" w:hAnsi="Times New Roman" w:cs="Times New Roman"/>
        </w:rPr>
        <w:t>ew of Argentina in July 2016, this Committee</w:t>
      </w:r>
      <w:r w:rsidR="00CB58B1">
        <w:rPr>
          <w:rFonts w:ascii="Times New Roman" w:hAnsi="Times New Roman" w:cs="Times New Roman"/>
        </w:rPr>
        <w:t xml:space="preserve"> urged the country to “consider decriminalizing ab</w:t>
      </w:r>
      <w:r w:rsidR="00C206E8">
        <w:rPr>
          <w:rFonts w:ascii="Times New Roman" w:hAnsi="Times New Roman" w:cs="Times New Roman"/>
        </w:rPr>
        <w:t>ortion</w:t>
      </w:r>
      <w:r w:rsidR="00CB58B1">
        <w:rPr>
          <w:rFonts w:ascii="Times New Roman" w:hAnsi="Times New Roman" w:cs="Times New Roman"/>
        </w:rPr>
        <w:t>”</w:t>
      </w:r>
      <w:r w:rsidR="00C206E8">
        <w:rPr>
          <w:rFonts w:ascii="Times New Roman" w:hAnsi="Times New Roman" w:cs="Times New Roman"/>
        </w:rPr>
        <w:t xml:space="preserve"> so that women and girls are not obliged to resort to clandestine abortions.</w:t>
      </w:r>
      <w:r w:rsidR="00457A14">
        <w:rPr>
          <w:rStyle w:val="EndnoteReference"/>
          <w:rFonts w:ascii="Times New Roman" w:hAnsi="Times New Roman" w:cs="Times New Roman"/>
        </w:rPr>
        <w:endnoteReference w:id="35"/>
      </w:r>
      <w:r w:rsidR="00A166E2">
        <w:rPr>
          <w:rFonts w:ascii="Times New Roman" w:hAnsi="Times New Roman" w:cs="Times New Roman"/>
        </w:rPr>
        <w:t xml:space="preserve"> </w:t>
      </w:r>
    </w:p>
    <w:p w14:paraId="0996A7C9" w14:textId="77777777" w:rsidR="00C70FB4" w:rsidRDefault="00C70FB4" w:rsidP="00D64186">
      <w:pPr>
        <w:spacing w:after="0" w:line="240" w:lineRule="auto"/>
        <w:jc w:val="both"/>
        <w:rPr>
          <w:rFonts w:ascii="Times New Roman" w:hAnsi="Times New Roman" w:cs="Times New Roman"/>
        </w:rPr>
      </w:pPr>
    </w:p>
    <w:p w14:paraId="54ACA3CD" w14:textId="58CA5CE8" w:rsidR="00CB58B1" w:rsidRDefault="00624F5A" w:rsidP="00D64186">
      <w:pPr>
        <w:spacing w:after="0" w:line="240" w:lineRule="auto"/>
        <w:jc w:val="both"/>
        <w:rPr>
          <w:rFonts w:ascii="Times New Roman" w:hAnsi="Times New Roman" w:cs="Times New Roman"/>
        </w:rPr>
      </w:pPr>
      <w:r>
        <w:rPr>
          <w:rFonts w:ascii="Times New Roman" w:hAnsi="Times New Roman" w:cs="Times New Roman"/>
        </w:rPr>
        <w:t>C</w:t>
      </w:r>
      <w:r w:rsidR="00DB2310">
        <w:rPr>
          <w:rFonts w:ascii="Times New Roman" w:hAnsi="Times New Roman" w:cs="Times New Roman"/>
        </w:rPr>
        <w:t xml:space="preserve">riminalization of abortion </w:t>
      </w:r>
      <w:r>
        <w:rPr>
          <w:rFonts w:ascii="Times New Roman" w:hAnsi="Times New Roman" w:cs="Times New Roman"/>
        </w:rPr>
        <w:t>contri</w:t>
      </w:r>
      <w:r w:rsidR="00610D05">
        <w:rPr>
          <w:rFonts w:ascii="Times New Roman" w:hAnsi="Times New Roman" w:cs="Times New Roman"/>
        </w:rPr>
        <w:t>butes t</w:t>
      </w:r>
      <w:r w:rsidR="001A590F">
        <w:rPr>
          <w:rFonts w:ascii="Times New Roman" w:hAnsi="Times New Roman" w:cs="Times New Roman"/>
        </w:rPr>
        <w:t>o stigmatization</w:t>
      </w:r>
      <w:r w:rsidR="00C70FB4">
        <w:rPr>
          <w:rFonts w:ascii="Times New Roman" w:hAnsi="Times New Roman" w:cs="Times New Roman"/>
        </w:rPr>
        <w:t xml:space="preserve"> and creates a chilling effect on service</w:t>
      </w:r>
      <w:r w:rsidR="00DB2310">
        <w:rPr>
          <w:rFonts w:ascii="Times New Roman" w:hAnsi="Times New Roman" w:cs="Times New Roman"/>
        </w:rPr>
        <w:t xml:space="preserve"> access and</w:t>
      </w:r>
      <w:r w:rsidR="00C70FB4">
        <w:rPr>
          <w:rFonts w:ascii="Times New Roman" w:hAnsi="Times New Roman" w:cs="Times New Roman"/>
        </w:rPr>
        <w:t xml:space="preserve"> provision</w:t>
      </w:r>
      <w:r w:rsidR="00BD7C36">
        <w:rPr>
          <w:rFonts w:ascii="Times New Roman" w:hAnsi="Times New Roman" w:cs="Times New Roman"/>
        </w:rPr>
        <w:t xml:space="preserve">. </w:t>
      </w:r>
      <w:r w:rsidR="008F0ED0">
        <w:rPr>
          <w:rFonts w:ascii="Times New Roman" w:hAnsi="Times New Roman" w:cs="Times New Roman"/>
        </w:rPr>
        <w:t>Criminal penalties cause</w:t>
      </w:r>
      <w:r w:rsidR="00F2465B">
        <w:rPr>
          <w:rFonts w:ascii="Times New Roman" w:hAnsi="Times New Roman" w:cs="Times New Roman"/>
        </w:rPr>
        <w:t xml:space="preserve"> s</w:t>
      </w:r>
      <w:r w:rsidR="008F0ED0">
        <w:rPr>
          <w:rFonts w:ascii="Times New Roman" w:hAnsi="Times New Roman" w:cs="Times New Roman"/>
        </w:rPr>
        <w:t xml:space="preserve">ervice providers to </w:t>
      </w:r>
      <w:r w:rsidR="00F2465B">
        <w:rPr>
          <w:rFonts w:ascii="Times New Roman" w:hAnsi="Times New Roman" w:cs="Times New Roman"/>
        </w:rPr>
        <w:t xml:space="preserve">be more reluctant </w:t>
      </w:r>
      <w:r w:rsidR="008F0ED0">
        <w:rPr>
          <w:rFonts w:ascii="Times New Roman" w:hAnsi="Times New Roman" w:cs="Times New Roman"/>
        </w:rPr>
        <w:t>in providing</w:t>
      </w:r>
      <w:r w:rsidR="00F2465B">
        <w:rPr>
          <w:rFonts w:ascii="Times New Roman" w:hAnsi="Times New Roman" w:cs="Times New Roman"/>
        </w:rPr>
        <w:t xml:space="preserve"> abortion</w:t>
      </w:r>
      <w:r w:rsidR="008F0ED0">
        <w:rPr>
          <w:rFonts w:ascii="Times New Roman" w:hAnsi="Times New Roman" w:cs="Times New Roman"/>
        </w:rPr>
        <w:t>s</w:t>
      </w:r>
      <w:r w:rsidR="00C94FEE">
        <w:rPr>
          <w:rFonts w:ascii="Times New Roman" w:hAnsi="Times New Roman" w:cs="Times New Roman"/>
        </w:rPr>
        <w:t xml:space="preserve">, even </w:t>
      </w:r>
      <w:r w:rsidR="00FA7485">
        <w:rPr>
          <w:rFonts w:ascii="Times New Roman" w:hAnsi="Times New Roman" w:cs="Times New Roman"/>
        </w:rPr>
        <w:t xml:space="preserve">in situations </w:t>
      </w:r>
      <w:r w:rsidR="008F0ED0">
        <w:rPr>
          <w:rFonts w:ascii="Times New Roman" w:hAnsi="Times New Roman" w:cs="Times New Roman"/>
        </w:rPr>
        <w:t>where</w:t>
      </w:r>
      <w:r w:rsidR="00FA7485">
        <w:rPr>
          <w:rFonts w:ascii="Times New Roman" w:hAnsi="Times New Roman" w:cs="Times New Roman"/>
        </w:rPr>
        <w:t xml:space="preserve"> it is </w:t>
      </w:r>
      <w:r w:rsidR="00C94FEE">
        <w:rPr>
          <w:rFonts w:ascii="Times New Roman" w:hAnsi="Times New Roman" w:cs="Times New Roman"/>
        </w:rPr>
        <w:t>legal.</w:t>
      </w:r>
      <w:r w:rsidR="00C94FEE">
        <w:rPr>
          <w:rStyle w:val="EndnoteReference"/>
          <w:rFonts w:ascii="Times New Roman" w:hAnsi="Times New Roman" w:cs="Times New Roman"/>
        </w:rPr>
        <w:endnoteReference w:id="36"/>
      </w:r>
      <w:r w:rsidR="00C94FEE">
        <w:rPr>
          <w:rFonts w:ascii="Times New Roman" w:hAnsi="Times New Roman" w:cs="Times New Roman"/>
        </w:rPr>
        <w:t xml:space="preserve"> </w:t>
      </w:r>
      <w:r w:rsidR="001D4938">
        <w:rPr>
          <w:rFonts w:ascii="Times New Roman" w:hAnsi="Times New Roman" w:cs="Times New Roman"/>
        </w:rPr>
        <w:t>Moreover, criminalization</w:t>
      </w:r>
      <w:r>
        <w:rPr>
          <w:rFonts w:ascii="Times New Roman" w:hAnsi="Times New Roman" w:cs="Times New Roman"/>
        </w:rPr>
        <w:t xml:space="preserve"> present</w:t>
      </w:r>
      <w:r w:rsidR="00610D05">
        <w:rPr>
          <w:rFonts w:ascii="Times New Roman" w:hAnsi="Times New Roman" w:cs="Times New Roman"/>
        </w:rPr>
        <w:t>s</w:t>
      </w:r>
      <w:r>
        <w:rPr>
          <w:rFonts w:ascii="Times New Roman" w:hAnsi="Times New Roman" w:cs="Times New Roman"/>
        </w:rPr>
        <w:t xml:space="preserve"> barriers</w:t>
      </w:r>
      <w:r w:rsidR="0071169E">
        <w:rPr>
          <w:rFonts w:ascii="Times New Roman" w:hAnsi="Times New Roman" w:cs="Times New Roman"/>
        </w:rPr>
        <w:t xml:space="preserve"> not only to abortion, but</w:t>
      </w:r>
      <w:r>
        <w:rPr>
          <w:rFonts w:ascii="Times New Roman" w:hAnsi="Times New Roman" w:cs="Times New Roman"/>
        </w:rPr>
        <w:t xml:space="preserve"> </w:t>
      </w:r>
      <w:r w:rsidR="00610D05">
        <w:rPr>
          <w:rFonts w:ascii="Times New Roman" w:hAnsi="Times New Roman" w:cs="Times New Roman"/>
        </w:rPr>
        <w:t>also to</w:t>
      </w:r>
      <w:r>
        <w:rPr>
          <w:rFonts w:ascii="Times New Roman" w:hAnsi="Times New Roman" w:cs="Times New Roman"/>
        </w:rPr>
        <w:t xml:space="preserve"> other essential reproductive health services</w:t>
      </w:r>
      <w:r w:rsidR="0071169E">
        <w:rPr>
          <w:rFonts w:ascii="Times New Roman" w:hAnsi="Times New Roman" w:cs="Times New Roman"/>
        </w:rPr>
        <w:t xml:space="preserve"> that women</w:t>
      </w:r>
      <w:r w:rsidR="008F0ED0">
        <w:rPr>
          <w:rFonts w:ascii="Times New Roman" w:hAnsi="Times New Roman" w:cs="Times New Roman"/>
        </w:rPr>
        <w:t xml:space="preserve"> and girls</w:t>
      </w:r>
      <w:r w:rsidR="0071169E">
        <w:rPr>
          <w:rFonts w:ascii="Times New Roman" w:hAnsi="Times New Roman" w:cs="Times New Roman"/>
        </w:rPr>
        <w:t xml:space="preserve"> need</w:t>
      </w:r>
      <w:r w:rsidR="00F84BA3">
        <w:rPr>
          <w:rFonts w:ascii="Times New Roman" w:hAnsi="Times New Roman" w:cs="Times New Roman"/>
        </w:rPr>
        <w:t xml:space="preserve">. </w:t>
      </w:r>
      <w:r w:rsidR="001755DE">
        <w:rPr>
          <w:rFonts w:ascii="Times New Roman" w:hAnsi="Times New Roman" w:cs="Times New Roman"/>
        </w:rPr>
        <w:t>For instance, c</w:t>
      </w:r>
      <w:r w:rsidR="001E78FD">
        <w:rPr>
          <w:rFonts w:ascii="Times New Roman" w:hAnsi="Times New Roman" w:cs="Times New Roman"/>
        </w:rPr>
        <w:t>riminalization of abortion results in</w:t>
      </w:r>
      <w:r>
        <w:rPr>
          <w:rFonts w:ascii="Times New Roman" w:hAnsi="Times New Roman" w:cs="Times New Roman"/>
        </w:rPr>
        <w:t xml:space="preserve"> women </w:t>
      </w:r>
      <w:r w:rsidR="005A0B71">
        <w:rPr>
          <w:rFonts w:ascii="Times New Roman" w:hAnsi="Times New Roman" w:cs="Times New Roman"/>
        </w:rPr>
        <w:t>being</w:t>
      </w:r>
      <w:r>
        <w:rPr>
          <w:rFonts w:ascii="Times New Roman" w:hAnsi="Times New Roman" w:cs="Times New Roman"/>
        </w:rPr>
        <w:t xml:space="preserve"> reported, prosecuted and imprisoned for having miscarriages</w:t>
      </w:r>
      <w:r w:rsidR="003900DF">
        <w:rPr>
          <w:rFonts w:ascii="Times New Roman" w:hAnsi="Times New Roman" w:cs="Times New Roman"/>
        </w:rPr>
        <w:t>, creating a chilling effect</w:t>
      </w:r>
      <w:r w:rsidR="00CC290A">
        <w:rPr>
          <w:rFonts w:ascii="Times New Roman" w:hAnsi="Times New Roman" w:cs="Times New Roman"/>
        </w:rPr>
        <w:t xml:space="preserve"> on women</w:t>
      </w:r>
      <w:r w:rsidR="003900DF">
        <w:rPr>
          <w:rFonts w:ascii="Times New Roman" w:hAnsi="Times New Roman" w:cs="Times New Roman"/>
        </w:rPr>
        <w:t xml:space="preserve"> from seeking care</w:t>
      </w:r>
      <w:r>
        <w:rPr>
          <w:rFonts w:ascii="Times New Roman" w:hAnsi="Times New Roman" w:cs="Times New Roman"/>
        </w:rPr>
        <w:t>.</w:t>
      </w:r>
      <w:r>
        <w:rPr>
          <w:rStyle w:val="EndnoteReference"/>
          <w:rFonts w:ascii="Times New Roman" w:hAnsi="Times New Roman" w:cs="Times New Roman"/>
        </w:rPr>
        <w:endnoteReference w:id="37"/>
      </w:r>
    </w:p>
    <w:p w14:paraId="7E14E0B0" w14:textId="77777777" w:rsidR="00CF1FE8" w:rsidRDefault="00CF1FE8" w:rsidP="00D64186">
      <w:pPr>
        <w:spacing w:after="0" w:line="240" w:lineRule="auto"/>
        <w:jc w:val="both"/>
        <w:rPr>
          <w:rFonts w:ascii="Times New Roman" w:hAnsi="Times New Roman" w:cs="Times New Roman"/>
        </w:rPr>
      </w:pPr>
    </w:p>
    <w:p w14:paraId="01FCAB64" w14:textId="2C53C9F7" w:rsidR="00CF1FE8" w:rsidRDefault="00EC75CF" w:rsidP="00D64186">
      <w:pPr>
        <w:spacing w:after="0" w:line="240" w:lineRule="auto"/>
        <w:jc w:val="both"/>
        <w:rPr>
          <w:rFonts w:ascii="Times New Roman" w:hAnsi="Times New Roman" w:cs="Times New Roman"/>
        </w:rPr>
      </w:pPr>
      <w:r>
        <w:rPr>
          <w:rFonts w:ascii="Times New Roman" w:hAnsi="Times New Roman" w:cs="Times New Roman"/>
        </w:rPr>
        <w:t xml:space="preserve">Other treaty bodies have </w:t>
      </w:r>
      <w:r w:rsidR="00B61642">
        <w:rPr>
          <w:rFonts w:ascii="Times New Roman" w:hAnsi="Times New Roman" w:cs="Times New Roman"/>
        </w:rPr>
        <w:t>addressed this issue</w:t>
      </w:r>
      <w:r w:rsidR="00A540CF">
        <w:rPr>
          <w:rFonts w:ascii="Times New Roman" w:hAnsi="Times New Roman" w:cs="Times New Roman"/>
        </w:rPr>
        <w:t xml:space="preserve">. </w:t>
      </w:r>
      <w:r w:rsidR="006241D0">
        <w:rPr>
          <w:rFonts w:ascii="Times New Roman" w:hAnsi="Times New Roman" w:cs="Times New Roman"/>
        </w:rPr>
        <w:t>While the CRC has urged S</w:t>
      </w:r>
      <w:r w:rsidR="004246F4">
        <w:rPr>
          <w:rFonts w:ascii="Times New Roman" w:hAnsi="Times New Roman" w:cs="Times New Roman"/>
        </w:rPr>
        <w:t>tates</w:t>
      </w:r>
      <w:r w:rsidR="006241D0">
        <w:rPr>
          <w:rFonts w:ascii="Times New Roman" w:hAnsi="Times New Roman" w:cs="Times New Roman"/>
        </w:rPr>
        <w:t xml:space="preserve"> parties</w:t>
      </w:r>
      <w:r w:rsidR="004246F4">
        <w:rPr>
          <w:rFonts w:ascii="Times New Roman" w:hAnsi="Times New Roman" w:cs="Times New Roman"/>
        </w:rPr>
        <w:t xml:space="preserve"> to decriminalize abortion for several years,</w:t>
      </w:r>
      <w:r w:rsidR="004246F4">
        <w:rPr>
          <w:rStyle w:val="EndnoteReference"/>
          <w:rFonts w:ascii="Times New Roman" w:hAnsi="Times New Roman" w:cs="Times New Roman"/>
        </w:rPr>
        <w:endnoteReference w:id="38"/>
      </w:r>
      <w:r w:rsidR="004246F4">
        <w:rPr>
          <w:rFonts w:ascii="Times New Roman" w:hAnsi="Times New Roman" w:cs="Times New Roman"/>
        </w:rPr>
        <w:t xml:space="preserve"> it</w:t>
      </w:r>
      <w:r w:rsidR="00FE1A4B">
        <w:rPr>
          <w:rFonts w:ascii="Times New Roman" w:hAnsi="Times New Roman" w:cs="Times New Roman"/>
        </w:rPr>
        <w:t xml:space="preserve"> recently </w:t>
      </w:r>
      <w:r w:rsidR="006241D0">
        <w:rPr>
          <w:rFonts w:ascii="Times New Roman" w:hAnsi="Times New Roman" w:cs="Times New Roman"/>
        </w:rPr>
        <w:t>further elaborated on this by calling for</w:t>
      </w:r>
      <w:r w:rsidR="00FE1A4B">
        <w:rPr>
          <w:rFonts w:ascii="Times New Roman" w:hAnsi="Times New Roman" w:cs="Times New Roman"/>
        </w:rPr>
        <w:t xml:space="preserve"> the decriminalization of </w:t>
      </w:r>
      <w:r w:rsidR="00EC4330">
        <w:rPr>
          <w:rFonts w:ascii="Times New Roman" w:hAnsi="Times New Roman" w:cs="Times New Roman"/>
        </w:rPr>
        <w:t>abortion in “all circumstances</w:t>
      </w:r>
      <w:r w:rsidR="007F2195">
        <w:rPr>
          <w:rFonts w:ascii="Times New Roman" w:hAnsi="Times New Roman" w:cs="Times New Roman"/>
        </w:rPr>
        <w:t>.</w:t>
      </w:r>
      <w:r w:rsidR="00EC4330">
        <w:rPr>
          <w:rFonts w:ascii="Times New Roman" w:hAnsi="Times New Roman" w:cs="Times New Roman"/>
        </w:rPr>
        <w:t>”</w:t>
      </w:r>
      <w:r w:rsidR="00EC4330">
        <w:rPr>
          <w:rStyle w:val="EndnoteReference"/>
          <w:rFonts w:ascii="Times New Roman" w:hAnsi="Times New Roman" w:cs="Times New Roman"/>
        </w:rPr>
        <w:endnoteReference w:id="39"/>
      </w:r>
      <w:r w:rsidR="00DB4ABE">
        <w:rPr>
          <w:rFonts w:ascii="Times New Roman" w:hAnsi="Times New Roman" w:cs="Times New Roman"/>
        </w:rPr>
        <w:t xml:space="preserve"> </w:t>
      </w:r>
      <w:r w:rsidR="00590F79">
        <w:rPr>
          <w:rFonts w:ascii="Times New Roman" w:hAnsi="Times New Roman" w:cs="Times New Roman"/>
        </w:rPr>
        <w:t>Furthermore</w:t>
      </w:r>
      <w:r w:rsidR="007F2195">
        <w:rPr>
          <w:rFonts w:ascii="Times New Roman" w:hAnsi="Times New Roman" w:cs="Times New Roman"/>
        </w:rPr>
        <w:t xml:space="preserve">, </w:t>
      </w:r>
      <w:r w:rsidR="00DB4ABE">
        <w:rPr>
          <w:rFonts w:ascii="Times New Roman" w:hAnsi="Times New Roman" w:cs="Times New Roman"/>
        </w:rPr>
        <w:t>in its</w:t>
      </w:r>
      <w:r w:rsidR="00DB4ABE" w:rsidRPr="00DA78D7">
        <w:rPr>
          <w:rFonts w:ascii="Times New Roman" w:hAnsi="Times New Roman" w:cs="Times New Roman"/>
        </w:rPr>
        <w:t xml:space="preserve"> gener</w:t>
      </w:r>
      <w:r w:rsidR="00DB4ABE">
        <w:rPr>
          <w:rFonts w:ascii="Times New Roman" w:hAnsi="Times New Roman" w:cs="Times New Roman"/>
        </w:rPr>
        <w:t>al comment 20 on</w:t>
      </w:r>
      <w:r w:rsidR="006241D0">
        <w:rPr>
          <w:rFonts w:ascii="Times New Roman" w:hAnsi="Times New Roman" w:cs="Times New Roman"/>
        </w:rPr>
        <w:t xml:space="preserve"> the implementation of the</w:t>
      </w:r>
      <w:r w:rsidR="00DB4ABE">
        <w:rPr>
          <w:rFonts w:ascii="Times New Roman" w:hAnsi="Times New Roman" w:cs="Times New Roman"/>
        </w:rPr>
        <w:t xml:space="preserve"> </w:t>
      </w:r>
      <w:r w:rsidR="00FE77C2">
        <w:rPr>
          <w:rFonts w:ascii="Times New Roman" w:hAnsi="Times New Roman" w:cs="Times New Roman"/>
        </w:rPr>
        <w:t xml:space="preserve">rights of the child during </w:t>
      </w:r>
      <w:r w:rsidR="00DB4ABE">
        <w:rPr>
          <w:rFonts w:ascii="Times New Roman" w:hAnsi="Times New Roman" w:cs="Times New Roman"/>
        </w:rPr>
        <w:t>adolescence,</w:t>
      </w:r>
      <w:r w:rsidR="00DB4ABE" w:rsidRPr="00DA78D7">
        <w:rPr>
          <w:rFonts w:ascii="Times New Roman" w:hAnsi="Times New Roman" w:cs="Times New Roman"/>
        </w:rPr>
        <w:t xml:space="preserve"> </w:t>
      </w:r>
      <w:r w:rsidR="007F2195">
        <w:rPr>
          <w:rFonts w:ascii="Times New Roman" w:hAnsi="Times New Roman" w:cs="Times New Roman"/>
        </w:rPr>
        <w:t>the CRC</w:t>
      </w:r>
      <w:r w:rsidR="00DB4ABE">
        <w:rPr>
          <w:rFonts w:ascii="Times New Roman" w:hAnsi="Times New Roman" w:cs="Times New Roman"/>
        </w:rPr>
        <w:t xml:space="preserve"> urged</w:t>
      </w:r>
      <w:r w:rsidR="00DB4ABE" w:rsidRPr="00DA78D7">
        <w:rPr>
          <w:rFonts w:ascii="Times New Roman" w:hAnsi="Times New Roman" w:cs="Times New Roman"/>
        </w:rPr>
        <w:t xml:space="preserve"> </w:t>
      </w:r>
      <w:r w:rsidR="006241D0">
        <w:rPr>
          <w:rFonts w:ascii="Times New Roman" w:hAnsi="Times New Roman" w:cs="Times New Roman"/>
        </w:rPr>
        <w:t>S</w:t>
      </w:r>
      <w:r w:rsidR="00DB4ABE" w:rsidRPr="00DA78D7">
        <w:rPr>
          <w:rFonts w:ascii="Times New Roman" w:hAnsi="Times New Roman" w:cs="Times New Roman"/>
        </w:rPr>
        <w:t>tates</w:t>
      </w:r>
      <w:r w:rsidR="006241D0">
        <w:rPr>
          <w:rFonts w:ascii="Times New Roman" w:hAnsi="Times New Roman" w:cs="Times New Roman"/>
        </w:rPr>
        <w:t xml:space="preserve"> parties</w:t>
      </w:r>
      <w:r w:rsidR="00DB4ABE" w:rsidRPr="00DA78D7">
        <w:rPr>
          <w:rFonts w:ascii="Times New Roman" w:hAnsi="Times New Roman" w:cs="Times New Roman"/>
        </w:rPr>
        <w:t xml:space="preserve"> “to decriminalize abortion to ensure that girls have access to safe abortion and post-abortion services.”</w:t>
      </w:r>
      <w:r w:rsidR="00DB4ABE">
        <w:rPr>
          <w:rStyle w:val="EndnoteReference"/>
          <w:rFonts w:ascii="Times New Roman" w:hAnsi="Times New Roman" w:cs="Times New Roman"/>
        </w:rPr>
        <w:endnoteReference w:id="40"/>
      </w:r>
      <w:r w:rsidR="00DB4ABE">
        <w:rPr>
          <w:rFonts w:ascii="Times New Roman" w:hAnsi="Times New Roman" w:cs="Times New Roman"/>
        </w:rPr>
        <w:t xml:space="preserve"> </w:t>
      </w:r>
      <w:r w:rsidR="00A540CF">
        <w:rPr>
          <w:rFonts w:ascii="Times New Roman" w:hAnsi="Times New Roman" w:cs="Times New Roman"/>
        </w:rPr>
        <w:t xml:space="preserve">The </w:t>
      </w:r>
      <w:r w:rsidR="00CF1FE8">
        <w:rPr>
          <w:rFonts w:ascii="Times New Roman" w:hAnsi="Times New Roman" w:cs="Times New Roman"/>
        </w:rPr>
        <w:t>CEDAW</w:t>
      </w:r>
      <w:r w:rsidR="00C10517">
        <w:rPr>
          <w:rFonts w:ascii="Times New Roman" w:hAnsi="Times New Roman" w:cs="Times New Roman"/>
        </w:rPr>
        <w:t xml:space="preserve"> </w:t>
      </w:r>
      <w:r w:rsidR="00372603">
        <w:rPr>
          <w:rFonts w:ascii="Times New Roman" w:hAnsi="Times New Roman" w:cs="Times New Roman"/>
        </w:rPr>
        <w:t xml:space="preserve">has </w:t>
      </w:r>
      <w:r w:rsidR="003D086D">
        <w:rPr>
          <w:rFonts w:ascii="Times New Roman" w:hAnsi="Times New Roman" w:cs="Times New Roman"/>
        </w:rPr>
        <w:t xml:space="preserve">also </w:t>
      </w:r>
      <w:r w:rsidR="00372603">
        <w:rPr>
          <w:rFonts w:ascii="Times New Roman" w:hAnsi="Times New Roman" w:cs="Times New Roman"/>
        </w:rPr>
        <w:t xml:space="preserve">said </w:t>
      </w:r>
      <w:r w:rsidR="00A540CF">
        <w:rPr>
          <w:rFonts w:ascii="Times New Roman" w:hAnsi="Times New Roman" w:cs="Times New Roman"/>
        </w:rPr>
        <w:t>that</w:t>
      </w:r>
      <w:r w:rsidR="00CF1FE8">
        <w:rPr>
          <w:rFonts w:ascii="Times New Roman" w:hAnsi="Times New Roman" w:cs="Times New Roman"/>
        </w:rPr>
        <w:t xml:space="preserve"> </w:t>
      </w:r>
      <w:r w:rsidR="000E2981">
        <w:rPr>
          <w:rFonts w:ascii="Times New Roman" w:hAnsi="Times New Roman" w:cs="Times New Roman"/>
        </w:rPr>
        <w:t>laws that criminalize medical procedures only needed by women are barriers to health care</w:t>
      </w:r>
      <w:r w:rsidR="007228FD">
        <w:rPr>
          <w:rFonts w:ascii="Times New Roman" w:hAnsi="Times New Roman" w:cs="Times New Roman"/>
        </w:rPr>
        <w:t xml:space="preserve"> and “when possible, legislation criminalizing abortion should be amended, in order to withdraw punitive measures imposed on women who undergo abortion</w:t>
      </w:r>
      <w:r w:rsidR="00A540CF">
        <w:rPr>
          <w:rFonts w:ascii="Times New Roman" w:hAnsi="Times New Roman" w:cs="Times New Roman"/>
        </w:rPr>
        <w:t>.</w:t>
      </w:r>
      <w:r w:rsidR="007228FD">
        <w:rPr>
          <w:rFonts w:ascii="Times New Roman" w:hAnsi="Times New Roman" w:cs="Times New Roman"/>
        </w:rPr>
        <w:t>”</w:t>
      </w:r>
      <w:r w:rsidR="007228FD">
        <w:rPr>
          <w:rStyle w:val="EndnoteReference"/>
          <w:rFonts w:ascii="Times New Roman" w:hAnsi="Times New Roman" w:cs="Times New Roman"/>
        </w:rPr>
        <w:endnoteReference w:id="41"/>
      </w:r>
      <w:r w:rsidR="00A55FBC">
        <w:rPr>
          <w:rFonts w:ascii="Times New Roman" w:hAnsi="Times New Roman" w:cs="Times New Roman"/>
        </w:rPr>
        <w:t xml:space="preserve"> The CEDAW </w:t>
      </w:r>
      <w:r w:rsidR="00372603">
        <w:rPr>
          <w:rFonts w:ascii="Times New Roman" w:hAnsi="Times New Roman" w:cs="Times New Roman"/>
        </w:rPr>
        <w:t>explicitly linked</w:t>
      </w:r>
      <w:r w:rsidR="00A55FBC">
        <w:rPr>
          <w:rFonts w:ascii="Times New Roman" w:hAnsi="Times New Roman" w:cs="Times New Roman"/>
        </w:rPr>
        <w:t xml:space="preserve"> this recommendation to reducing maternal </w:t>
      </w:r>
      <w:r w:rsidR="00A55FBC">
        <w:rPr>
          <w:rFonts w:ascii="Times New Roman" w:hAnsi="Times New Roman" w:cs="Times New Roman"/>
        </w:rPr>
        <w:lastRenderedPageBreak/>
        <w:t xml:space="preserve">mortality. </w:t>
      </w:r>
      <w:r w:rsidR="00017BD1">
        <w:rPr>
          <w:rFonts w:ascii="Times New Roman" w:hAnsi="Times New Roman" w:cs="Times New Roman"/>
        </w:rPr>
        <w:t>Further</w:t>
      </w:r>
      <w:r w:rsidR="00A540CF">
        <w:rPr>
          <w:rFonts w:ascii="Times New Roman" w:hAnsi="Times New Roman" w:cs="Times New Roman"/>
        </w:rPr>
        <w:t>more</w:t>
      </w:r>
      <w:r w:rsidR="00CC6A72">
        <w:rPr>
          <w:rFonts w:ascii="Times New Roman" w:hAnsi="Times New Roman" w:cs="Times New Roman"/>
        </w:rPr>
        <w:t xml:space="preserve">, in </w:t>
      </w:r>
      <w:r w:rsidR="00FC0394">
        <w:rPr>
          <w:rFonts w:ascii="Times New Roman" w:hAnsi="Times New Roman" w:cs="Times New Roman"/>
        </w:rPr>
        <w:t xml:space="preserve">its </w:t>
      </w:r>
      <w:r w:rsidR="00017BD1">
        <w:rPr>
          <w:rFonts w:ascii="Times New Roman" w:hAnsi="Times New Roman" w:cs="Times New Roman"/>
        </w:rPr>
        <w:t xml:space="preserve">general recommendation 35 on </w:t>
      </w:r>
      <w:r w:rsidR="00F9139C">
        <w:rPr>
          <w:rFonts w:ascii="Times New Roman" w:hAnsi="Times New Roman" w:cs="Times New Roman"/>
        </w:rPr>
        <w:t>gender-based violence against women</w:t>
      </w:r>
      <w:r w:rsidR="00017BD1">
        <w:rPr>
          <w:rFonts w:ascii="Times New Roman" w:hAnsi="Times New Roman" w:cs="Times New Roman"/>
        </w:rPr>
        <w:t xml:space="preserve">, </w:t>
      </w:r>
      <w:r w:rsidR="00FC0394">
        <w:rPr>
          <w:rFonts w:ascii="Times New Roman" w:hAnsi="Times New Roman" w:cs="Times New Roman"/>
        </w:rPr>
        <w:t>the CEDAW</w:t>
      </w:r>
      <w:r w:rsidR="00017BD1">
        <w:rPr>
          <w:rFonts w:ascii="Times New Roman" w:hAnsi="Times New Roman" w:cs="Times New Roman"/>
        </w:rPr>
        <w:t xml:space="preserve"> reco</w:t>
      </w:r>
      <w:r w:rsidR="00F60706">
        <w:rPr>
          <w:rFonts w:ascii="Times New Roman" w:hAnsi="Times New Roman" w:cs="Times New Roman"/>
        </w:rPr>
        <w:t>g</w:t>
      </w:r>
      <w:r w:rsidR="00372603">
        <w:rPr>
          <w:rFonts w:ascii="Times New Roman" w:hAnsi="Times New Roman" w:cs="Times New Roman"/>
        </w:rPr>
        <w:t>nized</w:t>
      </w:r>
      <w:r w:rsidR="00C26D2B">
        <w:rPr>
          <w:rFonts w:ascii="Times New Roman" w:hAnsi="Times New Roman" w:cs="Times New Roman"/>
        </w:rPr>
        <w:t xml:space="preserve"> criminalization of abortion, as well as</w:t>
      </w:r>
      <w:r w:rsidR="00017BD1">
        <w:rPr>
          <w:rFonts w:ascii="Times New Roman" w:hAnsi="Times New Roman" w:cs="Times New Roman"/>
        </w:rPr>
        <w:t xml:space="preserve"> denial or delay of safe abor</w:t>
      </w:r>
      <w:r w:rsidR="00A540CF">
        <w:rPr>
          <w:rFonts w:ascii="Times New Roman" w:hAnsi="Times New Roman" w:cs="Times New Roman"/>
        </w:rPr>
        <w:t xml:space="preserve">tion and post abortion care, </w:t>
      </w:r>
      <w:r w:rsidR="00017BD1">
        <w:rPr>
          <w:rFonts w:ascii="Times New Roman" w:hAnsi="Times New Roman" w:cs="Times New Roman"/>
        </w:rPr>
        <w:t>not only</w:t>
      </w:r>
      <w:r w:rsidR="00A540CF">
        <w:rPr>
          <w:rFonts w:ascii="Times New Roman" w:hAnsi="Times New Roman" w:cs="Times New Roman"/>
        </w:rPr>
        <w:t xml:space="preserve"> as</w:t>
      </w:r>
      <w:r w:rsidR="00017BD1">
        <w:rPr>
          <w:rFonts w:ascii="Times New Roman" w:hAnsi="Times New Roman" w:cs="Times New Roman"/>
        </w:rPr>
        <w:t xml:space="preserve"> violations of women’s sexual and reproductive health and rights, but also as “forms of gender-based violence that…may amount to torture or cruel, in human or degrading treatment.”</w:t>
      </w:r>
      <w:r w:rsidR="00017BD1">
        <w:rPr>
          <w:rStyle w:val="EndnoteReference"/>
          <w:rFonts w:ascii="Times New Roman" w:hAnsi="Times New Roman" w:cs="Times New Roman"/>
        </w:rPr>
        <w:endnoteReference w:id="42"/>
      </w:r>
      <w:r w:rsidR="00F60706">
        <w:rPr>
          <w:rFonts w:ascii="Times New Roman" w:hAnsi="Times New Roman" w:cs="Times New Roman"/>
        </w:rPr>
        <w:t xml:space="preserve"> </w:t>
      </w:r>
      <w:r w:rsidR="00C26D2B">
        <w:rPr>
          <w:rFonts w:ascii="Times New Roman" w:hAnsi="Times New Roman" w:cs="Times New Roman"/>
        </w:rPr>
        <w:t>It</w:t>
      </w:r>
      <w:r w:rsidR="00372603">
        <w:rPr>
          <w:rFonts w:ascii="Times New Roman" w:hAnsi="Times New Roman" w:cs="Times New Roman"/>
        </w:rPr>
        <w:t xml:space="preserve"> also called</w:t>
      </w:r>
      <w:r w:rsidR="00F60706">
        <w:rPr>
          <w:rFonts w:ascii="Times New Roman" w:hAnsi="Times New Roman" w:cs="Times New Roman"/>
        </w:rPr>
        <w:t xml:space="preserve"> for states to </w:t>
      </w:r>
      <w:r w:rsidR="00C26D2B">
        <w:rPr>
          <w:rFonts w:ascii="Times New Roman" w:hAnsi="Times New Roman" w:cs="Times New Roman"/>
        </w:rPr>
        <w:t>decriminalize</w:t>
      </w:r>
      <w:r w:rsidR="00763A72">
        <w:rPr>
          <w:rFonts w:ascii="Times New Roman" w:hAnsi="Times New Roman" w:cs="Times New Roman"/>
        </w:rPr>
        <w:t xml:space="preserve"> abortion.</w:t>
      </w:r>
      <w:r w:rsidR="00763A72">
        <w:rPr>
          <w:rStyle w:val="EndnoteReference"/>
          <w:rFonts w:ascii="Times New Roman" w:hAnsi="Times New Roman" w:cs="Times New Roman"/>
        </w:rPr>
        <w:endnoteReference w:id="43"/>
      </w:r>
      <w:r w:rsidR="00A92527">
        <w:rPr>
          <w:rFonts w:ascii="Times New Roman" w:hAnsi="Times New Roman" w:cs="Times New Roman"/>
        </w:rPr>
        <w:t xml:space="preserve"> </w:t>
      </w:r>
    </w:p>
    <w:p w14:paraId="5547BAB9" w14:textId="77777777" w:rsidR="00CF1FE8" w:rsidRDefault="00CF1FE8" w:rsidP="00D64186">
      <w:pPr>
        <w:spacing w:after="0" w:line="240" w:lineRule="auto"/>
        <w:jc w:val="both"/>
        <w:rPr>
          <w:rFonts w:ascii="Times New Roman" w:hAnsi="Times New Roman" w:cs="Times New Roman"/>
        </w:rPr>
      </w:pPr>
    </w:p>
    <w:p w14:paraId="3BD3292C" w14:textId="3581EC3B" w:rsidR="00DB6FFE" w:rsidRDefault="00645D77" w:rsidP="00D64186">
      <w:pPr>
        <w:spacing w:after="0" w:line="240" w:lineRule="auto"/>
        <w:jc w:val="both"/>
        <w:rPr>
          <w:rFonts w:ascii="Times New Roman" w:hAnsi="Times New Roman" w:cs="Times New Roman"/>
        </w:rPr>
      </w:pPr>
      <w:r>
        <w:rPr>
          <w:rFonts w:ascii="Times New Roman" w:hAnsi="Times New Roman" w:cs="Times New Roman"/>
        </w:rPr>
        <w:t xml:space="preserve">Regarding medical providers, </w:t>
      </w:r>
      <w:r w:rsidR="00A47FB5">
        <w:rPr>
          <w:rFonts w:ascii="Times New Roman" w:hAnsi="Times New Roman" w:cs="Times New Roman"/>
        </w:rPr>
        <w:t>this Committee has noted</w:t>
      </w:r>
      <w:r w:rsidR="003669C6">
        <w:rPr>
          <w:rFonts w:ascii="Times New Roman" w:hAnsi="Times New Roman" w:cs="Times New Roman"/>
        </w:rPr>
        <w:t>,</w:t>
      </w:r>
      <w:r w:rsidR="00F52F2D">
        <w:rPr>
          <w:rFonts w:ascii="Times New Roman" w:hAnsi="Times New Roman" w:cs="Times New Roman"/>
        </w:rPr>
        <w:t xml:space="preserve"> in </w:t>
      </w:r>
      <w:r w:rsidR="003669C6">
        <w:rPr>
          <w:rFonts w:ascii="Times New Roman" w:hAnsi="Times New Roman" w:cs="Times New Roman"/>
        </w:rPr>
        <w:t xml:space="preserve">its general comment on the </w:t>
      </w:r>
      <w:r w:rsidR="000263CF">
        <w:rPr>
          <w:rFonts w:ascii="Times New Roman" w:hAnsi="Times New Roman" w:cs="Times New Roman"/>
        </w:rPr>
        <w:t>equality of men and women, that S</w:t>
      </w:r>
      <w:r w:rsidR="003669C6">
        <w:rPr>
          <w:rFonts w:ascii="Times New Roman" w:hAnsi="Times New Roman" w:cs="Times New Roman"/>
        </w:rPr>
        <w:t>tates</w:t>
      </w:r>
      <w:r w:rsidR="000263CF">
        <w:rPr>
          <w:rFonts w:ascii="Times New Roman" w:hAnsi="Times New Roman" w:cs="Times New Roman"/>
        </w:rPr>
        <w:t xml:space="preserve"> parties</w:t>
      </w:r>
      <w:r w:rsidR="003669C6">
        <w:rPr>
          <w:rFonts w:ascii="Times New Roman" w:hAnsi="Times New Roman" w:cs="Times New Roman"/>
        </w:rPr>
        <w:t xml:space="preserve"> should take measures to eliminate</w:t>
      </w:r>
      <w:r w:rsidR="00423636">
        <w:rPr>
          <w:rFonts w:ascii="Times New Roman" w:hAnsi="Times New Roman" w:cs="Times New Roman"/>
        </w:rPr>
        <w:t xml:space="preserve"> and protect against</w:t>
      </w:r>
      <w:r w:rsidR="003669C6">
        <w:rPr>
          <w:rFonts w:ascii="Times New Roman" w:hAnsi="Times New Roman" w:cs="Times New Roman"/>
        </w:rPr>
        <w:t xml:space="preserve"> interference related to women’s reproductive functions. It specifically </w:t>
      </w:r>
      <w:r w:rsidR="00423636">
        <w:rPr>
          <w:rFonts w:ascii="Times New Roman" w:hAnsi="Times New Roman" w:cs="Times New Roman"/>
        </w:rPr>
        <w:t>re</w:t>
      </w:r>
      <w:r w:rsidR="00A47FB5">
        <w:rPr>
          <w:rFonts w:ascii="Times New Roman" w:hAnsi="Times New Roman" w:cs="Times New Roman"/>
        </w:rPr>
        <w:t>ferenced</w:t>
      </w:r>
      <w:r w:rsidR="00423636">
        <w:rPr>
          <w:rFonts w:ascii="Times New Roman" w:hAnsi="Times New Roman" w:cs="Times New Roman"/>
        </w:rPr>
        <w:t xml:space="preserve"> the imposition of</w:t>
      </w:r>
      <w:r w:rsidR="003669C6">
        <w:rPr>
          <w:rFonts w:ascii="Times New Roman" w:hAnsi="Times New Roman" w:cs="Times New Roman"/>
        </w:rPr>
        <w:t xml:space="preserve"> a legal duty on doctors or other health personnel to report cases of women who have undergone abortion</w:t>
      </w:r>
      <w:r w:rsidR="00423636">
        <w:rPr>
          <w:rFonts w:ascii="Times New Roman" w:hAnsi="Times New Roman" w:cs="Times New Roman"/>
        </w:rPr>
        <w:t xml:space="preserve"> as an example of such an interference, acknowledg</w:t>
      </w:r>
      <w:r w:rsidR="003D086D">
        <w:rPr>
          <w:rFonts w:ascii="Times New Roman" w:hAnsi="Times New Roman" w:cs="Times New Roman"/>
        </w:rPr>
        <w:t>ing that such an imposition</w:t>
      </w:r>
      <w:r w:rsidR="00423636">
        <w:rPr>
          <w:rFonts w:ascii="Times New Roman" w:hAnsi="Times New Roman" w:cs="Times New Roman"/>
        </w:rPr>
        <w:t xml:space="preserve"> jeopardizes women’s right to life, as well as their right to be free from torture </w:t>
      </w:r>
      <w:r w:rsidR="00CD32C6">
        <w:rPr>
          <w:rFonts w:ascii="Times New Roman" w:hAnsi="Times New Roman" w:cs="Times New Roman"/>
        </w:rPr>
        <w:t xml:space="preserve">or other </w:t>
      </w:r>
      <w:r w:rsidR="00423636">
        <w:rPr>
          <w:rFonts w:ascii="Times New Roman" w:hAnsi="Times New Roman" w:cs="Times New Roman"/>
        </w:rPr>
        <w:t>cruel, inhuman or degrading treatment.</w:t>
      </w:r>
      <w:r w:rsidR="00423636">
        <w:rPr>
          <w:rStyle w:val="EndnoteReference"/>
          <w:rFonts w:ascii="Times New Roman" w:hAnsi="Times New Roman" w:cs="Times New Roman"/>
        </w:rPr>
        <w:endnoteReference w:id="44"/>
      </w:r>
      <w:r w:rsidR="002962B5">
        <w:rPr>
          <w:rFonts w:ascii="Times New Roman" w:hAnsi="Times New Roman" w:cs="Times New Roman"/>
        </w:rPr>
        <w:t xml:space="preserve"> </w:t>
      </w:r>
      <w:r w:rsidR="004C1648">
        <w:rPr>
          <w:rFonts w:ascii="Times New Roman" w:hAnsi="Times New Roman" w:cs="Times New Roman"/>
        </w:rPr>
        <w:t>Furthermore,</w:t>
      </w:r>
      <w:r w:rsidR="003D086D">
        <w:rPr>
          <w:rFonts w:ascii="Times New Roman" w:hAnsi="Times New Roman" w:cs="Times New Roman"/>
        </w:rPr>
        <w:t xml:space="preserve"> this Committee has explicitly recommended that a state should “avoid penalizing medical professionals in the conduct of their professional duties” in relation to abortion and the right to life.</w:t>
      </w:r>
      <w:r w:rsidR="003D086D">
        <w:rPr>
          <w:rStyle w:val="EndnoteReference"/>
          <w:rFonts w:ascii="Times New Roman" w:hAnsi="Times New Roman" w:cs="Times New Roman"/>
        </w:rPr>
        <w:endnoteReference w:id="45"/>
      </w:r>
      <w:r w:rsidR="003D086D">
        <w:rPr>
          <w:rFonts w:ascii="Times New Roman" w:hAnsi="Times New Roman" w:cs="Times New Roman"/>
        </w:rPr>
        <w:t xml:space="preserve"> </w:t>
      </w:r>
      <w:r w:rsidR="002962B5">
        <w:rPr>
          <w:rFonts w:ascii="Times New Roman" w:hAnsi="Times New Roman" w:cs="Times New Roman"/>
        </w:rPr>
        <w:t>The CEDAW</w:t>
      </w:r>
      <w:r w:rsidR="003A129B">
        <w:rPr>
          <w:rFonts w:ascii="Times New Roman" w:hAnsi="Times New Roman" w:cs="Times New Roman"/>
        </w:rPr>
        <w:t xml:space="preserve"> </w:t>
      </w:r>
      <w:r w:rsidR="002962B5">
        <w:rPr>
          <w:rFonts w:ascii="Times New Roman" w:hAnsi="Times New Roman" w:cs="Times New Roman"/>
        </w:rPr>
        <w:t>has also noted that it is critical for physician-patient confidentiality to be maintained, especially within the context</w:t>
      </w:r>
      <w:r w:rsidR="00123E8C">
        <w:rPr>
          <w:rFonts w:ascii="Times New Roman" w:hAnsi="Times New Roman" w:cs="Times New Roman"/>
        </w:rPr>
        <w:t xml:space="preserve"> of</w:t>
      </w:r>
      <w:r w:rsidR="002962B5">
        <w:rPr>
          <w:rFonts w:ascii="Times New Roman" w:hAnsi="Times New Roman" w:cs="Times New Roman"/>
        </w:rPr>
        <w:t xml:space="preserve"> </w:t>
      </w:r>
      <w:r w:rsidR="00A47FB5">
        <w:rPr>
          <w:rFonts w:ascii="Times New Roman" w:hAnsi="Times New Roman" w:cs="Times New Roman"/>
        </w:rPr>
        <w:t>laws</w:t>
      </w:r>
      <w:r w:rsidR="0039700A">
        <w:rPr>
          <w:rFonts w:ascii="Times New Roman" w:hAnsi="Times New Roman" w:cs="Times New Roman"/>
        </w:rPr>
        <w:t xml:space="preserve"> that</w:t>
      </w:r>
      <w:r w:rsidR="002962B5">
        <w:rPr>
          <w:rFonts w:ascii="Times New Roman" w:hAnsi="Times New Roman" w:cs="Times New Roman"/>
        </w:rPr>
        <w:t xml:space="preserve"> require medical personnel to report women who have had abortions.</w:t>
      </w:r>
      <w:r w:rsidR="002962B5">
        <w:rPr>
          <w:rStyle w:val="EndnoteReference"/>
          <w:rFonts w:ascii="Times New Roman" w:hAnsi="Times New Roman" w:cs="Times New Roman"/>
        </w:rPr>
        <w:endnoteReference w:id="46"/>
      </w:r>
      <w:r w:rsidR="00BD319E">
        <w:rPr>
          <w:rFonts w:ascii="Times New Roman" w:hAnsi="Times New Roman" w:cs="Times New Roman"/>
        </w:rPr>
        <w:t xml:space="preserve"> Moreover, the Special Rapporteur on the right to health has noted the importance of decriminalizing abortion, including </w:t>
      </w:r>
      <w:r w:rsidR="00C76653">
        <w:rPr>
          <w:rFonts w:ascii="Times New Roman" w:hAnsi="Times New Roman" w:cs="Times New Roman"/>
        </w:rPr>
        <w:t>the decriminalization of the abetment of abortion.</w:t>
      </w:r>
      <w:r w:rsidR="00BD319E">
        <w:rPr>
          <w:rStyle w:val="EndnoteReference"/>
          <w:rFonts w:ascii="Times New Roman" w:hAnsi="Times New Roman" w:cs="Times New Roman"/>
        </w:rPr>
        <w:endnoteReference w:id="47"/>
      </w:r>
    </w:p>
    <w:p w14:paraId="2EDF3EEC" w14:textId="77777777" w:rsidR="009E00A0" w:rsidRDefault="009E00A0" w:rsidP="00D64186">
      <w:pPr>
        <w:spacing w:after="0" w:line="240" w:lineRule="auto"/>
        <w:jc w:val="both"/>
        <w:rPr>
          <w:rFonts w:ascii="Times New Roman" w:hAnsi="Times New Roman" w:cs="Times New Roman"/>
        </w:rPr>
      </w:pPr>
    </w:p>
    <w:p w14:paraId="457DB794" w14:textId="44353C9B" w:rsidR="009E00A0" w:rsidRDefault="00216731" w:rsidP="00D64186">
      <w:pPr>
        <w:spacing w:after="0" w:line="240" w:lineRule="auto"/>
        <w:jc w:val="both"/>
        <w:rPr>
          <w:rFonts w:ascii="Times New Roman" w:hAnsi="Times New Roman" w:cs="Times New Roman"/>
        </w:rPr>
      </w:pPr>
      <w:r>
        <w:rPr>
          <w:rFonts w:ascii="Times New Roman" w:hAnsi="Times New Roman" w:cs="Times New Roman"/>
        </w:rPr>
        <w:t>Criminalizing abortion creates a chilling eff</w:t>
      </w:r>
      <w:r w:rsidR="00854CF5">
        <w:rPr>
          <w:rFonts w:ascii="Times New Roman" w:hAnsi="Times New Roman" w:cs="Times New Roman"/>
        </w:rPr>
        <w:t>ect that undermines access to health</w:t>
      </w:r>
      <w:r>
        <w:rPr>
          <w:rFonts w:ascii="Times New Roman" w:hAnsi="Times New Roman" w:cs="Times New Roman"/>
        </w:rPr>
        <w:t xml:space="preserve"> service</w:t>
      </w:r>
      <w:r w:rsidR="00854CF5">
        <w:rPr>
          <w:rFonts w:ascii="Times New Roman" w:hAnsi="Times New Roman" w:cs="Times New Roman"/>
        </w:rPr>
        <w:t>s</w:t>
      </w:r>
      <w:r>
        <w:rPr>
          <w:rFonts w:ascii="Times New Roman" w:hAnsi="Times New Roman" w:cs="Times New Roman"/>
        </w:rPr>
        <w:t xml:space="preserve"> and results in </w:t>
      </w:r>
      <w:r w:rsidR="00154561">
        <w:rPr>
          <w:rFonts w:ascii="Times New Roman" w:hAnsi="Times New Roman" w:cs="Times New Roman"/>
        </w:rPr>
        <w:t xml:space="preserve">an increase of </w:t>
      </w:r>
      <w:r>
        <w:rPr>
          <w:rFonts w:ascii="Times New Roman" w:hAnsi="Times New Roman" w:cs="Times New Roman"/>
        </w:rPr>
        <w:t>preventable maternal deaths</w:t>
      </w:r>
      <w:r w:rsidR="00854CF5">
        <w:rPr>
          <w:rFonts w:ascii="Times New Roman" w:hAnsi="Times New Roman" w:cs="Times New Roman"/>
        </w:rPr>
        <w:t xml:space="preserve"> and morbidity</w:t>
      </w:r>
      <w:r>
        <w:rPr>
          <w:rFonts w:ascii="Times New Roman" w:hAnsi="Times New Roman" w:cs="Times New Roman"/>
        </w:rPr>
        <w:t xml:space="preserve">. </w:t>
      </w:r>
      <w:r w:rsidR="00CC6878">
        <w:rPr>
          <w:rFonts w:ascii="Times New Roman" w:hAnsi="Times New Roman" w:cs="Times New Roman"/>
        </w:rPr>
        <w:t xml:space="preserve">By </w:t>
      </w:r>
      <w:r w:rsidR="00400FA5">
        <w:rPr>
          <w:rFonts w:ascii="Times New Roman" w:hAnsi="Times New Roman" w:cs="Times New Roman"/>
        </w:rPr>
        <w:t>calling for the decr</w:t>
      </w:r>
      <w:r w:rsidR="001A5816">
        <w:rPr>
          <w:rFonts w:ascii="Times New Roman" w:hAnsi="Times New Roman" w:cs="Times New Roman"/>
        </w:rPr>
        <w:t xml:space="preserve">iminalization of </w:t>
      </w:r>
      <w:r w:rsidR="00AF659C">
        <w:rPr>
          <w:rFonts w:ascii="Times New Roman" w:hAnsi="Times New Roman" w:cs="Times New Roman"/>
        </w:rPr>
        <w:t>voluntary termination of pregnancy</w:t>
      </w:r>
      <w:r w:rsidR="00854CF5">
        <w:rPr>
          <w:rFonts w:ascii="Times New Roman" w:hAnsi="Times New Roman" w:cs="Times New Roman"/>
        </w:rPr>
        <w:t xml:space="preserve"> in paragraph 9</w:t>
      </w:r>
      <w:r w:rsidR="009E00A0">
        <w:rPr>
          <w:rFonts w:ascii="Times New Roman" w:hAnsi="Times New Roman" w:cs="Times New Roman"/>
        </w:rPr>
        <w:t>, this general comment woul</w:t>
      </w:r>
      <w:r w:rsidR="000263CF">
        <w:rPr>
          <w:rFonts w:ascii="Times New Roman" w:hAnsi="Times New Roman" w:cs="Times New Roman"/>
        </w:rPr>
        <w:t>d provide critical guidance to S</w:t>
      </w:r>
      <w:r w:rsidR="009E00A0">
        <w:rPr>
          <w:rFonts w:ascii="Times New Roman" w:hAnsi="Times New Roman" w:cs="Times New Roman"/>
        </w:rPr>
        <w:t>ta</w:t>
      </w:r>
      <w:r w:rsidR="0029586D">
        <w:rPr>
          <w:rFonts w:ascii="Times New Roman" w:hAnsi="Times New Roman" w:cs="Times New Roman"/>
        </w:rPr>
        <w:t>tes</w:t>
      </w:r>
      <w:r w:rsidR="000263CF">
        <w:rPr>
          <w:rFonts w:ascii="Times New Roman" w:hAnsi="Times New Roman" w:cs="Times New Roman"/>
        </w:rPr>
        <w:t xml:space="preserve"> parties</w:t>
      </w:r>
      <w:r w:rsidR="0029586D">
        <w:rPr>
          <w:rFonts w:ascii="Times New Roman" w:hAnsi="Times New Roman" w:cs="Times New Roman"/>
        </w:rPr>
        <w:t xml:space="preserve"> on compliance with article 6 and the realization of women’s</w:t>
      </w:r>
      <w:r w:rsidR="001248D1">
        <w:rPr>
          <w:rFonts w:ascii="Times New Roman" w:hAnsi="Times New Roman" w:cs="Times New Roman"/>
        </w:rPr>
        <w:t xml:space="preserve"> and girls’</w:t>
      </w:r>
      <w:r w:rsidR="0029586D">
        <w:rPr>
          <w:rFonts w:ascii="Times New Roman" w:hAnsi="Times New Roman" w:cs="Times New Roman"/>
        </w:rPr>
        <w:t xml:space="preserve"> right to life</w:t>
      </w:r>
      <w:r w:rsidR="009E00A0">
        <w:rPr>
          <w:rFonts w:ascii="Times New Roman" w:hAnsi="Times New Roman" w:cs="Times New Roman"/>
        </w:rPr>
        <w:t>.</w:t>
      </w:r>
    </w:p>
    <w:p w14:paraId="02F88C6D" w14:textId="77777777" w:rsidR="00DA78D7" w:rsidRPr="00DA78D7" w:rsidRDefault="00DA78D7" w:rsidP="00D64186">
      <w:pPr>
        <w:spacing w:after="0" w:line="240" w:lineRule="auto"/>
        <w:jc w:val="both"/>
        <w:rPr>
          <w:rFonts w:ascii="Times New Roman" w:hAnsi="Times New Roman" w:cs="Times New Roman"/>
        </w:rPr>
      </w:pPr>
    </w:p>
    <w:p w14:paraId="142FD50B" w14:textId="5CBB4843" w:rsidR="00FA58F0" w:rsidRDefault="00CF548F" w:rsidP="00D64186">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B</w:t>
      </w:r>
      <w:r w:rsidR="00FA58F0">
        <w:rPr>
          <w:rFonts w:ascii="Times New Roman" w:hAnsi="Times New Roman" w:cs="Times New Roman"/>
        </w:rPr>
        <w:t>arriers to abortion services</w:t>
      </w:r>
      <w:r w:rsidR="002A5015">
        <w:rPr>
          <w:rFonts w:ascii="Times New Roman" w:hAnsi="Times New Roman" w:cs="Times New Roman"/>
        </w:rPr>
        <w:t xml:space="preserve"> must be removed</w:t>
      </w:r>
      <w:r w:rsidR="00B00B75">
        <w:rPr>
          <w:rFonts w:ascii="Times New Roman" w:hAnsi="Times New Roman" w:cs="Times New Roman"/>
        </w:rPr>
        <w:t xml:space="preserve"> </w:t>
      </w:r>
      <w:r w:rsidR="00195997">
        <w:rPr>
          <w:rFonts w:ascii="Times New Roman" w:hAnsi="Times New Roman" w:cs="Times New Roman"/>
        </w:rPr>
        <w:t>to</w:t>
      </w:r>
      <w:r w:rsidR="00B00B75">
        <w:rPr>
          <w:rFonts w:ascii="Times New Roman" w:hAnsi="Times New Roman" w:cs="Times New Roman"/>
        </w:rPr>
        <w:t xml:space="preserve"> safeguard women’s </w:t>
      </w:r>
      <w:r w:rsidR="001248D1">
        <w:rPr>
          <w:rFonts w:ascii="Times New Roman" w:hAnsi="Times New Roman" w:cs="Times New Roman"/>
        </w:rPr>
        <w:t xml:space="preserve">and girls’ </w:t>
      </w:r>
      <w:r w:rsidR="00B00B75">
        <w:rPr>
          <w:rFonts w:ascii="Times New Roman" w:hAnsi="Times New Roman" w:cs="Times New Roman"/>
        </w:rPr>
        <w:t>right to life</w:t>
      </w:r>
      <w:r>
        <w:rPr>
          <w:rFonts w:ascii="Times New Roman" w:hAnsi="Times New Roman" w:cs="Times New Roman"/>
        </w:rPr>
        <w:t>.</w:t>
      </w:r>
    </w:p>
    <w:p w14:paraId="0A0CB742" w14:textId="77777777" w:rsidR="00B00B75" w:rsidRDefault="00B00B75" w:rsidP="00D64186">
      <w:pPr>
        <w:spacing w:after="0" w:line="240" w:lineRule="auto"/>
        <w:ind w:left="360"/>
        <w:jc w:val="both"/>
        <w:rPr>
          <w:rFonts w:ascii="Times New Roman" w:hAnsi="Times New Roman" w:cs="Times New Roman"/>
        </w:rPr>
      </w:pPr>
    </w:p>
    <w:p w14:paraId="24DF0232" w14:textId="71D107A5" w:rsidR="00B00B75" w:rsidRDefault="00B00B75" w:rsidP="00D64186">
      <w:pPr>
        <w:spacing w:after="0" w:line="240" w:lineRule="auto"/>
        <w:jc w:val="both"/>
        <w:rPr>
          <w:rFonts w:ascii="Times New Roman" w:hAnsi="Times New Roman" w:cs="Times New Roman"/>
        </w:rPr>
      </w:pPr>
      <w:r>
        <w:rPr>
          <w:rFonts w:ascii="Times New Roman" w:hAnsi="Times New Roman" w:cs="Times New Roman"/>
        </w:rPr>
        <w:t>This Committee has recognized that barriers to abortion services threaten women</w:t>
      </w:r>
      <w:r w:rsidR="005B1ED2">
        <w:rPr>
          <w:rFonts w:ascii="Times New Roman" w:hAnsi="Times New Roman" w:cs="Times New Roman"/>
        </w:rPr>
        <w:t>’s right to life and has urged S</w:t>
      </w:r>
      <w:r>
        <w:rPr>
          <w:rFonts w:ascii="Times New Roman" w:hAnsi="Times New Roman" w:cs="Times New Roman"/>
        </w:rPr>
        <w:t>tates</w:t>
      </w:r>
      <w:r w:rsidR="005B1ED2">
        <w:rPr>
          <w:rFonts w:ascii="Times New Roman" w:hAnsi="Times New Roman" w:cs="Times New Roman"/>
        </w:rPr>
        <w:t xml:space="preserve"> parties</w:t>
      </w:r>
      <w:r>
        <w:rPr>
          <w:rFonts w:ascii="Times New Roman" w:hAnsi="Times New Roman" w:cs="Times New Roman"/>
        </w:rPr>
        <w:t xml:space="preserve"> to remove them.</w:t>
      </w:r>
      <w:r>
        <w:rPr>
          <w:rStyle w:val="EndnoteReference"/>
          <w:rFonts w:ascii="Times New Roman" w:hAnsi="Times New Roman" w:cs="Times New Roman"/>
        </w:rPr>
        <w:endnoteReference w:id="48"/>
      </w:r>
      <w:r w:rsidR="00D66E9A">
        <w:rPr>
          <w:rFonts w:ascii="Times New Roman" w:hAnsi="Times New Roman" w:cs="Times New Roman"/>
        </w:rPr>
        <w:t xml:space="preserve"> It has called on </w:t>
      </w:r>
      <w:r w:rsidR="00465884">
        <w:rPr>
          <w:rFonts w:ascii="Times New Roman" w:hAnsi="Times New Roman" w:cs="Times New Roman"/>
        </w:rPr>
        <w:t>them</w:t>
      </w:r>
      <w:r w:rsidR="00D66E9A">
        <w:rPr>
          <w:rFonts w:ascii="Times New Roman" w:hAnsi="Times New Roman" w:cs="Times New Roman"/>
        </w:rPr>
        <w:t xml:space="preserve"> t</w:t>
      </w:r>
      <w:r w:rsidR="00EE6184">
        <w:rPr>
          <w:rFonts w:ascii="Times New Roman" w:hAnsi="Times New Roman" w:cs="Times New Roman"/>
        </w:rPr>
        <w:t>o</w:t>
      </w:r>
      <w:r w:rsidR="00D66E9A">
        <w:rPr>
          <w:rFonts w:ascii="Times New Roman" w:hAnsi="Times New Roman" w:cs="Times New Roman"/>
        </w:rPr>
        <w:t xml:space="preserve"> </w:t>
      </w:r>
      <w:r w:rsidR="004A5A62">
        <w:rPr>
          <w:rFonts w:ascii="Times New Roman" w:hAnsi="Times New Roman" w:cs="Times New Roman"/>
        </w:rPr>
        <w:t>remove</w:t>
      </w:r>
      <w:r w:rsidR="00687436">
        <w:rPr>
          <w:rFonts w:ascii="Times New Roman" w:hAnsi="Times New Roman" w:cs="Times New Roman"/>
        </w:rPr>
        <w:t xml:space="preserve"> and address</w:t>
      </w:r>
      <w:r w:rsidR="004A5A62">
        <w:rPr>
          <w:rFonts w:ascii="Times New Roman" w:hAnsi="Times New Roman" w:cs="Times New Roman"/>
        </w:rPr>
        <w:t xml:space="preserve"> </w:t>
      </w:r>
      <w:r w:rsidR="00CB6F53">
        <w:rPr>
          <w:rFonts w:ascii="Times New Roman" w:hAnsi="Times New Roman" w:cs="Times New Roman"/>
        </w:rPr>
        <w:t>all such</w:t>
      </w:r>
      <w:r w:rsidR="00914710">
        <w:rPr>
          <w:rFonts w:ascii="Times New Roman" w:hAnsi="Times New Roman" w:cs="Times New Roman"/>
        </w:rPr>
        <w:t xml:space="preserve"> o</w:t>
      </w:r>
      <w:r w:rsidR="00465884">
        <w:rPr>
          <w:rFonts w:ascii="Times New Roman" w:hAnsi="Times New Roman" w:cs="Times New Roman"/>
        </w:rPr>
        <w:t>bstacles</w:t>
      </w:r>
      <w:r w:rsidR="004A5A62">
        <w:rPr>
          <w:rFonts w:ascii="Times New Roman" w:hAnsi="Times New Roman" w:cs="Times New Roman"/>
        </w:rPr>
        <w:t xml:space="preserve">, including </w:t>
      </w:r>
      <w:r w:rsidR="00687436">
        <w:rPr>
          <w:rFonts w:ascii="Times New Roman" w:hAnsi="Times New Roman" w:cs="Times New Roman"/>
        </w:rPr>
        <w:t xml:space="preserve">third party authorization, </w:t>
      </w:r>
      <w:r w:rsidR="004A5A62">
        <w:rPr>
          <w:rFonts w:ascii="Times New Roman" w:hAnsi="Times New Roman" w:cs="Times New Roman"/>
        </w:rPr>
        <w:t>conscientious objection</w:t>
      </w:r>
      <w:r w:rsidR="00CB6F53">
        <w:rPr>
          <w:rFonts w:ascii="Times New Roman" w:hAnsi="Times New Roman" w:cs="Times New Roman"/>
        </w:rPr>
        <w:t xml:space="preserve"> </w:t>
      </w:r>
      <w:r w:rsidR="00216731">
        <w:rPr>
          <w:rFonts w:ascii="Times New Roman" w:hAnsi="Times New Roman" w:cs="Times New Roman"/>
        </w:rPr>
        <w:t xml:space="preserve">and </w:t>
      </w:r>
      <w:r w:rsidR="00627017">
        <w:rPr>
          <w:rFonts w:ascii="Times New Roman" w:hAnsi="Times New Roman" w:cs="Times New Roman"/>
        </w:rPr>
        <w:t>undue delays caused, for example, by prolonged review periods of decision</w:t>
      </w:r>
      <w:r w:rsidR="0004142F">
        <w:rPr>
          <w:rFonts w:ascii="Times New Roman" w:hAnsi="Times New Roman" w:cs="Times New Roman"/>
        </w:rPr>
        <w:t>s</w:t>
      </w:r>
      <w:r w:rsidR="00627017">
        <w:rPr>
          <w:rFonts w:ascii="Times New Roman" w:hAnsi="Times New Roman" w:cs="Times New Roman"/>
        </w:rPr>
        <w:t xml:space="preserve"> on abortion</w:t>
      </w:r>
      <w:r w:rsidR="00BD2B52">
        <w:rPr>
          <w:rFonts w:ascii="Times New Roman" w:hAnsi="Times New Roman" w:cs="Times New Roman"/>
        </w:rPr>
        <w:t>,</w:t>
      </w:r>
      <w:r w:rsidR="00BA3A86">
        <w:rPr>
          <w:rFonts w:ascii="Times New Roman" w:hAnsi="Times New Roman" w:cs="Times New Roman"/>
        </w:rPr>
        <w:t xml:space="preserve"> </w:t>
      </w:r>
      <w:r w:rsidR="00BD2B52">
        <w:rPr>
          <w:rFonts w:ascii="Times New Roman" w:hAnsi="Times New Roman" w:cs="Times New Roman"/>
        </w:rPr>
        <w:t>which</w:t>
      </w:r>
      <w:r w:rsidR="0004142F">
        <w:rPr>
          <w:rFonts w:ascii="Times New Roman" w:hAnsi="Times New Roman" w:cs="Times New Roman"/>
        </w:rPr>
        <w:t xml:space="preserve"> may drive</w:t>
      </w:r>
      <w:r w:rsidR="004A5A62">
        <w:rPr>
          <w:rFonts w:ascii="Times New Roman" w:hAnsi="Times New Roman" w:cs="Times New Roman"/>
        </w:rPr>
        <w:t xml:space="preserve"> women </w:t>
      </w:r>
      <w:r w:rsidR="00583C6D">
        <w:rPr>
          <w:rFonts w:ascii="Times New Roman" w:hAnsi="Times New Roman" w:cs="Times New Roman"/>
        </w:rPr>
        <w:t xml:space="preserve">and girls </w:t>
      </w:r>
      <w:r w:rsidR="004A5A62">
        <w:rPr>
          <w:rFonts w:ascii="Times New Roman" w:hAnsi="Times New Roman" w:cs="Times New Roman"/>
        </w:rPr>
        <w:t>to resort to clandestine</w:t>
      </w:r>
      <w:r w:rsidR="004A7928">
        <w:rPr>
          <w:rFonts w:ascii="Times New Roman" w:hAnsi="Times New Roman" w:cs="Times New Roman"/>
        </w:rPr>
        <w:t>, unsafe abortions</w:t>
      </w:r>
      <w:r w:rsidR="004A5A62">
        <w:rPr>
          <w:rFonts w:ascii="Times New Roman" w:hAnsi="Times New Roman" w:cs="Times New Roman"/>
        </w:rPr>
        <w:t>.</w:t>
      </w:r>
      <w:r w:rsidR="00D66E9A">
        <w:rPr>
          <w:rStyle w:val="EndnoteReference"/>
          <w:rFonts w:ascii="Times New Roman" w:hAnsi="Times New Roman" w:cs="Times New Roman"/>
        </w:rPr>
        <w:endnoteReference w:id="49"/>
      </w:r>
      <w:r w:rsidR="00D66E9A">
        <w:rPr>
          <w:rFonts w:ascii="Times New Roman" w:hAnsi="Times New Roman" w:cs="Times New Roman"/>
        </w:rPr>
        <w:t xml:space="preserve"> </w:t>
      </w:r>
      <w:r w:rsidR="00C8697D">
        <w:rPr>
          <w:rFonts w:ascii="Times New Roman" w:hAnsi="Times New Roman" w:cs="Times New Roman"/>
        </w:rPr>
        <w:t xml:space="preserve">Thus, </w:t>
      </w:r>
      <w:r w:rsidR="00D85C0E">
        <w:rPr>
          <w:rFonts w:ascii="Times New Roman" w:hAnsi="Times New Roman" w:cs="Times New Roman"/>
        </w:rPr>
        <w:t>S</w:t>
      </w:r>
      <w:r w:rsidR="00C8697D">
        <w:rPr>
          <w:rFonts w:ascii="Times New Roman" w:hAnsi="Times New Roman" w:cs="Times New Roman"/>
        </w:rPr>
        <w:t>tates</w:t>
      </w:r>
      <w:r w:rsidR="00D85C0E">
        <w:rPr>
          <w:rFonts w:ascii="Times New Roman" w:hAnsi="Times New Roman" w:cs="Times New Roman"/>
        </w:rPr>
        <w:t xml:space="preserve"> parties</w:t>
      </w:r>
      <w:r w:rsidR="00C8697D">
        <w:rPr>
          <w:rFonts w:ascii="Times New Roman" w:hAnsi="Times New Roman" w:cs="Times New Roman"/>
        </w:rPr>
        <w:t xml:space="preserve"> not only have an obligation to refrain from introducing barriers to</w:t>
      </w:r>
      <w:r w:rsidR="00583C6D">
        <w:rPr>
          <w:rFonts w:ascii="Times New Roman" w:hAnsi="Times New Roman" w:cs="Times New Roman"/>
        </w:rPr>
        <w:t xml:space="preserve"> access to safe and legal abortion</w:t>
      </w:r>
      <w:r w:rsidR="00C8697D">
        <w:rPr>
          <w:rFonts w:ascii="Times New Roman" w:hAnsi="Times New Roman" w:cs="Times New Roman"/>
        </w:rPr>
        <w:t>, bu</w:t>
      </w:r>
      <w:r w:rsidR="006431AA">
        <w:rPr>
          <w:rFonts w:ascii="Times New Roman" w:hAnsi="Times New Roman" w:cs="Times New Roman"/>
        </w:rPr>
        <w:t>t also to actively eliminate existing</w:t>
      </w:r>
      <w:r w:rsidR="00C8697D">
        <w:rPr>
          <w:rFonts w:ascii="Times New Roman" w:hAnsi="Times New Roman" w:cs="Times New Roman"/>
        </w:rPr>
        <w:t xml:space="preserve"> barriers.</w:t>
      </w:r>
    </w:p>
    <w:p w14:paraId="1A63F9E1" w14:textId="77777777" w:rsidR="00A978A8" w:rsidRDefault="00A978A8" w:rsidP="00D64186">
      <w:pPr>
        <w:spacing w:after="0" w:line="240" w:lineRule="auto"/>
        <w:jc w:val="both"/>
        <w:rPr>
          <w:rFonts w:ascii="Times New Roman" w:hAnsi="Times New Roman" w:cs="Times New Roman"/>
        </w:rPr>
      </w:pPr>
    </w:p>
    <w:p w14:paraId="0875EBAF" w14:textId="4DE01356" w:rsidR="00AE5115" w:rsidRDefault="00A978A8" w:rsidP="00D64186">
      <w:pPr>
        <w:spacing w:after="0" w:line="240" w:lineRule="auto"/>
        <w:jc w:val="both"/>
        <w:rPr>
          <w:rFonts w:ascii="Times New Roman" w:hAnsi="Times New Roman" w:cs="Times New Roman"/>
        </w:rPr>
      </w:pPr>
      <w:r>
        <w:rPr>
          <w:rFonts w:ascii="Times New Roman" w:hAnsi="Times New Roman" w:cs="Times New Roman"/>
        </w:rPr>
        <w:t>Other tre</w:t>
      </w:r>
      <w:r w:rsidR="0079516C">
        <w:rPr>
          <w:rFonts w:ascii="Times New Roman" w:hAnsi="Times New Roman" w:cs="Times New Roman"/>
        </w:rPr>
        <w:t>aty bodies have also called on S</w:t>
      </w:r>
      <w:r>
        <w:rPr>
          <w:rFonts w:ascii="Times New Roman" w:hAnsi="Times New Roman" w:cs="Times New Roman"/>
        </w:rPr>
        <w:t>tat</w:t>
      </w:r>
      <w:r w:rsidR="007B25E6">
        <w:rPr>
          <w:rFonts w:ascii="Times New Roman" w:hAnsi="Times New Roman" w:cs="Times New Roman"/>
        </w:rPr>
        <w:t>es</w:t>
      </w:r>
      <w:r w:rsidR="0079516C">
        <w:rPr>
          <w:rFonts w:ascii="Times New Roman" w:hAnsi="Times New Roman" w:cs="Times New Roman"/>
        </w:rPr>
        <w:t xml:space="preserve"> parties</w:t>
      </w:r>
      <w:r w:rsidR="007B25E6">
        <w:rPr>
          <w:rFonts w:ascii="Times New Roman" w:hAnsi="Times New Roman" w:cs="Times New Roman"/>
        </w:rPr>
        <w:t xml:space="preserve"> to refrain from introducing </w:t>
      </w:r>
      <w:r>
        <w:rPr>
          <w:rFonts w:ascii="Times New Roman" w:hAnsi="Times New Roman" w:cs="Times New Roman"/>
        </w:rPr>
        <w:t xml:space="preserve">barriers </w:t>
      </w:r>
      <w:r w:rsidR="006D51B8">
        <w:rPr>
          <w:rFonts w:ascii="Times New Roman" w:hAnsi="Times New Roman" w:cs="Times New Roman"/>
        </w:rPr>
        <w:t xml:space="preserve">to abortion services </w:t>
      </w:r>
      <w:r>
        <w:rPr>
          <w:rFonts w:ascii="Times New Roman" w:hAnsi="Times New Roman" w:cs="Times New Roman"/>
        </w:rPr>
        <w:t>or to eliminate them. As the CEDAW noted in its general recommendation no. 24, the “o</w:t>
      </w:r>
      <w:r w:rsidR="007228FD">
        <w:rPr>
          <w:rFonts w:ascii="Times New Roman" w:hAnsi="Times New Roman" w:cs="Times New Roman"/>
        </w:rPr>
        <w:t>bligation to respect rights requires States parties to refrain from obstructing action taken by women in pursuit of their health goals”</w:t>
      </w:r>
      <w:r w:rsidR="00583C6D">
        <w:rPr>
          <w:rFonts w:ascii="Times New Roman" w:hAnsi="Times New Roman" w:cs="Times New Roman"/>
        </w:rPr>
        <w:t>, and</w:t>
      </w:r>
      <w:r w:rsidR="00A726CF">
        <w:rPr>
          <w:rFonts w:ascii="Times New Roman" w:hAnsi="Times New Roman" w:cs="Times New Roman"/>
        </w:rPr>
        <w:t xml:space="preserve"> “</w:t>
      </w:r>
      <w:r w:rsidR="00921E1A">
        <w:rPr>
          <w:rFonts w:ascii="Times New Roman" w:hAnsi="Times New Roman" w:cs="Times New Roman"/>
        </w:rPr>
        <w:t>S</w:t>
      </w:r>
      <w:r w:rsidR="00A726CF">
        <w:rPr>
          <w:rFonts w:ascii="Times New Roman" w:hAnsi="Times New Roman" w:cs="Times New Roman"/>
        </w:rPr>
        <w:t>tates parties should not restrict women’s access to health services or to the clinics that provide those servi</w:t>
      </w:r>
      <w:r w:rsidR="007D5C02">
        <w:rPr>
          <w:rFonts w:ascii="Times New Roman" w:hAnsi="Times New Roman" w:cs="Times New Roman"/>
        </w:rPr>
        <w:t>c</w:t>
      </w:r>
      <w:r w:rsidR="00A726CF">
        <w:rPr>
          <w:rFonts w:ascii="Times New Roman" w:hAnsi="Times New Roman" w:cs="Times New Roman"/>
        </w:rPr>
        <w:t>es on the ground that women do not have the authorization of husbands, partners, parents or health authorities, because they are unmarried or because they are women</w:t>
      </w:r>
      <w:r>
        <w:rPr>
          <w:rFonts w:ascii="Times New Roman" w:hAnsi="Times New Roman" w:cs="Times New Roman"/>
        </w:rPr>
        <w:t>.</w:t>
      </w:r>
      <w:r w:rsidR="00A726CF">
        <w:rPr>
          <w:rFonts w:ascii="Times New Roman" w:hAnsi="Times New Roman" w:cs="Times New Roman"/>
        </w:rPr>
        <w:t>”</w:t>
      </w:r>
      <w:r w:rsidR="00A726CF">
        <w:rPr>
          <w:rStyle w:val="EndnoteReference"/>
          <w:rFonts w:ascii="Times New Roman" w:hAnsi="Times New Roman" w:cs="Times New Roman"/>
        </w:rPr>
        <w:endnoteReference w:id="50"/>
      </w:r>
      <w:r>
        <w:rPr>
          <w:rFonts w:ascii="Times New Roman" w:hAnsi="Times New Roman" w:cs="Times New Roman"/>
        </w:rPr>
        <w:t xml:space="preserve"> The CRC has also affirmed the importance of </w:t>
      </w:r>
      <w:r w:rsidR="00216731">
        <w:rPr>
          <w:rFonts w:ascii="Times New Roman" w:hAnsi="Times New Roman" w:cs="Times New Roman"/>
        </w:rPr>
        <w:t>minors</w:t>
      </w:r>
      <w:r>
        <w:rPr>
          <w:rFonts w:ascii="Times New Roman" w:hAnsi="Times New Roman" w:cs="Times New Roman"/>
        </w:rPr>
        <w:t xml:space="preserve"> </w:t>
      </w:r>
      <w:r w:rsidR="00B04D62">
        <w:rPr>
          <w:rFonts w:ascii="Times New Roman" w:hAnsi="Times New Roman" w:cs="Times New Roman"/>
        </w:rPr>
        <w:t>having access to</w:t>
      </w:r>
      <w:r>
        <w:rPr>
          <w:rFonts w:ascii="Times New Roman" w:hAnsi="Times New Roman" w:cs="Times New Roman"/>
        </w:rPr>
        <w:t xml:space="preserve"> health services without parental consent.</w:t>
      </w:r>
      <w:r w:rsidR="00AB21FD">
        <w:rPr>
          <w:rStyle w:val="EndnoteReference"/>
          <w:rFonts w:ascii="Times New Roman" w:hAnsi="Times New Roman" w:cs="Times New Roman"/>
        </w:rPr>
        <w:endnoteReference w:id="51"/>
      </w:r>
      <w:r>
        <w:rPr>
          <w:rFonts w:ascii="Times New Roman" w:hAnsi="Times New Roman" w:cs="Times New Roman"/>
        </w:rPr>
        <w:t xml:space="preserve"> </w:t>
      </w:r>
      <w:r w:rsidR="001D65AE">
        <w:rPr>
          <w:rFonts w:ascii="Times New Roman" w:hAnsi="Times New Roman" w:cs="Times New Roman"/>
        </w:rPr>
        <w:t>Furthermore, it has stated generally that “there should be no barriers to commodities, information and counselling on sexual and reproductive health and rights, such as re</w:t>
      </w:r>
      <w:r w:rsidR="00EE7660">
        <w:rPr>
          <w:rFonts w:ascii="Times New Roman" w:hAnsi="Times New Roman" w:cs="Times New Roman"/>
        </w:rPr>
        <w:t>quirements for third</w:t>
      </w:r>
      <w:r w:rsidR="001D65AE">
        <w:rPr>
          <w:rFonts w:ascii="Times New Roman" w:hAnsi="Times New Roman" w:cs="Times New Roman"/>
        </w:rPr>
        <w:t>-party consent or authorization.”</w:t>
      </w:r>
      <w:r w:rsidR="001D65AE">
        <w:rPr>
          <w:rStyle w:val="EndnoteReference"/>
          <w:rFonts w:ascii="Times New Roman" w:hAnsi="Times New Roman" w:cs="Times New Roman"/>
        </w:rPr>
        <w:endnoteReference w:id="52"/>
      </w:r>
      <w:r w:rsidR="00495DB9">
        <w:rPr>
          <w:rFonts w:ascii="Times New Roman" w:hAnsi="Times New Roman" w:cs="Times New Roman"/>
        </w:rPr>
        <w:t xml:space="preserve"> Additionally, the CRC has spoken out against biased counselling, noting it is key for “health care professionals [to] provide medically accurate and non-stigmatizing information on abortion.”</w:t>
      </w:r>
      <w:r w:rsidR="00495DB9">
        <w:rPr>
          <w:rStyle w:val="EndnoteReference"/>
          <w:rFonts w:ascii="Times New Roman" w:hAnsi="Times New Roman" w:cs="Times New Roman"/>
        </w:rPr>
        <w:endnoteReference w:id="53"/>
      </w:r>
      <w:r w:rsidR="001D65AE">
        <w:rPr>
          <w:rFonts w:ascii="Times New Roman" w:hAnsi="Times New Roman" w:cs="Times New Roman"/>
        </w:rPr>
        <w:t xml:space="preserve"> </w:t>
      </w:r>
      <w:r w:rsidR="00AE5115">
        <w:rPr>
          <w:rFonts w:ascii="Times New Roman" w:hAnsi="Times New Roman" w:cs="Times New Roman"/>
        </w:rPr>
        <w:t>The Committee against Torture</w:t>
      </w:r>
      <w:r w:rsidR="00ED4FCA">
        <w:rPr>
          <w:rFonts w:ascii="Times New Roman" w:hAnsi="Times New Roman" w:cs="Times New Roman"/>
        </w:rPr>
        <w:t xml:space="preserve"> (CAT)</w:t>
      </w:r>
      <w:r w:rsidR="00AE5115">
        <w:rPr>
          <w:rFonts w:ascii="Times New Roman" w:hAnsi="Times New Roman" w:cs="Times New Roman"/>
        </w:rPr>
        <w:t xml:space="preserve"> has also called for </w:t>
      </w:r>
      <w:r w:rsidR="00991ED0">
        <w:rPr>
          <w:rFonts w:ascii="Times New Roman" w:hAnsi="Times New Roman" w:cs="Times New Roman"/>
        </w:rPr>
        <w:t>States parties</w:t>
      </w:r>
      <w:r w:rsidR="00AE5115">
        <w:rPr>
          <w:rFonts w:ascii="Times New Roman" w:hAnsi="Times New Roman" w:cs="Times New Roman"/>
        </w:rPr>
        <w:t xml:space="preserve"> to eliminate requirements o</w:t>
      </w:r>
      <w:r w:rsidR="00A233F9">
        <w:rPr>
          <w:rFonts w:ascii="Times New Roman" w:hAnsi="Times New Roman" w:cs="Times New Roman"/>
        </w:rPr>
        <w:t>f judicial consent for abortion, including in the cases of rape.</w:t>
      </w:r>
      <w:r w:rsidR="00A233F9">
        <w:rPr>
          <w:rStyle w:val="EndnoteReference"/>
          <w:rFonts w:ascii="Times New Roman" w:hAnsi="Times New Roman" w:cs="Times New Roman"/>
        </w:rPr>
        <w:endnoteReference w:id="54"/>
      </w:r>
      <w:r w:rsidR="005B2BC0">
        <w:rPr>
          <w:rFonts w:ascii="Times New Roman" w:hAnsi="Times New Roman" w:cs="Times New Roman"/>
        </w:rPr>
        <w:t xml:space="preserve"> Moreover, the CESCR</w:t>
      </w:r>
      <w:r w:rsidR="00921E1A">
        <w:rPr>
          <w:rFonts w:ascii="Times New Roman" w:hAnsi="Times New Roman" w:cs="Times New Roman"/>
        </w:rPr>
        <w:t xml:space="preserve"> has</w:t>
      </w:r>
      <w:r w:rsidR="005B2BC0">
        <w:rPr>
          <w:rFonts w:ascii="Times New Roman" w:hAnsi="Times New Roman" w:cs="Times New Roman"/>
        </w:rPr>
        <w:t xml:space="preserve"> reaffirmed the importance of removing barriers interfering with women’s access to sexual and reproductive health services, goods and information in its general comment </w:t>
      </w:r>
      <w:r w:rsidR="002C6421">
        <w:rPr>
          <w:rFonts w:ascii="Times New Roman" w:hAnsi="Times New Roman" w:cs="Times New Roman"/>
        </w:rPr>
        <w:t>on the right to sexual and reproductive health</w:t>
      </w:r>
      <w:r w:rsidR="005B2BC0">
        <w:rPr>
          <w:rFonts w:ascii="Times New Roman" w:hAnsi="Times New Roman" w:cs="Times New Roman"/>
        </w:rPr>
        <w:t>.</w:t>
      </w:r>
      <w:r w:rsidR="005B2BC0">
        <w:rPr>
          <w:rStyle w:val="EndnoteReference"/>
          <w:rFonts w:ascii="Times New Roman" w:hAnsi="Times New Roman" w:cs="Times New Roman"/>
        </w:rPr>
        <w:endnoteReference w:id="55"/>
      </w:r>
    </w:p>
    <w:p w14:paraId="2EDF3BDE" w14:textId="77777777" w:rsidR="00382DB7" w:rsidRDefault="00382DB7" w:rsidP="00D64186">
      <w:pPr>
        <w:spacing w:after="0" w:line="240" w:lineRule="auto"/>
        <w:jc w:val="both"/>
        <w:rPr>
          <w:rFonts w:ascii="Times New Roman" w:hAnsi="Times New Roman" w:cs="Times New Roman"/>
        </w:rPr>
      </w:pPr>
    </w:p>
    <w:p w14:paraId="45087C54" w14:textId="16DD5ABA" w:rsidR="00382DB7" w:rsidRDefault="00025146" w:rsidP="00D64186">
      <w:pPr>
        <w:spacing w:after="0" w:line="240" w:lineRule="auto"/>
        <w:jc w:val="both"/>
        <w:rPr>
          <w:rFonts w:ascii="Times New Roman" w:hAnsi="Times New Roman" w:cs="Times New Roman"/>
        </w:rPr>
      </w:pPr>
      <w:r>
        <w:rPr>
          <w:rFonts w:ascii="Times New Roman" w:hAnsi="Times New Roman" w:cs="Times New Roman"/>
        </w:rPr>
        <w:t xml:space="preserve">From the </w:t>
      </w:r>
      <w:r w:rsidR="00B516FB">
        <w:rPr>
          <w:rFonts w:ascii="Times New Roman" w:hAnsi="Times New Roman" w:cs="Times New Roman"/>
        </w:rPr>
        <w:t>medical</w:t>
      </w:r>
      <w:r>
        <w:rPr>
          <w:rFonts w:ascii="Times New Roman" w:hAnsi="Times New Roman" w:cs="Times New Roman"/>
        </w:rPr>
        <w:t xml:space="preserve"> perspective,</w:t>
      </w:r>
      <w:r w:rsidR="00F260D4">
        <w:rPr>
          <w:rFonts w:ascii="Times New Roman" w:hAnsi="Times New Roman" w:cs="Times New Roman"/>
        </w:rPr>
        <w:t xml:space="preserve"> the</w:t>
      </w:r>
      <w:r>
        <w:rPr>
          <w:rFonts w:ascii="Times New Roman" w:hAnsi="Times New Roman" w:cs="Times New Roman"/>
        </w:rPr>
        <w:t xml:space="preserve"> WHO has</w:t>
      </w:r>
      <w:r w:rsidR="00382DB7">
        <w:rPr>
          <w:rFonts w:ascii="Times New Roman" w:hAnsi="Times New Roman" w:cs="Times New Roman"/>
        </w:rPr>
        <w:t xml:space="preserve"> </w:t>
      </w:r>
      <w:r>
        <w:rPr>
          <w:rFonts w:ascii="Times New Roman" w:hAnsi="Times New Roman" w:cs="Times New Roman"/>
        </w:rPr>
        <w:t xml:space="preserve">recognized that barriers deter women from seeking safe abortions and </w:t>
      </w:r>
      <w:r w:rsidR="00EA4E2C">
        <w:rPr>
          <w:rFonts w:ascii="Times New Roman" w:hAnsi="Times New Roman" w:cs="Times New Roman"/>
        </w:rPr>
        <w:t xml:space="preserve">thus </w:t>
      </w:r>
      <w:r>
        <w:rPr>
          <w:rFonts w:ascii="Times New Roman" w:hAnsi="Times New Roman" w:cs="Times New Roman"/>
        </w:rPr>
        <w:t xml:space="preserve">jeopardize their lives. </w:t>
      </w:r>
      <w:r w:rsidR="00F260D4">
        <w:rPr>
          <w:rFonts w:ascii="Times New Roman" w:hAnsi="Times New Roman" w:cs="Times New Roman"/>
        </w:rPr>
        <w:t xml:space="preserve">The </w:t>
      </w:r>
      <w:r>
        <w:rPr>
          <w:rFonts w:ascii="Times New Roman" w:hAnsi="Times New Roman" w:cs="Times New Roman"/>
        </w:rPr>
        <w:t>WHO has</w:t>
      </w:r>
      <w:r w:rsidR="00EA4E2C">
        <w:rPr>
          <w:rFonts w:ascii="Times New Roman" w:hAnsi="Times New Roman" w:cs="Times New Roman"/>
        </w:rPr>
        <w:t xml:space="preserve"> t</w:t>
      </w:r>
      <w:r w:rsidR="003146B9">
        <w:rPr>
          <w:rFonts w:ascii="Times New Roman" w:hAnsi="Times New Roman" w:cs="Times New Roman"/>
        </w:rPr>
        <w:t>herefore</w:t>
      </w:r>
      <w:r>
        <w:rPr>
          <w:rFonts w:ascii="Times New Roman" w:hAnsi="Times New Roman" w:cs="Times New Roman"/>
        </w:rPr>
        <w:t xml:space="preserve"> called for the removal</w:t>
      </w:r>
      <w:r w:rsidR="00A715E8">
        <w:rPr>
          <w:rFonts w:ascii="Times New Roman" w:hAnsi="Times New Roman" w:cs="Times New Roman"/>
        </w:rPr>
        <w:t xml:space="preserve"> of</w:t>
      </w:r>
      <w:r>
        <w:rPr>
          <w:rFonts w:ascii="Times New Roman" w:hAnsi="Times New Roman" w:cs="Times New Roman"/>
        </w:rPr>
        <w:t xml:space="preserve"> </w:t>
      </w:r>
      <w:r w:rsidR="00B760FA">
        <w:rPr>
          <w:rFonts w:ascii="Times New Roman" w:hAnsi="Times New Roman" w:cs="Times New Roman"/>
        </w:rPr>
        <w:t>such barriers</w:t>
      </w:r>
      <w:r w:rsidR="0034381E">
        <w:rPr>
          <w:rFonts w:ascii="Times New Roman" w:hAnsi="Times New Roman" w:cs="Times New Roman"/>
        </w:rPr>
        <w:t>.</w:t>
      </w:r>
      <w:r w:rsidR="00A715E8">
        <w:rPr>
          <w:rStyle w:val="EndnoteReference"/>
          <w:rFonts w:ascii="Times New Roman" w:hAnsi="Times New Roman" w:cs="Times New Roman"/>
        </w:rPr>
        <w:endnoteReference w:id="56"/>
      </w:r>
      <w:r w:rsidRPr="00025146">
        <w:rPr>
          <w:rFonts w:ascii="Times New Roman" w:hAnsi="Times New Roman" w:cs="Times New Roman"/>
        </w:rPr>
        <w:t xml:space="preserve"> </w:t>
      </w:r>
      <w:r w:rsidR="00A715E8">
        <w:rPr>
          <w:rFonts w:ascii="Times New Roman" w:hAnsi="Times New Roman" w:cs="Times New Roman"/>
        </w:rPr>
        <w:lastRenderedPageBreak/>
        <w:t xml:space="preserve">It has also called for expanded access to safe abortion care, </w:t>
      </w:r>
      <w:r w:rsidR="00C27BE7">
        <w:rPr>
          <w:rFonts w:ascii="Times New Roman" w:hAnsi="Times New Roman" w:cs="Times New Roman"/>
        </w:rPr>
        <w:t>including</w:t>
      </w:r>
      <w:r w:rsidR="00DE3C3A">
        <w:rPr>
          <w:rFonts w:ascii="Times New Roman" w:hAnsi="Times New Roman" w:cs="Times New Roman"/>
        </w:rPr>
        <w:t xml:space="preserve"> access to affordable services, as well as</w:t>
      </w:r>
      <w:r w:rsidR="00A715E8">
        <w:rPr>
          <w:rFonts w:ascii="Times New Roman" w:hAnsi="Times New Roman" w:cs="Times New Roman"/>
        </w:rPr>
        <w:t xml:space="preserve"> task shifting service provision so that more </w:t>
      </w:r>
      <w:r w:rsidR="009D340F">
        <w:rPr>
          <w:rFonts w:ascii="Times New Roman" w:hAnsi="Times New Roman" w:cs="Times New Roman"/>
        </w:rPr>
        <w:t>health</w:t>
      </w:r>
      <w:r w:rsidR="00A715E8" w:rsidRPr="00025146">
        <w:rPr>
          <w:rFonts w:ascii="Times New Roman" w:hAnsi="Times New Roman" w:cs="Times New Roman"/>
        </w:rPr>
        <w:t>care providers and facilities tha</w:t>
      </w:r>
      <w:r w:rsidR="004868E3">
        <w:rPr>
          <w:rFonts w:ascii="Times New Roman" w:hAnsi="Times New Roman" w:cs="Times New Roman"/>
        </w:rPr>
        <w:t>t can lawfully p</w:t>
      </w:r>
      <w:r w:rsidR="00A715E8">
        <w:rPr>
          <w:rFonts w:ascii="Times New Roman" w:hAnsi="Times New Roman" w:cs="Times New Roman"/>
        </w:rPr>
        <w:t>e</w:t>
      </w:r>
      <w:r w:rsidR="004868E3">
        <w:rPr>
          <w:rFonts w:ascii="Times New Roman" w:hAnsi="Times New Roman" w:cs="Times New Roman"/>
        </w:rPr>
        <w:t>rform</w:t>
      </w:r>
      <w:r w:rsidR="00A715E8">
        <w:rPr>
          <w:rFonts w:ascii="Times New Roman" w:hAnsi="Times New Roman" w:cs="Times New Roman"/>
        </w:rPr>
        <w:t xml:space="preserve"> </w:t>
      </w:r>
      <w:r w:rsidR="00B61FC8">
        <w:rPr>
          <w:rFonts w:ascii="Times New Roman" w:hAnsi="Times New Roman" w:cs="Times New Roman"/>
        </w:rPr>
        <w:t>abortion</w:t>
      </w:r>
      <w:r w:rsidR="004868E3">
        <w:rPr>
          <w:rFonts w:ascii="Times New Roman" w:hAnsi="Times New Roman" w:cs="Times New Roman"/>
        </w:rPr>
        <w:t>s</w:t>
      </w:r>
      <w:r w:rsidR="00A715E8">
        <w:rPr>
          <w:rFonts w:ascii="Times New Roman" w:hAnsi="Times New Roman" w:cs="Times New Roman"/>
        </w:rPr>
        <w:t>.</w:t>
      </w:r>
      <w:r>
        <w:rPr>
          <w:rStyle w:val="EndnoteReference"/>
          <w:rFonts w:ascii="Times New Roman" w:hAnsi="Times New Roman" w:cs="Times New Roman"/>
        </w:rPr>
        <w:endnoteReference w:id="57"/>
      </w:r>
      <w:r w:rsidR="002B3D06">
        <w:rPr>
          <w:rFonts w:ascii="Times New Roman" w:hAnsi="Times New Roman" w:cs="Times New Roman"/>
        </w:rPr>
        <w:t xml:space="preserve"> This is particularly important in rural areas where there is a dea</w:t>
      </w:r>
      <w:r w:rsidR="00DE3C3A">
        <w:rPr>
          <w:rFonts w:ascii="Times New Roman" w:hAnsi="Times New Roman" w:cs="Times New Roman"/>
        </w:rPr>
        <w:t>r</w:t>
      </w:r>
      <w:r w:rsidR="002B3D06">
        <w:rPr>
          <w:rFonts w:ascii="Times New Roman" w:hAnsi="Times New Roman" w:cs="Times New Roman"/>
        </w:rPr>
        <w:t>th of qualified physicians.</w:t>
      </w:r>
    </w:p>
    <w:p w14:paraId="719683B2" w14:textId="77777777" w:rsidR="004F20B3" w:rsidRDefault="004F20B3" w:rsidP="00D64186">
      <w:pPr>
        <w:spacing w:after="0" w:line="240" w:lineRule="auto"/>
        <w:jc w:val="both"/>
        <w:rPr>
          <w:rFonts w:ascii="Times New Roman" w:hAnsi="Times New Roman" w:cs="Times New Roman"/>
        </w:rPr>
      </w:pPr>
    </w:p>
    <w:p w14:paraId="3647340F" w14:textId="6A34673A" w:rsidR="004F20B3" w:rsidRDefault="004F20B3" w:rsidP="00D64186">
      <w:pPr>
        <w:spacing w:after="0" w:line="240" w:lineRule="auto"/>
        <w:jc w:val="both"/>
        <w:rPr>
          <w:rFonts w:ascii="Times New Roman" w:hAnsi="Times New Roman" w:cs="Times New Roman"/>
        </w:rPr>
      </w:pPr>
      <w:r>
        <w:rPr>
          <w:rFonts w:ascii="Times New Roman" w:hAnsi="Times New Roman" w:cs="Times New Roman"/>
        </w:rPr>
        <w:t xml:space="preserve">In elaborating </w:t>
      </w:r>
      <w:r w:rsidR="004C254B">
        <w:rPr>
          <w:rFonts w:ascii="Times New Roman" w:hAnsi="Times New Roman" w:cs="Times New Roman"/>
        </w:rPr>
        <w:t>paragraph 9 of</w:t>
      </w:r>
      <w:r w:rsidR="00474027">
        <w:rPr>
          <w:rFonts w:ascii="Times New Roman" w:hAnsi="Times New Roman" w:cs="Times New Roman"/>
        </w:rPr>
        <w:t xml:space="preserve"> </w:t>
      </w:r>
      <w:r>
        <w:rPr>
          <w:rFonts w:ascii="Times New Roman" w:hAnsi="Times New Roman" w:cs="Times New Roman"/>
        </w:rPr>
        <w:t>general comment no. 36, the Committee has the opportunity to</w:t>
      </w:r>
      <w:r w:rsidR="003E2443">
        <w:rPr>
          <w:rFonts w:ascii="Times New Roman" w:hAnsi="Times New Roman" w:cs="Times New Roman"/>
        </w:rPr>
        <w:t xml:space="preserve"> </w:t>
      </w:r>
      <w:r w:rsidR="00474027">
        <w:rPr>
          <w:rFonts w:ascii="Times New Roman" w:hAnsi="Times New Roman" w:cs="Times New Roman"/>
        </w:rPr>
        <w:t xml:space="preserve">call on </w:t>
      </w:r>
      <w:r w:rsidR="000800D4">
        <w:rPr>
          <w:rFonts w:ascii="Times New Roman" w:hAnsi="Times New Roman" w:cs="Times New Roman"/>
        </w:rPr>
        <w:t>S</w:t>
      </w:r>
      <w:r>
        <w:rPr>
          <w:rFonts w:ascii="Times New Roman" w:hAnsi="Times New Roman" w:cs="Times New Roman"/>
        </w:rPr>
        <w:t xml:space="preserve">tates </w:t>
      </w:r>
      <w:r w:rsidR="000800D4">
        <w:rPr>
          <w:rFonts w:ascii="Times New Roman" w:hAnsi="Times New Roman" w:cs="Times New Roman"/>
        </w:rPr>
        <w:t xml:space="preserve">parties </w:t>
      </w:r>
      <w:r w:rsidR="00474027">
        <w:rPr>
          <w:rFonts w:ascii="Times New Roman" w:hAnsi="Times New Roman" w:cs="Times New Roman"/>
        </w:rPr>
        <w:t xml:space="preserve">to </w:t>
      </w:r>
      <w:r>
        <w:rPr>
          <w:rFonts w:ascii="Times New Roman" w:hAnsi="Times New Roman" w:cs="Times New Roman"/>
        </w:rPr>
        <w:t>remove all barriers to safe and legal abortion in order to protect women’s</w:t>
      </w:r>
      <w:r w:rsidR="00474027">
        <w:rPr>
          <w:rFonts w:ascii="Times New Roman" w:hAnsi="Times New Roman" w:cs="Times New Roman"/>
        </w:rPr>
        <w:t xml:space="preserve"> and girls’</w:t>
      </w:r>
      <w:r>
        <w:rPr>
          <w:rFonts w:ascii="Times New Roman" w:hAnsi="Times New Roman" w:cs="Times New Roman"/>
        </w:rPr>
        <w:t xml:space="preserve"> right to life.</w:t>
      </w:r>
    </w:p>
    <w:p w14:paraId="64A4E89B" w14:textId="77777777" w:rsidR="002B6DDD" w:rsidRPr="00B00B75" w:rsidRDefault="002B6DDD" w:rsidP="00D64186">
      <w:pPr>
        <w:spacing w:after="0" w:line="240" w:lineRule="auto"/>
        <w:ind w:left="360"/>
        <w:jc w:val="both"/>
        <w:rPr>
          <w:rFonts w:ascii="Times New Roman" w:hAnsi="Times New Roman" w:cs="Times New Roman"/>
        </w:rPr>
      </w:pPr>
    </w:p>
    <w:p w14:paraId="257C7540" w14:textId="32D41905" w:rsidR="00145FF0" w:rsidRPr="00E63D45" w:rsidRDefault="0079148A" w:rsidP="00D64186">
      <w:pPr>
        <w:pStyle w:val="ListParagraph"/>
        <w:numPr>
          <w:ilvl w:val="0"/>
          <w:numId w:val="1"/>
        </w:numPr>
        <w:spacing w:after="0" w:line="240" w:lineRule="auto"/>
        <w:jc w:val="both"/>
        <w:rPr>
          <w:rFonts w:ascii="Times New Roman" w:hAnsi="Times New Roman" w:cs="Times New Roman"/>
          <w:b/>
        </w:rPr>
      </w:pPr>
      <w:r w:rsidRPr="00E63D45">
        <w:rPr>
          <w:rFonts w:ascii="Times New Roman" w:hAnsi="Times New Roman" w:cs="Times New Roman"/>
          <w:b/>
        </w:rPr>
        <w:t>States need to</w:t>
      </w:r>
      <w:r w:rsidR="00C960D2" w:rsidRPr="00E63D45">
        <w:rPr>
          <w:rFonts w:ascii="Times New Roman" w:hAnsi="Times New Roman" w:cs="Times New Roman"/>
          <w:b/>
        </w:rPr>
        <w:t xml:space="preserve"> take effective steps to ensure the enjoyment of w</w:t>
      </w:r>
      <w:r w:rsidR="00F20755">
        <w:rPr>
          <w:rFonts w:ascii="Times New Roman" w:hAnsi="Times New Roman" w:cs="Times New Roman"/>
          <w:b/>
        </w:rPr>
        <w:t>omen’s</w:t>
      </w:r>
      <w:r w:rsidR="007A225B">
        <w:rPr>
          <w:rFonts w:ascii="Times New Roman" w:hAnsi="Times New Roman" w:cs="Times New Roman"/>
          <w:b/>
        </w:rPr>
        <w:t xml:space="preserve"> and girls’</w:t>
      </w:r>
      <w:r w:rsidR="00F20755">
        <w:rPr>
          <w:rFonts w:ascii="Times New Roman" w:hAnsi="Times New Roman" w:cs="Times New Roman"/>
          <w:b/>
        </w:rPr>
        <w:t xml:space="preserve"> right to life</w:t>
      </w:r>
      <w:r w:rsidR="00C960D2" w:rsidRPr="00E63D45">
        <w:rPr>
          <w:rFonts w:ascii="Times New Roman" w:hAnsi="Times New Roman" w:cs="Times New Roman"/>
          <w:b/>
        </w:rPr>
        <w:t xml:space="preserve">, which </w:t>
      </w:r>
      <w:r w:rsidR="00C27BE7">
        <w:rPr>
          <w:rFonts w:ascii="Times New Roman" w:hAnsi="Times New Roman" w:cs="Times New Roman"/>
          <w:b/>
        </w:rPr>
        <w:t>includes</w:t>
      </w:r>
      <w:r w:rsidR="00C27BE7" w:rsidRPr="00E63D45">
        <w:rPr>
          <w:rFonts w:ascii="Times New Roman" w:hAnsi="Times New Roman" w:cs="Times New Roman"/>
          <w:b/>
        </w:rPr>
        <w:t xml:space="preserve"> </w:t>
      </w:r>
      <w:r w:rsidR="00F845AA">
        <w:rPr>
          <w:rFonts w:ascii="Times New Roman" w:hAnsi="Times New Roman" w:cs="Times New Roman"/>
          <w:b/>
        </w:rPr>
        <w:t>access to a continuum of</w:t>
      </w:r>
      <w:r w:rsidR="00C960D2" w:rsidRPr="00E63D45">
        <w:rPr>
          <w:rFonts w:ascii="Times New Roman" w:hAnsi="Times New Roman" w:cs="Times New Roman"/>
          <w:b/>
        </w:rPr>
        <w:t xml:space="preserve"> sexual and reproductive health</w:t>
      </w:r>
      <w:r w:rsidR="00F845AA">
        <w:rPr>
          <w:rFonts w:ascii="Times New Roman" w:hAnsi="Times New Roman" w:cs="Times New Roman"/>
          <w:b/>
        </w:rPr>
        <w:t xml:space="preserve"> services.</w:t>
      </w:r>
    </w:p>
    <w:p w14:paraId="32AAE427" w14:textId="77777777" w:rsidR="00BB0A28" w:rsidRDefault="00BB0A28" w:rsidP="00D64186">
      <w:pPr>
        <w:spacing w:after="0" w:line="240" w:lineRule="auto"/>
        <w:jc w:val="both"/>
        <w:rPr>
          <w:rFonts w:ascii="Times New Roman" w:hAnsi="Times New Roman" w:cs="Times New Roman"/>
        </w:rPr>
      </w:pPr>
    </w:p>
    <w:p w14:paraId="60FF8615" w14:textId="7EE6DBAC" w:rsidR="00A22DBF" w:rsidRDefault="002648BB" w:rsidP="00D64186">
      <w:pPr>
        <w:spacing w:after="0" w:line="240" w:lineRule="auto"/>
        <w:jc w:val="both"/>
        <w:rPr>
          <w:rFonts w:ascii="Times New Roman" w:hAnsi="Times New Roman" w:cs="Times New Roman"/>
        </w:rPr>
      </w:pPr>
      <w:r>
        <w:rPr>
          <w:rFonts w:ascii="Times New Roman" w:hAnsi="Times New Roman" w:cs="Times New Roman"/>
        </w:rPr>
        <w:t>Ensuring</w:t>
      </w:r>
      <w:r w:rsidR="009B077F">
        <w:rPr>
          <w:rFonts w:ascii="Times New Roman" w:hAnsi="Times New Roman" w:cs="Times New Roman"/>
        </w:rPr>
        <w:t xml:space="preserve"> access to a comprehensive range of </w:t>
      </w:r>
      <w:r>
        <w:rPr>
          <w:rFonts w:ascii="Times New Roman" w:hAnsi="Times New Roman" w:cs="Times New Roman"/>
        </w:rPr>
        <w:t xml:space="preserve">quality </w:t>
      </w:r>
      <w:r w:rsidR="009B077F">
        <w:rPr>
          <w:rFonts w:ascii="Times New Roman" w:hAnsi="Times New Roman" w:cs="Times New Roman"/>
        </w:rPr>
        <w:t>sexual and reproductive health services</w:t>
      </w:r>
      <w:r w:rsidR="00FF4C03">
        <w:rPr>
          <w:rFonts w:ascii="Times New Roman" w:hAnsi="Times New Roman" w:cs="Times New Roman"/>
        </w:rPr>
        <w:t xml:space="preserve"> </w:t>
      </w:r>
      <w:r w:rsidR="00215B4C">
        <w:rPr>
          <w:rFonts w:ascii="Times New Roman" w:hAnsi="Times New Roman" w:cs="Times New Roman"/>
        </w:rPr>
        <w:t>is critical to</w:t>
      </w:r>
      <w:r>
        <w:rPr>
          <w:rFonts w:ascii="Times New Roman" w:hAnsi="Times New Roman" w:cs="Times New Roman"/>
        </w:rPr>
        <w:t xml:space="preserve"> realizing women’s </w:t>
      </w:r>
      <w:r w:rsidR="00F06308">
        <w:rPr>
          <w:rFonts w:ascii="Times New Roman" w:hAnsi="Times New Roman" w:cs="Times New Roman"/>
        </w:rPr>
        <w:t xml:space="preserve">and girls’ </w:t>
      </w:r>
      <w:r>
        <w:rPr>
          <w:rFonts w:ascii="Times New Roman" w:hAnsi="Times New Roman" w:cs="Times New Roman"/>
        </w:rPr>
        <w:t>right to life. Women</w:t>
      </w:r>
      <w:r w:rsidR="009D340F">
        <w:rPr>
          <w:rFonts w:ascii="Times New Roman" w:hAnsi="Times New Roman" w:cs="Times New Roman"/>
        </w:rPr>
        <w:t xml:space="preserve"> and girls</w:t>
      </w:r>
      <w:r>
        <w:rPr>
          <w:rFonts w:ascii="Times New Roman" w:hAnsi="Times New Roman" w:cs="Times New Roman"/>
        </w:rPr>
        <w:t xml:space="preserve"> face unique risks to their lives due to discrimination, inequalities and stereotypes related to their </w:t>
      </w:r>
      <w:r w:rsidR="001F046A">
        <w:rPr>
          <w:rFonts w:ascii="Times New Roman" w:hAnsi="Times New Roman" w:cs="Times New Roman"/>
        </w:rPr>
        <w:t>gender</w:t>
      </w:r>
      <w:r w:rsidR="00EA7EC3">
        <w:rPr>
          <w:rFonts w:ascii="Times New Roman" w:hAnsi="Times New Roman" w:cs="Times New Roman"/>
        </w:rPr>
        <w:t xml:space="preserve"> and sex</w:t>
      </w:r>
      <w:r w:rsidR="007B7231">
        <w:rPr>
          <w:rFonts w:ascii="Times New Roman" w:hAnsi="Times New Roman" w:cs="Times New Roman"/>
        </w:rPr>
        <w:t xml:space="preserve">, </w:t>
      </w:r>
      <w:r w:rsidR="009D340F">
        <w:rPr>
          <w:rFonts w:ascii="Times New Roman" w:hAnsi="Times New Roman" w:cs="Times New Roman"/>
        </w:rPr>
        <w:t>which can be compounded by</w:t>
      </w:r>
      <w:r w:rsidR="007B7231">
        <w:rPr>
          <w:rFonts w:ascii="Times New Roman" w:hAnsi="Times New Roman" w:cs="Times New Roman"/>
        </w:rPr>
        <w:t xml:space="preserve"> other marginalized status</w:t>
      </w:r>
      <w:r>
        <w:rPr>
          <w:rFonts w:ascii="Times New Roman" w:hAnsi="Times New Roman" w:cs="Times New Roman"/>
        </w:rPr>
        <w:t>.</w:t>
      </w:r>
      <w:r w:rsidR="0010342C">
        <w:rPr>
          <w:rFonts w:ascii="Times New Roman" w:hAnsi="Times New Roman" w:cs="Times New Roman"/>
        </w:rPr>
        <w:t xml:space="preserve"> One third of health issues for women aged 15-44 are</w:t>
      </w:r>
      <w:r w:rsidR="00D93AC7">
        <w:rPr>
          <w:rFonts w:ascii="Times New Roman" w:hAnsi="Times New Roman" w:cs="Times New Roman"/>
        </w:rPr>
        <w:t xml:space="preserve"> related to sexual and reproductive health.</w:t>
      </w:r>
      <w:r w:rsidR="00D93AC7">
        <w:rPr>
          <w:rStyle w:val="EndnoteReference"/>
          <w:rFonts w:ascii="Times New Roman" w:hAnsi="Times New Roman" w:cs="Times New Roman"/>
        </w:rPr>
        <w:endnoteReference w:id="58"/>
      </w:r>
      <w:r w:rsidR="008E65BA">
        <w:rPr>
          <w:rFonts w:ascii="Times New Roman" w:hAnsi="Times New Roman" w:cs="Times New Roman"/>
        </w:rPr>
        <w:t xml:space="preserve"> Mo</w:t>
      </w:r>
      <w:r w:rsidR="00AA48FA">
        <w:rPr>
          <w:rFonts w:ascii="Times New Roman" w:hAnsi="Times New Roman" w:cs="Times New Roman"/>
        </w:rPr>
        <w:t xml:space="preserve">reover, </w:t>
      </w:r>
      <w:r w:rsidR="00586875">
        <w:rPr>
          <w:rFonts w:ascii="Times New Roman" w:hAnsi="Times New Roman" w:cs="Times New Roman"/>
        </w:rPr>
        <w:t>over 200</w:t>
      </w:r>
      <w:r w:rsidR="00AA48FA">
        <w:rPr>
          <w:rFonts w:ascii="Times New Roman" w:hAnsi="Times New Roman" w:cs="Times New Roman"/>
        </w:rPr>
        <w:t xml:space="preserve"> million women of reproductive age </w:t>
      </w:r>
      <w:r w:rsidR="00FE0571">
        <w:rPr>
          <w:rFonts w:ascii="Times New Roman" w:hAnsi="Times New Roman" w:cs="Times New Roman"/>
        </w:rPr>
        <w:t xml:space="preserve">who want to avoid pregnancy </w:t>
      </w:r>
      <w:r w:rsidR="00F86990">
        <w:rPr>
          <w:rFonts w:ascii="Times New Roman" w:hAnsi="Times New Roman" w:cs="Times New Roman"/>
        </w:rPr>
        <w:t xml:space="preserve">do not have access to </w:t>
      </w:r>
      <w:r w:rsidR="00AA48FA">
        <w:rPr>
          <w:rFonts w:ascii="Times New Roman" w:hAnsi="Times New Roman" w:cs="Times New Roman"/>
        </w:rPr>
        <w:t>modern contraceptive method</w:t>
      </w:r>
      <w:r w:rsidR="00F86990">
        <w:rPr>
          <w:rFonts w:ascii="Times New Roman" w:hAnsi="Times New Roman" w:cs="Times New Roman"/>
        </w:rPr>
        <w:t>s</w:t>
      </w:r>
      <w:r w:rsidR="00AA48FA">
        <w:rPr>
          <w:rFonts w:ascii="Times New Roman" w:hAnsi="Times New Roman" w:cs="Times New Roman"/>
        </w:rPr>
        <w:t>.</w:t>
      </w:r>
      <w:r w:rsidR="00AA48FA">
        <w:rPr>
          <w:rStyle w:val="EndnoteReference"/>
          <w:rFonts w:ascii="Times New Roman" w:hAnsi="Times New Roman" w:cs="Times New Roman"/>
        </w:rPr>
        <w:endnoteReference w:id="59"/>
      </w:r>
      <w:r w:rsidR="00D93AC7">
        <w:rPr>
          <w:rFonts w:ascii="Times New Roman" w:hAnsi="Times New Roman" w:cs="Times New Roman"/>
        </w:rPr>
        <w:t xml:space="preserve"> </w:t>
      </w:r>
      <w:r w:rsidR="00D37C11">
        <w:rPr>
          <w:rFonts w:ascii="Times New Roman" w:hAnsi="Times New Roman" w:cs="Times New Roman"/>
        </w:rPr>
        <w:t xml:space="preserve">This Committee has </w:t>
      </w:r>
      <w:r w:rsidR="00851143">
        <w:rPr>
          <w:rFonts w:ascii="Times New Roman" w:hAnsi="Times New Roman" w:cs="Times New Roman"/>
        </w:rPr>
        <w:t xml:space="preserve">recognized the centrality of sexual and reproductive health </w:t>
      </w:r>
      <w:r w:rsidR="004D07CA">
        <w:rPr>
          <w:rFonts w:ascii="Times New Roman" w:hAnsi="Times New Roman" w:cs="Times New Roman"/>
        </w:rPr>
        <w:t>to</w:t>
      </w:r>
      <w:r w:rsidR="00851143">
        <w:rPr>
          <w:rFonts w:ascii="Times New Roman" w:hAnsi="Times New Roman" w:cs="Times New Roman"/>
        </w:rPr>
        <w:t xml:space="preserve"> women’s right to life, and has </w:t>
      </w:r>
      <w:r w:rsidR="00B36166">
        <w:rPr>
          <w:rFonts w:ascii="Times New Roman" w:hAnsi="Times New Roman" w:cs="Times New Roman"/>
        </w:rPr>
        <w:t>urged states to ensure access to reproductive health services</w:t>
      </w:r>
      <w:r w:rsidR="009B5417">
        <w:rPr>
          <w:rFonts w:ascii="Times New Roman" w:hAnsi="Times New Roman" w:cs="Times New Roman"/>
        </w:rPr>
        <w:t xml:space="preserve"> for all women and adolescents, including access to</w:t>
      </w:r>
      <w:r w:rsidR="00B36166">
        <w:rPr>
          <w:rFonts w:ascii="Times New Roman" w:hAnsi="Times New Roman" w:cs="Times New Roman"/>
        </w:rPr>
        <w:t xml:space="preserve"> emergency obstetrics care</w:t>
      </w:r>
      <w:r w:rsidR="00851143">
        <w:rPr>
          <w:rFonts w:ascii="Times New Roman" w:hAnsi="Times New Roman" w:cs="Times New Roman"/>
        </w:rPr>
        <w:t xml:space="preserve"> and emergency contraceptives</w:t>
      </w:r>
      <w:r w:rsidR="00B36166">
        <w:rPr>
          <w:rFonts w:ascii="Times New Roman" w:hAnsi="Times New Roman" w:cs="Times New Roman"/>
        </w:rPr>
        <w:t>.</w:t>
      </w:r>
      <w:r w:rsidR="00B36166">
        <w:rPr>
          <w:rStyle w:val="EndnoteReference"/>
          <w:rFonts w:ascii="Times New Roman" w:hAnsi="Times New Roman" w:cs="Times New Roman"/>
        </w:rPr>
        <w:endnoteReference w:id="60"/>
      </w:r>
      <w:r w:rsidR="00B36166">
        <w:rPr>
          <w:rFonts w:ascii="Times New Roman" w:hAnsi="Times New Roman" w:cs="Times New Roman"/>
        </w:rPr>
        <w:t xml:space="preserve"> </w:t>
      </w:r>
      <w:r w:rsidR="000A3A5C">
        <w:rPr>
          <w:rFonts w:ascii="Times New Roman" w:hAnsi="Times New Roman" w:cs="Times New Roman"/>
        </w:rPr>
        <w:t>I</w:t>
      </w:r>
      <w:r w:rsidR="00954348">
        <w:rPr>
          <w:rFonts w:ascii="Times New Roman" w:hAnsi="Times New Roman" w:cs="Times New Roman"/>
        </w:rPr>
        <w:t>t</w:t>
      </w:r>
      <w:r w:rsidR="00A430C4">
        <w:rPr>
          <w:rFonts w:ascii="Times New Roman" w:hAnsi="Times New Roman" w:cs="Times New Roman"/>
        </w:rPr>
        <w:t xml:space="preserve"> has explicitly noted the link between reducing maternal mortality </w:t>
      </w:r>
      <w:r w:rsidR="009E5318">
        <w:rPr>
          <w:rFonts w:ascii="Times New Roman" w:hAnsi="Times New Roman" w:cs="Times New Roman"/>
        </w:rPr>
        <w:t>and</w:t>
      </w:r>
      <w:r w:rsidR="00A430C4">
        <w:rPr>
          <w:rFonts w:ascii="Times New Roman" w:hAnsi="Times New Roman" w:cs="Times New Roman"/>
        </w:rPr>
        <w:t xml:space="preserve"> ensuring that women have access to reproductive health services.</w:t>
      </w:r>
      <w:r w:rsidR="00A430C4">
        <w:rPr>
          <w:rStyle w:val="EndnoteReference"/>
          <w:rFonts w:ascii="Times New Roman" w:hAnsi="Times New Roman" w:cs="Times New Roman"/>
        </w:rPr>
        <w:endnoteReference w:id="61"/>
      </w:r>
      <w:r w:rsidR="0009614F">
        <w:rPr>
          <w:rFonts w:ascii="Times New Roman" w:hAnsi="Times New Roman" w:cs="Times New Roman"/>
        </w:rPr>
        <w:t xml:space="preserve"> E</w:t>
      </w:r>
      <w:r w:rsidR="00F06308">
        <w:rPr>
          <w:rFonts w:ascii="Times New Roman" w:hAnsi="Times New Roman" w:cs="Times New Roman"/>
        </w:rPr>
        <w:t xml:space="preserve">ssential </w:t>
      </w:r>
      <w:r w:rsidR="0009614F">
        <w:rPr>
          <w:rFonts w:ascii="Times New Roman" w:hAnsi="Times New Roman" w:cs="Times New Roman"/>
        </w:rPr>
        <w:t xml:space="preserve">sexual and reproductive health </w:t>
      </w:r>
      <w:r w:rsidR="00F06308">
        <w:rPr>
          <w:rFonts w:ascii="Times New Roman" w:hAnsi="Times New Roman" w:cs="Times New Roman"/>
        </w:rPr>
        <w:t>services</w:t>
      </w:r>
      <w:r w:rsidR="009B5417">
        <w:rPr>
          <w:rFonts w:ascii="Times New Roman" w:hAnsi="Times New Roman" w:cs="Times New Roman"/>
        </w:rPr>
        <w:t xml:space="preserve"> aim to protect w</w:t>
      </w:r>
      <w:r w:rsidR="00F06308">
        <w:rPr>
          <w:rFonts w:ascii="Times New Roman" w:hAnsi="Times New Roman" w:cs="Times New Roman"/>
        </w:rPr>
        <w:t xml:space="preserve">omen’s </w:t>
      </w:r>
      <w:r w:rsidR="009E5318">
        <w:rPr>
          <w:rFonts w:ascii="Times New Roman" w:hAnsi="Times New Roman" w:cs="Times New Roman"/>
        </w:rPr>
        <w:t xml:space="preserve">and girls’ </w:t>
      </w:r>
      <w:r w:rsidR="00F06308">
        <w:rPr>
          <w:rFonts w:ascii="Times New Roman" w:hAnsi="Times New Roman" w:cs="Times New Roman"/>
        </w:rPr>
        <w:t>right to life</w:t>
      </w:r>
      <w:r w:rsidR="009E5318">
        <w:rPr>
          <w:rFonts w:ascii="Times New Roman" w:hAnsi="Times New Roman" w:cs="Times New Roman"/>
        </w:rPr>
        <w:t xml:space="preserve">, which, as set out above, encompasses their </w:t>
      </w:r>
      <w:r w:rsidR="009E5318" w:rsidRPr="00921CD9">
        <w:rPr>
          <w:rFonts w:ascii="Times New Roman" w:hAnsi="Times New Roman" w:cs="Times New Roman"/>
        </w:rPr>
        <w:t>entitlement to enjoy a life with dignity,</w:t>
      </w:r>
      <w:r w:rsidR="009E5318" w:rsidRPr="00921CD9">
        <w:rPr>
          <w:rFonts w:ascii="Times New Roman" w:hAnsi="Times New Roman" w:cs="Times New Roman"/>
          <w:vertAlign w:val="superscript"/>
        </w:rPr>
        <w:endnoteReference w:id="62"/>
      </w:r>
      <w:r w:rsidR="009E5318">
        <w:rPr>
          <w:rFonts w:ascii="Times New Roman" w:hAnsi="Times New Roman" w:cs="Times New Roman"/>
        </w:rPr>
        <w:t xml:space="preserve"> and is premised on the central importance of personal autonomy to human dignity.  Protecting</w:t>
      </w:r>
      <w:r w:rsidR="00AC576C">
        <w:rPr>
          <w:rFonts w:ascii="Times New Roman" w:hAnsi="Times New Roman" w:cs="Times New Roman"/>
        </w:rPr>
        <w:t xml:space="preserve"> women’s and girls’ right to lif</w:t>
      </w:r>
      <w:r w:rsidR="009E5318">
        <w:rPr>
          <w:rFonts w:ascii="Times New Roman" w:hAnsi="Times New Roman" w:cs="Times New Roman"/>
        </w:rPr>
        <w:t xml:space="preserve">e thus requires States parties to provide </w:t>
      </w:r>
      <w:r w:rsidR="009B5417">
        <w:rPr>
          <w:rFonts w:ascii="Times New Roman" w:hAnsi="Times New Roman" w:cs="Times New Roman"/>
        </w:rPr>
        <w:t>pre- and post-natal care, skilled birth attendants</w:t>
      </w:r>
      <w:r w:rsidR="0009614F">
        <w:rPr>
          <w:rFonts w:ascii="Times New Roman" w:hAnsi="Times New Roman" w:cs="Times New Roman"/>
        </w:rPr>
        <w:t xml:space="preserve">, </w:t>
      </w:r>
      <w:r w:rsidR="009B5417">
        <w:rPr>
          <w:rFonts w:ascii="Times New Roman" w:hAnsi="Times New Roman" w:cs="Times New Roman"/>
        </w:rPr>
        <w:t>emergency obstetrics services</w:t>
      </w:r>
      <w:r w:rsidR="0009614F">
        <w:rPr>
          <w:rFonts w:ascii="Times New Roman" w:hAnsi="Times New Roman" w:cs="Times New Roman"/>
        </w:rPr>
        <w:t>, as well as access to contraceptives and information</w:t>
      </w:r>
      <w:r w:rsidR="009B5417">
        <w:rPr>
          <w:rFonts w:ascii="Times New Roman" w:hAnsi="Times New Roman" w:cs="Times New Roman"/>
        </w:rPr>
        <w:t>.</w:t>
      </w:r>
      <w:r w:rsidR="00B03BFD">
        <w:rPr>
          <w:rStyle w:val="EndnoteReference"/>
          <w:rFonts w:ascii="Times New Roman" w:hAnsi="Times New Roman" w:cs="Times New Roman"/>
        </w:rPr>
        <w:endnoteReference w:id="63"/>
      </w:r>
    </w:p>
    <w:p w14:paraId="45C7AC45" w14:textId="77777777" w:rsidR="00A22DBF" w:rsidRDefault="00A22DBF" w:rsidP="00D64186">
      <w:pPr>
        <w:spacing w:after="0" w:line="240" w:lineRule="auto"/>
        <w:jc w:val="both"/>
        <w:rPr>
          <w:rFonts w:ascii="Times New Roman" w:hAnsi="Times New Roman" w:cs="Times New Roman"/>
        </w:rPr>
      </w:pPr>
    </w:p>
    <w:p w14:paraId="1828A856" w14:textId="564D8F93" w:rsidR="00024C1A" w:rsidRDefault="00A22DBF" w:rsidP="00D64186">
      <w:pPr>
        <w:spacing w:after="0" w:line="240" w:lineRule="auto"/>
        <w:jc w:val="both"/>
        <w:rPr>
          <w:rFonts w:ascii="Times New Roman" w:hAnsi="Times New Roman" w:cs="Times New Roman"/>
        </w:rPr>
      </w:pPr>
      <w:r>
        <w:rPr>
          <w:rFonts w:ascii="Times New Roman" w:hAnsi="Times New Roman" w:cs="Times New Roman"/>
        </w:rPr>
        <w:t xml:space="preserve">Essential health </w:t>
      </w:r>
      <w:r w:rsidR="008F7FD2">
        <w:rPr>
          <w:rFonts w:ascii="Times New Roman" w:hAnsi="Times New Roman" w:cs="Times New Roman"/>
        </w:rPr>
        <w:t>services must be d</w:t>
      </w:r>
      <w:r w:rsidR="003647B6">
        <w:rPr>
          <w:rFonts w:ascii="Times New Roman" w:hAnsi="Times New Roman" w:cs="Times New Roman"/>
        </w:rPr>
        <w:t>elivered through</w:t>
      </w:r>
      <w:r w:rsidR="00EC0532">
        <w:rPr>
          <w:rFonts w:ascii="Times New Roman" w:hAnsi="Times New Roman" w:cs="Times New Roman"/>
        </w:rPr>
        <w:t xml:space="preserve"> </w:t>
      </w:r>
      <w:r w:rsidR="008F7FD2">
        <w:rPr>
          <w:rFonts w:ascii="Times New Roman" w:hAnsi="Times New Roman" w:cs="Times New Roman"/>
        </w:rPr>
        <w:t>a</w:t>
      </w:r>
      <w:r w:rsidR="00D8001E">
        <w:rPr>
          <w:rFonts w:ascii="Times New Roman" w:hAnsi="Times New Roman" w:cs="Times New Roman"/>
        </w:rPr>
        <w:t xml:space="preserve"> human rights based approach, ensuring non-discrimination,</w:t>
      </w:r>
      <w:r w:rsidR="008F7FD2">
        <w:rPr>
          <w:rFonts w:ascii="Times New Roman" w:hAnsi="Times New Roman" w:cs="Times New Roman"/>
        </w:rPr>
        <w:t xml:space="preserve"> </w:t>
      </w:r>
      <w:r w:rsidR="00D8001E">
        <w:rPr>
          <w:rFonts w:ascii="Times New Roman" w:hAnsi="Times New Roman" w:cs="Times New Roman"/>
        </w:rPr>
        <w:t xml:space="preserve">informed consent and confidentiality. </w:t>
      </w:r>
      <w:r w:rsidR="001A4442">
        <w:rPr>
          <w:rFonts w:ascii="Times New Roman" w:hAnsi="Times New Roman" w:cs="Times New Roman"/>
        </w:rPr>
        <w:t xml:space="preserve">The WHO, </w:t>
      </w:r>
      <w:r w:rsidR="004C7F04">
        <w:rPr>
          <w:rFonts w:ascii="Times New Roman" w:hAnsi="Times New Roman" w:cs="Times New Roman"/>
        </w:rPr>
        <w:t>along with</w:t>
      </w:r>
      <w:r w:rsidR="001A4442">
        <w:rPr>
          <w:rFonts w:ascii="Times New Roman" w:hAnsi="Times New Roman" w:cs="Times New Roman"/>
        </w:rPr>
        <w:t xml:space="preserve"> </w:t>
      </w:r>
      <w:r w:rsidR="008A62FD">
        <w:rPr>
          <w:rFonts w:ascii="Times New Roman" w:hAnsi="Times New Roman" w:cs="Times New Roman"/>
        </w:rPr>
        <w:t>11 other United Nations entities</w:t>
      </w:r>
      <w:r w:rsidR="004C7F04">
        <w:rPr>
          <w:rFonts w:ascii="Times New Roman" w:hAnsi="Times New Roman" w:cs="Times New Roman"/>
        </w:rPr>
        <w:t>, have recognized that discrimi</w:t>
      </w:r>
      <w:r w:rsidR="009611F0">
        <w:rPr>
          <w:rFonts w:ascii="Times New Roman" w:hAnsi="Times New Roman" w:cs="Times New Roman"/>
        </w:rPr>
        <w:t>nation in health care settings</w:t>
      </w:r>
      <w:r w:rsidR="004C7F04">
        <w:rPr>
          <w:rFonts w:ascii="Times New Roman" w:hAnsi="Times New Roman" w:cs="Times New Roman"/>
        </w:rPr>
        <w:t xml:space="preserve"> “serves as a barrier to accessing health services, affects the quality of health services provided, and reinforces exclusions from society for both individuals and groups.”</w:t>
      </w:r>
      <w:r w:rsidR="004C7F04">
        <w:rPr>
          <w:rStyle w:val="EndnoteReference"/>
          <w:rFonts w:ascii="Times New Roman" w:hAnsi="Times New Roman" w:cs="Times New Roman"/>
        </w:rPr>
        <w:endnoteReference w:id="64"/>
      </w:r>
      <w:r w:rsidR="00DD3FD1">
        <w:rPr>
          <w:rFonts w:ascii="Times New Roman" w:hAnsi="Times New Roman" w:cs="Times New Roman"/>
        </w:rPr>
        <w:t xml:space="preserve"> Such discrimination also prevents people from seeking the health care services that they need.</w:t>
      </w:r>
      <w:r w:rsidR="00DD3FD1">
        <w:rPr>
          <w:rStyle w:val="EndnoteReference"/>
          <w:rFonts w:ascii="Times New Roman" w:hAnsi="Times New Roman" w:cs="Times New Roman"/>
        </w:rPr>
        <w:endnoteReference w:id="65"/>
      </w:r>
      <w:r w:rsidR="00CC2F2E">
        <w:rPr>
          <w:rFonts w:ascii="Times New Roman" w:hAnsi="Times New Roman" w:cs="Times New Roman"/>
        </w:rPr>
        <w:t xml:space="preserve"> The CAT has also expressed concern regarding </w:t>
      </w:r>
      <w:r w:rsidR="002D4C0B">
        <w:rPr>
          <w:rFonts w:ascii="Times New Roman" w:hAnsi="Times New Roman" w:cs="Times New Roman"/>
        </w:rPr>
        <w:t>the</w:t>
      </w:r>
      <w:r w:rsidR="00CC2F2E">
        <w:rPr>
          <w:rFonts w:ascii="Times New Roman" w:hAnsi="Times New Roman" w:cs="Times New Roman"/>
        </w:rPr>
        <w:t xml:space="preserve"> ill-treatment of women in maternity hospitals,</w:t>
      </w:r>
      <w:r w:rsidR="002D4C0B">
        <w:rPr>
          <w:rFonts w:ascii="Times New Roman" w:hAnsi="Times New Roman" w:cs="Times New Roman"/>
        </w:rPr>
        <w:t xml:space="preserve"> particularly the practice of detaining women </w:t>
      </w:r>
      <w:r w:rsidR="00DF43A7">
        <w:rPr>
          <w:rFonts w:ascii="Times New Roman" w:hAnsi="Times New Roman" w:cs="Times New Roman"/>
        </w:rPr>
        <w:t xml:space="preserve">who are unable to pay their bills </w:t>
      </w:r>
      <w:r w:rsidR="002D4C0B">
        <w:rPr>
          <w:rFonts w:ascii="Times New Roman" w:hAnsi="Times New Roman" w:cs="Times New Roman"/>
        </w:rPr>
        <w:t>post-delivery. It</w:t>
      </w:r>
      <w:r w:rsidR="00CC2F2E">
        <w:rPr>
          <w:rFonts w:ascii="Times New Roman" w:hAnsi="Times New Roman" w:cs="Times New Roman"/>
        </w:rPr>
        <w:t xml:space="preserve"> has called for an end to this practice</w:t>
      </w:r>
      <w:r w:rsidR="00FF0D04">
        <w:rPr>
          <w:rFonts w:ascii="Times New Roman" w:hAnsi="Times New Roman" w:cs="Times New Roman"/>
        </w:rPr>
        <w:t xml:space="preserve"> of forcible detention</w:t>
      </w:r>
      <w:r w:rsidR="00CC2F2E">
        <w:rPr>
          <w:rFonts w:ascii="Times New Roman" w:hAnsi="Times New Roman" w:cs="Times New Roman"/>
        </w:rPr>
        <w:t>.</w:t>
      </w:r>
      <w:r w:rsidR="00CC2F2E">
        <w:rPr>
          <w:rStyle w:val="EndnoteReference"/>
          <w:rFonts w:ascii="Times New Roman" w:hAnsi="Times New Roman" w:cs="Times New Roman"/>
        </w:rPr>
        <w:endnoteReference w:id="66"/>
      </w:r>
      <w:r w:rsidR="00FF0D04">
        <w:rPr>
          <w:rFonts w:ascii="Times New Roman" w:hAnsi="Times New Roman" w:cs="Times New Roman"/>
        </w:rPr>
        <w:t xml:space="preserve"> </w:t>
      </w:r>
      <w:r w:rsidR="00E603FA">
        <w:rPr>
          <w:rFonts w:ascii="Times New Roman" w:hAnsi="Times New Roman" w:cs="Times New Roman"/>
        </w:rPr>
        <w:t>In addition to non-discrimination</w:t>
      </w:r>
      <w:r w:rsidR="00FF0D04">
        <w:rPr>
          <w:rFonts w:ascii="Times New Roman" w:hAnsi="Times New Roman" w:cs="Times New Roman"/>
        </w:rPr>
        <w:t xml:space="preserve"> and fair treatment</w:t>
      </w:r>
      <w:r w:rsidR="00E603FA">
        <w:rPr>
          <w:rFonts w:ascii="Times New Roman" w:hAnsi="Times New Roman" w:cs="Times New Roman"/>
        </w:rPr>
        <w:t>, health services must also emphasize full, free and informed consent</w:t>
      </w:r>
      <w:r w:rsidR="00AC18FD">
        <w:rPr>
          <w:rFonts w:ascii="Times New Roman" w:hAnsi="Times New Roman" w:cs="Times New Roman"/>
        </w:rPr>
        <w:t>, as well as confidentiality</w:t>
      </w:r>
      <w:r w:rsidR="002C2AC1">
        <w:rPr>
          <w:rFonts w:ascii="Times New Roman" w:hAnsi="Times New Roman" w:cs="Times New Roman"/>
        </w:rPr>
        <w:t xml:space="preserve">. </w:t>
      </w:r>
      <w:r w:rsidR="00CC2F2E">
        <w:rPr>
          <w:rFonts w:ascii="Times New Roman" w:hAnsi="Times New Roman" w:cs="Times New Roman"/>
        </w:rPr>
        <w:t>International law has recognized that forced medical treatments are human rights violation</w:t>
      </w:r>
      <w:r w:rsidR="00381BA5">
        <w:rPr>
          <w:rFonts w:ascii="Times New Roman" w:hAnsi="Times New Roman" w:cs="Times New Roman"/>
        </w:rPr>
        <w:t>s, with some forms of coercion</w:t>
      </w:r>
      <w:r w:rsidR="00CC2F2E">
        <w:rPr>
          <w:rFonts w:ascii="Times New Roman" w:hAnsi="Times New Roman" w:cs="Times New Roman"/>
        </w:rPr>
        <w:t xml:space="preserve"> constituting violence against women.</w:t>
      </w:r>
      <w:r w:rsidR="00CC2F2E">
        <w:rPr>
          <w:rStyle w:val="EndnoteReference"/>
          <w:rFonts w:ascii="Times New Roman" w:hAnsi="Times New Roman" w:cs="Times New Roman"/>
        </w:rPr>
        <w:endnoteReference w:id="67"/>
      </w:r>
      <w:r w:rsidR="00CC2F2E">
        <w:rPr>
          <w:rFonts w:ascii="Times New Roman" w:hAnsi="Times New Roman" w:cs="Times New Roman"/>
        </w:rPr>
        <w:t xml:space="preserve"> </w:t>
      </w:r>
      <w:r w:rsidR="00304FFB">
        <w:rPr>
          <w:rFonts w:ascii="Times New Roman" w:hAnsi="Times New Roman" w:cs="Times New Roman"/>
        </w:rPr>
        <w:t>The right to privacy and confidentiality are key human rights in ensuring access to health services.</w:t>
      </w:r>
      <w:r w:rsidR="00304FFB">
        <w:rPr>
          <w:rStyle w:val="EndnoteReference"/>
          <w:rFonts w:ascii="Times New Roman" w:hAnsi="Times New Roman" w:cs="Times New Roman"/>
        </w:rPr>
        <w:endnoteReference w:id="68"/>
      </w:r>
      <w:r w:rsidR="00304FFB">
        <w:rPr>
          <w:rFonts w:ascii="Times New Roman" w:hAnsi="Times New Roman" w:cs="Times New Roman"/>
        </w:rPr>
        <w:t xml:space="preserve"> In fact, this Committee</w:t>
      </w:r>
      <w:r w:rsidR="003C0925">
        <w:rPr>
          <w:rFonts w:ascii="Times New Roman" w:hAnsi="Times New Roman" w:cs="Times New Roman"/>
        </w:rPr>
        <w:t xml:space="preserve"> has</w:t>
      </w:r>
      <w:r w:rsidR="00304FFB">
        <w:rPr>
          <w:rFonts w:ascii="Times New Roman" w:hAnsi="Times New Roman" w:cs="Times New Roman"/>
        </w:rPr>
        <w:t xml:space="preserve"> recognized the relationship between this right and access to health services</w:t>
      </w:r>
      <w:r w:rsidR="003C0925">
        <w:rPr>
          <w:rFonts w:ascii="Times New Roman" w:hAnsi="Times New Roman" w:cs="Times New Roman"/>
        </w:rPr>
        <w:t xml:space="preserve"> in</w:t>
      </w:r>
      <w:r w:rsidR="00304FFB">
        <w:rPr>
          <w:rFonts w:ascii="Times New Roman" w:hAnsi="Times New Roman" w:cs="Times New Roman"/>
        </w:rPr>
        <w:t xml:space="preserve"> </w:t>
      </w:r>
      <w:r w:rsidR="003C0925">
        <w:rPr>
          <w:rFonts w:ascii="Times New Roman" w:hAnsi="Times New Roman" w:cs="Times New Roman"/>
        </w:rPr>
        <w:t>acknowledging</w:t>
      </w:r>
      <w:r w:rsidR="00304FFB">
        <w:rPr>
          <w:rFonts w:ascii="Times New Roman" w:hAnsi="Times New Roman" w:cs="Times New Roman"/>
        </w:rPr>
        <w:t xml:space="preserve"> that a woman’s decision to pursue a voluntary termination of pregnancy falls within the scope of article 17</w:t>
      </w:r>
      <w:r w:rsidR="00B30113">
        <w:rPr>
          <w:rFonts w:ascii="Times New Roman" w:hAnsi="Times New Roman" w:cs="Times New Roman"/>
        </w:rPr>
        <w:t>, the right to privacy</w:t>
      </w:r>
      <w:r w:rsidR="00304FFB">
        <w:rPr>
          <w:rFonts w:ascii="Times New Roman" w:hAnsi="Times New Roman" w:cs="Times New Roman"/>
        </w:rPr>
        <w:t>.</w:t>
      </w:r>
      <w:r w:rsidR="00304FFB">
        <w:rPr>
          <w:rStyle w:val="EndnoteReference"/>
          <w:rFonts w:ascii="Times New Roman" w:hAnsi="Times New Roman" w:cs="Times New Roman"/>
        </w:rPr>
        <w:endnoteReference w:id="69"/>
      </w:r>
      <w:r w:rsidR="00AC204D">
        <w:rPr>
          <w:rFonts w:ascii="Times New Roman" w:hAnsi="Times New Roman" w:cs="Times New Roman"/>
        </w:rPr>
        <w:t xml:space="preserve"> I</w:t>
      </w:r>
      <w:r w:rsidR="009D3390">
        <w:rPr>
          <w:rFonts w:ascii="Times New Roman" w:hAnsi="Times New Roman" w:cs="Times New Roman"/>
        </w:rPr>
        <w:t>f services are delivered in a discriminatory manner</w:t>
      </w:r>
      <w:r w:rsidR="0036286B">
        <w:rPr>
          <w:rFonts w:ascii="Times New Roman" w:hAnsi="Times New Roman" w:cs="Times New Roman"/>
        </w:rPr>
        <w:t>, without informed consent and without ensuring privacy,</w:t>
      </w:r>
      <w:r w:rsidR="009D3390">
        <w:rPr>
          <w:rFonts w:ascii="Times New Roman" w:hAnsi="Times New Roman" w:cs="Times New Roman"/>
        </w:rPr>
        <w:t xml:space="preserve"> women </w:t>
      </w:r>
      <w:r w:rsidR="005D35DE">
        <w:rPr>
          <w:rFonts w:ascii="Times New Roman" w:hAnsi="Times New Roman" w:cs="Times New Roman"/>
        </w:rPr>
        <w:t xml:space="preserve">and girls </w:t>
      </w:r>
      <w:r w:rsidR="009D3390">
        <w:rPr>
          <w:rFonts w:ascii="Times New Roman" w:hAnsi="Times New Roman" w:cs="Times New Roman"/>
        </w:rPr>
        <w:t xml:space="preserve">will be less likely to access them to get the care that they need, thus fundamentally impeding women’s </w:t>
      </w:r>
      <w:r w:rsidR="008C6E81">
        <w:rPr>
          <w:rFonts w:ascii="Times New Roman" w:hAnsi="Times New Roman" w:cs="Times New Roman"/>
        </w:rPr>
        <w:t xml:space="preserve">and girls’ </w:t>
      </w:r>
      <w:r w:rsidR="00AF167A">
        <w:rPr>
          <w:rFonts w:ascii="Times New Roman" w:hAnsi="Times New Roman" w:cs="Times New Roman"/>
        </w:rPr>
        <w:t>health</w:t>
      </w:r>
      <w:r w:rsidR="008C6E81">
        <w:rPr>
          <w:rFonts w:ascii="Times New Roman" w:hAnsi="Times New Roman" w:cs="Times New Roman"/>
        </w:rPr>
        <w:t>, and potentially leading to circumstances that jeopardize their right to life.</w:t>
      </w:r>
    </w:p>
    <w:p w14:paraId="3016BFC4" w14:textId="77777777" w:rsidR="008F7FD2" w:rsidRDefault="008F7FD2" w:rsidP="00D64186">
      <w:pPr>
        <w:spacing w:after="0" w:line="240" w:lineRule="auto"/>
        <w:jc w:val="both"/>
        <w:rPr>
          <w:rFonts w:ascii="Times New Roman" w:hAnsi="Times New Roman" w:cs="Times New Roman"/>
          <w:lang w:val="en-GB"/>
        </w:rPr>
      </w:pPr>
    </w:p>
    <w:p w14:paraId="73C77E98" w14:textId="441933D5" w:rsidR="00035A08" w:rsidRDefault="00035A08" w:rsidP="00D64186">
      <w:pPr>
        <w:spacing w:after="0" w:line="240" w:lineRule="auto"/>
        <w:jc w:val="both"/>
        <w:rPr>
          <w:rFonts w:ascii="Times New Roman" w:hAnsi="Times New Roman" w:cs="Times New Roman"/>
        </w:rPr>
      </w:pPr>
      <w:r w:rsidRPr="00035A08">
        <w:rPr>
          <w:rFonts w:ascii="Times New Roman" w:hAnsi="Times New Roman" w:cs="Times New Roman"/>
        </w:rPr>
        <w:t xml:space="preserve">By recognizing that women require access to a broad spectrum of </w:t>
      </w:r>
      <w:r w:rsidR="00431B4D">
        <w:rPr>
          <w:rFonts w:ascii="Times New Roman" w:hAnsi="Times New Roman" w:cs="Times New Roman"/>
        </w:rPr>
        <w:t xml:space="preserve">quality sexual and </w:t>
      </w:r>
      <w:r w:rsidRPr="00035A08">
        <w:rPr>
          <w:rFonts w:ascii="Times New Roman" w:hAnsi="Times New Roman" w:cs="Times New Roman"/>
        </w:rPr>
        <w:t>reproductive health services</w:t>
      </w:r>
      <w:r w:rsidR="005F370C">
        <w:rPr>
          <w:rFonts w:ascii="Times New Roman" w:hAnsi="Times New Roman" w:cs="Times New Roman"/>
        </w:rPr>
        <w:t xml:space="preserve"> provided in</w:t>
      </w:r>
      <w:r w:rsidR="005D35DE">
        <w:rPr>
          <w:rFonts w:ascii="Times New Roman" w:hAnsi="Times New Roman" w:cs="Times New Roman"/>
        </w:rPr>
        <w:t xml:space="preserve"> a non-discriminatory manner,</w:t>
      </w:r>
      <w:r w:rsidR="005F370C">
        <w:rPr>
          <w:rFonts w:ascii="Times New Roman" w:hAnsi="Times New Roman" w:cs="Times New Roman"/>
        </w:rPr>
        <w:t xml:space="preserve"> with informed consent</w:t>
      </w:r>
      <w:r w:rsidR="00B30236">
        <w:rPr>
          <w:rFonts w:ascii="Times New Roman" w:hAnsi="Times New Roman" w:cs="Times New Roman"/>
        </w:rPr>
        <w:t xml:space="preserve"> </w:t>
      </w:r>
      <w:r w:rsidR="005D35DE">
        <w:rPr>
          <w:rFonts w:ascii="Times New Roman" w:hAnsi="Times New Roman" w:cs="Times New Roman"/>
        </w:rPr>
        <w:t xml:space="preserve">and confidentiality </w:t>
      </w:r>
      <w:r w:rsidR="00B30236">
        <w:rPr>
          <w:rFonts w:ascii="Times New Roman" w:hAnsi="Times New Roman" w:cs="Times New Roman"/>
        </w:rPr>
        <w:t>in paragraph 30</w:t>
      </w:r>
      <w:r w:rsidRPr="00035A08">
        <w:rPr>
          <w:rFonts w:ascii="Times New Roman" w:hAnsi="Times New Roman" w:cs="Times New Roman"/>
        </w:rPr>
        <w:t xml:space="preserve">, </w:t>
      </w:r>
      <w:r w:rsidR="00431B4D">
        <w:rPr>
          <w:rFonts w:ascii="Times New Roman" w:hAnsi="Times New Roman" w:cs="Times New Roman"/>
        </w:rPr>
        <w:t>g</w:t>
      </w:r>
      <w:r w:rsidRPr="00035A08">
        <w:rPr>
          <w:rFonts w:ascii="Times New Roman" w:hAnsi="Times New Roman" w:cs="Times New Roman"/>
        </w:rPr>
        <w:t xml:space="preserve">eneral </w:t>
      </w:r>
      <w:r w:rsidR="00431B4D">
        <w:rPr>
          <w:rFonts w:ascii="Times New Roman" w:hAnsi="Times New Roman" w:cs="Times New Roman"/>
        </w:rPr>
        <w:t>comment no</w:t>
      </w:r>
      <w:r w:rsidR="00AF167A">
        <w:rPr>
          <w:rFonts w:ascii="Times New Roman" w:hAnsi="Times New Roman" w:cs="Times New Roman"/>
        </w:rPr>
        <w:t>. 36 would provide S</w:t>
      </w:r>
      <w:r w:rsidRPr="00035A08">
        <w:rPr>
          <w:rFonts w:ascii="Times New Roman" w:hAnsi="Times New Roman" w:cs="Times New Roman"/>
        </w:rPr>
        <w:t>tates</w:t>
      </w:r>
      <w:r w:rsidR="00AF167A">
        <w:rPr>
          <w:rFonts w:ascii="Times New Roman" w:hAnsi="Times New Roman" w:cs="Times New Roman"/>
        </w:rPr>
        <w:t xml:space="preserve"> parties</w:t>
      </w:r>
      <w:r w:rsidRPr="00035A08">
        <w:rPr>
          <w:rFonts w:ascii="Times New Roman" w:hAnsi="Times New Roman" w:cs="Times New Roman"/>
        </w:rPr>
        <w:t xml:space="preserve"> with important guidance on</w:t>
      </w:r>
      <w:r w:rsidR="00AF167A">
        <w:rPr>
          <w:rFonts w:ascii="Times New Roman" w:hAnsi="Times New Roman" w:cs="Times New Roman"/>
        </w:rPr>
        <w:t xml:space="preserve"> the implementation of, and</w:t>
      </w:r>
      <w:r w:rsidRPr="00035A08">
        <w:rPr>
          <w:rFonts w:ascii="Times New Roman" w:hAnsi="Times New Roman" w:cs="Times New Roman"/>
        </w:rPr>
        <w:t xml:space="preserve"> compliance with</w:t>
      </w:r>
      <w:r w:rsidR="00AF167A">
        <w:rPr>
          <w:rFonts w:ascii="Times New Roman" w:hAnsi="Times New Roman" w:cs="Times New Roman"/>
        </w:rPr>
        <w:t>, their</w:t>
      </w:r>
      <w:r w:rsidRPr="00035A08">
        <w:rPr>
          <w:rFonts w:ascii="Times New Roman" w:hAnsi="Times New Roman" w:cs="Times New Roman"/>
        </w:rPr>
        <w:t xml:space="preserve"> </w:t>
      </w:r>
      <w:r w:rsidR="00610E8E">
        <w:rPr>
          <w:rFonts w:ascii="Times New Roman" w:hAnsi="Times New Roman" w:cs="Times New Roman"/>
        </w:rPr>
        <w:t>a</w:t>
      </w:r>
      <w:r w:rsidRPr="00035A08">
        <w:rPr>
          <w:rFonts w:ascii="Times New Roman" w:hAnsi="Times New Roman" w:cs="Times New Roman"/>
        </w:rPr>
        <w:t>rticle 6</w:t>
      </w:r>
      <w:r w:rsidR="00AF167A">
        <w:rPr>
          <w:rFonts w:ascii="Times New Roman" w:hAnsi="Times New Roman" w:cs="Times New Roman"/>
        </w:rPr>
        <w:t xml:space="preserve"> obligations</w:t>
      </w:r>
      <w:r w:rsidRPr="00035A08">
        <w:rPr>
          <w:rFonts w:ascii="Times New Roman" w:hAnsi="Times New Roman" w:cs="Times New Roman"/>
        </w:rPr>
        <w:t xml:space="preserve">. </w:t>
      </w:r>
    </w:p>
    <w:p w14:paraId="15E650FA" w14:textId="591837E4" w:rsidR="00D64186" w:rsidRDefault="00D64186" w:rsidP="00D64186">
      <w:pPr>
        <w:spacing w:after="0" w:line="240" w:lineRule="auto"/>
        <w:jc w:val="both"/>
        <w:rPr>
          <w:rFonts w:ascii="Times New Roman" w:hAnsi="Times New Roman" w:cs="Times New Roman"/>
        </w:rPr>
      </w:pPr>
    </w:p>
    <w:p w14:paraId="11251D91" w14:textId="41AC6FD9" w:rsidR="00D64186" w:rsidRDefault="00D64186" w:rsidP="00D64186">
      <w:pPr>
        <w:spacing w:after="0" w:line="240" w:lineRule="auto"/>
        <w:jc w:val="both"/>
        <w:rPr>
          <w:rFonts w:ascii="Times New Roman" w:hAnsi="Times New Roman" w:cs="Times New Roman"/>
        </w:rPr>
      </w:pPr>
    </w:p>
    <w:p w14:paraId="0F4BAADB" w14:textId="77777777" w:rsidR="00D64186" w:rsidRDefault="00D64186" w:rsidP="00D64186">
      <w:pPr>
        <w:spacing w:after="0" w:line="240" w:lineRule="auto"/>
        <w:jc w:val="both"/>
        <w:rPr>
          <w:rFonts w:ascii="Times New Roman" w:hAnsi="Times New Roman" w:cs="Times New Roman"/>
        </w:rPr>
      </w:pPr>
    </w:p>
    <w:p w14:paraId="4750767E" w14:textId="77777777" w:rsidR="00145FF0" w:rsidRDefault="00145FF0" w:rsidP="00D64186">
      <w:pPr>
        <w:spacing w:after="0" w:line="240" w:lineRule="auto"/>
        <w:jc w:val="both"/>
        <w:rPr>
          <w:rFonts w:ascii="Times New Roman" w:hAnsi="Times New Roman" w:cs="Times New Roman"/>
        </w:rPr>
      </w:pPr>
    </w:p>
    <w:p w14:paraId="74DEA18D" w14:textId="77777777" w:rsidR="00BF6353" w:rsidRPr="00DE7E4A" w:rsidRDefault="00C9018D" w:rsidP="00D64186">
      <w:pPr>
        <w:pStyle w:val="ListParagraph"/>
        <w:numPr>
          <w:ilvl w:val="0"/>
          <w:numId w:val="1"/>
        </w:numPr>
        <w:spacing w:after="0" w:line="240" w:lineRule="auto"/>
        <w:jc w:val="both"/>
        <w:rPr>
          <w:rFonts w:ascii="Times New Roman" w:hAnsi="Times New Roman" w:cs="Times New Roman"/>
          <w:b/>
        </w:rPr>
      </w:pPr>
      <w:r>
        <w:rPr>
          <w:rFonts w:ascii="Times New Roman" w:hAnsi="Times New Roman" w:cs="Times New Roman"/>
          <w:b/>
        </w:rPr>
        <w:lastRenderedPageBreak/>
        <w:t>Conclusion</w:t>
      </w:r>
    </w:p>
    <w:p w14:paraId="1BE8A000" w14:textId="22B175B7" w:rsidR="00DE7E4A" w:rsidRDefault="00DE7E4A" w:rsidP="00D64186">
      <w:pPr>
        <w:spacing w:after="0" w:line="240" w:lineRule="auto"/>
        <w:jc w:val="both"/>
        <w:rPr>
          <w:rFonts w:ascii="Times New Roman" w:hAnsi="Times New Roman" w:cs="Times New Roman"/>
        </w:rPr>
      </w:pPr>
    </w:p>
    <w:p w14:paraId="5C891929" w14:textId="20B28C41" w:rsidR="0082580B" w:rsidRDefault="002F680C" w:rsidP="00D64186">
      <w:pPr>
        <w:spacing w:after="0" w:line="240" w:lineRule="auto"/>
        <w:jc w:val="both"/>
        <w:rPr>
          <w:rFonts w:ascii="Times New Roman" w:hAnsi="Times New Roman" w:cs="Times New Roman"/>
        </w:rPr>
      </w:pPr>
      <w:r>
        <w:rPr>
          <w:rFonts w:ascii="Times New Roman" w:hAnsi="Times New Roman" w:cs="Times New Roman"/>
        </w:rPr>
        <w:t>We applaud the</w:t>
      </w:r>
      <w:r w:rsidR="006D7A5C">
        <w:rPr>
          <w:rFonts w:ascii="Times New Roman" w:hAnsi="Times New Roman" w:cs="Times New Roman"/>
        </w:rPr>
        <w:t xml:space="preserve"> Human Rights</w:t>
      </w:r>
      <w:r w:rsidR="0023585A">
        <w:rPr>
          <w:rFonts w:ascii="Times New Roman" w:hAnsi="Times New Roman" w:cs="Times New Roman"/>
        </w:rPr>
        <w:t xml:space="preserve"> Committee’s</w:t>
      </w:r>
      <w:r w:rsidR="006D7A5C">
        <w:rPr>
          <w:rFonts w:ascii="Times New Roman" w:hAnsi="Times New Roman" w:cs="Times New Roman"/>
        </w:rPr>
        <w:t xml:space="preserve"> longstanding </w:t>
      </w:r>
      <w:r>
        <w:rPr>
          <w:rFonts w:ascii="Times New Roman" w:hAnsi="Times New Roman" w:cs="Times New Roman"/>
        </w:rPr>
        <w:t xml:space="preserve">commitment to women’s </w:t>
      </w:r>
      <w:r w:rsidR="007C0DCE">
        <w:rPr>
          <w:rFonts w:ascii="Times New Roman" w:hAnsi="Times New Roman" w:cs="Times New Roman"/>
        </w:rPr>
        <w:t>sexual and reproductive health</w:t>
      </w:r>
      <w:r w:rsidR="005D35DE">
        <w:rPr>
          <w:rFonts w:ascii="Times New Roman" w:hAnsi="Times New Roman" w:cs="Times New Roman"/>
        </w:rPr>
        <w:t xml:space="preserve"> and rights</w:t>
      </w:r>
      <w:r w:rsidR="007C18D5">
        <w:rPr>
          <w:rFonts w:ascii="Times New Roman" w:hAnsi="Times New Roman" w:cs="Times New Roman"/>
        </w:rPr>
        <w:t xml:space="preserve"> and its recognition that such rights are fundamentally intertwined with the right to life.</w:t>
      </w:r>
      <w:r w:rsidR="0082580B">
        <w:rPr>
          <w:rFonts w:ascii="Times New Roman" w:hAnsi="Times New Roman" w:cs="Times New Roman"/>
        </w:rPr>
        <w:t xml:space="preserve"> This Committee’s previous </w:t>
      </w:r>
      <w:r w:rsidR="00A41AF6">
        <w:rPr>
          <w:rFonts w:ascii="Times New Roman" w:hAnsi="Times New Roman" w:cs="Times New Roman"/>
        </w:rPr>
        <w:t xml:space="preserve">recommendations and </w:t>
      </w:r>
      <w:r w:rsidR="0082580B">
        <w:rPr>
          <w:rFonts w:ascii="Times New Roman" w:hAnsi="Times New Roman" w:cs="Times New Roman"/>
        </w:rPr>
        <w:t>jurisprudence ha</w:t>
      </w:r>
      <w:r w:rsidR="00A41AF6">
        <w:rPr>
          <w:rFonts w:ascii="Times New Roman" w:hAnsi="Times New Roman" w:cs="Times New Roman"/>
        </w:rPr>
        <w:t>ve</w:t>
      </w:r>
      <w:r w:rsidR="0082580B">
        <w:rPr>
          <w:rFonts w:ascii="Times New Roman" w:hAnsi="Times New Roman" w:cs="Times New Roman"/>
        </w:rPr>
        <w:t xml:space="preserve"> emphasized the need to enact, implement and monitor effective laws and policies focused on respecting, protecting and fulfilling these rights.</w:t>
      </w:r>
      <w:r w:rsidR="006D7A5C">
        <w:rPr>
          <w:rFonts w:ascii="Times New Roman" w:hAnsi="Times New Roman" w:cs="Times New Roman"/>
        </w:rPr>
        <w:t xml:space="preserve"> In light of </w:t>
      </w:r>
      <w:r w:rsidR="00E036B1">
        <w:rPr>
          <w:rFonts w:ascii="Times New Roman" w:hAnsi="Times New Roman" w:cs="Times New Roman"/>
        </w:rPr>
        <w:t>its</w:t>
      </w:r>
      <w:r w:rsidR="006D7A5C">
        <w:rPr>
          <w:rFonts w:ascii="Times New Roman" w:hAnsi="Times New Roman" w:cs="Times New Roman"/>
        </w:rPr>
        <w:t xml:space="preserve"> </w:t>
      </w:r>
      <w:r w:rsidR="00F75DFC">
        <w:rPr>
          <w:rFonts w:ascii="Times New Roman" w:hAnsi="Times New Roman" w:cs="Times New Roman"/>
        </w:rPr>
        <w:t>history, as well as the current status</w:t>
      </w:r>
      <w:r w:rsidR="006D7A5C">
        <w:rPr>
          <w:rFonts w:ascii="Times New Roman" w:hAnsi="Times New Roman" w:cs="Times New Roman"/>
        </w:rPr>
        <w:t xml:space="preserve"> of international law</w:t>
      </w:r>
      <w:r w:rsidR="007C18D5">
        <w:rPr>
          <w:rFonts w:ascii="Times New Roman" w:hAnsi="Times New Roman" w:cs="Times New Roman"/>
        </w:rPr>
        <w:t xml:space="preserve">, we </w:t>
      </w:r>
      <w:r w:rsidR="005D35DE">
        <w:rPr>
          <w:rFonts w:ascii="Times New Roman" w:hAnsi="Times New Roman" w:cs="Times New Roman"/>
        </w:rPr>
        <w:t>respectfully request that the Committee consider</w:t>
      </w:r>
      <w:r w:rsidR="00F75DFC">
        <w:rPr>
          <w:rFonts w:ascii="Times New Roman" w:hAnsi="Times New Roman" w:cs="Times New Roman"/>
        </w:rPr>
        <w:t xml:space="preserve"> including</w:t>
      </w:r>
      <w:r w:rsidR="005D35DE">
        <w:rPr>
          <w:rFonts w:ascii="Times New Roman" w:hAnsi="Times New Roman" w:cs="Times New Roman"/>
        </w:rPr>
        <w:t xml:space="preserve"> the following</w:t>
      </w:r>
      <w:r w:rsidR="00F75DFC">
        <w:rPr>
          <w:rFonts w:ascii="Times New Roman" w:hAnsi="Times New Roman" w:cs="Times New Roman"/>
        </w:rPr>
        <w:t xml:space="preserve"> considerations</w:t>
      </w:r>
      <w:r w:rsidR="005D35DE">
        <w:rPr>
          <w:rFonts w:ascii="Times New Roman" w:hAnsi="Times New Roman" w:cs="Times New Roman"/>
        </w:rPr>
        <w:t xml:space="preserve"> in its second reading of the general comment on the right to life</w:t>
      </w:r>
      <w:r w:rsidR="007C18D5">
        <w:rPr>
          <w:rFonts w:ascii="Times New Roman" w:hAnsi="Times New Roman" w:cs="Times New Roman"/>
        </w:rPr>
        <w:t>:</w:t>
      </w:r>
      <w:r w:rsidR="006D7A5C">
        <w:rPr>
          <w:rFonts w:ascii="Times New Roman" w:hAnsi="Times New Roman" w:cs="Times New Roman"/>
        </w:rPr>
        <w:t xml:space="preserve"> </w:t>
      </w:r>
      <w:r w:rsidR="0082580B">
        <w:rPr>
          <w:rFonts w:ascii="Times New Roman" w:hAnsi="Times New Roman" w:cs="Times New Roman"/>
        </w:rPr>
        <w:t xml:space="preserve"> </w:t>
      </w:r>
    </w:p>
    <w:p w14:paraId="12970FFE" w14:textId="00418628" w:rsidR="00507BA3" w:rsidRDefault="00A41AF6" w:rsidP="00D64186">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Emphasizing</w:t>
      </w:r>
      <w:r w:rsidR="00507BA3">
        <w:rPr>
          <w:rFonts w:ascii="Times New Roman" w:hAnsi="Times New Roman" w:cs="Times New Roman"/>
        </w:rPr>
        <w:t xml:space="preserve"> the i</w:t>
      </w:r>
      <w:r w:rsidR="00E82014">
        <w:rPr>
          <w:rFonts w:ascii="Times New Roman" w:hAnsi="Times New Roman" w:cs="Times New Roman"/>
        </w:rPr>
        <w:t>mportance o</w:t>
      </w:r>
      <w:r w:rsidR="00F75DFC">
        <w:rPr>
          <w:rFonts w:ascii="Times New Roman" w:hAnsi="Times New Roman" w:cs="Times New Roman"/>
        </w:rPr>
        <w:t>f non-discrimination, as well as</w:t>
      </w:r>
      <w:r w:rsidR="00E82014">
        <w:rPr>
          <w:rFonts w:ascii="Times New Roman" w:hAnsi="Times New Roman" w:cs="Times New Roman"/>
        </w:rPr>
        <w:t xml:space="preserve"> equality before the law</w:t>
      </w:r>
      <w:r w:rsidR="00F75DFC">
        <w:rPr>
          <w:rFonts w:ascii="Times New Roman" w:hAnsi="Times New Roman" w:cs="Times New Roman"/>
        </w:rPr>
        <w:t xml:space="preserve"> and equal protection of the law</w:t>
      </w:r>
      <w:r w:rsidR="00E82014">
        <w:rPr>
          <w:rFonts w:ascii="Times New Roman" w:hAnsi="Times New Roman" w:cs="Times New Roman"/>
        </w:rPr>
        <w:t>, especially in relation to gender- and sex-based discrimination</w:t>
      </w:r>
      <w:r w:rsidR="007C4305">
        <w:rPr>
          <w:rFonts w:ascii="Times New Roman" w:hAnsi="Times New Roman" w:cs="Times New Roman"/>
        </w:rPr>
        <w:t>,</w:t>
      </w:r>
      <w:r w:rsidR="0045289A">
        <w:rPr>
          <w:rFonts w:ascii="Times New Roman" w:hAnsi="Times New Roman" w:cs="Times New Roman"/>
        </w:rPr>
        <w:t xml:space="preserve"> </w:t>
      </w:r>
      <w:r w:rsidR="00214249">
        <w:rPr>
          <w:rFonts w:ascii="Times New Roman" w:hAnsi="Times New Roman" w:cs="Times New Roman"/>
        </w:rPr>
        <w:t xml:space="preserve">as well as </w:t>
      </w:r>
      <w:r w:rsidR="0045289A">
        <w:rPr>
          <w:rFonts w:ascii="Times New Roman" w:hAnsi="Times New Roman" w:cs="Times New Roman"/>
        </w:rPr>
        <w:t>intersect</w:t>
      </w:r>
      <w:r w:rsidR="006E685D">
        <w:rPr>
          <w:rFonts w:ascii="Times New Roman" w:hAnsi="Times New Roman" w:cs="Times New Roman"/>
        </w:rPr>
        <w:t>ion</w:t>
      </w:r>
      <w:r w:rsidR="0045289A">
        <w:rPr>
          <w:rFonts w:ascii="Times New Roman" w:hAnsi="Times New Roman" w:cs="Times New Roman"/>
        </w:rPr>
        <w:t>al discrimination,</w:t>
      </w:r>
      <w:r w:rsidR="00F75DFC">
        <w:rPr>
          <w:rFonts w:ascii="Times New Roman" w:hAnsi="Times New Roman" w:cs="Times New Roman"/>
        </w:rPr>
        <w:t xml:space="preserve"> in outlining S</w:t>
      </w:r>
      <w:r w:rsidR="00507BA3">
        <w:rPr>
          <w:rFonts w:ascii="Times New Roman" w:hAnsi="Times New Roman" w:cs="Times New Roman"/>
        </w:rPr>
        <w:t>tates</w:t>
      </w:r>
      <w:r w:rsidR="00F75DFC">
        <w:rPr>
          <w:rFonts w:ascii="Times New Roman" w:hAnsi="Times New Roman" w:cs="Times New Roman"/>
        </w:rPr>
        <w:t xml:space="preserve"> parties’</w:t>
      </w:r>
      <w:r w:rsidR="00507BA3">
        <w:rPr>
          <w:rFonts w:ascii="Times New Roman" w:hAnsi="Times New Roman" w:cs="Times New Roman"/>
        </w:rPr>
        <w:t xml:space="preserve"> obligations to realize the right to life</w:t>
      </w:r>
      <w:r w:rsidR="007C4305">
        <w:rPr>
          <w:rFonts w:ascii="Times New Roman" w:hAnsi="Times New Roman" w:cs="Times New Roman"/>
        </w:rPr>
        <w:t xml:space="preserve"> (paragraph 9)</w:t>
      </w:r>
      <w:r w:rsidR="00507BA3">
        <w:rPr>
          <w:rFonts w:ascii="Times New Roman" w:hAnsi="Times New Roman" w:cs="Times New Roman"/>
        </w:rPr>
        <w:t>;</w:t>
      </w:r>
    </w:p>
    <w:p w14:paraId="484D2B6F" w14:textId="33E883D1" w:rsidR="00507BA3" w:rsidRDefault="00507BA3" w:rsidP="00D64186">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Reaffirm</w:t>
      </w:r>
      <w:r w:rsidR="00F75DFC">
        <w:rPr>
          <w:rFonts w:ascii="Times New Roman" w:hAnsi="Times New Roman" w:cs="Times New Roman"/>
        </w:rPr>
        <w:t>ing S</w:t>
      </w:r>
      <w:r w:rsidR="00A41AF6">
        <w:rPr>
          <w:rFonts w:ascii="Times New Roman" w:hAnsi="Times New Roman" w:cs="Times New Roman"/>
        </w:rPr>
        <w:t>tates</w:t>
      </w:r>
      <w:r w:rsidR="00F75DFC">
        <w:rPr>
          <w:rFonts w:ascii="Times New Roman" w:hAnsi="Times New Roman" w:cs="Times New Roman"/>
        </w:rPr>
        <w:t xml:space="preserve"> parties</w:t>
      </w:r>
      <w:r w:rsidR="00A41AF6">
        <w:rPr>
          <w:rFonts w:ascii="Times New Roman" w:hAnsi="Times New Roman" w:cs="Times New Roman"/>
        </w:rPr>
        <w:t>’ obligations</w:t>
      </w:r>
      <w:r>
        <w:rPr>
          <w:rFonts w:ascii="Times New Roman" w:hAnsi="Times New Roman" w:cs="Times New Roman"/>
        </w:rPr>
        <w:t xml:space="preserve"> to guarantee access to safe and legal abortion in order to protect women’s</w:t>
      </w:r>
      <w:r w:rsidR="007C4305">
        <w:rPr>
          <w:rFonts w:ascii="Times New Roman" w:hAnsi="Times New Roman" w:cs="Times New Roman"/>
        </w:rPr>
        <w:t xml:space="preserve"> and girls’</w:t>
      </w:r>
      <w:r>
        <w:rPr>
          <w:rFonts w:ascii="Times New Roman" w:hAnsi="Times New Roman" w:cs="Times New Roman"/>
        </w:rPr>
        <w:t xml:space="preserve"> right to life, encompassing a</w:t>
      </w:r>
      <w:r w:rsidR="00F75DFC">
        <w:rPr>
          <w:rFonts w:ascii="Times New Roman" w:hAnsi="Times New Roman" w:cs="Times New Roman"/>
        </w:rPr>
        <w:t xml:space="preserve"> </w:t>
      </w:r>
      <w:r>
        <w:rPr>
          <w:rFonts w:ascii="Times New Roman" w:hAnsi="Times New Roman" w:cs="Times New Roman"/>
        </w:rPr>
        <w:t xml:space="preserve">call for </w:t>
      </w:r>
      <w:r w:rsidR="00F75DFC">
        <w:rPr>
          <w:rFonts w:ascii="Times New Roman" w:hAnsi="Times New Roman" w:cs="Times New Roman"/>
        </w:rPr>
        <w:t xml:space="preserve">immediate </w:t>
      </w:r>
      <w:r>
        <w:rPr>
          <w:rFonts w:ascii="Times New Roman" w:hAnsi="Times New Roman" w:cs="Times New Roman"/>
        </w:rPr>
        <w:t>de</w:t>
      </w:r>
      <w:r w:rsidR="007C18D5">
        <w:rPr>
          <w:rFonts w:ascii="Times New Roman" w:hAnsi="Times New Roman" w:cs="Times New Roman"/>
        </w:rPr>
        <w:t>criminalization and removal of</w:t>
      </w:r>
      <w:r>
        <w:rPr>
          <w:rFonts w:ascii="Times New Roman" w:hAnsi="Times New Roman" w:cs="Times New Roman"/>
        </w:rPr>
        <w:t xml:space="preserve"> barriers</w:t>
      </w:r>
      <w:r w:rsidR="007C18D5">
        <w:rPr>
          <w:rFonts w:ascii="Times New Roman" w:hAnsi="Times New Roman" w:cs="Times New Roman"/>
        </w:rPr>
        <w:t xml:space="preserve"> to abortion</w:t>
      </w:r>
      <w:r w:rsidR="007C4305">
        <w:rPr>
          <w:rFonts w:ascii="Times New Roman" w:hAnsi="Times New Roman" w:cs="Times New Roman"/>
        </w:rPr>
        <w:t xml:space="preserve"> (paragraph 9)</w:t>
      </w:r>
      <w:r>
        <w:rPr>
          <w:rFonts w:ascii="Times New Roman" w:hAnsi="Times New Roman" w:cs="Times New Roman"/>
        </w:rPr>
        <w:t>; and</w:t>
      </w:r>
    </w:p>
    <w:p w14:paraId="538828F3" w14:textId="269238CC" w:rsidR="008C2EE9" w:rsidRDefault="00A41AF6" w:rsidP="00D64186">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Realiz</w:t>
      </w:r>
      <w:r w:rsidR="0043711F">
        <w:rPr>
          <w:rFonts w:ascii="Times New Roman" w:hAnsi="Times New Roman" w:cs="Times New Roman"/>
        </w:rPr>
        <w:t>ing</w:t>
      </w:r>
      <w:r w:rsidR="00507BA3">
        <w:rPr>
          <w:rFonts w:ascii="Times New Roman" w:hAnsi="Times New Roman" w:cs="Times New Roman"/>
        </w:rPr>
        <w:t xml:space="preserve"> women’s </w:t>
      </w:r>
      <w:r w:rsidR="00DF1E78">
        <w:rPr>
          <w:rFonts w:ascii="Times New Roman" w:hAnsi="Times New Roman" w:cs="Times New Roman"/>
        </w:rPr>
        <w:t xml:space="preserve">enjoyment of the </w:t>
      </w:r>
      <w:r w:rsidR="00507BA3">
        <w:rPr>
          <w:rFonts w:ascii="Times New Roman" w:hAnsi="Times New Roman" w:cs="Times New Roman"/>
        </w:rPr>
        <w:t xml:space="preserve">right to life by ensuring access to </w:t>
      </w:r>
      <w:r w:rsidR="00687D0F">
        <w:rPr>
          <w:rFonts w:ascii="Times New Roman" w:hAnsi="Times New Roman" w:cs="Times New Roman"/>
        </w:rPr>
        <w:t xml:space="preserve">the full range </w:t>
      </w:r>
      <w:r w:rsidR="00507BA3">
        <w:rPr>
          <w:rFonts w:ascii="Times New Roman" w:hAnsi="Times New Roman" w:cs="Times New Roman"/>
        </w:rPr>
        <w:t xml:space="preserve">of </w:t>
      </w:r>
      <w:r w:rsidR="008E3E11">
        <w:rPr>
          <w:rFonts w:ascii="Times New Roman" w:hAnsi="Times New Roman" w:cs="Times New Roman"/>
        </w:rPr>
        <w:t xml:space="preserve">sexual and </w:t>
      </w:r>
      <w:r w:rsidR="00507BA3">
        <w:rPr>
          <w:rFonts w:ascii="Times New Roman" w:hAnsi="Times New Roman" w:cs="Times New Roman"/>
        </w:rPr>
        <w:t>reproductive health services, provided in a non-discriminatory m</w:t>
      </w:r>
      <w:r w:rsidR="00DF1E78">
        <w:rPr>
          <w:rFonts w:ascii="Times New Roman" w:hAnsi="Times New Roman" w:cs="Times New Roman"/>
        </w:rPr>
        <w:t>anner that respects</w:t>
      </w:r>
      <w:r w:rsidR="00507BA3">
        <w:rPr>
          <w:rFonts w:ascii="Times New Roman" w:hAnsi="Times New Roman" w:cs="Times New Roman"/>
        </w:rPr>
        <w:t xml:space="preserve"> informed consent</w:t>
      </w:r>
      <w:r w:rsidR="00DF1E78">
        <w:rPr>
          <w:rFonts w:ascii="Times New Roman" w:hAnsi="Times New Roman" w:cs="Times New Roman"/>
        </w:rPr>
        <w:t xml:space="preserve"> and confidentiality</w:t>
      </w:r>
      <w:r w:rsidR="007C4305">
        <w:rPr>
          <w:rFonts w:ascii="Times New Roman" w:hAnsi="Times New Roman" w:cs="Times New Roman"/>
        </w:rPr>
        <w:t xml:space="preserve"> (paragraph 30)</w:t>
      </w:r>
      <w:r w:rsidR="00507BA3">
        <w:rPr>
          <w:rFonts w:ascii="Times New Roman" w:hAnsi="Times New Roman" w:cs="Times New Roman"/>
        </w:rPr>
        <w:t>.</w:t>
      </w:r>
    </w:p>
    <w:p w14:paraId="5299A680" w14:textId="5FDB9645" w:rsidR="00507BA3" w:rsidRDefault="007B0193" w:rsidP="007B0193">
      <w:pPr>
        <w:tabs>
          <w:tab w:val="left" w:pos="3700"/>
        </w:tabs>
      </w:pPr>
      <w:r>
        <w:tab/>
      </w:r>
    </w:p>
    <w:p w14:paraId="12F3276D" w14:textId="16F35C0A" w:rsidR="008C2EE9" w:rsidRDefault="008C2EE9" w:rsidP="008C2EE9">
      <w:pPr>
        <w:spacing w:after="0" w:line="240" w:lineRule="auto"/>
        <w:jc w:val="both"/>
        <w:rPr>
          <w:rFonts w:ascii="Times New Roman" w:hAnsi="Times New Roman" w:cs="Times New Roman"/>
          <w:i/>
        </w:rPr>
      </w:pPr>
      <w:r w:rsidRPr="000070C1">
        <w:rPr>
          <w:rFonts w:ascii="Times New Roman" w:hAnsi="Times New Roman" w:cs="Times New Roman"/>
          <w:i/>
        </w:rPr>
        <w:t xml:space="preserve">In addition to the core organizations that </w:t>
      </w:r>
      <w:r>
        <w:rPr>
          <w:rFonts w:ascii="Times New Roman" w:hAnsi="Times New Roman" w:cs="Times New Roman"/>
          <w:i/>
        </w:rPr>
        <w:t>formally submitted</w:t>
      </w:r>
      <w:r w:rsidRPr="000070C1">
        <w:rPr>
          <w:rFonts w:ascii="Times New Roman" w:hAnsi="Times New Roman" w:cs="Times New Roman"/>
          <w:i/>
        </w:rPr>
        <w:t xml:space="preserve"> this comment, the following organizations </w:t>
      </w:r>
      <w:r>
        <w:rPr>
          <w:rFonts w:ascii="Times New Roman" w:hAnsi="Times New Roman" w:cs="Times New Roman"/>
          <w:i/>
        </w:rPr>
        <w:t xml:space="preserve">and individuals </w:t>
      </w:r>
      <w:r w:rsidRPr="000070C1">
        <w:rPr>
          <w:rFonts w:ascii="Times New Roman" w:hAnsi="Times New Roman" w:cs="Times New Roman"/>
          <w:i/>
        </w:rPr>
        <w:t>endorse the content</w:t>
      </w:r>
      <w:r>
        <w:rPr>
          <w:rFonts w:ascii="Times New Roman" w:hAnsi="Times New Roman" w:cs="Times New Roman"/>
          <w:i/>
        </w:rPr>
        <w:t>s</w:t>
      </w:r>
      <w:r w:rsidRPr="000070C1">
        <w:rPr>
          <w:rFonts w:ascii="Times New Roman" w:hAnsi="Times New Roman" w:cs="Times New Roman"/>
          <w:i/>
        </w:rPr>
        <w:t xml:space="preserve"> of this submission:</w:t>
      </w:r>
    </w:p>
    <w:p w14:paraId="111EB657" w14:textId="64293BC5" w:rsidR="0078388D" w:rsidRDefault="0078388D" w:rsidP="008C2EE9">
      <w:pPr>
        <w:spacing w:after="0" w:line="240" w:lineRule="auto"/>
        <w:jc w:val="both"/>
        <w:rPr>
          <w:rFonts w:ascii="Times New Roman" w:hAnsi="Times New Roman" w:cs="Times New Roman"/>
          <w:i/>
        </w:rPr>
      </w:pPr>
    </w:p>
    <w:p w14:paraId="65F48E9E"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Acciones Estratégicas por los Derechos Humanos (ACCEDER), Costa Rica</w:t>
      </w:r>
    </w:p>
    <w:p w14:paraId="7210276D"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Action Canada for Sexual Health and Rights</w:t>
      </w:r>
    </w:p>
    <w:p w14:paraId="70C56D3E" w14:textId="22114831"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Alicia Ely Yamin, JD MPH, Georgetown University, USA</w:t>
      </w:r>
      <w:r w:rsidR="00341A9A">
        <w:rPr>
          <w:rFonts w:ascii="Times New Roman" w:hAnsi="Times New Roman" w:cs="Times New Roman"/>
        </w:rPr>
        <w:t>*</w:t>
      </w:r>
    </w:p>
    <w:p w14:paraId="60FCCC0C" w14:textId="05B2F2F4" w:rsid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Amrita Basu, Paino Professor of Political Science and Sexuality – Women's and Gender Studies, Amherst College, USA</w:t>
      </w:r>
      <w:r w:rsidR="00341A9A">
        <w:rPr>
          <w:rFonts w:ascii="Times New Roman" w:hAnsi="Times New Roman" w:cs="Times New Roman"/>
        </w:rPr>
        <w:t>*</w:t>
      </w:r>
    </w:p>
    <w:p w14:paraId="3D1F2593" w14:textId="7F014339" w:rsidR="00D54510" w:rsidRPr="00C175E8" w:rsidRDefault="00D54510" w:rsidP="00295665">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American Civil Liberties Union (ACLU)</w:t>
      </w:r>
    </w:p>
    <w:p w14:paraId="5D2CD12F"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Anis - Institute of Bioethics, Human Rights and Gender, Brazil</w:t>
      </w:r>
    </w:p>
    <w:p w14:paraId="1B61D656" w14:textId="7468539B"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Anupam Shukla, Secretariat, Pratigya - Campaign for Gender Equality and Safe Abortion, India</w:t>
      </w:r>
      <w:r w:rsidR="00341A9A">
        <w:rPr>
          <w:rFonts w:ascii="Times New Roman" w:hAnsi="Times New Roman" w:cs="Times New Roman"/>
        </w:rPr>
        <w:t>*</w:t>
      </w:r>
    </w:p>
    <w:p w14:paraId="1368680D"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Articulación Feminista Marcosur</w:t>
      </w:r>
    </w:p>
    <w:p w14:paraId="276C8727"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Asia Pacific Forum on Women, Law and Development (APWLD)</w:t>
      </w:r>
    </w:p>
    <w:p w14:paraId="0989A123"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Association for Women's Rights in Development (AWID)</w:t>
      </w:r>
    </w:p>
    <w:p w14:paraId="7FF77781"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ASTRA Network, Central and Eastern European Network for Sexual and Reproductive Health and Rights</w:t>
      </w:r>
    </w:p>
    <w:p w14:paraId="53B08E1E"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British Pregnancy Advisory Service (BPAS)</w:t>
      </w:r>
    </w:p>
    <w:p w14:paraId="3748F149"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Cambridge Reproductive Health Consultants, USA</w:t>
      </w:r>
    </w:p>
    <w:p w14:paraId="045D55F0"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Catholics for Choice</w:t>
      </w:r>
    </w:p>
    <w:p w14:paraId="0BB6988E"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Católicas pelo Direito de Decidir – Brasil</w:t>
      </w:r>
    </w:p>
    <w:p w14:paraId="7707342F"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Center for Education, Counselling and Research (CESI), Croatia</w:t>
      </w:r>
    </w:p>
    <w:p w14:paraId="6A69DC8B"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Centro de Derechos de Mujeres (CDM) Honduras</w:t>
      </w:r>
    </w:p>
    <w:p w14:paraId="7A3EA8DE" w14:textId="2D014DE5" w:rsid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Centro de Promoción y Defensa de los Derechos Sexuales y Reproductivos (PROMSEX), Peru</w:t>
      </w:r>
    </w:p>
    <w:p w14:paraId="26162036" w14:textId="12F8055B" w:rsidR="007B3CA8" w:rsidRPr="00C175E8" w:rsidRDefault="007B3CA8" w:rsidP="007B3CA8">
      <w:pPr>
        <w:pStyle w:val="ListParagraph"/>
        <w:numPr>
          <w:ilvl w:val="0"/>
          <w:numId w:val="10"/>
        </w:numPr>
        <w:spacing w:after="0" w:line="240" w:lineRule="auto"/>
        <w:jc w:val="both"/>
        <w:rPr>
          <w:rFonts w:ascii="Times New Roman" w:hAnsi="Times New Roman" w:cs="Times New Roman"/>
        </w:rPr>
      </w:pPr>
      <w:r w:rsidRPr="007B3CA8">
        <w:rPr>
          <w:rFonts w:ascii="Times New Roman" w:hAnsi="Times New Roman" w:cs="Times New Roman"/>
        </w:rPr>
        <w:t>Centro Feminista de Estudos e Assessoria (CFEMEA), Brazil</w:t>
      </w:r>
    </w:p>
    <w:p w14:paraId="50E14DD3"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Cepam Guayaquil, Ecuador</w:t>
      </w:r>
    </w:p>
    <w:p w14:paraId="6E73772F" w14:textId="170B94E5"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Chantal Umuhoza, Spectra, Rwanda</w:t>
      </w:r>
      <w:r w:rsidR="00341A9A">
        <w:rPr>
          <w:rFonts w:ascii="Times New Roman" w:hAnsi="Times New Roman" w:cs="Times New Roman"/>
        </w:rPr>
        <w:t>*</w:t>
      </w:r>
    </w:p>
    <w:p w14:paraId="5EB0369D"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Cidadania, Estudo, Pesquisa, Informação e Ação (Citizenship, Study, Information and Action, CEPIA), Brazil</w:t>
      </w:r>
    </w:p>
    <w:p w14:paraId="292C1EA5"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lastRenderedPageBreak/>
        <w:t>Clacai- Grupo Jurídico, Latin America and the Caribbean</w:t>
      </w:r>
    </w:p>
    <w:p w14:paraId="1CA07237"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Conectas Human Rights, Brazil</w:t>
      </w:r>
    </w:p>
    <w:p w14:paraId="524A6C64"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Coordinadora Andina de Organizaciones indigenas / Andean Network of Indigenous Organizations (CAOI)</w:t>
      </w:r>
    </w:p>
    <w:p w14:paraId="0C2D0BF4"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Corporación Miles, Chile</w:t>
      </w:r>
    </w:p>
    <w:p w14:paraId="37303807"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DEMUS, Peru</w:t>
      </w:r>
    </w:p>
    <w:p w14:paraId="4FE23AB6"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Development Alternatives with Women for a New Era (DAWN)</w:t>
      </w:r>
    </w:p>
    <w:p w14:paraId="34F32D9D"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ECUARUNARI (Confederation of Kichwa Peoples of Ecuador)</w:t>
      </w:r>
    </w:p>
    <w:p w14:paraId="70299D2D"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Equipo Latinoamericano de Justicia y Género (ELA)</w:t>
      </w:r>
    </w:p>
    <w:p w14:paraId="077FA995"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European Humanist Federation</w:t>
      </w:r>
    </w:p>
    <w:p w14:paraId="479971B3"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Family Planning New Zealand</w:t>
      </w:r>
    </w:p>
    <w:p w14:paraId="64ABBF2F"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Federación de Planificación Familiar Estatal (FPFE), Spain</w:t>
      </w:r>
    </w:p>
    <w:p w14:paraId="2BD26224"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Federation for Women and Family Planning, Poland</w:t>
      </w:r>
    </w:p>
    <w:p w14:paraId="410BC06A"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FIAN International</w:t>
      </w:r>
    </w:p>
    <w:p w14:paraId="7AE18B54" w14:textId="7F7BF241"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Forum for Women, Law and Development (FWLD), Nepal</w:t>
      </w:r>
    </w:p>
    <w:p w14:paraId="39AB1A24"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Fundación Oriéntame, Colombia</w:t>
      </w:r>
    </w:p>
    <w:p w14:paraId="74169E08" w14:textId="530279C5"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Global Health Justice Partnership, Yale Law School*</w:t>
      </w:r>
      <w:r w:rsidR="00917470">
        <w:rPr>
          <w:rFonts w:ascii="Times New Roman" w:hAnsi="Times New Roman" w:cs="Times New Roman"/>
        </w:rPr>
        <w:t>*</w:t>
      </w:r>
    </w:p>
    <w:p w14:paraId="22B999A3"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Global Justice Center</w:t>
      </w:r>
    </w:p>
    <w:p w14:paraId="4547B817"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Grupo Curumim, Brazil</w:t>
      </w:r>
    </w:p>
    <w:p w14:paraId="6B6E14D5"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Grupo de Información en Reproducción Elegida, AC, Gire Mexico</w:t>
      </w:r>
    </w:p>
    <w:p w14:paraId="79221E58"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Hungarian Civil Liberties Union (HCLU - TASZ)</w:t>
      </w:r>
    </w:p>
    <w:p w14:paraId="2CF3169F"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Instituto de Liderazgo Simone de Beauvoir (ILSB - Mexico)</w:t>
      </w:r>
    </w:p>
    <w:p w14:paraId="04B7A6F6"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International Campaign for Women's Right to Safe Abortion</w:t>
      </w:r>
    </w:p>
    <w:p w14:paraId="148CCCA3"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International Humanist and Ethical Union (IHEU)</w:t>
      </w:r>
    </w:p>
    <w:p w14:paraId="78935590"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International Planned Parenthood Federation (IPPF)</w:t>
      </w:r>
    </w:p>
    <w:p w14:paraId="47467909"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 xml:space="preserve">International Women's Health Coalition (IWHC) </w:t>
      </w:r>
    </w:p>
    <w:p w14:paraId="759E34B2"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Irish Family Planning Association (IFPA)</w:t>
      </w:r>
    </w:p>
    <w:p w14:paraId="5158761E"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JuRI-Nepal</w:t>
      </w:r>
    </w:p>
    <w:p w14:paraId="49B834A4" w14:textId="4D8C3BDF" w:rsid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Justice for All, Nepal</w:t>
      </w:r>
    </w:p>
    <w:p w14:paraId="17E1B50D" w14:textId="56513F65" w:rsidR="00217F28" w:rsidRPr="00C175E8" w:rsidRDefault="00217F28" w:rsidP="00295665">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KARAT Coalition, </w:t>
      </w:r>
      <w:r w:rsidR="00F204BF" w:rsidRPr="00F204BF">
        <w:rPr>
          <w:rFonts w:ascii="Times New Roman" w:hAnsi="Times New Roman" w:cs="Times New Roman"/>
        </w:rPr>
        <w:t>Central &amp; Eastern Europe and Central Asia</w:t>
      </w:r>
    </w:p>
    <w:p w14:paraId="3AC845F4"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La Mesa por la Vida y la Salud de las Mujeres, Colombia</w:t>
      </w:r>
    </w:p>
    <w:p w14:paraId="30307B55" w14:textId="68A49B6E"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Manuela L. Picq, Visiting Associate Professor, Departments of Political Science and Sexuality, Women’s and Gender Studies Amherst College, USA</w:t>
      </w:r>
      <w:r w:rsidR="00341A9A">
        <w:rPr>
          <w:rFonts w:ascii="Times New Roman" w:hAnsi="Times New Roman" w:cs="Times New Roman"/>
        </w:rPr>
        <w:t>*</w:t>
      </w:r>
    </w:p>
    <w:p w14:paraId="4EF82F9D" w14:textId="699F8F6C"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Maria Luiza Heilborn PhD, Associate Professor - Social Medicine Institute, Rio de Janeiro State University, Brazil</w:t>
      </w:r>
      <w:r w:rsidR="00341A9A">
        <w:rPr>
          <w:rFonts w:ascii="Times New Roman" w:hAnsi="Times New Roman" w:cs="Times New Roman"/>
        </w:rPr>
        <w:t>*</w:t>
      </w:r>
    </w:p>
    <w:p w14:paraId="22477BAB"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Marie Stopes International</w:t>
      </w:r>
    </w:p>
    <w:p w14:paraId="2B601C99" w14:textId="3DA46185"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Melania Amorim, MD, PhD, Brazil</w:t>
      </w:r>
      <w:r w:rsidR="00341A9A">
        <w:rPr>
          <w:rFonts w:ascii="Times New Roman" w:hAnsi="Times New Roman" w:cs="Times New Roman"/>
        </w:rPr>
        <w:t>*</w:t>
      </w:r>
    </w:p>
    <w:p w14:paraId="2135EC61" w14:textId="54932F89"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Mindy Roseman, Yale Law School, USA</w:t>
      </w:r>
      <w:r w:rsidR="00341A9A">
        <w:rPr>
          <w:rFonts w:ascii="Times New Roman" w:hAnsi="Times New Roman" w:cs="Times New Roman"/>
        </w:rPr>
        <w:t>*</w:t>
      </w:r>
    </w:p>
    <w:p w14:paraId="2CBA1410"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National Advocates for Pregnant Women, USA</w:t>
      </w:r>
    </w:p>
    <w:p w14:paraId="79A086F2"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Network for Adolescents and Youth of Africa (NAYA KENYA)</w:t>
      </w:r>
    </w:p>
    <w:p w14:paraId="1E65E9A7"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Planned Parenthood Global (PPFA)</w:t>
      </w:r>
    </w:p>
    <w:p w14:paraId="46C16955"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Population Services International (PSI)</w:t>
      </w:r>
    </w:p>
    <w:p w14:paraId="04F2CE87"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Population, Reproductive, and Sexual Health Section - American Public Health Association, USA</w:t>
      </w:r>
    </w:p>
    <w:p w14:paraId="71E9D30D" w14:textId="002EB8A4" w:rsid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Realizing Sexual and Reproductive Justice Alliance (RESURJ)</w:t>
      </w:r>
    </w:p>
    <w:p w14:paraId="1B6E20C8" w14:textId="0ED5108C" w:rsidR="007C755D" w:rsidRPr="00C175E8" w:rsidRDefault="007C755D" w:rsidP="007C755D">
      <w:pPr>
        <w:pStyle w:val="ListParagraph"/>
        <w:numPr>
          <w:ilvl w:val="0"/>
          <w:numId w:val="10"/>
        </w:numPr>
        <w:spacing w:after="0" w:line="240" w:lineRule="auto"/>
        <w:jc w:val="both"/>
        <w:rPr>
          <w:rFonts w:ascii="Times New Roman" w:hAnsi="Times New Roman" w:cs="Times New Roman"/>
        </w:rPr>
      </w:pPr>
      <w:r w:rsidRPr="007C755D">
        <w:rPr>
          <w:rFonts w:ascii="Times New Roman" w:hAnsi="Times New Roman" w:cs="Times New Roman"/>
        </w:rPr>
        <w:t>Rede de Desenvolvimento Humano (REDEH), Brazil</w:t>
      </w:r>
    </w:p>
    <w:p w14:paraId="32529AE6"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Rutgers, Netherlands</w:t>
      </w:r>
    </w:p>
    <w:p w14:paraId="260D4917"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Sexual Rights Initiative (SRI)</w:t>
      </w:r>
    </w:p>
    <w:p w14:paraId="66B9C188"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Sexuality Policy Watch, Rio de Janeiro, Brazil</w:t>
      </w:r>
    </w:p>
    <w:p w14:paraId="7F4277DD"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lastRenderedPageBreak/>
        <w:t xml:space="preserve">SIA Legal Team, USA </w:t>
      </w:r>
    </w:p>
    <w:p w14:paraId="33FD43FC" w14:textId="3B225EE1"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Vs Chandrashekar, Chief Executive Officer, Foundation for Reproductive Health Services India (FRHS India)</w:t>
      </w:r>
      <w:r w:rsidR="00341A9A">
        <w:rPr>
          <w:rFonts w:ascii="Times New Roman" w:hAnsi="Times New Roman" w:cs="Times New Roman"/>
        </w:rPr>
        <w:t>*</w:t>
      </w:r>
    </w:p>
    <w:p w14:paraId="1625E734" w14:textId="77777777"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 xml:space="preserve">Women and Media Collective, Sri Lanka </w:t>
      </w:r>
    </w:p>
    <w:p w14:paraId="47236266" w14:textId="6AEACDE9" w:rsid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Women's Global Network for Reproductive Rights</w:t>
      </w:r>
    </w:p>
    <w:p w14:paraId="4CEA547C" w14:textId="54AF3761" w:rsidR="000D3D22" w:rsidRPr="00C175E8" w:rsidRDefault="000D3D22" w:rsidP="00295665">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White Ribbon Alliance</w:t>
      </w:r>
    </w:p>
    <w:p w14:paraId="1CE6ECAE" w14:textId="11C2955A" w:rsidR="00C175E8" w:rsidRPr="00C175E8" w:rsidRDefault="00C175E8" w:rsidP="00295665">
      <w:pPr>
        <w:pStyle w:val="ListParagraph"/>
        <w:numPr>
          <w:ilvl w:val="0"/>
          <w:numId w:val="10"/>
        </w:numPr>
        <w:spacing w:after="0" w:line="240" w:lineRule="auto"/>
        <w:jc w:val="both"/>
        <w:rPr>
          <w:rFonts w:ascii="Times New Roman" w:hAnsi="Times New Roman" w:cs="Times New Roman"/>
        </w:rPr>
      </w:pPr>
      <w:r w:rsidRPr="00C175E8">
        <w:rPr>
          <w:rFonts w:ascii="Times New Roman" w:hAnsi="Times New Roman" w:cs="Times New Roman"/>
        </w:rPr>
        <w:t>Yaku Perez Guartambel, President of ECUARUNARI / Coordinator of CAOI</w:t>
      </w:r>
      <w:r w:rsidR="00341A9A">
        <w:rPr>
          <w:rFonts w:ascii="Times New Roman" w:hAnsi="Times New Roman" w:cs="Times New Roman"/>
        </w:rPr>
        <w:t>*</w:t>
      </w:r>
    </w:p>
    <w:p w14:paraId="522DE090" w14:textId="77777777" w:rsidR="003376E8" w:rsidRPr="003376E8" w:rsidRDefault="003376E8" w:rsidP="003376E8">
      <w:pPr>
        <w:spacing w:after="0" w:line="240" w:lineRule="auto"/>
        <w:rPr>
          <w:rFonts w:ascii="Times New Roman" w:hAnsi="Times New Roman" w:cs="Times New Roman"/>
        </w:rPr>
      </w:pPr>
    </w:p>
    <w:p w14:paraId="4F26046E" w14:textId="175519A0" w:rsidR="00917470" w:rsidRDefault="00917470" w:rsidP="00917470">
      <w:pPr>
        <w:spacing w:after="0"/>
        <w:rPr>
          <w:rFonts w:ascii="Times New Roman" w:hAnsi="Times New Roman" w:cs="Times New Roman"/>
          <w:sz w:val="18"/>
          <w:szCs w:val="18"/>
        </w:rPr>
      </w:pPr>
      <w:r>
        <w:rPr>
          <w:rFonts w:ascii="Times New Roman" w:hAnsi="Times New Roman" w:cs="Times New Roman"/>
          <w:sz w:val="18"/>
          <w:szCs w:val="18"/>
        </w:rPr>
        <w:t>* Endorsing in their individual capacity</w:t>
      </w:r>
    </w:p>
    <w:p w14:paraId="6A2703FC" w14:textId="45FC3C38" w:rsidR="002375D8" w:rsidRPr="00620AF6" w:rsidRDefault="002375D8" w:rsidP="00917470">
      <w:pPr>
        <w:spacing w:after="0"/>
        <w:rPr>
          <w:rFonts w:ascii="Times New Roman" w:hAnsi="Times New Roman" w:cs="Times New Roman"/>
          <w:sz w:val="18"/>
          <w:szCs w:val="18"/>
        </w:rPr>
      </w:pPr>
      <w:r w:rsidRPr="00620AF6">
        <w:rPr>
          <w:rFonts w:ascii="Times New Roman" w:hAnsi="Times New Roman" w:cs="Times New Roman"/>
          <w:sz w:val="18"/>
          <w:szCs w:val="18"/>
        </w:rPr>
        <w:t>*</w:t>
      </w:r>
      <w:r w:rsidR="00917470">
        <w:rPr>
          <w:rFonts w:ascii="Times New Roman" w:hAnsi="Times New Roman" w:cs="Times New Roman"/>
          <w:sz w:val="18"/>
          <w:szCs w:val="18"/>
        </w:rPr>
        <w:t>*</w:t>
      </w:r>
      <w:r w:rsidRPr="00620AF6">
        <w:rPr>
          <w:rFonts w:ascii="Times New Roman" w:eastAsia="Times New Roman" w:hAnsi="Times New Roman" w:cs="Times New Roman"/>
          <w:sz w:val="18"/>
          <w:szCs w:val="18"/>
        </w:rPr>
        <w:t xml:space="preserve"> </w:t>
      </w:r>
      <w:r w:rsidRPr="00620AF6">
        <w:rPr>
          <w:rFonts w:ascii="Times New Roman" w:hAnsi="Times New Roman" w:cs="Times New Roman"/>
          <w:sz w:val="18"/>
          <w:szCs w:val="18"/>
        </w:rPr>
        <w:t>This endorsement reflects the view of the Global Health Justice Partnership only, and not that of Yale Law School.</w:t>
      </w:r>
    </w:p>
    <w:sectPr w:rsidR="002375D8" w:rsidRPr="00620AF6" w:rsidSect="005303E6">
      <w:headerReference w:type="even" r:id="rId13"/>
      <w:headerReference w:type="default" r:id="rId14"/>
      <w:footerReference w:type="default" r:id="rId15"/>
      <w:headerReference w:type="first" r:id="rId16"/>
      <w:footnotePr>
        <w:numFmt w:val="chicago"/>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F8CF3" w14:textId="77777777" w:rsidR="00F719BB" w:rsidRDefault="00F719BB" w:rsidP="00E7182C">
      <w:pPr>
        <w:spacing w:after="0" w:line="240" w:lineRule="auto"/>
      </w:pPr>
      <w:r>
        <w:separator/>
      </w:r>
    </w:p>
  </w:endnote>
  <w:endnote w:type="continuationSeparator" w:id="0">
    <w:p w14:paraId="57EE64BA" w14:textId="77777777" w:rsidR="00F719BB" w:rsidRDefault="00F719BB" w:rsidP="00E7182C">
      <w:pPr>
        <w:spacing w:after="0" w:line="240" w:lineRule="auto"/>
      </w:pPr>
      <w:r>
        <w:continuationSeparator/>
      </w:r>
    </w:p>
  </w:endnote>
  <w:endnote w:id="1">
    <w:p w14:paraId="7CB5CFA9" w14:textId="7DF17C7E" w:rsidR="00CC4F76" w:rsidRPr="002670A4" w:rsidRDefault="00CC4F76" w:rsidP="002C3104">
      <w:pPr>
        <w:pStyle w:val="EndnoteText"/>
        <w:rPr>
          <w:rFonts w:cstheme="minorHAnsi"/>
          <w:highlight w:val="yellow"/>
        </w:rPr>
      </w:pPr>
      <w:r w:rsidRPr="00C827EA">
        <w:rPr>
          <w:rStyle w:val="EndnoteReference"/>
          <w:rFonts w:cstheme="minorHAnsi"/>
        </w:rPr>
        <w:endnoteRef/>
      </w:r>
      <w:r w:rsidRPr="00C827EA">
        <w:rPr>
          <w:rFonts w:cstheme="minorHAnsi"/>
        </w:rPr>
        <w:t xml:space="preserve"> </w:t>
      </w:r>
      <w:r w:rsidRPr="00C827EA">
        <w:rPr>
          <w:rFonts w:cstheme="minorHAnsi"/>
          <w:i/>
        </w:rPr>
        <w:t>See</w:t>
      </w:r>
      <w:r w:rsidRPr="00C827EA">
        <w:rPr>
          <w:rFonts w:cstheme="minorHAnsi"/>
        </w:rPr>
        <w:t xml:space="preserve"> </w:t>
      </w:r>
      <w:r w:rsidR="00C827EA" w:rsidRPr="00C827EA">
        <w:rPr>
          <w:rFonts w:cstheme="minorHAnsi"/>
        </w:rPr>
        <w:t xml:space="preserve">Human Rights Committee, </w:t>
      </w:r>
      <w:r w:rsidR="00C827EA" w:rsidRPr="00C827EA">
        <w:rPr>
          <w:rFonts w:cstheme="minorHAnsi"/>
          <w:i/>
        </w:rPr>
        <w:t>Draft General Comment on Article 6 of the International Covenant on Civil and Political Rights – Rights to Life</w:t>
      </w:r>
      <w:r w:rsidR="00C827EA" w:rsidRPr="00C827EA">
        <w:rPr>
          <w:rFonts w:cstheme="minorHAnsi"/>
        </w:rPr>
        <w:t xml:space="preserve">, para. 3 as currently formulated and para. 30 (advanced unedited version) [hereinafter Human Rights Committee, </w:t>
      </w:r>
      <w:r w:rsidR="00C827EA" w:rsidRPr="00C827EA">
        <w:rPr>
          <w:rFonts w:cstheme="minorHAnsi"/>
          <w:i/>
        </w:rPr>
        <w:t>Draft General Comment on Article 6</w:t>
      </w:r>
      <w:r w:rsidR="00C827EA" w:rsidRPr="00C827EA">
        <w:rPr>
          <w:rFonts w:cstheme="minorHAnsi"/>
        </w:rPr>
        <w:t>].</w:t>
      </w:r>
    </w:p>
  </w:endnote>
  <w:endnote w:id="2">
    <w:p w14:paraId="3F759C00" w14:textId="3F377187" w:rsidR="00CC4F76" w:rsidRPr="00297E7D" w:rsidRDefault="00CC4F76" w:rsidP="002C3104">
      <w:pPr>
        <w:pStyle w:val="EndnoteText"/>
        <w:rPr>
          <w:rFonts w:cstheme="minorHAnsi"/>
        </w:rPr>
      </w:pPr>
      <w:r w:rsidRPr="00856F0A">
        <w:rPr>
          <w:rStyle w:val="EndnoteReference"/>
          <w:rFonts w:cstheme="minorHAnsi"/>
        </w:rPr>
        <w:endnoteRef/>
      </w:r>
      <w:r w:rsidRPr="00856F0A">
        <w:rPr>
          <w:rFonts w:cstheme="minorHAnsi"/>
        </w:rPr>
        <w:t xml:space="preserve"> </w:t>
      </w:r>
      <w:r w:rsidR="00C827EA" w:rsidRPr="00856F0A">
        <w:rPr>
          <w:rFonts w:cstheme="minorHAnsi"/>
          <w:i/>
        </w:rPr>
        <w:t>See id.</w:t>
      </w:r>
      <w:r w:rsidR="00C827EA" w:rsidRPr="00856F0A">
        <w:rPr>
          <w:rFonts w:cstheme="minorHAnsi"/>
        </w:rPr>
        <w:t xml:space="preserve">, </w:t>
      </w:r>
      <w:r w:rsidRPr="00856F0A">
        <w:rPr>
          <w:rFonts w:cstheme="minorHAnsi"/>
        </w:rPr>
        <w:t>para. 30, as well as paras</w:t>
      </w:r>
      <w:r w:rsidR="00C827EA" w:rsidRPr="00856F0A">
        <w:rPr>
          <w:rFonts w:cstheme="minorHAnsi"/>
        </w:rPr>
        <w:t>.</w:t>
      </w:r>
      <w:r w:rsidRPr="00856F0A">
        <w:rPr>
          <w:rFonts w:cstheme="minorHAnsi"/>
        </w:rPr>
        <w:t xml:space="preserve"> 3, 10 and 65 as currently formulated.</w:t>
      </w:r>
    </w:p>
  </w:endnote>
  <w:endnote w:id="3">
    <w:p w14:paraId="1D4A6965" w14:textId="2B80EA94"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The negotiating history of several human rights instruments, including the </w:t>
      </w:r>
      <w:r w:rsidRPr="002670A4">
        <w:rPr>
          <w:rFonts w:cstheme="minorHAnsi"/>
          <w:i/>
        </w:rPr>
        <w:t>travaux preparatoires</w:t>
      </w:r>
      <w:r w:rsidRPr="002670A4">
        <w:rPr>
          <w:rFonts w:cstheme="minorHAnsi"/>
        </w:rPr>
        <w:t xml:space="preserve"> of this Covenant, suggest that article 6, as well as human rights more generally, vest at birth. </w:t>
      </w:r>
      <w:r w:rsidRPr="002670A4">
        <w:rPr>
          <w:rFonts w:cstheme="minorHAnsi"/>
          <w:i/>
        </w:rPr>
        <w:t>See</w:t>
      </w:r>
      <w:r w:rsidRPr="002670A4">
        <w:rPr>
          <w:rFonts w:cstheme="minorHAnsi"/>
        </w:rPr>
        <w:t xml:space="preserve">, U.N. GAOR Annex, 12th Sess., Agenda Item 33, at 113, U.N. Doc. A/C.3/L.654 (1957); U.N. GAOR, 12th Sess., Agenda Item 33, at 199(q), U.N. Doc. A/3764 (1957). The proposed and rejected text read, “the right to life is inherent in the human person from the moment of conception.” </w:t>
      </w:r>
      <w:r w:rsidRPr="002670A4">
        <w:rPr>
          <w:rFonts w:cstheme="minorHAnsi"/>
          <w:i/>
        </w:rPr>
        <w:t>See also</w:t>
      </w:r>
      <w:r w:rsidRPr="002670A4">
        <w:rPr>
          <w:rFonts w:cstheme="minorHAnsi"/>
        </w:rPr>
        <w:t xml:space="preserve"> U.N. GAOR 3rd Comm., 99th mtg., paras 110-124, U.N. Doc. A/PV/99 (1948); Question of a Convention on the Rights of the Child: Rep. of the Working Group, U.N. Comm’n on Human Rights, 36th Sess., U.N. Doc. E/CN.4/L.1542 (1980). </w:t>
      </w:r>
      <w:r w:rsidRPr="002670A4">
        <w:rPr>
          <w:rFonts w:cstheme="minorHAnsi"/>
          <w:i/>
        </w:rPr>
        <w:t>See also</w:t>
      </w:r>
      <w:r w:rsidRPr="002670A4">
        <w:rPr>
          <w:rFonts w:cstheme="minorHAnsi"/>
        </w:rPr>
        <w:t xml:space="preserve"> Rep. of the Working Group on a Draft Convention on the Rights of the Child, U.N. Comm’n on Human Rights, 45th Sess., at 11, U.N. Doc. E/CN.4/1989/48 (1989).</w:t>
      </w:r>
    </w:p>
  </w:endnote>
  <w:endnote w:id="4">
    <w:p w14:paraId="51623793" w14:textId="712B5B37"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This approach is reinforced by regional instruments, as well as national jurisprudence. The drafters of the African Charter explicitly rejected language extending the right to life prior to birth - compare Frans Viljoen, The African Charter on Human and People’s Rights/The Travaux Préparatoires in the Light of Subsequent Practice, 25 HUM. RTS. L.J. 313, 314 (2004) (noting that the drafters of the African Charter relied largely on the American Convention on Human Rights), with Draft African Charter on Human and Peoples’ Rights, art. 17, O.A.U. Doc. CAB/LEG/67/1 (1979) (adopting the language of art. 4(1) of the American Convention on Human Rights, but replacing “moment of conception” with the “moment of his birth”). The European Court of Human Rights declined to find that a fetus enjoys the right to life under the European Convention – </w:t>
      </w:r>
      <w:r w:rsidRPr="002670A4">
        <w:rPr>
          <w:rFonts w:cstheme="minorHAnsi"/>
          <w:i/>
        </w:rPr>
        <w:t>see</w:t>
      </w:r>
      <w:r w:rsidRPr="002670A4">
        <w:rPr>
          <w:rFonts w:cstheme="minorHAnsi"/>
        </w:rPr>
        <w:t xml:space="preserve"> A, B and C v. Ireland, No. 25579/05 Eur. Ct. H. R., para. 227 (2010); Open Door and Dublin Well Woman v. Ireland, No. 14235/88 Eur. Ct. H.R., para. 68 (1992). Even though the American Convention protects the right to life from “the moment of conception,” the Inter-American Court of Human Rights determined that embryos do not constitute persons and cannot be afforded an absolute right to life – </w:t>
      </w:r>
      <w:r w:rsidRPr="002670A4">
        <w:rPr>
          <w:rFonts w:cstheme="minorHAnsi"/>
          <w:i/>
        </w:rPr>
        <w:t xml:space="preserve">see </w:t>
      </w:r>
      <w:r w:rsidRPr="002670A4">
        <w:rPr>
          <w:rFonts w:cstheme="minorHAnsi"/>
        </w:rPr>
        <w:t xml:space="preserve">Artavia Murillo et al. (“In Vitro Fertilization”) v. Costa Rica, Preliminary Objections, Merits, Reparations, and Costs, Judgment, Inter-Am. Ct. H.R., series C, No. 257, paras. 264, 273 (Nov. 28, 2012). For national cases, please refer to Lakshmi Dhikta v. Nepal, Supreme Court of Nepal, WO-0757, 2067 (2009) (“Neither does science nor the law recognize the existence of a human being until birth. Our constitution does not anywhere speak of the rights of a child that has not been born.”); </w:t>
      </w:r>
      <w:r w:rsidRPr="002670A4">
        <w:rPr>
          <w:rFonts w:cstheme="minorHAnsi"/>
          <w:i/>
        </w:rPr>
        <w:t xml:space="preserve">see also </w:t>
      </w:r>
      <w:r w:rsidRPr="002670A4">
        <w:rPr>
          <w:rFonts w:cstheme="minorHAnsi"/>
        </w:rPr>
        <w:t>Roe v. Wade, 410 U.S. 113 (1973) (“[T]he law has been reluctant to endorse any theory that life, as we recognize it, begins before live birth or to accord legal rights to the unborn except in narrowly defined situations and except when the rights are contingent upon live birth…[i]n short, the unborn have never been recognized in the law as persons in the whole sense.”)</w:t>
      </w:r>
    </w:p>
  </w:endnote>
  <w:endnote w:id="5">
    <w:p w14:paraId="3FFAF14C" w14:textId="0D2F58B6"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w:t>
      </w:r>
      <w:r w:rsidRPr="002670A4">
        <w:rPr>
          <w:rFonts w:cstheme="minorHAnsi"/>
          <w:i/>
        </w:rPr>
        <w:t>See, e.g.,</w:t>
      </w:r>
      <w:r w:rsidRPr="002670A4">
        <w:rPr>
          <w:rFonts w:cstheme="minorHAnsi"/>
        </w:rPr>
        <w:t xml:space="preserve"> K.L. v. Peru, Human Rights Committee, Commc’n No. 1153/2003, U.N. Doc. CCPR/C/85/D/1153/2003 (2005); L.M.R. v. Argentina, Human Rights Committee, Commc’n No. 1608/2007, U.N. Doc. CCPR/C/101/D/1608/2007 (2011); L.C. v. Peru, Committee on the Elimination of Discrimination against Women (CEDAW Committee), Commc’n No. 22/2009, U.N. Doc. CEDAW/C/50/D/22/2009 (2011); Human Rights Committee, </w:t>
      </w:r>
      <w:r w:rsidRPr="002670A4">
        <w:rPr>
          <w:rFonts w:cstheme="minorHAnsi"/>
          <w:i/>
        </w:rPr>
        <w:t>Concluding Observations: Ireland</w:t>
      </w:r>
      <w:r w:rsidRPr="002670A4">
        <w:rPr>
          <w:rFonts w:cstheme="minorHAnsi"/>
        </w:rPr>
        <w:t xml:space="preserve">, para. 9, U.N. Doc. CCPR/C/IRL/CO/4 (2014). </w:t>
      </w:r>
    </w:p>
  </w:endnote>
  <w:endnote w:id="6">
    <w:p w14:paraId="59F17AD4" w14:textId="48AC33A1"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Human Rights Committee, </w:t>
      </w:r>
      <w:r w:rsidRPr="002670A4">
        <w:rPr>
          <w:rFonts w:cstheme="minorHAnsi"/>
          <w:i/>
        </w:rPr>
        <w:t>General Comment No. 28: Article 3 (The Equality of Rights between Men and Women)</w:t>
      </w:r>
      <w:r w:rsidRPr="002670A4">
        <w:rPr>
          <w:rFonts w:cstheme="minorHAnsi"/>
        </w:rPr>
        <w:t xml:space="preserve">, para. 3, U.N. Doc. HRI/GEN/1/Rev.9 (Vol. I) (2000) [hereinafter Human Rights Committee, </w:t>
      </w:r>
      <w:r w:rsidRPr="002670A4">
        <w:rPr>
          <w:rFonts w:cstheme="minorHAnsi"/>
          <w:i/>
        </w:rPr>
        <w:t>Gen. Comment No. 28</w:t>
      </w:r>
      <w:r w:rsidRPr="002670A4">
        <w:rPr>
          <w:rFonts w:cstheme="minorHAnsi"/>
        </w:rPr>
        <w:t>].</w:t>
      </w:r>
    </w:p>
  </w:endnote>
  <w:endnote w:id="7">
    <w:p w14:paraId="200201CA" w14:textId="2305CE95"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w:t>
      </w:r>
      <w:r w:rsidRPr="002670A4">
        <w:rPr>
          <w:rFonts w:cstheme="minorHAnsi"/>
          <w:i/>
        </w:rPr>
        <w:t>Id.</w:t>
      </w:r>
      <w:r w:rsidRPr="002670A4">
        <w:rPr>
          <w:rFonts w:cstheme="minorHAnsi"/>
        </w:rPr>
        <w:t xml:space="preserve"> at 10-11, 20.</w:t>
      </w:r>
    </w:p>
  </w:endnote>
  <w:endnote w:id="8">
    <w:p w14:paraId="011DF642" w14:textId="591F2D06" w:rsidR="00CC4F76" w:rsidRPr="00C827EA" w:rsidRDefault="00CC4F76">
      <w:pPr>
        <w:pStyle w:val="EndnoteText"/>
        <w:rPr>
          <w:rFonts w:cstheme="minorHAnsi"/>
        </w:rPr>
      </w:pPr>
      <w:r w:rsidRPr="00856F0A">
        <w:rPr>
          <w:rStyle w:val="EndnoteReference"/>
          <w:rFonts w:cstheme="minorHAnsi"/>
        </w:rPr>
        <w:endnoteRef/>
      </w:r>
      <w:r w:rsidRPr="00856F0A">
        <w:rPr>
          <w:rFonts w:cstheme="minorHAnsi"/>
        </w:rPr>
        <w:t xml:space="preserve"> Mellet v. Ireland, Human Rights Committee, Commc’n No. 2324/2013, Appendix II, para. 7, U.N. Doc. CCPR/C/116/D/2324/2013 (2016) (opinion of Cleveland, S., concurring,); </w:t>
      </w:r>
      <w:r w:rsidRPr="00856F0A">
        <w:rPr>
          <w:rFonts w:cstheme="minorHAnsi"/>
          <w:i/>
        </w:rPr>
        <w:t>see also</w:t>
      </w:r>
      <w:r w:rsidRPr="00856F0A">
        <w:rPr>
          <w:rFonts w:cstheme="minorHAnsi"/>
        </w:rPr>
        <w:t xml:space="preserve"> Mellet v. Ireland, Human Rights Committee, Commc’n No. 2324/2013, Appendix I (opinion of Ben Achour, Y., concurring), Appendix IV (opinion of </w:t>
      </w:r>
      <w:r w:rsidRPr="00C827EA">
        <w:rPr>
          <w:rFonts w:eastAsia="Times New Roman"/>
        </w:rPr>
        <w:t xml:space="preserve">Rodríguez Rescia, V., de Frouville, O., Salvioli, S., concurring), </w:t>
      </w:r>
      <w:r w:rsidRPr="00856F0A">
        <w:rPr>
          <w:rFonts w:cstheme="minorHAnsi"/>
        </w:rPr>
        <w:t>U.N. Doc. CCPR/C/116/D/2324/2013 (2016)</w:t>
      </w:r>
      <w:r w:rsidRPr="00856F0A">
        <w:rPr>
          <w:rFonts w:cstheme="minorHAnsi"/>
          <w:lang w:val="es-SV"/>
        </w:rPr>
        <w:t xml:space="preserve">; Whelan v. Ireland, Human Rights Committee, Commc’n No. 2425/2014, Annex II (opinon of Cleveland, S., concurring), U.N. Doc. </w:t>
      </w:r>
      <w:r w:rsidRPr="00856F0A">
        <w:rPr>
          <w:rFonts w:cstheme="minorHAnsi"/>
        </w:rPr>
        <w:t>CCPR/C/119/D/2425/2014 (2017)</w:t>
      </w:r>
      <w:r w:rsidRPr="00856F0A">
        <w:rPr>
          <w:rFonts w:cstheme="minorHAnsi"/>
          <w:lang w:val="es-SV"/>
        </w:rPr>
        <w:t xml:space="preserve">; </w:t>
      </w:r>
      <w:r w:rsidRPr="00856F0A">
        <w:rPr>
          <w:rFonts w:cstheme="minorHAnsi"/>
          <w:i/>
          <w:lang w:val="es-SV"/>
        </w:rPr>
        <w:t xml:space="preserve">see also </w:t>
      </w:r>
      <w:r w:rsidRPr="00856F0A">
        <w:rPr>
          <w:rFonts w:cstheme="minorHAnsi"/>
          <w:lang w:val="es-SV"/>
        </w:rPr>
        <w:t>Whelan v. Ireland, Human Rights Committee, Commc’n No. 2425/2014, Annex I (opinion of Ben Achour, Y., concurring), Annex III (opinion of de Frouville, O., concurring),</w:t>
      </w:r>
      <w:r w:rsidRPr="00856F0A">
        <w:rPr>
          <w:rFonts w:cstheme="minorHAnsi"/>
        </w:rPr>
        <w:t xml:space="preserve"> U.N. Doc. CCPR/C/119/D/2425/2014 (2017).</w:t>
      </w:r>
    </w:p>
  </w:endnote>
  <w:endnote w:id="9">
    <w:p w14:paraId="142E29D9" w14:textId="28F4A7D7" w:rsidR="00CC4F76" w:rsidRPr="002670A4" w:rsidRDefault="00CC4F76" w:rsidP="002E7D4A">
      <w:pPr>
        <w:pStyle w:val="EndnoteText"/>
        <w:rPr>
          <w:rFonts w:cstheme="minorHAnsi"/>
          <w:b/>
          <w:lang w:val="es-SV"/>
        </w:rPr>
      </w:pPr>
      <w:r w:rsidRPr="00C827EA">
        <w:rPr>
          <w:rStyle w:val="EndnoteReference"/>
          <w:rFonts w:cstheme="minorHAnsi"/>
        </w:rPr>
        <w:endnoteRef/>
      </w:r>
      <w:r w:rsidRPr="00C827EA">
        <w:rPr>
          <w:rFonts w:cstheme="minorHAnsi"/>
        </w:rPr>
        <w:t xml:space="preserve"> Mellet v. Ireland, Human Rights Committee, Commc’n No. 2324</w:t>
      </w:r>
      <w:r w:rsidRPr="00C87C78">
        <w:rPr>
          <w:rFonts w:cstheme="minorHAnsi"/>
        </w:rPr>
        <w:t xml:space="preserve">/2013, Appendix II, para. 7, U.N. Doc. CCPR/C/116/D/2324/2013 (2016) (opinion of Cleveland, S., concurring,); </w:t>
      </w:r>
      <w:r w:rsidRPr="00C87C78">
        <w:rPr>
          <w:rFonts w:cstheme="minorHAnsi"/>
          <w:i/>
        </w:rPr>
        <w:t xml:space="preserve">see also </w:t>
      </w:r>
      <w:r w:rsidRPr="00C87C78">
        <w:rPr>
          <w:rFonts w:cstheme="minorHAnsi"/>
          <w:lang w:val="es-SV"/>
        </w:rPr>
        <w:t xml:space="preserve">Whelan v. Ireland, Human Rights Committee, Commc’n No. 2425/2014, Annex II (opinon of Cleveland, S., concurring), U.N. Doc. </w:t>
      </w:r>
      <w:r w:rsidRPr="00C87C78">
        <w:rPr>
          <w:rFonts w:cstheme="minorHAnsi"/>
        </w:rPr>
        <w:t>CCPR/C/119/D/2425/2014 (2017)</w:t>
      </w:r>
      <w:r w:rsidRPr="00C87C78">
        <w:rPr>
          <w:rFonts w:cstheme="minorHAnsi"/>
          <w:lang w:val="es-SV"/>
        </w:rPr>
        <w:t>.</w:t>
      </w:r>
    </w:p>
  </w:endnote>
  <w:endnote w:id="10">
    <w:p w14:paraId="080B7602" w14:textId="3E3DD033"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CEDAW Committee, </w:t>
      </w:r>
      <w:r w:rsidRPr="002670A4">
        <w:rPr>
          <w:rFonts w:cstheme="minorHAnsi"/>
          <w:i/>
        </w:rPr>
        <w:t>General Recommendation No. 24: Article 12 of the Convention (Women and Health)</w:t>
      </w:r>
      <w:r w:rsidRPr="002670A4">
        <w:rPr>
          <w:rFonts w:cstheme="minorHAnsi"/>
        </w:rPr>
        <w:t xml:space="preserve">, para. 11, </w:t>
      </w:r>
      <w:r w:rsidRPr="002670A4">
        <w:rPr>
          <w:rFonts w:cstheme="minorHAnsi"/>
          <w:i/>
        </w:rPr>
        <w:t xml:space="preserve">contained in </w:t>
      </w:r>
      <w:r w:rsidRPr="002670A4">
        <w:rPr>
          <w:rFonts w:cstheme="minorHAnsi"/>
        </w:rPr>
        <w:t xml:space="preserve">U.N. Doc. A/54/38/Rev.1, chap. I (1999) [hereinafter CEDAW Committee, </w:t>
      </w:r>
      <w:r w:rsidRPr="002670A4">
        <w:rPr>
          <w:rFonts w:cstheme="minorHAnsi"/>
          <w:i/>
        </w:rPr>
        <w:t>Gen. Recommendation No. 24</w:t>
      </w:r>
      <w:r w:rsidRPr="002670A4">
        <w:rPr>
          <w:rFonts w:cstheme="minorHAnsi"/>
        </w:rPr>
        <w:t>].</w:t>
      </w:r>
    </w:p>
  </w:endnote>
  <w:endnote w:id="11">
    <w:p w14:paraId="2F428E94" w14:textId="770ABF33" w:rsidR="00CC4F76" w:rsidRPr="002670A4" w:rsidRDefault="00CC4F76" w:rsidP="00DC1BEA">
      <w:pPr>
        <w:pStyle w:val="EndnoteText"/>
        <w:rPr>
          <w:rFonts w:cstheme="minorHAnsi"/>
        </w:rPr>
      </w:pPr>
      <w:r w:rsidRPr="002670A4">
        <w:rPr>
          <w:rStyle w:val="EndnoteReference"/>
          <w:rFonts w:cstheme="minorHAnsi"/>
        </w:rPr>
        <w:endnoteRef/>
      </w:r>
      <w:r w:rsidRPr="002670A4">
        <w:rPr>
          <w:rFonts w:cstheme="minorHAnsi"/>
        </w:rPr>
        <w:t xml:space="preserve"> Alyne da Silva Pimentel Teixeira v. Brazil, CEDAW Committee, Commc’n No. 17/2008, para. 7.6, U.N. Doc. CEDAW/C/49/D/17/2008 (2011) [hereinafter Alyne v. Brazil].</w:t>
      </w:r>
    </w:p>
  </w:endnote>
  <w:endnote w:id="12">
    <w:p w14:paraId="2764A014" w14:textId="427436F6" w:rsidR="00CC4F76" w:rsidRPr="002670A4" w:rsidRDefault="00CC4F76" w:rsidP="00DC1BEA">
      <w:pPr>
        <w:pStyle w:val="EndnoteText"/>
        <w:rPr>
          <w:rFonts w:cstheme="minorHAnsi"/>
        </w:rPr>
      </w:pPr>
      <w:r w:rsidRPr="002670A4">
        <w:rPr>
          <w:rStyle w:val="EndnoteReference"/>
          <w:rFonts w:cstheme="minorHAnsi"/>
        </w:rPr>
        <w:endnoteRef/>
      </w:r>
      <w:r w:rsidRPr="002670A4">
        <w:rPr>
          <w:rFonts w:cstheme="minorHAnsi"/>
        </w:rPr>
        <w:t xml:space="preserve"> </w:t>
      </w:r>
      <w:r w:rsidRPr="002670A4">
        <w:rPr>
          <w:rFonts w:cstheme="minorHAnsi"/>
          <w:i/>
        </w:rPr>
        <w:t>Id.</w:t>
      </w:r>
      <w:r w:rsidRPr="002670A4">
        <w:rPr>
          <w:rFonts w:cstheme="minorHAnsi"/>
        </w:rPr>
        <w:t>, para. 7.7.</w:t>
      </w:r>
    </w:p>
  </w:endnote>
  <w:endnote w:id="13">
    <w:p w14:paraId="5A5DF0B6" w14:textId="0F7CDAF5" w:rsidR="00CC4F76" w:rsidRPr="002670A4" w:rsidRDefault="00CC4F76" w:rsidP="00DC1BEA">
      <w:pPr>
        <w:pStyle w:val="EndnoteText"/>
        <w:rPr>
          <w:rFonts w:cstheme="minorHAnsi"/>
        </w:rPr>
      </w:pPr>
      <w:r w:rsidRPr="002670A4">
        <w:rPr>
          <w:rStyle w:val="EndnoteReference"/>
          <w:rFonts w:cstheme="minorHAnsi"/>
        </w:rPr>
        <w:endnoteRef/>
      </w:r>
      <w:r w:rsidRPr="002670A4">
        <w:rPr>
          <w:rFonts w:cstheme="minorHAnsi"/>
          <w:i/>
        </w:rPr>
        <w:t>Id.</w:t>
      </w:r>
      <w:r w:rsidRPr="002670A4">
        <w:rPr>
          <w:rFonts w:cstheme="minorHAnsi"/>
        </w:rPr>
        <w:t>, para. 7.7.</w:t>
      </w:r>
    </w:p>
  </w:endnote>
  <w:endnote w:id="14">
    <w:p w14:paraId="0DAB12EF" w14:textId="32AAB96E"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Committee on Economic, Social and Cultural Rights (CESCR Committee), </w:t>
      </w:r>
      <w:r w:rsidRPr="002670A4">
        <w:rPr>
          <w:rFonts w:cstheme="minorHAnsi"/>
          <w:i/>
        </w:rPr>
        <w:t>General Comment No. 22 (2016) on the right to sexual and reproductive health (article 12 of the International Covenant on Economic, Social and Cultural Rights)</w:t>
      </w:r>
      <w:r w:rsidRPr="002670A4">
        <w:rPr>
          <w:rFonts w:cstheme="minorHAnsi"/>
        </w:rPr>
        <w:t xml:space="preserve">, para. 30, U.N. Doc. E/C.12/GC/22 (2016) [hereinafter CESCR Committee, </w:t>
      </w:r>
      <w:r w:rsidRPr="002670A4">
        <w:rPr>
          <w:rFonts w:cstheme="minorHAnsi"/>
          <w:i/>
        </w:rPr>
        <w:t>Gen. Comment No. 22</w:t>
      </w:r>
      <w:r w:rsidRPr="002670A4">
        <w:rPr>
          <w:rFonts w:cstheme="minorHAnsi"/>
        </w:rPr>
        <w:t>].</w:t>
      </w:r>
    </w:p>
  </w:endnote>
  <w:endnote w:id="15">
    <w:p w14:paraId="7869ED24" w14:textId="404085CB"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w:t>
      </w:r>
      <w:r w:rsidRPr="002670A4">
        <w:rPr>
          <w:rFonts w:cstheme="minorHAnsi"/>
          <w:i/>
        </w:rPr>
        <w:t>Id.,</w:t>
      </w:r>
      <w:r w:rsidRPr="002670A4">
        <w:rPr>
          <w:rFonts w:cstheme="minorHAnsi"/>
        </w:rPr>
        <w:t xml:space="preserve"> para. 30.</w:t>
      </w:r>
    </w:p>
  </w:endnote>
  <w:endnote w:id="16">
    <w:p w14:paraId="40F6FD62" w14:textId="3DE02ECE" w:rsidR="00CC4F76" w:rsidRPr="002670A4" w:rsidRDefault="00CC4F76" w:rsidP="00D16107">
      <w:pPr>
        <w:pStyle w:val="CommentText"/>
        <w:spacing w:after="0"/>
        <w:rPr>
          <w:rFonts w:cstheme="minorHAnsi"/>
        </w:rPr>
      </w:pPr>
      <w:r w:rsidRPr="002670A4">
        <w:rPr>
          <w:rStyle w:val="EndnoteReference"/>
          <w:rFonts w:cstheme="minorHAnsi"/>
        </w:rPr>
        <w:endnoteRef/>
      </w:r>
      <w:r w:rsidRPr="002670A4">
        <w:rPr>
          <w:rFonts w:cstheme="minorHAnsi"/>
        </w:rPr>
        <w:t xml:space="preserve"> UN Working Group on the issue of discrimination against women in law and practice, </w:t>
      </w:r>
      <w:r w:rsidRPr="002670A4">
        <w:rPr>
          <w:rFonts w:cstheme="minorHAnsi"/>
          <w:i/>
        </w:rPr>
        <w:t>Rep. of the Working Group on the issue of discrimination against women in law and practice</w:t>
      </w:r>
      <w:r w:rsidRPr="002670A4">
        <w:rPr>
          <w:rFonts w:cstheme="minorHAnsi"/>
        </w:rPr>
        <w:t>, Human Rights Council (32</w:t>
      </w:r>
      <w:r w:rsidRPr="002670A4">
        <w:rPr>
          <w:rFonts w:cstheme="minorHAnsi"/>
          <w:vertAlign w:val="superscript"/>
        </w:rPr>
        <w:t>nd</w:t>
      </w:r>
      <w:r w:rsidRPr="002670A4">
        <w:rPr>
          <w:rFonts w:cstheme="minorHAnsi"/>
        </w:rPr>
        <w:t xml:space="preserve"> Sess.), para. 14, U.N. Doc. A/HRC/32/44 (2016) [hereinafter UN Working Group on DAW 2016 Report]</w:t>
      </w:r>
      <w:r w:rsidRPr="002670A4">
        <w:rPr>
          <w:rStyle w:val="Hyperlink"/>
          <w:rFonts w:cstheme="minorHAnsi"/>
        </w:rPr>
        <w:t>.</w:t>
      </w:r>
      <w:r w:rsidRPr="002670A4">
        <w:rPr>
          <w:rFonts w:cstheme="minorHAnsi"/>
        </w:rPr>
        <w:t xml:space="preserve"> </w:t>
      </w:r>
    </w:p>
  </w:endnote>
  <w:endnote w:id="17">
    <w:p w14:paraId="39E3C18B" w14:textId="09A38981" w:rsidR="00CC4F76" w:rsidRPr="002670A4" w:rsidRDefault="00CC4F76">
      <w:pPr>
        <w:pStyle w:val="EndnoteText"/>
        <w:rPr>
          <w:rFonts w:cstheme="minorHAnsi"/>
        </w:rPr>
      </w:pPr>
      <w:r w:rsidRPr="00856F0A">
        <w:rPr>
          <w:rStyle w:val="EndnoteReference"/>
          <w:rFonts w:cstheme="minorHAnsi"/>
        </w:rPr>
        <w:endnoteRef/>
      </w:r>
      <w:r w:rsidRPr="00856F0A">
        <w:rPr>
          <w:rFonts w:cstheme="minorHAnsi"/>
        </w:rPr>
        <w:t xml:space="preserve"> Ganatra, B., et al., </w:t>
      </w:r>
      <w:r w:rsidRPr="00856F0A">
        <w:rPr>
          <w:rFonts w:cstheme="minorHAnsi"/>
          <w:i/>
        </w:rPr>
        <w:t>Global, regional, and subregional classification of abortions by safety, 2010-14: estimates from a Bayesian hierarchical model</w:t>
      </w:r>
      <w:r w:rsidRPr="00856F0A">
        <w:rPr>
          <w:rFonts w:cstheme="minorHAnsi"/>
        </w:rPr>
        <w:t xml:space="preserve">, </w:t>
      </w:r>
      <w:r w:rsidRPr="00856F0A">
        <w:rPr>
          <w:rFonts w:cstheme="minorHAnsi"/>
          <w:smallCaps/>
        </w:rPr>
        <w:t xml:space="preserve">The Lancet, </w:t>
      </w:r>
      <w:r w:rsidRPr="00856F0A">
        <w:rPr>
          <w:rFonts w:cstheme="minorHAnsi"/>
        </w:rPr>
        <w:t xml:space="preserve">at 1 (Sept. 27, 2017), </w:t>
      </w:r>
      <w:r w:rsidRPr="00856F0A">
        <w:rPr>
          <w:rFonts w:cstheme="minorHAnsi"/>
          <w:i/>
        </w:rPr>
        <w:t xml:space="preserve">available at </w:t>
      </w:r>
      <w:hyperlink r:id="rId1" w:history="1">
        <w:r w:rsidRPr="00856F0A">
          <w:rPr>
            <w:rStyle w:val="Hyperlink"/>
            <w:rFonts w:cstheme="minorHAnsi"/>
          </w:rPr>
          <w:t>http://www.thelancet.com/journals/lancet/article/PIIS0140-6736(17)31794-4/fulltext</w:t>
        </w:r>
      </w:hyperlink>
      <w:r w:rsidRPr="00C827EA">
        <w:rPr>
          <w:rStyle w:val="Hyperlink"/>
          <w:rFonts w:cstheme="minorHAnsi"/>
        </w:rPr>
        <w:t xml:space="preserve"> [</w:t>
      </w:r>
      <w:r>
        <w:rPr>
          <w:rStyle w:val="Hyperlink"/>
          <w:rFonts w:cstheme="minorHAnsi"/>
        </w:rPr>
        <w:t xml:space="preserve">hereinafter Ganatra, B. et al., </w:t>
      </w:r>
      <w:r>
        <w:rPr>
          <w:rStyle w:val="Hyperlink"/>
          <w:rFonts w:cstheme="minorHAnsi"/>
          <w:i/>
        </w:rPr>
        <w:t>Global, regional, and subregional classifications of abortions by safety</w:t>
      </w:r>
      <w:r>
        <w:rPr>
          <w:rStyle w:val="Hyperlink"/>
          <w:rFonts w:cstheme="minorHAnsi"/>
        </w:rPr>
        <w:t>].</w:t>
      </w:r>
      <w:r w:rsidRPr="002670A4">
        <w:rPr>
          <w:rFonts w:cstheme="minorHAnsi"/>
        </w:rPr>
        <w:t xml:space="preserve"> </w:t>
      </w:r>
    </w:p>
  </w:endnote>
  <w:endnote w:id="18">
    <w:p w14:paraId="1F2FFE9A" w14:textId="36B389DE" w:rsidR="00CC4F76" w:rsidRPr="002670A4" w:rsidRDefault="00CC4F76" w:rsidP="00DF7710">
      <w:pPr>
        <w:pStyle w:val="EndnoteText"/>
        <w:rPr>
          <w:rFonts w:cstheme="minorHAnsi"/>
        </w:rPr>
      </w:pPr>
      <w:r w:rsidRPr="002670A4">
        <w:rPr>
          <w:rStyle w:val="EndnoteReference"/>
          <w:rFonts w:cstheme="minorHAnsi"/>
        </w:rPr>
        <w:endnoteRef/>
      </w:r>
      <w:r w:rsidRPr="002670A4">
        <w:rPr>
          <w:rFonts w:cstheme="minorHAnsi"/>
        </w:rPr>
        <w:t xml:space="preserve"> </w:t>
      </w:r>
      <w:r w:rsidRPr="002670A4">
        <w:rPr>
          <w:rFonts w:cstheme="minorHAnsi"/>
          <w:smallCaps/>
        </w:rPr>
        <w:t>World Health Organization</w:t>
      </w:r>
      <w:r w:rsidRPr="002670A4">
        <w:rPr>
          <w:rFonts w:cstheme="minorHAnsi"/>
        </w:rPr>
        <w:t xml:space="preserve"> (WHO), </w:t>
      </w:r>
      <w:r w:rsidRPr="002670A4">
        <w:rPr>
          <w:rFonts w:cstheme="minorHAnsi"/>
          <w:i/>
        </w:rPr>
        <w:t>Safe abortion: technical and policy guidance for health systems</w:t>
      </w:r>
      <w:r w:rsidRPr="002670A4">
        <w:rPr>
          <w:rFonts w:cstheme="minorHAnsi"/>
        </w:rPr>
        <w:t xml:space="preserve"> (2</w:t>
      </w:r>
      <w:r w:rsidRPr="002670A4">
        <w:rPr>
          <w:rFonts w:cstheme="minorHAnsi"/>
          <w:vertAlign w:val="superscript"/>
        </w:rPr>
        <w:t>nd</w:t>
      </w:r>
      <w:r w:rsidRPr="002670A4">
        <w:rPr>
          <w:rFonts w:cstheme="minorHAnsi"/>
        </w:rPr>
        <w:t xml:space="preserve"> ed.  2012), </w:t>
      </w:r>
      <w:r w:rsidRPr="002670A4">
        <w:rPr>
          <w:rFonts w:cstheme="minorHAnsi"/>
          <w:i/>
        </w:rPr>
        <w:t>available at</w:t>
      </w:r>
      <w:r w:rsidRPr="002670A4">
        <w:rPr>
          <w:rFonts w:cstheme="minorHAnsi"/>
        </w:rPr>
        <w:t xml:space="preserve"> </w:t>
      </w:r>
      <w:hyperlink r:id="rId2" w:history="1">
        <w:r w:rsidRPr="002670A4">
          <w:rPr>
            <w:rStyle w:val="Hyperlink"/>
            <w:rFonts w:cstheme="minorHAnsi"/>
          </w:rPr>
          <w:t>www.who.int/reproductivehealth/publications/unsafe_abortion/9789241548434/en</w:t>
        </w:r>
      </w:hyperlink>
      <w:r w:rsidRPr="002670A4">
        <w:rPr>
          <w:rFonts w:cstheme="minorHAnsi"/>
        </w:rPr>
        <w:t xml:space="preserve"> [hereinafter WHO, 2012 Safe Abortion Guidance].</w:t>
      </w:r>
    </w:p>
  </w:endnote>
  <w:endnote w:id="19">
    <w:p w14:paraId="0F4710A5" w14:textId="5847319A" w:rsidR="00CC4F76" w:rsidRPr="00A07213" w:rsidRDefault="00CC4F76" w:rsidP="00DF7710">
      <w:pPr>
        <w:pStyle w:val="EndnoteText"/>
        <w:rPr>
          <w:rFonts w:cstheme="minorHAnsi"/>
        </w:rPr>
      </w:pPr>
      <w:r w:rsidRPr="00856F0A">
        <w:rPr>
          <w:rStyle w:val="EndnoteReference"/>
          <w:rFonts w:cstheme="minorHAnsi"/>
        </w:rPr>
        <w:endnoteRef/>
      </w:r>
      <w:r w:rsidRPr="00856F0A">
        <w:rPr>
          <w:rFonts w:cstheme="minorHAnsi"/>
        </w:rPr>
        <w:t xml:space="preserve"> </w:t>
      </w:r>
      <w:r w:rsidRPr="00C827EA">
        <w:rPr>
          <w:rFonts w:cstheme="minorHAnsi"/>
          <w:i/>
        </w:rPr>
        <w:t xml:space="preserve">See </w:t>
      </w:r>
      <w:r w:rsidRPr="00C827EA">
        <w:rPr>
          <w:rStyle w:val="Hyperlink"/>
          <w:rFonts w:cstheme="minorHAnsi"/>
        </w:rPr>
        <w:t xml:space="preserve">Ganatra, B. et al., </w:t>
      </w:r>
      <w:r w:rsidRPr="00C827EA">
        <w:rPr>
          <w:rStyle w:val="Hyperlink"/>
          <w:rFonts w:cstheme="minorHAnsi"/>
          <w:i/>
        </w:rPr>
        <w:t>Global, regional, and subregional classifications of abortions by safety</w:t>
      </w:r>
      <w:r w:rsidRPr="00A07213">
        <w:rPr>
          <w:rStyle w:val="Hyperlink"/>
          <w:rFonts w:cstheme="minorHAnsi"/>
          <w:i/>
        </w:rPr>
        <w:t xml:space="preserve">, supra </w:t>
      </w:r>
      <w:r w:rsidRPr="00A07213">
        <w:rPr>
          <w:rStyle w:val="Hyperlink"/>
          <w:rFonts w:cstheme="minorHAnsi"/>
        </w:rPr>
        <w:t>note 1</w:t>
      </w:r>
      <w:r w:rsidR="00992BDF" w:rsidRPr="00A07213">
        <w:rPr>
          <w:rStyle w:val="Hyperlink"/>
          <w:rFonts w:cstheme="minorHAnsi"/>
        </w:rPr>
        <w:t>7</w:t>
      </w:r>
      <w:r w:rsidRPr="00A07213">
        <w:rPr>
          <w:rStyle w:val="Hyperlink"/>
          <w:rFonts w:cstheme="minorHAnsi"/>
        </w:rPr>
        <w:t xml:space="preserve">, at 1; </w:t>
      </w:r>
      <w:r w:rsidRPr="00A07213" w:rsidDel="00CC4F76">
        <w:rPr>
          <w:rFonts w:cstheme="minorHAnsi"/>
          <w:i/>
        </w:rPr>
        <w:t xml:space="preserve"> </w:t>
      </w:r>
      <w:r w:rsidRPr="00A07213">
        <w:rPr>
          <w:rFonts w:cstheme="minorHAnsi"/>
        </w:rPr>
        <w:t xml:space="preserve">WHO, 2012 Safe Abortion Guidance, </w:t>
      </w:r>
      <w:r w:rsidRPr="00A07213">
        <w:rPr>
          <w:rFonts w:cstheme="minorHAnsi"/>
          <w:i/>
        </w:rPr>
        <w:t xml:space="preserve">supra </w:t>
      </w:r>
      <w:r w:rsidRPr="00A07213">
        <w:rPr>
          <w:rFonts w:cstheme="minorHAnsi"/>
        </w:rPr>
        <w:t>note 1</w:t>
      </w:r>
      <w:r w:rsidR="00992BDF" w:rsidRPr="00A07213">
        <w:rPr>
          <w:rFonts w:cstheme="minorHAnsi"/>
        </w:rPr>
        <w:t>8</w:t>
      </w:r>
      <w:r w:rsidRPr="00A07213">
        <w:rPr>
          <w:rFonts w:cstheme="minorHAnsi"/>
        </w:rPr>
        <w:t>, at 87.</w:t>
      </w:r>
    </w:p>
  </w:endnote>
  <w:endnote w:id="20">
    <w:p w14:paraId="74B02FE2" w14:textId="5553CC9B" w:rsidR="00CC4F76" w:rsidRPr="00A07213" w:rsidRDefault="00CC4F76" w:rsidP="00EE36EC">
      <w:pPr>
        <w:pStyle w:val="EndnoteText"/>
        <w:rPr>
          <w:rFonts w:cstheme="minorHAnsi"/>
        </w:rPr>
      </w:pPr>
      <w:r w:rsidRPr="00A07213">
        <w:rPr>
          <w:rStyle w:val="EndnoteReference"/>
          <w:rFonts w:cstheme="minorHAnsi"/>
        </w:rPr>
        <w:endnoteRef/>
      </w:r>
      <w:r w:rsidRPr="00A07213">
        <w:rPr>
          <w:rFonts w:cstheme="minorHAnsi"/>
        </w:rPr>
        <w:t xml:space="preserve">  </w:t>
      </w:r>
      <w:r w:rsidRPr="00A07213">
        <w:rPr>
          <w:rFonts w:cstheme="minorHAnsi"/>
          <w:i/>
        </w:rPr>
        <w:t>See, e.g.,</w:t>
      </w:r>
      <w:r w:rsidRPr="00A07213">
        <w:rPr>
          <w:rFonts w:cstheme="minorHAnsi"/>
        </w:rPr>
        <w:t xml:space="preserve"> Human Rights Committee, </w:t>
      </w:r>
      <w:r w:rsidRPr="00A07213">
        <w:rPr>
          <w:rFonts w:cstheme="minorHAnsi"/>
          <w:i/>
        </w:rPr>
        <w:t>Concluding Observations: Jamaica</w:t>
      </w:r>
      <w:r w:rsidRPr="00A07213">
        <w:rPr>
          <w:rFonts w:cstheme="minorHAnsi"/>
        </w:rPr>
        <w:t xml:space="preserve">, para. 14, U.N. Doc. CCPR/C/JAM/CO/3 (2011) (urging the state to “amend its abortion laws to help women avoid unwanted pregnancies and not to resort to illegal abortions that could put their lives at risk. The State party should take concrete measures in this regard, including a review of its laws in line with the Covenant.”); Human Rights Committee, </w:t>
      </w:r>
      <w:r w:rsidRPr="00A07213">
        <w:rPr>
          <w:rFonts w:cstheme="minorHAnsi"/>
          <w:i/>
        </w:rPr>
        <w:t>Concluding Observations: Mali</w:t>
      </w:r>
      <w:r w:rsidRPr="00A07213">
        <w:rPr>
          <w:rFonts w:cstheme="minorHAnsi"/>
        </w:rPr>
        <w:t xml:space="preserve">, para. 14, U.N. Doc. CCPR/CO/77/MLI (2003); Human Rights Committee, </w:t>
      </w:r>
      <w:r w:rsidRPr="00A07213">
        <w:rPr>
          <w:rFonts w:cstheme="minorHAnsi"/>
          <w:i/>
        </w:rPr>
        <w:t>Concluding Observations: Djibouti</w:t>
      </w:r>
      <w:r w:rsidRPr="00A07213">
        <w:rPr>
          <w:rFonts w:cstheme="minorHAnsi"/>
        </w:rPr>
        <w:t xml:space="preserve">, para. 9, U.N. Doc. CCPR/C/DJI/CO/1 (2013); Human Rights Committee, </w:t>
      </w:r>
      <w:r w:rsidRPr="00A07213">
        <w:rPr>
          <w:rFonts w:cstheme="minorHAnsi"/>
          <w:i/>
        </w:rPr>
        <w:t>Concluding Observations: Ireland</w:t>
      </w:r>
      <w:r w:rsidRPr="00A07213">
        <w:rPr>
          <w:rFonts w:cstheme="minorHAnsi"/>
        </w:rPr>
        <w:t xml:space="preserve">, para. 13, U.N. Doc. CCPR/C/IRL/CO/3 (2008). </w:t>
      </w:r>
      <w:r w:rsidRPr="00A07213">
        <w:rPr>
          <w:rFonts w:cstheme="minorHAnsi"/>
          <w:i/>
        </w:rPr>
        <w:t>See also</w:t>
      </w:r>
      <w:r w:rsidRPr="00A07213">
        <w:rPr>
          <w:rFonts w:cstheme="minorHAnsi"/>
        </w:rPr>
        <w:t xml:space="preserve"> Human Rights Committee, </w:t>
      </w:r>
      <w:r w:rsidRPr="00A07213">
        <w:rPr>
          <w:rFonts w:cstheme="minorHAnsi"/>
          <w:i/>
        </w:rPr>
        <w:t>Gen. Comment No. 28</w:t>
      </w:r>
      <w:r w:rsidRPr="00A07213">
        <w:rPr>
          <w:rFonts w:cstheme="minorHAnsi"/>
        </w:rPr>
        <w:t xml:space="preserve">, </w:t>
      </w:r>
      <w:r w:rsidRPr="00A07213">
        <w:rPr>
          <w:rFonts w:cstheme="minorHAnsi"/>
          <w:i/>
        </w:rPr>
        <w:t xml:space="preserve">supra </w:t>
      </w:r>
      <w:r w:rsidRPr="00A07213">
        <w:rPr>
          <w:rFonts w:cstheme="minorHAnsi"/>
        </w:rPr>
        <w:t xml:space="preserve">note </w:t>
      </w:r>
      <w:r w:rsidR="00D8083E" w:rsidRPr="00A07213">
        <w:rPr>
          <w:rFonts w:cstheme="minorHAnsi"/>
        </w:rPr>
        <w:t>6</w:t>
      </w:r>
      <w:r w:rsidRPr="00A07213">
        <w:rPr>
          <w:rFonts w:cstheme="minorHAnsi"/>
        </w:rPr>
        <w:t>, para. 10.</w:t>
      </w:r>
    </w:p>
  </w:endnote>
  <w:endnote w:id="21">
    <w:p w14:paraId="2629D49C" w14:textId="028A0BDE" w:rsidR="00CC4F76" w:rsidRPr="00A07213" w:rsidRDefault="00CC4F76" w:rsidP="00683FF6">
      <w:pPr>
        <w:pStyle w:val="EndnoteText"/>
        <w:rPr>
          <w:rFonts w:cstheme="minorHAnsi"/>
        </w:rPr>
      </w:pPr>
      <w:r w:rsidRPr="00A07213">
        <w:rPr>
          <w:rStyle w:val="EndnoteReference"/>
          <w:rFonts w:cstheme="minorHAnsi"/>
        </w:rPr>
        <w:endnoteRef/>
      </w:r>
      <w:r w:rsidRPr="00A07213">
        <w:rPr>
          <w:rFonts w:cstheme="minorHAnsi"/>
        </w:rPr>
        <w:t xml:space="preserve"> Berer, M., </w:t>
      </w:r>
      <w:r w:rsidRPr="00A07213">
        <w:rPr>
          <w:rFonts w:cstheme="minorHAnsi"/>
          <w:i/>
        </w:rPr>
        <w:t>National laws and unsafe abortion: the parameters of change</w:t>
      </w:r>
      <w:r w:rsidRPr="00A07213">
        <w:rPr>
          <w:rFonts w:cstheme="minorHAnsi"/>
        </w:rPr>
        <w:t xml:space="preserve">, 12(24 Suppl) </w:t>
      </w:r>
      <w:r w:rsidRPr="00A07213">
        <w:rPr>
          <w:rFonts w:cstheme="minorHAnsi"/>
          <w:smallCaps/>
        </w:rPr>
        <w:t>Reprod Health Matters</w:t>
      </w:r>
      <w:r w:rsidRPr="00A07213">
        <w:rPr>
          <w:rFonts w:cstheme="minorHAnsi"/>
        </w:rPr>
        <w:t xml:space="preserve"> 1-8 (Nov 2004).</w:t>
      </w:r>
    </w:p>
  </w:endnote>
  <w:endnote w:id="22">
    <w:p w14:paraId="09D898D6" w14:textId="42ECA962" w:rsidR="00CC4F76" w:rsidRPr="00A07213" w:rsidRDefault="00CC4F76">
      <w:pPr>
        <w:pStyle w:val="EndnoteText"/>
        <w:rPr>
          <w:rFonts w:cstheme="minorHAnsi"/>
        </w:rPr>
      </w:pPr>
      <w:r w:rsidRPr="00A07213">
        <w:rPr>
          <w:rStyle w:val="EndnoteReference"/>
          <w:rFonts w:cstheme="minorHAnsi"/>
        </w:rPr>
        <w:endnoteRef/>
      </w:r>
      <w:r w:rsidRPr="00A07213">
        <w:rPr>
          <w:rFonts w:cstheme="minorHAnsi"/>
        </w:rPr>
        <w:t xml:space="preserve"> WHO, 2012 Safe Abortion Guidance, </w:t>
      </w:r>
      <w:r w:rsidRPr="00A07213">
        <w:rPr>
          <w:rFonts w:cstheme="minorHAnsi"/>
          <w:i/>
        </w:rPr>
        <w:t xml:space="preserve">supra </w:t>
      </w:r>
      <w:r w:rsidRPr="00A07213">
        <w:rPr>
          <w:rFonts w:cstheme="minorHAnsi"/>
        </w:rPr>
        <w:t>note 1</w:t>
      </w:r>
      <w:r w:rsidR="00D8083E" w:rsidRPr="00A07213">
        <w:rPr>
          <w:rFonts w:cstheme="minorHAnsi"/>
        </w:rPr>
        <w:t>8</w:t>
      </w:r>
      <w:r w:rsidRPr="00A07213">
        <w:rPr>
          <w:rFonts w:cstheme="minorHAnsi"/>
        </w:rPr>
        <w:t>.</w:t>
      </w:r>
    </w:p>
  </w:endnote>
  <w:endnote w:id="23">
    <w:p w14:paraId="1A6094B5" w14:textId="3CDC1C52" w:rsidR="00CC4F76" w:rsidRPr="00A07213" w:rsidRDefault="00CC4F76" w:rsidP="0010249C">
      <w:pPr>
        <w:pStyle w:val="EndnoteText"/>
        <w:rPr>
          <w:rFonts w:cstheme="minorHAnsi"/>
        </w:rPr>
      </w:pPr>
      <w:r w:rsidRPr="00A07213">
        <w:rPr>
          <w:rStyle w:val="EndnoteReference"/>
          <w:rFonts w:cstheme="minorHAnsi"/>
        </w:rPr>
        <w:endnoteRef/>
      </w:r>
      <w:r w:rsidRPr="00A07213">
        <w:rPr>
          <w:rFonts w:cstheme="minorHAnsi"/>
        </w:rPr>
        <w:t xml:space="preserve"> Chae, S., Desai, S., Crowell, M., Sedgh, G., </w:t>
      </w:r>
      <w:bookmarkStart w:id="1" w:name="_Hlk494795769"/>
      <w:r w:rsidRPr="00A07213">
        <w:rPr>
          <w:rFonts w:cstheme="minorHAnsi"/>
          <w:i/>
        </w:rPr>
        <w:t>Reasons Women Have Induced Abortions: A Synthesis of Findings from 14 Countries</w:t>
      </w:r>
      <w:bookmarkEnd w:id="1"/>
      <w:r w:rsidRPr="00A07213">
        <w:rPr>
          <w:rFonts w:cstheme="minorHAnsi"/>
        </w:rPr>
        <w:t xml:space="preserve">, 96 </w:t>
      </w:r>
      <w:r w:rsidRPr="00A07213">
        <w:rPr>
          <w:rFonts w:cstheme="minorHAnsi"/>
          <w:smallCaps/>
        </w:rPr>
        <w:t>Contraception</w:t>
      </w:r>
      <w:r w:rsidRPr="00A07213">
        <w:rPr>
          <w:rFonts w:cstheme="minorHAnsi"/>
        </w:rPr>
        <w:t xml:space="preserve"> 233-241 (2017).</w:t>
      </w:r>
    </w:p>
  </w:endnote>
  <w:endnote w:id="24">
    <w:p w14:paraId="51F55FF2" w14:textId="0CA465A9" w:rsidR="00CC4F76" w:rsidRPr="002670A4" w:rsidRDefault="00CC4F76">
      <w:pPr>
        <w:pStyle w:val="EndnoteText"/>
        <w:rPr>
          <w:rFonts w:cstheme="minorHAnsi"/>
        </w:rPr>
      </w:pPr>
      <w:r w:rsidRPr="00A07213">
        <w:rPr>
          <w:rStyle w:val="EndnoteReference"/>
          <w:rFonts w:cstheme="minorHAnsi"/>
        </w:rPr>
        <w:endnoteRef/>
      </w:r>
      <w:r w:rsidRPr="00A07213">
        <w:rPr>
          <w:rFonts w:cstheme="minorHAnsi"/>
        </w:rPr>
        <w:t xml:space="preserve"> </w:t>
      </w:r>
      <w:r w:rsidRPr="00A07213">
        <w:rPr>
          <w:rFonts w:cstheme="minorHAnsi"/>
          <w:i/>
        </w:rPr>
        <w:t>See, e.g.,</w:t>
      </w:r>
      <w:r w:rsidRPr="00A07213">
        <w:rPr>
          <w:rFonts w:cstheme="minorHAnsi"/>
        </w:rPr>
        <w:t xml:space="preserve"> L.C. v. Peru, CEDAW Committee, Commc’n No. 22/2009, para. 12(b), U.N. Doc.</w:t>
      </w:r>
      <w:r w:rsidRPr="002670A4">
        <w:rPr>
          <w:rFonts w:cstheme="minorHAnsi"/>
        </w:rPr>
        <w:t xml:space="preserve"> CEDAW/C/50/D/22/2009 (2011); K.L. v. Peru, Human Rights Committee, Commc’n No. 1153/2003, U.N. Doc. CCPR/C/85/D/1153/2003 (2005); Human Rights Committee, </w:t>
      </w:r>
      <w:r w:rsidRPr="002670A4">
        <w:rPr>
          <w:rFonts w:cstheme="minorHAnsi"/>
          <w:i/>
        </w:rPr>
        <w:t>Concluding Observations: Ireland</w:t>
      </w:r>
      <w:r w:rsidRPr="002670A4">
        <w:rPr>
          <w:rFonts w:cstheme="minorHAnsi"/>
        </w:rPr>
        <w:t xml:space="preserve">, para. 9, U.N. Doc. CCPR/C/ IRL/CO/4 (2014); CEDAW Committee, </w:t>
      </w:r>
      <w:r w:rsidRPr="002670A4">
        <w:rPr>
          <w:rFonts w:cstheme="minorHAnsi"/>
          <w:i/>
        </w:rPr>
        <w:t>Concluding Observations: Bahrain</w:t>
      </w:r>
      <w:r w:rsidRPr="002670A4">
        <w:rPr>
          <w:rFonts w:cstheme="minorHAnsi"/>
        </w:rPr>
        <w:t xml:space="preserve">, para. 42(b), U.N. Doc. CEDAW/C/BHR/CO/3 (2014); Committee Against Torture (CAT Committee), </w:t>
      </w:r>
      <w:r w:rsidRPr="002670A4">
        <w:rPr>
          <w:rFonts w:cstheme="minorHAnsi"/>
          <w:i/>
        </w:rPr>
        <w:t>Concluding Observations: Paraguay</w:t>
      </w:r>
      <w:r w:rsidRPr="002670A4">
        <w:rPr>
          <w:rFonts w:cstheme="minorHAnsi"/>
        </w:rPr>
        <w:t xml:space="preserve">, para. 22, U.N. Doc. CAT/C/PRY/CO/4-6 (2011)2; Human Rights Committee, </w:t>
      </w:r>
      <w:r w:rsidRPr="002670A4">
        <w:rPr>
          <w:rFonts w:cstheme="minorHAnsi"/>
          <w:i/>
        </w:rPr>
        <w:t>Concluding Observations: Sierra Leone</w:t>
      </w:r>
      <w:r w:rsidRPr="002670A4">
        <w:rPr>
          <w:rFonts w:cstheme="minorHAnsi"/>
        </w:rPr>
        <w:t xml:space="preserve">, para. 14, U.N. Doc CCPR/C/SLE/CO/1 (2014); Committee on the Rights of the Child (CRC Committee), </w:t>
      </w:r>
      <w:r w:rsidRPr="002670A4">
        <w:rPr>
          <w:rFonts w:cstheme="minorHAnsi"/>
          <w:i/>
        </w:rPr>
        <w:t>Concluding Observations: Chad</w:t>
      </w:r>
      <w:r w:rsidRPr="002670A4">
        <w:rPr>
          <w:rFonts w:cstheme="minorHAnsi"/>
        </w:rPr>
        <w:t xml:space="preserve">, para. 30, U.N. Doc. CRC/C/15/Add.107 (1999); </w:t>
      </w:r>
      <w:r w:rsidRPr="002670A4">
        <w:rPr>
          <w:rFonts w:cstheme="minorHAnsi"/>
          <w:i/>
        </w:rPr>
        <w:t>Chile</w:t>
      </w:r>
      <w:r w:rsidRPr="002670A4">
        <w:rPr>
          <w:rFonts w:cstheme="minorHAnsi"/>
        </w:rPr>
        <w:t xml:space="preserve">, para. 56, U.N. Doc. CRC/C/CHL/ CO/3 (2007); </w:t>
      </w:r>
      <w:r w:rsidRPr="002670A4">
        <w:rPr>
          <w:rFonts w:cstheme="minorHAnsi"/>
          <w:i/>
        </w:rPr>
        <w:t>Costa Rica</w:t>
      </w:r>
      <w:r w:rsidRPr="002670A4">
        <w:rPr>
          <w:rFonts w:cstheme="minorHAnsi"/>
        </w:rPr>
        <w:t xml:space="preserve">, para. 64(c), U.N. Doc. CRC /C/CRI/CO/4 (2011); Human Rights Committee, </w:t>
      </w:r>
      <w:r w:rsidRPr="002670A4">
        <w:rPr>
          <w:rFonts w:cstheme="minorHAnsi"/>
          <w:i/>
        </w:rPr>
        <w:t>Concluding Observations: Guatemala</w:t>
      </w:r>
      <w:r w:rsidRPr="002670A4">
        <w:rPr>
          <w:rFonts w:cstheme="minorHAnsi"/>
        </w:rPr>
        <w:t xml:space="preserve">, para. 20, U.N. Doc. CCPR/C/GTM/CO/3 (2012); CESCR Committee, </w:t>
      </w:r>
      <w:r w:rsidRPr="002670A4">
        <w:rPr>
          <w:rFonts w:cstheme="minorHAnsi"/>
          <w:i/>
        </w:rPr>
        <w:t>Concluding Observations: Dominican Republic</w:t>
      </w:r>
      <w:r w:rsidRPr="002670A4">
        <w:rPr>
          <w:rFonts w:cstheme="minorHAnsi"/>
        </w:rPr>
        <w:t xml:space="preserve">, para. 29, U.N. Doc. E/C.12/DOM/CO/3 (2010); </w:t>
      </w:r>
      <w:r w:rsidRPr="002670A4">
        <w:rPr>
          <w:rFonts w:cstheme="minorHAnsi"/>
          <w:i/>
        </w:rPr>
        <w:t>Chile</w:t>
      </w:r>
      <w:r w:rsidRPr="002670A4">
        <w:rPr>
          <w:rFonts w:cstheme="minorHAnsi"/>
        </w:rPr>
        <w:t>, para. 53, U.N. Doc. E/C.12/1/Add.105 (2004).</w:t>
      </w:r>
    </w:p>
  </w:endnote>
  <w:endnote w:id="25">
    <w:p w14:paraId="57C32CFE" w14:textId="4B4666E1" w:rsidR="00CC4F76" w:rsidRPr="002670A4" w:rsidRDefault="00CC4F76" w:rsidP="00C452B3">
      <w:pPr>
        <w:pStyle w:val="EndnoteText"/>
        <w:rPr>
          <w:rFonts w:cstheme="minorHAnsi"/>
        </w:rPr>
      </w:pPr>
      <w:r w:rsidRPr="002670A4">
        <w:rPr>
          <w:rStyle w:val="EndnoteReference"/>
          <w:rFonts w:cstheme="minorHAnsi"/>
        </w:rPr>
        <w:endnoteRef/>
      </w:r>
      <w:r w:rsidRPr="002670A4">
        <w:rPr>
          <w:rFonts w:cstheme="minorHAnsi"/>
        </w:rPr>
        <w:t xml:space="preserve"> </w:t>
      </w:r>
      <w:r w:rsidRPr="002670A4">
        <w:rPr>
          <w:rFonts w:cstheme="minorHAnsi"/>
          <w:smallCaps/>
        </w:rPr>
        <w:t>Center for Reproductive Rights, Abortion Worldwide: 20 Years of Reform</w:t>
      </w:r>
      <w:r w:rsidRPr="002670A4">
        <w:rPr>
          <w:rFonts w:cstheme="minorHAnsi"/>
        </w:rPr>
        <w:t xml:space="preserve"> at 9 (2014), </w:t>
      </w:r>
      <w:r w:rsidRPr="002670A4">
        <w:rPr>
          <w:rFonts w:cstheme="minorHAnsi"/>
          <w:i/>
        </w:rPr>
        <w:t xml:space="preserve">available at </w:t>
      </w:r>
      <w:hyperlink r:id="rId3" w:history="1">
        <w:r w:rsidRPr="002670A4">
          <w:rPr>
            <w:rStyle w:val="Hyperlink"/>
            <w:rFonts w:cstheme="minorHAnsi"/>
          </w:rPr>
          <w:t>https://www.reproductiverights.org/sites/crr.civicactions.net/files/documents/20Years_Reform_Report.pdf</w:t>
        </w:r>
      </w:hyperlink>
      <w:r w:rsidRPr="002670A4">
        <w:rPr>
          <w:rStyle w:val="Hyperlink"/>
          <w:rFonts w:cstheme="minorHAnsi"/>
        </w:rPr>
        <w:t xml:space="preserve"> [hereinafter </w:t>
      </w:r>
      <w:r w:rsidRPr="002670A4">
        <w:rPr>
          <w:rStyle w:val="Hyperlink"/>
          <w:rFonts w:cstheme="minorHAnsi"/>
          <w:smallCaps/>
        </w:rPr>
        <w:t>Center for Reproductive Rights, Abortion Worldwide</w:t>
      </w:r>
      <w:r w:rsidRPr="002670A4">
        <w:rPr>
          <w:rStyle w:val="Hyperlink"/>
          <w:rFonts w:cstheme="minorHAnsi"/>
        </w:rPr>
        <w:t>].</w:t>
      </w:r>
    </w:p>
  </w:endnote>
  <w:endnote w:id="26">
    <w:p w14:paraId="75A1E476" w14:textId="056AD413" w:rsidR="00CC4F76" w:rsidRPr="002670A4" w:rsidRDefault="00CC4F76" w:rsidP="00C452B3">
      <w:pPr>
        <w:pStyle w:val="EndnoteText"/>
        <w:rPr>
          <w:rFonts w:cstheme="minorHAnsi"/>
          <w:color w:val="0563C1" w:themeColor="hyperlink"/>
          <w:u w:val="single"/>
        </w:rPr>
      </w:pPr>
      <w:r w:rsidRPr="002670A4">
        <w:rPr>
          <w:rStyle w:val="EndnoteReference"/>
          <w:rFonts w:cstheme="minorHAnsi"/>
        </w:rPr>
        <w:endnoteRef/>
      </w:r>
      <w:r w:rsidRPr="002670A4">
        <w:rPr>
          <w:rFonts w:cstheme="minorHAnsi"/>
        </w:rPr>
        <w:t xml:space="preserve"> </w:t>
      </w:r>
      <w:r w:rsidRPr="002670A4">
        <w:rPr>
          <w:rFonts w:cstheme="minorHAnsi"/>
          <w:i/>
        </w:rPr>
        <w:t>See</w:t>
      </w:r>
      <w:r w:rsidRPr="002670A4">
        <w:rPr>
          <w:rFonts w:cstheme="minorHAnsi"/>
        </w:rPr>
        <w:t xml:space="preserve"> </w:t>
      </w:r>
      <w:r w:rsidRPr="002670A4">
        <w:rPr>
          <w:rFonts w:cstheme="minorHAnsi"/>
          <w:i/>
        </w:rPr>
        <w:t>id.</w:t>
      </w:r>
      <w:r w:rsidRPr="002670A4">
        <w:rPr>
          <w:rFonts w:cstheme="minorHAnsi"/>
        </w:rPr>
        <w:t xml:space="preserve">, at 14, 18, 21, 22, 24, 29, 30 (liberalizations in Albania, Cambodia, Fiji, Guyana, Luxembourg, Nepal, Portugal, South Africa, Spain, Switzerland, Uruguay); </w:t>
      </w:r>
      <w:r w:rsidRPr="002670A4">
        <w:rPr>
          <w:rFonts w:cstheme="minorHAnsi"/>
          <w:i/>
        </w:rPr>
        <w:t>see also Legal reform in Mozambique widens access to safe abortion care,</w:t>
      </w:r>
      <w:r w:rsidRPr="002670A4">
        <w:rPr>
          <w:rFonts w:cstheme="minorHAnsi"/>
          <w:i/>
          <w:smallCaps/>
        </w:rPr>
        <w:t xml:space="preserve"> </w:t>
      </w:r>
      <w:r w:rsidRPr="002670A4">
        <w:rPr>
          <w:rFonts w:cstheme="minorHAnsi"/>
          <w:smallCaps/>
        </w:rPr>
        <w:t>Ipas</w:t>
      </w:r>
      <w:r w:rsidRPr="002670A4">
        <w:rPr>
          <w:rFonts w:cstheme="minorHAnsi"/>
        </w:rPr>
        <w:t xml:space="preserve"> (Dec. 23, 2014), </w:t>
      </w:r>
      <w:hyperlink r:id="rId4" w:history="1">
        <w:r w:rsidRPr="002670A4">
          <w:rPr>
            <w:rStyle w:val="Hyperlink"/>
            <w:rFonts w:cstheme="minorHAnsi"/>
          </w:rPr>
          <w:t>http://www.ipas.org/en/News/2014/December/Legal-reform-in-Mozambique-widens-access-to-safe-abortion-care.aspx</w:t>
        </w:r>
      </w:hyperlink>
      <w:r w:rsidRPr="002670A4">
        <w:rPr>
          <w:rStyle w:val="Hyperlink"/>
          <w:rFonts w:cstheme="minorHAnsi"/>
        </w:rPr>
        <w:t>.</w:t>
      </w:r>
      <w:r w:rsidRPr="002670A4">
        <w:rPr>
          <w:rFonts w:cstheme="minorHAnsi"/>
        </w:rPr>
        <w:t xml:space="preserve"> </w:t>
      </w:r>
    </w:p>
  </w:endnote>
  <w:endnote w:id="27">
    <w:p w14:paraId="63CEAC9A" w14:textId="08D38664" w:rsidR="00CC4F76" w:rsidRPr="00A07213" w:rsidRDefault="00CC4F76">
      <w:pPr>
        <w:pStyle w:val="EndnoteText"/>
        <w:rPr>
          <w:rFonts w:cstheme="minorHAnsi"/>
        </w:rPr>
      </w:pPr>
      <w:r w:rsidRPr="002670A4">
        <w:rPr>
          <w:rStyle w:val="EndnoteReference"/>
          <w:rFonts w:cstheme="minorHAnsi"/>
        </w:rPr>
        <w:endnoteRef/>
      </w:r>
      <w:r w:rsidRPr="002670A4">
        <w:rPr>
          <w:rFonts w:cstheme="minorHAnsi"/>
        </w:rPr>
        <w:t xml:space="preserve"> CESCR Committee, </w:t>
      </w:r>
      <w:r w:rsidRPr="002670A4">
        <w:rPr>
          <w:rFonts w:cstheme="minorHAnsi"/>
          <w:i/>
        </w:rPr>
        <w:t>Gen. Comment No. 22</w:t>
      </w:r>
      <w:r w:rsidRPr="002670A4">
        <w:rPr>
          <w:rFonts w:cstheme="minorHAnsi"/>
        </w:rPr>
        <w:t xml:space="preserve">, </w:t>
      </w:r>
      <w:r w:rsidRPr="00A07213">
        <w:rPr>
          <w:rFonts w:cstheme="minorHAnsi"/>
          <w:i/>
        </w:rPr>
        <w:t xml:space="preserve">supra </w:t>
      </w:r>
      <w:r w:rsidRPr="00A07213">
        <w:rPr>
          <w:rFonts w:cstheme="minorHAnsi"/>
        </w:rPr>
        <w:t>note 1</w:t>
      </w:r>
      <w:r w:rsidR="00D8083E" w:rsidRPr="00A07213">
        <w:rPr>
          <w:rFonts w:cstheme="minorHAnsi"/>
        </w:rPr>
        <w:t>4</w:t>
      </w:r>
      <w:r w:rsidRPr="00A07213">
        <w:rPr>
          <w:rFonts w:cstheme="minorHAnsi"/>
        </w:rPr>
        <w:t>, para 28.</w:t>
      </w:r>
    </w:p>
  </w:endnote>
  <w:endnote w:id="28">
    <w:p w14:paraId="5EC67B0D" w14:textId="7F8EA5C9" w:rsidR="00CC4F76" w:rsidRPr="002670A4" w:rsidRDefault="00CC4F76">
      <w:pPr>
        <w:pStyle w:val="EndnoteText"/>
        <w:rPr>
          <w:rFonts w:cstheme="minorHAnsi"/>
        </w:rPr>
      </w:pPr>
      <w:r w:rsidRPr="00A07213">
        <w:rPr>
          <w:rStyle w:val="EndnoteReference"/>
          <w:rFonts w:cstheme="minorHAnsi"/>
        </w:rPr>
        <w:endnoteRef/>
      </w:r>
      <w:r w:rsidRPr="00A07213">
        <w:rPr>
          <w:rFonts w:cstheme="minorHAnsi"/>
        </w:rPr>
        <w:t xml:space="preserve"> CRC Committee, </w:t>
      </w:r>
      <w:r w:rsidRPr="00A07213">
        <w:rPr>
          <w:rFonts w:cstheme="minorHAnsi"/>
          <w:i/>
        </w:rPr>
        <w:t>General Comment No. 15 (2013) on the Right of</w:t>
      </w:r>
      <w:r w:rsidRPr="002670A4">
        <w:rPr>
          <w:rFonts w:cstheme="minorHAnsi"/>
          <w:i/>
        </w:rPr>
        <w:t xml:space="preserve"> the Child to the Enjoyment of the Highest Attainable Standard of Health (art. 24)</w:t>
      </w:r>
      <w:r w:rsidRPr="002670A4">
        <w:rPr>
          <w:rFonts w:cstheme="minorHAnsi"/>
        </w:rPr>
        <w:t xml:space="preserve">, paras. 54, 70, U.N. Doc. CRC/C/GC/15 (2013) [hereinafter CRC Committee, </w:t>
      </w:r>
      <w:r w:rsidRPr="002670A4">
        <w:rPr>
          <w:rFonts w:cstheme="minorHAnsi"/>
          <w:i/>
        </w:rPr>
        <w:t>Gen. Comment No. 15</w:t>
      </w:r>
      <w:r w:rsidRPr="002670A4">
        <w:rPr>
          <w:rFonts w:cstheme="minorHAnsi"/>
        </w:rPr>
        <w:t>].</w:t>
      </w:r>
    </w:p>
  </w:endnote>
  <w:endnote w:id="29">
    <w:p w14:paraId="7F6B890C" w14:textId="0D2E1EE7"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CEDAW Committee, </w:t>
      </w:r>
      <w:r w:rsidRPr="002670A4">
        <w:rPr>
          <w:rFonts w:cstheme="minorHAnsi"/>
          <w:i/>
        </w:rPr>
        <w:t>General Recommendation No. 30 on women in conflict prevention, conflict and post-conflict situations</w:t>
      </w:r>
      <w:r w:rsidRPr="002670A4">
        <w:rPr>
          <w:rFonts w:cstheme="minorHAnsi"/>
        </w:rPr>
        <w:t xml:space="preserve">, para. 52(c), U.N. Doc. CEDAW/C/GC/30 (2013). </w:t>
      </w:r>
      <w:r w:rsidRPr="002670A4">
        <w:rPr>
          <w:rFonts w:cstheme="minorHAnsi"/>
          <w:i/>
        </w:rPr>
        <w:t>See also</w:t>
      </w:r>
      <w:r w:rsidRPr="002670A4">
        <w:rPr>
          <w:rFonts w:cstheme="minorHAnsi"/>
        </w:rPr>
        <w:t xml:space="preserve"> CEDAW Committee, </w:t>
      </w:r>
      <w:r w:rsidRPr="002670A4">
        <w:rPr>
          <w:rFonts w:cstheme="minorHAnsi"/>
          <w:i/>
        </w:rPr>
        <w:t>Concluding Observations: New Zealand</w:t>
      </w:r>
      <w:r w:rsidRPr="002670A4">
        <w:rPr>
          <w:rFonts w:cstheme="minorHAnsi"/>
        </w:rPr>
        <w:t xml:space="preserve">, para. 35(a), U.N. Doc. CEDAW/C/NZL/CO/7 (2012) (urging a state permitting abortion where pregnancy poses a risk to the woman’s physical or mental health and in instances of rape or incest to amend its abortion law “to ensure women’s autonomy to choose.”); </w:t>
      </w:r>
      <w:r w:rsidRPr="002670A4">
        <w:rPr>
          <w:rFonts w:cstheme="minorHAnsi"/>
          <w:i/>
        </w:rPr>
        <w:t>Sierra Leone</w:t>
      </w:r>
      <w:r w:rsidRPr="002670A4">
        <w:rPr>
          <w:rFonts w:cstheme="minorHAnsi"/>
        </w:rPr>
        <w:t>, para. 32, U.N. Doc. CEDAW/C/SLE/CO/6 (2014).</w:t>
      </w:r>
    </w:p>
  </w:endnote>
  <w:endnote w:id="30">
    <w:p w14:paraId="2B6257F9" w14:textId="2A6DF648" w:rsidR="00CC4F76" w:rsidRPr="00A07213" w:rsidRDefault="00CC4F76">
      <w:pPr>
        <w:pStyle w:val="EndnoteText"/>
        <w:rPr>
          <w:rFonts w:cstheme="minorHAnsi"/>
        </w:rPr>
      </w:pPr>
      <w:r w:rsidRPr="002670A4">
        <w:rPr>
          <w:rStyle w:val="EndnoteReference"/>
          <w:rFonts w:cstheme="minorHAnsi"/>
        </w:rPr>
        <w:endnoteRef/>
      </w:r>
      <w:r w:rsidRPr="002670A4">
        <w:rPr>
          <w:rFonts w:cstheme="minorHAnsi"/>
        </w:rPr>
        <w:t xml:space="preserve"> CESCR Committee, </w:t>
      </w:r>
      <w:r w:rsidRPr="002670A4">
        <w:rPr>
          <w:rFonts w:cstheme="minorHAnsi"/>
          <w:i/>
        </w:rPr>
        <w:t>Gen. Comment No. 22</w:t>
      </w:r>
      <w:r w:rsidRPr="002670A4">
        <w:rPr>
          <w:rFonts w:cstheme="minorHAnsi"/>
        </w:rPr>
        <w:t xml:space="preserve">, </w:t>
      </w:r>
      <w:r w:rsidRPr="00A07213">
        <w:rPr>
          <w:rFonts w:cstheme="minorHAnsi"/>
          <w:i/>
        </w:rPr>
        <w:t xml:space="preserve">supra </w:t>
      </w:r>
      <w:r w:rsidRPr="00A07213">
        <w:rPr>
          <w:rFonts w:cstheme="minorHAnsi"/>
        </w:rPr>
        <w:t>note 1</w:t>
      </w:r>
      <w:r w:rsidR="00E27F45" w:rsidRPr="00A07213">
        <w:rPr>
          <w:rFonts w:cstheme="minorHAnsi"/>
        </w:rPr>
        <w:t>4</w:t>
      </w:r>
      <w:r w:rsidRPr="00A07213">
        <w:rPr>
          <w:rFonts w:cstheme="minorHAnsi"/>
        </w:rPr>
        <w:t>, para. 28.</w:t>
      </w:r>
    </w:p>
  </w:endnote>
  <w:endnote w:id="31">
    <w:p w14:paraId="1FCF1816" w14:textId="7A15BB04" w:rsidR="00CC4F76" w:rsidRPr="00A07213" w:rsidRDefault="00CC4F76">
      <w:pPr>
        <w:pStyle w:val="EndnoteText"/>
        <w:rPr>
          <w:rFonts w:cstheme="minorHAnsi"/>
        </w:rPr>
      </w:pPr>
      <w:r w:rsidRPr="00A07213">
        <w:rPr>
          <w:rStyle w:val="EndnoteReference"/>
          <w:rFonts w:cstheme="minorHAnsi"/>
        </w:rPr>
        <w:endnoteRef/>
      </w:r>
      <w:r w:rsidRPr="00A07213">
        <w:rPr>
          <w:rFonts w:cstheme="minorHAnsi"/>
        </w:rPr>
        <w:t xml:space="preserve"> UN Working Group on DAW 2016 Report, </w:t>
      </w:r>
      <w:r w:rsidRPr="00A07213">
        <w:rPr>
          <w:rFonts w:cstheme="minorHAnsi"/>
          <w:i/>
        </w:rPr>
        <w:t xml:space="preserve">supra </w:t>
      </w:r>
      <w:r w:rsidRPr="00A07213">
        <w:rPr>
          <w:rFonts w:cstheme="minorHAnsi"/>
        </w:rPr>
        <w:t>note 1</w:t>
      </w:r>
      <w:r w:rsidR="00E27F45" w:rsidRPr="00A07213">
        <w:rPr>
          <w:rFonts w:cstheme="minorHAnsi"/>
        </w:rPr>
        <w:t>6</w:t>
      </w:r>
      <w:r w:rsidRPr="00A07213">
        <w:rPr>
          <w:rFonts w:cstheme="minorHAnsi"/>
        </w:rPr>
        <w:t>, para. 107(b) and (c).</w:t>
      </w:r>
    </w:p>
  </w:endnote>
  <w:endnote w:id="32">
    <w:p w14:paraId="30FF833D" w14:textId="1D7EBE66" w:rsidR="00CC4F76" w:rsidRPr="002670A4" w:rsidRDefault="00CC4F76">
      <w:pPr>
        <w:pStyle w:val="EndnoteText"/>
        <w:rPr>
          <w:rFonts w:cstheme="minorHAnsi"/>
        </w:rPr>
      </w:pPr>
      <w:r w:rsidRPr="00A07213">
        <w:rPr>
          <w:rStyle w:val="EndnoteReference"/>
          <w:rFonts w:cstheme="minorHAnsi"/>
        </w:rPr>
        <w:endnoteRef/>
      </w:r>
      <w:r w:rsidRPr="00A07213">
        <w:rPr>
          <w:rFonts w:cstheme="minorHAnsi"/>
        </w:rPr>
        <w:t xml:space="preserve"> Press Release, “Unsafe abortion is still killing tens of thousands</w:t>
      </w:r>
      <w:r w:rsidRPr="002670A4">
        <w:rPr>
          <w:rFonts w:cstheme="minorHAnsi"/>
        </w:rPr>
        <w:t xml:space="preserve"> of women around the world” UN rights experts warn (Sept. 28, 2016), </w:t>
      </w:r>
      <w:r w:rsidRPr="002670A4">
        <w:rPr>
          <w:rFonts w:cstheme="minorHAnsi"/>
          <w:i/>
        </w:rPr>
        <w:t xml:space="preserve">available at </w:t>
      </w:r>
      <w:hyperlink r:id="rId5" w:history="1">
        <w:r w:rsidRPr="002670A4">
          <w:rPr>
            <w:rStyle w:val="Hyperlink"/>
            <w:rFonts w:cstheme="minorHAnsi"/>
          </w:rPr>
          <w:t>http://www.ohchr.org/EN/NewsEvents/Pages/DisplayNews.aspx?NewsID=20600&amp;LangID=E</w:t>
        </w:r>
      </w:hyperlink>
      <w:r w:rsidRPr="002670A4">
        <w:rPr>
          <w:rStyle w:val="Hyperlink"/>
          <w:rFonts w:cstheme="minorHAnsi"/>
        </w:rPr>
        <w:t>.</w:t>
      </w:r>
    </w:p>
  </w:endnote>
  <w:endnote w:id="33">
    <w:p w14:paraId="5E8E5611" w14:textId="5C4F7F6F"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w:t>
      </w:r>
      <w:r w:rsidRPr="002670A4">
        <w:rPr>
          <w:rFonts w:cstheme="minorHAnsi"/>
          <w:i/>
        </w:rPr>
        <w:t>Id.</w:t>
      </w:r>
    </w:p>
  </w:endnote>
  <w:endnote w:id="34">
    <w:p w14:paraId="5B757DB4" w14:textId="196EC1D5"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Human Rights Committee, </w:t>
      </w:r>
      <w:r w:rsidRPr="002670A4">
        <w:rPr>
          <w:rFonts w:cstheme="minorHAnsi"/>
          <w:i/>
        </w:rPr>
        <w:t>Concluding Observations:</w:t>
      </w:r>
      <w:r w:rsidRPr="002670A4">
        <w:rPr>
          <w:rFonts w:cstheme="minorHAnsi"/>
        </w:rPr>
        <w:t xml:space="preserve"> </w:t>
      </w:r>
      <w:r w:rsidRPr="002670A4">
        <w:rPr>
          <w:rFonts w:cstheme="minorHAnsi"/>
          <w:i/>
        </w:rPr>
        <w:t>Chile</w:t>
      </w:r>
      <w:r w:rsidRPr="002670A4">
        <w:rPr>
          <w:rFonts w:cstheme="minorHAnsi"/>
        </w:rPr>
        <w:t xml:space="preserve">, para. 15, U.N. Doc. CCPR/C/CHL/CO/6 (2014); </w:t>
      </w:r>
      <w:r w:rsidRPr="002670A4">
        <w:rPr>
          <w:rFonts w:cstheme="minorHAnsi"/>
          <w:i/>
        </w:rPr>
        <w:t>Costa Rica</w:t>
      </w:r>
      <w:r w:rsidRPr="002670A4">
        <w:rPr>
          <w:rFonts w:cstheme="minorHAnsi"/>
        </w:rPr>
        <w:t xml:space="preserve">, para. 17, U.N. Doc. CCPR/C/CRI/CO/6 (2016) (referring to cases of rape, incest, and fatal fetal impairment); </w:t>
      </w:r>
      <w:r w:rsidRPr="002670A4">
        <w:rPr>
          <w:rFonts w:cstheme="minorHAnsi"/>
          <w:i/>
        </w:rPr>
        <w:t>Malawi</w:t>
      </w:r>
      <w:r w:rsidRPr="002670A4">
        <w:rPr>
          <w:rFonts w:cstheme="minorHAnsi"/>
        </w:rPr>
        <w:t xml:space="preserve">, para. 9, U.N. Doc. CCPR/C/MWI/CO/1/Add.1 (2014); </w:t>
      </w:r>
      <w:r w:rsidRPr="002670A4">
        <w:rPr>
          <w:rFonts w:cstheme="minorHAnsi"/>
          <w:i/>
        </w:rPr>
        <w:t>Sierra Leone</w:t>
      </w:r>
      <w:r w:rsidRPr="002670A4">
        <w:rPr>
          <w:rFonts w:cstheme="minorHAnsi"/>
        </w:rPr>
        <w:t xml:space="preserve">, para. 14, U.N. Doc. CCPR/C/SLE/CO/1 (2014); </w:t>
      </w:r>
      <w:r w:rsidRPr="002670A4">
        <w:rPr>
          <w:rFonts w:cstheme="minorHAnsi"/>
          <w:i/>
        </w:rPr>
        <w:t>Malta</w:t>
      </w:r>
      <w:r w:rsidRPr="002670A4">
        <w:rPr>
          <w:rFonts w:cstheme="minorHAnsi"/>
        </w:rPr>
        <w:t xml:space="preserve">, para. 13, U.N. Doc. CCPR/C/MLT/CO/2 (2014); </w:t>
      </w:r>
      <w:r w:rsidRPr="002670A4">
        <w:rPr>
          <w:rFonts w:cstheme="minorHAnsi"/>
          <w:i/>
        </w:rPr>
        <w:t>Sri Lanka</w:t>
      </w:r>
      <w:r w:rsidRPr="002670A4">
        <w:rPr>
          <w:rFonts w:cstheme="minorHAnsi"/>
        </w:rPr>
        <w:t xml:space="preserve">, para. 10, U.N. Doc. CCPR/C/LKA/CO/5 (2014); </w:t>
      </w:r>
      <w:r w:rsidRPr="002670A4">
        <w:rPr>
          <w:rFonts w:cstheme="minorHAnsi"/>
          <w:i/>
        </w:rPr>
        <w:t>Paraguay</w:t>
      </w:r>
      <w:r w:rsidRPr="002670A4">
        <w:rPr>
          <w:rFonts w:cstheme="minorHAnsi"/>
        </w:rPr>
        <w:t>, para. 13, U.N. Doc. </w:t>
      </w:r>
      <w:hyperlink r:id="rId6" w:tgtFrame="_blank" w:history="1">
        <w:r w:rsidRPr="002670A4">
          <w:rPr>
            <w:rStyle w:val="Hyperlink"/>
            <w:rFonts w:cstheme="minorHAnsi"/>
          </w:rPr>
          <w:t>CCPR/C/PRY/CO/3 (2013</w:t>
        </w:r>
      </w:hyperlink>
      <w:r w:rsidRPr="002670A4">
        <w:rPr>
          <w:rFonts w:cstheme="minorHAnsi"/>
        </w:rPr>
        <w:t xml:space="preserve">); </w:t>
      </w:r>
      <w:r w:rsidRPr="002670A4">
        <w:rPr>
          <w:rFonts w:cstheme="minorHAnsi"/>
          <w:i/>
        </w:rPr>
        <w:t>Peru</w:t>
      </w:r>
      <w:r w:rsidRPr="002670A4">
        <w:rPr>
          <w:rFonts w:cstheme="minorHAnsi"/>
        </w:rPr>
        <w:t>, para. 14, U.N. Doc. </w:t>
      </w:r>
      <w:hyperlink r:id="rId7" w:tgtFrame="_blank" w:history="1">
        <w:r w:rsidRPr="002670A4">
          <w:rPr>
            <w:rStyle w:val="Hyperlink"/>
            <w:rFonts w:cstheme="minorHAnsi"/>
          </w:rPr>
          <w:t>CCPR/C/PER/CO/5 (2013)</w:t>
        </w:r>
      </w:hyperlink>
      <w:r w:rsidRPr="002670A4">
        <w:rPr>
          <w:rFonts w:cstheme="minorHAnsi"/>
        </w:rPr>
        <w:t xml:space="preserve">; </w:t>
      </w:r>
      <w:r w:rsidRPr="002670A4">
        <w:rPr>
          <w:rFonts w:cstheme="minorHAnsi"/>
          <w:i/>
        </w:rPr>
        <w:t>Guatemala</w:t>
      </w:r>
      <w:r w:rsidRPr="002670A4">
        <w:rPr>
          <w:rFonts w:cstheme="minorHAnsi"/>
        </w:rPr>
        <w:t>, para. 20, U.N. Doc. </w:t>
      </w:r>
      <w:hyperlink r:id="rId8" w:tgtFrame="_blank" w:history="1">
        <w:r w:rsidRPr="002670A4">
          <w:rPr>
            <w:rStyle w:val="Hyperlink"/>
            <w:rFonts w:cstheme="minorHAnsi"/>
          </w:rPr>
          <w:t>CCPR/C/GTM/CO/3 (2012</w:t>
        </w:r>
      </w:hyperlink>
      <w:r w:rsidRPr="002670A4">
        <w:rPr>
          <w:rFonts w:cstheme="minorHAnsi"/>
        </w:rPr>
        <w:t xml:space="preserve">); </w:t>
      </w:r>
      <w:r w:rsidRPr="002670A4">
        <w:rPr>
          <w:rFonts w:cstheme="minorHAnsi"/>
          <w:i/>
        </w:rPr>
        <w:t>Mexico</w:t>
      </w:r>
      <w:r w:rsidRPr="002670A4">
        <w:rPr>
          <w:rFonts w:cstheme="minorHAnsi"/>
        </w:rPr>
        <w:t>, para. 10, U.N. Doc. </w:t>
      </w:r>
      <w:hyperlink r:id="rId9" w:tgtFrame="_blank" w:history="1">
        <w:r w:rsidRPr="002670A4">
          <w:rPr>
            <w:rStyle w:val="Hyperlink"/>
            <w:rFonts w:cstheme="minorHAnsi"/>
          </w:rPr>
          <w:t>CCPR/C/MEX/CO/5 (2010)</w:t>
        </w:r>
      </w:hyperlink>
      <w:r w:rsidRPr="002670A4">
        <w:rPr>
          <w:rFonts w:cstheme="minorHAnsi"/>
        </w:rPr>
        <w:t xml:space="preserve">; </w:t>
      </w:r>
      <w:r w:rsidRPr="002670A4">
        <w:rPr>
          <w:rFonts w:cstheme="minorHAnsi"/>
          <w:i/>
        </w:rPr>
        <w:t>El Salvador</w:t>
      </w:r>
      <w:r w:rsidRPr="002670A4">
        <w:rPr>
          <w:rFonts w:cstheme="minorHAnsi"/>
        </w:rPr>
        <w:t xml:space="preserve">, para. 10, U.N. Doc. CCPR/C/SLV/CO/6 (2010); </w:t>
      </w:r>
      <w:r w:rsidRPr="002670A4">
        <w:rPr>
          <w:rFonts w:cstheme="minorHAnsi"/>
          <w:i/>
        </w:rPr>
        <w:t>Poland</w:t>
      </w:r>
      <w:r w:rsidRPr="002670A4">
        <w:rPr>
          <w:rFonts w:cstheme="minorHAnsi"/>
        </w:rPr>
        <w:t xml:space="preserve">, para. 12, U.N. Doc. CCPR/C/POL/CO/6 (2010); </w:t>
      </w:r>
      <w:r w:rsidRPr="002670A4">
        <w:rPr>
          <w:rFonts w:cstheme="minorHAnsi"/>
          <w:i/>
        </w:rPr>
        <w:t>Jamaica</w:t>
      </w:r>
      <w:r w:rsidRPr="002670A4">
        <w:rPr>
          <w:rFonts w:cstheme="minorHAnsi"/>
        </w:rPr>
        <w:t xml:space="preserve">, para. 14, U.N. Doc. CCPR/C/JAM/CO/3 (2011); </w:t>
      </w:r>
      <w:r w:rsidRPr="002670A4">
        <w:rPr>
          <w:rFonts w:cstheme="minorHAnsi"/>
          <w:i/>
        </w:rPr>
        <w:t>Dominican Republic</w:t>
      </w:r>
      <w:r w:rsidRPr="002670A4">
        <w:rPr>
          <w:rFonts w:cstheme="minorHAnsi"/>
        </w:rPr>
        <w:t xml:space="preserve">, para. 15, U.N. Doc. CCPR/C/DOM/CO/5 (2012); </w:t>
      </w:r>
      <w:r w:rsidRPr="002670A4">
        <w:rPr>
          <w:rFonts w:cstheme="minorHAnsi"/>
          <w:i/>
        </w:rPr>
        <w:t>Nicaragua</w:t>
      </w:r>
      <w:r w:rsidRPr="002670A4">
        <w:rPr>
          <w:rFonts w:cstheme="minorHAnsi"/>
        </w:rPr>
        <w:t>, para. 13, U.N. Doc. </w:t>
      </w:r>
      <w:hyperlink r:id="rId10" w:tgtFrame="_blank" w:history="1">
        <w:r w:rsidRPr="002670A4">
          <w:rPr>
            <w:rStyle w:val="Hyperlink"/>
            <w:rFonts w:cstheme="minorHAnsi"/>
          </w:rPr>
          <w:t>CCPR/C/NIC/CO/3 (2008)</w:t>
        </w:r>
      </w:hyperlink>
      <w:r w:rsidRPr="002670A4">
        <w:rPr>
          <w:rFonts w:cstheme="minorHAnsi"/>
        </w:rPr>
        <w:t xml:space="preserve">; </w:t>
      </w:r>
      <w:r w:rsidRPr="002670A4">
        <w:rPr>
          <w:rFonts w:cstheme="minorHAnsi"/>
          <w:i/>
        </w:rPr>
        <w:t>Djibouti</w:t>
      </w:r>
      <w:r w:rsidRPr="002670A4">
        <w:rPr>
          <w:rFonts w:cstheme="minorHAnsi"/>
        </w:rPr>
        <w:t>, para. 9, U.N. CCPR/C/DJI/CO/1 (2013).</w:t>
      </w:r>
    </w:p>
  </w:endnote>
  <w:endnote w:id="35">
    <w:p w14:paraId="45645568" w14:textId="206384DA"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Human Rights Committee, </w:t>
      </w:r>
      <w:r w:rsidRPr="002670A4">
        <w:rPr>
          <w:rFonts w:cstheme="minorHAnsi"/>
          <w:i/>
        </w:rPr>
        <w:t xml:space="preserve">Concluding Observations: Argentina, </w:t>
      </w:r>
      <w:r w:rsidRPr="002670A4">
        <w:rPr>
          <w:rFonts w:cstheme="minorHAnsi"/>
        </w:rPr>
        <w:t>para. 12, U.N. Doc. CCPR/C/ARG/CO/5 (2016).</w:t>
      </w:r>
    </w:p>
  </w:endnote>
  <w:endnote w:id="36">
    <w:p w14:paraId="79631A75" w14:textId="1EECC001"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Tysiac v. Poland, No. 5410/03, Eur. Ct. H. R., para. 116 (2007).</w:t>
      </w:r>
    </w:p>
  </w:endnote>
  <w:endnote w:id="37">
    <w:p w14:paraId="352D49A7" w14:textId="3A5FFA35"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UN Working Group on DAW 2016 </w:t>
      </w:r>
      <w:r w:rsidRPr="00A07213">
        <w:rPr>
          <w:rFonts w:cstheme="minorHAnsi"/>
        </w:rPr>
        <w:t xml:space="preserve">Report, </w:t>
      </w:r>
      <w:r w:rsidRPr="00A07213">
        <w:rPr>
          <w:rFonts w:cstheme="minorHAnsi"/>
          <w:i/>
        </w:rPr>
        <w:t xml:space="preserve">supra </w:t>
      </w:r>
      <w:r w:rsidRPr="00A07213">
        <w:rPr>
          <w:rFonts w:cstheme="minorHAnsi"/>
        </w:rPr>
        <w:t>note 1</w:t>
      </w:r>
      <w:r w:rsidR="00E27F45" w:rsidRPr="00A07213">
        <w:rPr>
          <w:rFonts w:cstheme="minorHAnsi"/>
        </w:rPr>
        <w:t>6</w:t>
      </w:r>
      <w:r w:rsidRPr="00A07213">
        <w:rPr>
          <w:rFonts w:cstheme="minorHAnsi"/>
          <w:color w:val="000000"/>
        </w:rPr>
        <w:t>,</w:t>
      </w:r>
      <w:r w:rsidRPr="002670A4">
        <w:rPr>
          <w:rFonts w:cstheme="minorHAnsi"/>
          <w:color w:val="000000"/>
        </w:rPr>
        <w:t xml:space="preserve"> </w:t>
      </w:r>
      <w:r w:rsidRPr="002670A4">
        <w:rPr>
          <w:rFonts w:cstheme="minorHAnsi"/>
          <w:bCs/>
          <w:color w:val="000000"/>
        </w:rPr>
        <w:t>para. 79</w:t>
      </w:r>
      <w:r w:rsidRPr="002670A4">
        <w:rPr>
          <w:rFonts w:cstheme="minorHAnsi"/>
        </w:rPr>
        <w:t xml:space="preserve">;  </w:t>
      </w:r>
      <w:r w:rsidRPr="002670A4">
        <w:rPr>
          <w:rFonts w:cstheme="minorHAnsi"/>
          <w:i/>
        </w:rPr>
        <w:t>see also</w:t>
      </w:r>
      <w:r w:rsidRPr="002670A4">
        <w:rPr>
          <w:rFonts w:cstheme="minorHAnsi"/>
        </w:rPr>
        <w:t xml:space="preserve"> CEDAW Committee, </w:t>
      </w:r>
      <w:r w:rsidRPr="002670A4">
        <w:rPr>
          <w:rFonts w:cstheme="minorHAnsi"/>
          <w:i/>
        </w:rPr>
        <w:t>Concluding Observations: El Salvador</w:t>
      </w:r>
      <w:r w:rsidRPr="002670A4">
        <w:rPr>
          <w:rFonts w:cstheme="minorHAnsi"/>
        </w:rPr>
        <w:t xml:space="preserve">, para. 36(a), U.N. Doc. CEDAW/C/SLV/CO/8-9 (2017); </w:t>
      </w:r>
      <w:r w:rsidRPr="002670A4">
        <w:rPr>
          <w:rFonts w:cstheme="minorHAnsi"/>
          <w:smallCaps/>
        </w:rPr>
        <w:t>Center for Reproductive Rights, Marginalized, Persecuted and Imprisoned: the Effects of El Salvador’s Total Criminalization of Abortion (2014)</w:t>
      </w:r>
      <w:r w:rsidRPr="002670A4">
        <w:rPr>
          <w:rFonts w:cstheme="minorHAnsi"/>
        </w:rPr>
        <w:t xml:space="preserve">, </w:t>
      </w:r>
      <w:r w:rsidRPr="002670A4">
        <w:rPr>
          <w:rFonts w:cstheme="minorHAnsi"/>
          <w:i/>
        </w:rPr>
        <w:t xml:space="preserve">available at </w:t>
      </w:r>
      <w:r w:rsidRPr="002670A4">
        <w:rPr>
          <w:rFonts w:cstheme="minorHAnsi"/>
        </w:rPr>
        <w:t xml:space="preserve">https://www.reproductiverights.org/sites/crr.civicactions.net/files/documents/El-Salvador-CriminalizationOfAbortion-Report.pdf; Erika Guevara-Rosas, </w:t>
      </w:r>
      <w:r w:rsidRPr="002670A4">
        <w:rPr>
          <w:rFonts w:cstheme="minorHAnsi"/>
          <w:i/>
        </w:rPr>
        <w:t>El Salvador and ‘Las 17’</w:t>
      </w:r>
      <w:r w:rsidRPr="002670A4">
        <w:rPr>
          <w:rFonts w:cstheme="minorHAnsi"/>
        </w:rPr>
        <w:t xml:space="preserve">, </w:t>
      </w:r>
      <w:r w:rsidRPr="002670A4">
        <w:rPr>
          <w:rFonts w:cstheme="minorHAnsi"/>
          <w:smallCaps/>
        </w:rPr>
        <w:t>NYTimes</w:t>
      </w:r>
      <w:r w:rsidRPr="002670A4">
        <w:rPr>
          <w:rFonts w:cstheme="minorHAnsi"/>
        </w:rPr>
        <w:t xml:space="preserve"> (Mar. 2, 2015), </w:t>
      </w:r>
      <w:hyperlink r:id="rId11" w:history="1">
        <w:r w:rsidRPr="002670A4">
          <w:rPr>
            <w:rStyle w:val="Hyperlink"/>
            <w:rFonts w:cstheme="minorHAnsi"/>
          </w:rPr>
          <w:t>https://www.nytimes.com/2015/03/03/opinion/el-salvador-and-las-17.html?mcubz=0</w:t>
        </w:r>
      </w:hyperlink>
      <w:r w:rsidRPr="002670A4">
        <w:rPr>
          <w:rStyle w:val="Hyperlink"/>
          <w:rFonts w:cstheme="minorHAnsi"/>
        </w:rPr>
        <w:t>.</w:t>
      </w:r>
      <w:r w:rsidRPr="002670A4">
        <w:rPr>
          <w:rFonts w:cstheme="minorHAnsi"/>
        </w:rPr>
        <w:t xml:space="preserve"> </w:t>
      </w:r>
    </w:p>
  </w:endnote>
  <w:endnote w:id="38">
    <w:p w14:paraId="256F6176" w14:textId="20EE9853"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CRC Committee, </w:t>
      </w:r>
      <w:r w:rsidRPr="002670A4">
        <w:rPr>
          <w:rFonts w:cstheme="minorHAnsi"/>
          <w:i/>
        </w:rPr>
        <w:t>Concluding Observations: Gambia</w:t>
      </w:r>
      <w:r w:rsidRPr="002670A4">
        <w:rPr>
          <w:rFonts w:cstheme="minorHAnsi"/>
        </w:rPr>
        <w:t xml:space="preserve">, para. 63(b), U.N. Doc. CRC/C/GAM/CO/2-3 (2015); </w:t>
      </w:r>
      <w:r w:rsidRPr="002670A4">
        <w:rPr>
          <w:rFonts w:cstheme="minorHAnsi"/>
          <w:i/>
        </w:rPr>
        <w:t>Dominican Republic</w:t>
      </w:r>
      <w:r w:rsidRPr="002670A4">
        <w:rPr>
          <w:rFonts w:cstheme="minorHAnsi"/>
        </w:rPr>
        <w:t xml:space="preserve">, para. 52(d), U.N. Doc. CRC/C/DOM/CO/3-5 (2015); </w:t>
      </w:r>
      <w:r w:rsidRPr="002670A4">
        <w:rPr>
          <w:rFonts w:cstheme="minorHAnsi"/>
          <w:i/>
        </w:rPr>
        <w:t>Morocco</w:t>
      </w:r>
      <w:r w:rsidRPr="002670A4">
        <w:rPr>
          <w:rFonts w:cstheme="minorHAnsi"/>
        </w:rPr>
        <w:t>, para. 57(b), U.N. Doc. CRC/C/MAR/CO/3-4 (2014).</w:t>
      </w:r>
    </w:p>
  </w:endnote>
  <w:endnote w:id="39">
    <w:p w14:paraId="3CFAC4E2" w14:textId="57EA26BE" w:rsidR="00CC4F76" w:rsidRPr="002670A4" w:rsidRDefault="00CC4F76" w:rsidP="00421246">
      <w:pPr>
        <w:pStyle w:val="Heading2"/>
        <w:rPr>
          <w:rFonts w:asciiTheme="minorHAnsi" w:hAnsiTheme="minorHAnsi" w:cstheme="minorHAnsi"/>
        </w:rPr>
      </w:pPr>
      <w:r w:rsidRPr="002670A4">
        <w:rPr>
          <w:rStyle w:val="EndnoteReference"/>
          <w:rFonts w:asciiTheme="minorHAnsi" w:hAnsiTheme="minorHAnsi" w:cstheme="minorHAnsi"/>
        </w:rPr>
        <w:endnoteRef/>
      </w:r>
      <w:r w:rsidRPr="002670A4">
        <w:rPr>
          <w:rFonts w:asciiTheme="minorHAnsi" w:hAnsiTheme="minorHAnsi" w:cstheme="minorHAnsi"/>
        </w:rPr>
        <w:t xml:space="preserve">  CRC Committee, </w:t>
      </w:r>
      <w:r w:rsidRPr="002670A4">
        <w:rPr>
          <w:rFonts w:asciiTheme="minorHAnsi" w:hAnsiTheme="minorHAnsi" w:cstheme="minorHAnsi"/>
          <w:i/>
        </w:rPr>
        <w:t>Concluding Observations: Peru</w:t>
      </w:r>
      <w:r w:rsidRPr="002670A4">
        <w:rPr>
          <w:rFonts w:asciiTheme="minorHAnsi" w:hAnsiTheme="minorHAnsi" w:cstheme="minorHAnsi"/>
        </w:rPr>
        <w:t xml:space="preserve">, para. 56(b), U.N. Doc. CRC/C/PER/CO/4-5 (2016);  </w:t>
      </w:r>
      <w:r w:rsidRPr="002670A4">
        <w:rPr>
          <w:rFonts w:asciiTheme="minorHAnsi" w:hAnsiTheme="minorHAnsi" w:cstheme="minorHAnsi"/>
          <w:i/>
        </w:rPr>
        <w:t>Kenya</w:t>
      </w:r>
      <w:r w:rsidRPr="002670A4">
        <w:rPr>
          <w:rFonts w:asciiTheme="minorHAnsi" w:hAnsiTheme="minorHAnsi" w:cstheme="minorHAnsi"/>
        </w:rPr>
        <w:t xml:space="preserve">, para. 50(b), U.N. Doc. CRC/C/KEN/CO/3-5 (2016); </w:t>
      </w:r>
      <w:r w:rsidRPr="002670A4">
        <w:rPr>
          <w:rFonts w:asciiTheme="minorHAnsi" w:hAnsiTheme="minorHAnsi" w:cstheme="minorHAnsi"/>
          <w:i/>
        </w:rPr>
        <w:t>Haiti</w:t>
      </w:r>
      <w:r w:rsidRPr="002670A4">
        <w:rPr>
          <w:rFonts w:asciiTheme="minorHAnsi" w:hAnsiTheme="minorHAnsi" w:cstheme="minorHAnsi"/>
        </w:rPr>
        <w:t xml:space="preserve">, para. 51(c), U.N. Doc. CRC/C/HTI/CO/2-3 (2016); </w:t>
      </w:r>
      <w:r w:rsidRPr="002670A4">
        <w:rPr>
          <w:rFonts w:asciiTheme="minorHAnsi" w:hAnsiTheme="minorHAnsi" w:cstheme="minorHAnsi"/>
          <w:i/>
        </w:rPr>
        <w:t>Senegal</w:t>
      </w:r>
      <w:r w:rsidRPr="002670A4">
        <w:rPr>
          <w:rFonts w:asciiTheme="minorHAnsi" w:hAnsiTheme="minorHAnsi" w:cstheme="minorHAnsi"/>
        </w:rPr>
        <w:t xml:space="preserve">, para. 54(d), U.N. Doc. CRC/C/SEN/CO/3-5 (2016); </w:t>
      </w:r>
      <w:r w:rsidRPr="002670A4">
        <w:rPr>
          <w:rFonts w:asciiTheme="minorHAnsi" w:hAnsiTheme="minorHAnsi" w:cstheme="minorHAnsi"/>
          <w:i/>
        </w:rPr>
        <w:t>Ireland</w:t>
      </w:r>
      <w:r w:rsidRPr="002670A4">
        <w:rPr>
          <w:rFonts w:asciiTheme="minorHAnsi" w:hAnsiTheme="minorHAnsi" w:cstheme="minorHAnsi"/>
        </w:rPr>
        <w:t>, para. 58(a), U.N. Doc. CRC/C/IRL/CO/3-4 (2016).</w:t>
      </w:r>
    </w:p>
  </w:endnote>
  <w:endnote w:id="40">
    <w:p w14:paraId="7B5FE3D8" w14:textId="1C86F40F" w:rsidR="00CC4F76" w:rsidRPr="002670A4" w:rsidRDefault="00CC4F76" w:rsidP="00DB4ABE">
      <w:pPr>
        <w:pStyle w:val="EndnoteText"/>
        <w:rPr>
          <w:rFonts w:cstheme="minorHAnsi"/>
        </w:rPr>
      </w:pPr>
      <w:r w:rsidRPr="002670A4">
        <w:rPr>
          <w:rStyle w:val="EndnoteReference"/>
          <w:rFonts w:cstheme="minorHAnsi"/>
        </w:rPr>
        <w:endnoteRef/>
      </w:r>
      <w:r w:rsidRPr="002670A4">
        <w:rPr>
          <w:rFonts w:cstheme="minorHAnsi"/>
        </w:rPr>
        <w:t xml:space="preserve"> CRC Committee, </w:t>
      </w:r>
      <w:r w:rsidRPr="002670A4">
        <w:rPr>
          <w:rFonts w:cstheme="minorHAnsi"/>
          <w:i/>
        </w:rPr>
        <w:t xml:space="preserve">General Comment No. 20 (2016) on the implementation of the rights of the child during adolescence, </w:t>
      </w:r>
      <w:r w:rsidRPr="002670A4">
        <w:rPr>
          <w:rFonts w:cstheme="minorHAnsi"/>
        </w:rPr>
        <w:t xml:space="preserve">para. 60, U.N. Doc. CRC/C/GC/20 (2016) [hereinafter CRC Committee, </w:t>
      </w:r>
      <w:r w:rsidRPr="002670A4">
        <w:rPr>
          <w:rFonts w:cstheme="minorHAnsi"/>
          <w:i/>
        </w:rPr>
        <w:t>Gen. Comment No. 20</w:t>
      </w:r>
      <w:r w:rsidRPr="002670A4">
        <w:rPr>
          <w:rFonts w:cstheme="minorHAnsi"/>
        </w:rPr>
        <w:t>].</w:t>
      </w:r>
    </w:p>
  </w:endnote>
  <w:endnote w:id="41">
    <w:p w14:paraId="28B4DC31" w14:textId="4257EE15" w:rsidR="00CC4F76" w:rsidRPr="00A07213" w:rsidRDefault="00CC4F76">
      <w:pPr>
        <w:pStyle w:val="EndnoteText"/>
        <w:rPr>
          <w:rFonts w:cstheme="minorHAnsi"/>
        </w:rPr>
      </w:pPr>
      <w:r w:rsidRPr="002670A4">
        <w:rPr>
          <w:rStyle w:val="EndnoteReference"/>
          <w:rFonts w:cstheme="minorHAnsi"/>
        </w:rPr>
        <w:endnoteRef/>
      </w:r>
      <w:r w:rsidRPr="002670A4">
        <w:rPr>
          <w:rFonts w:cstheme="minorHAnsi"/>
        </w:rPr>
        <w:t xml:space="preserve"> CEDAW Committee, </w:t>
      </w:r>
      <w:r w:rsidRPr="002670A4">
        <w:rPr>
          <w:rFonts w:cstheme="minorHAnsi"/>
          <w:i/>
        </w:rPr>
        <w:t>Gen. Recommendation No. 24</w:t>
      </w:r>
      <w:r w:rsidRPr="002670A4">
        <w:rPr>
          <w:rFonts w:cstheme="minorHAnsi"/>
        </w:rPr>
        <w:t xml:space="preserve">, </w:t>
      </w:r>
      <w:r w:rsidRPr="00A07213">
        <w:rPr>
          <w:rFonts w:cstheme="minorHAnsi"/>
          <w:i/>
        </w:rPr>
        <w:t xml:space="preserve">supra </w:t>
      </w:r>
      <w:r w:rsidRPr="00A07213">
        <w:rPr>
          <w:rFonts w:cstheme="minorHAnsi"/>
        </w:rPr>
        <w:t xml:space="preserve">note </w:t>
      </w:r>
      <w:r w:rsidR="00044390" w:rsidRPr="00A07213">
        <w:rPr>
          <w:rFonts w:cstheme="minorHAnsi"/>
        </w:rPr>
        <w:t>10</w:t>
      </w:r>
      <w:r w:rsidRPr="00A07213">
        <w:rPr>
          <w:rFonts w:cstheme="minorHAnsi"/>
        </w:rPr>
        <w:t>, para. 31(c).</w:t>
      </w:r>
    </w:p>
  </w:endnote>
  <w:endnote w:id="42">
    <w:p w14:paraId="3D700E0E" w14:textId="1A5B38F6" w:rsidR="00CC4F76" w:rsidRPr="00A07213" w:rsidRDefault="00CC4F76">
      <w:pPr>
        <w:pStyle w:val="EndnoteText"/>
        <w:rPr>
          <w:rFonts w:cstheme="minorHAnsi"/>
        </w:rPr>
      </w:pPr>
      <w:r w:rsidRPr="00A07213">
        <w:rPr>
          <w:rStyle w:val="EndnoteReference"/>
          <w:rFonts w:cstheme="minorHAnsi"/>
        </w:rPr>
        <w:endnoteRef/>
      </w:r>
      <w:r w:rsidRPr="00A07213">
        <w:rPr>
          <w:rFonts w:cstheme="minorHAnsi"/>
        </w:rPr>
        <w:t xml:space="preserve"> CEDAW Committee, </w:t>
      </w:r>
      <w:r w:rsidRPr="00A07213">
        <w:rPr>
          <w:rFonts w:cstheme="minorHAnsi"/>
          <w:i/>
        </w:rPr>
        <w:t>General Recommendation No. 35 on gender-based violence against women, updating general recommendation No. 19</w:t>
      </w:r>
      <w:r w:rsidRPr="00A07213">
        <w:rPr>
          <w:rFonts w:cstheme="minorHAnsi"/>
        </w:rPr>
        <w:t xml:space="preserve">, para. 18, U.N. Doc. CEDAW/C/GC/35 (2017) [hereinafter CEDAW Committee, </w:t>
      </w:r>
      <w:r w:rsidRPr="00A07213">
        <w:rPr>
          <w:rFonts w:cstheme="minorHAnsi"/>
          <w:i/>
        </w:rPr>
        <w:t>Gen. Recommendation No. 35</w:t>
      </w:r>
      <w:r w:rsidRPr="00A07213">
        <w:rPr>
          <w:rFonts w:cstheme="minorHAnsi"/>
        </w:rPr>
        <w:t>].</w:t>
      </w:r>
    </w:p>
  </w:endnote>
  <w:endnote w:id="43">
    <w:p w14:paraId="0ED80927" w14:textId="780CFE36" w:rsidR="00CC4F76" w:rsidRPr="00A07213" w:rsidRDefault="00CC4F76">
      <w:pPr>
        <w:pStyle w:val="EndnoteText"/>
        <w:rPr>
          <w:rFonts w:cstheme="minorHAnsi"/>
        </w:rPr>
      </w:pPr>
      <w:r w:rsidRPr="00A07213">
        <w:rPr>
          <w:rStyle w:val="EndnoteReference"/>
          <w:rFonts w:cstheme="minorHAnsi"/>
        </w:rPr>
        <w:endnoteRef/>
      </w:r>
      <w:r w:rsidRPr="00A07213">
        <w:rPr>
          <w:rFonts w:cstheme="minorHAnsi"/>
        </w:rPr>
        <w:t xml:space="preserve"> </w:t>
      </w:r>
      <w:r w:rsidRPr="00A07213">
        <w:rPr>
          <w:rFonts w:cstheme="minorHAnsi"/>
          <w:i/>
        </w:rPr>
        <w:t>Id.</w:t>
      </w:r>
      <w:r w:rsidRPr="00A07213">
        <w:rPr>
          <w:rFonts w:cstheme="minorHAnsi"/>
        </w:rPr>
        <w:t>, para. 31(a).</w:t>
      </w:r>
    </w:p>
  </w:endnote>
  <w:endnote w:id="44">
    <w:p w14:paraId="10E3DD62" w14:textId="4FB1CC8C" w:rsidR="00CC4F76" w:rsidRPr="00A07213" w:rsidRDefault="00CC4F76">
      <w:pPr>
        <w:pStyle w:val="EndnoteText"/>
        <w:rPr>
          <w:rFonts w:cstheme="minorHAnsi"/>
        </w:rPr>
      </w:pPr>
      <w:r w:rsidRPr="00A07213">
        <w:rPr>
          <w:rStyle w:val="EndnoteReference"/>
          <w:rFonts w:cstheme="minorHAnsi"/>
        </w:rPr>
        <w:endnoteRef/>
      </w:r>
      <w:r w:rsidRPr="00A07213">
        <w:rPr>
          <w:rFonts w:cstheme="minorHAnsi"/>
        </w:rPr>
        <w:t xml:space="preserve">  Human Rights Committee, </w:t>
      </w:r>
      <w:r w:rsidRPr="00A07213">
        <w:rPr>
          <w:rFonts w:cstheme="minorHAnsi"/>
          <w:i/>
        </w:rPr>
        <w:t>Gen. Comment No. 28</w:t>
      </w:r>
      <w:r w:rsidRPr="00A07213">
        <w:rPr>
          <w:rFonts w:cstheme="minorHAnsi"/>
        </w:rPr>
        <w:t xml:space="preserve">, </w:t>
      </w:r>
      <w:r w:rsidRPr="00A07213">
        <w:rPr>
          <w:rFonts w:cstheme="minorHAnsi"/>
          <w:i/>
        </w:rPr>
        <w:t xml:space="preserve">supra </w:t>
      </w:r>
      <w:r w:rsidRPr="00A07213">
        <w:rPr>
          <w:rFonts w:cstheme="minorHAnsi"/>
        </w:rPr>
        <w:t xml:space="preserve">note </w:t>
      </w:r>
      <w:r w:rsidR="0008756E" w:rsidRPr="00A07213">
        <w:rPr>
          <w:rFonts w:cstheme="minorHAnsi"/>
        </w:rPr>
        <w:t>6</w:t>
      </w:r>
      <w:r w:rsidRPr="00A07213">
        <w:rPr>
          <w:rFonts w:cstheme="minorHAnsi"/>
        </w:rPr>
        <w:t>, para. 20.</w:t>
      </w:r>
    </w:p>
  </w:endnote>
  <w:endnote w:id="45">
    <w:p w14:paraId="10B0C5A2" w14:textId="06B638E5" w:rsidR="00CC4F76" w:rsidRPr="00A07213" w:rsidRDefault="00CC4F76">
      <w:pPr>
        <w:pStyle w:val="EndnoteText"/>
        <w:rPr>
          <w:rFonts w:cstheme="minorHAnsi"/>
        </w:rPr>
      </w:pPr>
      <w:r w:rsidRPr="00A07213">
        <w:rPr>
          <w:rStyle w:val="EndnoteReference"/>
          <w:rFonts w:cstheme="minorHAnsi"/>
        </w:rPr>
        <w:endnoteRef/>
      </w:r>
      <w:r w:rsidRPr="00A07213">
        <w:rPr>
          <w:rFonts w:cstheme="minorHAnsi"/>
        </w:rPr>
        <w:t xml:space="preserve"> Human Rights Committee, </w:t>
      </w:r>
      <w:r w:rsidRPr="00A07213">
        <w:rPr>
          <w:rFonts w:cstheme="minorHAnsi"/>
          <w:i/>
        </w:rPr>
        <w:t>Concluding Observations: Nicaragua</w:t>
      </w:r>
      <w:r w:rsidRPr="00A07213">
        <w:rPr>
          <w:rFonts w:cstheme="minorHAnsi"/>
        </w:rPr>
        <w:t>, para. 13, U.N. Doc. </w:t>
      </w:r>
      <w:hyperlink r:id="rId12" w:tgtFrame="_blank" w:history="1">
        <w:r w:rsidRPr="00A07213">
          <w:rPr>
            <w:rStyle w:val="Hyperlink"/>
            <w:rFonts w:cstheme="minorHAnsi"/>
          </w:rPr>
          <w:t>CCPR/C/NIC/CO/3 (2008)</w:t>
        </w:r>
      </w:hyperlink>
      <w:r w:rsidRPr="00A07213">
        <w:rPr>
          <w:rFonts w:cstheme="minorHAnsi"/>
        </w:rPr>
        <w:t>.</w:t>
      </w:r>
    </w:p>
  </w:endnote>
  <w:endnote w:id="46">
    <w:p w14:paraId="689A80D6" w14:textId="2D8EB3C8" w:rsidR="00CC4F76" w:rsidRPr="002670A4" w:rsidRDefault="00CC4F76">
      <w:pPr>
        <w:pStyle w:val="EndnoteText"/>
        <w:rPr>
          <w:rFonts w:cstheme="minorHAnsi"/>
        </w:rPr>
      </w:pPr>
      <w:r w:rsidRPr="00A07213">
        <w:rPr>
          <w:rStyle w:val="EndnoteReference"/>
          <w:rFonts w:cstheme="minorHAnsi"/>
        </w:rPr>
        <w:endnoteRef/>
      </w:r>
      <w:r w:rsidRPr="00A07213">
        <w:rPr>
          <w:rFonts w:cstheme="minorHAnsi"/>
        </w:rPr>
        <w:t xml:space="preserve"> CEDAW Committee, </w:t>
      </w:r>
      <w:r w:rsidRPr="00A07213">
        <w:rPr>
          <w:rFonts w:cstheme="minorHAnsi"/>
          <w:i/>
        </w:rPr>
        <w:t>Concluding Observations: El Salvador</w:t>
      </w:r>
      <w:r w:rsidRPr="00A07213">
        <w:rPr>
          <w:rFonts w:cstheme="minorHAnsi"/>
        </w:rPr>
        <w:t>, para. 37</w:t>
      </w:r>
      <w:r w:rsidRPr="002670A4">
        <w:rPr>
          <w:rFonts w:cstheme="minorHAnsi"/>
        </w:rPr>
        <w:t>(b), U.N. Doc. CEDAW/C/SLV/CO/8-9 (2017).</w:t>
      </w:r>
    </w:p>
  </w:endnote>
  <w:endnote w:id="47">
    <w:p w14:paraId="0A4D794C" w14:textId="364310EB" w:rsidR="00CC4F76" w:rsidRPr="002670A4" w:rsidRDefault="00CC4F76" w:rsidP="006F2A7D">
      <w:pPr>
        <w:pStyle w:val="NormalWeb"/>
        <w:spacing w:before="0" w:beforeAutospacing="0" w:after="0" w:afterAutospacing="0"/>
        <w:rPr>
          <w:rFonts w:asciiTheme="minorHAnsi" w:hAnsiTheme="minorHAnsi" w:cstheme="minorHAnsi"/>
          <w:sz w:val="20"/>
          <w:szCs w:val="20"/>
        </w:rPr>
      </w:pPr>
      <w:r w:rsidRPr="002670A4">
        <w:rPr>
          <w:rStyle w:val="EndnoteReference"/>
          <w:rFonts w:asciiTheme="minorHAnsi" w:hAnsiTheme="minorHAnsi" w:cstheme="minorHAnsi"/>
          <w:sz w:val="20"/>
          <w:szCs w:val="20"/>
        </w:rPr>
        <w:endnoteRef/>
      </w:r>
      <w:r w:rsidRPr="002670A4">
        <w:rPr>
          <w:rFonts w:asciiTheme="minorHAnsi" w:hAnsiTheme="minorHAnsi" w:cstheme="minorHAnsi"/>
          <w:sz w:val="20"/>
          <w:szCs w:val="20"/>
        </w:rPr>
        <w:t xml:space="preserve"> Special Rapporteur on the right of everyone to the enjoyment of the highest attainable standard of physical and mental health, </w:t>
      </w:r>
      <w:r w:rsidRPr="002670A4">
        <w:rPr>
          <w:rFonts w:asciiTheme="minorHAnsi" w:hAnsiTheme="minorHAnsi" w:cstheme="minorHAnsi"/>
          <w:i/>
          <w:sz w:val="20"/>
          <w:szCs w:val="20"/>
        </w:rPr>
        <w:t>Interim rep. of the Special Rapporteur on the right of everyone to the enjoyment of the highest attainable standard of physical and mental health, transmitted by Note of the Secretary-General,</w:t>
      </w:r>
      <w:r w:rsidRPr="002670A4">
        <w:rPr>
          <w:rFonts w:asciiTheme="minorHAnsi" w:hAnsiTheme="minorHAnsi" w:cstheme="minorHAnsi"/>
          <w:sz w:val="20"/>
          <w:szCs w:val="20"/>
        </w:rPr>
        <w:t xml:space="preserve"> para. 65(h),(i), U.N. Doc. A/66/254 (Aug. 3, 2011) (by Anand Grover).</w:t>
      </w:r>
    </w:p>
  </w:endnote>
  <w:endnote w:id="48">
    <w:p w14:paraId="59330D22" w14:textId="20E61B61"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Human Rights Committee, </w:t>
      </w:r>
      <w:r w:rsidRPr="002670A4">
        <w:rPr>
          <w:rFonts w:cstheme="minorHAnsi"/>
          <w:i/>
        </w:rPr>
        <w:t>Concluding Observations: Bolivia</w:t>
      </w:r>
      <w:r w:rsidRPr="002670A4">
        <w:rPr>
          <w:rFonts w:cstheme="minorHAnsi"/>
        </w:rPr>
        <w:t xml:space="preserve">, para. 9(b), U.N. Doc. CCPR/C/BOL/CO/3 (2013); </w:t>
      </w:r>
      <w:r w:rsidRPr="002670A4">
        <w:rPr>
          <w:rFonts w:cstheme="minorHAnsi"/>
          <w:i/>
        </w:rPr>
        <w:t>Zambia</w:t>
      </w:r>
      <w:r w:rsidRPr="002670A4">
        <w:rPr>
          <w:rFonts w:cstheme="minorHAnsi"/>
        </w:rPr>
        <w:t xml:space="preserve">, para. 18, U.N. Doc. CCPR/C/ZMB/CO/3 (2007); </w:t>
      </w:r>
      <w:r w:rsidRPr="002670A4">
        <w:rPr>
          <w:rFonts w:cstheme="minorHAnsi"/>
          <w:i/>
        </w:rPr>
        <w:t>Argentina</w:t>
      </w:r>
      <w:r w:rsidRPr="002670A4">
        <w:rPr>
          <w:rFonts w:cstheme="minorHAnsi"/>
        </w:rPr>
        <w:t>, para. 14, U.N. Doc. CCPR/CO/70/ARG (2000).</w:t>
      </w:r>
    </w:p>
  </w:endnote>
  <w:endnote w:id="49">
    <w:p w14:paraId="168BB7DB" w14:textId="76EB2084"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Human Rights Committee, </w:t>
      </w:r>
      <w:r w:rsidRPr="002670A4">
        <w:rPr>
          <w:rFonts w:cstheme="minorHAnsi"/>
          <w:i/>
        </w:rPr>
        <w:t>Concluding Observations:</w:t>
      </w:r>
      <w:r w:rsidRPr="002670A4">
        <w:rPr>
          <w:rFonts w:cstheme="minorHAnsi"/>
        </w:rPr>
        <w:t xml:space="preserve"> </w:t>
      </w:r>
      <w:r w:rsidRPr="002670A4">
        <w:rPr>
          <w:rFonts w:cstheme="minorHAnsi"/>
          <w:i/>
        </w:rPr>
        <w:t>Poland</w:t>
      </w:r>
      <w:r w:rsidRPr="002670A4">
        <w:rPr>
          <w:rFonts w:cstheme="minorHAnsi"/>
        </w:rPr>
        <w:t xml:space="preserve">, para. 24(a), U.N. Doc. CCPR/C/POL/CO/7 (2016); </w:t>
      </w:r>
      <w:r w:rsidRPr="002670A4">
        <w:rPr>
          <w:rFonts w:cstheme="minorHAnsi"/>
          <w:i/>
        </w:rPr>
        <w:t>see also</w:t>
      </w:r>
      <w:r w:rsidRPr="002670A4">
        <w:rPr>
          <w:rFonts w:cstheme="minorHAnsi"/>
        </w:rPr>
        <w:t xml:space="preserve"> Human Rights Committee, </w:t>
      </w:r>
      <w:r w:rsidRPr="002670A4">
        <w:rPr>
          <w:rFonts w:cstheme="minorHAnsi"/>
          <w:i/>
        </w:rPr>
        <w:t>Concluding Observations: former Yugoslav Republic of Macedonia</w:t>
      </w:r>
      <w:r w:rsidRPr="002670A4">
        <w:rPr>
          <w:rFonts w:cstheme="minorHAnsi"/>
        </w:rPr>
        <w:t xml:space="preserve">, para. 11, U.N. Doc. CCPR/C/MKD/CO/3 (2015); </w:t>
      </w:r>
      <w:r w:rsidRPr="002670A4">
        <w:rPr>
          <w:rFonts w:cstheme="minorHAnsi"/>
          <w:i/>
        </w:rPr>
        <w:t>Spain</w:t>
      </w:r>
      <w:r w:rsidRPr="002670A4">
        <w:rPr>
          <w:rFonts w:cstheme="minorHAnsi"/>
        </w:rPr>
        <w:t xml:space="preserve">, para. 13, U.N. Doc. CCPR/C/ESP/CO/6 (2015); </w:t>
      </w:r>
      <w:r w:rsidRPr="002670A4">
        <w:rPr>
          <w:rFonts w:cstheme="minorHAnsi"/>
          <w:i/>
        </w:rPr>
        <w:t>Italy</w:t>
      </w:r>
      <w:r w:rsidRPr="002670A4">
        <w:rPr>
          <w:rFonts w:cstheme="minorHAnsi"/>
        </w:rPr>
        <w:t>, paras. 16, 17, U.N. Doc. CCPR/C/ITA/CO/6 (2017).</w:t>
      </w:r>
    </w:p>
  </w:endnote>
  <w:endnote w:id="50">
    <w:p w14:paraId="0919129F" w14:textId="67E8C187" w:rsidR="00CC4F76" w:rsidRPr="00A07213" w:rsidRDefault="00CC4F76">
      <w:pPr>
        <w:pStyle w:val="EndnoteText"/>
        <w:rPr>
          <w:rFonts w:cstheme="minorHAnsi"/>
        </w:rPr>
      </w:pPr>
      <w:r w:rsidRPr="002670A4">
        <w:rPr>
          <w:rStyle w:val="EndnoteReference"/>
          <w:rFonts w:cstheme="minorHAnsi"/>
        </w:rPr>
        <w:endnoteRef/>
      </w:r>
      <w:r w:rsidRPr="002670A4">
        <w:rPr>
          <w:rFonts w:cstheme="minorHAnsi"/>
        </w:rPr>
        <w:t xml:space="preserve"> CEDAW Committee, </w:t>
      </w:r>
      <w:r w:rsidRPr="002670A4">
        <w:rPr>
          <w:rFonts w:cstheme="minorHAnsi"/>
          <w:i/>
        </w:rPr>
        <w:t>Gen. Recommendation No. 24</w:t>
      </w:r>
      <w:r w:rsidRPr="00A07213">
        <w:rPr>
          <w:rFonts w:cstheme="minorHAnsi"/>
        </w:rPr>
        <w:t xml:space="preserve">, </w:t>
      </w:r>
      <w:r w:rsidRPr="00A07213">
        <w:rPr>
          <w:rFonts w:cstheme="minorHAnsi"/>
          <w:i/>
        </w:rPr>
        <w:t xml:space="preserve">supra </w:t>
      </w:r>
      <w:r w:rsidRPr="00A07213">
        <w:rPr>
          <w:rFonts w:cstheme="minorHAnsi"/>
        </w:rPr>
        <w:t xml:space="preserve">note </w:t>
      </w:r>
      <w:r w:rsidR="00A16350" w:rsidRPr="00A07213">
        <w:rPr>
          <w:rFonts w:cstheme="minorHAnsi"/>
        </w:rPr>
        <w:t>10</w:t>
      </w:r>
      <w:r w:rsidRPr="00A07213">
        <w:rPr>
          <w:rFonts w:cstheme="minorHAnsi"/>
        </w:rPr>
        <w:t>, para. 14.</w:t>
      </w:r>
    </w:p>
  </w:endnote>
  <w:endnote w:id="51">
    <w:p w14:paraId="21EC0ADF" w14:textId="299F12C0" w:rsidR="00CC4F76" w:rsidRPr="002670A4" w:rsidRDefault="00CC4F76" w:rsidP="00AB21FD">
      <w:pPr>
        <w:pStyle w:val="EndnoteText"/>
        <w:tabs>
          <w:tab w:val="left" w:pos="3360"/>
        </w:tabs>
        <w:rPr>
          <w:rFonts w:cstheme="minorHAnsi"/>
        </w:rPr>
      </w:pPr>
      <w:r w:rsidRPr="00A07213">
        <w:rPr>
          <w:rStyle w:val="EndnoteReference"/>
          <w:rFonts w:cstheme="minorHAnsi"/>
        </w:rPr>
        <w:endnoteRef/>
      </w:r>
      <w:r w:rsidRPr="00A07213">
        <w:rPr>
          <w:rFonts w:cstheme="minorHAnsi"/>
        </w:rPr>
        <w:t xml:space="preserve"> CRC Committee, </w:t>
      </w:r>
      <w:r w:rsidRPr="00A07213">
        <w:rPr>
          <w:rFonts w:cstheme="minorHAnsi"/>
          <w:i/>
        </w:rPr>
        <w:t>Gen. Comment No. 15</w:t>
      </w:r>
      <w:r w:rsidRPr="00A07213">
        <w:rPr>
          <w:rFonts w:cstheme="minorHAnsi"/>
        </w:rPr>
        <w:t xml:space="preserve">, </w:t>
      </w:r>
      <w:r w:rsidRPr="00A07213">
        <w:rPr>
          <w:rFonts w:cstheme="minorHAnsi"/>
          <w:i/>
        </w:rPr>
        <w:t xml:space="preserve">supra </w:t>
      </w:r>
      <w:r w:rsidRPr="00A07213">
        <w:rPr>
          <w:rFonts w:cstheme="minorHAnsi"/>
        </w:rPr>
        <w:t>note 2</w:t>
      </w:r>
      <w:r w:rsidR="001D43C8" w:rsidRPr="00A07213">
        <w:rPr>
          <w:rFonts w:cstheme="minorHAnsi"/>
        </w:rPr>
        <w:t>8</w:t>
      </w:r>
      <w:r w:rsidRPr="00A07213">
        <w:rPr>
          <w:rFonts w:cstheme="minorHAnsi"/>
        </w:rPr>
        <w:t>, para. III(a) (“States parties shall strive to ensure that no child is deprived of his or her right of access to such health</w:t>
      </w:r>
      <w:r w:rsidRPr="002670A4">
        <w:rPr>
          <w:rFonts w:cstheme="minorHAnsi"/>
        </w:rPr>
        <w:t xml:space="preserve"> care services”).</w:t>
      </w:r>
    </w:p>
  </w:endnote>
  <w:endnote w:id="52">
    <w:p w14:paraId="336A795D" w14:textId="1FD77995" w:rsidR="00CC4F76" w:rsidRPr="00307724" w:rsidRDefault="00CC4F76">
      <w:pPr>
        <w:pStyle w:val="EndnoteText"/>
        <w:rPr>
          <w:rFonts w:cstheme="minorHAnsi"/>
        </w:rPr>
      </w:pPr>
      <w:r w:rsidRPr="002670A4">
        <w:rPr>
          <w:rStyle w:val="EndnoteReference"/>
          <w:rFonts w:cstheme="minorHAnsi"/>
        </w:rPr>
        <w:endnoteRef/>
      </w:r>
      <w:r w:rsidRPr="002670A4">
        <w:rPr>
          <w:rFonts w:cstheme="minorHAnsi"/>
        </w:rPr>
        <w:t xml:space="preserve"> CRC Committee, </w:t>
      </w:r>
      <w:r w:rsidRPr="002670A4">
        <w:rPr>
          <w:rFonts w:cstheme="minorHAnsi"/>
          <w:i/>
        </w:rPr>
        <w:t>Gen. Comment No. 20</w:t>
      </w:r>
      <w:r w:rsidRPr="002670A4">
        <w:rPr>
          <w:rFonts w:cstheme="minorHAnsi"/>
        </w:rPr>
        <w:t xml:space="preserve">, </w:t>
      </w:r>
      <w:r w:rsidRPr="00307724">
        <w:rPr>
          <w:rFonts w:cstheme="minorHAnsi"/>
          <w:i/>
        </w:rPr>
        <w:t xml:space="preserve">supra </w:t>
      </w:r>
      <w:r w:rsidRPr="00307724">
        <w:rPr>
          <w:rFonts w:cstheme="minorHAnsi"/>
        </w:rPr>
        <w:t xml:space="preserve">note </w:t>
      </w:r>
      <w:r w:rsidR="00510E32" w:rsidRPr="00307724">
        <w:rPr>
          <w:rFonts w:cstheme="minorHAnsi"/>
        </w:rPr>
        <w:t>40</w:t>
      </w:r>
      <w:r w:rsidRPr="00307724">
        <w:rPr>
          <w:rFonts w:cstheme="minorHAnsi"/>
        </w:rPr>
        <w:t>, para. 60.</w:t>
      </w:r>
    </w:p>
  </w:endnote>
  <w:endnote w:id="53">
    <w:p w14:paraId="3B07F2D6" w14:textId="1BD10B0D" w:rsidR="00CC4F76" w:rsidRPr="00307724" w:rsidRDefault="00CC4F76">
      <w:pPr>
        <w:pStyle w:val="EndnoteText"/>
        <w:rPr>
          <w:rFonts w:cstheme="minorHAnsi"/>
        </w:rPr>
      </w:pPr>
      <w:r w:rsidRPr="00307724">
        <w:rPr>
          <w:rStyle w:val="EndnoteReference"/>
          <w:rFonts w:cstheme="minorHAnsi"/>
        </w:rPr>
        <w:endnoteRef/>
      </w:r>
      <w:r w:rsidRPr="00307724">
        <w:rPr>
          <w:rFonts w:cstheme="minorHAnsi"/>
        </w:rPr>
        <w:t xml:space="preserve"> CRC Committee, </w:t>
      </w:r>
      <w:r w:rsidRPr="00307724">
        <w:rPr>
          <w:rFonts w:cstheme="minorHAnsi"/>
          <w:i/>
        </w:rPr>
        <w:t>Concluding Observations: Slovakia</w:t>
      </w:r>
      <w:r w:rsidRPr="00307724">
        <w:rPr>
          <w:rFonts w:cstheme="minorHAnsi"/>
        </w:rPr>
        <w:t xml:space="preserve">, para. 41(e), U.N. Doc. CRC/C/SVK/CO/3-5 (2016). </w:t>
      </w:r>
      <w:r w:rsidRPr="00307724">
        <w:rPr>
          <w:rFonts w:cstheme="minorHAnsi"/>
          <w:i/>
        </w:rPr>
        <w:t>See also</w:t>
      </w:r>
      <w:r w:rsidRPr="00307724">
        <w:rPr>
          <w:rFonts w:cstheme="minorHAnsi"/>
        </w:rPr>
        <w:t xml:space="preserve"> CESCR Committee, </w:t>
      </w:r>
      <w:r w:rsidRPr="00307724">
        <w:rPr>
          <w:rFonts w:cstheme="minorHAnsi"/>
          <w:i/>
        </w:rPr>
        <w:t>Gen. Comment No. 22</w:t>
      </w:r>
      <w:r w:rsidRPr="00307724">
        <w:rPr>
          <w:rFonts w:cstheme="minorHAnsi"/>
        </w:rPr>
        <w:t xml:space="preserve">, </w:t>
      </w:r>
      <w:r w:rsidRPr="00307724">
        <w:rPr>
          <w:rFonts w:cstheme="minorHAnsi"/>
          <w:i/>
        </w:rPr>
        <w:t xml:space="preserve">supra </w:t>
      </w:r>
      <w:r w:rsidRPr="00307724">
        <w:rPr>
          <w:rFonts w:cstheme="minorHAnsi"/>
        </w:rPr>
        <w:t>note 1</w:t>
      </w:r>
      <w:r w:rsidR="004704D9" w:rsidRPr="00307724">
        <w:rPr>
          <w:rFonts w:cstheme="minorHAnsi"/>
        </w:rPr>
        <w:t>4</w:t>
      </w:r>
      <w:r w:rsidRPr="00307724">
        <w:rPr>
          <w:rFonts w:cstheme="minorHAnsi"/>
        </w:rPr>
        <w:t>, para 41.</w:t>
      </w:r>
    </w:p>
  </w:endnote>
  <w:endnote w:id="54">
    <w:p w14:paraId="7769CDD2" w14:textId="4AD927C9" w:rsidR="00CC4F76" w:rsidRPr="00307724" w:rsidRDefault="00CC4F76">
      <w:pPr>
        <w:pStyle w:val="EndnoteText"/>
        <w:rPr>
          <w:rFonts w:cstheme="minorHAnsi"/>
        </w:rPr>
      </w:pPr>
      <w:r w:rsidRPr="00307724">
        <w:rPr>
          <w:rStyle w:val="EndnoteReference"/>
          <w:rFonts w:cstheme="minorHAnsi"/>
        </w:rPr>
        <w:endnoteRef/>
      </w:r>
      <w:r w:rsidRPr="00307724">
        <w:rPr>
          <w:rFonts w:cstheme="minorHAnsi"/>
        </w:rPr>
        <w:t xml:space="preserve"> CAT Committee, </w:t>
      </w:r>
      <w:r w:rsidRPr="00307724">
        <w:rPr>
          <w:rFonts w:cstheme="minorHAnsi"/>
          <w:i/>
        </w:rPr>
        <w:t>Concluding Observations: Bolivia</w:t>
      </w:r>
      <w:r w:rsidRPr="00307724">
        <w:rPr>
          <w:rFonts w:cstheme="minorHAnsi"/>
        </w:rPr>
        <w:t>, para. 23, U.N. Doc. CAT/C/BOL/CO/2 (2013).</w:t>
      </w:r>
    </w:p>
  </w:endnote>
  <w:endnote w:id="55">
    <w:p w14:paraId="6439900C" w14:textId="26915CF3" w:rsidR="00CC4F76" w:rsidRPr="00307724" w:rsidRDefault="00CC4F76">
      <w:pPr>
        <w:pStyle w:val="EndnoteText"/>
        <w:rPr>
          <w:rFonts w:cstheme="minorHAnsi"/>
        </w:rPr>
      </w:pPr>
      <w:r w:rsidRPr="00307724">
        <w:rPr>
          <w:rStyle w:val="EndnoteReference"/>
          <w:rFonts w:cstheme="minorHAnsi"/>
        </w:rPr>
        <w:endnoteRef/>
      </w:r>
      <w:r w:rsidRPr="00307724">
        <w:rPr>
          <w:rFonts w:cstheme="minorHAnsi"/>
        </w:rPr>
        <w:t xml:space="preserve"> CESCR Committee, </w:t>
      </w:r>
      <w:r w:rsidRPr="00307724">
        <w:rPr>
          <w:rFonts w:cstheme="minorHAnsi"/>
          <w:i/>
        </w:rPr>
        <w:t>Gen. Comment No. 22</w:t>
      </w:r>
      <w:r w:rsidRPr="00307724">
        <w:rPr>
          <w:rFonts w:cstheme="minorHAnsi"/>
        </w:rPr>
        <w:t xml:space="preserve">, </w:t>
      </w:r>
      <w:r w:rsidRPr="00307724">
        <w:rPr>
          <w:rFonts w:cstheme="minorHAnsi"/>
          <w:i/>
        </w:rPr>
        <w:t xml:space="preserve">supra </w:t>
      </w:r>
      <w:r w:rsidRPr="00307724">
        <w:rPr>
          <w:rFonts w:cstheme="minorHAnsi"/>
        </w:rPr>
        <w:t>note 1</w:t>
      </w:r>
      <w:r w:rsidR="004704D9" w:rsidRPr="00307724">
        <w:rPr>
          <w:rFonts w:cstheme="minorHAnsi"/>
        </w:rPr>
        <w:t>4</w:t>
      </w:r>
      <w:r w:rsidRPr="00307724">
        <w:rPr>
          <w:rFonts w:cstheme="minorHAnsi"/>
        </w:rPr>
        <w:t>, para. 28.</w:t>
      </w:r>
    </w:p>
  </w:endnote>
  <w:endnote w:id="56">
    <w:p w14:paraId="3109F610" w14:textId="3322303B" w:rsidR="00CC4F76" w:rsidRPr="00307724" w:rsidRDefault="00CC4F76">
      <w:pPr>
        <w:pStyle w:val="EndnoteText"/>
        <w:rPr>
          <w:rFonts w:cstheme="minorHAnsi"/>
        </w:rPr>
      </w:pPr>
      <w:r w:rsidRPr="00307724">
        <w:rPr>
          <w:rStyle w:val="EndnoteReference"/>
          <w:rFonts w:cstheme="minorHAnsi"/>
        </w:rPr>
        <w:endnoteRef/>
      </w:r>
      <w:r w:rsidRPr="00307724">
        <w:rPr>
          <w:rFonts w:cstheme="minorHAnsi"/>
        </w:rPr>
        <w:t xml:space="preserve"> These barriers include lack of access to information; requiring third-party authorization; failing to guarantee confidentiality and privacy; and allowing conscientious objection without referrals on the part of health-care providers and facilities. </w:t>
      </w:r>
      <w:r w:rsidRPr="00307724">
        <w:rPr>
          <w:rFonts w:cstheme="minorHAnsi"/>
          <w:i/>
        </w:rPr>
        <w:t xml:space="preserve">See </w:t>
      </w:r>
      <w:r w:rsidRPr="00307724">
        <w:rPr>
          <w:rFonts w:cstheme="minorHAnsi"/>
        </w:rPr>
        <w:t xml:space="preserve">WHO, 2012 Safe Abortion Guidance, </w:t>
      </w:r>
      <w:r w:rsidRPr="00307724">
        <w:rPr>
          <w:rFonts w:cstheme="minorHAnsi"/>
          <w:i/>
        </w:rPr>
        <w:t xml:space="preserve">supra </w:t>
      </w:r>
      <w:r w:rsidRPr="00307724">
        <w:rPr>
          <w:rFonts w:cstheme="minorHAnsi"/>
        </w:rPr>
        <w:t>note 1</w:t>
      </w:r>
      <w:r w:rsidR="004E6850" w:rsidRPr="00307724">
        <w:rPr>
          <w:rFonts w:cstheme="minorHAnsi"/>
        </w:rPr>
        <w:t>8</w:t>
      </w:r>
      <w:r w:rsidRPr="00307724">
        <w:rPr>
          <w:rFonts w:cstheme="minorHAnsi"/>
        </w:rPr>
        <w:t>, at 95-97.</w:t>
      </w:r>
    </w:p>
  </w:endnote>
  <w:endnote w:id="57">
    <w:p w14:paraId="6631988E" w14:textId="1EAA661C" w:rsidR="00CC4F76" w:rsidRPr="002670A4" w:rsidRDefault="00CC4F76">
      <w:pPr>
        <w:pStyle w:val="EndnoteText"/>
        <w:rPr>
          <w:rFonts w:cstheme="minorHAnsi"/>
        </w:rPr>
      </w:pPr>
      <w:r w:rsidRPr="00307724">
        <w:rPr>
          <w:rStyle w:val="EndnoteReference"/>
          <w:rFonts w:cstheme="minorHAnsi"/>
        </w:rPr>
        <w:endnoteRef/>
      </w:r>
      <w:r w:rsidRPr="00307724">
        <w:rPr>
          <w:rFonts w:cstheme="minorHAnsi"/>
        </w:rPr>
        <w:t xml:space="preserve"> Task shifting involves re-distribution of tasks among the health force work team. In the case of access to abortion, it means allowing health care providers (beyond physicians) to perform abortions, thus increasing its availability and accessibility. </w:t>
      </w:r>
      <w:r w:rsidRPr="00307724">
        <w:rPr>
          <w:rFonts w:cstheme="minorHAnsi"/>
          <w:i/>
        </w:rPr>
        <w:t xml:space="preserve">See </w:t>
      </w:r>
      <w:r w:rsidRPr="00307724">
        <w:rPr>
          <w:rFonts w:cstheme="minorHAnsi"/>
        </w:rPr>
        <w:t xml:space="preserve">WHO, 2012 Safe Abortion Guidance, </w:t>
      </w:r>
      <w:r w:rsidRPr="00307724">
        <w:rPr>
          <w:rFonts w:cstheme="minorHAnsi"/>
          <w:i/>
        </w:rPr>
        <w:t xml:space="preserve">supra </w:t>
      </w:r>
      <w:r w:rsidRPr="00307724">
        <w:rPr>
          <w:rFonts w:cstheme="minorHAnsi"/>
        </w:rPr>
        <w:t>note 1</w:t>
      </w:r>
      <w:r w:rsidR="004E6850" w:rsidRPr="00307724">
        <w:rPr>
          <w:rFonts w:cstheme="minorHAnsi"/>
        </w:rPr>
        <w:t>8</w:t>
      </w:r>
      <w:r w:rsidRPr="00307724">
        <w:rPr>
          <w:rFonts w:cstheme="minorHAnsi"/>
        </w:rPr>
        <w:t>, at 95-</w:t>
      </w:r>
      <w:r w:rsidRPr="002670A4">
        <w:rPr>
          <w:rFonts w:cstheme="minorHAnsi"/>
        </w:rPr>
        <w:t xml:space="preserve">97. </w:t>
      </w:r>
      <w:r w:rsidRPr="002670A4">
        <w:rPr>
          <w:rFonts w:cstheme="minorHAnsi"/>
          <w:i/>
        </w:rPr>
        <w:t xml:space="preserve">See also </w:t>
      </w:r>
      <w:r w:rsidRPr="002670A4">
        <w:rPr>
          <w:rFonts w:cstheme="minorHAnsi"/>
        </w:rPr>
        <w:t xml:space="preserve">WHO, Task Shifting: Global Recommendations and Guidelines, </w:t>
      </w:r>
      <w:r w:rsidRPr="002670A4">
        <w:rPr>
          <w:rFonts w:cstheme="minorHAnsi"/>
          <w:i/>
        </w:rPr>
        <w:t xml:space="preserve">available at </w:t>
      </w:r>
      <w:hyperlink r:id="rId13" w:history="1">
        <w:r w:rsidRPr="002670A4">
          <w:rPr>
            <w:rStyle w:val="Hyperlink"/>
            <w:rFonts w:cstheme="minorHAnsi"/>
          </w:rPr>
          <w:t>http://www.who.int/workforcealliance/knowledge/resources/taskshifting_guidelines/en/</w:t>
        </w:r>
      </w:hyperlink>
      <w:r w:rsidRPr="002670A4">
        <w:rPr>
          <w:rFonts w:cstheme="minorHAnsi"/>
        </w:rPr>
        <w:t xml:space="preserve"> (for further guidance on task shifting).</w:t>
      </w:r>
    </w:p>
  </w:endnote>
  <w:endnote w:id="58">
    <w:p w14:paraId="17B66A23" w14:textId="2F033F31" w:rsidR="00CC4F76" w:rsidRPr="002670A4" w:rsidRDefault="00CC4F76" w:rsidP="00D93AC7">
      <w:pPr>
        <w:pStyle w:val="EndnoteText"/>
        <w:rPr>
          <w:rFonts w:cstheme="minorHAnsi"/>
        </w:rPr>
      </w:pPr>
      <w:r w:rsidRPr="002670A4">
        <w:rPr>
          <w:rStyle w:val="EndnoteReference"/>
          <w:rFonts w:cstheme="minorHAnsi"/>
        </w:rPr>
        <w:endnoteRef/>
      </w:r>
      <w:r w:rsidRPr="002670A4">
        <w:rPr>
          <w:rFonts w:cstheme="minorHAnsi"/>
        </w:rPr>
        <w:t xml:space="preserve"> Press Release, World Health Organization, Promoting health through the life-course (Mar. 2015), </w:t>
      </w:r>
      <w:hyperlink r:id="rId14" w:history="1">
        <w:r w:rsidRPr="002670A4">
          <w:rPr>
            <w:rStyle w:val="Hyperlink"/>
            <w:rFonts w:cstheme="minorHAnsi"/>
          </w:rPr>
          <w:t>http://www.who.int/life-course/news/commentaries/2015-intl-womens-day/en/</w:t>
        </w:r>
      </w:hyperlink>
      <w:r w:rsidRPr="002670A4">
        <w:rPr>
          <w:rStyle w:val="Hyperlink"/>
          <w:rFonts w:cstheme="minorHAnsi"/>
        </w:rPr>
        <w:t>.</w:t>
      </w:r>
      <w:r w:rsidRPr="002670A4">
        <w:rPr>
          <w:rFonts w:cstheme="minorHAnsi"/>
        </w:rPr>
        <w:t xml:space="preserve"> </w:t>
      </w:r>
    </w:p>
  </w:endnote>
  <w:endnote w:id="59">
    <w:p w14:paraId="3E0A2EEE" w14:textId="74CA107D"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WHO, Factsheet: Family planning/contraception (Jul. 2017), </w:t>
      </w:r>
      <w:r w:rsidRPr="002670A4">
        <w:rPr>
          <w:rFonts w:cstheme="minorHAnsi"/>
          <w:i/>
        </w:rPr>
        <w:t>available at</w:t>
      </w:r>
      <w:r w:rsidRPr="002670A4">
        <w:rPr>
          <w:rFonts w:cstheme="minorHAnsi"/>
        </w:rPr>
        <w:t xml:space="preserve"> </w:t>
      </w:r>
      <w:hyperlink r:id="rId15" w:history="1">
        <w:r w:rsidRPr="002670A4">
          <w:rPr>
            <w:rStyle w:val="Hyperlink"/>
            <w:rFonts w:cstheme="minorHAnsi"/>
          </w:rPr>
          <w:t>http://www.who.int/mediacentre/factsheets/fs351/en/</w:t>
        </w:r>
      </w:hyperlink>
      <w:r w:rsidRPr="002670A4">
        <w:rPr>
          <w:rStyle w:val="Hyperlink"/>
          <w:rFonts w:cstheme="minorHAnsi"/>
        </w:rPr>
        <w:t>.</w:t>
      </w:r>
      <w:r w:rsidRPr="002670A4">
        <w:rPr>
          <w:rFonts w:cstheme="minorHAnsi"/>
        </w:rPr>
        <w:t xml:space="preserve"> </w:t>
      </w:r>
    </w:p>
  </w:endnote>
  <w:endnote w:id="60">
    <w:p w14:paraId="4C127F6E" w14:textId="4D0E6D32" w:rsidR="00CC4F76" w:rsidRPr="002670A4" w:rsidRDefault="00CC4F76" w:rsidP="00B36166">
      <w:pPr>
        <w:pStyle w:val="EndnoteText"/>
        <w:rPr>
          <w:rFonts w:cstheme="minorHAnsi"/>
        </w:rPr>
      </w:pPr>
      <w:r w:rsidRPr="002670A4">
        <w:rPr>
          <w:rStyle w:val="EndnoteReference"/>
          <w:rFonts w:cstheme="minorHAnsi"/>
        </w:rPr>
        <w:endnoteRef/>
      </w:r>
      <w:r w:rsidRPr="002670A4">
        <w:rPr>
          <w:rFonts w:cstheme="minorHAnsi"/>
        </w:rPr>
        <w:t xml:space="preserve"> Human Rights Committee, </w:t>
      </w:r>
      <w:r w:rsidRPr="002670A4">
        <w:rPr>
          <w:rFonts w:cstheme="minorHAnsi"/>
          <w:i/>
        </w:rPr>
        <w:t>Concluding Observations: Cameroon</w:t>
      </w:r>
      <w:r w:rsidRPr="002670A4">
        <w:rPr>
          <w:rFonts w:cstheme="minorHAnsi"/>
        </w:rPr>
        <w:t xml:space="preserve">, para. 13, U.N. Doc. CCPR/C/CMR/CO/4 (2010) (urging the state to “step up its efforts to reduce maternal mortality, including by ensuring that women have access to reproductive health services.”). </w:t>
      </w:r>
      <w:r w:rsidRPr="002670A4">
        <w:rPr>
          <w:rFonts w:cstheme="minorHAnsi"/>
          <w:i/>
        </w:rPr>
        <w:t>See also</w:t>
      </w:r>
      <w:r w:rsidRPr="002670A4">
        <w:rPr>
          <w:rFonts w:cstheme="minorHAnsi"/>
        </w:rPr>
        <w:t xml:space="preserve">, Human Rights Committee, </w:t>
      </w:r>
      <w:r w:rsidRPr="002670A4">
        <w:rPr>
          <w:rFonts w:cstheme="minorHAnsi"/>
          <w:i/>
        </w:rPr>
        <w:t>Concluding Observations:</w:t>
      </w:r>
      <w:r w:rsidRPr="002670A4">
        <w:rPr>
          <w:rFonts w:cstheme="minorHAnsi"/>
        </w:rPr>
        <w:t xml:space="preserve"> </w:t>
      </w:r>
      <w:r w:rsidRPr="002670A4">
        <w:rPr>
          <w:rFonts w:cstheme="minorHAnsi"/>
          <w:i/>
        </w:rPr>
        <w:t>Chile</w:t>
      </w:r>
      <w:r w:rsidRPr="002670A4">
        <w:rPr>
          <w:rFonts w:cstheme="minorHAnsi"/>
        </w:rPr>
        <w:t xml:space="preserve">, para. 15, U.N. Doc. CCPR/C/CHL/CO/6 (2014); </w:t>
      </w:r>
      <w:r w:rsidRPr="002670A4">
        <w:rPr>
          <w:rFonts w:cstheme="minorHAnsi"/>
          <w:i/>
        </w:rPr>
        <w:t>Costa Rica</w:t>
      </w:r>
      <w:r w:rsidRPr="002670A4">
        <w:rPr>
          <w:rFonts w:cstheme="minorHAnsi"/>
        </w:rPr>
        <w:t xml:space="preserve">, para. 17, U.N. Doc. CCPR/C/CRI/CO/6 (2016); </w:t>
      </w:r>
      <w:r w:rsidRPr="002670A4">
        <w:rPr>
          <w:rFonts w:cstheme="minorHAnsi"/>
          <w:i/>
        </w:rPr>
        <w:t>Malawi</w:t>
      </w:r>
      <w:r w:rsidRPr="002670A4">
        <w:rPr>
          <w:rFonts w:cstheme="minorHAnsi"/>
        </w:rPr>
        <w:t xml:space="preserve">, para. 9, U.N. Doc. CCPR/C/MWI/CO/1/Add.1 (2014); </w:t>
      </w:r>
      <w:r w:rsidRPr="002670A4">
        <w:rPr>
          <w:rFonts w:cstheme="minorHAnsi"/>
          <w:i/>
        </w:rPr>
        <w:t>Sierra Leone</w:t>
      </w:r>
      <w:r w:rsidRPr="002670A4">
        <w:rPr>
          <w:rFonts w:cstheme="minorHAnsi"/>
        </w:rPr>
        <w:t xml:space="preserve">, para. 14, U.N. Doc. CCPR/C/SLE/CO/1 (2014); </w:t>
      </w:r>
      <w:r w:rsidRPr="002670A4">
        <w:rPr>
          <w:rFonts w:cstheme="minorHAnsi"/>
          <w:i/>
        </w:rPr>
        <w:t>Malta</w:t>
      </w:r>
      <w:r w:rsidRPr="002670A4">
        <w:rPr>
          <w:rFonts w:cstheme="minorHAnsi"/>
        </w:rPr>
        <w:t xml:space="preserve">, para. 13, U.N. Doc. CCPR/C/MLT/CO/2 (2014); </w:t>
      </w:r>
      <w:r w:rsidRPr="002670A4">
        <w:rPr>
          <w:rFonts w:cstheme="minorHAnsi"/>
          <w:i/>
        </w:rPr>
        <w:t>Sri Lanka</w:t>
      </w:r>
      <w:r w:rsidRPr="002670A4">
        <w:rPr>
          <w:rFonts w:cstheme="minorHAnsi"/>
        </w:rPr>
        <w:t xml:space="preserve">, para. 10, U.N. Doc. CCPR/C/LKA/CO/5 (2014); </w:t>
      </w:r>
      <w:r w:rsidRPr="002670A4">
        <w:rPr>
          <w:rFonts w:cstheme="minorHAnsi"/>
          <w:i/>
        </w:rPr>
        <w:t>Paraguay</w:t>
      </w:r>
      <w:r w:rsidRPr="002670A4">
        <w:rPr>
          <w:rFonts w:cstheme="minorHAnsi"/>
        </w:rPr>
        <w:t>, para. 13, U.N. Doc. </w:t>
      </w:r>
      <w:hyperlink r:id="rId16" w:tgtFrame="_blank" w:history="1">
        <w:r w:rsidRPr="002670A4">
          <w:rPr>
            <w:rStyle w:val="Hyperlink"/>
            <w:rFonts w:cstheme="minorHAnsi"/>
          </w:rPr>
          <w:t>CCPR/C/PRY/CO/3 (2013</w:t>
        </w:r>
      </w:hyperlink>
      <w:r w:rsidRPr="002670A4">
        <w:rPr>
          <w:rFonts w:cstheme="minorHAnsi"/>
        </w:rPr>
        <w:t xml:space="preserve">); </w:t>
      </w:r>
      <w:r w:rsidRPr="002670A4">
        <w:rPr>
          <w:rFonts w:cstheme="minorHAnsi"/>
          <w:i/>
        </w:rPr>
        <w:t>Peru</w:t>
      </w:r>
      <w:r w:rsidRPr="002670A4">
        <w:rPr>
          <w:rFonts w:cstheme="minorHAnsi"/>
        </w:rPr>
        <w:t>, para. 14, U.N. Doc. </w:t>
      </w:r>
      <w:hyperlink r:id="rId17" w:tgtFrame="_blank" w:history="1">
        <w:r w:rsidRPr="002670A4">
          <w:rPr>
            <w:rStyle w:val="Hyperlink"/>
            <w:rFonts w:cstheme="minorHAnsi"/>
          </w:rPr>
          <w:t>CCPR/C/PER/CO/5 (2013)</w:t>
        </w:r>
      </w:hyperlink>
      <w:r w:rsidRPr="002670A4">
        <w:rPr>
          <w:rFonts w:cstheme="minorHAnsi"/>
        </w:rPr>
        <w:t xml:space="preserve">; </w:t>
      </w:r>
      <w:r w:rsidRPr="002670A4">
        <w:rPr>
          <w:rFonts w:cstheme="minorHAnsi"/>
          <w:i/>
        </w:rPr>
        <w:t>Guatemala</w:t>
      </w:r>
      <w:r w:rsidRPr="002670A4">
        <w:rPr>
          <w:rFonts w:cstheme="minorHAnsi"/>
        </w:rPr>
        <w:t>, para. 20, U.N. Doc. </w:t>
      </w:r>
      <w:hyperlink r:id="rId18" w:tgtFrame="_blank" w:history="1">
        <w:r w:rsidRPr="002670A4">
          <w:rPr>
            <w:rStyle w:val="Hyperlink"/>
            <w:rFonts w:cstheme="minorHAnsi"/>
          </w:rPr>
          <w:t>CCPR/C/GTM/CO/3 (2012</w:t>
        </w:r>
      </w:hyperlink>
      <w:r w:rsidRPr="002670A4">
        <w:rPr>
          <w:rFonts w:cstheme="minorHAnsi"/>
        </w:rPr>
        <w:t xml:space="preserve">); </w:t>
      </w:r>
      <w:r w:rsidRPr="002670A4">
        <w:rPr>
          <w:rFonts w:cstheme="minorHAnsi"/>
          <w:i/>
        </w:rPr>
        <w:t>Jamaica</w:t>
      </w:r>
      <w:r w:rsidRPr="002670A4">
        <w:rPr>
          <w:rFonts w:cstheme="minorHAnsi"/>
        </w:rPr>
        <w:t xml:space="preserve">, para. 14, U.N. Doc. CCPR/C/JAM/CO/3 (2011); </w:t>
      </w:r>
      <w:r w:rsidRPr="002670A4">
        <w:rPr>
          <w:rFonts w:cstheme="minorHAnsi"/>
          <w:i/>
        </w:rPr>
        <w:t>Dominican Republic</w:t>
      </w:r>
      <w:r w:rsidRPr="002670A4">
        <w:rPr>
          <w:rFonts w:cstheme="minorHAnsi"/>
        </w:rPr>
        <w:t xml:space="preserve">, para. 15, U.N. Doc. CCPR/C/DOM/CO/5 (2012). </w:t>
      </w:r>
      <w:r w:rsidRPr="002670A4">
        <w:rPr>
          <w:rFonts w:cstheme="minorHAnsi"/>
          <w:i/>
        </w:rPr>
        <w:t xml:space="preserve">See also </w:t>
      </w:r>
      <w:r w:rsidRPr="002670A4">
        <w:rPr>
          <w:rFonts w:cstheme="minorHAnsi"/>
        </w:rPr>
        <w:t xml:space="preserve">Human Rights Committee, </w:t>
      </w:r>
      <w:r w:rsidRPr="002670A4">
        <w:rPr>
          <w:rFonts w:cstheme="minorHAnsi"/>
          <w:i/>
        </w:rPr>
        <w:t>Concluding Observations: Mali</w:t>
      </w:r>
      <w:r w:rsidRPr="002670A4">
        <w:rPr>
          <w:rFonts w:cstheme="minorHAnsi"/>
        </w:rPr>
        <w:t xml:space="preserve">, para. 14, U.N. Doc. CCPR/CO/77/MLI (2003) (on emergency obstetrics care); </w:t>
      </w:r>
      <w:r w:rsidRPr="002670A4">
        <w:rPr>
          <w:rFonts w:cstheme="minorHAnsi"/>
          <w:i/>
        </w:rPr>
        <w:t>Peru</w:t>
      </w:r>
      <w:r w:rsidRPr="002670A4">
        <w:rPr>
          <w:rFonts w:cstheme="minorHAnsi"/>
        </w:rPr>
        <w:t>, para. 14, U.N. Doc. </w:t>
      </w:r>
      <w:hyperlink r:id="rId19" w:tgtFrame="_blank" w:history="1">
        <w:r w:rsidRPr="002670A4">
          <w:rPr>
            <w:rStyle w:val="Hyperlink"/>
            <w:rFonts w:cstheme="minorHAnsi"/>
          </w:rPr>
          <w:t>CCPR/C/PER/CO/5 (2013)</w:t>
        </w:r>
      </w:hyperlink>
      <w:r w:rsidRPr="002670A4">
        <w:rPr>
          <w:rFonts w:cstheme="minorHAnsi"/>
        </w:rPr>
        <w:t xml:space="preserve"> (on emergency contraceptives).</w:t>
      </w:r>
    </w:p>
  </w:endnote>
  <w:endnote w:id="61">
    <w:p w14:paraId="7CAF7A12" w14:textId="2D0B7FEE" w:rsidR="00CC4F76" w:rsidRPr="002670A4" w:rsidRDefault="00CC4F76">
      <w:pPr>
        <w:pStyle w:val="EndnoteText"/>
        <w:rPr>
          <w:rFonts w:cstheme="minorHAnsi"/>
        </w:rPr>
      </w:pPr>
      <w:r w:rsidRPr="00307724">
        <w:rPr>
          <w:rStyle w:val="EndnoteReference"/>
          <w:rFonts w:cstheme="minorHAnsi"/>
        </w:rPr>
        <w:endnoteRef/>
      </w:r>
      <w:r w:rsidRPr="00307724">
        <w:rPr>
          <w:rFonts w:cstheme="minorHAnsi"/>
        </w:rPr>
        <w:t xml:space="preserve"> </w:t>
      </w:r>
      <w:r w:rsidRPr="00494809">
        <w:rPr>
          <w:rFonts w:cstheme="minorHAnsi"/>
        </w:rPr>
        <w:t xml:space="preserve">Human Rights Committee, </w:t>
      </w:r>
      <w:r w:rsidRPr="00494809">
        <w:rPr>
          <w:rFonts w:cstheme="minorHAnsi"/>
          <w:i/>
        </w:rPr>
        <w:t>Concluding Observations: Cameroon</w:t>
      </w:r>
      <w:r w:rsidRPr="00494809">
        <w:rPr>
          <w:rFonts w:cstheme="minorHAnsi"/>
        </w:rPr>
        <w:t xml:space="preserve">, para. 13, U.N. Doc. CCPR/C/CMR/CO/4 (2010) (urging the state to “step up its efforts to reduce maternal mortality, including by ensuring that women have access to reproductive health services.”). </w:t>
      </w:r>
      <w:r w:rsidRPr="00494809">
        <w:rPr>
          <w:rFonts w:cstheme="minorHAnsi"/>
          <w:i/>
        </w:rPr>
        <w:t>See also</w:t>
      </w:r>
      <w:r w:rsidRPr="00494809">
        <w:rPr>
          <w:rFonts w:cstheme="minorHAnsi"/>
        </w:rPr>
        <w:t xml:space="preserve">, Human Rights Committee, </w:t>
      </w:r>
      <w:r w:rsidRPr="00494809">
        <w:rPr>
          <w:rFonts w:cstheme="minorHAnsi"/>
          <w:i/>
        </w:rPr>
        <w:t>Concluding Observations:</w:t>
      </w:r>
      <w:r w:rsidRPr="00494809">
        <w:rPr>
          <w:rFonts w:cstheme="minorHAnsi"/>
        </w:rPr>
        <w:t xml:space="preserve"> </w:t>
      </w:r>
      <w:r w:rsidRPr="00494809">
        <w:rPr>
          <w:rFonts w:cstheme="minorHAnsi"/>
          <w:i/>
        </w:rPr>
        <w:t>Chile</w:t>
      </w:r>
      <w:r w:rsidRPr="00494809">
        <w:rPr>
          <w:rFonts w:cstheme="minorHAnsi"/>
        </w:rPr>
        <w:t xml:space="preserve">, para. 15, U.N. Doc. CCPR/C/CHL/CO/6 (2014); </w:t>
      </w:r>
      <w:r w:rsidRPr="00494809">
        <w:rPr>
          <w:rFonts w:cstheme="minorHAnsi"/>
          <w:i/>
        </w:rPr>
        <w:t>Costa Rica</w:t>
      </w:r>
      <w:r w:rsidRPr="00494809">
        <w:rPr>
          <w:rFonts w:cstheme="minorHAnsi"/>
        </w:rPr>
        <w:t>, para</w:t>
      </w:r>
      <w:r w:rsidR="00E06E1B" w:rsidRPr="00494809">
        <w:rPr>
          <w:rFonts w:cstheme="minorHAnsi"/>
        </w:rPr>
        <w:t>s</w:t>
      </w:r>
      <w:r w:rsidRPr="00494809">
        <w:rPr>
          <w:rFonts w:cstheme="minorHAnsi"/>
        </w:rPr>
        <w:t>. 17</w:t>
      </w:r>
      <w:r w:rsidR="00E06E1B" w:rsidRPr="00494809">
        <w:rPr>
          <w:rFonts w:cstheme="minorHAnsi"/>
        </w:rPr>
        <w:t>-18</w:t>
      </w:r>
      <w:r w:rsidRPr="00494809">
        <w:rPr>
          <w:rFonts w:cstheme="minorHAnsi"/>
        </w:rPr>
        <w:t xml:space="preserve">, U.N. Doc. CCPR/C/CRI/CO/6 (2016); </w:t>
      </w:r>
      <w:r w:rsidRPr="00494809">
        <w:rPr>
          <w:rFonts w:cstheme="minorHAnsi"/>
          <w:i/>
        </w:rPr>
        <w:t>Malawi</w:t>
      </w:r>
      <w:r w:rsidRPr="00494809">
        <w:rPr>
          <w:rFonts w:cstheme="minorHAnsi"/>
        </w:rPr>
        <w:t xml:space="preserve">, para. 9, U.N. Doc. CCPR/C/MWI/CO/1/Add.1 (2014); </w:t>
      </w:r>
      <w:r w:rsidRPr="00494809">
        <w:rPr>
          <w:rFonts w:cstheme="minorHAnsi"/>
          <w:i/>
        </w:rPr>
        <w:t>Sierra Leone</w:t>
      </w:r>
      <w:r w:rsidRPr="00494809">
        <w:rPr>
          <w:rFonts w:cstheme="minorHAnsi"/>
        </w:rPr>
        <w:t xml:space="preserve">, para. 14, U.N. Doc. CCPR/C/SLE/CO/1 (2014); </w:t>
      </w:r>
      <w:r w:rsidRPr="00494809">
        <w:rPr>
          <w:rFonts w:cstheme="minorHAnsi"/>
          <w:i/>
        </w:rPr>
        <w:t>Malta</w:t>
      </w:r>
      <w:r w:rsidRPr="00494809">
        <w:rPr>
          <w:rFonts w:cstheme="minorHAnsi"/>
        </w:rPr>
        <w:t xml:space="preserve">, para. 13, U.N. Doc. CCPR/C/MLT/CO/2 (2014); </w:t>
      </w:r>
      <w:r w:rsidRPr="00494809">
        <w:rPr>
          <w:rFonts w:cstheme="minorHAnsi"/>
          <w:i/>
        </w:rPr>
        <w:t>Sri Lanka</w:t>
      </w:r>
      <w:r w:rsidRPr="00494809">
        <w:rPr>
          <w:rFonts w:cstheme="minorHAnsi"/>
        </w:rPr>
        <w:t xml:space="preserve">, para. 10, U.N. Doc. CCPR/C/LKA/CO/5 (2014); </w:t>
      </w:r>
      <w:r w:rsidRPr="00494809">
        <w:rPr>
          <w:rFonts w:cstheme="minorHAnsi"/>
          <w:i/>
        </w:rPr>
        <w:t>Paraguay</w:t>
      </w:r>
      <w:r w:rsidRPr="00494809">
        <w:rPr>
          <w:rFonts w:cstheme="minorHAnsi"/>
        </w:rPr>
        <w:t>, para. 13, U.N. Doc. </w:t>
      </w:r>
      <w:hyperlink r:id="rId20" w:tgtFrame="_blank" w:history="1">
        <w:r w:rsidRPr="00494809">
          <w:rPr>
            <w:rStyle w:val="Hyperlink"/>
            <w:rFonts w:cstheme="minorHAnsi"/>
          </w:rPr>
          <w:t>CCPR/C/PRY/CO/3 (2013</w:t>
        </w:r>
      </w:hyperlink>
      <w:r w:rsidRPr="00494809">
        <w:rPr>
          <w:rFonts w:cstheme="minorHAnsi"/>
        </w:rPr>
        <w:t xml:space="preserve">); </w:t>
      </w:r>
      <w:r w:rsidRPr="00494809">
        <w:rPr>
          <w:rFonts w:cstheme="minorHAnsi"/>
          <w:i/>
        </w:rPr>
        <w:t>Peru</w:t>
      </w:r>
      <w:r w:rsidRPr="00494809">
        <w:rPr>
          <w:rFonts w:cstheme="minorHAnsi"/>
        </w:rPr>
        <w:t>, para. 14, U.N. Doc. </w:t>
      </w:r>
      <w:hyperlink r:id="rId21" w:tgtFrame="_blank" w:history="1">
        <w:r w:rsidRPr="00494809">
          <w:rPr>
            <w:rStyle w:val="Hyperlink"/>
            <w:rFonts w:cstheme="minorHAnsi"/>
          </w:rPr>
          <w:t>CCPR/C/PER/CO/5 (2013)</w:t>
        </w:r>
      </w:hyperlink>
      <w:r w:rsidRPr="00494809">
        <w:rPr>
          <w:rFonts w:cstheme="minorHAnsi"/>
        </w:rPr>
        <w:t xml:space="preserve">; </w:t>
      </w:r>
      <w:r w:rsidRPr="00494809">
        <w:rPr>
          <w:rFonts w:cstheme="minorHAnsi"/>
          <w:i/>
        </w:rPr>
        <w:t>Guatemala</w:t>
      </w:r>
      <w:r w:rsidRPr="00494809">
        <w:rPr>
          <w:rFonts w:cstheme="minorHAnsi"/>
        </w:rPr>
        <w:t>, para. 20, U.N. Doc. </w:t>
      </w:r>
      <w:hyperlink r:id="rId22" w:tgtFrame="_blank" w:history="1">
        <w:r w:rsidRPr="00494809">
          <w:rPr>
            <w:rStyle w:val="Hyperlink"/>
            <w:rFonts w:cstheme="minorHAnsi"/>
          </w:rPr>
          <w:t>CCPR/C/GTM/CO/3 (2012</w:t>
        </w:r>
      </w:hyperlink>
      <w:r w:rsidRPr="00494809">
        <w:rPr>
          <w:rFonts w:cstheme="minorHAnsi"/>
        </w:rPr>
        <w:t xml:space="preserve">); </w:t>
      </w:r>
      <w:r w:rsidRPr="00494809">
        <w:rPr>
          <w:rFonts w:cstheme="minorHAnsi"/>
          <w:i/>
        </w:rPr>
        <w:t>Jamaica</w:t>
      </w:r>
      <w:r w:rsidRPr="00494809">
        <w:rPr>
          <w:rFonts w:cstheme="minorHAnsi"/>
        </w:rPr>
        <w:t xml:space="preserve">, para. 14, U.N. Doc. CCPR/C/JAM/CO/3 (2011); </w:t>
      </w:r>
      <w:r w:rsidRPr="00494809">
        <w:rPr>
          <w:rFonts w:cstheme="minorHAnsi"/>
          <w:i/>
        </w:rPr>
        <w:t>Dominican Republic</w:t>
      </w:r>
      <w:r w:rsidRPr="00494809">
        <w:rPr>
          <w:rFonts w:cstheme="minorHAnsi"/>
        </w:rPr>
        <w:t xml:space="preserve">, para. 15, U.N. Doc. CCPR/C/DOM/CO/5 (2012). </w:t>
      </w:r>
      <w:r w:rsidRPr="00494809">
        <w:rPr>
          <w:rFonts w:cstheme="minorHAnsi"/>
          <w:i/>
        </w:rPr>
        <w:t xml:space="preserve">See also </w:t>
      </w:r>
      <w:r w:rsidRPr="00494809">
        <w:rPr>
          <w:rFonts w:cstheme="minorHAnsi"/>
        </w:rPr>
        <w:t xml:space="preserve">Human Rights Committee, </w:t>
      </w:r>
      <w:r w:rsidRPr="00494809">
        <w:rPr>
          <w:rFonts w:cstheme="minorHAnsi"/>
          <w:i/>
        </w:rPr>
        <w:t>Concluding Observations: Mali</w:t>
      </w:r>
      <w:r w:rsidRPr="00494809">
        <w:rPr>
          <w:rFonts w:cstheme="minorHAnsi"/>
        </w:rPr>
        <w:t>, para. 14, U.N. Doc. CCPR/CO/77/MLI (2003) (on emergency obstetrics care);</w:t>
      </w:r>
      <w:r w:rsidRPr="002670A4">
        <w:rPr>
          <w:rFonts w:cstheme="minorHAnsi"/>
        </w:rPr>
        <w:t xml:space="preserve"> </w:t>
      </w:r>
      <w:r w:rsidRPr="002670A4">
        <w:rPr>
          <w:rFonts w:cstheme="minorHAnsi"/>
          <w:i/>
        </w:rPr>
        <w:t>Peru</w:t>
      </w:r>
      <w:r w:rsidRPr="002670A4">
        <w:rPr>
          <w:rFonts w:cstheme="minorHAnsi"/>
        </w:rPr>
        <w:t>, para. 14, U.N. Doc. </w:t>
      </w:r>
      <w:hyperlink r:id="rId23" w:tgtFrame="_blank" w:history="1">
        <w:r w:rsidRPr="002670A4">
          <w:rPr>
            <w:rStyle w:val="Hyperlink"/>
            <w:rFonts w:cstheme="minorHAnsi"/>
          </w:rPr>
          <w:t>CCPR/C/PER/CO/5 (2013)</w:t>
        </w:r>
      </w:hyperlink>
      <w:r w:rsidRPr="002670A4">
        <w:rPr>
          <w:rFonts w:cstheme="minorHAnsi"/>
        </w:rPr>
        <w:t xml:space="preserve"> (on emergency contraceptives).</w:t>
      </w:r>
    </w:p>
  </w:endnote>
  <w:endnote w:id="62">
    <w:p w14:paraId="136267A9" w14:textId="6A7CF954" w:rsidR="00CC4F76" w:rsidRPr="002670A4" w:rsidRDefault="00CC4F76" w:rsidP="009E5318">
      <w:pPr>
        <w:pStyle w:val="EndnoteText"/>
        <w:rPr>
          <w:rFonts w:cstheme="minorHAnsi"/>
        </w:rPr>
      </w:pPr>
      <w:r w:rsidRPr="00856F0A">
        <w:rPr>
          <w:rStyle w:val="EndnoteReference"/>
          <w:rFonts w:cstheme="minorHAnsi"/>
        </w:rPr>
        <w:endnoteRef/>
      </w:r>
      <w:r w:rsidRPr="00856F0A">
        <w:rPr>
          <w:rFonts w:cstheme="minorHAnsi"/>
        </w:rPr>
        <w:t xml:space="preserve"> </w:t>
      </w:r>
      <w:r w:rsidRPr="00856F0A">
        <w:rPr>
          <w:rFonts w:cstheme="minorHAnsi"/>
          <w:i/>
        </w:rPr>
        <w:t>See</w:t>
      </w:r>
      <w:r w:rsidRPr="00856F0A">
        <w:rPr>
          <w:rFonts w:cstheme="minorHAnsi"/>
        </w:rPr>
        <w:t xml:space="preserve"> </w:t>
      </w:r>
      <w:r w:rsidR="00C827EA" w:rsidRPr="00C827EA">
        <w:rPr>
          <w:rFonts w:cstheme="minorHAnsi"/>
        </w:rPr>
        <w:t>Human Rights Comm</w:t>
      </w:r>
      <w:r w:rsidR="00C827EA" w:rsidRPr="00E96AB8">
        <w:rPr>
          <w:rFonts w:cstheme="minorHAnsi"/>
        </w:rPr>
        <w:t xml:space="preserve">ittee, </w:t>
      </w:r>
      <w:r w:rsidR="00C827EA" w:rsidRPr="00656DE9">
        <w:rPr>
          <w:rFonts w:cstheme="minorHAnsi"/>
          <w:i/>
        </w:rPr>
        <w:t>Draft General Comment on Article 6</w:t>
      </w:r>
      <w:r w:rsidR="00C827EA" w:rsidRPr="00856F0A">
        <w:rPr>
          <w:rFonts w:cstheme="minorHAnsi"/>
        </w:rPr>
        <w:t xml:space="preserve">, </w:t>
      </w:r>
      <w:r w:rsidR="00C827EA" w:rsidRPr="00307724">
        <w:rPr>
          <w:rFonts w:cstheme="minorHAnsi"/>
          <w:i/>
        </w:rPr>
        <w:t xml:space="preserve">supra </w:t>
      </w:r>
      <w:r w:rsidR="00C827EA" w:rsidRPr="00307724">
        <w:rPr>
          <w:rFonts w:cstheme="minorHAnsi"/>
        </w:rPr>
        <w:t>note 1</w:t>
      </w:r>
      <w:r w:rsidR="00C827EA" w:rsidRPr="00856F0A">
        <w:rPr>
          <w:rFonts w:cstheme="minorHAnsi"/>
        </w:rPr>
        <w:t xml:space="preserve">, </w:t>
      </w:r>
      <w:r w:rsidRPr="00856F0A">
        <w:rPr>
          <w:rFonts w:cstheme="minorHAnsi"/>
        </w:rPr>
        <w:t>para. 3 as currently formulated</w:t>
      </w:r>
      <w:r w:rsidR="00C827EA">
        <w:rPr>
          <w:rFonts w:cstheme="minorHAnsi"/>
        </w:rPr>
        <w:t>,</w:t>
      </w:r>
      <w:r w:rsidRPr="00856F0A">
        <w:rPr>
          <w:rFonts w:cstheme="minorHAnsi"/>
        </w:rPr>
        <w:t xml:space="preserve"> and para. 30.</w:t>
      </w:r>
      <w:r w:rsidRPr="00297E7D">
        <w:rPr>
          <w:rFonts w:cstheme="minorHAnsi"/>
        </w:rPr>
        <w:t xml:space="preserve"> </w:t>
      </w:r>
    </w:p>
  </w:endnote>
  <w:endnote w:id="63">
    <w:p w14:paraId="2A3250D1" w14:textId="79C87892" w:rsidR="00CC4F76" w:rsidRPr="002670A4" w:rsidRDefault="00CC4F76" w:rsidP="00B03BFD">
      <w:pPr>
        <w:pStyle w:val="EndnoteText"/>
        <w:tabs>
          <w:tab w:val="left" w:pos="1422"/>
        </w:tabs>
        <w:rPr>
          <w:rStyle w:val="Hyperlink"/>
          <w:rFonts w:cstheme="minorHAnsi"/>
        </w:rPr>
      </w:pPr>
      <w:r w:rsidRPr="002670A4">
        <w:rPr>
          <w:rStyle w:val="EndnoteReference"/>
          <w:rFonts w:cstheme="minorHAnsi"/>
        </w:rPr>
        <w:endnoteRef/>
      </w:r>
      <w:r w:rsidRPr="002670A4">
        <w:rPr>
          <w:rFonts w:cstheme="minorHAnsi"/>
        </w:rPr>
        <w:t xml:space="preserve"> </w:t>
      </w:r>
      <w:r w:rsidRPr="002670A4">
        <w:rPr>
          <w:rFonts w:cstheme="minorHAnsi"/>
          <w:i/>
        </w:rPr>
        <w:t xml:space="preserve">See </w:t>
      </w:r>
      <w:r w:rsidRPr="002670A4">
        <w:rPr>
          <w:rFonts w:cstheme="minorHAnsi"/>
        </w:rPr>
        <w:t xml:space="preserve">WHO, </w:t>
      </w:r>
      <w:r w:rsidRPr="002670A4">
        <w:rPr>
          <w:rFonts w:cstheme="minorHAnsi"/>
          <w:i/>
        </w:rPr>
        <w:t>Standards for Improving Quality of Maternal and Newborn Care in Health Facilities</w:t>
      </w:r>
      <w:r w:rsidRPr="002670A4">
        <w:rPr>
          <w:rFonts w:cstheme="minorHAnsi"/>
        </w:rPr>
        <w:t xml:space="preserve"> (2016), </w:t>
      </w:r>
      <w:r w:rsidRPr="002670A4">
        <w:rPr>
          <w:rFonts w:cstheme="minorHAnsi"/>
          <w:i/>
        </w:rPr>
        <w:t xml:space="preserve">available at </w:t>
      </w:r>
      <w:hyperlink r:id="rId24" w:history="1">
        <w:r w:rsidRPr="002670A4">
          <w:rPr>
            <w:rStyle w:val="Hyperlink"/>
            <w:rFonts w:cstheme="minorHAnsi"/>
          </w:rPr>
          <w:t>http://apps.who.int/iris/bitstream/10665/249155/1/9789241511216-eng.pdf?ua=1</w:t>
        </w:r>
      </w:hyperlink>
      <w:r w:rsidRPr="002670A4">
        <w:rPr>
          <w:rStyle w:val="Hyperlink"/>
          <w:rFonts w:cstheme="minorHAnsi"/>
        </w:rPr>
        <w:t xml:space="preserve"> (for maternal care services);</w:t>
      </w:r>
    </w:p>
    <w:p w14:paraId="1A51EA7A" w14:textId="0F2FDF11" w:rsidR="00CC4F76" w:rsidRPr="002670A4" w:rsidRDefault="00CC4F76" w:rsidP="00E07376">
      <w:pPr>
        <w:pStyle w:val="EndnoteText"/>
        <w:tabs>
          <w:tab w:val="left" w:pos="6790"/>
        </w:tabs>
        <w:rPr>
          <w:rFonts w:cstheme="minorHAnsi"/>
        </w:rPr>
      </w:pPr>
      <w:r w:rsidRPr="002670A4">
        <w:rPr>
          <w:rFonts w:cstheme="minorHAnsi"/>
        </w:rPr>
        <w:t>WHO,</w:t>
      </w:r>
      <w:r w:rsidRPr="002670A4">
        <w:rPr>
          <w:rFonts w:cstheme="minorHAnsi"/>
          <w:i/>
        </w:rPr>
        <w:t xml:space="preserve"> Priority Lifesaving Medicines for Women and Children</w:t>
      </w:r>
      <w:r w:rsidRPr="002670A4">
        <w:rPr>
          <w:rFonts w:cstheme="minorHAnsi"/>
        </w:rPr>
        <w:t xml:space="preserve"> (2012), </w:t>
      </w:r>
      <w:r w:rsidRPr="002670A4">
        <w:rPr>
          <w:rFonts w:cstheme="minorHAnsi"/>
          <w:i/>
        </w:rPr>
        <w:t xml:space="preserve">available at </w:t>
      </w:r>
      <w:hyperlink r:id="rId25" w:history="1">
        <w:r w:rsidRPr="002670A4">
          <w:rPr>
            <w:rStyle w:val="Hyperlink"/>
            <w:rFonts w:cstheme="minorHAnsi"/>
          </w:rPr>
          <w:t>http://apps.who.int/iris/bitstream/10665/75154/1/WHO_EMP_MAR_2012.1_eng.pdf?ua=1</w:t>
        </w:r>
      </w:hyperlink>
      <w:r w:rsidRPr="002670A4">
        <w:rPr>
          <w:rFonts w:cstheme="minorHAnsi"/>
        </w:rPr>
        <w:t xml:space="preserve"> (for contraceptives); United Nations Population Fund (UNFPA), </w:t>
      </w:r>
      <w:r w:rsidRPr="002670A4">
        <w:rPr>
          <w:rFonts w:cstheme="minorHAnsi"/>
          <w:i/>
        </w:rPr>
        <w:t xml:space="preserve">Sexual &amp; reproductive health, </w:t>
      </w:r>
      <w:hyperlink r:id="rId26" w:history="1">
        <w:r w:rsidRPr="002670A4">
          <w:rPr>
            <w:rStyle w:val="Hyperlink"/>
            <w:rFonts w:cstheme="minorHAnsi"/>
          </w:rPr>
          <w:t>http://www.unfpa.org/sexual-reproductive-health</w:t>
        </w:r>
      </w:hyperlink>
      <w:r w:rsidRPr="002670A4">
        <w:rPr>
          <w:rFonts w:cstheme="minorHAnsi"/>
        </w:rPr>
        <w:t xml:space="preserve"> (for access to SRH information).</w:t>
      </w:r>
    </w:p>
  </w:endnote>
  <w:endnote w:id="64">
    <w:p w14:paraId="3C69C70C" w14:textId="42079FAE"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UNAIDS, UNHCR, UNICEF, WFP, UNDP, UNFPA, UN Women, ILO, UNCESCO, WHO, OHCHR, IOM – Joint United Nations statement on ending discrimination in health care settings (June 2017), </w:t>
      </w:r>
      <w:r w:rsidRPr="002670A4">
        <w:rPr>
          <w:rFonts w:cstheme="minorHAnsi"/>
          <w:i/>
        </w:rPr>
        <w:t>available at</w:t>
      </w:r>
      <w:r w:rsidRPr="002670A4">
        <w:rPr>
          <w:rFonts w:cstheme="minorHAnsi"/>
        </w:rPr>
        <w:t xml:space="preserve"> </w:t>
      </w:r>
      <w:hyperlink r:id="rId27" w:history="1">
        <w:r w:rsidRPr="002670A4">
          <w:rPr>
            <w:rStyle w:val="Hyperlink"/>
            <w:rFonts w:cstheme="minorHAnsi"/>
          </w:rPr>
          <w:t>http://www.unaids.org/sites/default/files/media_asset/ending-discrimination-healthcare-settings_en.pdf</w:t>
        </w:r>
      </w:hyperlink>
      <w:r w:rsidRPr="002670A4">
        <w:rPr>
          <w:rFonts w:cstheme="minorHAnsi"/>
        </w:rPr>
        <w:t xml:space="preserve">. </w:t>
      </w:r>
    </w:p>
  </w:endnote>
  <w:endnote w:id="65">
    <w:p w14:paraId="4105F2FF" w14:textId="77777777"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w:t>
      </w:r>
      <w:r w:rsidRPr="002670A4">
        <w:rPr>
          <w:rFonts w:cstheme="minorHAnsi"/>
          <w:i/>
        </w:rPr>
        <w:t xml:space="preserve">Id. </w:t>
      </w:r>
    </w:p>
  </w:endnote>
  <w:endnote w:id="66">
    <w:p w14:paraId="1C480019" w14:textId="270C6FC0" w:rsidR="00CC4F76" w:rsidRPr="002670A4" w:rsidRDefault="00CC4F76" w:rsidP="00CC2F2E">
      <w:pPr>
        <w:pStyle w:val="EndnoteText"/>
        <w:rPr>
          <w:rFonts w:cstheme="minorHAnsi"/>
        </w:rPr>
      </w:pPr>
      <w:r w:rsidRPr="002670A4">
        <w:rPr>
          <w:rStyle w:val="EndnoteReference"/>
          <w:rFonts w:cstheme="minorHAnsi"/>
        </w:rPr>
        <w:endnoteRef/>
      </w:r>
      <w:r w:rsidRPr="002670A4">
        <w:rPr>
          <w:rFonts w:cstheme="minorHAnsi"/>
        </w:rPr>
        <w:t xml:space="preserve"> CAT Committee, </w:t>
      </w:r>
      <w:r w:rsidRPr="002670A4">
        <w:rPr>
          <w:rFonts w:cstheme="minorHAnsi"/>
          <w:i/>
        </w:rPr>
        <w:t>Concluding Observations: Kenya</w:t>
      </w:r>
      <w:r w:rsidRPr="002670A4">
        <w:rPr>
          <w:rFonts w:cstheme="minorHAnsi"/>
        </w:rPr>
        <w:t xml:space="preserve">, para. 27, U.N. Doc. CAT/C/KEN/CO/2 (2013). </w:t>
      </w:r>
    </w:p>
  </w:endnote>
  <w:endnote w:id="67">
    <w:p w14:paraId="1138824C" w14:textId="4E7C7548" w:rsidR="00CC4F76" w:rsidRPr="002670A4" w:rsidRDefault="00CC4F76">
      <w:pPr>
        <w:pStyle w:val="EndnoteText"/>
        <w:rPr>
          <w:rFonts w:cstheme="minorHAnsi"/>
        </w:rPr>
      </w:pPr>
      <w:r w:rsidRPr="002670A4">
        <w:rPr>
          <w:rStyle w:val="EndnoteReference"/>
          <w:rFonts w:cstheme="minorHAnsi"/>
        </w:rPr>
        <w:endnoteRef/>
      </w:r>
      <w:r w:rsidRPr="002670A4">
        <w:rPr>
          <w:rFonts w:cstheme="minorHAnsi"/>
        </w:rPr>
        <w:t xml:space="preserve"> CEDAW Committee, </w:t>
      </w:r>
      <w:r w:rsidRPr="002670A4">
        <w:rPr>
          <w:rFonts w:cstheme="minorHAnsi"/>
          <w:i/>
        </w:rPr>
        <w:t>Gen. Recommendation No. 35</w:t>
      </w:r>
      <w:r w:rsidRPr="002670A4">
        <w:rPr>
          <w:rFonts w:cstheme="minorHAnsi"/>
        </w:rPr>
        <w:t xml:space="preserve">, </w:t>
      </w:r>
      <w:r w:rsidRPr="00307724">
        <w:rPr>
          <w:rFonts w:cstheme="minorHAnsi"/>
          <w:i/>
        </w:rPr>
        <w:t xml:space="preserve">supra </w:t>
      </w:r>
      <w:r w:rsidRPr="00307724">
        <w:rPr>
          <w:rFonts w:cstheme="minorHAnsi"/>
        </w:rPr>
        <w:t xml:space="preserve">note </w:t>
      </w:r>
      <w:r w:rsidR="00055DFB" w:rsidRPr="00307724">
        <w:rPr>
          <w:rFonts w:cstheme="minorHAnsi"/>
        </w:rPr>
        <w:t>42</w:t>
      </w:r>
      <w:r w:rsidRPr="00307724">
        <w:rPr>
          <w:rFonts w:cstheme="minorHAnsi"/>
        </w:rPr>
        <w:t>,</w:t>
      </w:r>
      <w:r w:rsidRPr="002670A4">
        <w:rPr>
          <w:rFonts w:cstheme="minorHAnsi"/>
        </w:rPr>
        <w:t xml:space="preserve"> para 18. </w:t>
      </w:r>
      <w:r w:rsidRPr="002670A4">
        <w:rPr>
          <w:rFonts w:cstheme="minorHAnsi"/>
          <w:i/>
        </w:rPr>
        <w:t>See also</w:t>
      </w:r>
      <w:r w:rsidRPr="002670A4">
        <w:rPr>
          <w:rFonts w:cstheme="minorHAnsi"/>
        </w:rPr>
        <w:t xml:space="preserve"> CEDAW Committee, </w:t>
      </w:r>
      <w:r w:rsidRPr="002670A4">
        <w:rPr>
          <w:rFonts w:cstheme="minorHAnsi"/>
          <w:i/>
        </w:rPr>
        <w:t>Gen. Recommendation No. 24</w:t>
      </w:r>
      <w:r w:rsidRPr="002670A4">
        <w:rPr>
          <w:rFonts w:cstheme="minorHAnsi"/>
        </w:rPr>
        <w:t xml:space="preserve">, </w:t>
      </w:r>
      <w:r w:rsidRPr="00307724">
        <w:rPr>
          <w:rFonts w:cstheme="minorHAnsi"/>
          <w:i/>
        </w:rPr>
        <w:t xml:space="preserve">supra </w:t>
      </w:r>
      <w:r w:rsidRPr="00307724">
        <w:rPr>
          <w:rFonts w:cstheme="minorHAnsi"/>
        </w:rPr>
        <w:t xml:space="preserve">note </w:t>
      </w:r>
      <w:r w:rsidR="00400933" w:rsidRPr="00307724">
        <w:rPr>
          <w:rFonts w:cstheme="minorHAnsi"/>
        </w:rPr>
        <w:t>10</w:t>
      </w:r>
      <w:r w:rsidRPr="00307724">
        <w:rPr>
          <w:rFonts w:cstheme="minorHAnsi"/>
        </w:rPr>
        <w:t>,</w:t>
      </w:r>
      <w:r w:rsidRPr="002670A4">
        <w:rPr>
          <w:rFonts w:cstheme="minorHAnsi"/>
        </w:rPr>
        <w:t xml:space="preserve"> para. 22; CRC Committee, </w:t>
      </w:r>
      <w:r w:rsidRPr="002670A4">
        <w:rPr>
          <w:rFonts w:cstheme="minorHAnsi"/>
          <w:i/>
        </w:rPr>
        <w:t>General Comment No. 13 (2011) The right of the child to freedom from all forms of violence</w:t>
      </w:r>
      <w:r w:rsidRPr="002670A4">
        <w:rPr>
          <w:rFonts w:cstheme="minorHAnsi"/>
        </w:rPr>
        <w:t xml:space="preserve">, para. 23(a), U.N. Doc. CRC/C/GC/13 (2011). </w:t>
      </w:r>
    </w:p>
  </w:endnote>
  <w:endnote w:id="68">
    <w:p w14:paraId="7BE2AF81" w14:textId="5AE097EA" w:rsidR="00CC4F76" w:rsidRPr="002670A4" w:rsidRDefault="00CC4F76" w:rsidP="00304FFB">
      <w:pPr>
        <w:pStyle w:val="EndnoteText"/>
        <w:rPr>
          <w:rFonts w:cstheme="minorHAnsi"/>
        </w:rPr>
      </w:pPr>
      <w:r w:rsidRPr="002670A4">
        <w:rPr>
          <w:rStyle w:val="EndnoteReference"/>
          <w:rFonts w:cstheme="minorHAnsi"/>
        </w:rPr>
        <w:endnoteRef/>
      </w:r>
      <w:r w:rsidRPr="002670A4">
        <w:rPr>
          <w:rFonts w:cstheme="minorHAnsi"/>
        </w:rPr>
        <w:t xml:space="preserve"> OHCHR, Harvard FXB, Partnership for Maternal, Newborn &amp; Child Health (PMNCH), UNFPA, WHO, </w:t>
      </w:r>
      <w:r w:rsidRPr="002670A4">
        <w:rPr>
          <w:rFonts w:cstheme="minorHAnsi"/>
          <w:i/>
        </w:rPr>
        <w:t>Summary Reflection Guide on a Human Rights-Based Approach to Health</w:t>
      </w:r>
      <w:r w:rsidRPr="002670A4">
        <w:rPr>
          <w:rFonts w:cstheme="minorHAnsi"/>
        </w:rPr>
        <w:t xml:space="preserve">, at 14 (2015), </w:t>
      </w:r>
      <w:r w:rsidRPr="002670A4">
        <w:rPr>
          <w:rFonts w:cstheme="minorHAnsi"/>
          <w:i/>
        </w:rPr>
        <w:t xml:space="preserve">available at </w:t>
      </w:r>
      <w:r w:rsidRPr="002670A4">
        <w:rPr>
          <w:rFonts w:cstheme="minorHAnsi"/>
        </w:rPr>
        <w:t>(</w:t>
      </w:r>
      <w:hyperlink r:id="rId28" w:history="1">
        <w:r w:rsidRPr="002670A4">
          <w:rPr>
            <w:rStyle w:val="Hyperlink"/>
            <w:rFonts w:cstheme="minorHAnsi"/>
          </w:rPr>
          <w:t>http://www.ohchr.org/Documents/Issues/Women/WRGS/Health/HealthWorkers.pdf</w:t>
        </w:r>
      </w:hyperlink>
      <w:r w:rsidRPr="002670A4">
        <w:rPr>
          <w:rFonts w:cstheme="minorHAnsi"/>
        </w:rPr>
        <w:t>.</w:t>
      </w:r>
    </w:p>
  </w:endnote>
  <w:endnote w:id="69">
    <w:p w14:paraId="4273D901" w14:textId="7E1A62BE" w:rsidR="00CC4F76" w:rsidRPr="002670A4" w:rsidRDefault="00CC4F76" w:rsidP="00304FFB">
      <w:pPr>
        <w:pStyle w:val="EndnoteText"/>
        <w:rPr>
          <w:rFonts w:cstheme="minorHAnsi"/>
        </w:rPr>
      </w:pPr>
      <w:r w:rsidRPr="002670A4">
        <w:rPr>
          <w:rStyle w:val="EndnoteReference"/>
          <w:rFonts w:cstheme="minorHAnsi"/>
        </w:rPr>
        <w:endnoteRef/>
      </w:r>
      <w:r w:rsidRPr="002670A4">
        <w:rPr>
          <w:rFonts w:cstheme="minorHAnsi"/>
        </w:rPr>
        <w:t xml:space="preserve"> </w:t>
      </w:r>
      <w:r w:rsidR="00656DE9" w:rsidRPr="00C827EA">
        <w:rPr>
          <w:rFonts w:cstheme="minorHAnsi"/>
        </w:rPr>
        <w:t>Mellet v. Ireland, Human Rights Committee, Commc’n No. 2324</w:t>
      </w:r>
      <w:r w:rsidR="00656DE9" w:rsidRPr="00C87C78">
        <w:rPr>
          <w:rFonts w:cstheme="minorHAnsi"/>
        </w:rPr>
        <w:t>/2013, para. 7</w:t>
      </w:r>
      <w:r w:rsidR="00656DE9">
        <w:rPr>
          <w:rFonts w:cstheme="minorHAnsi"/>
        </w:rPr>
        <w:t>.7</w:t>
      </w:r>
      <w:r w:rsidR="00656DE9" w:rsidRPr="00C87C78">
        <w:rPr>
          <w:rFonts w:cstheme="minorHAnsi"/>
        </w:rPr>
        <w:t>, U.N. Doc. CCPR/C/116/D/2324/2013 (2016)</w:t>
      </w:r>
      <w:r w:rsidRPr="002670A4">
        <w:rPr>
          <w:rFonts w:cstheme="minorHAnsi"/>
        </w:rPr>
        <w:t xml:space="preserve">. </w:t>
      </w:r>
      <w:r w:rsidRPr="002670A4">
        <w:rPr>
          <w:rFonts w:cstheme="minorHAnsi"/>
          <w:i/>
        </w:rPr>
        <w:t>See also</w:t>
      </w:r>
      <w:r w:rsidRPr="002670A4">
        <w:rPr>
          <w:rFonts w:cstheme="minorHAnsi"/>
        </w:rPr>
        <w:t xml:space="preserve"> L.M.R. v. Argentina, Human Rights Committee, Commc’n No. 1608/2007, paras. 9.3, 9.4, U.N. Doc. CCPR/C/101/D/1608/2007 (2011).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055086"/>
      <w:docPartObj>
        <w:docPartGallery w:val="Page Numbers (Bottom of Page)"/>
        <w:docPartUnique/>
      </w:docPartObj>
    </w:sdtPr>
    <w:sdtEndPr>
      <w:rPr>
        <w:noProof/>
      </w:rPr>
    </w:sdtEndPr>
    <w:sdtContent>
      <w:p w14:paraId="6CE4D4E4" w14:textId="26785028" w:rsidR="00CC4F76" w:rsidRDefault="00CC4F76">
        <w:pPr>
          <w:pStyle w:val="Footer"/>
          <w:jc w:val="right"/>
        </w:pPr>
        <w:r>
          <w:fldChar w:fldCharType="begin"/>
        </w:r>
        <w:r>
          <w:instrText xml:space="preserve"> PAGE   \* MERGEFORMAT </w:instrText>
        </w:r>
        <w:r>
          <w:fldChar w:fldCharType="separate"/>
        </w:r>
        <w:r w:rsidR="00403C07">
          <w:rPr>
            <w:noProof/>
          </w:rPr>
          <w:t>1</w:t>
        </w:r>
        <w:r>
          <w:rPr>
            <w:noProof/>
          </w:rPr>
          <w:fldChar w:fldCharType="end"/>
        </w:r>
      </w:p>
    </w:sdtContent>
  </w:sdt>
  <w:p w14:paraId="21C81302" w14:textId="77777777" w:rsidR="00CC4F76" w:rsidRDefault="00CC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28F58" w14:textId="77777777" w:rsidR="00F719BB" w:rsidRDefault="00F719BB" w:rsidP="00E7182C">
      <w:pPr>
        <w:spacing w:after="0" w:line="240" w:lineRule="auto"/>
      </w:pPr>
      <w:r>
        <w:separator/>
      </w:r>
    </w:p>
  </w:footnote>
  <w:footnote w:type="continuationSeparator" w:id="0">
    <w:p w14:paraId="467D8724" w14:textId="77777777" w:rsidR="00F719BB" w:rsidRDefault="00F719BB" w:rsidP="00E71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E49B5" w14:textId="68FC001C" w:rsidR="00CC4F76" w:rsidRDefault="00CC4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B14C1" w14:textId="269D306E" w:rsidR="00CC4F76" w:rsidRDefault="00CC4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6C8EC" w14:textId="46092C79" w:rsidR="00CC4F76" w:rsidRDefault="00CC4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2330"/>
    <w:multiLevelType w:val="hybridMultilevel"/>
    <w:tmpl w:val="4DDA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30CB4"/>
    <w:multiLevelType w:val="hybridMultilevel"/>
    <w:tmpl w:val="1024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578BA"/>
    <w:multiLevelType w:val="hybridMultilevel"/>
    <w:tmpl w:val="AA4CA0A0"/>
    <w:lvl w:ilvl="0" w:tplc="A03A4B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A5E81"/>
    <w:multiLevelType w:val="hybridMultilevel"/>
    <w:tmpl w:val="941ED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C07E8"/>
    <w:multiLevelType w:val="hybridMultilevel"/>
    <w:tmpl w:val="F0F2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B211CC"/>
    <w:multiLevelType w:val="hybridMultilevel"/>
    <w:tmpl w:val="BF6AF7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4764C7"/>
    <w:multiLevelType w:val="hybridMultilevel"/>
    <w:tmpl w:val="E624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66253F"/>
    <w:multiLevelType w:val="hybridMultilevel"/>
    <w:tmpl w:val="59E2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04E2B"/>
    <w:multiLevelType w:val="hybridMultilevel"/>
    <w:tmpl w:val="31AE5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5A771D"/>
    <w:multiLevelType w:val="hybridMultilevel"/>
    <w:tmpl w:val="C676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3"/>
  </w:num>
  <w:num w:numId="5">
    <w:abstractNumId w:val="0"/>
  </w:num>
  <w:num w:numId="6">
    <w:abstractNumId w:val="5"/>
  </w:num>
  <w:num w:numId="7">
    <w:abstractNumId w:val="1"/>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2289"/>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0F"/>
    <w:rsid w:val="00003436"/>
    <w:rsid w:val="00004868"/>
    <w:rsid w:val="00006A29"/>
    <w:rsid w:val="000103E6"/>
    <w:rsid w:val="00017BD1"/>
    <w:rsid w:val="00020836"/>
    <w:rsid w:val="00020C3D"/>
    <w:rsid w:val="0002342D"/>
    <w:rsid w:val="00024C1A"/>
    <w:rsid w:val="00024FEB"/>
    <w:rsid w:val="00025146"/>
    <w:rsid w:val="000263CF"/>
    <w:rsid w:val="00030B2B"/>
    <w:rsid w:val="00030F0C"/>
    <w:rsid w:val="00035A08"/>
    <w:rsid w:val="0004142F"/>
    <w:rsid w:val="00044390"/>
    <w:rsid w:val="000548D9"/>
    <w:rsid w:val="00055DFB"/>
    <w:rsid w:val="00065B98"/>
    <w:rsid w:val="00067FEC"/>
    <w:rsid w:val="00067FF6"/>
    <w:rsid w:val="00074C72"/>
    <w:rsid w:val="000800D4"/>
    <w:rsid w:val="00081769"/>
    <w:rsid w:val="00082451"/>
    <w:rsid w:val="00082B65"/>
    <w:rsid w:val="000853AA"/>
    <w:rsid w:val="0008756E"/>
    <w:rsid w:val="00090B78"/>
    <w:rsid w:val="000913BA"/>
    <w:rsid w:val="0009234D"/>
    <w:rsid w:val="00095B45"/>
    <w:rsid w:val="0009614F"/>
    <w:rsid w:val="000A15AB"/>
    <w:rsid w:val="000A3A5C"/>
    <w:rsid w:val="000A572D"/>
    <w:rsid w:val="000B0107"/>
    <w:rsid w:val="000B1F76"/>
    <w:rsid w:val="000B4E3B"/>
    <w:rsid w:val="000C1EB2"/>
    <w:rsid w:val="000C2204"/>
    <w:rsid w:val="000C27FD"/>
    <w:rsid w:val="000C39DC"/>
    <w:rsid w:val="000C43F2"/>
    <w:rsid w:val="000C4C82"/>
    <w:rsid w:val="000C619A"/>
    <w:rsid w:val="000D3B82"/>
    <w:rsid w:val="000D3D22"/>
    <w:rsid w:val="000D4FFD"/>
    <w:rsid w:val="000D65A7"/>
    <w:rsid w:val="000D67CB"/>
    <w:rsid w:val="000D6B37"/>
    <w:rsid w:val="000E2981"/>
    <w:rsid w:val="000E4B18"/>
    <w:rsid w:val="000E5AC9"/>
    <w:rsid w:val="000F0373"/>
    <w:rsid w:val="000F35DA"/>
    <w:rsid w:val="000F4A4E"/>
    <w:rsid w:val="0010249C"/>
    <w:rsid w:val="00102554"/>
    <w:rsid w:val="0010342C"/>
    <w:rsid w:val="0010743A"/>
    <w:rsid w:val="001102DC"/>
    <w:rsid w:val="001105BA"/>
    <w:rsid w:val="0012198A"/>
    <w:rsid w:val="00121CFB"/>
    <w:rsid w:val="00123E8C"/>
    <w:rsid w:val="001248D1"/>
    <w:rsid w:val="0012732B"/>
    <w:rsid w:val="00132137"/>
    <w:rsid w:val="00133D65"/>
    <w:rsid w:val="00140984"/>
    <w:rsid w:val="00145FF0"/>
    <w:rsid w:val="0014604E"/>
    <w:rsid w:val="00154561"/>
    <w:rsid w:val="001717CF"/>
    <w:rsid w:val="001755DE"/>
    <w:rsid w:val="001805CD"/>
    <w:rsid w:val="0018294B"/>
    <w:rsid w:val="001837A7"/>
    <w:rsid w:val="001920BE"/>
    <w:rsid w:val="00194030"/>
    <w:rsid w:val="00195997"/>
    <w:rsid w:val="00195FCA"/>
    <w:rsid w:val="00196252"/>
    <w:rsid w:val="001A346B"/>
    <w:rsid w:val="001A4442"/>
    <w:rsid w:val="001A5816"/>
    <w:rsid w:val="001A590F"/>
    <w:rsid w:val="001A7F52"/>
    <w:rsid w:val="001B4B24"/>
    <w:rsid w:val="001B50FB"/>
    <w:rsid w:val="001C23A3"/>
    <w:rsid w:val="001C661F"/>
    <w:rsid w:val="001C6B5C"/>
    <w:rsid w:val="001D01B6"/>
    <w:rsid w:val="001D1927"/>
    <w:rsid w:val="001D43C8"/>
    <w:rsid w:val="001D4938"/>
    <w:rsid w:val="001D65AE"/>
    <w:rsid w:val="001E060F"/>
    <w:rsid w:val="001E5DCD"/>
    <w:rsid w:val="001E78FD"/>
    <w:rsid w:val="001E7FC7"/>
    <w:rsid w:val="001F046A"/>
    <w:rsid w:val="001F0C58"/>
    <w:rsid w:val="001F58D2"/>
    <w:rsid w:val="001F68D4"/>
    <w:rsid w:val="00201279"/>
    <w:rsid w:val="00202975"/>
    <w:rsid w:val="00206C7B"/>
    <w:rsid w:val="00207BB6"/>
    <w:rsid w:val="00214249"/>
    <w:rsid w:val="00215B4C"/>
    <w:rsid w:val="00216731"/>
    <w:rsid w:val="00216BE3"/>
    <w:rsid w:val="00216E8D"/>
    <w:rsid w:val="00216FEA"/>
    <w:rsid w:val="0021717B"/>
    <w:rsid w:val="00217F28"/>
    <w:rsid w:val="002222D3"/>
    <w:rsid w:val="00225458"/>
    <w:rsid w:val="00226F6F"/>
    <w:rsid w:val="00227F8F"/>
    <w:rsid w:val="0023030D"/>
    <w:rsid w:val="0023047D"/>
    <w:rsid w:val="0023249D"/>
    <w:rsid w:val="0023585A"/>
    <w:rsid w:val="002375D8"/>
    <w:rsid w:val="002422C7"/>
    <w:rsid w:val="00242A7C"/>
    <w:rsid w:val="00251CE7"/>
    <w:rsid w:val="002558F4"/>
    <w:rsid w:val="00257B22"/>
    <w:rsid w:val="00260A54"/>
    <w:rsid w:val="002627EB"/>
    <w:rsid w:val="0026458C"/>
    <w:rsid w:val="002648BB"/>
    <w:rsid w:val="00264BFC"/>
    <w:rsid w:val="002670A4"/>
    <w:rsid w:val="002759B0"/>
    <w:rsid w:val="00280960"/>
    <w:rsid w:val="00281BB0"/>
    <w:rsid w:val="00291D92"/>
    <w:rsid w:val="00295665"/>
    <w:rsid w:val="0029586D"/>
    <w:rsid w:val="002962B5"/>
    <w:rsid w:val="00296B6B"/>
    <w:rsid w:val="002972BF"/>
    <w:rsid w:val="00297E7D"/>
    <w:rsid w:val="002A19D7"/>
    <w:rsid w:val="002A1E65"/>
    <w:rsid w:val="002A5015"/>
    <w:rsid w:val="002A5942"/>
    <w:rsid w:val="002A5980"/>
    <w:rsid w:val="002B3D06"/>
    <w:rsid w:val="002B3DFE"/>
    <w:rsid w:val="002B6B0B"/>
    <w:rsid w:val="002B6DDD"/>
    <w:rsid w:val="002C27B5"/>
    <w:rsid w:val="002C2AC1"/>
    <w:rsid w:val="002C3104"/>
    <w:rsid w:val="002C6421"/>
    <w:rsid w:val="002C66B5"/>
    <w:rsid w:val="002C72FC"/>
    <w:rsid w:val="002D4C0B"/>
    <w:rsid w:val="002D6E57"/>
    <w:rsid w:val="002D7384"/>
    <w:rsid w:val="002E050C"/>
    <w:rsid w:val="002E0BE5"/>
    <w:rsid w:val="002E1F30"/>
    <w:rsid w:val="002E1F40"/>
    <w:rsid w:val="002E3B27"/>
    <w:rsid w:val="002E54AA"/>
    <w:rsid w:val="002E6D14"/>
    <w:rsid w:val="002E7D4A"/>
    <w:rsid w:val="002F1336"/>
    <w:rsid w:val="002F15C6"/>
    <w:rsid w:val="002F680C"/>
    <w:rsid w:val="002F6BE1"/>
    <w:rsid w:val="002F77A2"/>
    <w:rsid w:val="002F784F"/>
    <w:rsid w:val="00304259"/>
    <w:rsid w:val="003047D3"/>
    <w:rsid w:val="00304FFB"/>
    <w:rsid w:val="00305C37"/>
    <w:rsid w:val="003067EB"/>
    <w:rsid w:val="00307724"/>
    <w:rsid w:val="00312010"/>
    <w:rsid w:val="003146B9"/>
    <w:rsid w:val="00317192"/>
    <w:rsid w:val="0032207B"/>
    <w:rsid w:val="003227EC"/>
    <w:rsid w:val="00324F1D"/>
    <w:rsid w:val="0033121F"/>
    <w:rsid w:val="00333CFE"/>
    <w:rsid w:val="003376E8"/>
    <w:rsid w:val="00341A9A"/>
    <w:rsid w:val="0034381E"/>
    <w:rsid w:val="00344A02"/>
    <w:rsid w:val="00345463"/>
    <w:rsid w:val="00347D1D"/>
    <w:rsid w:val="003557FC"/>
    <w:rsid w:val="003570E7"/>
    <w:rsid w:val="0036078B"/>
    <w:rsid w:val="003623B3"/>
    <w:rsid w:val="0036286B"/>
    <w:rsid w:val="00362CFE"/>
    <w:rsid w:val="00363521"/>
    <w:rsid w:val="00364087"/>
    <w:rsid w:val="003647B6"/>
    <w:rsid w:val="00364C9C"/>
    <w:rsid w:val="003669C6"/>
    <w:rsid w:val="0037033E"/>
    <w:rsid w:val="00372603"/>
    <w:rsid w:val="00381BA5"/>
    <w:rsid w:val="00382D64"/>
    <w:rsid w:val="00382DB7"/>
    <w:rsid w:val="00383F8C"/>
    <w:rsid w:val="00384D80"/>
    <w:rsid w:val="00385C19"/>
    <w:rsid w:val="003900BD"/>
    <w:rsid w:val="003900DF"/>
    <w:rsid w:val="003919F2"/>
    <w:rsid w:val="003930A6"/>
    <w:rsid w:val="0039684E"/>
    <w:rsid w:val="0039700A"/>
    <w:rsid w:val="003975E2"/>
    <w:rsid w:val="003A0846"/>
    <w:rsid w:val="003A129B"/>
    <w:rsid w:val="003A3129"/>
    <w:rsid w:val="003B0AE3"/>
    <w:rsid w:val="003B3080"/>
    <w:rsid w:val="003B5079"/>
    <w:rsid w:val="003C0925"/>
    <w:rsid w:val="003C0D3D"/>
    <w:rsid w:val="003C11E0"/>
    <w:rsid w:val="003C288A"/>
    <w:rsid w:val="003C4BA6"/>
    <w:rsid w:val="003C60DA"/>
    <w:rsid w:val="003C6146"/>
    <w:rsid w:val="003D086D"/>
    <w:rsid w:val="003D2FE8"/>
    <w:rsid w:val="003E2443"/>
    <w:rsid w:val="003E2C99"/>
    <w:rsid w:val="003E4424"/>
    <w:rsid w:val="003F2905"/>
    <w:rsid w:val="003F3CFB"/>
    <w:rsid w:val="003F5BD1"/>
    <w:rsid w:val="003F6278"/>
    <w:rsid w:val="003F7FC2"/>
    <w:rsid w:val="004002C0"/>
    <w:rsid w:val="00400933"/>
    <w:rsid w:val="00400FA5"/>
    <w:rsid w:val="00402401"/>
    <w:rsid w:val="00402BA5"/>
    <w:rsid w:val="00403810"/>
    <w:rsid w:val="0040381D"/>
    <w:rsid w:val="00403C07"/>
    <w:rsid w:val="00405D35"/>
    <w:rsid w:val="00406963"/>
    <w:rsid w:val="00406B6C"/>
    <w:rsid w:val="0041260B"/>
    <w:rsid w:val="0041398C"/>
    <w:rsid w:val="00420C51"/>
    <w:rsid w:val="00421246"/>
    <w:rsid w:val="004218F1"/>
    <w:rsid w:val="00423636"/>
    <w:rsid w:val="0042456F"/>
    <w:rsid w:val="004246F4"/>
    <w:rsid w:val="004250D2"/>
    <w:rsid w:val="004251E6"/>
    <w:rsid w:val="00430058"/>
    <w:rsid w:val="0043106C"/>
    <w:rsid w:val="00431B4D"/>
    <w:rsid w:val="00432DAB"/>
    <w:rsid w:val="00435BD8"/>
    <w:rsid w:val="00436046"/>
    <w:rsid w:val="0043711F"/>
    <w:rsid w:val="00441BA1"/>
    <w:rsid w:val="00441F84"/>
    <w:rsid w:val="004431AD"/>
    <w:rsid w:val="00443ACC"/>
    <w:rsid w:val="004446E4"/>
    <w:rsid w:val="004500A0"/>
    <w:rsid w:val="004514EF"/>
    <w:rsid w:val="0045289A"/>
    <w:rsid w:val="00453731"/>
    <w:rsid w:val="004556E5"/>
    <w:rsid w:val="00455917"/>
    <w:rsid w:val="00456F96"/>
    <w:rsid w:val="00457A14"/>
    <w:rsid w:val="00463614"/>
    <w:rsid w:val="00463D71"/>
    <w:rsid w:val="004642DD"/>
    <w:rsid w:val="00464952"/>
    <w:rsid w:val="0046585A"/>
    <w:rsid w:val="00465884"/>
    <w:rsid w:val="004661A7"/>
    <w:rsid w:val="00467018"/>
    <w:rsid w:val="004704D9"/>
    <w:rsid w:val="00470DD9"/>
    <w:rsid w:val="00471264"/>
    <w:rsid w:val="00473A40"/>
    <w:rsid w:val="00474027"/>
    <w:rsid w:val="00485A3A"/>
    <w:rsid w:val="004868E3"/>
    <w:rsid w:val="004869E5"/>
    <w:rsid w:val="00486E66"/>
    <w:rsid w:val="00487C6C"/>
    <w:rsid w:val="00491E08"/>
    <w:rsid w:val="00492594"/>
    <w:rsid w:val="00493A51"/>
    <w:rsid w:val="00493AC3"/>
    <w:rsid w:val="0049419C"/>
    <w:rsid w:val="00494809"/>
    <w:rsid w:val="004959C0"/>
    <w:rsid w:val="00495DB9"/>
    <w:rsid w:val="004962EA"/>
    <w:rsid w:val="004A028F"/>
    <w:rsid w:val="004A40F1"/>
    <w:rsid w:val="004A5A62"/>
    <w:rsid w:val="004A5D63"/>
    <w:rsid w:val="004A7928"/>
    <w:rsid w:val="004C0CF0"/>
    <w:rsid w:val="004C1421"/>
    <w:rsid w:val="004C1648"/>
    <w:rsid w:val="004C254B"/>
    <w:rsid w:val="004C2AAD"/>
    <w:rsid w:val="004C4C1D"/>
    <w:rsid w:val="004C4D88"/>
    <w:rsid w:val="004C51C5"/>
    <w:rsid w:val="004C5B9D"/>
    <w:rsid w:val="004C713C"/>
    <w:rsid w:val="004C7F04"/>
    <w:rsid w:val="004D0155"/>
    <w:rsid w:val="004D07CA"/>
    <w:rsid w:val="004D4A8A"/>
    <w:rsid w:val="004D51B7"/>
    <w:rsid w:val="004D57DA"/>
    <w:rsid w:val="004D6921"/>
    <w:rsid w:val="004E43A4"/>
    <w:rsid w:val="004E470B"/>
    <w:rsid w:val="004E62E3"/>
    <w:rsid w:val="004E6850"/>
    <w:rsid w:val="004F20B3"/>
    <w:rsid w:val="00501A94"/>
    <w:rsid w:val="00503CDC"/>
    <w:rsid w:val="005048BF"/>
    <w:rsid w:val="0050590C"/>
    <w:rsid w:val="00505D43"/>
    <w:rsid w:val="0050681E"/>
    <w:rsid w:val="00506CC2"/>
    <w:rsid w:val="00507BA3"/>
    <w:rsid w:val="00510E32"/>
    <w:rsid w:val="00512C41"/>
    <w:rsid w:val="005134EE"/>
    <w:rsid w:val="00514B2B"/>
    <w:rsid w:val="00516575"/>
    <w:rsid w:val="00516762"/>
    <w:rsid w:val="005175A1"/>
    <w:rsid w:val="00520718"/>
    <w:rsid w:val="0052095E"/>
    <w:rsid w:val="00521C1C"/>
    <w:rsid w:val="00524397"/>
    <w:rsid w:val="005247AD"/>
    <w:rsid w:val="00525C14"/>
    <w:rsid w:val="005261D6"/>
    <w:rsid w:val="005303E6"/>
    <w:rsid w:val="00530E16"/>
    <w:rsid w:val="0053498B"/>
    <w:rsid w:val="00535461"/>
    <w:rsid w:val="005413FE"/>
    <w:rsid w:val="00541B99"/>
    <w:rsid w:val="00544A97"/>
    <w:rsid w:val="00544B51"/>
    <w:rsid w:val="00553DF6"/>
    <w:rsid w:val="00554ADD"/>
    <w:rsid w:val="00555555"/>
    <w:rsid w:val="00557728"/>
    <w:rsid w:val="00570815"/>
    <w:rsid w:val="00571719"/>
    <w:rsid w:val="00577E76"/>
    <w:rsid w:val="0058004C"/>
    <w:rsid w:val="00580944"/>
    <w:rsid w:val="00581DBD"/>
    <w:rsid w:val="00583C6D"/>
    <w:rsid w:val="00583DCE"/>
    <w:rsid w:val="00584E21"/>
    <w:rsid w:val="005861F5"/>
    <w:rsid w:val="00586875"/>
    <w:rsid w:val="005900EE"/>
    <w:rsid w:val="00590F79"/>
    <w:rsid w:val="005946BF"/>
    <w:rsid w:val="00596821"/>
    <w:rsid w:val="005A01E4"/>
    <w:rsid w:val="005A0B71"/>
    <w:rsid w:val="005A3090"/>
    <w:rsid w:val="005B1ED2"/>
    <w:rsid w:val="005B22D3"/>
    <w:rsid w:val="005B2BC0"/>
    <w:rsid w:val="005B553D"/>
    <w:rsid w:val="005B5A82"/>
    <w:rsid w:val="005B7264"/>
    <w:rsid w:val="005B77FD"/>
    <w:rsid w:val="005C1117"/>
    <w:rsid w:val="005C25E7"/>
    <w:rsid w:val="005C2B26"/>
    <w:rsid w:val="005C55D1"/>
    <w:rsid w:val="005D1DAF"/>
    <w:rsid w:val="005D35DE"/>
    <w:rsid w:val="005D4091"/>
    <w:rsid w:val="005E417C"/>
    <w:rsid w:val="005E7380"/>
    <w:rsid w:val="005F17C9"/>
    <w:rsid w:val="005F370C"/>
    <w:rsid w:val="005F6B14"/>
    <w:rsid w:val="005F7674"/>
    <w:rsid w:val="006006C6"/>
    <w:rsid w:val="00605203"/>
    <w:rsid w:val="0060793E"/>
    <w:rsid w:val="00610D05"/>
    <w:rsid w:val="00610E8E"/>
    <w:rsid w:val="00614970"/>
    <w:rsid w:val="00617983"/>
    <w:rsid w:val="00620AF6"/>
    <w:rsid w:val="006241D0"/>
    <w:rsid w:val="00624F5A"/>
    <w:rsid w:val="00627017"/>
    <w:rsid w:val="00631BD8"/>
    <w:rsid w:val="006344AC"/>
    <w:rsid w:val="0063535F"/>
    <w:rsid w:val="006365C6"/>
    <w:rsid w:val="006403DB"/>
    <w:rsid w:val="00642FCC"/>
    <w:rsid w:val="006431AA"/>
    <w:rsid w:val="00645D77"/>
    <w:rsid w:val="006566A8"/>
    <w:rsid w:val="00656DE9"/>
    <w:rsid w:val="00661FD9"/>
    <w:rsid w:val="00676A71"/>
    <w:rsid w:val="00677B6C"/>
    <w:rsid w:val="00680963"/>
    <w:rsid w:val="00683FF6"/>
    <w:rsid w:val="006861D5"/>
    <w:rsid w:val="00686C20"/>
    <w:rsid w:val="00687436"/>
    <w:rsid w:val="00687D0F"/>
    <w:rsid w:val="00690F91"/>
    <w:rsid w:val="0069380A"/>
    <w:rsid w:val="006951DF"/>
    <w:rsid w:val="0069621A"/>
    <w:rsid w:val="0069733C"/>
    <w:rsid w:val="006A2086"/>
    <w:rsid w:val="006A41CA"/>
    <w:rsid w:val="006A4CC6"/>
    <w:rsid w:val="006A5B54"/>
    <w:rsid w:val="006A63AD"/>
    <w:rsid w:val="006B0D6C"/>
    <w:rsid w:val="006B1392"/>
    <w:rsid w:val="006B2268"/>
    <w:rsid w:val="006B2E4D"/>
    <w:rsid w:val="006B41ED"/>
    <w:rsid w:val="006C0974"/>
    <w:rsid w:val="006C46C6"/>
    <w:rsid w:val="006C54C1"/>
    <w:rsid w:val="006D51B8"/>
    <w:rsid w:val="006D610A"/>
    <w:rsid w:val="006D7988"/>
    <w:rsid w:val="006D7A5C"/>
    <w:rsid w:val="006E4345"/>
    <w:rsid w:val="006E648E"/>
    <w:rsid w:val="006E685D"/>
    <w:rsid w:val="006F2A7D"/>
    <w:rsid w:val="006F31BC"/>
    <w:rsid w:val="006F5B60"/>
    <w:rsid w:val="006F61F9"/>
    <w:rsid w:val="006F6E25"/>
    <w:rsid w:val="006F6FC7"/>
    <w:rsid w:val="00701167"/>
    <w:rsid w:val="0070218D"/>
    <w:rsid w:val="00704770"/>
    <w:rsid w:val="00707A3A"/>
    <w:rsid w:val="00710F95"/>
    <w:rsid w:val="0071169E"/>
    <w:rsid w:val="00713B62"/>
    <w:rsid w:val="0071435E"/>
    <w:rsid w:val="007228FD"/>
    <w:rsid w:val="00722D9F"/>
    <w:rsid w:val="00727F7C"/>
    <w:rsid w:val="00730635"/>
    <w:rsid w:val="00732DD4"/>
    <w:rsid w:val="00737DB4"/>
    <w:rsid w:val="00740A25"/>
    <w:rsid w:val="00740FA7"/>
    <w:rsid w:val="007438DA"/>
    <w:rsid w:val="007462A6"/>
    <w:rsid w:val="00747DD6"/>
    <w:rsid w:val="0075395B"/>
    <w:rsid w:val="00755784"/>
    <w:rsid w:val="0076347B"/>
    <w:rsid w:val="00763A72"/>
    <w:rsid w:val="00764D87"/>
    <w:rsid w:val="007701EA"/>
    <w:rsid w:val="00773855"/>
    <w:rsid w:val="0077701A"/>
    <w:rsid w:val="00777DBB"/>
    <w:rsid w:val="007805ED"/>
    <w:rsid w:val="0078388D"/>
    <w:rsid w:val="00785C72"/>
    <w:rsid w:val="0079148A"/>
    <w:rsid w:val="0079516C"/>
    <w:rsid w:val="00797712"/>
    <w:rsid w:val="00797E4B"/>
    <w:rsid w:val="007A225B"/>
    <w:rsid w:val="007A3700"/>
    <w:rsid w:val="007A5BA5"/>
    <w:rsid w:val="007B0193"/>
    <w:rsid w:val="007B25E6"/>
    <w:rsid w:val="007B3CA8"/>
    <w:rsid w:val="007B63BA"/>
    <w:rsid w:val="007B6BC5"/>
    <w:rsid w:val="007B7231"/>
    <w:rsid w:val="007C0DCE"/>
    <w:rsid w:val="007C18D5"/>
    <w:rsid w:val="007C4305"/>
    <w:rsid w:val="007C755D"/>
    <w:rsid w:val="007D0BF8"/>
    <w:rsid w:val="007D3917"/>
    <w:rsid w:val="007D41F5"/>
    <w:rsid w:val="007D4A0C"/>
    <w:rsid w:val="007D5567"/>
    <w:rsid w:val="007D5C02"/>
    <w:rsid w:val="007D5EAE"/>
    <w:rsid w:val="007F018B"/>
    <w:rsid w:val="007F2195"/>
    <w:rsid w:val="007F2C5A"/>
    <w:rsid w:val="007F6D53"/>
    <w:rsid w:val="007F7F38"/>
    <w:rsid w:val="00805EA3"/>
    <w:rsid w:val="0080751D"/>
    <w:rsid w:val="00811723"/>
    <w:rsid w:val="00814FE5"/>
    <w:rsid w:val="00823714"/>
    <w:rsid w:val="0082580B"/>
    <w:rsid w:val="008406B2"/>
    <w:rsid w:val="008436CB"/>
    <w:rsid w:val="00844DEC"/>
    <w:rsid w:val="00850A3A"/>
    <w:rsid w:val="00851143"/>
    <w:rsid w:val="0085185A"/>
    <w:rsid w:val="00851BA7"/>
    <w:rsid w:val="00854CF5"/>
    <w:rsid w:val="00855737"/>
    <w:rsid w:val="00856F0A"/>
    <w:rsid w:val="008605DA"/>
    <w:rsid w:val="00862D44"/>
    <w:rsid w:val="00864C4A"/>
    <w:rsid w:val="0087181D"/>
    <w:rsid w:val="008743B9"/>
    <w:rsid w:val="00881130"/>
    <w:rsid w:val="00882268"/>
    <w:rsid w:val="00883158"/>
    <w:rsid w:val="0088641A"/>
    <w:rsid w:val="00887635"/>
    <w:rsid w:val="008931FE"/>
    <w:rsid w:val="008A083A"/>
    <w:rsid w:val="008A1F8D"/>
    <w:rsid w:val="008A3A16"/>
    <w:rsid w:val="008A62FD"/>
    <w:rsid w:val="008A710B"/>
    <w:rsid w:val="008B044C"/>
    <w:rsid w:val="008B2186"/>
    <w:rsid w:val="008B2525"/>
    <w:rsid w:val="008B3D77"/>
    <w:rsid w:val="008B522D"/>
    <w:rsid w:val="008C010E"/>
    <w:rsid w:val="008C0CB3"/>
    <w:rsid w:val="008C0F95"/>
    <w:rsid w:val="008C1071"/>
    <w:rsid w:val="008C2008"/>
    <w:rsid w:val="008C2EE9"/>
    <w:rsid w:val="008C6E81"/>
    <w:rsid w:val="008C7CDB"/>
    <w:rsid w:val="008D3ADB"/>
    <w:rsid w:val="008D40ED"/>
    <w:rsid w:val="008D4AB3"/>
    <w:rsid w:val="008D6356"/>
    <w:rsid w:val="008D7852"/>
    <w:rsid w:val="008D7B24"/>
    <w:rsid w:val="008E0666"/>
    <w:rsid w:val="008E3E11"/>
    <w:rsid w:val="008E5F83"/>
    <w:rsid w:val="008E60AD"/>
    <w:rsid w:val="008E65BA"/>
    <w:rsid w:val="008E65DE"/>
    <w:rsid w:val="008E7658"/>
    <w:rsid w:val="008E7CD2"/>
    <w:rsid w:val="008E7EC2"/>
    <w:rsid w:val="008F08F6"/>
    <w:rsid w:val="008F0ED0"/>
    <w:rsid w:val="008F2B69"/>
    <w:rsid w:val="008F4BC8"/>
    <w:rsid w:val="008F7FD2"/>
    <w:rsid w:val="00900136"/>
    <w:rsid w:val="00906EE7"/>
    <w:rsid w:val="00914710"/>
    <w:rsid w:val="00917470"/>
    <w:rsid w:val="009175A2"/>
    <w:rsid w:val="00921E1A"/>
    <w:rsid w:val="00925B18"/>
    <w:rsid w:val="00925B19"/>
    <w:rsid w:val="00927C24"/>
    <w:rsid w:val="00932FFC"/>
    <w:rsid w:val="00942C1B"/>
    <w:rsid w:val="00943F2C"/>
    <w:rsid w:val="0095291D"/>
    <w:rsid w:val="00954348"/>
    <w:rsid w:val="00957601"/>
    <w:rsid w:val="009608EA"/>
    <w:rsid w:val="0096094E"/>
    <w:rsid w:val="009611F0"/>
    <w:rsid w:val="00961AB5"/>
    <w:rsid w:val="009640CE"/>
    <w:rsid w:val="00967206"/>
    <w:rsid w:val="00973257"/>
    <w:rsid w:val="00974BE5"/>
    <w:rsid w:val="00981B94"/>
    <w:rsid w:val="009826E5"/>
    <w:rsid w:val="00986C14"/>
    <w:rsid w:val="00991ED0"/>
    <w:rsid w:val="00992B75"/>
    <w:rsid w:val="00992BDF"/>
    <w:rsid w:val="00994281"/>
    <w:rsid w:val="00994559"/>
    <w:rsid w:val="00996BAB"/>
    <w:rsid w:val="009A1197"/>
    <w:rsid w:val="009A76A8"/>
    <w:rsid w:val="009B077F"/>
    <w:rsid w:val="009B25BF"/>
    <w:rsid w:val="009B47AC"/>
    <w:rsid w:val="009B5417"/>
    <w:rsid w:val="009C035A"/>
    <w:rsid w:val="009C153B"/>
    <w:rsid w:val="009C18D6"/>
    <w:rsid w:val="009C24BC"/>
    <w:rsid w:val="009C44FB"/>
    <w:rsid w:val="009C4715"/>
    <w:rsid w:val="009C6335"/>
    <w:rsid w:val="009C6539"/>
    <w:rsid w:val="009C7901"/>
    <w:rsid w:val="009D3390"/>
    <w:rsid w:val="009D340F"/>
    <w:rsid w:val="009D34A0"/>
    <w:rsid w:val="009D40E1"/>
    <w:rsid w:val="009D6951"/>
    <w:rsid w:val="009E00A0"/>
    <w:rsid w:val="009E02B1"/>
    <w:rsid w:val="009E22FA"/>
    <w:rsid w:val="009E4990"/>
    <w:rsid w:val="009E5318"/>
    <w:rsid w:val="009E716E"/>
    <w:rsid w:val="009F228E"/>
    <w:rsid w:val="009F3C4C"/>
    <w:rsid w:val="009F54D4"/>
    <w:rsid w:val="009F672A"/>
    <w:rsid w:val="00A02F5C"/>
    <w:rsid w:val="00A07213"/>
    <w:rsid w:val="00A13B73"/>
    <w:rsid w:val="00A14305"/>
    <w:rsid w:val="00A15625"/>
    <w:rsid w:val="00A16350"/>
    <w:rsid w:val="00A166E2"/>
    <w:rsid w:val="00A20002"/>
    <w:rsid w:val="00A20519"/>
    <w:rsid w:val="00A22DBF"/>
    <w:rsid w:val="00A233F9"/>
    <w:rsid w:val="00A23C17"/>
    <w:rsid w:val="00A41AF6"/>
    <w:rsid w:val="00A430C4"/>
    <w:rsid w:val="00A43E78"/>
    <w:rsid w:val="00A45205"/>
    <w:rsid w:val="00A47FB5"/>
    <w:rsid w:val="00A51335"/>
    <w:rsid w:val="00A52284"/>
    <w:rsid w:val="00A52D8F"/>
    <w:rsid w:val="00A53579"/>
    <w:rsid w:val="00A540CF"/>
    <w:rsid w:val="00A55FBC"/>
    <w:rsid w:val="00A5696A"/>
    <w:rsid w:val="00A610A8"/>
    <w:rsid w:val="00A654F6"/>
    <w:rsid w:val="00A66E0E"/>
    <w:rsid w:val="00A66FD8"/>
    <w:rsid w:val="00A67474"/>
    <w:rsid w:val="00A715E8"/>
    <w:rsid w:val="00A726CF"/>
    <w:rsid w:val="00A74564"/>
    <w:rsid w:val="00A81FD7"/>
    <w:rsid w:val="00A86B60"/>
    <w:rsid w:val="00A91027"/>
    <w:rsid w:val="00A91473"/>
    <w:rsid w:val="00A92527"/>
    <w:rsid w:val="00A93A2A"/>
    <w:rsid w:val="00A978A8"/>
    <w:rsid w:val="00AA11A3"/>
    <w:rsid w:val="00AA2554"/>
    <w:rsid w:val="00AA48FA"/>
    <w:rsid w:val="00AA4E01"/>
    <w:rsid w:val="00AA6A1C"/>
    <w:rsid w:val="00AA7568"/>
    <w:rsid w:val="00AB21FD"/>
    <w:rsid w:val="00AB52E2"/>
    <w:rsid w:val="00AB6936"/>
    <w:rsid w:val="00AC18FD"/>
    <w:rsid w:val="00AC1F08"/>
    <w:rsid w:val="00AC204D"/>
    <w:rsid w:val="00AC576C"/>
    <w:rsid w:val="00AC6FDF"/>
    <w:rsid w:val="00AC7FF6"/>
    <w:rsid w:val="00AD0214"/>
    <w:rsid w:val="00AD083F"/>
    <w:rsid w:val="00AD1772"/>
    <w:rsid w:val="00AD1D66"/>
    <w:rsid w:val="00AD2C8E"/>
    <w:rsid w:val="00AE093E"/>
    <w:rsid w:val="00AE0A33"/>
    <w:rsid w:val="00AE4EC2"/>
    <w:rsid w:val="00AE5115"/>
    <w:rsid w:val="00AE7763"/>
    <w:rsid w:val="00AF167A"/>
    <w:rsid w:val="00AF4086"/>
    <w:rsid w:val="00AF659C"/>
    <w:rsid w:val="00B00B75"/>
    <w:rsid w:val="00B03BFD"/>
    <w:rsid w:val="00B04732"/>
    <w:rsid w:val="00B04D62"/>
    <w:rsid w:val="00B05813"/>
    <w:rsid w:val="00B130FA"/>
    <w:rsid w:val="00B14CA9"/>
    <w:rsid w:val="00B15DDF"/>
    <w:rsid w:val="00B1675A"/>
    <w:rsid w:val="00B21155"/>
    <w:rsid w:val="00B22BCC"/>
    <w:rsid w:val="00B27948"/>
    <w:rsid w:val="00B30113"/>
    <w:rsid w:val="00B30236"/>
    <w:rsid w:val="00B30C42"/>
    <w:rsid w:val="00B313B9"/>
    <w:rsid w:val="00B31D71"/>
    <w:rsid w:val="00B35050"/>
    <w:rsid w:val="00B36166"/>
    <w:rsid w:val="00B474DD"/>
    <w:rsid w:val="00B516FB"/>
    <w:rsid w:val="00B55FA9"/>
    <w:rsid w:val="00B568DA"/>
    <w:rsid w:val="00B61642"/>
    <w:rsid w:val="00B61FC8"/>
    <w:rsid w:val="00B6358A"/>
    <w:rsid w:val="00B656FB"/>
    <w:rsid w:val="00B67EA1"/>
    <w:rsid w:val="00B760FA"/>
    <w:rsid w:val="00B76218"/>
    <w:rsid w:val="00B84974"/>
    <w:rsid w:val="00B91AF9"/>
    <w:rsid w:val="00B94405"/>
    <w:rsid w:val="00B94FCE"/>
    <w:rsid w:val="00B96918"/>
    <w:rsid w:val="00BA09CB"/>
    <w:rsid w:val="00BA2EB2"/>
    <w:rsid w:val="00BA327B"/>
    <w:rsid w:val="00BA3707"/>
    <w:rsid w:val="00BA3A86"/>
    <w:rsid w:val="00BA7544"/>
    <w:rsid w:val="00BB0A28"/>
    <w:rsid w:val="00BB1976"/>
    <w:rsid w:val="00BB1E89"/>
    <w:rsid w:val="00BB255A"/>
    <w:rsid w:val="00BB4FBA"/>
    <w:rsid w:val="00BB5570"/>
    <w:rsid w:val="00BB5592"/>
    <w:rsid w:val="00BC0D98"/>
    <w:rsid w:val="00BC2013"/>
    <w:rsid w:val="00BC2093"/>
    <w:rsid w:val="00BC2836"/>
    <w:rsid w:val="00BC454A"/>
    <w:rsid w:val="00BC4D49"/>
    <w:rsid w:val="00BD18DB"/>
    <w:rsid w:val="00BD29BA"/>
    <w:rsid w:val="00BD2B52"/>
    <w:rsid w:val="00BD319E"/>
    <w:rsid w:val="00BD4178"/>
    <w:rsid w:val="00BD67BA"/>
    <w:rsid w:val="00BD7C36"/>
    <w:rsid w:val="00BE45D8"/>
    <w:rsid w:val="00BE6108"/>
    <w:rsid w:val="00BF2657"/>
    <w:rsid w:val="00BF3F8C"/>
    <w:rsid w:val="00BF589E"/>
    <w:rsid w:val="00BF6353"/>
    <w:rsid w:val="00C035FC"/>
    <w:rsid w:val="00C03944"/>
    <w:rsid w:val="00C045CE"/>
    <w:rsid w:val="00C04EE7"/>
    <w:rsid w:val="00C05436"/>
    <w:rsid w:val="00C07F34"/>
    <w:rsid w:val="00C10517"/>
    <w:rsid w:val="00C115B6"/>
    <w:rsid w:val="00C175E8"/>
    <w:rsid w:val="00C178FC"/>
    <w:rsid w:val="00C17A0F"/>
    <w:rsid w:val="00C206E8"/>
    <w:rsid w:val="00C20806"/>
    <w:rsid w:val="00C24927"/>
    <w:rsid w:val="00C26632"/>
    <w:rsid w:val="00C26D2B"/>
    <w:rsid w:val="00C27BE7"/>
    <w:rsid w:val="00C3013A"/>
    <w:rsid w:val="00C310C8"/>
    <w:rsid w:val="00C401F8"/>
    <w:rsid w:val="00C42C07"/>
    <w:rsid w:val="00C42C38"/>
    <w:rsid w:val="00C43231"/>
    <w:rsid w:val="00C452B3"/>
    <w:rsid w:val="00C45734"/>
    <w:rsid w:val="00C52942"/>
    <w:rsid w:val="00C52D70"/>
    <w:rsid w:val="00C5633B"/>
    <w:rsid w:val="00C5740A"/>
    <w:rsid w:val="00C60C01"/>
    <w:rsid w:val="00C6500F"/>
    <w:rsid w:val="00C66752"/>
    <w:rsid w:val="00C67358"/>
    <w:rsid w:val="00C70FB4"/>
    <w:rsid w:val="00C73079"/>
    <w:rsid w:val="00C75ECF"/>
    <w:rsid w:val="00C763F9"/>
    <w:rsid w:val="00C76653"/>
    <w:rsid w:val="00C827EA"/>
    <w:rsid w:val="00C82F45"/>
    <w:rsid w:val="00C8367E"/>
    <w:rsid w:val="00C8697D"/>
    <w:rsid w:val="00C87699"/>
    <w:rsid w:val="00C87C78"/>
    <w:rsid w:val="00C87F1E"/>
    <w:rsid w:val="00C9018D"/>
    <w:rsid w:val="00C93203"/>
    <w:rsid w:val="00C94FEE"/>
    <w:rsid w:val="00C95E76"/>
    <w:rsid w:val="00C960D2"/>
    <w:rsid w:val="00CA208E"/>
    <w:rsid w:val="00CA2A84"/>
    <w:rsid w:val="00CA6294"/>
    <w:rsid w:val="00CA7360"/>
    <w:rsid w:val="00CA78AA"/>
    <w:rsid w:val="00CB2392"/>
    <w:rsid w:val="00CB58B1"/>
    <w:rsid w:val="00CB6F53"/>
    <w:rsid w:val="00CC0C1E"/>
    <w:rsid w:val="00CC1BFE"/>
    <w:rsid w:val="00CC290A"/>
    <w:rsid w:val="00CC2F2E"/>
    <w:rsid w:val="00CC3A55"/>
    <w:rsid w:val="00CC4F76"/>
    <w:rsid w:val="00CC546E"/>
    <w:rsid w:val="00CC6878"/>
    <w:rsid w:val="00CC6A72"/>
    <w:rsid w:val="00CC7F9E"/>
    <w:rsid w:val="00CD0452"/>
    <w:rsid w:val="00CD32C6"/>
    <w:rsid w:val="00CD4CB7"/>
    <w:rsid w:val="00CE2A63"/>
    <w:rsid w:val="00CE3B49"/>
    <w:rsid w:val="00CE3E18"/>
    <w:rsid w:val="00CF1FE8"/>
    <w:rsid w:val="00CF4D44"/>
    <w:rsid w:val="00CF548F"/>
    <w:rsid w:val="00CF6498"/>
    <w:rsid w:val="00CF7C59"/>
    <w:rsid w:val="00D028D2"/>
    <w:rsid w:val="00D02B25"/>
    <w:rsid w:val="00D03554"/>
    <w:rsid w:val="00D108F7"/>
    <w:rsid w:val="00D11C22"/>
    <w:rsid w:val="00D12596"/>
    <w:rsid w:val="00D1549F"/>
    <w:rsid w:val="00D16107"/>
    <w:rsid w:val="00D22AF2"/>
    <w:rsid w:val="00D27AB5"/>
    <w:rsid w:val="00D314D1"/>
    <w:rsid w:val="00D35BFA"/>
    <w:rsid w:val="00D36714"/>
    <w:rsid w:val="00D37C11"/>
    <w:rsid w:val="00D41DFD"/>
    <w:rsid w:val="00D45AC4"/>
    <w:rsid w:val="00D47113"/>
    <w:rsid w:val="00D504DA"/>
    <w:rsid w:val="00D51901"/>
    <w:rsid w:val="00D5344E"/>
    <w:rsid w:val="00D54510"/>
    <w:rsid w:val="00D55F81"/>
    <w:rsid w:val="00D57F0E"/>
    <w:rsid w:val="00D619EC"/>
    <w:rsid w:val="00D64186"/>
    <w:rsid w:val="00D659FB"/>
    <w:rsid w:val="00D66867"/>
    <w:rsid w:val="00D66E9A"/>
    <w:rsid w:val="00D73572"/>
    <w:rsid w:val="00D7562B"/>
    <w:rsid w:val="00D766F7"/>
    <w:rsid w:val="00D768E0"/>
    <w:rsid w:val="00D8001E"/>
    <w:rsid w:val="00D8002F"/>
    <w:rsid w:val="00D8083E"/>
    <w:rsid w:val="00D83B56"/>
    <w:rsid w:val="00D85C0E"/>
    <w:rsid w:val="00D861CA"/>
    <w:rsid w:val="00D91C99"/>
    <w:rsid w:val="00D93AC7"/>
    <w:rsid w:val="00D9530E"/>
    <w:rsid w:val="00D95675"/>
    <w:rsid w:val="00DA02E4"/>
    <w:rsid w:val="00DA78D7"/>
    <w:rsid w:val="00DB0677"/>
    <w:rsid w:val="00DB14B8"/>
    <w:rsid w:val="00DB1E1A"/>
    <w:rsid w:val="00DB2310"/>
    <w:rsid w:val="00DB4ABE"/>
    <w:rsid w:val="00DB6FFE"/>
    <w:rsid w:val="00DB7AA1"/>
    <w:rsid w:val="00DC1BEA"/>
    <w:rsid w:val="00DC5588"/>
    <w:rsid w:val="00DC6F9D"/>
    <w:rsid w:val="00DD3AD4"/>
    <w:rsid w:val="00DD3FD1"/>
    <w:rsid w:val="00DD58BE"/>
    <w:rsid w:val="00DE008C"/>
    <w:rsid w:val="00DE345C"/>
    <w:rsid w:val="00DE3C3A"/>
    <w:rsid w:val="00DE7361"/>
    <w:rsid w:val="00DE7E4A"/>
    <w:rsid w:val="00DF1E78"/>
    <w:rsid w:val="00DF43A7"/>
    <w:rsid w:val="00DF514A"/>
    <w:rsid w:val="00DF552A"/>
    <w:rsid w:val="00DF7710"/>
    <w:rsid w:val="00E02833"/>
    <w:rsid w:val="00E02FE3"/>
    <w:rsid w:val="00E036B1"/>
    <w:rsid w:val="00E04A50"/>
    <w:rsid w:val="00E06E1B"/>
    <w:rsid w:val="00E07376"/>
    <w:rsid w:val="00E10308"/>
    <w:rsid w:val="00E123A5"/>
    <w:rsid w:val="00E145B3"/>
    <w:rsid w:val="00E20F49"/>
    <w:rsid w:val="00E216BE"/>
    <w:rsid w:val="00E242DE"/>
    <w:rsid w:val="00E24F80"/>
    <w:rsid w:val="00E27F45"/>
    <w:rsid w:val="00E31603"/>
    <w:rsid w:val="00E31F12"/>
    <w:rsid w:val="00E32126"/>
    <w:rsid w:val="00E35BFC"/>
    <w:rsid w:val="00E429FE"/>
    <w:rsid w:val="00E42B16"/>
    <w:rsid w:val="00E44B52"/>
    <w:rsid w:val="00E47839"/>
    <w:rsid w:val="00E519F1"/>
    <w:rsid w:val="00E53F7E"/>
    <w:rsid w:val="00E543C6"/>
    <w:rsid w:val="00E55CE2"/>
    <w:rsid w:val="00E601BE"/>
    <w:rsid w:val="00E603FA"/>
    <w:rsid w:val="00E63D20"/>
    <w:rsid w:val="00E63D45"/>
    <w:rsid w:val="00E64592"/>
    <w:rsid w:val="00E709C0"/>
    <w:rsid w:val="00E70CDE"/>
    <w:rsid w:val="00E7182C"/>
    <w:rsid w:val="00E7234A"/>
    <w:rsid w:val="00E73BF8"/>
    <w:rsid w:val="00E74AA6"/>
    <w:rsid w:val="00E74DAC"/>
    <w:rsid w:val="00E74DDC"/>
    <w:rsid w:val="00E8038F"/>
    <w:rsid w:val="00E81EF4"/>
    <w:rsid w:val="00E82014"/>
    <w:rsid w:val="00E86F58"/>
    <w:rsid w:val="00E87F4F"/>
    <w:rsid w:val="00E91196"/>
    <w:rsid w:val="00E91B51"/>
    <w:rsid w:val="00E96AB8"/>
    <w:rsid w:val="00E973CD"/>
    <w:rsid w:val="00EA0479"/>
    <w:rsid w:val="00EA4E2C"/>
    <w:rsid w:val="00EA5C0C"/>
    <w:rsid w:val="00EA634E"/>
    <w:rsid w:val="00EA7EC3"/>
    <w:rsid w:val="00EB1B8F"/>
    <w:rsid w:val="00EB4F9B"/>
    <w:rsid w:val="00EB6315"/>
    <w:rsid w:val="00EB7E69"/>
    <w:rsid w:val="00EC0532"/>
    <w:rsid w:val="00EC340E"/>
    <w:rsid w:val="00EC3D8F"/>
    <w:rsid w:val="00EC4330"/>
    <w:rsid w:val="00EC741B"/>
    <w:rsid w:val="00EC75CF"/>
    <w:rsid w:val="00ED1BFC"/>
    <w:rsid w:val="00ED4FCA"/>
    <w:rsid w:val="00EE085F"/>
    <w:rsid w:val="00EE1018"/>
    <w:rsid w:val="00EE1E8D"/>
    <w:rsid w:val="00EE233B"/>
    <w:rsid w:val="00EE36EC"/>
    <w:rsid w:val="00EE5318"/>
    <w:rsid w:val="00EE6184"/>
    <w:rsid w:val="00EE61FD"/>
    <w:rsid w:val="00EE65B6"/>
    <w:rsid w:val="00EE7660"/>
    <w:rsid w:val="00EF2F4A"/>
    <w:rsid w:val="00EF344C"/>
    <w:rsid w:val="00EF4EF4"/>
    <w:rsid w:val="00EF6FA1"/>
    <w:rsid w:val="00EF74D2"/>
    <w:rsid w:val="00F01FDA"/>
    <w:rsid w:val="00F04461"/>
    <w:rsid w:val="00F04999"/>
    <w:rsid w:val="00F06308"/>
    <w:rsid w:val="00F109E3"/>
    <w:rsid w:val="00F17282"/>
    <w:rsid w:val="00F204BF"/>
    <w:rsid w:val="00F2058E"/>
    <w:rsid w:val="00F20755"/>
    <w:rsid w:val="00F2465B"/>
    <w:rsid w:val="00F260D4"/>
    <w:rsid w:val="00F27593"/>
    <w:rsid w:val="00F30AB7"/>
    <w:rsid w:val="00F32991"/>
    <w:rsid w:val="00F33BFD"/>
    <w:rsid w:val="00F40CB3"/>
    <w:rsid w:val="00F42440"/>
    <w:rsid w:val="00F45A3A"/>
    <w:rsid w:val="00F475E0"/>
    <w:rsid w:val="00F52F2D"/>
    <w:rsid w:val="00F57C23"/>
    <w:rsid w:val="00F57E57"/>
    <w:rsid w:val="00F60706"/>
    <w:rsid w:val="00F6274F"/>
    <w:rsid w:val="00F65FAB"/>
    <w:rsid w:val="00F702A2"/>
    <w:rsid w:val="00F719BB"/>
    <w:rsid w:val="00F71C9D"/>
    <w:rsid w:val="00F720D6"/>
    <w:rsid w:val="00F75DFC"/>
    <w:rsid w:val="00F769E8"/>
    <w:rsid w:val="00F7729F"/>
    <w:rsid w:val="00F81D7C"/>
    <w:rsid w:val="00F8378F"/>
    <w:rsid w:val="00F83E3A"/>
    <w:rsid w:val="00F845AA"/>
    <w:rsid w:val="00F84BA3"/>
    <w:rsid w:val="00F86990"/>
    <w:rsid w:val="00F86A9B"/>
    <w:rsid w:val="00F9139C"/>
    <w:rsid w:val="00F9141D"/>
    <w:rsid w:val="00F92CA5"/>
    <w:rsid w:val="00F955EC"/>
    <w:rsid w:val="00F96B49"/>
    <w:rsid w:val="00FA4756"/>
    <w:rsid w:val="00FA58F0"/>
    <w:rsid w:val="00FA6167"/>
    <w:rsid w:val="00FA69FF"/>
    <w:rsid w:val="00FA7485"/>
    <w:rsid w:val="00FB13C7"/>
    <w:rsid w:val="00FB68F2"/>
    <w:rsid w:val="00FC0394"/>
    <w:rsid w:val="00FC40E8"/>
    <w:rsid w:val="00FC4860"/>
    <w:rsid w:val="00FC7190"/>
    <w:rsid w:val="00FC73BD"/>
    <w:rsid w:val="00FD525E"/>
    <w:rsid w:val="00FE0571"/>
    <w:rsid w:val="00FE17BC"/>
    <w:rsid w:val="00FE1A4B"/>
    <w:rsid w:val="00FE34CC"/>
    <w:rsid w:val="00FE77C2"/>
    <w:rsid w:val="00FF0D04"/>
    <w:rsid w:val="00FF2752"/>
    <w:rsid w:val="00FF4C03"/>
    <w:rsid w:val="00FF4D49"/>
    <w:rsid w:val="00FF5086"/>
    <w:rsid w:val="00FF61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C9A9A5D"/>
  <w15:docId w15:val="{3253F42D-8749-4A65-A15E-FF2CD6F7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21246"/>
    <w:pPr>
      <w:suppressAutoHyphens/>
      <w:spacing w:after="0" w:line="240" w:lineRule="auto"/>
      <w:outlineLvl w:val="1"/>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82C"/>
  </w:style>
  <w:style w:type="paragraph" w:styleId="Footer">
    <w:name w:val="footer"/>
    <w:basedOn w:val="Normal"/>
    <w:link w:val="FooterChar"/>
    <w:uiPriority w:val="99"/>
    <w:unhideWhenUsed/>
    <w:rsid w:val="00E71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82C"/>
  </w:style>
  <w:style w:type="paragraph" w:styleId="FootnoteText">
    <w:name w:val="footnote text"/>
    <w:basedOn w:val="Normal"/>
    <w:link w:val="FootnoteTextChar"/>
    <w:uiPriority w:val="99"/>
    <w:semiHidden/>
    <w:unhideWhenUsed/>
    <w:rsid w:val="00010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03E6"/>
    <w:rPr>
      <w:sz w:val="20"/>
      <w:szCs w:val="20"/>
    </w:rPr>
  </w:style>
  <w:style w:type="character" w:styleId="FootnoteReference">
    <w:name w:val="footnote reference"/>
    <w:basedOn w:val="DefaultParagraphFont"/>
    <w:uiPriority w:val="99"/>
    <w:semiHidden/>
    <w:unhideWhenUsed/>
    <w:rsid w:val="000103E6"/>
    <w:rPr>
      <w:vertAlign w:val="superscript"/>
    </w:rPr>
  </w:style>
  <w:style w:type="paragraph" w:styleId="ListParagraph">
    <w:name w:val="List Paragraph"/>
    <w:basedOn w:val="Normal"/>
    <w:uiPriority w:val="34"/>
    <w:qFormat/>
    <w:rsid w:val="00C960D2"/>
    <w:pPr>
      <w:ind w:left="720"/>
      <w:contextualSpacing/>
    </w:pPr>
  </w:style>
  <w:style w:type="paragraph" w:styleId="EndnoteText">
    <w:name w:val="endnote text"/>
    <w:basedOn w:val="Normal"/>
    <w:link w:val="EndnoteTextChar"/>
    <w:uiPriority w:val="99"/>
    <w:semiHidden/>
    <w:unhideWhenUsed/>
    <w:rsid w:val="006861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61D5"/>
    <w:rPr>
      <w:sz w:val="20"/>
      <w:szCs w:val="20"/>
    </w:rPr>
  </w:style>
  <w:style w:type="character" w:styleId="EndnoteReference">
    <w:name w:val="endnote reference"/>
    <w:basedOn w:val="DefaultParagraphFont"/>
    <w:uiPriority w:val="99"/>
    <w:semiHidden/>
    <w:unhideWhenUsed/>
    <w:rsid w:val="006861D5"/>
    <w:rPr>
      <w:vertAlign w:val="superscript"/>
    </w:rPr>
  </w:style>
  <w:style w:type="character" w:styleId="CommentReference">
    <w:name w:val="annotation reference"/>
    <w:basedOn w:val="DefaultParagraphFont"/>
    <w:uiPriority w:val="99"/>
    <w:semiHidden/>
    <w:unhideWhenUsed/>
    <w:rsid w:val="00F42440"/>
    <w:rPr>
      <w:sz w:val="16"/>
      <w:szCs w:val="16"/>
    </w:rPr>
  </w:style>
  <w:style w:type="paragraph" w:styleId="CommentText">
    <w:name w:val="annotation text"/>
    <w:basedOn w:val="Normal"/>
    <w:link w:val="CommentTextChar"/>
    <w:uiPriority w:val="99"/>
    <w:unhideWhenUsed/>
    <w:rsid w:val="00F42440"/>
    <w:pPr>
      <w:spacing w:line="240" w:lineRule="auto"/>
    </w:pPr>
    <w:rPr>
      <w:sz w:val="20"/>
      <w:szCs w:val="20"/>
    </w:rPr>
  </w:style>
  <w:style w:type="character" w:customStyle="1" w:styleId="CommentTextChar">
    <w:name w:val="Comment Text Char"/>
    <w:basedOn w:val="DefaultParagraphFont"/>
    <w:link w:val="CommentText"/>
    <w:uiPriority w:val="99"/>
    <w:rsid w:val="00F42440"/>
    <w:rPr>
      <w:sz w:val="20"/>
      <w:szCs w:val="20"/>
    </w:rPr>
  </w:style>
  <w:style w:type="paragraph" w:styleId="CommentSubject">
    <w:name w:val="annotation subject"/>
    <w:basedOn w:val="CommentText"/>
    <w:next w:val="CommentText"/>
    <w:link w:val="CommentSubjectChar"/>
    <w:uiPriority w:val="99"/>
    <w:semiHidden/>
    <w:unhideWhenUsed/>
    <w:rsid w:val="00F42440"/>
    <w:rPr>
      <w:b/>
      <w:bCs/>
    </w:rPr>
  </w:style>
  <w:style w:type="character" w:customStyle="1" w:styleId="CommentSubjectChar">
    <w:name w:val="Comment Subject Char"/>
    <w:basedOn w:val="CommentTextChar"/>
    <w:link w:val="CommentSubject"/>
    <w:uiPriority w:val="99"/>
    <w:semiHidden/>
    <w:rsid w:val="00F42440"/>
    <w:rPr>
      <w:b/>
      <w:bCs/>
      <w:sz w:val="20"/>
      <w:szCs w:val="20"/>
    </w:rPr>
  </w:style>
  <w:style w:type="paragraph" w:styleId="BalloonText">
    <w:name w:val="Balloon Text"/>
    <w:basedOn w:val="Normal"/>
    <w:link w:val="BalloonTextChar"/>
    <w:uiPriority w:val="99"/>
    <w:semiHidden/>
    <w:unhideWhenUsed/>
    <w:rsid w:val="00F42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440"/>
    <w:rPr>
      <w:rFonts w:ascii="Segoe UI" w:hAnsi="Segoe UI" w:cs="Segoe UI"/>
      <w:sz w:val="18"/>
      <w:szCs w:val="18"/>
    </w:rPr>
  </w:style>
  <w:style w:type="character" w:styleId="Hyperlink">
    <w:name w:val="Hyperlink"/>
    <w:basedOn w:val="DefaultParagraphFont"/>
    <w:uiPriority w:val="99"/>
    <w:unhideWhenUsed/>
    <w:rsid w:val="009F54D4"/>
    <w:rPr>
      <w:color w:val="0563C1" w:themeColor="hyperlink"/>
      <w:u w:val="single"/>
    </w:rPr>
  </w:style>
  <w:style w:type="character" w:customStyle="1" w:styleId="Mention1">
    <w:name w:val="Mention1"/>
    <w:basedOn w:val="DefaultParagraphFont"/>
    <w:uiPriority w:val="99"/>
    <w:semiHidden/>
    <w:unhideWhenUsed/>
    <w:rsid w:val="00EC741B"/>
    <w:rPr>
      <w:color w:val="2B579A"/>
      <w:shd w:val="clear" w:color="auto" w:fill="E6E6E6"/>
    </w:rPr>
  </w:style>
  <w:style w:type="character" w:customStyle="1" w:styleId="Heading2Char">
    <w:name w:val="Heading 2 Char"/>
    <w:basedOn w:val="DefaultParagraphFont"/>
    <w:link w:val="Heading2"/>
    <w:rsid w:val="00421246"/>
    <w:rPr>
      <w:rFonts w:ascii="Times New Roman" w:eastAsia="Times New Roman" w:hAnsi="Times New Roman" w:cs="Times New Roman"/>
      <w:sz w:val="20"/>
      <w:szCs w:val="20"/>
      <w:lang w:val="en-GB"/>
    </w:rPr>
  </w:style>
  <w:style w:type="character" w:customStyle="1" w:styleId="Mention2">
    <w:name w:val="Mention2"/>
    <w:basedOn w:val="DefaultParagraphFont"/>
    <w:uiPriority w:val="99"/>
    <w:semiHidden/>
    <w:unhideWhenUsed/>
    <w:rsid w:val="00D16107"/>
    <w:rPr>
      <w:color w:val="2B579A"/>
      <w:shd w:val="clear" w:color="auto" w:fill="E6E6E6"/>
    </w:rPr>
  </w:style>
  <w:style w:type="character" w:customStyle="1" w:styleId="Mention">
    <w:name w:val="Mention"/>
    <w:basedOn w:val="DefaultParagraphFont"/>
    <w:uiPriority w:val="99"/>
    <w:semiHidden/>
    <w:unhideWhenUsed/>
    <w:rsid w:val="00463D71"/>
    <w:rPr>
      <w:color w:val="2B579A"/>
      <w:shd w:val="clear" w:color="auto" w:fill="E6E6E6"/>
    </w:rPr>
  </w:style>
  <w:style w:type="character" w:styleId="FollowedHyperlink">
    <w:name w:val="FollowedHyperlink"/>
    <w:basedOn w:val="DefaultParagraphFont"/>
    <w:uiPriority w:val="99"/>
    <w:semiHidden/>
    <w:unhideWhenUsed/>
    <w:rsid w:val="008605DA"/>
    <w:rPr>
      <w:color w:val="954F72" w:themeColor="followedHyperlink"/>
      <w:u w:val="single"/>
    </w:rPr>
  </w:style>
  <w:style w:type="paragraph" w:styleId="NormalWeb">
    <w:name w:val="Normal (Web)"/>
    <w:basedOn w:val="Normal"/>
    <w:uiPriority w:val="99"/>
    <w:unhideWhenUsed/>
    <w:rsid w:val="00590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F45A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76463">
      <w:bodyDiv w:val="1"/>
      <w:marLeft w:val="0"/>
      <w:marRight w:val="0"/>
      <w:marTop w:val="0"/>
      <w:marBottom w:val="0"/>
      <w:divBdr>
        <w:top w:val="none" w:sz="0" w:space="0" w:color="auto"/>
        <w:left w:val="none" w:sz="0" w:space="0" w:color="auto"/>
        <w:bottom w:val="none" w:sz="0" w:space="0" w:color="auto"/>
        <w:right w:val="none" w:sz="0" w:space="0" w:color="auto"/>
      </w:divBdr>
    </w:div>
    <w:div w:id="871382320">
      <w:bodyDiv w:val="1"/>
      <w:marLeft w:val="0"/>
      <w:marRight w:val="0"/>
      <w:marTop w:val="0"/>
      <w:marBottom w:val="0"/>
      <w:divBdr>
        <w:top w:val="none" w:sz="0" w:space="0" w:color="auto"/>
        <w:left w:val="none" w:sz="0" w:space="0" w:color="auto"/>
        <w:bottom w:val="none" w:sz="0" w:space="0" w:color="auto"/>
        <w:right w:val="none" w:sz="0" w:space="0" w:color="auto"/>
      </w:divBdr>
    </w:div>
    <w:div w:id="152701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uhri.ohchr.org/document/index/421d8d8c-7e8c-4a7d-8160-bf0fc64dbb32" TargetMode="External"/><Relationship Id="rId13" Type="http://schemas.openxmlformats.org/officeDocument/2006/relationships/hyperlink" Target="http://www.who.int/workforcealliance/knowledge/resources/taskshifting_guidelines/en/" TargetMode="External"/><Relationship Id="rId18" Type="http://schemas.openxmlformats.org/officeDocument/2006/relationships/hyperlink" Target="http://uhri.ohchr.org/document/index/421d8d8c-7e8c-4a7d-8160-bf0fc64dbb32" TargetMode="External"/><Relationship Id="rId26" Type="http://schemas.openxmlformats.org/officeDocument/2006/relationships/hyperlink" Target="http://www.unfpa.org/sexual-reproductive-health" TargetMode="External"/><Relationship Id="rId3" Type="http://schemas.openxmlformats.org/officeDocument/2006/relationships/hyperlink" Target="https://www.reproductiverights.org/sites/crr.civicactions.net/files/documents/20Years_Reform_Report.pdf" TargetMode="External"/><Relationship Id="rId21" Type="http://schemas.openxmlformats.org/officeDocument/2006/relationships/hyperlink" Target="http://uhri.ohchr.org/document/index/856ab8b6-3025-419b-b4ba-9d43d3f89148" TargetMode="External"/><Relationship Id="rId7" Type="http://schemas.openxmlformats.org/officeDocument/2006/relationships/hyperlink" Target="http://uhri.ohchr.org/document/index/856ab8b6-3025-419b-b4ba-9d43d3f89148" TargetMode="External"/><Relationship Id="rId12" Type="http://schemas.openxmlformats.org/officeDocument/2006/relationships/hyperlink" Target="http://uhri.ohchr.org/document/index/78a4bd44-6baa-4fde-9a33-c6b83af9d1c7" TargetMode="External"/><Relationship Id="rId17" Type="http://schemas.openxmlformats.org/officeDocument/2006/relationships/hyperlink" Target="http://uhri.ohchr.org/document/index/856ab8b6-3025-419b-b4ba-9d43d3f89148" TargetMode="External"/><Relationship Id="rId25" Type="http://schemas.openxmlformats.org/officeDocument/2006/relationships/hyperlink" Target="http://apps.who.int/iris/bitstream/10665/75154/1/WHO_EMP_MAR_2012.1_eng.pdf?ua=1" TargetMode="External"/><Relationship Id="rId2" Type="http://schemas.openxmlformats.org/officeDocument/2006/relationships/hyperlink" Target="http://www.who.int/reproductivehealth/publications/unsafe_abortion/9789241548434/en" TargetMode="External"/><Relationship Id="rId16" Type="http://schemas.openxmlformats.org/officeDocument/2006/relationships/hyperlink" Target="http://uhri.ohchr.org/document/index/b115063e-9adf-43d4-9bba-3e9586cdd7b7" TargetMode="External"/><Relationship Id="rId20" Type="http://schemas.openxmlformats.org/officeDocument/2006/relationships/hyperlink" Target="http://uhri.ohchr.org/document/index/b115063e-9adf-43d4-9bba-3e9586cdd7b7" TargetMode="External"/><Relationship Id="rId1" Type="http://schemas.openxmlformats.org/officeDocument/2006/relationships/hyperlink" Target="http://www.thelancet.com/journals/lancet/article/PIIS0140-6736(17)31794-4/fulltext" TargetMode="External"/><Relationship Id="rId6" Type="http://schemas.openxmlformats.org/officeDocument/2006/relationships/hyperlink" Target="http://uhri.ohchr.org/document/index/b115063e-9adf-43d4-9bba-3e9586cdd7b7" TargetMode="External"/><Relationship Id="rId11" Type="http://schemas.openxmlformats.org/officeDocument/2006/relationships/hyperlink" Target="https://www.nytimes.com/2015/03/03/opinion/el-salvador-and-las-17.html?mcubz=0" TargetMode="External"/><Relationship Id="rId24" Type="http://schemas.openxmlformats.org/officeDocument/2006/relationships/hyperlink" Target="http://apps.who.int/iris/bitstream/10665/249155/1/9789241511216-eng.pdf?ua=1" TargetMode="External"/><Relationship Id="rId5" Type="http://schemas.openxmlformats.org/officeDocument/2006/relationships/hyperlink" Target="https://www.ohchr.org/EN/NewsEvents/Pages/DisplayNews.aspx?NewsID=20600&amp;LangID=E" TargetMode="External"/><Relationship Id="rId15" Type="http://schemas.openxmlformats.org/officeDocument/2006/relationships/hyperlink" Target="http://www.who.int/mediacentre/factsheets/fs351/en/" TargetMode="External"/><Relationship Id="rId23" Type="http://schemas.openxmlformats.org/officeDocument/2006/relationships/hyperlink" Target="http://uhri.ohchr.org/document/index/856ab8b6-3025-419b-b4ba-9d43d3f89148" TargetMode="External"/><Relationship Id="rId28" Type="http://schemas.openxmlformats.org/officeDocument/2006/relationships/hyperlink" Target="https://www.ohchr.org/Documents/Issues/Women/WRGS/Health/HealthWorkers.pdf" TargetMode="External"/><Relationship Id="rId10" Type="http://schemas.openxmlformats.org/officeDocument/2006/relationships/hyperlink" Target="http://uhri.ohchr.org/document/index/78a4bd44-6baa-4fde-9a33-c6b83af9d1c7" TargetMode="External"/><Relationship Id="rId19" Type="http://schemas.openxmlformats.org/officeDocument/2006/relationships/hyperlink" Target="http://uhri.ohchr.org/document/index/856ab8b6-3025-419b-b4ba-9d43d3f89148" TargetMode="External"/><Relationship Id="rId4" Type="http://schemas.openxmlformats.org/officeDocument/2006/relationships/hyperlink" Target="http://www.ipas.org/en/News/2014/December/Legal-reform-in-Mozambique-widens-access-to-safe-abortion-care.aspx" TargetMode="External"/><Relationship Id="rId9" Type="http://schemas.openxmlformats.org/officeDocument/2006/relationships/hyperlink" Target="http://uhri.ohchr.org/document/index/110aba86-5ce1-456e-babb-0cd3c7de8359" TargetMode="External"/><Relationship Id="rId14" Type="http://schemas.openxmlformats.org/officeDocument/2006/relationships/hyperlink" Target="http://www.who.int/life-course/news/commentaries/2015-intl-womens-day/en/" TargetMode="External"/><Relationship Id="rId22" Type="http://schemas.openxmlformats.org/officeDocument/2006/relationships/hyperlink" Target="http://uhri.ohchr.org/document/index/421d8d8c-7e8c-4a7d-8160-bf0fc64dbb32" TargetMode="External"/><Relationship Id="rId27" Type="http://schemas.openxmlformats.org/officeDocument/2006/relationships/hyperlink" Target="http://www.unaids.org/sites/default/files/media_asset/ending-discrimination-healthcare-setting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F53FC7-50DD-4FA6-B53B-E0A7323A252F}">
  <ds:schemaRefs>
    <ds:schemaRef ds:uri="http://schemas.openxmlformats.org/officeDocument/2006/bibliography"/>
  </ds:schemaRefs>
</ds:datastoreItem>
</file>

<file path=customXml/itemProps2.xml><?xml version="1.0" encoding="utf-8"?>
<ds:datastoreItem xmlns:ds="http://schemas.openxmlformats.org/officeDocument/2006/customXml" ds:itemID="{BD8351F8-69F9-4007-B5C6-877373136CD3}"/>
</file>

<file path=customXml/itemProps3.xml><?xml version="1.0" encoding="utf-8"?>
<ds:datastoreItem xmlns:ds="http://schemas.openxmlformats.org/officeDocument/2006/customXml" ds:itemID="{6592F28C-F502-43A9-A997-6316839FB44E}"/>
</file>

<file path=customXml/itemProps4.xml><?xml version="1.0" encoding="utf-8"?>
<ds:datastoreItem xmlns:ds="http://schemas.openxmlformats.org/officeDocument/2006/customXml" ds:itemID="{4830AECA-2CB9-4E85-8D16-F8EAF23AF487}"/>
</file>

<file path=docProps/app.xml><?xml version="1.0" encoding="utf-8"?>
<Properties xmlns="http://schemas.openxmlformats.org/officeDocument/2006/extended-properties" xmlns:vt="http://schemas.openxmlformats.org/officeDocument/2006/docPropsVTypes">
  <Template>Normal.dotm</Template>
  <TotalTime>0</TotalTime>
  <Pages>13</Pages>
  <Words>4546</Words>
  <Characters>25914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CenterReproductiveRights_AmnestyInternational_HumanRightsWatch_ICJ_Ipas</dc:title>
  <dc:subject/>
  <dc:creator>Nina Sun</dc:creator>
  <cp:keywords/>
  <dc:description/>
  <cp:lastModifiedBy>Durnescu Lilian</cp:lastModifiedBy>
  <cp:revision>2</cp:revision>
  <cp:lastPrinted>2017-10-02T09:30:00Z</cp:lastPrinted>
  <dcterms:created xsi:type="dcterms:W3CDTF">2017-10-09T07:00:00Z</dcterms:created>
  <dcterms:modified xsi:type="dcterms:W3CDTF">2017-10-09T07:00:00Z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