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5F2AE" w14:textId="77777777" w:rsidR="006C5DD8" w:rsidRPr="00B60309" w:rsidRDefault="006C5DD8">
      <w:pPr>
        <w:pStyle w:val="Standard"/>
        <w:rPr>
          <w:rFonts w:ascii="Georgia" w:hAnsi="Georgia"/>
          <w:lang w:val="en-GB"/>
        </w:rPr>
      </w:pPr>
      <w:bookmarkStart w:id="0" w:name="_GoBack"/>
      <w:bookmarkEnd w:id="0"/>
    </w:p>
    <w:p w14:paraId="532A9855" w14:textId="098B6324" w:rsidR="007732C5" w:rsidRPr="001647C8" w:rsidRDefault="001647C8" w:rsidP="00B60309">
      <w:pPr>
        <w:pStyle w:val="Corps"/>
        <w:widowControl w:val="0"/>
        <w:spacing w:after="0" w:line="240" w:lineRule="auto"/>
        <w:jc w:val="right"/>
        <w:rPr>
          <w:rFonts w:ascii="Georgia" w:eastAsia="Georgia" w:hAnsi="Georgia" w:cs="Georgia"/>
          <w:sz w:val="24"/>
          <w:szCs w:val="24"/>
          <w:lang w:val="en-GB"/>
        </w:rPr>
      </w:pPr>
      <w:r w:rsidRPr="001647C8">
        <w:rPr>
          <w:rFonts w:ascii="Georgia" w:eastAsia="Georgia" w:hAnsi="Georgia" w:cs="Georgia"/>
          <w:sz w:val="24"/>
          <w:szCs w:val="24"/>
          <w:lang w:val="en-GB"/>
        </w:rPr>
        <w:t>6</w:t>
      </w:r>
      <w:r w:rsidR="00B60309" w:rsidRPr="001647C8">
        <w:rPr>
          <w:rFonts w:ascii="Georgia" w:eastAsia="Georgia" w:hAnsi="Georgia" w:cs="Georgia"/>
          <w:sz w:val="24"/>
          <w:szCs w:val="24"/>
          <w:lang w:val="en-GB"/>
        </w:rPr>
        <w:t xml:space="preserve"> </w:t>
      </w:r>
      <w:r w:rsidRPr="001647C8">
        <w:rPr>
          <w:rFonts w:ascii="Georgia" w:eastAsia="Georgia" w:hAnsi="Georgia" w:cs="Georgia"/>
          <w:sz w:val="24"/>
          <w:szCs w:val="24"/>
          <w:lang w:val="en-GB"/>
        </w:rPr>
        <w:t>October</w:t>
      </w:r>
      <w:r w:rsidR="00B60309" w:rsidRPr="001647C8">
        <w:rPr>
          <w:rFonts w:ascii="Georgia" w:eastAsia="Georgia" w:hAnsi="Georgia" w:cs="Georgia"/>
          <w:sz w:val="24"/>
          <w:szCs w:val="24"/>
          <w:lang w:val="en-GB"/>
        </w:rPr>
        <w:t xml:space="preserve"> 2017</w:t>
      </w:r>
    </w:p>
    <w:p w14:paraId="2422E114" w14:textId="77777777" w:rsidR="007732C5" w:rsidRPr="001647C8" w:rsidRDefault="007732C5" w:rsidP="00B60309">
      <w:pPr>
        <w:pStyle w:val="Corps"/>
        <w:widowControl w:val="0"/>
        <w:spacing w:after="0" w:line="240" w:lineRule="auto"/>
        <w:jc w:val="right"/>
        <w:rPr>
          <w:rFonts w:ascii="Georgia" w:eastAsia="Georgia" w:hAnsi="Georgia" w:cs="Georgia"/>
          <w:sz w:val="24"/>
          <w:szCs w:val="24"/>
          <w:lang w:val="en-GB"/>
        </w:rPr>
      </w:pPr>
    </w:p>
    <w:p w14:paraId="69217AD4" w14:textId="77777777" w:rsidR="007732C5" w:rsidRPr="001647C8" w:rsidRDefault="007732C5" w:rsidP="00B60309">
      <w:pPr>
        <w:pStyle w:val="Corps"/>
        <w:widowControl w:val="0"/>
        <w:spacing w:after="0" w:line="240" w:lineRule="auto"/>
        <w:jc w:val="right"/>
        <w:rPr>
          <w:rFonts w:ascii="Georgia" w:eastAsia="Georgia" w:hAnsi="Georgia" w:cs="Georgia"/>
          <w:sz w:val="24"/>
          <w:szCs w:val="24"/>
          <w:lang w:val="en-GB"/>
        </w:rPr>
      </w:pPr>
    </w:p>
    <w:p w14:paraId="44720A8E" w14:textId="77777777" w:rsidR="007732C5" w:rsidRPr="001647C8" w:rsidRDefault="007732C5" w:rsidP="00B60309">
      <w:pPr>
        <w:pStyle w:val="Corps"/>
        <w:widowControl w:val="0"/>
        <w:spacing w:after="0" w:line="240" w:lineRule="auto"/>
        <w:jc w:val="right"/>
        <w:rPr>
          <w:rFonts w:ascii="Georgia" w:eastAsia="Georgia" w:hAnsi="Georgia" w:cs="Georgia"/>
          <w:sz w:val="24"/>
          <w:szCs w:val="24"/>
          <w:lang w:val="en-GB"/>
        </w:rPr>
      </w:pPr>
    </w:p>
    <w:p w14:paraId="370B19EF" w14:textId="25D47881" w:rsidR="001647C8" w:rsidRPr="001647C8" w:rsidRDefault="001647C8" w:rsidP="001647C8">
      <w:pPr>
        <w:pStyle w:val="BodyA"/>
        <w:rPr>
          <w:rFonts w:ascii="Georgia" w:eastAsia="Georgia" w:hAnsi="Georgia" w:cs="Georgia"/>
          <w:sz w:val="24"/>
          <w:szCs w:val="24"/>
          <w:lang w:val="en-GB"/>
        </w:rPr>
      </w:pPr>
      <w:r w:rsidRPr="001647C8">
        <w:rPr>
          <w:rFonts w:ascii="Georgia" w:hAnsi="Georgia"/>
          <w:sz w:val="24"/>
          <w:szCs w:val="24"/>
          <w:lang w:val="en-GB"/>
        </w:rPr>
        <w:t>The</w:t>
      </w:r>
      <w:r w:rsidR="00DE28B0">
        <w:rPr>
          <w:rFonts w:ascii="Georgia" w:hAnsi="Georgia"/>
          <w:sz w:val="24"/>
          <w:szCs w:val="24"/>
          <w:lang w:val="en-GB"/>
        </w:rPr>
        <w:t xml:space="preserve"> United Nations</w:t>
      </w:r>
      <w:r w:rsidRPr="001647C8">
        <w:rPr>
          <w:rFonts w:ascii="Georgia" w:hAnsi="Georgia"/>
          <w:sz w:val="24"/>
          <w:szCs w:val="24"/>
          <w:lang w:val="en-GB"/>
        </w:rPr>
        <w:t xml:space="preserve"> Human Rights Committee </w:t>
      </w:r>
    </w:p>
    <w:p w14:paraId="3FEEBE2A" w14:textId="77777777" w:rsidR="001647C8" w:rsidRPr="001647C8" w:rsidRDefault="001647C8" w:rsidP="001647C8">
      <w:pPr>
        <w:pStyle w:val="BodyA"/>
        <w:rPr>
          <w:rFonts w:ascii="Georgia" w:eastAsia="Georgia" w:hAnsi="Georgia" w:cs="Georgia"/>
          <w:sz w:val="24"/>
          <w:szCs w:val="24"/>
          <w:lang w:val="en-GB"/>
        </w:rPr>
      </w:pPr>
      <w:r w:rsidRPr="001647C8">
        <w:rPr>
          <w:rFonts w:ascii="Georgia" w:hAnsi="Georgia"/>
          <w:sz w:val="24"/>
          <w:szCs w:val="24"/>
          <w:lang w:val="en-GB"/>
        </w:rPr>
        <w:t xml:space="preserve">UNOG-OHCHR </w:t>
      </w:r>
    </w:p>
    <w:p w14:paraId="45023104" w14:textId="77777777" w:rsidR="001647C8" w:rsidRPr="001647C8" w:rsidRDefault="001647C8" w:rsidP="001647C8">
      <w:pPr>
        <w:pStyle w:val="BodyA"/>
        <w:rPr>
          <w:rFonts w:ascii="Georgia" w:eastAsia="Georgia" w:hAnsi="Georgia" w:cs="Georgia"/>
          <w:sz w:val="24"/>
          <w:szCs w:val="24"/>
          <w:lang w:val="en-GB"/>
        </w:rPr>
      </w:pPr>
      <w:r w:rsidRPr="001647C8">
        <w:rPr>
          <w:rFonts w:ascii="Georgia" w:hAnsi="Georgia"/>
          <w:sz w:val="24"/>
          <w:szCs w:val="24"/>
          <w:lang w:val="en-GB"/>
        </w:rPr>
        <w:t xml:space="preserve">CH-1211 Geneva 10 </w:t>
      </w:r>
    </w:p>
    <w:p w14:paraId="001F458B" w14:textId="77777777" w:rsidR="001647C8" w:rsidRPr="001647C8" w:rsidRDefault="001647C8" w:rsidP="001647C8">
      <w:pPr>
        <w:pStyle w:val="BodyA"/>
        <w:rPr>
          <w:rFonts w:ascii="Georgia" w:eastAsia="Georgia" w:hAnsi="Georgia" w:cs="Georgia"/>
          <w:sz w:val="24"/>
          <w:szCs w:val="24"/>
          <w:lang w:val="en-GB"/>
        </w:rPr>
      </w:pPr>
      <w:r w:rsidRPr="001647C8">
        <w:rPr>
          <w:rFonts w:ascii="Georgia" w:hAnsi="Georgia"/>
          <w:sz w:val="24"/>
          <w:szCs w:val="24"/>
          <w:lang w:val="en-GB"/>
        </w:rPr>
        <w:t>Switzerland</w:t>
      </w:r>
    </w:p>
    <w:p w14:paraId="4ABB85DD" w14:textId="77777777" w:rsidR="001647C8" w:rsidRPr="001647C8" w:rsidRDefault="001647C8" w:rsidP="001647C8">
      <w:pPr>
        <w:pStyle w:val="BodyA"/>
        <w:rPr>
          <w:rFonts w:ascii="Georgia" w:eastAsia="Georgia" w:hAnsi="Georgia" w:cs="Georgia"/>
          <w:sz w:val="24"/>
          <w:szCs w:val="24"/>
          <w:lang w:val="en-GB"/>
        </w:rPr>
      </w:pPr>
    </w:p>
    <w:p w14:paraId="170B5B1C" w14:textId="77777777" w:rsidR="001647C8" w:rsidRPr="001647C8" w:rsidRDefault="001647C8" w:rsidP="001647C8">
      <w:pPr>
        <w:pStyle w:val="BodyA"/>
        <w:spacing w:after="160" w:line="259" w:lineRule="auto"/>
        <w:rPr>
          <w:rFonts w:ascii="Georgia" w:eastAsia="Georgia" w:hAnsi="Georgia" w:cs="Georgia"/>
          <w:sz w:val="24"/>
          <w:szCs w:val="24"/>
          <w:lang w:val="en-GB"/>
        </w:rPr>
      </w:pPr>
    </w:p>
    <w:p w14:paraId="29B311A6" w14:textId="77777777" w:rsidR="001647C8" w:rsidRPr="001647C8" w:rsidRDefault="001647C8" w:rsidP="001647C8">
      <w:pPr>
        <w:pStyle w:val="BodyA"/>
        <w:spacing w:after="160" w:line="259" w:lineRule="auto"/>
        <w:rPr>
          <w:rFonts w:ascii="Georgia" w:eastAsia="Georgia" w:hAnsi="Georgia" w:cs="Georgia"/>
          <w:sz w:val="24"/>
          <w:szCs w:val="24"/>
          <w:lang w:val="en-GB"/>
        </w:rPr>
      </w:pPr>
    </w:p>
    <w:p w14:paraId="55B8C3ED" w14:textId="77777777" w:rsidR="001647C8" w:rsidRPr="001647C8" w:rsidRDefault="001647C8" w:rsidP="001647C8">
      <w:pPr>
        <w:pStyle w:val="BodyA"/>
        <w:spacing w:after="160" w:line="259" w:lineRule="auto"/>
        <w:rPr>
          <w:rFonts w:ascii="Georgia" w:eastAsia="Georgia" w:hAnsi="Georgia" w:cs="Georgia"/>
          <w:b/>
          <w:bCs/>
          <w:sz w:val="24"/>
          <w:szCs w:val="24"/>
          <w:lang w:val="en-GB"/>
        </w:rPr>
      </w:pPr>
      <w:r w:rsidRPr="001647C8">
        <w:rPr>
          <w:rFonts w:ascii="Georgia" w:hAnsi="Georgia"/>
          <w:b/>
          <w:bCs/>
          <w:sz w:val="24"/>
          <w:szCs w:val="24"/>
          <w:lang w:val="en-GB"/>
        </w:rPr>
        <w:t>Re: Draft General Comment on Article 6 of the International Covenant on Civil and Political Rights – the Right to life</w:t>
      </w:r>
    </w:p>
    <w:p w14:paraId="2C4144E6" w14:textId="77777777" w:rsidR="001647C8" w:rsidRPr="001647C8" w:rsidRDefault="001647C8" w:rsidP="001647C8">
      <w:pPr>
        <w:pStyle w:val="BodyA"/>
        <w:spacing w:after="160" w:line="259" w:lineRule="auto"/>
        <w:rPr>
          <w:rFonts w:ascii="Georgia" w:eastAsia="Georgia" w:hAnsi="Georgia" w:cs="Georgia"/>
          <w:b/>
          <w:bCs/>
          <w:sz w:val="24"/>
          <w:szCs w:val="24"/>
          <w:lang w:val="en-GB"/>
        </w:rPr>
      </w:pPr>
    </w:p>
    <w:p w14:paraId="5AAE9A9E" w14:textId="77777777" w:rsidR="001647C8" w:rsidRPr="001647C8" w:rsidRDefault="001647C8" w:rsidP="001647C8">
      <w:pPr>
        <w:pStyle w:val="BodyA"/>
        <w:spacing w:after="160" w:line="259" w:lineRule="auto"/>
        <w:rPr>
          <w:rFonts w:ascii="Georgia" w:eastAsia="Georgia" w:hAnsi="Georgia" w:cs="Georgia"/>
          <w:b/>
          <w:bCs/>
          <w:sz w:val="24"/>
          <w:szCs w:val="24"/>
          <w:lang w:val="en-GB"/>
        </w:rPr>
      </w:pPr>
    </w:p>
    <w:p w14:paraId="5EFCF150" w14:textId="77777777" w:rsidR="001647C8" w:rsidRPr="001647C8" w:rsidRDefault="001647C8" w:rsidP="001647C8">
      <w:pPr>
        <w:pStyle w:val="BodyA"/>
        <w:spacing w:after="160" w:line="259" w:lineRule="auto"/>
        <w:rPr>
          <w:rFonts w:ascii="Georgia" w:eastAsia="Georgia" w:hAnsi="Georgia" w:cs="Georgia"/>
          <w:b/>
          <w:bCs/>
          <w:sz w:val="24"/>
          <w:szCs w:val="24"/>
          <w:lang w:val="en-GB"/>
        </w:rPr>
      </w:pPr>
      <w:r w:rsidRPr="001647C8">
        <w:rPr>
          <w:rFonts w:ascii="Georgia" w:hAnsi="Georgia"/>
          <w:sz w:val="24"/>
          <w:szCs w:val="24"/>
          <w:lang w:val="en-GB"/>
        </w:rPr>
        <w:t>Dear Honourable Committee Members:</w:t>
      </w:r>
    </w:p>
    <w:p w14:paraId="28C26806" w14:textId="77777777" w:rsidR="001647C8" w:rsidRPr="001647C8" w:rsidRDefault="001647C8" w:rsidP="001647C8">
      <w:pPr>
        <w:pStyle w:val="BodyA"/>
        <w:spacing w:after="160" w:line="259" w:lineRule="auto"/>
        <w:rPr>
          <w:rFonts w:ascii="Georgia" w:eastAsia="Georgia" w:hAnsi="Georgia" w:cs="Georgia"/>
          <w:b/>
          <w:bCs/>
          <w:sz w:val="24"/>
          <w:szCs w:val="24"/>
          <w:lang w:val="en-GB"/>
        </w:rPr>
      </w:pPr>
    </w:p>
    <w:p w14:paraId="776E7D35" w14:textId="77777777" w:rsidR="001647C8" w:rsidRPr="001647C8" w:rsidRDefault="001647C8" w:rsidP="001647C8">
      <w:pPr>
        <w:pStyle w:val="BodyA"/>
        <w:spacing w:after="160" w:line="259" w:lineRule="auto"/>
        <w:rPr>
          <w:rFonts w:ascii="Georgia" w:eastAsia="Georgia" w:hAnsi="Georgia" w:cs="Georgia"/>
          <w:b/>
          <w:bCs/>
          <w:sz w:val="24"/>
          <w:szCs w:val="24"/>
          <w:lang w:val="en-GB"/>
        </w:rPr>
      </w:pPr>
    </w:p>
    <w:p w14:paraId="451D7F7A" w14:textId="561AD6C6" w:rsidR="001647C8" w:rsidRPr="001647C8" w:rsidRDefault="001647C8" w:rsidP="001647C8">
      <w:pPr>
        <w:pStyle w:val="BodyA"/>
        <w:spacing w:after="160" w:line="259" w:lineRule="auto"/>
        <w:rPr>
          <w:rFonts w:ascii="Georgia" w:eastAsia="Georgia" w:hAnsi="Georgia" w:cs="Georgia"/>
          <w:sz w:val="24"/>
          <w:szCs w:val="24"/>
          <w:lang w:val="en-GB"/>
        </w:rPr>
      </w:pPr>
      <w:r w:rsidRPr="001647C8">
        <w:rPr>
          <w:rFonts w:ascii="Georgia" w:hAnsi="Georgia"/>
          <w:sz w:val="24"/>
          <w:szCs w:val="24"/>
          <w:lang w:val="en-GB"/>
        </w:rPr>
        <w:t xml:space="preserve">It is with great privilege that we write to you to express our views in response to the Draft General Comment on Article 6 of the International Covenant on Civil and Political Rights - The Right to life. We appreciate that the topic of the right to life can bring about passionate debate and strong views </w:t>
      </w:r>
      <w:r w:rsidR="00BE61D4">
        <w:rPr>
          <w:rFonts w:ascii="Georgia" w:hAnsi="Georgia"/>
          <w:sz w:val="24"/>
          <w:szCs w:val="24"/>
          <w:lang w:val="en-GB"/>
        </w:rPr>
        <w:t>that</w:t>
      </w:r>
      <w:r w:rsidRPr="001647C8">
        <w:rPr>
          <w:rFonts w:ascii="Georgia" w:hAnsi="Georgia"/>
          <w:sz w:val="24"/>
          <w:szCs w:val="24"/>
          <w:lang w:val="en-GB"/>
        </w:rPr>
        <w:t xml:space="preserve"> can make the in-depth engagement of this topic a very arduous endeavour. The difficulty of discussing the topic</w:t>
      </w:r>
      <w:r w:rsidR="00BE61D4">
        <w:rPr>
          <w:rFonts w:ascii="Georgia" w:hAnsi="Georgia"/>
          <w:sz w:val="24"/>
          <w:szCs w:val="24"/>
          <w:lang w:val="en-GB"/>
        </w:rPr>
        <w:t xml:space="preserve"> and the deeply held views on the matter</w:t>
      </w:r>
      <w:r w:rsidRPr="001647C8">
        <w:rPr>
          <w:rFonts w:ascii="Georgia" w:hAnsi="Georgia"/>
          <w:sz w:val="24"/>
          <w:szCs w:val="24"/>
          <w:lang w:val="en-GB"/>
        </w:rPr>
        <w:t xml:space="preserve"> is precisely why the General Comment is necessary. </w:t>
      </w:r>
      <w:r w:rsidR="001E502D">
        <w:rPr>
          <w:rFonts w:ascii="Georgia" w:hAnsi="Georgia"/>
          <w:sz w:val="24"/>
          <w:szCs w:val="24"/>
          <w:lang w:val="en-GB"/>
        </w:rPr>
        <w:t xml:space="preserve">As is </w:t>
      </w:r>
      <w:r w:rsidRPr="001647C8">
        <w:rPr>
          <w:rFonts w:ascii="Georgia" w:hAnsi="Georgia"/>
          <w:sz w:val="24"/>
          <w:szCs w:val="24"/>
          <w:lang w:val="en-GB"/>
        </w:rPr>
        <w:t>abundantly clear with the right to life</w:t>
      </w:r>
      <w:r w:rsidR="001E502D">
        <w:rPr>
          <w:rFonts w:ascii="Georgia" w:hAnsi="Georgia"/>
          <w:sz w:val="24"/>
          <w:szCs w:val="24"/>
          <w:lang w:val="en-GB"/>
        </w:rPr>
        <w:t>, further clarity as to the law is vital and needed</w:t>
      </w:r>
      <w:r w:rsidRPr="001647C8">
        <w:rPr>
          <w:rFonts w:ascii="Georgia" w:hAnsi="Georgia"/>
          <w:sz w:val="24"/>
          <w:szCs w:val="24"/>
          <w:lang w:val="en-GB"/>
        </w:rPr>
        <w:t>. We wish to also applaud the Committee for its public consultations and we wish to thank the Committee for the opportunity to present our views.</w:t>
      </w:r>
    </w:p>
    <w:p w14:paraId="17B0483C" w14:textId="77777777" w:rsidR="001647C8" w:rsidRPr="001647C8" w:rsidRDefault="001647C8" w:rsidP="001647C8">
      <w:pPr>
        <w:pStyle w:val="BodyA"/>
        <w:spacing w:after="160" w:line="259" w:lineRule="auto"/>
        <w:rPr>
          <w:rFonts w:ascii="Georgia" w:eastAsia="Georgia" w:hAnsi="Georgia" w:cs="Georgia"/>
          <w:sz w:val="24"/>
          <w:szCs w:val="24"/>
          <w:lang w:val="en-GB"/>
        </w:rPr>
      </w:pPr>
      <w:r w:rsidRPr="001647C8">
        <w:rPr>
          <w:rFonts w:ascii="Georgia" w:hAnsi="Georgia"/>
          <w:sz w:val="24"/>
          <w:szCs w:val="24"/>
          <w:lang w:val="en-GB"/>
        </w:rPr>
        <w:t>Before we delve into our response in depth, we wish to make it clear that the purpose of our submission is to further the discussion on this vital topic and to support the mandate of the Committee. Our critique, when raised, should always be read in the context of being constructive criticism with the greatest respect to the committee and written in a manner that aims to see a greater sense of clarity as to the law with regard to the right to life and with the aim of promoting the practical realization of the right to life for the individual. We sincerely hope that our views, based on of our experiences as a human rights NGO, will provide valuable insight for the Committee. As always, we humbly leave ourselves at the disposal of the Committee should there be any need for further clarity or if we can be of any assistance in support of its mandate.</w:t>
      </w:r>
    </w:p>
    <w:p w14:paraId="60CFE243" w14:textId="77777777" w:rsidR="001647C8" w:rsidRPr="001647C8" w:rsidRDefault="001647C8" w:rsidP="001647C8">
      <w:pPr>
        <w:pStyle w:val="BodyA"/>
        <w:spacing w:after="160" w:line="259" w:lineRule="auto"/>
        <w:rPr>
          <w:rFonts w:ascii="Georgia" w:eastAsia="Georgia" w:hAnsi="Georgia" w:cs="Georgia"/>
          <w:sz w:val="24"/>
          <w:szCs w:val="24"/>
          <w:lang w:val="en-GB"/>
        </w:rPr>
      </w:pPr>
    </w:p>
    <w:p w14:paraId="22281496" w14:textId="77777777" w:rsidR="001647C8" w:rsidRPr="001647C8" w:rsidRDefault="001647C8" w:rsidP="001647C8">
      <w:pPr>
        <w:pStyle w:val="BodyA"/>
        <w:spacing w:after="160" w:line="259" w:lineRule="auto"/>
        <w:rPr>
          <w:rFonts w:ascii="Georgia" w:eastAsia="Georgia" w:hAnsi="Georgia" w:cs="Georgia"/>
          <w:sz w:val="24"/>
          <w:szCs w:val="24"/>
          <w:lang w:val="en-GB"/>
        </w:rPr>
      </w:pPr>
    </w:p>
    <w:p w14:paraId="76AA75B6" w14:textId="77777777" w:rsidR="001647C8" w:rsidRPr="001647C8" w:rsidRDefault="001647C8" w:rsidP="001647C8">
      <w:pPr>
        <w:pStyle w:val="BodyA"/>
        <w:spacing w:after="160" w:line="259" w:lineRule="auto"/>
        <w:rPr>
          <w:rFonts w:ascii="Georgia" w:eastAsia="Georgia" w:hAnsi="Georgia" w:cs="Georgia"/>
          <w:sz w:val="24"/>
          <w:szCs w:val="24"/>
          <w:lang w:val="en-GB"/>
        </w:rPr>
      </w:pPr>
    </w:p>
    <w:p w14:paraId="4194CF20" w14:textId="252AB30D" w:rsidR="001647C8" w:rsidRPr="001647C8" w:rsidRDefault="001647C8" w:rsidP="001647C8">
      <w:pPr>
        <w:pStyle w:val="BodyA"/>
        <w:spacing w:after="160" w:line="259" w:lineRule="auto"/>
        <w:rPr>
          <w:rFonts w:ascii="Georgia" w:eastAsia="Georgia" w:hAnsi="Georgia" w:cs="Georgia"/>
          <w:b/>
          <w:bCs/>
          <w:sz w:val="24"/>
          <w:szCs w:val="24"/>
          <w:lang w:val="en-GB"/>
        </w:rPr>
      </w:pPr>
      <w:r w:rsidRPr="001647C8">
        <w:rPr>
          <w:rFonts w:ascii="Georgia" w:hAnsi="Georgia"/>
          <w:b/>
          <w:bCs/>
          <w:sz w:val="24"/>
          <w:szCs w:val="24"/>
          <w:lang w:val="en-GB"/>
        </w:rPr>
        <w:t>The Right to Life and the Right of Access to Abortion Services</w:t>
      </w:r>
    </w:p>
    <w:p w14:paraId="04DADF96" w14:textId="16284F67" w:rsidR="001647C8" w:rsidRPr="001647C8" w:rsidRDefault="001647C8" w:rsidP="001647C8">
      <w:pPr>
        <w:pStyle w:val="BodyA"/>
        <w:spacing w:after="160" w:line="259" w:lineRule="auto"/>
        <w:rPr>
          <w:rFonts w:ascii="Georgia" w:eastAsia="Georgia" w:hAnsi="Georgia" w:cs="Georgia"/>
          <w:sz w:val="24"/>
          <w:szCs w:val="24"/>
          <w:lang w:val="en-GB"/>
        </w:rPr>
      </w:pPr>
      <w:r w:rsidRPr="001647C8">
        <w:rPr>
          <w:rFonts w:ascii="Georgia" w:hAnsi="Georgia"/>
          <w:sz w:val="24"/>
          <w:szCs w:val="24"/>
          <w:lang w:val="en-GB"/>
        </w:rPr>
        <w:t xml:space="preserve">We are extremely concerned about the lack of clarity in paragraph 9 of the Draft General Comment. The right of access to competent abortion services should not be subject to such ambiguity as seen in paragraph 9. We are disappointed about even the insinuation that it may be permissible to criminalize abortion. </w:t>
      </w:r>
      <w:r w:rsidR="001E502D">
        <w:rPr>
          <w:rFonts w:ascii="Georgia" w:hAnsi="Georgia"/>
          <w:sz w:val="24"/>
          <w:szCs w:val="24"/>
          <w:lang w:val="en-GB"/>
        </w:rPr>
        <w:t>E</w:t>
      </w:r>
      <w:r w:rsidRPr="001647C8">
        <w:rPr>
          <w:rFonts w:ascii="Georgia" w:hAnsi="Georgia"/>
          <w:sz w:val="24"/>
          <w:szCs w:val="24"/>
          <w:lang w:val="en-GB"/>
        </w:rPr>
        <w:t xml:space="preserve">ven leaving the door open to potential criminalisation leaves this open for abuse and by extension open for the infringement of the right of access to abortion services. </w:t>
      </w:r>
    </w:p>
    <w:p w14:paraId="5BC0329D" w14:textId="4C6CE0A6" w:rsidR="001647C8" w:rsidRPr="001647C8" w:rsidRDefault="001647C8" w:rsidP="001647C8">
      <w:pPr>
        <w:pStyle w:val="BodyA"/>
        <w:spacing w:after="160" w:line="259" w:lineRule="auto"/>
        <w:rPr>
          <w:rFonts w:ascii="Georgia" w:eastAsia="Georgia" w:hAnsi="Georgia" w:cs="Georgia"/>
          <w:sz w:val="24"/>
          <w:szCs w:val="24"/>
          <w:lang w:val="en-GB"/>
        </w:rPr>
      </w:pPr>
      <w:r w:rsidRPr="001647C8">
        <w:rPr>
          <w:rFonts w:ascii="Georgia" w:hAnsi="Georgia"/>
          <w:sz w:val="24"/>
          <w:szCs w:val="24"/>
          <w:lang w:val="en-GB"/>
        </w:rPr>
        <w:t>We appreciate the fact that the issue of abortion and the right to life raises a lot of controversy and some people may have some deeply held views on the matter based on their respective religious views. While we have nothing but profound respect for the freedom of religion and have had some amazing experiences with faith based organizations that support human rights and humanitarian services, we feel that arguments based on religious texts or interpretations have no place when these religious sources are used as a basis to infringe upon or restrict the rights of another person. The freedom of religion is a shield and not a sword.</w:t>
      </w:r>
      <w:r w:rsidR="001E502D">
        <w:rPr>
          <w:rFonts w:ascii="Georgia" w:hAnsi="Georgia"/>
          <w:sz w:val="24"/>
          <w:szCs w:val="24"/>
          <w:lang w:val="en-GB"/>
        </w:rPr>
        <w:t xml:space="preserve"> We also applaud those faith-based organisations that have come out against the criminalisation of abortion services and the right of access to abortion services. </w:t>
      </w:r>
    </w:p>
    <w:p w14:paraId="7762A8EB" w14:textId="35839DE5" w:rsidR="001647C8" w:rsidRPr="001647C8" w:rsidRDefault="001647C8" w:rsidP="001647C8">
      <w:pPr>
        <w:pStyle w:val="BodyA"/>
        <w:spacing w:after="160" w:line="259" w:lineRule="auto"/>
        <w:rPr>
          <w:rFonts w:ascii="Georgia" w:eastAsia="Georgia" w:hAnsi="Georgia" w:cs="Georgia"/>
          <w:sz w:val="24"/>
          <w:szCs w:val="24"/>
          <w:lang w:val="en-GB"/>
        </w:rPr>
      </w:pPr>
      <w:r w:rsidRPr="001647C8">
        <w:rPr>
          <w:rFonts w:ascii="Georgia" w:hAnsi="Georgia"/>
          <w:sz w:val="24"/>
          <w:szCs w:val="24"/>
          <w:lang w:val="en-GB"/>
        </w:rPr>
        <w:t>Contra Nocendi International was a proud signatory of the joint CSO statement</w:t>
      </w:r>
      <w:r w:rsidR="00BE61D4">
        <w:rPr>
          <w:rFonts w:ascii="Georgia" w:hAnsi="Georgia"/>
          <w:sz w:val="24"/>
          <w:szCs w:val="24"/>
          <w:lang w:val="en-GB"/>
        </w:rPr>
        <w:t xml:space="preserve"> to the Committee</w:t>
      </w:r>
      <w:r w:rsidRPr="001647C8">
        <w:rPr>
          <w:rFonts w:ascii="Georgia" w:hAnsi="Georgia"/>
          <w:sz w:val="24"/>
          <w:szCs w:val="24"/>
          <w:lang w:val="en-GB"/>
        </w:rPr>
        <w:t>, along with over 285 other organizations on the issue of the right to abortion services. As the statement pointed out, “[p]rohibiting abortion pushes it underground and gives rise to unsafe abortions, violating the rights to life, health and bodily autonomy"</w:t>
      </w:r>
      <w:r w:rsidRPr="001647C8">
        <w:rPr>
          <w:rFonts w:ascii="Georgia" w:eastAsia="Georgia" w:hAnsi="Georgia" w:cs="Georgia"/>
          <w:sz w:val="24"/>
          <w:szCs w:val="24"/>
          <w:vertAlign w:val="superscript"/>
          <w:lang w:val="en-GB"/>
        </w:rPr>
        <w:footnoteReference w:id="1"/>
      </w:r>
      <w:r w:rsidRPr="001647C8">
        <w:rPr>
          <w:rFonts w:ascii="Georgia" w:hAnsi="Georgia"/>
          <w:sz w:val="24"/>
          <w:szCs w:val="24"/>
          <w:lang w:val="en-GB"/>
        </w:rPr>
        <w:t>. This statement is absolutely correct and we urge the Committee to heed the words of over 285 CSOs and stand against the criminalization of abortion and any other efforts that infringes on the right of access to abortion services. If this right to life is the goal, the aim must be to take all necessary steps to minimize needless and unnecessary death. This is why criminalizing abortion should be seen as an act contrary to Article 6.</w:t>
      </w:r>
    </w:p>
    <w:p w14:paraId="1EF73131" w14:textId="77777777" w:rsidR="001647C8" w:rsidRPr="001647C8" w:rsidRDefault="001647C8" w:rsidP="001647C8">
      <w:pPr>
        <w:pStyle w:val="BodyA"/>
        <w:spacing w:after="160" w:line="259" w:lineRule="auto"/>
        <w:rPr>
          <w:rFonts w:ascii="Georgia" w:eastAsia="Georgia" w:hAnsi="Georgia" w:cs="Georgia"/>
          <w:sz w:val="24"/>
          <w:szCs w:val="24"/>
          <w:lang w:val="en-GB"/>
        </w:rPr>
      </w:pPr>
    </w:p>
    <w:p w14:paraId="48C57328" w14:textId="64C643FA" w:rsidR="001647C8" w:rsidRPr="001647C8" w:rsidRDefault="001647C8" w:rsidP="001647C8">
      <w:pPr>
        <w:pStyle w:val="BodyA"/>
        <w:spacing w:after="160" w:line="259" w:lineRule="auto"/>
        <w:rPr>
          <w:rFonts w:ascii="Georgia" w:eastAsia="Calibri" w:hAnsi="Georgia" w:cs="Calibri"/>
          <w:b/>
          <w:bCs/>
          <w:sz w:val="24"/>
          <w:szCs w:val="24"/>
          <w:lang w:val="en-GB"/>
        </w:rPr>
      </w:pPr>
      <w:r w:rsidRPr="001647C8">
        <w:rPr>
          <w:rFonts w:ascii="Georgia" w:eastAsia="Calibri" w:hAnsi="Georgia" w:cs="Calibri"/>
          <w:b/>
          <w:bCs/>
          <w:sz w:val="24"/>
          <w:szCs w:val="24"/>
          <w:lang w:val="en-GB"/>
        </w:rPr>
        <w:t>Right to life and the right to accurate information regarding abortion</w:t>
      </w:r>
    </w:p>
    <w:p w14:paraId="59DF946E" w14:textId="65368157" w:rsidR="001647C8" w:rsidRPr="001647C8" w:rsidRDefault="001647C8" w:rsidP="001647C8">
      <w:pPr>
        <w:pStyle w:val="BodyA"/>
        <w:spacing w:after="160" w:line="259" w:lineRule="auto"/>
        <w:rPr>
          <w:rFonts w:ascii="Georgia" w:eastAsia="Calibri" w:hAnsi="Georgia" w:cs="Calibri"/>
          <w:sz w:val="24"/>
          <w:szCs w:val="24"/>
          <w:lang w:val="en-GB"/>
        </w:rPr>
      </w:pPr>
      <w:r w:rsidRPr="001647C8">
        <w:rPr>
          <w:rFonts w:ascii="Georgia" w:eastAsia="Calibri" w:hAnsi="Georgia" w:cs="Calibri"/>
          <w:sz w:val="24"/>
          <w:szCs w:val="24"/>
          <w:lang w:val="en-GB"/>
        </w:rPr>
        <w:t>With</w:t>
      </w:r>
      <w:r w:rsidR="00BE61D4">
        <w:rPr>
          <w:rFonts w:ascii="Georgia" w:eastAsia="Calibri" w:hAnsi="Georgia" w:cs="Calibri"/>
          <w:sz w:val="24"/>
          <w:szCs w:val="24"/>
          <w:lang w:val="en-GB"/>
        </w:rPr>
        <w:t>in</w:t>
      </w:r>
      <w:r w:rsidRPr="001647C8">
        <w:rPr>
          <w:rFonts w:ascii="Georgia" w:eastAsia="Calibri" w:hAnsi="Georgia" w:cs="Calibri"/>
          <w:sz w:val="24"/>
          <w:szCs w:val="24"/>
          <w:lang w:val="en-GB"/>
        </w:rPr>
        <w:t xml:space="preserve"> the context of Article 6 and the right to abortion services also comes a need for educational programs and materials aimed at providing information to all interested persons that is based in scientific fact. This includes women who want to gather more information about abortions. As we have seen in countries like the United States, organizations are popping up </w:t>
      </w:r>
      <w:r w:rsidRPr="001647C8">
        <w:rPr>
          <w:rFonts w:ascii="Georgia" w:eastAsia="Calibri" w:hAnsi="Georgia" w:cs="Calibri"/>
          <w:sz w:val="24"/>
          <w:szCs w:val="24"/>
          <w:lang w:val="en-GB"/>
        </w:rPr>
        <w:lastRenderedPageBreak/>
        <w:t>that appear to present themselves as uncannily similar to an abortion clinic and proceed to provide false and/or misleading information to women. These pseudo abortion clinics cause great harm to the ability of women to make an informed decision regarding abortions and disseminate inaccurate information as if it were fact. This is truly unacceptable and wha</w:t>
      </w:r>
      <w:r w:rsidR="00BE61D4">
        <w:rPr>
          <w:rFonts w:ascii="Georgia" w:eastAsia="Calibri" w:hAnsi="Georgia" w:cs="Calibri"/>
          <w:sz w:val="24"/>
          <w:szCs w:val="24"/>
          <w:lang w:val="en-GB"/>
        </w:rPr>
        <w:t>t makes matters worse is that ii</w:t>
      </w:r>
      <w:r w:rsidRPr="001647C8">
        <w:rPr>
          <w:rFonts w:ascii="Georgia" w:eastAsia="Calibri" w:hAnsi="Georgia" w:cs="Calibri"/>
          <w:sz w:val="24"/>
          <w:szCs w:val="24"/>
          <w:lang w:val="en-GB"/>
        </w:rPr>
        <w:t xml:space="preserve"> some jurisdictions this behavio</w:t>
      </w:r>
      <w:r w:rsidR="00BE61D4">
        <w:rPr>
          <w:rFonts w:ascii="Georgia" w:eastAsia="Calibri" w:hAnsi="Georgia" w:cs="Calibri"/>
          <w:sz w:val="24"/>
          <w:szCs w:val="24"/>
          <w:lang w:val="en-GB"/>
        </w:rPr>
        <w:t>u</w:t>
      </w:r>
      <w:r w:rsidRPr="001647C8">
        <w:rPr>
          <w:rFonts w:ascii="Georgia" w:eastAsia="Calibri" w:hAnsi="Georgia" w:cs="Calibri"/>
          <w:sz w:val="24"/>
          <w:szCs w:val="24"/>
          <w:lang w:val="en-GB"/>
        </w:rPr>
        <w:t xml:space="preserve">r is done supported by government funding. While it is important that any discourse on an issue as contentious as abortion embraces as many views as possible, deceptive practices such this have no place. States Parties should be seen as having an obligation to provide scientifically based information on abortion services as well as scientifically based information on the </w:t>
      </w:r>
      <w:r w:rsidR="00BE61D4">
        <w:rPr>
          <w:rFonts w:ascii="Georgia" w:eastAsia="Calibri" w:hAnsi="Georgia" w:cs="Calibri"/>
          <w:sz w:val="24"/>
          <w:szCs w:val="24"/>
          <w:lang w:val="en-GB"/>
        </w:rPr>
        <w:t xml:space="preserve">health </w:t>
      </w:r>
      <w:r w:rsidRPr="001647C8">
        <w:rPr>
          <w:rFonts w:ascii="Georgia" w:eastAsia="Calibri" w:hAnsi="Georgia" w:cs="Calibri"/>
          <w:sz w:val="24"/>
          <w:szCs w:val="24"/>
          <w:lang w:val="en-GB"/>
        </w:rPr>
        <w:t>consequences of abortion. If a woman is to make a decision on something that could impact her life to the extent that obtaining an abortion can, the practical exercise of her right to abortion services in light of Article 6 cannot be possible without factually based information. At the same token, States Parties should take steps to prevent public funds being available for such misleading endeavo</w:t>
      </w:r>
      <w:r w:rsidR="00BE61D4">
        <w:rPr>
          <w:rFonts w:ascii="Georgia" w:eastAsia="Calibri" w:hAnsi="Georgia" w:cs="Calibri"/>
          <w:sz w:val="24"/>
          <w:szCs w:val="24"/>
          <w:lang w:val="en-GB"/>
        </w:rPr>
        <w:t>u</w:t>
      </w:r>
      <w:r w:rsidRPr="001647C8">
        <w:rPr>
          <w:rFonts w:ascii="Georgia" w:eastAsia="Calibri" w:hAnsi="Georgia" w:cs="Calibri"/>
          <w:sz w:val="24"/>
          <w:szCs w:val="24"/>
          <w:lang w:val="en-GB"/>
        </w:rPr>
        <w:t>rs and should take steps to restrict such behavio</w:t>
      </w:r>
      <w:r w:rsidR="00BE61D4">
        <w:rPr>
          <w:rFonts w:ascii="Georgia" w:eastAsia="Calibri" w:hAnsi="Georgia" w:cs="Calibri"/>
          <w:sz w:val="24"/>
          <w:szCs w:val="24"/>
          <w:lang w:val="en-GB"/>
        </w:rPr>
        <w:t>u</w:t>
      </w:r>
      <w:r w:rsidRPr="001647C8">
        <w:rPr>
          <w:rFonts w:ascii="Georgia" w:eastAsia="Calibri" w:hAnsi="Georgia" w:cs="Calibri"/>
          <w:sz w:val="24"/>
          <w:szCs w:val="24"/>
          <w:lang w:val="en-GB"/>
        </w:rPr>
        <w:t>r in line with the freedom of expression.</w:t>
      </w:r>
    </w:p>
    <w:p w14:paraId="714E2410" w14:textId="77777777" w:rsidR="001647C8" w:rsidRPr="001647C8" w:rsidRDefault="001647C8" w:rsidP="001647C8">
      <w:pPr>
        <w:pStyle w:val="BodyA"/>
        <w:spacing w:after="160" w:line="259" w:lineRule="auto"/>
        <w:rPr>
          <w:rFonts w:ascii="Calibri" w:eastAsia="Calibri" w:hAnsi="Calibri" w:cs="Calibri"/>
          <w:sz w:val="24"/>
          <w:szCs w:val="24"/>
          <w:lang w:val="en-GB"/>
        </w:rPr>
      </w:pPr>
    </w:p>
    <w:p w14:paraId="39D4D2ED" w14:textId="770CD007" w:rsidR="001647C8" w:rsidRPr="00BE61D4" w:rsidRDefault="001647C8" w:rsidP="001647C8">
      <w:pPr>
        <w:pStyle w:val="BodyA"/>
        <w:spacing w:after="160" w:line="259" w:lineRule="auto"/>
        <w:rPr>
          <w:rFonts w:ascii="Georgia" w:eastAsia="Georgia" w:hAnsi="Georgia" w:cs="Georgia"/>
          <w:b/>
          <w:bCs/>
          <w:sz w:val="24"/>
          <w:szCs w:val="24"/>
          <w:lang w:val="en-GB"/>
        </w:rPr>
      </w:pPr>
      <w:r w:rsidRPr="001647C8">
        <w:rPr>
          <w:rFonts w:ascii="Georgia" w:hAnsi="Georgia"/>
          <w:b/>
          <w:bCs/>
          <w:sz w:val="24"/>
          <w:szCs w:val="24"/>
          <w:lang w:val="en-GB"/>
        </w:rPr>
        <w:t>Article 6 and the right to reparations for victims</w:t>
      </w:r>
    </w:p>
    <w:p w14:paraId="5FF28581" w14:textId="41958C30" w:rsidR="001647C8" w:rsidRDefault="001647C8" w:rsidP="001647C8">
      <w:pPr>
        <w:pStyle w:val="BodyA"/>
        <w:spacing w:after="160" w:line="259" w:lineRule="auto"/>
        <w:rPr>
          <w:rFonts w:ascii="Georgia" w:eastAsia="Georgia" w:hAnsi="Georgia" w:cs="Georgia"/>
          <w:sz w:val="24"/>
          <w:szCs w:val="24"/>
          <w:lang w:val="en-GB"/>
        </w:rPr>
      </w:pPr>
      <w:r w:rsidRPr="001647C8">
        <w:rPr>
          <w:rFonts w:ascii="Georgia" w:hAnsi="Georgia"/>
          <w:sz w:val="24"/>
          <w:szCs w:val="24"/>
          <w:lang w:val="en-GB"/>
        </w:rPr>
        <w:t>We are deeply concerned about the standard laid down in paragraph 15 on reparations. We submit that the Committee should embrace the van Boven principles with regard to the right to redress and reparation and the scope of the definition of victim for the purposes of redress and reparations as we have seen from chambers of the International Criminal Court and other sources of international law. It is the opinion of Contra Nocendi International that any articulation of the right to redress and reparations must include the van Boven principles as a minimum starting point. Having a definition that recognizes the impact victimization can have on indirect victims is important. We are also concerned about the fact that the most recent source cited by the Committee is from a decade ago. Given the movement as to the law in the area of reparations, the Committee is encouraged to go back and review the recent developments of the law with regard to the right to redress and reparations to make certain the General Comment is in line with international law.</w:t>
      </w:r>
    </w:p>
    <w:p w14:paraId="5FFFD4F2" w14:textId="77777777" w:rsidR="001647C8" w:rsidRPr="001647C8" w:rsidRDefault="001647C8" w:rsidP="001647C8">
      <w:pPr>
        <w:pStyle w:val="BodyA"/>
        <w:spacing w:after="160" w:line="259" w:lineRule="auto"/>
        <w:rPr>
          <w:rFonts w:ascii="Georgia" w:eastAsia="Georgia" w:hAnsi="Georgia" w:cs="Georgia"/>
          <w:sz w:val="24"/>
          <w:szCs w:val="24"/>
          <w:lang w:val="en-GB"/>
        </w:rPr>
      </w:pPr>
    </w:p>
    <w:p w14:paraId="59A6C9CB" w14:textId="7223BC68" w:rsidR="001647C8" w:rsidRPr="001647C8" w:rsidRDefault="001647C8" w:rsidP="001647C8">
      <w:pPr>
        <w:pStyle w:val="BodyA"/>
        <w:spacing w:after="160" w:line="259" w:lineRule="auto"/>
        <w:rPr>
          <w:rFonts w:ascii="Georgia" w:eastAsia="Georgia" w:hAnsi="Georgia" w:cs="Georgia"/>
          <w:b/>
          <w:bCs/>
          <w:sz w:val="24"/>
          <w:szCs w:val="24"/>
          <w:lang w:val="en-GB"/>
        </w:rPr>
      </w:pPr>
      <w:r w:rsidRPr="001647C8">
        <w:rPr>
          <w:rFonts w:ascii="Georgia" w:hAnsi="Georgia"/>
          <w:b/>
          <w:bCs/>
          <w:sz w:val="24"/>
          <w:szCs w:val="24"/>
          <w:lang w:val="en-GB"/>
        </w:rPr>
        <w:t>Article 6 and the treatment of persons deprived of liberty</w:t>
      </w:r>
    </w:p>
    <w:p w14:paraId="6E985BAB" w14:textId="0AA8D37E" w:rsidR="001647C8" w:rsidRPr="001647C8" w:rsidRDefault="001647C8" w:rsidP="001647C8">
      <w:pPr>
        <w:pStyle w:val="BodyA"/>
        <w:spacing w:after="160" w:line="259" w:lineRule="auto"/>
        <w:rPr>
          <w:rFonts w:ascii="Georgia" w:eastAsia="Georgia" w:hAnsi="Georgia" w:cs="Georgia"/>
          <w:b/>
          <w:bCs/>
          <w:sz w:val="24"/>
          <w:szCs w:val="24"/>
          <w:lang w:val="en-GB"/>
        </w:rPr>
      </w:pPr>
      <w:r w:rsidRPr="001647C8">
        <w:rPr>
          <w:rFonts w:ascii="Georgia" w:hAnsi="Georgia"/>
          <w:sz w:val="24"/>
          <w:szCs w:val="24"/>
          <w:lang w:val="en-GB"/>
        </w:rPr>
        <w:t xml:space="preserve">Contra Nocendi agrees with the Committee on its recognition of the positive obligations on the part of States Parties for persons deprived of their liberty. We also agree that this includes the monitoring of the health of persons deprived of their liberty. However, we do believe that the obligation goes beyond monitoring and the General Comment should expressly oblige States Parties to provide medical care, including preventative care, to persons deprived of their liberty. While this </w:t>
      </w:r>
      <w:r w:rsidR="00BE61D4">
        <w:rPr>
          <w:rFonts w:ascii="Georgia" w:hAnsi="Georgia"/>
          <w:sz w:val="24"/>
          <w:szCs w:val="24"/>
          <w:lang w:val="en-GB"/>
        </w:rPr>
        <w:t xml:space="preserve">issue </w:t>
      </w:r>
      <w:r w:rsidRPr="001647C8">
        <w:rPr>
          <w:rFonts w:ascii="Georgia" w:hAnsi="Georgia"/>
          <w:sz w:val="24"/>
          <w:szCs w:val="24"/>
          <w:lang w:val="en-GB"/>
        </w:rPr>
        <w:t>may be seen by some as a logical</w:t>
      </w:r>
      <w:r w:rsidR="00BE61D4">
        <w:rPr>
          <w:rFonts w:ascii="Georgia" w:hAnsi="Georgia"/>
          <w:sz w:val="24"/>
          <w:szCs w:val="24"/>
          <w:lang w:val="en-GB"/>
        </w:rPr>
        <w:t xml:space="preserve"> extension of monitoring health;</w:t>
      </w:r>
      <w:r w:rsidRPr="001647C8">
        <w:rPr>
          <w:rFonts w:ascii="Georgia" w:hAnsi="Georgia"/>
          <w:sz w:val="24"/>
          <w:szCs w:val="24"/>
          <w:lang w:val="en-GB"/>
        </w:rPr>
        <w:t xml:space="preserve"> including the provision of health services expressly in the General Comment is important to clarity as to the scope of a right to life in this situation. It is our experience, both in practice </w:t>
      </w:r>
      <w:r w:rsidRPr="001647C8">
        <w:rPr>
          <w:rFonts w:ascii="Georgia" w:hAnsi="Georgia"/>
          <w:sz w:val="24"/>
          <w:szCs w:val="24"/>
          <w:lang w:val="en-GB"/>
        </w:rPr>
        <w:lastRenderedPageBreak/>
        <w:t xml:space="preserve">and in research, that the issue of the lack of proper medical services for persons in detention is a very </w:t>
      </w:r>
      <w:r w:rsidR="00BE61D4">
        <w:rPr>
          <w:rFonts w:ascii="Georgia" w:hAnsi="Georgia"/>
          <w:sz w:val="24"/>
          <w:szCs w:val="24"/>
          <w:lang w:val="en-GB"/>
        </w:rPr>
        <w:t>serious and deeply harmful</w:t>
      </w:r>
      <w:r w:rsidRPr="001647C8">
        <w:rPr>
          <w:rFonts w:ascii="Georgia" w:hAnsi="Georgia"/>
          <w:sz w:val="24"/>
          <w:szCs w:val="24"/>
          <w:lang w:val="en-GB"/>
        </w:rPr>
        <w:t xml:space="preserve"> problem. We hope that the Committee can lend its weight to combat such problems.</w:t>
      </w:r>
    </w:p>
    <w:p w14:paraId="660190AD" w14:textId="77777777" w:rsidR="001647C8" w:rsidRPr="001647C8" w:rsidRDefault="001647C8" w:rsidP="001647C8">
      <w:pPr>
        <w:pStyle w:val="BodyA"/>
        <w:spacing w:after="160" w:line="259" w:lineRule="auto"/>
        <w:rPr>
          <w:rFonts w:ascii="Georgia" w:eastAsia="Georgia" w:hAnsi="Georgia" w:cs="Georgia"/>
          <w:sz w:val="24"/>
          <w:szCs w:val="24"/>
          <w:lang w:val="en-GB"/>
        </w:rPr>
      </w:pPr>
    </w:p>
    <w:p w14:paraId="651829DE" w14:textId="77777777" w:rsidR="001647C8" w:rsidRPr="001647C8" w:rsidRDefault="001647C8" w:rsidP="001647C8">
      <w:pPr>
        <w:pStyle w:val="BodyA"/>
        <w:spacing w:after="160" w:line="259" w:lineRule="auto"/>
        <w:rPr>
          <w:rFonts w:ascii="Calibri" w:eastAsia="Calibri" w:hAnsi="Calibri" w:cs="Calibri"/>
          <w:b/>
          <w:bCs/>
          <w:sz w:val="24"/>
          <w:szCs w:val="24"/>
          <w:lang w:val="en-GB"/>
        </w:rPr>
      </w:pPr>
    </w:p>
    <w:p w14:paraId="6B0B0E80" w14:textId="77777777" w:rsidR="001647C8" w:rsidRPr="001647C8" w:rsidRDefault="001647C8" w:rsidP="001647C8">
      <w:pPr>
        <w:pStyle w:val="BodyA"/>
        <w:spacing w:after="160" w:line="259" w:lineRule="auto"/>
        <w:rPr>
          <w:rFonts w:ascii="Calibri" w:eastAsia="Calibri" w:hAnsi="Calibri" w:cs="Calibri"/>
          <w:b/>
          <w:bCs/>
          <w:sz w:val="24"/>
          <w:szCs w:val="24"/>
          <w:lang w:val="en-GB"/>
        </w:rPr>
      </w:pPr>
      <w:r w:rsidRPr="001647C8">
        <w:rPr>
          <w:rFonts w:ascii="Calibri" w:eastAsia="Calibri" w:hAnsi="Calibri" w:cs="Calibri"/>
          <w:b/>
          <w:bCs/>
          <w:sz w:val="24"/>
          <w:szCs w:val="24"/>
          <w:lang w:val="en-GB"/>
        </w:rPr>
        <w:t>Warmest Regards,</w:t>
      </w:r>
    </w:p>
    <w:p w14:paraId="22383113" w14:textId="77777777" w:rsidR="001647C8" w:rsidRPr="001647C8" w:rsidRDefault="001647C8" w:rsidP="001647C8">
      <w:pPr>
        <w:pStyle w:val="BodyA"/>
        <w:spacing w:after="160" w:line="259" w:lineRule="auto"/>
        <w:rPr>
          <w:rFonts w:ascii="Calibri" w:eastAsia="Calibri" w:hAnsi="Calibri" w:cs="Calibri"/>
          <w:b/>
          <w:bCs/>
          <w:sz w:val="24"/>
          <w:szCs w:val="24"/>
          <w:lang w:val="en-GB"/>
        </w:rPr>
      </w:pPr>
      <w:r w:rsidRPr="001647C8">
        <w:rPr>
          <w:rFonts w:ascii="Calibri" w:eastAsia="Calibri" w:hAnsi="Calibri" w:cs="Calibri"/>
          <w:b/>
          <w:bCs/>
          <w:sz w:val="24"/>
          <w:szCs w:val="24"/>
          <w:lang w:val="en-GB"/>
        </w:rPr>
        <w:t>Contra Nocendi International</w:t>
      </w:r>
    </w:p>
    <w:p w14:paraId="60BF6105" w14:textId="77777777" w:rsidR="001647C8" w:rsidRPr="001647C8" w:rsidRDefault="001647C8" w:rsidP="001647C8">
      <w:pPr>
        <w:pStyle w:val="BodyA"/>
        <w:spacing w:after="160" w:line="259" w:lineRule="auto"/>
        <w:rPr>
          <w:rFonts w:ascii="Calibri" w:eastAsia="Calibri" w:hAnsi="Calibri" w:cs="Calibri"/>
          <w:b/>
          <w:bCs/>
          <w:sz w:val="24"/>
          <w:szCs w:val="24"/>
          <w:lang w:val="en-GB"/>
        </w:rPr>
      </w:pPr>
    </w:p>
    <w:p w14:paraId="28F9E2B8" w14:textId="77777777" w:rsidR="001647C8" w:rsidRPr="001647C8" w:rsidRDefault="001647C8" w:rsidP="001647C8">
      <w:pPr>
        <w:pStyle w:val="BodyA"/>
        <w:spacing w:after="160" w:line="259" w:lineRule="auto"/>
        <w:rPr>
          <w:lang w:val="en-GB"/>
        </w:rPr>
      </w:pPr>
    </w:p>
    <w:p w14:paraId="497628E9" w14:textId="3AA067B7" w:rsidR="006C5DD8" w:rsidRPr="001647C8" w:rsidRDefault="006C5DD8" w:rsidP="001647C8">
      <w:pPr>
        <w:pStyle w:val="paragraph"/>
        <w:spacing w:before="0" w:beforeAutospacing="0" w:after="0" w:afterAutospacing="0"/>
        <w:textAlignment w:val="baseline"/>
        <w:rPr>
          <w:lang w:val="en-GB"/>
        </w:rPr>
      </w:pPr>
    </w:p>
    <w:sectPr w:rsidR="006C5DD8" w:rsidRPr="001647C8" w:rsidSect="00CF7B91">
      <w:headerReference w:type="default" r:id="rId6"/>
      <w:footerReference w:type="default" r:id="rId7"/>
      <w:pgSz w:w="12240" w:h="15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DD906" w14:textId="77777777" w:rsidR="00DE28B0" w:rsidRDefault="00DE28B0">
      <w:r>
        <w:separator/>
      </w:r>
    </w:p>
  </w:endnote>
  <w:endnote w:type="continuationSeparator" w:id="0">
    <w:p w14:paraId="361A4ADC" w14:textId="77777777" w:rsidR="00DE28B0" w:rsidRDefault="00DE2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C021D" w14:textId="77777777" w:rsidR="00DE28B0" w:rsidRDefault="00DE28B0">
    <w:pPr>
      <w:pStyle w:val="Footer"/>
    </w:pPr>
    <w:r>
      <w:rPr>
        <w:noProof/>
        <w:lang w:val="en-GB" w:eastAsia="en-GB" w:bidi="ar-SA"/>
      </w:rPr>
      <mc:AlternateContent>
        <mc:Choice Requires="wps">
          <w:drawing>
            <wp:anchor distT="0" distB="0" distL="114300" distR="114300" simplePos="0" relativeHeight="251657214" behindDoc="1" locked="0" layoutInCell="1" allowOverlap="1" wp14:anchorId="6474AC3F" wp14:editId="6B00E9CA">
              <wp:simplePos x="0" y="0"/>
              <wp:positionH relativeFrom="column">
                <wp:posOffset>-701040</wp:posOffset>
              </wp:positionH>
              <wp:positionV relativeFrom="paragraph">
                <wp:posOffset>41910</wp:posOffset>
              </wp:positionV>
              <wp:extent cx="7715250" cy="6191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7715250" cy="619125"/>
                      </a:xfrm>
                      <a:prstGeom prst="rect">
                        <a:avLst/>
                      </a:prstGeom>
                      <a:solidFill>
                        <a:schemeClr val="accent1"/>
                      </a:solidFill>
                      <a:ln>
                        <a:solidFill>
                          <a:schemeClr val="accent1"/>
                        </a:solidFill>
                      </a:ln>
                    </wps:spPr>
                    <wps:style>
                      <a:lnRef idx="2">
                        <a:schemeClr val="accent3">
                          <a:shade val="50000"/>
                        </a:schemeClr>
                      </a:lnRef>
                      <a:fillRef idx="1">
                        <a:schemeClr val="accent3"/>
                      </a:fillRef>
                      <a:effectRef idx="0">
                        <a:schemeClr val="accent3"/>
                      </a:effectRef>
                      <a:fontRef idx="minor">
                        <a:schemeClr val="lt1"/>
                      </a:fontRef>
                    </wps:style>
                    <wps:txbx>
                      <w:txbx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018"/>
                            <w:gridCol w:w="4016"/>
                          </w:tblGrid>
                          <w:tr w:rsidR="00DE28B0" w14:paraId="556126E5" w14:textId="77777777" w:rsidTr="00B23DEA">
                            <w:trPr>
                              <w:trHeight w:val="893"/>
                            </w:trPr>
                            <w:tc>
                              <w:tcPr>
                                <w:tcW w:w="1667" w:type="pct"/>
                                <w:vAlign w:val="center"/>
                              </w:tcPr>
                              <w:p w14:paraId="1348CBDF" w14:textId="7257507E" w:rsidR="00DE28B0" w:rsidRPr="008E3782" w:rsidRDefault="00DE28B0" w:rsidP="00031656">
                                <w:pPr>
                                  <w:pStyle w:val="Standard"/>
                                  <w:jc w:val="center"/>
                                  <w:rPr>
                                    <w:rFonts w:asciiTheme="minorHAnsi" w:hAnsiTheme="minorHAnsi" w:cstheme="minorHAnsi"/>
                                  </w:rPr>
                                </w:pPr>
                                <w:r>
                                  <w:rPr>
                                    <w:rFonts w:asciiTheme="minorHAnsi" w:hAnsiTheme="minorHAnsi" w:cstheme="minorHAnsi"/>
                                  </w:rPr>
                                  <w:t>7</w:t>
                                </w:r>
                                <w:r w:rsidRPr="008E3782">
                                  <w:rPr>
                                    <w:rFonts w:asciiTheme="minorHAnsi" w:hAnsiTheme="minorHAnsi" w:cstheme="minorHAnsi"/>
                                  </w:rPr>
                                  <w:t xml:space="preserve"> Rue</w:t>
                                </w:r>
                                <w:r>
                                  <w:rPr>
                                    <w:rFonts w:asciiTheme="minorHAnsi" w:hAnsiTheme="minorHAnsi" w:cstheme="minorHAnsi"/>
                                  </w:rPr>
                                  <w:t xml:space="preserve"> Anatole de la Forge</w:t>
                                </w:r>
                                <w:r w:rsidRPr="008E3782">
                                  <w:rPr>
                                    <w:rFonts w:asciiTheme="minorHAnsi" w:hAnsiTheme="minorHAnsi" w:cstheme="minorHAnsi"/>
                                  </w:rPr>
                                  <w:t xml:space="preserve"> </w:t>
                                </w:r>
                              </w:p>
                              <w:p w14:paraId="6AC1EF2B" w14:textId="77777777" w:rsidR="00DE28B0" w:rsidRPr="008E3782" w:rsidRDefault="00DE28B0" w:rsidP="00031656">
                                <w:pPr>
                                  <w:pStyle w:val="Standard"/>
                                  <w:jc w:val="center"/>
                                  <w:rPr>
                                    <w:rFonts w:asciiTheme="minorHAnsi" w:hAnsiTheme="minorHAnsi" w:cstheme="minorHAnsi"/>
                                  </w:rPr>
                                </w:pPr>
                                <w:r>
                                  <w:rPr>
                                    <w:rFonts w:asciiTheme="minorHAnsi" w:hAnsiTheme="minorHAnsi" w:cstheme="minorHAnsi"/>
                                  </w:rPr>
                                  <w:t>750</w:t>
                                </w:r>
                                <w:r w:rsidRPr="008E3782">
                                  <w:rPr>
                                    <w:rFonts w:asciiTheme="minorHAnsi" w:hAnsiTheme="minorHAnsi" w:cstheme="minorHAnsi"/>
                                  </w:rPr>
                                  <w:t>17 Paris, France</w:t>
                                </w:r>
                              </w:p>
                            </w:tc>
                            <w:tc>
                              <w:tcPr>
                                <w:tcW w:w="1667" w:type="pct"/>
                                <w:vAlign w:val="center"/>
                              </w:tcPr>
                              <w:p w14:paraId="2D013790" w14:textId="77777777" w:rsidR="00DE28B0" w:rsidRPr="008E3782" w:rsidRDefault="007A6B46" w:rsidP="00031656">
                                <w:pPr>
                                  <w:pStyle w:val="Standard"/>
                                  <w:jc w:val="center"/>
                                  <w:rPr>
                                    <w:rFonts w:asciiTheme="minorHAnsi" w:hAnsiTheme="minorHAnsi" w:cstheme="minorHAnsi"/>
                                  </w:rPr>
                                </w:pPr>
                                <w:hyperlink r:id="rId1" w:history="1">
                                  <w:r w:rsidR="00DE28B0" w:rsidRPr="008E3782">
                                    <w:rPr>
                                      <w:rFonts w:asciiTheme="minorHAnsi" w:hAnsiTheme="minorHAnsi" w:cstheme="minorHAnsi"/>
                                    </w:rPr>
                                    <w:t>www.contranocendi.org</w:t>
                                  </w:r>
                                </w:hyperlink>
                              </w:p>
                            </w:tc>
                            <w:tc>
                              <w:tcPr>
                                <w:tcW w:w="1667" w:type="pct"/>
                                <w:vAlign w:val="center"/>
                              </w:tcPr>
                              <w:p w14:paraId="22BD5B38" w14:textId="77777777" w:rsidR="00DE28B0" w:rsidRPr="008E3782" w:rsidRDefault="00DE28B0" w:rsidP="00031656">
                                <w:pPr>
                                  <w:pStyle w:val="Standard"/>
                                  <w:jc w:val="center"/>
                                  <w:rPr>
                                    <w:rFonts w:asciiTheme="minorHAnsi" w:hAnsiTheme="minorHAnsi" w:cstheme="minorHAnsi"/>
                                  </w:rPr>
                                </w:pPr>
                                <w:r w:rsidRPr="008E3782">
                                  <w:rPr>
                                    <w:rFonts w:asciiTheme="minorHAnsi" w:hAnsiTheme="minorHAnsi" w:cstheme="minorHAnsi"/>
                                  </w:rPr>
                                  <w:t>contact@contranocendi.org</w:t>
                                </w:r>
                              </w:p>
                            </w:tc>
                          </w:tr>
                        </w:tbl>
                        <w:p w14:paraId="0B1DF7D6" w14:textId="77777777" w:rsidR="00DE28B0" w:rsidRDefault="00DE28B0" w:rsidP="008E37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4AC3F" id="Rectangle 5" o:spid="_x0000_s1026" style="position:absolute;margin-left:-55.2pt;margin-top:3.3pt;width:607.5pt;height:48.7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" fillcolor="#2ab34b [3204]" strokecolor="#2ab34b [3204]" strokeweight="2pt">
              <v:textbox>
                <w:txbx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018"/>
                      <w:gridCol w:w="4016"/>
                    </w:tblGrid>
                    <w:tr w:rsidR="00DE28B0" w14:paraId="556126E5" w14:textId="77777777" w:rsidTr="00B23DEA">
                      <w:trPr>
                        <w:trHeight w:val="893"/>
                      </w:trPr>
                      <w:tc>
                        <w:tcPr>
                          <w:tcW w:w="1667" w:type="pct"/>
                          <w:vAlign w:val="center"/>
                        </w:tcPr>
                        <w:p w14:paraId="1348CBDF" w14:textId="7257507E" w:rsidR="00DE28B0" w:rsidRPr="008E3782" w:rsidRDefault="00DE28B0" w:rsidP="00031656">
                          <w:pPr>
                            <w:pStyle w:val="Standard"/>
                            <w:jc w:val="center"/>
                            <w:rPr>
                              <w:rFonts w:asciiTheme="minorHAnsi" w:hAnsiTheme="minorHAnsi" w:cstheme="minorHAnsi"/>
                            </w:rPr>
                          </w:pPr>
                          <w:r>
                            <w:rPr>
                              <w:rFonts w:asciiTheme="minorHAnsi" w:hAnsiTheme="minorHAnsi" w:cstheme="minorHAnsi"/>
                            </w:rPr>
                            <w:t>7</w:t>
                          </w:r>
                          <w:r w:rsidRPr="008E3782">
                            <w:rPr>
                              <w:rFonts w:asciiTheme="minorHAnsi" w:hAnsiTheme="minorHAnsi" w:cstheme="minorHAnsi"/>
                            </w:rPr>
                            <w:t xml:space="preserve"> Rue</w:t>
                          </w:r>
                          <w:r>
                            <w:rPr>
                              <w:rFonts w:asciiTheme="minorHAnsi" w:hAnsiTheme="minorHAnsi" w:cstheme="minorHAnsi"/>
                            </w:rPr>
                            <w:t xml:space="preserve"> Anatole de la Forge</w:t>
                          </w:r>
                          <w:r w:rsidRPr="008E3782">
                            <w:rPr>
                              <w:rFonts w:asciiTheme="minorHAnsi" w:hAnsiTheme="minorHAnsi" w:cstheme="minorHAnsi"/>
                            </w:rPr>
                            <w:t xml:space="preserve"> </w:t>
                          </w:r>
                        </w:p>
                        <w:p w14:paraId="6AC1EF2B" w14:textId="77777777" w:rsidR="00DE28B0" w:rsidRPr="008E3782" w:rsidRDefault="00DE28B0" w:rsidP="00031656">
                          <w:pPr>
                            <w:pStyle w:val="Standard"/>
                            <w:jc w:val="center"/>
                            <w:rPr>
                              <w:rFonts w:asciiTheme="minorHAnsi" w:hAnsiTheme="minorHAnsi" w:cstheme="minorHAnsi"/>
                            </w:rPr>
                          </w:pPr>
                          <w:r>
                            <w:rPr>
                              <w:rFonts w:asciiTheme="minorHAnsi" w:hAnsiTheme="minorHAnsi" w:cstheme="minorHAnsi"/>
                            </w:rPr>
                            <w:t>750</w:t>
                          </w:r>
                          <w:r w:rsidRPr="008E3782">
                            <w:rPr>
                              <w:rFonts w:asciiTheme="minorHAnsi" w:hAnsiTheme="minorHAnsi" w:cstheme="minorHAnsi"/>
                            </w:rPr>
                            <w:t>17 Paris, France</w:t>
                          </w:r>
                        </w:p>
                      </w:tc>
                      <w:tc>
                        <w:tcPr>
                          <w:tcW w:w="1667" w:type="pct"/>
                          <w:vAlign w:val="center"/>
                        </w:tcPr>
                        <w:p w14:paraId="2D013790" w14:textId="77777777" w:rsidR="00DE28B0" w:rsidRPr="008E3782" w:rsidRDefault="007A6B46" w:rsidP="00031656">
                          <w:pPr>
                            <w:pStyle w:val="Standard"/>
                            <w:jc w:val="center"/>
                            <w:rPr>
                              <w:rFonts w:asciiTheme="minorHAnsi" w:hAnsiTheme="minorHAnsi" w:cstheme="minorHAnsi"/>
                            </w:rPr>
                          </w:pPr>
                          <w:hyperlink r:id="rId2" w:history="1">
                            <w:r w:rsidR="00DE28B0" w:rsidRPr="008E3782">
                              <w:rPr>
                                <w:rFonts w:asciiTheme="minorHAnsi" w:hAnsiTheme="minorHAnsi" w:cstheme="minorHAnsi"/>
                              </w:rPr>
                              <w:t>www.contranocendi.org</w:t>
                            </w:r>
                          </w:hyperlink>
                        </w:p>
                      </w:tc>
                      <w:tc>
                        <w:tcPr>
                          <w:tcW w:w="1667" w:type="pct"/>
                          <w:vAlign w:val="center"/>
                        </w:tcPr>
                        <w:p w14:paraId="22BD5B38" w14:textId="77777777" w:rsidR="00DE28B0" w:rsidRPr="008E3782" w:rsidRDefault="00DE28B0" w:rsidP="00031656">
                          <w:pPr>
                            <w:pStyle w:val="Standard"/>
                            <w:jc w:val="center"/>
                            <w:rPr>
                              <w:rFonts w:asciiTheme="minorHAnsi" w:hAnsiTheme="minorHAnsi" w:cstheme="minorHAnsi"/>
                            </w:rPr>
                          </w:pPr>
                          <w:r w:rsidRPr="008E3782">
                            <w:rPr>
                              <w:rFonts w:asciiTheme="minorHAnsi" w:hAnsiTheme="minorHAnsi" w:cstheme="minorHAnsi"/>
                            </w:rPr>
                            <w:t>contact@contranocendi.org</w:t>
                          </w:r>
                        </w:p>
                      </w:tc>
                    </w:tr>
                  </w:tbl>
                  <w:p w14:paraId="0B1DF7D6" w14:textId="77777777" w:rsidR="00DE28B0" w:rsidRDefault="00DE28B0" w:rsidP="008E3782">
                    <w:pPr>
                      <w:jc w:val="center"/>
                    </w:pPr>
                  </w:p>
                </w:txbxContent>
              </v:textbox>
            </v:rect>
          </w:pict>
        </mc:Fallback>
      </mc:AlternateContent>
    </w:r>
    <w:r>
      <w:rPr>
        <w:noProof/>
        <w:lang w:val="en-GB" w:eastAsia="en-GB" w:bidi="ar-SA"/>
      </w:rPr>
      <mc:AlternateContent>
        <mc:Choice Requires="wps">
          <w:drawing>
            <wp:anchor distT="0" distB="0" distL="114300" distR="114300" simplePos="0" relativeHeight="251656189" behindDoc="1" locked="0" layoutInCell="1" allowOverlap="1" wp14:anchorId="1D15E2B8" wp14:editId="6BA77BE4">
              <wp:simplePos x="0" y="0"/>
              <wp:positionH relativeFrom="column">
                <wp:posOffset>-701039</wp:posOffset>
              </wp:positionH>
              <wp:positionV relativeFrom="paragraph">
                <wp:posOffset>-72390</wp:posOffset>
              </wp:positionV>
              <wp:extent cx="7715250" cy="666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7715250" cy="66675"/>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1E5A47" id="Rectangle 8" o:spid="_x0000_s1026" style="position:absolute;margin-left:-55.2pt;margin-top:-5.7pt;width:607.5pt;height:5.25pt;z-index:-25166029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" fillcolor="#5e565e [3205]" strokecolor="#5e565e [3205]" strokeweight="2pt"/>
          </w:pict>
        </mc:Fallback>
      </mc:AlternateConten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C5194" w14:textId="77777777" w:rsidR="00DE28B0" w:rsidRDefault="00DE28B0">
      <w:r>
        <w:rPr>
          <w:color w:val="000000"/>
        </w:rPr>
        <w:separator/>
      </w:r>
    </w:p>
  </w:footnote>
  <w:footnote w:type="continuationSeparator" w:id="0">
    <w:p w14:paraId="782C46CC" w14:textId="77777777" w:rsidR="00DE28B0" w:rsidRDefault="00DE28B0">
      <w:r>
        <w:continuationSeparator/>
      </w:r>
    </w:p>
  </w:footnote>
  <w:footnote w:id="1">
    <w:p w14:paraId="157B87E2" w14:textId="77777777" w:rsidR="00DE28B0" w:rsidRDefault="00DE28B0" w:rsidP="001647C8">
      <w:pPr>
        <w:pStyle w:val="Footnote"/>
      </w:pPr>
      <w:r>
        <w:rPr>
          <w:rFonts w:ascii="Georgia" w:eastAsia="Georgia" w:hAnsi="Georgia" w:cs="Georgia"/>
          <w:sz w:val="24"/>
          <w:szCs w:val="24"/>
          <w:vertAlign w:val="superscript"/>
        </w:rPr>
        <w:footnoteRef/>
      </w:r>
      <w:r>
        <w:rPr>
          <w:rFonts w:eastAsia="Arial Unicode MS" w:cs="Arial Unicode MS"/>
        </w:rPr>
        <w:t xml:space="preserve"> </w:t>
      </w:r>
      <w:r>
        <w:rPr>
          <w:rFonts w:eastAsia="Arial Unicode MS" w:cs="Arial Unicode MS"/>
          <w:lang w:val="de-DE"/>
        </w:rPr>
        <w:t xml:space="preserve">CSO Joint Statement on HRC36: General Debate Item 8, 25 September 2017, </w:t>
      </w:r>
      <w:r>
        <w:rPr>
          <w:rFonts w:eastAsia="Arial Unicode MS" w:cs="Arial Unicode MS"/>
        </w:rPr>
        <w:t>https://www.awid.org/sites/default/files/atoms/files/joint_cso_statement_-_for_delivery.pdf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888A9" w14:textId="77777777" w:rsidR="00DE28B0" w:rsidRDefault="00DE28B0">
    <w:pPr>
      <w:pStyle w:val="Header"/>
    </w:pPr>
    <w:r>
      <w:rPr>
        <w:noProof/>
        <w:lang w:val="en-GB" w:eastAsia="en-GB" w:bidi="ar-SA"/>
      </w:rPr>
      <w:drawing>
        <wp:inline distT="0" distB="0" distL="0" distR="0" wp14:anchorId="6985AAA3" wp14:editId="47F0302B">
          <wp:extent cx="7053580" cy="10058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3580" cy="100584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
  <w:rsids>
    <w:rsidRoot w:val="006C5DD8"/>
    <w:rsid w:val="00031656"/>
    <w:rsid w:val="00152C52"/>
    <w:rsid w:val="001647C8"/>
    <w:rsid w:val="001E502D"/>
    <w:rsid w:val="00373CA4"/>
    <w:rsid w:val="004D1144"/>
    <w:rsid w:val="005E18F3"/>
    <w:rsid w:val="005E1BF1"/>
    <w:rsid w:val="006C5DD8"/>
    <w:rsid w:val="007732C5"/>
    <w:rsid w:val="007A6B46"/>
    <w:rsid w:val="008E3782"/>
    <w:rsid w:val="009629C6"/>
    <w:rsid w:val="00AF60E6"/>
    <w:rsid w:val="00B23DEA"/>
    <w:rsid w:val="00B60309"/>
    <w:rsid w:val="00BA6E35"/>
    <w:rsid w:val="00BE61D4"/>
    <w:rsid w:val="00CF7B91"/>
    <w:rsid w:val="00DE28B0"/>
    <w:rsid w:val="00F05665"/>
    <w:rsid w:val="00F879C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DF16053"/>
  <w15:docId w15:val="{EA973744-1B98-48E6-9263-D8982114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Normal"/>
    <w:next w:val="Normal"/>
    <w:link w:val="Heading1Char"/>
    <w:uiPriority w:val="9"/>
    <w:qFormat/>
    <w:rsid w:val="009629C6"/>
    <w:pPr>
      <w:keepNext/>
      <w:keepLines/>
      <w:widowControl/>
      <w:suppressAutoHyphens w:val="0"/>
      <w:autoSpaceDN/>
      <w:spacing w:before="240" w:line="276" w:lineRule="auto"/>
      <w:textAlignment w:val="auto"/>
      <w:outlineLvl w:val="0"/>
    </w:pPr>
    <w:rPr>
      <w:rFonts w:asciiTheme="majorHAnsi" w:eastAsiaTheme="majorEastAsia" w:hAnsiTheme="majorHAnsi" w:cstheme="majorBidi"/>
      <w:color w:val="1F8537" w:themeColor="accent1" w:themeShade="BF"/>
      <w:kern w:val="0"/>
      <w:sz w:val="32"/>
      <w:szCs w:val="32"/>
      <w:lang w:val="fr-F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Footer">
    <w:name w:val="footer"/>
    <w:basedOn w:val="Standard"/>
    <w:link w:val="FooterChar"/>
    <w:uiPriority w:val="99"/>
    <w:pPr>
      <w:suppressLineNumbers/>
      <w:tabs>
        <w:tab w:val="center" w:pos="4986"/>
        <w:tab w:val="right" w:pos="9972"/>
      </w:tabs>
    </w:pPr>
  </w:style>
  <w:style w:type="paragraph" w:styleId="Header">
    <w:name w:val="header"/>
    <w:basedOn w:val="Normal"/>
    <w:link w:val="HeaderChar"/>
    <w:uiPriority w:val="99"/>
    <w:unhideWhenUsed/>
    <w:rsid w:val="00152C52"/>
    <w:pPr>
      <w:tabs>
        <w:tab w:val="center" w:pos="4513"/>
        <w:tab w:val="right" w:pos="9026"/>
      </w:tabs>
    </w:pPr>
    <w:rPr>
      <w:szCs w:val="21"/>
    </w:rPr>
  </w:style>
  <w:style w:type="character" w:customStyle="1" w:styleId="HeaderChar">
    <w:name w:val="Header Char"/>
    <w:basedOn w:val="DefaultParagraphFont"/>
    <w:link w:val="Header"/>
    <w:uiPriority w:val="99"/>
    <w:rsid w:val="00152C52"/>
    <w:rPr>
      <w:szCs w:val="21"/>
    </w:rPr>
  </w:style>
  <w:style w:type="paragraph" w:styleId="BalloonText">
    <w:name w:val="Balloon Text"/>
    <w:basedOn w:val="Normal"/>
    <w:link w:val="BalloonTextChar"/>
    <w:uiPriority w:val="99"/>
    <w:semiHidden/>
    <w:unhideWhenUsed/>
    <w:rsid w:val="00152C52"/>
    <w:rPr>
      <w:rFonts w:ascii="Tahoma" w:hAnsi="Tahoma"/>
      <w:sz w:val="16"/>
      <w:szCs w:val="14"/>
    </w:rPr>
  </w:style>
  <w:style w:type="character" w:customStyle="1" w:styleId="BalloonTextChar">
    <w:name w:val="Balloon Text Char"/>
    <w:basedOn w:val="DefaultParagraphFont"/>
    <w:link w:val="BalloonText"/>
    <w:uiPriority w:val="99"/>
    <w:semiHidden/>
    <w:rsid w:val="00152C52"/>
    <w:rPr>
      <w:rFonts w:ascii="Tahoma" w:hAnsi="Tahoma"/>
      <w:sz w:val="16"/>
      <w:szCs w:val="14"/>
    </w:rPr>
  </w:style>
  <w:style w:type="character" w:customStyle="1" w:styleId="FooterChar">
    <w:name w:val="Footer Char"/>
    <w:basedOn w:val="DefaultParagraphFont"/>
    <w:link w:val="Footer"/>
    <w:uiPriority w:val="99"/>
    <w:rsid w:val="00AF60E6"/>
  </w:style>
  <w:style w:type="table" w:styleId="TableGrid">
    <w:name w:val="Table Grid"/>
    <w:basedOn w:val="TableNormal"/>
    <w:uiPriority w:val="59"/>
    <w:rsid w:val="00AF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3782"/>
    <w:rPr>
      <w:color w:val="0000FF" w:themeColor="hyperlink"/>
      <w:u w:val="single"/>
    </w:rPr>
  </w:style>
  <w:style w:type="character" w:customStyle="1" w:styleId="Heading1Char">
    <w:name w:val="Heading 1 Char"/>
    <w:basedOn w:val="DefaultParagraphFont"/>
    <w:link w:val="Heading1"/>
    <w:uiPriority w:val="9"/>
    <w:rsid w:val="009629C6"/>
    <w:rPr>
      <w:rFonts w:asciiTheme="majorHAnsi" w:eastAsiaTheme="majorEastAsia" w:hAnsiTheme="majorHAnsi" w:cstheme="majorBidi"/>
      <w:color w:val="1F8537" w:themeColor="accent1" w:themeShade="BF"/>
      <w:kern w:val="0"/>
      <w:sz w:val="32"/>
      <w:szCs w:val="32"/>
      <w:lang w:val="fr-FR" w:eastAsia="en-US" w:bidi="ar-SA"/>
    </w:rPr>
  </w:style>
  <w:style w:type="paragraph" w:customStyle="1" w:styleId="Corps">
    <w:name w:val="Corps"/>
    <w:rsid w:val="007732C5"/>
    <w:pPr>
      <w:widowControl/>
      <w:pBdr>
        <w:top w:val="nil"/>
        <w:left w:val="nil"/>
        <w:bottom w:val="nil"/>
        <w:right w:val="nil"/>
        <w:between w:val="nil"/>
        <w:bar w:val="nil"/>
      </w:pBdr>
      <w:autoSpaceDN/>
      <w:spacing w:after="200" w:line="276" w:lineRule="auto"/>
      <w:textAlignment w:val="auto"/>
    </w:pPr>
    <w:rPr>
      <w:rFonts w:ascii="Calibri" w:eastAsia="Calibri" w:hAnsi="Calibri" w:cs="Calibri"/>
      <w:color w:val="000000"/>
      <w:kern w:val="0"/>
      <w:sz w:val="22"/>
      <w:szCs w:val="22"/>
      <w:u w:color="000000"/>
      <w:bdr w:val="nil"/>
      <w:lang w:eastAsia="en-US" w:bidi="ar-SA"/>
    </w:rPr>
  </w:style>
  <w:style w:type="paragraph" w:customStyle="1" w:styleId="Notedebasdepage">
    <w:name w:val="Note de bas de page"/>
    <w:rsid w:val="007732C5"/>
    <w:pPr>
      <w:widowControl/>
      <w:pBdr>
        <w:top w:val="nil"/>
        <w:left w:val="nil"/>
        <w:bottom w:val="nil"/>
        <w:right w:val="nil"/>
        <w:between w:val="nil"/>
        <w:bar w:val="nil"/>
      </w:pBdr>
      <w:autoSpaceDN/>
      <w:textAlignment w:val="auto"/>
    </w:pPr>
    <w:rPr>
      <w:rFonts w:ascii="Helvetica" w:eastAsia="Helvetica" w:hAnsi="Helvetica" w:cs="Helvetica"/>
      <w:color w:val="000000"/>
      <w:kern w:val="0"/>
      <w:sz w:val="22"/>
      <w:szCs w:val="22"/>
      <w:bdr w:val="nil"/>
      <w:lang w:eastAsia="en-US" w:bidi="ar-SA"/>
    </w:rPr>
  </w:style>
  <w:style w:type="character" w:styleId="FootnoteReference">
    <w:name w:val="footnote reference"/>
    <w:basedOn w:val="DefaultParagraphFont"/>
    <w:uiPriority w:val="99"/>
    <w:unhideWhenUsed/>
    <w:rsid w:val="007732C5"/>
    <w:rPr>
      <w:vertAlign w:val="superscript"/>
    </w:rPr>
  </w:style>
  <w:style w:type="character" w:customStyle="1" w:styleId="FootnoteTextChar">
    <w:name w:val="Footnote Text Char"/>
    <w:basedOn w:val="DefaultParagraphFont"/>
    <w:link w:val="FootnoteText"/>
    <w:uiPriority w:val="99"/>
    <w:rsid w:val="007732C5"/>
    <w:rPr>
      <w:sz w:val="20"/>
      <w:szCs w:val="20"/>
    </w:rPr>
  </w:style>
  <w:style w:type="paragraph" w:styleId="FootnoteText">
    <w:name w:val="footnote text"/>
    <w:basedOn w:val="Normal"/>
    <w:link w:val="FootnoteTextChar"/>
    <w:uiPriority w:val="99"/>
    <w:unhideWhenUsed/>
    <w:rsid w:val="007732C5"/>
    <w:pPr>
      <w:widowControl/>
      <w:pBdr>
        <w:top w:val="nil"/>
        <w:left w:val="nil"/>
        <w:bottom w:val="nil"/>
        <w:right w:val="nil"/>
        <w:between w:val="nil"/>
        <w:bar w:val="nil"/>
      </w:pBdr>
      <w:suppressAutoHyphens w:val="0"/>
      <w:autoSpaceDN/>
      <w:textAlignment w:val="auto"/>
    </w:pPr>
    <w:rPr>
      <w:sz w:val="20"/>
      <w:szCs w:val="20"/>
    </w:rPr>
  </w:style>
  <w:style w:type="character" w:customStyle="1" w:styleId="FootnoteTextChar1">
    <w:name w:val="Footnote Text Char1"/>
    <w:basedOn w:val="DefaultParagraphFont"/>
    <w:uiPriority w:val="99"/>
    <w:semiHidden/>
    <w:rsid w:val="007732C5"/>
  </w:style>
  <w:style w:type="paragraph" w:customStyle="1" w:styleId="paragraph">
    <w:name w:val="paragraph"/>
    <w:basedOn w:val="Normal"/>
    <w:rsid w:val="00B60309"/>
    <w:pPr>
      <w:widowControl/>
      <w:suppressAutoHyphens w:val="0"/>
      <w:autoSpaceDN/>
      <w:spacing w:before="100" w:beforeAutospacing="1" w:after="100" w:afterAutospacing="1"/>
      <w:textAlignment w:val="auto"/>
    </w:pPr>
    <w:rPr>
      <w:rFonts w:ascii="Times" w:hAnsi="Times"/>
      <w:kern w:val="0"/>
      <w:sz w:val="20"/>
      <w:szCs w:val="20"/>
      <w:lang w:eastAsia="en-US" w:bidi="ar-SA"/>
    </w:rPr>
  </w:style>
  <w:style w:type="character" w:customStyle="1" w:styleId="spellingerror">
    <w:name w:val="spellingerror"/>
    <w:basedOn w:val="DefaultParagraphFont"/>
    <w:rsid w:val="00B60309"/>
  </w:style>
  <w:style w:type="character" w:customStyle="1" w:styleId="normaltextrun">
    <w:name w:val="normaltextrun"/>
    <w:basedOn w:val="DefaultParagraphFont"/>
    <w:rsid w:val="00B60309"/>
  </w:style>
  <w:style w:type="character" w:customStyle="1" w:styleId="apple-converted-space">
    <w:name w:val="apple-converted-space"/>
    <w:basedOn w:val="DefaultParagraphFont"/>
    <w:rsid w:val="00B60309"/>
  </w:style>
  <w:style w:type="character" w:customStyle="1" w:styleId="eop">
    <w:name w:val="eop"/>
    <w:basedOn w:val="DefaultParagraphFont"/>
    <w:rsid w:val="00B60309"/>
  </w:style>
  <w:style w:type="character" w:customStyle="1" w:styleId="scx103291168">
    <w:name w:val="scx103291168"/>
    <w:basedOn w:val="DefaultParagraphFont"/>
    <w:rsid w:val="00B60309"/>
  </w:style>
  <w:style w:type="paragraph" w:customStyle="1" w:styleId="BodyA">
    <w:name w:val="Body A"/>
    <w:rsid w:val="001647C8"/>
    <w:pPr>
      <w:widowControl/>
      <w:pBdr>
        <w:top w:val="nil"/>
        <w:left w:val="nil"/>
        <w:bottom w:val="nil"/>
        <w:right w:val="nil"/>
        <w:between w:val="nil"/>
        <w:bar w:val="nil"/>
      </w:pBdr>
      <w:autoSpaceDN/>
      <w:textAlignment w:val="auto"/>
    </w:pPr>
    <w:rPr>
      <w:rFonts w:ascii="Helvetica Neue" w:eastAsia="Arial Unicode MS" w:hAnsi="Helvetica Neue" w:cs="Arial Unicode MS"/>
      <w:color w:val="000000"/>
      <w:kern w:val="0"/>
      <w:sz w:val="22"/>
      <w:szCs w:val="22"/>
      <w:u w:color="000000"/>
      <w:bdr w:val="nil"/>
      <w:lang w:val="de-DE" w:eastAsia="en-US" w:bidi="ar-SA"/>
    </w:rPr>
  </w:style>
  <w:style w:type="paragraph" w:customStyle="1" w:styleId="Footnote">
    <w:name w:val="Footnote"/>
    <w:rsid w:val="001647C8"/>
    <w:pPr>
      <w:widowControl/>
      <w:pBdr>
        <w:top w:val="nil"/>
        <w:left w:val="nil"/>
        <w:bottom w:val="nil"/>
        <w:right w:val="nil"/>
        <w:between w:val="nil"/>
        <w:bar w:val="nil"/>
      </w:pBdr>
      <w:autoSpaceDN/>
      <w:textAlignment w:val="auto"/>
    </w:pPr>
    <w:rPr>
      <w:rFonts w:ascii="Helvetica Neue" w:eastAsia="Helvetica Neue" w:hAnsi="Helvetica Neue" w:cs="Helvetica Neue"/>
      <w:color w:val="000000"/>
      <w:kern w:val="0"/>
      <w:sz w:val="22"/>
      <w:szCs w:val="22"/>
      <w:u w:color="000000"/>
      <w:bdr w:val="nil"/>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472662">
      <w:bodyDiv w:val="1"/>
      <w:marLeft w:val="0"/>
      <w:marRight w:val="0"/>
      <w:marTop w:val="0"/>
      <w:marBottom w:val="0"/>
      <w:divBdr>
        <w:top w:val="none" w:sz="0" w:space="0" w:color="auto"/>
        <w:left w:val="none" w:sz="0" w:space="0" w:color="auto"/>
        <w:bottom w:val="none" w:sz="0" w:space="0" w:color="auto"/>
        <w:right w:val="none" w:sz="0" w:space="0" w:color="auto"/>
      </w:divBdr>
      <w:divsChild>
        <w:div w:id="1009798545">
          <w:marLeft w:val="0"/>
          <w:marRight w:val="0"/>
          <w:marTop w:val="0"/>
          <w:marBottom w:val="0"/>
          <w:divBdr>
            <w:top w:val="none" w:sz="0" w:space="0" w:color="auto"/>
            <w:left w:val="none" w:sz="0" w:space="0" w:color="auto"/>
            <w:bottom w:val="none" w:sz="0" w:space="0" w:color="auto"/>
            <w:right w:val="none" w:sz="0" w:space="0" w:color="auto"/>
          </w:divBdr>
        </w:div>
        <w:div w:id="1171024848">
          <w:marLeft w:val="0"/>
          <w:marRight w:val="0"/>
          <w:marTop w:val="0"/>
          <w:marBottom w:val="0"/>
          <w:divBdr>
            <w:top w:val="none" w:sz="0" w:space="0" w:color="auto"/>
            <w:left w:val="none" w:sz="0" w:space="0" w:color="auto"/>
            <w:bottom w:val="none" w:sz="0" w:space="0" w:color="auto"/>
            <w:right w:val="none" w:sz="0" w:space="0" w:color="auto"/>
          </w:divBdr>
        </w:div>
        <w:div w:id="1151754153">
          <w:marLeft w:val="0"/>
          <w:marRight w:val="0"/>
          <w:marTop w:val="0"/>
          <w:marBottom w:val="0"/>
          <w:divBdr>
            <w:top w:val="none" w:sz="0" w:space="0" w:color="auto"/>
            <w:left w:val="none" w:sz="0" w:space="0" w:color="auto"/>
            <w:bottom w:val="none" w:sz="0" w:space="0" w:color="auto"/>
            <w:right w:val="none" w:sz="0" w:space="0" w:color="auto"/>
          </w:divBdr>
        </w:div>
        <w:div w:id="1762867416">
          <w:marLeft w:val="0"/>
          <w:marRight w:val="0"/>
          <w:marTop w:val="0"/>
          <w:marBottom w:val="0"/>
          <w:divBdr>
            <w:top w:val="none" w:sz="0" w:space="0" w:color="auto"/>
            <w:left w:val="none" w:sz="0" w:space="0" w:color="auto"/>
            <w:bottom w:val="none" w:sz="0" w:space="0" w:color="auto"/>
            <w:right w:val="none" w:sz="0" w:space="0" w:color="auto"/>
          </w:divBdr>
        </w:div>
        <w:div w:id="1439065883">
          <w:marLeft w:val="0"/>
          <w:marRight w:val="0"/>
          <w:marTop w:val="0"/>
          <w:marBottom w:val="0"/>
          <w:divBdr>
            <w:top w:val="none" w:sz="0" w:space="0" w:color="auto"/>
            <w:left w:val="none" w:sz="0" w:space="0" w:color="auto"/>
            <w:bottom w:val="none" w:sz="0" w:space="0" w:color="auto"/>
            <w:right w:val="none" w:sz="0" w:space="0" w:color="auto"/>
          </w:divBdr>
        </w:div>
        <w:div w:id="324669554">
          <w:marLeft w:val="0"/>
          <w:marRight w:val="0"/>
          <w:marTop w:val="0"/>
          <w:marBottom w:val="0"/>
          <w:divBdr>
            <w:top w:val="none" w:sz="0" w:space="0" w:color="auto"/>
            <w:left w:val="none" w:sz="0" w:space="0" w:color="auto"/>
            <w:bottom w:val="none" w:sz="0" w:space="0" w:color="auto"/>
            <w:right w:val="none" w:sz="0" w:space="0" w:color="auto"/>
          </w:divBdr>
        </w:div>
        <w:div w:id="79451561">
          <w:marLeft w:val="0"/>
          <w:marRight w:val="0"/>
          <w:marTop w:val="0"/>
          <w:marBottom w:val="0"/>
          <w:divBdr>
            <w:top w:val="none" w:sz="0" w:space="0" w:color="auto"/>
            <w:left w:val="none" w:sz="0" w:space="0" w:color="auto"/>
            <w:bottom w:val="none" w:sz="0" w:space="0" w:color="auto"/>
            <w:right w:val="none" w:sz="0" w:space="0" w:color="auto"/>
          </w:divBdr>
        </w:div>
        <w:div w:id="1520197586">
          <w:marLeft w:val="0"/>
          <w:marRight w:val="0"/>
          <w:marTop w:val="0"/>
          <w:marBottom w:val="0"/>
          <w:divBdr>
            <w:top w:val="none" w:sz="0" w:space="0" w:color="auto"/>
            <w:left w:val="none" w:sz="0" w:space="0" w:color="auto"/>
            <w:bottom w:val="none" w:sz="0" w:space="0" w:color="auto"/>
            <w:right w:val="none" w:sz="0" w:space="0" w:color="auto"/>
          </w:divBdr>
        </w:div>
        <w:div w:id="754014534">
          <w:marLeft w:val="0"/>
          <w:marRight w:val="0"/>
          <w:marTop w:val="0"/>
          <w:marBottom w:val="0"/>
          <w:divBdr>
            <w:top w:val="none" w:sz="0" w:space="0" w:color="auto"/>
            <w:left w:val="none" w:sz="0" w:space="0" w:color="auto"/>
            <w:bottom w:val="none" w:sz="0" w:space="0" w:color="auto"/>
            <w:right w:val="none" w:sz="0" w:space="0" w:color="auto"/>
          </w:divBdr>
        </w:div>
        <w:div w:id="1984118721">
          <w:marLeft w:val="0"/>
          <w:marRight w:val="0"/>
          <w:marTop w:val="0"/>
          <w:marBottom w:val="0"/>
          <w:divBdr>
            <w:top w:val="none" w:sz="0" w:space="0" w:color="auto"/>
            <w:left w:val="none" w:sz="0" w:space="0" w:color="auto"/>
            <w:bottom w:val="none" w:sz="0" w:space="0" w:color="auto"/>
            <w:right w:val="none" w:sz="0" w:space="0" w:color="auto"/>
          </w:divBdr>
        </w:div>
        <w:div w:id="2092894329">
          <w:marLeft w:val="0"/>
          <w:marRight w:val="0"/>
          <w:marTop w:val="0"/>
          <w:marBottom w:val="0"/>
          <w:divBdr>
            <w:top w:val="none" w:sz="0" w:space="0" w:color="auto"/>
            <w:left w:val="none" w:sz="0" w:space="0" w:color="auto"/>
            <w:bottom w:val="none" w:sz="0" w:space="0" w:color="auto"/>
            <w:right w:val="none" w:sz="0" w:space="0" w:color="auto"/>
          </w:divBdr>
        </w:div>
        <w:div w:id="191115477">
          <w:marLeft w:val="0"/>
          <w:marRight w:val="0"/>
          <w:marTop w:val="0"/>
          <w:marBottom w:val="0"/>
          <w:divBdr>
            <w:top w:val="none" w:sz="0" w:space="0" w:color="auto"/>
            <w:left w:val="none" w:sz="0" w:space="0" w:color="auto"/>
            <w:bottom w:val="none" w:sz="0" w:space="0" w:color="auto"/>
            <w:right w:val="none" w:sz="0" w:space="0" w:color="auto"/>
          </w:divBdr>
        </w:div>
        <w:div w:id="1665090211">
          <w:marLeft w:val="0"/>
          <w:marRight w:val="0"/>
          <w:marTop w:val="0"/>
          <w:marBottom w:val="0"/>
          <w:divBdr>
            <w:top w:val="none" w:sz="0" w:space="0" w:color="auto"/>
            <w:left w:val="none" w:sz="0" w:space="0" w:color="auto"/>
            <w:bottom w:val="none" w:sz="0" w:space="0" w:color="auto"/>
            <w:right w:val="none" w:sz="0" w:space="0" w:color="auto"/>
          </w:divBdr>
        </w:div>
        <w:div w:id="2095319169">
          <w:marLeft w:val="0"/>
          <w:marRight w:val="0"/>
          <w:marTop w:val="0"/>
          <w:marBottom w:val="0"/>
          <w:divBdr>
            <w:top w:val="none" w:sz="0" w:space="0" w:color="auto"/>
            <w:left w:val="none" w:sz="0" w:space="0" w:color="auto"/>
            <w:bottom w:val="none" w:sz="0" w:space="0" w:color="auto"/>
            <w:right w:val="none" w:sz="0" w:space="0" w:color="auto"/>
          </w:divBdr>
        </w:div>
        <w:div w:id="1233467217">
          <w:marLeft w:val="0"/>
          <w:marRight w:val="0"/>
          <w:marTop w:val="0"/>
          <w:marBottom w:val="0"/>
          <w:divBdr>
            <w:top w:val="none" w:sz="0" w:space="0" w:color="auto"/>
            <w:left w:val="none" w:sz="0" w:space="0" w:color="auto"/>
            <w:bottom w:val="none" w:sz="0" w:space="0" w:color="auto"/>
            <w:right w:val="none" w:sz="0" w:space="0" w:color="auto"/>
          </w:divBdr>
        </w:div>
        <w:div w:id="1005009897">
          <w:marLeft w:val="0"/>
          <w:marRight w:val="0"/>
          <w:marTop w:val="0"/>
          <w:marBottom w:val="0"/>
          <w:divBdr>
            <w:top w:val="none" w:sz="0" w:space="0" w:color="auto"/>
            <w:left w:val="none" w:sz="0" w:space="0" w:color="auto"/>
            <w:bottom w:val="none" w:sz="0" w:space="0" w:color="auto"/>
            <w:right w:val="none" w:sz="0" w:space="0" w:color="auto"/>
          </w:divBdr>
        </w:div>
        <w:div w:id="1714888194">
          <w:marLeft w:val="0"/>
          <w:marRight w:val="0"/>
          <w:marTop w:val="0"/>
          <w:marBottom w:val="0"/>
          <w:divBdr>
            <w:top w:val="none" w:sz="0" w:space="0" w:color="auto"/>
            <w:left w:val="none" w:sz="0" w:space="0" w:color="auto"/>
            <w:bottom w:val="none" w:sz="0" w:space="0" w:color="auto"/>
            <w:right w:val="none" w:sz="0" w:space="0" w:color="auto"/>
          </w:divBdr>
        </w:div>
        <w:div w:id="1243104651">
          <w:marLeft w:val="0"/>
          <w:marRight w:val="0"/>
          <w:marTop w:val="0"/>
          <w:marBottom w:val="0"/>
          <w:divBdr>
            <w:top w:val="none" w:sz="0" w:space="0" w:color="auto"/>
            <w:left w:val="none" w:sz="0" w:space="0" w:color="auto"/>
            <w:bottom w:val="none" w:sz="0" w:space="0" w:color="auto"/>
            <w:right w:val="none" w:sz="0" w:space="0" w:color="auto"/>
          </w:divBdr>
        </w:div>
        <w:div w:id="219638987">
          <w:marLeft w:val="0"/>
          <w:marRight w:val="0"/>
          <w:marTop w:val="0"/>
          <w:marBottom w:val="0"/>
          <w:divBdr>
            <w:top w:val="none" w:sz="0" w:space="0" w:color="auto"/>
            <w:left w:val="none" w:sz="0" w:space="0" w:color="auto"/>
            <w:bottom w:val="none" w:sz="0" w:space="0" w:color="auto"/>
            <w:right w:val="none" w:sz="0" w:space="0" w:color="auto"/>
          </w:divBdr>
        </w:div>
        <w:div w:id="1580603367">
          <w:marLeft w:val="0"/>
          <w:marRight w:val="0"/>
          <w:marTop w:val="0"/>
          <w:marBottom w:val="0"/>
          <w:divBdr>
            <w:top w:val="none" w:sz="0" w:space="0" w:color="auto"/>
            <w:left w:val="none" w:sz="0" w:space="0" w:color="auto"/>
            <w:bottom w:val="none" w:sz="0" w:space="0" w:color="auto"/>
            <w:right w:val="none" w:sz="0" w:space="0" w:color="auto"/>
          </w:divBdr>
        </w:div>
        <w:div w:id="2362695">
          <w:marLeft w:val="0"/>
          <w:marRight w:val="0"/>
          <w:marTop w:val="0"/>
          <w:marBottom w:val="0"/>
          <w:divBdr>
            <w:top w:val="none" w:sz="0" w:space="0" w:color="auto"/>
            <w:left w:val="none" w:sz="0" w:space="0" w:color="auto"/>
            <w:bottom w:val="none" w:sz="0" w:space="0" w:color="auto"/>
            <w:right w:val="none" w:sz="0" w:space="0" w:color="auto"/>
          </w:divBdr>
        </w:div>
        <w:div w:id="2041784637">
          <w:marLeft w:val="0"/>
          <w:marRight w:val="0"/>
          <w:marTop w:val="0"/>
          <w:marBottom w:val="0"/>
          <w:divBdr>
            <w:top w:val="none" w:sz="0" w:space="0" w:color="auto"/>
            <w:left w:val="none" w:sz="0" w:space="0" w:color="auto"/>
            <w:bottom w:val="none" w:sz="0" w:space="0" w:color="auto"/>
            <w:right w:val="none" w:sz="0" w:space="0" w:color="auto"/>
          </w:divBdr>
        </w:div>
        <w:div w:id="793909872">
          <w:marLeft w:val="0"/>
          <w:marRight w:val="0"/>
          <w:marTop w:val="0"/>
          <w:marBottom w:val="0"/>
          <w:divBdr>
            <w:top w:val="none" w:sz="0" w:space="0" w:color="auto"/>
            <w:left w:val="none" w:sz="0" w:space="0" w:color="auto"/>
            <w:bottom w:val="none" w:sz="0" w:space="0" w:color="auto"/>
            <w:right w:val="none" w:sz="0" w:space="0" w:color="auto"/>
          </w:divBdr>
        </w:div>
        <w:div w:id="1487084484">
          <w:marLeft w:val="0"/>
          <w:marRight w:val="0"/>
          <w:marTop w:val="0"/>
          <w:marBottom w:val="0"/>
          <w:divBdr>
            <w:top w:val="none" w:sz="0" w:space="0" w:color="auto"/>
            <w:left w:val="none" w:sz="0" w:space="0" w:color="auto"/>
            <w:bottom w:val="none" w:sz="0" w:space="0" w:color="auto"/>
            <w:right w:val="none" w:sz="0" w:space="0" w:color="auto"/>
          </w:divBdr>
        </w:div>
        <w:div w:id="1349334698">
          <w:marLeft w:val="0"/>
          <w:marRight w:val="0"/>
          <w:marTop w:val="0"/>
          <w:marBottom w:val="0"/>
          <w:divBdr>
            <w:top w:val="none" w:sz="0" w:space="0" w:color="auto"/>
            <w:left w:val="none" w:sz="0" w:space="0" w:color="auto"/>
            <w:bottom w:val="none" w:sz="0" w:space="0" w:color="auto"/>
            <w:right w:val="none" w:sz="0" w:space="0" w:color="auto"/>
          </w:divBdr>
        </w:div>
        <w:div w:id="534074396">
          <w:marLeft w:val="0"/>
          <w:marRight w:val="0"/>
          <w:marTop w:val="0"/>
          <w:marBottom w:val="0"/>
          <w:divBdr>
            <w:top w:val="none" w:sz="0" w:space="0" w:color="auto"/>
            <w:left w:val="none" w:sz="0" w:space="0" w:color="auto"/>
            <w:bottom w:val="none" w:sz="0" w:space="0" w:color="auto"/>
            <w:right w:val="none" w:sz="0" w:space="0" w:color="auto"/>
          </w:divBdr>
        </w:div>
        <w:div w:id="1373965442">
          <w:marLeft w:val="0"/>
          <w:marRight w:val="0"/>
          <w:marTop w:val="0"/>
          <w:marBottom w:val="0"/>
          <w:divBdr>
            <w:top w:val="none" w:sz="0" w:space="0" w:color="auto"/>
            <w:left w:val="none" w:sz="0" w:space="0" w:color="auto"/>
            <w:bottom w:val="none" w:sz="0" w:space="0" w:color="auto"/>
            <w:right w:val="none" w:sz="0" w:space="0" w:color="auto"/>
          </w:divBdr>
        </w:div>
        <w:div w:id="13928511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contranocendi.org" TargetMode="External"/><Relationship Id="rId1" Type="http://schemas.openxmlformats.org/officeDocument/2006/relationships/hyperlink" Target="http://www.contranocend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2AB34B"/>
      </a:accent1>
      <a:accent2>
        <a:srgbClr val="5E565E"/>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AD9ED0-A9B3-4281-BE69-AE9692D4B6BD}"/>
</file>

<file path=customXml/itemProps2.xml><?xml version="1.0" encoding="utf-8"?>
<ds:datastoreItem xmlns:ds="http://schemas.openxmlformats.org/officeDocument/2006/customXml" ds:itemID="{3F5A2D44-A045-45B8-94CD-B116B9A20F6D}"/>
</file>

<file path=customXml/itemProps3.xml><?xml version="1.0" encoding="utf-8"?>
<ds:datastoreItem xmlns:ds="http://schemas.openxmlformats.org/officeDocument/2006/customXml" ds:itemID="{F25C0395-1515-462C-997F-6B15901DF2BC}"/>
</file>

<file path=docProps/app.xml><?xml version="1.0" encoding="utf-8"?>
<Properties xmlns="http://schemas.openxmlformats.org/officeDocument/2006/extended-properties" xmlns:vt="http://schemas.openxmlformats.org/officeDocument/2006/docPropsVTypes">
  <Template>Normal.dotm</Template>
  <TotalTime>0</TotalTime>
  <Pages>4</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Paras Chaudhary</dc:creator>
  <cp:lastModifiedBy>Durnescu Lilian</cp:lastModifiedBy>
  <cp:revision>2</cp:revision>
  <cp:lastPrinted>2016-06-29T19:08:00Z</cp:lastPrinted>
  <dcterms:created xsi:type="dcterms:W3CDTF">2017-10-09T07:10:00Z</dcterms:created>
  <dcterms:modified xsi:type="dcterms:W3CDTF">2017-10-09T07:10:00Z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