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0635" w14:textId="3DE0A464" w:rsidR="00717889" w:rsidRPr="005C73CE" w:rsidRDefault="00E11C64">
      <w:pPr>
        <w:pStyle w:val="Corpo"/>
        <w:rPr>
          <w:rFonts w:ascii="Times New Roman" w:hAnsi="Times New Roman" w:cs="Times New Roman"/>
          <w:b/>
          <w:bCs/>
        </w:rPr>
      </w:pPr>
      <w:bookmarkStart w:id="0" w:name="_GoBack"/>
      <w:bookmarkEnd w:id="0"/>
      <w:r w:rsidRPr="005C73CE">
        <w:rPr>
          <w:rFonts w:ascii="Times New Roman" w:hAnsi="Times New Roman" w:cs="Times New Roman"/>
          <w:b/>
          <w:bCs/>
        </w:rPr>
        <w:t>Comments by the Expert Mechanism on the Rights of Indigenous Peoples (EMRIP) on the Human Rights Committee</w:t>
      </w:r>
      <w:r w:rsidRPr="005C73CE">
        <w:rPr>
          <w:rFonts w:ascii="Times New Roman" w:hAnsi="Times New Roman" w:cs="Times New Roman"/>
          <w:b/>
          <w:bCs/>
          <w:lang w:val="en-GB"/>
        </w:rPr>
        <w:t>’</w:t>
      </w:r>
      <w:r w:rsidRPr="005C73CE">
        <w:rPr>
          <w:rFonts w:ascii="Times New Roman" w:hAnsi="Times New Roman" w:cs="Times New Roman"/>
          <w:b/>
          <w:bCs/>
        </w:rPr>
        <w:t>s Draft General Comment on the right to life</w:t>
      </w:r>
      <w:r w:rsidR="003047E4">
        <w:rPr>
          <w:rFonts w:ascii="Times New Roman" w:hAnsi="Times New Roman" w:cs="Times New Roman"/>
          <w:b/>
          <w:bCs/>
        </w:rPr>
        <w:t xml:space="preserve"> (29 September 2017)</w:t>
      </w:r>
    </w:p>
    <w:p w14:paraId="3CFC02AF" w14:textId="77777777" w:rsidR="00717889" w:rsidRPr="005C73CE" w:rsidRDefault="00717889">
      <w:pPr>
        <w:pStyle w:val="Corpo"/>
        <w:rPr>
          <w:rFonts w:ascii="Times New Roman" w:hAnsi="Times New Roman" w:cs="Times New Roman"/>
        </w:rPr>
      </w:pPr>
    </w:p>
    <w:p w14:paraId="2AFFCEEA" w14:textId="77777777" w:rsidR="00717889" w:rsidRPr="005C73CE" w:rsidRDefault="00E11C64">
      <w:pPr>
        <w:pStyle w:val="Corpo"/>
        <w:rPr>
          <w:rFonts w:ascii="Times New Roman" w:hAnsi="Times New Roman" w:cs="Times New Roman"/>
        </w:rPr>
      </w:pPr>
      <w:r w:rsidRPr="005C73CE">
        <w:rPr>
          <w:rFonts w:ascii="Times New Roman" w:hAnsi="Times New Roman" w:cs="Times New Roman"/>
        </w:rPr>
        <w:t>1. The EMRIP welcomes the opportunity to be in a position to comment on the Human Rights Committee</w:t>
      </w:r>
      <w:r w:rsidRPr="005C73CE">
        <w:rPr>
          <w:rFonts w:ascii="Times New Roman" w:hAnsi="Times New Roman" w:cs="Times New Roman"/>
          <w:lang w:val="en-GB"/>
        </w:rPr>
        <w:t>’</w:t>
      </w:r>
      <w:r w:rsidRPr="005C73CE">
        <w:rPr>
          <w:rFonts w:ascii="Times New Roman" w:hAnsi="Times New Roman" w:cs="Times New Roman"/>
        </w:rPr>
        <w:t>s draft General Comment on the Right to Life, particularly in the context of EMRIP</w:t>
      </w:r>
      <w:r w:rsidRPr="005C73CE">
        <w:rPr>
          <w:rFonts w:ascii="Times New Roman" w:hAnsi="Times New Roman" w:cs="Times New Roman"/>
          <w:lang w:val="en-GB"/>
        </w:rPr>
        <w:t>’</w:t>
      </w:r>
      <w:r w:rsidRPr="005C73CE">
        <w:rPr>
          <w:rFonts w:ascii="Times New Roman" w:hAnsi="Times New Roman" w:cs="Times New Roman"/>
        </w:rPr>
        <w:t>s new mandate from the Human Rights Council to engage with treaty bodies on follow-up to recommendations (A/HRC/RES/ 33/25)</w:t>
      </w:r>
      <w:r w:rsidRPr="005C73CE">
        <w:rPr>
          <w:rStyle w:val="FootnoteReference"/>
          <w:rFonts w:ascii="Times New Roman" w:hAnsi="Times New Roman" w:cs="Times New Roman"/>
        </w:rPr>
        <w:footnoteReference w:id="2"/>
      </w:r>
      <w:r w:rsidRPr="005C73CE">
        <w:rPr>
          <w:rFonts w:ascii="Times New Roman" w:hAnsi="Times New Roman" w:cs="Times New Roman"/>
        </w:rPr>
        <w:t>.</w:t>
      </w:r>
    </w:p>
    <w:p w14:paraId="32B1AA98" w14:textId="77777777" w:rsidR="00717889" w:rsidRPr="005C73CE" w:rsidRDefault="00717889">
      <w:pPr>
        <w:pStyle w:val="Corpo"/>
        <w:rPr>
          <w:rFonts w:ascii="Times New Roman" w:hAnsi="Times New Roman" w:cs="Times New Roman"/>
        </w:rPr>
      </w:pPr>
    </w:p>
    <w:p w14:paraId="64EA5CE9" w14:textId="4888CEDF" w:rsidR="00717889" w:rsidRPr="005C73CE" w:rsidRDefault="00A54E9E">
      <w:pPr>
        <w:pStyle w:val="Corpo"/>
        <w:rPr>
          <w:rFonts w:ascii="Times New Roman" w:hAnsi="Times New Roman" w:cs="Times New Roman"/>
        </w:rPr>
      </w:pPr>
      <w:r>
        <w:rPr>
          <w:rFonts w:ascii="Times New Roman" w:hAnsi="Times New Roman" w:cs="Times New Roman"/>
        </w:rPr>
        <w:t xml:space="preserve">2. The EMRIP is supportive of </w:t>
      </w:r>
      <w:r w:rsidR="00E11C64" w:rsidRPr="005C73CE">
        <w:rPr>
          <w:rFonts w:ascii="Times New Roman" w:hAnsi="Times New Roman" w:cs="Times New Roman"/>
        </w:rPr>
        <w:t>many aspects of the draft in particular the clarification on the general conditions that States should address to protect life notably</w:t>
      </w:r>
      <w:r>
        <w:rPr>
          <w:rFonts w:ascii="Times New Roman" w:hAnsi="Times New Roman" w:cs="Times New Roman"/>
        </w:rPr>
        <w:t>,</w:t>
      </w:r>
      <w:r w:rsidR="00E11C64" w:rsidRPr="005C73CE">
        <w:rPr>
          <w:rFonts w:ascii="Times New Roman" w:hAnsi="Times New Roman" w:cs="Times New Roman"/>
        </w:rPr>
        <w:t xml:space="preserve"> paras 30., and 65 on the environment (which is of particular importance to indigenous peoples) and the references to the jurisprudence of the inter America system</w:t>
      </w:r>
      <w:r>
        <w:rPr>
          <w:rFonts w:ascii="Times New Roman" w:hAnsi="Times New Roman" w:cs="Times New Roman"/>
        </w:rPr>
        <w:t>,</w:t>
      </w:r>
      <w:r w:rsidR="00E11C64" w:rsidRPr="005C73CE">
        <w:rPr>
          <w:rFonts w:ascii="Times New Roman" w:hAnsi="Times New Roman" w:cs="Times New Roman"/>
        </w:rPr>
        <w:t xml:space="preserve"> which has a lot of jurisprudence on indigenous issues.  However, it would welcome more references (there is currently only one) to indigenous peoples in these and other paragraphs, as well as references to the Declaration on the Rights of Indigenous Peoples (UNDRIP: the recognized global standard on indigenous peoples</w:t>
      </w:r>
      <w:r w:rsidR="00E11C64" w:rsidRPr="005C73CE">
        <w:rPr>
          <w:rFonts w:ascii="Times New Roman" w:hAnsi="Times New Roman" w:cs="Times New Roman"/>
          <w:lang w:val="en-GB"/>
        </w:rPr>
        <w:t xml:space="preserve">’ </w:t>
      </w:r>
      <w:r w:rsidR="00E11C64" w:rsidRPr="005C73CE">
        <w:rPr>
          <w:rFonts w:ascii="Times New Roman" w:hAnsi="Times New Roman" w:cs="Times New Roman"/>
        </w:rPr>
        <w:t>rights).</w:t>
      </w:r>
    </w:p>
    <w:p w14:paraId="0DFB52BB" w14:textId="77777777" w:rsidR="00717889" w:rsidRPr="005C73CE" w:rsidRDefault="00717889">
      <w:pPr>
        <w:pStyle w:val="Corpo"/>
        <w:rPr>
          <w:rFonts w:ascii="Times New Roman" w:hAnsi="Times New Roman" w:cs="Times New Roman"/>
        </w:rPr>
      </w:pPr>
    </w:p>
    <w:p w14:paraId="7DA17B9D" w14:textId="77777777" w:rsidR="00717889" w:rsidRPr="005C73CE" w:rsidRDefault="00E11C64">
      <w:pPr>
        <w:pStyle w:val="Corpo"/>
        <w:rPr>
          <w:rFonts w:ascii="Times New Roman" w:hAnsi="Times New Roman" w:cs="Times New Roman"/>
        </w:rPr>
      </w:pPr>
      <w:r w:rsidRPr="005C73CE">
        <w:rPr>
          <w:rFonts w:ascii="Times New Roman" w:hAnsi="Times New Roman" w:cs="Times New Roman"/>
        </w:rPr>
        <w:t>3. The EMRIP would wish to make the following suggestions for the benefit of indigenous peoples and the implementation of the UNDRIP.</w:t>
      </w:r>
    </w:p>
    <w:p w14:paraId="37103244" w14:textId="77777777" w:rsidR="00717889" w:rsidRPr="005C73CE" w:rsidRDefault="00717889">
      <w:pPr>
        <w:pStyle w:val="Corpo"/>
        <w:rPr>
          <w:rFonts w:ascii="Times New Roman" w:hAnsi="Times New Roman" w:cs="Times New Roman"/>
        </w:rPr>
      </w:pPr>
    </w:p>
    <w:p w14:paraId="03653AD7" w14:textId="77777777" w:rsidR="00717889" w:rsidRPr="005C73CE" w:rsidRDefault="00E11C64">
      <w:pPr>
        <w:pStyle w:val="Corpo"/>
        <w:rPr>
          <w:rFonts w:ascii="Times New Roman" w:hAnsi="Times New Roman" w:cs="Times New Roman"/>
        </w:rPr>
      </w:pPr>
      <w:r w:rsidRPr="005C73CE">
        <w:rPr>
          <w:rFonts w:ascii="Times New Roman" w:hAnsi="Times New Roman" w:cs="Times New Roman"/>
        </w:rPr>
        <w:t>4. Para. 2: The third line relates to the importance of the right to life for the “individual” and for “society as a whole”. Given the special nature of indigenous peoples “collective right to live in freedom, peace and security” within the terms of article 7 of the UNDRIP, and where each individual right matters to the community, it would be appreciated if the collective dimension of the right to life could be included here. See “Norms and jurisprudence of the Inter-American Human Rights System, 2010, para. 154 on the right to life, which refers to IACHR jurisprudence</w:t>
      </w:r>
      <w:r w:rsidRPr="005C73CE">
        <w:rPr>
          <w:rStyle w:val="FootnoteReference"/>
          <w:rFonts w:ascii="Times New Roman" w:hAnsi="Times New Roman" w:cs="Times New Roman"/>
        </w:rPr>
        <w:footnoteReference w:id="3"/>
      </w:r>
      <w:r w:rsidRPr="005C73CE">
        <w:rPr>
          <w:rFonts w:ascii="Times New Roman" w:hAnsi="Times New Roman" w:cs="Times New Roman"/>
        </w:rPr>
        <w:t>.</w:t>
      </w:r>
    </w:p>
    <w:p w14:paraId="5D8EFF4E" w14:textId="77777777" w:rsidR="00717889" w:rsidRPr="005C73CE" w:rsidRDefault="00717889">
      <w:pPr>
        <w:pStyle w:val="Corpo"/>
        <w:rPr>
          <w:rFonts w:ascii="Times New Roman" w:hAnsi="Times New Roman" w:cs="Times New Roman"/>
        </w:rPr>
      </w:pPr>
    </w:p>
    <w:p w14:paraId="51E52BD3" w14:textId="43752677" w:rsidR="00717889" w:rsidRPr="005C73CE" w:rsidRDefault="00E11C64">
      <w:pPr>
        <w:pStyle w:val="Corpo"/>
        <w:rPr>
          <w:rFonts w:ascii="Times New Roman" w:hAnsi="Times New Roman" w:cs="Times New Roman"/>
        </w:rPr>
      </w:pPr>
      <w:r w:rsidRPr="005C73CE">
        <w:rPr>
          <w:rFonts w:ascii="Times New Roman" w:hAnsi="Times New Roman" w:cs="Times New Roman"/>
        </w:rPr>
        <w:t>5. Para. 3: Second line after the words “individuals”, it would be important to add “peoples” to reflect the right to life of indigenous peoples</w:t>
      </w:r>
      <w:r w:rsidR="00A54E9E">
        <w:rPr>
          <w:rFonts w:ascii="Times New Roman" w:hAnsi="Times New Roman" w:cs="Times New Roman"/>
        </w:rPr>
        <w:t>,</w:t>
      </w:r>
      <w:r w:rsidRPr="005C73CE">
        <w:rPr>
          <w:rFonts w:ascii="Times New Roman" w:hAnsi="Times New Roman" w:cs="Times New Roman"/>
        </w:rPr>
        <w:t xml:space="preserve"> as set out in article 7 of the UNDRIP.</w:t>
      </w:r>
    </w:p>
    <w:p w14:paraId="06191F5A" w14:textId="77777777" w:rsidR="00717889" w:rsidRPr="005C73CE" w:rsidRDefault="00717889">
      <w:pPr>
        <w:pStyle w:val="Corpo"/>
        <w:rPr>
          <w:rFonts w:ascii="Times New Roman" w:hAnsi="Times New Roman" w:cs="Times New Roman"/>
        </w:rPr>
      </w:pPr>
    </w:p>
    <w:p w14:paraId="3E66FD5D" w14:textId="63D335F8" w:rsidR="00717889" w:rsidRPr="005C73CE" w:rsidRDefault="00E11C64">
      <w:pPr>
        <w:pStyle w:val="Corpo"/>
        <w:rPr>
          <w:rFonts w:ascii="Times New Roman" w:hAnsi="Times New Roman" w:cs="Times New Roman"/>
        </w:rPr>
      </w:pPr>
      <w:r w:rsidRPr="005C73CE">
        <w:rPr>
          <w:rFonts w:ascii="Times New Roman" w:hAnsi="Times New Roman" w:cs="Times New Roman"/>
        </w:rPr>
        <w:t>6. Para. 5: Either here or in some other part of the text it would be important to refer to States duty to protect the lives and integrity of peoples in voluntary isolation in order to ensure their survival. As expressed by Special Rapporteur</w:t>
      </w:r>
      <w:r w:rsidR="00D01ABB" w:rsidRPr="005C73CE">
        <w:rPr>
          <w:rFonts w:ascii="Times New Roman" w:hAnsi="Times New Roman" w:cs="Times New Roman"/>
        </w:rPr>
        <w:t>s</w:t>
      </w:r>
      <w:r w:rsidRPr="005C73CE">
        <w:rPr>
          <w:rFonts w:ascii="Times New Roman" w:hAnsi="Times New Roman" w:cs="Times New Roman"/>
        </w:rPr>
        <w:t xml:space="preserve"> on the situation of human rights and fundamental freedoms of indigenous people</w:t>
      </w:r>
      <w:r w:rsidR="00A54E9E">
        <w:rPr>
          <w:rFonts w:ascii="Times New Roman" w:hAnsi="Times New Roman" w:cs="Times New Roman"/>
        </w:rPr>
        <w:t xml:space="preserve"> and on the rights of indigenous peoples</w:t>
      </w:r>
      <w:r w:rsidRPr="005C73CE">
        <w:rPr>
          <w:rFonts w:ascii="Times New Roman" w:hAnsi="Times New Roman" w:cs="Times New Roman"/>
        </w:rPr>
        <w:t xml:space="preserve">, many of these communities are on the brink of what some describe as genocide, owing to oil exploration, timber extraction, the introduction of vast commercial plantations, infrastructure works, missionary activity, </w:t>
      </w:r>
      <w:r w:rsidR="00777B53" w:rsidRPr="005C73CE">
        <w:rPr>
          <w:rFonts w:ascii="Times New Roman" w:hAnsi="Times New Roman" w:cs="Times New Roman"/>
        </w:rPr>
        <w:t xml:space="preserve">sex trade and </w:t>
      </w:r>
      <w:r w:rsidR="00777B53" w:rsidRPr="005C73CE">
        <w:rPr>
          <w:rFonts w:ascii="Times New Roman" w:hAnsi="Times New Roman" w:cs="Times New Roman"/>
        </w:rPr>
        <w:lastRenderedPageBreak/>
        <w:t xml:space="preserve">human trafficking, </w:t>
      </w:r>
      <w:r w:rsidRPr="005C73CE">
        <w:rPr>
          <w:rFonts w:ascii="Times New Roman" w:hAnsi="Times New Roman" w:cs="Times New Roman"/>
        </w:rPr>
        <w:t>drug trafficking</w:t>
      </w:r>
      <w:r w:rsidR="00777B53" w:rsidRPr="005C73CE">
        <w:rPr>
          <w:rFonts w:ascii="Times New Roman" w:hAnsi="Times New Roman" w:cs="Times New Roman"/>
        </w:rPr>
        <w:t xml:space="preserve">, weapons testing, military activities, and </w:t>
      </w:r>
      <w:r w:rsidRPr="005C73CE">
        <w:rPr>
          <w:rFonts w:ascii="Times New Roman" w:hAnsi="Times New Roman" w:cs="Times New Roman"/>
        </w:rPr>
        <w:t xml:space="preserve">international tourism. </w:t>
      </w:r>
      <w:r w:rsidRPr="005C73CE">
        <w:rPr>
          <w:rStyle w:val="FootnoteReference"/>
          <w:rFonts w:ascii="Times New Roman" w:hAnsi="Times New Roman" w:cs="Times New Roman"/>
        </w:rPr>
        <w:footnoteReference w:id="4"/>
      </w:r>
      <w:r w:rsidR="00BF47E8" w:rsidRPr="005C73CE">
        <w:rPr>
          <w:rFonts w:ascii="Times New Roman" w:hAnsi="Times New Roman" w:cs="Times New Roman"/>
        </w:rPr>
        <w:t xml:space="preserve"> </w:t>
      </w:r>
    </w:p>
    <w:p w14:paraId="54D7AA25" w14:textId="4595BC8F" w:rsidR="00717889" w:rsidRPr="005C73CE" w:rsidRDefault="00E11C64" w:rsidP="00D01ABB">
      <w:pPr>
        <w:pStyle w:val="NormalWeb"/>
      </w:pPr>
      <w:r w:rsidRPr="005C73CE">
        <w:t>8. Para 10: It would be important to refer to the suicide of indigenous peoples</w:t>
      </w:r>
      <w:r w:rsidR="00A54E9E">
        <w:t>,</w:t>
      </w:r>
      <w:r w:rsidRPr="005C73CE">
        <w:t xml:space="preserve"> which is a critical issue in many countries like Canada, USA, </w:t>
      </w:r>
      <w:r w:rsidR="00A54E9E">
        <w:t xml:space="preserve">and </w:t>
      </w:r>
      <w:r w:rsidRPr="005C73CE">
        <w:t>Brazil.</w:t>
      </w:r>
      <w:r w:rsidR="00D01ABB" w:rsidRPr="005C73CE">
        <w:rPr>
          <w:rStyle w:val="FootnoteReference"/>
        </w:rPr>
        <w:footnoteReference w:id="5"/>
      </w:r>
      <w:r w:rsidR="001F02CF" w:rsidRPr="005C73CE">
        <w:rPr>
          <w:rFonts w:eastAsia="Arial Unicode MS"/>
        </w:rPr>
        <w:t xml:space="preserve"> This is often due to the intergenerational trauma related to removal from their</w:t>
      </w:r>
      <w:r w:rsidR="00777B53" w:rsidRPr="005C73CE">
        <w:rPr>
          <w:rFonts w:eastAsia="Arial Unicode MS"/>
        </w:rPr>
        <w:t xml:space="preserve"> parents,</w:t>
      </w:r>
      <w:r w:rsidR="001F02CF" w:rsidRPr="005C73CE">
        <w:rPr>
          <w:rFonts w:eastAsia="Arial Unicode MS"/>
        </w:rPr>
        <w:t xml:space="preserve"> </w:t>
      </w:r>
      <w:r w:rsidR="00490876" w:rsidRPr="005C73CE">
        <w:rPr>
          <w:rFonts w:eastAsia="Arial Unicode MS"/>
        </w:rPr>
        <w:t>families</w:t>
      </w:r>
      <w:r w:rsidR="00777B53" w:rsidRPr="005C73CE">
        <w:rPr>
          <w:rFonts w:eastAsia="Arial Unicode MS"/>
        </w:rPr>
        <w:t>, homes,</w:t>
      </w:r>
      <w:r w:rsidR="00490876" w:rsidRPr="005C73CE">
        <w:rPr>
          <w:rFonts w:eastAsia="Arial Unicode MS"/>
        </w:rPr>
        <w:t xml:space="preserve"> and </w:t>
      </w:r>
      <w:r w:rsidR="001F02CF" w:rsidRPr="005C73CE">
        <w:rPr>
          <w:rFonts w:eastAsia="Arial Unicode MS"/>
        </w:rPr>
        <w:t>lands</w:t>
      </w:r>
      <w:r w:rsidR="00777B53" w:rsidRPr="005C73CE">
        <w:rPr>
          <w:rFonts w:eastAsia="Arial Unicode MS"/>
        </w:rPr>
        <w:t xml:space="preserve">, as well as </w:t>
      </w:r>
      <w:r w:rsidR="001F02CF" w:rsidRPr="005C73CE">
        <w:rPr>
          <w:rFonts w:eastAsia="Arial Unicode MS"/>
        </w:rPr>
        <w:t xml:space="preserve">limitations on the use of their </w:t>
      </w:r>
      <w:r w:rsidR="00777B53" w:rsidRPr="005C73CE">
        <w:rPr>
          <w:rFonts w:eastAsia="Arial Unicode MS"/>
        </w:rPr>
        <w:t xml:space="preserve">indigenous </w:t>
      </w:r>
      <w:r w:rsidR="001F02CF" w:rsidRPr="005C73CE">
        <w:rPr>
          <w:rFonts w:eastAsia="Arial Unicode MS"/>
        </w:rPr>
        <w:t>languages, cultural practices and religion</w:t>
      </w:r>
      <w:r w:rsidR="00777B53" w:rsidRPr="005C73CE">
        <w:rPr>
          <w:rFonts w:eastAsia="Arial Unicode MS"/>
        </w:rPr>
        <w:t>s</w:t>
      </w:r>
      <w:r w:rsidR="00A54E9E">
        <w:rPr>
          <w:rFonts w:eastAsia="Arial Unicode MS"/>
        </w:rPr>
        <w:t xml:space="preserve">. </w:t>
      </w:r>
      <w:r w:rsidR="00CA7099" w:rsidRPr="005C73CE">
        <w:rPr>
          <w:rFonts w:eastAsia="Arial Unicode MS"/>
        </w:rPr>
        <w:t xml:space="preserve">A reference to </w:t>
      </w:r>
      <w:r w:rsidR="00896392" w:rsidRPr="005C73CE">
        <w:t>the Ogoni case</w:t>
      </w:r>
      <w:r w:rsidR="00CA7099" w:rsidRPr="005C73CE">
        <w:rPr>
          <w:rStyle w:val="FootnoteReference"/>
        </w:rPr>
        <w:footnoteReference w:id="6"/>
      </w:r>
      <w:r w:rsidR="00896392" w:rsidRPr="005C73CE">
        <w:t xml:space="preserve">, </w:t>
      </w:r>
      <w:r w:rsidR="00CA7099" w:rsidRPr="005C73CE">
        <w:t xml:space="preserve">of </w:t>
      </w:r>
      <w:r w:rsidR="00896392" w:rsidRPr="005C73CE">
        <w:t xml:space="preserve">the African Commission on Human and Peoples’ Rights </w:t>
      </w:r>
      <w:r w:rsidR="00CA7099" w:rsidRPr="005C73CE">
        <w:t>is also suggested</w:t>
      </w:r>
      <w:r w:rsidR="00D01ABB" w:rsidRPr="005C73CE">
        <w:t xml:space="preserve">, </w:t>
      </w:r>
      <w:r w:rsidR="00896392" w:rsidRPr="005C73CE">
        <w:t>arguing that a combination of targeted killings, poll</w:t>
      </w:r>
      <w:r w:rsidR="007A3FB7" w:rsidRPr="005C73CE">
        <w:t>ution and degradation of</w:t>
      </w:r>
      <w:r w:rsidR="00D01ABB" w:rsidRPr="005C73CE">
        <w:t xml:space="preserve"> lands </w:t>
      </w:r>
      <w:r w:rsidR="00896392" w:rsidRPr="005C73CE">
        <w:t>amounted to violation of the right</w:t>
      </w:r>
      <w:r w:rsidR="00D01ABB" w:rsidRPr="005C73CE">
        <w:t xml:space="preserve"> to life. </w:t>
      </w:r>
    </w:p>
    <w:p w14:paraId="56703223" w14:textId="5C7146D9" w:rsidR="003312D8" w:rsidRPr="005C73CE" w:rsidRDefault="00A54E9E">
      <w:pPr>
        <w:pStyle w:val="Corpo"/>
        <w:rPr>
          <w:rFonts w:ascii="Times New Roman" w:hAnsi="Times New Roman" w:cs="Times New Roman"/>
        </w:rPr>
      </w:pPr>
      <w:r>
        <w:rPr>
          <w:rFonts w:ascii="Times New Roman" w:hAnsi="Times New Roman" w:cs="Times New Roman"/>
        </w:rPr>
        <w:t>9. Para. 27</w:t>
      </w:r>
      <w:r w:rsidR="00E11C64" w:rsidRPr="005C73CE">
        <w:rPr>
          <w:rFonts w:ascii="Times New Roman" w:hAnsi="Times New Roman" w:cs="Times New Roman"/>
        </w:rPr>
        <w:t>: It would be important to add indigenous peoples here as a vulnerable group with references to the cases of the IACHR, including on the massacres of indigenous peoples, e.g. in the case of Plan de Sá</w:t>
      </w:r>
      <w:r>
        <w:rPr>
          <w:rFonts w:ascii="Times New Roman" w:hAnsi="Times New Roman" w:cs="Times New Roman"/>
          <w:lang w:val="en-GB"/>
        </w:rPr>
        <w:t>nchez Massacre v. Guatemala a</w:t>
      </w:r>
      <w:r w:rsidR="00E11C64" w:rsidRPr="005C73CE">
        <w:rPr>
          <w:rFonts w:ascii="Times New Roman" w:hAnsi="Times New Roman" w:cs="Times New Roman"/>
        </w:rPr>
        <w:t>n</w:t>
      </w:r>
      <w:r>
        <w:rPr>
          <w:rFonts w:ascii="Times New Roman" w:hAnsi="Times New Roman" w:cs="Times New Roman"/>
        </w:rPr>
        <w:t xml:space="preserve">d </w:t>
      </w:r>
      <w:r w:rsidR="00E11C64" w:rsidRPr="005C73CE">
        <w:rPr>
          <w:rFonts w:ascii="Times New Roman" w:hAnsi="Times New Roman" w:cs="Times New Roman"/>
        </w:rPr>
        <w:t>other cases decided by the IACHR on the right to life of indigenous peoples</w:t>
      </w:r>
      <w:r>
        <w:rPr>
          <w:rFonts w:ascii="Times New Roman" w:hAnsi="Times New Roman" w:cs="Times New Roman"/>
        </w:rPr>
        <w:t>,</w:t>
      </w:r>
      <w:r w:rsidR="00E11C64" w:rsidRPr="005C73CE">
        <w:rPr>
          <w:rFonts w:ascii="Times New Roman" w:hAnsi="Times New Roman" w:cs="Times New Roman"/>
        </w:rPr>
        <w:t xml:space="preserve"> as set out in the report at </w:t>
      </w:r>
      <w:hyperlink r:id="rId7" w:history="1">
        <w:r w:rsidR="00E11C64" w:rsidRPr="005C73CE">
          <w:rPr>
            <w:rStyle w:val="Hyperlink1"/>
            <w:rFonts w:ascii="Times New Roman" w:hAnsi="Times New Roman" w:cs="Times New Roman"/>
          </w:rPr>
          <w:t>http://www.oas.org/en/iachr/indigenous/docs/pdf/ancestrallands.pdf</w:t>
        </w:r>
      </w:hyperlink>
      <w:r w:rsidR="00E11C64" w:rsidRPr="005C73CE">
        <w:rPr>
          <w:rFonts w:ascii="Times New Roman" w:hAnsi="Times New Roman" w:cs="Times New Roman"/>
        </w:rPr>
        <w:br/>
      </w:r>
      <w:r>
        <w:rPr>
          <w:rFonts w:ascii="Times New Roman" w:hAnsi="Times New Roman" w:cs="Times New Roman"/>
        </w:rPr>
        <w:t xml:space="preserve">In the middle of this paragraph, </w:t>
      </w:r>
      <w:r w:rsidR="003312D8" w:rsidRPr="005C73CE">
        <w:rPr>
          <w:rFonts w:ascii="Times New Roman" w:hAnsi="Times New Roman" w:cs="Times New Roman"/>
        </w:rPr>
        <w:t>it would be useful to mention the importance of the State respecting indigenous customary systems, including through strengthening their communal life and collective forms of organization, that ensure their protection and wellbeing.</w:t>
      </w:r>
    </w:p>
    <w:p w14:paraId="2940548A" w14:textId="77777777" w:rsidR="003312D8" w:rsidRPr="005C73CE" w:rsidRDefault="003312D8">
      <w:pPr>
        <w:pStyle w:val="Corpo"/>
        <w:rPr>
          <w:rFonts w:ascii="Times New Roman" w:hAnsi="Times New Roman" w:cs="Times New Roman"/>
        </w:rPr>
      </w:pPr>
    </w:p>
    <w:p w14:paraId="56759405" w14:textId="77777777" w:rsidR="00717889" w:rsidRPr="005C73CE" w:rsidRDefault="00E11C64">
      <w:pPr>
        <w:pStyle w:val="Corpo"/>
        <w:rPr>
          <w:rFonts w:ascii="Times New Roman" w:hAnsi="Times New Roman" w:cs="Times New Roman"/>
        </w:rPr>
      </w:pPr>
      <w:r w:rsidRPr="005C73CE">
        <w:rPr>
          <w:rFonts w:ascii="Times New Roman" w:hAnsi="Times New Roman" w:cs="Times New Roman"/>
        </w:rPr>
        <w:t>10. Para. 30: It would be important to add here the Inter-American Court</w:t>
      </w:r>
      <w:r w:rsidRPr="005C73CE">
        <w:rPr>
          <w:rFonts w:ascii="Times New Roman" w:hAnsi="Times New Roman" w:cs="Times New Roman"/>
          <w:lang w:val="en-GB"/>
        </w:rPr>
        <w:t>’</w:t>
      </w:r>
      <w:r w:rsidRPr="005C73CE">
        <w:rPr>
          <w:rFonts w:ascii="Times New Roman" w:hAnsi="Times New Roman" w:cs="Times New Roman"/>
        </w:rPr>
        <w:t>s jurisprudence that land deprivation in the context of indigenous peoples entails deprivation of a dignified/decent life (vida digna). See para. 155 of, “Norms and jurisprudence of the Inter-American Human Rights System, 2010.</w:t>
      </w:r>
      <w:r w:rsidRPr="005C73CE">
        <w:rPr>
          <w:rStyle w:val="FootnoteReference"/>
          <w:rFonts w:ascii="Times New Roman" w:hAnsi="Times New Roman" w:cs="Times New Roman"/>
        </w:rPr>
        <w:footnoteReference w:id="7"/>
      </w:r>
      <w:r w:rsidRPr="005C73CE">
        <w:rPr>
          <w:rFonts w:ascii="Times New Roman" w:hAnsi="Times New Roman" w:cs="Times New Roman"/>
        </w:rPr>
        <w:t xml:space="preserve">  A reference to the Committee</w:t>
      </w:r>
      <w:r w:rsidRPr="005C73CE">
        <w:rPr>
          <w:rFonts w:ascii="Times New Roman" w:hAnsi="Times New Roman" w:cs="Times New Roman"/>
          <w:lang w:val="en-GB"/>
        </w:rPr>
        <w:t>’</w:t>
      </w:r>
      <w:r w:rsidRPr="005C73CE">
        <w:rPr>
          <w:rFonts w:ascii="Times New Roman" w:hAnsi="Times New Roman" w:cs="Times New Roman"/>
        </w:rPr>
        <w:t>s own general comment no. 23 on article 27 would be useful here</w:t>
      </w:r>
      <w:r w:rsidRPr="005C73CE">
        <w:rPr>
          <w:rStyle w:val="FootnoteReference"/>
          <w:rFonts w:ascii="Times New Roman" w:hAnsi="Times New Roman" w:cs="Times New Roman"/>
        </w:rPr>
        <w:footnoteReference w:id="8"/>
      </w:r>
      <w:r w:rsidRPr="005C73CE">
        <w:rPr>
          <w:rFonts w:ascii="Times New Roman" w:hAnsi="Times New Roman" w:cs="Times New Roman"/>
        </w:rPr>
        <w:t xml:space="preserve">. </w:t>
      </w:r>
    </w:p>
    <w:p w14:paraId="77BC5B8E" w14:textId="77777777" w:rsidR="00717889" w:rsidRPr="005C73CE" w:rsidRDefault="00717889">
      <w:pPr>
        <w:pStyle w:val="Corpo"/>
        <w:rPr>
          <w:rFonts w:ascii="Times New Roman" w:hAnsi="Times New Roman" w:cs="Times New Roman"/>
        </w:rPr>
      </w:pPr>
    </w:p>
    <w:p w14:paraId="10114B54" w14:textId="4FDD0878" w:rsidR="00717889" w:rsidRPr="005C73CE" w:rsidRDefault="00E11C64">
      <w:pPr>
        <w:pStyle w:val="Corpo"/>
        <w:rPr>
          <w:rFonts w:ascii="Times New Roman" w:hAnsi="Times New Roman" w:cs="Times New Roman"/>
        </w:rPr>
      </w:pPr>
      <w:r w:rsidRPr="005C73CE">
        <w:rPr>
          <w:rFonts w:ascii="Times New Roman" w:hAnsi="Times New Roman" w:cs="Times New Roman"/>
        </w:rPr>
        <w:t>11. Para 33: It could be very useful to have some mention of the deaths in the context of land rights defense, and particularly of eviction orders promoted against indigenous peoples from their own lands (even through precautionary measures)</w:t>
      </w:r>
      <w:r w:rsidR="00B7256D">
        <w:rPr>
          <w:rFonts w:ascii="Times New Roman" w:hAnsi="Times New Roman" w:cs="Times New Roman"/>
        </w:rPr>
        <w:t xml:space="preserve">. </w:t>
      </w:r>
      <w:r w:rsidR="00843A41" w:rsidRPr="005C73CE">
        <w:rPr>
          <w:rFonts w:ascii="Times New Roman" w:hAnsi="Times New Roman" w:cs="Times New Roman"/>
        </w:rPr>
        <w:t>A reference to the cases referred to in the IACHR</w:t>
      </w:r>
      <w:r w:rsidR="00843A41" w:rsidRPr="005C73CE">
        <w:rPr>
          <w:rStyle w:val="FootnoteReference"/>
          <w:rFonts w:ascii="Times New Roman" w:hAnsi="Times New Roman" w:cs="Times New Roman"/>
        </w:rPr>
        <w:footnoteReference w:id="9"/>
      </w:r>
      <w:r w:rsidR="00843A41" w:rsidRPr="005C73CE">
        <w:rPr>
          <w:rFonts w:ascii="Times New Roman" w:hAnsi="Times New Roman" w:cs="Times New Roman"/>
        </w:rPr>
        <w:t xml:space="preserve"> would support this point, for example the IACHRs report on,  “Democracy and Human Rights in Venezuela”.  https://www.cidh.oas.org/pdf%20files/VENEZUELA%202009%20ENG.pdf</w:t>
      </w:r>
    </w:p>
    <w:p w14:paraId="028388FF" w14:textId="77777777" w:rsidR="00717889" w:rsidRPr="005C73CE" w:rsidRDefault="00717889">
      <w:pPr>
        <w:pStyle w:val="Corpo"/>
        <w:rPr>
          <w:rFonts w:ascii="Times New Roman" w:hAnsi="Times New Roman" w:cs="Times New Roman"/>
        </w:rPr>
      </w:pPr>
    </w:p>
    <w:p w14:paraId="78CACADC" w14:textId="2C81B07F" w:rsidR="00BD64C3" w:rsidRPr="005C73CE" w:rsidRDefault="00E11C64" w:rsidP="00BD64C3">
      <w:pPr>
        <w:pStyle w:val="Corpo"/>
        <w:rPr>
          <w:rFonts w:ascii="Times New Roman" w:hAnsi="Times New Roman" w:cs="Times New Roman"/>
        </w:rPr>
      </w:pPr>
      <w:r w:rsidRPr="005C73CE">
        <w:rPr>
          <w:rFonts w:ascii="Times New Roman" w:hAnsi="Times New Roman" w:cs="Times New Roman"/>
        </w:rPr>
        <w:lastRenderedPageBreak/>
        <w:t xml:space="preserve">12. Para 34: </w:t>
      </w:r>
      <w:r w:rsidR="00843A41" w:rsidRPr="005C73CE">
        <w:rPr>
          <w:rFonts w:ascii="Times New Roman" w:hAnsi="Times New Roman" w:cs="Times New Roman"/>
        </w:rPr>
        <w:t xml:space="preserve">While this </w:t>
      </w:r>
      <w:r w:rsidR="00B7256D">
        <w:rPr>
          <w:rFonts w:ascii="Times New Roman" w:hAnsi="Times New Roman" w:cs="Times New Roman"/>
        </w:rPr>
        <w:t xml:space="preserve">may not be the best </w:t>
      </w:r>
      <w:r w:rsidRPr="005C73CE">
        <w:rPr>
          <w:rFonts w:ascii="Times New Roman" w:hAnsi="Times New Roman" w:cs="Times New Roman"/>
        </w:rPr>
        <w:t xml:space="preserve">paragraph </w:t>
      </w:r>
      <w:r w:rsidR="00BD64C3" w:rsidRPr="005C73CE">
        <w:rPr>
          <w:rFonts w:ascii="Times New Roman" w:hAnsi="Times New Roman" w:cs="Times New Roman"/>
        </w:rPr>
        <w:t xml:space="preserve">to add this it would be important to </w:t>
      </w:r>
      <w:r w:rsidRPr="005C73CE">
        <w:rPr>
          <w:rFonts w:ascii="Times New Roman" w:hAnsi="Times New Roman" w:cs="Times New Roman"/>
        </w:rPr>
        <w:t>recall the prohibition of removal of indigenous peoples from their territories and the impact on their right to life as set in UNDRIP</w:t>
      </w:r>
      <w:r w:rsidR="00B7256D">
        <w:rPr>
          <w:rFonts w:ascii="Times New Roman" w:hAnsi="Times New Roman" w:cs="Times New Roman"/>
        </w:rPr>
        <w:t>.</w:t>
      </w:r>
      <w:r w:rsidRPr="005C73CE">
        <w:rPr>
          <w:rFonts w:ascii="Times New Roman" w:hAnsi="Times New Roman" w:cs="Times New Roman"/>
        </w:rPr>
        <w:t xml:space="preserve"> </w:t>
      </w:r>
      <w:r w:rsidR="00BD64C3" w:rsidRPr="005C73CE">
        <w:rPr>
          <w:rFonts w:ascii="Times New Roman" w:hAnsi="Times New Roman" w:cs="Times New Roman"/>
        </w:rPr>
        <w:t>A reference to the IACHR report on extractive industries</w:t>
      </w:r>
      <w:r w:rsidR="00BD64C3" w:rsidRPr="005C73CE">
        <w:rPr>
          <w:rStyle w:val="FootnoteReference"/>
          <w:rFonts w:ascii="Times New Roman" w:hAnsi="Times New Roman" w:cs="Times New Roman"/>
        </w:rPr>
        <w:footnoteReference w:id="10"/>
      </w:r>
      <w:r w:rsidR="00BD64C3" w:rsidRPr="005C73CE">
        <w:rPr>
          <w:rFonts w:ascii="Times New Roman" w:hAnsi="Times New Roman" w:cs="Times New Roman"/>
        </w:rPr>
        <w:t xml:space="preserve"> would be helpful in this regard, including the reference to the case of Chitay Nech et al v. Guatemala. Preliminary Objections, Merits, Reparations and Costs.</w:t>
      </w:r>
      <w:r w:rsidR="00BD64C3" w:rsidRPr="005C73CE">
        <w:rPr>
          <w:rStyle w:val="FootnoteReference"/>
          <w:rFonts w:ascii="Times New Roman" w:hAnsi="Times New Roman" w:cs="Times New Roman"/>
        </w:rPr>
        <w:footnoteReference w:id="11"/>
      </w:r>
      <w:r w:rsidR="00BD64C3" w:rsidRPr="005C73CE">
        <w:rPr>
          <w:rFonts w:ascii="Times New Roman" w:hAnsi="Times New Roman" w:cs="Times New Roman"/>
        </w:rPr>
        <w:t xml:space="preserve"> </w:t>
      </w:r>
    </w:p>
    <w:p w14:paraId="16C0A24F" w14:textId="77777777" w:rsidR="00717889" w:rsidRPr="005C73CE" w:rsidRDefault="00717889">
      <w:pPr>
        <w:pStyle w:val="Corpo"/>
        <w:rPr>
          <w:rFonts w:ascii="Times New Roman" w:hAnsi="Times New Roman" w:cs="Times New Roman"/>
        </w:rPr>
      </w:pPr>
    </w:p>
    <w:p w14:paraId="771F6F8D" w14:textId="0A94BABA" w:rsidR="00717889" w:rsidRPr="005C73CE" w:rsidRDefault="00E11C64" w:rsidP="00541379">
      <w:pPr>
        <w:pStyle w:val="CommentText"/>
      </w:pPr>
      <w:r w:rsidRPr="005C73CE">
        <w:t>13. Para 65: It would be good to make a reference to article 29 of the UNDRIP which relates to the protection of the environment as a right for indigenous peoples – in particular given their special relationship to it.</w:t>
      </w:r>
      <w:r w:rsidR="00BD64C3" w:rsidRPr="005C73CE">
        <w:t xml:space="preserve"> The IACHR report on the extractive industry</w:t>
      </w:r>
      <w:r w:rsidR="00BD64C3" w:rsidRPr="005C73CE">
        <w:rPr>
          <w:rStyle w:val="FootnoteReference"/>
        </w:rPr>
        <w:footnoteReference w:id="12"/>
      </w:r>
      <w:r w:rsidR="00BD64C3" w:rsidRPr="005C73CE">
        <w:t xml:space="preserve"> would be a good reference in this regard (in particular para. 60, 88, 123 and 185).</w:t>
      </w:r>
      <w:r w:rsidR="00D01ABB" w:rsidRPr="005C73CE">
        <w:t xml:space="preserve"> It might also be useful to add a reference to the Lubicon Band v. Canada</w:t>
      </w:r>
      <w:r w:rsidR="00587A01" w:rsidRPr="005C73CE">
        <w:rPr>
          <w:rStyle w:val="FootnoteReference"/>
        </w:rPr>
        <w:footnoteReference w:id="13"/>
      </w:r>
      <w:r w:rsidR="00D01ABB" w:rsidRPr="005C73CE">
        <w:t xml:space="preserve"> case (</w:t>
      </w:r>
      <w:r w:rsidR="00587A01" w:rsidRPr="005C73CE">
        <w:t>167/1984</w:t>
      </w:r>
      <w:r w:rsidR="00D01ABB" w:rsidRPr="005C73CE">
        <w:t>),</w:t>
      </w:r>
      <w:r w:rsidR="00CA0ABC" w:rsidRPr="005C73CE">
        <w:t xml:space="preserve"> to illustrate the</w:t>
      </w:r>
      <w:r w:rsidR="00587A01" w:rsidRPr="005C73CE">
        <w:t xml:space="preserve"> connection between the right of indigenous peoples’ to engage in their</w:t>
      </w:r>
      <w:r w:rsidR="00541379" w:rsidRPr="005C73CE">
        <w:t xml:space="preserve"> economic way of life, </w:t>
      </w:r>
      <w:r w:rsidR="00587A01" w:rsidRPr="005C73CE">
        <w:t xml:space="preserve">through fishing, animal husbandry etc. (article 27 of the ICCPR) and the right to life, </w:t>
      </w:r>
      <w:r w:rsidR="00CA0ABC" w:rsidRPr="005C73CE">
        <w:t xml:space="preserve">that is </w:t>
      </w:r>
      <w:r w:rsidR="00541379" w:rsidRPr="005C73CE">
        <w:t xml:space="preserve">often </w:t>
      </w:r>
      <w:r w:rsidR="00CA0ABC" w:rsidRPr="005C73CE">
        <w:t xml:space="preserve">threatened </w:t>
      </w:r>
      <w:r w:rsidR="00587A01" w:rsidRPr="005C73CE">
        <w:t xml:space="preserve">due to </w:t>
      </w:r>
      <w:r w:rsidR="00541379" w:rsidRPr="005C73CE">
        <w:t xml:space="preserve">environmental </w:t>
      </w:r>
      <w:r w:rsidR="00587A01" w:rsidRPr="005C73CE">
        <w:t>contamination by extractive activities</w:t>
      </w:r>
      <w:r w:rsidR="00CA0ABC" w:rsidRPr="005C73CE">
        <w:t xml:space="preserve">. </w:t>
      </w:r>
      <w:r w:rsidR="00D01ABB" w:rsidRPr="005C73CE">
        <w:t>While the Committee did no</w:t>
      </w:r>
      <w:r w:rsidR="00CA0ABC" w:rsidRPr="005C73CE">
        <w:t>t find a violation of article 6 in this case, it did appear to accept that allegations of a threat to the right to life of the community due to</w:t>
      </w:r>
      <w:r w:rsidR="00587A01" w:rsidRPr="005C73CE">
        <w:t xml:space="preserve"> certain development activities </w:t>
      </w:r>
      <w:r w:rsidR="00CA0ABC" w:rsidRPr="005C73CE">
        <w:t>could fall under article 6</w:t>
      </w:r>
      <w:r w:rsidR="00587A01" w:rsidRPr="005C73CE">
        <w:t xml:space="preserve"> if sufficiently substantiated.</w:t>
      </w:r>
    </w:p>
    <w:p w14:paraId="0C077464" w14:textId="77777777" w:rsidR="00717889" w:rsidRPr="005C73CE" w:rsidRDefault="00717889">
      <w:pPr>
        <w:pStyle w:val="Corpo"/>
        <w:rPr>
          <w:rFonts w:ascii="Times New Roman" w:hAnsi="Times New Roman" w:cs="Times New Roman"/>
        </w:rPr>
      </w:pPr>
    </w:p>
    <w:p w14:paraId="0CE5332B" w14:textId="77777777" w:rsidR="00B7256D" w:rsidRDefault="00E11C64">
      <w:pPr>
        <w:pStyle w:val="Corpo"/>
        <w:rPr>
          <w:rFonts w:ascii="Times New Roman" w:hAnsi="Times New Roman" w:cs="Times New Roman"/>
        </w:rPr>
      </w:pPr>
      <w:r w:rsidRPr="005C73CE">
        <w:rPr>
          <w:rFonts w:ascii="Times New Roman" w:hAnsi="Times New Roman" w:cs="Times New Roman"/>
        </w:rPr>
        <w:t>14. In the section dealing with the relationship between article 6 and other articles, the EMRIP suggests that given the strong connection between article 27 as it relates to indigenous peoples, and their right to life, in particular as it relates to land rights, it would be important to refer to the relationship between article 6 and article 27.  Thus, making the link between the way of life of indigenous peoples and their right to life. The Committee</w:t>
      </w:r>
      <w:r w:rsidRPr="005C73CE">
        <w:rPr>
          <w:rFonts w:ascii="Times New Roman" w:hAnsi="Times New Roman" w:cs="Times New Roman"/>
          <w:lang w:val="en-GB"/>
        </w:rPr>
        <w:t>’</w:t>
      </w:r>
      <w:r w:rsidRPr="005C73CE">
        <w:rPr>
          <w:rFonts w:ascii="Times New Roman" w:hAnsi="Times New Roman" w:cs="Times New Roman"/>
        </w:rPr>
        <w:t>s general comment on article 27 coul</w:t>
      </w:r>
      <w:r w:rsidR="00B7256D">
        <w:rPr>
          <w:rFonts w:ascii="Times New Roman" w:hAnsi="Times New Roman" w:cs="Times New Roman"/>
        </w:rPr>
        <w:t xml:space="preserve">d be referred to e.g para. 9, </w:t>
      </w:r>
    </w:p>
    <w:p w14:paraId="1508DB73" w14:textId="4FE8B157" w:rsidR="00717889" w:rsidRPr="005C73CE" w:rsidRDefault="00B7256D">
      <w:pPr>
        <w:pStyle w:val="Corpo"/>
        <w:rPr>
          <w:rFonts w:ascii="Times New Roman" w:hAnsi="Times New Roman" w:cs="Times New Roman"/>
        </w:rPr>
      </w:pPr>
      <w:r>
        <w:rPr>
          <w:rFonts w:ascii="Times New Roman" w:hAnsi="Times New Roman" w:cs="Times New Roman"/>
        </w:rPr>
        <w:t xml:space="preserve">“ </w:t>
      </w:r>
      <w:r w:rsidR="00E11C64" w:rsidRPr="005C73CE">
        <w:rPr>
          <w:rFonts w:ascii="Times New Roman" w:hAnsi="Times New Roman" w:cs="Times New Roman"/>
        </w:rPr>
        <w:t xml:space="preserve">The protection of these rights is directed to ensure the survival and continued development of the cultural, religious and social identity of the minorities concerned, thus enriching the fabric of society as a whole.”  </w:t>
      </w:r>
    </w:p>
    <w:p w14:paraId="0FD78A52" w14:textId="77777777" w:rsidR="00717889" w:rsidRPr="005C73CE" w:rsidRDefault="00717889">
      <w:pPr>
        <w:pStyle w:val="Corpo"/>
        <w:rPr>
          <w:rFonts w:ascii="Times New Roman" w:hAnsi="Times New Roman" w:cs="Times New Roman"/>
        </w:rPr>
      </w:pPr>
    </w:p>
    <w:p w14:paraId="5AE22076" w14:textId="0888B69C" w:rsidR="00717889" w:rsidRPr="005C73CE" w:rsidRDefault="00E11C64">
      <w:pPr>
        <w:pStyle w:val="Corpo"/>
        <w:rPr>
          <w:rFonts w:ascii="Times New Roman" w:hAnsi="Times New Roman" w:cs="Times New Roman"/>
        </w:rPr>
      </w:pPr>
      <w:r w:rsidRPr="005C73CE">
        <w:rPr>
          <w:rFonts w:ascii="Times New Roman" w:hAnsi="Times New Roman" w:cs="Times New Roman"/>
        </w:rPr>
        <w:t>15. Along similar lines the EMRIP would welcome a reference to the relationship between articles 6 and article 1, as it relates to self-determination. The EMRIP makes this suggestion based on the fact that the C</w:t>
      </w:r>
      <w:r w:rsidR="00B7256D">
        <w:rPr>
          <w:rFonts w:ascii="Times New Roman" w:hAnsi="Times New Roman" w:cs="Times New Roman"/>
        </w:rPr>
        <w:t>ommi</w:t>
      </w:r>
      <w:r w:rsidRPr="005C73CE">
        <w:rPr>
          <w:rFonts w:ascii="Times New Roman" w:hAnsi="Times New Roman" w:cs="Times New Roman"/>
        </w:rPr>
        <w:t>ttee has introduced the term self-determination in its concluding observations in the c</w:t>
      </w:r>
      <w:r w:rsidR="00B7256D">
        <w:rPr>
          <w:rFonts w:ascii="Times New Roman" w:hAnsi="Times New Roman" w:cs="Times New Roman"/>
        </w:rPr>
        <w:t>ontext of indigenous p</w:t>
      </w:r>
      <w:r w:rsidRPr="005C73CE">
        <w:rPr>
          <w:rFonts w:ascii="Times New Roman" w:hAnsi="Times New Roman" w:cs="Times New Roman"/>
        </w:rPr>
        <w:t xml:space="preserve">eoples (CCPR/C/SWE/CO/7) and makes reference to articles 1 and 6 of the ICCPR in several concluding observations (CCPR/CVEN/CO/4, CCPR/C/CHL/CO/5, CCPR7C/PAN/CO/3), in particular in the context of violence arising around land, as well as the importance of this right to indigenous peoples </w:t>
      </w:r>
      <w:r w:rsidR="00B7256D" w:rsidRPr="005C73CE">
        <w:rPr>
          <w:rFonts w:ascii="Times New Roman" w:hAnsi="Times New Roman" w:cs="Times New Roman"/>
        </w:rPr>
        <w:t xml:space="preserve">in itself </w:t>
      </w:r>
      <w:r w:rsidRPr="005C73CE">
        <w:rPr>
          <w:rFonts w:ascii="Times New Roman" w:hAnsi="Times New Roman" w:cs="Times New Roman"/>
        </w:rPr>
        <w:t xml:space="preserve">(article 3 of the UNDRIP) and as a conduit to the expression of all others rights, including their right to life under article 7 of the UNDRIP.  </w:t>
      </w:r>
    </w:p>
    <w:p w14:paraId="2211A71F" w14:textId="47C37E15" w:rsidR="00717889" w:rsidRPr="005C73CE" w:rsidRDefault="00E11C64" w:rsidP="005C73CE">
      <w:pPr>
        <w:pStyle w:val="Corpo"/>
      </w:pPr>
      <w:r w:rsidRPr="00D677BA">
        <w:rPr>
          <w:color w:val="262626"/>
          <w:sz w:val="56"/>
          <w:szCs w:val="56"/>
          <w:u w:color="262626"/>
        </w:rPr>
        <w:t>…………………………………..</w:t>
      </w:r>
    </w:p>
    <w:p w14:paraId="1A45058A" w14:textId="77777777" w:rsidR="00717889" w:rsidRDefault="00717889">
      <w:pPr>
        <w:pStyle w:val="Corpo"/>
        <w:rPr>
          <w:rFonts w:ascii="Arial" w:eastAsia="Arial" w:hAnsi="Arial" w:cs="Arial"/>
          <w:color w:val="262626"/>
          <w:u w:color="262626"/>
        </w:rPr>
      </w:pPr>
    </w:p>
    <w:p w14:paraId="64F2383A" w14:textId="77777777" w:rsidR="00717889" w:rsidRDefault="00717889">
      <w:pPr>
        <w:pStyle w:val="Corpo"/>
        <w:widowControl w:val="0"/>
      </w:pPr>
    </w:p>
    <w:sectPr w:rsidR="00717889">
      <w:footerReference w:type="even"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5AA1" w14:textId="77777777" w:rsidR="00521E79" w:rsidRDefault="00521E79">
      <w:r>
        <w:separator/>
      </w:r>
    </w:p>
  </w:endnote>
  <w:endnote w:type="continuationSeparator" w:id="0">
    <w:p w14:paraId="7121EE6B" w14:textId="77777777" w:rsidR="00521E79" w:rsidRDefault="0052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Orator Std">
    <w:altName w:val="Consola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89DD" w14:textId="77777777" w:rsidR="00521E79" w:rsidRDefault="00521E79" w:rsidP="00521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D397F" w14:textId="77777777" w:rsidR="00521E79" w:rsidRDefault="00521E79" w:rsidP="00521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AB01" w14:textId="34989430" w:rsidR="00521E79" w:rsidRDefault="00521E79" w:rsidP="00521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61D">
      <w:rPr>
        <w:rStyle w:val="PageNumber"/>
        <w:noProof/>
      </w:rPr>
      <w:t>1</w:t>
    </w:r>
    <w:r>
      <w:rPr>
        <w:rStyle w:val="PageNumber"/>
      </w:rPr>
      <w:fldChar w:fldCharType="end"/>
    </w:r>
  </w:p>
  <w:p w14:paraId="1EA0464D" w14:textId="77777777" w:rsidR="00521E79" w:rsidRDefault="00521E79" w:rsidP="00521E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781FF" w14:textId="77777777" w:rsidR="00521E79" w:rsidRDefault="00521E79">
      <w:r>
        <w:separator/>
      </w:r>
    </w:p>
  </w:footnote>
  <w:footnote w:type="continuationSeparator" w:id="0">
    <w:p w14:paraId="3908915E" w14:textId="77777777" w:rsidR="00521E79" w:rsidRDefault="00521E79">
      <w:r>
        <w:continuationSeparator/>
      </w:r>
    </w:p>
  </w:footnote>
  <w:footnote w:type="continuationNotice" w:id="1">
    <w:p w14:paraId="3D92A3B4" w14:textId="77777777" w:rsidR="00521E79" w:rsidRDefault="00521E79"/>
  </w:footnote>
  <w:footnote w:id="2">
    <w:p w14:paraId="41F10835" w14:textId="77777777" w:rsidR="00521E79" w:rsidRPr="005C73CE" w:rsidRDefault="00521E79">
      <w:pPr>
        <w:pStyle w:val="Corpo"/>
        <w:rPr>
          <w:rFonts w:ascii="Times New Roman" w:hAnsi="Times New Roman" w:cs="Times New Roman"/>
          <w:sz w:val="20"/>
          <w:szCs w:val="20"/>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rPr>
        <w:t xml:space="preserve"> Pursuant to paragraph 2 of Human Rights Council resolution 33/25, “the Expert Mechanism should… (b) Provide Member States, upon their request, with assistance and advice for the implementation of recommendations made at the universal periodic review and by treaty bodies, special procedures or other relevant mechanisms.”</w:t>
      </w:r>
    </w:p>
  </w:footnote>
  <w:footnote w:id="3">
    <w:p w14:paraId="56D4A0F6" w14:textId="77777777" w:rsidR="00521E79" w:rsidRPr="005C73CE" w:rsidRDefault="00521E79">
      <w:pPr>
        <w:pStyle w:val="Corpo"/>
        <w:rPr>
          <w:rFonts w:ascii="Times New Roman" w:hAnsi="Times New Roman" w:cs="Times New Roman"/>
          <w:sz w:val="20"/>
          <w:szCs w:val="20"/>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rPr>
        <w:t xml:space="preserve"> http://www.oas.org/en/iachr/indigenous/docs/pdf/ancestrallands.pdf </w:t>
      </w:r>
    </w:p>
    <w:p w14:paraId="362FD0B0" w14:textId="77777777" w:rsidR="00521E79" w:rsidRPr="005C73CE" w:rsidRDefault="00521E79">
      <w:pPr>
        <w:pStyle w:val="Corpo"/>
        <w:rPr>
          <w:rFonts w:ascii="Times New Roman" w:hAnsi="Times New Roman" w:cs="Times New Roman"/>
          <w:sz w:val="20"/>
          <w:szCs w:val="20"/>
        </w:rPr>
      </w:pPr>
      <w:r w:rsidRPr="005C73CE">
        <w:rPr>
          <w:rFonts w:ascii="Times New Roman" w:hAnsi="Times New Roman" w:cs="Times New Roman"/>
          <w:sz w:val="20"/>
          <w:szCs w:val="20"/>
          <w:lang w:val="pt-PT"/>
        </w:rPr>
        <w:t xml:space="preserve">Para 154. </w:t>
      </w:r>
      <w:r w:rsidRPr="005C73CE">
        <w:rPr>
          <w:rFonts w:ascii="Times New Roman" w:hAnsi="Times New Roman" w:cs="Times New Roman"/>
          <w:sz w:val="20"/>
          <w:szCs w:val="20"/>
        </w:rPr>
        <w:t xml:space="preserve">“The life of members of indigenous and tribal communities « fundamentally depends” on the subsistence activities – agriculture, hunting, fishing, gathering </w:t>
      </w:r>
      <w:r w:rsidRPr="005C73CE">
        <w:rPr>
          <w:rFonts w:ascii="Orator Std" w:hAnsi="Orator Std" w:cs="Orator Std"/>
          <w:sz w:val="20"/>
          <w:szCs w:val="20"/>
        </w:rPr>
        <w:t>‐</w:t>
      </w:r>
      <w:r w:rsidRPr="005C73CE">
        <w:rPr>
          <w:rFonts w:ascii="Times New Roman" w:hAnsi="Times New Roman" w:cs="Times New Roman"/>
          <w:sz w:val="20"/>
          <w:szCs w:val="20"/>
        </w:rPr>
        <w:t xml:space="preserve"> that they carry out in their territories including continued utilization of traditional collective systems that “are in many instances essential to the individual and collective well</w:t>
      </w:r>
      <w:r w:rsidRPr="005C73CE">
        <w:rPr>
          <w:rFonts w:ascii="Orator Std" w:hAnsi="Orator Std" w:cs="Orator Std"/>
          <w:sz w:val="20"/>
          <w:szCs w:val="20"/>
        </w:rPr>
        <w:t>‐</w:t>
      </w:r>
      <w:r w:rsidRPr="005C73CE">
        <w:rPr>
          <w:rFonts w:ascii="Times New Roman" w:hAnsi="Times New Roman" w:cs="Times New Roman"/>
          <w:sz w:val="20"/>
          <w:szCs w:val="20"/>
        </w:rPr>
        <w:t>being, and indeed the survival of, indigenous peoples.”</w:t>
      </w:r>
    </w:p>
    <w:p w14:paraId="6365C92D" w14:textId="77777777" w:rsidR="00521E79" w:rsidRPr="005C73CE" w:rsidRDefault="00521E79">
      <w:pPr>
        <w:pStyle w:val="FootnoteText"/>
        <w:rPr>
          <w:rFonts w:ascii="Times New Roman" w:hAnsi="Times New Roman" w:cs="Times New Roman"/>
          <w:sz w:val="20"/>
          <w:szCs w:val="20"/>
        </w:rPr>
      </w:pPr>
      <w:r w:rsidRPr="005C73CE">
        <w:rPr>
          <w:rFonts w:ascii="Times New Roman" w:hAnsi="Times New Roman" w:cs="Times New Roman"/>
          <w:sz w:val="20"/>
          <w:szCs w:val="20"/>
        </w:rPr>
        <w:t xml:space="preserve"> </w:t>
      </w:r>
      <w:hyperlink r:id="rId1" w:history="1">
        <w:r w:rsidRPr="005C73CE">
          <w:rPr>
            <w:rStyle w:val="Hyperlink0"/>
            <w:rFonts w:ascii="Times New Roman" w:hAnsi="Times New Roman" w:cs="Times New Roman"/>
          </w:rPr>
          <w:t>http://hrlibrary.umn.edu/iachr/AwasTingnicase.html</w:t>
        </w:r>
      </w:hyperlink>
      <w:r w:rsidRPr="005C73CE">
        <w:rPr>
          <w:rFonts w:ascii="Times New Roman" w:hAnsi="Times New Roman" w:cs="Times New Roman"/>
          <w:sz w:val="20"/>
          <w:szCs w:val="20"/>
        </w:rPr>
        <w:t xml:space="preserve"> and http://hrlibrary.umn.edu/cases/75-02a.html</w:t>
      </w:r>
    </w:p>
  </w:footnote>
  <w:footnote w:id="4">
    <w:p w14:paraId="52E3AA00" w14:textId="3DBF1390" w:rsidR="00521E79" w:rsidRPr="005C73CE" w:rsidRDefault="00521E79" w:rsidP="00D01ABB">
      <w:pPr>
        <w:pStyle w:val="CommentText"/>
        <w:rPr>
          <w:sz w:val="20"/>
          <w:szCs w:val="20"/>
        </w:rPr>
      </w:pPr>
      <w:r w:rsidRPr="005C73CE">
        <w:rPr>
          <w:rStyle w:val="FootnoteReference"/>
          <w:sz w:val="20"/>
          <w:szCs w:val="20"/>
        </w:rPr>
        <w:footnoteRef/>
      </w:r>
      <w:r w:rsidRPr="005C73CE">
        <w:rPr>
          <w:sz w:val="20"/>
          <w:szCs w:val="20"/>
        </w:rPr>
        <w:t xml:space="preserve"> Rodolfo Stavenhagen, UN Doc. A/HRC/4/32, 27 February 2007, pars. 42, 48.  ! </w:t>
      </w:r>
      <w:hyperlink r:id="rId2" w:history="1">
        <w:r w:rsidRPr="005C73CE">
          <w:rPr>
            <w:rStyle w:val="Hyperlink"/>
            <w:sz w:val="20"/>
            <w:szCs w:val="20"/>
          </w:rPr>
          <w:t>http://unsr.vtaulicorpuz.org/site/index.php/press-releases/88-report-indigenous-women</w:t>
        </w:r>
      </w:hyperlink>
      <w:r w:rsidRPr="005C73CE">
        <w:rPr>
          <w:sz w:val="20"/>
          <w:szCs w:val="20"/>
        </w:rPr>
        <w:t xml:space="preserve"> and http://unsr.vtaulicorpuz.org/site/index.php/documents/country-reports/154-report-brazil-2016</w:t>
      </w:r>
    </w:p>
  </w:footnote>
  <w:footnote w:id="5">
    <w:p w14:paraId="1BCEE575" w14:textId="104AA7A9" w:rsidR="00521E79" w:rsidRPr="005C73CE" w:rsidRDefault="00521E79" w:rsidP="005C73CE">
      <w:pPr>
        <w:pStyle w:val="CommentText"/>
        <w:rPr>
          <w:sz w:val="20"/>
          <w:szCs w:val="20"/>
        </w:rPr>
      </w:pPr>
      <w:r w:rsidRPr="005C73CE">
        <w:rPr>
          <w:rStyle w:val="FootnoteReference"/>
          <w:sz w:val="20"/>
          <w:szCs w:val="20"/>
        </w:rPr>
        <w:footnoteRef/>
      </w:r>
      <w:r w:rsidRPr="005C73CE">
        <w:rPr>
          <w:sz w:val="20"/>
          <w:szCs w:val="20"/>
        </w:rPr>
        <w:t xml:space="preserve"> </w:t>
      </w:r>
      <w:r w:rsidRPr="005C73CE">
        <w:rPr>
          <w:sz w:val="20"/>
          <w:szCs w:val="20"/>
          <w:lang w:val="fr-FR"/>
        </w:rPr>
        <w:t xml:space="preserve">For example : </w:t>
      </w:r>
      <w:r w:rsidRPr="005C73CE">
        <w:rPr>
          <w:sz w:val="20"/>
          <w:szCs w:val="20"/>
        </w:rPr>
        <w:t>http://unsr.jamesanaya.org/statements/statement-upon-conclusion-of-the-visit-to-canada</w:t>
      </w:r>
    </w:p>
  </w:footnote>
  <w:footnote w:id="6">
    <w:p w14:paraId="0F037D6D" w14:textId="49BDE0B7" w:rsidR="00521E79" w:rsidRPr="005C73CE" w:rsidRDefault="00521E79" w:rsidP="005C73CE">
      <w:pPr>
        <w:pStyle w:val="NormalWeb"/>
        <w:spacing w:before="0" w:beforeAutospacing="0" w:after="0" w:afterAutospacing="0"/>
        <w:rPr>
          <w:lang w:val="fr-FR"/>
        </w:rPr>
      </w:pPr>
      <w:r w:rsidRPr="005C73CE">
        <w:rPr>
          <w:rStyle w:val="FootnoteReference"/>
          <w:sz w:val="20"/>
          <w:szCs w:val="20"/>
        </w:rPr>
        <w:footnoteRef/>
      </w:r>
      <w:r w:rsidRPr="005C73CE">
        <w:rPr>
          <w:sz w:val="20"/>
          <w:szCs w:val="20"/>
        </w:rPr>
        <w:t xml:space="preserve"> </w:t>
      </w:r>
      <w:hyperlink r:id="rId3" w:anchor="merits" w:history="1">
        <w:r w:rsidRPr="005C73CE">
          <w:rPr>
            <w:rStyle w:val="Hyperlink"/>
            <w:sz w:val="20"/>
            <w:szCs w:val="20"/>
          </w:rPr>
          <w:t>http://caselaw.ihrda.org/doc/155.96/view/en/#merits</w:t>
        </w:r>
      </w:hyperlink>
      <w:r w:rsidRPr="005C73CE">
        <w:rPr>
          <w:sz w:val="20"/>
          <w:szCs w:val="20"/>
        </w:rPr>
        <w:t>. “These and similar brutalities not only persecuted individuals in Ogoniland but also the whole of the Ogoni community as a whole. They affected the life of the Ogoni society as a whole”… “Given the wide spread violations perpetrated by the Government of Nigeria and by private actors (be it following its clear blessing or not), the most fundamental of all human rights, the right to life, has been violated</w:t>
      </w:r>
      <w:r>
        <w:rPr>
          <w:sz w:val="20"/>
          <w:szCs w:val="20"/>
        </w:rPr>
        <w:t>.</w:t>
      </w:r>
    </w:p>
  </w:footnote>
  <w:footnote w:id="7">
    <w:p w14:paraId="02FD9600" w14:textId="77777777" w:rsidR="00521E79" w:rsidRPr="005C73CE" w:rsidRDefault="00521E79">
      <w:pPr>
        <w:pStyle w:val="FootnoteText"/>
        <w:rPr>
          <w:rFonts w:ascii="Times New Roman" w:hAnsi="Times New Roman" w:cs="Times New Roman"/>
          <w:sz w:val="20"/>
          <w:szCs w:val="20"/>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rPr>
        <w:t xml:space="preserve"> http://www.oas.org/en/iachr/indigenous/docs/pdf/ancestrallands.pdf</w:t>
      </w:r>
    </w:p>
  </w:footnote>
  <w:footnote w:id="8">
    <w:p w14:paraId="557022DD" w14:textId="77777777" w:rsidR="00521E79" w:rsidRPr="005C73CE" w:rsidRDefault="00521E79">
      <w:pPr>
        <w:pStyle w:val="Corpo"/>
        <w:rPr>
          <w:rFonts w:ascii="Times New Roman" w:hAnsi="Times New Roman" w:cs="Times New Roman"/>
          <w:sz w:val="20"/>
          <w:szCs w:val="20"/>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lang w:val="en-GB"/>
        </w:rPr>
        <w:t xml:space="preserve"> General Comment No. 23, para 3.2. </w:t>
      </w:r>
      <w:r w:rsidRPr="005C73CE">
        <w:rPr>
          <w:rFonts w:ascii="Times New Roman" w:hAnsi="Times New Roman" w:cs="Times New Roman"/>
          <w:sz w:val="20"/>
          <w:szCs w:val="20"/>
        </w:rPr>
        <w:t>“The enjoyment of the rights to which article 27 relates does not prejudice the sovereignty and territorial integrity of a State party. At the same time, one or other aspect of the rights of individuals protected under that article - for example, to enjoy a particular culture - may consist in a way of life which is closely associated with territory and use of its resources. 2/ This may particularly be true of members of indigenous communities constituting a minority.”</w:t>
      </w:r>
    </w:p>
  </w:footnote>
  <w:footnote w:id="9">
    <w:p w14:paraId="51F983AF" w14:textId="10827B04" w:rsidR="00521E79" w:rsidRPr="005C73CE" w:rsidRDefault="00521E79">
      <w:pPr>
        <w:pStyle w:val="FootnoteText"/>
        <w:rPr>
          <w:rFonts w:ascii="Times New Roman" w:hAnsi="Times New Roman" w:cs="Times New Roman"/>
          <w:sz w:val="20"/>
          <w:szCs w:val="20"/>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rPr>
        <w:t xml:space="preserve"> http://www.oas.org/en/iachr/indigenous/docs/pdf/ancestrallands.pdf     </w:t>
      </w:r>
    </w:p>
  </w:footnote>
  <w:footnote w:id="10">
    <w:p w14:paraId="37E967EE" w14:textId="56D3CDD2" w:rsidR="00521E79" w:rsidRPr="005C73CE" w:rsidRDefault="00521E79">
      <w:pPr>
        <w:pStyle w:val="FootnoteText"/>
        <w:rPr>
          <w:rFonts w:ascii="Times New Roman" w:hAnsi="Times New Roman" w:cs="Times New Roman"/>
          <w:sz w:val="20"/>
          <w:szCs w:val="20"/>
          <w:lang w:val="en-GB"/>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rPr>
        <w:t xml:space="preserve"> http://oas.org/en/iachr/reports/pdfs/ExtractiveIndustries2016.pdf</w:t>
      </w:r>
    </w:p>
  </w:footnote>
  <w:footnote w:id="11">
    <w:p w14:paraId="1BABA242" w14:textId="775103EC" w:rsidR="00521E79" w:rsidRPr="005C73CE" w:rsidRDefault="00521E79">
      <w:pPr>
        <w:pStyle w:val="FootnoteText"/>
        <w:rPr>
          <w:rFonts w:ascii="Times New Roman" w:hAnsi="Times New Roman" w:cs="Times New Roman"/>
          <w:sz w:val="20"/>
          <w:szCs w:val="20"/>
          <w:lang w:val="fr-CH"/>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rPr>
        <w:t xml:space="preserve"> Judgment of May 25, 2010. Series C No. 212, para. 147.</w:t>
      </w:r>
    </w:p>
  </w:footnote>
  <w:footnote w:id="12">
    <w:p w14:paraId="0199D895" w14:textId="1E6D8764" w:rsidR="00521E79" w:rsidRPr="005C73CE" w:rsidRDefault="00521E79">
      <w:pPr>
        <w:pStyle w:val="FootnoteText"/>
        <w:rPr>
          <w:rFonts w:ascii="Times New Roman" w:hAnsi="Times New Roman" w:cs="Times New Roman"/>
          <w:sz w:val="20"/>
          <w:szCs w:val="20"/>
          <w:lang w:val="fr-CH"/>
        </w:rPr>
      </w:pPr>
      <w:r w:rsidRPr="005C73CE">
        <w:rPr>
          <w:rStyle w:val="FootnoteReference"/>
          <w:rFonts w:ascii="Times New Roman" w:hAnsi="Times New Roman" w:cs="Times New Roman"/>
          <w:sz w:val="20"/>
          <w:szCs w:val="20"/>
        </w:rPr>
        <w:footnoteRef/>
      </w:r>
      <w:r w:rsidRPr="005C73CE">
        <w:rPr>
          <w:rFonts w:ascii="Times New Roman" w:hAnsi="Times New Roman" w:cs="Times New Roman"/>
          <w:sz w:val="20"/>
          <w:szCs w:val="20"/>
          <w:lang w:val="fr-CH"/>
        </w:rPr>
        <w:t xml:space="preserve"> http://www.oas.org/es/cidh/informes/pdfs/industriasextractivas2016.pdf</w:t>
      </w:r>
    </w:p>
  </w:footnote>
  <w:footnote w:id="13">
    <w:p w14:paraId="4C686A7E" w14:textId="77777777" w:rsidR="00521E79" w:rsidRPr="005C73CE" w:rsidRDefault="00521E79" w:rsidP="00587A01">
      <w:pPr>
        <w:pStyle w:val="CommentText"/>
        <w:rPr>
          <w:sz w:val="20"/>
          <w:szCs w:val="20"/>
        </w:rPr>
      </w:pPr>
      <w:r w:rsidRPr="005C73CE">
        <w:rPr>
          <w:rStyle w:val="FootnoteReference"/>
          <w:sz w:val="20"/>
          <w:szCs w:val="20"/>
        </w:rPr>
        <w:footnoteRef/>
      </w:r>
      <w:r w:rsidRPr="005C73CE">
        <w:rPr>
          <w:sz w:val="20"/>
          <w:szCs w:val="20"/>
        </w:rPr>
        <w:t xml:space="preserve"> http://hrlibrary.umn.edu/undocs/session45/167-1984.htm</w:t>
      </w:r>
    </w:p>
    <w:p w14:paraId="7EC94575" w14:textId="1CDA8155" w:rsidR="00521E79" w:rsidRPr="00541379" w:rsidRDefault="00521E79">
      <w:pPr>
        <w:pStyle w:val="Footnote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89"/>
    <w:rsid w:val="0013561D"/>
    <w:rsid w:val="001F02CF"/>
    <w:rsid w:val="002717CD"/>
    <w:rsid w:val="003047E4"/>
    <w:rsid w:val="003312D8"/>
    <w:rsid w:val="00490876"/>
    <w:rsid w:val="00521E79"/>
    <w:rsid w:val="00541379"/>
    <w:rsid w:val="00587A01"/>
    <w:rsid w:val="005C73CE"/>
    <w:rsid w:val="006B4B91"/>
    <w:rsid w:val="00717889"/>
    <w:rsid w:val="00777B53"/>
    <w:rsid w:val="007A3FB7"/>
    <w:rsid w:val="007B739E"/>
    <w:rsid w:val="00843A41"/>
    <w:rsid w:val="00896392"/>
    <w:rsid w:val="00A54E9E"/>
    <w:rsid w:val="00AB2607"/>
    <w:rsid w:val="00B7256D"/>
    <w:rsid w:val="00BD64C3"/>
    <w:rsid w:val="00BF47E8"/>
    <w:rsid w:val="00CA0ABC"/>
    <w:rsid w:val="00CA7099"/>
    <w:rsid w:val="00D01ABB"/>
    <w:rsid w:val="00D677BA"/>
    <w:rsid w:val="00E1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4E3BE"/>
  <w15:docId w15:val="{D7CE8028-4472-4920-8B6D-14E307E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rPr>
      <w:rFonts w:ascii="Cambria" w:eastAsia="Cambria" w:hAnsi="Cambria" w:cs="Cambria"/>
      <w:color w:val="000000"/>
      <w:sz w:val="24"/>
      <w:szCs w:val="24"/>
      <w:u w:color="000000"/>
    </w:rPr>
  </w:style>
  <w:style w:type="character" w:styleId="FootnoteReference">
    <w:name w:val="footnote reference"/>
    <w:rPr>
      <w:vertAlign w:val="superscript"/>
    </w:rPr>
  </w:style>
  <w:style w:type="paragraph" w:customStyle="1" w:styleId="Padro">
    <w:name w:val="Padrão"/>
    <w:rPr>
      <w:rFonts w:ascii="Helvetica" w:eastAsia="Helvetica" w:hAnsi="Helvetica" w:cs="Helvetica"/>
      <w:color w:val="000000"/>
      <w:sz w:val="22"/>
      <w:szCs w:val="22"/>
    </w:rPr>
  </w:style>
  <w:style w:type="paragraph" w:styleId="FootnoteText">
    <w:name w:val="footnote text"/>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character" w:customStyle="1" w:styleId="Hyperlink1">
    <w:name w:val="Hyperlink.1"/>
    <w:basedOn w:val="Link"/>
    <w:rPr>
      <w:color w:val="0000FF"/>
      <w:u w:val="single" w:color="0000FF"/>
      <w:lang w:val="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F02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2CF"/>
    <w:rPr>
      <w:rFonts w:ascii="Lucida Grande" w:hAnsi="Lucida Grande" w:cs="Lucida Grande"/>
      <w:sz w:val="18"/>
      <w:szCs w:val="18"/>
    </w:rPr>
  </w:style>
  <w:style w:type="paragraph" w:styleId="Revision">
    <w:name w:val="Revision"/>
    <w:hidden/>
    <w:uiPriority w:val="99"/>
    <w:semiHidden/>
    <w:rsid w:val="001F02C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BF47E8"/>
    <w:rPr>
      <w:b/>
      <w:bCs/>
      <w:sz w:val="20"/>
      <w:szCs w:val="20"/>
    </w:rPr>
  </w:style>
  <w:style w:type="character" w:customStyle="1" w:styleId="CommentSubjectChar">
    <w:name w:val="Comment Subject Char"/>
    <w:basedOn w:val="CommentTextChar"/>
    <w:link w:val="CommentSubject"/>
    <w:uiPriority w:val="99"/>
    <w:semiHidden/>
    <w:rsid w:val="00BF47E8"/>
    <w:rPr>
      <w:b/>
      <w:bCs/>
      <w:sz w:val="24"/>
      <w:szCs w:val="24"/>
    </w:rPr>
  </w:style>
  <w:style w:type="paragraph" w:styleId="NormalWeb">
    <w:name w:val="Normal (Web)"/>
    <w:basedOn w:val="Normal"/>
    <w:uiPriority w:val="99"/>
    <w:unhideWhenUsed/>
    <w:rsid w:val="00777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CA7099"/>
    <w:rPr>
      <w:color w:val="FF00FF" w:themeColor="followedHyperlink"/>
      <w:u w:val="single"/>
    </w:rPr>
  </w:style>
  <w:style w:type="paragraph" w:styleId="Header">
    <w:name w:val="header"/>
    <w:basedOn w:val="Normal"/>
    <w:link w:val="HeaderChar"/>
    <w:uiPriority w:val="99"/>
    <w:unhideWhenUsed/>
    <w:rsid w:val="005C73CE"/>
    <w:pPr>
      <w:tabs>
        <w:tab w:val="center" w:pos="4320"/>
        <w:tab w:val="right" w:pos="8640"/>
      </w:tabs>
    </w:pPr>
  </w:style>
  <w:style w:type="character" w:customStyle="1" w:styleId="HeaderChar">
    <w:name w:val="Header Char"/>
    <w:basedOn w:val="DefaultParagraphFont"/>
    <w:link w:val="Header"/>
    <w:uiPriority w:val="99"/>
    <w:rsid w:val="005C73CE"/>
    <w:rPr>
      <w:sz w:val="24"/>
      <w:szCs w:val="24"/>
    </w:rPr>
  </w:style>
  <w:style w:type="paragraph" w:styleId="Footer">
    <w:name w:val="footer"/>
    <w:basedOn w:val="Normal"/>
    <w:link w:val="FooterChar"/>
    <w:uiPriority w:val="99"/>
    <w:unhideWhenUsed/>
    <w:rsid w:val="005C73CE"/>
    <w:pPr>
      <w:tabs>
        <w:tab w:val="center" w:pos="4320"/>
        <w:tab w:val="right" w:pos="8640"/>
      </w:tabs>
    </w:pPr>
  </w:style>
  <w:style w:type="character" w:customStyle="1" w:styleId="FooterChar">
    <w:name w:val="Footer Char"/>
    <w:basedOn w:val="DefaultParagraphFont"/>
    <w:link w:val="Footer"/>
    <w:uiPriority w:val="99"/>
    <w:rsid w:val="005C73CE"/>
    <w:rPr>
      <w:sz w:val="24"/>
      <w:szCs w:val="24"/>
    </w:rPr>
  </w:style>
  <w:style w:type="character" w:styleId="PageNumber">
    <w:name w:val="page number"/>
    <w:basedOn w:val="DefaultParagraphFont"/>
    <w:uiPriority w:val="99"/>
    <w:semiHidden/>
    <w:unhideWhenUsed/>
    <w:rsid w:val="0052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20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oas.org/en/iachr/indigenous/docs/pdf/ancestrallands.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caselaw.ihrda.org/doc/155.96/view/en/" TargetMode="External"/><Relationship Id="rId2" Type="http://schemas.openxmlformats.org/officeDocument/2006/relationships/hyperlink" Target="http://unsr.vtaulicorpuz.org/site/index.php/press-releases/88-report-indigenous-women" TargetMode="External"/><Relationship Id="rId1" Type="http://schemas.openxmlformats.org/officeDocument/2006/relationships/hyperlink" Target="http://hrlibrary.umn.edu/iachr/AwasTingnicase.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5146E2-1D0A-42E2-8752-6C60CB97D83C}">
  <ds:schemaRefs>
    <ds:schemaRef ds:uri="http://schemas.openxmlformats.org/officeDocument/2006/bibliography"/>
  </ds:schemaRefs>
</ds:datastoreItem>
</file>

<file path=customXml/itemProps2.xml><?xml version="1.0" encoding="utf-8"?>
<ds:datastoreItem xmlns:ds="http://schemas.openxmlformats.org/officeDocument/2006/customXml" ds:itemID="{B573DDE0-804F-44D7-8872-733AAB63AEF6}"/>
</file>

<file path=customXml/itemProps3.xml><?xml version="1.0" encoding="utf-8"?>
<ds:datastoreItem xmlns:ds="http://schemas.openxmlformats.org/officeDocument/2006/customXml" ds:itemID="{0CE6AF7F-0AF5-43D2-AECE-4785B2F0D2A5}"/>
</file>

<file path=customXml/itemProps4.xml><?xml version="1.0" encoding="utf-8"?>
<ds:datastoreItem xmlns:ds="http://schemas.openxmlformats.org/officeDocument/2006/customXml" ds:itemID="{A951DAFD-2AD4-4C8A-BEED-014CB8BFFA0B}"/>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EMRIP</dc:title>
  <dc:creator>Catherine Fox</dc:creator>
  <cp:lastModifiedBy>Durnescu Lilian</cp:lastModifiedBy>
  <cp:revision>2</cp:revision>
  <dcterms:created xsi:type="dcterms:W3CDTF">2017-10-02T07:27:00Z</dcterms:created>
  <dcterms:modified xsi:type="dcterms:W3CDTF">2017-10-02T07:27:00Z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