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A6A" w:rsidRDefault="00804A6A" w:rsidP="00EA5916">
      <w:pPr>
        <w:pStyle w:val="Corps"/>
        <w:jc w:val="center"/>
        <w:rPr>
          <w:b/>
          <w:lang w:val="en-US"/>
        </w:rPr>
      </w:pPr>
      <w:bookmarkStart w:id="0" w:name="_GoBack"/>
      <w:bookmarkEnd w:id="0"/>
    </w:p>
    <w:p w:rsidR="00EA5916" w:rsidRPr="00EA5916" w:rsidRDefault="00EA5916" w:rsidP="00EA5916">
      <w:pPr>
        <w:pStyle w:val="Corps"/>
        <w:jc w:val="center"/>
        <w:rPr>
          <w:b/>
          <w:lang w:val="en-GB"/>
        </w:rPr>
      </w:pPr>
      <w:r w:rsidRPr="00EA5916">
        <w:rPr>
          <w:b/>
          <w:lang w:val="en-US"/>
        </w:rPr>
        <w:t>UN Human Rights Committee</w:t>
      </w:r>
    </w:p>
    <w:p w:rsidR="00EA5916" w:rsidRPr="00EA5916" w:rsidRDefault="00EA5916" w:rsidP="00EA5916">
      <w:pPr>
        <w:pStyle w:val="Corps"/>
        <w:jc w:val="center"/>
        <w:rPr>
          <w:b/>
          <w:caps/>
          <w:lang w:val="en-GB"/>
        </w:rPr>
      </w:pPr>
      <w:r w:rsidRPr="00EA5916">
        <w:rPr>
          <w:b/>
          <w:caps/>
          <w:lang w:val="en-US"/>
        </w:rPr>
        <w:t>Contribution of the European Humanist Federation</w:t>
      </w:r>
    </w:p>
    <w:p w:rsidR="00E923A5" w:rsidRDefault="00EA5916">
      <w:pPr>
        <w:pStyle w:val="Corps"/>
        <w:jc w:val="center"/>
        <w:rPr>
          <w:b/>
          <w:u w:val="single"/>
          <w:lang w:val="en-US"/>
        </w:rPr>
      </w:pPr>
      <w:r w:rsidRPr="00CC2183">
        <w:rPr>
          <w:b/>
          <w:u w:val="single"/>
          <w:lang w:val="en-US"/>
        </w:rPr>
        <w:t>D</w:t>
      </w:r>
      <w:r w:rsidR="000E4AF8" w:rsidRPr="00CC2183">
        <w:rPr>
          <w:b/>
          <w:u w:val="single"/>
          <w:lang w:val="en-US"/>
        </w:rPr>
        <w:t>raft General C</w:t>
      </w:r>
      <w:r w:rsidRPr="00CC2183">
        <w:rPr>
          <w:b/>
          <w:u w:val="single"/>
          <w:lang w:val="en-US"/>
        </w:rPr>
        <w:t xml:space="preserve">omment </w:t>
      </w:r>
      <w:r w:rsidR="00CC2183" w:rsidRPr="00CC2183">
        <w:rPr>
          <w:b/>
          <w:u w:val="single"/>
          <w:lang w:val="en-US"/>
        </w:rPr>
        <w:t>N</w:t>
      </w:r>
      <w:r w:rsidR="000E4AF8" w:rsidRPr="00CC2183">
        <w:rPr>
          <w:b/>
          <w:u w:val="single"/>
          <w:lang w:val="en-US"/>
        </w:rPr>
        <w:t xml:space="preserve">o. </w:t>
      </w:r>
      <w:r w:rsidRPr="00CC2183">
        <w:rPr>
          <w:b/>
          <w:u w:val="single"/>
          <w:lang w:val="en-US"/>
        </w:rPr>
        <w:t xml:space="preserve">36 on Article 6 ICCPR – Right to </w:t>
      </w:r>
      <w:r w:rsidR="000E4AF8" w:rsidRPr="00CC2183">
        <w:rPr>
          <w:b/>
          <w:u w:val="single"/>
          <w:lang w:val="en-US"/>
        </w:rPr>
        <w:t>l</w:t>
      </w:r>
      <w:r w:rsidRPr="00CC2183">
        <w:rPr>
          <w:b/>
          <w:u w:val="single"/>
          <w:lang w:val="en-US"/>
        </w:rPr>
        <w:t>ife</w:t>
      </w:r>
    </w:p>
    <w:p w:rsidR="00371446" w:rsidRPr="00CC2183" w:rsidRDefault="00371446" w:rsidP="00371446">
      <w:pPr>
        <w:pStyle w:val="Corps"/>
        <w:jc w:val="center"/>
        <w:rPr>
          <w:b/>
          <w:u w:val="single"/>
          <w:lang w:val="en-GB"/>
        </w:rPr>
      </w:pPr>
      <w:r>
        <w:rPr>
          <w:lang w:val="en-US"/>
        </w:rPr>
        <w:t>Brussels, 5 October 2017</w:t>
      </w:r>
    </w:p>
    <w:p w:rsidR="00E923A5" w:rsidRPr="003F3689" w:rsidRDefault="00371446" w:rsidP="00371446">
      <w:pPr>
        <w:pStyle w:val="Corps"/>
        <w:jc w:val="center"/>
        <w:rPr>
          <w:lang w:val="en-GB"/>
        </w:rPr>
      </w:pPr>
      <w:r w:rsidRPr="003F3689">
        <w:rPr>
          <w:lang w:val="en-GB"/>
        </w:rPr>
        <w:t>* * *</w:t>
      </w:r>
    </w:p>
    <w:p w:rsidR="00786AB7" w:rsidRPr="00786AB7" w:rsidRDefault="00786AB7" w:rsidP="00755DFE">
      <w:pPr>
        <w:pStyle w:val="Corps"/>
        <w:jc w:val="both"/>
        <w:rPr>
          <w:lang w:val="en-GB"/>
        </w:rPr>
      </w:pPr>
      <w:r>
        <w:rPr>
          <w:lang w:val="en-US"/>
        </w:rPr>
        <w:t xml:space="preserve">The </w:t>
      </w:r>
      <w:r w:rsidRPr="000E4AF8">
        <w:rPr>
          <w:i/>
          <w:lang w:val="en-US"/>
        </w:rPr>
        <w:t>European Humanist Federation</w:t>
      </w:r>
      <w:r w:rsidR="002C11D7">
        <w:rPr>
          <w:lang w:val="en-US"/>
        </w:rPr>
        <w:t xml:space="preserve"> (EHF)</w:t>
      </w:r>
      <w:r>
        <w:rPr>
          <w:lang w:val="en-US"/>
        </w:rPr>
        <w:t xml:space="preserve"> </w:t>
      </w:r>
      <w:r w:rsidRPr="00786AB7">
        <w:rPr>
          <w:lang w:val="en-GB"/>
        </w:rPr>
        <w:t>would like to thank the Rapporteur</w:t>
      </w:r>
      <w:r w:rsidR="000E4AF8">
        <w:rPr>
          <w:lang w:val="en-GB"/>
        </w:rPr>
        <w:t xml:space="preserve"> for circulating General C</w:t>
      </w:r>
      <w:r w:rsidRPr="00786AB7">
        <w:rPr>
          <w:lang w:val="en-GB"/>
        </w:rPr>
        <w:t>omment No. 36 on article 6 of the International Covenant on Civil and Political Rights</w:t>
      </w:r>
      <w:r w:rsidR="00755DFE">
        <w:rPr>
          <w:lang w:val="en-GB"/>
        </w:rPr>
        <w:t xml:space="preserve"> (ICCPR)</w:t>
      </w:r>
      <w:r w:rsidRPr="00786AB7">
        <w:rPr>
          <w:lang w:val="en-GB"/>
        </w:rPr>
        <w:t>, on the right to life</w:t>
      </w:r>
      <w:r w:rsidR="00755DFE">
        <w:rPr>
          <w:lang w:val="en-GB"/>
        </w:rPr>
        <w:t xml:space="preserve">. We </w:t>
      </w:r>
      <w:r w:rsidR="00755DFE" w:rsidRPr="00755DFE">
        <w:rPr>
          <w:lang w:val="en-GB"/>
        </w:rPr>
        <w:t>are grateful for the</w:t>
      </w:r>
      <w:r w:rsidR="00755DFE">
        <w:rPr>
          <w:lang w:val="en-GB"/>
        </w:rPr>
        <w:t xml:space="preserve"> </w:t>
      </w:r>
      <w:r w:rsidR="00755DFE" w:rsidRPr="00755DFE">
        <w:rPr>
          <w:lang w:val="en-GB"/>
        </w:rPr>
        <w:t xml:space="preserve">opportunity to make a written contribution </w:t>
      </w:r>
      <w:r w:rsidR="00755DFE">
        <w:rPr>
          <w:lang w:val="en-GB"/>
        </w:rPr>
        <w:t>ahead of the Human Rights Committee</w:t>
      </w:r>
      <w:r w:rsidR="005B48A3">
        <w:rPr>
          <w:lang w:val="en-GB"/>
        </w:rPr>
        <w:t>'s</w:t>
      </w:r>
      <w:r w:rsidR="00755DFE">
        <w:rPr>
          <w:lang w:val="en-GB"/>
        </w:rPr>
        <w:t xml:space="preserve"> </w:t>
      </w:r>
      <w:r w:rsidR="00755DFE" w:rsidRPr="00755DFE">
        <w:rPr>
          <w:lang w:val="en-GB"/>
        </w:rPr>
        <w:t>second reading</w:t>
      </w:r>
      <w:r w:rsidR="002C11D7">
        <w:rPr>
          <w:lang w:val="en-GB"/>
        </w:rPr>
        <w:t>.</w:t>
      </w:r>
    </w:p>
    <w:p w:rsidR="00206B47" w:rsidRDefault="005F0385" w:rsidP="00555791">
      <w:pPr>
        <w:pStyle w:val="Corps"/>
        <w:jc w:val="both"/>
        <w:rPr>
          <w:lang w:val="en-GB"/>
        </w:rPr>
      </w:pPr>
      <w:r>
        <w:rPr>
          <w:lang w:val="en-US"/>
        </w:rPr>
        <w:t xml:space="preserve">As a </w:t>
      </w:r>
      <w:r w:rsidR="000E4AF8">
        <w:rPr>
          <w:lang w:val="en-US"/>
        </w:rPr>
        <w:t xml:space="preserve">matter of introduction, the EHF </w:t>
      </w:r>
      <w:r w:rsidR="00EF09D9">
        <w:rPr>
          <w:lang w:val="en-US"/>
        </w:rPr>
        <w:t>support</w:t>
      </w:r>
      <w:r w:rsidR="000E4AF8">
        <w:rPr>
          <w:lang w:val="en-US"/>
        </w:rPr>
        <w:t>s</w:t>
      </w:r>
      <w:r w:rsidR="00EF09D9">
        <w:rPr>
          <w:lang w:val="en-US"/>
        </w:rPr>
        <w:t xml:space="preserve"> the position of the Committee according to which the right to life </w:t>
      </w:r>
      <w:r w:rsidR="00EF09D9" w:rsidRPr="00940BF3">
        <w:rPr>
          <w:lang w:val="en-GB"/>
        </w:rPr>
        <w:t>« </w:t>
      </w:r>
      <w:r w:rsidR="00EF09D9">
        <w:rPr>
          <w:lang w:val="en-US"/>
        </w:rPr>
        <w:t>should not be interpreted narrowly</w:t>
      </w:r>
      <w:r w:rsidR="00EF09D9">
        <w:rPr>
          <w:lang w:val="en-GB"/>
        </w:rPr>
        <w:t xml:space="preserve"> » </w:t>
      </w:r>
      <w:r w:rsidRPr="00940BF3">
        <w:rPr>
          <w:lang w:val="en-GB"/>
        </w:rPr>
        <w:t>(</w:t>
      </w:r>
      <w:r w:rsidR="00940BF3">
        <w:rPr>
          <w:lang w:val="en-GB"/>
        </w:rPr>
        <w:t>par</w:t>
      </w:r>
      <w:r w:rsidR="00755DFE">
        <w:rPr>
          <w:lang w:val="en-GB"/>
        </w:rPr>
        <w:t>agraph</w:t>
      </w:r>
      <w:r w:rsidR="00940BF3">
        <w:rPr>
          <w:lang w:val="en-GB"/>
        </w:rPr>
        <w:t xml:space="preserve"> 3). </w:t>
      </w:r>
      <w:r w:rsidR="00206B47">
        <w:rPr>
          <w:lang w:val="en-GB"/>
        </w:rPr>
        <w:t xml:space="preserve">We </w:t>
      </w:r>
      <w:r w:rsidR="00CC2183">
        <w:rPr>
          <w:lang w:val="en-GB"/>
        </w:rPr>
        <w:t>share</w:t>
      </w:r>
      <w:r w:rsidR="00206B47">
        <w:rPr>
          <w:lang w:val="en-GB"/>
        </w:rPr>
        <w:t xml:space="preserve"> the Committee's </w:t>
      </w:r>
      <w:r w:rsidR="00CC2183">
        <w:rPr>
          <w:lang w:val="en-GB"/>
        </w:rPr>
        <w:t xml:space="preserve">view </w:t>
      </w:r>
      <w:r w:rsidR="00206B47" w:rsidRPr="007C7472">
        <w:rPr>
          <w:lang w:val="en-GB"/>
        </w:rPr>
        <w:t>that the right to life concerns the entitlement of individuals to enjoy a life with dignity, (paragraph 3) and recognizes the central importance of personal autonomy to human dignity (paragraph 10).</w:t>
      </w:r>
    </w:p>
    <w:p w:rsidR="0059117B" w:rsidRDefault="00206B47" w:rsidP="00555791">
      <w:pPr>
        <w:pStyle w:val="Corps"/>
        <w:jc w:val="both"/>
        <w:rPr>
          <w:lang w:val="en-GB"/>
        </w:rPr>
      </w:pPr>
      <w:proofErr w:type="gramStart"/>
      <w:r>
        <w:rPr>
          <w:lang w:val="en-GB"/>
        </w:rPr>
        <w:t xml:space="preserve">We </w:t>
      </w:r>
      <w:r w:rsidR="00CC2183">
        <w:rPr>
          <w:lang w:val="en-GB"/>
        </w:rPr>
        <w:t xml:space="preserve">further </w:t>
      </w:r>
      <w:r w:rsidR="007C7472">
        <w:rPr>
          <w:lang w:val="en-GB"/>
        </w:rPr>
        <w:t>support</w:t>
      </w:r>
      <w:r>
        <w:rPr>
          <w:lang w:val="en-GB"/>
        </w:rPr>
        <w:t xml:space="preserve"> the Committee's position that the right to life </w:t>
      </w:r>
      <w:r w:rsidR="007C7472">
        <w:rPr>
          <w:lang w:val="en-GB"/>
        </w:rPr>
        <w:t>is the prerequisite for</w:t>
      </w:r>
      <w:r>
        <w:rPr>
          <w:lang w:val="en-GB"/>
        </w:rPr>
        <w:t xml:space="preserve"> the enjoyment of other rights that are key to one's right to life in dignity, such as the right to the highest attainable </w:t>
      </w:r>
      <w:r w:rsidR="0059117B">
        <w:rPr>
          <w:lang w:val="en-GB"/>
        </w:rPr>
        <w:t>health, access to food, wate</w:t>
      </w:r>
      <w:r w:rsidR="007C7472">
        <w:rPr>
          <w:lang w:val="en-GB"/>
        </w:rPr>
        <w:t>r and sanitation (paragraph 30),</w:t>
      </w:r>
      <w:r w:rsidR="000E4AF8">
        <w:rPr>
          <w:lang w:val="en-GB"/>
        </w:rPr>
        <w:t xml:space="preserve"> </w:t>
      </w:r>
      <w:r w:rsidR="00CC2183">
        <w:rPr>
          <w:lang w:val="en-GB"/>
        </w:rPr>
        <w:t>the right to live in a</w:t>
      </w:r>
      <w:r w:rsidR="0059117B">
        <w:rPr>
          <w:lang w:val="en-GB"/>
        </w:rPr>
        <w:t xml:space="preserve"> safe environment free from pollution (paragraph 65)</w:t>
      </w:r>
      <w:r w:rsidR="007C7472">
        <w:rPr>
          <w:lang w:val="en-GB"/>
        </w:rPr>
        <w:t xml:space="preserve"> and</w:t>
      </w:r>
      <w:r w:rsidR="00804A6A">
        <w:rPr>
          <w:lang w:val="en-GB"/>
        </w:rPr>
        <w:t>,</w:t>
      </w:r>
      <w:r w:rsidR="007C7472">
        <w:rPr>
          <w:lang w:val="en-GB"/>
        </w:rPr>
        <w:t xml:space="preserve"> beyond, all the</w:t>
      </w:r>
      <w:r w:rsidR="00CC2183">
        <w:rPr>
          <w:lang w:val="en-GB"/>
        </w:rPr>
        <w:t xml:space="preserve"> rights contained in the ICCPR and in the </w:t>
      </w:r>
      <w:r w:rsidR="0059117B" w:rsidRPr="0059117B">
        <w:rPr>
          <w:lang w:val="en-GB"/>
        </w:rPr>
        <w:t>International Covenant on Economic, Social and Cultural Rights</w:t>
      </w:r>
      <w:r w:rsidR="00CC2183">
        <w:rPr>
          <w:lang w:val="en-GB"/>
        </w:rPr>
        <w:t>.</w:t>
      </w:r>
      <w:proofErr w:type="gramEnd"/>
    </w:p>
    <w:p w:rsidR="00DB6F02" w:rsidRDefault="001D16F1" w:rsidP="00555791">
      <w:pPr>
        <w:pStyle w:val="Corps"/>
        <w:jc w:val="both"/>
        <w:rPr>
          <w:lang w:val="en-GB"/>
        </w:rPr>
      </w:pPr>
      <w:r>
        <w:rPr>
          <w:lang w:val="en-GB"/>
        </w:rPr>
        <w:t xml:space="preserve">It is worth recalling that </w:t>
      </w:r>
      <w:proofErr w:type="spellStart"/>
      <w:r w:rsidR="00CC2183" w:rsidRPr="00CC2183">
        <w:rPr>
          <w:b/>
          <w:lang w:val="en-GB"/>
        </w:rPr>
        <w:t>interpretating</w:t>
      </w:r>
      <w:proofErr w:type="spellEnd"/>
      <w:r w:rsidRPr="00CC2183">
        <w:rPr>
          <w:b/>
          <w:lang w:val="en-GB"/>
        </w:rPr>
        <w:t xml:space="preserve"> Article 6 widely does not mean that its scope should apply prenatally.</w:t>
      </w:r>
      <w:r w:rsidRPr="001D16F1">
        <w:rPr>
          <w:lang w:val="en-GB"/>
        </w:rPr>
        <w:t xml:space="preserve"> </w:t>
      </w:r>
      <w:r w:rsidR="00DB6F02">
        <w:rPr>
          <w:lang w:val="en-GB"/>
        </w:rPr>
        <w:t xml:space="preserve">We </w:t>
      </w:r>
      <w:r w:rsidR="00CC2183">
        <w:rPr>
          <w:lang w:val="en-GB"/>
        </w:rPr>
        <w:t xml:space="preserve">therefore </w:t>
      </w:r>
      <w:r w:rsidR="00DB6F02">
        <w:rPr>
          <w:lang w:val="en-GB"/>
        </w:rPr>
        <w:t xml:space="preserve">welcome the Committee's views that the </w:t>
      </w:r>
      <w:proofErr w:type="spellStart"/>
      <w:r w:rsidR="00DB6F02">
        <w:rPr>
          <w:lang w:val="en-GB"/>
        </w:rPr>
        <w:t>Convenant</w:t>
      </w:r>
      <w:proofErr w:type="spellEnd"/>
      <w:r w:rsidR="00DB6F02">
        <w:rPr>
          <w:lang w:val="en-GB"/>
        </w:rPr>
        <w:t xml:space="preserve"> rights apply </w:t>
      </w:r>
      <w:r w:rsidR="005B48A3">
        <w:rPr>
          <w:lang w:val="en-GB"/>
        </w:rPr>
        <w:t xml:space="preserve">to persons, i.e. </w:t>
      </w:r>
      <w:r w:rsidR="00DB6F02">
        <w:rPr>
          <w:lang w:val="en-GB"/>
        </w:rPr>
        <w:t>after birth, which is consistent with the</w:t>
      </w:r>
      <w:r w:rsidR="00DB6F02" w:rsidRPr="007C7472">
        <w:rPr>
          <w:lang w:val="en-GB"/>
        </w:rPr>
        <w:t xml:space="preserve"> </w:t>
      </w:r>
      <w:r w:rsidR="005B48A3" w:rsidRPr="007C7472">
        <w:rPr>
          <w:lang w:val="en-GB"/>
        </w:rPr>
        <w:t>Covenant's</w:t>
      </w:r>
      <w:r w:rsidR="00DB6F02" w:rsidRPr="007C7472">
        <w:rPr>
          <w:lang w:val="en-GB"/>
        </w:rPr>
        <w:t xml:space="preserve"> own </w:t>
      </w:r>
      <w:proofErr w:type="spellStart"/>
      <w:r w:rsidR="005B48A3" w:rsidRPr="007C7472">
        <w:rPr>
          <w:lang w:val="en-GB"/>
        </w:rPr>
        <w:t>prepatory</w:t>
      </w:r>
      <w:proofErr w:type="spellEnd"/>
      <w:r w:rsidR="005B48A3" w:rsidRPr="007C7472">
        <w:rPr>
          <w:lang w:val="en-GB"/>
        </w:rPr>
        <w:t xml:space="preserve"> work</w:t>
      </w:r>
      <w:r w:rsidR="00DB6F02" w:rsidRPr="007C7472">
        <w:rPr>
          <w:lang w:val="en-GB"/>
        </w:rPr>
        <w:t xml:space="preserve"> and in alignment with relevant</w:t>
      </w:r>
      <w:r w:rsidR="005B48A3" w:rsidRPr="007C7472">
        <w:rPr>
          <w:lang w:val="en-GB"/>
        </w:rPr>
        <w:t xml:space="preserve"> regional and international </w:t>
      </w:r>
      <w:r w:rsidR="00DB6F02" w:rsidRPr="007C7472">
        <w:rPr>
          <w:lang w:val="en-GB"/>
        </w:rPr>
        <w:t>practice</w:t>
      </w:r>
      <w:r w:rsidR="00371446">
        <w:rPr>
          <w:rStyle w:val="FootnoteReference"/>
          <w:lang w:val="en-GB"/>
        </w:rPr>
        <w:footnoteReference w:id="1"/>
      </w:r>
      <w:r w:rsidR="00DB6F02" w:rsidRPr="007C7472">
        <w:rPr>
          <w:lang w:val="en-GB"/>
        </w:rPr>
        <w:t xml:space="preserve">. </w:t>
      </w:r>
    </w:p>
    <w:p w:rsidR="00CC2183" w:rsidRPr="00A53983" w:rsidRDefault="00DB6F02" w:rsidP="00555791">
      <w:pPr>
        <w:pStyle w:val="Corps"/>
        <w:jc w:val="both"/>
        <w:rPr>
          <w:b/>
          <w:lang w:val="en-GB"/>
        </w:rPr>
      </w:pPr>
      <w:r w:rsidRPr="00366631">
        <w:rPr>
          <w:b/>
          <w:lang w:val="en-GB"/>
        </w:rPr>
        <w:t xml:space="preserve">In this </w:t>
      </w:r>
      <w:r w:rsidR="00CC2183">
        <w:rPr>
          <w:b/>
          <w:lang w:val="en-GB"/>
        </w:rPr>
        <w:t>contribution</w:t>
      </w:r>
      <w:r w:rsidRPr="00366631">
        <w:rPr>
          <w:b/>
          <w:lang w:val="en-GB"/>
        </w:rPr>
        <w:t xml:space="preserve">, we </w:t>
      </w:r>
      <w:r w:rsidR="00CC2183">
        <w:rPr>
          <w:b/>
          <w:lang w:val="en-GB"/>
        </w:rPr>
        <w:t xml:space="preserve">respectfully </w:t>
      </w:r>
      <w:r w:rsidRPr="00366631">
        <w:rPr>
          <w:b/>
          <w:lang w:val="en-GB"/>
        </w:rPr>
        <w:t xml:space="preserve">invite the Committee to reinforce </w:t>
      </w:r>
      <w:r w:rsidR="005B48A3" w:rsidRPr="00366631">
        <w:rPr>
          <w:b/>
          <w:lang w:val="en-GB"/>
        </w:rPr>
        <w:t>the protection of three</w:t>
      </w:r>
      <w:r w:rsidRPr="00366631">
        <w:rPr>
          <w:b/>
          <w:lang w:val="en-GB"/>
        </w:rPr>
        <w:t xml:space="preserve"> key rights</w:t>
      </w:r>
      <w:r w:rsidR="005B48A3" w:rsidRPr="00366631">
        <w:rPr>
          <w:b/>
          <w:lang w:val="en-GB"/>
        </w:rPr>
        <w:t xml:space="preserve"> as part of the right to life</w:t>
      </w:r>
      <w:r w:rsidR="00CC2183" w:rsidRPr="00A53983">
        <w:rPr>
          <w:b/>
          <w:lang w:val="en-GB"/>
        </w:rPr>
        <w:t>:</w:t>
      </w:r>
    </w:p>
    <w:p w:rsidR="00CC2183" w:rsidRDefault="00DB6F02" w:rsidP="00666E1A">
      <w:pPr>
        <w:pStyle w:val="Corps"/>
        <w:numPr>
          <w:ilvl w:val="0"/>
          <w:numId w:val="10"/>
        </w:numPr>
        <w:jc w:val="both"/>
        <w:rPr>
          <w:lang w:val="en-GB"/>
        </w:rPr>
      </w:pPr>
      <w:r>
        <w:rPr>
          <w:lang w:val="en-GB"/>
        </w:rPr>
        <w:t xml:space="preserve">the right to sexual and reproductive health of women and girls, </w:t>
      </w:r>
    </w:p>
    <w:p w:rsidR="00CC2183" w:rsidRDefault="00DB6F02" w:rsidP="00666E1A">
      <w:pPr>
        <w:pStyle w:val="Corps"/>
        <w:numPr>
          <w:ilvl w:val="0"/>
          <w:numId w:val="10"/>
        </w:numPr>
        <w:jc w:val="both"/>
        <w:rPr>
          <w:lang w:val="en-GB"/>
        </w:rPr>
      </w:pPr>
      <w:r>
        <w:rPr>
          <w:lang w:val="en-GB"/>
        </w:rPr>
        <w:t xml:space="preserve">the </w:t>
      </w:r>
      <w:r w:rsidR="00CC2183">
        <w:rPr>
          <w:lang w:val="en-GB"/>
        </w:rPr>
        <w:t>right to die in dignity,</w:t>
      </w:r>
    </w:p>
    <w:p w:rsidR="00DB6F02" w:rsidRDefault="00366631" w:rsidP="00666E1A">
      <w:pPr>
        <w:pStyle w:val="Corps"/>
        <w:numPr>
          <w:ilvl w:val="0"/>
          <w:numId w:val="10"/>
        </w:numPr>
        <w:jc w:val="both"/>
        <w:rPr>
          <w:lang w:val="en-GB"/>
        </w:rPr>
      </w:pPr>
      <w:proofErr w:type="gramStart"/>
      <w:r>
        <w:rPr>
          <w:lang w:val="en-GB"/>
        </w:rPr>
        <w:t>the</w:t>
      </w:r>
      <w:proofErr w:type="gramEnd"/>
      <w:r>
        <w:rPr>
          <w:lang w:val="en-GB"/>
        </w:rPr>
        <w:t xml:space="preserve"> right </w:t>
      </w:r>
      <w:r w:rsidR="00FF6741">
        <w:rPr>
          <w:lang w:val="en-GB"/>
        </w:rPr>
        <w:t xml:space="preserve">for the non-religious, non-believers, atheists, agnostics and freethinkers </w:t>
      </w:r>
      <w:r>
        <w:rPr>
          <w:lang w:val="en-GB"/>
        </w:rPr>
        <w:t>to be free from discrimination</w:t>
      </w:r>
      <w:r w:rsidR="00FF6741">
        <w:rPr>
          <w:lang w:val="en-GB"/>
        </w:rPr>
        <w:t xml:space="preserve"> and violence.</w:t>
      </w:r>
      <w:r w:rsidR="00DB6F02">
        <w:rPr>
          <w:lang w:val="en-GB"/>
        </w:rPr>
        <w:t xml:space="preserve"> </w:t>
      </w:r>
    </w:p>
    <w:p w:rsidR="00F40824" w:rsidRPr="001722DF" w:rsidRDefault="00F40824" w:rsidP="00F40824">
      <w:pPr>
        <w:jc w:val="both"/>
        <w:rPr>
          <w:rFonts w:ascii="Calibri" w:hAnsi="Calibri" w:cs="Calibri"/>
          <w:b/>
          <w:sz w:val="22"/>
          <w:szCs w:val="22"/>
          <w:u w:val="single"/>
          <w:lang w:val="en-GB"/>
        </w:rPr>
      </w:pPr>
      <w:r w:rsidRPr="001722DF">
        <w:rPr>
          <w:rFonts w:ascii="Calibri" w:hAnsi="Calibri" w:cs="Calibri"/>
          <w:b/>
          <w:sz w:val="22"/>
          <w:szCs w:val="22"/>
          <w:u w:val="single"/>
          <w:lang w:val="en-GB"/>
        </w:rPr>
        <w:lastRenderedPageBreak/>
        <w:t xml:space="preserve">1. Reaffirming </w:t>
      </w:r>
      <w:r w:rsidRPr="001722DF">
        <w:rPr>
          <w:rFonts w:ascii="Calibri" w:hAnsi="Calibri" w:cs="Calibri"/>
          <w:b/>
          <w:sz w:val="22"/>
          <w:szCs w:val="22"/>
          <w:u w:val="single"/>
        </w:rPr>
        <w:t>States parties’ obligations to guarantee access to safe and legal abortion (paragraph 9)</w:t>
      </w:r>
    </w:p>
    <w:p w:rsidR="00F40824" w:rsidRPr="00F40824" w:rsidRDefault="00F40824" w:rsidP="00F40824">
      <w:pPr>
        <w:pStyle w:val="ListParagraph"/>
        <w:rPr>
          <w:lang w:val="en-GB"/>
        </w:rPr>
      </w:pPr>
    </w:p>
    <w:p w:rsidR="00111A63" w:rsidRDefault="00FF6741" w:rsidP="00555791">
      <w:pPr>
        <w:pStyle w:val="Corps"/>
        <w:jc w:val="both"/>
        <w:rPr>
          <w:lang w:val="en-GB"/>
        </w:rPr>
      </w:pPr>
      <w:r>
        <w:rPr>
          <w:lang w:val="en-GB"/>
        </w:rPr>
        <w:t xml:space="preserve">The EHF welcomes </w:t>
      </w:r>
      <w:r w:rsidR="00F40824">
        <w:rPr>
          <w:lang w:val="en-GB"/>
        </w:rPr>
        <w:t xml:space="preserve">the wording of </w:t>
      </w:r>
      <w:r w:rsidR="005F0385" w:rsidRPr="00940BF3">
        <w:rPr>
          <w:lang w:val="en-GB"/>
        </w:rPr>
        <w:t>paragraph</w:t>
      </w:r>
      <w:r w:rsidR="00F40824">
        <w:rPr>
          <w:lang w:val="en-GB"/>
        </w:rPr>
        <w:t xml:space="preserve"> 9</w:t>
      </w:r>
      <w:r w:rsidR="005F0385" w:rsidRPr="00940BF3">
        <w:rPr>
          <w:lang w:val="en-GB"/>
        </w:rPr>
        <w:t xml:space="preserve">. We </w:t>
      </w:r>
      <w:r w:rsidR="006C2FFF">
        <w:rPr>
          <w:lang w:val="en-GB"/>
        </w:rPr>
        <w:t>fully</w:t>
      </w:r>
      <w:r w:rsidR="005F0385" w:rsidRPr="00940BF3">
        <w:rPr>
          <w:lang w:val="en-GB"/>
        </w:rPr>
        <w:t xml:space="preserve"> share the Committee’s views that the protection of sexual and reproductive health and rights, including access to safe and legal abortion, is not </w:t>
      </w:r>
      <w:r w:rsidR="006C2FFF">
        <w:rPr>
          <w:lang w:val="en-GB"/>
        </w:rPr>
        <w:t>only compatible with</w:t>
      </w:r>
      <w:r w:rsidR="005F0385" w:rsidRPr="00940BF3">
        <w:rPr>
          <w:lang w:val="en-GB"/>
        </w:rPr>
        <w:t xml:space="preserve"> </w:t>
      </w:r>
      <w:proofErr w:type="gramStart"/>
      <w:r w:rsidR="005F0385" w:rsidRPr="00940BF3">
        <w:rPr>
          <w:lang w:val="en-GB"/>
        </w:rPr>
        <w:t>but</w:t>
      </w:r>
      <w:proofErr w:type="gramEnd"/>
      <w:r w:rsidR="005F0385" w:rsidRPr="00940BF3">
        <w:rPr>
          <w:lang w:val="en-GB"/>
        </w:rPr>
        <w:t xml:space="preserve"> extremely necessary to the very understanding and implementation of women’s right to life. </w:t>
      </w:r>
    </w:p>
    <w:p w:rsidR="00C370DE" w:rsidRDefault="00FF6741" w:rsidP="00C370DE">
      <w:pPr>
        <w:pStyle w:val="Corps"/>
        <w:jc w:val="both"/>
        <w:rPr>
          <w:lang w:val="en-GB"/>
        </w:rPr>
      </w:pPr>
      <w:r w:rsidRPr="00FF6741">
        <w:rPr>
          <w:lang w:val="en-GB"/>
        </w:rPr>
        <w:t>T</w:t>
      </w:r>
      <w:r w:rsidR="005F0385" w:rsidRPr="00FF6741">
        <w:rPr>
          <w:lang w:val="en-GB"/>
        </w:rPr>
        <w:t>oo often, restrictive legislations on abortion continue to lead to dramatic situations in terms of physical and psychological suffering for women, not even mentioning their risk to die for continuing their pregnancy or undergoing unsafe terminations.</w:t>
      </w:r>
      <w:r w:rsidR="00C370DE" w:rsidRPr="00C370DE">
        <w:rPr>
          <w:lang w:val="en-GB"/>
        </w:rPr>
        <w:t xml:space="preserve"> </w:t>
      </w:r>
      <w:r w:rsidR="00C370DE">
        <w:rPr>
          <w:lang w:val="en-GB"/>
        </w:rPr>
        <w:t>As recalled by the World Health Organization</w:t>
      </w:r>
      <w:r w:rsidR="00C370DE">
        <w:rPr>
          <w:rStyle w:val="FootnoteReference"/>
          <w:lang w:val="en-GB"/>
        </w:rPr>
        <w:footnoteReference w:id="2"/>
      </w:r>
      <w:r w:rsidR="00C370DE">
        <w:rPr>
          <w:lang w:val="en-GB"/>
        </w:rPr>
        <w:t>, about 21</w:t>
      </w:r>
      <w:r w:rsidR="00C370DE" w:rsidRPr="00111A63">
        <w:rPr>
          <w:lang w:val="en-GB"/>
        </w:rPr>
        <w:t xml:space="preserve"> million women experience an unsaf</w:t>
      </w:r>
      <w:r w:rsidR="00C370DE">
        <w:rPr>
          <w:lang w:val="en-GB"/>
        </w:rPr>
        <w:t>e abortion worldwide each year and 4</w:t>
      </w:r>
      <w:r w:rsidR="00C370DE" w:rsidRPr="00111A63">
        <w:rPr>
          <w:lang w:val="en-GB"/>
        </w:rPr>
        <w:t xml:space="preserve">7 000 women </w:t>
      </w:r>
      <w:r w:rsidR="00C370DE">
        <w:rPr>
          <w:lang w:val="en-GB"/>
        </w:rPr>
        <w:t xml:space="preserve">of them </w:t>
      </w:r>
      <w:r w:rsidR="00C370DE" w:rsidRPr="00111A63">
        <w:rPr>
          <w:lang w:val="en-GB"/>
        </w:rPr>
        <w:t>die from complications of</w:t>
      </w:r>
      <w:r w:rsidR="00C370DE">
        <w:rPr>
          <w:lang w:val="en-GB"/>
        </w:rPr>
        <w:t xml:space="preserve"> this unsafe practice. </w:t>
      </w:r>
      <w:r w:rsidR="00C370DE" w:rsidRPr="00111A63">
        <w:rPr>
          <w:lang w:val="en-GB"/>
        </w:rPr>
        <w:t>Deaths due to unsafe abortion remain close to 13% of all maternal deaths</w:t>
      </w:r>
      <w:r w:rsidR="00C370DE">
        <w:rPr>
          <w:lang w:val="en-GB"/>
        </w:rPr>
        <w:t>.</w:t>
      </w:r>
    </w:p>
    <w:p w:rsidR="002C11D7" w:rsidRPr="00A53983" w:rsidRDefault="00C370DE" w:rsidP="00A32B1C">
      <w:pPr>
        <w:pStyle w:val="Corps"/>
        <w:jc w:val="both"/>
        <w:rPr>
          <w:b/>
          <w:bCs/>
          <w:lang w:val="en-GB"/>
        </w:rPr>
      </w:pPr>
      <w:r w:rsidRPr="00940BF3">
        <w:rPr>
          <w:b/>
          <w:bCs/>
          <w:lang w:val="en-GB"/>
        </w:rPr>
        <w:t>We</w:t>
      </w:r>
      <w:r>
        <w:rPr>
          <w:b/>
          <w:bCs/>
          <w:lang w:val="en-GB"/>
        </w:rPr>
        <w:t xml:space="preserve"> therefore</w:t>
      </w:r>
      <w:r w:rsidRPr="00940BF3">
        <w:rPr>
          <w:b/>
          <w:bCs/>
          <w:lang w:val="en-GB"/>
        </w:rPr>
        <w:t xml:space="preserve"> </w:t>
      </w:r>
      <w:r w:rsidR="006C2FFF">
        <w:rPr>
          <w:b/>
          <w:bCs/>
          <w:lang w:val="en-GB"/>
        </w:rPr>
        <w:t>strongly support</w:t>
      </w:r>
      <w:r w:rsidRPr="00940BF3">
        <w:rPr>
          <w:b/>
          <w:bCs/>
          <w:lang w:val="en-GB"/>
        </w:rPr>
        <w:t xml:space="preserve"> the positive obligation formulated by the C</w:t>
      </w:r>
      <w:r>
        <w:rPr>
          <w:b/>
          <w:bCs/>
          <w:lang w:val="en-GB"/>
        </w:rPr>
        <w:t>ommittee to States parties to “</w:t>
      </w:r>
      <w:r w:rsidRPr="00940BF3">
        <w:rPr>
          <w:b/>
          <w:bCs/>
          <w:lang w:val="en-GB"/>
        </w:rPr>
        <w:t>provide safe access to abortion to protect the li</w:t>
      </w:r>
      <w:r>
        <w:rPr>
          <w:b/>
          <w:bCs/>
          <w:lang w:val="en-GB"/>
        </w:rPr>
        <w:t xml:space="preserve">fe and health of </w:t>
      </w:r>
      <w:r w:rsidR="00A53983">
        <w:rPr>
          <w:b/>
          <w:bCs/>
          <w:lang w:val="en-GB"/>
        </w:rPr>
        <w:t>pregnant women</w:t>
      </w:r>
      <w:r w:rsidR="00804A6A">
        <w:rPr>
          <w:b/>
          <w:bCs/>
          <w:lang w:val="en-GB"/>
        </w:rPr>
        <w:t>.</w:t>
      </w:r>
      <w:r w:rsidR="00A53983">
        <w:rPr>
          <w:b/>
          <w:bCs/>
          <w:lang w:val="en-GB"/>
        </w:rPr>
        <w:t>”</w:t>
      </w:r>
      <w:r w:rsidR="00804A6A">
        <w:rPr>
          <w:b/>
          <w:bCs/>
          <w:lang w:val="en-GB"/>
        </w:rPr>
        <w:t xml:space="preserve"> </w:t>
      </w:r>
      <w:r w:rsidR="006C2FFF" w:rsidRPr="00A53983">
        <w:rPr>
          <w:b/>
          <w:bCs/>
          <w:lang w:val="en-GB"/>
        </w:rPr>
        <w:t>However</w:t>
      </w:r>
      <w:r w:rsidRPr="00A53983">
        <w:rPr>
          <w:b/>
          <w:bCs/>
          <w:lang w:val="en-GB"/>
        </w:rPr>
        <w:t>, we would like to s</w:t>
      </w:r>
      <w:r w:rsidR="00A53983" w:rsidRPr="00A53983">
        <w:rPr>
          <w:b/>
          <w:bCs/>
          <w:lang w:val="en-GB"/>
        </w:rPr>
        <w:t>uggest the following additions in paragraph 9:</w:t>
      </w:r>
    </w:p>
    <w:p w:rsidR="00A32B1C" w:rsidRPr="00A53983" w:rsidRDefault="00A32B1C" w:rsidP="002C11D7">
      <w:pPr>
        <w:pStyle w:val="Corps"/>
        <w:ind w:left="567"/>
        <w:jc w:val="both"/>
        <w:rPr>
          <w:color w:val="auto"/>
          <w:lang w:val="en-GB"/>
        </w:rPr>
      </w:pPr>
      <w:r w:rsidRPr="00A53983">
        <w:rPr>
          <w:lang w:val="en-GB"/>
        </w:rPr>
        <w:t>“</w:t>
      </w:r>
      <w:r w:rsidRPr="00A53983">
        <w:rPr>
          <w:i/>
          <w:lang w:val="en-GB"/>
        </w:rPr>
        <w:t xml:space="preserve">States </w:t>
      </w:r>
      <w:r w:rsidRPr="00A53983">
        <w:rPr>
          <w:i/>
          <w:color w:val="auto"/>
          <w:lang w:val="en-GB"/>
        </w:rPr>
        <w:t xml:space="preserve">parties must provide safe access to abortion to protect the life, the health, and the </w:t>
      </w:r>
      <w:r w:rsidRPr="00A53983">
        <w:rPr>
          <w:b/>
          <w:i/>
          <w:color w:val="auto"/>
          <w:u w:val="single"/>
          <w:lang w:val="en-GB"/>
        </w:rPr>
        <w:t>bodily integrity</w:t>
      </w:r>
      <w:r w:rsidRPr="00A53983">
        <w:rPr>
          <w:i/>
          <w:color w:val="auto"/>
          <w:lang w:val="en-GB"/>
        </w:rPr>
        <w:t xml:space="preserve"> of pregnant women, and in situations in which carrying a pregnancy to term would cause the woman pain, suffering or </w:t>
      </w:r>
      <w:r w:rsidRPr="00A53983">
        <w:rPr>
          <w:b/>
          <w:i/>
          <w:color w:val="auto"/>
          <w:u w:val="single"/>
          <w:lang w:val="en-GB"/>
        </w:rPr>
        <w:t>distress</w:t>
      </w:r>
      <w:r w:rsidRPr="00A53983">
        <w:rPr>
          <w:b/>
          <w:i/>
          <w:color w:val="auto"/>
          <w:lang w:val="en-GB"/>
        </w:rPr>
        <w:t xml:space="preserve">, </w:t>
      </w:r>
      <w:r w:rsidRPr="00A53983">
        <w:rPr>
          <w:b/>
          <w:i/>
          <w:color w:val="auto"/>
          <w:u w:val="single"/>
          <w:lang w:val="en-GB"/>
        </w:rPr>
        <w:t>including</w:t>
      </w:r>
      <w:r w:rsidRPr="00A53983">
        <w:rPr>
          <w:i/>
          <w:color w:val="auto"/>
          <w:u w:val="single"/>
          <w:lang w:val="en-GB"/>
        </w:rPr>
        <w:t xml:space="preserve"> </w:t>
      </w:r>
      <w:r w:rsidRPr="00A53983">
        <w:rPr>
          <w:i/>
          <w:color w:val="auto"/>
          <w:lang w:val="en-GB"/>
        </w:rPr>
        <w:t>where the pregnancy is the result of rape or incest or when the foetus suffers from fatal impairment</w:t>
      </w:r>
      <w:r w:rsidRPr="00A53983">
        <w:rPr>
          <w:color w:val="auto"/>
          <w:lang w:val="en-GB"/>
        </w:rPr>
        <w:t xml:space="preserve">.” </w:t>
      </w:r>
    </w:p>
    <w:p w:rsidR="009364AF" w:rsidRDefault="00D22BC6" w:rsidP="00A32B1C">
      <w:pPr>
        <w:pStyle w:val="Corps"/>
        <w:jc w:val="both"/>
        <w:rPr>
          <w:sz w:val="14"/>
          <w:szCs w:val="14"/>
          <w:lang w:val="en-GB"/>
        </w:rPr>
      </w:pPr>
      <w:r w:rsidRPr="00FF6741">
        <w:rPr>
          <w:lang w:val="en-GB"/>
        </w:rPr>
        <w:t xml:space="preserve">In many </w:t>
      </w:r>
      <w:r w:rsidR="006C2FFF">
        <w:rPr>
          <w:lang w:val="en-GB"/>
        </w:rPr>
        <w:t xml:space="preserve">European </w:t>
      </w:r>
      <w:r w:rsidRPr="00FF6741">
        <w:rPr>
          <w:lang w:val="en-GB"/>
        </w:rPr>
        <w:t xml:space="preserve">countries that allow abortion under specific circumstances, we </w:t>
      </w:r>
      <w:r w:rsidR="006C2FFF">
        <w:rPr>
          <w:lang w:val="en-GB"/>
        </w:rPr>
        <w:t>notice</w:t>
      </w:r>
      <w:r w:rsidRPr="00FF6741">
        <w:rPr>
          <w:lang w:val="en-GB"/>
        </w:rPr>
        <w:t xml:space="preserve"> increasing attempts to limit its access, like in Italy, Greece or in the UK. </w:t>
      </w:r>
      <w:r>
        <w:rPr>
          <w:lang w:val="en-GB"/>
        </w:rPr>
        <w:t xml:space="preserve"> </w:t>
      </w:r>
      <w:r w:rsidR="009364AF" w:rsidRPr="009364AF">
        <w:rPr>
          <w:lang w:val="en-GB"/>
        </w:rPr>
        <w:t>This Committee</w:t>
      </w:r>
      <w:r>
        <w:rPr>
          <w:lang w:val="en-GB"/>
        </w:rPr>
        <w:t xml:space="preserve"> </w:t>
      </w:r>
      <w:r w:rsidR="009364AF" w:rsidRPr="009364AF">
        <w:rPr>
          <w:lang w:val="en-GB"/>
        </w:rPr>
        <w:t xml:space="preserve">has recognized that barriers to </w:t>
      </w:r>
      <w:r w:rsidR="001C31A7">
        <w:rPr>
          <w:lang w:val="en-GB"/>
        </w:rPr>
        <w:t xml:space="preserve">legal </w:t>
      </w:r>
      <w:r w:rsidR="009364AF" w:rsidRPr="009364AF">
        <w:rPr>
          <w:lang w:val="en-GB"/>
        </w:rPr>
        <w:t xml:space="preserve">abortion services </w:t>
      </w:r>
      <w:r w:rsidR="001C31A7">
        <w:rPr>
          <w:lang w:val="en-GB"/>
        </w:rPr>
        <w:t xml:space="preserve">(such as conscientious objection </w:t>
      </w:r>
      <w:r w:rsidR="001C31A7" w:rsidRPr="001C31A7">
        <w:rPr>
          <w:lang w:val="en-GB"/>
        </w:rPr>
        <w:t>inappropriately applied</w:t>
      </w:r>
      <w:r w:rsidR="001C31A7">
        <w:rPr>
          <w:lang w:val="en-GB"/>
        </w:rPr>
        <w:t xml:space="preserve"> </w:t>
      </w:r>
      <w:r w:rsidR="001C31A7" w:rsidRPr="00371446">
        <w:rPr>
          <w:lang w:val="en-GB"/>
        </w:rPr>
        <w:t>or third party intervention</w:t>
      </w:r>
      <w:r w:rsidR="001C31A7">
        <w:rPr>
          <w:lang w:val="en-GB"/>
        </w:rPr>
        <w:t>)</w:t>
      </w:r>
      <w:r w:rsidR="001C31A7" w:rsidRPr="001C31A7">
        <w:rPr>
          <w:lang w:val="en-GB"/>
        </w:rPr>
        <w:t xml:space="preserve"> </w:t>
      </w:r>
      <w:r w:rsidR="009364AF" w:rsidRPr="009364AF">
        <w:rPr>
          <w:lang w:val="en-GB"/>
        </w:rPr>
        <w:t>threaten women’s right to life and has urged States parties to remove them</w:t>
      </w:r>
      <w:r w:rsidR="001C31A7">
        <w:rPr>
          <w:rStyle w:val="FootnoteReference"/>
          <w:lang w:val="en-GB"/>
        </w:rPr>
        <w:footnoteReference w:id="3"/>
      </w:r>
      <w:r w:rsidR="009364AF" w:rsidRPr="009364AF">
        <w:rPr>
          <w:lang w:val="en-GB"/>
        </w:rPr>
        <w:t>.</w:t>
      </w:r>
      <w:r w:rsidR="001C31A7">
        <w:rPr>
          <w:sz w:val="14"/>
          <w:szCs w:val="14"/>
          <w:lang w:val="en-GB"/>
        </w:rPr>
        <w:t xml:space="preserve"> </w:t>
      </w:r>
    </w:p>
    <w:p w:rsidR="00A53983" w:rsidRDefault="00D22BC6" w:rsidP="00897140">
      <w:pPr>
        <w:pStyle w:val="Corps"/>
        <w:jc w:val="both"/>
        <w:rPr>
          <w:lang w:val="en-GB"/>
        </w:rPr>
      </w:pPr>
      <w:r w:rsidRPr="00D22BC6">
        <w:rPr>
          <w:lang w:val="en-GB"/>
        </w:rPr>
        <w:t xml:space="preserve">We therefore welcome the </w:t>
      </w:r>
      <w:r>
        <w:rPr>
          <w:lang w:val="en-GB"/>
        </w:rPr>
        <w:t xml:space="preserve">Committee’s call on State parties not to introduce burdensome requirements on women seeking an abortion. </w:t>
      </w:r>
      <w:proofErr w:type="spellStart"/>
      <w:r w:rsidRPr="00897140">
        <w:rPr>
          <w:lang w:val="en-GB"/>
        </w:rPr>
        <w:t>Howewer</w:t>
      </w:r>
      <w:proofErr w:type="spellEnd"/>
      <w:r w:rsidRPr="00D22BC6">
        <w:rPr>
          <w:b/>
          <w:lang w:val="en-GB"/>
        </w:rPr>
        <w:t xml:space="preserve">, </w:t>
      </w:r>
      <w:r w:rsidR="00897140">
        <w:rPr>
          <w:lang w:val="en-GB"/>
        </w:rPr>
        <w:t>we believe that the words “h</w:t>
      </w:r>
      <w:r w:rsidR="00897140" w:rsidRPr="00A32B1C">
        <w:rPr>
          <w:lang w:val="en-GB"/>
        </w:rPr>
        <w:t>umiliating” and “unreasonably” leave too much room for interpretation by the decision-maker</w:t>
      </w:r>
      <w:r w:rsidR="00897140">
        <w:rPr>
          <w:lang w:val="en-GB"/>
        </w:rPr>
        <w:t>s and the medical professionals</w:t>
      </w:r>
      <w:r w:rsidR="00A53983">
        <w:rPr>
          <w:lang w:val="en-GB"/>
        </w:rPr>
        <w:t xml:space="preserve"> to maintain or introduce barriers of all sorts limiting women’s rights.</w:t>
      </w:r>
    </w:p>
    <w:p w:rsidR="006C2FFF" w:rsidRDefault="00897140" w:rsidP="00897140">
      <w:pPr>
        <w:pStyle w:val="Corps"/>
        <w:jc w:val="both"/>
        <w:rPr>
          <w:b/>
          <w:lang w:val="en-GB"/>
        </w:rPr>
      </w:pPr>
      <w:r w:rsidRPr="00A53983">
        <w:rPr>
          <w:b/>
          <w:lang w:val="en-GB"/>
        </w:rPr>
        <w:t>Accordingly</w:t>
      </w:r>
      <w:r>
        <w:rPr>
          <w:lang w:val="en-GB"/>
        </w:rPr>
        <w:t xml:space="preserve">, </w:t>
      </w:r>
      <w:r w:rsidRPr="00897140">
        <w:rPr>
          <w:b/>
          <w:lang w:val="en-GB"/>
        </w:rPr>
        <w:t>w</w:t>
      </w:r>
      <w:r w:rsidR="00D22BC6" w:rsidRPr="00897140">
        <w:rPr>
          <w:b/>
          <w:lang w:val="en-GB"/>
        </w:rPr>
        <w:t>e</w:t>
      </w:r>
      <w:r w:rsidR="00D22BC6" w:rsidRPr="00D22BC6">
        <w:rPr>
          <w:b/>
          <w:lang w:val="en-GB"/>
        </w:rPr>
        <w:t xml:space="preserve"> respectfully invite the Committee to </w:t>
      </w:r>
      <w:r>
        <w:rPr>
          <w:b/>
          <w:lang w:val="en-GB"/>
        </w:rPr>
        <w:t>amend</w:t>
      </w:r>
      <w:r w:rsidR="00D22BC6" w:rsidRPr="00D22BC6">
        <w:rPr>
          <w:b/>
          <w:lang w:val="en-GB"/>
        </w:rPr>
        <w:t xml:space="preserve"> the wording of the concerned sentence in paragraph 9 by removing “humiliat</w:t>
      </w:r>
      <w:r>
        <w:rPr>
          <w:b/>
          <w:lang w:val="en-GB"/>
        </w:rPr>
        <w:t>ing” and “unreasonably”:</w:t>
      </w:r>
    </w:p>
    <w:p w:rsidR="00897140" w:rsidRPr="00A53983" w:rsidRDefault="00897140" w:rsidP="00897140">
      <w:pPr>
        <w:pStyle w:val="Corps"/>
        <w:ind w:left="708"/>
        <w:jc w:val="both"/>
        <w:rPr>
          <w:lang w:val="en-GB"/>
        </w:rPr>
      </w:pPr>
      <w:r w:rsidRPr="003F3689">
        <w:rPr>
          <w:lang w:val="en-GB"/>
        </w:rPr>
        <w:lastRenderedPageBreak/>
        <w:t>« </w:t>
      </w:r>
      <w:r w:rsidRPr="003F3689">
        <w:rPr>
          <w:i/>
          <w:lang w:val="en-GB"/>
        </w:rPr>
        <w:t xml:space="preserve">Nor should States parties introduce </w:t>
      </w:r>
      <w:r w:rsidRPr="003F3689">
        <w:rPr>
          <w:i/>
          <w:strike/>
          <w:lang w:val="en-GB"/>
        </w:rPr>
        <w:t>humiliating or unreasonably</w:t>
      </w:r>
      <w:r w:rsidRPr="003F3689">
        <w:rPr>
          <w:i/>
          <w:lang w:val="en-GB"/>
        </w:rPr>
        <w:t xml:space="preserve"> burdensome requirements on women seeking to undergo abortion</w:t>
      </w:r>
      <w:r w:rsidRPr="003F3689">
        <w:rPr>
          <w:lang w:val="en-GB"/>
        </w:rPr>
        <w:t>. »</w:t>
      </w:r>
    </w:p>
    <w:p w:rsidR="00FF6741" w:rsidRDefault="00FF6741" w:rsidP="00FF6741">
      <w:pPr>
        <w:pStyle w:val="Heading1"/>
        <w:rPr>
          <w:rFonts w:ascii="Calibri" w:eastAsia="Calibri" w:hAnsi="Calibri" w:cs="Calibri"/>
          <w:b/>
          <w:color w:val="000000"/>
          <w:sz w:val="22"/>
          <w:szCs w:val="22"/>
          <w:u w:color="000000"/>
          <w:lang w:eastAsia="fr-BE"/>
        </w:rPr>
      </w:pPr>
    </w:p>
    <w:p w:rsidR="00897140" w:rsidRPr="001722DF" w:rsidRDefault="00897140" w:rsidP="00897140">
      <w:pPr>
        <w:pStyle w:val="NoSpacing"/>
        <w:rPr>
          <w:rFonts w:ascii="Calibri" w:hAnsi="Calibri" w:cs="Calibri"/>
          <w:b/>
          <w:sz w:val="22"/>
          <w:szCs w:val="22"/>
          <w:u w:val="single"/>
          <w:lang w:val="en-GB"/>
        </w:rPr>
      </w:pPr>
      <w:r w:rsidRPr="001722DF">
        <w:rPr>
          <w:rFonts w:ascii="Calibri" w:hAnsi="Calibri" w:cs="Calibri"/>
          <w:b/>
          <w:sz w:val="22"/>
          <w:szCs w:val="22"/>
          <w:u w:val="single"/>
          <w:lang w:val="en-GB"/>
        </w:rPr>
        <w:t>2. Highlighting the right to die in dignity as a part of the right to life (par. 10)</w:t>
      </w:r>
    </w:p>
    <w:p w:rsidR="00897140" w:rsidRPr="00897140" w:rsidRDefault="00897140" w:rsidP="00897140">
      <w:pPr>
        <w:rPr>
          <w:lang w:eastAsia="fr-BE"/>
        </w:rPr>
      </w:pPr>
    </w:p>
    <w:p w:rsidR="00226131" w:rsidRDefault="00555791" w:rsidP="00442207">
      <w:pPr>
        <w:pStyle w:val="Corps"/>
        <w:jc w:val="both"/>
        <w:rPr>
          <w:lang w:val="en-GB"/>
        </w:rPr>
      </w:pPr>
      <w:r w:rsidRPr="002C11D7">
        <w:rPr>
          <w:b/>
          <w:lang w:val="en-GB"/>
        </w:rPr>
        <w:t>We</w:t>
      </w:r>
      <w:r w:rsidR="005F0385" w:rsidRPr="002C11D7">
        <w:rPr>
          <w:b/>
          <w:lang w:val="en-GB"/>
        </w:rPr>
        <w:t xml:space="preserve"> welcome the intention of the Committee to include the difficult issue of the termination of life for specific cases in the realm of the right to life.</w:t>
      </w:r>
      <w:r w:rsidR="005F0385" w:rsidRPr="00940BF3">
        <w:rPr>
          <w:lang w:val="en-GB"/>
        </w:rPr>
        <w:t xml:space="preserve"> We believe that individuals should have the right, in agreed </w:t>
      </w:r>
      <w:r w:rsidR="00CC36D7" w:rsidRPr="00940BF3">
        <w:rPr>
          <w:lang w:val="en-GB"/>
        </w:rPr>
        <w:t>circumstances</w:t>
      </w:r>
      <w:r w:rsidR="005F0385" w:rsidRPr="00940BF3">
        <w:rPr>
          <w:lang w:val="en-GB"/>
        </w:rPr>
        <w:t>, to determine how and when they can seek assistance to die. This very last decision is a matt</w:t>
      </w:r>
      <w:r w:rsidR="00974DFF">
        <w:rPr>
          <w:lang w:val="en-GB"/>
        </w:rPr>
        <w:t>er of respect of private life (A</w:t>
      </w:r>
      <w:r w:rsidR="005F0385" w:rsidRPr="00940BF3">
        <w:rPr>
          <w:lang w:val="en-GB"/>
        </w:rPr>
        <w:t>rt</w:t>
      </w:r>
      <w:r w:rsidR="00974DFF">
        <w:rPr>
          <w:lang w:val="en-GB"/>
        </w:rPr>
        <w:t>.</w:t>
      </w:r>
      <w:r w:rsidR="005F0385" w:rsidRPr="00940BF3">
        <w:rPr>
          <w:lang w:val="en-GB"/>
        </w:rPr>
        <w:t xml:space="preserve"> 17 ICCPR) and part of the act of living in dignity.</w:t>
      </w:r>
    </w:p>
    <w:p w:rsidR="00442207" w:rsidRPr="007C7472" w:rsidRDefault="00442207" w:rsidP="00442207">
      <w:pPr>
        <w:pStyle w:val="Corps"/>
        <w:jc w:val="both"/>
        <w:rPr>
          <w:lang w:val="en-GB"/>
        </w:rPr>
      </w:pPr>
      <w:r w:rsidRPr="007C7472">
        <w:rPr>
          <w:lang w:val="en-GB"/>
        </w:rPr>
        <w:t xml:space="preserve">In Europe, the Belgian, Dutch, Luxembourg and Swiss parliaments have already debated and introduced legislation that supports a right to assistance to die. Other parliaments, in France and the UK, are debating these matters. The term euthanasia </w:t>
      </w:r>
      <w:proofErr w:type="gramStart"/>
      <w:r w:rsidRPr="007C7472">
        <w:rPr>
          <w:lang w:val="en-GB"/>
        </w:rPr>
        <w:t>is generally used</w:t>
      </w:r>
      <w:proofErr w:type="gramEnd"/>
      <w:r w:rsidRPr="007C7472">
        <w:rPr>
          <w:lang w:val="en-GB"/>
        </w:rPr>
        <w:t xml:space="preserve"> where a doctor administers a lethal substance. When the doctor's role is limited, for example to prescribing but not administering the lethal dose, the term assisted dying </w:t>
      </w:r>
      <w:proofErr w:type="gramStart"/>
      <w:r w:rsidRPr="007C7472">
        <w:rPr>
          <w:lang w:val="en-GB"/>
        </w:rPr>
        <w:t>is generally used</w:t>
      </w:r>
      <w:proofErr w:type="gramEnd"/>
      <w:r w:rsidRPr="007C7472">
        <w:rPr>
          <w:lang w:val="en-GB"/>
        </w:rPr>
        <w:t xml:space="preserve"> to describe the help provided.</w:t>
      </w:r>
    </w:p>
    <w:p w:rsidR="00442207" w:rsidRPr="007C7472" w:rsidRDefault="00442207" w:rsidP="00442207">
      <w:pPr>
        <w:pStyle w:val="Corps"/>
        <w:jc w:val="both"/>
        <w:rPr>
          <w:lang w:val="en-GB"/>
        </w:rPr>
      </w:pPr>
      <w:r w:rsidRPr="007C7472">
        <w:rPr>
          <w:lang w:val="en-GB"/>
        </w:rPr>
        <w:t xml:space="preserve">Voluntary euthanasia and assisted dying embrace the notion that a mentally competent person can receive help to die, without that help </w:t>
      </w:r>
      <w:proofErr w:type="gramStart"/>
      <w:r w:rsidRPr="007C7472">
        <w:rPr>
          <w:lang w:val="en-GB"/>
        </w:rPr>
        <w:t>being considered</w:t>
      </w:r>
      <w:proofErr w:type="gramEnd"/>
      <w:r w:rsidRPr="007C7472">
        <w:rPr>
          <w:lang w:val="en-GB"/>
        </w:rPr>
        <w:t xml:space="preserve"> illegal. In both </w:t>
      </w:r>
      <w:proofErr w:type="gramStart"/>
      <w:r w:rsidRPr="007C7472">
        <w:rPr>
          <w:lang w:val="en-GB"/>
        </w:rPr>
        <w:t>situations</w:t>
      </w:r>
      <w:proofErr w:type="gramEnd"/>
      <w:r w:rsidRPr="007C7472">
        <w:rPr>
          <w:lang w:val="en-GB"/>
        </w:rPr>
        <w:t xml:space="preserve"> the person</w:t>
      </w:r>
      <w:r w:rsidR="00226131">
        <w:rPr>
          <w:lang w:val="en-GB"/>
        </w:rPr>
        <w:t>s</w:t>
      </w:r>
      <w:r w:rsidRPr="007C7472">
        <w:rPr>
          <w:lang w:val="en-GB"/>
        </w:rPr>
        <w:t xml:space="preserve"> who want to die must make it clear that they want help to die, either at the time of the request, or when a specified event is judged to have occurred (</w:t>
      </w:r>
      <w:r w:rsidR="00226131">
        <w:rPr>
          <w:lang w:val="en-GB"/>
        </w:rPr>
        <w:t>when the person no longer has</w:t>
      </w:r>
      <w:r w:rsidRPr="007C7472">
        <w:rPr>
          <w:lang w:val="en-GB"/>
        </w:rPr>
        <w:t xml:space="preserve"> the mental capacity).</w:t>
      </w:r>
    </w:p>
    <w:p w:rsidR="00442207" w:rsidRPr="007C7472" w:rsidRDefault="00442207" w:rsidP="00442207">
      <w:pPr>
        <w:pStyle w:val="Corps"/>
        <w:jc w:val="both"/>
        <w:rPr>
          <w:lang w:val="en-GB"/>
        </w:rPr>
      </w:pPr>
      <w:proofErr w:type="gramStart"/>
      <w:r w:rsidRPr="002C11D7">
        <w:rPr>
          <w:b/>
          <w:lang w:val="en-GB"/>
        </w:rPr>
        <w:t>The EHF supports legal provisions for voluntary euthanasia or assisted dying subject to necessary safeguards in circumstances where people are suffering unendurable pain or loss of faculties and where there is no hope of cure or improvement.</w:t>
      </w:r>
      <w:proofErr w:type="gramEnd"/>
      <w:r w:rsidRPr="007C7472">
        <w:rPr>
          <w:lang w:val="en-GB"/>
        </w:rPr>
        <w:t xml:space="preserve"> In taking such a decision, one must take account of the effects the decision may have on others – which includes not just the burden that caring for them places on others but also the possibly devastating effect of their loss on close family and friends. It can only be a highly personal decision but it is one people should be free to take, with measures to guard against real or imagined pressure from family and against the effects of clinical depression.</w:t>
      </w:r>
    </w:p>
    <w:p w:rsidR="00442207" w:rsidRPr="007C7472" w:rsidRDefault="00442207" w:rsidP="00442207">
      <w:pPr>
        <w:pStyle w:val="Corps"/>
        <w:jc w:val="both"/>
        <w:rPr>
          <w:lang w:val="en-GB"/>
        </w:rPr>
      </w:pPr>
      <w:r w:rsidRPr="00974DFF">
        <w:rPr>
          <w:lang w:val="en-GB"/>
        </w:rPr>
        <w:t>Individuals</w:t>
      </w:r>
      <w:r w:rsidRPr="007C7472">
        <w:rPr>
          <w:lang w:val="en-GB"/>
        </w:rPr>
        <w:t xml:space="preserve"> should be able to receive help to die, on their request, either if they experience or in a number of situations, including but not limited </w:t>
      </w:r>
      <w:proofErr w:type="gramStart"/>
      <w:r w:rsidRPr="007C7472">
        <w:rPr>
          <w:lang w:val="en-GB"/>
        </w:rPr>
        <w:t>to</w:t>
      </w:r>
      <w:proofErr w:type="gramEnd"/>
      <w:r w:rsidRPr="007C7472">
        <w:rPr>
          <w:lang w:val="en-GB"/>
        </w:rPr>
        <w:t xml:space="preserve">: </w:t>
      </w:r>
    </w:p>
    <w:p w:rsidR="00442207" w:rsidRPr="007C7472" w:rsidRDefault="00442207" w:rsidP="002C11D7">
      <w:pPr>
        <w:pStyle w:val="Corps"/>
        <w:numPr>
          <w:ilvl w:val="0"/>
          <w:numId w:val="4"/>
        </w:numPr>
        <w:spacing w:after="0"/>
        <w:ind w:left="426"/>
        <w:jc w:val="both"/>
        <w:rPr>
          <w:lang w:val="en-GB"/>
        </w:rPr>
      </w:pPr>
      <w:r w:rsidRPr="007C7472">
        <w:rPr>
          <w:lang w:val="en-GB"/>
        </w:rPr>
        <w:t>a disease which will lead to death (termin</w:t>
      </w:r>
      <w:r w:rsidR="00A53983">
        <w:rPr>
          <w:lang w:val="en-GB"/>
        </w:rPr>
        <w:t>al illness),</w:t>
      </w:r>
    </w:p>
    <w:p w:rsidR="00442207" w:rsidRPr="007C7472" w:rsidRDefault="00442207" w:rsidP="002C11D7">
      <w:pPr>
        <w:pStyle w:val="Corps"/>
        <w:numPr>
          <w:ilvl w:val="0"/>
          <w:numId w:val="4"/>
        </w:numPr>
        <w:spacing w:after="0"/>
        <w:ind w:left="426"/>
        <w:jc w:val="both"/>
        <w:rPr>
          <w:lang w:val="en-GB"/>
        </w:rPr>
      </w:pPr>
      <w:r w:rsidRPr="007C7472">
        <w:rPr>
          <w:lang w:val="en-GB"/>
        </w:rPr>
        <w:t>an unendurable incapacitating disabil</w:t>
      </w:r>
      <w:r w:rsidR="00A53983">
        <w:rPr>
          <w:lang w:val="en-GB"/>
        </w:rPr>
        <w:t>ity (mental or physical),</w:t>
      </w:r>
    </w:p>
    <w:p w:rsidR="00442207" w:rsidRDefault="00A53983" w:rsidP="002C11D7">
      <w:pPr>
        <w:pStyle w:val="Corps"/>
        <w:numPr>
          <w:ilvl w:val="0"/>
          <w:numId w:val="4"/>
        </w:numPr>
        <w:spacing w:after="0"/>
        <w:ind w:left="426"/>
        <w:jc w:val="both"/>
      </w:pPr>
      <w:proofErr w:type="spellStart"/>
      <w:proofErr w:type="gramStart"/>
      <w:r>
        <w:t>unbearable</w:t>
      </w:r>
      <w:proofErr w:type="spellEnd"/>
      <w:proofErr w:type="gramEnd"/>
      <w:r>
        <w:t xml:space="preserve"> pain</w:t>
      </w:r>
      <w:r w:rsidR="00804A6A">
        <w:t>,</w:t>
      </w:r>
    </w:p>
    <w:p w:rsidR="002C11D7" w:rsidRPr="00226131" w:rsidRDefault="00442207" w:rsidP="003721E9">
      <w:pPr>
        <w:pStyle w:val="Corps"/>
        <w:numPr>
          <w:ilvl w:val="0"/>
          <w:numId w:val="4"/>
        </w:numPr>
        <w:spacing w:after="0"/>
        <w:ind w:left="426"/>
        <w:jc w:val="both"/>
        <w:rPr>
          <w:lang w:val="en-GB"/>
        </w:rPr>
      </w:pPr>
      <w:proofErr w:type="gramStart"/>
      <w:r w:rsidRPr="00226131">
        <w:rPr>
          <w:lang w:val="en-GB"/>
        </w:rPr>
        <w:t>an</w:t>
      </w:r>
      <w:proofErr w:type="gramEnd"/>
      <w:r w:rsidRPr="00226131">
        <w:rPr>
          <w:lang w:val="en-GB"/>
        </w:rPr>
        <w:t xml:space="preserve"> irreversible loss o</w:t>
      </w:r>
      <w:r w:rsidR="00226131">
        <w:rPr>
          <w:lang w:val="en-GB"/>
        </w:rPr>
        <w:t>f dignity (or the threat of it).</w:t>
      </w:r>
    </w:p>
    <w:p w:rsidR="00226131" w:rsidRDefault="00226131" w:rsidP="002C11D7">
      <w:pPr>
        <w:pStyle w:val="Corps"/>
        <w:spacing w:after="0"/>
        <w:jc w:val="both"/>
        <w:rPr>
          <w:lang w:val="en-GB"/>
        </w:rPr>
      </w:pPr>
    </w:p>
    <w:p w:rsidR="00442207" w:rsidRDefault="00226131" w:rsidP="009050AA">
      <w:pPr>
        <w:pStyle w:val="Corps"/>
        <w:spacing w:after="0"/>
        <w:jc w:val="both"/>
        <w:rPr>
          <w:lang w:val="en-GB"/>
        </w:rPr>
      </w:pPr>
      <w:r>
        <w:rPr>
          <w:lang w:val="en-GB"/>
        </w:rPr>
        <w:t xml:space="preserve">The </w:t>
      </w:r>
      <w:r w:rsidR="00442207" w:rsidRPr="007C7472">
        <w:rPr>
          <w:lang w:val="en-GB"/>
        </w:rPr>
        <w:t xml:space="preserve">EHF supports the provision of safeguards, to protect both people wishing to die, and those providing assistance to die. </w:t>
      </w:r>
      <w:proofErr w:type="gramStart"/>
      <w:r w:rsidR="00442207" w:rsidRPr="007C7472">
        <w:rPr>
          <w:lang w:val="en-GB"/>
        </w:rPr>
        <w:t xml:space="preserve">The safeguards for </w:t>
      </w:r>
      <w:r w:rsidR="00442207" w:rsidRPr="00226131">
        <w:rPr>
          <w:i/>
          <w:lang w:val="en-GB"/>
        </w:rPr>
        <w:t>people receiving help</w:t>
      </w:r>
      <w:r w:rsidR="00442207" w:rsidRPr="007C7472">
        <w:rPr>
          <w:lang w:val="en-GB"/>
        </w:rPr>
        <w:t xml:space="preserve"> </w:t>
      </w:r>
      <w:r w:rsidR="00442207" w:rsidRPr="00226131">
        <w:rPr>
          <w:i/>
          <w:lang w:val="en-GB"/>
        </w:rPr>
        <w:t>to die</w:t>
      </w:r>
      <w:r w:rsidR="00442207" w:rsidRPr="007C7472">
        <w:rPr>
          <w:lang w:val="en-GB"/>
        </w:rPr>
        <w:t xml:space="preserve"> should include: help to enable them to cope with their problems if they prefer to continue living; access to advice and support independent of family, friends and associates;</w:t>
      </w:r>
      <w:r w:rsidR="009050AA">
        <w:rPr>
          <w:lang w:val="en-GB"/>
        </w:rPr>
        <w:t xml:space="preserve"> </w:t>
      </w:r>
      <w:r w:rsidR="00442207" w:rsidRPr="007C7472">
        <w:rPr>
          <w:lang w:val="en-GB"/>
        </w:rPr>
        <w:t>clear procedures for confirming the wish to die;</w:t>
      </w:r>
      <w:r w:rsidR="009050AA">
        <w:rPr>
          <w:lang w:val="en-GB"/>
        </w:rPr>
        <w:t xml:space="preserve"> </w:t>
      </w:r>
      <w:r w:rsidR="00442207" w:rsidRPr="007C7472">
        <w:rPr>
          <w:lang w:val="en-GB"/>
        </w:rPr>
        <w:t xml:space="preserve">opportunities to access </w:t>
      </w:r>
      <w:r w:rsidR="00442207" w:rsidRPr="007C7472">
        <w:rPr>
          <w:lang w:val="en-GB"/>
        </w:rPr>
        <w:lastRenderedPageBreak/>
        <w:t>alternative support in the event of their own doctor not wanting to participate in a scheme.</w:t>
      </w:r>
      <w:proofErr w:type="gramEnd"/>
      <w:r w:rsidR="00442207" w:rsidRPr="007C7472">
        <w:rPr>
          <w:lang w:val="en-GB"/>
        </w:rPr>
        <w:t xml:space="preserve"> </w:t>
      </w:r>
    </w:p>
    <w:p w:rsidR="002C11D7" w:rsidRPr="007C7472" w:rsidRDefault="002C11D7" w:rsidP="002C11D7">
      <w:pPr>
        <w:pStyle w:val="Corps"/>
        <w:spacing w:after="0" w:line="240" w:lineRule="auto"/>
        <w:ind w:left="426"/>
        <w:jc w:val="both"/>
        <w:rPr>
          <w:lang w:val="en-GB"/>
        </w:rPr>
      </w:pPr>
    </w:p>
    <w:p w:rsidR="00E923A5" w:rsidRDefault="00442207" w:rsidP="00765263">
      <w:pPr>
        <w:pStyle w:val="Corps"/>
        <w:jc w:val="both"/>
        <w:rPr>
          <w:lang w:val="en-GB"/>
        </w:rPr>
      </w:pPr>
      <w:r w:rsidRPr="007C7472">
        <w:rPr>
          <w:lang w:val="en-GB"/>
        </w:rPr>
        <w:t xml:space="preserve">The safeguards for </w:t>
      </w:r>
      <w:r w:rsidRPr="00226131">
        <w:rPr>
          <w:i/>
          <w:lang w:val="en-GB"/>
        </w:rPr>
        <w:t xml:space="preserve">people </w:t>
      </w:r>
      <w:r w:rsidR="00226131" w:rsidRPr="00226131">
        <w:rPr>
          <w:i/>
          <w:lang w:val="en-GB"/>
        </w:rPr>
        <w:t>providing</w:t>
      </w:r>
      <w:r w:rsidRPr="00226131">
        <w:rPr>
          <w:i/>
          <w:lang w:val="en-GB"/>
        </w:rPr>
        <w:t xml:space="preserve"> assistance </w:t>
      </w:r>
      <w:r w:rsidR="00226131" w:rsidRPr="00226131">
        <w:rPr>
          <w:i/>
          <w:lang w:val="en-GB"/>
        </w:rPr>
        <w:t>to die</w:t>
      </w:r>
      <w:r w:rsidR="00226131">
        <w:rPr>
          <w:lang w:val="en-GB"/>
        </w:rPr>
        <w:t xml:space="preserve"> </w:t>
      </w:r>
      <w:r w:rsidR="00765263">
        <w:rPr>
          <w:lang w:val="en-GB"/>
        </w:rPr>
        <w:t xml:space="preserve">should include opportunities </w:t>
      </w:r>
      <w:r w:rsidRPr="007C7472">
        <w:rPr>
          <w:lang w:val="en-GB"/>
        </w:rPr>
        <w:t>to withdraw from participation</w:t>
      </w:r>
      <w:r w:rsidR="00765263">
        <w:rPr>
          <w:lang w:val="en-GB"/>
        </w:rPr>
        <w:t xml:space="preserve">, without consequence and </w:t>
      </w:r>
      <w:r w:rsidRPr="007C7472">
        <w:rPr>
          <w:lang w:val="en-GB"/>
        </w:rPr>
        <w:t xml:space="preserve">clear assurances of freedom from prosecution where a scheme's procedures </w:t>
      </w:r>
      <w:proofErr w:type="gramStart"/>
      <w:r w:rsidRPr="007C7472">
        <w:rPr>
          <w:lang w:val="en-GB"/>
        </w:rPr>
        <w:t>have been followed</w:t>
      </w:r>
      <w:proofErr w:type="gramEnd"/>
      <w:r w:rsidRPr="007C7472">
        <w:rPr>
          <w:lang w:val="en-GB"/>
        </w:rPr>
        <w:t>.</w:t>
      </w:r>
    </w:p>
    <w:p w:rsidR="00226131" w:rsidRDefault="009050AA" w:rsidP="002C11D7">
      <w:pPr>
        <w:pStyle w:val="Corps"/>
        <w:spacing w:after="0"/>
        <w:jc w:val="both"/>
        <w:rPr>
          <w:b/>
          <w:bCs/>
          <w:i/>
          <w:lang w:val="en-GB"/>
        </w:rPr>
      </w:pPr>
      <w:r>
        <w:rPr>
          <w:bCs/>
          <w:lang w:val="en-GB"/>
        </w:rPr>
        <w:t>In paragraph 10,</w:t>
      </w:r>
      <w:r w:rsidR="00442207" w:rsidRPr="00226131">
        <w:rPr>
          <w:bCs/>
          <w:lang w:val="en-GB"/>
        </w:rPr>
        <w:t xml:space="preserve"> we welcome the following sentence: </w:t>
      </w:r>
    </w:p>
    <w:p w:rsidR="00226131" w:rsidRDefault="00226131" w:rsidP="002C11D7">
      <w:pPr>
        <w:pStyle w:val="Corps"/>
        <w:spacing w:after="0"/>
        <w:jc w:val="both"/>
        <w:rPr>
          <w:b/>
          <w:bCs/>
          <w:i/>
          <w:lang w:val="en-GB"/>
        </w:rPr>
      </w:pPr>
    </w:p>
    <w:p w:rsidR="00226131" w:rsidRDefault="00442207" w:rsidP="00226131">
      <w:pPr>
        <w:pStyle w:val="Corps"/>
        <w:spacing w:after="0"/>
        <w:ind w:left="708"/>
        <w:jc w:val="both"/>
        <w:rPr>
          <w:lang w:val="en-GB"/>
        </w:rPr>
      </w:pPr>
      <w:proofErr w:type="gramStart"/>
      <w:r w:rsidRPr="00226131">
        <w:rPr>
          <w:bCs/>
          <w:i/>
          <w:lang w:val="en-GB"/>
        </w:rPr>
        <w:t xml:space="preserve">« At the same time, States parties </w:t>
      </w:r>
      <w:r w:rsidR="00226131" w:rsidRPr="00226131">
        <w:rPr>
          <w:bCs/>
          <w:i/>
          <w:lang w:val="en-GB"/>
        </w:rPr>
        <w:t>{may allow} {should not prevent</w:t>
      </w:r>
      <w:r w:rsidRPr="00226131">
        <w:rPr>
          <w:bCs/>
          <w:i/>
          <w:lang w:val="en-GB"/>
        </w:rPr>
        <w:t>} medical professionals to provide medical treatment or the medical means in order to facilitate the termination of life of afflicted adults, such as the mortally wounded or terminally ill, who experience severe physical or mental pain and suffering</w:t>
      </w:r>
      <w:r w:rsidR="00226131">
        <w:rPr>
          <w:bCs/>
          <w:i/>
          <w:lang w:val="en-GB"/>
        </w:rPr>
        <w:t xml:space="preserve"> and wish to die with dignity » </w:t>
      </w:r>
      <w:r w:rsidR="00226131" w:rsidRPr="009050AA">
        <w:rPr>
          <w:b/>
          <w:bCs/>
          <w:lang w:val="en-GB"/>
        </w:rPr>
        <w:t>and</w:t>
      </w:r>
      <w:r w:rsidR="00226131" w:rsidRPr="009050AA">
        <w:rPr>
          <w:b/>
          <w:bCs/>
          <w:i/>
          <w:lang w:val="en-GB"/>
        </w:rPr>
        <w:t xml:space="preserve"> </w:t>
      </w:r>
      <w:r w:rsidRPr="002C11D7">
        <w:rPr>
          <w:b/>
          <w:bCs/>
          <w:lang w:val="en-GB"/>
        </w:rPr>
        <w:t xml:space="preserve">we invite the Committee to choose </w:t>
      </w:r>
      <w:r w:rsidR="00226131">
        <w:rPr>
          <w:b/>
          <w:bCs/>
          <w:lang w:val="en-GB"/>
        </w:rPr>
        <w:t>‘</w:t>
      </w:r>
      <w:r w:rsidR="0062036A" w:rsidRPr="002C11D7">
        <w:rPr>
          <w:b/>
          <w:bCs/>
          <w:u w:val="single"/>
          <w:lang w:val="en-GB"/>
        </w:rPr>
        <w:t>should not prevent</w:t>
      </w:r>
      <w:r w:rsidR="00226131">
        <w:rPr>
          <w:b/>
          <w:bCs/>
          <w:lang w:val="en-GB"/>
        </w:rPr>
        <w:t>’</w:t>
      </w:r>
      <w:r w:rsidR="00371446">
        <w:rPr>
          <w:b/>
          <w:bCs/>
          <w:lang w:val="en-GB"/>
        </w:rPr>
        <w:t> </w:t>
      </w:r>
      <w:r w:rsidRPr="002C11D7">
        <w:rPr>
          <w:b/>
          <w:bCs/>
          <w:lang w:val="en-GB"/>
        </w:rPr>
        <w:t>over</w:t>
      </w:r>
      <w:r w:rsidR="00226131">
        <w:rPr>
          <w:b/>
          <w:bCs/>
          <w:lang w:val="en-GB"/>
        </w:rPr>
        <w:t xml:space="preserve"> ‘</w:t>
      </w:r>
      <w:r w:rsidR="0062036A" w:rsidRPr="002C11D7">
        <w:rPr>
          <w:b/>
          <w:bCs/>
          <w:lang w:val="en-GB"/>
        </w:rPr>
        <w:t>may allow</w:t>
      </w:r>
      <w:r w:rsidR="00226131">
        <w:rPr>
          <w:b/>
          <w:bCs/>
          <w:lang w:val="en-GB"/>
        </w:rPr>
        <w:t>’</w:t>
      </w:r>
      <w:r w:rsidRPr="002C11D7">
        <w:rPr>
          <w:lang w:val="en-GB"/>
        </w:rPr>
        <w:t>.</w:t>
      </w:r>
      <w:proofErr w:type="gramEnd"/>
      <w:r w:rsidRPr="002C11D7">
        <w:rPr>
          <w:lang w:val="en-GB"/>
        </w:rPr>
        <w:t xml:space="preserve"> </w:t>
      </w:r>
    </w:p>
    <w:p w:rsidR="00226131" w:rsidRDefault="00226131" w:rsidP="002C11D7">
      <w:pPr>
        <w:pStyle w:val="Corps"/>
        <w:spacing w:after="0"/>
        <w:jc w:val="both"/>
        <w:rPr>
          <w:lang w:val="en-GB"/>
        </w:rPr>
      </w:pPr>
    </w:p>
    <w:p w:rsidR="00442207" w:rsidRPr="002C11D7" w:rsidRDefault="00442207" w:rsidP="002C11D7">
      <w:pPr>
        <w:pStyle w:val="Corps"/>
        <w:spacing w:after="0"/>
        <w:jc w:val="both"/>
        <w:rPr>
          <w:lang w:val="en-GB"/>
        </w:rPr>
      </w:pPr>
      <w:r w:rsidRPr="002C11D7">
        <w:rPr>
          <w:lang w:val="en-GB"/>
        </w:rPr>
        <w:t xml:space="preserve">This </w:t>
      </w:r>
      <w:proofErr w:type="gramStart"/>
      <w:r w:rsidRPr="002C11D7">
        <w:rPr>
          <w:lang w:val="en-GB"/>
        </w:rPr>
        <w:t>so as to</w:t>
      </w:r>
      <w:proofErr w:type="gramEnd"/>
      <w:r w:rsidRPr="002C11D7">
        <w:rPr>
          <w:lang w:val="en-GB"/>
        </w:rPr>
        <w:t xml:space="preserve"> ensure that States who want to move further by adopting legislations regulating assisted dying, may do so.</w:t>
      </w:r>
    </w:p>
    <w:p w:rsidR="00CB2631" w:rsidRDefault="00CB2631" w:rsidP="00FB244D">
      <w:pPr>
        <w:pStyle w:val="Corps"/>
        <w:rPr>
          <w:highlight w:val="yellow"/>
          <w:lang w:val="en-US"/>
        </w:rPr>
      </w:pPr>
    </w:p>
    <w:p w:rsidR="00CB2631" w:rsidRPr="001722DF" w:rsidRDefault="00226131" w:rsidP="00226131">
      <w:pPr>
        <w:pStyle w:val="NoSpacing"/>
        <w:jc w:val="both"/>
        <w:rPr>
          <w:rFonts w:ascii="Calibri" w:hAnsi="Calibri" w:cs="Calibri"/>
          <w:b/>
          <w:sz w:val="22"/>
          <w:szCs w:val="22"/>
          <w:u w:val="single"/>
        </w:rPr>
      </w:pPr>
      <w:r w:rsidRPr="001722DF">
        <w:rPr>
          <w:rFonts w:ascii="Calibri" w:hAnsi="Calibri" w:cs="Calibri"/>
          <w:b/>
          <w:sz w:val="22"/>
          <w:szCs w:val="22"/>
          <w:u w:val="single"/>
        </w:rPr>
        <w:t>3. R</w:t>
      </w:r>
      <w:r w:rsidR="00CB2631" w:rsidRPr="001722DF">
        <w:rPr>
          <w:rFonts w:ascii="Calibri" w:hAnsi="Calibri" w:cs="Calibri"/>
          <w:b/>
          <w:sz w:val="22"/>
          <w:szCs w:val="22"/>
          <w:u w:val="single"/>
        </w:rPr>
        <w:t>eaffirming State parties' obligations to protect non-believers', atheists'</w:t>
      </w:r>
      <w:r w:rsidR="0062036A" w:rsidRPr="001722DF">
        <w:rPr>
          <w:rFonts w:ascii="Calibri" w:hAnsi="Calibri" w:cs="Calibri"/>
          <w:b/>
          <w:sz w:val="22"/>
          <w:szCs w:val="22"/>
          <w:u w:val="single"/>
        </w:rPr>
        <w:t>, agnostics' and free thinkers'</w:t>
      </w:r>
      <w:r w:rsidR="00CB2631" w:rsidRPr="001722DF">
        <w:rPr>
          <w:rFonts w:ascii="Calibri" w:hAnsi="Calibri" w:cs="Calibri"/>
          <w:b/>
          <w:sz w:val="22"/>
          <w:szCs w:val="22"/>
          <w:u w:val="single"/>
        </w:rPr>
        <w:t xml:space="preserve"> right to life </w:t>
      </w:r>
      <w:r w:rsidRPr="001722DF">
        <w:rPr>
          <w:rFonts w:ascii="Calibri" w:hAnsi="Calibri" w:cs="Calibri"/>
          <w:b/>
          <w:sz w:val="22"/>
          <w:szCs w:val="22"/>
          <w:u w:val="single"/>
        </w:rPr>
        <w:t>(paragraphs 27, 40 and 64)</w:t>
      </w:r>
    </w:p>
    <w:p w:rsidR="00454A51" w:rsidRPr="00454A51" w:rsidRDefault="00454A51" w:rsidP="00FB244D">
      <w:pPr>
        <w:jc w:val="both"/>
        <w:rPr>
          <w:lang w:val="en-GB"/>
        </w:rPr>
      </w:pPr>
    </w:p>
    <w:p w:rsidR="002C11D7" w:rsidRPr="00635441" w:rsidRDefault="005F0385" w:rsidP="00682787">
      <w:pPr>
        <w:pStyle w:val="Corps"/>
        <w:jc w:val="both"/>
        <w:rPr>
          <w:lang w:val="en-GB"/>
        </w:rPr>
      </w:pPr>
      <w:r w:rsidRPr="00635441">
        <w:rPr>
          <w:lang w:val="en-GB"/>
        </w:rPr>
        <w:t xml:space="preserve">We strongly welcome the positive obligation formulated by the Committee to State parties to take special measures of protection towards persons in situation of vulnerability. </w:t>
      </w:r>
      <w:r w:rsidR="00FB244D" w:rsidRPr="00635441">
        <w:rPr>
          <w:lang w:val="en-GB"/>
        </w:rPr>
        <w:t xml:space="preserve">However, </w:t>
      </w:r>
      <w:r w:rsidR="00FB244D" w:rsidRPr="00635441">
        <w:rPr>
          <w:b/>
          <w:lang w:val="en-GB"/>
        </w:rPr>
        <w:t xml:space="preserve">we respectfully </w:t>
      </w:r>
      <w:r w:rsidR="00635441">
        <w:rPr>
          <w:b/>
          <w:lang w:val="en-GB"/>
        </w:rPr>
        <w:t>call on</w:t>
      </w:r>
      <w:r w:rsidR="00FB244D" w:rsidRPr="00635441">
        <w:rPr>
          <w:b/>
          <w:lang w:val="en-GB"/>
        </w:rPr>
        <w:t xml:space="preserve"> the Committee to include non-believers in the group of vulnerable people</w:t>
      </w:r>
      <w:r w:rsidR="00FB244D" w:rsidRPr="00635441">
        <w:rPr>
          <w:lang w:val="en-GB"/>
        </w:rPr>
        <w:t xml:space="preserve">, and not only religious minorities as it </w:t>
      </w:r>
      <w:proofErr w:type="gramStart"/>
      <w:r w:rsidR="00FB244D" w:rsidRPr="00635441">
        <w:rPr>
          <w:lang w:val="en-GB"/>
        </w:rPr>
        <w:t>is currently formulated</w:t>
      </w:r>
      <w:proofErr w:type="gramEnd"/>
      <w:r w:rsidR="00FB244D" w:rsidRPr="00635441">
        <w:rPr>
          <w:lang w:val="en-GB"/>
        </w:rPr>
        <w:t>.</w:t>
      </w:r>
    </w:p>
    <w:p w:rsidR="00DE53A0" w:rsidRDefault="00635441" w:rsidP="00682787">
      <w:pPr>
        <w:pStyle w:val="Corps"/>
        <w:jc w:val="both"/>
        <w:rPr>
          <w:lang w:val="en-GB"/>
        </w:rPr>
      </w:pPr>
      <w:r>
        <w:rPr>
          <w:lang w:val="en-GB"/>
        </w:rPr>
        <w:t>V</w:t>
      </w:r>
      <w:r w:rsidR="00682787">
        <w:rPr>
          <w:lang w:val="en-GB"/>
        </w:rPr>
        <w:t xml:space="preserve">iolence against </w:t>
      </w:r>
      <w:r w:rsidR="00FB244D">
        <w:rPr>
          <w:lang w:val="en-GB"/>
        </w:rPr>
        <w:t>non-believers and people holding philosophical beliefs</w:t>
      </w:r>
      <w:r w:rsidR="00682787">
        <w:rPr>
          <w:lang w:val="en-GB"/>
        </w:rPr>
        <w:t xml:space="preserve"> has dramatically</w:t>
      </w:r>
      <w:r w:rsidRPr="00635441">
        <w:rPr>
          <w:lang w:val="en-GB"/>
        </w:rPr>
        <w:t xml:space="preserve"> </w:t>
      </w:r>
      <w:r>
        <w:rPr>
          <w:lang w:val="en-GB"/>
        </w:rPr>
        <w:t xml:space="preserve">increased across the world. </w:t>
      </w:r>
      <w:r w:rsidR="00FB244D">
        <w:rPr>
          <w:lang w:val="en-GB"/>
        </w:rPr>
        <w:t xml:space="preserve">This alarming situation </w:t>
      </w:r>
      <w:proofErr w:type="gramStart"/>
      <w:r w:rsidR="00FB244D">
        <w:rPr>
          <w:lang w:val="en-GB"/>
        </w:rPr>
        <w:t>is extensively documented</w:t>
      </w:r>
      <w:proofErr w:type="gramEnd"/>
      <w:r w:rsidR="00FB244D">
        <w:rPr>
          <w:lang w:val="en-GB"/>
        </w:rPr>
        <w:t xml:space="preserve"> in the </w:t>
      </w:r>
      <w:r w:rsidRPr="00635441">
        <w:rPr>
          <w:i/>
          <w:lang w:val="en-GB"/>
        </w:rPr>
        <w:t>Freedom of Thought R</w:t>
      </w:r>
      <w:r w:rsidR="00FB244D" w:rsidRPr="00635441">
        <w:rPr>
          <w:i/>
          <w:lang w:val="en-GB"/>
        </w:rPr>
        <w:t>eport</w:t>
      </w:r>
      <w:r w:rsidR="00FB244D">
        <w:rPr>
          <w:rStyle w:val="FootnoteReference"/>
          <w:lang w:val="en-GB"/>
        </w:rPr>
        <w:footnoteReference w:id="4"/>
      </w:r>
      <w:r>
        <w:rPr>
          <w:lang w:val="en-GB"/>
        </w:rPr>
        <w:t xml:space="preserve"> issued by the International Humanist and Ethical Union</w:t>
      </w:r>
      <w:r w:rsidR="00682787">
        <w:rPr>
          <w:lang w:val="en-GB"/>
        </w:rPr>
        <w:t xml:space="preserve">. </w:t>
      </w:r>
      <w:proofErr w:type="gramStart"/>
      <w:r w:rsidR="00682787" w:rsidRPr="00682787">
        <w:rPr>
          <w:lang w:val="en-GB"/>
        </w:rPr>
        <w:t xml:space="preserve">From </w:t>
      </w:r>
      <w:proofErr w:type="spellStart"/>
      <w:r w:rsidR="00682787" w:rsidRPr="00682787">
        <w:rPr>
          <w:lang w:val="en-GB"/>
        </w:rPr>
        <w:t>Raif</w:t>
      </w:r>
      <w:proofErr w:type="spellEnd"/>
      <w:r w:rsidR="00682787" w:rsidRPr="00682787">
        <w:rPr>
          <w:lang w:val="en-GB"/>
        </w:rPr>
        <w:t xml:space="preserve"> </w:t>
      </w:r>
      <w:proofErr w:type="spellStart"/>
      <w:r w:rsidR="00682787" w:rsidRPr="00682787">
        <w:rPr>
          <w:lang w:val="en-GB"/>
        </w:rPr>
        <w:t>Badawi</w:t>
      </w:r>
      <w:proofErr w:type="spellEnd"/>
      <w:r w:rsidR="00682787" w:rsidRPr="00682787">
        <w:rPr>
          <w:lang w:val="en-GB"/>
        </w:rPr>
        <w:t xml:space="preserve">, who was sentenced to 1000 lashes and 10 years in prison in Saudi Arabia for alleged “blasphemy”; to Mohamed </w:t>
      </w:r>
      <w:proofErr w:type="spellStart"/>
      <w:r w:rsidR="00682787" w:rsidRPr="00682787">
        <w:rPr>
          <w:lang w:val="en-GB"/>
        </w:rPr>
        <w:t>Cheikh</w:t>
      </w:r>
      <w:proofErr w:type="spellEnd"/>
      <w:r w:rsidR="00682787" w:rsidRPr="00682787">
        <w:rPr>
          <w:lang w:val="en-GB"/>
        </w:rPr>
        <w:t xml:space="preserve"> </w:t>
      </w:r>
      <w:proofErr w:type="spellStart"/>
      <w:r w:rsidR="00682787" w:rsidRPr="00682787">
        <w:rPr>
          <w:lang w:val="en-GB"/>
        </w:rPr>
        <w:t>Ould</w:t>
      </w:r>
      <w:proofErr w:type="spellEnd"/>
      <w:r w:rsidR="00682787" w:rsidRPr="00682787">
        <w:rPr>
          <w:lang w:val="en-GB"/>
        </w:rPr>
        <w:t xml:space="preserve"> </w:t>
      </w:r>
      <w:proofErr w:type="spellStart"/>
      <w:r w:rsidR="00682787" w:rsidRPr="00682787">
        <w:rPr>
          <w:lang w:val="en-GB"/>
        </w:rPr>
        <w:t>M’kheitir</w:t>
      </w:r>
      <w:proofErr w:type="spellEnd"/>
      <w:r w:rsidR="00682787" w:rsidRPr="00682787">
        <w:rPr>
          <w:lang w:val="en-GB"/>
        </w:rPr>
        <w:t xml:space="preserve">, who is facing the death penalty and incitement to murder in Mauritania for alleged “apostasy”; to </w:t>
      </w:r>
      <w:proofErr w:type="spellStart"/>
      <w:r w:rsidR="00682787" w:rsidRPr="00682787">
        <w:rPr>
          <w:lang w:val="en-GB"/>
        </w:rPr>
        <w:t>Basuki</w:t>
      </w:r>
      <w:proofErr w:type="spellEnd"/>
      <w:r w:rsidR="00682787" w:rsidRPr="00682787">
        <w:rPr>
          <w:lang w:val="en-GB"/>
        </w:rPr>
        <w:t xml:space="preserve"> Tjahaja </w:t>
      </w:r>
      <w:proofErr w:type="spellStart"/>
      <w:r w:rsidR="00682787" w:rsidRPr="00682787">
        <w:rPr>
          <w:lang w:val="en-GB"/>
        </w:rPr>
        <w:t>Purnama</w:t>
      </w:r>
      <w:proofErr w:type="spellEnd"/>
      <w:r w:rsidR="00682787" w:rsidRPr="00682787">
        <w:rPr>
          <w:lang w:val="en-GB"/>
        </w:rPr>
        <w:t xml:space="preserve">, the mayor of Jakarta who is accused of “blasphemy” amidst an election; to those secular bloggers savagely hacked to death in Bangladesh by </w:t>
      </w:r>
      <w:r w:rsidR="00DE53A0">
        <w:rPr>
          <w:lang w:val="en-GB"/>
        </w:rPr>
        <w:t xml:space="preserve">extremist religious group, </w:t>
      </w:r>
      <w:r w:rsidR="00DE53A0" w:rsidRPr="00940BF3">
        <w:rPr>
          <w:lang w:val="en-GB"/>
        </w:rPr>
        <w:t xml:space="preserve"> non-believers and free thinkers are being</w:t>
      </w:r>
      <w:r w:rsidR="00DE53A0">
        <w:rPr>
          <w:lang w:val="en-GB"/>
        </w:rPr>
        <w:t xml:space="preserve"> increasingly</w:t>
      </w:r>
      <w:r w:rsidR="00DE53A0" w:rsidRPr="00940BF3">
        <w:rPr>
          <w:lang w:val="en-GB"/>
        </w:rPr>
        <w:t xml:space="preserve"> targeted, persecuted and murdered either by religious fundamentalists or by the States themselves on belief grounds.</w:t>
      </w:r>
      <w:proofErr w:type="gramEnd"/>
      <w:r w:rsidR="00682787" w:rsidRPr="00682787">
        <w:rPr>
          <w:lang w:val="en-GB"/>
        </w:rPr>
        <w:t xml:space="preserve"> </w:t>
      </w:r>
    </w:p>
    <w:p w:rsidR="00682787" w:rsidRDefault="00682787" w:rsidP="00682787">
      <w:pPr>
        <w:pStyle w:val="Corps"/>
        <w:jc w:val="both"/>
        <w:rPr>
          <w:lang w:val="en-GB"/>
        </w:rPr>
      </w:pPr>
      <w:r>
        <w:rPr>
          <w:lang w:val="en-GB"/>
        </w:rPr>
        <w:t xml:space="preserve">As </w:t>
      </w:r>
      <w:r w:rsidR="00DE53A0">
        <w:rPr>
          <w:lang w:val="en-GB"/>
        </w:rPr>
        <w:t xml:space="preserve">stated </w:t>
      </w:r>
      <w:r>
        <w:rPr>
          <w:lang w:val="en-GB"/>
        </w:rPr>
        <w:t xml:space="preserve">by </w:t>
      </w:r>
      <w:r w:rsidRPr="00682787">
        <w:rPr>
          <w:lang w:val="en-GB"/>
        </w:rPr>
        <w:t xml:space="preserve">UN Special Rapporteur on Freedom of Religion or Belief, Dr Ahmed </w:t>
      </w:r>
      <w:proofErr w:type="gramStart"/>
      <w:r w:rsidRPr="00682787">
        <w:rPr>
          <w:lang w:val="en-GB"/>
        </w:rPr>
        <w:t>Shaheed</w:t>
      </w:r>
      <w:r w:rsidR="00226131">
        <w:rPr>
          <w:lang w:val="en-GB"/>
        </w:rPr>
        <w:t>:</w:t>
      </w:r>
      <w:proofErr w:type="gramEnd"/>
      <w:r>
        <w:rPr>
          <w:lang w:val="en-GB"/>
        </w:rPr>
        <w:t xml:space="preserve"> </w:t>
      </w:r>
      <w:r w:rsidRPr="00682787">
        <w:rPr>
          <w:i/>
          <w:lang w:val="en-GB"/>
        </w:rPr>
        <w:t>"The right to freedom of religion or belief is a right that is frequently misunderstood by its conflation with narrowly defined views on religious freedom.</w:t>
      </w:r>
      <w:r w:rsidR="00635441">
        <w:rPr>
          <w:i/>
          <w:lang w:val="en-GB"/>
        </w:rPr>
        <w:t xml:space="preserve"> </w:t>
      </w:r>
      <w:r w:rsidRPr="00682787">
        <w:rPr>
          <w:i/>
          <w:lang w:val="en-GB"/>
        </w:rPr>
        <w:t xml:space="preserve">Such narratives often overlook the fact that the freedom of religion or belief includes </w:t>
      </w:r>
      <w:r w:rsidRPr="00682787">
        <w:rPr>
          <w:i/>
          <w:lang w:val="en-GB"/>
        </w:rPr>
        <w:lastRenderedPageBreak/>
        <w:t>the fre</w:t>
      </w:r>
      <w:r w:rsidR="00635441">
        <w:rPr>
          <w:i/>
          <w:lang w:val="en-GB"/>
        </w:rPr>
        <w:t xml:space="preserve">edom of thought and conscience (…). </w:t>
      </w:r>
      <w:r w:rsidRPr="00682787">
        <w:rPr>
          <w:i/>
          <w:lang w:val="en-GB"/>
        </w:rPr>
        <w:t xml:space="preserve">Moreover, as the Human Rights Committee points out, “religion” and “belief” are to </w:t>
      </w:r>
      <w:proofErr w:type="gramStart"/>
      <w:r w:rsidRPr="00682787">
        <w:rPr>
          <w:i/>
          <w:lang w:val="en-GB"/>
        </w:rPr>
        <w:t>be understood</w:t>
      </w:r>
      <w:proofErr w:type="gramEnd"/>
      <w:r w:rsidRPr="00682787">
        <w:rPr>
          <w:i/>
          <w:lang w:val="en-GB"/>
        </w:rPr>
        <w:t xml:space="preserve"> broadly, covering theistic, non-theistic, and atheistic beliefs. Thus, the freedom of religion or belief protects individuals who adhere to traditional as well as new religions and to majority or minority faith communities, and those who are </w:t>
      </w:r>
      <w:proofErr w:type="gramStart"/>
      <w:r w:rsidRPr="00682787">
        <w:rPr>
          <w:i/>
          <w:lang w:val="en-GB"/>
        </w:rPr>
        <w:t>dissenters or who subscribe to no religion or belief at all</w:t>
      </w:r>
      <w:proofErr w:type="gramEnd"/>
      <w:r w:rsidRPr="00682787">
        <w:rPr>
          <w:i/>
          <w:lang w:val="en-GB"/>
        </w:rPr>
        <w:t xml:space="preserve"> or who are unconcerned.  In fact, international human rights law protects both the freedom of religion and </w:t>
      </w:r>
      <w:r w:rsidR="00371446">
        <w:rPr>
          <w:i/>
          <w:lang w:val="en-GB"/>
        </w:rPr>
        <w:t>(…)</w:t>
      </w:r>
      <w:r w:rsidRPr="00682787">
        <w:rPr>
          <w:i/>
          <w:lang w:val="en-GB"/>
        </w:rPr>
        <w:t xml:space="preserve"> the freedom from religion, for without the latter, the former has no practical meaning at all."</w:t>
      </w:r>
      <w:r w:rsidR="00DE53A0">
        <w:rPr>
          <w:rStyle w:val="FootnoteReference"/>
          <w:i/>
          <w:lang w:val="en-GB"/>
        </w:rPr>
        <w:footnoteReference w:id="5"/>
      </w:r>
    </w:p>
    <w:p w:rsidR="00E923A5" w:rsidRDefault="00974DFF" w:rsidP="00454A51">
      <w:pPr>
        <w:pStyle w:val="Corps"/>
        <w:jc w:val="both"/>
        <w:rPr>
          <w:lang w:val="en-GB"/>
        </w:rPr>
      </w:pPr>
      <w:r>
        <w:rPr>
          <w:b/>
          <w:bCs/>
          <w:lang w:val="en-GB"/>
        </w:rPr>
        <w:t xml:space="preserve">We </w:t>
      </w:r>
      <w:r w:rsidR="005F0385" w:rsidRPr="00940BF3">
        <w:rPr>
          <w:b/>
          <w:bCs/>
          <w:lang w:val="en-GB"/>
        </w:rPr>
        <w:t xml:space="preserve">invite the Committee </w:t>
      </w:r>
      <w:proofErr w:type="gramStart"/>
      <w:r w:rsidR="005F0385" w:rsidRPr="00940BF3">
        <w:rPr>
          <w:b/>
          <w:bCs/>
          <w:lang w:val="en-GB"/>
        </w:rPr>
        <w:t xml:space="preserve">to </w:t>
      </w:r>
      <w:r w:rsidR="005F0385" w:rsidRPr="00974DFF">
        <w:rPr>
          <w:b/>
          <w:bCs/>
          <w:u w:val="single"/>
          <w:lang w:val="en-GB"/>
        </w:rPr>
        <w:t>explicitly include</w:t>
      </w:r>
      <w:proofErr w:type="gramEnd"/>
      <w:r w:rsidR="005F0385" w:rsidRPr="00974DFF">
        <w:rPr>
          <w:b/>
          <w:bCs/>
          <w:u w:val="single"/>
          <w:lang w:val="en-GB"/>
        </w:rPr>
        <w:t xml:space="preserve"> </w:t>
      </w:r>
      <w:r w:rsidR="005F0385" w:rsidRPr="00974DFF">
        <w:rPr>
          <w:b/>
          <w:bCs/>
          <w:color w:val="auto"/>
          <w:u w:val="single"/>
          <w:lang w:val="en-GB"/>
        </w:rPr>
        <w:t>non</w:t>
      </w:r>
      <w:r w:rsidR="005F0385" w:rsidRPr="00682787">
        <w:rPr>
          <w:b/>
          <w:bCs/>
          <w:color w:val="auto"/>
          <w:u w:val="single"/>
          <w:lang w:val="en-GB"/>
        </w:rPr>
        <w:t>-believers, humanists, atheists, agnostics, apostates and those who are being critical of religious beliefs</w:t>
      </w:r>
      <w:r w:rsidR="005F0385" w:rsidRPr="00823912">
        <w:rPr>
          <w:b/>
          <w:bCs/>
          <w:color w:val="ED7D31" w:themeColor="accent2"/>
          <w:lang w:val="en-GB"/>
        </w:rPr>
        <w:t xml:space="preserve"> </w:t>
      </w:r>
      <w:r w:rsidR="005F0385" w:rsidRPr="00940BF3">
        <w:rPr>
          <w:b/>
          <w:bCs/>
          <w:lang w:val="en-GB"/>
        </w:rPr>
        <w:t>in the group of vulnerable people mentioned</w:t>
      </w:r>
      <w:r w:rsidR="00682787">
        <w:rPr>
          <w:b/>
          <w:bCs/>
          <w:lang w:val="en-GB"/>
        </w:rPr>
        <w:t xml:space="preserve"> in paragraph 27</w:t>
      </w:r>
      <w:r w:rsidR="005F0385" w:rsidRPr="00940BF3">
        <w:rPr>
          <w:lang w:val="en-GB"/>
        </w:rPr>
        <w:t xml:space="preserve">. </w:t>
      </w:r>
    </w:p>
    <w:p w:rsidR="00635441" w:rsidRDefault="00682787" w:rsidP="00682787">
      <w:pPr>
        <w:pStyle w:val="Corps"/>
        <w:jc w:val="both"/>
        <w:rPr>
          <w:lang w:val="en-GB"/>
        </w:rPr>
      </w:pPr>
      <w:r w:rsidRPr="00635441">
        <w:rPr>
          <w:b/>
          <w:lang w:val="en-GB"/>
        </w:rPr>
        <w:t xml:space="preserve">In the same perspective, we </w:t>
      </w:r>
      <w:r w:rsidR="00635441">
        <w:rPr>
          <w:b/>
          <w:lang w:val="en-GB"/>
        </w:rPr>
        <w:t xml:space="preserve">further </w:t>
      </w:r>
      <w:r w:rsidRPr="00635441">
        <w:rPr>
          <w:b/>
          <w:lang w:val="en-GB"/>
        </w:rPr>
        <w:t xml:space="preserve">request the Committee </w:t>
      </w:r>
      <w:proofErr w:type="gramStart"/>
      <w:r w:rsidRPr="00635441">
        <w:rPr>
          <w:b/>
          <w:lang w:val="en-GB"/>
        </w:rPr>
        <w:t>to explicitly mention</w:t>
      </w:r>
      <w:proofErr w:type="gramEnd"/>
      <w:r w:rsidRPr="00635441">
        <w:rPr>
          <w:b/>
          <w:lang w:val="en-GB"/>
        </w:rPr>
        <w:t xml:space="preserve"> them in paragraph 40</w:t>
      </w:r>
      <w:r w:rsidRPr="00635441">
        <w:rPr>
          <w:lang w:val="en-GB"/>
        </w:rPr>
        <w:t xml:space="preserve">, as recognition of their specific vulnerability when it comes to death penalty. We </w:t>
      </w:r>
      <w:r w:rsidR="00635441">
        <w:rPr>
          <w:lang w:val="en-GB"/>
        </w:rPr>
        <w:t xml:space="preserve">suggest the following </w:t>
      </w:r>
      <w:r w:rsidRPr="00635441">
        <w:rPr>
          <w:lang w:val="en-GB"/>
        </w:rPr>
        <w:t xml:space="preserve">wording: </w:t>
      </w:r>
    </w:p>
    <w:p w:rsidR="00682787" w:rsidRPr="00635441" w:rsidRDefault="00682787" w:rsidP="00635441">
      <w:pPr>
        <w:pStyle w:val="Corps"/>
        <w:ind w:left="708"/>
        <w:jc w:val="both"/>
        <w:rPr>
          <w:color w:val="auto"/>
          <w:u w:val="single"/>
          <w:lang w:val="en-GB"/>
        </w:rPr>
      </w:pPr>
      <w:r w:rsidRPr="00635441">
        <w:rPr>
          <w:lang w:val="en-GB"/>
        </w:rPr>
        <w:t xml:space="preserve">“Under no circumstances can the death penalty ever be applied as a sanction against conduct whose very criminalization violates the Covenant, including adultery, homosexuality, apostasy, </w:t>
      </w:r>
      <w:r w:rsidRPr="00635441">
        <w:rPr>
          <w:color w:val="auto"/>
          <w:u w:val="single"/>
          <w:lang w:val="en-GB"/>
        </w:rPr>
        <w:t>expressing beliefs that are not the ones of the majority, expressing critical views on the religious beliefs of the majority</w:t>
      </w:r>
      <w:r w:rsidR="00635441">
        <w:rPr>
          <w:color w:val="auto"/>
          <w:u w:val="single"/>
          <w:lang w:val="en-GB"/>
        </w:rPr>
        <w:t>.</w:t>
      </w:r>
      <w:r w:rsidRPr="00635441">
        <w:rPr>
          <w:color w:val="auto"/>
          <w:u w:val="single"/>
          <w:lang w:val="en-GB"/>
        </w:rPr>
        <w:t>”</w:t>
      </w:r>
    </w:p>
    <w:p w:rsidR="00635441" w:rsidRDefault="00682787" w:rsidP="00682787">
      <w:pPr>
        <w:pStyle w:val="Corps"/>
        <w:jc w:val="both"/>
        <w:rPr>
          <w:i/>
          <w:lang w:val="en-GB"/>
        </w:rPr>
      </w:pPr>
      <w:r w:rsidRPr="00635441">
        <w:rPr>
          <w:b/>
          <w:lang w:val="en-GB"/>
        </w:rPr>
        <w:t>In paragraph 64, we also invite the Committee to replace “religion” by “</w:t>
      </w:r>
      <w:r w:rsidR="00635441">
        <w:rPr>
          <w:b/>
          <w:lang w:val="en-GB"/>
        </w:rPr>
        <w:t xml:space="preserve">religion or </w:t>
      </w:r>
      <w:r w:rsidRPr="00635441">
        <w:rPr>
          <w:b/>
          <w:lang w:val="en-GB"/>
        </w:rPr>
        <w:t>beliefs”</w:t>
      </w:r>
      <w:r w:rsidRPr="00635441">
        <w:rPr>
          <w:lang w:val="en-GB"/>
        </w:rPr>
        <w:t xml:space="preserve"> so as to include all beliefs and not only religious ones in the understanding of grounds for discrimination</w:t>
      </w:r>
      <w:r w:rsidRPr="00635441">
        <w:rPr>
          <w:i/>
          <w:lang w:val="en-GB"/>
        </w:rPr>
        <w:t xml:space="preserve">. </w:t>
      </w:r>
    </w:p>
    <w:p w:rsidR="00635441" w:rsidRDefault="00682787" w:rsidP="00682787">
      <w:pPr>
        <w:pStyle w:val="Corps"/>
        <w:jc w:val="both"/>
        <w:rPr>
          <w:lang w:val="en-GB"/>
        </w:rPr>
      </w:pPr>
      <w:r w:rsidRPr="00635441">
        <w:rPr>
          <w:lang w:val="en-GB"/>
        </w:rPr>
        <w:t xml:space="preserve">We </w:t>
      </w:r>
      <w:r w:rsidR="00635441">
        <w:rPr>
          <w:lang w:val="en-GB"/>
        </w:rPr>
        <w:t>suggest</w:t>
      </w:r>
      <w:r w:rsidRPr="00635441">
        <w:rPr>
          <w:lang w:val="en-GB"/>
        </w:rPr>
        <w:t xml:space="preserve"> the following rewording: </w:t>
      </w:r>
    </w:p>
    <w:p w:rsidR="00FB244D" w:rsidRPr="00371446" w:rsidRDefault="00682787" w:rsidP="00371446">
      <w:pPr>
        <w:pStyle w:val="Corps"/>
        <w:ind w:left="708"/>
        <w:jc w:val="both"/>
        <w:rPr>
          <w:lang w:val="en-GB"/>
        </w:rPr>
      </w:pPr>
      <w:r w:rsidRPr="00635441">
        <w:rPr>
          <w:lang w:val="en-GB"/>
        </w:rPr>
        <w:t xml:space="preserve">“The right to life must be respected and ensured without distinction of any kind, such as race, </w:t>
      </w:r>
      <w:proofErr w:type="spellStart"/>
      <w:r w:rsidRPr="00635441">
        <w:rPr>
          <w:lang w:val="en-GB"/>
        </w:rPr>
        <w:t>color</w:t>
      </w:r>
      <w:proofErr w:type="spellEnd"/>
      <w:r w:rsidRPr="00635441">
        <w:rPr>
          <w:lang w:val="en-GB"/>
        </w:rPr>
        <w:t xml:space="preserve">, sex, language, </w:t>
      </w:r>
      <w:r w:rsidR="00635441" w:rsidRPr="00635441">
        <w:rPr>
          <w:u w:val="single"/>
          <w:lang w:val="en-GB"/>
        </w:rPr>
        <w:t xml:space="preserve">religion or </w:t>
      </w:r>
      <w:r w:rsidRPr="00635441">
        <w:rPr>
          <w:color w:val="auto"/>
          <w:u w:val="single"/>
          <w:lang w:val="en-GB"/>
        </w:rPr>
        <w:t>beliefs,</w:t>
      </w:r>
      <w:r w:rsidRPr="00635441">
        <w:rPr>
          <w:lang w:val="en-GB"/>
        </w:rPr>
        <w:t xml:space="preserve"> political or other opinion, national or social origin, property, birth, or any other status, including caste, sexual orientation and gender identity, disability, albinism and age.”</w:t>
      </w:r>
    </w:p>
    <w:p w:rsidR="00454A51" w:rsidRDefault="00454A51" w:rsidP="00FB244D">
      <w:pPr>
        <w:pStyle w:val="Corps"/>
        <w:tabs>
          <w:tab w:val="left" w:pos="5760"/>
        </w:tabs>
        <w:jc w:val="both"/>
        <w:rPr>
          <w:lang w:val="en-GB"/>
        </w:rPr>
      </w:pPr>
    </w:p>
    <w:p w:rsidR="000E4AF8" w:rsidRPr="00940BF3" w:rsidRDefault="000E4AF8">
      <w:pPr>
        <w:pStyle w:val="Corps"/>
        <w:rPr>
          <w:lang w:val="en-GB"/>
        </w:rPr>
      </w:pPr>
    </w:p>
    <w:sectPr w:rsidR="000E4AF8" w:rsidRPr="00940BF3" w:rsidSect="00804A6A">
      <w:headerReference w:type="default" r:id="rId8"/>
      <w:footerReference w:type="default" r:id="rId9"/>
      <w:headerReference w:type="first" r:id="rId10"/>
      <w:pgSz w:w="11900" w:h="16840"/>
      <w:pgMar w:top="1701" w:right="2268" w:bottom="1701" w:left="2268"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381" w:rsidRDefault="00156381">
      <w:r>
        <w:separator/>
      </w:r>
    </w:p>
  </w:endnote>
  <w:endnote w:type="continuationSeparator" w:id="0">
    <w:p w:rsidR="00156381" w:rsidRDefault="00156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Helvetica Neue">
    <w:altName w:val="MV Boli"/>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933027"/>
      <w:docPartObj>
        <w:docPartGallery w:val="Page Numbers (Bottom of Page)"/>
        <w:docPartUnique/>
      </w:docPartObj>
    </w:sdtPr>
    <w:sdtEndPr/>
    <w:sdtContent>
      <w:p w:rsidR="007C7472" w:rsidRDefault="00CC1B3A">
        <w:pPr>
          <w:pStyle w:val="Footer"/>
          <w:jc w:val="right"/>
        </w:pPr>
        <w:r>
          <w:fldChar w:fldCharType="begin"/>
        </w:r>
        <w:r w:rsidR="007C7472">
          <w:instrText>PAGE   \* MERGEFORMAT</w:instrText>
        </w:r>
        <w:r>
          <w:fldChar w:fldCharType="separate"/>
        </w:r>
        <w:r w:rsidR="003F3689" w:rsidRPr="003F3689">
          <w:rPr>
            <w:noProof/>
            <w:lang w:val="fr-FR"/>
          </w:rPr>
          <w:t>5</w:t>
        </w:r>
        <w:r>
          <w:fldChar w:fldCharType="end"/>
        </w:r>
      </w:p>
    </w:sdtContent>
  </w:sdt>
  <w:p w:rsidR="00E923A5" w:rsidRDefault="00E923A5">
    <w:pPr>
      <w:pStyle w:val="Head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381" w:rsidRDefault="00156381">
      <w:r>
        <w:separator/>
      </w:r>
    </w:p>
  </w:footnote>
  <w:footnote w:type="continuationSeparator" w:id="0">
    <w:p w:rsidR="00156381" w:rsidRDefault="00156381">
      <w:r>
        <w:continuationSeparator/>
      </w:r>
    </w:p>
  </w:footnote>
  <w:footnote w:id="1">
    <w:p w:rsidR="00371446" w:rsidRPr="00371446" w:rsidRDefault="00371446" w:rsidP="00371446">
      <w:pPr>
        <w:pStyle w:val="FootnoteText"/>
        <w:jc w:val="both"/>
        <w:rPr>
          <w:rFonts w:ascii="Calibri" w:hAnsi="Calibri" w:cs="Calibri"/>
        </w:rPr>
      </w:pPr>
      <w:r w:rsidRPr="00371446">
        <w:rPr>
          <w:rStyle w:val="FootnoteReference"/>
          <w:rFonts w:ascii="Calibri" w:hAnsi="Calibri" w:cs="Calibri"/>
        </w:rPr>
        <w:footnoteRef/>
      </w:r>
      <w:r w:rsidRPr="00371446">
        <w:rPr>
          <w:rFonts w:ascii="Calibri" w:hAnsi="Calibri" w:cs="Calibri"/>
        </w:rPr>
        <w:t xml:space="preserve"> See R. </w:t>
      </w:r>
      <w:proofErr w:type="spellStart"/>
      <w:r w:rsidRPr="00371446">
        <w:rPr>
          <w:rFonts w:ascii="Calibri" w:hAnsi="Calibri" w:cs="Calibri"/>
          <w:shd w:val="clear" w:color="auto" w:fill="FFFFFF"/>
        </w:rPr>
        <w:t>Copelon</w:t>
      </w:r>
      <w:proofErr w:type="spellEnd"/>
      <w:r w:rsidRPr="00371446">
        <w:rPr>
          <w:rFonts w:ascii="Calibri" w:hAnsi="Calibri" w:cs="Calibri"/>
          <w:color w:val="000000"/>
          <w:shd w:val="clear" w:color="auto" w:fill="FFFFFF"/>
        </w:rPr>
        <w:t xml:space="preserve">, C. </w:t>
      </w:r>
      <w:proofErr w:type="spellStart"/>
      <w:r w:rsidRPr="00371446">
        <w:rPr>
          <w:rFonts w:ascii="Calibri" w:hAnsi="Calibri" w:cs="Calibri"/>
          <w:shd w:val="clear" w:color="auto" w:fill="FFFFFF"/>
        </w:rPr>
        <w:t>Zampas</w:t>
      </w:r>
      <w:proofErr w:type="spellEnd"/>
      <w:r w:rsidRPr="00371446">
        <w:rPr>
          <w:rFonts w:ascii="Calibri" w:hAnsi="Calibri" w:cs="Calibri"/>
          <w:color w:val="000000"/>
          <w:shd w:val="clear" w:color="auto" w:fill="FFFFFF"/>
        </w:rPr>
        <w:t xml:space="preserve">, E. </w:t>
      </w:r>
      <w:proofErr w:type="spellStart"/>
      <w:r w:rsidRPr="00371446">
        <w:rPr>
          <w:rFonts w:ascii="Calibri" w:hAnsi="Calibri" w:cs="Calibri"/>
          <w:shd w:val="clear" w:color="auto" w:fill="FFFFFF"/>
        </w:rPr>
        <w:t>Brusie</w:t>
      </w:r>
      <w:proofErr w:type="spellEnd"/>
      <w:r w:rsidRPr="00371446">
        <w:rPr>
          <w:rFonts w:ascii="Calibri" w:hAnsi="Calibri" w:cs="Calibri"/>
          <w:color w:val="000000"/>
          <w:shd w:val="clear" w:color="auto" w:fill="FFFFFF"/>
        </w:rPr>
        <w:t xml:space="preserve">, J. </w:t>
      </w:r>
      <w:r w:rsidRPr="00371446">
        <w:rPr>
          <w:rFonts w:ascii="Calibri" w:hAnsi="Calibri" w:cs="Calibri"/>
          <w:shd w:val="clear" w:color="auto" w:fill="FFFFFF"/>
        </w:rPr>
        <w:t xml:space="preserve">Devore, </w:t>
      </w:r>
      <w:r w:rsidRPr="00371446">
        <w:rPr>
          <w:rFonts w:ascii="Calibri" w:hAnsi="Calibri" w:cs="Calibri"/>
        </w:rPr>
        <w:t>“Human Rights Begin at Birth: International Law and the Claim of Fetal Rights”, Reproductive Health Matters 2005</w:t>
      </w:r>
      <w:r w:rsidRPr="00371446">
        <w:rPr>
          <w:rFonts w:ascii="Calibri" w:hAnsi="Calibri" w:cs="Calibri"/>
          <w:color w:val="000000"/>
          <w:shd w:val="clear" w:color="auto" w:fill="FFFFFF"/>
        </w:rPr>
        <w:t xml:space="preserve"> </w:t>
      </w:r>
      <w:proofErr w:type="gramStart"/>
      <w:r w:rsidRPr="00371446">
        <w:rPr>
          <w:rFonts w:ascii="Calibri" w:hAnsi="Calibri" w:cs="Calibri"/>
          <w:color w:val="000000"/>
          <w:shd w:val="clear" w:color="auto" w:fill="FFFFFF"/>
        </w:rPr>
        <w:t>Nov.13(</w:t>
      </w:r>
      <w:proofErr w:type="gramEnd"/>
      <w:r w:rsidRPr="00371446">
        <w:rPr>
          <w:rFonts w:ascii="Calibri" w:hAnsi="Calibri" w:cs="Calibri"/>
          <w:color w:val="000000"/>
          <w:shd w:val="clear" w:color="auto" w:fill="FFFFFF"/>
        </w:rPr>
        <w:t>26):120-9</w:t>
      </w:r>
      <w:r>
        <w:rPr>
          <w:rFonts w:ascii="Calibri" w:hAnsi="Calibri" w:cs="Calibri"/>
          <w:color w:val="000000"/>
          <w:shd w:val="clear" w:color="auto" w:fill="FFFFFF"/>
        </w:rPr>
        <w:t>.</w:t>
      </w:r>
    </w:p>
  </w:footnote>
  <w:footnote w:id="2">
    <w:p w:rsidR="00C370DE" w:rsidRPr="002C11D7" w:rsidRDefault="00C370DE" w:rsidP="00897140">
      <w:pPr>
        <w:pStyle w:val="FootnoteText"/>
        <w:jc w:val="both"/>
        <w:rPr>
          <w:rFonts w:ascii="Calibri" w:hAnsi="Calibri" w:cs="Calibri"/>
        </w:rPr>
      </w:pPr>
      <w:r w:rsidRPr="002C11D7">
        <w:rPr>
          <w:rStyle w:val="FootnoteReference"/>
          <w:rFonts w:ascii="Calibri" w:hAnsi="Calibri" w:cs="Calibri"/>
        </w:rPr>
        <w:footnoteRef/>
      </w:r>
      <w:r w:rsidRPr="002C11D7">
        <w:rPr>
          <w:rFonts w:ascii="Calibri" w:hAnsi="Calibri" w:cs="Calibri"/>
        </w:rPr>
        <w:t xml:space="preserve"> </w:t>
      </w:r>
      <w:hyperlink r:id="rId1" w:history="1">
        <w:r w:rsidRPr="002C11D7">
          <w:rPr>
            <w:rStyle w:val="Hyperlink"/>
            <w:rFonts w:ascii="Calibri" w:hAnsi="Calibri" w:cs="Calibri"/>
          </w:rPr>
          <w:t>http://www.who.int/reproductivehealth/topics/unsafe_abortion/magnitude/en/</w:t>
        </w:r>
      </w:hyperlink>
      <w:r w:rsidRPr="002C11D7">
        <w:rPr>
          <w:rFonts w:ascii="Calibri" w:hAnsi="Calibri" w:cs="Calibri"/>
        </w:rPr>
        <w:t xml:space="preserve"> </w:t>
      </w:r>
    </w:p>
  </w:footnote>
  <w:footnote w:id="3">
    <w:p w:rsidR="001C31A7" w:rsidRPr="001C31A7" w:rsidRDefault="001C31A7" w:rsidP="00897140">
      <w:pPr>
        <w:pStyle w:val="FootnoteText"/>
        <w:jc w:val="both"/>
        <w:rPr>
          <w:lang w:val="en-GB"/>
        </w:rPr>
      </w:pPr>
      <w:r w:rsidRPr="002C11D7">
        <w:rPr>
          <w:rStyle w:val="FootnoteReference"/>
          <w:rFonts w:ascii="Calibri" w:hAnsi="Calibri" w:cs="Calibri"/>
        </w:rPr>
        <w:footnoteRef/>
      </w:r>
      <w:r w:rsidRPr="002C11D7">
        <w:rPr>
          <w:rFonts w:ascii="Calibri" w:hAnsi="Calibri" w:cs="Calibri"/>
        </w:rPr>
        <w:t xml:space="preserve"> United Nations</w:t>
      </w:r>
      <w:r w:rsidRPr="002C11D7">
        <w:rPr>
          <w:rFonts w:ascii="Calibri" w:hAnsi="Calibri" w:cs="Calibri"/>
        </w:rPr>
        <w:tab/>
        <w:t>CCPR/C/POL/CO/, International Covenant on Civil and Political Rights</w:t>
      </w:r>
      <w:r w:rsidR="00897140">
        <w:rPr>
          <w:rFonts w:ascii="Calibri" w:hAnsi="Calibri" w:cs="Calibri"/>
        </w:rPr>
        <w:t xml:space="preserve">. </w:t>
      </w:r>
      <w:r w:rsidRPr="00371446">
        <w:rPr>
          <w:rFonts w:ascii="Calibri" w:hAnsi="Calibri" w:cs="Calibri"/>
        </w:rPr>
        <w:t>Distr.: General</w:t>
      </w:r>
      <w:r w:rsidRPr="002C11D7">
        <w:rPr>
          <w:rFonts w:ascii="Calibri" w:hAnsi="Calibri" w:cs="Calibri"/>
        </w:rPr>
        <w:t>, Human Rights Committee, Concluding observations on the seventh periodic report of Poland 23 November 2016.</w:t>
      </w:r>
    </w:p>
  </w:footnote>
  <w:footnote w:id="4">
    <w:p w:rsidR="00FB244D" w:rsidRPr="007203D8" w:rsidRDefault="00FB244D">
      <w:pPr>
        <w:pStyle w:val="FootnoteText"/>
        <w:rPr>
          <w:rFonts w:ascii="Calibri" w:hAnsi="Calibri" w:cs="Calibri"/>
          <w:lang w:val="en-GB"/>
        </w:rPr>
      </w:pPr>
      <w:r w:rsidRPr="007203D8">
        <w:rPr>
          <w:rStyle w:val="FootnoteReference"/>
          <w:rFonts w:ascii="Calibri" w:hAnsi="Calibri" w:cs="Calibri"/>
        </w:rPr>
        <w:footnoteRef/>
      </w:r>
      <w:r w:rsidRPr="007203D8">
        <w:rPr>
          <w:rFonts w:ascii="Calibri" w:hAnsi="Calibri" w:cs="Calibri"/>
        </w:rPr>
        <w:t xml:space="preserve"> </w:t>
      </w:r>
      <w:r w:rsidR="00D642C7">
        <w:rPr>
          <w:rFonts w:ascii="Calibri" w:hAnsi="Calibri" w:cs="Calibri"/>
          <w:lang w:val="en-GB"/>
        </w:rPr>
        <w:t>“</w:t>
      </w:r>
      <w:r w:rsidRPr="007203D8">
        <w:rPr>
          <w:rFonts w:ascii="Calibri" w:hAnsi="Calibri" w:cs="Calibri"/>
          <w:lang w:val="en-GB"/>
        </w:rPr>
        <w:t>The Freedom of Thought Report, A global report on discrimination against humanists, atheists and the non-religious</w:t>
      </w:r>
      <w:r w:rsidR="00D642C7">
        <w:rPr>
          <w:rFonts w:ascii="Calibri" w:hAnsi="Calibri" w:cs="Calibri"/>
          <w:lang w:val="en-GB"/>
        </w:rPr>
        <w:t>”</w:t>
      </w:r>
      <w:r w:rsidRPr="007203D8">
        <w:rPr>
          <w:rFonts w:ascii="Calibri" w:hAnsi="Calibri" w:cs="Calibri"/>
          <w:lang w:val="en-GB"/>
        </w:rPr>
        <w:t xml:space="preserve">, 2016, available at http://freethoughtreport.com/ </w:t>
      </w:r>
    </w:p>
  </w:footnote>
  <w:footnote w:id="5">
    <w:p w:rsidR="00DE53A0" w:rsidRPr="007C7472" w:rsidRDefault="00DE53A0">
      <w:pPr>
        <w:pStyle w:val="FootnoteText"/>
        <w:rPr>
          <w:lang w:val="en-GB"/>
        </w:rPr>
      </w:pPr>
      <w:r>
        <w:rPr>
          <w:rStyle w:val="FootnoteReference"/>
        </w:rPr>
        <w:footnoteRef/>
      </w:r>
      <w:r>
        <w:t xml:space="preserve"> </w:t>
      </w:r>
      <w:r w:rsidRPr="007203D8">
        <w:rPr>
          <w:rFonts w:ascii="Calibri" w:hAnsi="Calibri" w:cs="Calibri"/>
          <w:lang w:val="en-GB"/>
        </w:rPr>
        <w:t>Foreword to the 2016 Freedom of Thought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1D7" w:rsidRDefault="002C11D7">
    <w:pPr>
      <w:pStyle w:val="Header"/>
      <w:tabs>
        <w:tab w:val="right" w:pos="9046"/>
      </w:tabs>
      <w:jc w:val="center"/>
      <w:rPr>
        <w:rFonts w:hint="eastAsia"/>
      </w:rPr>
    </w:pPr>
  </w:p>
  <w:p w:rsidR="00E923A5" w:rsidRDefault="00E923A5">
    <w:pPr>
      <w:pStyle w:val="Header"/>
      <w:tabs>
        <w:tab w:val="right" w:pos="9046"/>
      </w:tabs>
      <w:jc w:val="cent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A6A" w:rsidRDefault="00804A6A" w:rsidP="00804A6A">
    <w:pPr>
      <w:pStyle w:val="Header"/>
      <w:jc w:val="center"/>
      <w:rPr>
        <w:rFonts w:hint="eastAsia"/>
      </w:rPr>
    </w:pPr>
    <w:r>
      <w:rPr>
        <w:noProof/>
        <w:lang w:val="en-GB" w:eastAsia="en-GB"/>
      </w:rPr>
      <w:drawing>
        <wp:inline distT="0" distB="0" distL="0" distR="0" wp14:anchorId="26FD519B" wp14:editId="5F305EAE">
          <wp:extent cx="1930400" cy="920750"/>
          <wp:effectExtent l="0" t="0" r="0" b="0"/>
          <wp:docPr id="2" name="officeArt object" descr="logo FHE.png"/>
          <wp:cNvGraphicFramePr/>
          <a:graphic xmlns:a="http://schemas.openxmlformats.org/drawingml/2006/main">
            <a:graphicData uri="http://schemas.openxmlformats.org/drawingml/2006/picture">
              <pic:pic xmlns:pic="http://schemas.openxmlformats.org/drawingml/2006/picture">
                <pic:nvPicPr>
                  <pic:cNvPr id="1073741825" name="logo FHE.png" descr="logo FHE.png"/>
                  <pic:cNvPicPr>
                    <a:picLocks noChangeAspect="1"/>
                  </pic:cNvPicPr>
                </pic:nvPicPr>
                <pic:blipFill>
                  <a:blip r:embed="rId1">
                    <a:extLst/>
                  </a:blip>
                  <a:stretch>
                    <a:fillRect/>
                  </a:stretch>
                </pic:blipFill>
                <pic:spPr>
                  <a:xfrm>
                    <a:off x="0" y="0"/>
                    <a:ext cx="1931522" cy="92128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41A"/>
    <w:multiLevelType w:val="hybridMultilevel"/>
    <w:tmpl w:val="F49EE338"/>
    <w:lvl w:ilvl="0" w:tplc="A086DD4A">
      <w:numFmt w:val="bullet"/>
      <w:lvlText w:val=""/>
      <w:lvlJc w:val="left"/>
      <w:pPr>
        <w:ind w:left="720" w:hanging="360"/>
      </w:pPr>
      <w:rPr>
        <w:rFonts w:ascii="Symbol" w:eastAsia="Calibri" w:hAnsi="Symbol"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3826979"/>
    <w:multiLevelType w:val="hybridMultilevel"/>
    <w:tmpl w:val="26666B56"/>
    <w:numStyleLink w:val="Puces"/>
  </w:abstractNum>
  <w:abstractNum w:abstractNumId="2" w15:restartNumberingAfterBreak="0">
    <w:nsid w:val="27B17521"/>
    <w:multiLevelType w:val="hybridMultilevel"/>
    <w:tmpl w:val="90BAAED0"/>
    <w:lvl w:ilvl="0" w:tplc="B4300B44">
      <w:start w:val="6"/>
      <w:numFmt w:val="bullet"/>
      <w:lvlText w:val=""/>
      <w:lvlJc w:val="left"/>
      <w:pPr>
        <w:ind w:left="720" w:hanging="360"/>
      </w:pPr>
      <w:rPr>
        <w:rFonts w:ascii="Wingdings" w:eastAsia="Calibri" w:hAnsi="Wingdings"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93928CB"/>
    <w:multiLevelType w:val="hybridMultilevel"/>
    <w:tmpl w:val="42587B8A"/>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C642FDC"/>
    <w:multiLevelType w:val="hybridMultilevel"/>
    <w:tmpl w:val="A206651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6E82DCE"/>
    <w:multiLevelType w:val="hybridMultilevel"/>
    <w:tmpl w:val="9E82699E"/>
    <w:lvl w:ilvl="0" w:tplc="AB926D90">
      <w:start w:val="4"/>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E795CB0"/>
    <w:multiLevelType w:val="hybridMultilevel"/>
    <w:tmpl w:val="57086628"/>
    <w:lvl w:ilvl="0" w:tplc="BDF26A5A">
      <w:start w:val="3"/>
      <w:numFmt w:val="bullet"/>
      <w:lvlText w:val=""/>
      <w:lvlJc w:val="left"/>
      <w:pPr>
        <w:ind w:left="1080" w:hanging="360"/>
      </w:pPr>
      <w:rPr>
        <w:rFonts w:ascii="Symbol" w:eastAsia="Calibri" w:hAnsi="Symbol"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 w15:restartNumberingAfterBreak="0">
    <w:nsid w:val="65E4388B"/>
    <w:multiLevelType w:val="hybridMultilevel"/>
    <w:tmpl w:val="F2D20156"/>
    <w:lvl w:ilvl="0" w:tplc="B7D4F314">
      <w:start w:val="3"/>
      <w:numFmt w:val="bullet"/>
      <w:lvlText w:val=""/>
      <w:lvlJc w:val="left"/>
      <w:pPr>
        <w:ind w:left="720" w:hanging="360"/>
      </w:pPr>
      <w:rPr>
        <w:rFonts w:ascii="Symbol" w:eastAsia="Calibri" w:hAnsi="Symbol"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5A10471"/>
    <w:multiLevelType w:val="hybridMultilevel"/>
    <w:tmpl w:val="26666B56"/>
    <w:styleLink w:val="Puces"/>
    <w:lvl w:ilvl="0" w:tplc="3844D446">
      <w:start w:val="1"/>
      <w:numFmt w:val="bullet"/>
      <w:lvlText w:val="+"/>
      <w:lvlJc w:val="left"/>
      <w:pPr>
        <w:ind w:left="174" w:hanging="174"/>
      </w:pPr>
      <w:rPr>
        <w:rFonts w:hAnsi="Arial Unicode MS"/>
        <w:caps w:val="0"/>
        <w:smallCaps w:val="0"/>
        <w:strike w:val="0"/>
        <w:dstrike w:val="0"/>
        <w:spacing w:val="0"/>
        <w:w w:val="100"/>
        <w:kern w:val="0"/>
        <w:position w:val="0"/>
        <w:highlight w:val="none"/>
        <w:vertAlign w:val="baseline"/>
      </w:rPr>
    </w:lvl>
    <w:lvl w:ilvl="1" w:tplc="408E0074">
      <w:start w:val="1"/>
      <w:numFmt w:val="bullet"/>
      <w:lvlText w:val="+"/>
      <w:lvlJc w:val="left"/>
      <w:pPr>
        <w:ind w:left="774" w:hanging="174"/>
      </w:pPr>
      <w:rPr>
        <w:rFonts w:hAnsi="Arial Unicode MS"/>
        <w:caps w:val="0"/>
        <w:smallCaps w:val="0"/>
        <w:strike w:val="0"/>
        <w:dstrike w:val="0"/>
        <w:spacing w:val="0"/>
        <w:w w:val="100"/>
        <w:kern w:val="0"/>
        <w:position w:val="0"/>
        <w:highlight w:val="none"/>
        <w:vertAlign w:val="baseline"/>
      </w:rPr>
    </w:lvl>
    <w:lvl w:ilvl="2" w:tplc="B55278B6">
      <w:start w:val="1"/>
      <w:numFmt w:val="bullet"/>
      <w:lvlText w:val="+"/>
      <w:lvlJc w:val="left"/>
      <w:pPr>
        <w:ind w:left="1374" w:hanging="174"/>
      </w:pPr>
      <w:rPr>
        <w:rFonts w:hAnsi="Arial Unicode MS"/>
        <w:caps w:val="0"/>
        <w:smallCaps w:val="0"/>
        <w:strike w:val="0"/>
        <w:dstrike w:val="0"/>
        <w:spacing w:val="0"/>
        <w:w w:val="100"/>
        <w:kern w:val="0"/>
        <w:position w:val="0"/>
        <w:highlight w:val="none"/>
        <w:vertAlign w:val="baseline"/>
      </w:rPr>
    </w:lvl>
    <w:lvl w:ilvl="3" w:tplc="83A6EAD6">
      <w:start w:val="1"/>
      <w:numFmt w:val="bullet"/>
      <w:lvlText w:val="+"/>
      <w:lvlJc w:val="left"/>
      <w:pPr>
        <w:ind w:left="1974" w:hanging="174"/>
      </w:pPr>
      <w:rPr>
        <w:rFonts w:hAnsi="Arial Unicode MS"/>
        <w:caps w:val="0"/>
        <w:smallCaps w:val="0"/>
        <w:strike w:val="0"/>
        <w:dstrike w:val="0"/>
        <w:spacing w:val="0"/>
        <w:w w:val="100"/>
        <w:kern w:val="0"/>
        <w:position w:val="0"/>
        <w:highlight w:val="none"/>
        <w:vertAlign w:val="baseline"/>
      </w:rPr>
    </w:lvl>
    <w:lvl w:ilvl="4" w:tplc="B226FC8E">
      <w:start w:val="1"/>
      <w:numFmt w:val="bullet"/>
      <w:lvlText w:val="+"/>
      <w:lvlJc w:val="left"/>
      <w:pPr>
        <w:ind w:left="2574" w:hanging="174"/>
      </w:pPr>
      <w:rPr>
        <w:rFonts w:hAnsi="Arial Unicode MS"/>
        <w:caps w:val="0"/>
        <w:smallCaps w:val="0"/>
        <w:strike w:val="0"/>
        <w:dstrike w:val="0"/>
        <w:spacing w:val="0"/>
        <w:w w:val="100"/>
        <w:kern w:val="0"/>
        <w:position w:val="0"/>
        <w:highlight w:val="none"/>
        <w:vertAlign w:val="baseline"/>
      </w:rPr>
    </w:lvl>
    <w:lvl w:ilvl="5" w:tplc="65C83E0C">
      <w:start w:val="1"/>
      <w:numFmt w:val="bullet"/>
      <w:lvlText w:val="+"/>
      <w:lvlJc w:val="left"/>
      <w:pPr>
        <w:ind w:left="3174" w:hanging="174"/>
      </w:pPr>
      <w:rPr>
        <w:rFonts w:hAnsi="Arial Unicode MS"/>
        <w:caps w:val="0"/>
        <w:smallCaps w:val="0"/>
        <w:strike w:val="0"/>
        <w:dstrike w:val="0"/>
        <w:spacing w:val="0"/>
        <w:w w:val="100"/>
        <w:kern w:val="0"/>
        <w:position w:val="0"/>
        <w:highlight w:val="none"/>
        <w:vertAlign w:val="baseline"/>
      </w:rPr>
    </w:lvl>
    <w:lvl w:ilvl="6" w:tplc="A2145C02">
      <w:start w:val="1"/>
      <w:numFmt w:val="bullet"/>
      <w:lvlText w:val="+"/>
      <w:lvlJc w:val="left"/>
      <w:pPr>
        <w:ind w:left="3774" w:hanging="174"/>
      </w:pPr>
      <w:rPr>
        <w:rFonts w:hAnsi="Arial Unicode MS"/>
        <w:caps w:val="0"/>
        <w:smallCaps w:val="0"/>
        <w:strike w:val="0"/>
        <w:dstrike w:val="0"/>
        <w:spacing w:val="0"/>
        <w:w w:val="100"/>
        <w:kern w:val="0"/>
        <w:position w:val="0"/>
        <w:highlight w:val="none"/>
        <w:vertAlign w:val="baseline"/>
      </w:rPr>
    </w:lvl>
    <w:lvl w:ilvl="7" w:tplc="39A2650C">
      <w:start w:val="1"/>
      <w:numFmt w:val="bullet"/>
      <w:lvlText w:val="+"/>
      <w:lvlJc w:val="left"/>
      <w:pPr>
        <w:ind w:left="4374" w:hanging="174"/>
      </w:pPr>
      <w:rPr>
        <w:rFonts w:hAnsi="Arial Unicode MS"/>
        <w:caps w:val="0"/>
        <w:smallCaps w:val="0"/>
        <w:strike w:val="0"/>
        <w:dstrike w:val="0"/>
        <w:spacing w:val="0"/>
        <w:w w:val="100"/>
        <w:kern w:val="0"/>
        <w:position w:val="0"/>
        <w:highlight w:val="none"/>
        <w:vertAlign w:val="baseline"/>
      </w:rPr>
    </w:lvl>
    <w:lvl w:ilvl="8" w:tplc="D4B24EC6">
      <w:start w:val="1"/>
      <w:numFmt w:val="bullet"/>
      <w:lvlText w:val="+"/>
      <w:lvlJc w:val="left"/>
      <w:pPr>
        <w:ind w:left="4974" w:hanging="174"/>
      </w:pPr>
      <w:rPr>
        <w:rFonts w:hAnsi="Arial Unicode MS"/>
        <w:caps w:val="0"/>
        <w:smallCaps w:val="0"/>
        <w:strike w:val="0"/>
        <w:dstrike w:val="0"/>
        <w:spacing w:val="0"/>
        <w:w w:val="100"/>
        <w:kern w:val="0"/>
        <w:position w:val="0"/>
        <w:highlight w:val="none"/>
        <w:vertAlign w:val="baseline"/>
      </w:rPr>
    </w:lvl>
  </w:abstractNum>
  <w:abstractNum w:abstractNumId="9" w15:restartNumberingAfterBreak="0">
    <w:nsid w:val="78FC38CD"/>
    <w:multiLevelType w:val="hybridMultilevel"/>
    <w:tmpl w:val="8D1037E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4"/>
  </w:num>
  <w:num w:numId="5">
    <w:abstractNumId w:val="0"/>
  </w:num>
  <w:num w:numId="6">
    <w:abstractNumId w:val="5"/>
  </w:num>
  <w:num w:numId="7">
    <w:abstractNumId w:val="9"/>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3A5"/>
    <w:rsid w:val="00096039"/>
    <w:rsid w:val="000B6156"/>
    <w:rsid w:val="000E4AF8"/>
    <w:rsid w:val="000E4CD1"/>
    <w:rsid w:val="00111A63"/>
    <w:rsid w:val="00156381"/>
    <w:rsid w:val="001722DF"/>
    <w:rsid w:val="001C31A7"/>
    <w:rsid w:val="001D16F1"/>
    <w:rsid w:val="00206B47"/>
    <w:rsid w:val="00220977"/>
    <w:rsid w:val="00226131"/>
    <w:rsid w:val="002B14F1"/>
    <w:rsid w:val="002C11D7"/>
    <w:rsid w:val="00364C68"/>
    <w:rsid w:val="00366631"/>
    <w:rsid w:val="00371446"/>
    <w:rsid w:val="003F3689"/>
    <w:rsid w:val="00442207"/>
    <w:rsid w:val="00454A51"/>
    <w:rsid w:val="004B60DB"/>
    <w:rsid w:val="00555791"/>
    <w:rsid w:val="0059117B"/>
    <w:rsid w:val="005B48A3"/>
    <w:rsid w:val="005F0385"/>
    <w:rsid w:val="0062036A"/>
    <w:rsid w:val="00635441"/>
    <w:rsid w:val="00666E1A"/>
    <w:rsid w:val="006705A6"/>
    <w:rsid w:val="00672F37"/>
    <w:rsid w:val="00682787"/>
    <w:rsid w:val="006C2FFF"/>
    <w:rsid w:val="007203D8"/>
    <w:rsid w:val="007445E5"/>
    <w:rsid w:val="00755DFE"/>
    <w:rsid w:val="00757B03"/>
    <w:rsid w:val="00765263"/>
    <w:rsid w:val="00786AB7"/>
    <w:rsid w:val="007B20BA"/>
    <w:rsid w:val="007C7472"/>
    <w:rsid w:val="00804A6A"/>
    <w:rsid w:val="00823912"/>
    <w:rsid w:val="008449AF"/>
    <w:rsid w:val="00897140"/>
    <w:rsid w:val="009050AA"/>
    <w:rsid w:val="009364AF"/>
    <w:rsid w:val="00940BF3"/>
    <w:rsid w:val="00974DFF"/>
    <w:rsid w:val="009942D0"/>
    <w:rsid w:val="00997055"/>
    <w:rsid w:val="00A32B1C"/>
    <w:rsid w:val="00A53983"/>
    <w:rsid w:val="00AA5F75"/>
    <w:rsid w:val="00BC42AC"/>
    <w:rsid w:val="00C370DE"/>
    <w:rsid w:val="00CB2631"/>
    <w:rsid w:val="00CC1B3A"/>
    <w:rsid w:val="00CC2183"/>
    <w:rsid w:val="00CC36D7"/>
    <w:rsid w:val="00CD1ACA"/>
    <w:rsid w:val="00D22BC6"/>
    <w:rsid w:val="00D558E3"/>
    <w:rsid w:val="00D642C7"/>
    <w:rsid w:val="00DB6F02"/>
    <w:rsid w:val="00DE53A0"/>
    <w:rsid w:val="00E76314"/>
    <w:rsid w:val="00E827EF"/>
    <w:rsid w:val="00E923A5"/>
    <w:rsid w:val="00EA5916"/>
    <w:rsid w:val="00EF09D9"/>
    <w:rsid w:val="00F40824"/>
    <w:rsid w:val="00FB244D"/>
    <w:rsid w:val="00FD0247"/>
    <w:rsid w:val="00FF674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7B81A06-A32F-4B45-A569-73664F18B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BE" w:eastAsia="fr-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76314"/>
    <w:rPr>
      <w:sz w:val="24"/>
      <w:szCs w:val="24"/>
      <w:lang w:val="en-US" w:eastAsia="en-US"/>
    </w:rPr>
  </w:style>
  <w:style w:type="paragraph" w:styleId="Heading1">
    <w:name w:val="heading 1"/>
    <w:basedOn w:val="Normal"/>
    <w:next w:val="Normal"/>
    <w:link w:val="Heading1Char"/>
    <w:uiPriority w:val="9"/>
    <w:qFormat/>
    <w:rsid w:val="00672F37"/>
    <w:pPr>
      <w:keepNext/>
      <w:keepLines/>
      <w:spacing w:before="240"/>
      <w:outlineLvl w:val="0"/>
    </w:pPr>
    <w:rPr>
      <w:rFonts w:ascii="Calibri Light" w:eastAsiaTheme="majorEastAsia" w:hAnsi="Calibri Light"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B60DB"/>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314"/>
    <w:rPr>
      <w:u w:val="single"/>
    </w:rPr>
  </w:style>
  <w:style w:type="table" w:customStyle="1" w:styleId="TableNormal1">
    <w:name w:val="Table Normal1"/>
    <w:rsid w:val="00E76314"/>
    <w:tblPr>
      <w:tblInd w:w="0" w:type="dxa"/>
      <w:tblCellMar>
        <w:top w:w="0" w:type="dxa"/>
        <w:left w:w="0" w:type="dxa"/>
        <w:bottom w:w="0" w:type="dxa"/>
        <w:right w:w="0" w:type="dxa"/>
      </w:tblCellMar>
    </w:tblPr>
  </w:style>
  <w:style w:type="paragraph" w:styleId="Header">
    <w:name w:val="header"/>
    <w:rsid w:val="00E76314"/>
    <w:pPr>
      <w:tabs>
        <w:tab w:val="right" w:pos="9020"/>
      </w:tabs>
    </w:pPr>
    <w:rPr>
      <w:rFonts w:ascii="Helvetica Neue" w:hAnsi="Helvetica Neue" w:cs="Arial Unicode MS"/>
      <w:color w:val="000000"/>
      <w:sz w:val="24"/>
      <w:szCs w:val="24"/>
    </w:rPr>
  </w:style>
  <w:style w:type="paragraph" w:customStyle="1" w:styleId="Corps">
    <w:name w:val="Corps"/>
    <w:rsid w:val="00E76314"/>
    <w:pPr>
      <w:spacing w:after="160" w:line="259" w:lineRule="auto"/>
    </w:pPr>
    <w:rPr>
      <w:rFonts w:ascii="Calibri" w:eastAsia="Calibri" w:hAnsi="Calibri" w:cs="Calibri"/>
      <w:color w:val="000000"/>
      <w:sz w:val="22"/>
      <w:szCs w:val="22"/>
      <w:u w:color="000000"/>
    </w:rPr>
  </w:style>
  <w:style w:type="character" w:customStyle="1" w:styleId="Hyperlink0">
    <w:name w:val="Hyperlink.0"/>
    <w:basedOn w:val="Hyperlink"/>
    <w:rsid w:val="00E76314"/>
    <w:rPr>
      <w:color w:val="0563C1"/>
      <w:u w:val="single" w:color="0563C1"/>
    </w:rPr>
  </w:style>
  <w:style w:type="numbering" w:customStyle="1" w:styleId="Puces">
    <w:name w:val="Puces"/>
    <w:rsid w:val="00E76314"/>
    <w:pPr>
      <w:numPr>
        <w:numId w:val="1"/>
      </w:numPr>
    </w:pPr>
  </w:style>
  <w:style w:type="character" w:customStyle="1" w:styleId="Heading1Char">
    <w:name w:val="Heading 1 Char"/>
    <w:basedOn w:val="DefaultParagraphFont"/>
    <w:link w:val="Heading1"/>
    <w:uiPriority w:val="9"/>
    <w:rsid w:val="00672F37"/>
    <w:rPr>
      <w:rFonts w:ascii="Calibri Light" w:eastAsiaTheme="majorEastAsia" w:hAnsi="Calibri Light" w:cstheme="majorBidi"/>
      <w:color w:val="2E74B5" w:themeColor="accent1" w:themeShade="BF"/>
      <w:sz w:val="32"/>
      <w:szCs w:val="32"/>
      <w:lang w:val="en-US" w:eastAsia="en-US"/>
    </w:rPr>
  </w:style>
  <w:style w:type="paragraph" w:styleId="Footer">
    <w:name w:val="footer"/>
    <w:basedOn w:val="Normal"/>
    <w:link w:val="FooterChar"/>
    <w:uiPriority w:val="99"/>
    <w:unhideWhenUsed/>
    <w:rsid w:val="00823912"/>
    <w:pPr>
      <w:tabs>
        <w:tab w:val="center" w:pos="4536"/>
        <w:tab w:val="right" w:pos="9072"/>
      </w:tabs>
    </w:pPr>
  </w:style>
  <w:style w:type="character" w:customStyle="1" w:styleId="FooterChar">
    <w:name w:val="Footer Char"/>
    <w:basedOn w:val="DefaultParagraphFont"/>
    <w:link w:val="Footer"/>
    <w:uiPriority w:val="99"/>
    <w:rsid w:val="00823912"/>
    <w:rPr>
      <w:sz w:val="24"/>
      <w:szCs w:val="24"/>
      <w:lang w:val="en-US" w:eastAsia="en-US"/>
    </w:rPr>
  </w:style>
  <w:style w:type="paragraph" w:styleId="BalloonText">
    <w:name w:val="Balloon Text"/>
    <w:basedOn w:val="Normal"/>
    <w:link w:val="BalloonTextChar"/>
    <w:uiPriority w:val="99"/>
    <w:semiHidden/>
    <w:unhideWhenUsed/>
    <w:rsid w:val="00755DFE"/>
    <w:rPr>
      <w:rFonts w:ascii="Tahoma" w:hAnsi="Tahoma" w:cs="Tahoma"/>
      <w:sz w:val="16"/>
      <w:szCs w:val="16"/>
    </w:rPr>
  </w:style>
  <w:style w:type="character" w:customStyle="1" w:styleId="BalloonTextChar">
    <w:name w:val="Balloon Text Char"/>
    <w:basedOn w:val="DefaultParagraphFont"/>
    <w:link w:val="BalloonText"/>
    <w:uiPriority w:val="99"/>
    <w:semiHidden/>
    <w:rsid w:val="00755DFE"/>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4B60DB"/>
    <w:rPr>
      <w:rFonts w:asciiTheme="majorHAnsi" w:eastAsiaTheme="majorEastAsia" w:hAnsiTheme="majorHAnsi" w:cstheme="majorBidi"/>
      <w:b/>
      <w:bCs/>
      <w:color w:val="5B9BD5" w:themeColor="accent1"/>
      <w:sz w:val="26"/>
      <w:szCs w:val="26"/>
      <w:lang w:val="en-US" w:eastAsia="en-US"/>
    </w:rPr>
  </w:style>
  <w:style w:type="paragraph" w:styleId="Title">
    <w:name w:val="Title"/>
    <w:basedOn w:val="Normal"/>
    <w:next w:val="Normal"/>
    <w:link w:val="TitleChar"/>
    <w:uiPriority w:val="10"/>
    <w:qFormat/>
    <w:rsid w:val="004B60DB"/>
    <w:pPr>
      <w:pBdr>
        <w:bottom w:val="single" w:sz="8" w:space="4" w:color="5B9BD5" w:themeColor="accent1"/>
      </w:pBdr>
      <w:spacing w:after="300"/>
      <w:contextualSpacing/>
    </w:pPr>
    <w:rPr>
      <w:rFonts w:asciiTheme="majorHAnsi" w:eastAsiaTheme="majorEastAsia" w:hAnsiTheme="majorHAnsi" w:cstheme="majorBidi"/>
      <w:color w:val="7D7D7D" w:themeColor="text2" w:themeShade="BF"/>
      <w:spacing w:val="5"/>
      <w:kern w:val="28"/>
      <w:sz w:val="52"/>
      <w:szCs w:val="52"/>
    </w:rPr>
  </w:style>
  <w:style w:type="character" w:customStyle="1" w:styleId="TitleChar">
    <w:name w:val="Title Char"/>
    <w:basedOn w:val="DefaultParagraphFont"/>
    <w:link w:val="Title"/>
    <w:uiPriority w:val="10"/>
    <w:rsid w:val="004B60DB"/>
    <w:rPr>
      <w:rFonts w:asciiTheme="majorHAnsi" w:eastAsiaTheme="majorEastAsia" w:hAnsiTheme="majorHAnsi" w:cstheme="majorBidi"/>
      <w:color w:val="7D7D7D" w:themeColor="text2" w:themeShade="BF"/>
      <w:spacing w:val="5"/>
      <w:kern w:val="28"/>
      <w:sz w:val="52"/>
      <w:szCs w:val="52"/>
      <w:lang w:val="en-US" w:eastAsia="en-US"/>
    </w:rPr>
  </w:style>
  <w:style w:type="paragraph" w:styleId="NoSpacing">
    <w:name w:val="No Spacing"/>
    <w:uiPriority w:val="1"/>
    <w:qFormat/>
    <w:rsid w:val="004B60DB"/>
    <w:rPr>
      <w:sz w:val="24"/>
      <w:szCs w:val="24"/>
      <w:lang w:val="en-US" w:eastAsia="en-US"/>
    </w:rPr>
  </w:style>
  <w:style w:type="paragraph" w:styleId="NormalWeb">
    <w:name w:val="Normal (Web)"/>
    <w:basedOn w:val="Normal"/>
    <w:uiPriority w:val="99"/>
    <w:unhideWhenUsed/>
    <w:rsid w:val="00FB244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BE" w:eastAsia="fr-BE"/>
    </w:rPr>
  </w:style>
  <w:style w:type="paragraph" w:styleId="FootnoteText">
    <w:name w:val="footnote text"/>
    <w:basedOn w:val="Normal"/>
    <w:link w:val="FootnoteTextChar"/>
    <w:uiPriority w:val="99"/>
    <w:semiHidden/>
    <w:unhideWhenUsed/>
    <w:rsid w:val="00FB244D"/>
    <w:rPr>
      <w:sz w:val="20"/>
      <w:szCs w:val="20"/>
    </w:rPr>
  </w:style>
  <w:style w:type="character" w:customStyle="1" w:styleId="FootnoteTextChar">
    <w:name w:val="Footnote Text Char"/>
    <w:basedOn w:val="DefaultParagraphFont"/>
    <w:link w:val="FootnoteText"/>
    <w:uiPriority w:val="99"/>
    <w:semiHidden/>
    <w:rsid w:val="00FB244D"/>
    <w:rPr>
      <w:lang w:val="en-US" w:eastAsia="en-US"/>
    </w:rPr>
  </w:style>
  <w:style w:type="character" w:styleId="FootnoteReference">
    <w:name w:val="footnote reference"/>
    <w:basedOn w:val="DefaultParagraphFont"/>
    <w:uiPriority w:val="99"/>
    <w:semiHidden/>
    <w:unhideWhenUsed/>
    <w:rsid w:val="00FB244D"/>
    <w:rPr>
      <w:vertAlign w:val="superscript"/>
    </w:rPr>
  </w:style>
  <w:style w:type="paragraph" w:styleId="ListParagraph">
    <w:name w:val="List Paragraph"/>
    <w:basedOn w:val="Normal"/>
    <w:uiPriority w:val="34"/>
    <w:qFormat/>
    <w:rsid w:val="00F408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88288">
      <w:bodyDiv w:val="1"/>
      <w:marLeft w:val="0"/>
      <w:marRight w:val="0"/>
      <w:marTop w:val="0"/>
      <w:marBottom w:val="0"/>
      <w:divBdr>
        <w:top w:val="none" w:sz="0" w:space="0" w:color="auto"/>
        <w:left w:val="none" w:sz="0" w:space="0" w:color="auto"/>
        <w:bottom w:val="none" w:sz="0" w:space="0" w:color="auto"/>
        <w:right w:val="none" w:sz="0" w:space="0" w:color="auto"/>
      </w:divBdr>
    </w:div>
    <w:div w:id="265355479">
      <w:bodyDiv w:val="1"/>
      <w:marLeft w:val="0"/>
      <w:marRight w:val="0"/>
      <w:marTop w:val="0"/>
      <w:marBottom w:val="0"/>
      <w:divBdr>
        <w:top w:val="none" w:sz="0" w:space="0" w:color="auto"/>
        <w:left w:val="none" w:sz="0" w:space="0" w:color="auto"/>
        <w:bottom w:val="none" w:sz="0" w:space="0" w:color="auto"/>
        <w:right w:val="none" w:sz="0" w:space="0" w:color="auto"/>
      </w:divBdr>
    </w:div>
    <w:div w:id="317653725">
      <w:bodyDiv w:val="1"/>
      <w:marLeft w:val="0"/>
      <w:marRight w:val="0"/>
      <w:marTop w:val="0"/>
      <w:marBottom w:val="0"/>
      <w:divBdr>
        <w:top w:val="none" w:sz="0" w:space="0" w:color="auto"/>
        <w:left w:val="none" w:sz="0" w:space="0" w:color="auto"/>
        <w:bottom w:val="none" w:sz="0" w:space="0" w:color="auto"/>
        <w:right w:val="none" w:sz="0" w:space="0" w:color="auto"/>
      </w:divBdr>
    </w:div>
    <w:div w:id="568345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who.int/reproductivehealth/topics/unsafe_abortion/magnitude/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B2FA8B0-9424-493F-A4BB-B381BB0C0CB0}">
  <ds:schemaRefs>
    <ds:schemaRef ds:uri="http://schemas.openxmlformats.org/officeDocument/2006/bibliography"/>
  </ds:schemaRefs>
</ds:datastoreItem>
</file>

<file path=customXml/itemProps2.xml><?xml version="1.0" encoding="utf-8"?>
<ds:datastoreItem xmlns:ds="http://schemas.openxmlformats.org/officeDocument/2006/customXml" ds:itemID="{44B9A54F-5AC3-4C8E-838A-6E04258E80A3}"/>
</file>

<file path=customXml/itemProps3.xml><?xml version="1.0" encoding="utf-8"?>
<ds:datastoreItem xmlns:ds="http://schemas.openxmlformats.org/officeDocument/2006/customXml" ds:itemID="{52697430-9380-40E1-BF96-AFF827522DE5}"/>
</file>

<file path=customXml/itemProps4.xml><?xml version="1.0" encoding="utf-8"?>
<ds:datastoreItem xmlns:ds="http://schemas.openxmlformats.org/officeDocument/2006/customXml" ds:itemID="{870D8FE3-70AA-4A62-BFA5-62269461F8B1}"/>
</file>

<file path=docProps/app.xml><?xml version="1.0" encoding="utf-8"?>
<Properties xmlns="http://schemas.openxmlformats.org/officeDocument/2006/extended-properties" xmlns:vt="http://schemas.openxmlformats.org/officeDocument/2006/docPropsVTypes">
  <Template>Normal.dotm</Template>
  <TotalTime>0</TotalTime>
  <Pages>5</Pages>
  <Words>1809</Words>
  <Characters>10316</Characters>
  <Application>Microsoft Office Word</Application>
  <DocSecurity>0</DocSecurity>
  <Lines>85</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Pernet</dc:creator>
  <cp:lastModifiedBy>Durnescu Lilian</cp:lastModifiedBy>
  <cp:revision>2</cp:revision>
  <cp:lastPrinted>2017-10-05T14:49:00Z</cp:lastPrinted>
  <dcterms:created xsi:type="dcterms:W3CDTF">2017-10-05T15:01:00Z</dcterms:created>
  <dcterms:modified xsi:type="dcterms:W3CDTF">2017-10-05T15:01:00Z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