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81" w:rsidRPr="00F06716" w:rsidRDefault="00CE2781" w:rsidP="00C00A27">
      <w:pPr>
        <w:rPr>
          <w:b/>
        </w:rPr>
      </w:pPr>
      <w:bookmarkStart w:id="0" w:name="_GoBack"/>
      <w:bookmarkEnd w:id="0"/>
      <w:r w:rsidRPr="00F06716">
        <w:t>De :</w:t>
      </w:r>
      <w:r w:rsidRPr="00F06716">
        <w:rPr>
          <w:b/>
        </w:rPr>
        <w:t xml:space="preserve"> F</w:t>
      </w:r>
      <w:r w:rsidR="00033AF1" w:rsidRPr="00F06716">
        <w:rPr>
          <w:b/>
        </w:rPr>
        <w:t>o</w:t>
      </w:r>
      <w:r w:rsidRPr="00F06716">
        <w:rPr>
          <w:b/>
        </w:rPr>
        <w:t>ndation Jérôme Lejeune</w:t>
      </w:r>
      <w:r w:rsidR="00033AF1" w:rsidRPr="00F06716">
        <w:rPr>
          <w:rStyle w:val="FootnoteReference"/>
          <w:b/>
        </w:rPr>
        <w:footnoteReference w:id="1"/>
      </w:r>
    </w:p>
    <w:p w:rsidR="00CE2781" w:rsidRPr="00F06716" w:rsidRDefault="00CE2781" w:rsidP="00C00A27">
      <w:pPr>
        <w:rPr>
          <w:b/>
        </w:rPr>
      </w:pPr>
      <w:r w:rsidRPr="00F06716">
        <w:t>A :</w:t>
      </w:r>
      <w:r w:rsidRPr="00F06716">
        <w:rPr>
          <w:b/>
        </w:rPr>
        <w:t xml:space="preserve"> Comité des droits de l’homme</w:t>
      </w:r>
      <w:r w:rsidR="00A67A1C">
        <w:rPr>
          <w:b/>
        </w:rPr>
        <w:t xml:space="preserve"> (Nations-Unies)</w:t>
      </w:r>
    </w:p>
    <w:p w:rsidR="00CE2781" w:rsidRPr="00F06716" w:rsidRDefault="00C00A27" w:rsidP="00C00A27">
      <w:pPr>
        <w:rPr>
          <w:b/>
        </w:rPr>
      </w:pPr>
      <w:r w:rsidRPr="00F06716">
        <w:t>Date :</w:t>
      </w:r>
      <w:r w:rsidRPr="00F06716">
        <w:rPr>
          <w:b/>
        </w:rPr>
        <w:t xml:space="preserve"> 0</w:t>
      </w:r>
      <w:r w:rsidR="00973638" w:rsidRPr="00F06716">
        <w:rPr>
          <w:b/>
        </w:rPr>
        <w:t>4</w:t>
      </w:r>
      <w:r w:rsidR="00CE2781" w:rsidRPr="00F06716">
        <w:rPr>
          <w:b/>
        </w:rPr>
        <w:t xml:space="preserve"> octobre 2017</w:t>
      </w:r>
    </w:p>
    <w:p w:rsidR="00CE2781" w:rsidRPr="00F06716" w:rsidRDefault="00C00A27" w:rsidP="00C00A27">
      <w:pPr>
        <w:pBdr>
          <w:bottom w:val="single" w:sz="4" w:space="1" w:color="auto"/>
        </w:pBdr>
        <w:spacing w:after="0" w:line="240" w:lineRule="auto"/>
        <w:rPr>
          <w:rFonts w:eastAsia="Times New Roman" w:cstheme="minorHAnsi"/>
          <w:b/>
          <w:lang w:eastAsia="fr-FR"/>
        </w:rPr>
      </w:pPr>
      <w:r w:rsidRPr="00F06716">
        <w:rPr>
          <w:rFonts w:eastAsia="Times New Roman" w:cstheme="minorHAnsi"/>
          <w:lang w:eastAsia="fr-FR"/>
        </w:rPr>
        <w:t>Objet :</w:t>
      </w:r>
      <w:r w:rsidRPr="00F06716">
        <w:rPr>
          <w:rFonts w:eastAsia="Times New Roman" w:cstheme="minorHAnsi"/>
          <w:b/>
          <w:lang w:eastAsia="fr-FR"/>
        </w:rPr>
        <w:t xml:space="preserve"> </w:t>
      </w:r>
      <w:r w:rsidR="00F06716">
        <w:rPr>
          <w:rFonts w:eastAsia="Times New Roman" w:cstheme="minorHAnsi"/>
          <w:b/>
          <w:lang w:eastAsia="fr-FR"/>
        </w:rPr>
        <w:t>Commentaire sur l’</w:t>
      </w:r>
      <w:r w:rsidR="00CE2781" w:rsidRPr="00F06716">
        <w:rPr>
          <w:rFonts w:eastAsia="Times New Roman" w:cstheme="minorHAnsi"/>
          <w:b/>
          <w:lang w:eastAsia="fr-FR"/>
        </w:rPr>
        <w:t>Observation générale n°36 sur l’article 6 du Pacte international relatif aux droits civils et politiques, concernant le droit à la vie.</w:t>
      </w:r>
    </w:p>
    <w:p w:rsidR="00CE2781" w:rsidRPr="00400DD2" w:rsidRDefault="00CE2781" w:rsidP="00CE2781">
      <w:pPr>
        <w:spacing w:after="0" w:line="240" w:lineRule="auto"/>
        <w:rPr>
          <w:rFonts w:eastAsia="Times New Roman" w:cstheme="minorHAnsi"/>
          <w:lang w:eastAsia="fr-FR"/>
        </w:rPr>
      </w:pPr>
    </w:p>
    <w:p w:rsidR="00CE2781" w:rsidRPr="00851B54" w:rsidRDefault="00851B54" w:rsidP="00851B54">
      <w:pPr>
        <w:pStyle w:val="ListParagraph"/>
        <w:numPr>
          <w:ilvl w:val="0"/>
          <w:numId w:val="3"/>
        </w:numPr>
        <w:rPr>
          <w:rFonts w:cstheme="minorHAnsi"/>
          <w:bCs/>
        </w:rPr>
      </w:pPr>
      <w:r w:rsidRPr="00851B54">
        <w:rPr>
          <w:rFonts w:cstheme="minorHAnsi"/>
          <w:bCs/>
        </w:rPr>
        <w:t xml:space="preserve"> </w:t>
      </w:r>
      <w:r w:rsidRPr="00851B54">
        <w:rPr>
          <w:rFonts w:cstheme="minorHAnsi"/>
          <w:b/>
          <w:bCs/>
        </w:rPr>
        <w:t>Introduction</w:t>
      </w:r>
    </w:p>
    <w:p w:rsidR="00CE2781" w:rsidRDefault="00CE2781" w:rsidP="00CE2781">
      <w:pPr>
        <w:jc w:val="both"/>
        <w:rPr>
          <w:rFonts w:cstheme="minorHAnsi"/>
          <w:bCs/>
        </w:rPr>
      </w:pPr>
      <w:r w:rsidRPr="00400DD2">
        <w:rPr>
          <w:rFonts w:cstheme="minorHAnsi"/>
          <w:bCs/>
        </w:rPr>
        <w:t>L</w:t>
      </w:r>
      <w:r w:rsidR="00620320">
        <w:rPr>
          <w:rFonts w:cstheme="minorHAnsi"/>
          <w:bCs/>
        </w:rPr>
        <w:t>e Comité des droits de l’homme</w:t>
      </w:r>
      <w:r w:rsidRPr="00400DD2">
        <w:rPr>
          <w:rFonts w:cstheme="minorHAnsi"/>
          <w:bCs/>
        </w:rPr>
        <w:t xml:space="preserve"> publiait</w:t>
      </w:r>
      <w:r w:rsidR="00620320">
        <w:rPr>
          <w:rFonts w:cstheme="minorHAnsi"/>
          <w:bCs/>
        </w:rPr>
        <w:t>,</w:t>
      </w:r>
      <w:r w:rsidR="00620320" w:rsidRPr="00620320">
        <w:rPr>
          <w:rFonts w:cstheme="minorHAnsi"/>
          <w:bCs/>
        </w:rPr>
        <w:t xml:space="preserve"> le 27 juillet</w:t>
      </w:r>
      <w:r w:rsidR="00620320">
        <w:rPr>
          <w:rFonts w:cstheme="minorHAnsi"/>
          <w:bCs/>
        </w:rPr>
        <w:t xml:space="preserve"> dernier,</w:t>
      </w:r>
      <w:r w:rsidRPr="00400DD2">
        <w:rPr>
          <w:rFonts w:cstheme="minorHAnsi"/>
          <w:bCs/>
        </w:rPr>
        <w:t xml:space="preserve"> une </w:t>
      </w:r>
      <w:r w:rsidR="00011653">
        <w:rPr>
          <w:rFonts w:cstheme="minorHAnsi"/>
          <w:bCs/>
        </w:rPr>
        <w:t xml:space="preserve">dernière </w:t>
      </w:r>
      <w:r w:rsidRPr="00400DD2">
        <w:rPr>
          <w:rFonts w:cstheme="minorHAnsi"/>
          <w:bCs/>
        </w:rPr>
        <w:t xml:space="preserve">version </w:t>
      </w:r>
      <w:r w:rsidR="00422C20">
        <w:rPr>
          <w:rFonts w:cstheme="minorHAnsi"/>
          <w:bCs/>
        </w:rPr>
        <w:t xml:space="preserve">du projet </w:t>
      </w:r>
      <w:r w:rsidR="00011653">
        <w:rPr>
          <w:rFonts w:cstheme="minorHAnsi"/>
          <w:bCs/>
        </w:rPr>
        <w:t xml:space="preserve">d’Observation générale </w:t>
      </w:r>
      <w:r w:rsidR="000906AD">
        <w:rPr>
          <w:rFonts w:cstheme="minorHAnsi"/>
          <w:bCs/>
        </w:rPr>
        <w:t>sur</w:t>
      </w:r>
      <w:r>
        <w:rPr>
          <w:rFonts w:cstheme="minorHAnsi"/>
          <w:bCs/>
        </w:rPr>
        <w:t xml:space="preserve"> l’article 6 du Pacte </w:t>
      </w:r>
      <w:r w:rsidR="000906AD">
        <w:rPr>
          <w:rFonts w:cstheme="minorHAnsi"/>
          <w:bCs/>
        </w:rPr>
        <w:t xml:space="preserve">international </w:t>
      </w:r>
      <w:r>
        <w:rPr>
          <w:rFonts w:cstheme="minorHAnsi"/>
          <w:bCs/>
        </w:rPr>
        <w:t xml:space="preserve">relatif aux droits civils et politiques concernant le droit à la vie, </w:t>
      </w:r>
      <w:r w:rsidRPr="00400DD2">
        <w:rPr>
          <w:rFonts w:cstheme="minorHAnsi"/>
          <w:bCs/>
        </w:rPr>
        <w:t>en incorporant les changements suggérés par les membres du Comité.</w:t>
      </w:r>
      <w:r w:rsidR="00011653">
        <w:rPr>
          <w:rFonts w:cstheme="minorHAnsi"/>
          <w:bCs/>
        </w:rPr>
        <w:t xml:space="preserve"> </w:t>
      </w:r>
    </w:p>
    <w:p w:rsidR="00187255" w:rsidRPr="00851B54" w:rsidRDefault="00187255" w:rsidP="00851B54">
      <w:pPr>
        <w:pStyle w:val="ListParagraph"/>
        <w:numPr>
          <w:ilvl w:val="0"/>
          <w:numId w:val="3"/>
        </w:numPr>
        <w:jc w:val="both"/>
        <w:rPr>
          <w:rFonts w:cstheme="minorHAnsi"/>
          <w:b/>
          <w:bCs/>
        </w:rPr>
      </w:pPr>
      <w:r w:rsidRPr="00851B54">
        <w:rPr>
          <w:rFonts w:cstheme="minorHAnsi"/>
          <w:b/>
          <w:bCs/>
        </w:rPr>
        <w:t>L</w:t>
      </w:r>
      <w:r w:rsidR="0026263A" w:rsidRPr="00851B54">
        <w:rPr>
          <w:rFonts w:cstheme="minorHAnsi"/>
          <w:b/>
          <w:bCs/>
        </w:rPr>
        <w:t>e droit</w:t>
      </w:r>
      <w:r w:rsidR="00851B54">
        <w:rPr>
          <w:rFonts w:cstheme="minorHAnsi"/>
          <w:b/>
          <w:bCs/>
        </w:rPr>
        <w:t xml:space="preserve"> suprême</w:t>
      </w:r>
      <w:r w:rsidR="0026263A" w:rsidRPr="00851B54">
        <w:rPr>
          <w:rFonts w:cstheme="minorHAnsi"/>
          <w:b/>
          <w:bCs/>
        </w:rPr>
        <w:t xml:space="preserve"> à la vie</w:t>
      </w:r>
      <w:r w:rsidR="004133BE">
        <w:rPr>
          <w:rFonts w:cstheme="minorHAnsi"/>
          <w:b/>
          <w:bCs/>
        </w:rPr>
        <w:t xml:space="preserve"> </w:t>
      </w:r>
    </w:p>
    <w:p w:rsidR="004F66AD" w:rsidRDefault="00CE2781" w:rsidP="004F66AD">
      <w:pPr>
        <w:jc w:val="both"/>
        <w:rPr>
          <w:rFonts w:cstheme="minorHAnsi"/>
          <w:bCs/>
        </w:rPr>
      </w:pPr>
      <w:r>
        <w:rPr>
          <w:rFonts w:cstheme="minorHAnsi"/>
          <w:bCs/>
        </w:rPr>
        <w:t xml:space="preserve">Le projet rappelle à juste titre </w:t>
      </w:r>
      <w:r w:rsidR="00620320">
        <w:rPr>
          <w:rFonts w:cstheme="minorHAnsi"/>
          <w:bCs/>
        </w:rPr>
        <w:t>l’importance fondamentale du droit à la vie : « </w:t>
      </w:r>
      <w:r w:rsidR="00620320" w:rsidRPr="00CB5C60">
        <w:rPr>
          <w:rFonts w:cstheme="minorHAnsi"/>
          <w:bCs/>
          <w:i/>
        </w:rPr>
        <w:t>Il s’agit du droit suprême auquel aucune dérogation n’est autorisée, même dans les situations de conflit armé et autres situations de danger public exceptionnel </w:t>
      </w:r>
      <w:r w:rsidR="00620320">
        <w:rPr>
          <w:rFonts w:cstheme="minorHAnsi"/>
          <w:bCs/>
        </w:rPr>
        <w:t>».</w:t>
      </w:r>
      <w:r w:rsidR="004F66AD" w:rsidRPr="004F66AD">
        <w:rPr>
          <w:rFonts w:cstheme="minorHAnsi"/>
          <w:bCs/>
        </w:rPr>
        <w:t xml:space="preserve"> </w:t>
      </w:r>
    </w:p>
    <w:p w:rsidR="000906AD" w:rsidRDefault="000906AD" w:rsidP="00CE2781">
      <w:pPr>
        <w:jc w:val="both"/>
        <w:rPr>
          <w:rFonts w:cstheme="minorHAnsi"/>
          <w:bCs/>
        </w:rPr>
      </w:pPr>
      <w:r>
        <w:rPr>
          <w:rFonts w:cstheme="minorHAnsi"/>
          <w:bCs/>
        </w:rPr>
        <w:t>Pourtant le paragraphe 9 semble</w:t>
      </w:r>
      <w:r w:rsidR="00200A15">
        <w:rPr>
          <w:rFonts w:cstheme="minorHAnsi"/>
          <w:bCs/>
        </w:rPr>
        <w:t xml:space="preserve"> envisager d’exclure</w:t>
      </w:r>
      <w:r>
        <w:rPr>
          <w:rFonts w:cstheme="minorHAnsi"/>
          <w:bCs/>
        </w:rPr>
        <w:t xml:space="preserve"> </w:t>
      </w:r>
      <w:r w:rsidR="00200A15">
        <w:rPr>
          <w:rFonts w:cstheme="minorHAnsi"/>
          <w:bCs/>
        </w:rPr>
        <w:t>du</w:t>
      </w:r>
      <w:r>
        <w:rPr>
          <w:rFonts w:cstheme="minorHAnsi"/>
          <w:bCs/>
        </w:rPr>
        <w:t xml:space="preserve"> droit à la vie</w:t>
      </w:r>
      <w:r w:rsidR="00200A15">
        <w:rPr>
          <w:rFonts w:cstheme="minorHAnsi"/>
          <w:bCs/>
        </w:rPr>
        <w:t xml:space="preserve"> </w:t>
      </w:r>
      <w:r>
        <w:rPr>
          <w:rFonts w:cstheme="minorHAnsi"/>
          <w:bCs/>
        </w:rPr>
        <w:t xml:space="preserve">les enfants à naître </w:t>
      </w:r>
      <w:r w:rsidR="007976BA">
        <w:rPr>
          <w:rFonts w:cstheme="minorHAnsi"/>
          <w:bCs/>
        </w:rPr>
        <w:t xml:space="preserve">et les enfants à naître handicapés, </w:t>
      </w:r>
      <w:r w:rsidR="007D70B2">
        <w:rPr>
          <w:rFonts w:cstheme="minorHAnsi"/>
          <w:bCs/>
        </w:rPr>
        <w:t>qui en sont pourtant bénéfi</w:t>
      </w:r>
      <w:r>
        <w:rPr>
          <w:rFonts w:cstheme="minorHAnsi"/>
          <w:bCs/>
        </w:rPr>
        <w:t>ciaires en vertu du droit international.</w:t>
      </w:r>
    </w:p>
    <w:p w:rsidR="000906AD" w:rsidRPr="000906AD" w:rsidRDefault="000906AD" w:rsidP="000906AD">
      <w:pPr>
        <w:pStyle w:val="ListParagraph"/>
        <w:numPr>
          <w:ilvl w:val="0"/>
          <w:numId w:val="3"/>
        </w:numPr>
        <w:jc w:val="both"/>
        <w:rPr>
          <w:rFonts w:cstheme="minorHAnsi"/>
          <w:b/>
          <w:bCs/>
        </w:rPr>
      </w:pPr>
      <w:r w:rsidRPr="000906AD">
        <w:rPr>
          <w:rFonts w:cstheme="minorHAnsi"/>
          <w:b/>
          <w:bCs/>
        </w:rPr>
        <w:t>L’enfant à naître, bénéficiaire du droit à la vie selon le droit international</w:t>
      </w:r>
    </w:p>
    <w:p w:rsidR="000906AD" w:rsidRDefault="00200A15" w:rsidP="00CE2781">
      <w:pPr>
        <w:jc w:val="both"/>
      </w:pPr>
      <w:r>
        <w:rPr>
          <w:rFonts w:cstheme="minorHAnsi"/>
          <w:bCs/>
        </w:rPr>
        <w:t>La Déclaration des droits de l’e</w:t>
      </w:r>
      <w:r w:rsidR="00E52996">
        <w:rPr>
          <w:rFonts w:cstheme="minorHAnsi"/>
          <w:bCs/>
        </w:rPr>
        <w:t>nfant, adoptée par l’Assemblée Gén</w:t>
      </w:r>
      <w:r>
        <w:rPr>
          <w:rFonts w:cstheme="minorHAnsi"/>
          <w:bCs/>
        </w:rPr>
        <w:t xml:space="preserve">érale en 1959, prévoit que les </w:t>
      </w:r>
      <w:r w:rsidRPr="00200A15">
        <w:rPr>
          <w:rFonts w:cstheme="minorHAnsi"/>
          <w:bCs/>
        </w:rPr>
        <w:t>É</w:t>
      </w:r>
      <w:r w:rsidR="00E52996">
        <w:rPr>
          <w:rFonts w:cstheme="minorHAnsi"/>
          <w:bCs/>
        </w:rPr>
        <w:t xml:space="preserve">tats </w:t>
      </w:r>
      <w:r w:rsidR="007976BA">
        <w:rPr>
          <w:rFonts w:cstheme="minorHAnsi"/>
          <w:bCs/>
        </w:rPr>
        <w:t>doivent</w:t>
      </w:r>
      <w:r w:rsidR="00E52996">
        <w:rPr>
          <w:rFonts w:cstheme="minorHAnsi"/>
          <w:bCs/>
        </w:rPr>
        <w:t xml:space="preserve"> protéger les enfants « </w:t>
      </w:r>
      <w:r w:rsidR="00E52996" w:rsidRPr="007976BA">
        <w:rPr>
          <w:i/>
        </w:rPr>
        <w:t>avant comme après la naissance</w:t>
      </w:r>
      <w:r w:rsidR="00E52996">
        <w:t xml:space="preserve"> ». Cette </w:t>
      </w:r>
      <w:r w:rsidR="007976BA">
        <w:t>disposition</w:t>
      </w:r>
      <w:r w:rsidR="00E52996">
        <w:t xml:space="preserve"> a été </w:t>
      </w:r>
      <w:r w:rsidR="007976BA">
        <w:t>reprise</w:t>
      </w:r>
      <w:r w:rsidR="00E52996">
        <w:t xml:space="preserve"> </w:t>
      </w:r>
      <w:r w:rsidR="007976BA">
        <w:t xml:space="preserve">dans le Préambule de la Convention </w:t>
      </w:r>
      <w:r>
        <w:t>internationale relative aux droits de l’e</w:t>
      </w:r>
      <w:r w:rsidR="007976BA" w:rsidRPr="007976BA">
        <w:t>nfant</w:t>
      </w:r>
      <w:r w:rsidR="00E52996">
        <w:t> </w:t>
      </w:r>
      <w:r w:rsidR="007976BA">
        <w:t xml:space="preserve">rendue contraignante en 1989. </w:t>
      </w:r>
    </w:p>
    <w:p w:rsidR="007976BA" w:rsidRDefault="007976BA" w:rsidP="00CE2781">
      <w:pPr>
        <w:jc w:val="both"/>
      </w:pPr>
      <w:r>
        <w:t>Par ailleurs, l</w:t>
      </w:r>
      <w:r w:rsidR="00200A15">
        <w:t>e Pacte international relatif aux droits civils et politiques</w:t>
      </w:r>
      <w:r>
        <w:t xml:space="preserve"> en son article 6 exclut les femmes enceintes de la peine capitale.</w:t>
      </w:r>
    </w:p>
    <w:p w:rsidR="00624F8A" w:rsidRDefault="007976BA" w:rsidP="00760DD0">
      <w:pPr>
        <w:jc w:val="both"/>
        <w:rPr>
          <w:rFonts w:cstheme="minorHAnsi"/>
          <w:bCs/>
        </w:rPr>
      </w:pPr>
      <w:r>
        <w:t xml:space="preserve">L’enfant à naître est donc bien bénéficiaire du droit à la vie en vertu du droit international. </w:t>
      </w:r>
    </w:p>
    <w:p w:rsidR="00760DD0" w:rsidRPr="00851B54" w:rsidRDefault="00760DD0" w:rsidP="00851B54">
      <w:pPr>
        <w:pStyle w:val="ListParagraph"/>
        <w:numPr>
          <w:ilvl w:val="0"/>
          <w:numId w:val="3"/>
        </w:numPr>
        <w:jc w:val="both"/>
        <w:rPr>
          <w:rFonts w:cstheme="minorHAnsi"/>
          <w:b/>
          <w:bCs/>
        </w:rPr>
      </w:pPr>
      <w:r w:rsidRPr="00851B54">
        <w:rPr>
          <w:rFonts w:cstheme="minorHAnsi"/>
          <w:b/>
          <w:bCs/>
        </w:rPr>
        <w:t>L’accès à l’</w:t>
      </w:r>
      <w:r w:rsidR="00492080" w:rsidRPr="00851B54">
        <w:rPr>
          <w:rFonts w:cstheme="minorHAnsi"/>
          <w:b/>
          <w:bCs/>
        </w:rPr>
        <w:t>avortement lorsque le fœtus pré</w:t>
      </w:r>
      <w:r w:rsidR="00973638">
        <w:rPr>
          <w:rFonts w:cstheme="minorHAnsi"/>
          <w:b/>
          <w:bCs/>
        </w:rPr>
        <w:t>sente une malformation mortelle</w:t>
      </w:r>
    </w:p>
    <w:p w:rsidR="00492080" w:rsidRDefault="00492080" w:rsidP="00492080">
      <w:pPr>
        <w:jc w:val="both"/>
        <w:rPr>
          <w:rFonts w:cstheme="minorHAnsi"/>
          <w:bCs/>
        </w:rPr>
      </w:pPr>
      <w:r>
        <w:rPr>
          <w:rFonts w:cstheme="minorHAnsi"/>
          <w:bCs/>
        </w:rPr>
        <w:t xml:space="preserve">Le </w:t>
      </w:r>
      <w:r w:rsidRPr="00295977">
        <w:rPr>
          <w:rFonts w:cstheme="minorHAnsi"/>
          <w:b/>
          <w:bCs/>
        </w:rPr>
        <w:t>paragraphe 9</w:t>
      </w:r>
      <w:r>
        <w:rPr>
          <w:rFonts w:cstheme="minorHAnsi"/>
          <w:bCs/>
        </w:rPr>
        <w:t xml:space="preserve"> souligne que </w:t>
      </w:r>
      <w:r w:rsidR="00200A15">
        <w:rPr>
          <w:rFonts w:cstheme="minorHAnsi"/>
          <w:bCs/>
          <w:i/>
        </w:rPr>
        <w:t xml:space="preserve">« les </w:t>
      </w:r>
      <w:r w:rsidR="00200A15" w:rsidRPr="00200A15">
        <w:rPr>
          <w:rFonts w:cstheme="minorHAnsi"/>
          <w:bCs/>
          <w:i/>
        </w:rPr>
        <w:t>É</w:t>
      </w:r>
      <w:r w:rsidRPr="002D4FD6">
        <w:rPr>
          <w:rFonts w:cstheme="minorHAnsi"/>
          <w:bCs/>
          <w:i/>
        </w:rPr>
        <w:t>tats doivent donner accès à l’avortement (…)</w:t>
      </w:r>
      <w:r w:rsidR="007976BA">
        <w:rPr>
          <w:rFonts w:cstheme="minorHAnsi"/>
          <w:bCs/>
          <w:i/>
        </w:rPr>
        <w:t xml:space="preserve"> lorsque le fait de mener la grossesse à terme causerait pour la femme une douleur ou une souffrance considérable, </w:t>
      </w:r>
      <w:r w:rsidRPr="002D4FD6">
        <w:rPr>
          <w:rFonts w:cstheme="minorHAnsi"/>
          <w:bCs/>
          <w:i/>
        </w:rPr>
        <w:t>tout particulièrement lorsque (…) le fœtus présente des malformations mortelles</w:t>
      </w:r>
      <w:r>
        <w:rPr>
          <w:rFonts w:cstheme="minorHAnsi"/>
          <w:bCs/>
        </w:rPr>
        <w:t> ».</w:t>
      </w:r>
    </w:p>
    <w:p w:rsidR="00492080" w:rsidRDefault="006F5B99" w:rsidP="00492080">
      <w:pPr>
        <w:jc w:val="both"/>
        <w:rPr>
          <w:rFonts w:cstheme="minorHAnsi"/>
          <w:bCs/>
        </w:rPr>
      </w:pPr>
      <w:r>
        <w:rPr>
          <w:rFonts w:cstheme="minorHAnsi"/>
          <w:bCs/>
        </w:rPr>
        <w:t xml:space="preserve">Le projet entend demander aux </w:t>
      </w:r>
      <w:r w:rsidR="00200A15" w:rsidRPr="00200A15">
        <w:rPr>
          <w:rFonts w:cstheme="minorHAnsi"/>
          <w:bCs/>
        </w:rPr>
        <w:t>É</w:t>
      </w:r>
      <w:r w:rsidR="00492080">
        <w:rPr>
          <w:rFonts w:cstheme="minorHAnsi"/>
          <w:bCs/>
        </w:rPr>
        <w:t xml:space="preserve">tats de favoriser un accès à l’avortement en cas de </w:t>
      </w:r>
      <w:r w:rsidRPr="006F5B99">
        <w:rPr>
          <w:rFonts w:cstheme="minorHAnsi"/>
          <w:bCs/>
          <w:i/>
        </w:rPr>
        <w:t>« </w:t>
      </w:r>
      <w:r w:rsidR="00492080" w:rsidRPr="006F5B99">
        <w:rPr>
          <w:rFonts w:cstheme="minorHAnsi"/>
          <w:bCs/>
          <w:i/>
        </w:rPr>
        <w:t>malformation mortelle</w:t>
      </w:r>
      <w:r>
        <w:rPr>
          <w:rFonts w:cstheme="minorHAnsi"/>
          <w:bCs/>
        </w:rPr>
        <w:t> »</w:t>
      </w:r>
      <w:r w:rsidR="00492080">
        <w:rPr>
          <w:rFonts w:cstheme="minorHAnsi"/>
          <w:bCs/>
        </w:rPr>
        <w:t xml:space="preserve"> du fœtus</w:t>
      </w:r>
      <w:r>
        <w:rPr>
          <w:rFonts w:cstheme="minorHAnsi"/>
          <w:bCs/>
        </w:rPr>
        <w:t xml:space="preserve">. </w:t>
      </w:r>
      <w:r w:rsidR="009F79F5">
        <w:rPr>
          <w:rFonts w:cstheme="minorHAnsi"/>
          <w:bCs/>
        </w:rPr>
        <w:t>Or, l</w:t>
      </w:r>
      <w:r>
        <w:rPr>
          <w:rFonts w:cstheme="minorHAnsi"/>
          <w:bCs/>
        </w:rPr>
        <w:t xml:space="preserve">es </w:t>
      </w:r>
      <w:r w:rsidR="009F79F5">
        <w:rPr>
          <w:rFonts w:cstheme="minorHAnsi"/>
          <w:bCs/>
        </w:rPr>
        <w:t>« </w:t>
      </w:r>
      <w:r>
        <w:rPr>
          <w:rFonts w:cstheme="minorHAnsi"/>
          <w:bCs/>
        </w:rPr>
        <w:t>malformations mortelles</w:t>
      </w:r>
      <w:r w:rsidR="009F79F5">
        <w:rPr>
          <w:rFonts w:cstheme="minorHAnsi"/>
          <w:bCs/>
        </w:rPr>
        <w:t> »</w:t>
      </w:r>
      <w:r w:rsidR="00492080">
        <w:rPr>
          <w:rFonts w:cstheme="minorHAnsi"/>
          <w:bCs/>
        </w:rPr>
        <w:t xml:space="preserve"> </w:t>
      </w:r>
      <w:r>
        <w:rPr>
          <w:rFonts w:cstheme="minorHAnsi"/>
          <w:bCs/>
        </w:rPr>
        <w:t>recouvrent une réalité mouvante, dépendan</w:t>
      </w:r>
      <w:r w:rsidR="00F41384">
        <w:rPr>
          <w:rFonts w:cstheme="minorHAnsi"/>
          <w:bCs/>
        </w:rPr>
        <w:t xml:space="preserve">te des avancées de la science. </w:t>
      </w:r>
      <w:r>
        <w:rPr>
          <w:rFonts w:cstheme="minorHAnsi"/>
          <w:bCs/>
        </w:rPr>
        <w:t xml:space="preserve">La frontière entre malformation mortelle et </w:t>
      </w:r>
      <w:r w:rsidR="009F79F5">
        <w:rPr>
          <w:rFonts w:cstheme="minorHAnsi"/>
          <w:bCs/>
        </w:rPr>
        <w:t xml:space="preserve">non-mortelle est </w:t>
      </w:r>
      <w:r w:rsidR="009F79F5">
        <w:rPr>
          <w:rFonts w:cstheme="minorHAnsi"/>
          <w:bCs/>
        </w:rPr>
        <w:lastRenderedPageBreak/>
        <w:t xml:space="preserve">manifestement </w:t>
      </w:r>
      <w:r>
        <w:rPr>
          <w:rFonts w:cstheme="minorHAnsi"/>
          <w:bCs/>
        </w:rPr>
        <w:t xml:space="preserve">poreuse et </w:t>
      </w:r>
      <w:r w:rsidR="007976BA">
        <w:rPr>
          <w:rFonts w:cstheme="minorHAnsi"/>
          <w:bCs/>
        </w:rPr>
        <w:t>beaucoup de</w:t>
      </w:r>
      <w:r w:rsidR="004952E2">
        <w:rPr>
          <w:rFonts w:cstheme="minorHAnsi"/>
          <w:bCs/>
        </w:rPr>
        <w:t xml:space="preserve"> mal</w:t>
      </w:r>
      <w:r>
        <w:rPr>
          <w:rFonts w:cstheme="minorHAnsi"/>
          <w:bCs/>
        </w:rPr>
        <w:t>formation</w:t>
      </w:r>
      <w:r w:rsidR="007976BA">
        <w:rPr>
          <w:rFonts w:cstheme="minorHAnsi"/>
          <w:bCs/>
        </w:rPr>
        <w:t>s</w:t>
      </w:r>
      <w:r>
        <w:rPr>
          <w:rFonts w:cstheme="minorHAnsi"/>
          <w:bCs/>
        </w:rPr>
        <w:t xml:space="preserve"> du fœtus, pourtant non mortelles, font déjà l’objet dans certains pays de </w:t>
      </w:r>
      <w:r w:rsidR="00F41384">
        <w:rPr>
          <w:rFonts w:cstheme="minorHAnsi"/>
          <w:bCs/>
        </w:rPr>
        <w:t>mesures</w:t>
      </w:r>
      <w:r>
        <w:rPr>
          <w:rFonts w:cstheme="minorHAnsi"/>
          <w:bCs/>
        </w:rPr>
        <w:t xml:space="preserve"> visant à </w:t>
      </w:r>
      <w:r w:rsidR="00295977">
        <w:rPr>
          <w:rFonts w:cstheme="minorHAnsi"/>
          <w:bCs/>
        </w:rPr>
        <w:t xml:space="preserve">supprimer purement et simplement le fœtus </w:t>
      </w:r>
      <w:r w:rsidR="00F41384">
        <w:rPr>
          <w:rFonts w:cstheme="minorHAnsi"/>
          <w:bCs/>
        </w:rPr>
        <w:t>atteint</w:t>
      </w:r>
      <w:r w:rsidR="00D0599F">
        <w:rPr>
          <w:rFonts w:cstheme="minorHAnsi"/>
          <w:bCs/>
        </w:rPr>
        <w:t>. La trisomie 21</w:t>
      </w:r>
      <w:r w:rsidR="009F79F5">
        <w:rPr>
          <w:rFonts w:cstheme="minorHAnsi"/>
          <w:bCs/>
        </w:rPr>
        <w:t xml:space="preserve"> </w:t>
      </w:r>
      <w:r>
        <w:rPr>
          <w:rFonts w:cstheme="minorHAnsi"/>
          <w:bCs/>
        </w:rPr>
        <w:t>figure</w:t>
      </w:r>
      <w:r w:rsidR="00F41384">
        <w:rPr>
          <w:rFonts w:cstheme="minorHAnsi"/>
          <w:bCs/>
        </w:rPr>
        <w:t xml:space="preserve"> </w:t>
      </w:r>
      <w:r>
        <w:rPr>
          <w:rFonts w:cstheme="minorHAnsi"/>
          <w:bCs/>
        </w:rPr>
        <w:t xml:space="preserve">parmi ces </w:t>
      </w:r>
      <w:r w:rsidR="00DC3ACF">
        <w:rPr>
          <w:rFonts w:cstheme="minorHAnsi"/>
          <w:bCs/>
        </w:rPr>
        <w:t>maladies</w:t>
      </w:r>
      <w:r>
        <w:rPr>
          <w:rFonts w:cstheme="minorHAnsi"/>
          <w:bCs/>
        </w:rPr>
        <w:t xml:space="preserve"> génétique</w:t>
      </w:r>
      <w:r w:rsidR="004952E2">
        <w:rPr>
          <w:rFonts w:cstheme="minorHAnsi"/>
          <w:bCs/>
        </w:rPr>
        <w:t>s</w:t>
      </w:r>
      <w:r w:rsidR="00F41384">
        <w:rPr>
          <w:rFonts w:cstheme="minorHAnsi"/>
          <w:bCs/>
        </w:rPr>
        <w:t xml:space="preserve"> handicapantes</w:t>
      </w:r>
      <w:r w:rsidR="00295977">
        <w:rPr>
          <w:rFonts w:cstheme="minorHAnsi"/>
          <w:bCs/>
        </w:rPr>
        <w:t xml:space="preserve"> qui</w:t>
      </w:r>
      <w:r w:rsidR="00F41384">
        <w:rPr>
          <w:rFonts w:cstheme="minorHAnsi"/>
          <w:bCs/>
        </w:rPr>
        <w:t xml:space="preserve"> ne son</w:t>
      </w:r>
      <w:r w:rsidR="004952E2">
        <w:rPr>
          <w:rFonts w:cstheme="minorHAnsi"/>
          <w:bCs/>
        </w:rPr>
        <w:t xml:space="preserve">t nullement </w:t>
      </w:r>
      <w:r w:rsidR="00953FFD">
        <w:rPr>
          <w:rFonts w:cstheme="minorHAnsi"/>
          <w:bCs/>
        </w:rPr>
        <w:t>mortel</w:t>
      </w:r>
      <w:r w:rsidR="00F41384">
        <w:rPr>
          <w:rFonts w:cstheme="minorHAnsi"/>
          <w:bCs/>
        </w:rPr>
        <w:t>les et probablement bientôt curables</w:t>
      </w:r>
      <w:r w:rsidR="000B39DC">
        <w:rPr>
          <w:rFonts w:cstheme="minorHAnsi"/>
          <w:bCs/>
        </w:rPr>
        <w:t xml:space="preserve">. </w:t>
      </w:r>
    </w:p>
    <w:p w:rsidR="008E0DF4" w:rsidRDefault="008E0DF4" w:rsidP="00492080">
      <w:pPr>
        <w:jc w:val="both"/>
        <w:rPr>
          <w:rFonts w:cstheme="minorHAnsi"/>
          <w:bCs/>
        </w:rPr>
      </w:pPr>
      <w:r>
        <w:rPr>
          <w:rFonts w:cstheme="minorHAnsi"/>
          <w:bCs/>
        </w:rPr>
        <w:t>Pourtant en Europe occidental</w:t>
      </w:r>
      <w:r w:rsidR="00F41384">
        <w:rPr>
          <w:rFonts w:cstheme="minorHAnsi"/>
          <w:bCs/>
        </w:rPr>
        <w:t>e</w:t>
      </w:r>
      <w:r>
        <w:rPr>
          <w:rFonts w:cstheme="minorHAnsi"/>
          <w:bCs/>
        </w:rPr>
        <w:t>, plus de 90% des enfants à naître diagnostiqués porteurs de trisomie 21 sont avortés : l’Interruption Médicale de Grossesse (IMG) a rendu mortelle une pathologie qui ne l’est pas</w:t>
      </w:r>
      <w:r w:rsidR="00F41384">
        <w:rPr>
          <w:rFonts w:cstheme="minorHAnsi"/>
          <w:bCs/>
        </w:rPr>
        <w:t>, traduisant dans certains pays une politique de santé publique proprement eugénique</w:t>
      </w:r>
      <w:r>
        <w:rPr>
          <w:rFonts w:cstheme="minorHAnsi"/>
          <w:bCs/>
        </w:rPr>
        <w:t xml:space="preserve">. </w:t>
      </w:r>
    </w:p>
    <w:p w:rsidR="00953FFD" w:rsidRDefault="00200A15" w:rsidP="00492080">
      <w:pPr>
        <w:jc w:val="both"/>
        <w:rPr>
          <w:rFonts w:cstheme="minorHAnsi"/>
          <w:bCs/>
        </w:rPr>
      </w:pPr>
      <w:r>
        <w:rPr>
          <w:rFonts w:cstheme="minorHAnsi"/>
          <w:bCs/>
        </w:rPr>
        <w:t>Dès lors, le projet d’O</w:t>
      </w:r>
      <w:r w:rsidR="00953FFD">
        <w:rPr>
          <w:rFonts w:cstheme="minorHAnsi"/>
          <w:bCs/>
        </w:rPr>
        <w:t xml:space="preserve">bservation générale constituerait un pas </w:t>
      </w:r>
      <w:r w:rsidR="00295977">
        <w:rPr>
          <w:rFonts w:cstheme="minorHAnsi"/>
          <w:bCs/>
        </w:rPr>
        <w:t xml:space="preserve">juridique </w:t>
      </w:r>
      <w:r w:rsidR="00953FFD">
        <w:rPr>
          <w:rFonts w:cstheme="minorHAnsi"/>
          <w:bCs/>
        </w:rPr>
        <w:t>supplémentaire sur le chem</w:t>
      </w:r>
      <w:r>
        <w:rPr>
          <w:rFonts w:cstheme="minorHAnsi"/>
          <w:bCs/>
        </w:rPr>
        <w:t xml:space="preserve">in, déjà emprunté par certains </w:t>
      </w:r>
      <w:r w:rsidRPr="00200A15">
        <w:rPr>
          <w:rFonts w:cstheme="minorHAnsi"/>
          <w:bCs/>
        </w:rPr>
        <w:t>É</w:t>
      </w:r>
      <w:r w:rsidR="00953FFD">
        <w:rPr>
          <w:rFonts w:cstheme="minorHAnsi"/>
          <w:bCs/>
        </w:rPr>
        <w:t xml:space="preserve">tats parties au Pacte, de supprimer </w:t>
      </w:r>
      <w:r w:rsidR="00916D61">
        <w:rPr>
          <w:rFonts w:cstheme="minorHAnsi"/>
          <w:bCs/>
        </w:rPr>
        <w:t>les</w:t>
      </w:r>
      <w:r w:rsidR="00953FFD">
        <w:rPr>
          <w:rFonts w:cstheme="minorHAnsi"/>
          <w:bCs/>
        </w:rPr>
        <w:t xml:space="preserve"> fœtus atteint</w:t>
      </w:r>
      <w:r w:rsidR="00916D61">
        <w:rPr>
          <w:rFonts w:cstheme="minorHAnsi"/>
          <w:bCs/>
        </w:rPr>
        <w:t>s</w:t>
      </w:r>
      <w:r w:rsidR="00953FFD">
        <w:rPr>
          <w:rFonts w:cstheme="minorHAnsi"/>
          <w:bCs/>
        </w:rPr>
        <w:t xml:space="preserve"> d</w:t>
      </w:r>
      <w:r w:rsidR="00E707B5">
        <w:rPr>
          <w:rFonts w:cstheme="minorHAnsi"/>
          <w:bCs/>
        </w:rPr>
        <w:t>e maladies génétiques non mortelles par</w:t>
      </w:r>
      <w:r w:rsidR="00953FFD">
        <w:rPr>
          <w:rFonts w:cstheme="minorHAnsi"/>
          <w:bCs/>
        </w:rPr>
        <w:t xml:space="preserve"> le moyen d’un dépistage généralisé</w:t>
      </w:r>
      <w:r w:rsidR="008E0DF4">
        <w:rPr>
          <w:rFonts w:cstheme="minorHAnsi"/>
          <w:bCs/>
        </w:rPr>
        <w:t xml:space="preserve"> conduisant à l’éradication de catégories de personnes sur la base de leur patrimoine génétique</w:t>
      </w:r>
      <w:r w:rsidR="00953FFD">
        <w:rPr>
          <w:rFonts w:cstheme="minorHAnsi"/>
          <w:bCs/>
        </w:rPr>
        <w:t xml:space="preserve">. </w:t>
      </w:r>
    </w:p>
    <w:p w:rsidR="000B39DC" w:rsidRPr="00851B54" w:rsidRDefault="00953FFD" w:rsidP="00851B54">
      <w:pPr>
        <w:pStyle w:val="ListParagraph"/>
        <w:numPr>
          <w:ilvl w:val="0"/>
          <w:numId w:val="3"/>
        </w:numPr>
        <w:jc w:val="both"/>
        <w:rPr>
          <w:rFonts w:cstheme="minorHAnsi"/>
          <w:b/>
          <w:bCs/>
        </w:rPr>
      </w:pPr>
      <w:r>
        <w:rPr>
          <w:rFonts w:cstheme="minorHAnsi"/>
          <w:b/>
          <w:bCs/>
        </w:rPr>
        <w:t>Rupture d</w:t>
      </w:r>
      <w:r w:rsidR="00D22A32">
        <w:rPr>
          <w:rFonts w:cstheme="minorHAnsi"/>
          <w:b/>
          <w:bCs/>
        </w:rPr>
        <w:t xml:space="preserve">e l’égalité entre les êtres humains devant le droit à la vie </w:t>
      </w:r>
    </w:p>
    <w:p w:rsidR="008F5CD6" w:rsidRDefault="000B39DC" w:rsidP="008F5CD6">
      <w:pPr>
        <w:jc w:val="both"/>
        <w:rPr>
          <w:rFonts w:cstheme="minorHAnsi"/>
          <w:bCs/>
        </w:rPr>
      </w:pPr>
      <w:r>
        <w:rPr>
          <w:rFonts w:cstheme="minorHAnsi"/>
          <w:bCs/>
        </w:rPr>
        <w:t>En considérant que l’accès à l’</w:t>
      </w:r>
      <w:r w:rsidR="001429F9">
        <w:rPr>
          <w:rFonts w:cstheme="minorHAnsi"/>
          <w:bCs/>
        </w:rPr>
        <w:t>avortement</w:t>
      </w:r>
      <w:r>
        <w:rPr>
          <w:rFonts w:cstheme="minorHAnsi"/>
          <w:bCs/>
        </w:rPr>
        <w:t xml:space="preserve"> doit être </w:t>
      </w:r>
      <w:r w:rsidR="001429F9">
        <w:rPr>
          <w:rFonts w:cstheme="minorHAnsi"/>
          <w:bCs/>
        </w:rPr>
        <w:t xml:space="preserve">facilité, </w:t>
      </w:r>
      <w:r w:rsidR="00B24B87">
        <w:rPr>
          <w:rFonts w:cstheme="minorHAnsi"/>
          <w:bCs/>
        </w:rPr>
        <w:t>ce projet</w:t>
      </w:r>
      <w:r w:rsidR="00BA53F5">
        <w:rPr>
          <w:rFonts w:cstheme="minorHAnsi"/>
          <w:bCs/>
        </w:rPr>
        <w:t xml:space="preserve"> présente l’avortement comme un moyen efficace pour remédier à des situations de grossesses difficiles. Pourtant, la réalisation d’un avortement n’est jamais chose anodine et </w:t>
      </w:r>
      <w:r w:rsidR="003C2A89">
        <w:rPr>
          <w:rFonts w:cstheme="minorHAnsi"/>
          <w:bCs/>
        </w:rPr>
        <w:t>expose la mère à</w:t>
      </w:r>
      <w:r w:rsidR="008531E1">
        <w:rPr>
          <w:rFonts w:cstheme="minorHAnsi"/>
          <w:bCs/>
        </w:rPr>
        <w:t xml:space="preserve"> des</w:t>
      </w:r>
      <w:r w:rsidR="003C2A89">
        <w:rPr>
          <w:rFonts w:cstheme="minorHAnsi"/>
          <w:bCs/>
        </w:rPr>
        <w:t xml:space="preserve"> conséquences </w:t>
      </w:r>
      <w:r w:rsidR="00B2092C">
        <w:rPr>
          <w:rFonts w:cstheme="minorHAnsi"/>
          <w:bCs/>
        </w:rPr>
        <w:t>douloureuses</w:t>
      </w:r>
      <w:r w:rsidR="003C2A89">
        <w:rPr>
          <w:rFonts w:cstheme="minorHAnsi"/>
          <w:bCs/>
        </w:rPr>
        <w:t xml:space="preserve"> sur s</w:t>
      </w:r>
      <w:r w:rsidR="00BA53F5">
        <w:rPr>
          <w:rFonts w:cstheme="minorHAnsi"/>
          <w:bCs/>
        </w:rPr>
        <w:t>a santé physique et psychologique.</w:t>
      </w:r>
      <w:r w:rsidR="00200A15" w:rsidRPr="00200A15">
        <w:rPr>
          <w:rFonts w:cstheme="minorHAnsi"/>
          <w:bCs/>
        </w:rPr>
        <w:t xml:space="preserve"> Mais, surtout, la fin ne justifie jamais</w:t>
      </w:r>
      <w:r w:rsidR="00200A15">
        <w:rPr>
          <w:rFonts w:cstheme="minorHAnsi"/>
          <w:bCs/>
        </w:rPr>
        <w:t xml:space="preserve"> les moyens.</w:t>
      </w:r>
      <w:r w:rsidR="00BA53F5">
        <w:rPr>
          <w:rFonts w:cstheme="minorHAnsi"/>
          <w:bCs/>
        </w:rPr>
        <w:t xml:space="preserve"> </w:t>
      </w:r>
      <w:r w:rsidR="00BA53F5" w:rsidRPr="00BA53F5">
        <w:rPr>
          <w:rFonts w:cstheme="minorHAnsi"/>
          <w:bCs/>
        </w:rPr>
        <w:t xml:space="preserve">Sans méconnaître la réalité de l’angoisse d’une femme face à une grossesse difficile, </w:t>
      </w:r>
      <w:r w:rsidR="008F5CD6">
        <w:rPr>
          <w:rFonts w:cstheme="minorHAnsi"/>
          <w:bCs/>
        </w:rPr>
        <w:t xml:space="preserve">le </w:t>
      </w:r>
      <w:r w:rsidR="008F5CD6" w:rsidRPr="00201CA0">
        <w:rPr>
          <w:rFonts w:cstheme="minorHAnsi"/>
          <w:b/>
          <w:bCs/>
        </w:rPr>
        <w:t>paragraphe 9</w:t>
      </w:r>
      <w:r w:rsidR="008F5CD6">
        <w:rPr>
          <w:rFonts w:cstheme="minorHAnsi"/>
          <w:bCs/>
        </w:rPr>
        <w:t xml:space="preserve"> </w:t>
      </w:r>
      <w:r w:rsidR="00F41384">
        <w:rPr>
          <w:rFonts w:cstheme="minorHAnsi"/>
          <w:bCs/>
        </w:rPr>
        <w:t>pose question</w:t>
      </w:r>
      <w:r w:rsidR="008F5CD6">
        <w:rPr>
          <w:rFonts w:cstheme="minorHAnsi"/>
          <w:bCs/>
        </w:rPr>
        <w:t xml:space="preserve">. </w:t>
      </w:r>
    </w:p>
    <w:p w:rsidR="00200A15" w:rsidRDefault="008F5CD6" w:rsidP="008F5CD6">
      <w:pPr>
        <w:jc w:val="both"/>
        <w:rPr>
          <w:rFonts w:cstheme="minorHAnsi"/>
          <w:bCs/>
        </w:rPr>
      </w:pPr>
      <w:r>
        <w:rPr>
          <w:rFonts w:cstheme="minorHAnsi"/>
          <w:bCs/>
        </w:rPr>
        <w:t>L’embryon est-il un objet ou une chose ? Si l’enfant à naître est un être humain</w:t>
      </w:r>
      <w:r w:rsidR="00200A15" w:rsidRPr="00200A15">
        <w:rPr>
          <w:rFonts w:cstheme="minorHAnsi"/>
          <w:bCs/>
        </w:rPr>
        <w:t xml:space="preserve"> vivant, ce qui n’est pas contestable, il doit bénéficier, conformément au principe d’égalité universellement admis, du droit à la vie.</w:t>
      </w:r>
    </w:p>
    <w:p w:rsidR="008F5CD6" w:rsidRDefault="008F5CD6" w:rsidP="008F5CD6">
      <w:pPr>
        <w:jc w:val="both"/>
        <w:rPr>
          <w:rFonts w:cstheme="minorHAnsi"/>
          <w:bCs/>
        </w:rPr>
      </w:pPr>
      <w:r>
        <w:rPr>
          <w:rFonts w:cstheme="minorHAnsi"/>
          <w:bCs/>
        </w:rPr>
        <w:t xml:space="preserve">Le </w:t>
      </w:r>
      <w:r w:rsidRPr="00201CA0">
        <w:rPr>
          <w:rFonts w:cstheme="minorHAnsi"/>
          <w:b/>
          <w:bCs/>
        </w:rPr>
        <w:t>paragraphe 52</w:t>
      </w:r>
      <w:r>
        <w:rPr>
          <w:rFonts w:cstheme="minorHAnsi"/>
          <w:bCs/>
        </w:rPr>
        <w:t xml:space="preserve"> ne s’y est pas trompé en reconnaissant l’interdiction faite par l’article 6 du Pacte d’appliquer la peine de mort à une femme enceinte. Les </w:t>
      </w:r>
      <w:r w:rsidRPr="00B2092C">
        <w:rPr>
          <w:rFonts w:cstheme="minorHAnsi"/>
          <w:bCs/>
          <w:i/>
        </w:rPr>
        <w:t>Travaux préparatoires</w:t>
      </w:r>
      <w:r>
        <w:rPr>
          <w:rFonts w:cstheme="minorHAnsi"/>
          <w:bCs/>
        </w:rPr>
        <w:t xml:space="preserve"> de l’article 6 expriment clairement que cette interdiction résulte de la volonté du législateur de protéger le droit à la vie de l’enfant à naître.</w:t>
      </w:r>
    </w:p>
    <w:p w:rsidR="008F5CD6" w:rsidRDefault="008F5CD6" w:rsidP="008F5CD6">
      <w:pPr>
        <w:jc w:val="both"/>
        <w:rPr>
          <w:rFonts w:cstheme="minorHAnsi"/>
          <w:bCs/>
        </w:rPr>
      </w:pPr>
      <w:r>
        <w:rPr>
          <w:rFonts w:cstheme="minorHAnsi"/>
          <w:bCs/>
        </w:rPr>
        <w:t xml:space="preserve">Le </w:t>
      </w:r>
      <w:r w:rsidRPr="00201CA0">
        <w:rPr>
          <w:rFonts w:cstheme="minorHAnsi"/>
          <w:b/>
          <w:bCs/>
        </w:rPr>
        <w:t>paragraphe 9</w:t>
      </w:r>
      <w:r>
        <w:rPr>
          <w:rFonts w:cstheme="minorHAnsi"/>
          <w:bCs/>
        </w:rPr>
        <w:t xml:space="preserve"> a pour conséquence de rompre le principe d’égalité des êtres humains devant le droit à la vie. Il consacre une discrimination qui n’a plus lieu d’être, </w:t>
      </w:r>
      <w:r w:rsidRPr="00E707B5">
        <w:rPr>
          <w:rFonts w:cstheme="minorHAnsi"/>
          <w:bCs/>
        </w:rPr>
        <w:t>au regard de l’évolution actuelle de la législation internationale en matière de droits de l’homme</w:t>
      </w:r>
      <w:r>
        <w:rPr>
          <w:rFonts w:cstheme="minorHAnsi"/>
          <w:bCs/>
        </w:rPr>
        <w:t>,</w:t>
      </w:r>
      <w:r w:rsidRPr="00E707B5">
        <w:rPr>
          <w:rFonts w:cstheme="minorHAnsi"/>
          <w:bCs/>
        </w:rPr>
        <w:t xml:space="preserve"> </w:t>
      </w:r>
      <w:r>
        <w:rPr>
          <w:rFonts w:cstheme="minorHAnsi"/>
          <w:bCs/>
        </w:rPr>
        <w:t xml:space="preserve">entre les enfants à naître et les enfants déjà nés, entre les enfants </w:t>
      </w:r>
      <w:r w:rsidR="005B2528">
        <w:rPr>
          <w:rFonts w:cstheme="minorHAnsi"/>
          <w:bCs/>
        </w:rPr>
        <w:t xml:space="preserve">malades et </w:t>
      </w:r>
      <w:r>
        <w:rPr>
          <w:rFonts w:cstheme="minorHAnsi"/>
          <w:bCs/>
        </w:rPr>
        <w:t xml:space="preserve">handicapés et ceux qui ne le sont pas. </w:t>
      </w:r>
    </w:p>
    <w:p w:rsidR="00E707B5" w:rsidRDefault="008F5CD6" w:rsidP="00492080">
      <w:pPr>
        <w:jc w:val="both"/>
        <w:rPr>
          <w:rFonts w:cstheme="minorHAnsi"/>
          <w:bCs/>
        </w:rPr>
      </w:pPr>
      <w:r>
        <w:rPr>
          <w:rFonts w:cstheme="minorHAnsi"/>
          <w:bCs/>
        </w:rPr>
        <w:t>Ce projet va à rebours de la tendance du Comité des droits de l’homme qui, sur le sujet de la peine de mort notamment, préconise son abolition complète, même pour les crimes les plus graves afin que le respect du droit à la vie soit également appliqué à tous.</w:t>
      </w:r>
    </w:p>
    <w:p w:rsidR="00851B54" w:rsidRPr="00BE187B" w:rsidRDefault="008F5CD6" w:rsidP="00200A15">
      <w:pPr>
        <w:pStyle w:val="ListParagraph"/>
        <w:numPr>
          <w:ilvl w:val="0"/>
          <w:numId w:val="3"/>
        </w:numPr>
        <w:jc w:val="both"/>
        <w:rPr>
          <w:rFonts w:cstheme="minorHAnsi"/>
          <w:b/>
          <w:bCs/>
        </w:rPr>
      </w:pPr>
      <w:r>
        <w:rPr>
          <w:rFonts w:cstheme="minorHAnsi"/>
          <w:b/>
          <w:bCs/>
        </w:rPr>
        <w:t>L</w:t>
      </w:r>
      <w:r w:rsidR="00BE187B">
        <w:rPr>
          <w:rFonts w:cstheme="minorHAnsi"/>
          <w:b/>
          <w:bCs/>
        </w:rPr>
        <w:t>e C</w:t>
      </w:r>
      <w:r w:rsidR="00851B54" w:rsidRPr="00BE187B">
        <w:rPr>
          <w:rFonts w:cstheme="minorHAnsi"/>
          <w:b/>
          <w:bCs/>
        </w:rPr>
        <w:t>omité</w:t>
      </w:r>
      <w:r w:rsidR="00BE187B">
        <w:rPr>
          <w:rFonts w:cstheme="minorHAnsi"/>
          <w:b/>
          <w:bCs/>
        </w:rPr>
        <w:t xml:space="preserve"> des droits de l’homme</w:t>
      </w:r>
      <w:r w:rsidR="00851B54" w:rsidRPr="00BE187B">
        <w:rPr>
          <w:rFonts w:cstheme="minorHAnsi"/>
          <w:b/>
          <w:bCs/>
        </w:rPr>
        <w:t xml:space="preserve"> ne peut imposer </w:t>
      </w:r>
      <w:r w:rsidR="00BE187B">
        <w:rPr>
          <w:rFonts w:cstheme="minorHAnsi"/>
          <w:b/>
          <w:bCs/>
        </w:rPr>
        <w:t>l’avortement</w:t>
      </w:r>
      <w:r w:rsidR="00200A15">
        <w:rPr>
          <w:rFonts w:cstheme="minorHAnsi"/>
          <w:b/>
          <w:bCs/>
        </w:rPr>
        <w:t xml:space="preserve"> aux </w:t>
      </w:r>
      <w:r w:rsidR="00200A15" w:rsidRPr="00200A15">
        <w:rPr>
          <w:rFonts w:cstheme="minorHAnsi"/>
          <w:b/>
          <w:bCs/>
        </w:rPr>
        <w:t>É</w:t>
      </w:r>
      <w:r w:rsidR="00851B54" w:rsidRPr="00BE187B">
        <w:rPr>
          <w:rFonts w:cstheme="minorHAnsi"/>
          <w:b/>
          <w:bCs/>
        </w:rPr>
        <w:t>tats</w:t>
      </w:r>
      <w:r w:rsidR="00973638">
        <w:rPr>
          <w:b/>
        </w:rPr>
        <w:t xml:space="preserve"> parti</w:t>
      </w:r>
      <w:r w:rsidR="00936BF3">
        <w:rPr>
          <w:b/>
        </w:rPr>
        <w:t>e</w:t>
      </w:r>
      <w:r w:rsidR="00BE187B">
        <w:rPr>
          <w:b/>
        </w:rPr>
        <w:t>s au Pacte</w:t>
      </w:r>
    </w:p>
    <w:p w:rsidR="00BE187B" w:rsidRDefault="002426F0" w:rsidP="00851B54">
      <w:pPr>
        <w:jc w:val="both"/>
        <w:rPr>
          <w:rFonts w:cstheme="minorHAnsi"/>
          <w:bCs/>
        </w:rPr>
      </w:pPr>
      <w:r w:rsidRPr="002426F0">
        <w:rPr>
          <w:rFonts w:cstheme="minorHAnsi"/>
          <w:bCs/>
        </w:rPr>
        <w:t>L’avortement est une pratique qui fait l’objet d’âpres discussion</w:t>
      </w:r>
      <w:r w:rsidR="00936BF3">
        <w:rPr>
          <w:rFonts w:cstheme="minorHAnsi"/>
          <w:bCs/>
        </w:rPr>
        <w:t>s</w:t>
      </w:r>
      <w:r w:rsidRPr="002426F0">
        <w:rPr>
          <w:rFonts w:cstheme="minorHAnsi"/>
          <w:bCs/>
        </w:rPr>
        <w:t xml:space="preserve"> au niveau international. Aucu</w:t>
      </w:r>
      <w:r w:rsidR="00200A15">
        <w:rPr>
          <w:rFonts w:cstheme="minorHAnsi"/>
          <w:bCs/>
        </w:rPr>
        <w:t xml:space="preserve">n consensus n’existe entre les </w:t>
      </w:r>
      <w:r w:rsidR="00200A15" w:rsidRPr="00200A15">
        <w:rPr>
          <w:rFonts w:cstheme="minorHAnsi"/>
          <w:bCs/>
        </w:rPr>
        <w:t>É</w:t>
      </w:r>
      <w:r w:rsidRPr="002426F0">
        <w:rPr>
          <w:rFonts w:cstheme="minorHAnsi"/>
          <w:bCs/>
        </w:rPr>
        <w:t>tats sur ce sujet.</w:t>
      </w:r>
      <w:r>
        <w:rPr>
          <w:rFonts w:cstheme="minorHAnsi"/>
          <w:bCs/>
        </w:rPr>
        <w:t xml:space="preserve"> </w:t>
      </w:r>
      <w:r w:rsidR="00BE187B">
        <w:rPr>
          <w:rFonts w:cstheme="minorHAnsi"/>
          <w:bCs/>
        </w:rPr>
        <w:t>Dès lors, u</w:t>
      </w:r>
      <w:r>
        <w:rPr>
          <w:rFonts w:cstheme="minorHAnsi"/>
          <w:bCs/>
        </w:rPr>
        <w:t>ne telle problématique n’a pas vocation à être résolu</w:t>
      </w:r>
      <w:r w:rsidR="00BE187B">
        <w:rPr>
          <w:rFonts w:cstheme="minorHAnsi"/>
          <w:bCs/>
        </w:rPr>
        <w:t>e</w:t>
      </w:r>
      <w:r w:rsidR="00201CA0">
        <w:rPr>
          <w:rFonts w:cstheme="minorHAnsi"/>
          <w:bCs/>
        </w:rPr>
        <w:t xml:space="preserve"> par un comité</w:t>
      </w:r>
      <w:r>
        <w:rPr>
          <w:rFonts w:cstheme="minorHAnsi"/>
          <w:bCs/>
        </w:rPr>
        <w:t xml:space="preserve">, composé de quelques personnes </w:t>
      </w:r>
      <w:r w:rsidR="00BE187B">
        <w:rPr>
          <w:rFonts w:cstheme="minorHAnsi"/>
          <w:bCs/>
        </w:rPr>
        <w:t xml:space="preserve">désignées - et </w:t>
      </w:r>
      <w:r>
        <w:rPr>
          <w:rFonts w:cstheme="minorHAnsi"/>
          <w:bCs/>
        </w:rPr>
        <w:t>non élu</w:t>
      </w:r>
      <w:r w:rsidR="00BE187B">
        <w:rPr>
          <w:rFonts w:cstheme="minorHAnsi"/>
          <w:bCs/>
        </w:rPr>
        <w:t>e</w:t>
      </w:r>
      <w:r>
        <w:rPr>
          <w:rFonts w:cstheme="minorHAnsi"/>
          <w:bCs/>
        </w:rPr>
        <w:t>s</w:t>
      </w:r>
      <w:r w:rsidR="00BE187B">
        <w:rPr>
          <w:rFonts w:cstheme="minorHAnsi"/>
          <w:bCs/>
        </w:rPr>
        <w:t xml:space="preserve"> -</w:t>
      </w:r>
      <w:r>
        <w:rPr>
          <w:rFonts w:cstheme="minorHAnsi"/>
          <w:bCs/>
        </w:rPr>
        <w:t xml:space="preserve"> qui n’ont pas de compte à rendre</w:t>
      </w:r>
      <w:r w:rsidR="00200A15">
        <w:rPr>
          <w:rFonts w:cstheme="minorHAnsi"/>
          <w:bCs/>
        </w:rPr>
        <w:t xml:space="preserve"> aux </w:t>
      </w:r>
      <w:r w:rsidR="00200A15" w:rsidRPr="00200A15">
        <w:rPr>
          <w:rFonts w:cstheme="minorHAnsi"/>
          <w:bCs/>
        </w:rPr>
        <w:t>É</w:t>
      </w:r>
      <w:r w:rsidR="00BE187B">
        <w:rPr>
          <w:rFonts w:cstheme="minorHAnsi"/>
          <w:bCs/>
        </w:rPr>
        <w:t>tats</w:t>
      </w:r>
      <w:r>
        <w:rPr>
          <w:rFonts w:cstheme="minorHAnsi"/>
          <w:bCs/>
        </w:rPr>
        <w:t xml:space="preserve"> et dont </w:t>
      </w:r>
      <w:r w:rsidR="00BE187B">
        <w:rPr>
          <w:rFonts w:cstheme="minorHAnsi"/>
          <w:bCs/>
        </w:rPr>
        <w:t>la politique menée en matière d’avortement</w:t>
      </w:r>
      <w:r>
        <w:rPr>
          <w:rFonts w:cstheme="minorHAnsi"/>
          <w:bCs/>
        </w:rPr>
        <w:t xml:space="preserve"> va à l’</w:t>
      </w:r>
      <w:r w:rsidR="00D0599F">
        <w:rPr>
          <w:rFonts w:cstheme="minorHAnsi"/>
          <w:bCs/>
        </w:rPr>
        <w:t xml:space="preserve">encontre de </w:t>
      </w:r>
      <w:r w:rsidR="00D0599F">
        <w:rPr>
          <w:rFonts w:cstheme="minorHAnsi"/>
          <w:bCs/>
        </w:rPr>
        <w:lastRenderedPageBreak/>
        <w:t xml:space="preserve">celle </w:t>
      </w:r>
      <w:r>
        <w:rPr>
          <w:rFonts w:cstheme="minorHAnsi"/>
          <w:bCs/>
        </w:rPr>
        <w:t>mise en œuvre par de nombreux pays à travers le monde. Au moins 60 pays ont</w:t>
      </w:r>
      <w:r w:rsidR="00BE187B">
        <w:rPr>
          <w:rFonts w:cstheme="minorHAnsi"/>
          <w:bCs/>
        </w:rPr>
        <w:t xml:space="preserve"> en effet</w:t>
      </w:r>
      <w:r>
        <w:rPr>
          <w:rFonts w:cstheme="minorHAnsi"/>
          <w:bCs/>
        </w:rPr>
        <w:t xml:space="preserve"> des législations très restrictives au sujet de l’avortement. </w:t>
      </w:r>
    </w:p>
    <w:p w:rsidR="00033AF1" w:rsidRPr="00033AF1" w:rsidRDefault="002426F0" w:rsidP="00033AF1">
      <w:pPr>
        <w:jc w:val="both"/>
        <w:rPr>
          <w:rFonts w:cstheme="minorHAnsi"/>
          <w:bCs/>
        </w:rPr>
      </w:pPr>
      <w:r>
        <w:rPr>
          <w:rFonts w:cstheme="minorHAnsi"/>
          <w:bCs/>
        </w:rPr>
        <w:t xml:space="preserve">Le Comité des droits de l’homme </w:t>
      </w:r>
      <w:r w:rsidR="00BE187B">
        <w:rPr>
          <w:rFonts w:cstheme="minorHAnsi"/>
          <w:bCs/>
        </w:rPr>
        <w:t xml:space="preserve">ne peut </w:t>
      </w:r>
      <w:r w:rsidR="00D0599F">
        <w:rPr>
          <w:rFonts w:cstheme="minorHAnsi"/>
          <w:bCs/>
        </w:rPr>
        <w:t xml:space="preserve">donc pas </w:t>
      </w:r>
      <w:r w:rsidR="00200A15">
        <w:rPr>
          <w:rFonts w:cstheme="minorHAnsi"/>
          <w:bCs/>
        </w:rPr>
        <w:t xml:space="preserve">se substituer aux </w:t>
      </w:r>
      <w:r w:rsidR="00200A15" w:rsidRPr="00200A15">
        <w:rPr>
          <w:rFonts w:cstheme="minorHAnsi"/>
          <w:bCs/>
        </w:rPr>
        <w:t>É</w:t>
      </w:r>
      <w:r w:rsidR="00BE187B">
        <w:rPr>
          <w:rFonts w:cstheme="minorHAnsi"/>
          <w:bCs/>
        </w:rPr>
        <w:t>tats</w:t>
      </w:r>
      <w:r w:rsidR="00D0599F">
        <w:rPr>
          <w:rFonts w:cstheme="minorHAnsi"/>
          <w:bCs/>
        </w:rPr>
        <w:t xml:space="preserve"> souverains</w:t>
      </w:r>
      <w:r w:rsidR="00BE187B">
        <w:rPr>
          <w:rFonts w:cstheme="minorHAnsi"/>
          <w:bCs/>
        </w:rPr>
        <w:t xml:space="preserve"> sur ces matières qui d</w:t>
      </w:r>
      <w:r w:rsidR="00D0599F">
        <w:rPr>
          <w:rFonts w:cstheme="minorHAnsi"/>
          <w:bCs/>
        </w:rPr>
        <w:t>emeurent, en dernier ressort, de leur</w:t>
      </w:r>
      <w:r w:rsidR="00BE187B">
        <w:rPr>
          <w:rFonts w:cstheme="minorHAnsi"/>
          <w:bCs/>
        </w:rPr>
        <w:t xml:space="preserve"> domaine</w:t>
      </w:r>
      <w:r w:rsidR="00D0599F">
        <w:rPr>
          <w:rFonts w:cstheme="minorHAnsi"/>
          <w:bCs/>
        </w:rPr>
        <w:t xml:space="preserve"> de compétence.</w:t>
      </w:r>
    </w:p>
    <w:sectPr w:rsidR="00033AF1" w:rsidRPr="00033AF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5B" w:rsidRDefault="00F3055B" w:rsidP="009F79F5">
      <w:pPr>
        <w:spacing w:after="0" w:line="240" w:lineRule="auto"/>
      </w:pPr>
      <w:r>
        <w:separator/>
      </w:r>
    </w:p>
  </w:endnote>
  <w:endnote w:type="continuationSeparator" w:id="0">
    <w:p w:rsidR="00F3055B" w:rsidRDefault="00F3055B" w:rsidP="009F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01196"/>
      <w:docPartObj>
        <w:docPartGallery w:val="Page Numbers (Bottom of Page)"/>
        <w:docPartUnique/>
      </w:docPartObj>
    </w:sdtPr>
    <w:sdtEndPr>
      <w:rPr>
        <w:sz w:val="18"/>
        <w:szCs w:val="18"/>
      </w:rPr>
    </w:sdtEndPr>
    <w:sdtContent>
      <w:p w:rsidR="00936BF3" w:rsidRPr="00C00A27" w:rsidRDefault="00936BF3" w:rsidP="00C00A27">
        <w:pPr>
          <w:pStyle w:val="Footer"/>
          <w:jc w:val="center"/>
        </w:pPr>
        <w:r w:rsidRPr="00936BF3">
          <w:rPr>
            <w:rFonts w:cs="Arial"/>
            <w:color w:val="CC0000"/>
            <w:sz w:val="20"/>
            <w:szCs w:val="20"/>
          </w:rPr>
          <w:t xml:space="preserve">Fondation Jérôme Lejeune, reconnue d’utilité publique </w:t>
        </w:r>
      </w:p>
      <w:p w:rsidR="00936BF3" w:rsidRPr="00936BF3" w:rsidRDefault="00936BF3" w:rsidP="00936BF3">
        <w:pPr>
          <w:pStyle w:val="Footer"/>
          <w:jc w:val="center"/>
          <w:rPr>
            <w:color w:val="CC0000"/>
            <w:sz w:val="20"/>
            <w:szCs w:val="20"/>
          </w:rPr>
        </w:pPr>
        <w:r w:rsidRPr="00936BF3">
          <w:rPr>
            <w:rFonts w:cs="Arial"/>
            <w:color w:val="CC0000"/>
            <w:sz w:val="20"/>
            <w:szCs w:val="20"/>
          </w:rPr>
          <w:t>37, rue des Volontaires 75725 Paris Cedex 15 - Tél : +33 (0)1 44 49 73 30 - Fax : +33 (0)1 43 06 20 77</w:t>
        </w:r>
      </w:p>
      <w:p w:rsidR="00C90888" w:rsidRPr="00936BF3" w:rsidRDefault="00C90888" w:rsidP="00936BF3">
        <w:pPr>
          <w:pStyle w:val="Footer"/>
          <w:jc w:val="right"/>
          <w:rPr>
            <w:sz w:val="18"/>
            <w:szCs w:val="18"/>
          </w:rPr>
        </w:pPr>
        <w:r w:rsidRPr="00936BF3">
          <w:rPr>
            <w:sz w:val="18"/>
            <w:szCs w:val="18"/>
          </w:rPr>
          <w:fldChar w:fldCharType="begin"/>
        </w:r>
        <w:r w:rsidRPr="00936BF3">
          <w:rPr>
            <w:sz w:val="18"/>
            <w:szCs w:val="18"/>
          </w:rPr>
          <w:instrText>PAGE   \* MERGEFORMAT</w:instrText>
        </w:r>
        <w:r w:rsidRPr="00936BF3">
          <w:rPr>
            <w:sz w:val="18"/>
            <w:szCs w:val="18"/>
          </w:rPr>
          <w:fldChar w:fldCharType="separate"/>
        </w:r>
        <w:r w:rsidR="00F64924">
          <w:rPr>
            <w:noProof/>
            <w:sz w:val="18"/>
            <w:szCs w:val="18"/>
          </w:rPr>
          <w:t>1</w:t>
        </w:r>
        <w:r w:rsidRPr="00936BF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5B" w:rsidRDefault="00F3055B" w:rsidP="009F79F5">
      <w:pPr>
        <w:spacing w:after="0" w:line="240" w:lineRule="auto"/>
      </w:pPr>
      <w:r>
        <w:separator/>
      </w:r>
    </w:p>
  </w:footnote>
  <w:footnote w:type="continuationSeparator" w:id="0">
    <w:p w:rsidR="00F3055B" w:rsidRDefault="00F3055B" w:rsidP="009F79F5">
      <w:pPr>
        <w:spacing w:after="0" w:line="240" w:lineRule="auto"/>
      </w:pPr>
      <w:r>
        <w:continuationSeparator/>
      </w:r>
    </w:p>
  </w:footnote>
  <w:footnote w:id="1">
    <w:p w:rsidR="00033AF1" w:rsidRDefault="00033AF1" w:rsidP="00033AF1">
      <w:pPr>
        <w:pStyle w:val="FootnoteText"/>
        <w:jc w:val="both"/>
      </w:pPr>
      <w:r>
        <w:rPr>
          <w:rStyle w:val="FootnoteReference"/>
        </w:rPr>
        <w:footnoteRef/>
      </w:r>
      <w:r>
        <w:t xml:space="preserve"> </w:t>
      </w:r>
      <w:r w:rsidRPr="00A67A1C">
        <w:rPr>
          <w:rStyle w:val="A4"/>
          <w:b/>
          <w:sz w:val="18"/>
          <w:szCs w:val="18"/>
        </w:rPr>
        <w:t>A propos de la Fondation Jérôme Lejeune :</w:t>
      </w:r>
      <w:r w:rsidRPr="00033AF1">
        <w:rPr>
          <w:rStyle w:val="A4"/>
          <w:sz w:val="18"/>
          <w:szCs w:val="18"/>
        </w:rPr>
        <w:t xml:space="preserve"> Fondation scientifique de recherche médicale pour le traitement des déficiences intellectuelles d’origine génétique ; elle poursuit trois missions : chercher des traite</w:t>
      </w:r>
      <w:r w:rsidRPr="00033AF1">
        <w:rPr>
          <w:rStyle w:val="A4"/>
          <w:sz w:val="18"/>
          <w:szCs w:val="18"/>
        </w:rPr>
        <w:softHyphen/>
      </w:r>
      <w:r>
        <w:rPr>
          <w:rStyle w:val="A4"/>
          <w:sz w:val="18"/>
          <w:szCs w:val="18"/>
        </w:rPr>
        <w:t xml:space="preserve">ments, soigner les patients </w:t>
      </w:r>
      <w:r w:rsidRPr="00033AF1">
        <w:rPr>
          <w:rStyle w:val="A4"/>
          <w:sz w:val="18"/>
          <w:szCs w:val="18"/>
        </w:rPr>
        <w:t>et défendre la vie. www.fondationlejeune.org ; 1</w:t>
      </w:r>
      <w:r w:rsidRPr="00033AF1">
        <w:rPr>
          <w:position w:val="5"/>
          <w:sz w:val="18"/>
          <w:szCs w:val="18"/>
          <w:vertAlign w:val="superscript"/>
        </w:rPr>
        <w:t xml:space="preserve">er </w:t>
      </w:r>
      <w:r w:rsidRPr="00033AF1">
        <w:rPr>
          <w:rStyle w:val="A4"/>
          <w:sz w:val="18"/>
          <w:szCs w:val="18"/>
        </w:rPr>
        <w:t xml:space="preserve">financeur en France de la recherche thérapeutique sur la trisomie 21 ; consultation </w:t>
      </w:r>
      <w:r w:rsidR="00200A15">
        <w:rPr>
          <w:rStyle w:val="A4"/>
          <w:sz w:val="18"/>
          <w:szCs w:val="18"/>
        </w:rPr>
        <w:t>médicale spécialisée de 9</w:t>
      </w:r>
      <w:r w:rsidRPr="00033AF1">
        <w:rPr>
          <w:rStyle w:val="A4"/>
          <w:sz w:val="18"/>
          <w:szCs w:val="18"/>
        </w:rPr>
        <w:t xml:space="preserve"> 000 patients.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F3" w:rsidRDefault="00936BF3" w:rsidP="00936BF3">
    <w:pPr>
      <w:pStyle w:val="Header"/>
      <w:jc w:val="center"/>
    </w:pPr>
    <w:r>
      <w:rPr>
        <w:noProof/>
        <w:lang w:val="en-GB" w:eastAsia="en-GB"/>
      </w:rPr>
      <w:drawing>
        <wp:inline distT="0" distB="0" distL="0" distR="0" wp14:anchorId="5DA65698" wp14:editId="5154F144">
          <wp:extent cx="2070022" cy="494950"/>
          <wp:effectExtent l="19050" t="0" r="6428"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69841" cy="494907"/>
                  </a:xfrm>
                  <a:prstGeom prst="rect">
                    <a:avLst/>
                  </a:prstGeom>
                  <a:noFill/>
                  <a:ln w="9525">
                    <a:noFill/>
                    <a:miter lim="800000"/>
                    <a:headEnd/>
                    <a:tailEnd/>
                  </a:ln>
                </pic:spPr>
              </pic:pic>
            </a:graphicData>
          </a:graphic>
        </wp:inline>
      </w:drawing>
    </w:r>
  </w:p>
  <w:p w:rsidR="00C00A27" w:rsidRDefault="00C00A27" w:rsidP="00936B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B42"/>
    <w:multiLevelType w:val="hybridMultilevel"/>
    <w:tmpl w:val="863AF86C"/>
    <w:lvl w:ilvl="0" w:tplc="EFAC425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EF5B12"/>
    <w:multiLevelType w:val="hybridMultilevel"/>
    <w:tmpl w:val="5C3E0BB0"/>
    <w:lvl w:ilvl="0" w:tplc="4D4A7C4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9D7A95"/>
    <w:multiLevelType w:val="hybridMultilevel"/>
    <w:tmpl w:val="CF1E3930"/>
    <w:lvl w:ilvl="0" w:tplc="AC42056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81"/>
    <w:rsid w:val="00011653"/>
    <w:rsid w:val="00033AF1"/>
    <w:rsid w:val="000422DC"/>
    <w:rsid w:val="000906AD"/>
    <w:rsid w:val="000B39DC"/>
    <w:rsid w:val="001429F9"/>
    <w:rsid w:val="00187255"/>
    <w:rsid w:val="00200A15"/>
    <w:rsid w:val="00201CA0"/>
    <w:rsid w:val="002426F0"/>
    <w:rsid w:val="0026263A"/>
    <w:rsid w:val="00295977"/>
    <w:rsid w:val="002A7152"/>
    <w:rsid w:val="002D4FD6"/>
    <w:rsid w:val="00331F3C"/>
    <w:rsid w:val="003B7002"/>
    <w:rsid w:val="003C2A89"/>
    <w:rsid w:val="004133BE"/>
    <w:rsid w:val="00422C20"/>
    <w:rsid w:val="00492080"/>
    <w:rsid w:val="004952E2"/>
    <w:rsid w:val="004F66AD"/>
    <w:rsid w:val="00510246"/>
    <w:rsid w:val="005B2528"/>
    <w:rsid w:val="00620320"/>
    <w:rsid w:val="00624F8A"/>
    <w:rsid w:val="006F5B99"/>
    <w:rsid w:val="00760DD0"/>
    <w:rsid w:val="00780F0B"/>
    <w:rsid w:val="007976BA"/>
    <w:rsid w:val="007D70B2"/>
    <w:rsid w:val="00851B54"/>
    <w:rsid w:val="008531E1"/>
    <w:rsid w:val="008E0DF4"/>
    <w:rsid w:val="008F5CD6"/>
    <w:rsid w:val="00916D61"/>
    <w:rsid w:val="00936BF3"/>
    <w:rsid w:val="00953FFD"/>
    <w:rsid w:val="00973638"/>
    <w:rsid w:val="009F79F5"/>
    <w:rsid w:val="00A67A1C"/>
    <w:rsid w:val="00AA19B7"/>
    <w:rsid w:val="00B2092C"/>
    <w:rsid w:val="00B24B87"/>
    <w:rsid w:val="00BA53F5"/>
    <w:rsid w:val="00BC0F4D"/>
    <w:rsid w:val="00BD2EDF"/>
    <w:rsid w:val="00BE187B"/>
    <w:rsid w:val="00C00A27"/>
    <w:rsid w:val="00C90888"/>
    <w:rsid w:val="00CB01BE"/>
    <w:rsid w:val="00CB5C60"/>
    <w:rsid w:val="00CE2781"/>
    <w:rsid w:val="00D0599F"/>
    <w:rsid w:val="00D22A32"/>
    <w:rsid w:val="00D25575"/>
    <w:rsid w:val="00D941BE"/>
    <w:rsid w:val="00DC3ACF"/>
    <w:rsid w:val="00E252EA"/>
    <w:rsid w:val="00E52996"/>
    <w:rsid w:val="00E707B5"/>
    <w:rsid w:val="00E96E74"/>
    <w:rsid w:val="00F04C3C"/>
    <w:rsid w:val="00F06716"/>
    <w:rsid w:val="00F3055B"/>
    <w:rsid w:val="00F41384"/>
    <w:rsid w:val="00F64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A0C0A-05C2-463B-A68A-FC14C4FB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781"/>
    <w:pPr>
      <w:ind w:left="720"/>
      <w:contextualSpacing/>
    </w:pPr>
  </w:style>
  <w:style w:type="character" w:styleId="FootnoteReference">
    <w:name w:val="footnote reference"/>
    <w:basedOn w:val="DefaultParagraphFont"/>
    <w:uiPriority w:val="99"/>
    <w:unhideWhenUsed/>
    <w:rsid w:val="009F79F5"/>
    <w:rPr>
      <w:vertAlign w:val="superscript"/>
    </w:rPr>
  </w:style>
  <w:style w:type="paragraph" w:styleId="FootnoteText">
    <w:name w:val="footnote text"/>
    <w:basedOn w:val="Normal"/>
    <w:link w:val="FootnoteTextChar"/>
    <w:uiPriority w:val="99"/>
    <w:semiHidden/>
    <w:unhideWhenUsed/>
    <w:rsid w:val="00242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6F0"/>
    <w:rPr>
      <w:sz w:val="20"/>
      <w:szCs w:val="20"/>
    </w:rPr>
  </w:style>
  <w:style w:type="paragraph" w:customStyle="1" w:styleId="Default">
    <w:name w:val="Default"/>
    <w:rsid w:val="00033AF1"/>
    <w:pPr>
      <w:autoSpaceDE w:val="0"/>
      <w:autoSpaceDN w:val="0"/>
      <w:adjustRightInd w:val="0"/>
      <w:spacing w:after="0" w:line="240" w:lineRule="auto"/>
    </w:pPr>
    <w:rPr>
      <w:rFonts w:ascii="Minion Pro" w:hAnsi="Minion Pro" w:cs="Minion Pro"/>
      <w:color w:val="000000"/>
      <w:sz w:val="24"/>
      <w:szCs w:val="24"/>
    </w:rPr>
  </w:style>
  <w:style w:type="character" w:customStyle="1" w:styleId="A4">
    <w:name w:val="A4"/>
    <w:uiPriority w:val="99"/>
    <w:rsid w:val="00033AF1"/>
    <w:rPr>
      <w:rFonts w:cs="Minion Pro"/>
      <w:color w:val="000000"/>
      <w:sz w:val="14"/>
      <w:szCs w:val="14"/>
    </w:rPr>
  </w:style>
  <w:style w:type="paragraph" w:styleId="Header">
    <w:name w:val="header"/>
    <w:basedOn w:val="Normal"/>
    <w:link w:val="HeaderChar"/>
    <w:uiPriority w:val="99"/>
    <w:unhideWhenUsed/>
    <w:rsid w:val="00C908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0888"/>
  </w:style>
  <w:style w:type="paragraph" w:styleId="Footer">
    <w:name w:val="footer"/>
    <w:basedOn w:val="Normal"/>
    <w:link w:val="FooterChar"/>
    <w:uiPriority w:val="99"/>
    <w:unhideWhenUsed/>
    <w:rsid w:val="00C908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0888"/>
  </w:style>
  <w:style w:type="paragraph" w:styleId="BalloonText">
    <w:name w:val="Balloon Text"/>
    <w:basedOn w:val="Normal"/>
    <w:link w:val="BalloonTextChar"/>
    <w:uiPriority w:val="99"/>
    <w:semiHidden/>
    <w:unhideWhenUsed/>
    <w:rsid w:val="0097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4894EF-1FAB-45A5-8DE8-EA0CEFFC28A9}">
  <ds:schemaRefs>
    <ds:schemaRef ds:uri="http://schemas.openxmlformats.org/officeDocument/2006/bibliography"/>
  </ds:schemaRefs>
</ds:datastoreItem>
</file>

<file path=customXml/itemProps2.xml><?xml version="1.0" encoding="utf-8"?>
<ds:datastoreItem xmlns:ds="http://schemas.openxmlformats.org/officeDocument/2006/customXml" ds:itemID="{DCF123CE-9445-41BD-B1FB-8A4683E84A7F}"/>
</file>

<file path=customXml/itemProps3.xml><?xml version="1.0" encoding="utf-8"?>
<ds:datastoreItem xmlns:ds="http://schemas.openxmlformats.org/officeDocument/2006/customXml" ds:itemID="{3D9F949E-7E15-436C-A81D-10D5EDB68941}"/>
</file>

<file path=customXml/itemProps4.xml><?xml version="1.0" encoding="utf-8"?>
<ds:datastoreItem xmlns:ds="http://schemas.openxmlformats.org/officeDocument/2006/customXml" ds:itemID="{904531F9-2BD0-44A2-81AA-171C3918409F}"/>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Alphonse ISLE DE BEAUCHAINE</dc:creator>
  <cp:lastModifiedBy>Durnescu Lilian</cp:lastModifiedBy>
  <cp:revision>2</cp:revision>
  <cp:lastPrinted>2017-10-06T08:20:00Z</cp:lastPrinted>
  <dcterms:created xsi:type="dcterms:W3CDTF">2017-10-06T11:16:00Z</dcterms:created>
  <dcterms:modified xsi:type="dcterms:W3CDTF">2017-10-06T11:16:00Z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