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CB1" w:rsidRPr="00C46CB1" w:rsidRDefault="00C46CB1" w:rsidP="00AB57BB">
      <w:pPr>
        <w:pStyle w:val="Header"/>
        <w:spacing w:after="60"/>
        <w:rPr>
          <w:rFonts w:ascii="Arial" w:hAnsi="Arial" w:cs="Arial"/>
          <w:sz w:val="20"/>
          <w:szCs w:val="20"/>
          <w:lang w:val="en-US"/>
        </w:rPr>
      </w:pPr>
      <w:bookmarkStart w:id="0" w:name="_GoBack"/>
      <w:bookmarkEnd w:id="0"/>
      <w:r>
        <w:rPr>
          <w:rFonts w:ascii="Arial" w:hAnsi="Arial" w:cs="Arial"/>
          <w:sz w:val="24"/>
          <w:szCs w:val="24"/>
          <w:lang w:val="en-US"/>
        </w:rPr>
        <w:tab/>
      </w:r>
      <w:r>
        <w:rPr>
          <w:rFonts w:ascii="Arial" w:hAnsi="Arial" w:cs="Arial"/>
          <w:sz w:val="24"/>
          <w:szCs w:val="24"/>
          <w:lang w:val="en-US"/>
        </w:rPr>
        <w:tab/>
      </w:r>
      <w:r w:rsidRPr="00C46CB1">
        <w:rPr>
          <w:rFonts w:ascii="Arial" w:hAnsi="Arial" w:cs="Arial"/>
          <w:sz w:val="20"/>
          <w:szCs w:val="20"/>
          <w:lang w:val="en-US"/>
        </w:rPr>
        <w:t>6 October 2017</w:t>
      </w:r>
    </w:p>
    <w:p w:rsidR="00C46CB1" w:rsidRPr="00C46CB1" w:rsidRDefault="00C46CB1" w:rsidP="00C46CB1">
      <w:pPr>
        <w:pStyle w:val="Header"/>
        <w:spacing w:after="60" w:line="280" w:lineRule="exact"/>
        <w:rPr>
          <w:rFonts w:ascii="Arial" w:hAnsi="Arial" w:cs="Arial"/>
          <w:b/>
          <w:sz w:val="24"/>
          <w:szCs w:val="24"/>
          <w:lang w:val="en-US"/>
        </w:rPr>
      </w:pPr>
      <w:r w:rsidRPr="00C46CB1">
        <w:rPr>
          <w:rFonts w:ascii="Arial" w:hAnsi="Arial" w:cs="Arial"/>
          <w:b/>
          <w:sz w:val="24"/>
          <w:szCs w:val="24"/>
          <w:lang w:val="en-US"/>
        </w:rPr>
        <w:t>Submission</w:t>
      </w:r>
      <w:r w:rsidR="00AB57BB" w:rsidRPr="00C46CB1">
        <w:rPr>
          <w:rFonts w:ascii="Arial" w:hAnsi="Arial" w:cs="Arial"/>
          <w:b/>
          <w:sz w:val="24"/>
          <w:szCs w:val="24"/>
          <w:lang w:val="en-US"/>
        </w:rPr>
        <w:t xml:space="preserve"> from Germany on the</w:t>
      </w:r>
      <w:r>
        <w:rPr>
          <w:rFonts w:ascii="Arial" w:hAnsi="Arial" w:cs="Arial"/>
          <w:b/>
          <w:sz w:val="24"/>
          <w:szCs w:val="24"/>
          <w:lang w:val="en-US"/>
        </w:rPr>
        <w:t xml:space="preserve"> d</w:t>
      </w:r>
      <w:r w:rsidRPr="00C46CB1">
        <w:rPr>
          <w:rFonts w:ascii="Arial" w:hAnsi="Arial" w:cs="Arial"/>
          <w:b/>
          <w:sz w:val="24"/>
          <w:szCs w:val="24"/>
          <w:lang w:val="en-US"/>
        </w:rPr>
        <w:t xml:space="preserve">raft General Comment on </w:t>
      </w:r>
    </w:p>
    <w:p w:rsidR="00AB57BB" w:rsidRPr="00C46CB1" w:rsidRDefault="00C46CB1" w:rsidP="00C46CB1">
      <w:pPr>
        <w:pStyle w:val="Header"/>
        <w:spacing w:after="60" w:line="280" w:lineRule="exact"/>
        <w:rPr>
          <w:rFonts w:ascii="Arial" w:hAnsi="Arial" w:cs="Arial"/>
          <w:b/>
          <w:sz w:val="24"/>
          <w:szCs w:val="24"/>
          <w:lang w:val="en-US"/>
        </w:rPr>
      </w:pPr>
      <w:r w:rsidRPr="00C46CB1">
        <w:rPr>
          <w:rFonts w:ascii="Arial" w:hAnsi="Arial" w:cs="Arial"/>
          <w:b/>
          <w:sz w:val="24"/>
          <w:szCs w:val="24"/>
          <w:lang w:val="en-US"/>
        </w:rPr>
        <w:t>Article 6 of the International Convenant on Civil and Political Rights –</w:t>
      </w:r>
      <w:r>
        <w:rPr>
          <w:rFonts w:ascii="Arial" w:hAnsi="Arial" w:cs="Arial"/>
          <w:b/>
          <w:sz w:val="24"/>
          <w:szCs w:val="24"/>
          <w:lang w:val="en-US"/>
        </w:rPr>
        <w:t xml:space="preserve"> Right to l</w:t>
      </w:r>
      <w:r w:rsidR="00AB57BB" w:rsidRPr="00C46CB1">
        <w:rPr>
          <w:rFonts w:ascii="Arial" w:hAnsi="Arial" w:cs="Arial"/>
          <w:b/>
          <w:sz w:val="24"/>
          <w:szCs w:val="24"/>
          <w:lang w:val="en-US"/>
        </w:rPr>
        <w:t>ife</w:t>
      </w:r>
    </w:p>
    <w:p w:rsidR="00AB57BB" w:rsidRDefault="00AB57BB" w:rsidP="00AB57BB">
      <w:pPr>
        <w:spacing w:after="120"/>
        <w:jc w:val="both"/>
        <w:rPr>
          <w:rFonts w:cs="Arial"/>
          <w:lang w:val="en-US"/>
        </w:rPr>
      </w:pPr>
    </w:p>
    <w:p w:rsidR="00381FD4" w:rsidRPr="00381FD4" w:rsidRDefault="00381FD4" w:rsidP="00381FD4">
      <w:pPr>
        <w:pStyle w:val="BMJStandard15Zeilen"/>
        <w:numPr>
          <w:ilvl w:val="0"/>
          <w:numId w:val="1"/>
        </w:numPr>
        <w:tabs>
          <w:tab w:val="clear" w:pos="1701"/>
          <w:tab w:val="clear" w:pos="1800"/>
          <w:tab w:val="num" w:pos="0"/>
        </w:tabs>
        <w:spacing w:after="240"/>
        <w:ind w:left="0" w:hanging="284"/>
        <w:jc w:val="both"/>
        <w:rPr>
          <w:rFonts w:cs="Arial"/>
          <w:szCs w:val="22"/>
          <w:lang w:val="en-GB"/>
        </w:rPr>
      </w:pPr>
      <w:r w:rsidRPr="00381FD4">
        <w:rPr>
          <w:rFonts w:cs="Arial"/>
          <w:szCs w:val="22"/>
          <w:lang w:val="en-GB"/>
        </w:rPr>
        <w:t>The Federal Government would like to thank the Human Rights Committee for its draft general comment No. 36 on the right to life. The Federal Government welcomes the opportunity to provide comments on the draft and looks forward to a fruitful discussion on this important issue.</w:t>
      </w:r>
    </w:p>
    <w:p w:rsidR="00381FD4" w:rsidRDefault="00381FD4" w:rsidP="00381FD4">
      <w:pPr>
        <w:pStyle w:val="BMJStandard15Zeilen"/>
        <w:numPr>
          <w:ilvl w:val="0"/>
          <w:numId w:val="1"/>
        </w:numPr>
        <w:tabs>
          <w:tab w:val="clear" w:pos="1701"/>
          <w:tab w:val="clear" w:pos="1800"/>
          <w:tab w:val="num" w:pos="0"/>
        </w:tabs>
        <w:spacing w:after="240"/>
        <w:ind w:left="0" w:hanging="284"/>
        <w:jc w:val="both"/>
        <w:rPr>
          <w:rFonts w:cs="Arial"/>
          <w:szCs w:val="22"/>
          <w:lang w:val="en-GB"/>
        </w:rPr>
      </w:pPr>
      <w:r w:rsidRPr="00381FD4">
        <w:rPr>
          <w:rFonts w:cs="Arial"/>
          <w:szCs w:val="22"/>
          <w:lang w:val="en-GB"/>
        </w:rPr>
        <w:t>The Federal Government would first of all like to take the statements under marginal no. 10 of the Draft general comment No. 36 as an occasion to present to the Human Rights Committee aspects of the legal situation on assisted suicide in Germany. In addition, the Federal Government offers some comments on other parts of the draft.</w:t>
      </w:r>
    </w:p>
    <w:p w:rsidR="00381FD4" w:rsidRDefault="00381FD4" w:rsidP="00381FD4">
      <w:pPr>
        <w:pStyle w:val="BMJStandard15Zeilen"/>
        <w:tabs>
          <w:tab w:val="clear" w:pos="1701"/>
        </w:tabs>
        <w:spacing w:after="240"/>
        <w:jc w:val="both"/>
        <w:rPr>
          <w:rFonts w:cs="Arial"/>
          <w:b/>
          <w:szCs w:val="22"/>
          <w:u w:val="single"/>
          <w:lang w:val="en-GB"/>
        </w:rPr>
      </w:pPr>
    </w:p>
    <w:p w:rsidR="00381FD4" w:rsidRDefault="00381FD4" w:rsidP="00381FD4">
      <w:pPr>
        <w:pStyle w:val="BMJStandard15Zeilen"/>
        <w:tabs>
          <w:tab w:val="clear" w:pos="1701"/>
        </w:tabs>
        <w:spacing w:after="240"/>
        <w:jc w:val="both"/>
        <w:rPr>
          <w:rFonts w:cs="Arial"/>
          <w:b/>
          <w:szCs w:val="22"/>
          <w:u w:val="single"/>
          <w:lang w:val="en-GB"/>
        </w:rPr>
      </w:pPr>
      <w:r w:rsidRPr="00381FD4">
        <w:rPr>
          <w:rFonts w:cs="Arial"/>
          <w:b/>
          <w:szCs w:val="22"/>
          <w:u w:val="single"/>
          <w:lang w:val="en-GB"/>
        </w:rPr>
        <w:t>No. 10 of the Draft General Comment</w:t>
      </w:r>
    </w:p>
    <w:p w:rsidR="00381FD4" w:rsidRPr="00381FD4" w:rsidRDefault="00381FD4" w:rsidP="00381FD4">
      <w:pPr>
        <w:pStyle w:val="BMJStandard15Zeilen"/>
        <w:tabs>
          <w:tab w:val="clear" w:pos="1701"/>
        </w:tabs>
        <w:spacing w:after="240"/>
        <w:jc w:val="both"/>
        <w:rPr>
          <w:rFonts w:cs="Arial"/>
          <w:b/>
          <w:szCs w:val="22"/>
          <w:u w:val="single"/>
          <w:lang w:val="en-GB"/>
        </w:rPr>
      </w:pPr>
    </w:p>
    <w:p w:rsidR="0083158C" w:rsidRPr="00BC777B" w:rsidRDefault="0083158C" w:rsidP="000655FA">
      <w:pPr>
        <w:pStyle w:val="BMJStandard15Zeilen"/>
        <w:numPr>
          <w:ilvl w:val="0"/>
          <w:numId w:val="1"/>
        </w:numPr>
        <w:tabs>
          <w:tab w:val="left" w:pos="0"/>
        </w:tabs>
        <w:spacing w:after="240"/>
        <w:ind w:left="0" w:hanging="426"/>
        <w:jc w:val="both"/>
        <w:rPr>
          <w:rFonts w:cs="Arial"/>
          <w:szCs w:val="22"/>
          <w:lang w:val="en-GB"/>
        </w:rPr>
      </w:pPr>
      <w:r w:rsidRPr="00BC777B">
        <w:rPr>
          <w:rFonts w:cs="Arial"/>
          <w:szCs w:val="22"/>
          <w:lang w:val="en-GB"/>
        </w:rPr>
        <w:t xml:space="preserve">In </w:t>
      </w:r>
      <w:r w:rsidR="001432F5" w:rsidRPr="00BC777B">
        <w:rPr>
          <w:rFonts w:cs="Arial"/>
          <w:szCs w:val="22"/>
          <w:lang w:val="en-GB"/>
        </w:rPr>
        <w:t>Germany</w:t>
      </w:r>
      <w:r w:rsidRPr="00BC777B">
        <w:rPr>
          <w:rFonts w:cs="Arial"/>
          <w:szCs w:val="22"/>
          <w:lang w:val="en-GB"/>
        </w:rPr>
        <w:t xml:space="preserve"> – </w:t>
      </w:r>
      <w:r w:rsidR="001432F5" w:rsidRPr="00BC777B">
        <w:rPr>
          <w:rFonts w:cs="Arial"/>
          <w:szCs w:val="22"/>
          <w:lang w:val="en-GB"/>
        </w:rPr>
        <w:t>as in other states</w:t>
      </w:r>
      <w:r w:rsidRPr="00BC777B">
        <w:rPr>
          <w:rFonts w:cs="Arial"/>
          <w:szCs w:val="22"/>
          <w:lang w:val="en-GB"/>
        </w:rPr>
        <w:t xml:space="preserve"> </w:t>
      </w:r>
      <w:r w:rsidRPr="00BC777B">
        <w:rPr>
          <w:rFonts w:eastAsiaTheme="minorHAnsi" w:cs="Arial"/>
          <w:szCs w:val="22"/>
          <w:lang w:val="en-GB"/>
        </w:rPr>
        <w:t>–</w:t>
      </w:r>
      <w:r w:rsidR="00391537">
        <w:rPr>
          <w:rFonts w:eastAsiaTheme="minorHAnsi" w:cs="Arial"/>
          <w:szCs w:val="22"/>
          <w:lang w:val="en-GB"/>
        </w:rPr>
        <w:t xml:space="preserve"> </w:t>
      </w:r>
      <w:r w:rsidR="00FD2A7A" w:rsidRPr="00BC777B">
        <w:rPr>
          <w:rFonts w:eastAsiaTheme="minorHAnsi" w:cs="Arial"/>
          <w:szCs w:val="22"/>
          <w:lang w:val="en-GB"/>
        </w:rPr>
        <w:t xml:space="preserve">the appropriate limits and conditions of </w:t>
      </w:r>
      <w:r w:rsidR="008A3704" w:rsidRPr="00BC777B">
        <w:rPr>
          <w:rFonts w:eastAsiaTheme="minorHAnsi" w:cs="Arial"/>
          <w:szCs w:val="22"/>
          <w:lang w:val="en-GB"/>
        </w:rPr>
        <w:t>assisted suicide</w:t>
      </w:r>
      <w:r w:rsidR="00FD2A7A" w:rsidRPr="00BC777B">
        <w:rPr>
          <w:rFonts w:eastAsiaTheme="minorHAnsi" w:cs="Arial"/>
          <w:szCs w:val="22"/>
          <w:lang w:val="en-GB"/>
        </w:rPr>
        <w:t xml:space="preserve"> have been </w:t>
      </w:r>
      <w:r w:rsidR="000E6518">
        <w:rPr>
          <w:rFonts w:eastAsiaTheme="minorHAnsi" w:cs="Arial"/>
          <w:szCs w:val="22"/>
          <w:lang w:val="en-GB"/>
        </w:rPr>
        <w:t xml:space="preserve">thoroughly </w:t>
      </w:r>
      <w:r w:rsidR="002114AB">
        <w:rPr>
          <w:rFonts w:eastAsiaTheme="minorHAnsi" w:cs="Arial"/>
          <w:szCs w:val="22"/>
          <w:lang w:val="en-GB"/>
        </w:rPr>
        <w:t xml:space="preserve">discussed </w:t>
      </w:r>
      <w:r w:rsidR="00FD2A7A" w:rsidRPr="00BC777B">
        <w:rPr>
          <w:rFonts w:eastAsiaTheme="minorHAnsi" w:cs="Arial"/>
          <w:szCs w:val="22"/>
          <w:lang w:val="en-GB"/>
        </w:rPr>
        <w:t>for years</w:t>
      </w:r>
      <w:r w:rsidRPr="00BC777B">
        <w:rPr>
          <w:rFonts w:eastAsiaTheme="minorHAnsi" w:cs="Arial"/>
          <w:szCs w:val="22"/>
          <w:lang w:val="en-GB"/>
        </w:rPr>
        <w:t>.</w:t>
      </w:r>
      <w:r w:rsidR="00E414B7" w:rsidRPr="00BC777B">
        <w:rPr>
          <w:rFonts w:eastAsiaTheme="minorHAnsi" w:cs="Arial"/>
          <w:szCs w:val="22"/>
          <w:lang w:val="en-GB"/>
        </w:rPr>
        <w:t xml:space="preserve"> </w:t>
      </w:r>
      <w:r w:rsidR="00FD2A7A" w:rsidRPr="00BC777B">
        <w:rPr>
          <w:rFonts w:eastAsiaTheme="minorHAnsi" w:cs="Arial"/>
          <w:szCs w:val="22"/>
          <w:lang w:val="en-GB"/>
        </w:rPr>
        <w:t xml:space="preserve">States </w:t>
      </w:r>
      <w:r w:rsidR="008A3704" w:rsidRPr="00BC777B">
        <w:rPr>
          <w:rFonts w:eastAsiaTheme="minorHAnsi" w:cs="Arial"/>
          <w:szCs w:val="22"/>
          <w:lang w:val="en-GB"/>
        </w:rPr>
        <w:t>parties</w:t>
      </w:r>
      <w:r w:rsidR="00391537">
        <w:rPr>
          <w:rFonts w:eastAsiaTheme="minorHAnsi" w:cs="Arial"/>
          <w:szCs w:val="22"/>
          <w:lang w:val="en-GB"/>
        </w:rPr>
        <w:t xml:space="preserve"> </w:t>
      </w:r>
      <w:r w:rsidR="000655FA">
        <w:rPr>
          <w:rFonts w:eastAsiaTheme="minorHAnsi" w:cs="Arial"/>
          <w:szCs w:val="22"/>
          <w:lang w:val="en-GB"/>
        </w:rPr>
        <w:t xml:space="preserve">to </w:t>
      </w:r>
      <w:r w:rsidR="00391537">
        <w:rPr>
          <w:rFonts w:eastAsiaTheme="minorHAnsi" w:cs="Arial"/>
          <w:szCs w:val="22"/>
          <w:lang w:val="en-GB"/>
        </w:rPr>
        <w:t>human rights treaties enjoy</w:t>
      </w:r>
      <w:r w:rsidR="00FD2A7A" w:rsidRPr="00BC777B">
        <w:rPr>
          <w:rFonts w:eastAsiaTheme="minorHAnsi" w:cs="Arial"/>
          <w:szCs w:val="22"/>
          <w:lang w:val="en-GB"/>
        </w:rPr>
        <w:t xml:space="preserve"> </w:t>
      </w:r>
      <w:r w:rsidR="008A3704" w:rsidRPr="00BC777B">
        <w:rPr>
          <w:rFonts w:eastAsiaTheme="minorHAnsi" w:cs="Arial"/>
          <w:szCs w:val="22"/>
          <w:lang w:val="en-GB"/>
        </w:rPr>
        <w:t xml:space="preserve">a </w:t>
      </w:r>
      <w:r w:rsidR="00FD2A7A" w:rsidRPr="00BC777B">
        <w:rPr>
          <w:rFonts w:eastAsiaTheme="minorHAnsi" w:cs="Arial"/>
          <w:szCs w:val="22"/>
          <w:lang w:val="en-GB"/>
        </w:rPr>
        <w:t xml:space="preserve">wide </w:t>
      </w:r>
      <w:r w:rsidR="008A3704" w:rsidRPr="00BC777B">
        <w:rPr>
          <w:rFonts w:eastAsiaTheme="minorHAnsi" w:cs="Arial"/>
          <w:szCs w:val="22"/>
          <w:lang w:val="en-GB"/>
        </w:rPr>
        <w:t>margin of appreciation in drawing up regulatory concepts in this matter</w:t>
      </w:r>
      <w:r w:rsidRPr="00BC777B">
        <w:rPr>
          <w:rFonts w:eastAsiaTheme="minorHAnsi" w:cs="Arial"/>
          <w:szCs w:val="22"/>
          <w:lang w:val="en-GB"/>
        </w:rPr>
        <w:t xml:space="preserve">. </w:t>
      </w:r>
      <w:r w:rsidR="00FD2A7A" w:rsidRPr="00BC777B">
        <w:rPr>
          <w:rFonts w:eastAsiaTheme="minorHAnsi" w:cs="Arial"/>
          <w:szCs w:val="22"/>
          <w:lang w:val="en-GB"/>
        </w:rPr>
        <w:t>The European Court of Human Rights, for example, decided that even a</w:t>
      </w:r>
      <w:r w:rsidR="008A3704" w:rsidRPr="00BC777B">
        <w:rPr>
          <w:rFonts w:eastAsiaTheme="minorHAnsi" w:cs="Arial"/>
          <w:szCs w:val="22"/>
          <w:lang w:val="en-GB"/>
        </w:rPr>
        <w:t xml:space="preserve"> general</w:t>
      </w:r>
      <w:r w:rsidR="00FD2A7A" w:rsidRPr="00BC777B">
        <w:rPr>
          <w:rFonts w:eastAsiaTheme="minorHAnsi" w:cs="Arial"/>
          <w:szCs w:val="22"/>
          <w:lang w:val="en-GB"/>
        </w:rPr>
        <w:t xml:space="preserve"> prohibition of assisted s</w:t>
      </w:r>
      <w:r w:rsidRPr="00BC777B">
        <w:rPr>
          <w:rFonts w:eastAsiaTheme="minorHAnsi" w:cs="Arial"/>
          <w:szCs w:val="22"/>
          <w:lang w:val="en-GB"/>
        </w:rPr>
        <w:t>ui</w:t>
      </w:r>
      <w:r w:rsidR="00FD2A7A" w:rsidRPr="00BC777B">
        <w:rPr>
          <w:rFonts w:eastAsiaTheme="minorHAnsi" w:cs="Arial"/>
          <w:szCs w:val="22"/>
          <w:lang w:val="en-GB"/>
        </w:rPr>
        <w:t>c</w:t>
      </w:r>
      <w:r w:rsidRPr="00BC777B">
        <w:rPr>
          <w:rFonts w:eastAsiaTheme="minorHAnsi" w:cs="Arial"/>
          <w:szCs w:val="22"/>
          <w:lang w:val="en-GB"/>
        </w:rPr>
        <w:t>id</w:t>
      </w:r>
      <w:r w:rsidR="00FD2A7A" w:rsidRPr="00BC777B">
        <w:rPr>
          <w:rFonts w:eastAsiaTheme="minorHAnsi" w:cs="Arial"/>
          <w:szCs w:val="22"/>
          <w:lang w:val="en-GB"/>
        </w:rPr>
        <w:t>e</w:t>
      </w:r>
      <w:r w:rsidRPr="00BC777B">
        <w:rPr>
          <w:rFonts w:eastAsiaTheme="minorHAnsi" w:cs="Arial"/>
          <w:szCs w:val="22"/>
          <w:lang w:val="en-GB"/>
        </w:rPr>
        <w:t xml:space="preserve"> </w:t>
      </w:r>
      <w:r w:rsidR="00494740" w:rsidRPr="00BC777B">
        <w:rPr>
          <w:rFonts w:eastAsiaTheme="minorHAnsi" w:cs="Arial"/>
          <w:szCs w:val="22"/>
          <w:lang w:val="en-GB"/>
        </w:rPr>
        <w:t>in Gr</w:t>
      </w:r>
      <w:r w:rsidR="00FD2A7A" w:rsidRPr="00BC777B">
        <w:rPr>
          <w:rFonts w:eastAsiaTheme="minorHAnsi" w:cs="Arial"/>
          <w:szCs w:val="22"/>
          <w:lang w:val="en-GB"/>
        </w:rPr>
        <w:t>eat B</w:t>
      </w:r>
      <w:r w:rsidR="00494740" w:rsidRPr="00BC777B">
        <w:rPr>
          <w:rFonts w:eastAsiaTheme="minorHAnsi" w:cs="Arial"/>
          <w:szCs w:val="22"/>
          <w:lang w:val="en-GB"/>
        </w:rPr>
        <w:t>rita</w:t>
      </w:r>
      <w:r w:rsidR="00FD2A7A" w:rsidRPr="00BC777B">
        <w:rPr>
          <w:rFonts w:eastAsiaTheme="minorHAnsi" w:cs="Arial"/>
          <w:szCs w:val="22"/>
          <w:lang w:val="en-GB"/>
        </w:rPr>
        <w:t>i</w:t>
      </w:r>
      <w:r w:rsidR="00494740" w:rsidRPr="00BC777B">
        <w:rPr>
          <w:rFonts w:eastAsiaTheme="minorHAnsi" w:cs="Arial"/>
          <w:szCs w:val="22"/>
          <w:lang w:val="en-GB"/>
        </w:rPr>
        <w:t>n</w:t>
      </w:r>
      <w:r w:rsidR="00FD2A7A" w:rsidRPr="00BC777B">
        <w:rPr>
          <w:rFonts w:eastAsiaTheme="minorHAnsi" w:cs="Arial"/>
          <w:szCs w:val="22"/>
          <w:lang w:val="en-GB"/>
        </w:rPr>
        <w:t xml:space="preserve"> remains within such a </w:t>
      </w:r>
      <w:r w:rsidR="008A3704" w:rsidRPr="00BC777B">
        <w:rPr>
          <w:rFonts w:eastAsiaTheme="minorHAnsi" w:cs="Arial"/>
          <w:szCs w:val="22"/>
          <w:lang w:val="en-GB"/>
        </w:rPr>
        <w:t>margin of appreciation</w:t>
      </w:r>
      <w:r w:rsidR="00494740" w:rsidRPr="00BC777B">
        <w:rPr>
          <w:rFonts w:eastAsiaTheme="minorHAnsi" w:cs="Arial"/>
          <w:szCs w:val="22"/>
          <w:lang w:val="en-GB"/>
        </w:rPr>
        <w:t xml:space="preserve">. </w:t>
      </w:r>
    </w:p>
    <w:p w:rsidR="00F727CF" w:rsidRDefault="003A5D8C" w:rsidP="00F727CF">
      <w:pPr>
        <w:pStyle w:val="BMJStandard15Zeilen"/>
        <w:numPr>
          <w:ilvl w:val="0"/>
          <w:numId w:val="1"/>
        </w:numPr>
        <w:tabs>
          <w:tab w:val="left" w:pos="0"/>
        </w:tabs>
        <w:spacing w:after="240"/>
        <w:ind w:left="0" w:hanging="426"/>
        <w:jc w:val="both"/>
        <w:rPr>
          <w:rFonts w:cs="Arial"/>
          <w:szCs w:val="22"/>
          <w:lang w:val="en-GB"/>
        </w:rPr>
      </w:pPr>
      <w:r w:rsidRPr="00BC777B">
        <w:rPr>
          <w:rFonts w:cs="Arial"/>
          <w:szCs w:val="22"/>
          <w:lang w:val="en-GB"/>
        </w:rPr>
        <w:t>Th</w:t>
      </w:r>
      <w:r w:rsidR="00F727CF">
        <w:rPr>
          <w:rFonts w:cs="Arial"/>
          <w:szCs w:val="22"/>
          <w:lang w:val="en-GB"/>
        </w:rPr>
        <w:t>e</w:t>
      </w:r>
      <w:r w:rsidRPr="00BC777B">
        <w:rPr>
          <w:rFonts w:cs="Arial"/>
          <w:szCs w:val="22"/>
          <w:lang w:val="en-GB"/>
        </w:rPr>
        <w:t xml:space="preserve"> </w:t>
      </w:r>
      <w:r w:rsidR="00F727CF">
        <w:rPr>
          <w:rFonts w:cs="Arial"/>
          <w:szCs w:val="22"/>
          <w:lang w:val="en-GB"/>
        </w:rPr>
        <w:t xml:space="preserve">German </w:t>
      </w:r>
      <w:r w:rsidRPr="00BC777B">
        <w:rPr>
          <w:rFonts w:cs="Arial"/>
          <w:szCs w:val="22"/>
          <w:lang w:val="en-GB"/>
        </w:rPr>
        <w:t xml:space="preserve">legal </w:t>
      </w:r>
      <w:r w:rsidR="008A3704" w:rsidRPr="00BC777B">
        <w:rPr>
          <w:rFonts w:cs="Arial"/>
          <w:szCs w:val="22"/>
          <w:lang w:val="en-GB"/>
        </w:rPr>
        <w:t>situation</w:t>
      </w:r>
      <w:r w:rsidRPr="00BC777B">
        <w:rPr>
          <w:rFonts w:cs="Arial"/>
          <w:szCs w:val="22"/>
          <w:lang w:val="en-GB"/>
        </w:rPr>
        <w:t xml:space="preserve"> is the result of an intensive, long and detailed</w:t>
      </w:r>
      <w:r w:rsidR="00494740" w:rsidRPr="00BC777B">
        <w:rPr>
          <w:rFonts w:cs="Arial"/>
          <w:szCs w:val="22"/>
          <w:lang w:val="en-GB"/>
        </w:rPr>
        <w:t xml:space="preserve"> </w:t>
      </w:r>
      <w:r w:rsidRPr="00BC777B">
        <w:rPr>
          <w:rFonts w:cs="Arial"/>
          <w:szCs w:val="22"/>
          <w:lang w:val="en-GB"/>
        </w:rPr>
        <w:t>social and political d</w:t>
      </w:r>
      <w:r w:rsidR="000655FA">
        <w:rPr>
          <w:rFonts w:cs="Arial"/>
          <w:szCs w:val="22"/>
          <w:lang w:val="en-GB"/>
        </w:rPr>
        <w:t>iscussion</w:t>
      </w:r>
      <w:r w:rsidR="008A3704" w:rsidRPr="00BC777B">
        <w:rPr>
          <w:rFonts w:cs="Arial"/>
          <w:szCs w:val="22"/>
          <w:lang w:val="en-GB"/>
        </w:rPr>
        <w:t>,</w:t>
      </w:r>
      <w:r w:rsidRPr="00BC777B">
        <w:rPr>
          <w:rFonts w:cs="Arial"/>
          <w:szCs w:val="22"/>
          <w:lang w:val="en-GB"/>
        </w:rPr>
        <w:t xml:space="preserve"> conducted without any preconceived ideas as to its outcome</w:t>
      </w:r>
      <w:r w:rsidR="008C1880">
        <w:rPr>
          <w:rFonts w:cs="Arial"/>
          <w:szCs w:val="22"/>
          <w:lang w:val="en-GB"/>
        </w:rPr>
        <w:t xml:space="preserve">. Human rights treaties did not prescribe one specific outcome of this debate, but </w:t>
      </w:r>
      <w:r w:rsidR="008A3704" w:rsidRPr="00BC777B">
        <w:rPr>
          <w:rFonts w:cs="Arial"/>
          <w:szCs w:val="22"/>
          <w:lang w:val="en-GB"/>
        </w:rPr>
        <w:t xml:space="preserve">there were </w:t>
      </w:r>
      <w:r w:rsidRPr="00BC777B">
        <w:rPr>
          <w:rFonts w:cs="Arial"/>
          <w:szCs w:val="22"/>
          <w:lang w:val="en-GB"/>
        </w:rPr>
        <w:t>many conceivable solutions</w:t>
      </w:r>
      <w:r w:rsidR="008C1880">
        <w:rPr>
          <w:rFonts w:cs="Arial"/>
          <w:szCs w:val="22"/>
          <w:lang w:val="en-GB"/>
        </w:rPr>
        <w:t xml:space="preserve"> that would have respected human rights</w:t>
      </w:r>
      <w:r w:rsidR="00655498" w:rsidRPr="00BC777B">
        <w:rPr>
          <w:rFonts w:cs="Arial"/>
          <w:szCs w:val="22"/>
          <w:lang w:val="en-GB"/>
        </w:rPr>
        <w:t>.</w:t>
      </w:r>
      <w:r w:rsidR="00494740" w:rsidRPr="00BC777B">
        <w:rPr>
          <w:rFonts w:cs="Arial"/>
          <w:szCs w:val="22"/>
          <w:lang w:val="en-GB"/>
        </w:rPr>
        <w:t xml:space="preserve"> </w:t>
      </w:r>
    </w:p>
    <w:p w:rsidR="00494740" w:rsidRPr="00F727CF" w:rsidRDefault="00F727CF" w:rsidP="00F727CF">
      <w:pPr>
        <w:pStyle w:val="BMJStandard15Zeilen"/>
        <w:numPr>
          <w:ilvl w:val="0"/>
          <w:numId w:val="1"/>
        </w:numPr>
        <w:tabs>
          <w:tab w:val="left" w:pos="0"/>
        </w:tabs>
        <w:spacing w:after="240"/>
        <w:ind w:left="0" w:hanging="426"/>
        <w:jc w:val="both"/>
        <w:rPr>
          <w:rFonts w:cs="Arial"/>
          <w:szCs w:val="22"/>
          <w:lang w:val="en-GB"/>
        </w:rPr>
      </w:pPr>
      <w:r>
        <w:rPr>
          <w:rFonts w:eastAsiaTheme="minorHAnsi" w:cs="Arial"/>
          <w:szCs w:val="22"/>
          <w:lang w:val="en-GB"/>
        </w:rPr>
        <w:t>The</w:t>
      </w:r>
      <w:r w:rsidRPr="00BC777B">
        <w:rPr>
          <w:rFonts w:eastAsiaTheme="minorHAnsi" w:cs="Arial"/>
          <w:szCs w:val="22"/>
          <w:lang w:val="en-GB"/>
        </w:rPr>
        <w:t xml:space="preserve"> Federal Government</w:t>
      </w:r>
      <w:r>
        <w:rPr>
          <w:rFonts w:eastAsiaTheme="minorHAnsi" w:cs="Arial"/>
          <w:szCs w:val="22"/>
          <w:lang w:val="en-GB"/>
        </w:rPr>
        <w:t xml:space="preserve"> submits that </w:t>
      </w:r>
      <w:r w:rsidRPr="00BC777B">
        <w:rPr>
          <w:rFonts w:eastAsiaTheme="minorHAnsi" w:cs="Arial"/>
          <w:szCs w:val="22"/>
          <w:lang w:val="en-GB"/>
        </w:rPr>
        <w:t xml:space="preserve">it </w:t>
      </w:r>
      <w:r>
        <w:rPr>
          <w:rFonts w:eastAsiaTheme="minorHAnsi" w:cs="Arial"/>
          <w:szCs w:val="22"/>
          <w:lang w:val="en-GB"/>
        </w:rPr>
        <w:t>would</w:t>
      </w:r>
      <w:r w:rsidRPr="00BC777B">
        <w:rPr>
          <w:rFonts w:eastAsiaTheme="minorHAnsi" w:cs="Arial"/>
          <w:szCs w:val="22"/>
          <w:lang w:val="en-GB"/>
        </w:rPr>
        <w:t xml:space="preserve"> therefore not </w:t>
      </w:r>
      <w:r>
        <w:rPr>
          <w:rFonts w:eastAsiaTheme="minorHAnsi" w:cs="Arial"/>
          <w:szCs w:val="22"/>
          <w:lang w:val="en-GB"/>
        </w:rPr>
        <w:t xml:space="preserve">be </w:t>
      </w:r>
      <w:r w:rsidRPr="00BC777B">
        <w:rPr>
          <w:rFonts w:eastAsiaTheme="minorHAnsi" w:cs="Arial"/>
          <w:szCs w:val="22"/>
          <w:lang w:val="en-GB"/>
        </w:rPr>
        <w:t xml:space="preserve">appropriate for the Human Rights Committee or other international bodies </w:t>
      </w:r>
      <w:r w:rsidRPr="009F3442">
        <w:rPr>
          <w:rFonts w:eastAsiaTheme="minorHAnsi" w:cs="Arial"/>
          <w:szCs w:val="22"/>
          <w:lang w:val="en-GB"/>
        </w:rPr>
        <w:t>to</w:t>
      </w:r>
      <w:r>
        <w:rPr>
          <w:rFonts w:eastAsiaTheme="minorHAnsi" w:cs="Arial"/>
          <w:szCs w:val="22"/>
          <w:lang w:val="en-GB"/>
        </w:rPr>
        <w:t xml:space="preserve"> direct </w:t>
      </w:r>
      <w:r w:rsidRPr="00BC777B">
        <w:rPr>
          <w:rFonts w:eastAsiaTheme="minorHAnsi" w:cs="Arial"/>
          <w:szCs w:val="22"/>
          <w:lang w:val="en-GB"/>
        </w:rPr>
        <w:t xml:space="preserve">States parties as to whether and </w:t>
      </w:r>
      <w:r>
        <w:rPr>
          <w:rFonts w:eastAsiaTheme="minorHAnsi" w:cs="Arial"/>
          <w:szCs w:val="22"/>
          <w:lang w:val="en-GB"/>
        </w:rPr>
        <w:t>under which conditions</w:t>
      </w:r>
      <w:r w:rsidRPr="00BC777B">
        <w:rPr>
          <w:rFonts w:eastAsiaTheme="minorHAnsi" w:cs="Arial"/>
          <w:szCs w:val="22"/>
          <w:lang w:val="en-GB"/>
        </w:rPr>
        <w:t xml:space="preserve"> States parties </w:t>
      </w:r>
      <w:r>
        <w:rPr>
          <w:rFonts w:eastAsiaTheme="minorHAnsi" w:cs="Arial"/>
          <w:szCs w:val="22"/>
          <w:lang w:val="en-GB"/>
        </w:rPr>
        <w:t xml:space="preserve">should </w:t>
      </w:r>
      <w:r w:rsidRPr="00BC777B">
        <w:rPr>
          <w:rFonts w:eastAsiaTheme="minorHAnsi" w:cs="Arial"/>
          <w:szCs w:val="22"/>
          <w:lang w:val="en-GB"/>
        </w:rPr>
        <w:t>allow or not prohibit assisted suicide (for example, physician-assisted suicide)</w:t>
      </w:r>
      <w:r>
        <w:rPr>
          <w:rFonts w:eastAsiaTheme="minorHAnsi" w:cs="Arial"/>
          <w:szCs w:val="22"/>
          <w:lang w:val="en-GB"/>
        </w:rPr>
        <w:t xml:space="preserve">, based on </w:t>
      </w:r>
      <w:r w:rsidRPr="00BC777B">
        <w:rPr>
          <w:rFonts w:eastAsiaTheme="minorHAnsi" w:cs="Arial"/>
          <w:szCs w:val="22"/>
          <w:lang w:val="en-GB"/>
        </w:rPr>
        <w:t>the right to life.</w:t>
      </w:r>
    </w:p>
    <w:p w:rsidR="00B60907" w:rsidRPr="00BC777B" w:rsidRDefault="003A5D8C" w:rsidP="000655FA">
      <w:pPr>
        <w:pStyle w:val="BMJStandard15Zeilen"/>
        <w:numPr>
          <w:ilvl w:val="0"/>
          <w:numId w:val="1"/>
        </w:numPr>
        <w:tabs>
          <w:tab w:val="clear" w:pos="1701"/>
          <w:tab w:val="left" w:pos="0"/>
        </w:tabs>
        <w:spacing w:after="240"/>
        <w:ind w:left="0" w:hanging="426"/>
        <w:jc w:val="both"/>
        <w:rPr>
          <w:rFonts w:cs="Arial"/>
          <w:szCs w:val="22"/>
          <w:lang w:val="en-GB"/>
        </w:rPr>
      </w:pPr>
      <w:r w:rsidRPr="00BC777B">
        <w:rPr>
          <w:rFonts w:cs="Arial"/>
          <w:szCs w:val="22"/>
          <w:lang w:val="en-GB"/>
        </w:rPr>
        <w:t xml:space="preserve">The </w:t>
      </w:r>
      <w:r w:rsidR="000655FA">
        <w:rPr>
          <w:rFonts w:cs="Arial"/>
          <w:szCs w:val="22"/>
          <w:lang w:val="en-GB"/>
        </w:rPr>
        <w:t xml:space="preserve">discussion </w:t>
      </w:r>
      <w:r w:rsidR="008C1880">
        <w:rPr>
          <w:rFonts w:cs="Arial"/>
          <w:szCs w:val="22"/>
          <w:lang w:val="en-GB"/>
        </w:rPr>
        <w:t>about</w:t>
      </w:r>
      <w:r w:rsidRPr="00BC777B">
        <w:rPr>
          <w:rFonts w:cs="Arial"/>
          <w:szCs w:val="22"/>
          <w:lang w:val="en-GB"/>
        </w:rPr>
        <w:t xml:space="preserve"> the permissible extent of </w:t>
      </w:r>
      <w:r w:rsidR="008A3704" w:rsidRPr="00BC777B">
        <w:rPr>
          <w:rFonts w:cs="Arial"/>
          <w:szCs w:val="22"/>
          <w:lang w:val="en-GB"/>
        </w:rPr>
        <w:t>assisted suicide</w:t>
      </w:r>
      <w:r w:rsidR="002F154A" w:rsidRPr="00BC777B">
        <w:rPr>
          <w:rFonts w:cs="Arial"/>
          <w:szCs w:val="22"/>
          <w:lang w:val="en-GB"/>
        </w:rPr>
        <w:t xml:space="preserve"> </w:t>
      </w:r>
      <w:r w:rsidRPr="00BC777B">
        <w:rPr>
          <w:rFonts w:cs="Arial"/>
          <w:szCs w:val="22"/>
          <w:lang w:val="en-GB"/>
        </w:rPr>
        <w:t>concerns</w:t>
      </w:r>
      <w:r w:rsidR="00B60907" w:rsidRPr="00BC777B">
        <w:rPr>
          <w:rFonts w:cs="Arial"/>
          <w:szCs w:val="22"/>
          <w:lang w:val="en-GB"/>
        </w:rPr>
        <w:t xml:space="preserve"> </w:t>
      </w:r>
      <w:r w:rsidR="005E1B3F" w:rsidRPr="00BC777B">
        <w:rPr>
          <w:rFonts w:cs="Arial"/>
          <w:szCs w:val="22"/>
          <w:lang w:val="en-GB"/>
        </w:rPr>
        <w:t>issues relating to criminal</w:t>
      </w:r>
      <w:r w:rsidR="00545868">
        <w:rPr>
          <w:rFonts w:cs="Arial"/>
          <w:szCs w:val="22"/>
          <w:lang w:val="en-GB"/>
        </w:rPr>
        <w:t>, administrative</w:t>
      </w:r>
      <w:r w:rsidR="005E1B3F" w:rsidRPr="00BC777B">
        <w:rPr>
          <w:rFonts w:cs="Arial"/>
          <w:szCs w:val="22"/>
          <w:lang w:val="en-GB"/>
        </w:rPr>
        <w:t xml:space="preserve"> and civil law</w:t>
      </w:r>
      <w:r w:rsidR="001363BF" w:rsidRPr="00BC777B">
        <w:rPr>
          <w:rFonts w:cs="Arial"/>
          <w:szCs w:val="22"/>
          <w:lang w:val="en-GB"/>
        </w:rPr>
        <w:t>. I</w:t>
      </w:r>
      <w:r w:rsidR="005E1B3F" w:rsidRPr="00BC777B">
        <w:rPr>
          <w:rFonts w:cs="Arial"/>
          <w:szCs w:val="22"/>
          <w:lang w:val="en-GB"/>
        </w:rPr>
        <w:t>n civil</w:t>
      </w:r>
      <w:r w:rsidR="00545868">
        <w:rPr>
          <w:rFonts w:cs="Arial"/>
          <w:szCs w:val="22"/>
          <w:lang w:val="en-GB"/>
        </w:rPr>
        <w:t xml:space="preserve"> and administrative</w:t>
      </w:r>
      <w:r w:rsidR="005E1B3F" w:rsidRPr="00BC777B">
        <w:rPr>
          <w:rFonts w:cs="Arial"/>
          <w:szCs w:val="22"/>
          <w:lang w:val="en-GB"/>
        </w:rPr>
        <w:t xml:space="preserve"> law, for example, </w:t>
      </w:r>
      <w:r w:rsidR="008C1880">
        <w:rPr>
          <w:rFonts w:cs="Arial"/>
          <w:szCs w:val="22"/>
          <w:lang w:val="en-GB"/>
        </w:rPr>
        <w:t>the issues</w:t>
      </w:r>
      <w:r w:rsidR="005E1B3F" w:rsidRPr="00BC777B">
        <w:rPr>
          <w:rFonts w:cs="Arial"/>
          <w:szCs w:val="22"/>
          <w:lang w:val="en-GB"/>
        </w:rPr>
        <w:t xml:space="preserve"> concern guardianship law</w:t>
      </w:r>
      <w:r w:rsidR="00B60907" w:rsidRPr="00BC777B">
        <w:rPr>
          <w:rFonts w:cs="Arial"/>
          <w:szCs w:val="22"/>
          <w:lang w:val="en-GB"/>
        </w:rPr>
        <w:t xml:space="preserve">, </w:t>
      </w:r>
      <w:r w:rsidR="005E1B3F" w:rsidRPr="00BC777B">
        <w:rPr>
          <w:rFonts w:cs="Arial"/>
          <w:szCs w:val="22"/>
          <w:lang w:val="en-GB"/>
        </w:rPr>
        <w:t>medical treatment law, medical profession</w:t>
      </w:r>
      <w:r w:rsidR="008A3704" w:rsidRPr="00BC777B">
        <w:rPr>
          <w:rFonts w:cs="Arial"/>
          <w:szCs w:val="22"/>
          <w:lang w:val="en-GB"/>
        </w:rPr>
        <w:t>al law</w:t>
      </w:r>
      <w:r w:rsidR="005E1B3F" w:rsidRPr="00BC777B">
        <w:rPr>
          <w:rFonts w:cs="Arial"/>
          <w:szCs w:val="22"/>
          <w:lang w:val="en-GB"/>
        </w:rPr>
        <w:t xml:space="preserve"> and </w:t>
      </w:r>
      <w:r w:rsidR="008A3704" w:rsidRPr="00BC777B">
        <w:rPr>
          <w:rFonts w:cs="Arial"/>
          <w:szCs w:val="22"/>
          <w:lang w:val="en-GB"/>
        </w:rPr>
        <w:t>medicinal products</w:t>
      </w:r>
      <w:r w:rsidR="005E1B3F" w:rsidRPr="00BC777B">
        <w:rPr>
          <w:rFonts w:cs="Arial"/>
          <w:szCs w:val="22"/>
          <w:lang w:val="en-GB"/>
        </w:rPr>
        <w:t xml:space="preserve"> law</w:t>
      </w:r>
      <w:r w:rsidR="00B60907" w:rsidRPr="00BC777B">
        <w:rPr>
          <w:rFonts w:cs="Arial"/>
          <w:szCs w:val="22"/>
          <w:lang w:val="en-GB"/>
        </w:rPr>
        <w:t>.</w:t>
      </w:r>
    </w:p>
    <w:p w:rsidR="00B60907" w:rsidRPr="00BC777B" w:rsidRDefault="008C1880" w:rsidP="000655FA">
      <w:pPr>
        <w:pStyle w:val="BMJStandard15Zeilen"/>
        <w:numPr>
          <w:ilvl w:val="0"/>
          <w:numId w:val="1"/>
        </w:numPr>
        <w:tabs>
          <w:tab w:val="clear" w:pos="1701"/>
          <w:tab w:val="left" w:pos="0"/>
        </w:tabs>
        <w:spacing w:after="240"/>
        <w:ind w:left="0" w:hanging="426"/>
        <w:jc w:val="both"/>
        <w:rPr>
          <w:rFonts w:cs="Arial"/>
          <w:b/>
          <w:szCs w:val="22"/>
          <w:lang w:val="en-GB"/>
        </w:rPr>
      </w:pPr>
      <w:r>
        <w:rPr>
          <w:rFonts w:cs="Arial"/>
          <w:szCs w:val="22"/>
          <w:lang w:val="en-GB"/>
        </w:rPr>
        <w:lastRenderedPageBreak/>
        <w:t>Under</w:t>
      </w:r>
      <w:r w:rsidR="005E1B3F" w:rsidRPr="00BC777B">
        <w:rPr>
          <w:rFonts w:cs="Arial"/>
          <w:szCs w:val="22"/>
          <w:lang w:val="en-GB"/>
        </w:rPr>
        <w:t xml:space="preserve"> German law</w:t>
      </w:r>
      <w:r>
        <w:rPr>
          <w:rFonts w:cs="Arial"/>
          <w:szCs w:val="22"/>
          <w:lang w:val="en-GB"/>
        </w:rPr>
        <w:t>,</w:t>
      </w:r>
      <w:r w:rsidR="005E1B3F" w:rsidRPr="00BC777B">
        <w:rPr>
          <w:rFonts w:cs="Arial"/>
          <w:szCs w:val="22"/>
          <w:lang w:val="en-GB"/>
        </w:rPr>
        <w:t xml:space="preserve"> </w:t>
      </w:r>
      <w:r w:rsidR="000655FA">
        <w:rPr>
          <w:rFonts w:cs="Arial"/>
          <w:szCs w:val="22"/>
          <w:lang w:val="en-GB"/>
        </w:rPr>
        <w:t>a</w:t>
      </w:r>
      <w:r>
        <w:rPr>
          <w:rFonts w:cs="Arial"/>
          <w:szCs w:val="22"/>
          <w:lang w:val="en-GB"/>
        </w:rPr>
        <w:t xml:space="preserve"> person committing voluntary suicide does not commit a crime</w:t>
      </w:r>
      <w:r w:rsidR="00B60907" w:rsidRPr="00BC777B">
        <w:rPr>
          <w:rFonts w:cs="Arial"/>
          <w:szCs w:val="22"/>
          <w:lang w:val="en-GB"/>
        </w:rPr>
        <w:t>.</w:t>
      </w:r>
      <w:r w:rsidR="001363BF" w:rsidRPr="00BC777B">
        <w:rPr>
          <w:rFonts w:cs="Arial"/>
          <w:szCs w:val="22"/>
          <w:lang w:val="en-GB"/>
        </w:rPr>
        <w:t xml:space="preserve"> </w:t>
      </w:r>
      <w:r w:rsidR="005E1B3F" w:rsidRPr="00BC777B">
        <w:rPr>
          <w:rFonts w:cs="Arial"/>
          <w:szCs w:val="22"/>
          <w:lang w:val="en-GB"/>
        </w:rPr>
        <w:t>Difficult questions arise</w:t>
      </w:r>
      <w:r>
        <w:rPr>
          <w:rFonts w:cs="Arial"/>
          <w:szCs w:val="22"/>
          <w:lang w:val="en-GB"/>
        </w:rPr>
        <w:t>, however,</w:t>
      </w:r>
      <w:r w:rsidR="005E1B3F" w:rsidRPr="00BC777B">
        <w:rPr>
          <w:rFonts w:cs="Arial"/>
          <w:szCs w:val="22"/>
          <w:lang w:val="en-GB"/>
        </w:rPr>
        <w:t xml:space="preserve"> insofar as other people </w:t>
      </w:r>
      <w:r w:rsidR="008A3704" w:rsidRPr="00BC777B">
        <w:rPr>
          <w:rFonts w:cs="Arial"/>
          <w:szCs w:val="22"/>
          <w:lang w:val="en-GB"/>
        </w:rPr>
        <w:t>assist</w:t>
      </w:r>
      <w:r w:rsidR="00DE41BA">
        <w:rPr>
          <w:rFonts w:cs="Arial"/>
          <w:szCs w:val="22"/>
          <w:lang w:val="en-GB"/>
        </w:rPr>
        <w:t xml:space="preserve"> a</w:t>
      </w:r>
      <w:r w:rsidR="008A3704" w:rsidRPr="00BC777B">
        <w:rPr>
          <w:rFonts w:cs="Arial"/>
          <w:szCs w:val="22"/>
          <w:lang w:val="en-GB"/>
        </w:rPr>
        <w:t xml:space="preserve"> </w:t>
      </w:r>
      <w:r w:rsidR="005E1B3F" w:rsidRPr="00BC777B">
        <w:rPr>
          <w:rFonts w:cs="Arial"/>
          <w:szCs w:val="22"/>
          <w:lang w:val="en-GB"/>
        </w:rPr>
        <w:t>suicide</w:t>
      </w:r>
      <w:r w:rsidR="000C3D3E">
        <w:rPr>
          <w:rFonts w:cs="Arial"/>
          <w:szCs w:val="22"/>
          <w:lang w:val="en-GB"/>
        </w:rPr>
        <w:t xml:space="preserve"> (see below para. 1</w:t>
      </w:r>
      <w:r w:rsidR="005B54F1">
        <w:rPr>
          <w:rFonts w:cs="Arial"/>
          <w:szCs w:val="22"/>
          <w:lang w:val="en-GB"/>
        </w:rPr>
        <w:t>2 et seqq.</w:t>
      </w:r>
      <w:r w:rsidR="000C3D3E">
        <w:rPr>
          <w:rFonts w:cs="Arial"/>
          <w:szCs w:val="22"/>
          <w:lang w:val="en-GB"/>
        </w:rPr>
        <w:t>)</w:t>
      </w:r>
      <w:r w:rsidR="001363BF" w:rsidRPr="00BC777B">
        <w:rPr>
          <w:rFonts w:cs="Arial"/>
          <w:szCs w:val="22"/>
          <w:lang w:val="en-GB"/>
        </w:rPr>
        <w:t>,</w:t>
      </w:r>
      <w:r w:rsidR="00545868">
        <w:rPr>
          <w:rFonts w:cs="Arial"/>
          <w:szCs w:val="22"/>
          <w:lang w:val="en-GB"/>
        </w:rPr>
        <w:t xml:space="preserve"> or discontinue life-sustaining treatment</w:t>
      </w:r>
      <w:r w:rsidR="001363BF" w:rsidRPr="00BC777B">
        <w:rPr>
          <w:rFonts w:cs="Arial"/>
          <w:szCs w:val="22"/>
          <w:lang w:val="en-GB"/>
        </w:rPr>
        <w:t>.</w:t>
      </w:r>
    </w:p>
    <w:p w:rsidR="00B60907" w:rsidRPr="00BC777B" w:rsidRDefault="005E1B3F" w:rsidP="000655FA">
      <w:pPr>
        <w:pStyle w:val="BMJStandard15Zeilen"/>
        <w:numPr>
          <w:ilvl w:val="0"/>
          <w:numId w:val="1"/>
        </w:numPr>
        <w:tabs>
          <w:tab w:val="clear" w:pos="1701"/>
          <w:tab w:val="left" w:pos="0"/>
        </w:tabs>
        <w:spacing w:after="240"/>
        <w:ind w:left="0" w:hanging="426"/>
        <w:jc w:val="both"/>
        <w:rPr>
          <w:rFonts w:cs="Arial"/>
          <w:szCs w:val="22"/>
          <w:lang w:val="en-GB"/>
        </w:rPr>
      </w:pPr>
      <w:r w:rsidRPr="00BC777B">
        <w:rPr>
          <w:rFonts w:cs="Arial"/>
          <w:szCs w:val="22"/>
          <w:lang w:val="en-GB"/>
        </w:rPr>
        <w:t>Under German law, if a person in the dying process refuses life-sustaining or life-prolonging measures</w:t>
      </w:r>
      <w:r w:rsidR="00261F6B" w:rsidRPr="00BC777B">
        <w:rPr>
          <w:rFonts w:cs="Arial"/>
          <w:szCs w:val="22"/>
          <w:lang w:val="en-GB"/>
        </w:rPr>
        <w:t xml:space="preserve">, </w:t>
      </w:r>
      <w:r w:rsidRPr="00BC777B">
        <w:rPr>
          <w:rFonts w:cs="Arial"/>
          <w:szCs w:val="22"/>
          <w:lang w:val="en-GB"/>
        </w:rPr>
        <w:t xml:space="preserve">human dignity requires </w:t>
      </w:r>
      <w:r w:rsidR="004B166A" w:rsidRPr="00BC777B">
        <w:rPr>
          <w:rFonts w:cs="Arial"/>
          <w:szCs w:val="22"/>
          <w:lang w:val="en-GB"/>
        </w:rPr>
        <w:t xml:space="preserve">respect </w:t>
      </w:r>
      <w:r w:rsidR="000655FA">
        <w:rPr>
          <w:rFonts w:cs="Arial"/>
          <w:szCs w:val="22"/>
          <w:lang w:val="en-GB"/>
        </w:rPr>
        <w:t xml:space="preserve">for </w:t>
      </w:r>
      <w:r w:rsidR="00DE41BA">
        <w:rPr>
          <w:rFonts w:cs="Arial"/>
          <w:szCs w:val="22"/>
          <w:lang w:val="en-GB"/>
        </w:rPr>
        <w:t xml:space="preserve">this person’s decision, i.e., his </w:t>
      </w:r>
      <w:r w:rsidR="003A5DBC">
        <w:rPr>
          <w:rFonts w:cs="Arial"/>
          <w:szCs w:val="22"/>
          <w:lang w:val="en-GB"/>
        </w:rPr>
        <w:t xml:space="preserve">or her </w:t>
      </w:r>
      <w:r w:rsidR="00DE41BA">
        <w:rPr>
          <w:rFonts w:cs="Arial"/>
          <w:szCs w:val="22"/>
          <w:lang w:val="en-GB"/>
        </w:rPr>
        <w:t>right to self-determination</w:t>
      </w:r>
      <w:r w:rsidR="00261F6B" w:rsidRPr="00BC777B">
        <w:rPr>
          <w:rFonts w:cs="Arial"/>
          <w:szCs w:val="22"/>
          <w:lang w:val="en-GB"/>
        </w:rPr>
        <w:t>.</w:t>
      </w:r>
      <w:r w:rsidR="00BC599C" w:rsidRPr="00BC777B">
        <w:rPr>
          <w:rFonts w:cs="Arial"/>
          <w:szCs w:val="22"/>
          <w:lang w:val="en-GB"/>
        </w:rPr>
        <w:t xml:space="preserve"> </w:t>
      </w:r>
      <w:r w:rsidRPr="00BC777B">
        <w:rPr>
          <w:rFonts w:cs="Arial"/>
          <w:szCs w:val="22"/>
          <w:lang w:val="en-GB"/>
        </w:rPr>
        <w:t xml:space="preserve">A patient </w:t>
      </w:r>
      <w:r w:rsidR="001C4EAC" w:rsidRPr="00BC777B">
        <w:rPr>
          <w:rFonts w:cs="Arial"/>
          <w:szCs w:val="22"/>
          <w:lang w:val="en-GB"/>
        </w:rPr>
        <w:t>(</w:t>
      </w:r>
      <w:r w:rsidRPr="00BC777B">
        <w:rPr>
          <w:rFonts w:cs="Arial"/>
          <w:szCs w:val="22"/>
          <w:lang w:val="en-GB"/>
        </w:rPr>
        <w:t>who is capable of giving consent</w:t>
      </w:r>
      <w:r w:rsidR="001C4EAC" w:rsidRPr="00BC777B">
        <w:rPr>
          <w:rFonts w:cs="Arial"/>
          <w:szCs w:val="22"/>
          <w:lang w:val="en-GB"/>
        </w:rPr>
        <w:t>) may not be treated without his or her consent</w:t>
      </w:r>
      <w:r w:rsidR="00BC599C" w:rsidRPr="00BC777B">
        <w:rPr>
          <w:rFonts w:cs="Arial"/>
          <w:szCs w:val="22"/>
          <w:lang w:val="en-GB"/>
        </w:rPr>
        <w:t xml:space="preserve">, </w:t>
      </w:r>
      <w:r w:rsidR="001C4EAC" w:rsidRPr="00BC777B">
        <w:rPr>
          <w:rFonts w:cs="Arial"/>
          <w:szCs w:val="22"/>
          <w:lang w:val="en-GB"/>
        </w:rPr>
        <w:t>even if</w:t>
      </w:r>
      <w:r w:rsidR="004B166A" w:rsidRPr="00BC777B">
        <w:rPr>
          <w:rFonts w:cs="Arial"/>
          <w:szCs w:val="22"/>
          <w:lang w:val="en-GB"/>
        </w:rPr>
        <w:t>,</w:t>
      </w:r>
      <w:r w:rsidR="001C4EAC" w:rsidRPr="00BC777B">
        <w:rPr>
          <w:rFonts w:cs="Arial"/>
          <w:szCs w:val="22"/>
          <w:lang w:val="en-GB"/>
        </w:rPr>
        <w:t xml:space="preserve"> </w:t>
      </w:r>
      <w:r w:rsidR="004B166A" w:rsidRPr="00BC777B">
        <w:rPr>
          <w:rFonts w:cs="Arial"/>
          <w:szCs w:val="22"/>
          <w:lang w:val="en-GB"/>
        </w:rPr>
        <w:t xml:space="preserve">from a medical or objective point of view, </w:t>
      </w:r>
      <w:r w:rsidR="001C4EAC" w:rsidRPr="00BC777B">
        <w:rPr>
          <w:rFonts w:cs="Arial"/>
          <w:szCs w:val="22"/>
          <w:lang w:val="en-GB"/>
        </w:rPr>
        <w:t xml:space="preserve">such treatment </w:t>
      </w:r>
      <w:r w:rsidR="004B166A" w:rsidRPr="00BC777B">
        <w:rPr>
          <w:rFonts w:cs="Arial"/>
          <w:szCs w:val="22"/>
          <w:lang w:val="en-GB"/>
        </w:rPr>
        <w:t>is</w:t>
      </w:r>
      <w:r w:rsidR="001C4EAC" w:rsidRPr="00BC777B">
        <w:rPr>
          <w:rFonts w:cs="Arial"/>
          <w:szCs w:val="22"/>
          <w:lang w:val="en-GB"/>
        </w:rPr>
        <w:t xml:space="preserve"> necessary or appropriate</w:t>
      </w:r>
      <w:r w:rsidR="00BC599C" w:rsidRPr="00BC777B">
        <w:rPr>
          <w:rFonts w:cs="Arial"/>
          <w:szCs w:val="22"/>
          <w:lang w:val="en-GB"/>
        </w:rPr>
        <w:t>.</w:t>
      </w:r>
      <w:r w:rsidR="00E414B7" w:rsidRPr="00BC777B">
        <w:rPr>
          <w:rFonts w:cs="Arial"/>
          <w:szCs w:val="22"/>
          <w:lang w:val="en-GB"/>
        </w:rPr>
        <w:t xml:space="preserve"> </w:t>
      </w:r>
      <w:r w:rsidR="001C4EAC" w:rsidRPr="00BC777B">
        <w:rPr>
          <w:rFonts w:cs="Arial"/>
          <w:szCs w:val="22"/>
          <w:lang w:val="en-GB"/>
        </w:rPr>
        <w:t>The patient</w:t>
      </w:r>
      <w:r w:rsidR="00E414B7" w:rsidRPr="00BC777B">
        <w:rPr>
          <w:rFonts w:cs="Arial"/>
          <w:szCs w:val="22"/>
          <w:lang w:val="en-GB"/>
        </w:rPr>
        <w:t xml:space="preserve"> </w:t>
      </w:r>
      <w:r w:rsidR="001C4EAC" w:rsidRPr="00BC777B">
        <w:rPr>
          <w:rFonts w:cs="Arial"/>
          <w:szCs w:val="22"/>
          <w:lang w:val="en-GB"/>
        </w:rPr>
        <w:t>may discontinue treatment</w:t>
      </w:r>
      <w:r w:rsidR="00E414B7" w:rsidRPr="00BC777B">
        <w:rPr>
          <w:rFonts w:cs="Arial"/>
          <w:szCs w:val="22"/>
          <w:lang w:val="en-GB"/>
        </w:rPr>
        <w:t xml:space="preserve">, </w:t>
      </w:r>
      <w:r w:rsidR="001C4EAC" w:rsidRPr="00BC777B">
        <w:rPr>
          <w:rFonts w:cs="Arial"/>
          <w:szCs w:val="22"/>
          <w:lang w:val="en-GB"/>
        </w:rPr>
        <w:t>even if this leads to death</w:t>
      </w:r>
      <w:r w:rsidR="00E414B7" w:rsidRPr="00BC777B">
        <w:rPr>
          <w:rFonts w:cs="Arial"/>
          <w:szCs w:val="22"/>
          <w:lang w:val="en-GB"/>
        </w:rPr>
        <w:t>.</w:t>
      </w:r>
      <w:r w:rsidR="00545868">
        <w:rPr>
          <w:rFonts w:cs="Arial"/>
          <w:szCs w:val="22"/>
          <w:lang w:val="en-GB"/>
        </w:rPr>
        <w:t xml:space="preserve"> Accordingly, t</w:t>
      </w:r>
      <w:r w:rsidR="00545868" w:rsidRPr="00BC777B">
        <w:rPr>
          <w:rFonts w:cs="Arial"/>
          <w:szCs w:val="22"/>
          <w:lang w:val="en-GB"/>
        </w:rPr>
        <w:t xml:space="preserve">ermination of treatment by a physician in accordance with the patient’s will is not </w:t>
      </w:r>
      <w:r w:rsidR="00545868">
        <w:rPr>
          <w:rFonts w:cs="Arial"/>
          <w:szCs w:val="22"/>
          <w:lang w:val="en-GB"/>
        </w:rPr>
        <w:t>a crime</w:t>
      </w:r>
      <w:r w:rsidR="00545868" w:rsidRPr="00BC777B">
        <w:rPr>
          <w:rFonts w:cs="Arial"/>
          <w:szCs w:val="22"/>
          <w:lang w:val="en-GB"/>
        </w:rPr>
        <w:t>.</w:t>
      </w:r>
      <w:r w:rsidR="00545868">
        <w:rPr>
          <w:rFonts w:cs="Arial"/>
          <w:szCs w:val="22"/>
          <w:lang w:val="en-GB"/>
        </w:rPr>
        <w:t xml:space="preserve"> </w:t>
      </w:r>
    </w:p>
    <w:p w:rsidR="008D66C1" w:rsidRPr="00BC777B" w:rsidRDefault="00261F6B" w:rsidP="000655FA">
      <w:pPr>
        <w:pStyle w:val="BMJStandard15Zeilen"/>
        <w:numPr>
          <w:ilvl w:val="0"/>
          <w:numId w:val="1"/>
        </w:numPr>
        <w:tabs>
          <w:tab w:val="clear" w:pos="1701"/>
          <w:tab w:val="left" w:pos="0"/>
        </w:tabs>
        <w:spacing w:after="240"/>
        <w:ind w:left="0" w:hanging="426"/>
        <w:jc w:val="both"/>
        <w:rPr>
          <w:rFonts w:cs="Arial"/>
          <w:szCs w:val="22"/>
          <w:lang w:val="en-GB"/>
        </w:rPr>
      </w:pPr>
      <w:r w:rsidRPr="00BC777B">
        <w:rPr>
          <w:rFonts w:cs="Arial"/>
          <w:szCs w:val="22"/>
          <w:lang w:val="en-GB"/>
        </w:rPr>
        <w:t>I</w:t>
      </w:r>
      <w:r w:rsidR="001C4EAC" w:rsidRPr="00BC777B">
        <w:rPr>
          <w:rFonts w:cs="Arial"/>
          <w:szCs w:val="22"/>
          <w:lang w:val="en-GB"/>
        </w:rPr>
        <w:t>f the p</w:t>
      </w:r>
      <w:r w:rsidRPr="00BC777B">
        <w:rPr>
          <w:rFonts w:cs="Arial"/>
          <w:szCs w:val="22"/>
          <w:lang w:val="en-GB"/>
        </w:rPr>
        <w:t xml:space="preserve">atient </w:t>
      </w:r>
      <w:r w:rsidR="001C4EAC" w:rsidRPr="00BC777B">
        <w:rPr>
          <w:rFonts w:cs="Arial"/>
          <w:szCs w:val="22"/>
          <w:lang w:val="en-GB"/>
        </w:rPr>
        <w:t>is no longer capable of giving consent</w:t>
      </w:r>
      <w:r w:rsidRPr="00BC777B">
        <w:rPr>
          <w:rFonts w:cs="Arial"/>
          <w:szCs w:val="22"/>
          <w:lang w:val="en-GB"/>
        </w:rPr>
        <w:t xml:space="preserve">, </w:t>
      </w:r>
      <w:r w:rsidR="001C4EAC" w:rsidRPr="00BC777B">
        <w:rPr>
          <w:rFonts w:cs="Arial"/>
          <w:szCs w:val="22"/>
          <w:lang w:val="en-GB"/>
        </w:rPr>
        <w:t>the question arises</w:t>
      </w:r>
      <w:r w:rsidRPr="00BC777B">
        <w:rPr>
          <w:rFonts w:cs="Arial"/>
          <w:szCs w:val="22"/>
          <w:lang w:val="en-GB"/>
        </w:rPr>
        <w:t xml:space="preserve"> </w:t>
      </w:r>
      <w:r w:rsidR="001C4EAC" w:rsidRPr="00BC777B">
        <w:rPr>
          <w:rFonts w:cs="Arial"/>
          <w:szCs w:val="22"/>
          <w:lang w:val="en-GB"/>
        </w:rPr>
        <w:t>as to whether a decision declared in the past</w:t>
      </w:r>
      <w:r w:rsidRPr="00BC777B">
        <w:rPr>
          <w:rFonts w:cs="Arial"/>
          <w:szCs w:val="22"/>
          <w:lang w:val="en-GB"/>
        </w:rPr>
        <w:t xml:space="preserve"> or </w:t>
      </w:r>
      <w:r w:rsidR="001C4EAC" w:rsidRPr="00BC777B">
        <w:rPr>
          <w:rFonts w:cs="Arial"/>
          <w:szCs w:val="22"/>
          <w:lang w:val="en-GB"/>
        </w:rPr>
        <w:t xml:space="preserve">a will </w:t>
      </w:r>
      <w:r w:rsidR="008A3704" w:rsidRPr="00BC777B">
        <w:rPr>
          <w:rFonts w:cs="Arial"/>
          <w:szCs w:val="22"/>
          <w:lang w:val="en-GB"/>
        </w:rPr>
        <w:t>presumed</w:t>
      </w:r>
      <w:r w:rsidR="001C4EAC" w:rsidRPr="00BC777B">
        <w:rPr>
          <w:rFonts w:cs="Arial"/>
          <w:szCs w:val="22"/>
          <w:lang w:val="en-GB"/>
        </w:rPr>
        <w:t xml:space="preserve"> to be</w:t>
      </w:r>
      <w:r w:rsidR="00655498" w:rsidRPr="00BC777B">
        <w:rPr>
          <w:rFonts w:cs="Arial"/>
          <w:szCs w:val="22"/>
          <w:lang w:val="en-GB"/>
        </w:rPr>
        <w:t xml:space="preserve"> </w:t>
      </w:r>
      <w:r w:rsidR="001C4EAC" w:rsidRPr="00BC777B">
        <w:rPr>
          <w:rFonts w:cs="Arial"/>
          <w:szCs w:val="22"/>
          <w:lang w:val="en-GB"/>
        </w:rPr>
        <w:t>probable can or must also be accepted and</w:t>
      </w:r>
      <w:r w:rsidR="00DE41BA">
        <w:rPr>
          <w:rFonts w:cs="Arial"/>
          <w:szCs w:val="22"/>
          <w:lang w:val="en-GB"/>
        </w:rPr>
        <w:t>, in addition,</w:t>
      </w:r>
      <w:r w:rsidR="001C4EAC" w:rsidRPr="00BC777B">
        <w:rPr>
          <w:rFonts w:cs="Arial"/>
          <w:szCs w:val="22"/>
          <w:lang w:val="en-GB"/>
        </w:rPr>
        <w:t xml:space="preserve"> </w:t>
      </w:r>
      <w:r w:rsidR="00DE41BA">
        <w:rPr>
          <w:rFonts w:cs="Arial"/>
          <w:szCs w:val="22"/>
          <w:lang w:val="en-GB"/>
        </w:rPr>
        <w:t xml:space="preserve">how </w:t>
      </w:r>
      <w:r w:rsidR="001C4EAC" w:rsidRPr="00BC777B">
        <w:rPr>
          <w:rFonts w:cs="Arial"/>
          <w:szCs w:val="22"/>
          <w:lang w:val="en-GB"/>
        </w:rPr>
        <w:t xml:space="preserve">this will and its </w:t>
      </w:r>
      <w:r w:rsidR="00DE41BA">
        <w:rPr>
          <w:rFonts w:cs="Arial"/>
          <w:szCs w:val="22"/>
          <w:lang w:val="en-GB"/>
        </w:rPr>
        <w:t xml:space="preserve">applicability </w:t>
      </w:r>
      <w:r w:rsidR="001C4EAC" w:rsidRPr="00BC777B">
        <w:rPr>
          <w:rFonts w:cs="Arial"/>
          <w:szCs w:val="22"/>
          <w:lang w:val="en-GB"/>
        </w:rPr>
        <w:t>in the current s</w:t>
      </w:r>
      <w:r w:rsidR="008D66C1" w:rsidRPr="00BC777B">
        <w:rPr>
          <w:rFonts w:cs="Arial"/>
          <w:szCs w:val="22"/>
          <w:lang w:val="en-GB"/>
        </w:rPr>
        <w:t>ituation</w:t>
      </w:r>
      <w:r w:rsidR="00DE41BA">
        <w:rPr>
          <w:rFonts w:cs="Arial"/>
          <w:szCs w:val="22"/>
          <w:lang w:val="en-GB"/>
        </w:rPr>
        <w:t xml:space="preserve"> can be determined</w:t>
      </w:r>
      <w:r w:rsidRPr="00BC777B">
        <w:rPr>
          <w:rFonts w:cs="Arial"/>
          <w:szCs w:val="22"/>
          <w:lang w:val="en-GB"/>
        </w:rPr>
        <w:t xml:space="preserve">. </w:t>
      </w:r>
    </w:p>
    <w:p w:rsidR="00D30DD8" w:rsidRPr="00BC777B" w:rsidRDefault="00D30DD8" w:rsidP="000655FA">
      <w:pPr>
        <w:pStyle w:val="BMJStandard15Zeilen"/>
        <w:numPr>
          <w:ilvl w:val="0"/>
          <w:numId w:val="1"/>
        </w:numPr>
        <w:tabs>
          <w:tab w:val="clear" w:pos="1701"/>
          <w:tab w:val="left" w:pos="0"/>
        </w:tabs>
        <w:spacing w:after="240"/>
        <w:ind w:left="0" w:hanging="426"/>
        <w:jc w:val="both"/>
        <w:rPr>
          <w:rFonts w:cs="Arial"/>
          <w:szCs w:val="22"/>
          <w:lang w:val="en-GB"/>
        </w:rPr>
      </w:pPr>
      <w:r w:rsidRPr="00BC777B">
        <w:rPr>
          <w:rFonts w:cs="Arial"/>
          <w:szCs w:val="22"/>
          <w:lang w:val="en-GB"/>
        </w:rPr>
        <w:t xml:space="preserve">In </w:t>
      </w:r>
      <w:r w:rsidR="001C4EAC" w:rsidRPr="00BC777B">
        <w:rPr>
          <w:rFonts w:cs="Arial"/>
          <w:szCs w:val="22"/>
          <w:lang w:val="en-GB"/>
        </w:rPr>
        <w:t xml:space="preserve">practice, it has been seen as </w:t>
      </w:r>
      <w:r w:rsidRPr="00BC777B">
        <w:rPr>
          <w:rFonts w:cs="Arial"/>
          <w:szCs w:val="22"/>
          <w:lang w:val="en-GB"/>
        </w:rPr>
        <w:t>problematic</w:t>
      </w:r>
      <w:r w:rsidR="001C4EAC" w:rsidRPr="00BC777B">
        <w:rPr>
          <w:rFonts w:cs="Arial"/>
          <w:szCs w:val="22"/>
          <w:lang w:val="en-GB"/>
        </w:rPr>
        <w:t xml:space="preserve"> to judge wha</w:t>
      </w:r>
      <w:r w:rsidR="008A3704" w:rsidRPr="00BC777B">
        <w:rPr>
          <w:rFonts w:cs="Arial"/>
          <w:szCs w:val="22"/>
          <w:lang w:val="en-GB"/>
        </w:rPr>
        <w:t xml:space="preserve">t </w:t>
      </w:r>
      <w:r w:rsidR="001C4EAC" w:rsidRPr="00BC777B">
        <w:rPr>
          <w:rFonts w:cs="Arial"/>
          <w:szCs w:val="22"/>
          <w:lang w:val="en-GB"/>
        </w:rPr>
        <w:t>form such a declaration</w:t>
      </w:r>
      <w:r w:rsidRPr="00BC777B">
        <w:rPr>
          <w:rFonts w:cs="Arial"/>
          <w:szCs w:val="22"/>
          <w:lang w:val="en-GB"/>
        </w:rPr>
        <w:t xml:space="preserve"> </w:t>
      </w:r>
      <w:r w:rsidR="00DE41BA">
        <w:rPr>
          <w:rFonts w:cs="Arial"/>
          <w:szCs w:val="22"/>
          <w:lang w:val="en-GB"/>
        </w:rPr>
        <w:t xml:space="preserve">should have </w:t>
      </w:r>
      <w:r w:rsidRPr="00BC777B">
        <w:rPr>
          <w:rFonts w:cs="Arial"/>
          <w:szCs w:val="22"/>
          <w:lang w:val="en-GB"/>
        </w:rPr>
        <w:t>(</w:t>
      </w:r>
      <w:r w:rsidR="001C4EAC" w:rsidRPr="00BC777B">
        <w:rPr>
          <w:rFonts w:cs="Arial"/>
          <w:szCs w:val="22"/>
          <w:lang w:val="en-GB"/>
        </w:rPr>
        <w:t>oral, in writing</w:t>
      </w:r>
      <w:r w:rsidRPr="00BC777B">
        <w:rPr>
          <w:rFonts w:cs="Arial"/>
          <w:szCs w:val="22"/>
          <w:lang w:val="en-GB"/>
        </w:rPr>
        <w:t>, notari</w:t>
      </w:r>
      <w:r w:rsidR="001C4EAC" w:rsidRPr="00BC777B">
        <w:rPr>
          <w:rFonts w:cs="Arial"/>
          <w:szCs w:val="22"/>
          <w:lang w:val="en-GB"/>
        </w:rPr>
        <w:t>a</w:t>
      </w:r>
      <w:r w:rsidRPr="00BC777B">
        <w:rPr>
          <w:rFonts w:cs="Arial"/>
          <w:szCs w:val="22"/>
          <w:lang w:val="en-GB"/>
        </w:rPr>
        <w:t>l)</w:t>
      </w:r>
      <w:r w:rsidR="00011B87" w:rsidRPr="00BC777B">
        <w:rPr>
          <w:rFonts w:cs="Arial"/>
          <w:szCs w:val="22"/>
          <w:lang w:val="en-GB"/>
        </w:rPr>
        <w:t>,</w:t>
      </w:r>
      <w:r w:rsidRPr="00BC777B">
        <w:rPr>
          <w:rFonts w:cs="Arial"/>
          <w:szCs w:val="22"/>
          <w:lang w:val="en-GB"/>
        </w:rPr>
        <w:t xml:space="preserve"> </w:t>
      </w:r>
      <w:r w:rsidR="00DE41BA">
        <w:rPr>
          <w:rFonts w:cs="Arial"/>
          <w:szCs w:val="22"/>
          <w:lang w:val="en-GB"/>
        </w:rPr>
        <w:t xml:space="preserve">how to determine </w:t>
      </w:r>
      <w:r w:rsidR="001C4EAC" w:rsidRPr="00BC777B">
        <w:rPr>
          <w:rFonts w:cs="Arial"/>
          <w:szCs w:val="22"/>
          <w:lang w:val="en-GB"/>
        </w:rPr>
        <w:t xml:space="preserve">whether </w:t>
      </w:r>
      <w:r w:rsidR="00011B87" w:rsidRPr="00BC777B">
        <w:rPr>
          <w:rFonts w:cs="Arial"/>
          <w:szCs w:val="22"/>
          <w:lang w:val="en-GB"/>
        </w:rPr>
        <w:t>the declaration</w:t>
      </w:r>
      <w:r w:rsidR="001C4EAC" w:rsidRPr="00BC777B">
        <w:rPr>
          <w:rFonts w:cs="Arial"/>
          <w:szCs w:val="22"/>
          <w:lang w:val="en-GB"/>
        </w:rPr>
        <w:t xml:space="preserve"> included the </w:t>
      </w:r>
      <w:r w:rsidR="008A3704" w:rsidRPr="00BC777B">
        <w:rPr>
          <w:rFonts w:cs="Arial"/>
          <w:szCs w:val="22"/>
          <w:lang w:val="en-GB"/>
        </w:rPr>
        <w:t xml:space="preserve">treatment situation </w:t>
      </w:r>
      <w:r w:rsidR="004B166A" w:rsidRPr="00BC777B">
        <w:rPr>
          <w:rFonts w:cs="Arial"/>
          <w:szCs w:val="22"/>
          <w:lang w:val="en-GB"/>
        </w:rPr>
        <w:t>arising</w:t>
      </w:r>
      <w:r w:rsidR="001C4EAC" w:rsidRPr="00BC777B">
        <w:rPr>
          <w:rFonts w:cs="Arial"/>
          <w:szCs w:val="22"/>
          <w:lang w:val="en-GB"/>
        </w:rPr>
        <w:t xml:space="preserve"> </w:t>
      </w:r>
      <w:r w:rsidR="00011B87" w:rsidRPr="00BC777B">
        <w:rPr>
          <w:rFonts w:cs="Arial"/>
          <w:szCs w:val="22"/>
          <w:lang w:val="en-GB"/>
        </w:rPr>
        <w:t>in</w:t>
      </w:r>
      <w:r w:rsidR="001C4EAC" w:rsidRPr="00BC777B">
        <w:rPr>
          <w:rFonts w:cs="Arial"/>
          <w:szCs w:val="22"/>
          <w:lang w:val="en-GB"/>
        </w:rPr>
        <w:t xml:space="preserve"> the particular case a</w:t>
      </w:r>
      <w:r w:rsidRPr="00BC777B">
        <w:rPr>
          <w:rFonts w:cs="Arial"/>
          <w:szCs w:val="22"/>
          <w:lang w:val="en-GB"/>
        </w:rPr>
        <w:t xml:space="preserve">nd </w:t>
      </w:r>
      <w:r w:rsidR="00B515E8">
        <w:rPr>
          <w:rFonts w:cs="Arial"/>
          <w:szCs w:val="22"/>
          <w:lang w:val="en-GB"/>
        </w:rPr>
        <w:t xml:space="preserve">whether it </w:t>
      </w:r>
      <w:r w:rsidRPr="00BC777B">
        <w:rPr>
          <w:rFonts w:cs="Arial"/>
          <w:szCs w:val="22"/>
          <w:lang w:val="en-GB"/>
        </w:rPr>
        <w:t>(</w:t>
      </w:r>
      <w:r w:rsidR="001C4EAC" w:rsidRPr="00BC777B">
        <w:rPr>
          <w:rFonts w:cs="Arial"/>
          <w:szCs w:val="22"/>
          <w:lang w:val="en-GB"/>
        </w:rPr>
        <w:t>still</w:t>
      </w:r>
      <w:r w:rsidRPr="00BC777B">
        <w:rPr>
          <w:rFonts w:cs="Arial"/>
          <w:szCs w:val="22"/>
          <w:lang w:val="en-GB"/>
        </w:rPr>
        <w:t xml:space="preserve">) </w:t>
      </w:r>
      <w:r w:rsidR="001C4EAC" w:rsidRPr="00BC777B">
        <w:rPr>
          <w:rFonts w:cs="Arial"/>
          <w:szCs w:val="22"/>
          <w:lang w:val="en-GB"/>
        </w:rPr>
        <w:t>correspond</w:t>
      </w:r>
      <w:r w:rsidR="008A3704" w:rsidRPr="00BC777B">
        <w:rPr>
          <w:rFonts w:cs="Arial"/>
          <w:szCs w:val="22"/>
          <w:lang w:val="en-GB"/>
        </w:rPr>
        <w:t>ed</w:t>
      </w:r>
      <w:r w:rsidR="001C4EAC" w:rsidRPr="00BC777B">
        <w:rPr>
          <w:rFonts w:cs="Arial"/>
          <w:szCs w:val="22"/>
          <w:lang w:val="en-GB"/>
        </w:rPr>
        <w:t xml:space="preserve"> to the </w:t>
      </w:r>
      <w:r w:rsidR="00011B87" w:rsidRPr="00BC777B">
        <w:rPr>
          <w:rFonts w:cs="Arial"/>
          <w:szCs w:val="22"/>
          <w:lang w:val="en-GB"/>
        </w:rPr>
        <w:t xml:space="preserve">person’s </w:t>
      </w:r>
      <w:r w:rsidR="001C4EAC" w:rsidRPr="00BC777B">
        <w:rPr>
          <w:rFonts w:cs="Arial"/>
          <w:szCs w:val="22"/>
          <w:lang w:val="en-GB"/>
        </w:rPr>
        <w:t>current will</w:t>
      </w:r>
      <w:r w:rsidRPr="00BC777B">
        <w:rPr>
          <w:rFonts w:cs="Arial"/>
          <w:szCs w:val="22"/>
          <w:lang w:val="en-GB"/>
        </w:rPr>
        <w:t xml:space="preserve">, </w:t>
      </w:r>
      <w:r w:rsidR="00B515E8">
        <w:rPr>
          <w:rFonts w:cs="Arial"/>
          <w:szCs w:val="22"/>
          <w:lang w:val="en-GB"/>
        </w:rPr>
        <w:t xml:space="preserve">e.g. </w:t>
      </w:r>
      <w:r w:rsidR="00011B87" w:rsidRPr="00BC777B">
        <w:rPr>
          <w:rFonts w:cs="Arial"/>
          <w:szCs w:val="22"/>
          <w:lang w:val="en-GB"/>
        </w:rPr>
        <w:t>whether the declaration had to be regularly renewed</w:t>
      </w:r>
      <w:r w:rsidRPr="00BC777B">
        <w:rPr>
          <w:rFonts w:cs="Arial"/>
          <w:szCs w:val="22"/>
          <w:lang w:val="en-GB"/>
        </w:rPr>
        <w:t>.</w:t>
      </w:r>
    </w:p>
    <w:p w:rsidR="008D66C1" w:rsidRPr="00725063" w:rsidRDefault="00011B87" w:rsidP="000655FA">
      <w:pPr>
        <w:pStyle w:val="BMJStandard15Zeilen"/>
        <w:numPr>
          <w:ilvl w:val="0"/>
          <w:numId w:val="1"/>
        </w:numPr>
        <w:tabs>
          <w:tab w:val="clear" w:pos="1701"/>
          <w:tab w:val="left" w:pos="0"/>
        </w:tabs>
        <w:spacing w:after="240"/>
        <w:ind w:left="0" w:hanging="426"/>
        <w:jc w:val="both"/>
        <w:rPr>
          <w:rFonts w:cs="Arial"/>
          <w:szCs w:val="22"/>
          <w:lang w:val="en-GB"/>
        </w:rPr>
      </w:pPr>
      <w:r w:rsidRPr="00B515E8">
        <w:rPr>
          <w:rFonts w:cs="Arial"/>
          <w:szCs w:val="22"/>
          <w:lang w:val="en-GB"/>
        </w:rPr>
        <w:t xml:space="preserve">These questions </w:t>
      </w:r>
      <w:r w:rsidR="00B515E8" w:rsidRPr="00B515E8">
        <w:rPr>
          <w:rFonts w:cs="Arial"/>
          <w:szCs w:val="22"/>
          <w:lang w:val="en-GB"/>
        </w:rPr>
        <w:t xml:space="preserve">were </w:t>
      </w:r>
      <w:r w:rsidR="00B515E8">
        <w:rPr>
          <w:rFonts w:cs="Arial"/>
          <w:szCs w:val="22"/>
          <w:lang w:val="en-GB"/>
        </w:rPr>
        <w:t xml:space="preserve">extensively </w:t>
      </w:r>
      <w:r w:rsidR="00B515E8" w:rsidRPr="00B515E8">
        <w:rPr>
          <w:rFonts w:cs="Arial"/>
          <w:szCs w:val="22"/>
          <w:lang w:val="en-GB"/>
        </w:rPr>
        <w:t xml:space="preserve">discussed </w:t>
      </w:r>
      <w:r w:rsidR="00B515E8">
        <w:rPr>
          <w:rFonts w:cs="Arial"/>
          <w:szCs w:val="22"/>
          <w:lang w:val="en-GB"/>
        </w:rPr>
        <w:t xml:space="preserve">in </w:t>
      </w:r>
      <w:r w:rsidR="00282DC8" w:rsidRPr="00B515E8">
        <w:rPr>
          <w:rFonts w:cs="Arial"/>
          <w:szCs w:val="22"/>
          <w:lang w:val="en-GB"/>
        </w:rPr>
        <w:t>parl</w:t>
      </w:r>
      <w:r w:rsidRPr="00B515E8">
        <w:rPr>
          <w:rFonts w:cs="Arial"/>
          <w:szCs w:val="22"/>
          <w:lang w:val="en-GB"/>
        </w:rPr>
        <w:t>i</w:t>
      </w:r>
      <w:r w:rsidR="00282DC8" w:rsidRPr="00B515E8">
        <w:rPr>
          <w:rFonts w:cs="Arial"/>
          <w:szCs w:val="22"/>
          <w:lang w:val="en-GB"/>
        </w:rPr>
        <w:t>ament</w:t>
      </w:r>
      <w:r w:rsidRPr="00B515E8">
        <w:rPr>
          <w:rFonts w:cs="Arial"/>
          <w:szCs w:val="22"/>
          <w:lang w:val="en-GB"/>
        </w:rPr>
        <w:t xml:space="preserve"> </w:t>
      </w:r>
      <w:r w:rsidR="00B515E8">
        <w:rPr>
          <w:rFonts w:cs="Arial"/>
          <w:szCs w:val="22"/>
          <w:lang w:val="en-GB"/>
        </w:rPr>
        <w:t xml:space="preserve">over </w:t>
      </w:r>
      <w:r w:rsidRPr="00B515E8">
        <w:rPr>
          <w:rFonts w:cs="Arial"/>
          <w:szCs w:val="22"/>
          <w:lang w:val="en-GB"/>
        </w:rPr>
        <w:t>several years</w:t>
      </w:r>
      <w:r w:rsidR="00B515E8">
        <w:rPr>
          <w:rFonts w:cs="Arial"/>
          <w:szCs w:val="22"/>
          <w:lang w:val="en-GB"/>
        </w:rPr>
        <w:t>. T</w:t>
      </w:r>
      <w:r w:rsidRPr="00B515E8">
        <w:rPr>
          <w:rFonts w:cs="Arial"/>
          <w:szCs w:val="22"/>
          <w:lang w:val="en-GB"/>
        </w:rPr>
        <w:t>here were many debates and hearings of various researchers and experts</w:t>
      </w:r>
      <w:r w:rsidR="004C4230" w:rsidRPr="00B515E8">
        <w:rPr>
          <w:rFonts w:cs="Arial"/>
          <w:szCs w:val="22"/>
          <w:lang w:val="en-GB"/>
        </w:rPr>
        <w:t>,</w:t>
      </w:r>
      <w:r w:rsidRPr="00B515E8">
        <w:rPr>
          <w:rFonts w:cs="Arial"/>
          <w:szCs w:val="22"/>
          <w:lang w:val="en-GB"/>
        </w:rPr>
        <w:t xml:space="preserve"> </w:t>
      </w:r>
      <w:r w:rsidR="004B166A" w:rsidRPr="00B515E8">
        <w:rPr>
          <w:rFonts w:cs="Arial"/>
          <w:szCs w:val="22"/>
          <w:lang w:val="en-GB"/>
        </w:rPr>
        <w:t>culminating in</w:t>
      </w:r>
      <w:r w:rsidRPr="00B515E8">
        <w:rPr>
          <w:rFonts w:cs="Arial"/>
          <w:szCs w:val="22"/>
          <w:lang w:val="en-GB"/>
        </w:rPr>
        <w:t xml:space="preserve"> </w:t>
      </w:r>
      <w:r w:rsidR="004C4230" w:rsidRPr="00B515E8">
        <w:rPr>
          <w:rFonts w:cs="Arial"/>
          <w:szCs w:val="22"/>
          <w:lang w:val="en-GB"/>
        </w:rPr>
        <w:t xml:space="preserve">a vote being taken </w:t>
      </w:r>
      <w:r w:rsidRPr="00B515E8">
        <w:rPr>
          <w:rFonts w:cs="Arial"/>
          <w:szCs w:val="22"/>
          <w:lang w:val="en-GB"/>
        </w:rPr>
        <w:t xml:space="preserve">in the Bundestag </w:t>
      </w:r>
      <w:r w:rsidR="00B515E8">
        <w:rPr>
          <w:rFonts w:cs="Arial"/>
          <w:szCs w:val="22"/>
          <w:lang w:val="en-GB"/>
        </w:rPr>
        <w:t xml:space="preserve">to decide between </w:t>
      </w:r>
      <w:r w:rsidRPr="00B515E8">
        <w:rPr>
          <w:rFonts w:cs="Arial"/>
          <w:szCs w:val="22"/>
          <w:lang w:val="en-GB"/>
        </w:rPr>
        <w:t xml:space="preserve">three </w:t>
      </w:r>
      <w:r w:rsidR="00B515E8">
        <w:rPr>
          <w:rFonts w:cs="Arial"/>
          <w:szCs w:val="22"/>
          <w:lang w:val="en-GB"/>
        </w:rPr>
        <w:t>bills</w:t>
      </w:r>
      <w:r w:rsidRPr="00B515E8">
        <w:rPr>
          <w:rFonts w:cs="Arial"/>
          <w:szCs w:val="22"/>
          <w:lang w:val="en-GB"/>
        </w:rPr>
        <w:t xml:space="preserve"> </w:t>
      </w:r>
      <w:r w:rsidR="00B515E8">
        <w:rPr>
          <w:rFonts w:cs="Arial"/>
          <w:szCs w:val="22"/>
          <w:lang w:val="en-GB"/>
        </w:rPr>
        <w:t xml:space="preserve">or </w:t>
      </w:r>
      <w:r w:rsidRPr="00B515E8">
        <w:rPr>
          <w:rFonts w:cs="Arial"/>
          <w:szCs w:val="22"/>
          <w:lang w:val="en-GB"/>
        </w:rPr>
        <w:t xml:space="preserve">a request to the Federal Government to </w:t>
      </w:r>
      <w:r w:rsidR="00B515E8">
        <w:rPr>
          <w:rFonts w:cs="Arial"/>
          <w:szCs w:val="22"/>
          <w:lang w:val="en-GB"/>
        </w:rPr>
        <w:t>propose a bill</w:t>
      </w:r>
      <w:r w:rsidR="0053603A" w:rsidRPr="00B515E8">
        <w:rPr>
          <w:rFonts w:cs="Arial"/>
          <w:szCs w:val="22"/>
          <w:lang w:val="en-GB"/>
        </w:rPr>
        <w:t xml:space="preserve">. </w:t>
      </w:r>
      <w:r w:rsidR="00D708FF" w:rsidRPr="00B515E8">
        <w:rPr>
          <w:rFonts w:cs="Arial"/>
          <w:szCs w:val="22"/>
          <w:lang w:val="en-GB"/>
        </w:rPr>
        <w:t xml:space="preserve">There were different </w:t>
      </w:r>
      <w:r w:rsidR="00725063">
        <w:rPr>
          <w:rFonts w:cs="Arial"/>
          <w:szCs w:val="22"/>
          <w:lang w:val="en-GB"/>
        </w:rPr>
        <w:t>opinions</w:t>
      </w:r>
      <w:r w:rsidR="00D708FF" w:rsidRPr="00B515E8">
        <w:rPr>
          <w:rFonts w:cs="Arial"/>
          <w:szCs w:val="22"/>
          <w:lang w:val="en-GB"/>
        </w:rPr>
        <w:t xml:space="preserve">, for example, </w:t>
      </w:r>
      <w:r w:rsidR="004B166A" w:rsidRPr="00B515E8">
        <w:rPr>
          <w:rFonts w:cs="Arial"/>
          <w:szCs w:val="22"/>
          <w:lang w:val="en-GB"/>
        </w:rPr>
        <w:t>as to</w:t>
      </w:r>
      <w:r w:rsidR="00D708FF" w:rsidRPr="00B515E8">
        <w:rPr>
          <w:rFonts w:cs="Arial"/>
          <w:szCs w:val="22"/>
          <w:lang w:val="en-GB"/>
        </w:rPr>
        <w:t xml:space="preserve"> whether</w:t>
      </w:r>
      <w:r w:rsidR="00725063">
        <w:rPr>
          <w:rFonts w:cs="Arial"/>
          <w:szCs w:val="22"/>
          <w:lang w:val="en-GB"/>
        </w:rPr>
        <w:t xml:space="preserve"> a living will should only be valid if the patient had received </w:t>
      </w:r>
      <w:r w:rsidR="00D708FF" w:rsidRPr="00B515E8">
        <w:rPr>
          <w:rFonts w:cs="Arial"/>
          <w:szCs w:val="22"/>
          <w:lang w:val="en-GB"/>
        </w:rPr>
        <w:t>comprehensive medical and legal information</w:t>
      </w:r>
      <w:r w:rsidR="00725063">
        <w:rPr>
          <w:rFonts w:cs="Arial"/>
          <w:szCs w:val="22"/>
          <w:lang w:val="en-GB"/>
        </w:rPr>
        <w:t>,</w:t>
      </w:r>
      <w:r w:rsidR="00D708FF" w:rsidRPr="00B515E8">
        <w:rPr>
          <w:rFonts w:cs="Arial"/>
          <w:szCs w:val="22"/>
          <w:lang w:val="en-GB"/>
        </w:rPr>
        <w:t xml:space="preserve"> </w:t>
      </w:r>
      <w:r w:rsidR="00725063">
        <w:rPr>
          <w:rFonts w:cs="Arial"/>
          <w:szCs w:val="22"/>
          <w:lang w:val="en-GB"/>
        </w:rPr>
        <w:t>the living will was certified by a notary public, and</w:t>
      </w:r>
      <w:r w:rsidR="0009532E">
        <w:rPr>
          <w:rFonts w:cs="Arial"/>
          <w:szCs w:val="22"/>
          <w:lang w:val="en-GB"/>
        </w:rPr>
        <w:t xml:space="preserve">, in the case of an old </w:t>
      </w:r>
      <w:r w:rsidR="004B166A" w:rsidRPr="00B515E8">
        <w:rPr>
          <w:rFonts w:cs="Arial"/>
          <w:szCs w:val="22"/>
          <w:lang w:val="en-GB"/>
        </w:rPr>
        <w:t>living will</w:t>
      </w:r>
      <w:r w:rsidR="0009532E">
        <w:rPr>
          <w:rFonts w:cs="Arial"/>
          <w:szCs w:val="22"/>
          <w:lang w:val="en-GB"/>
        </w:rPr>
        <w:t>, it</w:t>
      </w:r>
      <w:r w:rsidR="004B166A" w:rsidRPr="00B515E8">
        <w:rPr>
          <w:rFonts w:cs="Arial"/>
          <w:szCs w:val="22"/>
          <w:lang w:val="en-GB"/>
        </w:rPr>
        <w:t xml:space="preserve"> </w:t>
      </w:r>
      <w:r w:rsidR="00D708FF" w:rsidRPr="00B515E8">
        <w:rPr>
          <w:rFonts w:cs="Arial"/>
          <w:szCs w:val="22"/>
          <w:lang w:val="en-GB"/>
        </w:rPr>
        <w:t xml:space="preserve">had </w:t>
      </w:r>
      <w:r w:rsidR="00155ECB">
        <w:rPr>
          <w:rFonts w:cs="Arial"/>
          <w:szCs w:val="22"/>
          <w:lang w:val="en-GB"/>
        </w:rPr>
        <w:t xml:space="preserve">been </w:t>
      </w:r>
      <w:r w:rsidR="00D708FF" w:rsidRPr="00B515E8">
        <w:rPr>
          <w:rFonts w:cs="Arial"/>
          <w:szCs w:val="22"/>
          <w:lang w:val="en-GB"/>
        </w:rPr>
        <w:t xml:space="preserve">confirmed </w:t>
      </w:r>
      <w:r w:rsidR="00155ECB">
        <w:rPr>
          <w:rFonts w:cs="Arial"/>
          <w:szCs w:val="22"/>
          <w:lang w:val="en-GB"/>
        </w:rPr>
        <w:t xml:space="preserve">after </w:t>
      </w:r>
      <w:r w:rsidR="00D708FF" w:rsidRPr="00B515E8">
        <w:rPr>
          <w:rFonts w:cs="Arial"/>
          <w:szCs w:val="22"/>
          <w:lang w:val="en-GB"/>
        </w:rPr>
        <w:t xml:space="preserve">a new medical consultation </w:t>
      </w:r>
      <w:r w:rsidR="004C4230" w:rsidRPr="00B515E8">
        <w:rPr>
          <w:rFonts w:cs="Arial"/>
          <w:szCs w:val="22"/>
          <w:lang w:val="en-GB"/>
        </w:rPr>
        <w:t>at the latest</w:t>
      </w:r>
      <w:r w:rsidR="00D708FF" w:rsidRPr="00B515E8">
        <w:rPr>
          <w:rFonts w:cs="Arial"/>
          <w:szCs w:val="22"/>
          <w:lang w:val="en-GB"/>
        </w:rPr>
        <w:t xml:space="preserve"> five years</w:t>
      </w:r>
      <w:r w:rsidR="00416C0F" w:rsidRPr="00B515E8">
        <w:rPr>
          <w:rFonts w:cs="Arial"/>
          <w:szCs w:val="22"/>
          <w:lang w:val="en-GB"/>
        </w:rPr>
        <w:t xml:space="preserve"> </w:t>
      </w:r>
      <w:r w:rsidR="004C4230" w:rsidRPr="00B515E8">
        <w:rPr>
          <w:rFonts w:cs="Arial"/>
          <w:szCs w:val="22"/>
          <w:lang w:val="en-GB"/>
        </w:rPr>
        <w:t>after it was made</w:t>
      </w:r>
      <w:r w:rsidR="0053603A" w:rsidRPr="00B515E8">
        <w:rPr>
          <w:rFonts w:cs="Arial"/>
          <w:szCs w:val="22"/>
          <w:lang w:val="en-GB"/>
        </w:rPr>
        <w:t xml:space="preserve">. </w:t>
      </w:r>
      <w:r w:rsidR="00416C0F" w:rsidRPr="00B515E8">
        <w:rPr>
          <w:rFonts w:cs="Arial"/>
          <w:szCs w:val="22"/>
          <w:lang w:val="en-GB"/>
        </w:rPr>
        <w:t xml:space="preserve">There were also different </w:t>
      </w:r>
      <w:r w:rsidR="00155ECB">
        <w:rPr>
          <w:rFonts w:cs="Arial"/>
          <w:szCs w:val="22"/>
          <w:lang w:val="en-GB"/>
        </w:rPr>
        <w:t xml:space="preserve">opinions </w:t>
      </w:r>
      <w:r w:rsidR="004B166A" w:rsidRPr="00B515E8">
        <w:rPr>
          <w:rFonts w:cs="Arial"/>
          <w:szCs w:val="22"/>
          <w:lang w:val="en-GB"/>
        </w:rPr>
        <w:t>as to</w:t>
      </w:r>
      <w:r w:rsidR="00416C0F" w:rsidRPr="00B515E8">
        <w:rPr>
          <w:rFonts w:cs="Arial"/>
          <w:szCs w:val="22"/>
          <w:lang w:val="en-GB"/>
        </w:rPr>
        <w:t xml:space="preserve"> whether</w:t>
      </w:r>
      <w:r w:rsidR="0053603A" w:rsidRPr="00B515E8">
        <w:rPr>
          <w:rFonts w:cs="Arial"/>
          <w:szCs w:val="22"/>
          <w:lang w:val="en-GB"/>
        </w:rPr>
        <w:t xml:space="preserve"> </w:t>
      </w:r>
      <w:r w:rsidR="00B64252" w:rsidRPr="00B515E8">
        <w:rPr>
          <w:rFonts w:cs="Arial"/>
          <w:szCs w:val="22"/>
          <w:lang w:val="en-GB"/>
        </w:rPr>
        <w:t xml:space="preserve">a </w:t>
      </w:r>
      <w:r w:rsidR="00155ECB">
        <w:rPr>
          <w:rFonts w:cs="Arial"/>
          <w:szCs w:val="22"/>
          <w:lang w:val="en-GB"/>
        </w:rPr>
        <w:t xml:space="preserve">legal guardian </w:t>
      </w:r>
      <w:r w:rsidR="00B64252" w:rsidRPr="00B515E8">
        <w:rPr>
          <w:rFonts w:cs="Arial"/>
          <w:szCs w:val="22"/>
          <w:lang w:val="en-GB"/>
        </w:rPr>
        <w:t xml:space="preserve">should be allowed to decide to </w:t>
      </w:r>
      <w:r w:rsidR="004C4230" w:rsidRPr="00725063">
        <w:rPr>
          <w:rFonts w:cs="Arial"/>
          <w:szCs w:val="22"/>
          <w:lang w:val="en-GB"/>
        </w:rPr>
        <w:t>terminate</w:t>
      </w:r>
      <w:r w:rsidR="00B64252" w:rsidRPr="00725063">
        <w:rPr>
          <w:rFonts w:cs="Arial"/>
          <w:szCs w:val="22"/>
          <w:lang w:val="en-GB"/>
        </w:rPr>
        <w:t xml:space="preserve"> treatment even in the case of a curable</w:t>
      </w:r>
      <w:r w:rsidR="0053603A" w:rsidRPr="00725063">
        <w:rPr>
          <w:rFonts w:cs="Arial"/>
          <w:szCs w:val="22"/>
          <w:lang w:val="en-GB"/>
        </w:rPr>
        <w:t xml:space="preserve">, </w:t>
      </w:r>
      <w:r w:rsidR="00B64252" w:rsidRPr="00725063">
        <w:rPr>
          <w:rFonts w:cs="Arial"/>
          <w:szCs w:val="22"/>
          <w:lang w:val="en-GB"/>
        </w:rPr>
        <w:t>non-fatal illness</w:t>
      </w:r>
      <w:r w:rsidR="0053603A" w:rsidRPr="00725063">
        <w:rPr>
          <w:rFonts w:cs="Arial"/>
          <w:szCs w:val="22"/>
          <w:lang w:val="en-GB"/>
        </w:rPr>
        <w:t>,</w:t>
      </w:r>
      <w:r w:rsidR="003E7E6F" w:rsidRPr="00725063">
        <w:rPr>
          <w:rFonts w:cs="Arial"/>
          <w:szCs w:val="22"/>
          <w:lang w:val="en-GB"/>
        </w:rPr>
        <w:t xml:space="preserve"> </w:t>
      </w:r>
      <w:r w:rsidR="00155ECB">
        <w:rPr>
          <w:rFonts w:cs="Arial"/>
          <w:szCs w:val="22"/>
          <w:lang w:val="en-GB"/>
        </w:rPr>
        <w:t xml:space="preserve">if </w:t>
      </w:r>
      <w:r w:rsidR="00B64252" w:rsidRPr="00725063">
        <w:rPr>
          <w:rFonts w:cs="Arial"/>
          <w:szCs w:val="22"/>
          <w:lang w:val="en-GB"/>
        </w:rPr>
        <w:t>there was no living will</w:t>
      </w:r>
      <w:r w:rsidR="003E7E6F" w:rsidRPr="00725063">
        <w:rPr>
          <w:rFonts w:cs="Arial"/>
          <w:szCs w:val="22"/>
          <w:lang w:val="en-GB"/>
        </w:rPr>
        <w:t xml:space="preserve"> </w:t>
      </w:r>
      <w:r w:rsidR="00B64252" w:rsidRPr="00725063">
        <w:rPr>
          <w:rFonts w:cs="Arial"/>
          <w:szCs w:val="22"/>
          <w:lang w:val="en-GB"/>
        </w:rPr>
        <w:t>or an existing living will was no longer up to date or relevant</w:t>
      </w:r>
      <w:r w:rsidR="003E7E6F" w:rsidRPr="00725063">
        <w:rPr>
          <w:rFonts w:cs="Arial"/>
          <w:szCs w:val="22"/>
          <w:lang w:val="en-GB"/>
        </w:rPr>
        <w:t xml:space="preserve">, </w:t>
      </w:r>
      <w:r w:rsidR="00155ECB">
        <w:rPr>
          <w:rFonts w:cs="Arial"/>
          <w:szCs w:val="22"/>
          <w:lang w:val="en-GB"/>
        </w:rPr>
        <w:t xml:space="preserve">but termination of the treatment </w:t>
      </w:r>
      <w:r w:rsidR="00B64252" w:rsidRPr="00725063">
        <w:rPr>
          <w:rFonts w:cs="Arial"/>
          <w:szCs w:val="22"/>
          <w:lang w:val="en-GB"/>
        </w:rPr>
        <w:t>corresponded to the patient’s presumed will</w:t>
      </w:r>
      <w:r w:rsidR="003E7E6F" w:rsidRPr="00725063">
        <w:rPr>
          <w:rFonts w:cs="Arial"/>
          <w:szCs w:val="22"/>
          <w:lang w:val="en-GB"/>
        </w:rPr>
        <w:t xml:space="preserve">. </w:t>
      </w:r>
      <w:r w:rsidR="00B64252" w:rsidRPr="00725063">
        <w:rPr>
          <w:rFonts w:cs="Arial"/>
          <w:szCs w:val="22"/>
          <w:lang w:val="en-GB"/>
        </w:rPr>
        <w:t xml:space="preserve">There were also different </w:t>
      </w:r>
      <w:r w:rsidR="00155ECB">
        <w:rPr>
          <w:rFonts w:cs="Arial"/>
          <w:szCs w:val="22"/>
          <w:lang w:val="en-GB"/>
        </w:rPr>
        <w:t xml:space="preserve">opinions </w:t>
      </w:r>
      <w:r w:rsidR="004C4230" w:rsidRPr="00725063">
        <w:rPr>
          <w:rFonts w:cs="Arial"/>
          <w:szCs w:val="22"/>
          <w:lang w:val="en-GB"/>
        </w:rPr>
        <w:t xml:space="preserve">as to </w:t>
      </w:r>
      <w:r w:rsidR="004B166A" w:rsidRPr="00725063">
        <w:rPr>
          <w:rFonts w:cs="Arial"/>
          <w:szCs w:val="22"/>
          <w:lang w:val="en-GB"/>
        </w:rPr>
        <w:t>who should</w:t>
      </w:r>
      <w:r w:rsidR="00B64252" w:rsidRPr="00725063">
        <w:rPr>
          <w:rFonts w:cs="Arial"/>
          <w:szCs w:val="22"/>
          <w:lang w:val="en-GB"/>
        </w:rPr>
        <w:t xml:space="preserve"> be involved in the decision </w:t>
      </w:r>
      <w:r w:rsidR="004B166A" w:rsidRPr="00725063">
        <w:rPr>
          <w:rFonts w:cs="Arial"/>
          <w:szCs w:val="22"/>
          <w:lang w:val="en-GB"/>
        </w:rPr>
        <w:t>to</w:t>
      </w:r>
      <w:r w:rsidR="004C4230" w:rsidRPr="00725063">
        <w:rPr>
          <w:rFonts w:cs="Arial"/>
          <w:szCs w:val="22"/>
          <w:lang w:val="en-GB"/>
        </w:rPr>
        <w:t xml:space="preserve"> terminat</w:t>
      </w:r>
      <w:r w:rsidR="004B166A" w:rsidRPr="00725063">
        <w:rPr>
          <w:rFonts w:cs="Arial"/>
          <w:szCs w:val="22"/>
          <w:lang w:val="en-GB"/>
        </w:rPr>
        <w:t>e</w:t>
      </w:r>
      <w:r w:rsidR="004C4230" w:rsidRPr="00725063">
        <w:rPr>
          <w:rFonts w:cs="Arial"/>
          <w:szCs w:val="22"/>
          <w:lang w:val="en-GB"/>
        </w:rPr>
        <w:t xml:space="preserve"> </w:t>
      </w:r>
      <w:r w:rsidR="00B64252" w:rsidRPr="00725063">
        <w:rPr>
          <w:rFonts w:cs="Arial"/>
          <w:szCs w:val="22"/>
          <w:lang w:val="en-GB"/>
        </w:rPr>
        <w:t>treatment</w:t>
      </w:r>
      <w:r w:rsidR="003E7E6F" w:rsidRPr="00725063">
        <w:rPr>
          <w:rFonts w:cs="Arial"/>
          <w:szCs w:val="22"/>
          <w:lang w:val="en-GB"/>
        </w:rPr>
        <w:t>.</w:t>
      </w:r>
    </w:p>
    <w:p w:rsidR="005D1C30" w:rsidRPr="00BC777B" w:rsidRDefault="00B64252" w:rsidP="000655FA">
      <w:pPr>
        <w:pStyle w:val="BMJStandard15Zeilen"/>
        <w:numPr>
          <w:ilvl w:val="0"/>
          <w:numId w:val="1"/>
        </w:numPr>
        <w:tabs>
          <w:tab w:val="left" w:pos="0"/>
        </w:tabs>
        <w:spacing w:after="240"/>
        <w:ind w:left="0" w:hanging="426"/>
        <w:jc w:val="both"/>
        <w:rPr>
          <w:rFonts w:cs="Arial"/>
          <w:szCs w:val="22"/>
          <w:lang w:val="en-GB"/>
        </w:rPr>
      </w:pPr>
      <w:r w:rsidRPr="00BC777B">
        <w:rPr>
          <w:rFonts w:cs="Arial"/>
          <w:szCs w:val="22"/>
          <w:lang w:val="en-GB"/>
        </w:rPr>
        <w:t xml:space="preserve">The law that was adopted </w:t>
      </w:r>
      <w:r w:rsidR="000E6518">
        <w:rPr>
          <w:rFonts w:cs="Arial"/>
          <w:szCs w:val="22"/>
          <w:lang w:val="en-GB"/>
        </w:rPr>
        <w:t xml:space="preserve">in 2009 </w:t>
      </w:r>
      <w:r w:rsidRPr="00BC777B">
        <w:rPr>
          <w:rFonts w:cs="Arial"/>
          <w:szCs w:val="22"/>
          <w:lang w:val="en-GB"/>
        </w:rPr>
        <w:t xml:space="preserve">provides for a </w:t>
      </w:r>
      <w:r w:rsidR="00155ECB">
        <w:rPr>
          <w:rFonts w:cs="Arial"/>
          <w:szCs w:val="22"/>
          <w:lang w:val="en-GB"/>
        </w:rPr>
        <w:t>legal guardian</w:t>
      </w:r>
      <w:r w:rsidR="00155ECB" w:rsidRPr="00BC777B">
        <w:rPr>
          <w:rFonts w:cs="Arial"/>
          <w:szCs w:val="22"/>
          <w:lang w:val="en-GB"/>
        </w:rPr>
        <w:t xml:space="preserve"> </w:t>
      </w:r>
      <w:r w:rsidRPr="00BC777B">
        <w:rPr>
          <w:rFonts w:cs="Arial"/>
          <w:szCs w:val="22"/>
          <w:lang w:val="en-GB"/>
        </w:rPr>
        <w:t xml:space="preserve">to give expression </w:t>
      </w:r>
      <w:r w:rsidR="00D3416B" w:rsidRPr="00BC777B">
        <w:rPr>
          <w:rFonts w:cs="Arial"/>
          <w:szCs w:val="22"/>
          <w:lang w:val="en-GB"/>
        </w:rPr>
        <w:t>to and ensure the practical application of</w:t>
      </w:r>
      <w:r w:rsidRPr="00BC777B">
        <w:rPr>
          <w:rFonts w:cs="Arial"/>
          <w:szCs w:val="22"/>
          <w:lang w:val="en-GB"/>
        </w:rPr>
        <w:t xml:space="preserve"> the will</w:t>
      </w:r>
      <w:r w:rsidR="005D1C30" w:rsidRPr="00BC777B">
        <w:rPr>
          <w:rFonts w:cs="Arial"/>
          <w:szCs w:val="22"/>
          <w:lang w:val="en-GB"/>
        </w:rPr>
        <w:t xml:space="preserve"> </w:t>
      </w:r>
      <w:r w:rsidRPr="00BC777B">
        <w:rPr>
          <w:rFonts w:cs="Arial"/>
          <w:szCs w:val="22"/>
          <w:lang w:val="en-GB"/>
        </w:rPr>
        <w:t xml:space="preserve">of a patient who is no longer able to </w:t>
      </w:r>
      <w:r w:rsidR="004C4230" w:rsidRPr="00BC777B">
        <w:rPr>
          <w:rFonts w:cs="Arial"/>
          <w:szCs w:val="22"/>
          <w:lang w:val="en-GB"/>
        </w:rPr>
        <w:t>express</w:t>
      </w:r>
      <w:r w:rsidRPr="00BC777B">
        <w:rPr>
          <w:rFonts w:cs="Arial"/>
          <w:szCs w:val="22"/>
          <w:lang w:val="en-GB"/>
        </w:rPr>
        <w:t xml:space="preserve"> consent</w:t>
      </w:r>
      <w:r w:rsidR="005D3C6A">
        <w:rPr>
          <w:rFonts w:cs="Arial"/>
          <w:szCs w:val="22"/>
          <w:lang w:val="en-GB"/>
        </w:rPr>
        <w:t xml:space="preserve">, provided </w:t>
      </w:r>
      <w:r w:rsidR="005D3C6A" w:rsidRPr="00BC777B">
        <w:rPr>
          <w:rFonts w:cs="Arial"/>
          <w:szCs w:val="22"/>
          <w:lang w:val="en-GB"/>
        </w:rPr>
        <w:t>th</w:t>
      </w:r>
      <w:r w:rsidR="005D3C6A">
        <w:rPr>
          <w:rFonts w:cs="Arial"/>
          <w:szCs w:val="22"/>
          <w:lang w:val="en-GB"/>
        </w:rPr>
        <w:t>at</w:t>
      </w:r>
      <w:r w:rsidR="005D3C6A" w:rsidRPr="00BC777B">
        <w:rPr>
          <w:rFonts w:cs="Arial"/>
          <w:szCs w:val="22"/>
          <w:lang w:val="en-GB"/>
        </w:rPr>
        <w:t xml:space="preserve"> </w:t>
      </w:r>
      <w:r w:rsidR="00D3416B" w:rsidRPr="00BC777B">
        <w:rPr>
          <w:rFonts w:cs="Arial"/>
          <w:szCs w:val="22"/>
          <w:lang w:val="en-GB"/>
        </w:rPr>
        <w:t xml:space="preserve">patient </w:t>
      </w:r>
      <w:r w:rsidR="004B166A" w:rsidRPr="00BC777B">
        <w:rPr>
          <w:rFonts w:cs="Arial"/>
          <w:szCs w:val="22"/>
          <w:lang w:val="en-GB"/>
        </w:rPr>
        <w:t xml:space="preserve">had previously </w:t>
      </w:r>
      <w:r w:rsidR="005D3C6A">
        <w:rPr>
          <w:rFonts w:cs="Arial"/>
          <w:szCs w:val="22"/>
          <w:lang w:val="en-GB"/>
        </w:rPr>
        <w:t xml:space="preserve">(as a competent adult) </w:t>
      </w:r>
      <w:r w:rsidR="004B166A" w:rsidRPr="00BC777B">
        <w:rPr>
          <w:rFonts w:cs="Arial"/>
          <w:szCs w:val="22"/>
          <w:lang w:val="en-GB"/>
        </w:rPr>
        <w:t xml:space="preserve">stated in writing </w:t>
      </w:r>
      <w:r w:rsidR="00D3416B" w:rsidRPr="00BC777B">
        <w:rPr>
          <w:rFonts w:cs="Arial"/>
          <w:szCs w:val="22"/>
          <w:lang w:val="en-GB"/>
        </w:rPr>
        <w:t>that in the case of his incapacity to give consent</w:t>
      </w:r>
      <w:r w:rsidR="005D1C30" w:rsidRPr="00BC777B">
        <w:rPr>
          <w:rFonts w:cs="Arial"/>
          <w:szCs w:val="22"/>
          <w:lang w:val="en-GB"/>
        </w:rPr>
        <w:t xml:space="preserve">, </w:t>
      </w:r>
      <w:r w:rsidR="00D3416B" w:rsidRPr="00BC777B">
        <w:rPr>
          <w:rFonts w:cs="Arial"/>
          <w:szCs w:val="22"/>
          <w:lang w:val="en-GB"/>
        </w:rPr>
        <w:t xml:space="preserve">he consents </w:t>
      </w:r>
      <w:r w:rsidR="004C4230" w:rsidRPr="00BC777B">
        <w:rPr>
          <w:rFonts w:cs="Arial"/>
          <w:szCs w:val="22"/>
          <w:lang w:val="en-GB"/>
        </w:rPr>
        <w:t xml:space="preserve">to </w:t>
      </w:r>
      <w:r w:rsidR="00D3416B" w:rsidRPr="00BC777B">
        <w:rPr>
          <w:rFonts w:cs="Arial"/>
          <w:szCs w:val="22"/>
          <w:lang w:val="en-GB"/>
        </w:rPr>
        <w:t>or prohibits certain examinations of his state of health</w:t>
      </w:r>
      <w:r w:rsidR="005D1C30" w:rsidRPr="00BC777B">
        <w:rPr>
          <w:rFonts w:cs="Arial"/>
          <w:szCs w:val="22"/>
          <w:lang w:val="en-GB"/>
        </w:rPr>
        <w:t xml:space="preserve">, </w:t>
      </w:r>
      <w:r w:rsidR="00D3416B" w:rsidRPr="00BC777B">
        <w:rPr>
          <w:rFonts w:cs="Arial"/>
          <w:szCs w:val="22"/>
          <w:lang w:val="en-GB"/>
        </w:rPr>
        <w:t xml:space="preserve">treatments or medical interventions not yet imminent at the time of the </w:t>
      </w:r>
      <w:r w:rsidR="00D3416B" w:rsidRPr="00BC777B">
        <w:rPr>
          <w:rFonts w:cs="Arial"/>
          <w:szCs w:val="22"/>
          <w:lang w:val="en-GB"/>
        </w:rPr>
        <w:lastRenderedPageBreak/>
        <w:t>statement</w:t>
      </w:r>
      <w:r w:rsidR="005D1C30" w:rsidRPr="00BC777B">
        <w:rPr>
          <w:rFonts w:cs="Arial"/>
          <w:szCs w:val="22"/>
          <w:lang w:val="en-GB"/>
        </w:rPr>
        <w:t xml:space="preserve"> (</w:t>
      </w:r>
      <w:r w:rsidR="00D3416B" w:rsidRPr="00BC777B">
        <w:rPr>
          <w:rFonts w:cs="Arial"/>
          <w:szCs w:val="22"/>
          <w:lang w:val="en-GB"/>
        </w:rPr>
        <w:t>living will</w:t>
      </w:r>
      <w:r w:rsidR="005D1C30" w:rsidRPr="00BC777B">
        <w:rPr>
          <w:rFonts w:cs="Arial"/>
          <w:szCs w:val="22"/>
          <w:lang w:val="en-GB"/>
        </w:rPr>
        <w:t xml:space="preserve">). </w:t>
      </w:r>
      <w:r w:rsidR="0009532E">
        <w:rPr>
          <w:rFonts w:cs="Arial"/>
          <w:szCs w:val="22"/>
          <w:lang w:val="en-GB"/>
        </w:rPr>
        <w:t xml:space="preserve">This also applies if the patient wishes to prohibit medical treatment in certain situations, even if this leads to death. </w:t>
      </w:r>
      <w:r w:rsidR="004C4230" w:rsidRPr="00BC777B">
        <w:rPr>
          <w:rFonts w:cs="Arial"/>
          <w:szCs w:val="22"/>
          <w:lang w:val="en-GB"/>
        </w:rPr>
        <w:t>T</w:t>
      </w:r>
      <w:r w:rsidR="00D3416B" w:rsidRPr="00BC777B">
        <w:rPr>
          <w:rFonts w:cs="Arial"/>
          <w:szCs w:val="22"/>
          <w:lang w:val="en-GB"/>
        </w:rPr>
        <w:t xml:space="preserve">he </w:t>
      </w:r>
      <w:r w:rsidR="005D3C6A">
        <w:rPr>
          <w:rFonts w:cs="Arial"/>
          <w:szCs w:val="22"/>
          <w:lang w:val="en-GB"/>
        </w:rPr>
        <w:t>legal guardian</w:t>
      </w:r>
      <w:r w:rsidR="005D3C6A" w:rsidRPr="00BC777B">
        <w:rPr>
          <w:rFonts w:cs="Arial"/>
          <w:szCs w:val="22"/>
          <w:lang w:val="en-GB"/>
        </w:rPr>
        <w:t xml:space="preserve"> </w:t>
      </w:r>
      <w:r w:rsidR="00D3416B" w:rsidRPr="00BC777B">
        <w:rPr>
          <w:rFonts w:cs="Arial"/>
          <w:szCs w:val="22"/>
          <w:lang w:val="en-GB"/>
        </w:rPr>
        <w:t xml:space="preserve">examines </w:t>
      </w:r>
      <w:r w:rsidR="004C4230" w:rsidRPr="00BC777B">
        <w:rPr>
          <w:rFonts w:cs="Arial"/>
          <w:szCs w:val="22"/>
          <w:lang w:val="en-GB"/>
        </w:rPr>
        <w:t xml:space="preserve">beforehand </w:t>
      </w:r>
      <w:r w:rsidR="00D3416B" w:rsidRPr="00BC777B">
        <w:rPr>
          <w:rFonts w:cs="Arial"/>
          <w:szCs w:val="22"/>
          <w:lang w:val="en-GB"/>
        </w:rPr>
        <w:t>whether these statements apply to the patient’s current life and treatment situation</w:t>
      </w:r>
      <w:r w:rsidR="005D1C30" w:rsidRPr="00BC777B">
        <w:rPr>
          <w:rFonts w:cs="Arial"/>
          <w:szCs w:val="22"/>
          <w:lang w:val="en-GB"/>
        </w:rPr>
        <w:t xml:space="preserve">. </w:t>
      </w:r>
      <w:r w:rsidR="000728DE" w:rsidRPr="00BC777B">
        <w:rPr>
          <w:rFonts w:cs="Arial"/>
          <w:szCs w:val="22"/>
          <w:lang w:val="en-GB"/>
        </w:rPr>
        <w:t>In addition, the law provi</w:t>
      </w:r>
      <w:r w:rsidR="004B166A" w:rsidRPr="00BC777B">
        <w:rPr>
          <w:rFonts w:cs="Arial"/>
          <w:szCs w:val="22"/>
          <w:lang w:val="en-GB"/>
        </w:rPr>
        <w:t>des</w:t>
      </w:r>
      <w:r w:rsidR="000728DE" w:rsidRPr="00BC777B">
        <w:rPr>
          <w:rFonts w:cs="Arial"/>
          <w:szCs w:val="22"/>
          <w:lang w:val="en-GB"/>
        </w:rPr>
        <w:t xml:space="preserve"> that a living will may be revoked informally at any time. It also provi</w:t>
      </w:r>
      <w:r w:rsidR="004B166A" w:rsidRPr="00BC777B">
        <w:rPr>
          <w:rFonts w:cs="Arial"/>
          <w:szCs w:val="22"/>
          <w:lang w:val="en-GB"/>
        </w:rPr>
        <w:t>des</w:t>
      </w:r>
      <w:r w:rsidR="004C4230" w:rsidRPr="00BC777B">
        <w:rPr>
          <w:rFonts w:cs="Arial"/>
          <w:szCs w:val="22"/>
          <w:lang w:val="en-GB"/>
        </w:rPr>
        <w:t xml:space="preserve"> </w:t>
      </w:r>
      <w:r w:rsidR="000728DE" w:rsidRPr="00BC777B">
        <w:rPr>
          <w:rFonts w:cs="Arial"/>
          <w:szCs w:val="22"/>
          <w:lang w:val="en-GB"/>
        </w:rPr>
        <w:t xml:space="preserve">that nobody </w:t>
      </w:r>
      <w:r w:rsidR="004C4230" w:rsidRPr="00BC777B">
        <w:rPr>
          <w:rFonts w:cs="Arial"/>
          <w:szCs w:val="22"/>
          <w:lang w:val="en-GB"/>
        </w:rPr>
        <w:t>can</w:t>
      </w:r>
      <w:r w:rsidR="000728DE" w:rsidRPr="00BC777B">
        <w:rPr>
          <w:rFonts w:cs="Arial"/>
          <w:szCs w:val="22"/>
          <w:lang w:val="en-GB"/>
        </w:rPr>
        <w:t xml:space="preserve"> be obliged to make a living will. </w:t>
      </w:r>
      <w:r w:rsidR="00D3416B" w:rsidRPr="00BC777B">
        <w:rPr>
          <w:rFonts w:cs="Arial"/>
          <w:szCs w:val="22"/>
          <w:lang w:val="en-GB"/>
        </w:rPr>
        <w:t xml:space="preserve">Finally, the law provides that non-consent to </w:t>
      </w:r>
      <w:r w:rsidR="005D1C30" w:rsidRPr="00BC777B">
        <w:rPr>
          <w:rFonts w:cs="Arial"/>
          <w:szCs w:val="22"/>
          <w:lang w:val="en-GB"/>
        </w:rPr>
        <w:t>medi</w:t>
      </w:r>
      <w:r w:rsidR="00D3416B" w:rsidRPr="00BC777B">
        <w:rPr>
          <w:rFonts w:cs="Arial"/>
          <w:szCs w:val="22"/>
          <w:lang w:val="en-GB"/>
        </w:rPr>
        <w:t>cally appropriate treatment</w:t>
      </w:r>
      <w:r w:rsidR="00CD49C4" w:rsidRPr="00BC777B">
        <w:rPr>
          <w:rFonts w:cs="Arial"/>
          <w:szCs w:val="22"/>
          <w:lang w:val="en-GB"/>
        </w:rPr>
        <w:t xml:space="preserve"> </w:t>
      </w:r>
      <w:r w:rsidR="004B166A" w:rsidRPr="00BC777B">
        <w:rPr>
          <w:rFonts w:cs="Arial"/>
          <w:szCs w:val="22"/>
          <w:lang w:val="en-GB"/>
        </w:rPr>
        <w:t xml:space="preserve">must be approved by a </w:t>
      </w:r>
      <w:r w:rsidR="00B06C6C">
        <w:rPr>
          <w:rFonts w:cs="Arial"/>
          <w:szCs w:val="22"/>
          <w:lang w:val="en-GB"/>
        </w:rPr>
        <w:t>judge</w:t>
      </w:r>
      <w:r w:rsidR="00B06C6C" w:rsidRPr="00BC777B">
        <w:rPr>
          <w:rFonts w:cs="Arial"/>
          <w:szCs w:val="22"/>
          <w:lang w:val="en-GB"/>
        </w:rPr>
        <w:t xml:space="preserve"> </w:t>
      </w:r>
      <w:r w:rsidR="00CD49C4" w:rsidRPr="00BC777B">
        <w:rPr>
          <w:rFonts w:cs="Arial"/>
          <w:szCs w:val="22"/>
          <w:lang w:val="en-GB"/>
        </w:rPr>
        <w:t xml:space="preserve">if the </w:t>
      </w:r>
      <w:r w:rsidR="005D3C6A">
        <w:rPr>
          <w:rFonts w:cs="Arial"/>
          <w:szCs w:val="22"/>
          <w:lang w:val="en-GB"/>
        </w:rPr>
        <w:t>legal guardian</w:t>
      </w:r>
      <w:r w:rsidR="005D3C6A" w:rsidRPr="00BC777B">
        <w:rPr>
          <w:rFonts w:cs="Arial"/>
          <w:szCs w:val="22"/>
          <w:lang w:val="en-GB"/>
        </w:rPr>
        <w:t xml:space="preserve"> </w:t>
      </w:r>
      <w:r w:rsidR="00CD49C4" w:rsidRPr="00BC777B">
        <w:rPr>
          <w:rFonts w:cs="Arial"/>
          <w:szCs w:val="22"/>
          <w:lang w:val="en-GB"/>
        </w:rPr>
        <w:t>and the attending physician do not agree that such non-consent corresponds to the presumed will of the patient stated in a living will</w:t>
      </w:r>
      <w:r w:rsidR="005D1C30" w:rsidRPr="00BC777B">
        <w:rPr>
          <w:rFonts w:cs="Arial"/>
          <w:szCs w:val="22"/>
          <w:lang w:val="en-GB"/>
        </w:rPr>
        <w:t xml:space="preserve"> </w:t>
      </w:r>
      <w:r w:rsidR="00F13970" w:rsidRPr="00BC777B">
        <w:rPr>
          <w:rFonts w:cs="Arial"/>
          <w:szCs w:val="22"/>
          <w:lang w:val="en-GB"/>
        </w:rPr>
        <w:t xml:space="preserve">or </w:t>
      </w:r>
      <w:r w:rsidR="005D3C6A">
        <w:rPr>
          <w:rFonts w:cs="Arial"/>
          <w:szCs w:val="22"/>
          <w:lang w:val="en-GB"/>
        </w:rPr>
        <w:t>determined</w:t>
      </w:r>
      <w:r w:rsidR="005D3C6A" w:rsidRPr="00BC777B">
        <w:rPr>
          <w:rFonts w:cs="Arial"/>
          <w:szCs w:val="22"/>
          <w:lang w:val="en-GB"/>
        </w:rPr>
        <w:t xml:space="preserve"> </w:t>
      </w:r>
      <w:r w:rsidR="00CD49C4" w:rsidRPr="00BC777B">
        <w:rPr>
          <w:rFonts w:cs="Arial"/>
          <w:szCs w:val="22"/>
          <w:lang w:val="en-GB"/>
        </w:rPr>
        <w:t>in some other way</w:t>
      </w:r>
      <w:r w:rsidR="005D1C30" w:rsidRPr="00BC777B">
        <w:rPr>
          <w:rFonts w:cs="Arial"/>
          <w:szCs w:val="22"/>
          <w:lang w:val="en-GB"/>
        </w:rPr>
        <w:t>.</w:t>
      </w:r>
    </w:p>
    <w:p w:rsidR="002F154A" w:rsidRPr="00BC777B" w:rsidRDefault="00CD49C4" w:rsidP="000655FA">
      <w:pPr>
        <w:pStyle w:val="BMJStandard15Zeilen"/>
        <w:numPr>
          <w:ilvl w:val="0"/>
          <w:numId w:val="1"/>
        </w:numPr>
        <w:tabs>
          <w:tab w:val="clear" w:pos="1701"/>
          <w:tab w:val="left" w:pos="0"/>
        </w:tabs>
        <w:spacing w:after="240"/>
        <w:ind w:left="0" w:hanging="426"/>
        <w:jc w:val="both"/>
        <w:rPr>
          <w:rFonts w:cs="Arial"/>
          <w:szCs w:val="22"/>
          <w:lang w:val="en-GB"/>
        </w:rPr>
      </w:pPr>
      <w:r w:rsidRPr="00BC777B">
        <w:rPr>
          <w:rFonts w:cs="Arial"/>
          <w:szCs w:val="22"/>
          <w:lang w:val="en-GB"/>
        </w:rPr>
        <w:t xml:space="preserve">In addition to the question </w:t>
      </w:r>
      <w:r w:rsidR="004B46E5">
        <w:rPr>
          <w:rFonts w:cs="Arial"/>
          <w:szCs w:val="22"/>
          <w:lang w:val="en-GB"/>
        </w:rPr>
        <w:t>as to</w:t>
      </w:r>
      <w:r w:rsidRPr="00BC777B">
        <w:rPr>
          <w:rFonts w:cs="Arial"/>
          <w:szCs w:val="22"/>
          <w:lang w:val="en-GB"/>
        </w:rPr>
        <w:t xml:space="preserve"> whether life-prolonging</w:t>
      </w:r>
      <w:r w:rsidR="00F13970" w:rsidRPr="00BC777B">
        <w:rPr>
          <w:rFonts w:cs="Arial"/>
          <w:szCs w:val="22"/>
          <w:lang w:val="en-GB"/>
        </w:rPr>
        <w:t xml:space="preserve"> medi</w:t>
      </w:r>
      <w:r w:rsidRPr="00BC777B">
        <w:rPr>
          <w:rFonts w:cs="Arial"/>
          <w:szCs w:val="22"/>
          <w:lang w:val="en-GB"/>
        </w:rPr>
        <w:t xml:space="preserve">cal treatment can be refused or not </w:t>
      </w:r>
      <w:r w:rsidR="004B166A" w:rsidRPr="00BC777B">
        <w:rPr>
          <w:rFonts w:cs="Arial"/>
          <w:szCs w:val="22"/>
          <w:lang w:val="en-GB"/>
        </w:rPr>
        <w:t>performed</w:t>
      </w:r>
      <w:r w:rsidR="00F13970" w:rsidRPr="00BC777B">
        <w:rPr>
          <w:rFonts w:cs="Arial"/>
          <w:szCs w:val="22"/>
          <w:lang w:val="en-GB"/>
        </w:rPr>
        <w:t xml:space="preserve">, </w:t>
      </w:r>
      <w:r w:rsidRPr="00BC777B">
        <w:rPr>
          <w:rFonts w:cs="Arial"/>
          <w:szCs w:val="22"/>
          <w:lang w:val="en-GB"/>
        </w:rPr>
        <w:t>the question arose as to the extent to which physicians</w:t>
      </w:r>
      <w:r w:rsidR="00F13970" w:rsidRPr="00BC777B">
        <w:rPr>
          <w:rFonts w:cs="Arial"/>
          <w:szCs w:val="22"/>
          <w:lang w:val="en-GB"/>
        </w:rPr>
        <w:t xml:space="preserve">, </w:t>
      </w:r>
      <w:r w:rsidRPr="00BC777B">
        <w:rPr>
          <w:rFonts w:cs="Arial"/>
          <w:szCs w:val="22"/>
          <w:lang w:val="en-GB"/>
        </w:rPr>
        <w:t>relatives</w:t>
      </w:r>
      <w:r w:rsidR="00F13970" w:rsidRPr="00BC777B">
        <w:rPr>
          <w:rFonts w:cs="Arial"/>
          <w:szCs w:val="22"/>
          <w:lang w:val="en-GB"/>
        </w:rPr>
        <w:t xml:space="preserve"> or </w:t>
      </w:r>
      <w:r w:rsidRPr="00BC777B">
        <w:rPr>
          <w:rFonts w:cs="Arial"/>
          <w:szCs w:val="22"/>
          <w:lang w:val="en-GB"/>
        </w:rPr>
        <w:t xml:space="preserve">third parties </w:t>
      </w:r>
      <w:r w:rsidR="0009532E">
        <w:rPr>
          <w:rFonts w:cs="Arial"/>
          <w:szCs w:val="22"/>
          <w:lang w:val="en-GB"/>
        </w:rPr>
        <w:t>should b</w:t>
      </w:r>
      <w:r w:rsidR="0009532E" w:rsidRPr="00BC777B">
        <w:rPr>
          <w:rFonts w:cs="Arial"/>
          <w:szCs w:val="22"/>
          <w:lang w:val="en-GB"/>
        </w:rPr>
        <w:t xml:space="preserve">e </w:t>
      </w:r>
      <w:r w:rsidRPr="00BC777B">
        <w:rPr>
          <w:rFonts w:cs="Arial"/>
          <w:szCs w:val="22"/>
          <w:lang w:val="en-GB"/>
        </w:rPr>
        <w:t xml:space="preserve">allowed to </w:t>
      </w:r>
      <w:r w:rsidR="004B166A" w:rsidRPr="00BC777B">
        <w:rPr>
          <w:rFonts w:cs="Arial"/>
          <w:szCs w:val="22"/>
          <w:lang w:val="en-GB"/>
        </w:rPr>
        <w:t xml:space="preserve">provide </w:t>
      </w:r>
      <w:r w:rsidR="00E969AA" w:rsidRPr="00BC777B">
        <w:rPr>
          <w:rFonts w:cs="Arial"/>
          <w:szCs w:val="22"/>
          <w:lang w:val="en-GB"/>
        </w:rPr>
        <w:t>assist</w:t>
      </w:r>
      <w:r w:rsidR="004B166A" w:rsidRPr="00BC777B">
        <w:rPr>
          <w:rFonts w:cs="Arial"/>
          <w:szCs w:val="22"/>
          <w:lang w:val="en-GB"/>
        </w:rPr>
        <w:t>ed</w:t>
      </w:r>
      <w:r w:rsidRPr="00BC777B">
        <w:rPr>
          <w:rFonts w:cs="Arial"/>
          <w:szCs w:val="22"/>
          <w:lang w:val="en-GB"/>
        </w:rPr>
        <w:t xml:space="preserve"> </w:t>
      </w:r>
      <w:r w:rsidR="004C4230" w:rsidRPr="00BC777B">
        <w:rPr>
          <w:rFonts w:cs="Arial"/>
          <w:szCs w:val="22"/>
          <w:lang w:val="en-GB"/>
        </w:rPr>
        <w:t>suicide</w:t>
      </w:r>
      <w:r w:rsidR="004B166A" w:rsidRPr="00BC777B">
        <w:rPr>
          <w:rFonts w:cs="Arial"/>
          <w:szCs w:val="22"/>
          <w:lang w:val="en-GB"/>
        </w:rPr>
        <w:t xml:space="preserve"> to a person wishing to die</w:t>
      </w:r>
      <w:r w:rsidR="00F13970" w:rsidRPr="00BC777B">
        <w:rPr>
          <w:rFonts w:cs="Arial"/>
          <w:szCs w:val="22"/>
          <w:lang w:val="en-GB"/>
        </w:rPr>
        <w:t xml:space="preserve">. </w:t>
      </w:r>
      <w:r w:rsidRPr="00BC777B">
        <w:rPr>
          <w:rFonts w:cs="Arial"/>
          <w:szCs w:val="22"/>
          <w:lang w:val="en-GB"/>
        </w:rPr>
        <w:t xml:space="preserve">In principle, assistance </w:t>
      </w:r>
      <w:r w:rsidR="00B06C6C">
        <w:rPr>
          <w:rFonts w:cs="Arial"/>
          <w:szCs w:val="22"/>
          <w:lang w:val="en-GB"/>
        </w:rPr>
        <w:t>to a voluntary</w:t>
      </w:r>
      <w:r w:rsidRPr="00BC777B">
        <w:rPr>
          <w:rFonts w:cs="Arial"/>
          <w:szCs w:val="22"/>
          <w:lang w:val="en-GB"/>
        </w:rPr>
        <w:t xml:space="preserve"> suicide is not punishable under German law</w:t>
      </w:r>
      <w:r w:rsidR="009103F9" w:rsidRPr="00BC777B">
        <w:rPr>
          <w:rFonts w:cs="Arial"/>
          <w:szCs w:val="22"/>
          <w:lang w:val="en-GB"/>
        </w:rPr>
        <w:t>.</w:t>
      </w:r>
      <w:r w:rsidR="00655498" w:rsidRPr="00BC777B">
        <w:rPr>
          <w:rFonts w:cs="Arial"/>
          <w:szCs w:val="22"/>
          <w:lang w:val="en-GB"/>
        </w:rPr>
        <w:t xml:space="preserve"> </w:t>
      </w:r>
      <w:r w:rsidRPr="00BC777B">
        <w:rPr>
          <w:rFonts w:cs="Arial"/>
          <w:szCs w:val="22"/>
          <w:lang w:val="en-GB"/>
        </w:rPr>
        <w:t xml:space="preserve">Killing on </w:t>
      </w:r>
      <w:r w:rsidR="004C4230" w:rsidRPr="00BC777B">
        <w:rPr>
          <w:rFonts w:cs="Arial"/>
          <w:szCs w:val="22"/>
          <w:lang w:val="en-GB"/>
        </w:rPr>
        <w:t>request</w:t>
      </w:r>
      <w:r w:rsidR="000E6518" w:rsidRPr="00BC777B">
        <w:rPr>
          <w:rFonts w:cs="Arial"/>
          <w:szCs w:val="22"/>
          <w:lang w:val="en-GB"/>
        </w:rPr>
        <w:t>, however</w:t>
      </w:r>
      <w:r w:rsidR="000E6518">
        <w:rPr>
          <w:rFonts w:cs="Arial"/>
          <w:szCs w:val="22"/>
          <w:lang w:val="en-GB"/>
        </w:rPr>
        <w:t>,</w:t>
      </w:r>
      <w:r w:rsidRPr="00BC777B">
        <w:rPr>
          <w:rFonts w:cs="Arial"/>
          <w:szCs w:val="22"/>
          <w:lang w:val="en-GB"/>
        </w:rPr>
        <w:t xml:space="preserve"> is punishable</w:t>
      </w:r>
      <w:r w:rsidR="00655498" w:rsidRPr="00BC777B">
        <w:rPr>
          <w:rFonts w:cs="Arial"/>
          <w:szCs w:val="22"/>
          <w:lang w:val="en-GB"/>
        </w:rPr>
        <w:t xml:space="preserve">. </w:t>
      </w:r>
      <w:r w:rsidR="00E969AA" w:rsidRPr="00BC777B">
        <w:rPr>
          <w:rFonts w:cs="Arial"/>
          <w:szCs w:val="22"/>
          <w:lang w:val="en-GB"/>
        </w:rPr>
        <w:t xml:space="preserve">The distinction between </w:t>
      </w:r>
      <w:r w:rsidR="004B166A" w:rsidRPr="00BC777B">
        <w:rPr>
          <w:rFonts w:cs="Arial"/>
          <w:szCs w:val="22"/>
          <w:lang w:val="en-GB"/>
        </w:rPr>
        <w:t>assisted</w:t>
      </w:r>
      <w:r w:rsidR="00E969AA" w:rsidRPr="00BC777B">
        <w:rPr>
          <w:rFonts w:cs="Arial"/>
          <w:szCs w:val="22"/>
          <w:lang w:val="en-GB"/>
        </w:rPr>
        <w:t xml:space="preserve"> s</w:t>
      </w:r>
      <w:r w:rsidR="00655498" w:rsidRPr="00BC777B">
        <w:rPr>
          <w:rFonts w:cs="Arial"/>
          <w:szCs w:val="22"/>
          <w:lang w:val="en-GB"/>
        </w:rPr>
        <w:t>ui</w:t>
      </w:r>
      <w:r w:rsidR="00E969AA" w:rsidRPr="00BC777B">
        <w:rPr>
          <w:rFonts w:cs="Arial"/>
          <w:szCs w:val="22"/>
          <w:lang w:val="en-GB"/>
        </w:rPr>
        <w:t>c</w:t>
      </w:r>
      <w:r w:rsidR="00655498" w:rsidRPr="00BC777B">
        <w:rPr>
          <w:rFonts w:cs="Arial"/>
          <w:szCs w:val="22"/>
          <w:lang w:val="en-GB"/>
        </w:rPr>
        <w:t>id</w:t>
      </w:r>
      <w:r w:rsidR="00E969AA" w:rsidRPr="00BC777B">
        <w:rPr>
          <w:rFonts w:cs="Arial"/>
          <w:szCs w:val="22"/>
          <w:lang w:val="en-GB"/>
        </w:rPr>
        <w:t>e</w:t>
      </w:r>
      <w:r w:rsidR="004C4230" w:rsidRPr="00BC777B">
        <w:rPr>
          <w:rFonts w:cs="Arial"/>
          <w:szCs w:val="22"/>
          <w:lang w:val="en-GB"/>
        </w:rPr>
        <w:t>, which is not punishable,</w:t>
      </w:r>
      <w:r w:rsidR="00655498" w:rsidRPr="00BC777B">
        <w:rPr>
          <w:rFonts w:cs="Arial"/>
          <w:szCs w:val="22"/>
          <w:lang w:val="en-GB"/>
        </w:rPr>
        <w:t xml:space="preserve"> </w:t>
      </w:r>
      <w:r w:rsidR="00E969AA" w:rsidRPr="00BC777B">
        <w:rPr>
          <w:rFonts w:cs="Arial"/>
          <w:szCs w:val="22"/>
          <w:lang w:val="en-GB"/>
        </w:rPr>
        <w:t>a</w:t>
      </w:r>
      <w:r w:rsidR="00655498" w:rsidRPr="00BC777B">
        <w:rPr>
          <w:rFonts w:cs="Arial"/>
          <w:szCs w:val="22"/>
          <w:lang w:val="en-GB"/>
        </w:rPr>
        <w:t xml:space="preserve">nd </w:t>
      </w:r>
      <w:r w:rsidR="004C4230" w:rsidRPr="00BC777B">
        <w:rPr>
          <w:rFonts w:cs="Arial"/>
          <w:szCs w:val="22"/>
          <w:lang w:val="en-GB"/>
        </w:rPr>
        <w:t xml:space="preserve">killing </w:t>
      </w:r>
      <w:r w:rsidR="00B06C6C">
        <w:rPr>
          <w:rFonts w:cs="Arial"/>
          <w:szCs w:val="22"/>
          <w:lang w:val="en-GB"/>
        </w:rPr>
        <w:t xml:space="preserve">someone else </w:t>
      </w:r>
      <w:r w:rsidR="004C4230" w:rsidRPr="00BC777B">
        <w:rPr>
          <w:rFonts w:cs="Arial"/>
          <w:szCs w:val="22"/>
          <w:lang w:val="en-GB"/>
        </w:rPr>
        <w:t xml:space="preserve">on request, which is punishable, </w:t>
      </w:r>
      <w:r w:rsidR="00E969AA" w:rsidRPr="00BC777B">
        <w:rPr>
          <w:rFonts w:cs="Arial"/>
          <w:szCs w:val="22"/>
          <w:lang w:val="en-GB"/>
        </w:rPr>
        <w:t>is determined according to who effectively controlled the event le</w:t>
      </w:r>
      <w:r w:rsidR="004B166A" w:rsidRPr="00BC777B">
        <w:rPr>
          <w:rFonts w:cs="Arial"/>
          <w:szCs w:val="22"/>
          <w:lang w:val="en-GB"/>
        </w:rPr>
        <w:t>a</w:t>
      </w:r>
      <w:r w:rsidR="00E969AA" w:rsidRPr="00BC777B">
        <w:rPr>
          <w:rFonts w:cs="Arial"/>
          <w:szCs w:val="22"/>
          <w:lang w:val="en-GB"/>
        </w:rPr>
        <w:t>d</w:t>
      </w:r>
      <w:r w:rsidR="004B166A" w:rsidRPr="00BC777B">
        <w:rPr>
          <w:rFonts w:cs="Arial"/>
          <w:szCs w:val="22"/>
          <w:lang w:val="en-GB"/>
        </w:rPr>
        <w:t>ing</w:t>
      </w:r>
      <w:r w:rsidR="00E969AA" w:rsidRPr="00BC777B">
        <w:rPr>
          <w:rFonts w:cs="Arial"/>
          <w:szCs w:val="22"/>
          <w:lang w:val="en-GB"/>
        </w:rPr>
        <w:t xml:space="preserve"> to death</w:t>
      </w:r>
      <w:r w:rsidR="00655498" w:rsidRPr="00BC777B">
        <w:rPr>
          <w:rFonts w:cs="Arial"/>
          <w:szCs w:val="22"/>
          <w:lang w:val="en-GB"/>
        </w:rPr>
        <w:t>, in</w:t>
      </w:r>
      <w:r w:rsidR="00E969AA" w:rsidRPr="00BC777B">
        <w:rPr>
          <w:rFonts w:cs="Arial"/>
          <w:szCs w:val="22"/>
          <w:lang w:val="en-GB"/>
        </w:rPr>
        <w:t xml:space="preserve"> particular who undertakes the act directly leading to death</w:t>
      </w:r>
      <w:r w:rsidR="00E414B7" w:rsidRPr="00BC777B">
        <w:rPr>
          <w:rFonts w:cs="Arial"/>
          <w:szCs w:val="22"/>
          <w:lang w:val="en-GB"/>
        </w:rPr>
        <w:t xml:space="preserve">. </w:t>
      </w:r>
      <w:r w:rsidR="00545868">
        <w:rPr>
          <w:rFonts w:cs="Arial"/>
          <w:szCs w:val="22"/>
          <w:lang w:val="en-GB"/>
        </w:rPr>
        <w:t>However</w:t>
      </w:r>
      <w:r w:rsidR="00D63932" w:rsidRPr="00BC777B">
        <w:rPr>
          <w:rFonts w:cs="Arial"/>
          <w:szCs w:val="22"/>
          <w:lang w:val="en-GB"/>
        </w:rPr>
        <w:t xml:space="preserve">, </w:t>
      </w:r>
      <w:r w:rsidR="00545868">
        <w:rPr>
          <w:rFonts w:cs="Arial"/>
          <w:szCs w:val="22"/>
          <w:lang w:val="en-GB"/>
        </w:rPr>
        <w:t xml:space="preserve">some </w:t>
      </w:r>
      <w:r w:rsidR="00D63932" w:rsidRPr="00BC777B">
        <w:rPr>
          <w:rFonts w:cs="Arial"/>
          <w:szCs w:val="22"/>
          <w:lang w:val="en-GB"/>
        </w:rPr>
        <w:t>professional codes of conduct governing physician</w:t>
      </w:r>
      <w:r w:rsidR="004C4230" w:rsidRPr="00BC777B">
        <w:rPr>
          <w:rFonts w:cs="Arial"/>
          <w:szCs w:val="22"/>
          <w:lang w:val="en-GB"/>
        </w:rPr>
        <w:t>s explicitly prohibit physician-</w:t>
      </w:r>
      <w:r w:rsidR="00D63932" w:rsidRPr="00BC777B">
        <w:rPr>
          <w:rFonts w:cs="Arial"/>
          <w:szCs w:val="22"/>
          <w:lang w:val="en-GB"/>
        </w:rPr>
        <w:t>assisted suicide</w:t>
      </w:r>
      <w:r w:rsidR="002F154A" w:rsidRPr="00BC777B">
        <w:rPr>
          <w:rFonts w:cs="Arial"/>
          <w:szCs w:val="22"/>
          <w:lang w:val="en-GB"/>
        </w:rPr>
        <w:t>.</w:t>
      </w:r>
    </w:p>
    <w:p w:rsidR="000045A3" w:rsidRPr="00BC777B" w:rsidRDefault="00B64252" w:rsidP="000655FA">
      <w:pPr>
        <w:pStyle w:val="BMJStandard15Zeilen"/>
        <w:numPr>
          <w:ilvl w:val="0"/>
          <w:numId w:val="1"/>
        </w:numPr>
        <w:tabs>
          <w:tab w:val="clear" w:pos="1701"/>
          <w:tab w:val="left" w:pos="0"/>
        </w:tabs>
        <w:spacing w:after="240"/>
        <w:ind w:left="0" w:hanging="426"/>
        <w:jc w:val="both"/>
        <w:rPr>
          <w:rFonts w:cs="Arial"/>
          <w:szCs w:val="22"/>
          <w:lang w:val="en-GB"/>
        </w:rPr>
      </w:pPr>
      <w:r w:rsidRPr="00BC777B">
        <w:rPr>
          <w:rFonts w:cs="Arial"/>
          <w:szCs w:val="22"/>
          <w:lang w:val="en-GB"/>
        </w:rPr>
        <w:t xml:space="preserve">In any case, </w:t>
      </w:r>
      <w:r w:rsidR="003A19D1">
        <w:rPr>
          <w:rFonts w:cs="Arial"/>
          <w:szCs w:val="22"/>
          <w:lang w:val="en-GB"/>
        </w:rPr>
        <w:t>treatment of extreme pain</w:t>
      </w:r>
      <w:r w:rsidRPr="00BC777B">
        <w:rPr>
          <w:rFonts w:cs="Arial"/>
          <w:szCs w:val="22"/>
          <w:lang w:val="en-GB"/>
        </w:rPr>
        <w:t xml:space="preserve"> is not punishable </w:t>
      </w:r>
      <w:r w:rsidR="003A19D1">
        <w:rPr>
          <w:rFonts w:cs="Arial"/>
          <w:szCs w:val="22"/>
          <w:lang w:val="en-GB"/>
        </w:rPr>
        <w:t xml:space="preserve">even </w:t>
      </w:r>
      <w:r w:rsidRPr="00BC777B">
        <w:rPr>
          <w:rFonts w:cs="Arial"/>
          <w:szCs w:val="22"/>
          <w:lang w:val="en-GB"/>
        </w:rPr>
        <w:t xml:space="preserve">if </w:t>
      </w:r>
      <w:r w:rsidR="003A19D1">
        <w:rPr>
          <w:rFonts w:cs="Arial"/>
          <w:szCs w:val="22"/>
          <w:lang w:val="en-GB"/>
        </w:rPr>
        <w:t xml:space="preserve">it leads to premature </w:t>
      </w:r>
      <w:r w:rsidRPr="00BC777B">
        <w:rPr>
          <w:rFonts w:cs="Arial"/>
          <w:szCs w:val="22"/>
          <w:lang w:val="en-GB"/>
        </w:rPr>
        <w:t xml:space="preserve">death </w:t>
      </w:r>
      <w:r w:rsidR="003A19D1">
        <w:rPr>
          <w:rFonts w:cs="Arial"/>
          <w:szCs w:val="22"/>
          <w:lang w:val="en-GB"/>
        </w:rPr>
        <w:t>as</w:t>
      </w:r>
      <w:r w:rsidR="003A19D1" w:rsidRPr="00BC777B">
        <w:rPr>
          <w:rFonts w:cs="Arial"/>
          <w:szCs w:val="22"/>
          <w:lang w:val="en-GB"/>
        </w:rPr>
        <w:t xml:space="preserve"> </w:t>
      </w:r>
      <w:r w:rsidRPr="00BC777B">
        <w:rPr>
          <w:rFonts w:cs="Arial"/>
          <w:szCs w:val="22"/>
          <w:lang w:val="en-GB"/>
        </w:rPr>
        <w:t xml:space="preserve">an </w:t>
      </w:r>
      <w:r w:rsidR="004C4230" w:rsidRPr="00BC777B">
        <w:rPr>
          <w:rFonts w:cs="Arial"/>
          <w:szCs w:val="22"/>
          <w:lang w:val="en-GB"/>
        </w:rPr>
        <w:t>inevitable</w:t>
      </w:r>
      <w:r w:rsidRPr="00BC777B">
        <w:rPr>
          <w:rFonts w:cs="Arial"/>
          <w:szCs w:val="22"/>
          <w:lang w:val="en-GB"/>
        </w:rPr>
        <w:t xml:space="preserve"> and unintended side-effect </w:t>
      </w:r>
      <w:r w:rsidR="00764332" w:rsidRPr="00BC777B">
        <w:rPr>
          <w:rFonts w:cs="Arial"/>
          <w:szCs w:val="22"/>
          <w:lang w:val="en-GB"/>
        </w:rPr>
        <w:t>(so</w:t>
      </w:r>
      <w:r w:rsidRPr="00BC777B">
        <w:rPr>
          <w:rFonts w:cs="Arial"/>
          <w:szCs w:val="22"/>
          <w:lang w:val="en-GB"/>
        </w:rPr>
        <w:t xml:space="preserve">-called </w:t>
      </w:r>
      <w:r w:rsidR="002320BC" w:rsidRPr="00BC777B">
        <w:rPr>
          <w:rFonts w:cs="Arial"/>
          <w:szCs w:val="22"/>
          <w:lang w:val="en-GB"/>
        </w:rPr>
        <w:t>i</w:t>
      </w:r>
      <w:r w:rsidR="00764332" w:rsidRPr="00BC777B">
        <w:rPr>
          <w:rFonts w:cs="Arial"/>
          <w:szCs w:val="22"/>
          <w:lang w:val="en-GB"/>
        </w:rPr>
        <w:t>ndire</w:t>
      </w:r>
      <w:r w:rsidRPr="00BC777B">
        <w:rPr>
          <w:rFonts w:cs="Arial"/>
          <w:szCs w:val="22"/>
          <w:lang w:val="en-GB"/>
        </w:rPr>
        <w:t>c</w:t>
      </w:r>
      <w:r w:rsidR="00764332" w:rsidRPr="00BC777B">
        <w:rPr>
          <w:rFonts w:cs="Arial"/>
          <w:szCs w:val="22"/>
          <w:lang w:val="en-GB"/>
        </w:rPr>
        <w:t>t</w:t>
      </w:r>
      <w:r w:rsidRPr="00BC777B">
        <w:rPr>
          <w:rFonts w:cs="Arial"/>
          <w:szCs w:val="22"/>
          <w:lang w:val="en-GB"/>
        </w:rPr>
        <w:t xml:space="preserve"> assisted suicide</w:t>
      </w:r>
      <w:r w:rsidR="00764332" w:rsidRPr="00BC777B">
        <w:rPr>
          <w:rFonts w:cs="Arial"/>
          <w:szCs w:val="22"/>
          <w:lang w:val="en-GB"/>
        </w:rPr>
        <w:t>).</w:t>
      </w:r>
    </w:p>
    <w:p w:rsidR="00D57D86" w:rsidRPr="00BC777B" w:rsidRDefault="00764332" w:rsidP="000655FA">
      <w:pPr>
        <w:pStyle w:val="BMJStandard15Zeilen"/>
        <w:numPr>
          <w:ilvl w:val="0"/>
          <w:numId w:val="1"/>
        </w:numPr>
        <w:tabs>
          <w:tab w:val="clear" w:pos="1701"/>
          <w:tab w:val="left" w:pos="0"/>
        </w:tabs>
        <w:spacing w:after="240"/>
        <w:ind w:left="0" w:hanging="426"/>
        <w:jc w:val="both"/>
        <w:rPr>
          <w:rFonts w:cs="Arial"/>
          <w:szCs w:val="22"/>
          <w:lang w:val="en-GB"/>
        </w:rPr>
      </w:pPr>
      <w:r w:rsidRPr="00BC777B">
        <w:rPr>
          <w:rFonts w:cs="Arial"/>
          <w:szCs w:val="22"/>
          <w:lang w:val="en-GB"/>
        </w:rPr>
        <w:t>I</w:t>
      </w:r>
      <w:r w:rsidR="00D708FF" w:rsidRPr="00BC777B">
        <w:rPr>
          <w:rFonts w:cs="Arial"/>
          <w:szCs w:val="22"/>
          <w:lang w:val="en-GB"/>
        </w:rPr>
        <w:t>n</w:t>
      </w:r>
      <w:r w:rsidR="00D52468" w:rsidRPr="00BC777B">
        <w:rPr>
          <w:rFonts w:cs="Arial"/>
          <w:szCs w:val="22"/>
          <w:lang w:val="en-GB"/>
        </w:rPr>
        <w:t xml:space="preserve"> 2014</w:t>
      </w:r>
      <w:r w:rsidR="00D708FF" w:rsidRPr="00BC777B">
        <w:rPr>
          <w:rFonts w:cs="Arial"/>
          <w:szCs w:val="22"/>
          <w:lang w:val="en-GB"/>
        </w:rPr>
        <w:t xml:space="preserve">, there was another </w:t>
      </w:r>
      <w:r w:rsidR="00D52468" w:rsidRPr="00BC777B">
        <w:rPr>
          <w:rFonts w:cs="Arial"/>
          <w:szCs w:val="22"/>
          <w:lang w:val="en-GB"/>
        </w:rPr>
        <w:t>intensive parl</w:t>
      </w:r>
      <w:r w:rsidR="00D708FF" w:rsidRPr="00BC777B">
        <w:rPr>
          <w:rFonts w:cs="Arial"/>
          <w:szCs w:val="22"/>
          <w:lang w:val="en-GB"/>
        </w:rPr>
        <w:t>iamentary</w:t>
      </w:r>
      <w:r w:rsidR="00D52468" w:rsidRPr="00BC777B">
        <w:rPr>
          <w:rFonts w:cs="Arial"/>
          <w:szCs w:val="22"/>
          <w:lang w:val="en-GB"/>
        </w:rPr>
        <w:t xml:space="preserve"> </w:t>
      </w:r>
      <w:r w:rsidR="00B06C6C">
        <w:rPr>
          <w:rFonts w:cs="Arial"/>
          <w:szCs w:val="22"/>
          <w:lang w:val="en-GB"/>
        </w:rPr>
        <w:t>discussion</w:t>
      </w:r>
      <w:r w:rsidR="00B06C6C" w:rsidRPr="00BC777B">
        <w:rPr>
          <w:rFonts w:cs="Arial"/>
          <w:szCs w:val="22"/>
          <w:lang w:val="en-GB"/>
        </w:rPr>
        <w:t xml:space="preserve"> </w:t>
      </w:r>
      <w:r w:rsidR="00D708FF" w:rsidRPr="00BC777B">
        <w:rPr>
          <w:rFonts w:cs="Arial"/>
          <w:szCs w:val="22"/>
          <w:lang w:val="en-GB"/>
        </w:rPr>
        <w:t xml:space="preserve">on further </w:t>
      </w:r>
      <w:r w:rsidR="00B06C6C">
        <w:rPr>
          <w:rFonts w:cs="Arial"/>
          <w:szCs w:val="22"/>
          <w:lang w:val="en-GB"/>
        </w:rPr>
        <w:t>regulations</w:t>
      </w:r>
      <w:r w:rsidR="00D708FF" w:rsidRPr="00BC777B">
        <w:rPr>
          <w:rFonts w:cs="Arial"/>
          <w:szCs w:val="22"/>
          <w:lang w:val="en-GB"/>
        </w:rPr>
        <w:t xml:space="preserve"> in the field of assisted suicide</w:t>
      </w:r>
      <w:r w:rsidR="00D52468" w:rsidRPr="00BC777B">
        <w:rPr>
          <w:rFonts w:cs="Arial"/>
          <w:szCs w:val="22"/>
          <w:lang w:val="en-GB"/>
        </w:rPr>
        <w:t xml:space="preserve">. </w:t>
      </w:r>
      <w:r w:rsidR="00D708FF" w:rsidRPr="00BC777B">
        <w:rPr>
          <w:rFonts w:cs="Arial"/>
          <w:szCs w:val="22"/>
          <w:lang w:val="en-GB"/>
        </w:rPr>
        <w:t xml:space="preserve">Some of the members of the Bundestag </w:t>
      </w:r>
      <w:r w:rsidR="00E12DC3">
        <w:rPr>
          <w:rFonts w:cs="Arial"/>
          <w:szCs w:val="22"/>
          <w:lang w:val="en-GB"/>
        </w:rPr>
        <w:t>proposed</w:t>
      </w:r>
      <w:r w:rsidR="00D708FF" w:rsidRPr="00BC777B">
        <w:rPr>
          <w:rFonts w:cs="Arial"/>
          <w:szCs w:val="22"/>
          <w:lang w:val="en-GB"/>
        </w:rPr>
        <w:t xml:space="preserve"> to </w:t>
      </w:r>
      <w:r w:rsidR="004B166A" w:rsidRPr="00BC777B">
        <w:rPr>
          <w:rFonts w:cs="Arial"/>
          <w:szCs w:val="22"/>
          <w:lang w:val="en-GB"/>
        </w:rPr>
        <w:t xml:space="preserve">criminalise </w:t>
      </w:r>
      <w:r w:rsidR="00D708FF" w:rsidRPr="00BC777B">
        <w:rPr>
          <w:rFonts w:cs="Arial"/>
          <w:szCs w:val="22"/>
          <w:lang w:val="en-GB"/>
        </w:rPr>
        <w:t xml:space="preserve">certain forms of assisted suicide, </w:t>
      </w:r>
      <w:r w:rsidR="00B834AB" w:rsidRPr="00BC777B">
        <w:rPr>
          <w:rFonts w:cs="Arial"/>
          <w:szCs w:val="22"/>
          <w:lang w:val="en-GB"/>
        </w:rPr>
        <w:t>specifically</w:t>
      </w:r>
      <w:r w:rsidR="00D708FF" w:rsidRPr="00BC777B">
        <w:rPr>
          <w:rFonts w:cs="Arial"/>
          <w:szCs w:val="22"/>
          <w:lang w:val="en-GB"/>
        </w:rPr>
        <w:t xml:space="preserve"> </w:t>
      </w:r>
      <w:r w:rsidR="00B06C6C">
        <w:rPr>
          <w:rFonts w:cs="Arial"/>
          <w:szCs w:val="22"/>
          <w:lang w:val="en-GB"/>
        </w:rPr>
        <w:t xml:space="preserve">if the assistance was offered </w:t>
      </w:r>
      <w:r w:rsidR="00E05138">
        <w:rPr>
          <w:rFonts w:cs="Arial"/>
          <w:szCs w:val="22"/>
          <w:lang w:val="en-GB"/>
        </w:rPr>
        <w:t xml:space="preserve">as a </w:t>
      </w:r>
      <w:r w:rsidR="00545868">
        <w:rPr>
          <w:rFonts w:cs="Arial"/>
          <w:szCs w:val="22"/>
          <w:lang w:val="en-GB"/>
        </w:rPr>
        <w:t>“</w:t>
      </w:r>
      <w:r w:rsidR="00E05138">
        <w:rPr>
          <w:rFonts w:cs="Arial"/>
          <w:szCs w:val="22"/>
          <w:lang w:val="en-GB"/>
        </w:rPr>
        <w:t>business</w:t>
      </w:r>
      <w:r w:rsidR="00545868">
        <w:rPr>
          <w:rFonts w:cs="Arial"/>
          <w:szCs w:val="22"/>
          <w:lang w:val="en-GB"/>
        </w:rPr>
        <w:t>” (</w:t>
      </w:r>
      <w:r w:rsidR="005B54F1">
        <w:rPr>
          <w:rFonts w:cs="Arial"/>
          <w:szCs w:val="22"/>
          <w:lang w:val="en-GB"/>
        </w:rPr>
        <w:t xml:space="preserve">which only means </w:t>
      </w:r>
      <w:r w:rsidR="00545868">
        <w:rPr>
          <w:rFonts w:cs="Arial"/>
          <w:szCs w:val="22"/>
          <w:lang w:val="en-GB"/>
        </w:rPr>
        <w:t>offered on a regular basis)</w:t>
      </w:r>
      <w:r w:rsidR="004B166A" w:rsidRPr="00BC777B">
        <w:rPr>
          <w:rFonts w:cs="Arial"/>
          <w:szCs w:val="22"/>
          <w:lang w:val="en-GB"/>
        </w:rPr>
        <w:t>.</w:t>
      </w:r>
      <w:r w:rsidR="00D52468" w:rsidRPr="00BC777B">
        <w:rPr>
          <w:rFonts w:cs="Arial"/>
          <w:szCs w:val="22"/>
          <w:lang w:val="en-GB"/>
        </w:rPr>
        <w:t xml:space="preserve"> </w:t>
      </w:r>
      <w:r w:rsidR="004B166A" w:rsidRPr="00BC777B">
        <w:rPr>
          <w:rFonts w:cs="Arial"/>
          <w:szCs w:val="22"/>
          <w:lang w:val="en-GB"/>
        </w:rPr>
        <w:t xml:space="preserve">One of the </w:t>
      </w:r>
      <w:r w:rsidR="00D708FF" w:rsidRPr="00BC777B">
        <w:rPr>
          <w:rFonts w:cs="Arial"/>
          <w:szCs w:val="22"/>
          <w:lang w:val="en-GB"/>
        </w:rPr>
        <w:t xml:space="preserve">reasons given for this </w:t>
      </w:r>
      <w:r w:rsidR="004B166A" w:rsidRPr="00BC777B">
        <w:rPr>
          <w:rFonts w:cs="Arial"/>
          <w:szCs w:val="22"/>
          <w:lang w:val="en-GB"/>
        </w:rPr>
        <w:t>was</w:t>
      </w:r>
      <w:r w:rsidR="00D708FF" w:rsidRPr="00BC777B">
        <w:rPr>
          <w:rFonts w:cs="Arial"/>
          <w:szCs w:val="22"/>
          <w:lang w:val="en-GB"/>
        </w:rPr>
        <w:t xml:space="preserve"> that</w:t>
      </w:r>
      <w:r w:rsidR="00D52468" w:rsidRPr="00BC777B">
        <w:rPr>
          <w:rFonts w:cs="Arial"/>
          <w:szCs w:val="22"/>
          <w:lang w:val="en-GB"/>
        </w:rPr>
        <w:t xml:space="preserve"> </w:t>
      </w:r>
      <w:r w:rsidR="00301A68" w:rsidRPr="00BC777B">
        <w:rPr>
          <w:rFonts w:cs="Arial"/>
          <w:szCs w:val="22"/>
          <w:lang w:val="en-GB"/>
        </w:rPr>
        <w:t xml:space="preserve">the increasing number of </w:t>
      </w:r>
      <w:r w:rsidR="00E05138">
        <w:rPr>
          <w:rFonts w:cs="Arial"/>
          <w:szCs w:val="22"/>
          <w:lang w:val="en-GB"/>
        </w:rPr>
        <w:t xml:space="preserve">deaths </w:t>
      </w:r>
      <w:r w:rsidR="00301A68" w:rsidRPr="00BC777B">
        <w:rPr>
          <w:rFonts w:cs="Arial"/>
          <w:szCs w:val="22"/>
          <w:lang w:val="en-GB"/>
        </w:rPr>
        <w:t xml:space="preserve">in </w:t>
      </w:r>
      <w:r w:rsidR="004B166A" w:rsidRPr="00BC777B">
        <w:rPr>
          <w:rFonts w:cs="Arial"/>
          <w:szCs w:val="22"/>
          <w:lang w:val="en-GB"/>
        </w:rPr>
        <w:t xml:space="preserve">neighbouring countries </w:t>
      </w:r>
      <w:r w:rsidR="00E05138">
        <w:rPr>
          <w:rFonts w:cs="Arial"/>
          <w:szCs w:val="22"/>
          <w:lang w:val="en-GB"/>
        </w:rPr>
        <w:t xml:space="preserve">resulting from </w:t>
      </w:r>
      <w:r w:rsidR="00301A68" w:rsidRPr="00BC777B">
        <w:rPr>
          <w:rFonts w:cs="Arial"/>
          <w:szCs w:val="22"/>
          <w:lang w:val="en-GB"/>
        </w:rPr>
        <w:t xml:space="preserve">assisted suicide </w:t>
      </w:r>
      <w:r w:rsidR="00E12DC3" w:rsidRPr="00BC777B">
        <w:rPr>
          <w:rFonts w:cs="Arial"/>
          <w:szCs w:val="22"/>
          <w:lang w:val="en-GB"/>
        </w:rPr>
        <w:t>g</w:t>
      </w:r>
      <w:r w:rsidR="00E12DC3">
        <w:rPr>
          <w:rFonts w:cs="Arial"/>
          <w:szCs w:val="22"/>
          <w:lang w:val="en-GB"/>
        </w:rPr>
        <w:t>ave</w:t>
      </w:r>
      <w:r w:rsidR="00E12DC3" w:rsidRPr="00BC777B">
        <w:rPr>
          <w:rFonts w:cs="Arial"/>
          <w:szCs w:val="22"/>
          <w:lang w:val="en-GB"/>
        </w:rPr>
        <w:t xml:space="preserve"> </w:t>
      </w:r>
      <w:r w:rsidR="00301A68" w:rsidRPr="00BC777B">
        <w:rPr>
          <w:rFonts w:cs="Arial"/>
          <w:szCs w:val="22"/>
          <w:lang w:val="en-GB"/>
        </w:rPr>
        <w:t>cause for concern</w:t>
      </w:r>
      <w:r w:rsidR="00D52468" w:rsidRPr="00BC777B">
        <w:rPr>
          <w:rFonts w:cs="Arial"/>
          <w:szCs w:val="22"/>
          <w:lang w:val="en-GB"/>
        </w:rPr>
        <w:t>.</w:t>
      </w:r>
      <w:r w:rsidR="00353A65" w:rsidRPr="00BC777B">
        <w:rPr>
          <w:rFonts w:cs="Arial"/>
          <w:szCs w:val="22"/>
          <w:lang w:val="en-GB"/>
        </w:rPr>
        <w:t xml:space="preserve"> </w:t>
      </w:r>
      <w:r w:rsidR="00301A68" w:rsidRPr="00BC777B">
        <w:rPr>
          <w:rFonts w:cs="Arial"/>
          <w:szCs w:val="22"/>
          <w:lang w:val="en-GB"/>
        </w:rPr>
        <w:t xml:space="preserve">Another proposal envisaged allowing doctors to end the lives of patients who are </w:t>
      </w:r>
      <w:r w:rsidR="00B834AB" w:rsidRPr="00BC777B">
        <w:rPr>
          <w:rFonts w:cs="Arial"/>
          <w:szCs w:val="22"/>
          <w:lang w:val="en-GB"/>
        </w:rPr>
        <w:t>experiencing</w:t>
      </w:r>
      <w:r w:rsidR="00301A68" w:rsidRPr="00BC777B">
        <w:rPr>
          <w:rFonts w:cs="Arial"/>
          <w:szCs w:val="22"/>
          <w:lang w:val="en-GB"/>
        </w:rPr>
        <w:t xml:space="preserve"> </w:t>
      </w:r>
      <w:r w:rsidR="00B834AB" w:rsidRPr="00BC777B">
        <w:rPr>
          <w:rFonts w:cs="Arial"/>
          <w:szCs w:val="22"/>
          <w:lang w:val="en-GB"/>
        </w:rPr>
        <w:t>extreme suffering</w:t>
      </w:r>
      <w:r w:rsidR="00301A68" w:rsidRPr="00BC777B">
        <w:rPr>
          <w:rFonts w:cs="Arial"/>
          <w:szCs w:val="22"/>
          <w:lang w:val="en-GB"/>
        </w:rPr>
        <w:t xml:space="preserve"> if they have been given comprehensive advice on all the palliative </w:t>
      </w:r>
      <w:r w:rsidR="00B834AB" w:rsidRPr="00BC777B">
        <w:rPr>
          <w:rFonts w:cs="Arial"/>
          <w:szCs w:val="22"/>
          <w:lang w:val="en-GB"/>
        </w:rPr>
        <w:t>options</w:t>
      </w:r>
      <w:r w:rsidR="00433DAA" w:rsidRPr="00BC777B">
        <w:rPr>
          <w:rFonts w:cs="Arial"/>
          <w:szCs w:val="22"/>
          <w:lang w:val="en-GB"/>
        </w:rPr>
        <w:t>.</w:t>
      </w:r>
      <w:r w:rsidR="002D0908" w:rsidRPr="00BC777B">
        <w:rPr>
          <w:rFonts w:cs="Arial"/>
          <w:szCs w:val="22"/>
          <w:lang w:val="en-GB"/>
        </w:rPr>
        <w:t xml:space="preserve"> </w:t>
      </w:r>
      <w:r w:rsidR="00301A68" w:rsidRPr="00BC777B">
        <w:rPr>
          <w:rFonts w:cs="Arial"/>
          <w:szCs w:val="22"/>
          <w:lang w:val="en-GB"/>
        </w:rPr>
        <w:t xml:space="preserve">Yet another </w:t>
      </w:r>
      <w:r w:rsidR="004B46E5">
        <w:rPr>
          <w:rFonts w:cs="Arial"/>
          <w:szCs w:val="22"/>
          <w:lang w:val="en-GB"/>
        </w:rPr>
        <w:t>legislative proposal</w:t>
      </w:r>
      <w:r w:rsidR="00301A68" w:rsidRPr="00BC777B">
        <w:rPr>
          <w:rFonts w:cs="Arial"/>
          <w:szCs w:val="22"/>
          <w:lang w:val="en-GB"/>
        </w:rPr>
        <w:t xml:space="preserve"> aimed not to prohibit assisted suicide </w:t>
      </w:r>
      <w:r w:rsidR="008A3B27">
        <w:rPr>
          <w:rFonts w:cs="Arial"/>
          <w:szCs w:val="22"/>
          <w:lang w:val="en-GB"/>
        </w:rPr>
        <w:t>that was offered as a business</w:t>
      </w:r>
      <w:r w:rsidR="002D0908" w:rsidRPr="00BC777B">
        <w:rPr>
          <w:rFonts w:cs="Arial"/>
          <w:szCs w:val="22"/>
          <w:lang w:val="en-GB"/>
        </w:rPr>
        <w:t xml:space="preserve">, </w:t>
      </w:r>
      <w:r w:rsidR="00301A68" w:rsidRPr="00BC777B">
        <w:rPr>
          <w:rFonts w:cs="Arial"/>
          <w:szCs w:val="22"/>
          <w:lang w:val="en-GB"/>
        </w:rPr>
        <w:t xml:space="preserve">but only </w:t>
      </w:r>
      <w:r w:rsidR="00545868">
        <w:rPr>
          <w:rFonts w:cs="Arial"/>
          <w:szCs w:val="22"/>
          <w:lang w:val="en-GB"/>
        </w:rPr>
        <w:t>“</w:t>
      </w:r>
      <w:r w:rsidR="00301A68" w:rsidRPr="00BC777B">
        <w:rPr>
          <w:rFonts w:cs="Arial"/>
          <w:szCs w:val="22"/>
          <w:lang w:val="en-GB"/>
        </w:rPr>
        <w:t>commercial assistance</w:t>
      </w:r>
      <w:r w:rsidR="00545868">
        <w:rPr>
          <w:rFonts w:cs="Arial"/>
          <w:szCs w:val="22"/>
          <w:lang w:val="en-GB"/>
        </w:rPr>
        <w:t>”</w:t>
      </w:r>
      <w:r w:rsidR="002D0908" w:rsidRPr="00BC777B">
        <w:rPr>
          <w:rFonts w:cs="Arial"/>
          <w:szCs w:val="22"/>
          <w:lang w:val="en-GB"/>
        </w:rPr>
        <w:t xml:space="preserve">, </w:t>
      </w:r>
      <w:r w:rsidR="00301A68" w:rsidRPr="00BC777B">
        <w:rPr>
          <w:rFonts w:cs="Arial"/>
          <w:szCs w:val="22"/>
          <w:lang w:val="en-GB"/>
        </w:rPr>
        <w:t xml:space="preserve">i.e. </w:t>
      </w:r>
      <w:r w:rsidR="003A19D1">
        <w:rPr>
          <w:rFonts w:cs="Arial"/>
          <w:szCs w:val="22"/>
          <w:lang w:val="en-GB"/>
        </w:rPr>
        <w:t xml:space="preserve">profit-oriented </w:t>
      </w:r>
      <w:r w:rsidR="00301A68" w:rsidRPr="00BC777B">
        <w:rPr>
          <w:rFonts w:cs="Arial"/>
          <w:szCs w:val="22"/>
          <w:lang w:val="en-GB"/>
        </w:rPr>
        <w:t>assistance</w:t>
      </w:r>
      <w:r w:rsidR="002D0908" w:rsidRPr="00BC777B">
        <w:rPr>
          <w:rFonts w:cs="Arial"/>
          <w:szCs w:val="22"/>
          <w:lang w:val="en-GB"/>
        </w:rPr>
        <w:t xml:space="preserve">. </w:t>
      </w:r>
      <w:r w:rsidR="000E6518">
        <w:rPr>
          <w:rFonts w:cs="Arial"/>
          <w:szCs w:val="22"/>
          <w:lang w:val="en-GB"/>
        </w:rPr>
        <w:t>Yet a</w:t>
      </w:r>
      <w:r w:rsidR="00301A68" w:rsidRPr="00BC777B">
        <w:rPr>
          <w:rFonts w:cs="Arial"/>
          <w:szCs w:val="22"/>
          <w:lang w:val="en-GB"/>
        </w:rPr>
        <w:t>nother proposal concerned the genera</w:t>
      </w:r>
      <w:r w:rsidR="002D0908" w:rsidRPr="00BC777B">
        <w:rPr>
          <w:rFonts w:cs="Arial"/>
          <w:szCs w:val="22"/>
          <w:lang w:val="en-GB"/>
        </w:rPr>
        <w:t>l</w:t>
      </w:r>
      <w:r w:rsidR="00301A68" w:rsidRPr="00BC777B">
        <w:rPr>
          <w:rFonts w:cs="Arial"/>
          <w:szCs w:val="22"/>
          <w:lang w:val="en-GB"/>
        </w:rPr>
        <w:t xml:space="preserve"> prohibition of assisted suicide</w:t>
      </w:r>
      <w:r w:rsidR="002D0908" w:rsidRPr="00BC777B">
        <w:rPr>
          <w:rFonts w:cs="Arial"/>
          <w:szCs w:val="22"/>
          <w:lang w:val="en-GB"/>
        </w:rPr>
        <w:t xml:space="preserve">. </w:t>
      </w:r>
      <w:r w:rsidR="00301A68" w:rsidRPr="00BC777B">
        <w:rPr>
          <w:rFonts w:cs="Arial"/>
          <w:szCs w:val="22"/>
          <w:lang w:val="en-GB"/>
        </w:rPr>
        <w:t>Another subject of the various discussions was whether and wh</w:t>
      </w:r>
      <w:r w:rsidR="006C2A65" w:rsidRPr="00BC777B">
        <w:rPr>
          <w:rFonts w:cs="Arial"/>
          <w:szCs w:val="22"/>
          <w:lang w:val="en-GB"/>
        </w:rPr>
        <w:t>at</w:t>
      </w:r>
      <w:r w:rsidR="00301A68" w:rsidRPr="00BC777B">
        <w:rPr>
          <w:rFonts w:cs="Arial"/>
          <w:szCs w:val="22"/>
          <w:lang w:val="en-GB"/>
        </w:rPr>
        <w:t xml:space="preserve"> obligations to provide advice and documentation should be</w:t>
      </w:r>
      <w:r w:rsidR="002D0908" w:rsidRPr="00BC777B">
        <w:rPr>
          <w:rFonts w:cs="Arial"/>
          <w:szCs w:val="22"/>
          <w:lang w:val="en-GB"/>
        </w:rPr>
        <w:t xml:space="preserve"> </w:t>
      </w:r>
      <w:r w:rsidR="00B834AB" w:rsidRPr="00BC777B">
        <w:rPr>
          <w:rFonts w:cs="Arial"/>
          <w:szCs w:val="22"/>
          <w:lang w:val="en-GB"/>
        </w:rPr>
        <w:t>imposed</w:t>
      </w:r>
      <w:r w:rsidR="002D0908" w:rsidRPr="00BC777B">
        <w:rPr>
          <w:rFonts w:cs="Arial"/>
          <w:szCs w:val="22"/>
          <w:lang w:val="en-GB"/>
        </w:rPr>
        <w:t>.</w:t>
      </w:r>
    </w:p>
    <w:p w:rsidR="00764332" w:rsidRDefault="00011B87" w:rsidP="000655FA">
      <w:pPr>
        <w:pStyle w:val="BMJStandard15Zeilen"/>
        <w:numPr>
          <w:ilvl w:val="0"/>
          <w:numId w:val="1"/>
        </w:numPr>
        <w:tabs>
          <w:tab w:val="clear" w:pos="1701"/>
          <w:tab w:val="left" w:pos="0"/>
        </w:tabs>
        <w:spacing w:after="240"/>
        <w:ind w:left="0" w:hanging="426"/>
        <w:jc w:val="both"/>
        <w:rPr>
          <w:rFonts w:cs="Arial"/>
          <w:szCs w:val="22"/>
          <w:lang w:val="en-GB"/>
        </w:rPr>
      </w:pPr>
      <w:r w:rsidRPr="00BC777B">
        <w:rPr>
          <w:rFonts w:cs="Arial"/>
          <w:szCs w:val="22"/>
          <w:lang w:val="en-GB"/>
        </w:rPr>
        <w:t>The law that was passed</w:t>
      </w:r>
      <w:r w:rsidR="00764332" w:rsidRPr="00BC777B">
        <w:rPr>
          <w:rFonts w:cs="Arial"/>
          <w:szCs w:val="22"/>
          <w:lang w:val="en-GB"/>
        </w:rPr>
        <w:t xml:space="preserve"> </w:t>
      </w:r>
      <w:r w:rsidR="000E6518">
        <w:rPr>
          <w:rFonts w:cs="Arial"/>
          <w:szCs w:val="22"/>
          <w:lang w:val="en-GB"/>
        </w:rPr>
        <w:t xml:space="preserve">in November 2015 </w:t>
      </w:r>
      <w:r w:rsidR="008A3B27">
        <w:rPr>
          <w:rFonts w:cs="Arial"/>
          <w:szCs w:val="22"/>
          <w:lang w:val="en-GB"/>
        </w:rPr>
        <w:t xml:space="preserve">makes </w:t>
      </w:r>
      <w:r w:rsidR="001C3A19" w:rsidRPr="00BC777B">
        <w:rPr>
          <w:rFonts w:cs="Arial"/>
          <w:szCs w:val="22"/>
          <w:lang w:val="en-GB"/>
        </w:rPr>
        <w:t>assisted suicide</w:t>
      </w:r>
      <w:r w:rsidR="00764332" w:rsidRPr="00BC777B">
        <w:rPr>
          <w:rFonts w:cs="Arial"/>
          <w:szCs w:val="22"/>
          <w:lang w:val="en-GB"/>
        </w:rPr>
        <w:t xml:space="preserve"> </w:t>
      </w:r>
      <w:r w:rsidR="008A3B27">
        <w:rPr>
          <w:rFonts w:cs="Arial"/>
          <w:szCs w:val="22"/>
          <w:lang w:val="en-GB"/>
        </w:rPr>
        <w:t xml:space="preserve">a crime if it is offered as a </w:t>
      </w:r>
      <w:r w:rsidR="005B54F1">
        <w:rPr>
          <w:rFonts w:cs="Arial"/>
          <w:szCs w:val="22"/>
          <w:lang w:val="en-GB"/>
        </w:rPr>
        <w:t>“</w:t>
      </w:r>
      <w:r w:rsidR="008A3B27">
        <w:rPr>
          <w:rFonts w:cs="Arial"/>
          <w:szCs w:val="22"/>
          <w:lang w:val="en-GB"/>
        </w:rPr>
        <w:t>business</w:t>
      </w:r>
      <w:r w:rsidR="005B54F1">
        <w:rPr>
          <w:rFonts w:cs="Arial"/>
          <w:szCs w:val="22"/>
          <w:lang w:val="en-GB"/>
        </w:rPr>
        <w:t>”</w:t>
      </w:r>
      <w:r w:rsidR="00764332" w:rsidRPr="00BC777B">
        <w:rPr>
          <w:rFonts w:cs="Arial"/>
          <w:szCs w:val="22"/>
          <w:lang w:val="en-GB"/>
        </w:rPr>
        <w:t>.</w:t>
      </w:r>
      <w:r w:rsidR="00655498" w:rsidRPr="00BC777B">
        <w:rPr>
          <w:rFonts w:cs="Arial"/>
          <w:szCs w:val="22"/>
          <w:lang w:val="en-GB"/>
        </w:rPr>
        <w:t xml:space="preserve"> </w:t>
      </w:r>
      <w:r w:rsidR="005B54F1">
        <w:rPr>
          <w:rFonts w:cs="Arial"/>
          <w:szCs w:val="22"/>
          <w:lang w:val="en-GB"/>
        </w:rPr>
        <w:t>As already mentioned, t</w:t>
      </w:r>
      <w:r w:rsidR="001C3A19" w:rsidRPr="00BC777B">
        <w:rPr>
          <w:rFonts w:cs="Arial"/>
          <w:szCs w:val="22"/>
          <w:lang w:val="en-GB"/>
        </w:rPr>
        <w:t>he term</w:t>
      </w:r>
      <w:r w:rsidR="00655498" w:rsidRPr="00BC777B">
        <w:rPr>
          <w:rFonts w:cs="Arial"/>
          <w:szCs w:val="22"/>
          <w:lang w:val="en-GB"/>
        </w:rPr>
        <w:t xml:space="preserve"> </w:t>
      </w:r>
      <w:r w:rsidR="001C3A19" w:rsidRPr="00BC777B">
        <w:rPr>
          <w:rFonts w:cs="Arial"/>
          <w:szCs w:val="22"/>
          <w:lang w:val="en-GB"/>
        </w:rPr>
        <w:t>“</w:t>
      </w:r>
      <w:r w:rsidR="005B54F1">
        <w:rPr>
          <w:rFonts w:cs="Arial"/>
          <w:szCs w:val="22"/>
          <w:lang w:val="en-GB"/>
        </w:rPr>
        <w:t>as</w:t>
      </w:r>
      <w:r w:rsidR="008A3B27">
        <w:rPr>
          <w:rFonts w:cs="Arial"/>
          <w:szCs w:val="22"/>
          <w:lang w:val="en-GB"/>
        </w:rPr>
        <w:t xml:space="preserve"> a business</w:t>
      </w:r>
      <w:r w:rsidR="001C3A19" w:rsidRPr="00BC777B">
        <w:rPr>
          <w:rFonts w:cs="Arial"/>
          <w:szCs w:val="22"/>
          <w:lang w:val="en-GB"/>
        </w:rPr>
        <w:t>”</w:t>
      </w:r>
      <w:r w:rsidR="00655498" w:rsidRPr="00BC777B">
        <w:rPr>
          <w:rFonts w:cs="Arial"/>
          <w:szCs w:val="22"/>
          <w:lang w:val="en-GB"/>
        </w:rPr>
        <w:t xml:space="preserve"> </w:t>
      </w:r>
      <w:r w:rsidR="001C3A19" w:rsidRPr="00BC777B">
        <w:rPr>
          <w:rFonts w:cs="Arial"/>
          <w:szCs w:val="22"/>
          <w:lang w:val="en-GB"/>
        </w:rPr>
        <w:t>does not presuppose a profit motiv</w:t>
      </w:r>
      <w:r w:rsidR="004B166A" w:rsidRPr="00BC777B">
        <w:rPr>
          <w:rFonts w:cs="Arial"/>
          <w:szCs w:val="22"/>
          <w:lang w:val="en-GB"/>
        </w:rPr>
        <w:t>e</w:t>
      </w:r>
      <w:r w:rsidR="001C3A19" w:rsidRPr="00BC777B">
        <w:rPr>
          <w:rFonts w:cs="Arial"/>
          <w:szCs w:val="22"/>
          <w:lang w:val="en-GB"/>
        </w:rPr>
        <w:t xml:space="preserve">; it is sufficient that the </w:t>
      </w:r>
      <w:r w:rsidR="009C7C8C">
        <w:rPr>
          <w:rFonts w:cs="Arial"/>
          <w:szCs w:val="22"/>
          <w:lang w:val="en-GB"/>
        </w:rPr>
        <w:t>offender</w:t>
      </w:r>
      <w:r w:rsidR="001C3A19" w:rsidRPr="00BC777B">
        <w:rPr>
          <w:rFonts w:cs="Arial"/>
          <w:szCs w:val="22"/>
          <w:lang w:val="en-GB"/>
        </w:rPr>
        <w:t xml:space="preserve"> “makes repetition of such acts the subject of his activity”</w:t>
      </w:r>
      <w:r w:rsidR="00655498" w:rsidRPr="00BC777B">
        <w:rPr>
          <w:rFonts w:cs="Arial"/>
          <w:szCs w:val="22"/>
          <w:lang w:val="en-GB"/>
        </w:rPr>
        <w:t xml:space="preserve">. </w:t>
      </w:r>
      <w:r w:rsidR="001C3A19" w:rsidRPr="00BC777B">
        <w:rPr>
          <w:rFonts w:cs="Arial"/>
          <w:szCs w:val="22"/>
          <w:lang w:val="en-GB"/>
        </w:rPr>
        <w:t xml:space="preserve">In principle, a </w:t>
      </w:r>
      <w:r w:rsidR="00B834AB" w:rsidRPr="00BC777B">
        <w:rPr>
          <w:rFonts w:cs="Arial"/>
          <w:szCs w:val="22"/>
          <w:lang w:val="en-GB"/>
        </w:rPr>
        <w:t>physician</w:t>
      </w:r>
      <w:r w:rsidR="001C3A19" w:rsidRPr="00BC777B">
        <w:rPr>
          <w:rFonts w:cs="Arial"/>
          <w:szCs w:val="22"/>
          <w:lang w:val="en-GB"/>
        </w:rPr>
        <w:t xml:space="preserve"> can also fall under this penal provision</w:t>
      </w:r>
      <w:r w:rsidR="002114AB">
        <w:rPr>
          <w:rFonts w:cs="Arial"/>
          <w:szCs w:val="22"/>
          <w:lang w:val="en-GB"/>
        </w:rPr>
        <w:t xml:space="preserve"> and would, in such a </w:t>
      </w:r>
      <w:r w:rsidR="002114AB">
        <w:rPr>
          <w:rFonts w:cs="Arial"/>
          <w:szCs w:val="22"/>
          <w:lang w:val="en-GB"/>
        </w:rPr>
        <w:lastRenderedPageBreak/>
        <w:t>case, be</w:t>
      </w:r>
      <w:r w:rsidR="001C3A19" w:rsidRPr="00BC777B">
        <w:rPr>
          <w:rFonts w:cs="Arial"/>
          <w:szCs w:val="22"/>
          <w:lang w:val="en-GB"/>
        </w:rPr>
        <w:t xml:space="preserve"> prohibited from assis</w:t>
      </w:r>
      <w:r w:rsidR="002114AB">
        <w:rPr>
          <w:rFonts w:cs="Arial"/>
          <w:szCs w:val="22"/>
          <w:lang w:val="en-GB"/>
        </w:rPr>
        <w:t>ting</w:t>
      </w:r>
      <w:r w:rsidR="001C3A19" w:rsidRPr="00BC777B">
        <w:rPr>
          <w:rFonts w:cs="Arial"/>
          <w:szCs w:val="22"/>
          <w:lang w:val="en-GB"/>
        </w:rPr>
        <w:t xml:space="preserve"> suicide</w:t>
      </w:r>
      <w:r w:rsidR="002114AB">
        <w:rPr>
          <w:rFonts w:cs="Arial"/>
          <w:szCs w:val="22"/>
          <w:lang w:val="en-GB"/>
        </w:rPr>
        <w:t>s</w:t>
      </w:r>
      <w:r w:rsidR="00934227" w:rsidRPr="00BC777B">
        <w:rPr>
          <w:rFonts w:cs="Arial"/>
          <w:szCs w:val="22"/>
          <w:lang w:val="en-GB"/>
        </w:rPr>
        <w:t xml:space="preserve">. </w:t>
      </w:r>
      <w:r w:rsidR="003A19D1">
        <w:rPr>
          <w:rFonts w:cs="Arial"/>
          <w:szCs w:val="22"/>
          <w:lang w:val="en-GB"/>
        </w:rPr>
        <w:t>As was the case before, t</w:t>
      </w:r>
      <w:r w:rsidR="002114AB" w:rsidRPr="00BC777B">
        <w:rPr>
          <w:rFonts w:cs="Arial"/>
          <w:szCs w:val="22"/>
          <w:lang w:val="en-GB"/>
        </w:rPr>
        <w:t>h</w:t>
      </w:r>
      <w:r w:rsidR="002114AB">
        <w:rPr>
          <w:rFonts w:cs="Arial"/>
          <w:szCs w:val="22"/>
          <w:lang w:val="en-GB"/>
        </w:rPr>
        <w:t>e</w:t>
      </w:r>
      <w:r w:rsidR="002114AB" w:rsidRPr="00BC777B">
        <w:rPr>
          <w:rFonts w:cs="Arial"/>
          <w:szCs w:val="22"/>
          <w:lang w:val="en-GB"/>
        </w:rPr>
        <w:t xml:space="preserve"> </w:t>
      </w:r>
      <w:r w:rsidR="001C3A19" w:rsidRPr="00BC777B">
        <w:rPr>
          <w:rFonts w:cs="Arial"/>
          <w:szCs w:val="22"/>
          <w:lang w:val="en-GB"/>
        </w:rPr>
        <w:t>prohibition does not cover</w:t>
      </w:r>
      <w:r w:rsidR="00934227" w:rsidRPr="00BC777B">
        <w:rPr>
          <w:rFonts w:cs="Arial"/>
          <w:szCs w:val="22"/>
          <w:lang w:val="en-GB"/>
        </w:rPr>
        <w:t xml:space="preserve"> </w:t>
      </w:r>
      <w:r w:rsidR="001C3A19" w:rsidRPr="00BC777B">
        <w:rPr>
          <w:rFonts w:cs="Arial"/>
          <w:szCs w:val="22"/>
          <w:lang w:val="en-GB"/>
        </w:rPr>
        <w:t xml:space="preserve">“assistance to die </w:t>
      </w:r>
      <w:r w:rsidR="00934227" w:rsidRPr="00BC777B">
        <w:rPr>
          <w:rFonts w:cs="Arial"/>
          <w:szCs w:val="22"/>
          <w:lang w:val="en-GB"/>
        </w:rPr>
        <w:t xml:space="preserve">“, </w:t>
      </w:r>
      <w:r w:rsidR="001C3A19" w:rsidRPr="00BC777B">
        <w:rPr>
          <w:rFonts w:cs="Arial"/>
          <w:szCs w:val="22"/>
          <w:lang w:val="en-GB"/>
        </w:rPr>
        <w:t>i.e. medical and care measures which alleviate pain</w:t>
      </w:r>
      <w:r w:rsidR="00D708FF" w:rsidRPr="00BC777B">
        <w:rPr>
          <w:rFonts w:cs="Arial"/>
          <w:szCs w:val="22"/>
          <w:lang w:val="en-GB"/>
        </w:rPr>
        <w:t xml:space="preserve"> without aiming to shorten life</w:t>
      </w:r>
      <w:r w:rsidR="00934227" w:rsidRPr="00BC777B">
        <w:rPr>
          <w:rFonts w:cs="Arial"/>
          <w:szCs w:val="22"/>
          <w:lang w:val="en-GB"/>
        </w:rPr>
        <w:t xml:space="preserve">. </w:t>
      </w:r>
      <w:r w:rsidR="00D708FF" w:rsidRPr="00BC777B">
        <w:rPr>
          <w:rFonts w:cs="Arial"/>
          <w:szCs w:val="22"/>
          <w:lang w:val="en-GB"/>
        </w:rPr>
        <w:t xml:space="preserve">Such assistance is of no relevance under </w:t>
      </w:r>
      <w:r w:rsidR="00B834AB" w:rsidRPr="00BC777B">
        <w:rPr>
          <w:rFonts w:cs="Arial"/>
          <w:szCs w:val="22"/>
          <w:lang w:val="en-GB"/>
        </w:rPr>
        <w:t xml:space="preserve">criminal </w:t>
      </w:r>
      <w:r w:rsidR="00D708FF" w:rsidRPr="00BC777B">
        <w:rPr>
          <w:rFonts w:cs="Arial"/>
          <w:szCs w:val="22"/>
          <w:lang w:val="en-GB"/>
        </w:rPr>
        <w:t>law</w:t>
      </w:r>
      <w:r w:rsidR="00934227" w:rsidRPr="00BC777B">
        <w:rPr>
          <w:rFonts w:cs="Arial"/>
          <w:szCs w:val="22"/>
          <w:lang w:val="en-GB"/>
        </w:rPr>
        <w:t xml:space="preserve"> </w:t>
      </w:r>
      <w:r w:rsidR="00D708FF" w:rsidRPr="00BC777B">
        <w:rPr>
          <w:rFonts w:cs="Arial"/>
          <w:szCs w:val="22"/>
          <w:lang w:val="en-GB"/>
        </w:rPr>
        <w:t>a</w:t>
      </w:r>
      <w:r w:rsidR="00934227" w:rsidRPr="00BC777B">
        <w:rPr>
          <w:rFonts w:cs="Arial"/>
          <w:szCs w:val="22"/>
          <w:lang w:val="en-GB"/>
        </w:rPr>
        <w:t xml:space="preserve">nd </w:t>
      </w:r>
      <w:r w:rsidR="00D708FF" w:rsidRPr="00BC777B">
        <w:rPr>
          <w:rFonts w:cs="Arial"/>
          <w:szCs w:val="22"/>
          <w:lang w:val="en-GB"/>
        </w:rPr>
        <w:t xml:space="preserve">does not constitute </w:t>
      </w:r>
      <w:r w:rsidR="00B834AB" w:rsidRPr="00BC777B">
        <w:rPr>
          <w:rFonts w:cs="Arial"/>
          <w:szCs w:val="22"/>
          <w:lang w:val="en-GB"/>
        </w:rPr>
        <w:t>assisted</w:t>
      </w:r>
      <w:r w:rsidR="00D708FF" w:rsidRPr="00BC777B">
        <w:rPr>
          <w:rFonts w:cs="Arial"/>
          <w:szCs w:val="22"/>
          <w:lang w:val="en-GB"/>
        </w:rPr>
        <w:t xml:space="preserve"> suicide</w:t>
      </w:r>
      <w:r w:rsidR="00934227" w:rsidRPr="00BC777B">
        <w:rPr>
          <w:rFonts w:cs="Arial"/>
          <w:szCs w:val="22"/>
          <w:lang w:val="en-GB"/>
        </w:rPr>
        <w:t>.</w:t>
      </w:r>
      <w:r w:rsidR="000E6518">
        <w:rPr>
          <w:rFonts w:cs="Arial"/>
          <w:szCs w:val="22"/>
          <w:lang w:val="en-GB"/>
        </w:rPr>
        <w:t xml:space="preserve"> </w:t>
      </w:r>
    </w:p>
    <w:p w:rsidR="00381FD4" w:rsidRDefault="00381FD4" w:rsidP="00381FD4">
      <w:pPr>
        <w:pStyle w:val="BMJStandard15Zeilen"/>
        <w:tabs>
          <w:tab w:val="clear" w:pos="1701"/>
          <w:tab w:val="left" w:pos="0"/>
        </w:tabs>
        <w:spacing w:after="240"/>
        <w:jc w:val="both"/>
        <w:rPr>
          <w:rFonts w:cs="Arial"/>
          <w:b/>
          <w:szCs w:val="22"/>
          <w:u w:val="single"/>
          <w:lang w:val="en-GB"/>
        </w:rPr>
      </w:pPr>
      <w:r w:rsidRPr="00381FD4">
        <w:rPr>
          <w:rFonts w:cs="Arial"/>
          <w:b/>
          <w:szCs w:val="22"/>
          <w:u w:val="single"/>
          <w:lang w:val="en-GB"/>
        </w:rPr>
        <w:t>Further comments</w:t>
      </w:r>
    </w:p>
    <w:p w:rsidR="00C734BF" w:rsidRPr="000655FA" w:rsidRDefault="00C734BF" w:rsidP="000655FA">
      <w:pPr>
        <w:pStyle w:val="BodyText"/>
        <w:numPr>
          <w:ilvl w:val="0"/>
          <w:numId w:val="1"/>
        </w:numPr>
        <w:tabs>
          <w:tab w:val="clear" w:pos="1800"/>
          <w:tab w:val="num" w:pos="0"/>
        </w:tabs>
        <w:spacing w:after="240" w:line="360" w:lineRule="auto"/>
        <w:ind w:left="0" w:hanging="426"/>
        <w:rPr>
          <w:rFonts w:ascii="Arial" w:hAnsi="Arial" w:cs="Arial"/>
          <w:sz w:val="22"/>
          <w:szCs w:val="22"/>
        </w:rPr>
      </w:pPr>
      <w:r w:rsidRPr="000655FA">
        <w:rPr>
          <w:rFonts w:ascii="Arial" w:hAnsi="Arial" w:cs="Arial"/>
          <w:sz w:val="22"/>
          <w:szCs w:val="22"/>
        </w:rPr>
        <w:t>In addition to the aforementioned delicate question of when and under which conditions a State may allow medical professionals to facilitate the termination of life, Germany further wishes to comment on the following issues that are being touched upon in Draft General Comment No.  36:</w:t>
      </w:r>
    </w:p>
    <w:p w:rsidR="00C734BF" w:rsidRPr="000655FA" w:rsidRDefault="00C734BF" w:rsidP="000655FA">
      <w:pPr>
        <w:pStyle w:val="BodyText"/>
        <w:numPr>
          <w:ilvl w:val="0"/>
          <w:numId w:val="1"/>
        </w:numPr>
        <w:tabs>
          <w:tab w:val="clear" w:pos="1800"/>
          <w:tab w:val="num" w:pos="0"/>
        </w:tabs>
        <w:spacing w:after="240" w:line="360" w:lineRule="auto"/>
        <w:ind w:left="0" w:hanging="426"/>
        <w:rPr>
          <w:rFonts w:ascii="Arial" w:hAnsi="Arial" w:cs="Arial"/>
          <w:sz w:val="22"/>
          <w:szCs w:val="22"/>
        </w:rPr>
      </w:pPr>
      <w:r w:rsidRPr="000655FA">
        <w:rPr>
          <w:rFonts w:ascii="Arial" w:hAnsi="Arial" w:cs="Arial"/>
          <w:sz w:val="22"/>
          <w:szCs w:val="22"/>
        </w:rPr>
        <w:t>Draft para. 12 concerns the study, development, acquisition or adoption of a new weapon, means or method of warfare and their impact on the right to life. Germany is fully committed to the implementation of Article 36 of the Protocol Additional to the Geneva Conventions (Protocol I), which provides the relevant legal standard in this regard. Therefore Germany determines strictly, in a procedure pursuant to Art. 36 of Protocol I, that any new weapon, means or method of warfare, introduced in its armed forces, is in accordance with international law. It is furthermore the German view that humans have to maintain the decision in matters of life and death. Hence, Germany does not intend to develop or to acquire weapon systems that completely exclude the human factor from decisions about the employment of weapon systems against individuals.</w:t>
      </w:r>
    </w:p>
    <w:p w:rsidR="00C734BF" w:rsidRPr="000655FA" w:rsidRDefault="00C734BF" w:rsidP="000655FA">
      <w:pPr>
        <w:pStyle w:val="ListParagraph"/>
        <w:numPr>
          <w:ilvl w:val="0"/>
          <w:numId w:val="1"/>
        </w:numPr>
        <w:tabs>
          <w:tab w:val="clear" w:pos="1800"/>
          <w:tab w:val="num" w:pos="0"/>
        </w:tabs>
        <w:spacing w:after="240" w:line="360" w:lineRule="auto"/>
        <w:ind w:left="0" w:hanging="426"/>
        <w:contextualSpacing w:val="0"/>
        <w:rPr>
          <w:rFonts w:ascii="Arial" w:hAnsi="Arial" w:cs="Arial"/>
          <w:lang w:val="en-US"/>
        </w:rPr>
      </w:pPr>
      <w:r w:rsidRPr="000655FA">
        <w:rPr>
          <w:rFonts w:ascii="Arial" w:hAnsi="Arial" w:cs="Arial"/>
          <w:lang w:val="en-US"/>
        </w:rPr>
        <w:t>In draft para. 13 it is being considered whether the threat with the use of weapons of mass destruction, in particular nuclear weapons, is incompatible with respect for the right to life. The International Court of Justice in its Advisory Opinion on the Legality of the Threat or Use of Nuclear Weapons observed that “in view of the current state of international law and of the elements of fact at its disposal, [it] cannot conclude definitively whether the threat or use of nuclear weapons would be lawful or unlawful in an extreme circumstance of self-defence, in which the very survival of a State would be at stake”. It can therefore in the view of the government of the Federal Republic of Germany not be concluded that to threaten with the use of weapons of mass destruction, including nuclear weapons, can in itself already be considered to be a violation of the right to life incompatible with Art. 6 of the Covenant.</w:t>
      </w:r>
    </w:p>
    <w:p w:rsidR="00C734BF" w:rsidRPr="000655FA" w:rsidRDefault="00C734BF" w:rsidP="000655FA">
      <w:pPr>
        <w:pStyle w:val="ListParagraph"/>
        <w:numPr>
          <w:ilvl w:val="0"/>
          <w:numId w:val="1"/>
        </w:numPr>
        <w:tabs>
          <w:tab w:val="clear" w:pos="1800"/>
          <w:tab w:val="num" w:pos="0"/>
        </w:tabs>
        <w:spacing w:after="240" w:line="360" w:lineRule="auto"/>
        <w:ind w:left="0" w:hanging="426"/>
        <w:contextualSpacing w:val="0"/>
        <w:rPr>
          <w:rFonts w:ascii="Arial" w:hAnsi="Arial" w:cs="Arial"/>
          <w:lang w:val="en-US"/>
        </w:rPr>
      </w:pPr>
      <w:r w:rsidRPr="000655FA">
        <w:rPr>
          <w:rFonts w:ascii="Arial" w:hAnsi="Arial" w:cs="Arial"/>
          <w:lang w:val="en-US"/>
        </w:rPr>
        <w:t xml:space="preserve">In draft para. 22 the duty to protect the right to life by law is being considered and in para. 26 this duty is specified in relation to acts of other states. Germany fully approves the assumption of such a positive duty of all states and is committed to fulfill its respective obligations which are also laid down in German national constitutional law. At the same time Germany would like to draw attention to two issues in this regard.  Firstly, States have a wide </w:t>
      </w:r>
      <w:r w:rsidRPr="000655FA">
        <w:rPr>
          <w:rFonts w:ascii="Arial" w:hAnsi="Arial" w:cs="Arial"/>
          <w:lang w:val="en-US"/>
        </w:rPr>
        <w:lastRenderedPageBreak/>
        <w:t xml:space="preserve">margin of appreciation with regard to the concrete measures to take in order to protect life, taking into account the specific circumstances of each case. Secondly, in cases of acts of third parties, especially of other states, the scope of the obligation has to be defined in accordance with the recognized principles of state responsibility.  </w:t>
      </w:r>
    </w:p>
    <w:p w:rsidR="00C734BF" w:rsidRDefault="00C734BF" w:rsidP="000655FA">
      <w:pPr>
        <w:pStyle w:val="ListParagraph"/>
        <w:numPr>
          <w:ilvl w:val="0"/>
          <w:numId w:val="1"/>
        </w:numPr>
        <w:tabs>
          <w:tab w:val="clear" w:pos="1800"/>
          <w:tab w:val="num" w:pos="0"/>
        </w:tabs>
        <w:spacing w:after="240" w:line="360" w:lineRule="auto"/>
        <w:ind w:left="0" w:hanging="426"/>
        <w:contextualSpacing w:val="0"/>
        <w:rPr>
          <w:rFonts w:ascii="Arial" w:hAnsi="Arial" w:cs="Arial"/>
          <w:lang w:val="en-US"/>
        </w:rPr>
      </w:pPr>
      <w:r w:rsidRPr="000655FA">
        <w:rPr>
          <w:rFonts w:ascii="Arial" w:hAnsi="Arial" w:cs="Arial"/>
          <w:lang w:val="en-US"/>
        </w:rPr>
        <w:t>In draft para. 66 it is assumed that the obligation of States parties to respect and to ensure the rights under article 6 of the Covenant extends even outside any territory effectively controlled by the State to persons who are nonetheless impacted by its military or other activities in a direct, significant and foreseeable manner. Pursuant to Article 2, paragraph 1 of the Covenant, Germany ensures the rights recognized in the Covenant to all individuals within its territory and subject to its jurisdiction. Wherever its police or armed forces are deployed abroad, in particular when participating in peace missions, Germany ensures to all persons that they will be granted the rights recognized in the Covenant, insofar as they are subject to its jurisdiction. The mere fact that a military or other activity abroad has an impact on persons abroad, however, is in the view of Germany not a link that would automatically suffice to establish jurisdiction of Germany over the persons concerned.</w:t>
      </w:r>
    </w:p>
    <w:p w:rsidR="00C734BF" w:rsidRPr="000655FA" w:rsidRDefault="00C734BF" w:rsidP="000655FA">
      <w:pPr>
        <w:pStyle w:val="ListParagraph"/>
        <w:numPr>
          <w:ilvl w:val="0"/>
          <w:numId w:val="1"/>
        </w:numPr>
        <w:tabs>
          <w:tab w:val="clear" w:pos="1800"/>
          <w:tab w:val="num" w:pos="0"/>
        </w:tabs>
        <w:spacing w:after="240" w:line="360" w:lineRule="auto"/>
        <w:ind w:left="0" w:hanging="426"/>
        <w:contextualSpacing w:val="0"/>
        <w:rPr>
          <w:rFonts w:ascii="Arial" w:hAnsi="Arial" w:cs="Arial"/>
          <w:lang w:val="en-US"/>
        </w:rPr>
      </w:pPr>
      <w:r w:rsidRPr="000655FA">
        <w:rPr>
          <w:rFonts w:ascii="Arial" w:hAnsi="Arial" w:cs="Arial"/>
          <w:lang w:val="en-US"/>
        </w:rPr>
        <w:t>In a similar vein, it is assumed in para. 66 that the obligation to respect and to ensure respect for the right to life extends to individuals who due to a situation of distress at sea found themselves in an area of the high seas over which particular states have assumed de facto responsibility, including pursuant to the relevant international norms governing rescue at sea. Germany wishes to clarify that it does not perceive action in the context of maritime rescue coordination as an establishment and exercise of jurisdiction over persons in distress on the high seas. Germany further wishes to clarify that it does not view the establishment of a search and rescue region for the purposes of the 1979 International Convention on Maritime Search and Rescue (SAR Convention) as assuming de facto responsibility over a maritime area. The United Nations Convention on the Law of the Sea defines the maritime zones over which a coastal state has sovereignty (territorial sea) or exercises sovereign rights or jurisdiction (exclusive economic zone). Furthermore, the SAR Convention defines a search and rescue region merely as “an area of defined dimensions associated with a rescue coordination center within which search and rescue services are provided”. Once persons in distress are taken on board a government ship, jurisdiction of the flag state over the persons concerned is established.</w:t>
      </w:r>
    </w:p>
    <w:p w:rsidR="00C734BF" w:rsidRPr="000655FA" w:rsidRDefault="00C734BF" w:rsidP="000655FA">
      <w:pPr>
        <w:pStyle w:val="ListParagraph"/>
        <w:numPr>
          <w:ilvl w:val="0"/>
          <w:numId w:val="1"/>
        </w:numPr>
        <w:tabs>
          <w:tab w:val="clear" w:pos="1800"/>
          <w:tab w:val="num" w:pos="0"/>
        </w:tabs>
        <w:spacing w:after="240" w:line="360" w:lineRule="auto"/>
        <w:ind w:left="0" w:hanging="426"/>
        <w:contextualSpacing w:val="0"/>
        <w:rPr>
          <w:rFonts w:ascii="Arial" w:hAnsi="Arial" w:cs="Arial"/>
          <w:lang w:val="en-US"/>
        </w:rPr>
      </w:pPr>
      <w:r w:rsidRPr="000655FA">
        <w:rPr>
          <w:rFonts w:ascii="Arial" w:hAnsi="Arial" w:cs="Arial"/>
          <w:lang w:val="en-US"/>
        </w:rPr>
        <w:t xml:space="preserve">With regard to the relationship between the right to life and the norms of international humanitarian law, laid out in draft para. 67, Germany is of the view that while Article 6 of the Covenant remains applicable in situations of armed conflict, the conduct of hostilities is governed by the special regime of international humanitarian law. The rules of international </w:t>
      </w:r>
      <w:r w:rsidRPr="000655FA">
        <w:rPr>
          <w:rFonts w:ascii="Arial" w:hAnsi="Arial" w:cs="Arial"/>
          <w:lang w:val="en-US"/>
        </w:rPr>
        <w:lastRenderedPageBreak/>
        <w:t xml:space="preserve">humanitarian law are indeed relevant to the interpretation and application of the right to life in situations of armed conflict. This principle has inter alia already been established by the European Court of Human Rights. </w:t>
      </w:r>
    </w:p>
    <w:p w:rsidR="000E6518" w:rsidRPr="000655FA" w:rsidRDefault="00C734BF" w:rsidP="000655FA">
      <w:pPr>
        <w:pStyle w:val="ListParagraph"/>
        <w:numPr>
          <w:ilvl w:val="0"/>
          <w:numId w:val="1"/>
        </w:numPr>
        <w:tabs>
          <w:tab w:val="clear" w:pos="1800"/>
          <w:tab w:val="num" w:pos="0"/>
        </w:tabs>
        <w:spacing w:after="240" w:line="360" w:lineRule="auto"/>
        <w:ind w:left="0" w:hanging="426"/>
        <w:contextualSpacing w:val="0"/>
        <w:rPr>
          <w:rFonts w:cs="Arial"/>
          <w:lang w:val="en-US"/>
        </w:rPr>
      </w:pPr>
      <w:r w:rsidRPr="000655FA">
        <w:rPr>
          <w:rFonts w:ascii="Arial" w:hAnsi="Arial" w:cs="Arial"/>
          <w:lang w:val="en-US"/>
        </w:rPr>
        <w:t xml:space="preserve">In draft para. 71 a direct relation between acts of aggression and the right to life is assumed. Germany wishes to point out that maintaining international peace and security is primarily a matter regulated by the part of international law governing the </w:t>
      </w:r>
      <w:r w:rsidRPr="000655FA">
        <w:rPr>
          <w:rFonts w:ascii="Arial" w:hAnsi="Arial" w:cs="Arial"/>
          <w:i/>
          <w:lang w:val="en-US"/>
        </w:rPr>
        <w:t>ius ad bellum,</w:t>
      </w:r>
      <w:r w:rsidRPr="000655FA">
        <w:rPr>
          <w:rFonts w:ascii="Arial" w:hAnsi="Arial" w:cs="Arial"/>
          <w:lang w:val="en-US"/>
        </w:rPr>
        <w:t xml:space="preserve"> rather than a subject matter treated by human rights law. Notwithstanding the fact that an act of aggression may entail or lead to violations of human rights, a clear distinction between the different legal regimes should be maintained in order to allow for an adequate attribution of responsibilities in international law.</w:t>
      </w:r>
    </w:p>
    <w:sectPr w:rsidR="000E6518" w:rsidRPr="000655FA" w:rsidSect="00AB57BB">
      <w:footerReference w:type="default" r:id="rId8"/>
      <w:pgSz w:w="11906" w:h="16838"/>
      <w:pgMar w:top="1418"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022" w:rsidRDefault="009E5022" w:rsidP="00D57D86">
      <w:pPr>
        <w:spacing w:after="0" w:line="240" w:lineRule="auto"/>
      </w:pPr>
      <w:r>
        <w:separator/>
      </w:r>
    </w:p>
  </w:endnote>
  <w:endnote w:type="continuationSeparator" w:id="0">
    <w:p w:rsidR="009E5022" w:rsidRDefault="009E5022" w:rsidP="00D5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982195"/>
      <w:docPartObj>
        <w:docPartGallery w:val="Page Numbers (Bottom of Page)"/>
        <w:docPartUnique/>
      </w:docPartObj>
    </w:sdtPr>
    <w:sdtEndPr/>
    <w:sdtContent>
      <w:p w:rsidR="00AB57BB" w:rsidRDefault="00AB57BB">
        <w:pPr>
          <w:pStyle w:val="Footer"/>
          <w:jc w:val="center"/>
        </w:pPr>
        <w:r>
          <w:fldChar w:fldCharType="begin"/>
        </w:r>
        <w:r>
          <w:instrText>PAGE   \* MERGEFORMAT</w:instrText>
        </w:r>
        <w:r>
          <w:fldChar w:fldCharType="separate"/>
        </w:r>
        <w:r w:rsidR="00C467B0">
          <w:rPr>
            <w:noProof/>
          </w:rPr>
          <w:t>1</w:t>
        </w:r>
        <w:r>
          <w:fldChar w:fldCharType="end"/>
        </w:r>
      </w:p>
    </w:sdtContent>
  </w:sdt>
  <w:p w:rsidR="00AB57BB" w:rsidRDefault="00AB5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022" w:rsidRDefault="009E5022" w:rsidP="00D57D86">
      <w:pPr>
        <w:spacing w:after="0" w:line="240" w:lineRule="auto"/>
      </w:pPr>
      <w:r>
        <w:separator/>
      </w:r>
    </w:p>
  </w:footnote>
  <w:footnote w:type="continuationSeparator" w:id="0">
    <w:p w:rsidR="009E5022" w:rsidRDefault="009E5022" w:rsidP="00D57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F498D"/>
    <w:multiLevelType w:val="hybridMultilevel"/>
    <w:tmpl w:val="1C6A8268"/>
    <w:lvl w:ilvl="0" w:tplc="2A8A3956">
      <w:start w:val="1"/>
      <w:numFmt w:val="decimal"/>
      <w:lvlText w:val="%1"/>
      <w:lvlJc w:val="left"/>
      <w:pPr>
        <w:tabs>
          <w:tab w:val="num" w:pos="1800"/>
        </w:tabs>
        <w:ind w:left="1800" w:hanging="360"/>
      </w:pPr>
      <w:rPr>
        <w:rFonts w:ascii="Arial" w:hAnsi="Arial" w:hint="default"/>
        <w:b/>
        <w:i w:val="0"/>
        <w:sz w:val="22"/>
      </w:rPr>
    </w:lvl>
    <w:lvl w:ilvl="1" w:tplc="FC32BFC0">
      <w:start w:val="1"/>
      <w:numFmt w:val="upperLetter"/>
      <w:lvlText w:val="%2)"/>
      <w:lvlJc w:val="left"/>
      <w:pPr>
        <w:tabs>
          <w:tab w:val="num" w:pos="1800"/>
        </w:tabs>
        <w:ind w:left="1800" w:hanging="360"/>
      </w:pPr>
      <w:rPr>
        <w:rFonts w:ascii="Arial" w:hAnsi="Arial" w:hint="default"/>
        <w:b/>
        <w:i w:val="0"/>
        <w:sz w:val="22"/>
      </w:rPr>
    </w:lvl>
    <w:lvl w:ilvl="2" w:tplc="0407001B" w:tentative="1">
      <w:start w:val="1"/>
      <w:numFmt w:val="lowerRoman"/>
      <w:lvlText w:val="%3."/>
      <w:lvlJc w:val="right"/>
      <w:pPr>
        <w:tabs>
          <w:tab w:val="num" w:pos="3600"/>
        </w:tabs>
        <w:ind w:left="3600" w:hanging="180"/>
      </w:pPr>
    </w:lvl>
    <w:lvl w:ilvl="3" w:tplc="0407000F" w:tentative="1">
      <w:start w:val="1"/>
      <w:numFmt w:val="decimal"/>
      <w:lvlText w:val="%4."/>
      <w:lvlJc w:val="left"/>
      <w:pPr>
        <w:tabs>
          <w:tab w:val="num" w:pos="4320"/>
        </w:tabs>
        <w:ind w:left="4320" w:hanging="360"/>
      </w:pPr>
    </w:lvl>
    <w:lvl w:ilvl="4" w:tplc="04070019" w:tentative="1">
      <w:start w:val="1"/>
      <w:numFmt w:val="lowerLetter"/>
      <w:lvlText w:val="%5."/>
      <w:lvlJc w:val="left"/>
      <w:pPr>
        <w:tabs>
          <w:tab w:val="num" w:pos="5040"/>
        </w:tabs>
        <w:ind w:left="5040" w:hanging="360"/>
      </w:pPr>
    </w:lvl>
    <w:lvl w:ilvl="5" w:tplc="0407001B" w:tentative="1">
      <w:start w:val="1"/>
      <w:numFmt w:val="lowerRoman"/>
      <w:lvlText w:val="%6."/>
      <w:lvlJc w:val="right"/>
      <w:pPr>
        <w:tabs>
          <w:tab w:val="num" w:pos="5760"/>
        </w:tabs>
        <w:ind w:left="5760" w:hanging="180"/>
      </w:pPr>
    </w:lvl>
    <w:lvl w:ilvl="6" w:tplc="0407000F" w:tentative="1">
      <w:start w:val="1"/>
      <w:numFmt w:val="decimal"/>
      <w:lvlText w:val="%7."/>
      <w:lvlJc w:val="left"/>
      <w:pPr>
        <w:tabs>
          <w:tab w:val="num" w:pos="6480"/>
        </w:tabs>
        <w:ind w:left="6480" w:hanging="360"/>
      </w:pPr>
    </w:lvl>
    <w:lvl w:ilvl="7" w:tplc="04070019" w:tentative="1">
      <w:start w:val="1"/>
      <w:numFmt w:val="lowerLetter"/>
      <w:lvlText w:val="%8."/>
      <w:lvlJc w:val="left"/>
      <w:pPr>
        <w:tabs>
          <w:tab w:val="num" w:pos="7200"/>
        </w:tabs>
        <w:ind w:left="7200" w:hanging="360"/>
      </w:pPr>
    </w:lvl>
    <w:lvl w:ilvl="8" w:tplc="0407001B" w:tentative="1">
      <w:start w:val="1"/>
      <w:numFmt w:val="lowerRoman"/>
      <w:lvlText w:val="%9."/>
      <w:lvlJc w:val="right"/>
      <w:pPr>
        <w:tabs>
          <w:tab w:val="num" w:pos="7920"/>
        </w:tabs>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1A"/>
    <w:rsid w:val="0000312E"/>
    <w:rsid w:val="000045A3"/>
    <w:rsid w:val="00011B87"/>
    <w:rsid w:val="0001283C"/>
    <w:rsid w:val="00020924"/>
    <w:rsid w:val="000655FA"/>
    <w:rsid w:val="000728DE"/>
    <w:rsid w:val="0009532E"/>
    <w:rsid w:val="000B0441"/>
    <w:rsid w:val="000C3D3E"/>
    <w:rsid w:val="000E6518"/>
    <w:rsid w:val="001123B6"/>
    <w:rsid w:val="00136268"/>
    <w:rsid w:val="001363BF"/>
    <w:rsid w:val="0013675F"/>
    <w:rsid w:val="00140D0B"/>
    <w:rsid w:val="001432F5"/>
    <w:rsid w:val="00155ECB"/>
    <w:rsid w:val="001B5C9B"/>
    <w:rsid w:val="001C3A19"/>
    <w:rsid w:val="001C4EAC"/>
    <w:rsid w:val="001D3173"/>
    <w:rsid w:val="001F71C7"/>
    <w:rsid w:val="002114AB"/>
    <w:rsid w:val="00216F1D"/>
    <w:rsid w:val="002320BC"/>
    <w:rsid w:val="002329BE"/>
    <w:rsid w:val="0024073D"/>
    <w:rsid w:val="00254BDE"/>
    <w:rsid w:val="00261F6B"/>
    <w:rsid w:val="00282DC8"/>
    <w:rsid w:val="002D0908"/>
    <w:rsid w:val="002F154A"/>
    <w:rsid w:val="00301A68"/>
    <w:rsid w:val="00341DBE"/>
    <w:rsid w:val="00353A65"/>
    <w:rsid w:val="0036638B"/>
    <w:rsid w:val="00376534"/>
    <w:rsid w:val="00381FD4"/>
    <w:rsid w:val="00386FE2"/>
    <w:rsid w:val="00391537"/>
    <w:rsid w:val="003A19D1"/>
    <w:rsid w:val="003A5D8C"/>
    <w:rsid w:val="003A5DBC"/>
    <w:rsid w:val="003D0225"/>
    <w:rsid w:val="003E7E6F"/>
    <w:rsid w:val="003F01F1"/>
    <w:rsid w:val="003F1B53"/>
    <w:rsid w:val="004151E7"/>
    <w:rsid w:val="00416C0F"/>
    <w:rsid w:val="00433DAA"/>
    <w:rsid w:val="0044661A"/>
    <w:rsid w:val="00494740"/>
    <w:rsid w:val="004957ED"/>
    <w:rsid w:val="004B166A"/>
    <w:rsid w:val="004B46E5"/>
    <w:rsid w:val="004C4230"/>
    <w:rsid w:val="0053603A"/>
    <w:rsid w:val="0054270D"/>
    <w:rsid w:val="005433FA"/>
    <w:rsid w:val="00545868"/>
    <w:rsid w:val="005565AB"/>
    <w:rsid w:val="005943AD"/>
    <w:rsid w:val="005B1AFF"/>
    <w:rsid w:val="005B54F1"/>
    <w:rsid w:val="005D1C30"/>
    <w:rsid w:val="005D3C6A"/>
    <w:rsid w:val="005E1B3F"/>
    <w:rsid w:val="0060783F"/>
    <w:rsid w:val="00610DBA"/>
    <w:rsid w:val="00655498"/>
    <w:rsid w:val="00692FE8"/>
    <w:rsid w:val="006C2A65"/>
    <w:rsid w:val="006D001E"/>
    <w:rsid w:val="0071407C"/>
    <w:rsid w:val="00725063"/>
    <w:rsid w:val="00764332"/>
    <w:rsid w:val="007A1539"/>
    <w:rsid w:val="007B6A49"/>
    <w:rsid w:val="007D5314"/>
    <w:rsid w:val="007E345D"/>
    <w:rsid w:val="007F4B4B"/>
    <w:rsid w:val="007F5417"/>
    <w:rsid w:val="00825D7A"/>
    <w:rsid w:val="0083158C"/>
    <w:rsid w:val="0085372D"/>
    <w:rsid w:val="008A3704"/>
    <w:rsid w:val="008A3B27"/>
    <w:rsid w:val="008A5783"/>
    <w:rsid w:val="008B47CB"/>
    <w:rsid w:val="008B546B"/>
    <w:rsid w:val="008C1880"/>
    <w:rsid w:val="008C2AFD"/>
    <w:rsid w:val="008D66C1"/>
    <w:rsid w:val="008F379C"/>
    <w:rsid w:val="009038D9"/>
    <w:rsid w:val="0090573B"/>
    <w:rsid w:val="009103F9"/>
    <w:rsid w:val="00934227"/>
    <w:rsid w:val="009917EF"/>
    <w:rsid w:val="009C7C8C"/>
    <w:rsid w:val="009E5022"/>
    <w:rsid w:val="009F3442"/>
    <w:rsid w:val="00A4473B"/>
    <w:rsid w:val="00A46FC9"/>
    <w:rsid w:val="00A5312D"/>
    <w:rsid w:val="00A92D06"/>
    <w:rsid w:val="00AA78D2"/>
    <w:rsid w:val="00AB57BB"/>
    <w:rsid w:val="00B06C6C"/>
    <w:rsid w:val="00B515E8"/>
    <w:rsid w:val="00B60907"/>
    <w:rsid w:val="00B64252"/>
    <w:rsid w:val="00B820F9"/>
    <w:rsid w:val="00B834AB"/>
    <w:rsid w:val="00BC599C"/>
    <w:rsid w:val="00BC777B"/>
    <w:rsid w:val="00BE6882"/>
    <w:rsid w:val="00C12EBA"/>
    <w:rsid w:val="00C467B0"/>
    <w:rsid w:val="00C46CB1"/>
    <w:rsid w:val="00C734BF"/>
    <w:rsid w:val="00C75EC7"/>
    <w:rsid w:val="00C9579C"/>
    <w:rsid w:val="00C964E7"/>
    <w:rsid w:val="00CA563C"/>
    <w:rsid w:val="00CB70E0"/>
    <w:rsid w:val="00CD49C4"/>
    <w:rsid w:val="00D072D7"/>
    <w:rsid w:val="00D26EE3"/>
    <w:rsid w:val="00D30DD8"/>
    <w:rsid w:val="00D3416B"/>
    <w:rsid w:val="00D52468"/>
    <w:rsid w:val="00D57D86"/>
    <w:rsid w:val="00D63932"/>
    <w:rsid w:val="00D708FF"/>
    <w:rsid w:val="00D970F4"/>
    <w:rsid w:val="00DB5EA4"/>
    <w:rsid w:val="00DE41BA"/>
    <w:rsid w:val="00E05138"/>
    <w:rsid w:val="00E12DC3"/>
    <w:rsid w:val="00E414B7"/>
    <w:rsid w:val="00E969AA"/>
    <w:rsid w:val="00F13970"/>
    <w:rsid w:val="00F4116F"/>
    <w:rsid w:val="00F412E1"/>
    <w:rsid w:val="00F66148"/>
    <w:rsid w:val="00F727CF"/>
    <w:rsid w:val="00F7462B"/>
    <w:rsid w:val="00FD2A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MJStandard15Zeilen">
    <w:name w:val="BMJStandard1.5Zeilen"/>
    <w:basedOn w:val="Normal"/>
    <w:rsid w:val="00D57D8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360" w:lineRule="auto"/>
    </w:pPr>
    <w:rPr>
      <w:rFonts w:ascii="Arial" w:eastAsia="Times New Roman" w:hAnsi="Arial" w:cs="Times New Roman"/>
      <w:szCs w:val="20"/>
    </w:rPr>
  </w:style>
  <w:style w:type="paragraph" w:styleId="FootnoteText">
    <w:name w:val="footnote text"/>
    <w:basedOn w:val="Normal"/>
    <w:link w:val="FootnoteTextChar"/>
    <w:semiHidden/>
    <w:rsid w:val="00D57D8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57D86"/>
    <w:rPr>
      <w:rFonts w:ascii="Times New Roman" w:eastAsia="Times New Roman" w:hAnsi="Times New Roman" w:cs="Times New Roman"/>
      <w:sz w:val="20"/>
      <w:szCs w:val="20"/>
    </w:rPr>
  </w:style>
  <w:style w:type="character" w:styleId="FootnoteReference">
    <w:name w:val="footnote reference"/>
    <w:basedOn w:val="DefaultParagraphFont"/>
    <w:semiHidden/>
    <w:rsid w:val="00D57D86"/>
    <w:rPr>
      <w:vertAlign w:val="superscript"/>
    </w:rPr>
  </w:style>
  <w:style w:type="paragraph" w:styleId="Header">
    <w:name w:val="header"/>
    <w:basedOn w:val="Normal"/>
    <w:link w:val="HeaderChar"/>
    <w:uiPriority w:val="99"/>
    <w:unhideWhenUsed/>
    <w:rsid w:val="00D26E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6EE3"/>
  </w:style>
  <w:style w:type="paragraph" w:styleId="Footer">
    <w:name w:val="footer"/>
    <w:basedOn w:val="Normal"/>
    <w:link w:val="FooterChar"/>
    <w:uiPriority w:val="99"/>
    <w:unhideWhenUsed/>
    <w:rsid w:val="00D26E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6EE3"/>
  </w:style>
  <w:style w:type="paragraph" w:styleId="BalloonText">
    <w:name w:val="Balloon Text"/>
    <w:basedOn w:val="Normal"/>
    <w:link w:val="BalloonTextChar"/>
    <w:uiPriority w:val="99"/>
    <w:semiHidden/>
    <w:unhideWhenUsed/>
    <w:rsid w:val="00853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72D"/>
    <w:rPr>
      <w:rFonts w:ascii="Tahoma" w:hAnsi="Tahoma" w:cs="Tahoma"/>
      <w:sz w:val="16"/>
      <w:szCs w:val="16"/>
    </w:rPr>
  </w:style>
  <w:style w:type="paragraph" w:styleId="BodyText">
    <w:name w:val="Body Text"/>
    <w:basedOn w:val="Normal"/>
    <w:link w:val="BodyTextChar"/>
    <w:uiPriority w:val="99"/>
    <w:semiHidden/>
    <w:unhideWhenUsed/>
    <w:rsid w:val="00C734BF"/>
    <w:rPr>
      <w:rFonts w:ascii="Times New Roman" w:hAnsi="Times New Roman" w:cs="Times New Roman"/>
      <w:sz w:val="24"/>
      <w:szCs w:val="24"/>
      <w:lang w:val="en-US"/>
    </w:rPr>
  </w:style>
  <w:style w:type="character" w:customStyle="1" w:styleId="BodyTextChar">
    <w:name w:val="Body Text Char"/>
    <w:basedOn w:val="DefaultParagraphFont"/>
    <w:link w:val="BodyText"/>
    <w:uiPriority w:val="99"/>
    <w:semiHidden/>
    <w:rsid w:val="00C734BF"/>
    <w:rPr>
      <w:rFonts w:ascii="Times New Roman" w:hAnsi="Times New Roman" w:cs="Times New Roman"/>
      <w:sz w:val="24"/>
      <w:szCs w:val="24"/>
      <w:lang w:val="en-US"/>
    </w:rPr>
  </w:style>
  <w:style w:type="paragraph" w:styleId="ListParagraph">
    <w:name w:val="List Paragraph"/>
    <w:basedOn w:val="Normal"/>
    <w:uiPriority w:val="34"/>
    <w:qFormat/>
    <w:rsid w:val="00C73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4684">
      <w:bodyDiv w:val="1"/>
      <w:marLeft w:val="0"/>
      <w:marRight w:val="0"/>
      <w:marTop w:val="0"/>
      <w:marBottom w:val="0"/>
      <w:divBdr>
        <w:top w:val="none" w:sz="0" w:space="0" w:color="auto"/>
        <w:left w:val="none" w:sz="0" w:space="0" w:color="auto"/>
        <w:bottom w:val="none" w:sz="0" w:space="0" w:color="auto"/>
        <w:right w:val="none" w:sz="0" w:space="0" w:color="auto"/>
      </w:divBdr>
      <w:divsChild>
        <w:div w:id="1952199394">
          <w:marLeft w:val="0"/>
          <w:marRight w:val="0"/>
          <w:marTop w:val="0"/>
          <w:marBottom w:val="0"/>
          <w:divBdr>
            <w:top w:val="none" w:sz="0" w:space="0" w:color="auto"/>
            <w:left w:val="none" w:sz="0" w:space="0" w:color="auto"/>
            <w:bottom w:val="none" w:sz="0" w:space="0" w:color="auto"/>
            <w:right w:val="none" w:sz="0" w:space="0" w:color="auto"/>
          </w:divBdr>
          <w:divsChild>
            <w:div w:id="1642953876">
              <w:marLeft w:val="0"/>
              <w:marRight w:val="0"/>
              <w:marTop w:val="0"/>
              <w:marBottom w:val="0"/>
              <w:divBdr>
                <w:top w:val="none" w:sz="0" w:space="0" w:color="auto"/>
                <w:left w:val="none" w:sz="0" w:space="0" w:color="auto"/>
                <w:bottom w:val="none" w:sz="0" w:space="0" w:color="auto"/>
                <w:right w:val="none" w:sz="0" w:space="0" w:color="auto"/>
              </w:divBdr>
              <w:divsChild>
                <w:div w:id="1556965633">
                  <w:marLeft w:val="0"/>
                  <w:marRight w:val="0"/>
                  <w:marTop w:val="0"/>
                  <w:marBottom w:val="0"/>
                  <w:divBdr>
                    <w:top w:val="none" w:sz="0" w:space="0" w:color="auto"/>
                    <w:left w:val="none" w:sz="0" w:space="0" w:color="auto"/>
                    <w:bottom w:val="none" w:sz="0" w:space="0" w:color="auto"/>
                    <w:right w:val="none" w:sz="0" w:space="0" w:color="auto"/>
                  </w:divBdr>
                  <w:divsChild>
                    <w:div w:id="396712862">
                      <w:marLeft w:val="0"/>
                      <w:marRight w:val="0"/>
                      <w:marTop w:val="0"/>
                      <w:marBottom w:val="0"/>
                      <w:divBdr>
                        <w:top w:val="none" w:sz="0" w:space="0" w:color="auto"/>
                        <w:left w:val="none" w:sz="0" w:space="0" w:color="auto"/>
                        <w:bottom w:val="none" w:sz="0" w:space="0" w:color="auto"/>
                        <w:right w:val="none" w:sz="0" w:space="0" w:color="auto"/>
                      </w:divBdr>
                      <w:divsChild>
                        <w:div w:id="2063017207">
                          <w:marLeft w:val="0"/>
                          <w:marRight w:val="0"/>
                          <w:marTop w:val="0"/>
                          <w:marBottom w:val="0"/>
                          <w:divBdr>
                            <w:top w:val="none" w:sz="0" w:space="0" w:color="auto"/>
                            <w:left w:val="none" w:sz="0" w:space="0" w:color="auto"/>
                            <w:bottom w:val="none" w:sz="0" w:space="0" w:color="auto"/>
                            <w:right w:val="none" w:sz="0" w:space="0" w:color="auto"/>
                          </w:divBdr>
                          <w:divsChild>
                            <w:div w:id="906299859">
                              <w:marLeft w:val="0"/>
                              <w:marRight w:val="0"/>
                              <w:marTop w:val="0"/>
                              <w:marBottom w:val="0"/>
                              <w:divBdr>
                                <w:top w:val="none" w:sz="0" w:space="0" w:color="auto"/>
                                <w:left w:val="none" w:sz="0" w:space="0" w:color="auto"/>
                                <w:bottom w:val="none" w:sz="0" w:space="0" w:color="auto"/>
                                <w:right w:val="none" w:sz="0" w:space="0" w:color="auto"/>
                              </w:divBdr>
                              <w:divsChild>
                                <w:div w:id="638995803">
                                  <w:marLeft w:val="0"/>
                                  <w:marRight w:val="0"/>
                                  <w:marTop w:val="0"/>
                                  <w:marBottom w:val="0"/>
                                  <w:divBdr>
                                    <w:top w:val="none" w:sz="0" w:space="0" w:color="auto"/>
                                    <w:left w:val="none" w:sz="0" w:space="0" w:color="auto"/>
                                    <w:bottom w:val="none" w:sz="0" w:space="0" w:color="auto"/>
                                    <w:right w:val="none" w:sz="0" w:space="0" w:color="auto"/>
                                  </w:divBdr>
                                  <w:divsChild>
                                    <w:div w:id="997803581">
                                      <w:marLeft w:val="0"/>
                                      <w:marRight w:val="0"/>
                                      <w:marTop w:val="0"/>
                                      <w:marBottom w:val="0"/>
                                      <w:divBdr>
                                        <w:top w:val="none" w:sz="0" w:space="0" w:color="auto"/>
                                        <w:left w:val="none" w:sz="0" w:space="0" w:color="auto"/>
                                        <w:bottom w:val="none" w:sz="0" w:space="0" w:color="auto"/>
                                        <w:right w:val="none" w:sz="0" w:space="0" w:color="auto"/>
                                      </w:divBdr>
                                    </w:div>
                                    <w:div w:id="9325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672410">
      <w:bodyDiv w:val="1"/>
      <w:marLeft w:val="0"/>
      <w:marRight w:val="0"/>
      <w:marTop w:val="0"/>
      <w:marBottom w:val="0"/>
      <w:divBdr>
        <w:top w:val="none" w:sz="0" w:space="0" w:color="auto"/>
        <w:left w:val="none" w:sz="0" w:space="0" w:color="auto"/>
        <w:bottom w:val="none" w:sz="0" w:space="0" w:color="auto"/>
        <w:right w:val="none" w:sz="0" w:space="0" w:color="auto"/>
      </w:divBdr>
      <w:divsChild>
        <w:div w:id="2048601359">
          <w:marLeft w:val="0"/>
          <w:marRight w:val="0"/>
          <w:marTop w:val="0"/>
          <w:marBottom w:val="0"/>
          <w:divBdr>
            <w:top w:val="none" w:sz="0" w:space="0" w:color="auto"/>
            <w:left w:val="none" w:sz="0" w:space="0" w:color="auto"/>
            <w:bottom w:val="none" w:sz="0" w:space="0" w:color="auto"/>
            <w:right w:val="none" w:sz="0" w:space="0" w:color="auto"/>
          </w:divBdr>
          <w:divsChild>
            <w:div w:id="1489517158">
              <w:marLeft w:val="0"/>
              <w:marRight w:val="0"/>
              <w:marTop w:val="0"/>
              <w:marBottom w:val="0"/>
              <w:divBdr>
                <w:top w:val="none" w:sz="0" w:space="0" w:color="auto"/>
                <w:left w:val="none" w:sz="0" w:space="0" w:color="auto"/>
                <w:bottom w:val="none" w:sz="0" w:space="0" w:color="auto"/>
                <w:right w:val="none" w:sz="0" w:space="0" w:color="auto"/>
              </w:divBdr>
              <w:divsChild>
                <w:div w:id="650645484">
                  <w:marLeft w:val="0"/>
                  <w:marRight w:val="0"/>
                  <w:marTop w:val="0"/>
                  <w:marBottom w:val="0"/>
                  <w:divBdr>
                    <w:top w:val="none" w:sz="0" w:space="0" w:color="auto"/>
                    <w:left w:val="none" w:sz="0" w:space="0" w:color="auto"/>
                    <w:bottom w:val="none" w:sz="0" w:space="0" w:color="auto"/>
                    <w:right w:val="none" w:sz="0" w:space="0" w:color="auto"/>
                  </w:divBdr>
                  <w:divsChild>
                    <w:div w:id="1244804788">
                      <w:marLeft w:val="0"/>
                      <w:marRight w:val="0"/>
                      <w:marTop w:val="0"/>
                      <w:marBottom w:val="0"/>
                      <w:divBdr>
                        <w:top w:val="none" w:sz="0" w:space="0" w:color="auto"/>
                        <w:left w:val="none" w:sz="0" w:space="0" w:color="auto"/>
                        <w:bottom w:val="none" w:sz="0" w:space="0" w:color="auto"/>
                        <w:right w:val="none" w:sz="0" w:space="0" w:color="auto"/>
                      </w:divBdr>
                      <w:divsChild>
                        <w:div w:id="1719360153">
                          <w:marLeft w:val="0"/>
                          <w:marRight w:val="0"/>
                          <w:marTop w:val="0"/>
                          <w:marBottom w:val="0"/>
                          <w:divBdr>
                            <w:top w:val="none" w:sz="0" w:space="0" w:color="auto"/>
                            <w:left w:val="none" w:sz="0" w:space="0" w:color="auto"/>
                            <w:bottom w:val="none" w:sz="0" w:space="0" w:color="auto"/>
                            <w:right w:val="none" w:sz="0" w:space="0" w:color="auto"/>
                          </w:divBdr>
                          <w:divsChild>
                            <w:div w:id="82188719">
                              <w:marLeft w:val="0"/>
                              <w:marRight w:val="0"/>
                              <w:marTop w:val="0"/>
                              <w:marBottom w:val="0"/>
                              <w:divBdr>
                                <w:top w:val="none" w:sz="0" w:space="0" w:color="auto"/>
                                <w:left w:val="none" w:sz="0" w:space="0" w:color="auto"/>
                                <w:bottom w:val="none" w:sz="0" w:space="0" w:color="auto"/>
                                <w:right w:val="none" w:sz="0" w:space="0" w:color="auto"/>
                              </w:divBdr>
                              <w:divsChild>
                                <w:div w:id="1637949929">
                                  <w:marLeft w:val="0"/>
                                  <w:marRight w:val="0"/>
                                  <w:marTop w:val="0"/>
                                  <w:marBottom w:val="0"/>
                                  <w:divBdr>
                                    <w:top w:val="none" w:sz="0" w:space="0" w:color="auto"/>
                                    <w:left w:val="none" w:sz="0" w:space="0" w:color="auto"/>
                                    <w:bottom w:val="none" w:sz="0" w:space="0" w:color="auto"/>
                                    <w:right w:val="none" w:sz="0" w:space="0" w:color="auto"/>
                                  </w:divBdr>
                                  <w:divsChild>
                                    <w:div w:id="1425373584">
                                      <w:marLeft w:val="0"/>
                                      <w:marRight w:val="0"/>
                                      <w:marTop w:val="0"/>
                                      <w:marBottom w:val="0"/>
                                      <w:divBdr>
                                        <w:top w:val="none" w:sz="0" w:space="0" w:color="auto"/>
                                        <w:left w:val="none" w:sz="0" w:space="0" w:color="auto"/>
                                        <w:bottom w:val="none" w:sz="0" w:space="0" w:color="auto"/>
                                        <w:right w:val="none" w:sz="0" w:space="0" w:color="auto"/>
                                      </w:divBdr>
                                    </w:div>
                                    <w:div w:id="7663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191670">
      <w:bodyDiv w:val="1"/>
      <w:marLeft w:val="0"/>
      <w:marRight w:val="0"/>
      <w:marTop w:val="0"/>
      <w:marBottom w:val="0"/>
      <w:divBdr>
        <w:top w:val="none" w:sz="0" w:space="0" w:color="auto"/>
        <w:left w:val="none" w:sz="0" w:space="0" w:color="auto"/>
        <w:bottom w:val="none" w:sz="0" w:space="0" w:color="auto"/>
        <w:right w:val="none" w:sz="0" w:space="0" w:color="auto"/>
      </w:divBdr>
    </w:div>
    <w:div w:id="197722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CC9FBA-434A-413F-9B8C-E6DA6358B06F}">
  <ds:schemaRefs>
    <ds:schemaRef ds:uri="http://schemas.openxmlformats.org/officeDocument/2006/bibliography"/>
  </ds:schemaRefs>
</ds:datastoreItem>
</file>

<file path=customXml/itemProps2.xml><?xml version="1.0" encoding="utf-8"?>
<ds:datastoreItem xmlns:ds="http://schemas.openxmlformats.org/officeDocument/2006/customXml" ds:itemID="{64831120-EC21-473A-AB82-9AA97AB48E4D}"/>
</file>

<file path=customXml/itemProps3.xml><?xml version="1.0" encoding="utf-8"?>
<ds:datastoreItem xmlns:ds="http://schemas.openxmlformats.org/officeDocument/2006/customXml" ds:itemID="{8D3F2429-F892-4790-8F38-4F370A5DA2F6}"/>
</file>

<file path=customXml/itemProps4.xml><?xml version="1.0" encoding="utf-8"?>
<ds:datastoreItem xmlns:ds="http://schemas.openxmlformats.org/officeDocument/2006/customXml" ds:itemID="{465EC391-3F0A-414B-A2C0-7798A95B6E2D}"/>
</file>

<file path=docProps/app.xml><?xml version="1.0" encoding="utf-8"?>
<Properties xmlns="http://schemas.openxmlformats.org/officeDocument/2006/extended-properties" xmlns:vt="http://schemas.openxmlformats.org/officeDocument/2006/docPropsVTypes">
  <Template>Normal.dotm</Template>
  <TotalTime>0</TotalTime>
  <Pages>6</Pages>
  <Words>2247</Words>
  <Characters>12813</Characters>
  <Application>Microsoft Office Word</Application>
  <DocSecurity>0</DocSecurity>
  <Lines>106</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2017-10-06T09:53:00Z</dcterms:created>
  <dcterms:modified xsi:type="dcterms:W3CDTF">2017-10-06T09:53:00Z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